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CA4FB">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3A622BC8">
      <w:pPr>
        <w:tabs>
          <w:tab w:val="left" w:pos="315"/>
          <w:tab w:val="left" w:pos="8820"/>
        </w:tabs>
        <w:spacing w:before="240" w:beforeLines="100" w:after="120" w:afterLines="50" w:line="500" w:lineRule="exact"/>
        <w:ind w:right="254" w:rightChars="127"/>
        <w:jc w:val="center"/>
        <w:rPr>
          <w:b/>
          <w:bCs/>
          <w:color w:val="auto"/>
          <w:sz w:val="52"/>
          <w:szCs w:val="52"/>
          <w:highlight w:val="none"/>
        </w:rPr>
      </w:pPr>
      <w:bookmarkStart w:id="0" w:name="_Hlk9544796"/>
      <w:r>
        <w:rPr>
          <w:rFonts w:hint="eastAsia"/>
          <w:b/>
          <w:bCs/>
          <w:color w:val="auto"/>
          <w:sz w:val="52"/>
          <w:szCs w:val="52"/>
          <w:highlight w:val="none"/>
        </w:rPr>
        <w:t>竞争性磋商文件</w:t>
      </w:r>
    </w:p>
    <w:p w14:paraId="00BF7BC1">
      <w:pPr>
        <w:pStyle w:val="4"/>
        <w:rPr>
          <w:color w:val="auto"/>
          <w:highlight w:val="none"/>
        </w:rPr>
      </w:pPr>
      <w:r>
        <w:rPr>
          <w:rFonts w:hint="eastAsia" w:ascii="宋体" w:hAnsi="宋体" w:cs="宋体"/>
          <w:color w:val="auto"/>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14:paraId="58B39AD9">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3D7D6F45">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E56F48C">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8DE294A">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12F6DC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BF96B3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8A3B39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D4D5E20">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eastAsia="zh-CN"/>
        </w:rPr>
        <w:t>百大检测公司农残检测相关设备采购项目</w:t>
      </w:r>
    </w:p>
    <w:p w14:paraId="380199FA">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eastAsia="zh-CN"/>
        </w:rPr>
        <w:t>2025HAFWN02803</w:t>
      </w:r>
    </w:p>
    <w:p w14:paraId="0C433973">
      <w:pPr>
        <w:tabs>
          <w:tab w:val="left" w:pos="2410"/>
        </w:tabs>
        <w:autoSpaceDE w:val="0"/>
        <w:autoSpaceDN w:val="0"/>
        <w:adjustRightInd w:val="0"/>
        <w:snapToGrid w:val="0"/>
        <w:spacing w:line="360" w:lineRule="auto"/>
        <w:rPr>
          <w:rFonts w:hint="eastAsia" w:eastAsia="宋体"/>
          <w:b/>
          <w:color w:val="auto"/>
          <w:spacing w:val="20"/>
          <w:sz w:val="32"/>
          <w:szCs w:val="32"/>
          <w:highlight w:val="none"/>
          <w:lang w:eastAsia="zh-CN"/>
        </w:rPr>
      </w:pPr>
      <w:r>
        <w:rPr>
          <w:rFonts w:hint="eastAsia"/>
          <w:b/>
          <w:color w:val="auto"/>
          <w:spacing w:val="20"/>
          <w:sz w:val="32"/>
          <w:szCs w:val="32"/>
          <w:highlight w:val="none"/>
          <w:lang w:val="en-US" w:eastAsia="zh-CN"/>
        </w:rPr>
        <w:t>招</w:t>
      </w:r>
      <w:r>
        <w:rPr>
          <w:rFonts w:hint="eastAsia"/>
          <w:b/>
          <w:color w:val="auto"/>
          <w:spacing w:val="20"/>
          <w:sz w:val="32"/>
          <w:szCs w:val="32"/>
          <w:highlight w:val="none"/>
        </w:rPr>
        <w:t xml:space="preserve"> </w:t>
      </w:r>
      <w:r>
        <w:rPr>
          <w:rFonts w:hint="eastAsia"/>
          <w:b/>
          <w:color w:val="auto"/>
          <w:spacing w:val="20"/>
          <w:sz w:val="32"/>
          <w:szCs w:val="32"/>
          <w:highlight w:val="none"/>
          <w:lang w:val="en-US" w:eastAsia="zh-CN"/>
        </w:rPr>
        <w:t>标</w:t>
      </w:r>
      <w:r>
        <w:rPr>
          <w:rFonts w:hint="eastAsia"/>
          <w:b/>
          <w:color w:val="auto"/>
          <w:spacing w:val="20"/>
          <w:sz w:val="32"/>
          <w:szCs w:val="32"/>
          <w:highlight w:val="none"/>
        </w:rPr>
        <w:t xml:space="preserve"> 人：</w:t>
      </w:r>
      <w:r>
        <w:rPr>
          <w:rFonts w:hint="eastAsia"/>
          <w:b/>
          <w:color w:val="auto"/>
          <w:spacing w:val="20"/>
          <w:sz w:val="32"/>
          <w:szCs w:val="32"/>
          <w:highlight w:val="none"/>
          <w:u w:val="single"/>
          <w:lang w:eastAsia="zh-CN"/>
        </w:rPr>
        <w:t>安徽百大检测技术有限公司</w:t>
      </w:r>
    </w:p>
    <w:p w14:paraId="7386A0FD">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lang w:eastAsia="zh-CN"/>
        </w:rPr>
        <w:t>代理机构</w:t>
      </w:r>
      <w:r>
        <w:rPr>
          <w:rFonts w:hint="eastAsia"/>
          <w:b/>
          <w:color w:val="auto"/>
          <w:spacing w:val="20"/>
          <w:sz w:val="32"/>
          <w:szCs w:val="32"/>
          <w:highlight w:val="none"/>
        </w:rPr>
        <w:t>：</w:t>
      </w:r>
      <w:r>
        <w:rPr>
          <w:rFonts w:hint="eastAsia"/>
          <w:b/>
          <w:color w:val="auto"/>
          <w:spacing w:val="20"/>
          <w:sz w:val="32"/>
          <w:szCs w:val="32"/>
          <w:highlight w:val="none"/>
          <w:u w:val="single"/>
        </w:rPr>
        <w:t>安徽公共资源交易集团项目管理有限公司</w:t>
      </w:r>
    </w:p>
    <w:p w14:paraId="6E64E5C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4AEFA96">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19465463">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634C65F">
      <w:pPr>
        <w:tabs>
          <w:tab w:val="left" w:pos="2410"/>
        </w:tabs>
        <w:autoSpaceDE w:val="0"/>
        <w:autoSpaceDN w:val="0"/>
        <w:adjustRightInd w:val="0"/>
        <w:snapToGrid w:val="0"/>
        <w:spacing w:line="360" w:lineRule="auto"/>
        <w:jc w:val="center"/>
        <w:rPr>
          <w:b/>
          <w:color w:val="auto"/>
          <w:sz w:val="28"/>
          <w:highlight w:val="none"/>
        </w:rPr>
      </w:pPr>
    </w:p>
    <w:p w14:paraId="1A2E9548">
      <w:pPr>
        <w:pStyle w:val="45"/>
        <w:tabs>
          <w:tab w:val="right" w:leader="dot" w:pos="886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_Toc27366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hint="eastAsia" w:asciiTheme="minorEastAsia" w:hAnsiTheme="minorEastAsia" w:eastAsiaTheme="minorEastAsia"/>
          <w:color w:val="auto"/>
          <w:highlight w:val="none"/>
          <w:lang w:val="en-US" w:eastAsia="zh-CN"/>
        </w:rPr>
        <w:t>磋商公告</w:t>
      </w:r>
      <w:r>
        <w:rPr>
          <w:color w:val="auto"/>
          <w:highlight w:val="none"/>
        </w:rPr>
        <w:tab/>
      </w:r>
      <w:r>
        <w:rPr>
          <w:color w:val="auto"/>
          <w:highlight w:val="none"/>
        </w:rPr>
        <w:fldChar w:fldCharType="begin"/>
      </w:r>
      <w:r>
        <w:rPr>
          <w:color w:val="auto"/>
          <w:highlight w:val="none"/>
        </w:rPr>
        <w:instrText xml:space="preserve"> PAGEREF _Toc27366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color w:val="auto"/>
          <w:szCs w:val="24"/>
          <w:highlight w:val="none"/>
        </w:rPr>
        <w:fldChar w:fldCharType="end"/>
      </w:r>
    </w:p>
    <w:p w14:paraId="68947C8B">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_Toc29795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lang w:eastAsia="zh-CN"/>
        </w:rPr>
        <w:t>投标人</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_Toc29795 \h </w:instrText>
      </w:r>
      <w:r>
        <w:rPr>
          <w:color w:val="auto"/>
          <w:highlight w:val="none"/>
        </w:rPr>
        <w:fldChar w:fldCharType="separate"/>
      </w:r>
      <w:r>
        <w:rPr>
          <w:color w:val="auto"/>
          <w:highlight w:val="none"/>
        </w:rPr>
        <w:t>5</w:t>
      </w:r>
      <w:r>
        <w:rPr>
          <w:color w:val="auto"/>
          <w:highlight w:val="none"/>
        </w:rPr>
        <w:fldChar w:fldCharType="end"/>
      </w:r>
      <w:r>
        <w:rPr>
          <w:rFonts w:asciiTheme="minorEastAsia" w:hAnsiTheme="minorEastAsia"/>
          <w:color w:val="auto"/>
          <w:szCs w:val="24"/>
          <w:highlight w:val="none"/>
        </w:rPr>
        <w:fldChar w:fldCharType="end"/>
      </w:r>
    </w:p>
    <w:p w14:paraId="6E817D6E">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_Toc30867 </w:instrText>
      </w:r>
      <w:r>
        <w:rPr>
          <w:rFonts w:asciiTheme="minorEastAsia" w:hAnsiTheme="minorEastAsia"/>
          <w:color w:val="auto"/>
          <w:szCs w:val="24"/>
          <w:highlight w:val="none"/>
        </w:rPr>
        <w:fldChar w:fldCharType="separate"/>
      </w:r>
      <w:r>
        <w:rPr>
          <w:rFonts w:hint="eastAsia"/>
          <w:color w:val="auto"/>
          <w:highlight w:val="none"/>
          <w:lang w:val="en-US" w:eastAsia="zh-CN"/>
        </w:rPr>
        <w:t>第三章 招标人要求</w:t>
      </w:r>
      <w:r>
        <w:rPr>
          <w:color w:val="auto"/>
          <w:highlight w:val="none"/>
        </w:rPr>
        <w:tab/>
      </w:r>
      <w:r>
        <w:rPr>
          <w:color w:val="auto"/>
          <w:highlight w:val="none"/>
        </w:rPr>
        <w:fldChar w:fldCharType="begin"/>
      </w:r>
      <w:r>
        <w:rPr>
          <w:color w:val="auto"/>
          <w:highlight w:val="none"/>
        </w:rPr>
        <w:instrText xml:space="preserve"> PAGEREF _Toc30867 \h </w:instrText>
      </w:r>
      <w:r>
        <w:rPr>
          <w:color w:val="auto"/>
          <w:highlight w:val="none"/>
        </w:rPr>
        <w:fldChar w:fldCharType="separate"/>
      </w:r>
      <w:r>
        <w:rPr>
          <w:color w:val="auto"/>
          <w:highlight w:val="none"/>
        </w:rPr>
        <w:t>19</w:t>
      </w:r>
      <w:r>
        <w:rPr>
          <w:color w:val="auto"/>
          <w:highlight w:val="none"/>
        </w:rPr>
        <w:fldChar w:fldCharType="end"/>
      </w:r>
      <w:r>
        <w:rPr>
          <w:rFonts w:asciiTheme="minorEastAsia" w:hAnsiTheme="minorEastAsia"/>
          <w:color w:val="auto"/>
          <w:szCs w:val="24"/>
          <w:highlight w:val="none"/>
        </w:rPr>
        <w:fldChar w:fldCharType="end"/>
      </w:r>
    </w:p>
    <w:p w14:paraId="0550AC6B">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_Toc23594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_Toc23594 \h </w:instrText>
      </w:r>
      <w:r>
        <w:rPr>
          <w:color w:val="auto"/>
          <w:highlight w:val="none"/>
        </w:rPr>
        <w:fldChar w:fldCharType="separate"/>
      </w:r>
      <w:r>
        <w:rPr>
          <w:color w:val="auto"/>
          <w:highlight w:val="none"/>
        </w:rPr>
        <w:t>24</w:t>
      </w:r>
      <w:r>
        <w:rPr>
          <w:color w:val="auto"/>
          <w:highlight w:val="none"/>
        </w:rPr>
        <w:fldChar w:fldCharType="end"/>
      </w:r>
      <w:r>
        <w:rPr>
          <w:rFonts w:asciiTheme="minorEastAsia" w:hAnsiTheme="minorEastAsia"/>
          <w:color w:val="auto"/>
          <w:szCs w:val="24"/>
          <w:highlight w:val="none"/>
        </w:rPr>
        <w:fldChar w:fldCharType="end"/>
      </w:r>
    </w:p>
    <w:p w14:paraId="135702A1">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_Toc25523 </w:instrText>
      </w:r>
      <w:r>
        <w:rPr>
          <w:rFonts w:asciiTheme="minorEastAsia" w:hAnsiTheme="minorEastAsia"/>
          <w:color w:val="auto"/>
          <w:szCs w:val="24"/>
          <w:highlight w:val="none"/>
        </w:rPr>
        <w:fldChar w:fldCharType="separate"/>
      </w:r>
      <w:r>
        <w:rPr>
          <w:rFonts w:hint="eastAsia" w:ascii="Times New Roman" w:hAnsi="Times New Roman"/>
          <w:caps w:val="0"/>
          <w:smallCaps w:val="0"/>
          <w:color w:val="auto"/>
          <w:highlight w:val="none"/>
          <w:lang w:eastAsia="zh-CN"/>
        </w:rPr>
        <w:t xml:space="preserve">第五章 </w:t>
      </w:r>
      <w:r>
        <w:rPr>
          <w:rFonts w:ascii="Times New Roman" w:hAnsi="Times New Roman" w:eastAsia="宋体"/>
          <w:caps w:val="0"/>
          <w:smallCaps w:val="0"/>
          <w:color w:val="auto"/>
          <w:highlight w:val="none"/>
        </w:rPr>
        <w:t>合同</w:t>
      </w:r>
      <w:r>
        <w:rPr>
          <w:color w:val="auto"/>
          <w:highlight w:val="none"/>
        </w:rPr>
        <w:tab/>
      </w:r>
      <w:r>
        <w:rPr>
          <w:color w:val="auto"/>
          <w:highlight w:val="none"/>
        </w:rPr>
        <w:fldChar w:fldCharType="begin"/>
      </w:r>
      <w:r>
        <w:rPr>
          <w:color w:val="auto"/>
          <w:highlight w:val="none"/>
        </w:rPr>
        <w:instrText xml:space="preserve"> PAGEREF _Toc25523 \h </w:instrText>
      </w:r>
      <w:r>
        <w:rPr>
          <w:color w:val="auto"/>
          <w:highlight w:val="none"/>
        </w:rPr>
        <w:fldChar w:fldCharType="separate"/>
      </w:r>
      <w:r>
        <w:rPr>
          <w:color w:val="auto"/>
          <w:highlight w:val="none"/>
        </w:rPr>
        <w:t>32</w:t>
      </w:r>
      <w:r>
        <w:rPr>
          <w:color w:val="auto"/>
          <w:highlight w:val="none"/>
        </w:rPr>
        <w:fldChar w:fldCharType="end"/>
      </w:r>
      <w:r>
        <w:rPr>
          <w:rFonts w:asciiTheme="minorEastAsia" w:hAnsiTheme="minorEastAsia"/>
          <w:color w:val="auto"/>
          <w:szCs w:val="24"/>
          <w:highlight w:val="none"/>
        </w:rPr>
        <w:fldChar w:fldCharType="end"/>
      </w:r>
    </w:p>
    <w:p w14:paraId="1432E4F3">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_Toc28981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第六章  </w:t>
      </w:r>
      <w:r>
        <w:rPr>
          <w:rFonts w:hint="eastAsia" w:asciiTheme="minorEastAsia" w:hAnsiTheme="minorEastAsia" w:eastAsiaTheme="minorEastAsia"/>
          <w:color w:val="auto"/>
          <w:highlight w:val="none"/>
          <w:lang w:eastAsia="zh-CN"/>
        </w:rPr>
        <w:t>投标文件</w:t>
      </w:r>
      <w:r>
        <w:rPr>
          <w:rFonts w:hint="eastAsia" w:asciiTheme="minorEastAsia" w:hAnsiTheme="minorEastAsia" w:eastAsiaTheme="minor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_Toc28981 \h </w:instrText>
      </w:r>
      <w:r>
        <w:rPr>
          <w:color w:val="auto"/>
          <w:highlight w:val="none"/>
        </w:rPr>
        <w:fldChar w:fldCharType="separate"/>
      </w:r>
      <w:r>
        <w:rPr>
          <w:color w:val="auto"/>
          <w:highlight w:val="none"/>
        </w:rPr>
        <w:t>42</w:t>
      </w:r>
      <w:r>
        <w:rPr>
          <w:color w:val="auto"/>
          <w:highlight w:val="none"/>
        </w:rPr>
        <w:fldChar w:fldCharType="end"/>
      </w:r>
      <w:r>
        <w:rPr>
          <w:rFonts w:asciiTheme="minorEastAsia" w:hAnsiTheme="minorEastAsia"/>
          <w:color w:val="auto"/>
          <w:szCs w:val="24"/>
          <w:highlight w:val="none"/>
        </w:rPr>
        <w:fldChar w:fldCharType="end"/>
      </w:r>
    </w:p>
    <w:p w14:paraId="0CA36EFE">
      <w:pPr>
        <w:pStyle w:val="45"/>
        <w:tabs>
          <w:tab w:val="right" w:leader="dot" w:pos="886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_Toc31778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eastAsia="zh-CN"/>
        </w:rPr>
        <w:t>七</w:t>
      </w:r>
      <w:r>
        <w:rPr>
          <w:rFonts w:hint="eastAsia" w:asciiTheme="minorEastAsia" w:hAnsiTheme="minorEastAsia" w:eastAsiaTheme="minorEastAsia"/>
          <w:color w:val="auto"/>
          <w:highlight w:val="none"/>
        </w:rPr>
        <w:t>章 安徽公共资源交易集团电子交易操作规程</w:t>
      </w:r>
      <w:r>
        <w:rPr>
          <w:color w:val="auto"/>
          <w:highlight w:val="none"/>
        </w:rPr>
        <w:tab/>
      </w:r>
      <w:r>
        <w:rPr>
          <w:color w:val="auto"/>
          <w:highlight w:val="none"/>
        </w:rPr>
        <w:fldChar w:fldCharType="begin"/>
      </w:r>
      <w:r>
        <w:rPr>
          <w:color w:val="auto"/>
          <w:highlight w:val="none"/>
        </w:rPr>
        <w:instrText xml:space="preserve"> PAGEREF _Toc31778 \h </w:instrText>
      </w:r>
      <w:r>
        <w:rPr>
          <w:color w:val="auto"/>
          <w:highlight w:val="none"/>
        </w:rPr>
        <w:fldChar w:fldCharType="separate"/>
      </w:r>
      <w:r>
        <w:rPr>
          <w:color w:val="auto"/>
          <w:highlight w:val="none"/>
        </w:rPr>
        <w:t>53</w:t>
      </w:r>
      <w:r>
        <w:rPr>
          <w:color w:val="auto"/>
          <w:highlight w:val="none"/>
        </w:rPr>
        <w:fldChar w:fldCharType="end"/>
      </w:r>
      <w:r>
        <w:rPr>
          <w:rFonts w:asciiTheme="minorEastAsia" w:hAnsiTheme="minorEastAsia"/>
          <w:color w:val="auto"/>
          <w:szCs w:val="24"/>
          <w:highlight w:val="none"/>
        </w:rPr>
        <w:fldChar w:fldCharType="end"/>
      </w:r>
    </w:p>
    <w:p w14:paraId="081380C2">
      <w:pPr>
        <w:pStyle w:val="45"/>
        <w:tabs>
          <w:tab w:val="right" w:leader="dot" w:pos="8296"/>
        </w:tabs>
        <w:rPr>
          <w:rFonts w:asciiTheme="minorEastAsia" w:hAnsiTheme="minorEastAsia"/>
          <w:b/>
          <w:color w:val="auto"/>
          <w:sz w:val="32"/>
          <w:highlight w:val="none"/>
        </w:rPr>
      </w:pPr>
      <w:r>
        <w:rPr>
          <w:rFonts w:asciiTheme="minorEastAsia" w:hAnsiTheme="minorEastAsia"/>
          <w:color w:val="auto"/>
          <w:szCs w:val="24"/>
          <w:highlight w:val="none"/>
        </w:rPr>
        <w:fldChar w:fldCharType="end"/>
      </w:r>
    </w:p>
    <w:p w14:paraId="5519BCD0">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40" w:right="1519" w:bottom="1440" w:left="1519" w:header="851" w:footer="992" w:gutter="0"/>
          <w:cols w:space="720" w:num="1"/>
          <w:docGrid w:linePitch="462" w:charSpace="0"/>
        </w:sectPr>
      </w:pPr>
    </w:p>
    <w:p w14:paraId="07C5AAF3">
      <w:pPr>
        <w:numPr>
          <w:ilvl w:val="0"/>
          <w:numId w:val="2"/>
        </w:numPr>
        <w:spacing w:line="360" w:lineRule="auto"/>
        <w:jc w:val="center"/>
        <w:outlineLvl w:val="1"/>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t xml:space="preserve"> </w:t>
      </w:r>
      <w:bookmarkStart w:id="1" w:name="_Toc27366"/>
      <w:r>
        <w:rPr>
          <w:rFonts w:hint="eastAsia" w:asciiTheme="minorEastAsia" w:hAnsiTheme="minorEastAsia" w:eastAsiaTheme="minorEastAsia"/>
          <w:b/>
          <w:color w:val="auto"/>
          <w:sz w:val="28"/>
          <w:highlight w:val="none"/>
          <w:lang w:val="en-US" w:eastAsia="zh-CN"/>
        </w:rPr>
        <w:t>磋商公告</w:t>
      </w:r>
      <w:bookmarkEnd w:id="1"/>
    </w:p>
    <w:p w14:paraId="707E3C83">
      <w:pPr>
        <w:pStyle w:val="75"/>
        <w:widowControl w:val="0"/>
        <w:autoSpaceDE w:val="0"/>
        <w:autoSpaceDN w:val="0"/>
        <w:adjustRightInd w:val="0"/>
        <w:spacing w:before="0" w:after="0"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aps w:val="0"/>
          <w:smallCaps w:val="0"/>
          <w:color w:val="auto"/>
          <w:kern w:val="2"/>
          <w:sz w:val="24"/>
          <w:szCs w:val="24"/>
          <w:highlight w:val="none"/>
          <w:lang w:eastAsia="zh-CN"/>
        </w:rPr>
        <w:t>安徽公共资源交易集团项目管理有限公司受</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安徽百大检测技术有限公司</w:t>
      </w:r>
      <w:r>
        <w:rPr>
          <w:rFonts w:hint="eastAsia" w:asciiTheme="majorEastAsia" w:hAnsiTheme="majorEastAsia" w:eastAsiaTheme="majorEastAsia" w:cstheme="majorEastAsia"/>
          <w:caps w:val="0"/>
          <w:smallCaps w:val="0"/>
          <w:color w:val="auto"/>
          <w:kern w:val="2"/>
          <w:sz w:val="24"/>
          <w:szCs w:val="24"/>
          <w:highlight w:val="none"/>
        </w:rPr>
        <w:t>委托，现对</w:t>
      </w:r>
      <w:r>
        <w:rPr>
          <w:rFonts w:hint="eastAsia" w:asciiTheme="majorEastAsia" w:hAnsiTheme="majorEastAsia" w:eastAsiaTheme="majorEastAsia" w:cstheme="majorEastAsia"/>
          <w:caps w:val="0"/>
          <w:smallCaps w:val="0"/>
          <w:color w:val="auto"/>
          <w:kern w:val="2"/>
          <w:sz w:val="24"/>
          <w:szCs w:val="24"/>
          <w:highlight w:val="none"/>
          <w:u w:val="single"/>
          <w:lang w:val="en-US" w:eastAsia="zh-CN"/>
        </w:rPr>
        <w:t>百大检测公司农残检测相关设备采购项目</w:t>
      </w:r>
      <w:r>
        <w:rPr>
          <w:rFonts w:hint="eastAsia" w:asciiTheme="majorEastAsia" w:hAnsiTheme="majorEastAsia" w:eastAsiaTheme="majorEastAsia" w:cstheme="majorEastAsia"/>
          <w:caps w:val="0"/>
          <w:smallCaps w:val="0"/>
          <w:color w:val="auto"/>
          <w:kern w:val="2"/>
          <w:sz w:val="24"/>
          <w:szCs w:val="24"/>
          <w:highlight w:val="none"/>
        </w:rPr>
        <w:t>进行竞争磋商，欢迎具备条件的国内</w:t>
      </w:r>
      <w:r>
        <w:rPr>
          <w:rFonts w:hint="eastAsia" w:asciiTheme="majorEastAsia" w:hAnsiTheme="majorEastAsia" w:eastAsiaTheme="majorEastAsia" w:cstheme="majorEastAsia"/>
          <w:caps w:val="0"/>
          <w:smallCaps w:val="0"/>
          <w:color w:val="auto"/>
          <w:kern w:val="2"/>
          <w:sz w:val="24"/>
          <w:szCs w:val="24"/>
          <w:highlight w:val="none"/>
          <w:lang w:eastAsia="zh-CN"/>
        </w:rPr>
        <w:t>投标人</w:t>
      </w:r>
      <w:r>
        <w:rPr>
          <w:rFonts w:hint="eastAsia" w:asciiTheme="majorEastAsia" w:hAnsiTheme="majorEastAsia" w:eastAsiaTheme="majorEastAsia" w:cstheme="majorEastAsia"/>
          <w:caps w:val="0"/>
          <w:smallCaps w:val="0"/>
          <w:color w:val="auto"/>
          <w:kern w:val="2"/>
          <w:sz w:val="24"/>
          <w:szCs w:val="24"/>
          <w:highlight w:val="none"/>
        </w:rPr>
        <w:t>参加磋商。</w:t>
      </w:r>
    </w:p>
    <w:p w14:paraId="76AF54B0">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1.</w:t>
      </w:r>
      <w:r>
        <w:rPr>
          <w:rFonts w:hint="eastAsia" w:asciiTheme="majorEastAsia" w:hAnsiTheme="majorEastAsia" w:eastAsiaTheme="majorEastAsia" w:cstheme="majorEastAsia"/>
          <w:b/>
          <w:bCs/>
          <w:color w:val="auto"/>
          <w:sz w:val="24"/>
          <w:szCs w:val="24"/>
          <w:highlight w:val="none"/>
        </w:rPr>
        <w:t>项目名称及内容</w:t>
      </w:r>
    </w:p>
    <w:p w14:paraId="53269BF6">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1.1 </w:t>
      </w:r>
      <w:r>
        <w:rPr>
          <w:rFonts w:hint="eastAsia" w:asciiTheme="majorEastAsia" w:hAnsiTheme="majorEastAsia" w:eastAsiaTheme="majorEastAsia" w:cstheme="majorEastAsia"/>
          <w:color w:val="auto"/>
          <w:sz w:val="24"/>
          <w:szCs w:val="24"/>
          <w:highlight w:val="none"/>
        </w:rPr>
        <w:t>项目编号：</w:t>
      </w:r>
      <w:r>
        <w:rPr>
          <w:rFonts w:hint="eastAsia" w:asciiTheme="majorEastAsia" w:hAnsiTheme="majorEastAsia" w:eastAsiaTheme="majorEastAsia" w:cstheme="majorEastAsia"/>
          <w:color w:val="auto"/>
          <w:sz w:val="24"/>
          <w:szCs w:val="24"/>
          <w:highlight w:val="none"/>
          <w:u w:val="single"/>
          <w:lang w:eastAsia="zh-CN"/>
        </w:rPr>
        <w:t>2025HAFWN02803</w:t>
      </w:r>
    </w:p>
    <w:p w14:paraId="4DE62FC1">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1.2 </w:t>
      </w:r>
      <w:r>
        <w:rPr>
          <w:rFonts w:hint="eastAsia" w:asciiTheme="majorEastAsia" w:hAnsiTheme="majorEastAsia" w:eastAsiaTheme="majorEastAsia" w:cstheme="majorEastAsia"/>
          <w:color w:val="auto"/>
          <w:sz w:val="24"/>
          <w:szCs w:val="24"/>
          <w:highlight w:val="none"/>
        </w:rPr>
        <w:t>项目名称：</w:t>
      </w:r>
      <w:r>
        <w:rPr>
          <w:rFonts w:hint="eastAsia" w:asciiTheme="majorEastAsia" w:hAnsiTheme="majorEastAsia" w:eastAsiaTheme="majorEastAsia" w:cstheme="majorEastAsia"/>
          <w:color w:val="auto"/>
          <w:sz w:val="24"/>
          <w:szCs w:val="24"/>
          <w:highlight w:val="none"/>
          <w:u w:val="single"/>
          <w:lang w:eastAsia="zh-CN"/>
        </w:rPr>
        <w:t>百大检测公司农残检测相关设备采购项目</w:t>
      </w:r>
    </w:p>
    <w:p w14:paraId="58291E7D">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1.3 </w:t>
      </w:r>
      <w:r>
        <w:rPr>
          <w:rFonts w:hint="eastAsia" w:asciiTheme="majorEastAsia" w:hAnsiTheme="majorEastAsia" w:eastAsiaTheme="majorEastAsia" w:cstheme="majorEastAsia"/>
          <w:color w:val="auto"/>
          <w:sz w:val="24"/>
          <w:szCs w:val="24"/>
          <w:highlight w:val="none"/>
        </w:rPr>
        <w:t>项目地点：合肥市瑶海区钟油坊路与和平路交口</w:t>
      </w:r>
    </w:p>
    <w:p w14:paraId="448CBE95">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1.4 </w:t>
      </w:r>
      <w:r>
        <w:rPr>
          <w:rFonts w:hint="eastAsia" w:asciiTheme="majorEastAsia" w:hAnsiTheme="majorEastAsia" w:eastAsiaTheme="majorEastAsia" w:cstheme="majorEastAsia"/>
          <w:color w:val="auto"/>
          <w:sz w:val="24"/>
          <w:szCs w:val="24"/>
          <w:highlight w:val="none"/>
        </w:rPr>
        <w:t>项目单位：</w:t>
      </w:r>
      <w:r>
        <w:rPr>
          <w:rFonts w:hint="eastAsia" w:asciiTheme="majorEastAsia" w:hAnsiTheme="majorEastAsia" w:eastAsiaTheme="majorEastAsia" w:cstheme="majorEastAsia"/>
          <w:color w:val="auto"/>
          <w:sz w:val="24"/>
          <w:szCs w:val="24"/>
          <w:highlight w:val="none"/>
          <w:u w:val="single"/>
          <w:lang w:eastAsia="zh-CN"/>
        </w:rPr>
        <w:t>安徽百大检测技术有限公司</w:t>
      </w:r>
    </w:p>
    <w:p w14:paraId="4DAE85CA">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1.5 </w:t>
      </w:r>
      <w:r>
        <w:rPr>
          <w:rFonts w:hint="eastAsia" w:asciiTheme="majorEastAsia" w:hAnsiTheme="majorEastAsia" w:eastAsiaTheme="majorEastAsia" w:cstheme="majorEastAsia"/>
          <w:color w:val="auto"/>
          <w:sz w:val="24"/>
          <w:szCs w:val="24"/>
          <w:highlight w:val="none"/>
        </w:rPr>
        <w:t>项目概况：大容量农药残留快速检测仪1套，大容量振荡器3台。</w:t>
      </w:r>
    </w:p>
    <w:p w14:paraId="18C3FB6D">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1.6 </w:t>
      </w:r>
      <w:r>
        <w:rPr>
          <w:rFonts w:hint="eastAsia" w:asciiTheme="majorEastAsia" w:hAnsiTheme="majorEastAsia" w:eastAsiaTheme="majorEastAsia" w:cstheme="majorEastAsia"/>
          <w:color w:val="auto"/>
          <w:sz w:val="24"/>
          <w:szCs w:val="24"/>
          <w:highlight w:val="none"/>
        </w:rPr>
        <w:t>资金来源：自筹</w:t>
      </w:r>
    </w:p>
    <w:p w14:paraId="0FA52311">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1.7 </w:t>
      </w:r>
      <w:r>
        <w:rPr>
          <w:rFonts w:hint="eastAsia" w:asciiTheme="majorEastAsia" w:hAnsiTheme="majorEastAsia" w:eastAsiaTheme="majorEastAsia" w:cstheme="majorEastAsia"/>
          <w:color w:val="auto"/>
          <w:sz w:val="24"/>
          <w:szCs w:val="24"/>
          <w:highlight w:val="none"/>
        </w:rPr>
        <w:t>项目预算：9.685万元</w:t>
      </w:r>
    </w:p>
    <w:p w14:paraId="53684488">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 xml:space="preserve">1.8 </w:t>
      </w:r>
      <w:r>
        <w:rPr>
          <w:rFonts w:hint="eastAsia" w:asciiTheme="majorEastAsia" w:hAnsiTheme="majorEastAsia" w:eastAsiaTheme="majorEastAsia" w:cstheme="majorEastAsia"/>
          <w:color w:val="auto"/>
          <w:sz w:val="24"/>
          <w:szCs w:val="24"/>
          <w:highlight w:val="none"/>
        </w:rPr>
        <w:t>项目类别：与工程无关·货物</w:t>
      </w:r>
    </w:p>
    <w:p w14:paraId="5C1708B3">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1.9 </w:t>
      </w:r>
      <w:r>
        <w:rPr>
          <w:rFonts w:hint="eastAsia" w:asciiTheme="majorEastAsia" w:hAnsiTheme="majorEastAsia" w:eastAsiaTheme="majorEastAsia" w:cstheme="majorEastAsia"/>
          <w:color w:val="auto"/>
          <w:sz w:val="24"/>
          <w:szCs w:val="24"/>
          <w:highlight w:val="none"/>
        </w:rPr>
        <w:t>标段划分：共分</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rPr>
        <w:t>个</w:t>
      </w:r>
      <w:r>
        <w:rPr>
          <w:rFonts w:hint="eastAsia" w:asciiTheme="majorEastAsia" w:hAnsiTheme="majorEastAsia" w:eastAsiaTheme="majorEastAsia" w:cstheme="majorEastAsia"/>
          <w:color w:val="auto"/>
          <w:sz w:val="24"/>
          <w:szCs w:val="24"/>
          <w:highlight w:val="none"/>
          <w:lang w:val="en-US" w:eastAsia="zh-CN"/>
        </w:rPr>
        <w:t>标段</w:t>
      </w: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第</w:t>
      </w:r>
      <w:r>
        <w:rPr>
          <w:rFonts w:hint="eastAsia" w:asciiTheme="majorEastAsia" w:hAnsiTheme="majorEastAsia" w:eastAsiaTheme="majorEastAsia" w:cstheme="majorEastAsia"/>
          <w:color w:val="auto"/>
          <w:sz w:val="24"/>
          <w:szCs w:val="24"/>
          <w:highlight w:val="none"/>
          <w:u w:val="single"/>
          <w:lang w:val="en-US" w:eastAsia="zh-CN"/>
        </w:rPr>
        <w:t>1</w:t>
      </w:r>
      <w:r>
        <w:rPr>
          <w:rFonts w:hint="eastAsia" w:asciiTheme="majorEastAsia" w:hAnsiTheme="majorEastAsia" w:eastAsiaTheme="majorEastAsia" w:cstheme="majorEastAsia"/>
          <w:color w:val="auto"/>
          <w:sz w:val="24"/>
          <w:szCs w:val="24"/>
          <w:highlight w:val="none"/>
          <w:lang w:eastAsia="zh-CN"/>
        </w:rPr>
        <w:t>标段。</w:t>
      </w:r>
    </w:p>
    <w:p w14:paraId="617ED3A1">
      <w:pPr>
        <w:spacing w:line="360" w:lineRule="auto"/>
        <w:ind w:firstLine="435"/>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2.</w:t>
      </w:r>
      <w:r>
        <w:rPr>
          <w:rFonts w:hint="eastAsia" w:asciiTheme="majorEastAsia" w:hAnsiTheme="majorEastAsia" w:eastAsiaTheme="majorEastAsia" w:cstheme="majorEastAsia"/>
          <w:b/>
          <w:bCs/>
          <w:color w:val="auto"/>
          <w:sz w:val="24"/>
          <w:szCs w:val="24"/>
          <w:highlight w:val="none"/>
          <w:lang w:eastAsia="zh-CN"/>
        </w:rPr>
        <w:t>投标人</w:t>
      </w:r>
      <w:r>
        <w:rPr>
          <w:rFonts w:hint="eastAsia" w:asciiTheme="majorEastAsia" w:hAnsiTheme="majorEastAsia" w:eastAsiaTheme="majorEastAsia" w:cstheme="majorEastAsia"/>
          <w:b/>
          <w:bCs/>
          <w:color w:val="auto"/>
          <w:sz w:val="24"/>
          <w:szCs w:val="24"/>
          <w:highlight w:val="none"/>
        </w:rPr>
        <w:t>资格</w:t>
      </w:r>
      <w:r>
        <w:rPr>
          <w:rFonts w:hint="eastAsia" w:asciiTheme="majorEastAsia" w:hAnsiTheme="majorEastAsia" w:eastAsiaTheme="majorEastAsia" w:cstheme="majorEastAsia"/>
          <w:b/>
          <w:bCs/>
          <w:color w:val="auto"/>
          <w:sz w:val="24"/>
          <w:szCs w:val="24"/>
          <w:highlight w:val="none"/>
          <w:lang w:eastAsia="zh-CN"/>
        </w:rPr>
        <w:t>要求</w:t>
      </w:r>
      <w:r>
        <w:rPr>
          <w:rFonts w:hint="eastAsia" w:asciiTheme="majorEastAsia" w:hAnsiTheme="majorEastAsia" w:eastAsiaTheme="majorEastAsia" w:cstheme="majorEastAsia"/>
          <w:b/>
          <w:bCs/>
          <w:color w:val="auto"/>
          <w:sz w:val="24"/>
          <w:szCs w:val="24"/>
          <w:highlight w:val="none"/>
          <w:lang w:val="en-US" w:eastAsia="zh-CN"/>
        </w:rPr>
        <w:t xml:space="preserve"> </w:t>
      </w:r>
      <w:bookmarkStart w:id="51" w:name="_GoBack"/>
      <w:bookmarkEnd w:id="51"/>
    </w:p>
    <w:p w14:paraId="01E4D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2.1</w:t>
      </w:r>
      <w:r>
        <w:rPr>
          <w:rFonts w:hint="eastAsia" w:asciiTheme="majorEastAsia" w:hAnsiTheme="majorEastAsia" w:eastAsiaTheme="majorEastAsia" w:cstheme="majorEastAsia"/>
          <w:color w:val="auto"/>
          <w:sz w:val="24"/>
          <w:szCs w:val="24"/>
          <w:highlight w:val="none"/>
        </w:rPr>
        <w:t>投标人具有独立承担民事责任的能力；</w:t>
      </w:r>
    </w:p>
    <w:p w14:paraId="01C7B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bCs/>
          <w:i/>
          <w:iCs/>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投标人资质要求</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w:t>
      </w:r>
    </w:p>
    <w:p w14:paraId="488CC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2.3</w:t>
      </w:r>
      <w:r>
        <w:rPr>
          <w:rFonts w:hint="eastAsia" w:asciiTheme="majorEastAsia" w:hAnsiTheme="majorEastAsia" w:eastAsiaTheme="majorEastAsia" w:cstheme="majorEastAsia"/>
          <w:color w:val="auto"/>
          <w:sz w:val="24"/>
          <w:szCs w:val="24"/>
          <w:highlight w:val="none"/>
        </w:rPr>
        <w:t>投标人业绩要求：自202</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年1月1日（以合同签订时间为准）以来，投标人具有农残检测相关检测仪器设备供货及安装业绩</w:t>
      </w:r>
    </w:p>
    <w:p w14:paraId="0055F123">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default" w:asciiTheme="majorEastAsia" w:hAnsiTheme="majorEastAsia" w:eastAsiaTheme="majorEastAsia" w:cstheme="majorEastAsia"/>
          <w:b w:val="0"/>
          <w:bCs w:val="0"/>
          <w:color w:val="auto"/>
          <w:sz w:val="24"/>
          <w:szCs w:val="24"/>
          <w:highlight w:val="none"/>
          <w:lang w:val="en-US" w:eastAsia="zh-CN" w:bidi="ar-SA"/>
        </w:rPr>
      </w:pPr>
      <w:r>
        <w:rPr>
          <w:rFonts w:hint="eastAsia" w:asciiTheme="majorEastAsia" w:hAnsiTheme="majorEastAsia" w:eastAsiaTheme="majorEastAsia" w:cstheme="majorEastAsia"/>
          <w:b w:val="0"/>
          <w:bCs w:val="0"/>
          <w:color w:val="auto"/>
          <w:sz w:val="24"/>
          <w:szCs w:val="24"/>
          <w:highlight w:val="none"/>
          <w:lang w:val="en-US" w:eastAsia="zh-CN" w:bidi="ar-SA"/>
        </w:rPr>
        <w:t>2.4项目负责人资格要求：/</w:t>
      </w:r>
    </w:p>
    <w:p w14:paraId="0806D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2.5</w:t>
      </w:r>
      <w:r>
        <w:rPr>
          <w:rFonts w:hint="eastAsia" w:asciiTheme="majorEastAsia" w:hAnsiTheme="majorEastAsia" w:eastAsiaTheme="majorEastAsia" w:cstheme="majorEastAsia"/>
          <w:color w:val="auto"/>
          <w:sz w:val="24"/>
          <w:szCs w:val="24"/>
          <w:highlight w:val="none"/>
        </w:rPr>
        <w:t>本项目</w:t>
      </w:r>
      <w:r>
        <w:rPr>
          <w:rFonts w:hint="eastAsia" w:asciiTheme="majorEastAsia" w:hAnsiTheme="majorEastAsia" w:eastAsiaTheme="majorEastAsia" w:cstheme="majorEastAsia"/>
          <w:color w:val="auto"/>
          <w:sz w:val="24"/>
          <w:szCs w:val="24"/>
          <w:highlight w:val="none"/>
        </w:rPr>
        <w:t>不接受</w:t>
      </w:r>
      <w:r>
        <w:rPr>
          <w:rFonts w:hint="eastAsia" w:asciiTheme="majorEastAsia" w:hAnsiTheme="majorEastAsia" w:eastAsiaTheme="majorEastAsia" w:cstheme="majorEastAsia"/>
          <w:color w:val="auto"/>
          <w:sz w:val="24"/>
          <w:szCs w:val="24"/>
          <w:highlight w:val="none"/>
        </w:rPr>
        <w:t>联合体投标。</w:t>
      </w:r>
    </w:p>
    <w:p w14:paraId="532AA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lang w:val="en-US" w:eastAsia="zh-CN"/>
        </w:rPr>
        <w:t>2.6</w:t>
      </w:r>
      <w:r>
        <w:rPr>
          <w:rFonts w:hint="eastAsia" w:asciiTheme="majorEastAsia" w:hAnsiTheme="majorEastAsia" w:eastAsiaTheme="majorEastAsia" w:cstheme="majorEastAsia"/>
          <w:strike w:val="0"/>
          <w:dstrike w:val="0"/>
          <w:color w:val="auto"/>
          <w:sz w:val="24"/>
          <w:szCs w:val="24"/>
          <w:highlight w:val="none"/>
        </w:rPr>
        <w:t>投标人</w:t>
      </w:r>
      <w:r>
        <w:rPr>
          <w:rFonts w:hint="eastAsia" w:asciiTheme="majorEastAsia" w:hAnsiTheme="majorEastAsia" w:eastAsiaTheme="majorEastAsia" w:cstheme="majorEastAsia"/>
          <w:strike w:val="0"/>
          <w:dstrike w:val="0"/>
          <w:color w:val="auto"/>
          <w:sz w:val="24"/>
          <w:szCs w:val="24"/>
          <w:highlight w:val="none"/>
          <w:lang w:val="en-US" w:eastAsia="zh-CN"/>
        </w:rPr>
        <w:t>不得</w:t>
      </w:r>
      <w:r>
        <w:rPr>
          <w:rFonts w:hint="eastAsia" w:asciiTheme="majorEastAsia" w:hAnsiTheme="majorEastAsia" w:eastAsiaTheme="majorEastAsia" w:cstheme="majorEastAsia"/>
          <w:strike w:val="0"/>
          <w:dstrike w:val="0"/>
          <w:color w:val="auto"/>
          <w:sz w:val="24"/>
          <w:szCs w:val="24"/>
          <w:highlight w:val="none"/>
        </w:rPr>
        <w:t>存在以下不良信用记录情形</w:t>
      </w:r>
      <w:r>
        <w:rPr>
          <w:rFonts w:hint="eastAsia" w:asciiTheme="majorEastAsia" w:hAnsiTheme="majorEastAsia" w:eastAsiaTheme="majorEastAsia" w:cstheme="majorEastAsia"/>
          <w:b/>
          <w:bCs/>
          <w:i/>
          <w:iCs/>
          <w:strike w:val="0"/>
          <w:dstrike w:val="0"/>
          <w:color w:val="auto"/>
          <w:sz w:val="24"/>
          <w:szCs w:val="24"/>
          <w:highlight w:val="none"/>
        </w:rPr>
        <w:t>：</w:t>
      </w:r>
    </w:p>
    <w:p w14:paraId="7D772E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（1）被责令停产停业，暂扣或者吊销许可证，暂扣或者吊销执照；</w:t>
      </w:r>
    </w:p>
    <w:p w14:paraId="55C0B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（2）进入清算程序，或被宣告破产，或其他丧失履约能力的情形；</w:t>
      </w:r>
    </w:p>
    <w:p w14:paraId="096848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3</w:t>
      </w:r>
      <w:r>
        <w:rPr>
          <w:rFonts w:hint="eastAsia" w:asciiTheme="majorEastAsia" w:hAnsiTheme="majorEastAsia" w:eastAsiaTheme="majorEastAsia" w:cstheme="majorEastAsia"/>
          <w:strike w:val="0"/>
          <w:dstrike w:val="0"/>
          <w:color w:val="auto"/>
          <w:sz w:val="24"/>
          <w:szCs w:val="24"/>
          <w:highlight w:val="none"/>
        </w:rPr>
        <w:t>）在国家企业信用信息公示系统（http://www.gsxt.gov.cn/）中被列入严重违法失信企业名单；</w:t>
      </w:r>
    </w:p>
    <w:p w14:paraId="379B4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4</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）在“信用中国”网站（http://www.creditchina.gov.cn/）中被列入失信被执行人名单；</w:t>
      </w:r>
    </w:p>
    <w:p w14:paraId="3B743F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5</w:t>
      </w:r>
      <w:r>
        <w:rPr>
          <w:rFonts w:hint="eastAsia" w:asciiTheme="majorEastAsia" w:hAnsiTheme="majorEastAsia" w:eastAsiaTheme="majorEastAsia" w:cstheme="majorEastAsia"/>
          <w:strike w:val="0"/>
          <w:dstrike w:val="0"/>
          <w:color w:val="auto"/>
          <w:sz w:val="24"/>
          <w:szCs w:val="24"/>
          <w:highlight w:val="none"/>
        </w:rPr>
        <w:t>）在“信用中国”网站（http://www.creditchina.gov.cn/）中被列入重大税收违法</w:t>
      </w:r>
      <w:r>
        <w:rPr>
          <w:rFonts w:hint="eastAsia" w:asciiTheme="majorEastAsia" w:hAnsiTheme="majorEastAsia" w:eastAsiaTheme="majorEastAsia" w:cstheme="majorEastAsia"/>
          <w:strike w:val="0"/>
          <w:dstrike w:val="0"/>
          <w:color w:val="auto"/>
          <w:sz w:val="24"/>
          <w:szCs w:val="24"/>
          <w:highlight w:val="none"/>
          <w:lang w:val="en-US" w:eastAsia="zh-CN"/>
        </w:rPr>
        <w:t>失信主体</w:t>
      </w:r>
      <w:r>
        <w:rPr>
          <w:rFonts w:hint="eastAsia" w:asciiTheme="majorEastAsia" w:hAnsiTheme="majorEastAsia" w:eastAsiaTheme="majorEastAsia" w:cstheme="majorEastAsia"/>
          <w:strike w:val="0"/>
          <w:dstrike w:val="0"/>
          <w:color w:val="auto"/>
          <w:sz w:val="24"/>
          <w:szCs w:val="24"/>
          <w:highlight w:val="none"/>
        </w:rPr>
        <w:t>名单；</w:t>
      </w:r>
    </w:p>
    <w:p w14:paraId="513F4F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auto"/>
          <w:sz w:val="24"/>
          <w:szCs w:val="24"/>
          <w:highlight w:val="none"/>
        </w:rPr>
      </w:pPr>
      <w:r>
        <w:rPr>
          <w:rFonts w:hint="eastAsia" w:asciiTheme="majorEastAsia" w:hAnsiTheme="majorEastAsia" w:eastAsiaTheme="majorEastAsia" w:cstheme="majorEastAsia"/>
          <w:strike w:val="0"/>
          <w:dstrike w:val="0"/>
          <w:color w:val="auto"/>
          <w:sz w:val="24"/>
          <w:szCs w:val="24"/>
          <w:highlight w:val="none"/>
        </w:rPr>
        <w:t>（</w:t>
      </w:r>
      <w:r>
        <w:rPr>
          <w:rFonts w:hint="eastAsia" w:asciiTheme="majorEastAsia" w:hAnsiTheme="majorEastAsia" w:eastAsiaTheme="majorEastAsia" w:cstheme="majorEastAsia"/>
          <w:strike w:val="0"/>
          <w:dstrike w:val="0"/>
          <w:color w:val="auto"/>
          <w:sz w:val="24"/>
          <w:szCs w:val="24"/>
          <w:highlight w:val="none"/>
          <w:lang w:val="en-US" w:eastAsia="zh-CN"/>
        </w:rPr>
        <w:t>6</w:t>
      </w:r>
      <w:r>
        <w:rPr>
          <w:rFonts w:hint="eastAsia" w:asciiTheme="majorEastAsia" w:hAnsiTheme="majorEastAsia" w:eastAsiaTheme="majorEastAsia" w:cstheme="majorEastAsia"/>
          <w:strike w:val="0"/>
          <w:dstrike w:val="0"/>
          <w:color w:val="auto"/>
          <w:sz w:val="24"/>
          <w:szCs w:val="24"/>
          <w:highlight w:val="none"/>
        </w:rPr>
        <w:t>）在近三年内投标人或其法定代表人（单位负责人）有行贿犯罪行为的；</w:t>
      </w:r>
    </w:p>
    <w:p w14:paraId="03DFD4D3">
      <w:pPr>
        <w:pStyle w:val="4"/>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heme="majorEastAsia" w:hAnsiTheme="majorEastAsia" w:eastAsiaTheme="majorEastAsia" w:cstheme="majorEastAsia"/>
          <w:b w:val="0"/>
          <w:bCs w:val="0"/>
          <w:strike w:val="0"/>
          <w:dstrike w:val="0"/>
          <w:color w:val="auto"/>
          <w:sz w:val="24"/>
          <w:szCs w:val="24"/>
          <w:highlight w:val="none"/>
          <w:lang w:val="en-US" w:eastAsia="zh-CN" w:bidi="ar-SA"/>
        </w:rPr>
      </w:pPr>
      <w:r>
        <w:rPr>
          <w:rFonts w:hint="eastAsia" w:asciiTheme="majorEastAsia" w:hAnsiTheme="majorEastAsia" w:eastAsiaTheme="majorEastAsia" w:cstheme="majorEastAsia"/>
          <w:b w:val="0"/>
          <w:bCs w:val="0"/>
          <w:strike w:val="0"/>
          <w:dstrike w:val="0"/>
          <w:color w:val="auto"/>
          <w:sz w:val="24"/>
          <w:szCs w:val="24"/>
          <w:highlight w:val="none"/>
          <w:lang w:val="en-US" w:eastAsia="zh-CN" w:bidi="ar-SA"/>
        </w:rPr>
        <w:t>2.7其他要求：</w:t>
      </w:r>
      <w:r>
        <w:rPr>
          <w:rFonts w:hint="eastAsia" w:asciiTheme="majorEastAsia" w:hAnsiTheme="majorEastAsia" w:eastAsiaTheme="majorEastAsia" w:cstheme="majorEastAsia"/>
          <w:b w:val="0"/>
          <w:bCs w:val="0"/>
          <w:strike w:val="0"/>
          <w:dstrike w:val="0"/>
          <w:color w:val="auto"/>
          <w:sz w:val="24"/>
          <w:szCs w:val="24"/>
          <w:highlight w:val="none"/>
          <w:u w:val="single"/>
          <w:lang w:val="en-US" w:eastAsia="zh-CN" w:bidi="ar-SA"/>
        </w:rPr>
        <w:t>/</w:t>
      </w:r>
      <w:r>
        <w:rPr>
          <w:rFonts w:hint="eastAsia" w:asciiTheme="majorEastAsia" w:hAnsiTheme="majorEastAsia" w:eastAsiaTheme="majorEastAsia" w:cstheme="majorEastAsia"/>
          <w:b w:val="0"/>
          <w:bCs w:val="0"/>
          <w:strike w:val="0"/>
          <w:dstrike w:val="0"/>
          <w:color w:val="auto"/>
          <w:sz w:val="24"/>
          <w:szCs w:val="24"/>
          <w:highlight w:val="none"/>
          <w:lang w:val="en-US" w:eastAsia="zh-CN" w:bidi="ar-SA"/>
        </w:rPr>
        <w:t>。</w:t>
      </w:r>
    </w:p>
    <w:p w14:paraId="013516EB">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3.</w:t>
      </w:r>
      <w:r>
        <w:rPr>
          <w:rFonts w:hint="eastAsia" w:asciiTheme="majorEastAsia" w:hAnsiTheme="majorEastAsia" w:eastAsiaTheme="majorEastAsia" w:cstheme="majorEastAsia"/>
          <w:b/>
          <w:bCs/>
          <w:color w:val="auto"/>
          <w:sz w:val="24"/>
          <w:szCs w:val="24"/>
          <w:highlight w:val="none"/>
        </w:rPr>
        <w:t>磋商文件的获取</w:t>
      </w:r>
    </w:p>
    <w:p w14:paraId="52E02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3.1</w:t>
      </w:r>
      <w:r>
        <w:rPr>
          <w:rFonts w:hint="eastAsia" w:asciiTheme="majorEastAsia" w:hAnsiTheme="majorEastAsia" w:eastAsiaTheme="majorEastAsia" w:cstheme="majorEastAsia"/>
          <w:color w:val="auto"/>
          <w:sz w:val="24"/>
          <w:szCs w:val="24"/>
          <w:highlight w:val="none"/>
        </w:rPr>
        <w:t>获取时间：2025-11-22 到 投标截止时间</w:t>
      </w:r>
    </w:p>
    <w:p w14:paraId="582A8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3.2</w:t>
      </w:r>
      <w:r>
        <w:rPr>
          <w:rFonts w:hint="eastAsia" w:asciiTheme="majorEastAsia" w:hAnsiTheme="majorEastAsia" w:eastAsiaTheme="majorEastAsia" w:cstheme="majorEastAsia"/>
          <w:color w:val="auto"/>
          <w:sz w:val="24"/>
          <w:szCs w:val="24"/>
          <w:highlight w:val="none"/>
        </w:rPr>
        <w:t>获取方式：</w:t>
      </w:r>
    </w:p>
    <w:p w14:paraId="54004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（1）本磋商项目实行全流程电子化交易。</w:t>
      </w:r>
    </w:p>
    <w:p w14:paraId="41108D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（2）潜在投标人须登录安徽公共资源交易集团电子交易</w:t>
      </w:r>
      <w:r>
        <w:rPr>
          <w:rFonts w:hint="eastAsia" w:asciiTheme="majorEastAsia" w:hAnsiTheme="majorEastAsia" w:eastAsiaTheme="majorEastAsia" w:cstheme="majorEastAsia"/>
          <w:color w:val="auto"/>
          <w:sz w:val="24"/>
          <w:szCs w:val="24"/>
          <w:highlight w:val="none"/>
        </w:rPr>
        <w:t>系统（以下简称“电子</w:t>
      </w:r>
      <w:r>
        <w:rPr>
          <w:rFonts w:hint="eastAsia" w:asciiTheme="majorEastAsia" w:hAnsiTheme="majorEastAsia" w:eastAsiaTheme="majorEastAsia" w:cstheme="majorEastAsia"/>
          <w:color w:val="auto"/>
          <w:sz w:val="24"/>
          <w:szCs w:val="24"/>
          <w:highlight w:val="none"/>
          <w:lang w:val="en-US" w:eastAsia="zh-CN"/>
        </w:rPr>
        <w:t>交易</w:t>
      </w:r>
      <w:r>
        <w:rPr>
          <w:rFonts w:hint="eastAsia" w:asciiTheme="majorEastAsia" w:hAnsiTheme="majorEastAsia" w:eastAsiaTheme="majorEastAsia" w:cstheme="majorEastAsia"/>
          <w:color w:val="auto"/>
          <w:sz w:val="24"/>
          <w:szCs w:val="24"/>
          <w:highlight w:val="none"/>
        </w:rPr>
        <w:t>系统”）查阅磋商文件。</w:t>
      </w:r>
    </w:p>
    <w:p w14:paraId="4DC8E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）潜在投标人查阅</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文件后，如参与投标，则须</w:t>
      </w:r>
      <w:r>
        <w:rPr>
          <w:rFonts w:hint="eastAsia" w:asciiTheme="majorEastAsia" w:hAnsiTheme="majorEastAsia" w:eastAsiaTheme="majorEastAsia" w:cstheme="majorEastAsia"/>
          <w:color w:val="auto"/>
          <w:sz w:val="24"/>
          <w:szCs w:val="24"/>
          <w:highlight w:val="none"/>
          <w:lang w:val="en-US" w:eastAsia="zh-CN"/>
        </w:rPr>
        <w:t>在</w:t>
      </w:r>
      <w:r>
        <w:rPr>
          <w:rFonts w:hint="eastAsia" w:asciiTheme="majorEastAsia" w:hAnsiTheme="majorEastAsia" w:eastAsiaTheme="majorEastAsia" w:cstheme="majorEastAsia"/>
          <w:color w:val="auto"/>
          <w:sz w:val="24"/>
          <w:szCs w:val="24"/>
          <w:highlight w:val="none"/>
        </w:rPr>
        <w:t>规定的磋商文件获取时间内通过安徽公共资源交易集团电子交易系统完成投标信息的填写。</w:t>
      </w:r>
    </w:p>
    <w:p w14:paraId="5883B8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rPr>
        <w:t>磋商文件获取过程中有任何疑问，请在工作时间（9：00-17：30，节假日休息）拨打技术支持热线（非项目咨询）：</w:t>
      </w:r>
      <w:r>
        <w:rPr>
          <w:rFonts w:hint="eastAsia" w:ascii="Times New Roman" w:cs="楷体"/>
          <w:bCs/>
          <w:snapToGrid w:val="0"/>
          <w:color w:val="auto"/>
          <w:sz w:val="24"/>
          <w:szCs w:val="24"/>
          <w:highlight w:val="none"/>
          <w:lang w:val="en-US" w:eastAsia="zh-CN"/>
        </w:rPr>
        <w:t>0512-58188516</w:t>
      </w:r>
      <w:r>
        <w:rPr>
          <w:rFonts w:hint="eastAsia" w:asciiTheme="majorEastAsia" w:hAnsiTheme="majorEastAsia" w:eastAsiaTheme="majorEastAsia" w:cstheme="majorEastAsia"/>
          <w:color w:val="auto"/>
          <w:sz w:val="24"/>
          <w:szCs w:val="24"/>
          <w:highlight w:val="none"/>
        </w:rPr>
        <w:t>。项目咨询请拨打电话：0551-6622</w:t>
      </w:r>
      <w:r>
        <w:rPr>
          <w:rFonts w:hint="eastAsia" w:asciiTheme="majorEastAsia" w:hAnsiTheme="majorEastAsia" w:eastAsiaTheme="majorEastAsia" w:cstheme="majorEastAsia"/>
          <w:color w:val="auto"/>
          <w:sz w:val="24"/>
          <w:szCs w:val="24"/>
          <w:highlight w:val="none"/>
          <w:lang w:val="en-US" w:eastAsia="zh-CN"/>
        </w:rPr>
        <w:t>3112</w:t>
      </w:r>
      <w:r>
        <w:rPr>
          <w:rFonts w:hint="eastAsia" w:asciiTheme="majorEastAsia" w:hAnsiTheme="majorEastAsia" w:eastAsiaTheme="majorEastAsia" w:cstheme="majorEastAsia"/>
          <w:color w:val="auto"/>
          <w:sz w:val="24"/>
          <w:szCs w:val="24"/>
          <w:highlight w:val="none"/>
        </w:rPr>
        <w:t>、6622</w:t>
      </w:r>
      <w:r>
        <w:rPr>
          <w:rFonts w:hint="eastAsia" w:asciiTheme="majorEastAsia" w:hAnsiTheme="majorEastAsia" w:eastAsiaTheme="majorEastAsia" w:cstheme="majorEastAsia"/>
          <w:color w:val="auto"/>
          <w:sz w:val="24"/>
          <w:szCs w:val="24"/>
          <w:highlight w:val="none"/>
          <w:lang w:val="en-US" w:eastAsia="zh-CN"/>
        </w:rPr>
        <w:t>3831</w:t>
      </w:r>
      <w:r>
        <w:rPr>
          <w:rFonts w:hint="eastAsia" w:asciiTheme="majorEastAsia" w:hAnsiTheme="majorEastAsia" w:eastAsiaTheme="majorEastAsia" w:cstheme="majorEastAsia"/>
          <w:color w:val="auto"/>
          <w:sz w:val="24"/>
          <w:szCs w:val="24"/>
          <w:highlight w:val="none"/>
        </w:rPr>
        <w:t>。</w:t>
      </w:r>
    </w:p>
    <w:p w14:paraId="339892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3.3电子交易服务费用：</w:t>
      </w:r>
      <w:r>
        <w:rPr>
          <w:rFonts w:hint="eastAsia" w:asciiTheme="majorEastAsia" w:hAnsiTheme="majorEastAsia" w:eastAsiaTheme="majorEastAsia" w:cstheme="majorEastAsia"/>
          <w:color w:val="auto"/>
          <w:sz w:val="24"/>
          <w:szCs w:val="24"/>
          <w:highlight w:val="none"/>
          <w:u w:val="single"/>
          <w:lang w:val="en-US" w:eastAsia="zh-CN"/>
        </w:rPr>
        <w:t xml:space="preserve"> 200 </w:t>
      </w:r>
      <w:r>
        <w:rPr>
          <w:rFonts w:hint="eastAsia" w:asciiTheme="majorEastAsia" w:hAnsiTheme="majorEastAsia" w:eastAsiaTheme="majorEastAsia" w:cstheme="majorEastAsia"/>
          <w:color w:val="auto"/>
          <w:sz w:val="24"/>
          <w:szCs w:val="24"/>
          <w:highlight w:val="none"/>
        </w:rPr>
        <w:t>元整</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网上支付。</w:t>
      </w:r>
    </w:p>
    <w:p w14:paraId="27A2C909">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4.</w:t>
      </w:r>
      <w:r>
        <w:rPr>
          <w:rFonts w:hint="eastAsia" w:asciiTheme="majorEastAsia" w:hAnsiTheme="majorEastAsia" w:eastAsiaTheme="majorEastAsia" w:cstheme="majorEastAsia"/>
          <w:b/>
          <w:bCs/>
          <w:color w:val="auto"/>
          <w:sz w:val="24"/>
          <w:szCs w:val="24"/>
          <w:highlight w:val="none"/>
          <w:lang w:eastAsia="zh-CN"/>
        </w:rPr>
        <w:t>投标文件</w:t>
      </w:r>
      <w:r>
        <w:rPr>
          <w:rFonts w:hint="eastAsia" w:asciiTheme="majorEastAsia" w:hAnsiTheme="majorEastAsia" w:eastAsiaTheme="majorEastAsia" w:cstheme="majorEastAsia"/>
          <w:b/>
          <w:bCs/>
          <w:color w:val="auto"/>
          <w:sz w:val="24"/>
          <w:szCs w:val="24"/>
          <w:highlight w:val="none"/>
        </w:rPr>
        <w:t>提交截止时间</w:t>
      </w:r>
    </w:p>
    <w:p w14:paraId="306EADE2">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同磋商时间</w:t>
      </w:r>
    </w:p>
    <w:p w14:paraId="72B4FF27">
      <w:pPr>
        <w:spacing w:line="360" w:lineRule="auto"/>
        <w:ind w:firstLine="435"/>
        <w:rPr>
          <w:rFonts w:hint="default" w:asciiTheme="majorEastAsia" w:hAnsiTheme="majorEastAsia" w:eastAsiaTheme="majorEastAsia" w:cstheme="majorEastAsia"/>
          <w:b/>
          <w:bCs/>
          <w:color w:val="auto"/>
          <w:sz w:val="24"/>
          <w:szCs w:val="24"/>
          <w:highlight w:val="none"/>
          <w:lang w:val="en-US"/>
        </w:rPr>
      </w:pPr>
      <w:r>
        <w:rPr>
          <w:rFonts w:hint="eastAsia" w:asciiTheme="majorEastAsia" w:hAnsiTheme="majorEastAsia" w:eastAsiaTheme="majorEastAsia" w:cstheme="majorEastAsia"/>
          <w:b/>
          <w:bCs/>
          <w:color w:val="auto"/>
          <w:sz w:val="24"/>
          <w:szCs w:val="24"/>
          <w:highlight w:val="none"/>
          <w:lang w:val="en-US" w:eastAsia="zh-CN"/>
        </w:rPr>
        <w:t>5.磋商时间及地点</w:t>
      </w:r>
    </w:p>
    <w:p w14:paraId="457F3D4A">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5.1</w:t>
      </w:r>
      <w:r>
        <w:rPr>
          <w:rFonts w:hint="eastAsia" w:asciiTheme="majorEastAsia" w:hAnsiTheme="majorEastAsia" w:eastAsiaTheme="majorEastAsia" w:cstheme="majorEastAsia"/>
          <w:color w:val="auto"/>
          <w:sz w:val="24"/>
          <w:szCs w:val="24"/>
          <w:highlight w:val="none"/>
        </w:rPr>
        <w:t>磋商时间：2025-12-02 10:00</w:t>
      </w:r>
    </w:p>
    <w:p w14:paraId="618BBB89">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5.2</w:t>
      </w:r>
      <w:r>
        <w:rPr>
          <w:rFonts w:hint="eastAsia" w:asciiTheme="majorEastAsia" w:hAnsiTheme="majorEastAsia" w:eastAsiaTheme="majorEastAsia" w:cstheme="majorEastAsia"/>
          <w:color w:val="auto"/>
          <w:sz w:val="24"/>
          <w:szCs w:val="24"/>
          <w:highlight w:val="none"/>
        </w:rPr>
        <w:t>磋商地点：合肥市滨湖新区徽州大道4872号金融港中心A9幢安徽公共资源交易集团二楼评标室（七）</w:t>
      </w:r>
    </w:p>
    <w:p w14:paraId="44B79FF7">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6.发布公告的媒介</w:t>
      </w:r>
    </w:p>
    <w:p w14:paraId="533E2F1A">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本次</w:t>
      </w:r>
      <w:r>
        <w:rPr>
          <w:rFonts w:hint="eastAsia" w:asciiTheme="majorEastAsia" w:hAnsiTheme="majorEastAsia" w:eastAsiaTheme="majorEastAsia" w:cstheme="majorEastAsia"/>
          <w:color w:val="auto"/>
          <w:sz w:val="24"/>
          <w:szCs w:val="24"/>
          <w:highlight w:val="none"/>
          <w:lang w:val="en-US" w:eastAsia="zh-CN"/>
        </w:rPr>
        <w:t>磋商</w:t>
      </w:r>
      <w:r>
        <w:rPr>
          <w:rFonts w:hint="eastAsia" w:asciiTheme="majorEastAsia" w:hAnsiTheme="majorEastAsia" w:eastAsiaTheme="majorEastAsia" w:cstheme="majorEastAsia"/>
          <w:color w:val="auto"/>
          <w:sz w:val="24"/>
          <w:szCs w:val="24"/>
          <w:highlight w:val="none"/>
        </w:rPr>
        <w:t>公告同时在安徽公共资源交易集团网站上发布。</w:t>
      </w:r>
    </w:p>
    <w:p w14:paraId="46DF7CEA">
      <w:pPr>
        <w:spacing w:line="360" w:lineRule="auto"/>
        <w:ind w:firstLine="43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7.</w:t>
      </w:r>
      <w:r>
        <w:rPr>
          <w:rFonts w:hint="eastAsia" w:asciiTheme="majorEastAsia" w:hAnsiTheme="majorEastAsia" w:eastAsiaTheme="majorEastAsia" w:cstheme="majorEastAsia"/>
          <w:b/>
          <w:bCs/>
          <w:color w:val="auto"/>
          <w:sz w:val="24"/>
          <w:szCs w:val="24"/>
          <w:highlight w:val="none"/>
        </w:rPr>
        <w:t>联系方式</w:t>
      </w:r>
    </w:p>
    <w:p w14:paraId="77D417D6">
      <w:pPr>
        <w:spacing w:line="360" w:lineRule="auto"/>
        <w:ind w:firstLine="435"/>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7.1</w:t>
      </w:r>
      <w:r>
        <w:rPr>
          <w:rFonts w:hint="eastAsia" w:asciiTheme="majorEastAsia" w:hAnsiTheme="majorEastAsia" w:eastAsiaTheme="majorEastAsia" w:cstheme="majorEastAsia"/>
          <w:color w:val="auto"/>
          <w:sz w:val="24"/>
          <w:szCs w:val="24"/>
          <w:highlight w:val="none"/>
          <w:lang w:eastAsia="zh-CN"/>
        </w:rPr>
        <w:t>招标人</w:t>
      </w:r>
    </w:p>
    <w:p w14:paraId="60CE7379">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招标人</w:t>
      </w:r>
      <w:r>
        <w:rPr>
          <w:rFonts w:hint="eastAsia" w:asciiTheme="majorEastAsia" w:hAnsiTheme="majorEastAsia" w:eastAsiaTheme="majorEastAsia" w:cstheme="majorEastAsia"/>
          <w:color w:val="auto"/>
          <w:sz w:val="24"/>
          <w:szCs w:val="24"/>
          <w:highlight w:val="none"/>
        </w:rPr>
        <w:t>：安徽百大检测技术有限公司</w:t>
      </w:r>
    </w:p>
    <w:p w14:paraId="66F2BD61">
      <w:pPr>
        <w:spacing w:line="360" w:lineRule="auto"/>
        <w:ind w:firstLine="435"/>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地  址：合肥市瑶海区钟油坊路与和平路交口</w:t>
      </w:r>
    </w:p>
    <w:p w14:paraId="608F989C">
      <w:pPr>
        <w:spacing w:line="360" w:lineRule="auto"/>
        <w:ind w:firstLine="43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联系人：周</w:t>
      </w:r>
      <w:r>
        <w:rPr>
          <w:rFonts w:hint="eastAsia" w:asciiTheme="majorEastAsia" w:hAnsiTheme="majorEastAsia" w:eastAsiaTheme="majorEastAsia" w:cstheme="majorEastAsia"/>
          <w:color w:val="auto"/>
          <w:sz w:val="24"/>
          <w:szCs w:val="24"/>
          <w:highlight w:val="none"/>
          <w:lang w:val="en-US" w:eastAsia="zh-CN"/>
        </w:rPr>
        <w:t>工</w:t>
      </w:r>
    </w:p>
    <w:p w14:paraId="4BC28872">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  话：0551-6297029</w:t>
      </w:r>
    </w:p>
    <w:p w14:paraId="63E542F6">
      <w:pPr>
        <w:spacing w:line="360" w:lineRule="auto"/>
        <w:ind w:firstLine="435"/>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7.2</w:t>
      </w:r>
      <w:r>
        <w:rPr>
          <w:rFonts w:hint="eastAsia" w:asciiTheme="majorEastAsia" w:hAnsiTheme="majorEastAsia" w:eastAsiaTheme="majorEastAsia" w:cstheme="majorEastAsia"/>
          <w:color w:val="auto"/>
          <w:sz w:val="24"/>
          <w:szCs w:val="24"/>
          <w:highlight w:val="none"/>
          <w:lang w:eastAsia="zh-CN"/>
        </w:rPr>
        <w:t>代理机构</w:t>
      </w:r>
    </w:p>
    <w:p w14:paraId="659DF27B">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代理机构</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u w:val="single"/>
        </w:rPr>
        <w:t>安徽公共资源交易集团项目管理有限公司</w:t>
      </w:r>
    </w:p>
    <w:p w14:paraId="47A695A7">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地  址：</w:t>
      </w:r>
      <w:r>
        <w:rPr>
          <w:rFonts w:hint="eastAsia" w:asciiTheme="majorEastAsia" w:hAnsiTheme="majorEastAsia" w:eastAsiaTheme="majorEastAsia" w:cstheme="majorEastAsia"/>
          <w:color w:val="auto"/>
          <w:sz w:val="24"/>
          <w:szCs w:val="24"/>
          <w:highlight w:val="none"/>
          <w:u w:val="single"/>
        </w:rPr>
        <w:t>合肥市滨湖新区南京路2588号（徽州大道与南京路交口）六楼</w:t>
      </w:r>
    </w:p>
    <w:p w14:paraId="77977CEF">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李工</w:t>
      </w:r>
    </w:p>
    <w:p w14:paraId="319971AC">
      <w:pPr>
        <w:spacing w:line="360" w:lineRule="auto"/>
        <w:ind w:firstLine="435"/>
        <w:rPr>
          <w:rFonts w:hint="default" w:asciiTheme="majorEastAsia" w:hAnsiTheme="majorEastAsia" w:eastAsiaTheme="majorEastAsia" w:cstheme="majorEastAsia"/>
          <w:color w:val="auto"/>
          <w:sz w:val="24"/>
          <w:szCs w:val="24"/>
          <w:highlight w:val="none"/>
          <w:u w:val="single"/>
          <w:lang w:val="en-US" w:eastAsia="zh-CN"/>
        </w:rPr>
      </w:pPr>
      <w:r>
        <w:rPr>
          <w:rFonts w:hint="eastAsia" w:asciiTheme="majorEastAsia" w:hAnsiTheme="majorEastAsia" w:eastAsiaTheme="majorEastAsia" w:cstheme="majorEastAsia"/>
          <w:color w:val="auto"/>
          <w:sz w:val="24"/>
          <w:szCs w:val="24"/>
          <w:highlight w:val="none"/>
        </w:rPr>
        <w:t>电  话：</w:t>
      </w:r>
      <w:r>
        <w:rPr>
          <w:rFonts w:hint="eastAsia" w:asciiTheme="majorEastAsia" w:hAnsiTheme="majorEastAsia" w:eastAsiaTheme="majorEastAsia" w:cstheme="majorEastAsia"/>
          <w:color w:val="auto"/>
          <w:sz w:val="24"/>
          <w:szCs w:val="24"/>
          <w:highlight w:val="none"/>
          <w:u w:val="single"/>
        </w:rPr>
        <w:t>0551-6622</w:t>
      </w:r>
      <w:r>
        <w:rPr>
          <w:rFonts w:hint="eastAsia" w:asciiTheme="majorEastAsia" w:hAnsiTheme="majorEastAsia" w:eastAsiaTheme="majorEastAsia" w:cstheme="majorEastAsia"/>
          <w:color w:val="auto"/>
          <w:sz w:val="24"/>
          <w:szCs w:val="24"/>
          <w:highlight w:val="none"/>
          <w:u w:val="single"/>
          <w:lang w:val="en-US" w:eastAsia="zh-CN"/>
        </w:rPr>
        <w:t>3112</w:t>
      </w:r>
      <w:r>
        <w:rPr>
          <w:rFonts w:hint="eastAsia" w:asciiTheme="majorEastAsia" w:hAnsiTheme="majorEastAsia" w:eastAsiaTheme="majorEastAsia" w:cstheme="majorEastAsia"/>
          <w:color w:val="auto"/>
          <w:sz w:val="24"/>
          <w:szCs w:val="24"/>
          <w:highlight w:val="none"/>
          <w:u w:val="single"/>
        </w:rPr>
        <w:t>，6622</w:t>
      </w:r>
      <w:r>
        <w:rPr>
          <w:rFonts w:hint="eastAsia" w:asciiTheme="majorEastAsia" w:hAnsiTheme="majorEastAsia" w:eastAsiaTheme="majorEastAsia" w:cstheme="majorEastAsia"/>
          <w:color w:val="auto"/>
          <w:sz w:val="24"/>
          <w:szCs w:val="24"/>
          <w:highlight w:val="none"/>
          <w:u w:val="single"/>
          <w:lang w:val="en-US" w:eastAsia="zh-CN"/>
        </w:rPr>
        <w:t>3831</w:t>
      </w:r>
    </w:p>
    <w:p w14:paraId="74F55183">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7.3</w:t>
      </w:r>
      <w:r>
        <w:rPr>
          <w:rFonts w:hint="eastAsia" w:asciiTheme="majorEastAsia" w:hAnsiTheme="majorEastAsia" w:eastAsiaTheme="majorEastAsia" w:cstheme="majorEastAsia"/>
          <w:color w:val="auto"/>
          <w:sz w:val="24"/>
          <w:szCs w:val="24"/>
          <w:highlight w:val="none"/>
        </w:rPr>
        <w:t>电子交易系统</w:t>
      </w:r>
    </w:p>
    <w:p w14:paraId="7E0ACA1D">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名  称：</w:t>
      </w:r>
      <w:r>
        <w:rPr>
          <w:rFonts w:hint="eastAsia" w:asciiTheme="majorEastAsia" w:hAnsiTheme="majorEastAsia" w:eastAsiaTheme="majorEastAsia" w:cstheme="majorEastAsia"/>
          <w:color w:val="auto"/>
          <w:sz w:val="24"/>
          <w:szCs w:val="24"/>
          <w:highlight w:val="none"/>
          <w:u w:val="single"/>
        </w:rPr>
        <w:t>安徽公共资源交易集团电子交易系统</w:t>
      </w:r>
    </w:p>
    <w:p w14:paraId="1A29235D">
      <w:pPr>
        <w:spacing w:line="360" w:lineRule="auto"/>
        <w:ind w:firstLine="435"/>
        <w:rPr>
          <w:rFonts w:hint="eastAsia" w:asciiTheme="majorEastAsia" w:hAnsiTheme="majorEastAsia" w:eastAsiaTheme="majorEastAsia" w:cstheme="majorEastAsia"/>
          <w:color w:val="auto"/>
          <w:sz w:val="24"/>
          <w:szCs w:val="24"/>
          <w:highlight w:val="none"/>
        </w:rPr>
      </w:pPr>
      <w:bookmarkStart w:id="2" w:name="_Hlk38114117"/>
      <w:r>
        <w:rPr>
          <w:rFonts w:hint="eastAsia" w:asciiTheme="majorEastAsia" w:hAnsiTheme="majorEastAsia" w:eastAsiaTheme="majorEastAsia" w:cstheme="majorEastAsia"/>
          <w:color w:val="auto"/>
          <w:sz w:val="24"/>
          <w:szCs w:val="24"/>
          <w:highlight w:val="none"/>
        </w:rPr>
        <w:t>电  话：</w:t>
      </w:r>
      <w:r>
        <w:rPr>
          <w:rFonts w:hint="eastAsia" w:ascii="宋体" w:hAnsi="宋体" w:eastAsia="宋体" w:cs="宋体"/>
          <w:color w:val="auto"/>
          <w:sz w:val="24"/>
          <w:szCs w:val="24"/>
          <w:highlight w:val="none"/>
          <w:u w:val="single"/>
          <w:lang w:val="en-US" w:eastAsia="zh-CN"/>
        </w:rPr>
        <w:t>0512-58188516</w:t>
      </w:r>
    </w:p>
    <w:bookmarkEnd w:id="2"/>
    <w:p w14:paraId="28309FAC">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7.4</w:t>
      </w:r>
      <w:r>
        <w:rPr>
          <w:rFonts w:hint="eastAsia" w:asciiTheme="majorEastAsia" w:hAnsiTheme="majorEastAsia" w:eastAsiaTheme="majorEastAsia" w:cstheme="majorEastAsia"/>
          <w:color w:val="auto"/>
          <w:sz w:val="24"/>
          <w:szCs w:val="24"/>
          <w:highlight w:val="none"/>
        </w:rPr>
        <w:t>监督管理部门</w:t>
      </w:r>
    </w:p>
    <w:p w14:paraId="5451E692">
      <w:pPr>
        <w:spacing w:line="360" w:lineRule="auto"/>
        <w:ind w:firstLine="435"/>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监督管理部门：安徽百大检测技术有限公司</w:t>
      </w:r>
    </w:p>
    <w:p w14:paraId="677E1B9C">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地  址：合肥市瑶海区钟油坊路与和平路交口</w:t>
      </w:r>
    </w:p>
    <w:p w14:paraId="653D40D0">
      <w:pPr>
        <w:spacing w:line="360" w:lineRule="auto"/>
        <w:ind w:firstLine="435"/>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电  话：0551-62970029</w:t>
      </w:r>
    </w:p>
    <w:p w14:paraId="62E0D5F7">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8.</w:t>
      </w:r>
      <w:r>
        <w:rPr>
          <w:rFonts w:hint="eastAsia" w:asciiTheme="majorEastAsia" w:hAnsiTheme="majorEastAsia" w:eastAsiaTheme="majorEastAsia" w:cstheme="majorEastAsia"/>
          <w:b/>
          <w:color w:val="auto"/>
          <w:sz w:val="24"/>
          <w:szCs w:val="24"/>
          <w:highlight w:val="none"/>
        </w:rPr>
        <w:t>其他事项说明</w:t>
      </w:r>
    </w:p>
    <w:p w14:paraId="7F3C4B4D">
      <w:pPr>
        <w:spacing w:line="360" w:lineRule="auto"/>
        <w:ind w:firstLine="435"/>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8.1</w:t>
      </w:r>
      <w:r>
        <w:rPr>
          <w:rFonts w:hint="eastAsia" w:asciiTheme="majorEastAsia" w:hAnsiTheme="majorEastAsia" w:eastAsiaTheme="majorEastAsia" w:cstheme="majorEastAsia"/>
          <w:bCs/>
          <w:color w:val="auto"/>
          <w:sz w:val="24"/>
          <w:szCs w:val="24"/>
          <w:highlight w:val="none"/>
          <w:lang w:eastAsia="zh-CN"/>
        </w:rPr>
        <w:t>投标人</w:t>
      </w:r>
      <w:r>
        <w:rPr>
          <w:rFonts w:hint="eastAsia" w:asciiTheme="majorEastAsia" w:hAnsiTheme="majorEastAsia" w:eastAsiaTheme="majorEastAsia" w:cstheme="majorEastAsia"/>
          <w:bCs/>
          <w:color w:val="auto"/>
          <w:sz w:val="24"/>
          <w:szCs w:val="24"/>
          <w:highlight w:val="none"/>
        </w:rPr>
        <w:t>应合理安排</w:t>
      </w:r>
      <w:r>
        <w:rPr>
          <w:rFonts w:hint="eastAsia" w:asciiTheme="majorEastAsia" w:hAnsiTheme="majorEastAsia" w:eastAsiaTheme="majorEastAsia" w:cstheme="majorEastAsia"/>
          <w:color w:val="auto"/>
          <w:sz w:val="24"/>
          <w:szCs w:val="24"/>
          <w:highlight w:val="none"/>
        </w:rPr>
        <w:t>磋商</w:t>
      </w:r>
      <w:r>
        <w:rPr>
          <w:rFonts w:hint="eastAsia" w:asciiTheme="majorEastAsia" w:hAnsiTheme="majorEastAsia" w:eastAsiaTheme="majorEastAsia" w:cstheme="majorEastAsia"/>
          <w:bCs/>
          <w:color w:val="auto"/>
          <w:sz w:val="24"/>
          <w:szCs w:val="24"/>
          <w:highlight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auto"/>
          <w:sz w:val="24"/>
          <w:szCs w:val="24"/>
          <w:highlight w:val="none"/>
        </w:rPr>
        <w:t>磋商</w:t>
      </w:r>
      <w:r>
        <w:rPr>
          <w:rFonts w:hint="eastAsia" w:asciiTheme="majorEastAsia" w:hAnsiTheme="majorEastAsia" w:eastAsiaTheme="majorEastAsia" w:cstheme="majorEastAsia"/>
          <w:bCs/>
          <w:color w:val="auto"/>
          <w:sz w:val="24"/>
          <w:szCs w:val="24"/>
          <w:highlight w:val="none"/>
        </w:rPr>
        <w:t>文件获取，责任自负。</w:t>
      </w:r>
    </w:p>
    <w:p w14:paraId="159C2BBA">
      <w:pPr>
        <w:spacing w:line="360" w:lineRule="auto"/>
        <w:ind w:firstLine="435"/>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8.2投标人如需开具电子交易服务费用发票，在项目磋商次日后自行登录安徽公共资源交易集团电子交易系统平台打印。</w:t>
      </w:r>
    </w:p>
    <w:p w14:paraId="72BA4A7A">
      <w:pPr>
        <w:numPr>
          <w:numId w:val="0"/>
        </w:numPr>
        <w:spacing w:line="360" w:lineRule="auto"/>
        <w:ind w:firstLine="482" w:firstLineChars="20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9.</w:t>
      </w:r>
      <w:r>
        <w:rPr>
          <w:rFonts w:hint="eastAsia" w:asciiTheme="majorEastAsia" w:hAnsiTheme="majorEastAsia" w:eastAsiaTheme="majorEastAsia" w:cstheme="majorEastAsia"/>
          <w:b/>
          <w:color w:val="auto"/>
          <w:sz w:val="24"/>
          <w:szCs w:val="24"/>
          <w:highlight w:val="none"/>
        </w:rPr>
        <w:t>投标保证金账户（如采用银行转账或银行电汇形式递交的，请选择以下任何一家银行递交即可）</w:t>
      </w:r>
    </w:p>
    <w:p w14:paraId="049C66E1">
      <w:pPr>
        <w:numPr>
          <w:numId w:val="0"/>
        </w:numPr>
        <w:spacing w:line="360" w:lineRule="auto"/>
        <w:ind w:firstLine="960" w:firstLineChars="400"/>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标段简称:1标段</w:t>
      </w:r>
    </w:p>
    <w:p w14:paraId="13F0D9A1">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徽商银行合肥蜀山支行</w:t>
      </w:r>
    </w:p>
    <w:p w14:paraId="77FD246E">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38ACDD98">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账号：1023701021000135582288328</w:t>
      </w:r>
    </w:p>
    <w:p w14:paraId="3906F142">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开户银行：徽商银行合肥蜀山支行</w:t>
      </w:r>
    </w:p>
    <w:p w14:paraId="6BF50329">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建行合肥庐阳支行营业部</w:t>
      </w:r>
    </w:p>
    <w:p w14:paraId="0E041728">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6EC4F23B">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账号：6232811630000843439</w:t>
      </w:r>
    </w:p>
    <w:p w14:paraId="0B3780AE">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开户银行：建行合肥庐阳支行营业部</w:t>
      </w:r>
    </w:p>
    <w:p w14:paraId="1F688F7A">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光大银行合肥阜南路支行</w:t>
      </w:r>
    </w:p>
    <w:p w14:paraId="188437A1">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户名：安徽公共资源交易集团项目管理有限公司</w:t>
      </w:r>
    </w:p>
    <w:p w14:paraId="617F5355">
      <w:pPr>
        <w:spacing w:line="360" w:lineRule="auto"/>
        <w:ind w:firstLine="435"/>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账号：76700188016617446</w:t>
      </w:r>
    </w:p>
    <w:p w14:paraId="466C768C">
      <w:pPr>
        <w:spacing w:line="360" w:lineRule="auto"/>
        <w:ind w:firstLine="43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val="0"/>
          <w:bCs/>
          <w:color w:val="auto"/>
          <w:sz w:val="24"/>
          <w:szCs w:val="24"/>
          <w:highlight w:val="none"/>
        </w:rPr>
        <w:t xml:space="preserve">    开户银行：光大银行合肥阜南路支行</w:t>
      </w:r>
    </w:p>
    <w:p w14:paraId="0FF7F017">
      <w:pPr>
        <w:spacing w:line="360" w:lineRule="auto"/>
        <w:ind w:firstLine="43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br w:type="page"/>
      </w:r>
    </w:p>
    <w:p w14:paraId="1EFAA5AE">
      <w:pPr>
        <w:spacing w:line="360" w:lineRule="auto"/>
        <w:jc w:val="center"/>
        <w:outlineLvl w:val="1"/>
        <w:rPr>
          <w:rFonts w:asciiTheme="minorEastAsia" w:hAnsiTheme="minorEastAsia" w:eastAsiaTheme="minorEastAsia"/>
          <w:b/>
          <w:color w:val="auto"/>
          <w:sz w:val="28"/>
          <w:highlight w:val="none"/>
        </w:rPr>
      </w:pPr>
      <w:bookmarkStart w:id="3" w:name="_Toc2979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eastAsia="zh-CN"/>
        </w:rPr>
        <w:t>投标人</w:t>
      </w:r>
      <w:r>
        <w:rPr>
          <w:rFonts w:asciiTheme="minorEastAsia" w:hAnsiTheme="minorEastAsia" w:eastAsiaTheme="minorEastAsia"/>
          <w:b/>
          <w:color w:val="auto"/>
          <w:sz w:val="28"/>
          <w:highlight w:val="none"/>
        </w:rPr>
        <w:t>须知</w:t>
      </w:r>
      <w:bookmarkEnd w:id="3"/>
    </w:p>
    <w:p w14:paraId="18AEEF80">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432"/>
        <w:gridCol w:w="6337"/>
      </w:tblGrid>
      <w:tr w14:paraId="4DEC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1B61208C">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818" w:type="pct"/>
            <w:vAlign w:val="center"/>
          </w:tcPr>
          <w:p w14:paraId="23D68E6F">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621" w:type="pct"/>
            <w:vAlign w:val="center"/>
          </w:tcPr>
          <w:p w14:paraId="7AF03125">
            <w:pPr>
              <w:pStyle w:val="76"/>
              <w:widowControl w:val="0"/>
              <w:spacing w:before="0" w:beforeAutospacing="0" w:after="0" w:afterAutospacing="0" w:line="360" w:lineRule="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73EF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0682517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1</w:t>
            </w:r>
          </w:p>
        </w:tc>
        <w:tc>
          <w:tcPr>
            <w:tcW w:w="818" w:type="pct"/>
            <w:vAlign w:val="center"/>
          </w:tcPr>
          <w:p w14:paraId="754C88B1">
            <w:pPr>
              <w:pStyle w:val="76"/>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strike w:val="0"/>
                <w:dstrike w:val="0"/>
                <w:color w:val="auto"/>
                <w:sz w:val="24"/>
                <w:szCs w:val="24"/>
                <w:highlight w:val="none"/>
                <w:lang w:val="en-US" w:eastAsia="zh-CN"/>
              </w:rPr>
              <w:t>供货（安装）地点</w:t>
            </w:r>
          </w:p>
        </w:tc>
        <w:tc>
          <w:tcPr>
            <w:tcW w:w="3621" w:type="pct"/>
            <w:vAlign w:val="center"/>
          </w:tcPr>
          <w:p w14:paraId="4EC190D2">
            <w:pPr>
              <w:pStyle w:val="76"/>
              <w:widowControl w:val="0"/>
              <w:spacing w:before="0" w:beforeAutospacing="0" w:after="0" w:afterAutospacing="0" w:line="360" w:lineRule="auto"/>
              <w:jc w:val="both"/>
              <w:rPr>
                <w:rFonts w:hint="eastAsia" w:ascii="宋体" w:hAnsi="宋体" w:eastAsia="宋体" w:cs="宋体"/>
                <w:b w:val="0"/>
                <w:bCs/>
                <w:strike/>
                <w:dstrike w:val="0"/>
                <w:color w:val="auto"/>
                <w:sz w:val="24"/>
                <w:szCs w:val="24"/>
                <w:highlight w:val="none"/>
                <w:lang w:val="en-US" w:eastAsia="zh-CN" w:bidi="ar-SA"/>
              </w:rPr>
            </w:pPr>
            <w:r>
              <w:rPr>
                <w:rFonts w:hint="eastAsia" w:ascii="宋体" w:hAnsi="宋体" w:eastAsia="宋体" w:cs="宋体"/>
                <w:b w:val="0"/>
                <w:bCs/>
                <w:strike w:val="0"/>
                <w:dstrike w:val="0"/>
                <w:color w:val="auto"/>
                <w:sz w:val="24"/>
                <w:szCs w:val="24"/>
                <w:highlight w:val="none"/>
                <w:lang w:val="en-US" w:eastAsia="zh-CN" w:bidi="ar-SA"/>
              </w:rPr>
              <w:t>合肥市瑶海区钟油坊路与和平路交口百大周谷堆行政办公楼5楼</w:t>
            </w:r>
          </w:p>
        </w:tc>
      </w:tr>
      <w:tr w14:paraId="3956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14:paraId="7027338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auto"/>
                <w:kern w:val="2"/>
                <w:sz w:val="24"/>
                <w:szCs w:val="24"/>
                <w:highlight w:val="none"/>
                <w:lang w:val="en-US" w:eastAsia="zh-CN" w:bidi="ar-SA"/>
              </w:rPr>
            </w:pPr>
            <w:r>
              <w:rPr>
                <w:rFonts w:hint="eastAsia" w:ascii="宋体" w:hAnsi="宋体" w:eastAsia="宋体" w:cs="宋体"/>
                <w:bCs/>
                <w:strike w:val="0"/>
                <w:dstrike w:val="0"/>
                <w:color w:val="auto"/>
                <w:kern w:val="2"/>
                <w:sz w:val="24"/>
                <w:szCs w:val="24"/>
                <w:highlight w:val="none"/>
                <w:lang w:val="en-US" w:eastAsia="zh-CN" w:bidi="ar-SA"/>
              </w:rPr>
              <w:t>2</w:t>
            </w:r>
          </w:p>
        </w:tc>
        <w:tc>
          <w:tcPr>
            <w:tcW w:w="818" w:type="pct"/>
            <w:vAlign w:val="center"/>
          </w:tcPr>
          <w:p w14:paraId="3A040955">
            <w:pPr>
              <w:pStyle w:val="76"/>
              <w:widowControl w:val="0"/>
              <w:spacing w:before="0" w:beforeAutospacing="0" w:after="0" w:afterAutospacing="0" w:line="360" w:lineRule="auto"/>
              <w:jc w:val="both"/>
              <w:rPr>
                <w:rFonts w:hint="default" w:ascii="宋体" w:hAnsi="宋体" w:eastAsia="宋体" w:cs="宋体"/>
                <w:b w:val="0"/>
                <w:bCs/>
                <w:strike w:val="0"/>
                <w:dstrike w:val="0"/>
                <w:color w:val="auto"/>
                <w:sz w:val="24"/>
                <w:szCs w:val="24"/>
                <w:highlight w:val="none"/>
                <w:lang w:val="en-US" w:eastAsia="zh-CN" w:bidi="ar-SA"/>
              </w:rPr>
            </w:pPr>
            <w:r>
              <w:rPr>
                <w:rFonts w:hint="eastAsia" w:cs="宋体"/>
                <w:b w:val="0"/>
                <w:strike w:val="0"/>
                <w:dstrike w:val="0"/>
                <w:color w:val="auto"/>
                <w:sz w:val="24"/>
                <w:szCs w:val="24"/>
                <w:highlight w:val="none"/>
                <w:lang w:val="en-US" w:eastAsia="zh-CN"/>
              </w:rPr>
              <w:t>供货（安装）周期</w:t>
            </w:r>
          </w:p>
        </w:tc>
        <w:tc>
          <w:tcPr>
            <w:tcW w:w="3621" w:type="pct"/>
            <w:vAlign w:val="center"/>
          </w:tcPr>
          <w:p w14:paraId="7B477FB8">
            <w:pPr>
              <w:pStyle w:val="76"/>
              <w:widowControl w:val="0"/>
              <w:spacing w:before="0" w:beforeAutospacing="0" w:after="0" w:afterAutospacing="0" w:line="360" w:lineRule="auto"/>
              <w:jc w:val="both"/>
              <w:rPr>
                <w:rFonts w:hint="eastAsia" w:ascii="宋体" w:hAnsi="宋体" w:eastAsia="宋体" w:cs="宋体"/>
                <w:b/>
                <w:strike/>
                <w:dstrike w:val="0"/>
                <w:color w:val="auto"/>
                <w:sz w:val="24"/>
                <w:szCs w:val="24"/>
                <w:highlight w:val="none"/>
                <w:lang w:val="en-US" w:eastAsia="zh-CN" w:bidi="ar-SA"/>
              </w:rPr>
            </w:pPr>
            <w:r>
              <w:rPr>
                <w:rFonts w:hint="eastAsia" w:ascii="宋体" w:hAnsi="宋体" w:eastAsia="宋体" w:cs="宋体"/>
                <w:b w:val="0"/>
                <w:bCs/>
                <w:strike w:val="0"/>
                <w:dstrike w:val="0"/>
                <w:color w:val="auto"/>
                <w:sz w:val="24"/>
                <w:szCs w:val="24"/>
                <w:highlight w:val="none"/>
                <w:lang w:val="en-US" w:eastAsia="zh-CN" w:bidi="ar-SA"/>
              </w:rPr>
              <w:t>合同签订后，7天内完成供货。</w:t>
            </w:r>
          </w:p>
        </w:tc>
      </w:tr>
      <w:tr w14:paraId="4871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14:paraId="6E5BFFD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rPr>
              <w:t>3</w:t>
            </w:r>
          </w:p>
        </w:tc>
        <w:tc>
          <w:tcPr>
            <w:tcW w:w="818" w:type="pct"/>
            <w:vAlign w:val="center"/>
          </w:tcPr>
          <w:p w14:paraId="2DEB0663">
            <w:pPr>
              <w:pStyle w:val="76"/>
              <w:widowControl w:val="0"/>
              <w:spacing w:before="0" w:beforeAutospacing="0" w:after="0" w:afterAutospacing="0" w:line="360" w:lineRule="auto"/>
              <w:jc w:val="left"/>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rPr>
              <w:t>现场踏勘</w:t>
            </w:r>
          </w:p>
        </w:tc>
        <w:tc>
          <w:tcPr>
            <w:tcW w:w="3621" w:type="pct"/>
            <w:vAlign w:val="center"/>
          </w:tcPr>
          <w:p w14:paraId="2AD6C084">
            <w:pPr>
              <w:spacing w:line="360" w:lineRule="auto"/>
              <w:rPr>
                <w:rFonts w:hint="eastAsia" w:ascii="宋体" w:hAnsi="宋体" w:eastAsia="宋体" w:cs="宋体"/>
                <w:bCs/>
                <w:color w:val="auto"/>
                <w:kern w:val="2"/>
                <w:sz w:val="24"/>
                <w:szCs w:val="24"/>
                <w:highlight w:val="none"/>
              </w:rPr>
            </w:pPr>
            <w:r>
              <w:rPr>
                <w:rFonts w:hint="eastAsia" w:cs="宋体"/>
                <w:color w:val="auto"/>
                <w:kern w:val="2"/>
                <w:sz w:val="24"/>
                <w:szCs w:val="24"/>
                <w:highlight w:val="none"/>
                <w:lang w:eastAsia="zh-CN"/>
              </w:rPr>
              <w:t>☑</w:t>
            </w:r>
            <w:r>
              <w:rPr>
                <w:rFonts w:hint="eastAsia" w:ascii="宋体" w:hAnsi="宋体" w:eastAsia="宋体" w:cs="宋体"/>
                <w:bCs/>
                <w:color w:val="auto"/>
                <w:kern w:val="2"/>
                <w:sz w:val="24"/>
                <w:szCs w:val="24"/>
                <w:highlight w:val="none"/>
              </w:rPr>
              <w:t>自行踏勘</w:t>
            </w:r>
          </w:p>
          <w:p w14:paraId="034095D3">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bCs/>
                <w:color w:val="auto"/>
                <w:kern w:val="2"/>
                <w:sz w:val="24"/>
                <w:szCs w:val="24"/>
                <w:highlight w:val="none"/>
              </w:rPr>
              <w:t>集中组织</w:t>
            </w:r>
          </w:p>
          <w:p w14:paraId="4AD65B7B">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时间：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年</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月</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日</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时</w:t>
            </w:r>
            <w:r>
              <w:rPr>
                <w:rFonts w:hint="eastAsia" w:ascii="宋体" w:hAnsi="宋体" w:eastAsia="宋体" w:cs="宋体"/>
                <w:bCs/>
                <w:color w:val="auto"/>
                <w:kern w:val="2"/>
                <w:sz w:val="24"/>
                <w:szCs w:val="24"/>
                <w:highlight w:val="none"/>
                <w:u w:val="single"/>
              </w:rPr>
              <w:t xml:space="preserve">  </w:t>
            </w:r>
            <w:r>
              <w:rPr>
                <w:rFonts w:hint="eastAsia" w:ascii="宋体" w:hAnsi="宋体" w:eastAsia="宋体" w:cs="宋体"/>
                <w:bCs/>
                <w:color w:val="auto"/>
                <w:kern w:val="2"/>
                <w:sz w:val="24"/>
                <w:szCs w:val="24"/>
                <w:highlight w:val="none"/>
              </w:rPr>
              <w:t>分</w:t>
            </w:r>
          </w:p>
          <w:p w14:paraId="2DA49C24">
            <w:pPr>
              <w:spacing w:line="360" w:lineRule="auto"/>
              <w:rPr>
                <w:rFonts w:hint="eastAsia" w:ascii="宋体" w:hAnsi="宋体" w:eastAsia="宋体" w:cs="宋体"/>
                <w:bCs/>
                <w:color w:val="auto"/>
                <w:kern w:val="2"/>
                <w:sz w:val="24"/>
                <w:szCs w:val="24"/>
                <w:highlight w:val="none"/>
                <w:u w:val="single"/>
              </w:rPr>
            </w:pPr>
            <w:r>
              <w:rPr>
                <w:rFonts w:hint="eastAsia" w:ascii="宋体" w:hAnsi="宋体" w:eastAsia="宋体" w:cs="宋体"/>
                <w:bCs/>
                <w:color w:val="auto"/>
                <w:kern w:val="2"/>
                <w:sz w:val="24"/>
                <w:szCs w:val="24"/>
                <w:highlight w:val="none"/>
              </w:rPr>
              <w:t>现场踏勘联系人及联系电话：</w:t>
            </w:r>
            <w:r>
              <w:rPr>
                <w:rFonts w:hint="eastAsia" w:ascii="宋体" w:hAnsi="宋体" w:eastAsia="宋体" w:cs="宋体"/>
                <w:bCs/>
                <w:color w:val="auto"/>
                <w:kern w:val="2"/>
                <w:sz w:val="24"/>
                <w:szCs w:val="24"/>
                <w:highlight w:val="none"/>
                <w:u w:val="single"/>
              </w:rPr>
              <w:t xml:space="preserve">           </w:t>
            </w:r>
          </w:p>
          <w:p w14:paraId="539C0D33">
            <w:pPr>
              <w:pStyle w:val="76"/>
              <w:widowControl w:val="0"/>
              <w:spacing w:before="0" w:beforeAutospacing="0" w:after="0" w:afterAutospacing="0" w:line="360" w:lineRule="auto"/>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Cs w:val="0"/>
                <w:color w:val="auto"/>
                <w:kern w:val="2"/>
                <w:sz w:val="24"/>
                <w:szCs w:val="24"/>
                <w:highlight w:val="none"/>
              </w:rPr>
              <w:t>备注：如</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未参加</w:t>
            </w:r>
            <w:r>
              <w:rPr>
                <w:rFonts w:hint="eastAsia" w:ascii="宋体" w:hAnsi="宋体" w:eastAsia="宋体" w:cs="宋体"/>
                <w:bCs w:val="0"/>
                <w:color w:val="auto"/>
                <w:kern w:val="2"/>
                <w:sz w:val="24"/>
                <w:szCs w:val="24"/>
                <w:highlight w:val="none"/>
                <w:lang w:eastAsia="zh-CN"/>
              </w:rPr>
              <w:t>招标人</w:t>
            </w:r>
            <w:r>
              <w:rPr>
                <w:rFonts w:hint="eastAsia" w:ascii="宋体" w:hAnsi="宋体" w:eastAsia="宋体" w:cs="宋体"/>
                <w:bCs w:val="0"/>
                <w:color w:val="auto"/>
                <w:kern w:val="2"/>
                <w:sz w:val="24"/>
                <w:szCs w:val="24"/>
                <w:highlight w:val="none"/>
              </w:rPr>
              <w:t>统一组织的现场踏勘，视同放弃现场踏勘，由此引起的一切责任由</w:t>
            </w:r>
            <w:r>
              <w:rPr>
                <w:rFonts w:hint="eastAsia" w:ascii="宋体" w:hAnsi="宋体" w:eastAsia="宋体" w:cs="宋体"/>
                <w:bCs w:val="0"/>
                <w:color w:val="auto"/>
                <w:kern w:val="2"/>
                <w:sz w:val="24"/>
                <w:szCs w:val="24"/>
                <w:highlight w:val="none"/>
                <w:lang w:eastAsia="zh-CN"/>
              </w:rPr>
              <w:t>投标人</w:t>
            </w:r>
            <w:r>
              <w:rPr>
                <w:rFonts w:hint="eastAsia" w:ascii="宋体" w:hAnsi="宋体" w:eastAsia="宋体" w:cs="宋体"/>
                <w:bCs w:val="0"/>
                <w:color w:val="auto"/>
                <w:kern w:val="2"/>
                <w:sz w:val="24"/>
                <w:szCs w:val="24"/>
                <w:highlight w:val="none"/>
              </w:rPr>
              <w:t>自行承担。</w:t>
            </w:r>
          </w:p>
        </w:tc>
      </w:tr>
      <w:tr w14:paraId="30F4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60" w:type="pct"/>
            <w:vAlign w:val="center"/>
          </w:tcPr>
          <w:p w14:paraId="21FD5E27">
            <w:pPr>
              <w:pStyle w:val="77"/>
              <w:pBdr>
                <w:bottom w:val="none" w:color="auto" w:sz="0" w:space="0"/>
              </w:pBdr>
              <w:tabs>
                <w:tab w:val="clear" w:pos="4153"/>
                <w:tab w:val="clear" w:pos="8306"/>
              </w:tabs>
              <w:adjustRightInd/>
              <w:spacing w:line="360" w:lineRule="auto"/>
              <w:textAlignment w:val="auto"/>
              <w:rPr>
                <w:rFonts w:hint="default" w:cs="宋体"/>
                <w:bCs/>
                <w:strike w:val="0"/>
                <w:dstrike w:val="0"/>
                <w:color w:val="auto"/>
                <w:kern w:val="2"/>
                <w:sz w:val="24"/>
                <w:szCs w:val="24"/>
                <w:highlight w:val="none"/>
                <w:lang w:val="en-US" w:eastAsia="zh-CN" w:bidi="ar-SA"/>
              </w:rPr>
            </w:pPr>
            <w:r>
              <w:rPr>
                <w:rFonts w:hint="eastAsia" w:cs="宋体"/>
                <w:bCs/>
                <w:strike w:val="0"/>
                <w:dstrike w:val="0"/>
                <w:color w:val="auto"/>
                <w:kern w:val="2"/>
                <w:sz w:val="24"/>
                <w:szCs w:val="24"/>
                <w:highlight w:val="none"/>
                <w:lang w:val="en-US" w:eastAsia="zh-CN" w:bidi="ar-SA"/>
              </w:rPr>
              <w:t>4</w:t>
            </w:r>
          </w:p>
        </w:tc>
        <w:tc>
          <w:tcPr>
            <w:tcW w:w="818" w:type="pct"/>
            <w:vAlign w:val="center"/>
          </w:tcPr>
          <w:p w14:paraId="0D9EFBA5">
            <w:pPr>
              <w:widowControl/>
              <w:snapToGrid w:val="0"/>
              <w:spacing w:line="360" w:lineRule="auto"/>
              <w:jc w:val="center"/>
              <w:rPr>
                <w:rFonts w:hint="eastAsia" w:ascii="宋体" w:hAnsi="宋体" w:eastAsia="楷体" w:cstheme="minorBidi"/>
                <w:bCs/>
                <w:snapToGrid w:val="0"/>
                <w:color w:val="auto"/>
                <w:kern w:val="0"/>
                <w:sz w:val="24"/>
                <w:szCs w:val="24"/>
                <w:highlight w:val="none"/>
                <w:lang w:val="en-US" w:eastAsia="zh-CN" w:bidi="ar-SA"/>
              </w:rPr>
            </w:pPr>
            <w:r>
              <w:rPr>
                <w:rFonts w:hint="eastAsia"/>
                <w:bCs/>
                <w:snapToGrid w:val="0"/>
                <w:color w:val="auto"/>
                <w:kern w:val="0"/>
                <w:sz w:val="24"/>
                <w:szCs w:val="24"/>
                <w:highlight w:val="none"/>
                <w:lang w:val="en-US" w:eastAsia="zh-CN"/>
              </w:rPr>
              <w:t>便利化</w:t>
            </w:r>
            <w:r>
              <w:rPr>
                <w:rFonts w:hint="eastAsia"/>
                <w:bCs/>
                <w:snapToGrid w:val="0"/>
                <w:color w:val="auto"/>
                <w:kern w:val="0"/>
                <w:sz w:val="24"/>
                <w:szCs w:val="24"/>
                <w:highlight w:val="none"/>
              </w:rPr>
              <w:t>服务</w:t>
            </w:r>
          </w:p>
        </w:tc>
        <w:tc>
          <w:tcPr>
            <w:tcW w:w="3621" w:type="pct"/>
            <w:vAlign w:val="center"/>
          </w:tcPr>
          <w:p w14:paraId="7B83E1E1">
            <w:pPr>
              <w:widowControl/>
              <w:snapToGrid w:val="0"/>
              <w:spacing w:line="360" w:lineRule="auto"/>
              <w:jc w:val="center"/>
              <w:rPr>
                <w:rFonts w:hint="eastAsia" w:ascii="宋体" w:hAnsi="宋体" w:eastAsia="宋体" w:cstheme="minorBidi"/>
                <w:bCs/>
                <w:snapToGrid w:val="0"/>
                <w:color w:val="auto"/>
                <w:kern w:val="0"/>
                <w:sz w:val="24"/>
                <w:szCs w:val="24"/>
                <w:highlight w:val="none"/>
                <w:lang w:val="en-US" w:eastAsia="zh-CN" w:bidi="ar-SA"/>
              </w:rPr>
            </w:pPr>
            <w:r>
              <w:rPr>
                <w:rFonts w:hint="eastAsia"/>
                <w:bCs/>
                <w:snapToGrid w:val="0"/>
                <w:color w:val="auto"/>
                <w:kern w:val="0"/>
                <w:sz w:val="24"/>
                <w:szCs w:val="24"/>
                <w:highlight w:val="none"/>
              </w:rPr>
              <w:t>不要求</w:t>
            </w:r>
          </w:p>
        </w:tc>
      </w:tr>
      <w:tr w14:paraId="6084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07395B77">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5</w:t>
            </w:r>
          </w:p>
        </w:tc>
        <w:tc>
          <w:tcPr>
            <w:tcW w:w="818" w:type="pct"/>
            <w:vAlign w:val="center"/>
          </w:tcPr>
          <w:p w14:paraId="24976BA8">
            <w:pPr>
              <w:pStyle w:val="76"/>
              <w:widowControl w:val="0"/>
              <w:spacing w:before="0" w:beforeAutospacing="0" w:after="0" w:afterAutospacing="0" w:line="360" w:lineRule="auto"/>
              <w:jc w:val="both"/>
              <w:rPr>
                <w:rFonts w:hint="eastAsia" w:ascii="宋体" w:hAnsi="宋体" w:eastAsia="宋体" w:cs="宋体"/>
                <w:b w:val="0"/>
                <w:bCs/>
                <w:i w:val="0"/>
                <w:iCs w:val="0"/>
                <w:color w:val="auto"/>
                <w:sz w:val="24"/>
                <w:szCs w:val="24"/>
                <w:highlight w:val="none"/>
                <w:lang w:val="en-US" w:eastAsia="zh-CN" w:bidi="ar-SA"/>
              </w:rPr>
            </w:pPr>
            <w:r>
              <w:rPr>
                <w:rFonts w:hint="eastAsia" w:ascii="宋体" w:hAnsi="宋体" w:eastAsia="宋体" w:cs="宋体"/>
                <w:b w:val="0"/>
                <w:i w:val="0"/>
                <w:iCs w:val="0"/>
                <w:color w:val="auto"/>
                <w:sz w:val="24"/>
                <w:szCs w:val="24"/>
                <w:highlight w:val="none"/>
              </w:rPr>
              <w:t>关于联合体参加磋商的相关约定</w:t>
            </w:r>
          </w:p>
        </w:tc>
        <w:tc>
          <w:tcPr>
            <w:tcW w:w="3621" w:type="pct"/>
            <w:vAlign w:val="center"/>
          </w:tcPr>
          <w:p w14:paraId="0DC883BF">
            <w:pPr>
              <w:pStyle w:val="76"/>
              <w:widowControl w:val="0"/>
              <w:spacing w:before="0" w:beforeAutospacing="0" w:after="0" w:afterAutospacing="0" w:line="360" w:lineRule="auto"/>
              <w:jc w:val="both"/>
              <w:rPr>
                <w:rFonts w:hint="default" w:ascii="宋体" w:hAnsi="宋体" w:eastAsia="宋体" w:cs="宋体"/>
                <w:b w:val="0"/>
                <w:bCs/>
                <w:i w:val="0"/>
                <w:iCs w:val="0"/>
                <w:color w:val="auto"/>
                <w:sz w:val="24"/>
                <w:szCs w:val="24"/>
                <w:highlight w:val="none"/>
                <w:lang w:val="en-US" w:eastAsia="zh-CN" w:bidi="ar-SA"/>
              </w:rPr>
            </w:pPr>
            <w:r>
              <w:rPr>
                <w:rFonts w:hint="eastAsia" w:cs="宋体"/>
                <w:b w:val="0"/>
                <w:bCs/>
                <w:i w:val="0"/>
                <w:iCs w:val="0"/>
                <w:color w:val="auto"/>
                <w:sz w:val="24"/>
                <w:szCs w:val="24"/>
                <w:highlight w:val="none"/>
                <w:lang w:val="en-US" w:eastAsia="zh-CN" w:bidi="ar-SA"/>
              </w:rPr>
              <w:t>/</w:t>
            </w:r>
          </w:p>
        </w:tc>
      </w:tr>
      <w:tr w14:paraId="7606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60" w:type="pct"/>
            <w:vAlign w:val="center"/>
          </w:tcPr>
          <w:p w14:paraId="58E410C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6</w:t>
            </w:r>
          </w:p>
        </w:tc>
        <w:tc>
          <w:tcPr>
            <w:tcW w:w="818" w:type="pct"/>
            <w:vAlign w:val="center"/>
          </w:tcPr>
          <w:p w14:paraId="0FF48FB9">
            <w:pPr>
              <w:pStyle w:val="76"/>
              <w:widowControl w:val="0"/>
              <w:spacing w:before="0" w:beforeAutospacing="0" w:after="0" w:afterAutospacing="0" w:line="360" w:lineRule="auto"/>
              <w:jc w:val="center"/>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初审</w:t>
            </w:r>
            <w:r>
              <w:rPr>
                <w:rFonts w:hint="eastAsia" w:ascii="宋体" w:hAnsi="宋体" w:eastAsia="宋体" w:cs="宋体"/>
                <w:b w:val="0"/>
                <w:color w:val="auto"/>
                <w:sz w:val="24"/>
                <w:szCs w:val="24"/>
                <w:highlight w:val="none"/>
              </w:rPr>
              <w:t>业绩</w:t>
            </w:r>
            <w:r>
              <w:rPr>
                <w:rFonts w:hint="eastAsia" w:ascii="宋体" w:hAnsi="宋体" w:eastAsia="宋体" w:cs="宋体"/>
                <w:b w:val="0"/>
                <w:color w:val="auto"/>
                <w:sz w:val="24"/>
                <w:szCs w:val="24"/>
                <w:highlight w:val="none"/>
                <w:lang w:val="en-US" w:eastAsia="zh-CN"/>
              </w:rPr>
              <w:t>要求</w:t>
            </w:r>
          </w:p>
        </w:tc>
        <w:tc>
          <w:tcPr>
            <w:tcW w:w="3621" w:type="pct"/>
            <w:vAlign w:val="center"/>
          </w:tcPr>
          <w:p w14:paraId="15542788">
            <w:pPr>
              <w:numPr>
                <w:ilvl w:val="0"/>
                <w:numId w:val="0"/>
              </w:numPr>
              <w:spacing w:line="360" w:lineRule="auto"/>
              <w:ind w:leftChars="0"/>
              <w:rPr>
                <w:rFonts w:hint="eastAsia"/>
                <w:color w:val="auto"/>
                <w:sz w:val="24"/>
                <w:szCs w:val="24"/>
                <w:highlight w:val="none"/>
              </w:rPr>
            </w:pPr>
            <w:r>
              <w:rPr>
                <w:rFonts w:hint="eastAsia"/>
                <w:color w:val="auto"/>
                <w:sz w:val="24"/>
                <w:szCs w:val="24"/>
                <w:highlight w:val="none"/>
              </w:rPr>
              <w:t>投标人应按下列规定提供业绩证明资料：</w:t>
            </w:r>
          </w:p>
          <w:p w14:paraId="49D2F3EC">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（1）提供项目中标通知书及合同原件扫描件；</w:t>
            </w:r>
          </w:p>
          <w:p w14:paraId="7F9CA522">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（2）提供由合同甲方（采购人）出具的合同履约完成的证明材料，需加盖合同甲方（采购人）公章；</w:t>
            </w:r>
          </w:p>
          <w:p w14:paraId="05D50F2C">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（3）提供相关业绩合同对应的发票扫描件。</w:t>
            </w:r>
          </w:p>
          <w:p w14:paraId="0B16D07A">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备注：</w:t>
            </w:r>
          </w:p>
          <w:p w14:paraId="26B2C948">
            <w:pPr>
              <w:spacing w:line="360" w:lineRule="auto"/>
              <w:rPr>
                <w:rFonts w:hint="eastAsia"/>
                <w:bCs/>
                <w:snapToGrid w:val="0"/>
                <w:color w:val="auto"/>
                <w:kern w:val="0"/>
                <w:sz w:val="24"/>
                <w:szCs w:val="24"/>
                <w:highlight w:val="none"/>
              </w:rPr>
            </w:pPr>
            <w:r>
              <w:rPr>
                <w:rFonts w:hint="eastAsia"/>
                <w:bCs/>
                <w:snapToGrid w:val="0"/>
                <w:color w:val="auto"/>
                <w:kern w:val="0"/>
                <w:sz w:val="24"/>
                <w:szCs w:val="24"/>
                <w:highlight w:val="none"/>
                <w:lang w:val="en-US" w:eastAsia="zh-CN"/>
              </w:rPr>
              <w:t>（1）</w:t>
            </w:r>
            <w:r>
              <w:rPr>
                <w:rFonts w:hint="eastAsia"/>
                <w:bCs/>
                <w:snapToGrid w:val="0"/>
                <w:color w:val="auto"/>
                <w:kern w:val="0"/>
                <w:sz w:val="24"/>
                <w:szCs w:val="24"/>
                <w:highlight w:val="none"/>
              </w:rPr>
              <w:t>业绩合同可提供包含甲乙方、项目名称、合同总金额、合同签订时间、合同供货范围、合同签字盖章页等关键内容的关键页的扫描件；</w:t>
            </w:r>
          </w:p>
          <w:p w14:paraId="0D9F68E3">
            <w:pPr>
              <w:numPr>
                <w:ilvl w:val="0"/>
                <w:numId w:val="3"/>
              </w:numPr>
              <w:spacing w:line="360" w:lineRule="auto"/>
              <w:rPr>
                <w:rFonts w:hint="eastAsia"/>
                <w:color w:val="auto"/>
                <w:highlight w:val="none"/>
                <w:lang w:val="en-US" w:eastAsia="zh-CN"/>
              </w:rPr>
            </w:pPr>
            <w:r>
              <w:rPr>
                <w:rFonts w:hint="eastAsia"/>
                <w:bCs/>
                <w:snapToGrid w:val="0"/>
                <w:color w:val="auto"/>
                <w:kern w:val="0"/>
                <w:sz w:val="24"/>
                <w:szCs w:val="24"/>
                <w:highlight w:val="none"/>
              </w:rPr>
              <w:t>以上涉及到的材料扫描件信息应完整或能充分反映评审因素。如均未能明确反映出</w:t>
            </w:r>
            <w:r>
              <w:rPr>
                <w:rFonts w:hint="eastAsia"/>
                <w:bCs/>
                <w:snapToGrid w:val="0"/>
                <w:color w:val="auto"/>
                <w:kern w:val="0"/>
                <w:sz w:val="24"/>
                <w:szCs w:val="24"/>
                <w:highlight w:val="none"/>
                <w:lang w:eastAsia="zh-CN"/>
              </w:rPr>
              <w:t>磋商文件</w:t>
            </w:r>
            <w:r>
              <w:rPr>
                <w:rFonts w:hint="eastAsia"/>
                <w:bCs/>
                <w:snapToGrid w:val="0"/>
                <w:color w:val="auto"/>
                <w:kern w:val="0"/>
                <w:sz w:val="24"/>
                <w:szCs w:val="24"/>
                <w:highlight w:val="none"/>
              </w:rPr>
              <w:t>所要求的内容的（如合同总金额、项目负责人名称等），应另附买方（或合同甲方）出具的证明资料予以明确说明</w:t>
            </w: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rPr>
              <w:t>证明资料</w:t>
            </w:r>
            <w:r>
              <w:rPr>
                <w:rFonts w:hint="eastAsia"/>
                <w:bCs/>
                <w:snapToGrid w:val="0"/>
                <w:color w:val="auto"/>
                <w:kern w:val="0"/>
                <w:sz w:val="24"/>
                <w:szCs w:val="24"/>
                <w:highlight w:val="none"/>
                <w:lang w:val="en-US" w:eastAsia="zh-CN"/>
              </w:rPr>
              <w:t>需加盖合同甲方（采购人）公章</w:t>
            </w:r>
            <w:r>
              <w:rPr>
                <w:rFonts w:hint="eastAsia"/>
                <w:bCs/>
                <w:snapToGrid w:val="0"/>
                <w:color w:val="auto"/>
                <w:kern w:val="0"/>
                <w:sz w:val="24"/>
                <w:szCs w:val="24"/>
                <w:highlight w:val="none"/>
              </w:rPr>
              <w:t>。</w:t>
            </w:r>
          </w:p>
        </w:tc>
      </w:tr>
      <w:tr w14:paraId="7CF4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6188DFCA">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7</w:t>
            </w:r>
          </w:p>
        </w:tc>
        <w:tc>
          <w:tcPr>
            <w:tcW w:w="818" w:type="pct"/>
            <w:vAlign w:val="center"/>
          </w:tcPr>
          <w:p w14:paraId="4CE82B5D">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投标人提出疑问</w:t>
            </w:r>
            <w:r>
              <w:rPr>
                <w:rFonts w:hint="eastAsia" w:ascii="宋体" w:hAnsi="宋体" w:eastAsia="宋体" w:cs="宋体"/>
                <w:bCs/>
                <w:color w:val="auto"/>
                <w:kern w:val="0"/>
                <w:sz w:val="24"/>
                <w:szCs w:val="24"/>
                <w:highlight w:val="none"/>
              </w:rPr>
              <w:t>截止时间</w:t>
            </w:r>
          </w:p>
        </w:tc>
        <w:tc>
          <w:tcPr>
            <w:tcW w:w="3621" w:type="pct"/>
            <w:vAlign w:val="top"/>
          </w:tcPr>
          <w:p w14:paraId="564234B0">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cs="宋体"/>
                <w:bCs/>
                <w:color w:val="auto"/>
                <w:kern w:val="2"/>
                <w:sz w:val="24"/>
                <w:szCs w:val="24"/>
                <w:highlight w:val="none"/>
                <w:u w:val="single"/>
                <w:lang w:val="en-US" w:eastAsia="zh-CN"/>
              </w:rPr>
              <w:t>2025</w:t>
            </w:r>
            <w:r>
              <w:rPr>
                <w:rFonts w:hint="eastAsia" w:ascii="宋体" w:hAnsi="宋体" w:eastAsia="宋体" w:cs="宋体"/>
                <w:bCs/>
                <w:color w:val="auto"/>
                <w:kern w:val="2"/>
                <w:sz w:val="24"/>
                <w:szCs w:val="24"/>
                <w:highlight w:val="none"/>
              </w:rPr>
              <w:t>年</w:t>
            </w:r>
            <w:r>
              <w:rPr>
                <w:rFonts w:hint="eastAsia" w:cs="宋体"/>
                <w:bCs/>
                <w:color w:val="auto"/>
                <w:kern w:val="2"/>
                <w:sz w:val="24"/>
                <w:szCs w:val="24"/>
                <w:highlight w:val="none"/>
                <w:u w:val="single"/>
                <w:lang w:val="en-US" w:eastAsia="zh-CN"/>
              </w:rPr>
              <w:t>11</w:t>
            </w:r>
            <w:r>
              <w:rPr>
                <w:rFonts w:hint="eastAsia" w:ascii="宋体" w:hAnsi="宋体" w:eastAsia="宋体" w:cs="宋体"/>
                <w:bCs/>
                <w:color w:val="auto"/>
                <w:kern w:val="2"/>
                <w:sz w:val="24"/>
                <w:szCs w:val="24"/>
                <w:highlight w:val="none"/>
              </w:rPr>
              <w:t>月</w:t>
            </w:r>
            <w:r>
              <w:rPr>
                <w:rFonts w:hint="eastAsia" w:cs="宋体"/>
                <w:bCs/>
                <w:color w:val="auto"/>
                <w:kern w:val="2"/>
                <w:sz w:val="24"/>
                <w:szCs w:val="24"/>
                <w:highlight w:val="none"/>
                <w:u w:val="single"/>
                <w:lang w:val="en-US" w:eastAsia="zh-CN"/>
              </w:rPr>
              <w:t>27</w:t>
            </w:r>
            <w:r>
              <w:rPr>
                <w:rFonts w:hint="eastAsia" w:ascii="宋体" w:hAnsi="宋体" w:eastAsia="宋体" w:cs="宋体"/>
                <w:bCs/>
                <w:color w:val="auto"/>
                <w:kern w:val="2"/>
                <w:sz w:val="24"/>
                <w:szCs w:val="24"/>
                <w:highlight w:val="none"/>
              </w:rPr>
              <w:t>日</w:t>
            </w:r>
            <w:r>
              <w:rPr>
                <w:rFonts w:hint="eastAsia" w:cs="宋体"/>
                <w:bCs/>
                <w:color w:val="auto"/>
                <w:kern w:val="2"/>
                <w:sz w:val="24"/>
                <w:szCs w:val="24"/>
                <w:highlight w:val="none"/>
                <w:u w:val="single"/>
                <w:lang w:val="en-US" w:eastAsia="zh-CN"/>
              </w:rPr>
              <w:t>17</w:t>
            </w:r>
            <w:r>
              <w:rPr>
                <w:rFonts w:hint="eastAsia" w:ascii="宋体" w:hAnsi="宋体" w:eastAsia="宋体" w:cs="宋体"/>
                <w:bCs/>
                <w:color w:val="auto"/>
                <w:kern w:val="2"/>
                <w:sz w:val="24"/>
                <w:szCs w:val="24"/>
                <w:highlight w:val="none"/>
              </w:rPr>
              <w:t>时</w:t>
            </w:r>
            <w:r>
              <w:rPr>
                <w:rFonts w:hint="eastAsia" w:cs="宋体"/>
                <w:bCs/>
                <w:color w:val="auto"/>
                <w:kern w:val="2"/>
                <w:sz w:val="24"/>
                <w:szCs w:val="24"/>
                <w:highlight w:val="none"/>
                <w:u w:val="single"/>
                <w:lang w:val="en-US" w:eastAsia="zh-CN"/>
              </w:rPr>
              <w:t>30</w:t>
            </w:r>
            <w:r>
              <w:rPr>
                <w:rFonts w:hint="eastAsia" w:ascii="宋体" w:hAnsi="宋体" w:eastAsia="宋体" w:cs="宋体"/>
                <w:bCs/>
                <w:color w:val="auto"/>
                <w:kern w:val="2"/>
                <w:sz w:val="24"/>
                <w:szCs w:val="24"/>
                <w:highlight w:val="none"/>
              </w:rPr>
              <w:t>分</w:t>
            </w:r>
          </w:p>
          <w:p w14:paraId="15CEC841">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形式：通过电子交易系统提交</w:t>
            </w:r>
          </w:p>
        </w:tc>
      </w:tr>
      <w:tr w14:paraId="073F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3B41ACCA">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8</w:t>
            </w:r>
          </w:p>
        </w:tc>
        <w:tc>
          <w:tcPr>
            <w:tcW w:w="818" w:type="pct"/>
            <w:vAlign w:val="center"/>
          </w:tcPr>
          <w:p w14:paraId="335DCAB8">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t>构成磋商的其他材料</w:t>
            </w:r>
          </w:p>
        </w:tc>
        <w:tc>
          <w:tcPr>
            <w:tcW w:w="3621" w:type="pct"/>
            <w:vAlign w:val="center"/>
          </w:tcPr>
          <w:p w14:paraId="6BE2135E">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cs="宋体"/>
                <w:bCs/>
                <w:color w:val="auto"/>
                <w:sz w:val="24"/>
                <w:szCs w:val="24"/>
                <w:highlight w:val="none"/>
                <w:lang w:val="en-US" w:eastAsia="zh-CN"/>
              </w:rPr>
              <w:t>/</w:t>
            </w:r>
          </w:p>
        </w:tc>
      </w:tr>
      <w:tr w14:paraId="09DF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14:paraId="3B2BC031">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9</w:t>
            </w:r>
          </w:p>
        </w:tc>
        <w:tc>
          <w:tcPr>
            <w:tcW w:w="818" w:type="pct"/>
            <w:vAlign w:val="center"/>
          </w:tcPr>
          <w:p w14:paraId="3C56C262">
            <w:pPr>
              <w:pStyle w:val="76"/>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磋商保证金</w:t>
            </w:r>
          </w:p>
        </w:tc>
        <w:tc>
          <w:tcPr>
            <w:tcW w:w="3621" w:type="pct"/>
            <w:vAlign w:val="center"/>
          </w:tcPr>
          <w:p w14:paraId="5027BCAC">
            <w:pPr>
              <w:snapToGrid w:val="0"/>
              <w:rPr>
                <w:rFonts w:hint="eastAsia"/>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（1）金额：</w:t>
            </w:r>
            <w:r>
              <w:rPr>
                <w:rFonts w:hint="eastAsia" w:ascii="Times New Roman" w:cs="宋体"/>
                <w:bCs/>
                <w:color w:val="auto"/>
                <w:sz w:val="24"/>
                <w:szCs w:val="24"/>
                <w:highlight w:val="none"/>
                <w:u w:val="single"/>
                <w:lang w:val="en-US" w:eastAsia="zh-CN"/>
              </w:rPr>
              <w:t>1500元人民币。</w:t>
            </w:r>
          </w:p>
          <w:p w14:paraId="2DAE73BC">
            <w:pPr>
              <w:snapToGrid w:val="0"/>
              <w:spacing w:line="360" w:lineRule="auto"/>
              <w:ind w:firstLine="120" w:firstLineChars="50"/>
              <w:rPr>
                <w:rFonts w:hint="eastAsia" w:ascii="宋体" w:hAnsi="宋体" w:eastAsia="宋体" w:cs="宋体"/>
                <w:b w:val="0"/>
                <w:bCs w:val="0"/>
                <w:caps w:val="0"/>
                <w:smallCaps w:val="0"/>
                <w:strike w:val="0"/>
                <w:dstrike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（2）缴纳形式：</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银行转账  </w:t>
            </w:r>
            <w:r>
              <w:rPr>
                <w:rFonts w:hint="eastAsia" w:ascii="宋体" w:hAnsi="宋体" w:eastAsia="宋体" w:cs="宋体"/>
                <w:b w:val="0"/>
                <w:bCs w:val="0"/>
                <w:caps w:val="0"/>
                <w:smallCaps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color w:val="auto"/>
                <w:kern w:val="2"/>
                <w:sz w:val="24"/>
                <w:szCs w:val="24"/>
                <w:highlight w:val="none"/>
                <w:lang w:val="en-US" w:eastAsia="zh-CN" w:bidi="ar-SA"/>
              </w:rPr>
              <w:t xml:space="preserve">银行电汇  </w: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begin"/>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instrText xml:space="preserve"> eq \o\ac(</w:instrText>
            </w:r>
            <w:r>
              <w:rPr>
                <w:rFonts w:hint="eastAsia" w:ascii="宋体" w:hAnsi="宋体" w:eastAsia="宋体" w:cs="宋体"/>
                <w:b w:val="0"/>
                <w:bCs w:val="0"/>
                <w:caps w:val="0"/>
                <w:smallCaps w:val="0"/>
                <w:strike w:val="0"/>
                <w:dstrike w:val="0"/>
                <w:color w:val="auto"/>
                <w:kern w:val="2"/>
                <w:position w:val="-4"/>
                <w:sz w:val="36"/>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position w:val="0"/>
                <w:sz w:val="24"/>
                <w:szCs w:val="24"/>
                <w:highlight w:val="none"/>
                <w:lang w:val="en-US" w:eastAsia="zh-CN" w:bidi="ar-SA"/>
              </w:rPr>
              <w:instrText xml:space="preserve">)</w:instrText>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fldChar w:fldCharType="end"/>
            </w:r>
            <w:r>
              <w:rPr>
                <w:rFonts w:hint="eastAsia" w:ascii="宋体" w:hAnsi="宋体" w:eastAsia="宋体" w:cs="宋体"/>
                <w:b w:val="0"/>
                <w:bCs w:val="0"/>
                <w:caps w:val="0"/>
                <w:smallCaps w:val="0"/>
                <w:strike w:val="0"/>
                <w:dstrike w:val="0"/>
                <w:color w:val="auto"/>
                <w:kern w:val="2"/>
                <w:sz w:val="24"/>
                <w:szCs w:val="24"/>
                <w:highlight w:val="none"/>
                <w:lang w:val="en-US" w:eastAsia="zh-CN" w:bidi="ar-SA"/>
              </w:rPr>
              <w:t xml:space="preserve">银行保函 </w:t>
            </w:r>
          </w:p>
          <w:p w14:paraId="48BCCA26">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（3）递交要求：</w:t>
            </w:r>
          </w:p>
          <w:p w14:paraId="7C023AC6">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①磋商保证金的到账截止时间：磋商截止时间。</w:t>
            </w:r>
          </w:p>
          <w:p w14:paraId="394BA1EC">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②转入的开户银行及账号见本项目招标公告所示</w:t>
            </w:r>
            <w:r>
              <w:rPr>
                <w:rFonts w:hint="eastAsia" w:cs="宋体"/>
                <w:b w:val="0"/>
                <w:bCs w:val="0"/>
                <w:caps w:val="0"/>
                <w:smallCaps w:val="0"/>
                <w:color w:val="auto"/>
                <w:kern w:val="2"/>
                <w:sz w:val="24"/>
                <w:szCs w:val="24"/>
                <w:highlight w:val="none"/>
                <w:lang w:val="en-US" w:eastAsia="zh-CN" w:bidi="ar-SA"/>
              </w:rPr>
              <w:t>，</w:t>
            </w:r>
            <w:r>
              <w:rPr>
                <w:rFonts w:hint="eastAsia" w:cs="宋体"/>
                <w:b w:val="0"/>
                <w:bCs w:val="0"/>
                <w:caps w:val="0"/>
                <w:smallCaps w:val="0"/>
                <w:color w:val="auto"/>
                <w:kern w:val="2"/>
                <w:sz w:val="24"/>
                <w:szCs w:val="24"/>
                <w:highlight w:val="none"/>
                <w:lang w:val="en-US" w:eastAsia="zh-CN" w:bidi="ar-SA"/>
              </w:rPr>
              <w:t>是否到账以系统查询为准</w:t>
            </w:r>
            <w:r>
              <w:rPr>
                <w:rFonts w:hint="eastAsia" w:ascii="宋体" w:hAnsi="宋体" w:eastAsia="宋体" w:cs="宋体"/>
                <w:b w:val="0"/>
                <w:bCs w:val="0"/>
                <w:caps w:val="0"/>
                <w:smallCaps w:val="0"/>
                <w:color w:val="auto"/>
                <w:kern w:val="2"/>
                <w:sz w:val="24"/>
                <w:szCs w:val="24"/>
                <w:highlight w:val="none"/>
                <w:lang w:val="en-US" w:eastAsia="zh-CN" w:bidi="ar-SA"/>
              </w:rPr>
              <w:t>。</w:t>
            </w:r>
          </w:p>
          <w:p w14:paraId="3E2071EF">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③采用银行保函，</w:t>
            </w:r>
            <w:r>
              <w:rPr>
                <w:rFonts w:hint="eastAsia" w:ascii="宋体" w:hAnsi="宋体" w:eastAsia="宋体" w:cs="宋体"/>
                <w:b w:val="0"/>
                <w:bCs w:val="0"/>
                <w:caps w:val="0"/>
                <w:smallCaps w:val="0"/>
                <w:color w:val="auto"/>
                <w:kern w:val="2"/>
                <w:sz w:val="24"/>
                <w:szCs w:val="24"/>
                <w:highlight w:val="none"/>
                <w:lang w:val="en-US" w:eastAsia="zh-CN" w:bidi="ar-SA"/>
              </w:rPr>
              <w:t>应为</w:t>
            </w:r>
            <w:r>
              <w:rPr>
                <w:rFonts w:hint="eastAsia" w:cs="宋体"/>
                <w:b w:val="0"/>
                <w:bCs w:val="0"/>
                <w:caps w:val="0"/>
                <w:smallCaps w:val="0"/>
                <w:color w:val="auto"/>
                <w:kern w:val="2"/>
                <w:sz w:val="24"/>
                <w:szCs w:val="24"/>
                <w:highlight w:val="none"/>
                <w:lang w:val="en-US" w:eastAsia="zh-CN" w:bidi="ar-SA"/>
              </w:rPr>
              <w:t>银行</w:t>
            </w:r>
            <w:r>
              <w:rPr>
                <w:rFonts w:hint="eastAsia" w:ascii="宋体" w:hAnsi="宋体" w:eastAsia="宋体" w:cs="宋体"/>
                <w:b w:val="0"/>
                <w:bCs w:val="0"/>
                <w:caps w:val="0"/>
                <w:smallCaps w:val="0"/>
                <w:color w:val="auto"/>
                <w:kern w:val="2"/>
                <w:sz w:val="24"/>
                <w:szCs w:val="24"/>
                <w:highlight w:val="none"/>
                <w:lang w:val="en-US" w:eastAsia="zh-CN" w:bidi="ar-SA"/>
              </w:rPr>
              <w:t>出具</w:t>
            </w:r>
            <w:r>
              <w:rPr>
                <w:rFonts w:hint="eastAsia" w:ascii="宋体" w:hAnsi="宋体" w:eastAsia="宋体" w:cs="宋体"/>
                <w:b w:val="0"/>
                <w:bCs w:val="0"/>
                <w:caps w:val="0"/>
                <w:smallCaps w:val="0"/>
                <w:color w:val="auto"/>
                <w:kern w:val="2"/>
                <w:sz w:val="24"/>
                <w:szCs w:val="24"/>
                <w:highlight w:val="none"/>
                <w:lang w:val="en-US" w:eastAsia="zh-CN" w:bidi="ar-SA"/>
              </w:rPr>
              <w:t>的见索即付无条件银行保函；投标人必须提供明确有效的查询途径（网址链接及查询方式），否则该银行保函无效。评</w:t>
            </w:r>
            <w:r>
              <w:rPr>
                <w:rFonts w:hint="eastAsia" w:cs="宋体"/>
                <w:b w:val="0"/>
                <w:bCs w:val="0"/>
                <w:caps w:val="0"/>
                <w:smallCaps w:val="0"/>
                <w:color w:val="auto"/>
                <w:kern w:val="2"/>
                <w:sz w:val="24"/>
                <w:szCs w:val="24"/>
                <w:highlight w:val="none"/>
                <w:lang w:val="en-US" w:eastAsia="zh-CN" w:bidi="ar-SA"/>
              </w:rPr>
              <w:t>审</w:t>
            </w:r>
            <w:r>
              <w:rPr>
                <w:rFonts w:hint="eastAsia" w:ascii="宋体" w:hAnsi="宋体" w:eastAsia="宋体" w:cs="宋体"/>
                <w:b w:val="0"/>
                <w:bCs w:val="0"/>
                <w:caps w:val="0"/>
                <w:smallCaps w:val="0"/>
                <w:color w:val="auto"/>
                <w:kern w:val="2"/>
                <w:sz w:val="24"/>
                <w:szCs w:val="24"/>
                <w:highlight w:val="none"/>
                <w:lang w:val="en-US" w:eastAsia="zh-CN" w:bidi="ar-SA"/>
              </w:rPr>
              <w:t>时</w:t>
            </w:r>
            <w:r>
              <w:rPr>
                <w:rFonts w:hint="eastAsia" w:cs="宋体"/>
                <w:b w:val="0"/>
                <w:bCs w:val="0"/>
                <w:caps w:val="0"/>
                <w:smallCaps w:val="0"/>
                <w:color w:val="auto"/>
                <w:kern w:val="2"/>
                <w:sz w:val="24"/>
                <w:szCs w:val="24"/>
                <w:highlight w:val="none"/>
                <w:lang w:val="en-US" w:eastAsia="zh-CN" w:bidi="ar-SA"/>
              </w:rPr>
              <w:t>评审小组</w:t>
            </w:r>
            <w:r>
              <w:rPr>
                <w:rFonts w:hint="eastAsia" w:ascii="宋体" w:hAnsi="宋体" w:eastAsia="宋体" w:cs="宋体"/>
                <w:b w:val="0"/>
                <w:bCs w:val="0"/>
                <w:caps w:val="0"/>
                <w:smallCaps w:val="0"/>
                <w:color w:val="auto"/>
                <w:kern w:val="2"/>
                <w:sz w:val="24"/>
                <w:szCs w:val="24"/>
                <w:highlight w:val="none"/>
                <w:lang w:val="en-US" w:eastAsia="zh-CN" w:bidi="ar-SA"/>
              </w:rPr>
              <w:t>保留现场核查权利。</w:t>
            </w:r>
          </w:p>
          <w:p w14:paraId="0CD0C657">
            <w:pPr>
              <w:snapToGrid w:val="0"/>
              <w:spacing w:line="360" w:lineRule="auto"/>
              <w:ind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36731220">
            <w:pPr>
              <w:snapToGrid w:val="0"/>
              <w:spacing w:line="360" w:lineRule="auto"/>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（4）注意事项：</w:t>
            </w:r>
          </w:p>
          <w:p w14:paraId="22DE44F4">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①磋商保证金交纳账号采用动态虚拟账号，项目招标失败后，磋商保证金交纳账号将会发生变化，请投标人参与后续招标时，注意勿将磋商保证金错交至其他项目虚拟账号或前次公告账号。</w:t>
            </w:r>
          </w:p>
          <w:p w14:paraId="36298C7C">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②如本项目前次招标失败，招标人退还投标人的磋商保证金。投标人参与本次磋商，须向本项目本次公告公布的磋商保证金账号重新交纳磋商保证金。</w:t>
            </w:r>
          </w:p>
          <w:p w14:paraId="40F121F9">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③凡转账到其他项目虚拟账户或本项目前次公告账户的，磋商保证金无效。</w:t>
            </w:r>
          </w:p>
          <w:p w14:paraId="57895A74">
            <w:pPr>
              <w:snapToGrid w:val="0"/>
              <w:spacing w:line="360" w:lineRule="auto"/>
              <w:ind w:firstLine="120" w:firstLineChars="50"/>
              <w:rPr>
                <w:rFonts w:hint="eastAsia" w:ascii="宋体" w:hAnsi="宋体" w:eastAsia="宋体" w:cs="宋体"/>
                <w:b w:val="0"/>
                <w:bCs w:val="0"/>
                <w:caps w:val="0"/>
                <w:smallCaps w:val="0"/>
                <w:color w:val="auto"/>
                <w:kern w:val="2"/>
                <w:sz w:val="24"/>
                <w:szCs w:val="24"/>
                <w:highlight w:val="none"/>
                <w:lang w:val="en-US" w:eastAsia="zh-CN" w:bidi="ar-SA"/>
              </w:rPr>
            </w:pPr>
            <w:r>
              <w:rPr>
                <w:rFonts w:hint="eastAsia" w:ascii="宋体" w:hAnsi="宋体" w:eastAsia="宋体" w:cs="宋体"/>
                <w:b w:val="0"/>
                <w:bCs w:val="0"/>
                <w:caps w:val="0"/>
                <w:smallCaps w:val="0"/>
                <w:color w:val="auto"/>
                <w:kern w:val="2"/>
                <w:sz w:val="24"/>
                <w:szCs w:val="24"/>
                <w:highlight w:val="none"/>
                <w:lang w:val="en-US" w:eastAsia="zh-CN" w:bidi="ar-SA"/>
              </w:rPr>
              <w:t>④投标人参与本项目多个标段投标的（如分多标段的），应该按标段分别递交磋商保证金。未递交磋商保证金的标段，其投标无效。</w:t>
            </w:r>
          </w:p>
          <w:p w14:paraId="67540363">
            <w:pPr>
              <w:snapToGrid w:val="0"/>
              <w:spacing w:line="360" w:lineRule="auto"/>
              <w:ind w:firstLine="120" w:firstLineChars="50"/>
              <w:rPr>
                <w:rFonts w:hint="eastAsia" w:ascii="宋体" w:hAnsi="宋体" w:eastAsia="宋体" w:cs="宋体"/>
                <w:b w:val="0"/>
                <w:color w:val="auto"/>
                <w:sz w:val="24"/>
                <w:szCs w:val="24"/>
                <w:highlight w:val="none"/>
              </w:rPr>
            </w:pPr>
            <w:r>
              <w:rPr>
                <w:rFonts w:hint="eastAsia" w:ascii="宋体" w:hAnsi="宋体" w:eastAsia="宋体" w:cs="宋体"/>
                <w:b w:val="0"/>
                <w:bCs w:val="0"/>
                <w:caps w:val="0"/>
                <w:smallCaps w:val="0"/>
                <w:color w:val="auto"/>
                <w:kern w:val="2"/>
                <w:sz w:val="24"/>
                <w:szCs w:val="24"/>
                <w:highlight w:val="none"/>
                <w:lang w:val="en-US" w:eastAsia="zh-CN" w:bidi="ar-SA"/>
              </w:rPr>
              <w:t>⑤</w:t>
            </w:r>
            <w:r>
              <w:rPr>
                <w:rFonts w:hint="eastAsia" w:ascii="宋体" w:hAnsi="宋体" w:eastAsia="宋体" w:cs="宋体"/>
                <w:b w:val="0"/>
                <w:bCs w:val="0"/>
                <w:caps w:val="0"/>
                <w:smallCaps w:val="0"/>
                <w:color w:val="auto"/>
                <w:kern w:val="2"/>
                <w:sz w:val="24"/>
                <w:szCs w:val="24"/>
                <w:highlight w:val="none"/>
                <w:lang w:val="zh-CN" w:eastAsia="zh-CN" w:bidi="ar-SA"/>
              </w:rPr>
              <w:t>以上</w:t>
            </w:r>
            <w:r>
              <w:rPr>
                <w:rFonts w:hint="eastAsia" w:ascii="宋体" w:hAnsi="宋体" w:eastAsia="宋体" w:cs="宋体"/>
                <w:b w:val="0"/>
                <w:bCs w:val="0"/>
                <w:caps w:val="0"/>
                <w:smallCaps w:val="0"/>
                <w:color w:val="auto"/>
                <w:kern w:val="2"/>
                <w:sz w:val="24"/>
                <w:szCs w:val="24"/>
                <w:highlight w:val="none"/>
                <w:lang w:val="en-US" w:eastAsia="zh-CN" w:bidi="ar-SA"/>
              </w:rPr>
              <w:t>银行保函</w:t>
            </w:r>
            <w:r>
              <w:rPr>
                <w:rFonts w:hint="eastAsia" w:ascii="宋体" w:hAnsi="宋体" w:eastAsia="宋体" w:cs="宋体"/>
                <w:b w:val="0"/>
                <w:bCs w:val="0"/>
                <w:caps w:val="0"/>
                <w:smallCaps w:val="0"/>
                <w:color w:val="auto"/>
                <w:kern w:val="2"/>
                <w:sz w:val="24"/>
                <w:szCs w:val="24"/>
                <w:highlight w:val="none"/>
                <w:lang w:val="zh-CN" w:eastAsia="zh-CN" w:bidi="ar-SA"/>
              </w:rPr>
              <w:t>承担责任的方式须满足无条件见索即付条件。</w:t>
            </w:r>
          </w:p>
        </w:tc>
      </w:tr>
      <w:tr w14:paraId="327E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14:paraId="59DF8D60">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10</w:t>
            </w:r>
          </w:p>
        </w:tc>
        <w:tc>
          <w:tcPr>
            <w:tcW w:w="818" w:type="pct"/>
            <w:vAlign w:val="center"/>
          </w:tcPr>
          <w:p w14:paraId="019BB931">
            <w:pPr>
              <w:pStyle w:val="76"/>
              <w:widowControl w:val="0"/>
              <w:spacing w:before="0" w:beforeAutospacing="0" w:after="0" w:afterAutospacing="0" w:line="360" w:lineRule="auto"/>
              <w:jc w:val="lef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不予退还磋商保证金的情形</w:t>
            </w:r>
          </w:p>
        </w:tc>
        <w:tc>
          <w:tcPr>
            <w:tcW w:w="3621" w:type="pct"/>
            <w:vAlign w:val="center"/>
          </w:tcPr>
          <w:p w14:paraId="40DA6080">
            <w:pPr>
              <w:snapToGrid w:val="0"/>
              <w:spacing w:line="360" w:lineRule="auto"/>
              <w:ind w:firstLine="120" w:firstLineChars="50"/>
              <w:rPr>
                <w:rFonts w:hint="eastAsia" w:ascii="宋体" w:hAnsi="宋体" w:eastAsia="宋体" w:cs="宋体"/>
                <w:b w:val="0"/>
                <w:color w:val="auto"/>
                <w:sz w:val="24"/>
                <w:szCs w:val="24"/>
                <w:highlight w:val="none"/>
                <w:u w:val="none"/>
                <w:lang w:eastAsia="zh-CN"/>
              </w:rPr>
            </w:pPr>
            <w:r>
              <w:rPr>
                <w:rFonts w:hint="eastAsia" w:cs="宋体"/>
                <w:caps w:val="0"/>
                <w:smallCaps w:val="0"/>
                <w:color w:val="auto"/>
                <w:kern w:val="2"/>
                <w:sz w:val="24"/>
                <w:szCs w:val="24"/>
                <w:highlight w:val="none"/>
                <w:lang w:val="en-US" w:eastAsia="zh-CN" w:bidi="ar-SA"/>
              </w:rPr>
              <w:t>/</w:t>
            </w:r>
          </w:p>
        </w:tc>
      </w:tr>
      <w:tr w14:paraId="095D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44FCDC6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1</w:t>
            </w:r>
          </w:p>
        </w:tc>
        <w:tc>
          <w:tcPr>
            <w:tcW w:w="818" w:type="pct"/>
            <w:vAlign w:val="center"/>
          </w:tcPr>
          <w:p w14:paraId="22467C71">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磋商现场提交的其他材料要求</w:t>
            </w:r>
          </w:p>
        </w:tc>
        <w:tc>
          <w:tcPr>
            <w:tcW w:w="3621" w:type="pct"/>
            <w:vAlign w:val="center"/>
          </w:tcPr>
          <w:p w14:paraId="5FF5769D">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u w:val="single"/>
                <w:lang w:val="en-US" w:eastAsia="zh-CN"/>
              </w:rPr>
              <w:t>/</w:t>
            </w:r>
          </w:p>
        </w:tc>
      </w:tr>
      <w:tr w14:paraId="60EA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62E18C5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2</w:t>
            </w:r>
          </w:p>
        </w:tc>
        <w:tc>
          <w:tcPr>
            <w:tcW w:w="818" w:type="pct"/>
            <w:vAlign w:val="center"/>
          </w:tcPr>
          <w:p w14:paraId="42AA6016">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解密时间</w:t>
            </w:r>
          </w:p>
        </w:tc>
        <w:tc>
          <w:tcPr>
            <w:tcW w:w="3621" w:type="pct"/>
            <w:vAlign w:val="center"/>
          </w:tcPr>
          <w:p w14:paraId="4657298D">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lang w:eastAsia="zh-CN"/>
              </w:rPr>
              <w:t>投标文件</w:t>
            </w:r>
            <w:r>
              <w:rPr>
                <w:rFonts w:hint="eastAsia" w:ascii="宋体" w:hAnsi="宋体" w:eastAsia="宋体" w:cs="宋体"/>
                <w:b w:val="0"/>
                <w:color w:val="auto"/>
                <w:sz w:val="24"/>
                <w:szCs w:val="24"/>
                <w:highlight w:val="none"/>
                <w:u w:val="none"/>
              </w:rPr>
              <w:t>提交截止时间后30分钟内（以电子交易系统解密倒计时为准）</w:t>
            </w:r>
          </w:p>
        </w:tc>
      </w:tr>
      <w:tr w14:paraId="0FEA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0" w:type="pct"/>
            <w:vMerge w:val="restart"/>
            <w:vAlign w:val="center"/>
          </w:tcPr>
          <w:p w14:paraId="52717B47">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3</w:t>
            </w:r>
          </w:p>
        </w:tc>
        <w:tc>
          <w:tcPr>
            <w:tcW w:w="818" w:type="pct"/>
            <w:vMerge w:val="restart"/>
            <w:vAlign w:val="center"/>
          </w:tcPr>
          <w:p w14:paraId="000C8D94">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和</w:t>
            </w:r>
            <w:r>
              <w:rPr>
                <w:rFonts w:hint="eastAsia" w:ascii="宋体" w:hAnsi="宋体" w:eastAsia="宋体" w:cs="宋体"/>
                <w:b w:val="0"/>
                <w:color w:val="auto"/>
                <w:sz w:val="24"/>
                <w:szCs w:val="24"/>
                <w:highlight w:val="none"/>
                <w:lang w:eastAsia="zh-CN"/>
              </w:rPr>
              <w:t>中标人</w:t>
            </w:r>
          </w:p>
        </w:tc>
        <w:tc>
          <w:tcPr>
            <w:tcW w:w="3621" w:type="pct"/>
            <w:vAlign w:val="center"/>
          </w:tcPr>
          <w:p w14:paraId="043A8FAE">
            <w:pPr>
              <w:pStyle w:val="76"/>
              <w:widowControl w:val="0"/>
              <w:spacing w:before="0" w:beforeAutospacing="0" w:after="0" w:afterAutospacing="0" w:line="360" w:lineRule="auto"/>
              <w:jc w:val="both"/>
              <w:rPr>
                <w:rFonts w:hint="default" w:ascii="宋体" w:hAnsi="宋体" w:eastAsia="宋体" w:cs="宋体"/>
                <w:b w:val="0"/>
                <w:color w:val="auto"/>
                <w:sz w:val="24"/>
                <w:szCs w:val="24"/>
                <w:highlight w:val="none"/>
                <w:u w:val="single"/>
                <w:lang w:val="en-US" w:eastAsia="zh-CN"/>
              </w:rPr>
            </w:pP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推荐</w:t>
            </w:r>
            <w:r>
              <w:rPr>
                <w:rFonts w:hint="eastAsia" w:ascii="宋体" w:hAnsi="宋体" w:eastAsia="宋体" w:cs="宋体"/>
                <w:b w:val="0"/>
                <w:color w:val="auto"/>
                <w:sz w:val="24"/>
                <w:szCs w:val="24"/>
                <w:highlight w:val="none"/>
                <w:lang w:eastAsia="zh-CN"/>
              </w:rPr>
              <w:t>中标候选人</w:t>
            </w:r>
            <w:r>
              <w:rPr>
                <w:rFonts w:hint="eastAsia" w:ascii="宋体" w:hAnsi="宋体" w:eastAsia="宋体" w:cs="宋体"/>
                <w:b w:val="0"/>
                <w:color w:val="auto"/>
                <w:sz w:val="24"/>
                <w:szCs w:val="24"/>
                <w:highlight w:val="none"/>
              </w:rPr>
              <w:t>的数量：</w:t>
            </w:r>
            <w:r>
              <w:rPr>
                <w:rFonts w:hint="eastAsia" w:cs="宋体"/>
                <w:b w:val="0"/>
                <w:color w:val="auto"/>
                <w:sz w:val="24"/>
                <w:szCs w:val="24"/>
                <w:highlight w:val="none"/>
                <w:u w:val="single"/>
                <w:lang w:val="en-US" w:eastAsia="zh-CN"/>
              </w:rPr>
              <w:t>第一中标候选人1家</w:t>
            </w:r>
          </w:p>
        </w:tc>
      </w:tr>
      <w:tr w14:paraId="123D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Merge w:val="continue"/>
            <w:vAlign w:val="center"/>
          </w:tcPr>
          <w:p w14:paraId="6EAA4CD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rPr>
            </w:pPr>
          </w:p>
        </w:tc>
        <w:tc>
          <w:tcPr>
            <w:tcW w:w="818" w:type="pct"/>
            <w:vMerge w:val="continue"/>
            <w:vAlign w:val="center"/>
          </w:tcPr>
          <w:p w14:paraId="2D2F4EA0">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p>
        </w:tc>
        <w:tc>
          <w:tcPr>
            <w:tcW w:w="3621" w:type="pct"/>
            <w:vAlign w:val="center"/>
          </w:tcPr>
          <w:p w14:paraId="0D71D89C">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w:t>
            </w:r>
          </w:p>
          <w:p w14:paraId="7AAD9FE3">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52"/>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委托</w:t>
            </w:r>
            <w:r>
              <w:rPr>
                <w:rFonts w:hint="eastAsia" w:cs="宋体"/>
                <w:b w:val="0"/>
                <w:color w:val="auto"/>
                <w:sz w:val="24"/>
                <w:szCs w:val="24"/>
                <w:highlight w:val="none"/>
                <w:lang w:eastAsia="zh-CN"/>
              </w:rPr>
              <w:t>评审小组</w:t>
            </w:r>
            <w:r>
              <w:rPr>
                <w:rFonts w:hint="eastAsia" w:ascii="宋体" w:hAnsi="宋体" w:eastAsia="宋体" w:cs="宋体"/>
                <w:b w:val="0"/>
                <w:color w:val="auto"/>
                <w:sz w:val="24"/>
                <w:szCs w:val="24"/>
                <w:highlight w:val="none"/>
              </w:rPr>
              <w:t xml:space="preserve">确定     </w:t>
            </w:r>
          </w:p>
          <w:p w14:paraId="5E4F2175">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2" w:char="00A3"/>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确定</w:t>
            </w:r>
          </w:p>
        </w:tc>
      </w:tr>
      <w:tr w14:paraId="3358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767971C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4</w:t>
            </w:r>
          </w:p>
        </w:tc>
        <w:tc>
          <w:tcPr>
            <w:tcW w:w="818" w:type="pct"/>
            <w:vAlign w:val="center"/>
          </w:tcPr>
          <w:p w14:paraId="4C9427AB">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发出的形式</w:t>
            </w:r>
          </w:p>
        </w:tc>
        <w:tc>
          <w:tcPr>
            <w:tcW w:w="3621" w:type="pct"/>
            <w:vAlign w:val="center"/>
          </w:tcPr>
          <w:p w14:paraId="07AEC084">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□书面     </w:t>
            </w: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color w:val="auto"/>
                <w:sz w:val="24"/>
                <w:szCs w:val="24"/>
                <w:highlight w:val="none"/>
              </w:rPr>
              <w:t>数据电文</w:t>
            </w:r>
          </w:p>
          <w:p w14:paraId="64DCEBDC">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特别提醒：本项目发布</w:t>
            </w:r>
            <w:r>
              <w:rPr>
                <w:rFonts w:hint="eastAsia" w:ascii="宋体" w:hAnsi="宋体" w:eastAsia="宋体" w:cs="宋体"/>
                <w:b w:val="0"/>
                <w:color w:val="auto"/>
                <w:sz w:val="24"/>
                <w:szCs w:val="24"/>
                <w:highlight w:val="none"/>
                <w:lang w:eastAsia="zh-CN"/>
              </w:rPr>
              <w:t>中标结果公告</w:t>
            </w:r>
            <w:r>
              <w:rPr>
                <w:rFonts w:hint="eastAsia" w:ascii="宋体" w:hAnsi="宋体" w:eastAsia="宋体" w:cs="宋体"/>
                <w:b w:val="0"/>
                <w:color w:val="auto"/>
                <w:sz w:val="24"/>
                <w:szCs w:val="24"/>
                <w:highlight w:val="none"/>
              </w:rPr>
              <w:t>的同时，通过电子交易系统向</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发出</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eastAsia="zh-CN"/>
              </w:rPr>
              <w:t>中标通知书</w:t>
            </w:r>
            <w:r>
              <w:rPr>
                <w:rFonts w:hint="eastAsia" w:ascii="宋体" w:hAnsi="宋体" w:eastAsia="宋体" w:cs="宋体"/>
                <w:b w:val="0"/>
                <w:color w:val="auto"/>
                <w:sz w:val="24"/>
                <w:szCs w:val="24"/>
                <w:highlight w:val="none"/>
              </w:rPr>
              <w:t>发出视为已送达，</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应主动登录电子交易系统查询，</w:t>
            </w:r>
            <w:r>
              <w:rPr>
                <w:rFonts w:hint="eastAsia" w:ascii="宋体" w:hAnsi="宋体" w:eastAsia="宋体" w:cs="宋体"/>
                <w:b w:val="0"/>
                <w:color w:val="auto"/>
                <w:sz w:val="24"/>
                <w:szCs w:val="24"/>
                <w:highlight w:val="none"/>
                <w:lang w:eastAsia="zh-CN"/>
              </w:rPr>
              <w:t>代理机构</w:t>
            </w:r>
            <w:r>
              <w:rPr>
                <w:rFonts w:hint="eastAsia" w:ascii="宋体" w:hAnsi="宋体" w:eastAsia="宋体" w:cs="宋体"/>
                <w:b w:val="0"/>
                <w:color w:val="auto"/>
                <w:sz w:val="24"/>
                <w:szCs w:val="24"/>
                <w:highlight w:val="none"/>
              </w:rPr>
              <w:t>不承担</w:t>
            </w:r>
            <w:r>
              <w:rPr>
                <w:rFonts w:hint="eastAsia" w:ascii="宋体" w:hAnsi="宋体" w:eastAsia="宋体" w:cs="宋体"/>
                <w:b w:val="0"/>
                <w:color w:val="auto"/>
                <w:sz w:val="24"/>
                <w:szCs w:val="24"/>
                <w:highlight w:val="none"/>
                <w:lang w:eastAsia="zh-CN"/>
              </w:rPr>
              <w:t>投标人</w:t>
            </w:r>
            <w:r>
              <w:rPr>
                <w:rFonts w:hint="eastAsia" w:ascii="宋体" w:hAnsi="宋体" w:eastAsia="宋体" w:cs="宋体"/>
                <w:b w:val="0"/>
                <w:color w:val="auto"/>
                <w:sz w:val="24"/>
                <w:szCs w:val="24"/>
                <w:highlight w:val="none"/>
              </w:rPr>
              <w:t>未及时关注相关信息引发的相关责任。</w:t>
            </w:r>
          </w:p>
        </w:tc>
      </w:tr>
      <w:tr w14:paraId="1298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381E00A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5</w:t>
            </w:r>
          </w:p>
        </w:tc>
        <w:tc>
          <w:tcPr>
            <w:tcW w:w="818" w:type="pct"/>
            <w:vAlign w:val="center"/>
          </w:tcPr>
          <w:p w14:paraId="0EE9DBF5">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告知磋商结果的形式</w:t>
            </w:r>
          </w:p>
        </w:tc>
        <w:tc>
          <w:tcPr>
            <w:tcW w:w="3621" w:type="pct"/>
            <w:vAlign w:val="center"/>
          </w:tcPr>
          <w:p w14:paraId="6A83FB21">
            <w:pPr>
              <w:pStyle w:val="7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sym w:font="Wingdings" w:char="F0FE"/>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val="0"/>
                <w:color w:val="auto"/>
                <w:sz w:val="24"/>
                <w:szCs w:val="24"/>
                <w:highlight w:val="none"/>
              </w:rPr>
              <w:t>系统查看</w:t>
            </w:r>
          </w:p>
          <w:p w14:paraId="21B1A95B">
            <w:pPr>
              <w:pStyle w:val="76"/>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□磋商现场告知</w:t>
            </w:r>
          </w:p>
        </w:tc>
      </w:tr>
      <w:tr w14:paraId="3C8E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4730EF15">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6</w:t>
            </w:r>
          </w:p>
        </w:tc>
        <w:tc>
          <w:tcPr>
            <w:tcW w:w="818" w:type="pct"/>
            <w:vAlign w:val="center"/>
          </w:tcPr>
          <w:p w14:paraId="3616F0FA">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621" w:type="pct"/>
          </w:tcPr>
          <w:p w14:paraId="40680BB5">
            <w:pPr>
              <w:snapToGrid w:val="0"/>
              <w:spacing w:line="360" w:lineRule="auto"/>
              <w:rPr>
                <w:rFonts w:hint="default" w:ascii="宋体" w:hAnsi="宋体" w:eastAsia="宋体" w:cs="宋体"/>
                <w:bCs/>
                <w:snapToGrid w:val="0"/>
                <w:color w:val="auto"/>
                <w:sz w:val="24"/>
                <w:szCs w:val="24"/>
                <w:highlight w:val="none"/>
                <w:lang w:val="en-US" w:eastAsia="zh-CN"/>
              </w:rPr>
            </w:pPr>
            <w:r>
              <w:rPr>
                <w:rFonts w:hint="eastAsia" w:ascii="宋体" w:hAnsi="宋体" w:eastAsia="宋体" w:cs="宋体"/>
                <w:bCs/>
                <w:snapToGrid w:val="0"/>
                <w:color w:val="auto"/>
                <w:sz w:val="24"/>
                <w:szCs w:val="24"/>
                <w:highlight w:val="none"/>
              </w:rPr>
              <w:t>（1）金额：</w:t>
            </w:r>
            <w:r>
              <w:rPr>
                <w:rFonts w:hint="eastAsia" w:cs="宋体"/>
                <w:bCs/>
                <w:snapToGrid w:val="0"/>
                <w:color w:val="auto"/>
                <w:sz w:val="24"/>
                <w:szCs w:val="24"/>
                <w:highlight w:val="none"/>
                <w:lang w:val="en-US" w:eastAsia="zh-CN"/>
              </w:rPr>
              <w:t>中标价的2%</w:t>
            </w:r>
          </w:p>
          <w:p w14:paraId="3D5E6F9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缴纳</w:t>
            </w:r>
            <w:r>
              <w:rPr>
                <w:rFonts w:hint="eastAsia" w:ascii="宋体" w:hAnsi="宋体" w:eastAsia="宋体" w:cs="宋体"/>
                <w:bCs/>
                <w:snapToGrid w:val="0"/>
                <w:color w:val="auto"/>
                <w:sz w:val="24"/>
                <w:szCs w:val="24"/>
                <w:highlight w:val="none"/>
              </w:rPr>
              <w:t>形式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银行转账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银行电汇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银行保函</w:t>
            </w:r>
          </w:p>
          <w:p w14:paraId="4BFFB246">
            <w:pPr>
              <w:snapToGrid w:val="0"/>
              <w:spacing w:line="360" w:lineRule="auto"/>
              <w:rPr>
                <w:rFonts w:hint="eastAsia" w:ascii="宋体" w:hAnsi="宋体" w:eastAsia="宋体" w:cs="宋体"/>
                <w:b/>
                <w:bCs/>
                <w:snapToGrid w:val="0"/>
                <w:color w:val="auto"/>
                <w:sz w:val="24"/>
                <w:szCs w:val="24"/>
                <w:highlight w:val="none"/>
              </w:rPr>
            </w:pPr>
            <w:r>
              <w:rPr>
                <w:rFonts w:hint="eastAsia" w:ascii="宋体" w:hAnsi="宋体" w:eastAsia="宋体" w:cs="宋体"/>
                <w:color w:val="auto"/>
                <w:sz w:val="24"/>
                <w:szCs w:val="24"/>
                <w:highlight w:val="none"/>
              </w:rPr>
              <w:t>（3）具体要求：采用银行保函的，应为不可撤销、不可转让的见索即付独立保函。</w:t>
            </w:r>
          </w:p>
          <w:p w14:paraId="4EC65AA9">
            <w:pPr>
              <w:snapToGrid w:val="0"/>
              <w:spacing w:line="360" w:lineRule="auto"/>
              <w:rPr>
                <w:rFonts w:hint="eastAsia" w:ascii="宋体" w:hAnsi="宋体" w:eastAsia="宋体" w:cs="宋体"/>
                <w:color w:val="auto"/>
                <w:sz w:val="24"/>
                <w:szCs w:val="24"/>
                <w:highlight w:val="none"/>
              </w:rPr>
            </w:pPr>
            <w:r>
              <w:rPr>
                <w:rFonts w:hint="eastAsia" w:ascii="Times New Roman" w:hAnsi="Times New Roman" w:eastAsia="宋体" w:cs="楷体"/>
                <w:bCs/>
                <w:snapToGrid w:val="0"/>
                <w:color w:val="auto"/>
                <w:highlight w:val="none"/>
                <w:lang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履约保证金提交期限的要求：接到甲方中标通知后</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日内。</w:t>
            </w:r>
          </w:p>
          <w:p w14:paraId="59B74BA3">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）履约保证金退还时限：完成全部供货并经招标人验收合格后7个工作日内退还</w:t>
            </w:r>
            <w:r>
              <w:rPr>
                <w:rFonts w:hint="eastAsia" w:cs="宋体"/>
                <w:color w:val="auto"/>
                <w:sz w:val="24"/>
                <w:szCs w:val="24"/>
                <w:highlight w:val="none"/>
                <w:lang w:val="en-US" w:eastAsia="zh-CN"/>
              </w:rPr>
              <w:t>。</w:t>
            </w:r>
          </w:p>
          <w:p w14:paraId="5DD62143">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）其他要求：</w:t>
            </w:r>
            <w:r>
              <w:rPr>
                <w:rFonts w:hint="eastAsia" w:cs="宋体"/>
                <w:b w:val="0"/>
                <w:bCs w:val="0"/>
                <w:color w:val="auto"/>
                <w:sz w:val="24"/>
                <w:szCs w:val="24"/>
                <w:highlight w:val="none"/>
                <w:u w:val="single"/>
                <w:lang w:val="en-US" w:eastAsia="zh-CN"/>
              </w:rPr>
              <w:t>/</w:t>
            </w:r>
          </w:p>
        </w:tc>
      </w:tr>
      <w:tr w14:paraId="18EC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034C893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w:t>
            </w:r>
            <w:r>
              <w:rPr>
                <w:rFonts w:hint="eastAsia" w:cs="宋体"/>
                <w:bCs/>
                <w:color w:val="auto"/>
                <w:kern w:val="2"/>
                <w:sz w:val="24"/>
                <w:szCs w:val="24"/>
                <w:highlight w:val="none"/>
                <w:lang w:val="en-US" w:eastAsia="zh-CN"/>
              </w:rPr>
              <w:t>7</w:t>
            </w:r>
          </w:p>
        </w:tc>
        <w:tc>
          <w:tcPr>
            <w:tcW w:w="818" w:type="pct"/>
            <w:vAlign w:val="center"/>
          </w:tcPr>
          <w:p w14:paraId="4061ECE4">
            <w:pPr>
              <w:snapToGrid w:val="0"/>
              <w:spacing w:line="360" w:lineRule="auto"/>
              <w:jc w:val="center"/>
              <w:rPr>
                <w:rFonts w:hint="eastAsia" w:ascii="宋体" w:hAnsi="Times New Roman" w:eastAsia="宋体" w:cs="楷体"/>
                <w:bCs/>
                <w:snapToGrid w:val="0"/>
                <w:color w:val="auto"/>
                <w:sz w:val="24"/>
                <w:szCs w:val="24"/>
                <w:highlight w:val="none"/>
                <w:lang w:val="en-US" w:eastAsia="zh-CN" w:bidi="ar-SA"/>
              </w:rPr>
            </w:pPr>
            <w:r>
              <w:rPr>
                <w:rFonts w:hint="eastAsia" w:ascii="Times New Roman" w:cs="宋体"/>
                <w:bCs/>
                <w:snapToGrid w:val="0"/>
                <w:color w:val="auto"/>
                <w:sz w:val="24"/>
                <w:szCs w:val="24"/>
                <w:highlight w:val="none"/>
              </w:rPr>
              <w:t>招标代理服务费</w:t>
            </w:r>
          </w:p>
        </w:tc>
        <w:tc>
          <w:tcPr>
            <w:tcW w:w="3621" w:type="pct"/>
            <w:vAlign w:val="center"/>
          </w:tcPr>
          <w:p w14:paraId="6DFFAC37">
            <w:pPr>
              <w:widowControl/>
              <w:snapToGrid w:val="0"/>
              <w:spacing w:line="360" w:lineRule="auto"/>
              <w:jc w:val="left"/>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（1）招标代理服务费：中标人在领取中标通知书前须向招标代理机构缴纳招标代理服务费，可以银行转账、银行电汇方式。</w:t>
            </w:r>
          </w:p>
          <w:p w14:paraId="5F6C4027">
            <w:pPr>
              <w:widowControl/>
              <w:snapToGrid w:val="0"/>
              <w:spacing w:line="360" w:lineRule="auto"/>
              <w:jc w:val="left"/>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招标代理服务费：以每标段的中标价为计算基数，具体收取金额为附件1对应表格相应招标类别收费标准的80%，</w:t>
            </w:r>
            <w:r>
              <w:rPr>
                <w:rFonts w:hint="eastAsia" w:ascii="Times New Roman" w:hAnsi="Times New Roman" w:eastAsia="宋体" w:cs="宋体"/>
                <w:bCs/>
                <w:color w:val="auto"/>
                <w:sz w:val="24"/>
                <w:szCs w:val="24"/>
                <w:highlight w:val="none"/>
                <w:lang w:val="en-US" w:eastAsia="zh-CN"/>
              </w:rPr>
              <w:t>每标段收取金额不足4000元的按照4000元最低标准收取。</w:t>
            </w:r>
          </w:p>
          <w:p w14:paraId="23DEC585">
            <w:pPr>
              <w:widowControl/>
              <w:numPr>
                <w:ilvl w:val="0"/>
                <w:numId w:val="0"/>
              </w:numPr>
              <w:snapToGrid w:val="0"/>
              <w:spacing w:line="360" w:lineRule="auto"/>
              <w:ind w:leftChars="0"/>
              <w:jc w:val="left"/>
              <w:rPr>
                <w:rFonts w:hint="eastAsia" w:ascii="Times New Roman" w:hAnsi="Times New Roman" w:eastAsia="宋体" w:cs="宋体"/>
                <w:bCs/>
                <w:color w:val="auto"/>
                <w:sz w:val="24"/>
                <w:szCs w:val="24"/>
                <w:highlight w:val="none"/>
                <w:lang w:val="en-US" w:eastAsia="zh-CN"/>
              </w:rPr>
            </w:pPr>
            <w:r>
              <w:rPr>
                <w:rFonts w:hint="eastAsia" w:ascii="Times New Roman" w:hAnsi="Times New Roman" w:cs="宋体"/>
                <w:bCs/>
                <w:color w:val="auto"/>
                <w:sz w:val="24"/>
                <w:szCs w:val="24"/>
                <w:highlight w:val="none"/>
                <w:lang w:val="en-US" w:eastAsia="zh-CN"/>
              </w:rPr>
              <w:t>（2）</w:t>
            </w:r>
            <w:r>
              <w:rPr>
                <w:rFonts w:hint="eastAsia" w:ascii="Times New Roman" w:hAnsi="Times New Roman" w:eastAsia="宋体" w:cs="宋体"/>
                <w:bCs/>
                <w:color w:val="auto"/>
                <w:sz w:val="24"/>
                <w:szCs w:val="24"/>
                <w:highlight w:val="none"/>
                <w:lang w:val="en-US" w:eastAsia="zh-CN"/>
              </w:rPr>
              <w:t>以上相关费用，投标人在报价单中不单列，包含在投标总价中，招标人不再单独计量支付。</w:t>
            </w:r>
          </w:p>
          <w:p w14:paraId="08C765C6">
            <w:pPr>
              <w:pStyle w:val="19"/>
              <w:numPr>
                <w:ilvl w:val="0"/>
                <w:numId w:val="0"/>
              </w:numPr>
              <w:ind w:leftChars="0"/>
              <w:rPr>
                <w:rFonts w:hint="eastAsia"/>
                <w:color w:val="auto"/>
                <w:highlight w:val="none"/>
                <w:lang w:val="en-US" w:eastAsia="zh-CN"/>
              </w:rPr>
            </w:pPr>
            <w:r>
              <w:rPr>
                <w:rFonts w:hint="eastAsia" w:ascii="Times New Roman" w:hAnsi="Times New Roman" w:cs="宋体"/>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val="en-US" w:eastAsia="zh-CN"/>
              </w:rPr>
              <w:t>以上费用代理机构有权从磋商保证金中优先扣除。</w:t>
            </w:r>
          </w:p>
        </w:tc>
      </w:tr>
      <w:tr w14:paraId="6F17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39004E6B">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rPr>
              <w:t>18</w:t>
            </w:r>
          </w:p>
        </w:tc>
        <w:tc>
          <w:tcPr>
            <w:tcW w:w="818" w:type="pct"/>
            <w:vAlign w:val="center"/>
          </w:tcPr>
          <w:p w14:paraId="783B3D35">
            <w:pPr>
              <w:pStyle w:val="7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补充约定</w:t>
            </w:r>
          </w:p>
        </w:tc>
        <w:tc>
          <w:tcPr>
            <w:tcW w:w="3621" w:type="pct"/>
            <w:vAlign w:val="center"/>
          </w:tcPr>
          <w:p w14:paraId="0F49099F">
            <w:pPr>
              <w:pageBreakBefore w:val="0"/>
              <w:widowControl w:val="0"/>
              <w:kinsoku/>
              <w:wordWrap/>
              <w:overflowPunct/>
              <w:topLinePunct w:val="0"/>
              <w:autoSpaceDE/>
              <w:autoSpaceDN/>
              <w:bidi w:val="0"/>
              <w:adjustRightInd w:val="0"/>
              <w:snapToGrid w:val="0"/>
              <w:spacing w:line="360" w:lineRule="auto"/>
              <w:textAlignment w:val="auto"/>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eastAsia="zh-CN"/>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2家</w:t>
            </w:r>
            <w:r>
              <w:rPr>
                <w:rFonts w:hint="eastAsia" w:ascii="宋体" w:hAnsi="宋体" w:eastAsia="宋体" w:cs="宋体"/>
                <w:color w:val="auto"/>
                <w:sz w:val="24"/>
                <w:szCs w:val="24"/>
                <w:highlight w:val="none"/>
                <w:lang w:val="en-US" w:eastAsia="zh-CN"/>
              </w:rPr>
              <w:t>及以上的</w:t>
            </w:r>
            <w:r>
              <w:rPr>
                <w:rFonts w:hint="eastAsia" w:ascii="宋体" w:hAnsi="宋体" w:eastAsia="宋体" w:cs="宋体"/>
                <w:color w:val="auto"/>
                <w:sz w:val="24"/>
                <w:szCs w:val="24"/>
                <w:highlight w:val="none"/>
                <w:lang w:eastAsia="zh-CN"/>
              </w:rPr>
              <w:t>，按</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约定进行评审并确定结果</w:t>
            </w:r>
            <w:r>
              <w:rPr>
                <w:rFonts w:hint="eastAsia" w:ascii="宋体" w:hAnsi="宋体" w:eastAsia="宋体" w:cs="宋体"/>
                <w:color w:val="auto"/>
                <w:sz w:val="24"/>
                <w:szCs w:val="24"/>
                <w:highlight w:val="none"/>
                <w:lang w:val="en-US" w:eastAsia="zh-CN"/>
              </w:rPr>
              <w:t>。</w:t>
            </w:r>
          </w:p>
          <w:p w14:paraId="3EB111FF">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bidi="ar-SA"/>
              </w:rPr>
            </w:pPr>
            <w:r>
              <w:rPr>
                <w:rFonts w:hint="eastAsia" w:asciiTheme="minorEastAsia" w:hAnsiTheme="minorEastAsia" w:eastAsiaTheme="minorEastAsia"/>
                <w:color w:val="auto"/>
                <w:sz w:val="24"/>
                <w:highlight w:val="none"/>
                <w:lang w:eastAsia="zh-CN"/>
              </w:rPr>
              <w:t>☑</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lang w:eastAsia="zh-CN"/>
              </w:rPr>
              <w:t>的投标人</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lang w:eastAsia="zh-CN"/>
              </w:rPr>
              <w:t>1家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且评审小组认为具有竞争性的，继续评审（不进行第四章“</w:t>
            </w:r>
            <w:r>
              <w:rPr>
                <w:rFonts w:hint="eastAsia" w:ascii="宋体" w:hAnsi="宋体" w:eastAsia="宋体" w:cs="宋体"/>
                <w:color w:val="auto"/>
                <w:sz w:val="24"/>
                <w:szCs w:val="24"/>
                <w:highlight w:val="none"/>
              </w:rPr>
              <w:t>2.2综合</w:t>
            </w:r>
            <w:r>
              <w:rPr>
                <w:rFonts w:hint="eastAsia" w:ascii="宋体" w:hAnsi="宋体" w:eastAsia="宋体" w:cs="宋体"/>
                <w:color w:val="auto"/>
                <w:sz w:val="24"/>
                <w:szCs w:val="24"/>
                <w:highlight w:val="none"/>
                <w:lang w:eastAsia="zh-CN"/>
              </w:rPr>
              <w:t>评估”</w:t>
            </w:r>
            <w:r>
              <w:rPr>
                <w:rFonts w:hint="eastAsia" w:ascii="宋体" w:hAnsi="宋体" w:eastAsia="宋体" w:cs="宋体"/>
                <w:color w:val="auto"/>
                <w:sz w:val="24"/>
                <w:szCs w:val="24"/>
                <w:highlight w:val="none"/>
                <w:lang w:val="en-US" w:eastAsia="zh-CN"/>
              </w:rPr>
              <w:t>评审程序）并确定结果。</w:t>
            </w:r>
          </w:p>
        </w:tc>
      </w:tr>
      <w:tr w14:paraId="18C7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56E997C4">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19</w:t>
            </w:r>
          </w:p>
        </w:tc>
        <w:tc>
          <w:tcPr>
            <w:tcW w:w="818" w:type="pct"/>
            <w:vAlign w:val="center"/>
          </w:tcPr>
          <w:p w14:paraId="7FD97F3C">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报价须知</w:t>
            </w:r>
          </w:p>
        </w:tc>
        <w:tc>
          <w:tcPr>
            <w:tcW w:w="3621" w:type="pct"/>
            <w:vAlign w:val="center"/>
          </w:tcPr>
          <w:p w14:paraId="32CB20F6">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lang w:val="en-US" w:eastAsia="zh-CN"/>
              </w:rPr>
              <w:t>1</w:t>
            </w: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rPr>
              <w:t>投标人的报价应包含所投货物的供货、包装运输及保险、安装、调试、考核验收、培训、交付后约定期限内免费维修保养服务、税费等所有工作和应有费用。</w:t>
            </w:r>
          </w:p>
          <w:p w14:paraId="1751BB89">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）投标人最终投标报价不得高于磋商文件（公告）列明的项目预算、最高投标限价，否则其投标文件将被否决。</w:t>
            </w:r>
          </w:p>
          <w:p w14:paraId="472F543D">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在项目磋商过程中，</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ascii="宋体" w:hAnsi="宋体" w:eastAsia="宋体" w:cs="宋体"/>
                <w:color w:val="auto"/>
                <w:kern w:val="2"/>
                <w:sz w:val="24"/>
                <w:szCs w:val="24"/>
                <w:highlight w:val="none"/>
                <w:lang w:eastAsia="zh-CN"/>
              </w:rPr>
              <w:t>投标人最终投标报价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评审小组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tc>
      </w:tr>
      <w:tr w14:paraId="2D54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7B4A078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2</w:t>
            </w:r>
            <w:r>
              <w:rPr>
                <w:rFonts w:hint="eastAsia" w:cs="宋体"/>
                <w:color w:val="auto"/>
                <w:kern w:val="2"/>
                <w:sz w:val="24"/>
                <w:szCs w:val="24"/>
                <w:highlight w:val="none"/>
                <w:lang w:val="en-US" w:eastAsia="zh-CN"/>
              </w:rPr>
              <w:t>0</w:t>
            </w:r>
          </w:p>
        </w:tc>
        <w:tc>
          <w:tcPr>
            <w:tcW w:w="818" w:type="pct"/>
            <w:vAlign w:val="center"/>
          </w:tcPr>
          <w:p w14:paraId="486BCACE">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重要说明</w:t>
            </w:r>
          </w:p>
        </w:tc>
        <w:tc>
          <w:tcPr>
            <w:tcW w:w="3621" w:type="pct"/>
            <w:vAlign w:val="center"/>
          </w:tcPr>
          <w:p w14:paraId="6BB0F04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应在规定期限内提交履约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并与</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签订合同，若</w:t>
            </w:r>
            <w:r>
              <w:rPr>
                <w:rFonts w:hint="eastAsia" w:ascii="宋体" w:hAnsi="宋体" w:eastAsia="宋体" w:cs="宋体"/>
                <w:b w:val="0"/>
                <w:bCs w:val="0"/>
                <w:color w:val="auto"/>
                <w:sz w:val="24"/>
                <w:szCs w:val="24"/>
                <w:highlight w:val="none"/>
                <w:lang w:eastAsia="zh-CN"/>
              </w:rPr>
              <w:t>中标人</w:t>
            </w:r>
            <w:r>
              <w:rPr>
                <w:rFonts w:hint="eastAsia" w:ascii="宋体" w:hAnsi="宋体" w:eastAsia="宋体" w:cs="宋体"/>
                <w:b w:val="0"/>
                <w:bCs w:val="0"/>
                <w:color w:val="auto"/>
                <w:sz w:val="24"/>
                <w:szCs w:val="24"/>
                <w:highlight w:val="none"/>
              </w:rPr>
              <w:t>未能在规定期限内提交履约</w:t>
            </w:r>
            <w:r>
              <w:rPr>
                <w:rFonts w:hint="eastAsia" w:ascii="宋体" w:hAnsi="宋体" w:eastAsia="宋体" w:cs="宋体"/>
                <w:b w:val="0"/>
                <w:bCs w:val="0"/>
                <w:color w:val="auto"/>
                <w:sz w:val="24"/>
                <w:szCs w:val="24"/>
                <w:highlight w:val="none"/>
                <w:lang w:val="en-US" w:eastAsia="zh-CN"/>
              </w:rPr>
              <w:t>保证金</w:t>
            </w:r>
            <w:r>
              <w:rPr>
                <w:rFonts w:hint="eastAsia" w:ascii="宋体" w:hAnsi="宋体" w:eastAsia="宋体" w:cs="宋体"/>
                <w:b w:val="0"/>
                <w:bCs w:val="0"/>
                <w:color w:val="auto"/>
                <w:sz w:val="24"/>
                <w:szCs w:val="24"/>
                <w:highlight w:val="none"/>
              </w:rPr>
              <w:t>或签订合同，</w:t>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有权取消</w:t>
            </w:r>
            <w:r>
              <w:rPr>
                <w:rFonts w:hint="eastAsia" w:ascii="宋体" w:hAnsi="宋体" w:eastAsia="宋体" w:cs="宋体"/>
                <w:b w:val="0"/>
                <w:bCs w:val="0"/>
                <w:color w:val="auto"/>
                <w:sz w:val="24"/>
                <w:szCs w:val="24"/>
                <w:highlight w:val="none"/>
                <w:lang w:eastAsia="zh-CN"/>
              </w:rPr>
              <w:t>中标人中标资格</w:t>
            </w:r>
            <w:r>
              <w:rPr>
                <w:rFonts w:hint="eastAsia" w:ascii="宋体" w:hAnsi="宋体" w:eastAsia="宋体" w:cs="宋体"/>
                <w:b w:val="0"/>
                <w:bCs w:val="0"/>
                <w:color w:val="auto"/>
                <w:sz w:val="24"/>
                <w:szCs w:val="24"/>
                <w:highlight w:val="none"/>
              </w:rPr>
              <w:t>；</w:t>
            </w:r>
          </w:p>
          <w:p w14:paraId="0D9E524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）合同签订后，中标人存在规定时间内不组织人员进场开工，不履行合同义务等情况，招标人有权解除合同，并追究违约责任；</w:t>
            </w:r>
          </w:p>
          <w:p w14:paraId="221568E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）中标人在中标项目发生投诉、信访举报案件、履约存在争议时，拒绝协助配合</w:t>
            </w:r>
            <w:r>
              <w:rPr>
                <w:rFonts w:hint="eastAsia" w:ascii="宋体" w:hAnsi="宋体" w:eastAsia="宋体" w:cs="宋体"/>
                <w:b w:val="0"/>
                <w:bCs w:val="0"/>
                <w:color w:val="auto"/>
                <w:sz w:val="24"/>
                <w:szCs w:val="24"/>
                <w:highlight w:val="none"/>
                <w:lang w:val="en-US" w:eastAsia="zh-CN"/>
              </w:rPr>
              <w:t>有关</w:t>
            </w:r>
            <w:r>
              <w:rPr>
                <w:rFonts w:hint="eastAsia" w:ascii="宋体" w:hAnsi="宋体" w:eastAsia="宋体" w:cs="宋体"/>
                <w:b w:val="0"/>
                <w:bCs w:val="0"/>
                <w:color w:val="auto"/>
                <w:sz w:val="24"/>
                <w:szCs w:val="24"/>
                <w:highlight w:val="none"/>
                <w:lang w:eastAsia="zh-CN"/>
              </w:rPr>
              <w:t>部门调查案件的，招标人可以取消其中标资格或解除合同，并追究其违约责任。</w:t>
            </w:r>
          </w:p>
          <w:p w14:paraId="4BC3C1F2">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参与磋商，应当诚信守法、公平竞争。如有以提供虚假材料（包括但不限于虚假技术参数响应、虚假业绩、虚假证书、虚假检测报告等）、串通磋商、隐瞒失信信息等谋取</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的行为，一经发现，招标人可以取消其中标资格或解除合同，并追究其违约责任。</w:t>
            </w:r>
          </w:p>
        </w:tc>
      </w:tr>
      <w:tr w14:paraId="5B30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60" w:type="pct"/>
            <w:vAlign w:val="center"/>
          </w:tcPr>
          <w:p w14:paraId="66F5DC08">
            <w:pPr>
              <w:snapToGrid w:val="0"/>
              <w:spacing w:line="360" w:lineRule="auto"/>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w:t>
            </w:r>
            <w:r>
              <w:rPr>
                <w:rFonts w:hint="eastAsia" w:cs="宋体"/>
                <w:bCs/>
                <w:color w:val="auto"/>
                <w:sz w:val="24"/>
                <w:szCs w:val="24"/>
                <w:highlight w:val="none"/>
                <w:lang w:val="en-US" w:eastAsia="zh-CN" w:bidi="ar-SA"/>
              </w:rPr>
              <w:t>1</w:t>
            </w:r>
          </w:p>
        </w:tc>
        <w:tc>
          <w:tcPr>
            <w:tcW w:w="818" w:type="pct"/>
            <w:vAlign w:val="center"/>
          </w:tcPr>
          <w:p w14:paraId="19D8BC73">
            <w:pPr>
              <w:snapToGrid w:val="0"/>
              <w:spacing w:line="360" w:lineRule="auto"/>
              <w:jc w:val="center"/>
              <w:rPr>
                <w:rFonts w:hint="eastAsia" w:ascii="宋体" w:hAnsi="宋体" w:eastAsia="宋体" w:cs="宋体"/>
                <w:bCs/>
                <w:snapToGrid w:val="0"/>
                <w:color w:val="auto"/>
                <w:sz w:val="24"/>
                <w:szCs w:val="24"/>
                <w:highlight w:val="none"/>
                <w:lang w:val="en-US" w:eastAsia="zh-CN" w:bidi="ar-SA"/>
              </w:rPr>
            </w:pPr>
            <w:r>
              <w:rPr>
                <w:rFonts w:hint="eastAsia" w:ascii="宋体" w:hAnsi="宋体" w:eastAsia="宋体" w:cs="宋体"/>
                <w:bCs/>
                <w:snapToGrid w:val="0"/>
                <w:color w:val="auto"/>
                <w:sz w:val="24"/>
                <w:szCs w:val="24"/>
                <w:highlight w:val="none"/>
              </w:rPr>
              <w:t>电子招标</w:t>
            </w:r>
          </w:p>
        </w:tc>
        <w:tc>
          <w:tcPr>
            <w:tcW w:w="3621" w:type="pct"/>
            <w:vAlign w:val="center"/>
          </w:tcPr>
          <w:p w14:paraId="3C968C6E">
            <w:pPr>
              <w:widowControl/>
              <w:snapToGrid w:val="0"/>
              <w:spacing w:line="360" w:lineRule="auto"/>
              <w:jc w:val="lef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eastAsia="zh-CN"/>
              </w:rPr>
              <w:t>磋商项目</w:t>
            </w:r>
            <w:r>
              <w:rPr>
                <w:rFonts w:hint="eastAsia" w:ascii="宋体" w:hAnsi="宋体" w:eastAsia="宋体" w:cs="宋体"/>
                <w:bCs/>
                <w:color w:val="auto"/>
                <w:sz w:val="24"/>
                <w:szCs w:val="24"/>
                <w:highlight w:val="none"/>
              </w:rPr>
              <w:t>实行全流程电子化交易，除</w:t>
            </w:r>
            <w:r>
              <w:rPr>
                <w:rFonts w:hint="eastAsia" w:cs="宋体"/>
                <w:bCs/>
                <w:color w:val="auto"/>
                <w:sz w:val="24"/>
                <w:szCs w:val="24"/>
                <w:highlight w:val="none"/>
                <w:lang w:eastAsia="zh-CN"/>
              </w:rPr>
              <w:t>磋商文件</w:t>
            </w:r>
            <w:r>
              <w:rPr>
                <w:rFonts w:hint="eastAsia" w:ascii="宋体" w:hAnsi="宋体" w:eastAsia="宋体" w:cs="宋体"/>
                <w:bCs/>
                <w:color w:val="auto"/>
                <w:sz w:val="24"/>
                <w:szCs w:val="24"/>
                <w:highlight w:val="none"/>
              </w:rPr>
              <w:t>另有规定外，电子招标投标操作要求见本章附件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安徽公共资源交易集团电子交易操作规程</w:t>
            </w:r>
            <w:r>
              <w:rPr>
                <w:rFonts w:hint="eastAsia" w:ascii="宋体" w:hAnsi="宋体" w:eastAsia="宋体" w:cs="宋体"/>
                <w:bCs/>
                <w:color w:val="auto"/>
                <w:sz w:val="24"/>
                <w:szCs w:val="24"/>
                <w:highlight w:val="none"/>
                <w:lang w:eastAsia="zh-CN"/>
              </w:rPr>
              <w:t>》。</w:t>
            </w:r>
          </w:p>
        </w:tc>
      </w:tr>
      <w:tr w14:paraId="69ED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7746951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2</w:t>
            </w:r>
          </w:p>
        </w:tc>
        <w:tc>
          <w:tcPr>
            <w:tcW w:w="818" w:type="pct"/>
            <w:vAlign w:val="center"/>
          </w:tcPr>
          <w:p w14:paraId="26AAF715">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解释权</w:t>
            </w:r>
          </w:p>
        </w:tc>
        <w:tc>
          <w:tcPr>
            <w:tcW w:w="3621" w:type="pct"/>
            <w:vAlign w:val="center"/>
          </w:tcPr>
          <w:p w14:paraId="75B929F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67FD8E4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E3199A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64418B0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提交阶段的规定，按</w:t>
            </w:r>
            <w:r>
              <w:rPr>
                <w:rFonts w:hint="eastAsia" w:ascii="宋体" w:hAnsi="宋体" w:eastAsia="宋体" w:cs="宋体"/>
                <w:bCs/>
                <w:color w:val="auto"/>
                <w:sz w:val="24"/>
                <w:szCs w:val="24"/>
                <w:highlight w:val="none"/>
                <w:lang w:eastAsia="zh-CN"/>
              </w:rPr>
              <w:t>磋商公告</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须知</w:t>
            </w:r>
            <w:r>
              <w:rPr>
                <w:rFonts w:hint="eastAsia" w:ascii="宋体" w:hAnsi="宋体" w:eastAsia="宋体" w:cs="宋体"/>
                <w:bCs/>
                <w:color w:val="auto"/>
                <w:sz w:val="24"/>
                <w:szCs w:val="24"/>
                <w:highlight w:val="none"/>
                <w:lang w:val="en-US" w:eastAsia="zh-CN"/>
              </w:rPr>
              <w:t>前附表</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投标人须知正文、</w:t>
            </w:r>
            <w:r>
              <w:rPr>
                <w:rFonts w:hint="eastAsia" w:ascii="宋体" w:hAnsi="宋体" w:eastAsia="宋体" w:cs="宋体"/>
                <w:bCs/>
                <w:color w:val="auto"/>
                <w:sz w:val="24"/>
                <w:szCs w:val="24"/>
                <w:highlight w:val="none"/>
              </w:rPr>
              <w:t>评审方法和标准、</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格式的先后顺序解释；</w:t>
            </w:r>
          </w:p>
          <w:p w14:paraId="6E466CEA">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有澄清的部分以最终的澄清更正内容为准</w:t>
            </w:r>
            <w:r>
              <w:rPr>
                <w:rFonts w:hint="eastAsia" w:ascii="宋体" w:hAnsi="宋体" w:eastAsia="宋体" w:cs="宋体"/>
                <w:color w:val="auto"/>
                <w:sz w:val="24"/>
                <w:szCs w:val="24"/>
                <w:highlight w:val="none"/>
                <w:lang w:eastAsia="zh-CN"/>
              </w:rPr>
              <w:t>；</w:t>
            </w:r>
          </w:p>
          <w:p w14:paraId="5D385F22">
            <w:pPr>
              <w:pStyle w:val="76"/>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）按本款前述规定仍不能形成结论的，由</w:t>
            </w:r>
            <w:r>
              <w:rPr>
                <w:rFonts w:hint="eastAsia" w:ascii="宋体"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负责解释。</w:t>
            </w:r>
          </w:p>
        </w:tc>
      </w:tr>
      <w:tr w14:paraId="416C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jc w:val="center"/>
        </w:trPr>
        <w:tc>
          <w:tcPr>
            <w:tcW w:w="560" w:type="pct"/>
            <w:vAlign w:val="center"/>
          </w:tcPr>
          <w:p w14:paraId="31575B3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2</w:t>
            </w:r>
            <w:r>
              <w:rPr>
                <w:rFonts w:hint="eastAsia" w:cs="宋体"/>
                <w:bCs/>
                <w:color w:val="auto"/>
                <w:kern w:val="2"/>
                <w:sz w:val="24"/>
                <w:szCs w:val="24"/>
                <w:highlight w:val="none"/>
                <w:lang w:val="en-US" w:eastAsia="zh-CN"/>
              </w:rPr>
              <w:t>3</w:t>
            </w:r>
          </w:p>
        </w:tc>
        <w:tc>
          <w:tcPr>
            <w:tcW w:w="818" w:type="pct"/>
            <w:vAlign w:val="center"/>
          </w:tcPr>
          <w:p w14:paraId="0703CACE">
            <w:pPr>
              <w:pStyle w:val="7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其他补充</w:t>
            </w:r>
          </w:p>
          <w:p w14:paraId="3219BB3E">
            <w:pPr>
              <w:pStyle w:val="76"/>
              <w:widowControl w:val="0"/>
              <w:spacing w:before="0" w:beforeAutospacing="0" w:after="0" w:afterAutospacing="0"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说明</w:t>
            </w:r>
          </w:p>
        </w:tc>
        <w:tc>
          <w:tcPr>
            <w:tcW w:w="3621" w:type="pct"/>
            <w:vAlign w:val="center"/>
          </w:tcPr>
          <w:p w14:paraId="3DCA3C8F">
            <w:pPr>
              <w:pStyle w:val="76"/>
              <w:widowControl w:val="0"/>
              <w:numPr>
                <w:ilvl w:val="0"/>
                <w:numId w:val="4"/>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val="0"/>
                <w:color w:val="auto"/>
                <w:sz w:val="24"/>
                <w:szCs w:val="24"/>
                <w:highlight w:val="none"/>
                <w:lang w:eastAsia="zh-CN"/>
              </w:rPr>
              <w:t>为有助于投标人选择投标产品，如</w:t>
            </w:r>
            <w:r>
              <w:rPr>
                <w:rFonts w:hint="eastAsia" w:cs="宋体"/>
                <w:b w:val="0"/>
                <w:color w:val="auto"/>
                <w:sz w:val="24"/>
                <w:szCs w:val="24"/>
                <w:highlight w:val="none"/>
                <w:lang w:val="en-US" w:eastAsia="zh-CN"/>
              </w:rPr>
              <w:t>招标人</w:t>
            </w:r>
            <w:r>
              <w:rPr>
                <w:rFonts w:hint="eastAsia" w:cs="宋体"/>
                <w:b w:val="0"/>
                <w:color w:val="auto"/>
                <w:sz w:val="24"/>
                <w:szCs w:val="24"/>
                <w:highlight w:val="none"/>
                <w:lang w:eastAsia="zh-CN"/>
              </w:rPr>
              <w:t>要求中提供了推荐品牌（或型号）、参考品牌（或型号）等，上述品牌（或型号）仅供参考，并无限制性，投标人可以选择性能不低于推荐（或参考）的品牌（或型号）的其他品牌产品；采用其他品牌（或型号）的应在投标文件中《磋商响应表》中注明并提供有关技术性能指标证明资料等供评审小组评审，未在《磋商响应表》中注明且未提供有关技术性能指标证明资料，或经评审小组评审未通过的，中标后只能从招标人推荐（或参考）品牌中进行选择，合同价格不予调整。</w:t>
            </w:r>
          </w:p>
          <w:p w14:paraId="76E1EBDB">
            <w:pPr>
              <w:pStyle w:val="76"/>
              <w:widowControl w:val="0"/>
              <w:numPr>
                <w:ilvl w:val="0"/>
                <w:numId w:val="4"/>
              </w:numPr>
              <w:spacing w:before="0" w:beforeAutospacing="0" w:after="0" w:afterAutospacing="0" w:line="360" w:lineRule="auto"/>
              <w:jc w:val="both"/>
              <w:rPr>
                <w:rFonts w:hint="eastAsia" w:cs="宋体"/>
                <w:b w:val="0"/>
                <w:color w:val="auto"/>
                <w:sz w:val="24"/>
                <w:szCs w:val="24"/>
                <w:highlight w:val="none"/>
                <w:lang w:eastAsia="zh-CN"/>
              </w:rPr>
            </w:pPr>
            <w:r>
              <w:rPr>
                <w:rFonts w:hint="eastAsia" w:cs="宋体"/>
                <w:b/>
                <w:bCs w:val="0"/>
                <w:color w:val="auto"/>
                <w:sz w:val="24"/>
                <w:szCs w:val="24"/>
                <w:highlight w:val="none"/>
                <w:lang w:val="en-US" w:eastAsia="zh-CN"/>
              </w:rPr>
              <w:t>投标人不得与</w:t>
            </w:r>
            <w:r>
              <w:rPr>
                <w:rFonts w:hint="eastAsia" w:cs="宋体"/>
                <w:b/>
                <w:bCs w:val="0"/>
                <w:color w:val="auto"/>
                <w:sz w:val="24"/>
                <w:szCs w:val="24"/>
                <w:highlight w:val="none"/>
                <w:lang w:val="zh-CN" w:eastAsia="zh-CN"/>
              </w:rPr>
              <w:t>本标段的其他投标人存在</w:t>
            </w:r>
            <w:r>
              <w:rPr>
                <w:rFonts w:hint="eastAsia" w:cs="宋体"/>
                <w:b/>
                <w:bCs w:val="0"/>
                <w:color w:val="auto"/>
                <w:sz w:val="24"/>
                <w:szCs w:val="24"/>
                <w:highlight w:val="none"/>
                <w:lang w:val="en-US" w:eastAsia="zh-CN"/>
              </w:rPr>
              <w:t>单位负责人为同一人或者存在直接控股、管理关系的情形</w:t>
            </w:r>
            <w:r>
              <w:rPr>
                <w:rFonts w:hint="eastAsia" w:cs="宋体"/>
                <w:b/>
                <w:bCs w:val="0"/>
                <w:color w:val="auto"/>
                <w:sz w:val="24"/>
                <w:szCs w:val="24"/>
                <w:highlight w:val="none"/>
                <w:lang w:val="zh-CN" w:eastAsia="zh-CN"/>
              </w:rPr>
              <w:t>。</w:t>
            </w:r>
          </w:p>
        </w:tc>
      </w:tr>
    </w:tbl>
    <w:p w14:paraId="4188D8B0">
      <w:pPr>
        <w:pStyle w:val="124"/>
        <w:adjustRightInd w:val="0"/>
        <w:snapToGrid w:val="0"/>
        <w:spacing w:line="360" w:lineRule="auto"/>
        <w:outlineLvl w:val="1"/>
        <w:rPr>
          <w:rFonts w:hint="eastAsia" w:ascii="宋体" w:hAnsi="宋体"/>
          <w:b/>
          <w:color w:val="auto"/>
          <w:sz w:val="24"/>
          <w:szCs w:val="24"/>
          <w:highlight w:val="none"/>
        </w:rPr>
      </w:pPr>
      <w:bookmarkStart w:id="4" w:name="_Toc4558"/>
    </w:p>
    <w:p w14:paraId="7B8A04B0">
      <w:pPr>
        <w:pStyle w:val="3"/>
        <w:spacing w:before="240" w:beforeLines="100" w:after="240" w:afterLines="100" w:line="240" w:lineRule="auto"/>
        <w:jc w:val="center"/>
        <w:rPr>
          <w:rFonts w:hint="eastAsia" w:ascii="Times New Roman" w:eastAsia="宋体" w:cs="宋体"/>
          <w:b/>
          <w:bCs/>
          <w:snapToGrid w:val="0"/>
          <w:color w:val="auto"/>
          <w:szCs w:val="24"/>
          <w:highlight w:val="none"/>
          <w:lang w:val="en-US" w:eastAsia="zh-CN"/>
        </w:rPr>
      </w:pPr>
      <w:bookmarkStart w:id="5" w:name="_Toc24604"/>
      <w:r>
        <w:rPr>
          <w:rFonts w:hint="eastAsia" w:ascii="Times New Roman" w:hAnsi="Times New Roman" w:eastAsia="黑体"/>
          <w:b w:val="0"/>
          <w:bCs w:val="0"/>
          <w:color w:val="auto"/>
          <w:highlight w:val="none"/>
          <w:lang w:val="en-US" w:eastAsia="zh-CN"/>
        </w:rPr>
        <w:t>附件1</w:t>
      </w:r>
      <w:r>
        <w:rPr>
          <w:rFonts w:hint="eastAsia" w:ascii="Times New Roman" w:cs="宋体"/>
          <w:bCs/>
          <w:snapToGrid w:val="0"/>
          <w:color w:val="auto"/>
          <w:szCs w:val="24"/>
          <w:highlight w:val="none"/>
        </w:rPr>
        <w:t>招标代理服务费</w:t>
      </w:r>
      <w:bookmarkEnd w:id="5"/>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5E6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759CA10C">
            <w:pPr>
              <w:spacing w:line="4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1.招标代理服务费收费标准</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1121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02586F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中标金额（万元）</w:t>
                  </w:r>
                </w:p>
              </w:tc>
              <w:tc>
                <w:tcPr>
                  <w:tcW w:w="1843" w:type="dxa"/>
                  <w:noWrap w:val="0"/>
                  <w:vAlign w:val="center"/>
                </w:tcPr>
                <w:p w14:paraId="71723D0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货物招标</w:t>
                  </w:r>
                </w:p>
              </w:tc>
              <w:tc>
                <w:tcPr>
                  <w:tcW w:w="1843" w:type="dxa"/>
                  <w:noWrap w:val="0"/>
                  <w:vAlign w:val="center"/>
                </w:tcPr>
                <w:p w14:paraId="3F7A2BD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服务招标</w:t>
                  </w:r>
                </w:p>
              </w:tc>
              <w:tc>
                <w:tcPr>
                  <w:tcW w:w="1856" w:type="dxa"/>
                  <w:noWrap w:val="0"/>
                  <w:vAlign w:val="center"/>
                </w:tcPr>
                <w:p w14:paraId="4EE8A71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工程施工/      工程总承包</w:t>
                  </w:r>
                </w:p>
              </w:tc>
            </w:tr>
            <w:tr w14:paraId="7E3C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EE34CD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100以下</w:t>
                  </w:r>
                </w:p>
              </w:tc>
              <w:tc>
                <w:tcPr>
                  <w:tcW w:w="1843" w:type="dxa"/>
                  <w:noWrap w:val="0"/>
                  <w:vAlign w:val="center"/>
                </w:tcPr>
                <w:p w14:paraId="6386BFB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noWrap w:val="0"/>
                  <w:vAlign w:val="center"/>
                </w:tcPr>
                <w:p w14:paraId="04F44607">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56" w:type="dxa"/>
                  <w:noWrap w:val="0"/>
                  <w:vAlign w:val="center"/>
                </w:tcPr>
                <w:p w14:paraId="1ADE332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r>
            <w:tr w14:paraId="3AA4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581DDF9E">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100-500</w:t>
                  </w:r>
                </w:p>
              </w:tc>
              <w:tc>
                <w:tcPr>
                  <w:tcW w:w="1843" w:type="dxa"/>
                  <w:noWrap w:val="0"/>
                  <w:vAlign w:val="center"/>
                </w:tcPr>
                <w:p w14:paraId="64D937F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1843" w:type="dxa"/>
                  <w:noWrap w:val="0"/>
                  <w:vAlign w:val="center"/>
                </w:tcPr>
                <w:p w14:paraId="1BDEA6C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56" w:type="dxa"/>
                  <w:noWrap w:val="0"/>
                  <w:vAlign w:val="center"/>
                </w:tcPr>
                <w:p w14:paraId="47F8AC3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0.7%</w:t>
                  </w:r>
                </w:p>
              </w:tc>
            </w:tr>
            <w:tr w14:paraId="2C44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61D948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500-1000</w:t>
                  </w:r>
                </w:p>
              </w:tc>
              <w:tc>
                <w:tcPr>
                  <w:tcW w:w="1843" w:type="dxa"/>
                  <w:noWrap w:val="0"/>
                  <w:vAlign w:val="center"/>
                </w:tcPr>
                <w:p w14:paraId="319E12B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0.8%</w:t>
                  </w:r>
                </w:p>
              </w:tc>
              <w:tc>
                <w:tcPr>
                  <w:tcW w:w="1843" w:type="dxa"/>
                  <w:noWrap w:val="0"/>
                  <w:vAlign w:val="center"/>
                </w:tcPr>
                <w:p w14:paraId="1CFD020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0.45%</w:t>
                  </w:r>
                </w:p>
              </w:tc>
              <w:tc>
                <w:tcPr>
                  <w:tcW w:w="1856" w:type="dxa"/>
                  <w:noWrap w:val="0"/>
                  <w:vAlign w:val="center"/>
                </w:tcPr>
                <w:p w14:paraId="7509AB1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0.55%</w:t>
                  </w:r>
                </w:p>
              </w:tc>
            </w:tr>
            <w:tr w14:paraId="6520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14B975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1000-5000</w:t>
                  </w:r>
                </w:p>
              </w:tc>
              <w:tc>
                <w:tcPr>
                  <w:tcW w:w="1843" w:type="dxa"/>
                  <w:noWrap w:val="0"/>
                  <w:vAlign w:val="center"/>
                </w:tcPr>
                <w:p w14:paraId="7C212DA1">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0.5%</w:t>
                  </w:r>
                </w:p>
              </w:tc>
              <w:tc>
                <w:tcPr>
                  <w:tcW w:w="1843" w:type="dxa"/>
                  <w:noWrap w:val="0"/>
                  <w:vAlign w:val="center"/>
                </w:tcPr>
                <w:p w14:paraId="242DB702">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56" w:type="dxa"/>
                  <w:noWrap w:val="0"/>
                  <w:vAlign w:val="center"/>
                </w:tcPr>
                <w:p w14:paraId="662226E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0.35%</w:t>
                  </w:r>
                </w:p>
              </w:tc>
            </w:tr>
            <w:tr w14:paraId="7786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FAE0103">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5000-10000</w:t>
                  </w:r>
                </w:p>
              </w:tc>
              <w:tc>
                <w:tcPr>
                  <w:tcW w:w="1843" w:type="dxa"/>
                  <w:noWrap w:val="0"/>
                  <w:vAlign w:val="center"/>
                </w:tcPr>
                <w:p w14:paraId="1964C8E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0.25%</w:t>
                  </w:r>
                </w:p>
              </w:tc>
              <w:tc>
                <w:tcPr>
                  <w:tcW w:w="1843" w:type="dxa"/>
                  <w:noWrap w:val="0"/>
                  <w:vAlign w:val="center"/>
                </w:tcPr>
                <w:p w14:paraId="3A3EC50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0.1%</w:t>
                  </w:r>
                </w:p>
              </w:tc>
              <w:tc>
                <w:tcPr>
                  <w:tcW w:w="1856" w:type="dxa"/>
                  <w:noWrap w:val="0"/>
                  <w:vAlign w:val="center"/>
                </w:tcPr>
                <w:p w14:paraId="636ACB4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w:t>
                  </w:r>
                </w:p>
              </w:tc>
            </w:tr>
            <w:tr w14:paraId="0B7A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388F6C8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10000-100000</w:t>
                  </w:r>
                </w:p>
              </w:tc>
              <w:tc>
                <w:tcPr>
                  <w:tcW w:w="1843" w:type="dxa"/>
                  <w:noWrap w:val="0"/>
                  <w:vAlign w:val="center"/>
                </w:tcPr>
                <w:p w14:paraId="1F75529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43" w:type="dxa"/>
                  <w:noWrap w:val="0"/>
                  <w:vAlign w:val="center"/>
                </w:tcPr>
                <w:p w14:paraId="1754FDB6">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c>
                <w:tcPr>
                  <w:tcW w:w="1856" w:type="dxa"/>
                  <w:noWrap w:val="0"/>
                  <w:vAlign w:val="center"/>
                </w:tcPr>
                <w:p w14:paraId="75CBE9C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0.05%</w:t>
                  </w:r>
                </w:p>
              </w:tc>
            </w:tr>
            <w:tr w14:paraId="5C55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6BC16A7">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100000以上</w:t>
                  </w:r>
                </w:p>
              </w:tc>
              <w:tc>
                <w:tcPr>
                  <w:tcW w:w="1843" w:type="dxa"/>
                  <w:noWrap w:val="0"/>
                  <w:vAlign w:val="center"/>
                </w:tcPr>
                <w:p w14:paraId="5D5EB493">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43" w:type="dxa"/>
                  <w:noWrap w:val="0"/>
                  <w:vAlign w:val="center"/>
                </w:tcPr>
                <w:p w14:paraId="4FA62F9F">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c>
                <w:tcPr>
                  <w:tcW w:w="1856" w:type="dxa"/>
                  <w:noWrap w:val="0"/>
                  <w:vAlign w:val="center"/>
                </w:tcPr>
                <w:p w14:paraId="6093AE14">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0.01%</w:t>
                  </w:r>
                </w:p>
              </w:tc>
            </w:tr>
          </w:tbl>
          <w:p w14:paraId="131EE359">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auto"/>
                <w:sz w:val="24"/>
                <w:szCs w:val="24"/>
                <w:highlight w:val="none"/>
                <w:lang w:val="en-US" w:eastAsia="zh-CN"/>
              </w:rPr>
              <w:t>具体收取金额为上表（招标代理服务费收费标准）相应招标类别收费标准*80%，</w:t>
            </w:r>
            <w:r>
              <w:rPr>
                <w:rFonts w:hint="eastAsia" w:asciiTheme="minorEastAsia" w:hAnsiTheme="minorEastAsia" w:eastAsiaTheme="minorEastAsia" w:cstheme="minorEastAsia"/>
                <w:color w:val="auto"/>
                <w:sz w:val="24"/>
                <w:szCs w:val="24"/>
                <w:highlight w:val="none"/>
                <w:lang w:val="en-US" w:eastAsia="zh-CN"/>
              </w:rPr>
              <w:t>计算招标代理服务费收取金额如下：</w:t>
            </w:r>
          </w:p>
          <w:p w14:paraId="207147B3">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100万元×1.5％×80%＝1.2万元</w:t>
            </w:r>
          </w:p>
          <w:p w14:paraId="5F42C25D">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（500－100）万元×0.8％×80%＝2.56万元</w:t>
            </w:r>
          </w:p>
          <w:p w14:paraId="474AAA55">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（1000－500）万元×0.45％×80%＝1.8万元</w:t>
            </w:r>
          </w:p>
          <w:p w14:paraId="13CFB559">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（5000－1000）万元×0.25％×80%＝8万元</w:t>
            </w:r>
          </w:p>
          <w:p w14:paraId="7FE5110E">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（6000－5000）万元×0.1％×80%＝0.8万元</w:t>
            </w:r>
          </w:p>
          <w:p w14:paraId="5E9F480E">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合计收费＝1.2＋2.56＋1.8＋8＋0.8＝14.36(万元)</w:t>
            </w:r>
          </w:p>
          <w:p w14:paraId="164B466A">
            <w:pPr>
              <w:pStyle w:val="124"/>
              <w:adjustRightInd w:val="0"/>
              <w:snapToGrid w:val="0"/>
              <w:jc w:val="both"/>
              <w:rPr>
                <w:rFonts w:hint="default" w:ascii="仿宋_GB2312" w:hAnsi="仿宋" w:eastAsia="仿宋_GB2312" w:cs="Times New Roman"/>
                <w:b w:val="0"/>
                <w:bCs w:val="0"/>
                <w:color w:val="auto"/>
                <w:kern w:val="2"/>
                <w:sz w:val="28"/>
                <w:szCs w:val="28"/>
                <w:highlight w:val="none"/>
                <w:lang w:val="en-US" w:eastAsia="zh-CN" w:bidi="ar-SA"/>
              </w:rPr>
            </w:pPr>
          </w:p>
        </w:tc>
      </w:tr>
    </w:tbl>
    <w:p w14:paraId="7FE6A69A">
      <w:pPr>
        <w:jc w:val="center"/>
        <w:rPr>
          <w:rFonts w:hint="eastAsia" w:ascii="宋体" w:hAnsi="宋体"/>
          <w:b/>
          <w:color w:val="auto"/>
          <w:sz w:val="24"/>
          <w:szCs w:val="24"/>
          <w:highlight w:val="none"/>
        </w:rPr>
      </w:pPr>
    </w:p>
    <w:p w14:paraId="66554196">
      <w:pPr>
        <w:jc w:val="center"/>
        <w:rPr>
          <w:rFonts w:hint="eastAsia" w:ascii="宋体" w:hAnsi="宋体"/>
          <w:b/>
          <w:color w:val="auto"/>
          <w:sz w:val="24"/>
          <w:szCs w:val="24"/>
          <w:highlight w:val="none"/>
        </w:rPr>
      </w:pPr>
    </w:p>
    <w:p w14:paraId="0B59FA84">
      <w:pPr>
        <w:jc w:val="center"/>
        <w:rPr>
          <w:rFonts w:hint="eastAsia" w:ascii="宋体" w:hAnsi="宋体"/>
          <w:b/>
          <w:color w:val="auto"/>
          <w:sz w:val="24"/>
          <w:szCs w:val="24"/>
          <w:highlight w:val="none"/>
        </w:rPr>
      </w:pPr>
    </w:p>
    <w:p w14:paraId="33B1C5CD">
      <w:pPr>
        <w:jc w:val="center"/>
        <w:rPr>
          <w:rFonts w:hint="eastAsia" w:ascii="宋体" w:hAnsi="宋体"/>
          <w:b/>
          <w:color w:val="auto"/>
          <w:sz w:val="24"/>
          <w:szCs w:val="24"/>
          <w:highlight w:val="none"/>
        </w:rPr>
      </w:pPr>
    </w:p>
    <w:p w14:paraId="3C11F3AE">
      <w:pPr>
        <w:jc w:val="center"/>
        <w:rPr>
          <w:rFonts w:hint="eastAsia" w:ascii="宋体" w:hAnsi="宋体"/>
          <w:b/>
          <w:color w:val="auto"/>
          <w:sz w:val="24"/>
          <w:szCs w:val="24"/>
          <w:highlight w:val="none"/>
        </w:rPr>
      </w:pPr>
    </w:p>
    <w:p w14:paraId="477E89B5">
      <w:pPr>
        <w:jc w:val="center"/>
        <w:rPr>
          <w:rFonts w:hint="eastAsia" w:ascii="宋体" w:hAnsi="宋体"/>
          <w:b/>
          <w:color w:val="auto"/>
          <w:sz w:val="24"/>
          <w:szCs w:val="24"/>
          <w:highlight w:val="none"/>
        </w:rPr>
      </w:pPr>
    </w:p>
    <w:p w14:paraId="780CE03A">
      <w:pPr>
        <w:jc w:val="center"/>
        <w:rPr>
          <w:rFonts w:hint="eastAsia" w:ascii="宋体" w:hAnsi="宋体"/>
          <w:b/>
          <w:color w:val="auto"/>
          <w:sz w:val="24"/>
          <w:szCs w:val="24"/>
          <w:highlight w:val="none"/>
        </w:rPr>
      </w:pPr>
    </w:p>
    <w:p w14:paraId="498637B1">
      <w:pPr>
        <w:jc w:val="center"/>
        <w:rPr>
          <w:rFonts w:hint="eastAsia" w:ascii="宋体" w:hAnsi="宋体"/>
          <w:b/>
          <w:color w:val="auto"/>
          <w:sz w:val="24"/>
          <w:szCs w:val="24"/>
          <w:highlight w:val="none"/>
        </w:rPr>
      </w:pPr>
    </w:p>
    <w:p w14:paraId="63B51E32">
      <w:pPr>
        <w:jc w:val="center"/>
        <w:rPr>
          <w:rFonts w:hint="eastAsia" w:ascii="宋体" w:hAnsi="宋体"/>
          <w:b/>
          <w:color w:val="auto"/>
          <w:sz w:val="24"/>
          <w:szCs w:val="24"/>
          <w:highlight w:val="none"/>
        </w:rPr>
      </w:pPr>
    </w:p>
    <w:p w14:paraId="3E0C0F90">
      <w:pPr>
        <w:jc w:val="center"/>
        <w:rPr>
          <w:rFonts w:hint="eastAsia" w:ascii="宋体" w:hAnsi="宋体"/>
          <w:b/>
          <w:color w:val="auto"/>
          <w:sz w:val="24"/>
          <w:szCs w:val="24"/>
          <w:highlight w:val="none"/>
        </w:rPr>
      </w:pPr>
    </w:p>
    <w:p w14:paraId="01BF57AB">
      <w:pPr>
        <w:jc w:val="center"/>
        <w:rPr>
          <w:rFonts w:hint="eastAsia" w:ascii="宋体" w:hAnsi="宋体"/>
          <w:b/>
          <w:color w:val="auto"/>
          <w:sz w:val="24"/>
          <w:szCs w:val="24"/>
          <w:highlight w:val="none"/>
        </w:rPr>
      </w:pPr>
    </w:p>
    <w:p w14:paraId="0FF97309">
      <w:pPr>
        <w:jc w:val="center"/>
        <w:rPr>
          <w:rFonts w:hint="eastAsia" w:ascii="宋体" w:hAnsi="宋体"/>
          <w:b/>
          <w:color w:val="auto"/>
          <w:sz w:val="24"/>
          <w:szCs w:val="24"/>
          <w:highlight w:val="none"/>
        </w:rPr>
      </w:pPr>
    </w:p>
    <w:p w14:paraId="7EBB0174">
      <w:pPr>
        <w:jc w:val="center"/>
        <w:rPr>
          <w:rFonts w:hint="eastAsia" w:ascii="宋体" w:hAnsi="宋体"/>
          <w:b/>
          <w:color w:val="auto"/>
          <w:sz w:val="24"/>
          <w:szCs w:val="24"/>
          <w:highlight w:val="none"/>
        </w:rPr>
      </w:pPr>
    </w:p>
    <w:bookmarkEnd w:id="4"/>
    <w:p w14:paraId="091AC0BA">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投标人</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p>
    <w:p w14:paraId="016339DB">
      <w:pPr>
        <w:spacing w:line="360" w:lineRule="auto"/>
        <w:ind w:firstLine="437"/>
        <w:outlineLvl w:val="3"/>
        <w:rPr>
          <w:rFonts w:hint="default" w:asciiTheme="minorEastAsia" w:hAnsiTheme="minorEastAsia" w:eastAsiaTheme="minorEastAsia" w:cstheme="minorEastAsia"/>
          <w:b/>
          <w:bCs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1.有关定义</w:t>
      </w:r>
    </w:p>
    <w:p w14:paraId="132F65EC">
      <w:pPr>
        <w:spacing w:line="360" w:lineRule="auto"/>
        <w:ind w:firstLine="437"/>
        <w:outlineLvl w:val="3"/>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本项目的交易方式为竞争性磋商，招标人为项目实施建设的发包人（甲方），投标人为参与竞争性磋商的主体，中标人为参与竞争性磋商，并获得项目实施的</w:t>
      </w:r>
      <w:r>
        <w:rPr>
          <w:rFonts w:hint="eastAsia" w:asciiTheme="minorEastAsia" w:hAnsiTheme="minorEastAsia" w:eastAsiaTheme="minorEastAsia" w:cstheme="minorEastAsia"/>
          <w:b w:val="0"/>
          <w:bCs/>
          <w:color w:val="auto"/>
          <w:sz w:val="24"/>
          <w:szCs w:val="22"/>
          <w:highlight w:val="none"/>
          <w:lang w:eastAsia="zh-CN"/>
        </w:rPr>
        <w:t>承包人（</w:t>
      </w:r>
      <w:r>
        <w:rPr>
          <w:rFonts w:hint="eastAsia" w:asciiTheme="minorEastAsia" w:hAnsiTheme="minorEastAsia" w:eastAsiaTheme="minorEastAsia" w:cstheme="minorEastAsia"/>
          <w:b w:val="0"/>
          <w:bCs/>
          <w:color w:val="auto"/>
          <w:sz w:val="24"/>
          <w:szCs w:val="22"/>
          <w:highlight w:val="none"/>
        </w:rPr>
        <w:t>乙方</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rPr>
        <w:t>。</w:t>
      </w:r>
    </w:p>
    <w:p w14:paraId="5D09973A">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.资金来源</w:t>
      </w:r>
    </w:p>
    <w:p w14:paraId="41A2B94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已获得足以支付本次磋商后所签订的合同项下的资金。</w:t>
      </w:r>
    </w:p>
    <w:p w14:paraId="04AB7B21">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.磋商费用</w:t>
      </w:r>
    </w:p>
    <w:p w14:paraId="48C10E42">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不论磋商的结果如何，</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应承担其所有与准备和参加磋商有关的费用。</w:t>
      </w:r>
    </w:p>
    <w:p w14:paraId="3145A77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4</w:t>
      </w:r>
      <w:r>
        <w:rPr>
          <w:rFonts w:hint="eastAsia" w:asciiTheme="minorEastAsia" w:hAnsiTheme="minorEastAsia" w:eastAsiaTheme="minorEastAsia" w:cstheme="minorEastAsia"/>
          <w:b/>
          <w:color w:val="auto"/>
          <w:sz w:val="24"/>
          <w:highlight w:val="none"/>
        </w:rPr>
        <w:t>.磋商文件的澄清与修改</w:t>
      </w:r>
    </w:p>
    <w:p w14:paraId="0B0C6B7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如对磋商文</w:t>
      </w:r>
      <w:r>
        <w:rPr>
          <w:rFonts w:hint="eastAsia" w:asciiTheme="minorEastAsia" w:hAnsiTheme="minorEastAsia" w:eastAsiaTheme="minorEastAsia" w:cstheme="minorEastAsia"/>
          <w:color w:val="auto"/>
          <w:sz w:val="24"/>
          <w:highlight w:val="none"/>
          <w:u w:val="none"/>
        </w:rPr>
        <w:t>件内容有疑问，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2E4FAC7F">
      <w:pPr>
        <w:pStyle w:val="16"/>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提出的问题时对磋商文件进行澄清或者修改。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将在安徽公共资源交易集团网站澄清或修改磋商文件，</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和招标人</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未及时关注相关信息引发的相关责任。</w:t>
      </w:r>
    </w:p>
    <w:p w14:paraId="0D793CD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.3任何人或任何组织向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提供的任何书面或口头资料，未经</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在网上发布或书面通知，均作无效处理，不得作为磋商文件的组成部分。</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由此而做出的推论、理解和结论概不负责。</w:t>
      </w:r>
    </w:p>
    <w:p w14:paraId="331B14AD">
      <w:pPr>
        <w:spacing w:line="360" w:lineRule="auto"/>
        <w:ind w:firstLine="435"/>
        <w:rPr>
          <w:rFonts w:hint="eastAsia" w:asciiTheme="minorEastAsia" w:hAnsiTheme="minorEastAsia" w:eastAsiaTheme="minorEastAsia" w:cstheme="minorEastAsia"/>
          <w:iCs/>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.4对于没有提出</w:t>
      </w:r>
      <w:r>
        <w:rPr>
          <w:rFonts w:hint="eastAsia" w:asciiTheme="minorEastAsia" w:hAnsiTheme="minorEastAsia" w:eastAsiaTheme="minorEastAsia" w:cstheme="minorEastAsia"/>
          <w:color w:val="auto"/>
          <w:sz w:val="24"/>
          <w:highlight w:val="none"/>
          <w:lang w:val="en-US" w:eastAsia="zh-CN"/>
        </w:rPr>
        <w:t>疑问</w:t>
      </w:r>
      <w:r>
        <w:rPr>
          <w:rFonts w:hint="eastAsia" w:asciiTheme="minorEastAsia" w:hAnsiTheme="minorEastAsia" w:eastAsiaTheme="minorEastAsia" w:cstheme="minorEastAsia"/>
          <w:color w:val="auto"/>
          <w:sz w:val="24"/>
          <w:highlight w:val="none"/>
        </w:rPr>
        <w:t>又参与了本项目磋商的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将被视为完全认同本磋商文件（含澄清</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修改等</w:t>
      </w:r>
      <w:r>
        <w:rPr>
          <w:rFonts w:hint="eastAsia" w:asciiTheme="minorEastAsia" w:hAnsiTheme="minorEastAsia" w:eastAsiaTheme="minorEastAsia" w:cstheme="minorEastAsia"/>
          <w:color w:val="auto"/>
          <w:sz w:val="24"/>
          <w:highlight w:val="none"/>
        </w:rPr>
        <w:t>内容）</w:t>
      </w:r>
      <w:r>
        <w:rPr>
          <w:rFonts w:hint="eastAsia" w:asciiTheme="minorEastAsia" w:hAnsiTheme="minorEastAsia" w:eastAsiaTheme="minorEastAsia" w:cstheme="minorEastAsia"/>
          <w:i w:val="0"/>
          <w:iCs/>
          <w:color w:val="auto"/>
          <w:sz w:val="24"/>
          <w:highlight w:val="none"/>
        </w:rPr>
        <w:t>。</w:t>
      </w:r>
    </w:p>
    <w:p w14:paraId="1FBCAB3C">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.磋商范围及</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中标准和计量单位的使用</w:t>
      </w:r>
    </w:p>
    <w:p w14:paraId="1486CD7D">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无论磋商文件中是否要求，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所承担</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及伴随的货物和服务均应符合国家强制性标准。</w:t>
      </w:r>
    </w:p>
    <w:p w14:paraId="0BC7EF3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之间与磋商有关的所有往来通知、函件和</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均用中文表述。</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随</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提供的证明文件和资料可以为其他语言，但必须附中文译文。翻译的中文资料与外文资料如果出现差异时，以中文为准。</w:t>
      </w:r>
    </w:p>
    <w:p w14:paraId="7AE4DF4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除磋商文件中有特殊要求外，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中所使用的计量单位，应采用中华人民共和国法定计量单位。</w:t>
      </w:r>
    </w:p>
    <w:p w14:paraId="21338BB5">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构成</w:t>
      </w:r>
    </w:p>
    <w:p w14:paraId="63DED5A2">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应完整地按磋商文件提供的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格式及磋商文件</w:t>
      </w:r>
      <w:r>
        <w:rPr>
          <w:rFonts w:hint="eastAsia" w:asciiTheme="minorEastAsia" w:hAnsiTheme="minorEastAsia" w:eastAsiaTheme="minorEastAsia" w:cstheme="minorEastAsia"/>
          <w:color w:val="auto"/>
          <w:sz w:val="24"/>
          <w:highlight w:val="none"/>
          <w:lang w:eastAsia="zh-CN"/>
        </w:rPr>
        <w:t>评审</w:t>
      </w:r>
      <w:r>
        <w:rPr>
          <w:rFonts w:hint="eastAsia" w:asciiTheme="minorEastAsia" w:hAnsiTheme="minorEastAsia" w:eastAsiaTheme="minorEastAsia" w:cstheme="minorEastAsia"/>
          <w:color w:val="auto"/>
          <w:sz w:val="24"/>
          <w:highlight w:val="none"/>
        </w:rPr>
        <w:t>要求编写</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，具体内容详见第六章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格式的相关内容。</w:t>
      </w:r>
    </w:p>
    <w:p w14:paraId="152ADAEF">
      <w:pPr>
        <w:spacing w:line="360" w:lineRule="auto"/>
        <w:ind w:firstLine="43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.2上述文件应按照磋商文件规定的格式填写、签署和盖章。</w:t>
      </w:r>
    </w:p>
    <w:p w14:paraId="679FFCB3">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7</w:t>
      </w:r>
      <w:r>
        <w:rPr>
          <w:rFonts w:hint="eastAsia" w:asciiTheme="minorEastAsia" w:hAnsiTheme="minorEastAsia" w:eastAsiaTheme="minorEastAsia" w:cstheme="minorEastAsia"/>
          <w:b/>
          <w:color w:val="auto"/>
          <w:sz w:val="24"/>
          <w:highlight w:val="none"/>
        </w:rPr>
        <w:t>.报价</w:t>
      </w:r>
    </w:p>
    <w:p w14:paraId="43B5B64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的报价应当包括满足本次磋商全部内容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所有报价均应以人民币报价。</w:t>
      </w:r>
    </w:p>
    <w:p w14:paraId="78D9AF5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应在分项报价表上标明磋商</w:t>
      </w: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的单价（如适用）和总价，未标明的视同包含在磋商报价中。</w:t>
      </w:r>
    </w:p>
    <w:p w14:paraId="2F228824">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8</w:t>
      </w:r>
      <w:r>
        <w:rPr>
          <w:rFonts w:hint="eastAsia" w:asciiTheme="minorEastAsia" w:hAnsiTheme="minorEastAsia" w:eastAsiaTheme="minorEastAsia" w:cstheme="minorEastAsia"/>
          <w:b/>
          <w:color w:val="auto"/>
          <w:sz w:val="24"/>
          <w:highlight w:val="none"/>
        </w:rPr>
        <w:t>.磋商有效期</w:t>
      </w:r>
    </w:p>
    <w:p w14:paraId="4D00E59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.1磋商有效期为从</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提交截止之日算起的日历天数，磋商有效期</w:t>
      </w:r>
      <w:r>
        <w:rPr>
          <w:rFonts w:hint="eastAsia" w:asciiTheme="minorEastAsia" w:hAnsiTheme="minorEastAsia" w:eastAsiaTheme="minorEastAsia" w:cstheme="minorEastAsia"/>
          <w:color w:val="auto"/>
          <w:sz w:val="24"/>
          <w:highlight w:val="none"/>
          <w:lang w:val="en-US" w:eastAsia="zh-CN"/>
        </w:rPr>
        <w:t>为120日历天</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可根据实际情况，在原磋商有效期截止之前，要求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延长磋商有效期。接受该要求的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将不会被要求和允许修正其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可以拒绝延长磋商有效期的要求，且不承担任何责任。上述要求和答复都应以书面形式提交。</w:t>
      </w:r>
    </w:p>
    <w:p w14:paraId="3346EEA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.2在磋商有效期内，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的磋商保持有效，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不得要求撤销或修改其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2FBEDADE">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9</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的制作</w:t>
      </w:r>
    </w:p>
    <w:p w14:paraId="5BAE48B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.1本项目要求提供加密电子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的制作应满足以下规定：</w:t>
      </w:r>
    </w:p>
    <w:p w14:paraId="419AF15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应当在互联网络通畅状态下启用最新版投标文件制作工具制作</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6B7316A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（2）在第六章“</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格式”中要求加盖</w:t>
      </w: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或公章处</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均应加盖</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电子签章或公章。联合体参加磋商的，除联合协议及磋商文件规定须联合体各成员单位各自盖章的证明材料外，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由联合体牵头人按上述规定加盖联合体牵头人单位电子签章或公章。</w:t>
      </w:r>
    </w:p>
    <w:p w14:paraId="66C5B52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制作完成后，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进行文件加密，形成加密的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。采用数字证书加密的，加密时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的所有内容均只能使用同一把数字证书进行加密，否则引起的解密失败责任由</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w:t>
      </w:r>
    </w:p>
    <w:p w14:paraId="2234969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.2因</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自身原因而导致</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无法导入电子交易系统电子开标、评标系统的，该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视为无效</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自行承担由此导致的全部责任。（该</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是指解密后的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p>
    <w:p w14:paraId="5E5BB373">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提交截止时间</w:t>
      </w:r>
    </w:p>
    <w:p w14:paraId="4C4DC25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应在第一章“</w:t>
      </w:r>
      <w:r>
        <w:rPr>
          <w:rFonts w:hint="eastAsia" w:asciiTheme="minorEastAsia" w:hAnsiTheme="minorEastAsia" w:eastAsiaTheme="minorEastAsia" w:cstheme="minorEastAsia"/>
          <w:color w:val="auto"/>
          <w:sz w:val="24"/>
          <w:highlight w:val="none"/>
          <w:lang w:eastAsia="zh-CN"/>
        </w:rPr>
        <w:t>磋商公告</w:t>
      </w:r>
      <w:r>
        <w:rPr>
          <w:rFonts w:hint="eastAsia" w:asciiTheme="minorEastAsia" w:hAnsiTheme="minorEastAsia" w:eastAsiaTheme="minorEastAsia" w:cstheme="minorEastAsia"/>
          <w:color w:val="auto"/>
          <w:sz w:val="24"/>
          <w:highlight w:val="none"/>
        </w:rPr>
        <w:t>”规定</w:t>
      </w:r>
      <w:r>
        <w:rPr>
          <w:rFonts w:hint="eastAsia" w:asciiTheme="minorEastAsia" w:hAnsiTheme="minorEastAsia" w:eastAsiaTheme="minorEastAsia" w:cstheme="minorEastAsia"/>
          <w:color w:val="auto"/>
          <w:sz w:val="24"/>
          <w:szCs w:val="22"/>
          <w:highlight w:val="none"/>
          <w:lang w:eastAsia="zh-CN"/>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提交截止时间前，在网上提交加密电子</w:t>
      </w:r>
      <w:r>
        <w:rPr>
          <w:rFonts w:hint="eastAsia" w:asciiTheme="minorEastAsia" w:hAnsiTheme="minorEastAsia" w:eastAsiaTheme="minorEastAsia" w:cstheme="minorEastAsia"/>
          <w:color w:val="auto"/>
          <w:sz w:val="24"/>
          <w:highlight w:val="none"/>
          <w:lang w:eastAsia="zh-CN"/>
        </w:rPr>
        <w:t>投标文件（如磋商延期，按最新发布磋商时间执行）</w:t>
      </w:r>
      <w:r>
        <w:rPr>
          <w:rFonts w:hint="eastAsia" w:asciiTheme="minorEastAsia" w:hAnsiTheme="minorEastAsia" w:eastAsiaTheme="minorEastAsia" w:cstheme="minorEastAsia"/>
          <w:color w:val="auto"/>
          <w:sz w:val="24"/>
          <w:highlight w:val="none"/>
        </w:rPr>
        <w:t>。</w:t>
      </w:r>
    </w:p>
    <w:p w14:paraId="7549B19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在磋商文件规</w:t>
      </w:r>
      <w:r>
        <w:rPr>
          <w:rFonts w:hint="eastAsia" w:asciiTheme="minorEastAsia" w:hAnsiTheme="minorEastAsia" w:eastAsiaTheme="minorEastAsia" w:cstheme="minorEastAsia"/>
          <w:b w:val="0"/>
          <w:bCs w:val="0"/>
          <w:color w:val="auto"/>
          <w:sz w:val="24"/>
          <w:highlight w:val="none"/>
        </w:rPr>
        <w:t>定的</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提交截止时间前上传了网上加密电子</w:t>
      </w:r>
      <w:r>
        <w:rPr>
          <w:rFonts w:hint="eastAsia" w:asciiTheme="minorEastAsia" w:hAnsiTheme="minorEastAsia" w:eastAsiaTheme="minorEastAsia" w:cstheme="minorEastAsia"/>
          <w:b w:val="0"/>
          <w:bCs w:val="0"/>
          <w:color w:val="auto"/>
          <w:sz w:val="24"/>
          <w:highlight w:val="none"/>
          <w:lang w:eastAsia="zh-CN"/>
        </w:rPr>
        <w:t>投标文件</w:t>
      </w:r>
      <w:r>
        <w:rPr>
          <w:rFonts w:hint="eastAsia" w:asciiTheme="minorEastAsia" w:hAnsiTheme="minorEastAsia" w:eastAsiaTheme="minorEastAsia" w:cstheme="minorEastAsia"/>
          <w:b w:val="0"/>
          <w:bCs w:val="0"/>
          <w:color w:val="auto"/>
          <w:sz w:val="24"/>
          <w:highlight w:val="none"/>
        </w:rPr>
        <w:t>，但未在规定时间内进行解密的，</w:t>
      </w:r>
      <w:r>
        <w:rPr>
          <w:rFonts w:hint="eastAsia" w:asciiTheme="minorEastAsia" w:hAnsiTheme="minorEastAsia" w:eastAsiaTheme="minorEastAsia" w:cstheme="minorEastAsia"/>
          <w:b w:val="0"/>
          <w:bCs w:val="0"/>
          <w:color w:val="auto"/>
          <w:sz w:val="24"/>
          <w:highlight w:val="none"/>
          <w:lang w:eastAsia="zh-CN"/>
        </w:rPr>
        <w:t>投标无效</w:t>
      </w:r>
      <w:r>
        <w:rPr>
          <w:rFonts w:hint="eastAsia" w:asciiTheme="minorEastAsia" w:hAnsiTheme="minorEastAsia" w:eastAsiaTheme="minorEastAsia" w:cstheme="minorEastAsia"/>
          <w:b w:val="0"/>
          <w:bCs w:val="0"/>
          <w:color w:val="auto"/>
          <w:sz w:val="24"/>
          <w:highlight w:val="none"/>
        </w:rPr>
        <w:t>。</w:t>
      </w:r>
    </w:p>
    <w:p w14:paraId="6DCD2D9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延迟</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受</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提交截止时间制约的所有权利和义务均应延长至新的截止时间。</w:t>
      </w:r>
    </w:p>
    <w:p w14:paraId="67D1DD0D">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的提交、修改与撤回</w:t>
      </w:r>
    </w:p>
    <w:p w14:paraId="5315307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应当在第一章“</w:t>
      </w:r>
      <w:r>
        <w:rPr>
          <w:rFonts w:hint="eastAsia" w:asciiTheme="minorEastAsia" w:hAnsiTheme="minorEastAsia" w:eastAsiaTheme="minorEastAsia" w:cstheme="minorEastAsia"/>
          <w:color w:val="auto"/>
          <w:sz w:val="24"/>
          <w:highlight w:val="none"/>
          <w:lang w:eastAsia="zh-CN"/>
        </w:rPr>
        <w:t>磋商公告</w:t>
      </w:r>
      <w:r>
        <w:rPr>
          <w:rFonts w:hint="eastAsia" w:asciiTheme="minorEastAsia" w:hAnsiTheme="minorEastAsia" w:eastAsiaTheme="minorEastAsia" w:cstheme="minorEastAsia"/>
          <w:color w:val="auto"/>
          <w:sz w:val="24"/>
          <w:highlight w:val="none"/>
        </w:rPr>
        <w:t>”规定的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提交截止时间前，将加密的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在电子交易系统上传</w:t>
      </w:r>
      <w:r>
        <w:rPr>
          <w:rFonts w:hint="eastAsia" w:asciiTheme="minorEastAsia" w:hAnsiTheme="minorEastAsia" w:eastAsiaTheme="minorEastAsia" w:cstheme="minorEastAsia"/>
          <w:color w:val="auto"/>
          <w:sz w:val="24"/>
          <w:highlight w:val="none"/>
          <w:lang w:eastAsia="zh-CN"/>
        </w:rPr>
        <w:t>（如磋商延期，按最新发布磋商时间执行）</w:t>
      </w:r>
      <w:r>
        <w:rPr>
          <w:rFonts w:hint="eastAsia" w:asciiTheme="minorEastAsia" w:hAnsiTheme="minorEastAsia" w:eastAsiaTheme="minorEastAsia" w:cstheme="minorEastAsia"/>
          <w:color w:val="auto"/>
          <w:sz w:val="24"/>
          <w:highlight w:val="none"/>
        </w:rPr>
        <w:t>。</w:t>
      </w:r>
    </w:p>
    <w:p w14:paraId="15B2533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应当在</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的传输提交（以接收到电子签收凭证为准），并可以补充、修改或者撤回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提交截止时间前未完成</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传输的，视为撤回</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。未按规定加密或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提交截止时间后送达的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，电子交易系统应当拒收。</w:t>
      </w:r>
    </w:p>
    <w:p w14:paraId="27E5041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asciiTheme="minorEastAsia" w:hAnsiTheme="minorEastAsia" w:eastAsiaTheme="minorEastAsia" w:cstheme="minorEastAsia"/>
          <w:color w:val="auto"/>
          <w:sz w:val="24"/>
          <w:highlight w:val="none"/>
        </w:rPr>
        <w:t>规定的解密时间前（以电子交易系统解密倒计时为准）对本单位的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进行解密。</w:t>
      </w:r>
    </w:p>
    <w:p w14:paraId="767E3994">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评审小组</w:t>
      </w:r>
    </w:p>
    <w:p w14:paraId="3CF8AC9C">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委派或</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委托</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抽取经济技术专家等方式组建的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，负责本项目评审工作。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成员由3人以上单数组成，</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及其成员应当依照有关规定履行相关职责和义务。</w:t>
      </w:r>
    </w:p>
    <w:p w14:paraId="334461D4">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根据磋商文件规定的</w:t>
      </w:r>
      <w:r>
        <w:rPr>
          <w:rFonts w:hint="eastAsia" w:asciiTheme="minorEastAsia" w:hAnsiTheme="minorEastAsia" w:eastAsiaTheme="minorEastAsia" w:cstheme="minorEastAsia"/>
          <w:color w:val="auto"/>
          <w:sz w:val="24"/>
          <w:highlight w:val="none"/>
          <w:lang w:val="en-US" w:eastAsia="zh-CN"/>
        </w:rPr>
        <w:t>评审方法和标准对投标人提交的投标文件</w:t>
      </w:r>
      <w:r>
        <w:rPr>
          <w:rFonts w:hint="eastAsia" w:asciiTheme="minorEastAsia" w:hAnsiTheme="minorEastAsia" w:eastAsiaTheme="minorEastAsia" w:cstheme="minorEastAsia"/>
          <w:color w:val="auto"/>
          <w:sz w:val="24"/>
          <w:highlight w:val="none"/>
        </w:rPr>
        <w:t>进行</w:t>
      </w:r>
      <w:r>
        <w:rPr>
          <w:rFonts w:hint="eastAsia" w:asciiTheme="minorEastAsia" w:hAnsiTheme="minorEastAsia" w:eastAsiaTheme="minorEastAsia" w:cstheme="minorEastAsia"/>
          <w:color w:val="auto"/>
          <w:sz w:val="24"/>
          <w:highlight w:val="none"/>
          <w:lang w:val="en-US" w:eastAsia="zh-CN"/>
        </w:rPr>
        <w:t>评审，</w:t>
      </w:r>
      <w:r>
        <w:rPr>
          <w:rFonts w:hint="eastAsia" w:asciiTheme="minorEastAsia" w:hAnsiTheme="minorEastAsia" w:eastAsiaTheme="minorEastAsia" w:cstheme="minorEastAsia"/>
          <w:color w:val="auto"/>
          <w:sz w:val="24"/>
          <w:highlight w:val="none"/>
        </w:rPr>
        <w:t>从质量和服务均能满足磋商文件实质性响应要求的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中推荐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，并编写评审报告。</w:t>
      </w:r>
    </w:p>
    <w:p w14:paraId="5B9FC39D">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13</w:t>
      </w:r>
      <w:r>
        <w:rPr>
          <w:rFonts w:hint="eastAsia" w:asciiTheme="minorEastAsia" w:hAnsiTheme="minorEastAsia" w:eastAsiaTheme="minorEastAsia" w:cstheme="minorEastAsia"/>
          <w:b/>
          <w:color w:val="auto"/>
          <w:sz w:val="24"/>
          <w:highlight w:val="none"/>
        </w:rPr>
        <w:t>.终止竞争性磋商</w:t>
      </w:r>
    </w:p>
    <w:p w14:paraId="0A68C04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出现下列情况之一时，</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有权宣布终止竞争性磋商采购，并将理由通知所有</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w:t>
      </w:r>
    </w:p>
    <w:p w14:paraId="18C61CB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cs="@仿宋_GB2312" w:asciiTheme="minorEastAsia" w:hAnsiTheme="minorEastAsia" w:eastAsiaTheme="minorEastAsia"/>
          <w:color w:val="auto"/>
          <w:kern w:val="2"/>
          <w:sz w:val="24"/>
          <w:szCs w:val="24"/>
          <w:highlight w:val="none"/>
        </w:rPr>
        <w:t>通过初审的</w:t>
      </w:r>
      <w:r>
        <w:rPr>
          <w:rFonts w:hint="eastAsia" w:cs="@仿宋_GB2312" w:asciiTheme="minorEastAsia" w:hAnsiTheme="minorEastAsia" w:eastAsiaTheme="minorEastAsia"/>
          <w:color w:val="auto"/>
          <w:kern w:val="2"/>
          <w:sz w:val="24"/>
          <w:szCs w:val="24"/>
          <w:highlight w:val="none"/>
          <w:lang w:eastAsia="zh-CN"/>
        </w:rPr>
        <w:t>投标人</w:t>
      </w:r>
      <w:r>
        <w:rPr>
          <w:rFonts w:hint="eastAsia" w:asciiTheme="minorEastAsia" w:hAnsiTheme="minorEastAsia" w:eastAsiaTheme="minorEastAsia" w:cstheme="minorEastAsia"/>
          <w:color w:val="auto"/>
          <w:sz w:val="24"/>
          <w:highlight w:val="none"/>
        </w:rPr>
        <w:t>不足规定数量，导致本次磋商缺乏竞争的；</w:t>
      </w:r>
    </w:p>
    <w:p w14:paraId="452AB82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（2）出现影响公正的违法、违规行为的；</w:t>
      </w:r>
    </w:p>
    <w:p w14:paraId="58135DF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（3）因重大变故，</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任务取消的；</w:t>
      </w:r>
    </w:p>
    <w:p w14:paraId="01AE3503">
      <w:pPr>
        <w:spacing w:line="360" w:lineRule="auto"/>
        <w:ind w:firstLine="4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磋商文件有重大漏洞，导致无法继续评审的；</w:t>
      </w:r>
    </w:p>
    <w:p w14:paraId="1153C578">
      <w:pPr>
        <w:spacing w:line="360" w:lineRule="auto"/>
        <w:ind w:firstLine="435"/>
        <w:rPr>
          <w:rFonts w:hint="eastAsia"/>
          <w:color w:val="auto"/>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）法律法规规定的其他情形。</w:t>
      </w:r>
    </w:p>
    <w:p w14:paraId="4DE4E30C">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14</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投标文件</w:t>
      </w:r>
      <w:r>
        <w:rPr>
          <w:rFonts w:hint="eastAsia" w:asciiTheme="minorEastAsia" w:hAnsiTheme="minorEastAsia" w:eastAsiaTheme="minorEastAsia" w:cstheme="minorEastAsia"/>
          <w:b/>
          <w:color w:val="auto"/>
          <w:sz w:val="24"/>
          <w:highlight w:val="none"/>
        </w:rPr>
        <w:t>的澄清、说明或更正</w:t>
      </w:r>
    </w:p>
    <w:p w14:paraId="0C978A70">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将对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的有效性、完整性和响应程度进行审查，审查时可以要求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的澄清、说明或者更正不得超出</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的实质性内容。对不同文字文本</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的解释发生异议的，以中文文本为准。</w:t>
      </w:r>
    </w:p>
    <w:p w14:paraId="6A65984F">
      <w:pPr>
        <w:spacing w:line="360" w:lineRule="auto"/>
        <w:ind w:firstLine="470" w:firstLineChars="196"/>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lang w:val="en-US" w:eastAsia="zh-CN"/>
        </w:rPr>
        <w:t>14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澄清、说明或者更正</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应当以书面形式（</w:t>
      </w:r>
      <w:r>
        <w:rPr>
          <w:rFonts w:hint="eastAsia" w:asciiTheme="minorEastAsia" w:hAnsiTheme="minorEastAsia" w:eastAsiaTheme="minorEastAsia" w:cstheme="minorEastAsia"/>
          <w:color w:val="auto"/>
          <w:sz w:val="24"/>
          <w:highlight w:val="none"/>
          <w:lang w:val="en-US" w:eastAsia="zh-CN"/>
        </w:rPr>
        <w:t>即网上</w:t>
      </w:r>
      <w:r>
        <w:rPr>
          <w:rFonts w:hint="eastAsia" w:asciiTheme="minorEastAsia" w:hAnsiTheme="minorEastAsia" w:eastAsiaTheme="minorEastAsia" w:cstheme="minorEastAsia"/>
          <w:color w:val="auto"/>
          <w:sz w:val="24"/>
          <w:highlight w:val="none"/>
        </w:rPr>
        <w:t>询标）作出。</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的澄清、说明或者更正应当</w:t>
      </w:r>
      <w:r>
        <w:rPr>
          <w:rFonts w:hint="eastAsia" w:asciiTheme="minorEastAsia" w:hAnsiTheme="minorEastAsia" w:eastAsiaTheme="minorEastAsia" w:cstheme="minorEastAsia"/>
          <w:color w:val="auto"/>
          <w:sz w:val="24"/>
          <w:highlight w:val="none"/>
          <w:lang w:val="en-US" w:eastAsia="zh-CN"/>
        </w:rPr>
        <w:t>加盖投标人电子签章或公章</w:t>
      </w:r>
      <w:r>
        <w:rPr>
          <w:rFonts w:hint="eastAsia" w:asciiTheme="minorEastAsia" w:hAnsiTheme="minorEastAsia" w:eastAsiaTheme="minorEastAsia" w:cstheme="minorEastAsia"/>
          <w:b w:val="0"/>
          <w:bCs w:val="0"/>
          <w:color w:val="auto"/>
          <w:sz w:val="24"/>
          <w:highlight w:val="none"/>
        </w:rPr>
        <w:t>。</w:t>
      </w:r>
    </w:p>
    <w:p w14:paraId="6DC6029E">
      <w:pPr>
        <w:spacing w:line="360" w:lineRule="auto"/>
        <w:ind w:firstLine="435"/>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14.3</w:t>
      </w:r>
      <w:r>
        <w:rPr>
          <w:rFonts w:hint="eastAsia" w:asciiTheme="minorEastAsia" w:hAnsiTheme="minorEastAsia" w:eastAsiaTheme="minorEastAsia" w:cstheme="minorEastAsia"/>
          <w:b w:val="0"/>
          <w:bCs w:val="0"/>
          <w:color w:val="auto"/>
          <w:sz w:val="24"/>
          <w:highlight w:val="none"/>
        </w:rPr>
        <w:t>如有询标，</w:t>
      </w:r>
      <w:r>
        <w:rPr>
          <w:rFonts w:hint="eastAsia" w:asciiTheme="minorEastAsia" w:hAnsiTheme="minorEastAsia" w:eastAsiaTheme="minorEastAsia" w:cstheme="minorEastAsia"/>
          <w:b w:val="0"/>
          <w:bCs w:val="0"/>
          <w:color w:val="auto"/>
          <w:sz w:val="24"/>
          <w:highlight w:val="none"/>
          <w:lang w:val="en-US" w:eastAsia="zh-CN"/>
        </w:rPr>
        <w:t>投标人</w:t>
      </w:r>
      <w:r>
        <w:rPr>
          <w:rFonts w:hint="eastAsia" w:asciiTheme="minorEastAsia" w:hAnsiTheme="minorEastAsia" w:eastAsiaTheme="minorEastAsia" w:cstheme="minorEastAsia"/>
          <w:b w:val="0"/>
          <w:bCs w:val="0"/>
          <w:color w:val="auto"/>
          <w:sz w:val="24"/>
          <w:highlight w:val="none"/>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auto"/>
          <w:sz w:val="24"/>
          <w:highlight w:val="none"/>
          <w:lang w:val="en-US" w:eastAsia="zh-CN"/>
        </w:rPr>
        <w:t>评审小组</w:t>
      </w:r>
      <w:r>
        <w:rPr>
          <w:rFonts w:hint="eastAsia" w:asciiTheme="minorEastAsia" w:hAnsiTheme="minorEastAsia" w:eastAsiaTheme="minorEastAsia" w:cstheme="minorEastAsia"/>
          <w:b w:val="0"/>
          <w:bCs w:val="0"/>
          <w:color w:val="auto"/>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auto"/>
          <w:sz w:val="24"/>
          <w:highlight w:val="none"/>
          <w:lang w:eastAsia="zh-CN"/>
        </w:rPr>
        <w:t>评审小组</w:t>
      </w:r>
      <w:r>
        <w:rPr>
          <w:rFonts w:hint="eastAsia" w:asciiTheme="minorEastAsia" w:hAnsiTheme="minorEastAsia" w:eastAsiaTheme="minorEastAsia" w:cstheme="minorEastAsia"/>
          <w:b w:val="0"/>
          <w:bCs w:val="0"/>
          <w:color w:val="auto"/>
          <w:sz w:val="24"/>
          <w:highlight w:val="none"/>
        </w:rPr>
        <w:t>询标的，</w:t>
      </w:r>
      <w:r>
        <w:rPr>
          <w:rFonts w:hint="eastAsia" w:asciiTheme="minorEastAsia" w:hAnsiTheme="minorEastAsia" w:eastAsiaTheme="minorEastAsia" w:cstheme="minorEastAsia"/>
          <w:b w:val="0"/>
          <w:bCs w:val="0"/>
          <w:color w:val="auto"/>
          <w:sz w:val="24"/>
          <w:highlight w:val="none"/>
          <w:lang w:eastAsia="zh-CN"/>
        </w:rPr>
        <w:t>投标人</w:t>
      </w:r>
      <w:r>
        <w:rPr>
          <w:rFonts w:hint="eastAsia" w:asciiTheme="minorEastAsia" w:hAnsiTheme="minorEastAsia" w:eastAsiaTheme="minorEastAsia" w:cstheme="minorEastAsia"/>
          <w:b w:val="0"/>
          <w:bCs w:val="0"/>
          <w:color w:val="auto"/>
          <w:sz w:val="24"/>
          <w:highlight w:val="none"/>
        </w:rPr>
        <w:t>自行承担相关风险。</w:t>
      </w:r>
    </w:p>
    <w:p w14:paraId="7E4EF65E">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最终投标报价</w:t>
      </w:r>
    </w:p>
    <w:p w14:paraId="4D4CE1D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.1磋商并不限定只进行</w:t>
      </w:r>
      <w:r>
        <w:rPr>
          <w:rFonts w:hint="eastAsia" w:asciiTheme="minorEastAsia" w:hAnsiTheme="minorEastAsia" w:eastAsia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rPr>
        <w:t>轮报价，如果</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认为有必要，可以要求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进行多轮报价。</w:t>
      </w:r>
    </w:p>
    <w:p w14:paraId="19CB033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.2在磋商内容不做实质性变更或重大调整的前提下，</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下轮报价不得高于上一轮报价。</w:t>
      </w:r>
    </w:p>
    <w:p w14:paraId="1FCC9F5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是</w:t>
      </w:r>
      <w:r>
        <w:rPr>
          <w:rFonts w:hint="eastAsia" w:asciiTheme="minorEastAsia" w:hAnsiTheme="minorEastAsia" w:eastAsiaTheme="minorEastAsia" w:cstheme="minorEastAsia"/>
          <w:color w:val="auto"/>
          <w:sz w:val="24"/>
          <w:highlight w:val="none"/>
          <w:lang w:eastAsia="zh-CN"/>
        </w:rPr>
        <w:t>投标人投标文件</w:t>
      </w:r>
      <w:r>
        <w:rPr>
          <w:rFonts w:hint="eastAsia" w:asciiTheme="minorEastAsia" w:hAnsiTheme="minorEastAsia" w:eastAsiaTheme="minorEastAsia" w:cstheme="minorEastAsia"/>
          <w:color w:val="auto"/>
          <w:sz w:val="24"/>
          <w:highlight w:val="none"/>
        </w:rPr>
        <w:t>的有效组成部分，</w:t>
      </w:r>
      <w:r>
        <w:rPr>
          <w:rFonts w:hint="eastAsia" w:asciiTheme="minorEastAsia" w:hAnsiTheme="minorEastAsia" w:eastAsiaTheme="minorEastAsia" w:cstheme="minorEastAsia"/>
          <w:color w:val="auto"/>
          <w:sz w:val="24"/>
          <w:highlight w:val="none"/>
          <w:lang w:eastAsia="zh-CN"/>
        </w:rPr>
        <w:t>最终投标报价</w:t>
      </w:r>
      <w:r>
        <w:rPr>
          <w:rFonts w:hint="eastAsia" w:asciiTheme="minorEastAsia" w:hAnsiTheme="minorEastAsia" w:eastAsiaTheme="minorEastAsia" w:cstheme="minorEastAsia"/>
          <w:color w:val="auto"/>
          <w:sz w:val="24"/>
          <w:highlight w:val="none"/>
        </w:rPr>
        <w:t>也是签订合同的依据。</w:t>
      </w:r>
    </w:p>
    <w:p w14:paraId="2AE7211C">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szCs w:val="22"/>
          <w:highlight w:val="none"/>
          <w:lang w:val="en-US" w:eastAsia="zh-CN"/>
        </w:rPr>
        <w:t>15</w:t>
      </w:r>
      <w:r>
        <w:rPr>
          <w:rFonts w:hint="eastAsia" w:asciiTheme="minorEastAsia" w:hAnsiTheme="minorEastAsia" w:eastAsiaTheme="minorEastAsia" w:cstheme="minorEastAsia"/>
          <w:color w:val="auto"/>
          <w:kern w:val="2"/>
          <w:sz w:val="24"/>
          <w:szCs w:val="22"/>
          <w:highlight w:val="none"/>
        </w:rPr>
        <w:t>.</w:t>
      </w:r>
      <w:r>
        <w:rPr>
          <w:rFonts w:hint="eastAsia" w:asciiTheme="minorEastAsia" w:hAnsiTheme="minorEastAsia" w:eastAsiaTheme="minorEastAsia" w:cstheme="minorEastAsia"/>
          <w:color w:val="auto"/>
          <w:kern w:val="2"/>
          <w:sz w:val="24"/>
          <w:szCs w:val="22"/>
          <w:highlight w:val="none"/>
          <w:lang w:val="en-US" w:eastAsia="zh-CN"/>
        </w:rPr>
        <w:t>4</w:t>
      </w:r>
      <w:r>
        <w:rPr>
          <w:rFonts w:hint="eastAsia" w:asciiTheme="minorEastAsia" w:hAnsiTheme="minorEastAsia" w:eastAsiaTheme="minorEastAsia" w:cstheme="minorEastAsia"/>
          <w:color w:val="auto"/>
          <w:kern w:val="2"/>
          <w:sz w:val="24"/>
          <w:highlight w:val="none"/>
        </w:rPr>
        <w:t>除非</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对磋商文件予以澄清、修改，否则</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应按</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提供的</w:t>
      </w:r>
      <w:r>
        <w:rPr>
          <w:rFonts w:hint="eastAsia" w:asciiTheme="minorEastAsia" w:hAnsiTheme="minorEastAsia" w:eastAsiaTheme="minorEastAsia" w:cstheme="minorEastAsia"/>
          <w:color w:val="auto"/>
          <w:kern w:val="2"/>
          <w:sz w:val="24"/>
          <w:highlight w:val="none"/>
          <w:lang w:val="en-US" w:eastAsia="zh-CN"/>
        </w:rPr>
        <w:t>货物</w:t>
      </w:r>
      <w:r>
        <w:rPr>
          <w:rFonts w:hint="eastAsia" w:asciiTheme="minorEastAsia" w:hAnsiTheme="minorEastAsia" w:eastAsiaTheme="minorEastAsia" w:cstheme="minorEastAsia"/>
          <w:color w:val="auto"/>
          <w:kern w:val="2"/>
          <w:sz w:val="24"/>
          <w:highlight w:val="none"/>
        </w:rPr>
        <w:t>清单中列出的项目和工程量逐项填报综合单价和合价。</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不得在</w:t>
      </w:r>
      <w:r>
        <w:rPr>
          <w:rFonts w:hint="eastAsia" w:asciiTheme="minorEastAsia" w:hAnsiTheme="minorEastAsia" w:eastAsiaTheme="minorEastAsia" w:cstheme="minorEastAsia"/>
          <w:color w:val="auto"/>
          <w:kern w:val="2"/>
          <w:sz w:val="24"/>
          <w:highlight w:val="none"/>
          <w:lang w:val="en-US" w:eastAsia="zh-CN"/>
        </w:rPr>
        <w:t>货物</w:t>
      </w:r>
      <w:r>
        <w:rPr>
          <w:rFonts w:hint="eastAsia" w:asciiTheme="minorEastAsia" w:hAnsiTheme="minorEastAsia" w:eastAsiaTheme="minorEastAsia" w:cstheme="minorEastAsia"/>
          <w:color w:val="auto"/>
          <w:kern w:val="2"/>
          <w:sz w:val="24"/>
          <w:highlight w:val="none"/>
        </w:rPr>
        <w:t>清单中任意增删、修改清单项目与工程量及项目排列顺序。</w:t>
      </w:r>
    </w:p>
    <w:p w14:paraId="7DED24EA">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5</w:t>
      </w:r>
      <w:r>
        <w:rPr>
          <w:rFonts w:hint="eastAsia" w:asciiTheme="minorEastAsia" w:hAnsiTheme="minorEastAsia" w:eastAsiaTheme="minorEastAsia" w:cstheme="minorEastAsia"/>
          <w:color w:val="auto"/>
          <w:kern w:val="2"/>
          <w:sz w:val="24"/>
          <w:highlight w:val="none"/>
        </w:rPr>
        <w:t>本项目的</w:t>
      </w:r>
      <w:r>
        <w:rPr>
          <w:rFonts w:hint="eastAsia" w:asciiTheme="minorEastAsia" w:hAnsiTheme="minorEastAsia" w:eastAsiaTheme="minorEastAsia" w:cstheme="minorEastAsia"/>
          <w:color w:val="auto"/>
          <w:kern w:val="2"/>
          <w:sz w:val="24"/>
          <w:highlight w:val="none"/>
          <w:lang w:val="en-US" w:eastAsia="zh-CN"/>
        </w:rPr>
        <w:t>供货（安装）</w:t>
      </w:r>
      <w:r>
        <w:rPr>
          <w:rFonts w:hint="eastAsia" w:asciiTheme="minorEastAsia" w:hAnsiTheme="minorEastAsia" w:eastAsiaTheme="minorEastAsia" w:cstheme="minorEastAsia"/>
          <w:color w:val="auto"/>
          <w:kern w:val="2"/>
          <w:sz w:val="24"/>
          <w:highlight w:val="none"/>
        </w:rPr>
        <w:t>地点为本须知前附表所述，</w:t>
      </w:r>
      <w:r>
        <w:rPr>
          <w:rFonts w:hint="eastAsia" w:asciiTheme="minorEastAsia" w:hAnsiTheme="minorEastAsia" w:eastAsiaTheme="minorEastAsia" w:cstheme="minorEastAsia"/>
          <w:color w:val="auto"/>
          <w:kern w:val="2"/>
          <w:sz w:val="24"/>
          <w:highlight w:val="none"/>
          <w:lang w:eastAsia="zh-CN"/>
        </w:rPr>
        <w:t>投标人</w:t>
      </w:r>
      <w:r>
        <w:rPr>
          <w:rFonts w:hint="eastAsia" w:asciiTheme="minorEastAsia" w:hAnsiTheme="minorEastAsia" w:eastAsiaTheme="minorEastAsia" w:cstheme="minorEastAsia"/>
          <w:color w:val="auto"/>
          <w:kern w:val="2"/>
          <w:sz w:val="24"/>
          <w:highlight w:val="none"/>
        </w:rPr>
        <w:t>可到</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现场踏勘以充分了解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位置、情况、道路、储存空间、装卸限制及任何</w:t>
      </w:r>
      <w:r>
        <w:rPr>
          <w:rFonts w:hint="eastAsia" w:asciiTheme="minorEastAsia" w:hAnsiTheme="minorEastAsia" w:eastAsiaTheme="minorEastAsia" w:cstheme="minorEastAsia"/>
          <w:color w:val="auto"/>
          <w:kern w:val="2"/>
          <w:sz w:val="24"/>
          <w:highlight w:val="none"/>
          <w:lang w:eastAsia="zh-CN"/>
        </w:rPr>
        <w:t>其他</w:t>
      </w:r>
      <w:r>
        <w:rPr>
          <w:rFonts w:hint="eastAsia" w:asciiTheme="minorEastAsia" w:hAnsiTheme="minorEastAsia" w:eastAsiaTheme="minorEastAsia" w:cstheme="minorEastAsia"/>
          <w:color w:val="auto"/>
          <w:kern w:val="2"/>
          <w:sz w:val="24"/>
          <w:highlight w:val="none"/>
        </w:rPr>
        <w:t>足以影响磋商报价的情况，任何因忽视或误解</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场地情况而导致的索赔或</w:t>
      </w:r>
      <w:r>
        <w:rPr>
          <w:rFonts w:hint="eastAsia" w:asciiTheme="minorEastAsia" w:hAnsiTheme="minorEastAsia" w:eastAsiaTheme="minorEastAsia" w:cstheme="minorEastAsia"/>
          <w:color w:val="auto"/>
          <w:kern w:val="2"/>
          <w:sz w:val="24"/>
          <w:highlight w:val="none"/>
          <w:lang w:val="en-US" w:eastAsia="zh-CN"/>
        </w:rPr>
        <w:t>供货（安装）周期</w:t>
      </w:r>
      <w:r>
        <w:rPr>
          <w:rFonts w:hint="eastAsia" w:asciiTheme="minorEastAsia" w:hAnsiTheme="minorEastAsia" w:eastAsiaTheme="minorEastAsia" w:cstheme="minorEastAsia"/>
          <w:color w:val="auto"/>
          <w:kern w:val="2"/>
          <w:sz w:val="24"/>
          <w:highlight w:val="none"/>
        </w:rPr>
        <w:t>延长申请将不被批准。对于受</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现场场地限制，如需要另外寻找场地解决临时住宿、材料及设备堆放，由此所产生的费用应包含在磋商报价范围内，</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不再承担该费用。</w:t>
      </w:r>
    </w:p>
    <w:p w14:paraId="7745947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2"/>
          <w:sz w:val="24"/>
          <w:highlight w:val="none"/>
          <w:lang w:val="en-US" w:eastAsia="zh-CN"/>
        </w:rPr>
        <w:t>15</w:t>
      </w:r>
      <w:r>
        <w:rPr>
          <w:rFonts w:hint="eastAsia" w:asciiTheme="minorEastAsia" w:hAnsiTheme="minorEastAsia" w:eastAsiaTheme="minorEastAsia" w:cstheme="minorEastAsia"/>
          <w:color w:val="auto"/>
          <w:kern w:val="2"/>
          <w:sz w:val="24"/>
          <w:highlight w:val="none"/>
        </w:rPr>
        <w:t>.</w:t>
      </w:r>
      <w:r>
        <w:rPr>
          <w:rFonts w:hint="eastAsia" w:asciiTheme="minorEastAsia" w:hAnsiTheme="minorEastAsia" w:eastAsiaTheme="minorEastAsia" w:cstheme="minorEastAsia"/>
          <w:color w:val="auto"/>
          <w:kern w:val="2"/>
          <w:sz w:val="24"/>
          <w:highlight w:val="none"/>
          <w:lang w:val="en-US" w:eastAsia="zh-CN"/>
        </w:rPr>
        <w:t>6</w:t>
      </w:r>
      <w:r>
        <w:rPr>
          <w:rFonts w:hint="eastAsia" w:asciiTheme="minorEastAsia" w:hAnsiTheme="minorEastAsia" w:eastAsiaTheme="minorEastAsia" w:cstheme="minorEastAsia"/>
          <w:color w:val="auto"/>
          <w:kern w:val="2"/>
          <w:sz w:val="24"/>
          <w:highlight w:val="none"/>
        </w:rPr>
        <w:t>本</w:t>
      </w:r>
      <w:r>
        <w:rPr>
          <w:rFonts w:hint="eastAsia" w:asciiTheme="minorEastAsia" w:hAnsiTheme="minorEastAsia" w:eastAsiaTheme="minorEastAsia" w:cstheme="minorEastAsia"/>
          <w:color w:val="auto"/>
          <w:kern w:val="2"/>
          <w:sz w:val="24"/>
          <w:highlight w:val="none"/>
          <w:lang w:val="en-US" w:eastAsia="zh-CN"/>
        </w:rPr>
        <w:t>项目</w:t>
      </w:r>
      <w:r>
        <w:rPr>
          <w:rFonts w:hint="eastAsia" w:asciiTheme="minorEastAsia" w:hAnsiTheme="minorEastAsia" w:eastAsiaTheme="minorEastAsia" w:cstheme="minorEastAsia"/>
          <w:color w:val="auto"/>
          <w:kern w:val="2"/>
          <w:sz w:val="24"/>
          <w:highlight w:val="none"/>
        </w:rPr>
        <w:t>不接受恶意不平衡报价，不保证最低价</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w:t>
      </w:r>
    </w:p>
    <w:p w14:paraId="531F20B4">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16</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中标候选人</w:t>
      </w:r>
      <w:r>
        <w:rPr>
          <w:rFonts w:hint="eastAsia" w:asciiTheme="minorEastAsia" w:hAnsiTheme="minorEastAsia" w:eastAsiaTheme="minorEastAsia" w:cstheme="minorEastAsia"/>
          <w:b/>
          <w:color w:val="auto"/>
          <w:sz w:val="24"/>
          <w:highlight w:val="none"/>
        </w:rPr>
        <w:t>的推荐原则</w:t>
      </w:r>
    </w:p>
    <w:p w14:paraId="1A997B85">
      <w:pPr>
        <w:spacing w:line="360" w:lineRule="auto"/>
        <w:ind w:firstLine="437"/>
        <w:outlineLvl w:val="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依据本项目磋商文件所约定的评审方法和标准，按照有效</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综合总得分由高到低依次推荐</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评审小组</w:t>
      </w:r>
      <w:r>
        <w:rPr>
          <w:rFonts w:hint="eastAsia" w:asciiTheme="minorEastAsia" w:hAnsiTheme="minorEastAsia" w:eastAsiaTheme="minorEastAsia" w:cstheme="minorEastAsia"/>
          <w:color w:val="auto"/>
          <w:kern w:val="0"/>
          <w:sz w:val="24"/>
          <w:highlight w:val="none"/>
        </w:rPr>
        <w:t>根据投标文件投票，按少数服从多数的原则确定中标候选人顺序。</w:t>
      </w:r>
    </w:p>
    <w:p w14:paraId="3D01EC11">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17</w:t>
      </w:r>
      <w:r>
        <w:rPr>
          <w:rFonts w:hint="eastAsia" w:asciiTheme="minorEastAsia" w:hAnsiTheme="minorEastAsia" w:eastAsiaTheme="minorEastAsia" w:cstheme="minorEastAsia"/>
          <w:b/>
          <w:color w:val="auto"/>
          <w:sz w:val="24"/>
          <w:highlight w:val="none"/>
        </w:rPr>
        <w:t>.确定</w:t>
      </w:r>
      <w:r>
        <w:rPr>
          <w:rFonts w:hint="eastAsia" w:asciiTheme="minorEastAsia" w:hAnsiTheme="minorEastAsia" w:eastAsiaTheme="minorEastAsia" w:cstheme="minorEastAsia"/>
          <w:b/>
          <w:color w:val="auto"/>
          <w:sz w:val="24"/>
          <w:highlight w:val="none"/>
          <w:lang w:eastAsia="zh-CN"/>
        </w:rPr>
        <w:t>中标人</w:t>
      </w:r>
    </w:p>
    <w:p w14:paraId="2E972B42">
      <w:pPr>
        <w:spacing w:line="360" w:lineRule="auto"/>
        <w:ind w:firstLine="470" w:firstLineChars="196"/>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 w:val="0"/>
          <w:color w:val="auto"/>
          <w:sz w:val="24"/>
          <w:highlight w:val="none"/>
          <w:lang w:eastAsia="zh-CN"/>
        </w:rPr>
        <w:t>招标人</w:t>
      </w:r>
      <w:r>
        <w:rPr>
          <w:rFonts w:hint="eastAsia" w:asciiTheme="minorEastAsia" w:hAnsiTheme="minorEastAsia" w:eastAsiaTheme="minorEastAsia" w:cstheme="minorEastAsia"/>
          <w:b w:val="0"/>
          <w:color w:val="auto"/>
          <w:sz w:val="24"/>
          <w:highlight w:val="none"/>
        </w:rPr>
        <w:t>委托</w:t>
      </w:r>
      <w:r>
        <w:rPr>
          <w:rFonts w:hint="eastAsia" w:asciiTheme="minorEastAsia" w:hAnsiTheme="minorEastAsia" w:eastAsiaTheme="minorEastAsia" w:cstheme="minorEastAsia"/>
          <w:b w:val="0"/>
          <w:color w:val="auto"/>
          <w:sz w:val="24"/>
          <w:highlight w:val="none"/>
          <w:lang w:eastAsia="zh-CN"/>
        </w:rPr>
        <w:t>评审小组</w:t>
      </w:r>
      <w:r>
        <w:rPr>
          <w:rFonts w:hint="eastAsia" w:asciiTheme="minorEastAsia" w:hAnsiTheme="minorEastAsia" w:eastAsiaTheme="minorEastAsia" w:cstheme="minorEastAsia"/>
          <w:color w:val="auto"/>
          <w:sz w:val="24"/>
          <w:highlight w:val="none"/>
        </w:rPr>
        <w:t>确定</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，排名第一的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lang w:val="en-US" w:eastAsia="zh-CN"/>
        </w:rPr>
        <w:t>即为中标人，</w:t>
      </w:r>
      <w:r>
        <w:rPr>
          <w:rFonts w:hint="eastAsia" w:asciiTheme="minorEastAsia" w:hAnsiTheme="minorEastAsia" w:eastAsiaTheme="minorEastAsia" w:cstheme="minorEastAsia"/>
          <w:color w:val="auto"/>
          <w:sz w:val="24"/>
          <w:highlight w:val="none"/>
        </w:rPr>
        <w:t>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招标人确定中标人的，由招标人函告代理机构后，由</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在指定媒体上予以公告</w:t>
      </w:r>
      <w:r>
        <w:rPr>
          <w:rFonts w:hint="eastAsia" w:asciiTheme="minorEastAsia" w:hAnsiTheme="minorEastAsia" w:eastAsiaTheme="minorEastAsia" w:cstheme="minorEastAsia"/>
          <w:color w:val="auto"/>
          <w:sz w:val="24"/>
          <w:highlight w:val="none"/>
          <w:lang w:eastAsia="zh-CN"/>
        </w:rPr>
        <w:t>。</w:t>
      </w:r>
    </w:p>
    <w:p w14:paraId="1AC906F3">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18</w:t>
      </w:r>
      <w:r>
        <w:rPr>
          <w:rFonts w:hint="eastAsia" w:asciiTheme="minorEastAsia" w:hAnsiTheme="minorEastAsia" w:eastAsiaTheme="minorEastAsia" w:cstheme="minorEastAsia"/>
          <w:b/>
          <w:color w:val="auto"/>
          <w:sz w:val="24"/>
          <w:highlight w:val="none"/>
        </w:rPr>
        <w:t>.编写评审报告</w:t>
      </w:r>
    </w:p>
    <w:p w14:paraId="08473F2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评审报告是根据全体</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成员签字的原始评审记录和评审结果编写的报告，评审报告由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全体成员签字。对评审结论持有异议的</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成员可以阐述其不同意见和理由。</w:t>
      </w:r>
      <w:r>
        <w:rPr>
          <w:rFonts w:hint="eastAsia" w:asciiTheme="minorEastAsia" w:hAnsiTheme="minorEastAsia" w:eastAsiaTheme="minorEastAsia" w:cstheme="minorEastAsia"/>
          <w:color w:val="auto"/>
          <w:sz w:val="24"/>
          <w:highlight w:val="none"/>
          <w:lang w:eastAsia="zh-CN"/>
        </w:rPr>
        <w:t>评审小组</w:t>
      </w:r>
      <w:r>
        <w:rPr>
          <w:rFonts w:hint="eastAsia" w:asciiTheme="minorEastAsia" w:hAnsiTheme="minorEastAsia" w:eastAsiaTheme="minorEastAsia" w:cstheme="minorEastAsia"/>
          <w:color w:val="auto"/>
          <w:sz w:val="24"/>
          <w:highlight w:val="none"/>
        </w:rPr>
        <w:t>成员拒绝在评审报告上签字且不陈述其不同意见和理由的，视为同意评审结论。</w:t>
      </w:r>
    </w:p>
    <w:p w14:paraId="75268C87">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19</w:t>
      </w:r>
      <w:r>
        <w:rPr>
          <w:rFonts w:hint="eastAsia" w:asciiTheme="minorEastAsia" w:hAnsiTheme="minorEastAsia" w:eastAsiaTheme="minorEastAsia" w:cstheme="minorEastAsia"/>
          <w:b/>
          <w:color w:val="auto"/>
          <w:sz w:val="24"/>
          <w:highlight w:val="none"/>
        </w:rPr>
        <w:t>.保密要求</w:t>
      </w:r>
    </w:p>
    <w:p w14:paraId="7019008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.1评审将在严格保密的情况下进行。</w:t>
      </w:r>
    </w:p>
    <w:p w14:paraId="4043B0D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19</w:t>
      </w:r>
      <w:r>
        <w:rPr>
          <w:rFonts w:hint="eastAsia" w:asciiTheme="minorEastAsia" w:hAnsiTheme="minorEastAsia" w:eastAsiaTheme="minorEastAsia" w:cstheme="minorEastAsia"/>
          <w:color w:val="auto"/>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color w:val="auto"/>
          <w:sz w:val="24"/>
          <w:highlight w:val="none"/>
          <w:lang w:eastAsia="zh-CN"/>
        </w:rPr>
        <w:t>等</w:t>
      </w:r>
      <w:r>
        <w:rPr>
          <w:rFonts w:hint="eastAsia" w:asciiTheme="minorEastAsia" w:hAnsiTheme="minorEastAsia" w:eastAsiaTheme="minorEastAsia" w:cstheme="minorEastAsia"/>
          <w:color w:val="auto"/>
          <w:sz w:val="24"/>
          <w:highlight w:val="none"/>
        </w:rPr>
        <w:t>。</w:t>
      </w:r>
    </w:p>
    <w:p w14:paraId="3A8341D2">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中标结果公告</w:t>
      </w:r>
    </w:p>
    <w:p w14:paraId="7CD1A892">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.1</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确定后，</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将在安徽公共资源交易集团网站（http://www.ahggzyjt.com）发布</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w:t>
      </w:r>
    </w:p>
    <w:p w14:paraId="278D5094">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val="en-US" w:eastAsia="zh-CN"/>
        </w:rPr>
        <w:t>0</w:t>
      </w:r>
      <w:r>
        <w:rPr>
          <w:rFonts w:hint="eastAsia" w:asciiTheme="minorEastAsia" w:hAnsiTheme="minorEastAsia" w:eastAsiaTheme="minorEastAsia" w:cstheme="minorEastAsia"/>
          <w:color w:val="auto"/>
          <w:kern w:val="2"/>
          <w:sz w:val="24"/>
          <w:highlight w:val="none"/>
        </w:rPr>
        <w:t>.2</w:t>
      </w:r>
      <w:r>
        <w:rPr>
          <w:rFonts w:hint="eastAsia" w:asciiTheme="minorEastAsia" w:hAnsiTheme="minorEastAsia" w:eastAsiaTheme="minorEastAsia" w:cstheme="minorEastAsia"/>
          <w:color w:val="auto"/>
          <w:kern w:val="2"/>
          <w:sz w:val="24"/>
          <w:highlight w:val="none"/>
          <w:lang w:eastAsia="zh-CN"/>
        </w:rPr>
        <w:t>中标结果公告</w:t>
      </w:r>
      <w:r>
        <w:rPr>
          <w:rFonts w:hint="eastAsia" w:asciiTheme="minorEastAsia" w:hAnsiTheme="minorEastAsia" w:eastAsiaTheme="minorEastAsia" w:cstheme="minorEastAsia"/>
          <w:color w:val="auto"/>
          <w:kern w:val="2"/>
          <w:sz w:val="24"/>
          <w:highlight w:val="none"/>
        </w:rPr>
        <w:t>内容应当包括</w:t>
      </w:r>
      <w:r>
        <w:rPr>
          <w:rFonts w:hint="eastAsia" w:asciiTheme="minorEastAsia" w:hAnsiTheme="minorEastAsia" w:eastAsiaTheme="minorEastAsia" w:cstheme="minorEastAsia"/>
          <w:color w:val="auto"/>
          <w:kern w:val="2"/>
          <w:sz w:val="24"/>
          <w:highlight w:val="none"/>
          <w:lang w:eastAsia="zh-CN"/>
        </w:rPr>
        <w:t>招标人</w:t>
      </w:r>
      <w:r>
        <w:rPr>
          <w:rFonts w:hint="eastAsia" w:asciiTheme="minorEastAsia" w:hAnsiTheme="minorEastAsia" w:eastAsiaTheme="minorEastAsia" w:cstheme="minorEastAsia"/>
          <w:color w:val="auto"/>
          <w:kern w:val="2"/>
          <w:sz w:val="24"/>
          <w:highlight w:val="none"/>
        </w:rPr>
        <w:t>及其委托的</w:t>
      </w:r>
      <w:r>
        <w:rPr>
          <w:rFonts w:hint="eastAsia" w:asciiTheme="minorEastAsia" w:hAnsiTheme="minorEastAsia" w:eastAsiaTheme="minorEastAsia" w:cstheme="minorEastAsia"/>
          <w:color w:val="auto"/>
          <w:kern w:val="2"/>
          <w:sz w:val="24"/>
          <w:highlight w:val="none"/>
          <w:lang w:eastAsia="zh-CN"/>
        </w:rPr>
        <w:t>代理机构</w:t>
      </w:r>
      <w:r>
        <w:rPr>
          <w:rFonts w:hint="eastAsia" w:asciiTheme="minorEastAsia" w:hAnsiTheme="minorEastAsia" w:eastAsiaTheme="minorEastAsia" w:cstheme="minorEastAsia"/>
          <w:color w:val="auto"/>
          <w:kern w:val="2"/>
          <w:sz w:val="24"/>
          <w:highlight w:val="none"/>
        </w:rPr>
        <w:t>的名称、项目名称</w:t>
      </w:r>
      <w:r>
        <w:rPr>
          <w:rFonts w:hint="eastAsia" w:asciiTheme="minorEastAsia" w:hAnsiTheme="minorEastAsia" w:eastAsiaTheme="minorEastAsia" w:cstheme="minorEastAsia"/>
          <w:color w:val="auto"/>
          <w:kern w:val="2"/>
          <w:sz w:val="24"/>
          <w:highlight w:val="none"/>
          <w:lang w:eastAsia="zh-CN"/>
        </w:rPr>
        <w:t>、</w:t>
      </w:r>
      <w:r>
        <w:rPr>
          <w:rFonts w:hint="eastAsia" w:asciiTheme="minorEastAsia" w:hAnsiTheme="minorEastAsia" w:eastAsiaTheme="minorEastAsia" w:cstheme="minorEastAsia"/>
          <w:color w:val="auto"/>
          <w:kern w:val="2"/>
          <w:sz w:val="24"/>
          <w:highlight w:val="none"/>
        </w:rPr>
        <w:t>项目编号</w:t>
      </w: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名称</w:t>
      </w:r>
      <w:r>
        <w:rPr>
          <w:rFonts w:hint="eastAsia" w:asciiTheme="minorEastAsia" w:hAnsiTheme="minorEastAsia" w:eastAsiaTheme="minorEastAsia" w:cstheme="minorEastAsia"/>
          <w:color w:val="auto"/>
          <w:kern w:val="2"/>
          <w:sz w:val="24"/>
          <w:highlight w:val="none"/>
          <w:lang w:eastAsia="zh-CN"/>
        </w:rPr>
        <w:t>、中标</w:t>
      </w:r>
      <w:r>
        <w:rPr>
          <w:rFonts w:hint="eastAsia" w:asciiTheme="minorEastAsia" w:hAnsiTheme="minorEastAsia" w:eastAsiaTheme="minorEastAsia" w:cstheme="minorEastAsia"/>
          <w:color w:val="auto"/>
          <w:kern w:val="2"/>
          <w:sz w:val="24"/>
          <w:highlight w:val="none"/>
        </w:rPr>
        <w:t>金额。</w:t>
      </w:r>
    </w:p>
    <w:p w14:paraId="3DFD9757">
      <w:pPr>
        <w:spacing w:line="360" w:lineRule="auto"/>
        <w:ind w:firstLine="437"/>
        <w:outlineLvl w:val="3"/>
        <w:rPr>
          <w:rFonts w:hint="default"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21.磋商结果的异议、投诉</w:t>
      </w:r>
    </w:p>
    <w:p w14:paraId="79827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auto"/>
          <w:kern w:val="2"/>
          <w:sz w:val="24"/>
          <w:szCs w:val="24"/>
          <w:highlight w:val="none"/>
          <w:lang w:val="en-US" w:eastAsia="zh-CN"/>
        </w:rPr>
      </w:pPr>
      <w:r>
        <w:rPr>
          <w:rFonts w:hint="eastAsia" w:cs="@仿宋_GB2312" w:asciiTheme="minorHAnsi" w:hAnsiTheme="minorHAnsi" w:eastAsiaTheme="minorEastAsia"/>
          <w:color w:val="auto"/>
          <w:kern w:val="2"/>
          <w:sz w:val="24"/>
          <w:szCs w:val="24"/>
          <w:highlight w:val="none"/>
          <w:lang w:val="en-US" w:eastAsia="zh-CN"/>
        </w:rPr>
        <w:t>21.1对于磋商结果有异议的，应在中标结果公告规定的时间内向招标人或代理机构提出。</w:t>
      </w:r>
    </w:p>
    <w:p w14:paraId="15CDEC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cs="@仿宋_GB2312" w:asciiTheme="minorHAnsi" w:hAnsiTheme="minorHAnsi" w:eastAsiaTheme="minorEastAsia"/>
          <w:color w:val="auto"/>
          <w:kern w:val="2"/>
          <w:sz w:val="24"/>
          <w:szCs w:val="24"/>
          <w:highlight w:val="none"/>
          <w:lang w:val="en-US" w:eastAsia="zh-CN"/>
        </w:rPr>
        <w:t>21.2对于异议答复不满意的，应在收到异议答复之日起3日内向磋商公告载明的监督管理部门提出。</w:t>
      </w:r>
    </w:p>
    <w:p w14:paraId="1811C0D2">
      <w:pPr>
        <w:spacing w:line="360" w:lineRule="auto"/>
        <w:ind w:firstLine="437"/>
        <w:outlineLvl w:val="3"/>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中标通知书</w:t>
      </w:r>
    </w:p>
    <w:p w14:paraId="620FBDDB">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发布</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的同时</w:t>
      </w:r>
      <w:r>
        <w:rPr>
          <w:rFonts w:hint="eastAsia" w:asciiTheme="minorEastAsia" w:hAnsiTheme="minorEastAsia" w:eastAsiaTheme="minorEastAsia" w:cstheme="minorEastAsia"/>
          <w:color w:val="auto"/>
          <w:sz w:val="24"/>
          <w:highlight w:val="none"/>
          <w:u w:val="none"/>
        </w:rPr>
        <w:t>以</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rPr>
        <w:t>的形式向</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发出</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w:t>
      </w:r>
    </w:p>
    <w:p w14:paraId="0A604C28">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具有同等法律效力。</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发出以后，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改变</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结果或者</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，应当承担相应的法律责任。</w:t>
      </w:r>
    </w:p>
    <w:p w14:paraId="75B7441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是合同的组成部分。</w:t>
      </w:r>
    </w:p>
    <w:p w14:paraId="3CDAF15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3</w:t>
      </w:r>
      <w:r>
        <w:rPr>
          <w:rFonts w:hint="eastAsia" w:asciiTheme="minorEastAsia" w:hAnsiTheme="minorEastAsia" w:eastAsiaTheme="minorEastAsia" w:cstheme="minorEastAsia"/>
          <w:b/>
          <w:color w:val="auto"/>
          <w:sz w:val="24"/>
          <w:highlight w:val="none"/>
        </w:rPr>
        <w:t>.告知磋商结果</w:t>
      </w:r>
    </w:p>
    <w:p w14:paraId="5D636479">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中标结果公告</w:t>
      </w:r>
      <w:r>
        <w:rPr>
          <w:rFonts w:hint="eastAsia" w:asciiTheme="minorEastAsia" w:hAnsiTheme="minorEastAsia" w:eastAsiaTheme="minorEastAsia" w:cstheme="minorEastAsia"/>
          <w:color w:val="auto"/>
          <w:sz w:val="24"/>
          <w:highlight w:val="none"/>
        </w:rPr>
        <w:t>发布后，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自行登录电子交易系统查询结果信息。</w:t>
      </w:r>
    </w:p>
    <w:p w14:paraId="5B4C39A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对未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不做未</w:t>
      </w:r>
      <w:r>
        <w:rPr>
          <w:rFonts w:hint="eastAsia" w:asciiTheme="minorEastAsia" w:hAnsiTheme="minorEastAsia" w:eastAsiaTheme="minorEastAsia" w:cstheme="minorEastAsia"/>
          <w:color w:val="auto"/>
          <w:sz w:val="24"/>
          <w:highlight w:val="none"/>
          <w:lang w:eastAsia="zh-CN"/>
        </w:rPr>
        <w:t>中标</w:t>
      </w:r>
      <w:r>
        <w:rPr>
          <w:rFonts w:hint="eastAsia" w:asciiTheme="minorEastAsia" w:hAnsiTheme="minorEastAsia" w:eastAsiaTheme="minorEastAsia" w:cstheme="minorEastAsia"/>
          <w:color w:val="auto"/>
          <w:sz w:val="24"/>
          <w:highlight w:val="none"/>
        </w:rPr>
        <w:t>原因的解释。</w:t>
      </w:r>
    </w:p>
    <w:p w14:paraId="2FAF0A01">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24</w:t>
      </w:r>
      <w:r>
        <w:rPr>
          <w:rFonts w:hint="eastAsia" w:asciiTheme="minorEastAsia" w:hAnsiTheme="minorEastAsia" w:eastAsiaTheme="minorEastAsia" w:cstheme="minorEastAsia"/>
          <w:b/>
          <w:color w:val="auto"/>
          <w:sz w:val="24"/>
          <w:highlight w:val="none"/>
        </w:rPr>
        <w:t>.履约保证金</w:t>
      </w:r>
    </w:p>
    <w:p w14:paraId="1D94D50F">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没有按照</w:t>
      </w:r>
      <w:r>
        <w:rPr>
          <w:rFonts w:hint="eastAsia" w:asciiTheme="minorEastAsia" w:hAnsiTheme="minorEastAsia" w:eastAsiaTheme="minorEastAsia" w:cstheme="minorEastAsia"/>
          <w:color w:val="auto"/>
          <w:sz w:val="24"/>
          <w:highlight w:val="none"/>
          <w:lang w:val="en-US" w:eastAsia="zh-CN"/>
        </w:rPr>
        <w:t>投标人须知前附表中</w:t>
      </w:r>
      <w:r>
        <w:rPr>
          <w:rFonts w:hint="eastAsia" w:asciiTheme="minorEastAsia" w:hAnsiTheme="minorEastAsia" w:eastAsiaTheme="minorEastAsia" w:cstheme="minorEastAsia"/>
          <w:color w:val="auto"/>
          <w:sz w:val="24"/>
          <w:highlight w:val="none"/>
        </w:rPr>
        <w:t>履约保证金的规定执行，将视为放弃</w:t>
      </w:r>
      <w:r>
        <w:rPr>
          <w:rFonts w:hint="eastAsia" w:asciiTheme="minorEastAsia" w:hAnsiTheme="minorEastAsia" w:eastAsiaTheme="minorEastAsia" w:cstheme="minorEastAsia"/>
          <w:color w:val="auto"/>
          <w:sz w:val="24"/>
          <w:highlight w:val="none"/>
          <w:lang w:eastAsia="zh-CN"/>
        </w:rPr>
        <w:t>中标资格</w:t>
      </w:r>
      <w:r>
        <w:rPr>
          <w:rFonts w:hint="eastAsia" w:asciiTheme="minorEastAsia" w:hAnsiTheme="minorEastAsia" w:eastAsiaTheme="minorEastAsia" w:cstheme="minorEastAsia"/>
          <w:color w:val="auto"/>
          <w:sz w:val="24"/>
          <w:highlight w:val="none"/>
        </w:rPr>
        <w:t>。在此情况下，</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w:t>
      </w:r>
    </w:p>
    <w:p w14:paraId="2A6F3EDC">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25</w:t>
      </w:r>
      <w:r>
        <w:rPr>
          <w:rFonts w:hint="eastAsia" w:asciiTheme="minorEastAsia" w:hAnsiTheme="minorEastAsia" w:eastAsiaTheme="minorEastAsia" w:cstheme="minorEastAsia"/>
          <w:b/>
          <w:color w:val="auto"/>
          <w:sz w:val="24"/>
          <w:highlight w:val="none"/>
        </w:rPr>
        <w:t>.代理费用</w:t>
      </w:r>
    </w:p>
    <w:p w14:paraId="0F99E46A">
      <w:pPr>
        <w:spacing w:line="360" w:lineRule="auto"/>
        <w:ind w:firstLine="435"/>
        <w:rPr>
          <w:rFonts w:hint="eastAsia" w:asciiTheme="minorEastAsia" w:hAnsiTheme="minorEastAsia" w:eastAsiaTheme="minorEastAsia" w:cstheme="minorEastAsia"/>
          <w:color w:val="auto"/>
          <w:kern w:val="2"/>
          <w:sz w:val="24"/>
          <w:highlight w:val="none"/>
        </w:rPr>
      </w:pPr>
      <w:r>
        <w:rPr>
          <w:rFonts w:hint="eastAsia" w:asciiTheme="minorEastAsia" w:hAnsiTheme="minorEastAsia" w:eastAsiaTheme="minorEastAsia" w:cstheme="minorEastAsia"/>
          <w:color w:val="auto"/>
          <w:kern w:val="2"/>
          <w:sz w:val="24"/>
          <w:highlight w:val="none"/>
          <w:lang w:eastAsia="zh-CN"/>
        </w:rPr>
        <w:t>中标人</w:t>
      </w:r>
      <w:r>
        <w:rPr>
          <w:rFonts w:hint="eastAsia" w:asciiTheme="minorEastAsia" w:hAnsiTheme="minorEastAsia" w:eastAsiaTheme="minorEastAsia" w:cstheme="minorEastAsia"/>
          <w:color w:val="auto"/>
          <w:kern w:val="2"/>
          <w:sz w:val="24"/>
          <w:highlight w:val="none"/>
        </w:rPr>
        <w:t>放弃</w:t>
      </w:r>
      <w:r>
        <w:rPr>
          <w:rFonts w:hint="eastAsia" w:asciiTheme="minorEastAsia" w:hAnsiTheme="minorEastAsia" w:eastAsiaTheme="minorEastAsia" w:cstheme="minorEastAsia"/>
          <w:color w:val="auto"/>
          <w:kern w:val="2"/>
          <w:sz w:val="24"/>
          <w:highlight w:val="none"/>
          <w:lang w:eastAsia="zh-CN"/>
        </w:rPr>
        <w:t>中标资格</w:t>
      </w:r>
      <w:r>
        <w:rPr>
          <w:rFonts w:hint="eastAsia" w:asciiTheme="minorEastAsia" w:hAnsiTheme="minorEastAsia" w:eastAsiaTheme="minorEastAsia" w:cstheme="minorEastAsia"/>
          <w:color w:val="auto"/>
          <w:kern w:val="2"/>
          <w:sz w:val="24"/>
          <w:highlight w:val="none"/>
        </w:rPr>
        <w:t>的，</w:t>
      </w:r>
      <w:r>
        <w:rPr>
          <w:rFonts w:hint="eastAsia" w:asciiTheme="minorEastAsia" w:hAnsiTheme="minorEastAsia" w:eastAsiaTheme="minorEastAsia" w:cstheme="minorEastAsia"/>
          <w:color w:val="auto"/>
          <w:sz w:val="24"/>
          <w:highlight w:val="none"/>
          <w:lang w:val="en-US" w:eastAsia="zh-CN"/>
        </w:rPr>
        <w:t>本磋商项目应收取的</w:t>
      </w:r>
      <w:r>
        <w:rPr>
          <w:rFonts w:hint="eastAsia" w:ascii="宋体" w:hAnsi="宋体" w:eastAsia="宋体"/>
          <w:b w:val="0"/>
          <w:color w:val="auto"/>
          <w:sz w:val="24"/>
          <w:szCs w:val="24"/>
          <w:highlight w:val="none"/>
        </w:rPr>
        <w:t>招标代理</w:t>
      </w:r>
      <w:r>
        <w:rPr>
          <w:rFonts w:hint="eastAsia"/>
          <w:b w:val="0"/>
          <w:color w:val="auto"/>
          <w:sz w:val="24"/>
          <w:szCs w:val="24"/>
          <w:highlight w:val="none"/>
        </w:rPr>
        <w:t>服务费</w:t>
      </w:r>
      <w:r>
        <w:rPr>
          <w:rFonts w:hint="eastAsia" w:asciiTheme="minorEastAsia" w:hAnsiTheme="minorEastAsia" w:eastAsiaTheme="minorEastAsia" w:cstheme="minorEastAsia"/>
          <w:color w:val="auto"/>
          <w:kern w:val="2"/>
          <w:sz w:val="24"/>
          <w:highlight w:val="none"/>
          <w:lang w:eastAsia="zh-CN"/>
        </w:rPr>
        <w:t>、</w:t>
      </w:r>
      <w:r>
        <w:rPr>
          <w:rFonts w:hint="eastAsia" w:ascii="宋体" w:hAnsi="宋体" w:eastAsia="宋体"/>
          <w:b w:val="0"/>
          <w:color w:val="auto"/>
          <w:sz w:val="24"/>
          <w:szCs w:val="24"/>
          <w:highlight w:val="none"/>
        </w:rPr>
        <w:t>工程量清单和最高投标限价</w:t>
      </w:r>
      <w:r>
        <w:rPr>
          <w:rFonts w:hint="eastAsia"/>
          <w:b w:val="0"/>
          <w:color w:val="auto"/>
          <w:sz w:val="24"/>
          <w:szCs w:val="24"/>
          <w:highlight w:val="none"/>
          <w:lang w:eastAsia="zh-CN"/>
        </w:rPr>
        <w:t>编制费用</w:t>
      </w:r>
      <w:r>
        <w:rPr>
          <w:rFonts w:hint="eastAsia" w:asciiTheme="minorEastAsia" w:hAnsiTheme="minorEastAsia" w:eastAsiaTheme="minorEastAsia" w:cstheme="minorEastAsia"/>
          <w:color w:val="auto"/>
          <w:kern w:val="2"/>
          <w:sz w:val="24"/>
          <w:highlight w:val="none"/>
        </w:rPr>
        <w:t>由其承担。</w:t>
      </w:r>
    </w:p>
    <w:p w14:paraId="78A85142">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26</w:t>
      </w:r>
      <w:r>
        <w:rPr>
          <w:rFonts w:hint="eastAsia" w:asciiTheme="minorEastAsia" w:hAnsiTheme="minorEastAsia" w:eastAsiaTheme="minorEastAsia" w:cstheme="minorEastAsia"/>
          <w:b/>
          <w:color w:val="auto"/>
          <w:sz w:val="24"/>
          <w:highlight w:val="none"/>
        </w:rPr>
        <w:t>.签订合同</w:t>
      </w:r>
    </w:p>
    <w:p w14:paraId="5BE24F02">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与</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应当在中标通知书发出后及时签订合同。</w:t>
      </w:r>
    </w:p>
    <w:p w14:paraId="77F5CA55">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.2磋商文件、</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及其澄清文件等，均为签订合同的依据。</w:t>
      </w:r>
    </w:p>
    <w:p w14:paraId="1EA2FBCB">
      <w:pPr>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26</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可以按照评审报告推荐的</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名单排序，确定下一</w:t>
      </w:r>
      <w:r>
        <w:rPr>
          <w:rFonts w:hint="eastAsia" w:asciiTheme="minorEastAsia" w:hAnsiTheme="minorEastAsia" w:eastAsiaTheme="minorEastAsia" w:cstheme="minorEastAsia"/>
          <w:color w:val="auto"/>
          <w:sz w:val="24"/>
          <w:highlight w:val="none"/>
          <w:lang w:eastAsia="zh-CN"/>
        </w:rPr>
        <w:t>中标候选人</w:t>
      </w:r>
      <w:r>
        <w:rPr>
          <w:rFonts w:hint="eastAsia" w:asciiTheme="minorEastAsia" w:hAnsiTheme="minorEastAsia" w:eastAsiaTheme="minorEastAsia" w:cstheme="minorEastAsia"/>
          <w:color w:val="auto"/>
          <w:sz w:val="24"/>
          <w:highlight w:val="none"/>
        </w:rPr>
        <w:t>为</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，也可以重新开展</w:t>
      </w:r>
      <w:r>
        <w:rPr>
          <w:rFonts w:hint="eastAsia" w:asciiTheme="minorEastAsia" w:hAnsiTheme="minorEastAsia" w:eastAsiaTheme="minorEastAsia" w:cstheme="minorEastAsia"/>
          <w:color w:val="auto"/>
          <w:sz w:val="24"/>
          <w:highlight w:val="none"/>
          <w:lang w:eastAsia="zh-CN"/>
        </w:rPr>
        <w:t>磋商活动</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中标人</w:t>
      </w:r>
      <w:r>
        <w:rPr>
          <w:rFonts w:hint="eastAsia" w:asciiTheme="minorEastAsia" w:hAnsiTheme="minorEastAsia" w:eastAsiaTheme="minorEastAsia" w:cstheme="minorEastAsia"/>
          <w:color w:val="auto"/>
          <w:sz w:val="24"/>
          <w:highlight w:val="none"/>
        </w:rPr>
        <w:t>拒绝签订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的不得参加对该项目重新开展的</w:t>
      </w:r>
      <w:r>
        <w:rPr>
          <w:rFonts w:hint="eastAsia" w:asciiTheme="minorEastAsia" w:hAnsiTheme="minorEastAsia" w:eastAsiaTheme="minorEastAsia" w:cstheme="minorEastAsia"/>
          <w:color w:val="auto"/>
          <w:sz w:val="24"/>
          <w:highlight w:val="none"/>
          <w:lang w:eastAsia="zh-CN"/>
        </w:rPr>
        <w:t>磋商活动</w:t>
      </w:r>
      <w:r>
        <w:rPr>
          <w:rFonts w:hint="eastAsia" w:asciiTheme="minorEastAsia" w:hAnsiTheme="minorEastAsia" w:eastAsiaTheme="minorEastAsia" w:cstheme="minorEastAsia"/>
          <w:color w:val="auto"/>
          <w:sz w:val="24"/>
          <w:highlight w:val="none"/>
        </w:rPr>
        <w:t>。</w:t>
      </w:r>
    </w:p>
    <w:p w14:paraId="6F046C54">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27</w:t>
      </w:r>
      <w:r>
        <w:rPr>
          <w:rFonts w:hint="eastAsia" w:asciiTheme="minorEastAsia" w:hAnsiTheme="minorEastAsia" w:eastAsiaTheme="minorEastAsia" w:cstheme="minorEastAsia"/>
          <w:b/>
          <w:color w:val="auto"/>
          <w:sz w:val="24"/>
          <w:highlight w:val="none"/>
        </w:rPr>
        <w:t>.廉洁自律规定</w:t>
      </w:r>
    </w:p>
    <w:p w14:paraId="00DC1B97">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工作人员不得以不正当手段获取</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代理业务，不得与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恶意串通。</w:t>
      </w:r>
    </w:p>
    <w:p w14:paraId="60EE3B3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27</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工作人员不得接受</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组织的宴请、旅游、娱乐，不得收受礼品、现金、有价证券等，不得向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报销应当由个人承担的费用。</w:t>
      </w:r>
    </w:p>
    <w:p w14:paraId="0FA84854">
      <w:pPr>
        <w:spacing w:line="360" w:lineRule="auto"/>
        <w:ind w:firstLine="437"/>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28</w:t>
      </w:r>
      <w:r>
        <w:rPr>
          <w:rFonts w:hint="eastAsia" w:asciiTheme="minorEastAsia" w:hAnsiTheme="minorEastAsia" w:eastAsiaTheme="minorEastAsia" w:cstheme="minorEastAsia"/>
          <w:b/>
          <w:color w:val="auto"/>
          <w:sz w:val="24"/>
          <w:highlight w:val="none"/>
        </w:rPr>
        <w:t>.需要补充的其他内容</w:t>
      </w:r>
    </w:p>
    <w:p w14:paraId="4BAA1C95">
      <w:pPr>
        <w:spacing w:line="360" w:lineRule="auto"/>
        <w:ind w:firstLine="435"/>
        <w:rPr>
          <w:color w:val="auto"/>
          <w:sz w:val="24"/>
          <w:highlight w:val="none"/>
        </w:rPr>
      </w:pPr>
      <w:r>
        <w:rPr>
          <w:rFonts w:hint="eastAsia" w:asciiTheme="minorEastAsia" w:hAnsiTheme="minorEastAsia" w:eastAsiaTheme="minorEastAsia" w:cstheme="minorEastAsia"/>
          <w:color w:val="auto"/>
          <w:sz w:val="24"/>
          <w:highlight w:val="none"/>
          <w:u w:val="none"/>
        </w:rPr>
        <w:t>需要补充的其他内容，见</w:t>
      </w:r>
      <w:r>
        <w:rPr>
          <w:rFonts w:hint="eastAsia" w:asciiTheme="minorEastAsia" w:hAnsiTheme="minorEastAsia" w:eastAsiaTheme="minorEastAsia" w:cstheme="minorEastAsia"/>
          <w:color w:val="auto"/>
          <w:sz w:val="24"/>
          <w:highlight w:val="none"/>
          <w:u w:val="none"/>
          <w:lang w:eastAsia="zh-CN"/>
        </w:rPr>
        <w:t>投标人</w:t>
      </w:r>
      <w:r>
        <w:rPr>
          <w:rFonts w:hint="eastAsia" w:asciiTheme="minorEastAsia" w:hAnsiTheme="minorEastAsia" w:eastAsiaTheme="minorEastAsia" w:cstheme="minorEastAsia"/>
          <w:color w:val="auto"/>
          <w:sz w:val="24"/>
          <w:highlight w:val="none"/>
          <w:u w:val="none"/>
        </w:rPr>
        <w:t>须知前附表</w:t>
      </w:r>
      <w:r>
        <w:rPr>
          <w:rFonts w:hint="eastAsia"/>
          <w:color w:val="auto"/>
          <w:sz w:val="24"/>
          <w:highlight w:val="none"/>
          <w:u w:val="none"/>
        </w:rPr>
        <w:t>。</w:t>
      </w:r>
      <w:r>
        <w:rPr>
          <w:rFonts w:asciiTheme="minorEastAsia" w:hAnsiTheme="minorEastAsia" w:eastAsiaTheme="minorEastAsia"/>
          <w:color w:val="auto"/>
          <w:sz w:val="24"/>
          <w:highlight w:val="none"/>
        </w:rPr>
        <w:br w:type="page"/>
      </w:r>
    </w:p>
    <w:p w14:paraId="73013EA7">
      <w:pPr>
        <w:pStyle w:val="3"/>
        <w:bidi w:val="0"/>
        <w:jc w:val="center"/>
        <w:rPr>
          <w:rFonts w:hint="default"/>
          <w:color w:val="auto"/>
          <w:highlight w:val="none"/>
          <w:lang w:val="en-US" w:eastAsia="zh-CN"/>
        </w:rPr>
      </w:pPr>
      <w:bookmarkStart w:id="6" w:name="_Toc30867"/>
      <w:r>
        <w:rPr>
          <w:rFonts w:hint="eastAsia"/>
          <w:color w:val="auto"/>
          <w:highlight w:val="none"/>
          <w:lang w:val="en-US" w:eastAsia="zh-CN"/>
        </w:rPr>
        <w:t>第三章 招标人要求</w:t>
      </w:r>
      <w:bookmarkEnd w:id="6"/>
    </w:p>
    <w:p w14:paraId="75997AE0">
      <w:pPr>
        <w:keepNext/>
        <w:keepLines/>
        <w:widowControl w:val="0"/>
        <w:spacing w:before="260" w:after="260" w:line="416" w:lineRule="auto"/>
        <w:jc w:val="both"/>
        <w:outlineLvl w:val="1"/>
        <w:rPr>
          <w:rFonts w:hint="eastAsia" w:ascii="Times New Roman" w:hAnsi="Times New Roman" w:eastAsia="宋体" w:cs="Times New Roman"/>
          <w:b/>
          <w:bCs/>
          <w:color w:val="auto"/>
          <w:kern w:val="2"/>
          <w:sz w:val="24"/>
          <w:szCs w:val="24"/>
          <w:highlight w:val="none"/>
          <w:lang w:val="zh-CN" w:eastAsia="zh-CN" w:bidi="ar-SA"/>
        </w:rPr>
      </w:pPr>
      <w:bookmarkStart w:id="7" w:name="_Toc501460778"/>
      <w:bookmarkStart w:id="8" w:name="_Toc24421"/>
      <w:bookmarkStart w:id="9" w:name="_Toc32695"/>
      <w:r>
        <w:rPr>
          <w:rFonts w:ascii="Times New Roman" w:hAnsi="Times New Roman" w:eastAsia="宋体" w:cs="Times New Roman"/>
          <w:b/>
          <w:bCs/>
          <w:color w:val="auto"/>
          <w:kern w:val="2"/>
          <w:sz w:val="24"/>
          <w:szCs w:val="24"/>
          <w:highlight w:val="none"/>
          <w:lang w:val="zh-CN" w:eastAsia="zh-CN" w:bidi="ar-SA"/>
        </w:rPr>
        <w:t>一、项目概况</w:t>
      </w:r>
      <w:bookmarkEnd w:id="7"/>
      <w:bookmarkEnd w:id="8"/>
      <w:bookmarkEnd w:id="9"/>
    </w:p>
    <w:p w14:paraId="557BC7D1">
      <w:pPr>
        <w:spacing w:line="560" w:lineRule="exact"/>
        <w:ind w:firstLine="410" w:firstLineChars="171"/>
        <w:rPr>
          <w:rFonts w:hint="eastAsia" w:ascii="宋体" w:hAnsi="宋体" w:eastAsia="宋体" w:cs="黑体"/>
          <w:color w:val="auto"/>
          <w:sz w:val="24"/>
          <w:szCs w:val="24"/>
          <w:highlight w:val="none"/>
        </w:rPr>
      </w:pPr>
      <w:r>
        <w:rPr>
          <w:rFonts w:hint="eastAsia" w:ascii="宋体" w:hAnsi="宋体" w:eastAsia="宋体" w:cs="黑体"/>
          <w:color w:val="auto"/>
          <w:sz w:val="24"/>
          <w:szCs w:val="24"/>
          <w:highlight w:val="none"/>
        </w:rPr>
        <w:t>本项目</w:t>
      </w:r>
      <w:r>
        <w:rPr>
          <w:rFonts w:hint="eastAsia" w:ascii="宋体" w:hAnsi="宋体" w:eastAsia="宋体" w:cs="黑体"/>
          <w:color w:val="auto"/>
          <w:sz w:val="24"/>
          <w:szCs w:val="24"/>
          <w:highlight w:val="none"/>
          <w:lang w:val="en-US" w:eastAsia="zh-CN"/>
        </w:rPr>
        <w:t>采用竞争性磋商</w:t>
      </w:r>
      <w:r>
        <w:rPr>
          <w:rFonts w:hint="eastAsia" w:ascii="宋体" w:hAnsi="宋体" w:eastAsia="宋体" w:cs="黑体"/>
          <w:color w:val="auto"/>
          <w:sz w:val="24"/>
          <w:szCs w:val="24"/>
          <w:highlight w:val="none"/>
        </w:rPr>
        <w:t>，</w:t>
      </w:r>
      <w:r>
        <w:rPr>
          <w:rFonts w:hint="eastAsia" w:ascii="宋体" w:hAnsi="宋体" w:eastAsia="宋体" w:cs="黑体"/>
          <w:color w:val="auto"/>
          <w:sz w:val="24"/>
          <w:szCs w:val="24"/>
          <w:highlight w:val="none"/>
          <w:lang w:val="en-US" w:eastAsia="zh-CN"/>
        </w:rPr>
        <w:t>拟</w:t>
      </w:r>
      <w:r>
        <w:rPr>
          <w:rFonts w:hint="eastAsia" w:ascii="宋体" w:hAnsi="宋体" w:eastAsia="宋体" w:cs="黑体"/>
          <w:color w:val="auto"/>
          <w:sz w:val="24"/>
          <w:szCs w:val="24"/>
          <w:highlight w:val="none"/>
        </w:rPr>
        <w:t>确定1家中标人，中标人负责按期提供符合招标文件技术参数的</w:t>
      </w:r>
      <w:r>
        <w:rPr>
          <w:rFonts w:hint="eastAsia" w:ascii="宋体" w:hAnsi="宋体" w:eastAsia="宋体" w:cs="黑体"/>
          <w:color w:val="auto"/>
          <w:sz w:val="24"/>
          <w:szCs w:val="24"/>
          <w:highlight w:val="none"/>
          <w:lang w:val="en-US" w:eastAsia="zh-CN"/>
        </w:rPr>
        <w:t>农残检测相关设备</w:t>
      </w:r>
      <w:r>
        <w:rPr>
          <w:rFonts w:hint="eastAsia" w:ascii="宋体" w:hAnsi="宋体" w:eastAsia="宋体" w:cs="黑体"/>
          <w:color w:val="auto"/>
          <w:sz w:val="24"/>
          <w:szCs w:val="24"/>
          <w:highlight w:val="none"/>
        </w:rPr>
        <w:t>,并负责仪器设备的安装调试和质保期内的维护维修服务。</w:t>
      </w:r>
    </w:p>
    <w:p w14:paraId="7A8799D6">
      <w:pPr>
        <w:rPr>
          <w:rFonts w:ascii="宋体" w:hAnsi="宋体" w:eastAsia="宋体"/>
          <w:color w:val="auto"/>
          <w:highlight w:val="none"/>
        </w:rPr>
      </w:pPr>
    </w:p>
    <w:p w14:paraId="40F89AA3">
      <w:pPr>
        <w:keepNext/>
        <w:keepLines/>
        <w:widowControl w:val="0"/>
        <w:spacing w:before="260" w:after="260" w:line="416" w:lineRule="auto"/>
        <w:jc w:val="both"/>
        <w:outlineLvl w:val="1"/>
        <w:rPr>
          <w:rFonts w:hint="eastAsia" w:ascii="Times New Roman" w:hAnsi="Times New Roman" w:eastAsia="宋体" w:cs="Times New Roman"/>
          <w:b/>
          <w:bCs/>
          <w:color w:val="auto"/>
          <w:kern w:val="2"/>
          <w:sz w:val="24"/>
          <w:szCs w:val="24"/>
          <w:highlight w:val="none"/>
          <w:lang w:val="zh-CN" w:eastAsia="zh-CN" w:bidi="ar-SA"/>
        </w:rPr>
      </w:pPr>
      <w:bookmarkStart w:id="10" w:name="_Toc30199"/>
      <w:bookmarkStart w:id="11" w:name="_Toc3679"/>
      <w:bookmarkStart w:id="12" w:name="_Toc501460779"/>
      <w:r>
        <w:rPr>
          <w:rFonts w:ascii="Times New Roman" w:hAnsi="Times New Roman" w:eastAsia="宋体" w:cs="Times New Roman"/>
          <w:b/>
          <w:bCs/>
          <w:color w:val="auto"/>
          <w:kern w:val="2"/>
          <w:sz w:val="24"/>
          <w:szCs w:val="24"/>
          <w:highlight w:val="none"/>
          <w:lang w:val="zh-CN" w:eastAsia="zh-CN" w:bidi="ar-SA"/>
        </w:rPr>
        <w:t>二、</w:t>
      </w:r>
      <w:r>
        <w:rPr>
          <w:rFonts w:hint="eastAsia" w:ascii="Times New Roman" w:hAnsi="Times New Roman" w:eastAsia="宋体" w:cs="Times New Roman"/>
          <w:b/>
          <w:bCs/>
          <w:color w:val="auto"/>
          <w:kern w:val="2"/>
          <w:sz w:val="24"/>
          <w:szCs w:val="24"/>
          <w:highlight w:val="none"/>
          <w:lang w:val="zh-CN" w:eastAsia="zh-CN" w:bidi="ar-SA"/>
        </w:rPr>
        <w:t>货物</w:t>
      </w:r>
      <w:r>
        <w:rPr>
          <w:rFonts w:ascii="Times New Roman" w:hAnsi="Times New Roman" w:eastAsia="宋体" w:cs="Times New Roman"/>
          <w:b/>
          <w:bCs/>
          <w:color w:val="auto"/>
          <w:kern w:val="2"/>
          <w:sz w:val="24"/>
          <w:szCs w:val="24"/>
          <w:highlight w:val="none"/>
          <w:lang w:val="zh-CN" w:eastAsia="zh-CN" w:bidi="ar-SA"/>
        </w:rPr>
        <w:t>需求一览表</w:t>
      </w:r>
      <w:bookmarkEnd w:id="10"/>
      <w:bookmarkEnd w:id="11"/>
      <w:bookmarkEnd w:id="12"/>
    </w:p>
    <w:p w14:paraId="21AE6E82">
      <w:pPr>
        <w:spacing w:line="440" w:lineRule="exact"/>
        <w:ind w:firstLine="410" w:firstLineChars="17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本次招标范围包括下表所列所有货物的供货、包装运输及保险、装卸、安装、调试、考核验收、培训及</w:t>
      </w:r>
      <w:r>
        <w:rPr>
          <w:rFonts w:hint="eastAsia" w:ascii="宋体" w:hAnsi="宋体" w:eastAsia="宋体"/>
          <w:bCs/>
          <w:snapToGrid w:val="0"/>
          <w:color w:val="auto"/>
          <w:kern w:val="0"/>
          <w:sz w:val="24"/>
          <w:szCs w:val="24"/>
          <w:highlight w:val="none"/>
        </w:rPr>
        <w:t>交付后约定期限内免费维修保养服务</w:t>
      </w:r>
      <w:r>
        <w:rPr>
          <w:rFonts w:hint="eastAsia" w:ascii="宋体" w:hAnsi="宋体" w:eastAsia="宋体"/>
          <w:color w:val="auto"/>
          <w:sz w:val="24"/>
          <w:szCs w:val="24"/>
          <w:highlight w:val="none"/>
        </w:rPr>
        <w:t>等全部内容。</w:t>
      </w:r>
    </w:p>
    <w:tbl>
      <w:tblPr>
        <w:tblStyle w:val="56"/>
        <w:tblW w:w="9507" w:type="dxa"/>
        <w:tblInd w:w="-714" w:type="dxa"/>
        <w:tblLayout w:type="fixed"/>
        <w:tblCellMar>
          <w:top w:w="0" w:type="dxa"/>
          <w:left w:w="108" w:type="dxa"/>
          <w:bottom w:w="0" w:type="dxa"/>
          <w:right w:w="108" w:type="dxa"/>
        </w:tblCellMar>
      </w:tblPr>
      <w:tblGrid>
        <w:gridCol w:w="567"/>
        <w:gridCol w:w="1135"/>
        <w:gridCol w:w="850"/>
        <w:gridCol w:w="851"/>
        <w:gridCol w:w="6104"/>
      </w:tblGrid>
      <w:tr w14:paraId="5E058A0F">
        <w:tblPrEx>
          <w:tblCellMar>
            <w:top w:w="0" w:type="dxa"/>
            <w:left w:w="108" w:type="dxa"/>
            <w:bottom w:w="0" w:type="dxa"/>
            <w:right w:w="108" w:type="dxa"/>
          </w:tblCellMar>
        </w:tblPrEx>
        <w:trPr>
          <w:trHeight w:val="330"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14:paraId="2542213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14:paraId="0F9007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名称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1EC2D36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3281BFD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数量</w:t>
            </w:r>
          </w:p>
        </w:tc>
        <w:tc>
          <w:tcPr>
            <w:tcW w:w="6104" w:type="dxa"/>
            <w:vMerge w:val="restart"/>
            <w:tcBorders>
              <w:top w:val="single" w:color="auto" w:sz="4" w:space="0"/>
              <w:left w:val="single" w:color="auto" w:sz="4" w:space="0"/>
              <w:bottom w:val="single" w:color="auto" w:sz="4" w:space="0"/>
              <w:right w:val="single" w:color="auto" w:sz="4" w:space="0"/>
            </w:tcBorders>
            <w:vAlign w:val="center"/>
          </w:tcPr>
          <w:p w14:paraId="7D4D5CDB">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技术参数</w:t>
            </w:r>
          </w:p>
        </w:tc>
      </w:tr>
      <w:tr w14:paraId="0626F21E">
        <w:tblPrEx>
          <w:tblCellMar>
            <w:top w:w="0" w:type="dxa"/>
            <w:left w:w="108" w:type="dxa"/>
            <w:bottom w:w="0" w:type="dxa"/>
            <w:right w:w="108" w:type="dxa"/>
          </w:tblCellMar>
        </w:tblPrEx>
        <w:trPr>
          <w:trHeight w:val="330" w:hRule="atLeast"/>
        </w:trPr>
        <w:tc>
          <w:tcPr>
            <w:tcW w:w="567" w:type="dxa"/>
            <w:vMerge w:val="continue"/>
            <w:tcBorders>
              <w:top w:val="nil"/>
              <w:left w:val="single" w:color="auto" w:sz="4" w:space="0"/>
              <w:bottom w:val="single" w:color="auto" w:sz="4" w:space="0"/>
              <w:right w:val="single" w:color="auto" w:sz="4" w:space="0"/>
            </w:tcBorders>
            <w:vAlign w:val="center"/>
          </w:tcPr>
          <w:p w14:paraId="046C4EFB">
            <w:pPr>
              <w:widowControl/>
              <w:jc w:val="left"/>
              <w:rPr>
                <w:rFonts w:hint="eastAsia" w:ascii="宋体" w:hAnsi="宋体" w:eastAsia="宋体" w:cs="宋体"/>
                <w:b/>
                <w:bCs/>
                <w:color w:val="auto"/>
                <w:kern w:val="0"/>
                <w:sz w:val="18"/>
                <w:szCs w:val="18"/>
                <w:highlight w:val="none"/>
              </w:rPr>
            </w:pPr>
          </w:p>
        </w:tc>
        <w:tc>
          <w:tcPr>
            <w:tcW w:w="1135" w:type="dxa"/>
            <w:vMerge w:val="continue"/>
            <w:tcBorders>
              <w:top w:val="nil"/>
              <w:left w:val="single" w:color="auto" w:sz="4" w:space="0"/>
              <w:bottom w:val="single" w:color="auto" w:sz="4" w:space="0"/>
              <w:right w:val="single" w:color="auto" w:sz="4" w:space="0"/>
            </w:tcBorders>
            <w:vAlign w:val="center"/>
          </w:tcPr>
          <w:p w14:paraId="1A860FBD">
            <w:pPr>
              <w:widowControl/>
              <w:jc w:val="left"/>
              <w:rPr>
                <w:rFonts w:hint="eastAsia" w:ascii="宋体" w:hAnsi="宋体" w:eastAsia="宋体" w:cs="宋体"/>
                <w:b/>
                <w:bCs/>
                <w:color w:val="auto"/>
                <w:kern w:val="0"/>
                <w:sz w:val="18"/>
                <w:szCs w:val="18"/>
                <w:highlight w:val="none"/>
              </w:rPr>
            </w:pPr>
          </w:p>
        </w:tc>
        <w:tc>
          <w:tcPr>
            <w:tcW w:w="850" w:type="dxa"/>
            <w:vMerge w:val="continue"/>
            <w:tcBorders>
              <w:top w:val="nil"/>
              <w:left w:val="single" w:color="auto" w:sz="4" w:space="0"/>
              <w:bottom w:val="single" w:color="auto" w:sz="4" w:space="0"/>
              <w:right w:val="single" w:color="auto" w:sz="4" w:space="0"/>
            </w:tcBorders>
            <w:vAlign w:val="center"/>
          </w:tcPr>
          <w:p w14:paraId="467D8F8C">
            <w:pPr>
              <w:widowControl/>
              <w:jc w:val="left"/>
              <w:rPr>
                <w:rFonts w:hint="eastAsia" w:ascii="宋体" w:hAnsi="宋体" w:eastAsia="宋体" w:cs="宋体"/>
                <w:b/>
                <w:bCs/>
                <w:color w:val="auto"/>
                <w:kern w:val="0"/>
                <w:sz w:val="18"/>
                <w:szCs w:val="18"/>
                <w:highlight w:val="none"/>
              </w:rPr>
            </w:pPr>
          </w:p>
        </w:tc>
        <w:tc>
          <w:tcPr>
            <w:tcW w:w="851" w:type="dxa"/>
            <w:vMerge w:val="continue"/>
            <w:tcBorders>
              <w:top w:val="nil"/>
              <w:left w:val="single" w:color="auto" w:sz="4" w:space="0"/>
              <w:bottom w:val="single" w:color="auto" w:sz="4" w:space="0"/>
              <w:right w:val="single" w:color="auto" w:sz="4" w:space="0"/>
            </w:tcBorders>
            <w:vAlign w:val="center"/>
          </w:tcPr>
          <w:p w14:paraId="4D55CD2E">
            <w:pPr>
              <w:widowControl/>
              <w:jc w:val="left"/>
              <w:rPr>
                <w:rFonts w:hint="eastAsia" w:ascii="宋体" w:hAnsi="宋体" w:eastAsia="宋体" w:cs="宋体"/>
                <w:b/>
                <w:bCs/>
                <w:color w:val="auto"/>
                <w:kern w:val="0"/>
                <w:sz w:val="18"/>
                <w:szCs w:val="18"/>
                <w:highlight w:val="none"/>
              </w:rPr>
            </w:pPr>
          </w:p>
        </w:tc>
        <w:tc>
          <w:tcPr>
            <w:tcW w:w="6104" w:type="dxa"/>
            <w:vMerge w:val="continue"/>
            <w:tcBorders>
              <w:top w:val="nil"/>
              <w:left w:val="single" w:color="auto" w:sz="4" w:space="0"/>
              <w:bottom w:val="single" w:color="auto" w:sz="4" w:space="0"/>
              <w:right w:val="single" w:color="auto" w:sz="4" w:space="0"/>
            </w:tcBorders>
            <w:vAlign w:val="center"/>
          </w:tcPr>
          <w:p w14:paraId="2FD7960E">
            <w:pPr>
              <w:widowControl/>
              <w:jc w:val="left"/>
              <w:rPr>
                <w:rFonts w:hint="eastAsia" w:ascii="宋体" w:hAnsi="宋体" w:eastAsia="宋体" w:cs="宋体"/>
                <w:b/>
                <w:bCs/>
                <w:color w:val="auto"/>
                <w:kern w:val="0"/>
                <w:sz w:val="24"/>
                <w:highlight w:val="none"/>
              </w:rPr>
            </w:pPr>
          </w:p>
        </w:tc>
      </w:tr>
      <w:tr w14:paraId="7463DCA3">
        <w:tblPrEx>
          <w:tblCellMar>
            <w:top w:w="0" w:type="dxa"/>
            <w:left w:w="108" w:type="dxa"/>
            <w:bottom w:w="0" w:type="dxa"/>
            <w:right w:w="108" w:type="dxa"/>
          </w:tblCellMar>
        </w:tblPrEx>
        <w:trPr>
          <w:trHeight w:val="840" w:hRule="atLeast"/>
        </w:trPr>
        <w:tc>
          <w:tcPr>
            <w:tcW w:w="567" w:type="dxa"/>
            <w:tcBorders>
              <w:top w:val="nil"/>
              <w:left w:val="single" w:color="auto" w:sz="4" w:space="0"/>
              <w:bottom w:val="single" w:color="auto" w:sz="4" w:space="0"/>
              <w:right w:val="single" w:color="auto" w:sz="4" w:space="0"/>
            </w:tcBorders>
            <w:shd w:val="clear" w:color="000000" w:fill="FFFFFF"/>
            <w:vAlign w:val="center"/>
          </w:tcPr>
          <w:p w14:paraId="2B5878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1 </w:t>
            </w:r>
          </w:p>
        </w:tc>
        <w:tc>
          <w:tcPr>
            <w:tcW w:w="1135" w:type="dxa"/>
            <w:tcBorders>
              <w:top w:val="nil"/>
              <w:left w:val="nil"/>
              <w:bottom w:val="single" w:color="auto" w:sz="4" w:space="0"/>
              <w:right w:val="single" w:color="auto" w:sz="4" w:space="0"/>
            </w:tcBorders>
            <w:shd w:val="clear" w:color="000000" w:fill="FFFFFF"/>
            <w:vAlign w:val="center"/>
          </w:tcPr>
          <w:p w14:paraId="4C2037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高速超大容量农药残留快速检测仪</w:t>
            </w:r>
          </w:p>
        </w:tc>
        <w:tc>
          <w:tcPr>
            <w:tcW w:w="850" w:type="dxa"/>
            <w:tcBorders>
              <w:top w:val="nil"/>
              <w:left w:val="nil"/>
              <w:bottom w:val="single" w:color="auto" w:sz="4" w:space="0"/>
              <w:right w:val="single" w:color="auto" w:sz="4" w:space="0"/>
            </w:tcBorders>
            <w:shd w:val="clear" w:color="000000" w:fill="FFFFFF"/>
            <w:vAlign w:val="center"/>
          </w:tcPr>
          <w:p w14:paraId="72C3B5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套</w:t>
            </w:r>
          </w:p>
        </w:tc>
        <w:tc>
          <w:tcPr>
            <w:tcW w:w="851" w:type="dxa"/>
            <w:tcBorders>
              <w:top w:val="nil"/>
              <w:left w:val="nil"/>
              <w:bottom w:val="single" w:color="auto" w:sz="4" w:space="0"/>
              <w:right w:val="single" w:color="auto" w:sz="4" w:space="0"/>
            </w:tcBorders>
            <w:shd w:val="clear" w:color="000000" w:fill="FFFFFF"/>
            <w:vAlign w:val="center"/>
          </w:tcPr>
          <w:p w14:paraId="3B36D02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6104" w:type="dxa"/>
            <w:tcBorders>
              <w:top w:val="nil"/>
              <w:left w:val="nil"/>
              <w:bottom w:val="single" w:color="auto" w:sz="4" w:space="0"/>
              <w:right w:val="single" w:color="auto" w:sz="4" w:space="0"/>
            </w:tcBorders>
            <w:shd w:val="clear" w:color="000000" w:fill="FFFFFF"/>
            <w:vAlign w:val="center"/>
          </w:tcPr>
          <w:p w14:paraId="13573C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1、总体设计：</w:t>
            </w:r>
          </w:p>
          <w:p w14:paraId="16582A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★1.1全自动超大容量农残检测仪96通道，一次可检测88个样品。</w:t>
            </w:r>
          </w:p>
          <w:p w14:paraId="22C9BBC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★1.2输入方式：采用触摸屏输入，带触摸笔，也可外接鼠标操作，中英文可选,连接计算机时可由计算机逆向操控仪器电动进板、振板、摇匀，无计算机时仪器也能独立操作。</w:t>
            </w:r>
          </w:p>
          <w:p w14:paraId="0B530DC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1.3电 源：A.C.220V，50-60 Hz保险丝：250V/3.15A，工作环境：10℃-40℃；湿度20%-85%，储藏环境：-20℃-50℃</w:t>
            </w:r>
          </w:p>
          <w:p w14:paraId="665CE4F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2、技术特点 </w:t>
            </w:r>
          </w:p>
          <w:p w14:paraId="1661193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2.1光纤分光技术，分析速度快，检测精度高；</w:t>
            </w:r>
          </w:p>
          <w:p w14:paraId="3D39279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2.2大屏幕液晶显示，触摸屏人机对话操作，中文菜单，手感舒适，反应快；</w:t>
            </w:r>
          </w:p>
          <w:p w14:paraId="103BFD1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2.3开放式软件功能强大，存贮量大，并可任意设置震动时间和震动程度；兼容多品牌外接打印机，能快速打印规范中文检测报告；</w:t>
            </w:r>
          </w:p>
          <w:p w14:paraId="69F7DD7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★2.4 PC端通过仪器配套的联机软件可直接操控仪器走板、振板和完成检测步骤，且检测数据可实时传送至原有实验室数据管理系统，可在智能终端查询机中实时显示和LED大屏中实时展示（投标人须提供实时传送至原有实验室数据管理系统的承诺保证书）；</w:t>
            </w:r>
          </w:p>
          <w:p w14:paraId="19B85D5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2.5设备操作简单，功能齐全，可任意选择编排空白、样品；</w:t>
            </w:r>
          </w:p>
          <w:p w14:paraId="091613C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2.6支持多种滤光片，并可自动进行转换，可支持扩展；</w:t>
            </w:r>
          </w:p>
          <w:p w14:paraId="26DD214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2.7联机软件可与局域网、检测单位内部计算网络、质检中心上级主管单位联网，进行数据管理和分析；</w:t>
            </w:r>
          </w:p>
          <w:p w14:paraId="4B647FB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3、参数</w:t>
            </w:r>
          </w:p>
          <w:p w14:paraId="2350EFA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3.1通道数：96通道，操作简单，功能齐全，可任意选择编排空白、样品通道。</w:t>
            </w:r>
          </w:p>
          <w:p w14:paraId="1709651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3.2光源：石英卤钨灯OSRAM64607，8V/50W</w:t>
            </w:r>
          </w:p>
          <w:p w14:paraId="47570B4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3.3检测波长：412 nm和405nm，分别按照国家标准GB/T5009.199-2003和行业标准NY/T448-2001；</w:t>
            </w:r>
          </w:p>
          <w:p w14:paraId="495D7CA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3.4波长参数：准确度(±2nm)，半宽度(≤12nm) ，峰值透射比≥35%；</w:t>
            </w:r>
          </w:p>
          <w:p w14:paraId="323BEA5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3.5波长区间：405-630nm</w:t>
            </w:r>
          </w:p>
          <w:p w14:paraId="04A3A1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3.6抑制率：0-100%；</w:t>
            </w:r>
          </w:p>
          <w:p w14:paraId="4616346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3.7测量范围：0.000-2.500Abs；</w:t>
            </w:r>
          </w:p>
          <w:p w14:paraId="0816388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3.8测量模式：8通道光纤测量系统</w:t>
            </w:r>
          </w:p>
          <w:p w14:paraId="01B8211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3.9分辨率：0.001A</w:t>
            </w:r>
          </w:p>
          <w:p w14:paraId="62886E2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3.10吸光度准确性：±0.5%；</w:t>
            </w:r>
          </w:p>
          <w:p w14:paraId="105B98C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3.11吸光度重复性：（CV,％）≤1%；</w:t>
            </w:r>
          </w:p>
          <w:p w14:paraId="021BAD9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3.12吸光度稳定性：≤0.005A/min</w:t>
            </w:r>
          </w:p>
          <w:p w14:paraId="33BD22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3.13线 性：≥99%；</w:t>
            </w:r>
          </w:p>
          <w:p w14:paraId="3403AC1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3.14振板功能：振板方式(快速/中速/慢速)，振板时间(0-60s) ；</w:t>
            </w:r>
          </w:p>
          <w:p w14:paraId="4A4A1E5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★3.15滤 光 片：405，412，450，492，630；另备3个孔位可供选配</w:t>
            </w:r>
          </w:p>
          <w:p w14:paraId="0C75B0F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3.16进样模式：全自动进样；</w:t>
            </w:r>
          </w:p>
          <w:p w14:paraId="73F8B05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3.17读板速度：单波长步进＜15秒；连续方式＜5秒</w:t>
            </w:r>
          </w:p>
          <w:p w14:paraId="50F99C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3.18显示屏：5.7″LCD液晶显示器（320×240分辨率,256级灰度）</w:t>
            </w:r>
          </w:p>
          <w:p w14:paraId="11AB057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3.19输入方式：触摸屏或通过电脑联机软件输入；</w:t>
            </w:r>
          </w:p>
          <w:p w14:paraId="17F46FC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3.20接口：RS-232接口、打印机并口或PC机并口；</w:t>
            </w:r>
          </w:p>
          <w:p w14:paraId="1289B0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3.21打印：可直接连接热敏打印机或Canon、Epson、HP等款式打印机</w:t>
            </w:r>
          </w:p>
          <w:p w14:paraId="24703C6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3.22使用环境: 温度10-40℃，湿度20%-85%；</w:t>
            </w:r>
          </w:p>
          <w:p w14:paraId="7A2B56C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3.24功率：100V</w:t>
            </w:r>
          </w:p>
          <w:p w14:paraId="17981AF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3.25 CPU：嵌入式RISC处理器;辅助管理功能：仪器内置检测单位和系统日志数据库，适时上传电脑;采用标准:性能指标符合GB/T5009.199-2003  NY/448-2001;免疫酶素：乙酰胆碱酯酶</w:t>
            </w:r>
          </w:p>
          <w:p w14:paraId="6CAC0A4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3.26可实现辛辣物质如：姜、蒜、葱、辣椒、蒜苔、韭菜等物质中有机磷和氨基甲酸酯农药的检测。</w:t>
            </w:r>
          </w:p>
          <w:p w14:paraId="28DFB93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3.27选配内置Modem，通过Line可实现故障远程诊断，系统升级，数据传输。</w:t>
            </w:r>
          </w:p>
          <w:p w14:paraId="516A3AD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3.28设备具有农业农村部部级农产品检测中心出具的检验报告（报告中须体现设备对甲胺磷、对硫磷、敌敌畏、丁硫克百威、灭多威、涕灭威等农药的检出限，以及假阳性符合率达到国标要求）；仪器硬件和联机软件是同一生产厂家，提供农药（兽药）残留联机分析软件著作权证书。</w:t>
            </w:r>
          </w:p>
          <w:p w14:paraId="0063653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★4、资质要求：生产厂家是国家级高新技术企业，具有省级创新型企业证书、知识产权管理体系认证证书，通过质量管理体系认证，环境管理体系认证，职业健康管理体系认证。 </w:t>
            </w:r>
          </w:p>
          <w:p w14:paraId="7DD2628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5、如投标人为代理商须提供生产厂家授权书和质保函原件。</w:t>
            </w:r>
          </w:p>
          <w:p w14:paraId="1B563F7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6、配件清单</w:t>
            </w:r>
          </w:p>
          <w:p w14:paraId="27964AE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主机</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1台</w:t>
            </w:r>
            <w:r>
              <w:rPr>
                <w:rFonts w:hint="eastAsia" w:ascii="宋体" w:hAnsi="宋体" w:eastAsia="宋体" w:cs="宋体"/>
                <w:color w:val="auto"/>
                <w:kern w:val="0"/>
                <w:sz w:val="20"/>
                <w:szCs w:val="20"/>
                <w:highlight w:val="none"/>
              </w:rPr>
              <w:tab/>
            </w:r>
          </w:p>
          <w:p w14:paraId="25C2448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电源线</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1根</w:t>
            </w:r>
            <w:r>
              <w:rPr>
                <w:rFonts w:hint="eastAsia" w:ascii="宋体" w:hAnsi="宋体" w:eastAsia="宋体" w:cs="宋体"/>
                <w:color w:val="auto"/>
                <w:kern w:val="0"/>
                <w:sz w:val="20"/>
                <w:szCs w:val="20"/>
                <w:highlight w:val="none"/>
              </w:rPr>
              <w:tab/>
            </w:r>
          </w:p>
          <w:p w14:paraId="381712E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RS232数据线</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1根</w:t>
            </w:r>
            <w:r>
              <w:rPr>
                <w:rFonts w:hint="eastAsia" w:ascii="宋体" w:hAnsi="宋体" w:eastAsia="宋体" w:cs="宋体"/>
                <w:color w:val="auto"/>
                <w:kern w:val="0"/>
                <w:sz w:val="20"/>
                <w:szCs w:val="20"/>
                <w:highlight w:val="none"/>
              </w:rPr>
              <w:tab/>
            </w:r>
          </w:p>
          <w:p w14:paraId="6D102DF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联机软件光盘</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1张</w:t>
            </w:r>
            <w:r>
              <w:rPr>
                <w:rFonts w:hint="eastAsia" w:ascii="宋体" w:hAnsi="宋体" w:eastAsia="宋体" w:cs="宋体"/>
                <w:color w:val="auto"/>
                <w:kern w:val="0"/>
                <w:sz w:val="20"/>
                <w:szCs w:val="20"/>
                <w:highlight w:val="none"/>
              </w:rPr>
              <w:tab/>
            </w:r>
          </w:p>
          <w:p w14:paraId="1BA2257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触摸笔</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1支</w:t>
            </w:r>
            <w:r>
              <w:rPr>
                <w:rFonts w:hint="eastAsia" w:ascii="宋体" w:hAnsi="宋体" w:eastAsia="宋体" w:cs="宋体"/>
                <w:color w:val="auto"/>
                <w:kern w:val="0"/>
                <w:sz w:val="20"/>
                <w:szCs w:val="20"/>
                <w:highlight w:val="none"/>
              </w:rPr>
              <w:tab/>
            </w:r>
          </w:p>
          <w:p w14:paraId="09DC6B0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6 </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防尘罩</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1个</w:t>
            </w:r>
            <w:r>
              <w:rPr>
                <w:rFonts w:hint="eastAsia" w:ascii="宋体" w:hAnsi="宋体" w:eastAsia="宋体" w:cs="宋体"/>
                <w:color w:val="auto"/>
                <w:kern w:val="0"/>
                <w:sz w:val="20"/>
                <w:szCs w:val="20"/>
                <w:highlight w:val="none"/>
              </w:rPr>
              <w:tab/>
            </w:r>
          </w:p>
          <w:p w14:paraId="1C4DCC3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掌上天平</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0.1g/200g</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1台</w:t>
            </w:r>
            <w:r>
              <w:rPr>
                <w:rFonts w:hint="eastAsia" w:ascii="宋体" w:hAnsi="宋体" w:eastAsia="宋体" w:cs="宋体"/>
                <w:color w:val="auto"/>
                <w:kern w:val="0"/>
                <w:sz w:val="20"/>
                <w:szCs w:val="20"/>
                <w:highlight w:val="none"/>
              </w:rPr>
              <w:tab/>
            </w:r>
          </w:p>
          <w:p w14:paraId="1DF8240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塑料烧杯</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50ml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80个</w:t>
            </w:r>
            <w:r>
              <w:rPr>
                <w:rFonts w:hint="eastAsia" w:ascii="宋体" w:hAnsi="宋体" w:eastAsia="宋体" w:cs="宋体"/>
                <w:color w:val="auto"/>
                <w:kern w:val="0"/>
                <w:sz w:val="20"/>
                <w:szCs w:val="20"/>
                <w:highlight w:val="none"/>
              </w:rPr>
              <w:tab/>
            </w:r>
          </w:p>
          <w:p w14:paraId="285762B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大口塑料瓶</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1000ml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3个</w:t>
            </w:r>
            <w:r>
              <w:rPr>
                <w:rFonts w:hint="eastAsia" w:ascii="宋体" w:hAnsi="宋体" w:eastAsia="宋体" w:cs="宋体"/>
                <w:color w:val="auto"/>
                <w:kern w:val="0"/>
                <w:sz w:val="20"/>
                <w:szCs w:val="20"/>
                <w:highlight w:val="none"/>
              </w:rPr>
              <w:tab/>
            </w:r>
          </w:p>
          <w:p w14:paraId="48F9C7F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计时器(含电池)</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1个</w:t>
            </w:r>
            <w:r>
              <w:rPr>
                <w:rFonts w:hint="eastAsia" w:ascii="宋体" w:hAnsi="宋体" w:eastAsia="宋体" w:cs="宋体"/>
                <w:color w:val="auto"/>
                <w:kern w:val="0"/>
                <w:sz w:val="20"/>
                <w:szCs w:val="20"/>
                <w:highlight w:val="none"/>
              </w:rPr>
              <w:tab/>
            </w:r>
          </w:p>
          <w:p w14:paraId="370142F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镊子</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2个</w:t>
            </w:r>
            <w:r>
              <w:rPr>
                <w:rFonts w:hint="eastAsia" w:ascii="宋体" w:hAnsi="宋体" w:eastAsia="宋体" w:cs="宋体"/>
                <w:color w:val="auto"/>
                <w:kern w:val="0"/>
                <w:sz w:val="20"/>
                <w:szCs w:val="20"/>
                <w:highlight w:val="none"/>
              </w:rPr>
              <w:tab/>
            </w:r>
          </w:p>
          <w:p w14:paraId="13CD7CA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剪刀</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2个</w:t>
            </w:r>
            <w:r>
              <w:rPr>
                <w:rFonts w:hint="eastAsia" w:ascii="宋体" w:hAnsi="宋体" w:eastAsia="宋体" w:cs="宋体"/>
                <w:color w:val="auto"/>
                <w:kern w:val="0"/>
                <w:sz w:val="20"/>
                <w:szCs w:val="20"/>
                <w:highlight w:val="none"/>
              </w:rPr>
              <w:tab/>
            </w:r>
          </w:p>
          <w:p w14:paraId="44F3548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  玻璃棒</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12cm</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6根</w:t>
            </w:r>
            <w:r>
              <w:rPr>
                <w:rFonts w:hint="eastAsia" w:ascii="宋体" w:hAnsi="宋体" w:eastAsia="宋体" w:cs="宋体"/>
                <w:color w:val="auto"/>
                <w:kern w:val="0"/>
                <w:sz w:val="20"/>
                <w:szCs w:val="20"/>
                <w:highlight w:val="none"/>
              </w:rPr>
              <w:tab/>
            </w:r>
          </w:p>
          <w:p w14:paraId="1BEF617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  八道微量移液器</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5-50ul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1支</w:t>
            </w:r>
            <w:r>
              <w:rPr>
                <w:rFonts w:hint="eastAsia" w:ascii="宋体" w:hAnsi="宋体" w:eastAsia="宋体" w:cs="宋体"/>
                <w:color w:val="auto"/>
                <w:kern w:val="0"/>
                <w:sz w:val="20"/>
                <w:szCs w:val="20"/>
                <w:highlight w:val="none"/>
              </w:rPr>
              <w:tab/>
            </w:r>
          </w:p>
          <w:p w14:paraId="52E7F09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微量移液器</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20-200ul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1支</w:t>
            </w:r>
            <w:r>
              <w:rPr>
                <w:rFonts w:hint="eastAsia" w:ascii="宋体" w:hAnsi="宋体" w:eastAsia="宋体" w:cs="宋体"/>
                <w:color w:val="auto"/>
                <w:kern w:val="0"/>
                <w:sz w:val="20"/>
                <w:szCs w:val="20"/>
                <w:highlight w:val="none"/>
              </w:rPr>
              <w:tab/>
            </w:r>
          </w:p>
          <w:p w14:paraId="4960482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微量移液器</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1-5ml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1支</w:t>
            </w:r>
            <w:r>
              <w:rPr>
                <w:rFonts w:hint="eastAsia" w:ascii="宋体" w:hAnsi="宋体" w:eastAsia="宋体" w:cs="宋体"/>
                <w:color w:val="auto"/>
                <w:kern w:val="0"/>
                <w:sz w:val="20"/>
                <w:szCs w:val="20"/>
                <w:highlight w:val="none"/>
              </w:rPr>
              <w:tab/>
            </w:r>
          </w:p>
          <w:p w14:paraId="6B44142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移液器架</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1个</w:t>
            </w:r>
            <w:r>
              <w:rPr>
                <w:rFonts w:hint="eastAsia" w:ascii="宋体" w:hAnsi="宋体" w:eastAsia="宋体" w:cs="宋体"/>
                <w:color w:val="auto"/>
                <w:kern w:val="0"/>
                <w:sz w:val="20"/>
                <w:szCs w:val="20"/>
                <w:highlight w:val="none"/>
              </w:rPr>
              <w:tab/>
            </w:r>
          </w:p>
          <w:p w14:paraId="40C6CD7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吸嘴</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100个/包1-5ml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 xml:space="preserve">      1包</w:t>
            </w:r>
            <w:r>
              <w:rPr>
                <w:rFonts w:hint="eastAsia" w:ascii="宋体" w:hAnsi="宋体" w:eastAsia="宋体" w:cs="宋体"/>
                <w:color w:val="auto"/>
                <w:kern w:val="0"/>
                <w:sz w:val="20"/>
                <w:szCs w:val="20"/>
                <w:highlight w:val="none"/>
              </w:rPr>
              <w:tab/>
            </w:r>
          </w:p>
          <w:p w14:paraId="07F3C31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19</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1000个/包5-200ul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 xml:space="preserve">      1包</w:t>
            </w:r>
            <w:r>
              <w:rPr>
                <w:rFonts w:hint="eastAsia" w:ascii="宋体" w:hAnsi="宋体" w:eastAsia="宋体" w:cs="宋体"/>
                <w:color w:val="auto"/>
                <w:kern w:val="0"/>
                <w:sz w:val="20"/>
                <w:szCs w:val="20"/>
                <w:highlight w:val="none"/>
              </w:rPr>
              <w:tab/>
            </w:r>
          </w:p>
          <w:p w14:paraId="6D70628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吸嘴盒</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5-200ul</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1个</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内含吸嘴96个</w:t>
            </w:r>
          </w:p>
          <w:p w14:paraId="3E74087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21</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微孔板</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根据空位配置</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10个</w:t>
            </w:r>
            <w:r>
              <w:rPr>
                <w:rFonts w:hint="eastAsia" w:ascii="宋体" w:hAnsi="宋体" w:eastAsia="宋体" w:cs="宋体"/>
                <w:color w:val="auto"/>
                <w:kern w:val="0"/>
                <w:sz w:val="20"/>
                <w:szCs w:val="20"/>
                <w:highlight w:val="none"/>
              </w:rPr>
              <w:tab/>
            </w:r>
          </w:p>
          <w:p w14:paraId="1118A37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22</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移液槽</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5个/盒</w:t>
            </w:r>
            <w:r>
              <w:rPr>
                <w:rFonts w:hint="eastAsia" w:ascii="宋体" w:hAnsi="宋体" w:eastAsia="宋体" w:cs="宋体"/>
                <w:color w:val="auto"/>
                <w:kern w:val="0"/>
                <w:sz w:val="20"/>
                <w:szCs w:val="20"/>
                <w:highlight w:val="none"/>
              </w:rPr>
              <w:tab/>
            </w:r>
            <w:r>
              <w:rPr>
                <w:rFonts w:hint="eastAsia" w:ascii="宋体" w:hAnsi="宋体" w:eastAsia="宋体" w:cs="宋体"/>
                <w:color w:val="auto"/>
                <w:kern w:val="0"/>
                <w:sz w:val="20"/>
                <w:szCs w:val="20"/>
                <w:highlight w:val="none"/>
              </w:rPr>
              <w:t>1盒</w:t>
            </w:r>
            <w:r>
              <w:rPr>
                <w:rFonts w:hint="eastAsia" w:ascii="宋体" w:hAnsi="宋体" w:eastAsia="宋体" w:cs="宋体"/>
                <w:color w:val="auto"/>
                <w:kern w:val="0"/>
                <w:sz w:val="20"/>
                <w:szCs w:val="20"/>
                <w:highlight w:val="none"/>
              </w:rPr>
              <w:tab/>
            </w:r>
          </w:p>
        </w:tc>
      </w:tr>
      <w:tr w14:paraId="0E3D629B">
        <w:tblPrEx>
          <w:tblCellMar>
            <w:top w:w="0" w:type="dxa"/>
            <w:left w:w="108" w:type="dxa"/>
            <w:bottom w:w="0" w:type="dxa"/>
            <w:right w:w="108" w:type="dxa"/>
          </w:tblCellMar>
        </w:tblPrEx>
        <w:trPr>
          <w:trHeight w:val="84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vAlign w:val="center"/>
          </w:tcPr>
          <w:p w14:paraId="4AF54C1F">
            <w:pPr>
              <w:widowControl/>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1135" w:type="dxa"/>
            <w:tcBorders>
              <w:top w:val="single" w:color="auto" w:sz="4" w:space="0"/>
              <w:left w:val="single" w:color="auto" w:sz="4" w:space="0"/>
              <w:bottom w:val="single" w:color="auto" w:sz="4" w:space="0"/>
              <w:right w:val="single" w:color="auto" w:sz="4" w:space="0"/>
            </w:tcBorders>
            <w:shd w:val="clear" w:color="000000" w:fill="FFFFFF"/>
            <w:vAlign w:val="center"/>
          </w:tcPr>
          <w:p w14:paraId="41FE2BDB">
            <w:pPr>
              <w:widowControl/>
              <w:jc w:val="center"/>
              <w:rPr>
                <w:rFonts w:hint="eastAsia" w:ascii="宋体" w:hAnsi="宋体" w:eastAsia="宋体" w:cs="宋体"/>
                <w:color w:val="auto"/>
                <w:kern w:val="0"/>
                <w:sz w:val="20"/>
                <w:szCs w:val="20"/>
                <w:highlight w:val="none"/>
                <w:lang w:val="en-US" w:eastAsia="zh-CN" w:bidi="ar-SA"/>
                <w14:ligatures w14:val="none"/>
              </w:rPr>
            </w:pPr>
            <w:r>
              <w:rPr>
                <w:rFonts w:hint="eastAsia" w:ascii="宋体" w:hAnsi="宋体" w:eastAsia="宋体" w:cs="宋体"/>
                <w:color w:val="auto"/>
                <w:kern w:val="0"/>
                <w:sz w:val="20"/>
                <w:szCs w:val="20"/>
                <w:highlight w:val="none"/>
                <w:lang w:val="en-US" w:eastAsia="zh-CN"/>
              </w:rPr>
              <w:t>大容量振荡器</w:t>
            </w:r>
          </w:p>
        </w:tc>
        <w:tc>
          <w:tcPr>
            <w:tcW w:w="850" w:type="dxa"/>
            <w:tcBorders>
              <w:top w:val="single" w:color="auto" w:sz="4" w:space="0"/>
              <w:left w:val="single" w:color="auto" w:sz="4" w:space="0"/>
              <w:bottom w:val="single" w:color="auto" w:sz="4" w:space="0"/>
              <w:right w:val="single" w:color="auto" w:sz="4" w:space="0"/>
            </w:tcBorders>
            <w:shd w:val="clear" w:color="000000" w:fill="FFFFFF"/>
            <w:vAlign w:val="center"/>
          </w:tcPr>
          <w:p w14:paraId="4A709C92">
            <w:pPr>
              <w:widowControl/>
              <w:jc w:val="center"/>
              <w:rPr>
                <w:rFonts w:hint="eastAsia" w:ascii="宋体" w:hAnsi="宋体" w:eastAsia="宋体" w:cs="宋体"/>
                <w:color w:val="auto"/>
                <w:kern w:val="0"/>
                <w:sz w:val="20"/>
                <w:szCs w:val="20"/>
                <w:highlight w:val="none"/>
                <w:lang w:val="en-US" w:eastAsia="zh-CN" w:bidi="ar-SA"/>
                <w14:ligatures w14:val="none"/>
              </w:rPr>
            </w:pPr>
            <w:r>
              <w:rPr>
                <w:rFonts w:hint="eastAsia" w:ascii="宋体" w:hAnsi="宋体" w:eastAsia="宋体" w:cs="宋体"/>
                <w:color w:val="auto"/>
                <w:kern w:val="0"/>
                <w:sz w:val="20"/>
                <w:szCs w:val="20"/>
                <w:highlight w:val="none"/>
                <w:lang w:val="en-US" w:eastAsia="zh-CN"/>
              </w:rPr>
              <w:t>台</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14:paraId="3B6F4FD8">
            <w:pPr>
              <w:widowControl/>
              <w:jc w:val="center"/>
              <w:rPr>
                <w:rFonts w:hint="eastAsia" w:ascii="宋体" w:hAnsi="宋体" w:eastAsia="宋体" w:cs="宋体"/>
                <w:color w:val="auto"/>
                <w:kern w:val="0"/>
                <w:sz w:val="20"/>
                <w:szCs w:val="20"/>
                <w:highlight w:val="none"/>
                <w:lang w:val="en-US" w:eastAsia="zh-CN" w:bidi="ar-SA"/>
                <w14:ligatures w14:val="none"/>
              </w:rPr>
            </w:pPr>
            <w:r>
              <w:rPr>
                <w:rFonts w:hint="eastAsia" w:ascii="宋体" w:hAnsi="宋体" w:eastAsia="宋体" w:cs="宋体"/>
                <w:color w:val="auto"/>
                <w:kern w:val="0"/>
                <w:sz w:val="20"/>
                <w:szCs w:val="20"/>
                <w:highlight w:val="none"/>
                <w:lang w:val="en-US" w:eastAsia="zh-CN"/>
              </w:rPr>
              <w:t>3</w:t>
            </w:r>
          </w:p>
        </w:tc>
        <w:tc>
          <w:tcPr>
            <w:tcW w:w="6104" w:type="dxa"/>
            <w:tcBorders>
              <w:top w:val="single" w:color="auto" w:sz="4" w:space="0"/>
              <w:left w:val="single" w:color="auto" w:sz="4" w:space="0"/>
              <w:bottom w:val="single" w:color="auto" w:sz="4" w:space="0"/>
              <w:right w:val="single" w:color="auto" w:sz="4" w:space="0"/>
            </w:tcBorders>
            <w:shd w:val="clear" w:color="000000" w:fill="FFFFFF"/>
            <w:vAlign w:val="center"/>
          </w:tcPr>
          <w:p w14:paraId="722EDBCB">
            <w:pPr>
              <w:widowControl/>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振荡频率:启动-260次/分(无级调速)</w:t>
            </w:r>
          </w:p>
          <w:p w14:paraId="6B3A5AA0">
            <w:pPr>
              <w:widowControl/>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工作尺寸:100x80cm</w:t>
            </w:r>
          </w:p>
          <w:p w14:paraId="1D0A88C4">
            <w:pPr>
              <w:widowControl/>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外形尺寸:100x80x28cm(万用夹具)</w:t>
            </w:r>
          </w:p>
          <w:p w14:paraId="6EF2F453">
            <w:pPr>
              <w:widowControl/>
              <w:ind w:firstLine="0" w:firstLineChars="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振动幅度:20mm，电源单相交流:220V±10V50HZ，定时范围:0-120分钟或常开，电机功率:120W</w:t>
            </w:r>
          </w:p>
          <w:p w14:paraId="110F18A0">
            <w:pPr>
              <w:widowControl/>
              <w:ind w:firstLine="0" w:firstLineChars="0"/>
              <w:jc w:val="left"/>
              <w:rPr>
                <w:rFonts w:hint="eastAsia" w:ascii="宋体" w:hAnsi="宋体" w:eastAsia="宋体" w:cs="宋体"/>
                <w:color w:val="auto"/>
                <w:kern w:val="0"/>
                <w:sz w:val="20"/>
                <w:szCs w:val="20"/>
                <w:highlight w:val="none"/>
                <w:lang w:val="en-US" w:eastAsia="zh-CN" w:bidi="ar-SA"/>
                <w14:ligatures w14:val="none"/>
              </w:rPr>
            </w:pPr>
            <w:r>
              <w:rPr>
                <w:rFonts w:hint="eastAsia" w:ascii="宋体" w:hAnsi="宋体" w:eastAsia="宋体" w:cs="宋体"/>
                <w:color w:val="auto"/>
                <w:kern w:val="0"/>
                <w:sz w:val="20"/>
                <w:szCs w:val="20"/>
                <w:highlight w:val="none"/>
              </w:rPr>
              <w:t>工作方式:回旋</w:t>
            </w:r>
          </w:p>
        </w:tc>
      </w:tr>
    </w:tbl>
    <w:p w14:paraId="5D6BD438">
      <w:pPr>
        <w:rPr>
          <w:rFonts w:hint="eastAsia" w:ascii="宋体" w:hAnsi="宋体" w:eastAsia="宋体"/>
          <w:color w:val="auto"/>
          <w:highlight w:val="none"/>
        </w:rPr>
      </w:pPr>
    </w:p>
    <w:p w14:paraId="46C589D7">
      <w:pPr>
        <w:keepNext/>
        <w:keepLines/>
        <w:widowControl w:val="0"/>
        <w:spacing w:before="260" w:after="260" w:line="416" w:lineRule="auto"/>
        <w:jc w:val="both"/>
        <w:outlineLvl w:val="1"/>
        <w:rPr>
          <w:rFonts w:ascii="Times New Roman" w:hAnsi="Times New Roman" w:eastAsia="宋体" w:cs="Times New Roman"/>
          <w:b/>
          <w:bCs/>
          <w:color w:val="auto"/>
          <w:kern w:val="2"/>
          <w:sz w:val="24"/>
          <w:szCs w:val="24"/>
          <w:highlight w:val="none"/>
          <w:lang w:val="zh-CN" w:eastAsia="zh-CN" w:bidi="ar-SA"/>
        </w:rPr>
      </w:pPr>
      <w:bookmarkStart w:id="13" w:name="_Toc21575"/>
      <w:bookmarkStart w:id="14" w:name="_Toc29981"/>
      <w:bookmarkStart w:id="15" w:name="_Toc501460780"/>
      <w:r>
        <w:rPr>
          <w:rFonts w:ascii="Times New Roman" w:hAnsi="Times New Roman" w:eastAsia="宋体" w:cs="Times New Roman"/>
          <w:b/>
          <w:bCs/>
          <w:color w:val="auto"/>
          <w:kern w:val="2"/>
          <w:sz w:val="24"/>
          <w:szCs w:val="24"/>
          <w:highlight w:val="none"/>
          <w:lang w:val="zh-CN" w:eastAsia="zh-CN" w:bidi="ar-SA"/>
        </w:rPr>
        <w:t>三、技术性能指标</w:t>
      </w:r>
      <w:bookmarkEnd w:id="13"/>
      <w:bookmarkEnd w:id="14"/>
      <w:bookmarkEnd w:id="15"/>
    </w:p>
    <w:p w14:paraId="5D0D81E3">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（一）说明</w:t>
      </w:r>
    </w:p>
    <w:p w14:paraId="6B2E6F72">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1.本</w:t>
      </w:r>
      <w:r>
        <w:rPr>
          <w:rFonts w:hint="eastAsia" w:ascii="宋体" w:hAnsi="宋体" w:eastAsia="宋体"/>
          <w:color w:val="auto"/>
          <w:sz w:val="24"/>
          <w:szCs w:val="24"/>
          <w:highlight w:val="none"/>
          <w:lang w:val="en-US" w:eastAsia="zh-CN"/>
        </w:rPr>
        <w:t>货物需求一览表</w:t>
      </w:r>
      <w:r>
        <w:rPr>
          <w:rFonts w:hint="eastAsia" w:ascii="宋体" w:hAnsi="宋体" w:eastAsia="宋体"/>
          <w:color w:val="auto"/>
          <w:sz w:val="24"/>
          <w:szCs w:val="24"/>
          <w:highlight w:val="none"/>
        </w:rPr>
        <w:t>提出的技术参数及要求为最低限度的技术要求，并未对一切技术细节做出规定，也未充分引述有关标准和规范的条文，投标人应保证提供符合或优于本技术参数及要求和有关标准、规范的优质产品。</w:t>
      </w:r>
    </w:p>
    <w:p w14:paraId="27486CFE">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2.为鼓励不同品牌的充分竞争，如某货物的某技术参数或要求属于个别品牌专有，则该技术参数及要求不具有限制性，投标人可对该参数或要求的响应情况进行说明，且该说明须经</w:t>
      </w:r>
      <w:r>
        <w:rPr>
          <w:rFonts w:hint="eastAsia" w:ascii="宋体" w:hAnsi="宋体" w:eastAsia="宋体"/>
          <w:color w:val="auto"/>
          <w:sz w:val="24"/>
          <w:szCs w:val="24"/>
          <w:highlight w:val="none"/>
          <w:lang w:eastAsia="zh-CN"/>
        </w:rPr>
        <w:t>评审小组</w:t>
      </w:r>
      <w:r>
        <w:rPr>
          <w:rFonts w:hint="eastAsia" w:ascii="宋体" w:hAnsi="宋体" w:eastAsia="宋体"/>
          <w:color w:val="auto"/>
          <w:sz w:val="24"/>
          <w:szCs w:val="24"/>
          <w:highlight w:val="none"/>
        </w:rPr>
        <w:t>审核认可</w:t>
      </w:r>
      <w:r>
        <w:rPr>
          <w:rFonts w:hint="eastAsia" w:ascii="宋体" w:hAnsi="宋体" w:eastAsia="宋体"/>
          <w:color w:val="auto"/>
          <w:sz w:val="24"/>
          <w:szCs w:val="24"/>
          <w:highlight w:val="none"/>
          <w:lang w:eastAsia="zh-CN"/>
        </w:rPr>
        <w:t>。</w:t>
      </w:r>
    </w:p>
    <w:p w14:paraId="7F81D94D">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3.投标人应自行踏勘本项目实施现场，核对货物安装现场可能影响后期安装的全部因素，确保所投货物满足现场实际安装要求。</w:t>
      </w:r>
    </w:p>
    <w:p w14:paraId="03B2F3FC">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4.招标人保留在签订合同之前对本技术规格及要求进行补充和修改的权利，投标人应予以配合。</w:t>
      </w:r>
    </w:p>
    <w:p w14:paraId="3323F32B">
      <w:pPr>
        <w:keepNext/>
        <w:keepLines/>
        <w:widowControl w:val="0"/>
        <w:spacing w:before="260" w:after="260" w:line="416" w:lineRule="auto"/>
        <w:jc w:val="both"/>
        <w:outlineLvl w:val="1"/>
        <w:rPr>
          <w:rFonts w:hint="eastAsia" w:ascii="Times New Roman" w:hAnsi="Times New Roman" w:eastAsia="宋体" w:cs="Times New Roman"/>
          <w:b/>
          <w:bCs/>
          <w:color w:val="auto"/>
          <w:kern w:val="2"/>
          <w:sz w:val="24"/>
          <w:szCs w:val="24"/>
          <w:highlight w:val="none"/>
          <w:lang w:val="zh-CN" w:eastAsia="zh-CN" w:bidi="ar-SA"/>
        </w:rPr>
      </w:pPr>
      <w:bookmarkStart w:id="16" w:name="_Toc12083"/>
      <w:bookmarkStart w:id="17" w:name="_Toc501460781"/>
      <w:bookmarkStart w:id="18" w:name="_Toc19438"/>
      <w:r>
        <w:rPr>
          <w:rFonts w:ascii="Times New Roman" w:hAnsi="Times New Roman" w:eastAsia="宋体" w:cs="Times New Roman"/>
          <w:b/>
          <w:bCs/>
          <w:color w:val="auto"/>
          <w:kern w:val="2"/>
          <w:sz w:val="24"/>
          <w:szCs w:val="24"/>
          <w:highlight w:val="none"/>
          <w:lang w:val="zh-CN" w:eastAsia="zh-CN" w:bidi="ar-SA"/>
        </w:rPr>
        <w:t>四</w:t>
      </w:r>
      <w:bookmarkEnd w:id="16"/>
      <w:bookmarkEnd w:id="17"/>
      <w:bookmarkEnd w:id="18"/>
      <w:bookmarkStart w:id="19" w:name="_Toc501460782"/>
      <w:bookmarkStart w:id="20" w:name="_Toc26887"/>
      <w:bookmarkStart w:id="21" w:name="_Toc7372"/>
      <w:r>
        <w:rPr>
          <w:rFonts w:ascii="Times New Roman" w:hAnsi="Times New Roman" w:eastAsia="宋体" w:cs="Times New Roman"/>
          <w:b/>
          <w:bCs/>
          <w:color w:val="auto"/>
          <w:kern w:val="2"/>
          <w:sz w:val="24"/>
          <w:szCs w:val="24"/>
          <w:highlight w:val="none"/>
          <w:lang w:val="zh-CN" w:eastAsia="zh-CN" w:bidi="ar-SA"/>
        </w:rPr>
        <w:t>、技术服务和质保期服务要求</w:t>
      </w:r>
      <w:bookmarkEnd w:id="19"/>
      <w:bookmarkEnd w:id="20"/>
      <w:bookmarkEnd w:id="21"/>
    </w:p>
    <w:p w14:paraId="2E5B9E4D">
      <w:pPr>
        <w:widowControl w:val="0"/>
        <w:wordWrap/>
        <w:adjustRightInd/>
        <w:snapToGrid/>
        <w:spacing w:line="560" w:lineRule="exact"/>
        <w:ind w:firstLine="410" w:firstLineChars="171"/>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1.免费质保期：壹年（自货到验收合格之日算起）。</w:t>
      </w:r>
    </w:p>
    <w:p w14:paraId="1104DBFA">
      <w:pPr>
        <w:keepNext w:val="0"/>
        <w:keepLines w:val="0"/>
        <w:pageBreakBefore w:val="0"/>
        <w:widowControl w:val="0"/>
        <w:kinsoku/>
        <w:wordWrap/>
        <w:overflowPunct/>
        <w:topLinePunct w:val="0"/>
        <w:autoSpaceDE/>
        <w:autoSpaceDN/>
        <w:bidi w:val="0"/>
        <w:adjustRightInd/>
        <w:snapToGrid/>
        <w:spacing w:line="560" w:lineRule="exact"/>
        <w:ind w:firstLine="410" w:firstLineChars="171"/>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合同签订7天内中标人将仪器送至招标人指定地点，同时</w:t>
      </w:r>
      <w:r>
        <w:rPr>
          <w:rFonts w:hint="eastAsia" w:ascii="宋体" w:hAnsi="宋体" w:eastAsia="宋体"/>
          <w:color w:val="auto"/>
          <w:sz w:val="24"/>
          <w:szCs w:val="24"/>
          <w:highlight w:val="none"/>
        </w:rPr>
        <w:t>安排有经验的工程技术人员到</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现场</w:t>
      </w:r>
      <w:r>
        <w:rPr>
          <w:rFonts w:hint="eastAsia" w:ascii="宋体" w:hAnsi="宋体" w:eastAsia="宋体"/>
          <w:color w:val="auto"/>
          <w:sz w:val="24"/>
          <w:szCs w:val="24"/>
          <w:highlight w:val="none"/>
          <w:lang w:val="en-US" w:eastAsia="zh-CN"/>
        </w:rPr>
        <w:t>完成仪器</w:t>
      </w:r>
      <w:r>
        <w:rPr>
          <w:rFonts w:hint="eastAsia" w:ascii="宋体" w:hAnsi="宋体" w:eastAsia="宋体"/>
          <w:color w:val="auto"/>
          <w:sz w:val="24"/>
          <w:szCs w:val="24"/>
          <w:highlight w:val="none"/>
        </w:rPr>
        <w:t>安装、调试，并对</w:t>
      </w:r>
      <w:r>
        <w:rPr>
          <w:rFonts w:hint="eastAsia"/>
          <w:color w:val="auto"/>
          <w:sz w:val="24"/>
          <w:szCs w:val="24"/>
          <w:highlight w:val="none"/>
          <w:lang w:val="en-US" w:eastAsia="zh-CN"/>
        </w:rPr>
        <w:t>招标人</w:t>
      </w:r>
      <w:r>
        <w:rPr>
          <w:rFonts w:hint="eastAsia" w:ascii="宋体" w:hAnsi="宋体" w:eastAsia="宋体"/>
          <w:color w:val="auto"/>
          <w:sz w:val="24"/>
          <w:szCs w:val="24"/>
          <w:highlight w:val="none"/>
        </w:rPr>
        <w:t>相关人员进行免费现场培训，培训内容包括基本操作、保养维护、常见故障及解决办法等。</w:t>
      </w:r>
    </w:p>
    <w:p w14:paraId="2FC88587">
      <w:pPr>
        <w:keepNext w:val="0"/>
        <w:keepLines w:val="0"/>
        <w:pageBreakBefore w:val="0"/>
        <w:widowControl w:val="0"/>
        <w:kinsoku/>
        <w:wordWrap/>
        <w:overflowPunct/>
        <w:topLinePunct w:val="0"/>
        <w:autoSpaceDE/>
        <w:autoSpaceDN/>
        <w:bidi w:val="0"/>
        <w:adjustRightInd/>
        <w:snapToGrid/>
        <w:spacing w:line="560" w:lineRule="exact"/>
        <w:ind w:firstLine="410" w:firstLineChars="171"/>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3.售后响应时间必须做到在接到</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的报修请求后2小时之内响应，48小时内到达现场。</w:t>
      </w:r>
    </w:p>
    <w:p w14:paraId="67DA0F34">
      <w:pPr>
        <w:keepNext/>
        <w:keepLines/>
        <w:widowControl w:val="0"/>
        <w:spacing w:before="260" w:after="260" w:line="416" w:lineRule="auto"/>
        <w:jc w:val="both"/>
        <w:outlineLvl w:val="1"/>
        <w:rPr>
          <w:rFonts w:hint="eastAsia" w:ascii="Times New Roman" w:hAnsi="Times New Roman" w:eastAsia="宋体" w:cs="Times New Roman"/>
          <w:b/>
          <w:bCs/>
          <w:color w:val="auto"/>
          <w:kern w:val="2"/>
          <w:sz w:val="24"/>
          <w:szCs w:val="24"/>
          <w:highlight w:val="none"/>
          <w:lang w:val="zh-CN" w:eastAsia="zh-CN" w:bidi="ar-SA"/>
        </w:rPr>
      </w:pPr>
      <w:bookmarkStart w:id="22" w:name="_Toc1779"/>
      <w:bookmarkStart w:id="23" w:name="_Toc5940"/>
      <w:r>
        <w:rPr>
          <w:rFonts w:hint="eastAsia" w:ascii="Times New Roman" w:hAnsi="Times New Roman" w:eastAsia="宋体" w:cs="Times New Roman"/>
          <w:b/>
          <w:bCs/>
          <w:color w:val="auto"/>
          <w:kern w:val="2"/>
          <w:sz w:val="24"/>
          <w:szCs w:val="24"/>
          <w:highlight w:val="none"/>
          <w:lang w:val="en-US" w:eastAsia="zh-CN" w:bidi="ar-SA"/>
        </w:rPr>
        <w:t>五</w:t>
      </w:r>
      <w:r>
        <w:rPr>
          <w:rFonts w:ascii="Times New Roman" w:hAnsi="Times New Roman" w:eastAsia="宋体" w:cs="Times New Roman"/>
          <w:b/>
          <w:bCs/>
          <w:color w:val="auto"/>
          <w:kern w:val="2"/>
          <w:sz w:val="24"/>
          <w:szCs w:val="24"/>
          <w:highlight w:val="none"/>
          <w:lang w:val="zh-CN" w:eastAsia="zh-CN" w:bidi="ar-SA"/>
        </w:rPr>
        <w:t>、</w:t>
      </w:r>
      <w:r>
        <w:rPr>
          <w:rFonts w:hint="eastAsia" w:ascii="Times New Roman" w:hAnsi="Times New Roman" w:eastAsia="宋体" w:cs="Times New Roman"/>
          <w:b/>
          <w:bCs/>
          <w:color w:val="auto"/>
          <w:kern w:val="2"/>
          <w:sz w:val="24"/>
          <w:szCs w:val="24"/>
          <w:highlight w:val="none"/>
          <w:lang w:val="en-US" w:eastAsia="zh-CN" w:bidi="ar-SA"/>
        </w:rPr>
        <w:t>报价</w:t>
      </w:r>
      <w:r>
        <w:rPr>
          <w:rFonts w:hint="eastAsia" w:ascii="Times New Roman" w:hAnsi="Times New Roman" w:eastAsia="宋体" w:cs="Times New Roman"/>
          <w:b/>
          <w:bCs/>
          <w:color w:val="auto"/>
          <w:kern w:val="2"/>
          <w:sz w:val="24"/>
          <w:szCs w:val="24"/>
          <w:highlight w:val="none"/>
          <w:lang w:val="zh-CN" w:eastAsia="zh-CN" w:bidi="ar-SA"/>
        </w:rPr>
        <w:t>要求</w:t>
      </w:r>
      <w:bookmarkEnd w:id="22"/>
      <w:bookmarkEnd w:id="23"/>
    </w:p>
    <w:p w14:paraId="1DEE9A11">
      <w:pPr>
        <w:widowControl w:val="0"/>
        <w:wordWrap/>
        <w:autoSpaceDE w:val="0"/>
        <w:autoSpaceDN w:val="0"/>
        <w:adjustRightInd w:val="0"/>
        <w:snapToGrid/>
        <w:spacing w:line="560" w:lineRule="exact"/>
        <w:ind w:firstLine="480" w:firstLineChars="20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1.本项目以最后一轮报价的投标总价作为评标、定标的依据，</w:t>
      </w:r>
      <w:r>
        <w:rPr>
          <w:rFonts w:hint="eastAsia" w:ascii="宋体" w:hAnsi="宋体" w:eastAsia="宋体" w:cs="宋体"/>
          <w:color w:val="auto"/>
          <w:sz w:val="24"/>
          <w:szCs w:val="28"/>
          <w:highlight w:val="none"/>
          <w:u w:val="none"/>
          <w:lang w:val="en-US" w:eastAsia="zh-CN" w:bidi="ar-SA"/>
        </w:rPr>
        <w:t>以分项报价作为签订合同依据，投标人投标总价不得高于磋商文件（公告）列明的项目预算</w:t>
      </w:r>
      <w:r>
        <w:rPr>
          <w:rFonts w:hint="eastAsia" w:cs="宋体"/>
          <w:color w:val="auto"/>
          <w:sz w:val="24"/>
          <w:szCs w:val="28"/>
          <w:highlight w:val="none"/>
          <w:u w:val="none"/>
          <w:lang w:val="en-US" w:eastAsia="zh-CN" w:bidi="ar-SA"/>
        </w:rPr>
        <w:t>9.6</w:t>
      </w:r>
      <w:r>
        <w:rPr>
          <w:rFonts w:hint="eastAsia" w:ascii="宋体" w:hAnsi="宋体" w:eastAsia="宋体" w:cs="宋体"/>
          <w:color w:val="auto"/>
          <w:sz w:val="24"/>
          <w:szCs w:val="28"/>
          <w:highlight w:val="none"/>
          <w:u w:val="none"/>
          <w:lang w:val="en-US" w:eastAsia="zh-CN" w:bidi="ar-SA"/>
        </w:rPr>
        <w:t>85万元，否则其投标文件将被否决。</w:t>
      </w:r>
      <w:r>
        <w:rPr>
          <w:rFonts w:hint="eastAsia" w:ascii="宋体" w:hAnsi="宋体" w:eastAsia="宋体"/>
          <w:color w:val="auto"/>
          <w:sz w:val="24"/>
          <w:highlight w:val="none"/>
          <w:lang w:val="en-US" w:eastAsia="zh-CN"/>
        </w:rPr>
        <w:t>投标人须在第一轮报价表中的分项报价明细表中报出投标单价，分项报价明细表详见投标文件格式。</w:t>
      </w:r>
      <w:r>
        <w:rPr>
          <w:rFonts w:hint="eastAsia" w:ascii="宋体" w:hAnsi="宋体" w:eastAsia="宋体"/>
          <w:b/>
          <w:bCs/>
          <w:color w:val="auto"/>
          <w:sz w:val="24"/>
          <w:highlight w:val="none"/>
          <w:lang w:val="en-US" w:eastAsia="zh-CN"/>
        </w:rPr>
        <w:t>投标人最终报价仅需按照“第六章 投标文件格式”中的“第_____轮报价”报总价即可，“投标单价×最后一轮投标总价/第一轮投标总价”作为签订合同及后期履约的依据。</w:t>
      </w:r>
      <w:r>
        <w:rPr>
          <w:rFonts w:hint="eastAsia" w:ascii="宋体" w:hAnsi="宋体" w:eastAsia="宋体"/>
          <w:color w:val="auto"/>
          <w:sz w:val="24"/>
          <w:highlight w:val="none"/>
          <w:lang w:val="en-US" w:eastAsia="zh-CN"/>
        </w:rPr>
        <w:t>投标报价包含完成本次项目所发生的一切费用，请供应商自行踏勘服务现场情况，并核算报价且具体情况以现场实际情况为准，一旦成交后</w:t>
      </w:r>
      <w:r>
        <w:rPr>
          <w:rFonts w:hint="eastAsia"/>
          <w:color w:val="auto"/>
          <w:sz w:val="24"/>
          <w:highlight w:val="none"/>
          <w:lang w:val="en-US" w:eastAsia="zh-CN"/>
        </w:rPr>
        <w:t>招标</w:t>
      </w:r>
      <w:r>
        <w:rPr>
          <w:rFonts w:hint="eastAsia" w:ascii="宋体" w:hAnsi="宋体" w:eastAsia="宋体"/>
          <w:color w:val="auto"/>
          <w:sz w:val="24"/>
          <w:highlight w:val="none"/>
          <w:lang w:val="en-US" w:eastAsia="zh-CN"/>
        </w:rPr>
        <w:t>人不再追加任何费用。</w:t>
      </w:r>
    </w:p>
    <w:p w14:paraId="3430D453">
      <w:pPr>
        <w:widowControl w:val="0"/>
        <w:wordWrap/>
        <w:autoSpaceDE w:val="0"/>
        <w:autoSpaceDN w:val="0"/>
        <w:adjustRightInd w:val="0"/>
        <w:snapToGrid/>
        <w:spacing w:line="560" w:lineRule="exact"/>
        <w:ind w:firstLine="480" w:firstLineChars="20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招标人标后复核时如发现投标人投标总价与各项单价乘以数量的报价累计之和不符的，招标人将按最不利于投标人的方式进行调整，具体方式如下：（1）若各项单价乘以数量的报价累计之和小于投标总价的，则以单价为准，修正总价；（2）若各项单价乘以数量的报价累计之和大于投标总价的，则以投标总价为准修正单价（修正原则：按“投标总价÷各项单价乘以数量的报价累计之和”所得出的比例 Y，同比例修正单价，即修正后的单价=原单价×Y）；（3）未填报单价及漏项、漏量的项目均视为投标人免费提供或已包含在其他项目报价中。</w:t>
      </w:r>
    </w:p>
    <w:p w14:paraId="2F2AB341">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79F05214">
      <w:pPr>
        <w:spacing w:line="360" w:lineRule="auto"/>
        <w:jc w:val="center"/>
        <w:outlineLvl w:val="1"/>
        <w:rPr>
          <w:rFonts w:asciiTheme="minorEastAsia" w:hAnsiTheme="minorEastAsia" w:eastAsiaTheme="minorEastAsia"/>
          <w:b/>
          <w:color w:val="auto"/>
          <w:sz w:val="28"/>
          <w:highlight w:val="none"/>
        </w:rPr>
      </w:pPr>
      <w:bookmarkStart w:id="24" w:name="_Toc23594"/>
      <w:r>
        <w:rPr>
          <w:rFonts w:hint="eastAsia" w:asciiTheme="minorEastAsia" w:hAnsiTheme="minorEastAsia" w:eastAsiaTheme="minorEastAsia"/>
          <w:b/>
          <w:color w:val="auto"/>
          <w:sz w:val="28"/>
          <w:highlight w:val="none"/>
        </w:rPr>
        <w:t>第四章  评审方法和标准</w:t>
      </w:r>
      <w:bookmarkEnd w:id="24"/>
    </w:p>
    <w:p w14:paraId="28CAC9A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7CC4A4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本项目</w:t>
      </w:r>
      <w:r>
        <w:rPr>
          <w:rFonts w:hint="eastAsia" w:asciiTheme="minorEastAsia" w:hAnsiTheme="minorEastAsia" w:eastAsiaTheme="minorEastAsia"/>
          <w:color w:val="auto"/>
          <w:sz w:val="24"/>
          <w:highlight w:val="none"/>
        </w:rPr>
        <w:t>采用综合评分法评审</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满足磋商文件全部实质性要求且按评审因素的量化指标评审得分最高的</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中标候选人</w:t>
      </w:r>
      <w:r>
        <w:rPr>
          <w:rFonts w:hint="eastAsia" w:asciiTheme="minorEastAsia" w:hAnsiTheme="minorEastAsia" w:eastAsiaTheme="minorEastAsia"/>
          <w:color w:val="auto"/>
          <w:sz w:val="24"/>
          <w:highlight w:val="none"/>
        </w:rPr>
        <w:t>的评审方法。</w:t>
      </w:r>
    </w:p>
    <w:p w14:paraId="4BBD54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二、评审方法</w:t>
      </w:r>
    </w:p>
    <w:p w14:paraId="064BAE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6BAAFB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进行初审，以确定其是否满足磋商文件的实质性要求。初审表如下：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223"/>
        <w:gridCol w:w="5596"/>
      </w:tblGrid>
      <w:tr w14:paraId="36B7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62619E4B">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7B5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3" w:type="pct"/>
            <w:tcBorders>
              <w:bottom w:val="single" w:color="auto" w:sz="4" w:space="0"/>
            </w:tcBorders>
            <w:vAlign w:val="center"/>
          </w:tcPr>
          <w:p w14:paraId="45C546AE">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序号</w:t>
            </w:r>
          </w:p>
        </w:tc>
        <w:tc>
          <w:tcPr>
            <w:tcW w:w="1304" w:type="pct"/>
            <w:tcBorders>
              <w:bottom w:val="single" w:color="auto" w:sz="4" w:space="0"/>
            </w:tcBorders>
            <w:vAlign w:val="center"/>
          </w:tcPr>
          <w:p w14:paraId="6EF34934">
            <w:pPr>
              <w:adjustRightInd w:val="0"/>
              <w:snapToGrid w:val="0"/>
              <w:ind w:right="-10"/>
              <w:jc w:val="center"/>
              <w:rPr>
                <w:rFonts w:ascii="Calibri" w:hAnsi="Calibri" w:cs="Times New Roman"/>
                <w:b/>
                <w:color w:val="auto"/>
                <w:kern w:val="2"/>
                <w:sz w:val="24"/>
                <w:szCs w:val="24"/>
                <w:highlight w:val="none"/>
              </w:rPr>
            </w:pPr>
            <w:r>
              <w:rPr>
                <w:rFonts w:hint="eastAsia" w:ascii="Calibri" w:hAnsi="Calibri" w:cs="Times New Roman"/>
                <w:b/>
                <w:color w:val="auto"/>
                <w:kern w:val="2"/>
                <w:sz w:val="24"/>
                <w:szCs w:val="24"/>
                <w:highlight w:val="none"/>
              </w:rPr>
              <w:t>评审指标</w:t>
            </w:r>
          </w:p>
        </w:tc>
        <w:tc>
          <w:tcPr>
            <w:tcW w:w="3282" w:type="pct"/>
            <w:tcBorders>
              <w:bottom w:val="single" w:color="auto" w:sz="4" w:space="0"/>
            </w:tcBorders>
            <w:vAlign w:val="center"/>
          </w:tcPr>
          <w:p w14:paraId="4BD8F9E6">
            <w:pPr>
              <w:adjustRightInd w:val="0"/>
              <w:snapToGrid w:val="0"/>
              <w:ind w:right="-10"/>
              <w:jc w:val="center"/>
              <w:rPr>
                <w:rFonts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合格条件</w:t>
            </w:r>
          </w:p>
        </w:tc>
      </w:tr>
      <w:tr w14:paraId="3355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6E586CC0">
            <w:pPr>
              <w:adjustRightInd w:val="0"/>
              <w:snapToGrid w:val="0"/>
              <w:ind w:right="-10"/>
              <w:jc w:val="center"/>
              <w:rPr>
                <w:rFonts w:ascii="Calibri" w:hAnsi="Calibri" w:cs="Times New Roman"/>
                <w:color w:val="auto"/>
                <w:kern w:val="2"/>
                <w:sz w:val="24"/>
                <w:szCs w:val="22"/>
                <w:highlight w:val="none"/>
              </w:rPr>
            </w:pPr>
            <w:r>
              <w:rPr>
                <w:rFonts w:hint="eastAsia" w:cs="Times New Roman"/>
                <w:color w:val="auto"/>
                <w:kern w:val="2"/>
                <w:sz w:val="24"/>
                <w:highlight w:val="none"/>
              </w:rPr>
              <w:t>1</w:t>
            </w:r>
          </w:p>
        </w:tc>
        <w:tc>
          <w:tcPr>
            <w:tcW w:w="1304" w:type="pct"/>
            <w:tcBorders>
              <w:bottom w:val="single" w:color="auto" w:sz="4" w:space="0"/>
            </w:tcBorders>
            <w:vAlign w:val="center"/>
          </w:tcPr>
          <w:p w14:paraId="71529F5F">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营业执照</w:t>
            </w:r>
          </w:p>
        </w:tc>
        <w:tc>
          <w:tcPr>
            <w:tcW w:w="3282" w:type="pct"/>
            <w:tcBorders>
              <w:bottom w:val="single" w:color="auto" w:sz="4" w:space="0"/>
            </w:tcBorders>
            <w:vAlign w:val="center"/>
          </w:tcPr>
          <w:p w14:paraId="6D268D1F">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提供有效的营业执照扫描件，应完整</w:t>
            </w:r>
            <w:r>
              <w:rPr>
                <w:rFonts w:hint="eastAsia" w:cs="Times New Roman"/>
                <w:color w:val="auto"/>
                <w:kern w:val="2"/>
                <w:sz w:val="24"/>
                <w:szCs w:val="22"/>
                <w:highlight w:val="none"/>
                <w:lang w:eastAsia="zh-CN"/>
              </w:rPr>
              <w:t>地</w:t>
            </w:r>
            <w:r>
              <w:rPr>
                <w:rFonts w:hint="eastAsia" w:cs="Times New Roman"/>
                <w:color w:val="auto"/>
                <w:kern w:val="2"/>
                <w:sz w:val="24"/>
                <w:szCs w:val="22"/>
                <w:highlight w:val="none"/>
              </w:rPr>
              <w:t>体现出营业执照的全部内容。联合体磋商的联合体各方均须提供。</w:t>
            </w:r>
          </w:p>
        </w:tc>
      </w:tr>
      <w:tr w14:paraId="43A6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864033D">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2</w:t>
            </w:r>
          </w:p>
        </w:tc>
        <w:tc>
          <w:tcPr>
            <w:tcW w:w="1304" w:type="pct"/>
            <w:vAlign w:val="center"/>
          </w:tcPr>
          <w:p w14:paraId="7B21382F">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资质证书</w:t>
            </w:r>
          </w:p>
        </w:tc>
        <w:tc>
          <w:tcPr>
            <w:tcW w:w="3282" w:type="pct"/>
            <w:vAlign w:val="center"/>
          </w:tcPr>
          <w:p w14:paraId="6A0E6584">
            <w:pPr>
              <w:adjustRightInd w:val="0"/>
              <w:snapToGrid w:val="0"/>
              <w:spacing w:line="360" w:lineRule="auto"/>
              <w:ind w:right="-10"/>
              <w:rPr>
                <w:rFonts w:hint="default" w:ascii="Calibri" w:hAnsi="Calibri" w:eastAsia="宋体" w:cs="Times New Roman"/>
                <w:color w:val="auto"/>
                <w:kern w:val="2"/>
                <w:sz w:val="24"/>
                <w:szCs w:val="22"/>
                <w:highlight w:val="none"/>
                <w:lang w:val="en-US" w:eastAsia="zh-CN"/>
              </w:rPr>
            </w:pPr>
            <w:r>
              <w:rPr>
                <w:rFonts w:hint="eastAsia" w:cs="Times New Roman"/>
                <w:color w:val="auto"/>
                <w:kern w:val="2"/>
                <w:sz w:val="24"/>
                <w:szCs w:val="22"/>
                <w:highlight w:val="none"/>
              </w:rPr>
              <w:t>提供</w:t>
            </w:r>
            <w:r>
              <w:rPr>
                <w:rFonts w:hint="eastAsia" w:cs="Times New Roman"/>
                <w:color w:val="auto"/>
                <w:kern w:val="2"/>
                <w:sz w:val="24"/>
                <w:szCs w:val="22"/>
                <w:highlight w:val="none"/>
                <w:lang w:val="en-US" w:eastAsia="zh-CN"/>
              </w:rPr>
              <w:t>符合磋商公告</w:t>
            </w:r>
            <w:r>
              <w:rPr>
                <w:rFonts w:hint="eastAsia" w:cs="Times New Roman"/>
                <w:color w:val="auto"/>
                <w:kern w:val="2"/>
                <w:sz w:val="24"/>
                <w:szCs w:val="22"/>
                <w:highlight w:val="none"/>
              </w:rPr>
              <w:t>的资质证书。</w:t>
            </w:r>
          </w:p>
        </w:tc>
      </w:tr>
      <w:tr w14:paraId="6AD9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13" w:type="pct"/>
            <w:vAlign w:val="center"/>
          </w:tcPr>
          <w:p w14:paraId="46231724">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3</w:t>
            </w:r>
          </w:p>
        </w:tc>
        <w:tc>
          <w:tcPr>
            <w:tcW w:w="1304" w:type="pct"/>
            <w:vAlign w:val="center"/>
          </w:tcPr>
          <w:p w14:paraId="4B6D7DDF">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联合协议</w:t>
            </w:r>
            <w:r>
              <w:rPr>
                <w:rFonts w:hint="eastAsia" w:cs="Times New Roman"/>
                <w:color w:val="auto"/>
                <w:kern w:val="2"/>
                <w:sz w:val="24"/>
                <w:highlight w:val="none"/>
                <w:lang w:eastAsia="zh-CN"/>
              </w:rPr>
              <w:t>（</w:t>
            </w:r>
            <w:r>
              <w:rPr>
                <w:rFonts w:hint="eastAsia" w:cs="Times New Roman"/>
                <w:color w:val="auto"/>
                <w:kern w:val="2"/>
                <w:sz w:val="24"/>
                <w:highlight w:val="none"/>
                <w:lang w:val="en-US" w:eastAsia="zh-CN"/>
              </w:rPr>
              <w:t>如要求</w:t>
            </w:r>
            <w:r>
              <w:rPr>
                <w:rFonts w:hint="eastAsia" w:cs="Times New Roman"/>
                <w:color w:val="auto"/>
                <w:kern w:val="2"/>
                <w:sz w:val="24"/>
                <w:highlight w:val="none"/>
                <w:lang w:eastAsia="zh-CN"/>
              </w:rPr>
              <w:t>）</w:t>
            </w:r>
          </w:p>
        </w:tc>
        <w:tc>
          <w:tcPr>
            <w:tcW w:w="3282" w:type="pct"/>
            <w:vAlign w:val="center"/>
          </w:tcPr>
          <w:p w14:paraId="5BE6ADF5">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格式、填写要求符合磋商文件规定。</w:t>
            </w:r>
          </w:p>
        </w:tc>
      </w:tr>
      <w:tr w14:paraId="2721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35D6A5C">
            <w:pPr>
              <w:adjustRightInd w:val="0"/>
              <w:snapToGrid w:val="0"/>
              <w:ind w:right="-10"/>
              <w:jc w:val="center"/>
              <w:rPr>
                <w:rFonts w:hint="eastAsia" w:eastAsia="宋体" w:cs="Times New Roman"/>
                <w:color w:val="auto"/>
                <w:kern w:val="2"/>
                <w:sz w:val="24"/>
                <w:highlight w:val="none"/>
                <w:lang w:val="en-US" w:eastAsia="zh-CN"/>
              </w:rPr>
            </w:pPr>
            <w:r>
              <w:rPr>
                <w:rFonts w:hint="eastAsia" w:cs="Times New Roman"/>
                <w:color w:val="auto"/>
                <w:kern w:val="2"/>
                <w:sz w:val="24"/>
                <w:highlight w:val="none"/>
                <w:lang w:val="en-US" w:eastAsia="zh-CN"/>
              </w:rPr>
              <w:t>4</w:t>
            </w:r>
          </w:p>
        </w:tc>
        <w:tc>
          <w:tcPr>
            <w:tcW w:w="1304" w:type="pct"/>
            <w:vAlign w:val="center"/>
          </w:tcPr>
          <w:p w14:paraId="3AE72381">
            <w:pPr>
              <w:adjustRightInd w:val="0"/>
              <w:snapToGrid w:val="0"/>
              <w:ind w:right="-10"/>
              <w:jc w:val="left"/>
              <w:rPr>
                <w:rFonts w:hint="eastAsia" w:cs="Times New Roman"/>
                <w:color w:val="auto"/>
                <w:kern w:val="2"/>
                <w:sz w:val="24"/>
                <w:highlight w:val="none"/>
                <w:lang w:val="en-US" w:eastAsia="zh-CN"/>
              </w:rPr>
            </w:pPr>
            <w:r>
              <w:rPr>
                <w:rFonts w:hint="eastAsia" w:cs="Times New Roman"/>
                <w:color w:val="auto"/>
                <w:kern w:val="2"/>
                <w:sz w:val="24"/>
                <w:highlight w:val="none"/>
                <w:lang w:val="en-US" w:eastAsia="zh-CN"/>
              </w:rPr>
              <w:t>投标人</w:t>
            </w:r>
            <w:r>
              <w:rPr>
                <w:rFonts w:hint="eastAsia" w:cs="Times New Roman"/>
                <w:color w:val="auto"/>
                <w:kern w:val="2"/>
                <w:sz w:val="24"/>
                <w:highlight w:val="none"/>
              </w:rPr>
              <w:t>业绩</w:t>
            </w:r>
          </w:p>
        </w:tc>
        <w:tc>
          <w:tcPr>
            <w:tcW w:w="3282" w:type="pct"/>
            <w:vAlign w:val="center"/>
          </w:tcPr>
          <w:p w14:paraId="0103F544">
            <w:pPr>
              <w:spacing w:line="420" w:lineRule="exact"/>
              <w:ind w:right="-11" w:rightChars="0" w:firstLine="0" w:firstLineChars="0"/>
              <w:jc w:val="both"/>
              <w:rPr>
                <w:rFonts w:hint="default" w:ascii="宋体" w:hAnsi="宋体" w:eastAsia="宋体" w:cs="Times New Roman"/>
                <w:color w:val="auto"/>
                <w:kern w:val="2"/>
                <w:sz w:val="24"/>
                <w:szCs w:val="24"/>
                <w:highlight w:val="none"/>
                <w:lang w:val="en-US" w:eastAsia="zh-CN" w:bidi="ar-SA"/>
              </w:rPr>
            </w:pPr>
            <w:r>
              <w:rPr>
                <w:rFonts w:hint="eastAsia" w:cs="Times New Roman"/>
                <w:color w:val="auto"/>
                <w:kern w:val="2"/>
                <w:sz w:val="24"/>
                <w:szCs w:val="22"/>
                <w:highlight w:val="none"/>
              </w:rPr>
              <w:t>提供</w:t>
            </w:r>
            <w:r>
              <w:rPr>
                <w:rFonts w:hint="eastAsia" w:cs="Times New Roman"/>
                <w:color w:val="auto"/>
                <w:kern w:val="2"/>
                <w:sz w:val="24"/>
                <w:szCs w:val="22"/>
                <w:highlight w:val="none"/>
                <w:lang w:val="en-US" w:eastAsia="zh-CN"/>
              </w:rPr>
              <w:t>符合磋商公告</w:t>
            </w:r>
            <w:r>
              <w:rPr>
                <w:rFonts w:hint="eastAsia" w:cs="Times New Roman"/>
                <w:color w:val="auto"/>
                <w:kern w:val="2"/>
                <w:sz w:val="24"/>
                <w:szCs w:val="22"/>
                <w:highlight w:val="none"/>
              </w:rPr>
              <w:t>的</w:t>
            </w:r>
            <w:r>
              <w:rPr>
                <w:rFonts w:hint="eastAsia" w:cs="Times New Roman"/>
                <w:color w:val="auto"/>
                <w:kern w:val="2"/>
                <w:sz w:val="24"/>
                <w:szCs w:val="22"/>
                <w:highlight w:val="none"/>
                <w:lang w:val="en-US" w:eastAsia="zh-CN"/>
              </w:rPr>
              <w:t>投标人业绩。</w:t>
            </w:r>
          </w:p>
        </w:tc>
      </w:tr>
      <w:tr w14:paraId="2BC9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32762F61">
            <w:pPr>
              <w:adjustRightInd w:val="0"/>
              <w:snapToGrid w:val="0"/>
              <w:ind w:right="-10"/>
              <w:jc w:val="center"/>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5</w:t>
            </w:r>
          </w:p>
        </w:tc>
        <w:tc>
          <w:tcPr>
            <w:tcW w:w="1304" w:type="pct"/>
            <w:vAlign w:val="center"/>
          </w:tcPr>
          <w:p w14:paraId="2A49A2EE">
            <w:pPr>
              <w:adjustRightInd w:val="0"/>
              <w:snapToGrid w:val="0"/>
              <w:ind w:right="-10"/>
              <w:jc w:val="left"/>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项目负责人资格要求</w:t>
            </w:r>
          </w:p>
        </w:tc>
        <w:tc>
          <w:tcPr>
            <w:tcW w:w="3282" w:type="pct"/>
            <w:vAlign w:val="center"/>
          </w:tcPr>
          <w:p w14:paraId="2B3B766F">
            <w:pPr>
              <w:spacing w:line="420" w:lineRule="exact"/>
              <w:ind w:right="-11" w:rightChars="0" w:firstLine="0" w:firstLineChars="0"/>
              <w:jc w:val="both"/>
              <w:rPr>
                <w:rFonts w:hint="default" w:eastAsia="宋体" w:cs="Times New Roman"/>
                <w:color w:val="auto"/>
                <w:kern w:val="2"/>
                <w:sz w:val="24"/>
                <w:szCs w:val="22"/>
                <w:highlight w:val="none"/>
                <w:lang w:val="en-US" w:eastAsia="zh-CN"/>
              </w:rPr>
            </w:pPr>
            <w:r>
              <w:rPr>
                <w:rFonts w:hint="eastAsia" w:cs="Times New Roman"/>
                <w:color w:val="auto"/>
                <w:kern w:val="2"/>
                <w:sz w:val="24"/>
                <w:szCs w:val="22"/>
                <w:highlight w:val="none"/>
              </w:rPr>
              <w:t>符合磋商文件要求。</w:t>
            </w:r>
          </w:p>
        </w:tc>
      </w:tr>
      <w:tr w14:paraId="5574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0216693D">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6</w:t>
            </w:r>
          </w:p>
        </w:tc>
        <w:tc>
          <w:tcPr>
            <w:tcW w:w="1304" w:type="pct"/>
            <w:vAlign w:val="center"/>
          </w:tcPr>
          <w:p w14:paraId="16B7BFA7">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lang w:val="en-US" w:eastAsia="zh-CN"/>
              </w:rPr>
              <w:t>投标</w:t>
            </w:r>
            <w:r>
              <w:rPr>
                <w:rFonts w:hint="eastAsia" w:cs="Times New Roman"/>
                <w:color w:val="auto"/>
                <w:kern w:val="2"/>
                <w:sz w:val="24"/>
                <w:highlight w:val="none"/>
              </w:rPr>
              <w:t>函</w:t>
            </w:r>
          </w:p>
        </w:tc>
        <w:tc>
          <w:tcPr>
            <w:tcW w:w="3282" w:type="pct"/>
            <w:vAlign w:val="center"/>
          </w:tcPr>
          <w:p w14:paraId="227DCEA2">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符合磋商文件要求。</w:t>
            </w:r>
          </w:p>
        </w:tc>
      </w:tr>
      <w:tr w14:paraId="4B8F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75950CE">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7</w:t>
            </w:r>
          </w:p>
        </w:tc>
        <w:tc>
          <w:tcPr>
            <w:tcW w:w="1304" w:type="pct"/>
            <w:vAlign w:val="center"/>
          </w:tcPr>
          <w:p w14:paraId="1D4FEE12">
            <w:pPr>
              <w:adjustRightInd w:val="0"/>
              <w:snapToGrid w:val="0"/>
              <w:ind w:right="-10"/>
              <w:jc w:val="left"/>
              <w:rPr>
                <w:rFonts w:hint="eastAsia" w:cs="Times New Roman"/>
                <w:color w:val="auto"/>
                <w:kern w:val="2"/>
                <w:sz w:val="24"/>
                <w:highlight w:val="none"/>
                <w:lang w:val="en-US"/>
              </w:rPr>
            </w:pPr>
            <w:r>
              <w:rPr>
                <w:rFonts w:hint="eastAsia" w:cs="Times New Roman"/>
                <w:color w:val="auto"/>
                <w:kern w:val="2"/>
                <w:sz w:val="24"/>
                <w:highlight w:val="none"/>
                <w:lang w:val="en-US" w:eastAsia="zh-CN"/>
              </w:rPr>
              <w:t>磋商文件</w:t>
            </w:r>
            <w:r>
              <w:rPr>
                <w:rFonts w:hint="eastAsia" w:cs="Times New Roman"/>
                <w:color w:val="auto"/>
                <w:kern w:val="2"/>
                <w:sz w:val="24"/>
                <w:highlight w:val="none"/>
              </w:rPr>
              <w:t>获取情况</w:t>
            </w:r>
          </w:p>
        </w:tc>
        <w:tc>
          <w:tcPr>
            <w:tcW w:w="3282" w:type="pct"/>
            <w:vAlign w:val="center"/>
          </w:tcPr>
          <w:p w14:paraId="00F689AA">
            <w:pPr>
              <w:adjustRightInd w:val="0"/>
              <w:snapToGrid w:val="0"/>
              <w:spacing w:line="360" w:lineRule="auto"/>
              <w:ind w:right="-10"/>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在</w:t>
            </w:r>
            <w:r>
              <w:rPr>
                <w:rFonts w:hint="eastAsia" w:asciiTheme="minorEastAsia" w:hAnsiTheme="minorEastAsia" w:eastAsiaTheme="minorEastAsia"/>
                <w:color w:val="auto"/>
                <w:sz w:val="24"/>
                <w:szCs w:val="28"/>
                <w:highlight w:val="none"/>
                <w:lang w:eastAsia="zh-CN"/>
              </w:rPr>
              <w:t>磋商文件</w:t>
            </w:r>
            <w:r>
              <w:rPr>
                <w:rFonts w:hint="eastAsia" w:asciiTheme="minorEastAsia" w:hAnsiTheme="minorEastAsia" w:eastAsiaTheme="minorEastAsia"/>
                <w:color w:val="auto"/>
                <w:sz w:val="24"/>
                <w:szCs w:val="28"/>
                <w:highlight w:val="none"/>
              </w:rPr>
              <w:t>获取截止时间前完成</w:t>
            </w:r>
            <w:r>
              <w:rPr>
                <w:rFonts w:hint="eastAsia" w:asciiTheme="minorEastAsia" w:hAnsiTheme="minorEastAsia" w:eastAsiaTheme="minorEastAsia"/>
                <w:color w:val="auto"/>
                <w:sz w:val="24"/>
                <w:szCs w:val="28"/>
                <w:highlight w:val="none"/>
                <w:lang w:eastAsia="zh-CN"/>
              </w:rPr>
              <w:t>磋商文件</w:t>
            </w:r>
            <w:r>
              <w:rPr>
                <w:rFonts w:hint="eastAsia" w:asciiTheme="minorEastAsia" w:hAnsiTheme="minorEastAsia" w:eastAsiaTheme="minorEastAsia"/>
                <w:color w:val="auto"/>
                <w:sz w:val="24"/>
                <w:szCs w:val="28"/>
                <w:highlight w:val="none"/>
              </w:rPr>
              <w:t>获取</w:t>
            </w:r>
            <w:r>
              <w:rPr>
                <w:rFonts w:hint="eastAsia" w:cs="Times New Roman"/>
                <w:color w:val="auto"/>
                <w:kern w:val="2"/>
                <w:sz w:val="24"/>
                <w:szCs w:val="22"/>
                <w:highlight w:val="none"/>
              </w:rPr>
              <w:t>。</w:t>
            </w:r>
          </w:p>
        </w:tc>
      </w:tr>
      <w:tr w14:paraId="77D6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A334041">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8</w:t>
            </w:r>
          </w:p>
        </w:tc>
        <w:tc>
          <w:tcPr>
            <w:tcW w:w="1304" w:type="pct"/>
            <w:vAlign w:val="center"/>
          </w:tcPr>
          <w:p w14:paraId="109C70F3">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授权书</w:t>
            </w:r>
          </w:p>
        </w:tc>
        <w:tc>
          <w:tcPr>
            <w:tcW w:w="3282" w:type="pct"/>
            <w:vAlign w:val="center"/>
          </w:tcPr>
          <w:p w14:paraId="0B24E97D">
            <w:pPr>
              <w:adjustRightInd w:val="0"/>
              <w:snapToGrid w:val="0"/>
              <w:spacing w:line="360" w:lineRule="auto"/>
              <w:ind w:right="-10"/>
              <w:rPr>
                <w:rFonts w:ascii="Calibri" w:hAnsi="Calibri" w:cs="Times New Roman"/>
                <w:color w:val="auto"/>
                <w:kern w:val="2"/>
                <w:sz w:val="24"/>
                <w:szCs w:val="22"/>
                <w:highlight w:val="none"/>
              </w:rPr>
            </w:pPr>
            <w:r>
              <w:rPr>
                <w:rFonts w:hint="eastAsia" w:cs="Times New Roman"/>
                <w:color w:val="auto"/>
                <w:kern w:val="2"/>
                <w:sz w:val="24"/>
                <w:szCs w:val="22"/>
                <w:highlight w:val="none"/>
              </w:rPr>
              <w:t>符合磋商文件要求。</w:t>
            </w:r>
          </w:p>
        </w:tc>
      </w:tr>
      <w:tr w14:paraId="65D4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335376C">
            <w:pPr>
              <w:adjustRightInd w:val="0"/>
              <w:snapToGrid w:val="0"/>
              <w:ind w:right="-10"/>
              <w:jc w:val="center"/>
              <w:rPr>
                <w:rFonts w:hint="eastAsia" w:eastAsia="宋体" w:cs="Times New Roman"/>
                <w:color w:val="auto"/>
                <w:kern w:val="2"/>
                <w:sz w:val="24"/>
                <w:highlight w:val="none"/>
                <w:lang w:eastAsia="zh-CN"/>
              </w:rPr>
            </w:pPr>
            <w:r>
              <w:rPr>
                <w:rFonts w:hint="eastAsia" w:cs="Times New Roman"/>
                <w:color w:val="auto"/>
                <w:kern w:val="2"/>
                <w:sz w:val="24"/>
                <w:highlight w:val="none"/>
                <w:lang w:val="en-US" w:eastAsia="zh-CN"/>
              </w:rPr>
              <w:t>9</w:t>
            </w:r>
          </w:p>
        </w:tc>
        <w:tc>
          <w:tcPr>
            <w:tcW w:w="1304" w:type="pct"/>
            <w:vAlign w:val="center"/>
          </w:tcPr>
          <w:p w14:paraId="5E7F3C63">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磋商保证金</w:t>
            </w:r>
          </w:p>
        </w:tc>
        <w:tc>
          <w:tcPr>
            <w:tcW w:w="3282" w:type="pct"/>
            <w:vAlign w:val="center"/>
          </w:tcPr>
          <w:p w14:paraId="7B69D8AB">
            <w:pPr>
              <w:adjustRightInd w:val="0"/>
              <w:snapToGrid w:val="0"/>
              <w:spacing w:line="360" w:lineRule="auto"/>
              <w:ind w:right="-10"/>
              <w:rPr>
                <w:rFonts w:hint="eastAsia" w:eastAsia="宋体" w:cs="Times New Roman"/>
                <w:color w:val="auto"/>
                <w:kern w:val="2"/>
                <w:sz w:val="24"/>
                <w:szCs w:val="22"/>
                <w:highlight w:val="none"/>
                <w:lang w:eastAsia="zh-CN"/>
              </w:rPr>
            </w:pPr>
            <w:r>
              <w:rPr>
                <w:rFonts w:hint="eastAsia" w:cs="Times New Roman"/>
                <w:color w:val="auto"/>
                <w:kern w:val="2"/>
                <w:sz w:val="24"/>
                <w:szCs w:val="22"/>
                <w:highlight w:val="none"/>
              </w:rPr>
              <w:t>符合磋商文件要求</w:t>
            </w:r>
            <w:r>
              <w:rPr>
                <w:rFonts w:hint="eastAsia" w:cs="Times New Roman"/>
                <w:color w:val="auto"/>
                <w:kern w:val="2"/>
                <w:sz w:val="24"/>
                <w:szCs w:val="22"/>
                <w:highlight w:val="none"/>
                <w:lang w:eastAsia="zh-CN"/>
              </w:rPr>
              <w:t>。</w:t>
            </w:r>
          </w:p>
        </w:tc>
      </w:tr>
      <w:tr w14:paraId="1447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7881B2A2">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10</w:t>
            </w:r>
          </w:p>
        </w:tc>
        <w:tc>
          <w:tcPr>
            <w:tcW w:w="1304" w:type="pct"/>
            <w:vAlign w:val="center"/>
          </w:tcPr>
          <w:p w14:paraId="2400B553">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磋商报价</w:t>
            </w:r>
          </w:p>
        </w:tc>
        <w:tc>
          <w:tcPr>
            <w:tcW w:w="3282" w:type="pct"/>
            <w:vAlign w:val="center"/>
          </w:tcPr>
          <w:p w14:paraId="010B2D3A">
            <w:pPr>
              <w:adjustRightInd w:val="0"/>
              <w:snapToGrid w:val="0"/>
              <w:spacing w:line="360" w:lineRule="auto"/>
              <w:ind w:right="-10"/>
              <w:rPr>
                <w:rFonts w:hint="eastAsia" w:cs="Times New Roman"/>
                <w:color w:val="auto"/>
                <w:kern w:val="2"/>
                <w:sz w:val="24"/>
                <w:szCs w:val="22"/>
                <w:highlight w:val="none"/>
              </w:rPr>
            </w:pPr>
            <w:r>
              <w:rPr>
                <w:rFonts w:hint="eastAsia" w:cs="Times New Roman"/>
                <w:color w:val="auto"/>
                <w:kern w:val="2"/>
                <w:sz w:val="24"/>
                <w:szCs w:val="22"/>
                <w:highlight w:val="none"/>
              </w:rPr>
              <w:t>符合磋商文件要求。</w:t>
            </w:r>
          </w:p>
        </w:tc>
      </w:tr>
      <w:tr w14:paraId="2CC0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15D25592">
            <w:pPr>
              <w:adjustRightInd w:val="0"/>
              <w:snapToGrid w:val="0"/>
              <w:ind w:right="-10"/>
              <w:jc w:val="center"/>
              <w:rPr>
                <w:rFonts w:hint="default" w:cs="Times New Roman"/>
                <w:color w:val="auto"/>
                <w:kern w:val="2"/>
                <w:sz w:val="24"/>
                <w:highlight w:val="none"/>
                <w:lang w:val="en-US" w:eastAsia="zh-CN"/>
              </w:rPr>
            </w:pPr>
            <w:r>
              <w:rPr>
                <w:rFonts w:hint="eastAsia" w:cs="Times New Roman"/>
                <w:color w:val="auto"/>
                <w:kern w:val="2"/>
                <w:sz w:val="24"/>
                <w:highlight w:val="none"/>
                <w:lang w:val="en-US" w:eastAsia="zh-CN"/>
              </w:rPr>
              <w:t>11</w:t>
            </w:r>
          </w:p>
        </w:tc>
        <w:tc>
          <w:tcPr>
            <w:tcW w:w="1304" w:type="pct"/>
            <w:vAlign w:val="center"/>
          </w:tcPr>
          <w:p w14:paraId="4C5B7F7D">
            <w:pPr>
              <w:adjustRightInd w:val="0"/>
              <w:snapToGrid w:val="0"/>
              <w:spacing w:line="360" w:lineRule="auto"/>
              <w:ind w:right="-10"/>
              <w:rPr>
                <w:rFonts w:hint="eastAsia" w:cs="Times New Roman"/>
                <w:color w:val="auto"/>
                <w:kern w:val="2"/>
                <w:sz w:val="24"/>
                <w:szCs w:val="22"/>
                <w:highlight w:val="none"/>
              </w:rPr>
            </w:pPr>
            <w:r>
              <w:rPr>
                <w:rFonts w:hint="eastAsia" w:cs="Times New Roman"/>
                <w:color w:val="auto"/>
                <w:kern w:val="2"/>
                <w:sz w:val="24"/>
                <w:szCs w:val="22"/>
                <w:highlight w:val="none"/>
              </w:rPr>
              <w:t>未出现异常情形</w:t>
            </w:r>
          </w:p>
        </w:tc>
        <w:tc>
          <w:tcPr>
            <w:tcW w:w="3282" w:type="pct"/>
            <w:vAlign w:val="center"/>
          </w:tcPr>
          <w:p w14:paraId="6E8817D5">
            <w:pPr>
              <w:adjustRightInd w:val="0"/>
              <w:snapToGrid w:val="0"/>
              <w:spacing w:line="360" w:lineRule="auto"/>
              <w:ind w:right="-10"/>
              <w:rPr>
                <w:rFonts w:hint="eastAsia" w:cs="Times New Roman"/>
                <w:color w:val="auto"/>
                <w:kern w:val="2"/>
                <w:sz w:val="24"/>
                <w:szCs w:val="22"/>
                <w:highlight w:val="none"/>
              </w:rPr>
            </w:pPr>
            <w:r>
              <w:rPr>
                <w:rFonts w:hint="eastAsia" w:cs="Times New Roman"/>
                <w:color w:val="auto"/>
                <w:kern w:val="2"/>
                <w:sz w:val="24"/>
                <w:szCs w:val="22"/>
                <w:highlight w:val="none"/>
              </w:rPr>
              <w:t>不同投标人未出现使用相同的机器识别码进行投标的情</w:t>
            </w:r>
            <w:r>
              <w:rPr>
                <w:rFonts w:hint="eastAsia" w:cs="Times New Roman"/>
                <w:color w:val="auto"/>
                <w:kern w:val="2"/>
                <w:sz w:val="24"/>
                <w:szCs w:val="22"/>
                <w:highlight w:val="none"/>
                <w:lang w:val="en-US" w:eastAsia="zh-CN"/>
              </w:rPr>
              <w:t>形</w:t>
            </w:r>
          </w:p>
        </w:tc>
      </w:tr>
      <w:tr w14:paraId="6854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3" w:type="pct"/>
            <w:vAlign w:val="center"/>
          </w:tcPr>
          <w:p w14:paraId="3905647C">
            <w:pPr>
              <w:adjustRightInd w:val="0"/>
              <w:snapToGrid w:val="0"/>
              <w:ind w:right="-10"/>
              <w:jc w:val="center"/>
              <w:rPr>
                <w:rFonts w:hint="default" w:eastAsia="宋体" w:cs="Times New Roman"/>
                <w:color w:val="auto"/>
                <w:kern w:val="2"/>
                <w:sz w:val="24"/>
                <w:highlight w:val="none"/>
                <w:lang w:val="en-US" w:eastAsia="zh-CN"/>
              </w:rPr>
            </w:pPr>
            <w:r>
              <w:rPr>
                <w:rFonts w:hint="eastAsia" w:cs="Times New Roman"/>
                <w:color w:val="auto"/>
                <w:kern w:val="2"/>
                <w:sz w:val="24"/>
                <w:highlight w:val="none"/>
                <w:lang w:val="en-US" w:eastAsia="zh-CN"/>
              </w:rPr>
              <w:t>12</w:t>
            </w:r>
          </w:p>
        </w:tc>
        <w:tc>
          <w:tcPr>
            <w:tcW w:w="1304" w:type="pct"/>
            <w:vAlign w:val="center"/>
          </w:tcPr>
          <w:p w14:paraId="19A360E6">
            <w:pPr>
              <w:adjustRightInd w:val="0"/>
              <w:snapToGrid w:val="0"/>
              <w:ind w:right="-10"/>
              <w:jc w:val="left"/>
              <w:rPr>
                <w:rFonts w:hint="eastAsia" w:cs="Times New Roman"/>
                <w:color w:val="auto"/>
                <w:kern w:val="2"/>
                <w:sz w:val="24"/>
                <w:highlight w:val="none"/>
              </w:rPr>
            </w:pPr>
            <w:r>
              <w:rPr>
                <w:rFonts w:hint="eastAsia" w:cs="Times New Roman"/>
                <w:color w:val="auto"/>
                <w:kern w:val="2"/>
                <w:sz w:val="24"/>
                <w:highlight w:val="none"/>
              </w:rPr>
              <w:t>其他要求</w:t>
            </w:r>
          </w:p>
        </w:tc>
        <w:tc>
          <w:tcPr>
            <w:tcW w:w="3282" w:type="pct"/>
            <w:vAlign w:val="center"/>
          </w:tcPr>
          <w:p w14:paraId="09C2E5C9">
            <w:pPr>
              <w:adjustRightInd w:val="0"/>
              <w:snapToGrid w:val="0"/>
              <w:ind w:right="-10"/>
              <w:jc w:val="both"/>
              <w:rPr>
                <w:rFonts w:hint="eastAsia" w:cs="Times New Roman"/>
                <w:color w:val="auto"/>
                <w:kern w:val="2"/>
                <w:sz w:val="24"/>
                <w:highlight w:val="none"/>
                <w:lang w:val="en-US" w:eastAsia="zh-CN"/>
              </w:rPr>
            </w:pPr>
            <w:r>
              <w:rPr>
                <w:rFonts w:hint="eastAsia" w:cs="Times New Roman"/>
                <w:color w:val="auto"/>
                <w:kern w:val="2"/>
                <w:sz w:val="24"/>
                <w:szCs w:val="22"/>
                <w:highlight w:val="none"/>
              </w:rPr>
              <w:t>符合磋商文件</w:t>
            </w:r>
            <w:r>
              <w:rPr>
                <w:rFonts w:hint="eastAsia" w:cs="Times New Roman"/>
                <w:color w:val="auto"/>
                <w:kern w:val="2"/>
                <w:sz w:val="24"/>
                <w:szCs w:val="22"/>
                <w:highlight w:val="none"/>
                <w:lang w:val="en-US" w:eastAsia="zh-CN"/>
              </w:rPr>
              <w:t>列明的其他</w:t>
            </w:r>
            <w:r>
              <w:rPr>
                <w:rFonts w:hint="eastAsia" w:cs="Times New Roman"/>
                <w:color w:val="auto"/>
                <w:kern w:val="2"/>
                <w:sz w:val="24"/>
                <w:szCs w:val="22"/>
                <w:highlight w:val="none"/>
              </w:rPr>
              <w:t>要求。</w:t>
            </w:r>
          </w:p>
        </w:tc>
      </w:tr>
      <w:tr w14:paraId="288D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6B40C57D">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w:t>
            </w:r>
            <w:r>
              <w:rPr>
                <w:rFonts w:hint="eastAsia" w:ascii="Calibri" w:hAnsi="Calibri" w:cs="Times New Roman"/>
                <w:color w:val="auto"/>
                <w:kern w:val="2"/>
                <w:sz w:val="24"/>
                <w:szCs w:val="22"/>
                <w:highlight w:val="none"/>
                <w:lang w:eastAsia="zh-CN"/>
              </w:rPr>
              <w:t>投标人</w:t>
            </w:r>
            <w:r>
              <w:rPr>
                <w:rFonts w:hint="eastAsia" w:ascii="Calibri" w:hAnsi="Calibri" w:cs="Times New Roman"/>
                <w:color w:val="auto"/>
                <w:kern w:val="2"/>
                <w:sz w:val="24"/>
                <w:szCs w:val="22"/>
                <w:highlight w:val="none"/>
              </w:rPr>
              <w:t>必须通过上述全部指标。</w:t>
            </w:r>
          </w:p>
        </w:tc>
      </w:tr>
    </w:tbl>
    <w:p w14:paraId="22B165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必须通过初审表中的全部评审指标。</w:t>
      </w:r>
    </w:p>
    <w:p w14:paraId="05C4A275">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261AE1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评审小组</w:t>
      </w:r>
      <w:r>
        <w:rPr>
          <w:rFonts w:hint="eastAsia" w:asciiTheme="minorEastAsia" w:hAnsiTheme="minorEastAsia" w:eastAsiaTheme="minorEastAsia"/>
          <w:color w:val="auto"/>
          <w:sz w:val="24"/>
          <w:highlight w:val="none"/>
        </w:rPr>
        <w:t>按照下表对</w:t>
      </w:r>
      <w:r>
        <w:rPr>
          <w:rFonts w:hint="eastAsia"/>
          <w:color w:val="auto"/>
          <w:sz w:val="24"/>
          <w:highlight w:val="none"/>
        </w:rPr>
        <w:t>进入综合评分的所有</w:t>
      </w:r>
      <w:r>
        <w:rPr>
          <w:rFonts w:hint="eastAsia"/>
          <w:color w:val="auto"/>
          <w:sz w:val="24"/>
          <w:highlight w:val="none"/>
          <w:lang w:eastAsia="zh-CN"/>
        </w:rPr>
        <w:t>投标人</w:t>
      </w:r>
      <w:r>
        <w:rPr>
          <w:rFonts w:hint="eastAsia"/>
          <w:color w:val="auto"/>
          <w:sz w:val="24"/>
          <w:highlight w:val="none"/>
        </w:rPr>
        <w:t>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进行综合评分。</w:t>
      </w:r>
    </w:p>
    <w:p w14:paraId="0A2CC1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lang w:val="en-US" w:eastAsia="zh-CN"/>
        </w:rPr>
        <w:t>60</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40</w:t>
      </w:r>
      <w:r>
        <w:rPr>
          <w:rFonts w:asciiTheme="minorEastAsia" w:hAnsiTheme="minorEastAsia" w:eastAsiaTheme="minorEastAsia"/>
          <w:color w:val="auto"/>
          <w:sz w:val="24"/>
          <w:highlight w:val="none"/>
        </w:rPr>
        <w:t>%。具体评分细则如下：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6"/>
        <w:gridCol w:w="1578"/>
      </w:tblGrid>
      <w:tr w14:paraId="4F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36680DC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2EDD970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8" w:type="pct"/>
            <w:tcBorders>
              <w:top w:val="single" w:color="auto" w:sz="4" w:space="0"/>
              <w:left w:val="single" w:color="auto" w:sz="4" w:space="0"/>
              <w:bottom w:val="single" w:color="auto" w:sz="4" w:space="0"/>
              <w:right w:val="single" w:color="auto" w:sz="4" w:space="0"/>
            </w:tcBorders>
            <w:vAlign w:val="center"/>
          </w:tcPr>
          <w:p w14:paraId="28D2716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697FB16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6820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3435765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7C71DEE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60</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787794BA">
            <w:pPr>
              <w:spacing w:line="360" w:lineRule="auto"/>
              <w:jc w:val="center"/>
              <w:rPr>
                <w:rFonts w:asciiTheme="minorEastAsia" w:hAnsiTheme="minorEastAsia" w:eastAsiaTheme="minorEastAsia"/>
                <w:bCs/>
                <w:color w:val="auto"/>
                <w:sz w:val="24"/>
                <w:highlight w:val="none"/>
              </w:rPr>
            </w:pPr>
            <w:r>
              <w:rPr>
                <w:rFonts w:hint="eastAsia"/>
                <w:color w:val="auto"/>
                <w:sz w:val="24"/>
                <w:highlight w:val="none"/>
              </w:rPr>
              <w:t>技术参数及要求</w:t>
            </w:r>
          </w:p>
        </w:tc>
        <w:tc>
          <w:tcPr>
            <w:tcW w:w="2198" w:type="pct"/>
            <w:tcBorders>
              <w:top w:val="single" w:color="auto" w:sz="4" w:space="0"/>
              <w:left w:val="single" w:color="auto" w:sz="4" w:space="0"/>
              <w:bottom w:val="single" w:color="auto" w:sz="4" w:space="0"/>
              <w:right w:val="single" w:color="auto" w:sz="4" w:space="0"/>
            </w:tcBorders>
            <w:vAlign w:val="center"/>
          </w:tcPr>
          <w:p w14:paraId="1E5CF120">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根据投标人对所提供产品技术参数要求的响应性进行评审。</w:t>
            </w:r>
          </w:p>
          <w:p w14:paraId="63BABBD2">
            <w:pPr>
              <w:widowControl/>
              <w:spacing w:line="560" w:lineRule="exact"/>
              <w:jc w:val="left"/>
              <w:rPr>
                <w:rFonts w:hint="eastAsia" w:ascii="宋体" w:hAnsi="宋体" w:eastAsia="宋体"/>
                <w:color w:val="auto"/>
                <w:highlight w:val="none"/>
              </w:rPr>
            </w:pPr>
            <w:r>
              <w:rPr>
                <w:rFonts w:hint="eastAsia" w:ascii="宋体" w:hAnsi="宋体" w:eastAsia="宋体" w:cs="宋体"/>
                <w:color w:val="auto"/>
                <w:sz w:val="24"/>
                <w:szCs w:val="24"/>
                <w:highlight w:val="none"/>
              </w:rPr>
              <w:t>1.用“★”标注的技术参数的基准分为30分,全部满足得基准分30分,用“★”标注的技术参数若有负偏离，则在基准分基础上扣</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分/项，扣完为止。本项满分30分。</w:t>
            </w:r>
          </w:p>
          <w:p w14:paraId="142DE2C0">
            <w:pPr>
              <w:widowControl/>
              <w:spacing w:line="560" w:lineRule="exact"/>
              <w:jc w:val="left"/>
              <w:rPr>
                <w:rFonts w:hint="eastAsia" w:ascii="宋体" w:hAnsi="宋体" w:eastAsia="宋体"/>
                <w:color w:val="auto"/>
                <w:highlight w:val="none"/>
              </w:rPr>
            </w:pPr>
            <w:r>
              <w:rPr>
                <w:rFonts w:hint="eastAsia" w:ascii="宋体" w:hAnsi="宋体" w:eastAsia="宋体" w:cs="宋体"/>
                <w:b/>
                <w:bCs/>
                <w:color w:val="auto"/>
                <w:sz w:val="24"/>
                <w:szCs w:val="24"/>
                <w:highlight w:val="none"/>
              </w:rPr>
              <w:t>注：投标人对用“</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”标注的技术参数出现重大负偏离影响产品性能的，经半数以上评标委员会成员认定，本项得0分。</w:t>
            </w:r>
          </w:p>
          <w:p w14:paraId="58A13A3C">
            <w:pPr>
              <w:widowControl/>
              <w:spacing w:line="5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”标注的技术参数，需在投标文件中提供“证明材料”。予以证明，否则，评委会视为对</w:t>
            </w:r>
            <w:r>
              <w:rPr>
                <w:rFonts w:hint="eastAsia"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文件中用“★”标注的技术参数出现负偏离。</w:t>
            </w:r>
          </w:p>
          <w:p w14:paraId="053DD2D7">
            <w:pPr>
              <w:widowControl/>
              <w:spacing w:line="560" w:lineRule="exact"/>
              <w:jc w:val="left"/>
              <w:rPr>
                <w:rFonts w:hint="eastAsia" w:ascii="宋体" w:hAnsi="宋体" w:eastAsia="宋体"/>
                <w:color w:val="auto"/>
                <w:highlight w:val="none"/>
              </w:rPr>
            </w:pPr>
            <w:r>
              <w:rPr>
                <w:rFonts w:hint="eastAsia" w:cs="宋体"/>
                <w:b/>
                <w:bCs/>
                <w:color w:val="auto"/>
                <w:sz w:val="24"/>
                <w:szCs w:val="24"/>
                <w:highlight w:val="none"/>
                <w:lang w:val="en-US" w:eastAsia="zh-CN"/>
              </w:rPr>
              <w:t>其中参数表中</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1.1全自动超大容量农残检测仪96通道，一次可检测88个样品。</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3.28设备具有农业农村部部级农产品检测中心出具的检验报告（报告中须体现设备对甲胺磷、对硫磷、敌敌畏、丁硫克百威、灭多威、涕灭威等农药的检出限，以及假阳性符合率达到国标要求）；仪器硬件和联机软件是同一生产厂家，提供农药（兽药）残留联机分析软件著作权证书</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为必须满足参数，如出现负偏离，则本项得0分。</w:t>
            </w:r>
          </w:p>
          <w:p w14:paraId="11B2FB00">
            <w:pPr>
              <w:widowControl/>
              <w:spacing w:line="560" w:lineRule="exact"/>
              <w:jc w:val="left"/>
              <w:rPr>
                <w:rFonts w:hint="eastAsia" w:ascii="宋体" w:hAnsi="宋体" w:eastAsia="宋体"/>
                <w:color w:val="auto"/>
                <w:highlight w:val="none"/>
              </w:rPr>
            </w:pPr>
            <w:r>
              <w:rPr>
                <w:rFonts w:hint="eastAsia" w:ascii="宋体" w:hAnsi="宋体" w:eastAsia="宋体" w:cs="宋体"/>
                <w:color w:val="auto"/>
                <w:sz w:val="24"/>
                <w:szCs w:val="24"/>
                <w:highlight w:val="none"/>
              </w:rPr>
              <w:t>2.未用“★”标注的非主要技术参数的基准分为10分,全部满足得基准分10分,未用“★”标注的非主要技术参数若有负偏离，则在基准分基础上扣1分/项，扣完为止。本项满分10分。</w:t>
            </w:r>
          </w:p>
          <w:p w14:paraId="24C814D4">
            <w:pPr>
              <w:spacing w:line="560" w:lineRule="exact"/>
              <w:jc w:val="left"/>
              <w:rPr>
                <w:rFonts w:hint="eastAsia" w:ascii="宋体" w:hAnsi="宋体" w:eastAsia="宋体" w:cs="宋体"/>
                <w:b/>
                <w:bCs/>
                <w:color w:val="auto"/>
                <w:sz w:val="24"/>
                <w:szCs w:val="24"/>
                <w:highlight w:val="none"/>
              </w:rPr>
            </w:pPr>
            <w:r>
              <w:rPr>
                <w:rFonts w:hint="eastAsia" w:ascii="宋体" w:hAnsi="宋体" w:eastAsia="宋体" w:cs="Arial"/>
                <w:b/>
                <w:bCs/>
                <w:color w:val="auto"/>
                <w:sz w:val="24"/>
                <w:highlight w:val="none"/>
              </w:rPr>
              <w:t>注：以投标文件中提供的投标响应表及</w:t>
            </w:r>
            <w:r>
              <w:rPr>
                <w:rFonts w:hint="eastAsia" w:cs="Arial"/>
                <w:b/>
                <w:bCs/>
                <w:color w:val="auto"/>
                <w:sz w:val="24"/>
                <w:highlight w:val="none"/>
                <w:lang w:val="en-US" w:eastAsia="zh-CN"/>
              </w:rPr>
              <w:t>磋商</w:t>
            </w:r>
            <w:r>
              <w:rPr>
                <w:rFonts w:hint="eastAsia" w:ascii="宋体" w:hAnsi="宋体" w:eastAsia="宋体" w:cs="Arial"/>
                <w:b/>
                <w:bCs/>
                <w:color w:val="auto"/>
                <w:sz w:val="24"/>
                <w:highlight w:val="none"/>
              </w:rPr>
              <w:t>文件采购需求中要求提供的相应证明材料作为评审依据，需在投标文件中提供相应“证明材料”予以证明</w:t>
            </w:r>
            <w:r>
              <w:rPr>
                <w:rFonts w:hint="eastAsia" w:ascii="宋体" w:hAnsi="宋体" w:eastAsia="宋体" w:cs="宋体"/>
                <w:b/>
                <w:bCs/>
                <w:color w:val="auto"/>
                <w:sz w:val="24"/>
                <w:szCs w:val="24"/>
                <w:highlight w:val="none"/>
              </w:rPr>
              <w:t>。</w:t>
            </w:r>
          </w:p>
          <w:p w14:paraId="70FA5987">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b/>
                <w:bCs/>
                <w:color w:val="auto"/>
                <w:sz w:val="24"/>
                <w:szCs w:val="24"/>
                <w:highlight w:val="none"/>
              </w:rPr>
              <w:t>3.“证明材料”为采购需求一览表中相关设备技术参数所提及的检验报告或产品技术白皮书或厂家官网截图或产品彩页等。</w:t>
            </w:r>
          </w:p>
        </w:tc>
        <w:tc>
          <w:tcPr>
            <w:tcW w:w="926" w:type="pct"/>
            <w:tcBorders>
              <w:top w:val="single" w:color="auto" w:sz="4" w:space="0"/>
              <w:left w:val="single" w:color="auto" w:sz="4" w:space="0"/>
              <w:bottom w:val="single" w:color="auto" w:sz="4" w:space="0"/>
              <w:right w:val="single" w:color="auto" w:sz="4" w:space="0"/>
            </w:tcBorders>
            <w:vAlign w:val="center"/>
          </w:tcPr>
          <w:p w14:paraId="0CDD5DB8">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30</w:t>
            </w:r>
          </w:p>
        </w:tc>
      </w:tr>
      <w:tr w14:paraId="5EBC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B634F4A">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9E15C2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投标人</w:t>
            </w:r>
            <w:r>
              <w:rPr>
                <w:rFonts w:hint="eastAsia" w:asciiTheme="minorEastAsia" w:hAnsiTheme="minorEastAsia" w:eastAsiaTheme="minorEastAsia"/>
                <w:color w:val="auto"/>
                <w:sz w:val="24"/>
                <w:highlight w:val="none"/>
              </w:rPr>
              <w:t>业绩</w:t>
            </w:r>
          </w:p>
        </w:tc>
        <w:tc>
          <w:tcPr>
            <w:tcW w:w="2198" w:type="pct"/>
            <w:tcBorders>
              <w:top w:val="single" w:color="auto" w:sz="4" w:space="0"/>
              <w:left w:val="single" w:color="auto" w:sz="4" w:space="0"/>
              <w:bottom w:val="single" w:color="auto" w:sz="4" w:space="0"/>
              <w:right w:val="single" w:color="auto" w:sz="4" w:space="0"/>
            </w:tcBorders>
            <w:vAlign w:val="center"/>
          </w:tcPr>
          <w:p w14:paraId="45F7D4EE">
            <w:pPr>
              <w:widowControl/>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2022年1月1日以来（以合同签订时间为准）具有大容量农药残留快速检测仪</w:t>
            </w:r>
            <w:r>
              <w:rPr>
                <w:rFonts w:ascii="宋体" w:hAnsi="宋体" w:eastAsia="宋体" w:cs="宋体"/>
                <w:color w:val="auto"/>
                <w:sz w:val="24"/>
                <w:szCs w:val="24"/>
                <w:highlight w:val="none"/>
              </w:rPr>
              <w:t>供货</w:t>
            </w:r>
            <w:r>
              <w:rPr>
                <w:rFonts w:hint="eastAsia" w:ascii="宋体" w:hAnsi="宋体" w:eastAsia="宋体" w:cs="宋体"/>
                <w:color w:val="auto"/>
                <w:sz w:val="24"/>
                <w:szCs w:val="24"/>
                <w:highlight w:val="none"/>
              </w:rPr>
              <w:t>及安装</w:t>
            </w:r>
            <w:r>
              <w:rPr>
                <w:rFonts w:ascii="宋体" w:hAnsi="宋体" w:eastAsia="宋体" w:cs="宋体"/>
                <w:color w:val="auto"/>
                <w:sz w:val="24"/>
                <w:szCs w:val="24"/>
                <w:highlight w:val="none"/>
              </w:rPr>
              <w:t>业绩，每提供一个业绩得</w:t>
            </w: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分，满分</w:t>
            </w: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分</w:t>
            </w:r>
            <w:r>
              <w:rPr>
                <w:rFonts w:hint="eastAsia" w:ascii="宋体" w:hAnsi="宋体" w:eastAsia="宋体" w:cs="宋体"/>
                <w:b/>
                <w:bCs/>
                <w:color w:val="auto"/>
                <w:sz w:val="24"/>
                <w:szCs w:val="24"/>
                <w:highlight w:val="none"/>
              </w:rPr>
              <w:t>（初审业绩</w:t>
            </w:r>
            <w:r>
              <w:rPr>
                <w:rFonts w:hint="eastAsia" w:ascii="宋体" w:hAnsi="宋体" w:eastAsia="宋体" w:cs="宋体"/>
                <w:b/>
                <w:bCs/>
                <w:color w:val="auto"/>
                <w:sz w:val="24"/>
                <w:szCs w:val="24"/>
                <w:highlight w:val="none"/>
                <w:lang w:val="en-US" w:eastAsia="zh-CN"/>
              </w:rPr>
              <w:t>可</w:t>
            </w:r>
            <w:r>
              <w:rPr>
                <w:rFonts w:hint="eastAsia" w:ascii="宋体" w:hAnsi="宋体" w:eastAsia="宋体" w:cs="宋体"/>
                <w:b/>
                <w:bCs/>
                <w:color w:val="auto"/>
                <w:sz w:val="24"/>
                <w:szCs w:val="24"/>
                <w:highlight w:val="none"/>
              </w:rPr>
              <w:t>纳入本项评分）</w:t>
            </w:r>
            <w:r>
              <w:rPr>
                <w:rFonts w:ascii="宋体" w:hAnsi="宋体" w:eastAsia="宋体" w:cs="宋体"/>
                <w:color w:val="auto"/>
                <w:sz w:val="24"/>
                <w:szCs w:val="24"/>
                <w:highlight w:val="none"/>
              </w:rPr>
              <w:t>；</w:t>
            </w:r>
          </w:p>
          <w:p w14:paraId="522A7584">
            <w:pPr>
              <w:numPr>
                <w:ilvl w:val="0"/>
                <w:numId w:val="0"/>
              </w:numPr>
              <w:spacing w:line="360" w:lineRule="auto"/>
              <w:ind w:leftChars="0"/>
              <w:rPr>
                <w:rFonts w:hint="eastAsia"/>
                <w:color w:val="auto"/>
                <w:sz w:val="24"/>
                <w:szCs w:val="24"/>
                <w:highlight w:val="none"/>
              </w:rPr>
            </w:pPr>
            <w:r>
              <w:rPr>
                <w:rFonts w:hint="eastAsia" w:ascii="宋体" w:hAnsi="宋体" w:eastAsia="宋体" w:cs="Arial"/>
                <w:b/>
                <w:bCs/>
                <w:color w:val="auto"/>
                <w:sz w:val="24"/>
                <w:szCs w:val="24"/>
                <w:highlight w:val="none"/>
              </w:rPr>
              <w:t>注：投标人应按下列规定提供业绩证明资料：</w:t>
            </w:r>
            <w:r>
              <w:rPr>
                <w:rFonts w:hint="eastAsia"/>
                <w:color w:val="auto"/>
                <w:sz w:val="24"/>
                <w:szCs w:val="24"/>
                <w:highlight w:val="none"/>
              </w:rPr>
              <w:t>投标人应按下列规定提供业绩证明资料：</w:t>
            </w:r>
          </w:p>
          <w:p w14:paraId="1B80BA3F">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（1）提供项目中标通知书及合同原件扫描件；</w:t>
            </w:r>
          </w:p>
          <w:p w14:paraId="45CC81E0">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（2）提供由合同甲方（采购人）出具的合同履约完成的证明材料，需加盖合同甲方（采购人）公章；</w:t>
            </w:r>
          </w:p>
          <w:p w14:paraId="05CE5422">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（3）提供相关业绩合同对应的发票证明扫描件。</w:t>
            </w:r>
          </w:p>
          <w:p w14:paraId="58647D2F">
            <w:pPr>
              <w:spacing w:line="360" w:lineRule="auto"/>
              <w:rPr>
                <w:rFonts w:hint="eastAsia"/>
                <w:bCs/>
                <w:snapToGrid w:val="0"/>
                <w:color w:val="auto"/>
                <w:kern w:val="0"/>
                <w:sz w:val="24"/>
                <w:szCs w:val="24"/>
                <w:highlight w:val="none"/>
                <w:lang w:val="en-US" w:eastAsia="zh-CN"/>
              </w:rPr>
            </w:pPr>
            <w:r>
              <w:rPr>
                <w:rFonts w:hint="eastAsia"/>
                <w:bCs/>
                <w:snapToGrid w:val="0"/>
                <w:color w:val="auto"/>
                <w:kern w:val="0"/>
                <w:sz w:val="24"/>
                <w:szCs w:val="24"/>
                <w:highlight w:val="none"/>
                <w:lang w:val="en-US" w:eastAsia="zh-CN"/>
              </w:rPr>
              <w:t>备注：</w:t>
            </w:r>
          </w:p>
          <w:p w14:paraId="234584A7">
            <w:pPr>
              <w:spacing w:line="360" w:lineRule="auto"/>
              <w:rPr>
                <w:rFonts w:hint="eastAsia"/>
                <w:bCs/>
                <w:snapToGrid w:val="0"/>
                <w:color w:val="auto"/>
                <w:kern w:val="0"/>
                <w:sz w:val="24"/>
                <w:szCs w:val="24"/>
                <w:highlight w:val="none"/>
              </w:rPr>
            </w:pPr>
            <w:r>
              <w:rPr>
                <w:rFonts w:hint="eastAsia"/>
                <w:bCs/>
                <w:snapToGrid w:val="0"/>
                <w:color w:val="auto"/>
                <w:kern w:val="0"/>
                <w:sz w:val="24"/>
                <w:szCs w:val="24"/>
                <w:highlight w:val="none"/>
                <w:lang w:val="en-US" w:eastAsia="zh-CN"/>
              </w:rPr>
              <w:t>（1）</w:t>
            </w:r>
            <w:r>
              <w:rPr>
                <w:rFonts w:hint="eastAsia"/>
                <w:bCs/>
                <w:snapToGrid w:val="0"/>
                <w:color w:val="auto"/>
                <w:kern w:val="0"/>
                <w:sz w:val="24"/>
                <w:szCs w:val="24"/>
                <w:highlight w:val="none"/>
              </w:rPr>
              <w:t>业绩合同可提供包含甲乙方、项目名称、合同总金额、合同签订时间、合同供货范围、合同签字盖章页等关键内容的关键页的扫描件；</w:t>
            </w:r>
          </w:p>
          <w:p w14:paraId="24DF3A72">
            <w:pPr>
              <w:spacing w:line="560" w:lineRule="exact"/>
              <w:rPr>
                <w:rFonts w:asciiTheme="minorEastAsia" w:hAnsiTheme="minorEastAsia" w:eastAsiaTheme="minorEastAsia"/>
                <w:color w:val="auto"/>
                <w:sz w:val="24"/>
                <w:highlight w:val="none"/>
              </w:rPr>
            </w:pPr>
            <w:r>
              <w:rPr>
                <w:rFonts w:hint="eastAsia"/>
                <w:bCs/>
                <w:snapToGrid w:val="0"/>
                <w:color w:val="auto"/>
                <w:kern w:val="0"/>
                <w:sz w:val="24"/>
                <w:szCs w:val="24"/>
                <w:highlight w:val="none"/>
              </w:rPr>
              <w:t>以上涉及到的材料扫描件信息应完整或能充分反映评审因素。如均未能明确反映出</w:t>
            </w:r>
            <w:r>
              <w:rPr>
                <w:rFonts w:hint="eastAsia"/>
                <w:bCs/>
                <w:snapToGrid w:val="0"/>
                <w:color w:val="auto"/>
                <w:kern w:val="0"/>
                <w:sz w:val="24"/>
                <w:szCs w:val="24"/>
                <w:highlight w:val="none"/>
                <w:lang w:eastAsia="zh-CN"/>
              </w:rPr>
              <w:t>磋商文件</w:t>
            </w:r>
            <w:r>
              <w:rPr>
                <w:rFonts w:hint="eastAsia"/>
                <w:bCs/>
                <w:snapToGrid w:val="0"/>
                <w:color w:val="auto"/>
                <w:kern w:val="0"/>
                <w:sz w:val="24"/>
                <w:szCs w:val="24"/>
                <w:highlight w:val="none"/>
              </w:rPr>
              <w:t>所要求的内容的（如合同总金额、项目负责人名称等），应另附买方（或合同甲方）出具的证明资料予以明确说明</w:t>
            </w: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rPr>
              <w:t>证明资料</w:t>
            </w:r>
            <w:r>
              <w:rPr>
                <w:rFonts w:hint="eastAsia"/>
                <w:bCs/>
                <w:snapToGrid w:val="0"/>
                <w:color w:val="auto"/>
                <w:kern w:val="0"/>
                <w:sz w:val="24"/>
                <w:szCs w:val="24"/>
                <w:highlight w:val="none"/>
                <w:lang w:val="en-US" w:eastAsia="zh-CN"/>
              </w:rPr>
              <w:t>需加盖合同甲方（采购人）公章</w:t>
            </w:r>
            <w:r>
              <w:rPr>
                <w:rFonts w:hint="eastAsia"/>
                <w:bCs/>
                <w:snapToGrid w:val="0"/>
                <w:color w:val="auto"/>
                <w:kern w:val="0"/>
                <w:sz w:val="24"/>
                <w:szCs w:val="24"/>
                <w:highlight w:val="none"/>
              </w:rPr>
              <w:t>。</w:t>
            </w:r>
          </w:p>
        </w:tc>
        <w:tc>
          <w:tcPr>
            <w:tcW w:w="926" w:type="pct"/>
            <w:tcBorders>
              <w:top w:val="single" w:color="auto" w:sz="4" w:space="0"/>
              <w:left w:val="single" w:color="auto" w:sz="4" w:space="0"/>
              <w:bottom w:val="single" w:color="auto" w:sz="4" w:space="0"/>
              <w:right w:val="single" w:color="auto" w:sz="4" w:space="0"/>
            </w:tcBorders>
            <w:vAlign w:val="center"/>
          </w:tcPr>
          <w:p w14:paraId="5D998403">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4</w:t>
            </w:r>
          </w:p>
        </w:tc>
      </w:tr>
      <w:tr w14:paraId="63E7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05A88CA">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57AD5A9">
            <w:pPr>
              <w:spacing w:line="560" w:lineRule="exact"/>
              <w:jc w:val="center"/>
              <w:rPr>
                <w:rFonts w:asciiTheme="minorEastAsia" w:hAnsiTheme="minorEastAsia" w:eastAsiaTheme="minorEastAsia"/>
                <w:color w:val="auto"/>
                <w:sz w:val="24"/>
                <w:highlight w:val="none"/>
              </w:rPr>
            </w:pPr>
            <w:r>
              <w:rPr>
                <w:rFonts w:hint="eastAsia" w:cs="仿宋"/>
                <w:color w:val="auto"/>
                <w:sz w:val="24"/>
                <w:szCs w:val="24"/>
                <w:highlight w:val="none"/>
              </w:rPr>
              <w:t>供应商综合实力</w:t>
            </w:r>
          </w:p>
        </w:tc>
        <w:tc>
          <w:tcPr>
            <w:tcW w:w="2198" w:type="pct"/>
            <w:tcBorders>
              <w:top w:val="single" w:color="auto" w:sz="4" w:space="0"/>
              <w:left w:val="single" w:color="auto" w:sz="4" w:space="0"/>
              <w:bottom w:val="single" w:color="auto" w:sz="4" w:space="0"/>
              <w:right w:val="single" w:color="auto" w:sz="4" w:space="0"/>
            </w:tcBorders>
            <w:vAlign w:val="center"/>
          </w:tcPr>
          <w:p w14:paraId="3A253248">
            <w:pPr>
              <w:spacing w:line="560" w:lineRule="exact"/>
              <w:rPr>
                <w:rFonts w:hint="eastAsia" w:ascii="宋体" w:hAnsi="宋体" w:eastAsia="宋体" w:cs="仿宋"/>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ascii="宋体" w:hAnsi="宋体" w:eastAsia="宋体" w:cs="宋体"/>
                <w:color w:val="auto"/>
                <w:sz w:val="24"/>
                <w:szCs w:val="24"/>
                <w:highlight w:val="none"/>
              </w:rPr>
              <w:t>具有经中国国家认证认可监督管理委员会认证机构颁发的有效期内的以下证书</w:t>
            </w:r>
            <w:r>
              <w:rPr>
                <w:rFonts w:hint="eastAsia" w:ascii="宋体" w:hAnsi="宋体" w:eastAsia="宋体" w:cs="仿宋"/>
                <w:color w:val="auto"/>
                <w:sz w:val="24"/>
                <w:szCs w:val="24"/>
                <w:highlight w:val="none"/>
              </w:rPr>
              <w:t>，每提供一个得2分，不提供不得分。</w:t>
            </w:r>
          </w:p>
          <w:p w14:paraId="3AFDB9A4">
            <w:pPr>
              <w:spacing w:line="560" w:lineRule="exac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1.质量管理体系认证证书</w:t>
            </w:r>
          </w:p>
          <w:p w14:paraId="3387308E">
            <w:pPr>
              <w:spacing w:line="560" w:lineRule="exac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2.环境管理体系认证证书</w:t>
            </w:r>
          </w:p>
          <w:p w14:paraId="6B2A4845">
            <w:pPr>
              <w:spacing w:line="56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3.职业健康安全管理体系认证证书</w:t>
            </w:r>
          </w:p>
          <w:p w14:paraId="3996EAE1">
            <w:pPr>
              <w:spacing w:line="56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4．国家级高新技术企业证书</w:t>
            </w:r>
          </w:p>
          <w:p w14:paraId="2CBC3A90">
            <w:pPr>
              <w:spacing w:line="560" w:lineRule="exac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5．省级创新型企业证书</w:t>
            </w:r>
          </w:p>
          <w:p w14:paraId="68676642">
            <w:pPr>
              <w:spacing w:line="360" w:lineRule="auto"/>
              <w:jc w:val="left"/>
              <w:rPr>
                <w:rFonts w:asciiTheme="minorEastAsia" w:hAnsiTheme="minorEastAsia" w:eastAsiaTheme="minorEastAsia"/>
                <w:color w:val="auto"/>
                <w:sz w:val="24"/>
                <w:highlight w:val="none"/>
              </w:rPr>
            </w:pPr>
            <w:r>
              <w:rPr>
                <w:rFonts w:hint="eastAsia" w:ascii="宋体" w:hAnsi="宋体" w:eastAsia="宋体" w:cs="仿宋"/>
                <w:b/>
                <w:bCs/>
                <w:color w:val="auto"/>
                <w:sz w:val="24"/>
                <w:szCs w:val="24"/>
                <w:highlight w:val="none"/>
              </w:rPr>
              <w:t>注：响应文件中需提供证书的扫描件及官网查询截图，否则不得分。</w:t>
            </w:r>
          </w:p>
        </w:tc>
        <w:tc>
          <w:tcPr>
            <w:tcW w:w="926" w:type="pct"/>
            <w:tcBorders>
              <w:top w:val="single" w:color="auto" w:sz="4" w:space="0"/>
              <w:left w:val="single" w:color="auto" w:sz="4" w:space="0"/>
              <w:bottom w:val="single" w:color="auto" w:sz="4" w:space="0"/>
              <w:right w:val="single" w:color="auto" w:sz="4" w:space="0"/>
            </w:tcBorders>
            <w:vAlign w:val="center"/>
          </w:tcPr>
          <w:p w14:paraId="61882330">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10</w:t>
            </w:r>
          </w:p>
        </w:tc>
      </w:tr>
      <w:tr w14:paraId="545A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7E51DE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0C888E3">
            <w:pPr>
              <w:spacing w:line="360" w:lineRule="auto"/>
              <w:jc w:val="center"/>
              <w:rPr>
                <w:rFonts w:asciiTheme="minorEastAsia" w:hAnsiTheme="minorEastAsia" w:eastAsiaTheme="minorEastAsia"/>
                <w:color w:val="auto"/>
                <w:sz w:val="24"/>
                <w:highlight w:val="none"/>
              </w:rPr>
            </w:pPr>
            <w:r>
              <w:rPr>
                <w:rFonts w:hint="eastAsia"/>
                <w:color w:val="auto"/>
                <w:sz w:val="24"/>
                <w:highlight w:val="none"/>
              </w:rPr>
              <w:t>所投产品综合评价</w:t>
            </w:r>
          </w:p>
        </w:tc>
        <w:tc>
          <w:tcPr>
            <w:tcW w:w="2198" w:type="pct"/>
            <w:tcBorders>
              <w:top w:val="single" w:color="auto" w:sz="4" w:space="0"/>
              <w:left w:val="single" w:color="auto" w:sz="4" w:space="0"/>
              <w:bottom w:val="single" w:color="auto" w:sz="4" w:space="0"/>
              <w:right w:val="single" w:color="auto" w:sz="4" w:space="0"/>
            </w:tcBorders>
            <w:vAlign w:val="center"/>
          </w:tcPr>
          <w:p w14:paraId="29E822DC">
            <w:pPr>
              <w:spacing w:line="5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根据投标人所投产品进行综合评审：</w:t>
            </w:r>
          </w:p>
          <w:p w14:paraId="2789795E">
            <w:pPr>
              <w:spacing w:line="560" w:lineRule="exact"/>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.制造工艺先进、使用和维修便利性好</w:t>
            </w:r>
            <w:r>
              <w:rPr>
                <w:rFonts w:ascii="宋体" w:hAnsi="宋体" w:eastAsia="宋体" w:cs="宋体"/>
                <w:color w:val="auto"/>
                <w:sz w:val="24"/>
                <w:szCs w:val="24"/>
                <w:highlight w:val="none"/>
              </w:rPr>
              <w:t>的</w:t>
            </w:r>
            <w:r>
              <w:rPr>
                <w:rFonts w:hint="eastAsia" w:ascii="宋体" w:hAnsi="宋体" w:eastAsia="宋体" w:cs="宋体"/>
                <w:color w:val="auto"/>
                <w:sz w:val="24"/>
                <w:szCs w:val="24"/>
                <w:highlight w:val="none"/>
              </w:rPr>
              <w:t>，运行稳定性好、</w:t>
            </w:r>
            <w:r>
              <w:rPr>
                <w:rFonts w:ascii="宋体" w:hAnsi="宋体" w:eastAsia="宋体" w:cs="宋体"/>
                <w:color w:val="auto"/>
                <w:sz w:val="24"/>
                <w:szCs w:val="24"/>
                <w:highlight w:val="none"/>
              </w:rPr>
              <w:t>故障率</w:t>
            </w:r>
            <w:r>
              <w:rPr>
                <w:rFonts w:hint="eastAsia" w:ascii="宋体" w:hAnsi="宋体" w:eastAsia="宋体" w:cs="宋体"/>
                <w:color w:val="auto"/>
                <w:sz w:val="24"/>
                <w:szCs w:val="24"/>
                <w:highlight w:val="none"/>
              </w:rPr>
              <w:t>有充分保障、安全性高、市场美誉度高的，</w:t>
            </w:r>
            <w:r>
              <w:rPr>
                <w:rFonts w:ascii="宋体" w:hAnsi="宋体" w:eastAsia="宋体" w:cs="宋体"/>
                <w:color w:val="auto"/>
                <w:sz w:val="24"/>
                <w:szCs w:val="24"/>
                <w:highlight w:val="none"/>
              </w:rPr>
              <w:t>得</w:t>
            </w:r>
            <w:r>
              <w:rPr>
                <w:rFonts w:hint="eastAsia" w:ascii="宋体" w:hAnsi="宋体" w:eastAsia="宋体" w:cs="Arial"/>
                <w:color w:val="auto"/>
                <w:sz w:val="24"/>
                <w:szCs w:val="24"/>
                <w:highlight w:val="none"/>
              </w:rPr>
              <w:t>4</w:t>
            </w:r>
            <w:r>
              <w:rPr>
                <w:rFonts w:hint="eastAsia" w:ascii="宋体" w:hAnsi="宋体" w:eastAsia="宋体" w:cs="Times New Roman"/>
                <w:color w:val="auto"/>
                <w:sz w:val="24"/>
                <w:szCs w:val="24"/>
                <w:highlight w:val="none"/>
              </w:rPr>
              <w:t>＜F≤6</w:t>
            </w:r>
            <w:r>
              <w:rPr>
                <w:rFonts w:hint="eastAsia" w:ascii="宋体" w:hAnsi="宋体" w:eastAsia="宋体" w:cs="Times New Roman"/>
                <w:color w:val="auto"/>
                <w:sz w:val="24"/>
                <w:highlight w:val="none"/>
              </w:rPr>
              <w:t>分</w:t>
            </w:r>
            <w:r>
              <w:rPr>
                <w:rFonts w:hint="eastAsia" w:ascii="宋体" w:hAnsi="宋体" w:eastAsia="宋体" w:cs="宋体"/>
                <w:color w:val="auto"/>
                <w:sz w:val="24"/>
                <w:szCs w:val="24"/>
                <w:highlight w:val="none"/>
              </w:rPr>
              <w:t>；制造工艺基本满足要求、使用和维修基本便利的，运行稳定性、故障率、安全性、市场美誉度基本满足项目需求的得</w:t>
            </w:r>
            <w:r>
              <w:rPr>
                <w:rFonts w:hint="eastAsia" w:ascii="宋体" w:hAnsi="宋体" w:eastAsia="宋体" w:cs="Arial"/>
                <w:color w:val="auto"/>
                <w:sz w:val="24"/>
                <w:szCs w:val="24"/>
                <w:highlight w:val="none"/>
              </w:rPr>
              <w:t>2</w:t>
            </w:r>
            <w:r>
              <w:rPr>
                <w:rFonts w:hint="eastAsia" w:ascii="宋体" w:hAnsi="宋体" w:eastAsia="宋体" w:cs="Times New Roman"/>
                <w:color w:val="auto"/>
                <w:sz w:val="24"/>
                <w:szCs w:val="24"/>
                <w:highlight w:val="none"/>
              </w:rPr>
              <w:t>＜F≤4</w:t>
            </w:r>
            <w:r>
              <w:rPr>
                <w:rFonts w:hint="eastAsia" w:ascii="宋体" w:hAnsi="宋体" w:eastAsia="宋体" w:cs="宋体"/>
                <w:color w:val="auto"/>
                <w:sz w:val="24"/>
                <w:szCs w:val="24"/>
                <w:highlight w:val="none"/>
              </w:rPr>
              <w:t>分；制造工艺、使用和维修便利性有待提高的，运行稳定性、故障率、安全性、市场美誉度有待提高的得0</w:t>
            </w:r>
            <w:r>
              <w:rPr>
                <w:rFonts w:hint="eastAsia" w:ascii="宋体" w:hAnsi="宋体" w:eastAsia="宋体" w:cs="Times New Roman"/>
                <w:color w:val="auto"/>
                <w:sz w:val="24"/>
                <w:szCs w:val="24"/>
                <w:highlight w:val="none"/>
              </w:rPr>
              <w:t>＜F≤2</w:t>
            </w:r>
            <w:r>
              <w:rPr>
                <w:rFonts w:hint="eastAsia" w:ascii="宋体" w:hAnsi="宋体" w:eastAsia="宋体" w:cs="宋体"/>
                <w:color w:val="auto"/>
                <w:sz w:val="24"/>
                <w:szCs w:val="24"/>
                <w:highlight w:val="none"/>
              </w:rPr>
              <w:t>分。</w:t>
            </w:r>
          </w:p>
          <w:p w14:paraId="55E87165">
            <w:pPr>
              <w:spacing w:line="360" w:lineRule="auto"/>
              <w:jc w:val="left"/>
              <w:rPr>
                <w:rFonts w:asciiTheme="minorEastAsia" w:hAnsiTheme="minorEastAsia" w:eastAsiaTheme="minorEastAsia"/>
                <w:color w:val="auto"/>
                <w:sz w:val="24"/>
                <w:highlight w:val="none"/>
              </w:rPr>
            </w:pPr>
            <w:r>
              <w:rPr>
                <w:rFonts w:hint="eastAsia" w:ascii="宋体" w:hAnsi="宋体" w:eastAsia="宋体" w:cs="Arial"/>
                <w:b/>
                <w:color w:val="auto"/>
                <w:sz w:val="24"/>
                <w:szCs w:val="24"/>
                <w:highlight w:val="none"/>
              </w:rPr>
              <w:t>注：未提供的不得分。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7F3FE02">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6</w:t>
            </w:r>
          </w:p>
        </w:tc>
      </w:tr>
      <w:tr w14:paraId="7871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84C359A">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6B18CC8">
            <w:pPr>
              <w:spacing w:line="360" w:lineRule="auto"/>
              <w:jc w:val="center"/>
              <w:rPr>
                <w:rFonts w:asciiTheme="minorEastAsia" w:hAnsiTheme="minorEastAsia" w:eastAsiaTheme="minorEastAsia"/>
                <w:bCs/>
                <w:color w:val="auto"/>
                <w:sz w:val="24"/>
                <w:highlight w:val="none"/>
              </w:rPr>
            </w:pPr>
            <w:r>
              <w:rPr>
                <w:rFonts w:hint="eastAsia"/>
                <w:color w:val="auto"/>
                <w:sz w:val="24"/>
                <w:highlight w:val="none"/>
              </w:rPr>
              <w:t>售后服务方案</w:t>
            </w:r>
          </w:p>
        </w:tc>
        <w:tc>
          <w:tcPr>
            <w:tcW w:w="2198" w:type="pct"/>
            <w:tcBorders>
              <w:top w:val="single" w:color="auto" w:sz="4" w:space="0"/>
              <w:left w:val="single" w:color="auto" w:sz="4" w:space="0"/>
              <w:bottom w:val="single" w:color="auto" w:sz="4" w:space="0"/>
              <w:right w:val="single" w:color="auto" w:sz="4" w:space="0"/>
            </w:tcBorders>
            <w:vAlign w:val="center"/>
          </w:tcPr>
          <w:p w14:paraId="286C70E8">
            <w:pPr>
              <w:spacing w:line="560" w:lineRule="exact"/>
              <w:rPr>
                <w:rFonts w:hint="eastAsia" w:cs="Times New Roman"/>
                <w:color w:val="auto"/>
                <w:sz w:val="24"/>
                <w:highlight w:val="none"/>
              </w:rPr>
            </w:pPr>
            <w:r>
              <w:rPr>
                <w:rFonts w:hint="eastAsia" w:cs="Times New Roman"/>
                <w:color w:val="auto"/>
                <w:sz w:val="24"/>
                <w:highlight w:val="none"/>
              </w:rPr>
              <w:t>评委会根据投标供应商提供的售后服务及维保方案，</w:t>
            </w:r>
            <w:r>
              <w:rPr>
                <w:rFonts w:hint="eastAsia" w:cs="Times New Roman"/>
                <w:color w:val="auto"/>
                <w:sz w:val="24"/>
                <w:highlight w:val="none"/>
                <w:lang w:val="en-US" w:eastAsia="zh-CN"/>
              </w:rPr>
              <w:t>便利化</w:t>
            </w:r>
            <w:r>
              <w:rPr>
                <w:rFonts w:hint="eastAsia" w:cs="Times New Roman"/>
                <w:color w:val="auto"/>
                <w:sz w:val="24"/>
                <w:highlight w:val="none"/>
              </w:rPr>
              <w:t>服务情况等进行综合评审，优秀得</w:t>
            </w:r>
            <w:r>
              <w:rPr>
                <w:rFonts w:hint="eastAsia" w:cs="Arial"/>
                <w:color w:val="auto"/>
                <w:sz w:val="24"/>
                <w:szCs w:val="24"/>
                <w:highlight w:val="none"/>
              </w:rPr>
              <w:t>5</w:t>
            </w:r>
            <w:r>
              <w:rPr>
                <w:rFonts w:hint="eastAsia" w:cs="Times New Roman"/>
                <w:color w:val="auto"/>
                <w:sz w:val="24"/>
                <w:szCs w:val="24"/>
                <w:highlight w:val="none"/>
              </w:rPr>
              <w:t>＜F≤6</w:t>
            </w:r>
            <w:r>
              <w:rPr>
                <w:rFonts w:hint="eastAsia" w:cs="Times New Roman"/>
                <w:color w:val="auto"/>
                <w:sz w:val="24"/>
                <w:highlight w:val="none"/>
              </w:rPr>
              <w:t xml:space="preserve">分，良好得 </w:t>
            </w:r>
            <w:r>
              <w:rPr>
                <w:rFonts w:hint="eastAsia" w:cs="Arial"/>
                <w:color w:val="auto"/>
                <w:sz w:val="24"/>
                <w:szCs w:val="24"/>
                <w:highlight w:val="none"/>
              </w:rPr>
              <w:t>3</w:t>
            </w:r>
            <w:r>
              <w:rPr>
                <w:rFonts w:hint="eastAsia" w:cs="Times New Roman"/>
                <w:color w:val="auto"/>
                <w:sz w:val="24"/>
                <w:szCs w:val="24"/>
                <w:highlight w:val="none"/>
              </w:rPr>
              <w:t>≤F＜5</w:t>
            </w:r>
            <w:r>
              <w:rPr>
                <w:rFonts w:hint="eastAsia" w:cs="Times New Roman"/>
                <w:color w:val="auto"/>
                <w:sz w:val="24"/>
                <w:highlight w:val="none"/>
              </w:rPr>
              <w:t xml:space="preserve">分，一般得 </w:t>
            </w:r>
            <w:r>
              <w:rPr>
                <w:rFonts w:hint="eastAsia" w:cs="Arial"/>
                <w:color w:val="auto"/>
                <w:sz w:val="24"/>
                <w:szCs w:val="24"/>
                <w:highlight w:val="none"/>
              </w:rPr>
              <w:t>1</w:t>
            </w:r>
            <w:r>
              <w:rPr>
                <w:rFonts w:hint="eastAsia" w:cs="Times New Roman"/>
                <w:color w:val="auto"/>
                <w:sz w:val="24"/>
                <w:szCs w:val="24"/>
                <w:highlight w:val="none"/>
              </w:rPr>
              <w:t>≤F＜3</w:t>
            </w:r>
            <w:r>
              <w:rPr>
                <w:rFonts w:hint="eastAsia" w:cs="Times New Roman"/>
                <w:color w:val="auto"/>
                <w:sz w:val="24"/>
                <w:highlight w:val="none"/>
              </w:rPr>
              <w:t>分。差或者其他不得分。</w:t>
            </w:r>
          </w:p>
          <w:p w14:paraId="34850594">
            <w:pPr>
              <w:spacing w:line="360" w:lineRule="auto"/>
              <w:rPr>
                <w:rFonts w:asciiTheme="minorEastAsia" w:hAnsiTheme="minorEastAsia" w:eastAsiaTheme="minorEastAsia"/>
                <w:color w:val="auto"/>
                <w:sz w:val="24"/>
                <w:highlight w:val="none"/>
              </w:rPr>
            </w:pPr>
            <w:r>
              <w:rPr>
                <w:rFonts w:hint="eastAsia" w:cs="Times New Roman"/>
                <w:b/>
                <w:bCs/>
                <w:color w:val="auto"/>
                <w:sz w:val="24"/>
                <w:highlight w:val="none"/>
              </w:rPr>
              <w:t>注：高速超大容量农药残留快速检测仪需提供生产厂家针对该项目的质保函，否则不予加分。</w:t>
            </w:r>
          </w:p>
        </w:tc>
        <w:tc>
          <w:tcPr>
            <w:tcW w:w="926" w:type="pct"/>
            <w:tcBorders>
              <w:top w:val="single" w:color="auto" w:sz="4" w:space="0"/>
              <w:left w:val="single" w:color="auto" w:sz="4" w:space="0"/>
              <w:bottom w:val="single" w:color="auto" w:sz="4" w:space="0"/>
              <w:right w:val="single" w:color="auto" w:sz="4" w:space="0"/>
            </w:tcBorders>
            <w:vAlign w:val="center"/>
          </w:tcPr>
          <w:p w14:paraId="25EED729">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6</w:t>
            </w:r>
          </w:p>
        </w:tc>
      </w:tr>
      <w:tr w14:paraId="3574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41E52E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C75F350">
            <w:pPr>
              <w:spacing w:line="360" w:lineRule="auto"/>
              <w:jc w:val="center"/>
              <w:rPr>
                <w:rFonts w:asciiTheme="minorEastAsia" w:hAnsiTheme="minorEastAsia" w:eastAsiaTheme="minorEastAsia"/>
                <w:color w:val="auto"/>
                <w:sz w:val="24"/>
                <w:highlight w:val="none"/>
              </w:rPr>
            </w:pPr>
            <w:r>
              <w:rPr>
                <w:rFonts w:hint="eastAsia" w:cs="仿宋"/>
                <w:color w:val="auto"/>
                <w:sz w:val="24"/>
                <w:szCs w:val="24"/>
                <w:highlight w:val="none"/>
              </w:rPr>
              <w:t>安装、调试方案</w:t>
            </w:r>
          </w:p>
        </w:tc>
        <w:tc>
          <w:tcPr>
            <w:tcW w:w="2198" w:type="pct"/>
            <w:tcBorders>
              <w:top w:val="single" w:color="auto" w:sz="4" w:space="0"/>
              <w:left w:val="single" w:color="auto" w:sz="4" w:space="0"/>
              <w:bottom w:val="single" w:color="auto" w:sz="4" w:space="0"/>
              <w:right w:val="single" w:color="auto" w:sz="4" w:space="0"/>
            </w:tcBorders>
            <w:vAlign w:val="center"/>
          </w:tcPr>
          <w:p w14:paraId="39FCEBF9">
            <w:pPr>
              <w:spacing w:line="560" w:lineRule="exact"/>
              <w:rPr>
                <w:rFonts w:hint="eastAsia" w:cs="Arial"/>
                <w:color w:val="auto"/>
                <w:sz w:val="24"/>
                <w:szCs w:val="24"/>
                <w:highlight w:val="none"/>
              </w:rPr>
            </w:pPr>
            <w:r>
              <w:rPr>
                <w:rFonts w:hint="eastAsia" w:cs="Arial"/>
                <w:color w:val="auto"/>
                <w:sz w:val="24"/>
                <w:szCs w:val="24"/>
                <w:highlight w:val="none"/>
              </w:rPr>
              <w:t>根据投标人投标文件中提供的安装、调试及售后服务方案进行综合评审：</w:t>
            </w:r>
          </w:p>
          <w:p w14:paraId="4780C625">
            <w:pPr>
              <w:spacing w:line="560" w:lineRule="exact"/>
              <w:rPr>
                <w:rFonts w:hint="eastAsia" w:cs="Arial"/>
                <w:color w:val="auto"/>
                <w:szCs w:val="22"/>
                <w:highlight w:val="none"/>
              </w:rPr>
            </w:pPr>
            <w:r>
              <w:rPr>
                <w:rFonts w:hint="eastAsia" w:cs="Arial"/>
                <w:color w:val="auto"/>
                <w:sz w:val="24"/>
                <w:szCs w:val="24"/>
                <w:highlight w:val="none"/>
              </w:rPr>
              <w:t>1.安装、调试计划安排科学合理，售后服务人员配备完善，服务响应时间迅速的，得3</w:t>
            </w:r>
            <w:r>
              <w:rPr>
                <w:rFonts w:hint="eastAsia" w:cs="Times New Roman"/>
                <w:color w:val="auto"/>
                <w:sz w:val="24"/>
                <w:szCs w:val="24"/>
                <w:highlight w:val="none"/>
              </w:rPr>
              <w:t>≤F≤</w:t>
            </w:r>
            <w:r>
              <w:rPr>
                <w:rFonts w:hint="eastAsia" w:cs="Arial"/>
                <w:color w:val="auto"/>
                <w:sz w:val="24"/>
                <w:szCs w:val="24"/>
                <w:highlight w:val="none"/>
              </w:rPr>
              <w:t>4分；</w:t>
            </w:r>
          </w:p>
          <w:p w14:paraId="2D9F71EB">
            <w:pPr>
              <w:spacing w:line="560" w:lineRule="exact"/>
              <w:rPr>
                <w:rFonts w:hint="eastAsia" w:cs="Arial"/>
                <w:color w:val="auto"/>
                <w:sz w:val="24"/>
                <w:szCs w:val="24"/>
                <w:highlight w:val="none"/>
              </w:rPr>
            </w:pPr>
            <w:r>
              <w:rPr>
                <w:rFonts w:hint="eastAsia" w:cs="Arial"/>
                <w:color w:val="auto"/>
                <w:sz w:val="24"/>
                <w:szCs w:val="24"/>
                <w:highlight w:val="none"/>
              </w:rPr>
              <w:t>2.安装、调试计划安排有序，售后服务人员配备满足项目需求，服务响应时间较短的，得1</w:t>
            </w:r>
            <w:r>
              <w:rPr>
                <w:rFonts w:hint="eastAsia" w:cs="Times New Roman"/>
                <w:color w:val="auto"/>
                <w:sz w:val="24"/>
                <w:szCs w:val="24"/>
                <w:highlight w:val="none"/>
              </w:rPr>
              <w:t>＜F≤</w:t>
            </w:r>
            <w:r>
              <w:rPr>
                <w:rFonts w:hint="eastAsia" w:cs="Arial"/>
                <w:color w:val="auto"/>
                <w:sz w:val="24"/>
                <w:szCs w:val="24"/>
                <w:highlight w:val="none"/>
              </w:rPr>
              <w:t>3分；</w:t>
            </w:r>
          </w:p>
          <w:p w14:paraId="423B75A3">
            <w:pPr>
              <w:spacing w:line="560" w:lineRule="exact"/>
              <w:rPr>
                <w:rFonts w:hint="eastAsia" w:cs="Arial"/>
                <w:color w:val="auto"/>
                <w:sz w:val="24"/>
                <w:szCs w:val="24"/>
                <w:highlight w:val="none"/>
              </w:rPr>
            </w:pPr>
            <w:r>
              <w:rPr>
                <w:rFonts w:hint="eastAsia" w:cs="Arial"/>
                <w:color w:val="auto"/>
                <w:sz w:val="24"/>
                <w:szCs w:val="24"/>
                <w:highlight w:val="none"/>
              </w:rPr>
              <w:t>3.安装、调试计划安排细节待完善，售后服务人员配备不足，服务响应时间较长的，得1分。</w:t>
            </w:r>
          </w:p>
          <w:p w14:paraId="59C59DDD">
            <w:pPr>
              <w:spacing w:line="360" w:lineRule="auto"/>
              <w:rPr>
                <w:rFonts w:asciiTheme="minorEastAsia" w:hAnsiTheme="minorEastAsia" w:eastAsiaTheme="minorEastAsia"/>
                <w:color w:val="auto"/>
                <w:sz w:val="24"/>
                <w:highlight w:val="none"/>
              </w:rPr>
            </w:pPr>
            <w:r>
              <w:rPr>
                <w:rFonts w:hint="eastAsia" w:cs="Arial"/>
                <w:b/>
                <w:color w:val="auto"/>
                <w:sz w:val="24"/>
                <w:szCs w:val="24"/>
                <w:highlight w:val="none"/>
              </w:rPr>
              <w:t>4.未提供的不得分。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3E5D1E86">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4</w:t>
            </w:r>
          </w:p>
        </w:tc>
      </w:tr>
      <w:tr w14:paraId="590B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9B4D55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2ED1238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40</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17FD79C7">
            <w:pPr>
              <w:pageBreakBefore w:val="0"/>
              <w:widowControl w:val="0"/>
              <w:kinsoku/>
              <w:wordWrap/>
              <w:overflowPunct/>
              <w:topLinePunct w:val="0"/>
              <w:autoSpaceDE/>
              <w:autoSpaceDN/>
              <w:bidi w:val="0"/>
              <w:adjustRightInd w:val="0"/>
              <w:snapToGrid w:val="0"/>
              <w:spacing w:line="360" w:lineRule="auto"/>
              <w:textAlignment w:val="auto"/>
              <w:rPr>
                <w:color w:val="auto"/>
                <w:sz w:val="24"/>
                <w:szCs w:val="24"/>
                <w:highlight w:val="none"/>
              </w:rPr>
            </w:pPr>
            <w:r>
              <w:rPr>
                <w:rFonts w:hint="eastAsia"/>
                <w:color w:val="auto"/>
                <w:sz w:val="24"/>
                <w:szCs w:val="24"/>
                <w:highlight w:val="none"/>
              </w:rPr>
              <w:t>价格分统一采用低价优先法，即满足磋商文件要求且</w:t>
            </w:r>
            <w:r>
              <w:rPr>
                <w:rFonts w:hint="eastAsia"/>
                <w:color w:val="auto"/>
                <w:sz w:val="24"/>
                <w:szCs w:val="24"/>
                <w:highlight w:val="none"/>
                <w:lang w:eastAsia="zh-CN"/>
              </w:rPr>
              <w:t>最终投标报价</w:t>
            </w:r>
            <w:r>
              <w:rPr>
                <w:rFonts w:hint="eastAsia"/>
                <w:color w:val="auto"/>
                <w:sz w:val="24"/>
                <w:szCs w:val="24"/>
                <w:highlight w:val="none"/>
              </w:rPr>
              <w:t>最低的</w:t>
            </w:r>
            <w:r>
              <w:rPr>
                <w:rFonts w:hint="eastAsia"/>
                <w:color w:val="auto"/>
                <w:sz w:val="24"/>
                <w:szCs w:val="24"/>
                <w:highlight w:val="none"/>
                <w:lang w:eastAsia="zh-CN"/>
              </w:rPr>
              <w:t>投标人</w:t>
            </w:r>
            <w:r>
              <w:rPr>
                <w:rFonts w:hint="eastAsia"/>
                <w:color w:val="auto"/>
                <w:sz w:val="24"/>
                <w:szCs w:val="24"/>
                <w:highlight w:val="none"/>
              </w:rPr>
              <w:t>的价格为磋商基准价，其价格分为满分   分。其他</w:t>
            </w:r>
            <w:r>
              <w:rPr>
                <w:rFonts w:hint="eastAsia"/>
                <w:color w:val="auto"/>
                <w:sz w:val="24"/>
                <w:szCs w:val="24"/>
                <w:highlight w:val="none"/>
                <w:lang w:eastAsia="zh-CN"/>
              </w:rPr>
              <w:t>投标人</w:t>
            </w:r>
            <w:r>
              <w:rPr>
                <w:rFonts w:hint="eastAsia"/>
                <w:color w:val="auto"/>
                <w:sz w:val="24"/>
                <w:szCs w:val="24"/>
                <w:highlight w:val="none"/>
              </w:rPr>
              <w:t>的价格分统一按照下列公式计算：</w:t>
            </w:r>
          </w:p>
          <w:p w14:paraId="4082E0E4">
            <w:pPr>
              <w:pageBreakBefore w:val="0"/>
              <w:widowControl w:val="0"/>
              <w:kinsoku/>
              <w:wordWrap/>
              <w:overflowPunct/>
              <w:topLinePunct w:val="0"/>
              <w:autoSpaceDE/>
              <w:autoSpaceDN/>
              <w:bidi w:val="0"/>
              <w:adjustRightInd w:val="0"/>
              <w:snapToGrid w:val="0"/>
              <w:spacing w:line="360" w:lineRule="auto"/>
              <w:textAlignment w:val="auto"/>
              <w:rPr>
                <w:rFonts w:hint="eastAsia" w:eastAsiaTheme="minorEastAsia"/>
                <w:color w:val="auto"/>
                <w:highlight w:val="none"/>
                <w:lang w:eastAsia="zh-CN"/>
              </w:rPr>
            </w:pPr>
            <w:r>
              <w:rPr>
                <w:rFonts w:hint="eastAsia"/>
                <w:color w:val="auto"/>
                <w:sz w:val="24"/>
                <w:szCs w:val="24"/>
                <w:highlight w:val="none"/>
              </w:rPr>
              <w:t>磋商报价得分＝（磋商基准价/</w:t>
            </w:r>
            <w:r>
              <w:rPr>
                <w:rFonts w:ascii="宋体" w:hAnsi="宋体" w:eastAsia="宋体" w:cs="宋体"/>
                <w:color w:val="auto"/>
                <w:sz w:val="24"/>
                <w:szCs w:val="24"/>
                <w:highlight w:val="none"/>
              </w:rPr>
              <w:t>最终投标报价</w:t>
            </w:r>
            <w:r>
              <w:rPr>
                <w:rFonts w:hint="eastAsia"/>
                <w:color w:val="auto"/>
                <w:sz w:val="24"/>
                <w:szCs w:val="24"/>
                <w:highlight w:val="none"/>
              </w:rPr>
              <w:t>）×</w:t>
            </w:r>
            <w:r>
              <w:rPr>
                <w:rFonts w:hint="eastAsia"/>
                <w:color w:val="auto"/>
                <w:sz w:val="24"/>
                <w:szCs w:val="24"/>
                <w:highlight w:val="none"/>
                <w:lang w:val="en-US" w:eastAsia="zh-CN"/>
              </w:rPr>
              <w:t>40</w:t>
            </w:r>
            <w:r>
              <w:rPr>
                <w:rFonts w:hint="eastAsia"/>
                <w:color w:val="auto"/>
                <w:sz w:val="24"/>
                <w:szCs w:val="24"/>
                <w:highlight w:val="none"/>
              </w:rPr>
              <w:t>％×100</w:t>
            </w:r>
          </w:p>
        </w:tc>
      </w:tr>
    </w:tbl>
    <w:p w14:paraId="280CAD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0100B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评审小组</w:t>
      </w:r>
      <w:r>
        <w:rPr>
          <w:rFonts w:asciiTheme="minorEastAsia" w:hAnsiTheme="minorEastAsia" w:eastAsiaTheme="minorEastAsia"/>
          <w:color w:val="auto"/>
          <w:sz w:val="24"/>
          <w:highlight w:val="none"/>
        </w:rPr>
        <w:t>各成员应当独立对每个有效响应的文件进行评价、打分，然后汇总每个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每项评分因素的得分，再取各位评委评分之平均值，四舍五入保留至小数点后两位数，得到该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w:t>
      </w:r>
    </w:p>
    <w:p w14:paraId="19C814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的技术资信分加上根据上述标准计算出的价格分，即为该</w:t>
      </w:r>
      <w:r>
        <w:rPr>
          <w:rFonts w:hint="eastAsia" w:asciiTheme="minorEastAsia" w:hAnsiTheme="minorEastAsia" w:eastAsiaTheme="minorEastAsia"/>
          <w:color w:val="auto"/>
          <w:sz w:val="24"/>
          <w:highlight w:val="none"/>
          <w:lang w:eastAsia="zh-CN"/>
        </w:rPr>
        <w:t>投标人</w:t>
      </w:r>
      <w:r>
        <w:rPr>
          <w:rFonts w:asciiTheme="minorEastAsia" w:hAnsiTheme="minorEastAsia" w:eastAsiaTheme="minorEastAsia"/>
          <w:color w:val="auto"/>
          <w:sz w:val="24"/>
          <w:highlight w:val="none"/>
        </w:rPr>
        <w:t>的综合总得分。</w:t>
      </w:r>
    </w:p>
    <w:p w14:paraId="1CDF8E3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三、评审程序</w:t>
      </w:r>
    </w:p>
    <w:p w14:paraId="021594E8">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rPr>
        <w:t>初审。</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对成功解密的投标文件按照</w:t>
      </w:r>
      <w:r>
        <w:rPr>
          <w:rFonts w:hint="eastAsia" w:asciiTheme="minorEastAsia" w:hAnsiTheme="minorEastAsia" w:eastAsiaTheme="minorEastAsia"/>
          <w:b w:val="0"/>
          <w:bCs/>
          <w:color w:val="auto"/>
          <w:sz w:val="24"/>
          <w:highlight w:val="none"/>
        </w:rPr>
        <w:t>初审表</w:t>
      </w:r>
      <w:r>
        <w:rPr>
          <w:rFonts w:hint="eastAsia" w:asciiTheme="minorEastAsia" w:hAnsiTheme="minorEastAsia" w:eastAsiaTheme="minorEastAsia"/>
          <w:b w:val="0"/>
          <w:bCs/>
          <w:color w:val="auto"/>
          <w:sz w:val="24"/>
          <w:highlight w:val="none"/>
          <w:lang w:val="en-US" w:eastAsia="zh-CN"/>
        </w:rPr>
        <w:t>进行评审，</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未实质性响应磋商文件要求导致</w:t>
      </w:r>
      <w:r>
        <w:rPr>
          <w:rFonts w:hint="eastAsia" w:asciiTheme="minorEastAsia" w:hAnsiTheme="minorEastAsia" w:eastAsiaTheme="minorEastAsia"/>
          <w:b w:val="0"/>
          <w:bCs/>
          <w:color w:val="auto"/>
          <w:sz w:val="24"/>
          <w:highlight w:val="none"/>
          <w:lang w:eastAsia="zh-CN"/>
        </w:rPr>
        <w:t>投</w:t>
      </w:r>
      <w:r>
        <w:rPr>
          <w:rFonts w:hint="eastAsia" w:asciiTheme="minorEastAsia" w:hAnsiTheme="minorEastAsia" w:eastAsiaTheme="minorEastAsia"/>
          <w:b w:val="0"/>
          <w:bCs/>
          <w:color w:val="auto"/>
          <w:sz w:val="24"/>
          <w:highlight w:val="none"/>
          <w:lang w:eastAsia="zh-CN"/>
        </w:rPr>
        <w:t>标无效</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将以询标的方式告知有关</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w:t>
      </w:r>
    </w:p>
    <w:p w14:paraId="1AF37AC1">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rPr>
        <w:t>磋商。初审合格后，</w:t>
      </w:r>
      <w:r>
        <w:rPr>
          <w:rFonts w:hint="eastAsia" w:asciiTheme="minorEastAsia" w:hAnsiTheme="minorEastAsia" w:eastAsiaTheme="minorEastAsia"/>
          <w:b w:val="0"/>
          <w:bCs/>
          <w:color w:val="auto"/>
          <w:sz w:val="24"/>
          <w:highlight w:val="none"/>
          <w:lang w:val="en-US" w:eastAsia="zh-CN"/>
        </w:rPr>
        <w:t>本项目磋商条件如有变化，</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lang w:val="en-US" w:eastAsia="zh-CN"/>
        </w:rPr>
        <w:t>对初审合格的投标人</w:t>
      </w:r>
      <w:r>
        <w:rPr>
          <w:rFonts w:hint="eastAsia" w:asciiTheme="minorEastAsia" w:hAnsiTheme="minorEastAsia" w:eastAsiaTheme="minorEastAsia"/>
          <w:b w:val="0"/>
          <w:bCs/>
          <w:color w:val="auto"/>
          <w:sz w:val="24"/>
          <w:highlight w:val="none"/>
        </w:rPr>
        <w:t>进行磋商</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本项目磋商条件如无变化</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直接进入报价环节。</w:t>
      </w:r>
    </w:p>
    <w:p w14:paraId="6FF1536E">
      <w:pPr>
        <w:spacing w:line="360" w:lineRule="auto"/>
        <w:ind w:firstLine="435"/>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报价</w:t>
      </w:r>
      <w:r>
        <w:rPr>
          <w:rFonts w:hint="eastAsia" w:asciiTheme="minorEastAsia" w:hAnsiTheme="minorEastAsia" w:eastAsiaTheme="minorEastAsia"/>
          <w:b w:val="0"/>
          <w:bCs/>
          <w:color w:val="auto"/>
          <w:sz w:val="24"/>
          <w:highlight w:val="none"/>
        </w:rPr>
        <w:t>。</w:t>
      </w:r>
      <w:r>
        <w:rPr>
          <w:rFonts w:asciiTheme="minorEastAsia" w:hAnsiTheme="minorEastAsia" w:eastAsiaTheme="minorEastAsia"/>
          <w:b w:val="0"/>
          <w:bCs/>
          <w:color w:val="auto"/>
          <w:sz w:val="24"/>
          <w:highlight w:val="none"/>
        </w:rPr>
        <w:t>磋商结束后，</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应当要求所有</w:t>
      </w:r>
      <w:r>
        <w:rPr>
          <w:rFonts w:hint="eastAsia" w:asciiTheme="minorEastAsia" w:hAnsiTheme="minorEastAsia" w:eastAsiaTheme="minorEastAsia"/>
          <w:b w:val="0"/>
          <w:bCs/>
          <w:color w:val="auto"/>
          <w:sz w:val="24"/>
          <w:highlight w:val="none"/>
        </w:rPr>
        <w:t>实质性响应</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eastAsia="zh-CN"/>
        </w:rPr>
        <w:t>最终投标报价</w:t>
      </w:r>
      <w:r>
        <w:rPr>
          <w:rFonts w:hint="eastAsia"/>
          <w:b w:val="0"/>
          <w:bCs/>
          <w:color w:val="auto"/>
          <w:sz w:val="24"/>
          <w:highlight w:val="none"/>
        </w:rPr>
        <w:t>。</w:t>
      </w:r>
      <w:r>
        <w:rPr>
          <w:rFonts w:hint="eastAsia"/>
          <w:b w:val="0"/>
          <w:bCs/>
          <w:color w:val="auto"/>
          <w:sz w:val="24"/>
          <w:highlight w:val="none"/>
          <w:lang w:val="en-US" w:eastAsia="zh-CN"/>
        </w:rPr>
        <w:t>如投标人未</w:t>
      </w:r>
      <w:r>
        <w:rPr>
          <w:rFonts w:asciiTheme="minorEastAsia" w:hAnsiTheme="minorEastAsia" w:eastAsiaTheme="minorEastAsia"/>
          <w:b w:val="0"/>
          <w:bCs/>
          <w:color w:val="auto"/>
          <w:sz w:val="24"/>
          <w:highlight w:val="none"/>
        </w:rPr>
        <w:t>在规定时间内提交</w:t>
      </w:r>
      <w:r>
        <w:rPr>
          <w:rFonts w:hint="eastAsia" w:asciiTheme="minorEastAsia" w:hAnsiTheme="minorEastAsia" w:eastAsiaTheme="minorEastAsia"/>
          <w:b w:val="0"/>
          <w:bCs/>
          <w:color w:val="auto"/>
          <w:sz w:val="24"/>
          <w:highlight w:val="none"/>
          <w:lang w:val="en-US" w:eastAsia="zh-CN"/>
        </w:rPr>
        <w:t>对应轮次</w:t>
      </w:r>
      <w:r>
        <w:rPr>
          <w:rFonts w:hint="eastAsia" w:asciiTheme="minorEastAsia" w:hAnsiTheme="minorEastAsia" w:eastAsiaTheme="minorEastAsia"/>
          <w:b w:val="0"/>
          <w:bCs/>
          <w:color w:val="auto"/>
          <w:sz w:val="24"/>
          <w:highlight w:val="none"/>
          <w:lang w:val="en-US" w:eastAsia="zh-CN"/>
        </w:rPr>
        <w:t>的报价</w:t>
      </w: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则按上一轮次报价为准。</w:t>
      </w:r>
    </w:p>
    <w:p w14:paraId="02C0043B">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4.</w:t>
      </w:r>
      <w:r>
        <w:rPr>
          <w:rFonts w:hint="eastAsia" w:asciiTheme="minorEastAsia" w:hAnsiTheme="minorEastAsia" w:eastAsiaTheme="minorEastAsia"/>
          <w:b w:val="0"/>
          <w:bCs/>
          <w:color w:val="auto"/>
          <w:sz w:val="24"/>
          <w:highlight w:val="none"/>
        </w:rPr>
        <w:t>综合评分。</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只对通过初审，实质上响应磋商文件要求的</w:t>
      </w:r>
      <w:r>
        <w:rPr>
          <w:rFonts w:hint="eastAsia" w:asciiTheme="minorEastAsia" w:hAnsiTheme="minorEastAsia" w:eastAsiaTheme="minorEastAsia"/>
          <w:b w:val="0"/>
          <w:bCs/>
          <w:color w:val="auto"/>
          <w:sz w:val="24"/>
          <w:highlight w:val="none"/>
          <w:lang w:eastAsia="zh-CN"/>
        </w:rPr>
        <w:t>投标文件</w:t>
      </w:r>
      <w:r>
        <w:rPr>
          <w:rFonts w:hint="eastAsia" w:asciiTheme="minorEastAsia" w:hAnsiTheme="minorEastAsia" w:eastAsiaTheme="minorEastAsia"/>
          <w:b w:val="0"/>
          <w:bCs/>
          <w:color w:val="auto"/>
          <w:sz w:val="24"/>
          <w:highlight w:val="none"/>
        </w:rPr>
        <w:t>进行综合评分。经磋商确定最终</w:t>
      </w:r>
      <w:r>
        <w:rPr>
          <w:rFonts w:hint="eastAsia" w:asciiTheme="minorEastAsia" w:hAnsiTheme="minorEastAsia" w:eastAsiaTheme="minorEastAsia"/>
          <w:b w:val="0"/>
          <w:bCs/>
          <w:color w:val="auto"/>
          <w:sz w:val="24"/>
          <w:highlight w:val="none"/>
          <w:lang w:eastAsia="zh-CN"/>
        </w:rPr>
        <w:t>招标需求</w:t>
      </w:r>
      <w:r>
        <w:rPr>
          <w:rFonts w:hint="eastAsia" w:asciiTheme="minorEastAsia" w:hAnsiTheme="minorEastAsia" w:eastAsiaTheme="minorEastAsia"/>
          <w:b w:val="0"/>
          <w:bCs/>
          <w:color w:val="auto"/>
          <w:sz w:val="24"/>
          <w:highlight w:val="none"/>
        </w:rPr>
        <w:t>和提交</w:t>
      </w:r>
      <w:r>
        <w:rPr>
          <w:rFonts w:hint="eastAsia" w:asciiTheme="minorEastAsia" w:hAnsiTheme="minorEastAsia" w:eastAsiaTheme="minorEastAsia"/>
          <w:b w:val="0"/>
          <w:bCs/>
          <w:color w:val="auto"/>
          <w:sz w:val="24"/>
          <w:highlight w:val="none"/>
          <w:lang w:eastAsia="zh-CN"/>
        </w:rPr>
        <w:t>最终投标报价</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后，由</w:t>
      </w:r>
      <w:r>
        <w:rPr>
          <w:rFonts w:hint="eastAsia" w:asciiTheme="minorEastAsia" w:hAnsiTheme="minorEastAsia" w:eastAsiaTheme="minorEastAsia"/>
          <w:b w:val="0"/>
          <w:bCs/>
          <w:color w:val="auto"/>
          <w:sz w:val="24"/>
          <w:highlight w:val="none"/>
          <w:lang w:eastAsia="zh-CN"/>
        </w:rPr>
        <w:t>评审小组</w:t>
      </w:r>
      <w:r>
        <w:rPr>
          <w:rFonts w:hint="eastAsia" w:asciiTheme="minorEastAsia" w:hAnsiTheme="minorEastAsia" w:eastAsiaTheme="minorEastAsia"/>
          <w:b w:val="0"/>
          <w:bCs/>
          <w:color w:val="auto"/>
          <w:sz w:val="24"/>
          <w:highlight w:val="none"/>
        </w:rPr>
        <w:t>采用综合评分法对</w:t>
      </w:r>
      <w:r>
        <w:rPr>
          <w:rFonts w:hint="eastAsia" w:asciiTheme="minorEastAsia" w:hAnsiTheme="minorEastAsia" w:eastAsiaTheme="minorEastAsia"/>
          <w:b w:val="0"/>
          <w:bCs/>
          <w:color w:val="auto"/>
          <w:sz w:val="24"/>
          <w:highlight w:val="none"/>
          <w:lang w:val="en-US" w:eastAsia="zh-CN"/>
        </w:rPr>
        <w:t>初审通过</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投标文件</w:t>
      </w:r>
      <w:r>
        <w:rPr>
          <w:rFonts w:hint="eastAsia" w:asciiTheme="minorEastAsia" w:hAnsiTheme="minorEastAsia" w:eastAsiaTheme="minorEastAsia"/>
          <w:b w:val="0"/>
          <w:bCs/>
          <w:color w:val="auto"/>
          <w:sz w:val="24"/>
          <w:highlight w:val="none"/>
        </w:rPr>
        <w:t>和</w:t>
      </w:r>
      <w:r>
        <w:rPr>
          <w:rFonts w:hint="eastAsia" w:asciiTheme="minorEastAsia" w:hAnsiTheme="minorEastAsia" w:eastAsiaTheme="minorEastAsia"/>
          <w:b w:val="0"/>
          <w:bCs/>
          <w:color w:val="auto"/>
          <w:sz w:val="24"/>
          <w:highlight w:val="none"/>
          <w:lang w:eastAsia="zh-CN"/>
        </w:rPr>
        <w:t>最终投标报价</w:t>
      </w:r>
      <w:r>
        <w:rPr>
          <w:rFonts w:hint="eastAsia" w:asciiTheme="minorEastAsia" w:hAnsiTheme="minorEastAsia" w:eastAsiaTheme="minorEastAsia"/>
          <w:b w:val="0"/>
          <w:bCs/>
          <w:color w:val="auto"/>
          <w:sz w:val="24"/>
          <w:highlight w:val="none"/>
        </w:rPr>
        <w:t>进行综合评分。</w:t>
      </w:r>
    </w:p>
    <w:p w14:paraId="528110F8">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四、</w:t>
      </w:r>
      <w:r>
        <w:rPr>
          <w:rFonts w:hint="eastAsia" w:asciiTheme="minorEastAsia" w:hAnsiTheme="minorEastAsia" w:eastAsiaTheme="minorEastAsia"/>
          <w:b w:val="0"/>
          <w:bCs/>
          <w:color w:val="auto"/>
          <w:sz w:val="24"/>
          <w:highlight w:val="none"/>
        </w:rPr>
        <w:t>相关说明。</w:t>
      </w:r>
    </w:p>
    <w:p w14:paraId="35731B77">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1.</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根据与</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磋商情况可能实质性变动</w:t>
      </w:r>
      <w:r>
        <w:rPr>
          <w:rFonts w:hint="eastAsia" w:asciiTheme="minorEastAsia" w:hAnsiTheme="minorEastAsia" w:eastAsiaTheme="minorEastAsia"/>
          <w:b w:val="0"/>
          <w:bCs/>
          <w:color w:val="auto"/>
          <w:sz w:val="24"/>
          <w:highlight w:val="none"/>
        </w:rPr>
        <w:t>磋商文件</w:t>
      </w:r>
      <w:r>
        <w:rPr>
          <w:rFonts w:asciiTheme="minorEastAsia" w:hAnsiTheme="minorEastAsia" w:eastAsiaTheme="minorEastAsia"/>
          <w:b w:val="0"/>
          <w:bCs/>
          <w:color w:val="auto"/>
          <w:sz w:val="24"/>
          <w:highlight w:val="none"/>
        </w:rPr>
        <w:t>的内容，包括</w:t>
      </w:r>
      <w:r>
        <w:rPr>
          <w:rFonts w:hint="eastAsia" w:asciiTheme="minorEastAsia" w:hAnsiTheme="minorEastAsia" w:eastAsiaTheme="minorEastAsia"/>
          <w:b w:val="0"/>
          <w:bCs/>
          <w:color w:val="auto"/>
          <w:sz w:val="24"/>
          <w:highlight w:val="none"/>
          <w:lang w:eastAsia="zh-CN"/>
        </w:rPr>
        <w:t>招标需求</w:t>
      </w:r>
      <w:r>
        <w:rPr>
          <w:rFonts w:asciiTheme="minorEastAsia" w:hAnsiTheme="minorEastAsia" w:eastAsiaTheme="minorEastAsia"/>
          <w:b w:val="0"/>
          <w:bCs/>
          <w:color w:val="auto"/>
          <w:sz w:val="24"/>
          <w:highlight w:val="none"/>
        </w:rPr>
        <w:t>中的技术、服务要求以及合同草案条款。磋商文件有实质性变动的，</w:t>
      </w:r>
      <w:r>
        <w:rPr>
          <w:rFonts w:hint="eastAsia" w:asciiTheme="minorEastAsia" w:hAnsiTheme="minorEastAsia" w:eastAsiaTheme="minorEastAsia"/>
          <w:b w:val="0"/>
          <w:bCs/>
          <w:color w:val="auto"/>
          <w:sz w:val="24"/>
          <w:highlight w:val="none"/>
        </w:rPr>
        <w:t>经</w:t>
      </w:r>
      <w:r>
        <w:rPr>
          <w:rFonts w:hint="eastAsia" w:asciiTheme="minorEastAsia" w:hAnsiTheme="minorEastAsia" w:eastAsiaTheme="minorEastAsia"/>
          <w:b w:val="0"/>
          <w:bCs/>
          <w:color w:val="auto"/>
          <w:sz w:val="24"/>
          <w:highlight w:val="none"/>
          <w:lang w:eastAsia="zh-CN"/>
        </w:rPr>
        <w:t>招标人</w:t>
      </w:r>
      <w:r>
        <w:rPr>
          <w:rFonts w:hint="eastAsia" w:asciiTheme="minorEastAsia" w:hAnsiTheme="minorEastAsia" w:eastAsiaTheme="minorEastAsia"/>
          <w:b w:val="0"/>
          <w:bCs/>
          <w:color w:val="auto"/>
          <w:sz w:val="24"/>
          <w:highlight w:val="none"/>
        </w:rPr>
        <w:t>代表确认作为磋商文件的有效组成部分，</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通知所有参加磋商的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w:t>
      </w:r>
    </w:p>
    <w:p w14:paraId="1A223A71">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2.</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发现</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的报价或者某些分项报价明显低于其他通过初审的</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的报价，有可能影响产品质量和不能诚信履约的，应当要求其在合理的时间内</w:t>
      </w:r>
      <w:r>
        <w:rPr>
          <w:rFonts w:hint="eastAsia" w:asciiTheme="minorEastAsia" w:hAnsiTheme="minorEastAsia" w:eastAsiaTheme="minorEastAsia"/>
          <w:b w:val="0"/>
          <w:bCs/>
          <w:color w:val="auto"/>
          <w:sz w:val="24"/>
          <w:highlight w:val="none"/>
          <w:lang w:val="en-US" w:eastAsia="zh-CN"/>
        </w:rPr>
        <w:t>按要求</w:t>
      </w:r>
      <w:r>
        <w:rPr>
          <w:rFonts w:asciiTheme="minorEastAsia" w:hAnsiTheme="minorEastAsia" w:eastAsiaTheme="minorEastAsia"/>
          <w:b w:val="0"/>
          <w:bCs/>
          <w:color w:val="auto"/>
          <w:sz w:val="24"/>
          <w:highlight w:val="none"/>
        </w:rPr>
        <w:t>提供说明，必要时提交相关证明材料；</w:t>
      </w:r>
      <w:r>
        <w:rPr>
          <w:rFonts w:hint="eastAsia" w:asciiTheme="minorEastAsia" w:hAnsiTheme="minorEastAsia" w:eastAsiaTheme="minorEastAsia"/>
          <w:b w:val="0"/>
          <w:bCs/>
          <w:color w:val="auto"/>
          <w:sz w:val="24"/>
          <w:highlight w:val="none"/>
          <w:lang w:eastAsia="zh-CN"/>
        </w:rPr>
        <w:t>投标人</w:t>
      </w:r>
      <w:r>
        <w:rPr>
          <w:rFonts w:asciiTheme="minorEastAsia" w:hAnsiTheme="minorEastAsia" w:eastAsiaTheme="minorEastAsia"/>
          <w:b w:val="0"/>
          <w:bCs/>
          <w:color w:val="auto"/>
          <w:sz w:val="24"/>
          <w:highlight w:val="none"/>
        </w:rPr>
        <w:t>不能证明其报价合理性的，其</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将被认定为</w:t>
      </w:r>
      <w:r>
        <w:rPr>
          <w:rFonts w:hint="eastAsia" w:asciiTheme="minorEastAsia" w:hAnsiTheme="minorEastAsia" w:eastAsiaTheme="minorEastAsia"/>
          <w:b w:val="0"/>
          <w:bCs/>
          <w:color w:val="auto"/>
          <w:sz w:val="24"/>
          <w:highlight w:val="none"/>
          <w:lang w:eastAsia="zh-CN"/>
        </w:rPr>
        <w:t>投标无效</w:t>
      </w:r>
      <w:r>
        <w:rPr>
          <w:rFonts w:asciiTheme="minorEastAsia" w:hAnsiTheme="minorEastAsia" w:eastAsiaTheme="minorEastAsia"/>
          <w:b w:val="0"/>
          <w:bCs/>
          <w:color w:val="auto"/>
          <w:sz w:val="24"/>
          <w:highlight w:val="none"/>
        </w:rPr>
        <w:t>。</w:t>
      </w:r>
    </w:p>
    <w:p w14:paraId="4B1F2BBB">
      <w:pPr>
        <w:spacing w:line="360" w:lineRule="auto"/>
        <w:ind w:firstLine="435"/>
        <w:rPr>
          <w:rFonts w:asciiTheme="minorEastAsia" w:hAnsiTheme="minorEastAsia" w:eastAsiaTheme="minorEastAsia"/>
          <w:b w:val="0"/>
          <w:bCs/>
          <w:color w:val="auto"/>
          <w:sz w:val="24"/>
          <w:highlight w:val="none"/>
        </w:rPr>
      </w:pPr>
      <w:r>
        <w:rPr>
          <w:rFonts w:hint="eastAsia" w:asciiTheme="minorEastAsia" w:hAnsiTheme="minorEastAsia" w:eastAsiaTheme="minorEastAsia"/>
          <w:b w:val="0"/>
          <w:bCs/>
          <w:color w:val="auto"/>
          <w:sz w:val="24"/>
          <w:highlight w:val="none"/>
          <w:lang w:val="en-US" w:eastAsia="zh-CN"/>
        </w:rPr>
        <w:t>3.</w:t>
      </w:r>
      <w:r>
        <w:rPr>
          <w:rFonts w:asciiTheme="minorEastAsia" w:hAnsiTheme="minorEastAsia" w:eastAsiaTheme="minorEastAsia"/>
          <w:b w:val="0"/>
          <w:bCs/>
          <w:color w:val="auto"/>
          <w:sz w:val="24"/>
          <w:highlight w:val="none"/>
        </w:rPr>
        <w:t>无论何种原因，即使</w:t>
      </w:r>
      <w:r>
        <w:rPr>
          <w:rFonts w:hint="eastAsia" w:asciiTheme="minorEastAsia" w:hAnsiTheme="minorEastAsia" w:eastAsiaTheme="minorEastAsia"/>
          <w:b w:val="0"/>
          <w:bCs/>
          <w:color w:val="auto"/>
          <w:sz w:val="24"/>
          <w:highlight w:val="none"/>
          <w:lang w:eastAsia="zh-CN"/>
        </w:rPr>
        <w:t>投标人</w:t>
      </w:r>
      <w:r>
        <w:rPr>
          <w:rFonts w:hint="eastAsia" w:asciiTheme="minorEastAsia" w:hAnsiTheme="minorEastAsia" w:eastAsiaTheme="minorEastAsia"/>
          <w:b w:val="0"/>
          <w:bCs/>
          <w:color w:val="auto"/>
          <w:sz w:val="24"/>
          <w:highlight w:val="none"/>
        </w:rPr>
        <w:t>磋商</w:t>
      </w:r>
      <w:r>
        <w:rPr>
          <w:rFonts w:asciiTheme="minorEastAsia" w:hAnsiTheme="minorEastAsia" w:eastAsiaTheme="minorEastAsia"/>
          <w:b w:val="0"/>
          <w:bCs/>
          <w:color w:val="auto"/>
          <w:sz w:val="24"/>
          <w:highlight w:val="none"/>
        </w:rPr>
        <w:t>时携带了证书材料的原件，但</w:t>
      </w:r>
      <w:r>
        <w:rPr>
          <w:rFonts w:hint="eastAsia" w:asciiTheme="minorEastAsia" w:hAnsiTheme="minorEastAsia" w:eastAsiaTheme="minorEastAsia"/>
          <w:b w:val="0"/>
          <w:bCs/>
          <w:color w:val="auto"/>
          <w:sz w:val="24"/>
          <w:highlight w:val="none"/>
          <w:lang w:eastAsia="zh-CN"/>
        </w:rPr>
        <w:t>投标文件</w:t>
      </w:r>
      <w:r>
        <w:rPr>
          <w:rFonts w:asciiTheme="minorEastAsia" w:hAnsiTheme="minorEastAsia" w:eastAsiaTheme="minorEastAsia"/>
          <w:b w:val="0"/>
          <w:bCs/>
          <w:color w:val="auto"/>
          <w:sz w:val="24"/>
          <w:highlight w:val="none"/>
        </w:rPr>
        <w:t>中未提供与之内容完全一致的</w:t>
      </w:r>
      <w:r>
        <w:rPr>
          <w:rFonts w:hint="eastAsia" w:asciiTheme="minorEastAsia" w:hAnsiTheme="minorEastAsia" w:eastAsiaTheme="minorEastAsia"/>
          <w:b w:val="0"/>
          <w:bCs/>
          <w:color w:val="auto"/>
          <w:sz w:val="24"/>
          <w:highlight w:val="none"/>
        </w:rPr>
        <w:t>扫描件</w:t>
      </w:r>
      <w:r>
        <w:rPr>
          <w:rFonts w:asciiTheme="minorEastAsia" w:hAnsiTheme="minorEastAsia" w:eastAsiaTheme="minorEastAsia"/>
          <w:b w:val="0"/>
          <w:bCs/>
          <w:color w:val="auto"/>
          <w:sz w:val="24"/>
          <w:highlight w:val="none"/>
        </w:rPr>
        <w:t>的，</w:t>
      </w:r>
      <w:r>
        <w:rPr>
          <w:rFonts w:hint="eastAsia" w:asciiTheme="minorEastAsia" w:hAnsiTheme="minorEastAsia" w:eastAsiaTheme="minorEastAsia"/>
          <w:b w:val="0"/>
          <w:bCs/>
          <w:color w:val="auto"/>
          <w:sz w:val="24"/>
          <w:highlight w:val="none"/>
          <w:lang w:eastAsia="zh-CN"/>
        </w:rPr>
        <w:t>评审小组</w:t>
      </w:r>
      <w:r>
        <w:rPr>
          <w:rFonts w:asciiTheme="minorEastAsia" w:hAnsiTheme="minorEastAsia" w:eastAsiaTheme="minorEastAsia"/>
          <w:b w:val="0"/>
          <w:bCs/>
          <w:color w:val="auto"/>
          <w:sz w:val="24"/>
          <w:highlight w:val="none"/>
        </w:rPr>
        <w:t>可以视同其未提供。</w:t>
      </w:r>
    </w:p>
    <w:p w14:paraId="30DA4985">
      <w:pPr>
        <w:pStyle w:val="4"/>
        <w:rPr>
          <w:color w:val="auto"/>
          <w:highlight w:val="none"/>
        </w:rPr>
      </w:pPr>
    </w:p>
    <w:p w14:paraId="4C24E1A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61AA34D">
      <w:pPr>
        <w:pStyle w:val="3"/>
        <w:numPr>
          <w:ilvl w:val="0"/>
          <w:numId w:val="5"/>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r>
        <w:rPr>
          <w:rFonts w:hint="eastAsia" w:asciiTheme="minorEastAsia" w:hAnsiTheme="minorEastAsia" w:eastAsiaTheme="minorEastAsia"/>
          <w:b/>
          <w:color w:val="auto"/>
          <w:sz w:val="28"/>
          <w:highlight w:val="none"/>
        </w:rPr>
        <w:t xml:space="preserve"> </w:t>
      </w:r>
      <w:bookmarkStart w:id="25" w:name="_Toc25523"/>
      <w:r>
        <w:rPr>
          <w:rFonts w:ascii="Times New Roman" w:hAnsi="Times New Roman" w:eastAsia="宋体"/>
          <w:caps w:val="0"/>
          <w:smallCaps w:val="0"/>
          <w:color w:val="auto"/>
          <w:highlight w:val="none"/>
        </w:rPr>
        <w:t>合同</w:t>
      </w:r>
      <w:bookmarkEnd w:id="25"/>
    </w:p>
    <w:p w14:paraId="64A69017">
      <w:pPr>
        <w:jc w:val="center"/>
        <w:rPr>
          <w:rFonts w:hint="eastAsia" w:ascii="宋体" w:hAnsi="宋体" w:eastAsia="宋体"/>
          <w:color w:val="auto"/>
          <w:highlight w:val="none"/>
          <w:lang w:eastAsia="zh-CN"/>
        </w:rPr>
      </w:pPr>
      <w:r>
        <w:rPr>
          <w:rFonts w:hint="eastAsia" w:ascii="宋体" w:hAnsi="宋体" w:eastAsia="宋体" w:cs="宋体"/>
          <w:b/>
          <w:color w:val="auto"/>
          <w:kern w:val="0"/>
          <w:sz w:val="28"/>
          <w:szCs w:val="28"/>
          <w:highlight w:val="none"/>
        </w:rPr>
        <w:t>安徽百大</w:t>
      </w:r>
      <w:r>
        <w:rPr>
          <w:rFonts w:hint="eastAsia" w:ascii="宋体" w:hAnsi="宋体" w:eastAsia="宋体" w:cs="宋体"/>
          <w:b/>
          <w:color w:val="auto"/>
          <w:kern w:val="0"/>
          <w:sz w:val="28"/>
          <w:szCs w:val="28"/>
          <w:highlight w:val="none"/>
          <w:lang w:val="en-US" w:eastAsia="zh-CN"/>
        </w:rPr>
        <w:t>检测技术有限公司农残检测相关设备</w:t>
      </w:r>
      <w:r>
        <w:rPr>
          <w:rFonts w:hint="eastAsia" w:ascii="宋体" w:hAnsi="宋体" w:eastAsia="宋体" w:cs="宋体"/>
          <w:b/>
          <w:color w:val="auto"/>
          <w:kern w:val="0"/>
          <w:sz w:val="28"/>
          <w:szCs w:val="28"/>
          <w:highlight w:val="none"/>
        </w:rPr>
        <w:t>采购合同</w:t>
      </w:r>
    </w:p>
    <w:p w14:paraId="173AF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招标人（甲方）：</w:t>
      </w:r>
      <w:r>
        <w:rPr>
          <w:rFonts w:hint="eastAsia" w:ascii="宋体" w:hAnsi="宋体" w:eastAsia="宋体" w:cs="宋体"/>
          <w:color w:val="auto"/>
          <w:sz w:val="24"/>
          <w:szCs w:val="24"/>
          <w:highlight w:val="none"/>
          <w:u w:val="single"/>
        </w:rPr>
        <w:t xml:space="preserve">   安徽百大检测技术有限公司   </w:t>
      </w:r>
      <w:r>
        <w:rPr>
          <w:rFonts w:hint="eastAsia" w:ascii="宋体" w:hAnsi="宋体" w:eastAsia="宋体" w:cs="宋体"/>
          <w:color w:val="auto"/>
          <w:sz w:val="24"/>
          <w:szCs w:val="24"/>
          <w:highlight w:val="none"/>
        </w:rPr>
        <w:t xml:space="preserve">  </w:t>
      </w:r>
    </w:p>
    <w:p w14:paraId="0DF031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5575F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lang w:val="en-US" w:eastAsia="zh-CN"/>
        </w:rPr>
        <w:t xml:space="preserve">________  </w:t>
      </w:r>
    </w:p>
    <w:p w14:paraId="13F85E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百大检测公司农残检测相关设备采购项目  </w:t>
      </w:r>
      <w:r>
        <w:rPr>
          <w:rFonts w:hint="eastAsia" w:ascii="宋体" w:hAnsi="宋体" w:eastAsia="宋体" w:cs="宋体"/>
          <w:color w:val="auto"/>
          <w:sz w:val="24"/>
          <w:szCs w:val="24"/>
          <w:highlight w:val="none"/>
        </w:rPr>
        <w:t xml:space="preserve"> </w:t>
      </w:r>
    </w:p>
    <w:p w14:paraId="52C0C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2025HAFWN02803  </w:t>
      </w:r>
      <w:r>
        <w:rPr>
          <w:rFonts w:hint="eastAsia" w:ascii="宋体" w:hAnsi="宋体" w:eastAsia="宋体" w:cs="宋体"/>
          <w:color w:val="auto"/>
          <w:sz w:val="24"/>
          <w:szCs w:val="24"/>
          <w:highlight w:val="none"/>
        </w:rPr>
        <w:t xml:space="preserve"> </w:t>
      </w:r>
    </w:p>
    <w:p w14:paraId="37863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经本项目</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评审，决定将合同授予乙方。为进一步明确双方的责任，确保合同的顺利履行，根据《中华人民共和国民法典》之规定及安徽公共资源交易集团项目管理有限公司的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文件、中标通知书等相关资料的要求，经甲乙双方充分协商，特订立本合同，以便共同遵守。</w:t>
      </w:r>
    </w:p>
    <w:p w14:paraId="34970E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商品名称、规格、品牌等级、计量单位、单价</w:t>
      </w:r>
    </w:p>
    <w:tbl>
      <w:tblPr>
        <w:tblStyle w:val="56"/>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01"/>
        <w:gridCol w:w="2358"/>
        <w:gridCol w:w="1035"/>
        <w:gridCol w:w="990"/>
        <w:gridCol w:w="1035"/>
        <w:gridCol w:w="1200"/>
      </w:tblGrid>
      <w:tr w14:paraId="3938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74" w:type="dxa"/>
            <w:vAlign w:val="center"/>
          </w:tcPr>
          <w:p w14:paraId="229B9E24">
            <w:pPr>
              <w:widowControl w:val="0"/>
              <w:spacing w:before="0" w:beforeAutospacing="0" w:after="0" w:afterAutospacing="0" w:line="560" w:lineRule="exact"/>
              <w:jc w:val="center"/>
              <w:rPr>
                <w:rFonts w:asciiTheme="minorEastAsia" w:hAnsiTheme="minorEastAsia" w:eastAsiaTheme="minorEastAsia" w:cstheme="minorBidi"/>
                <w:b/>
                <w:bCs w:val="0"/>
                <w:color w:val="auto"/>
                <w:kern w:val="2"/>
                <w:sz w:val="24"/>
                <w:szCs w:val="20"/>
                <w:highlight w:val="none"/>
                <w:lang w:val="en-US" w:eastAsia="zh-CN" w:bidi="ar-SA"/>
              </w:rPr>
            </w:pPr>
            <w:r>
              <w:rPr>
                <w:rFonts w:hint="eastAsia" w:asciiTheme="minorEastAsia" w:hAnsiTheme="minorEastAsia" w:eastAsiaTheme="minorEastAsia" w:cstheme="minorEastAsia"/>
                <w:b/>
                <w:bCs w:val="0"/>
                <w:color w:val="auto"/>
                <w:kern w:val="2"/>
                <w:sz w:val="20"/>
                <w:szCs w:val="20"/>
                <w:highlight w:val="none"/>
                <w:lang w:val="en-US" w:eastAsia="zh-CN" w:bidi="ar-SA"/>
              </w:rPr>
              <w:t>序号</w:t>
            </w:r>
          </w:p>
        </w:tc>
        <w:tc>
          <w:tcPr>
            <w:tcW w:w="1401" w:type="dxa"/>
            <w:vAlign w:val="center"/>
          </w:tcPr>
          <w:p w14:paraId="7D807EA0">
            <w:pPr>
              <w:spacing w:line="560" w:lineRule="exact"/>
              <w:jc w:val="center"/>
              <w:rPr>
                <w:rFonts w:hint="eastAsia" w:asciiTheme="minorEastAsia" w:hAnsiTheme="minorEastAsia" w:eastAsiaTheme="minorEastAsia" w:cstheme="minorEastAsia"/>
                <w:b/>
                <w:color w:val="auto"/>
                <w:sz w:val="20"/>
                <w:szCs w:val="20"/>
                <w:highlight w:val="none"/>
              </w:rPr>
            </w:pPr>
            <w:r>
              <w:rPr>
                <w:rFonts w:hint="eastAsia" w:asciiTheme="minorEastAsia" w:hAnsiTheme="minorEastAsia" w:eastAsiaTheme="minorEastAsia" w:cstheme="minorEastAsia"/>
                <w:b/>
                <w:color w:val="auto"/>
                <w:sz w:val="20"/>
                <w:szCs w:val="20"/>
                <w:highlight w:val="none"/>
              </w:rPr>
              <w:t>产品名称</w:t>
            </w:r>
          </w:p>
          <w:p w14:paraId="578CC701">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（规格型号）</w:t>
            </w:r>
          </w:p>
        </w:tc>
        <w:tc>
          <w:tcPr>
            <w:tcW w:w="2358" w:type="dxa"/>
            <w:vAlign w:val="center"/>
          </w:tcPr>
          <w:p w14:paraId="0FBDCDF0">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技术参数</w:t>
            </w:r>
          </w:p>
        </w:tc>
        <w:tc>
          <w:tcPr>
            <w:tcW w:w="1035" w:type="dxa"/>
            <w:vAlign w:val="center"/>
          </w:tcPr>
          <w:p w14:paraId="3A475545">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单位</w:t>
            </w:r>
          </w:p>
        </w:tc>
        <w:tc>
          <w:tcPr>
            <w:tcW w:w="990" w:type="dxa"/>
            <w:vAlign w:val="center"/>
          </w:tcPr>
          <w:p w14:paraId="56B07B0D">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数量</w:t>
            </w:r>
          </w:p>
        </w:tc>
        <w:tc>
          <w:tcPr>
            <w:tcW w:w="1035" w:type="dxa"/>
            <w:vAlign w:val="center"/>
          </w:tcPr>
          <w:p w14:paraId="3AEFC958">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单价</w:t>
            </w:r>
          </w:p>
        </w:tc>
        <w:tc>
          <w:tcPr>
            <w:tcW w:w="1200" w:type="dxa"/>
            <w:vAlign w:val="center"/>
          </w:tcPr>
          <w:p w14:paraId="5D6C9062">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小计</w:t>
            </w:r>
            <w:r>
              <w:rPr>
                <w:rFonts w:hint="eastAsia" w:asciiTheme="minorEastAsia" w:hAnsiTheme="minorEastAsia" w:eastAsiaTheme="minorEastAsia" w:cstheme="minorEastAsia"/>
                <w:b/>
                <w:color w:val="auto"/>
                <w:sz w:val="20"/>
                <w:szCs w:val="20"/>
                <w:highlight w:val="none"/>
                <w:lang w:eastAsia="zh-CN"/>
              </w:rPr>
              <w:t>（</w:t>
            </w:r>
            <w:r>
              <w:rPr>
                <w:rFonts w:hint="eastAsia" w:asciiTheme="minorEastAsia" w:hAnsiTheme="minorEastAsia" w:eastAsiaTheme="minorEastAsia" w:cstheme="minorEastAsia"/>
                <w:b/>
                <w:color w:val="auto"/>
                <w:sz w:val="20"/>
                <w:szCs w:val="20"/>
                <w:highlight w:val="none"/>
                <w:lang w:val="en-US" w:eastAsia="zh-CN"/>
              </w:rPr>
              <w:t>元）</w:t>
            </w:r>
          </w:p>
        </w:tc>
      </w:tr>
      <w:tr w14:paraId="12E0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74" w:type="dxa"/>
            <w:vAlign w:val="center"/>
          </w:tcPr>
          <w:p w14:paraId="55D3262D">
            <w:pPr>
              <w:spacing w:before="0" w:line="240" w:lineRule="auto"/>
              <w:contextualSpacing/>
              <w:jc w:val="center"/>
              <w:rPr>
                <w:rFonts w:asciiTheme="minorEastAsia" w:hAnsiTheme="minorEastAsia" w:eastAsiaTheme="minorEastAsia"/>
                <w:color w:val="auto"/>
                <w:sz w:val="24"/>
                <w:highlight w:val="none"/>
              </w:rPr>
            </w:pPr>
          </w:p>
        </w:tc>
        <w:tc>
          <w:tcPr>
            <w:tcW w:w="1401" w:type="dxa"/>
            <w:vAlign w:val="center"/>
          </w:tcPr>
          <w:p w14:paraId="600E52A7">
            <w:pPr>
              <w:spacing w:before="0" w:line="240" w:lineRule="auto"/>
              <w:contextualSpacing/>
              <w:jc w:val="center"/>
              <w:rPr>
                <w:rFonts w:asciiTheme="minorEastAsia" w:hAnsiTheme="minorEastAsia" w:eastAsiaTheme="minorEastAsia"/>
                <w:color w:val="auto"/>
                <w:sz w:val="24"/>
                <w:highlight w:val="none"/>
              </w:rPr>
            </w:pPr>
          </w:p>
        </w:tc>
        <w:tc>
          <w:tcPr>
            <w:tcW w:w="2358" w:type="dxa"/>
            <w:vAlign w:val="center"/>
          </w:tcPr>
          <w:p w14:paraId="4C707B82">
            <w:pPr>
              <w:snapToGrid w:val="0"/>
              <w:spacing w:line="240" w:lineRule="exact"/>
              <w:contextualSpacing/>
              <w:jc w:val="both"/>
              <w:rPr>
                <w:rFonts w:asciiTheme="minorEastAsia" w:hAnsiTheme="minorEastAsia" w:eastAsiaTheme="minorEastAsia"/>
                <w:color w:val="auto"/>
                <w:sz w:val="24"/>
                <w:highlight w:val="none"/>
              </w:rPr>
            </w:pPr>
          </w:p>
        </w:tc>
        <w:tc>
          <w:tcPr>
            <w:tcW w:w="1035" w:type="dxa"/>
            <w:vAlign w:val="center"/>
          </w:tcPr>
          <w:p w14:paraId="23863399">
            <w:pPr>
              <w:spacing w:before="0" w:line="240" w:lineRule="auto"/>
              <w:contextualSpacing/>
              <w:jc w:val="center"/>
              <w:rPr>
                <w:rFonts w:asciiTheme="minorEastAsia" w:hAnsiTheme="minorEastAsia" w:eastAsiaTheme="minorEastAsia"/>
                <w:color w:val="auto"/>
                <w:sz w:val="24"/>
                <w:highlight w:val="none"/>
              </w:rPr>
            </w:pPr>
          </w:p>
        </w:tc>
        <w:tc>
          <w:tcPr>
            <w:tcW w:w="990" w:type="dxa"/>
            <w:vAlign w:val="center"/>
          </w:tcPr>
          <w:p w14:paraId="766B7AA3">
            <w:pPr>
              <w:spacing w:before="0" w:line="240" w:lineRule="auto"/>
              <w:contextualSpacing/>
              <w:jc w:val="center"/>
              <w:rPr>
                <w:rFonts w:asciiTheme="minorEastAsia" w:hAnsiTheme="minorEastAsia" w:eastAsiaTheme="minorEastAsia"/>
                <w:color w:val="auto"/>
                <w:sz w:val="24"/>
                <w:highlight w:val="none"/>
              </w:rPr>
            </w:pPr>
          </w:p>
        </w:tc>
        <w:tc>
          <w:tcPr>
            <w:tcW w:w="1035" w:type="dxa"/>
          </w:tcPr>
          <w:p w14:paraId="75668EDF">
            <w:pPr>
              <w:rPr>
                <w:rFonts w:asciiTheme="minorEastAsia" w:hAnsiTheme="minorEastAsia" w:eastAsiaTheme="minorEastAsia"/>
                <w:color w:val="auto"/>
                <w:sz w:val="24"/>
                <w:highlight w:val="none"/>
              </w:rPr>
            </w:pPr>
          </w:p>
        </w:tc>
        <w:tc>
          <w:tcPr>
            <w:tcW w:w="1200" w:type="dxa"/>
          </w:tcPr>
          <w:p w14:paraId="503CFED0">
            <w:pPr>
              <w:rPr>
                <w:rFonts w:asciiTheme="minorEastAsia" w:hAnsiTheme="minorEastAsia" w:eastAsiaTheme="minorEastAsia"/>
                <w:color w:val="auto"/>
                <w:sz w:val="24"/>
                <w:highlight w:val="none"/>
              </w:rPr>
            </w:pPr>
          </w:p>
        </w:tc>
      </w:tr>
      <w:tr w14:paraId="3822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74" w:type="dxa"/>
            <w:vAlign w:val="center"/>
          </w:tcPr>
          <w:p w14:paraId="31F8C643">
            <w:pPr>
              <w:spacing w:before="0" w:line="240" w:lineRule="auto"/>
              <w:contextualSpacing/>
              <w:jc w:val="center"/>
              <w:rPr>
                <w:rFonts w:hint="eastAsia" w:ascii="宋体" w:hAnsi="宋体" w:eastAsia="宋体"/>
                <w:color w:val="auto"/>
                <w:sz w:val="21"/>
                <w:szCs w:val="21"/>
                <w:highlight w:val="none"/>
                <w:lang w:eastAsia="zh-CN"/>
              </w:rPr>
            </w:pPr>
          </w:p>
        </w:tc>
        <w:tc>
          <w:tcPr>
            <w:tcW w:w="1401" w:type="dxa"/>
            <w:vAlign w:val="center"/>
          </w:tcPr>
          <w:p w14:paraId="35606E9F">
            <w:pPr>
              <w:spacing w:before="0" w:line="240" w:lineRule="auto"/>
              <w:contextualSpacing/>
              <w:jc w:val="center"/>
              <w:rPr>
                <w:rFonts w:hint="eastAsia" w:ascii="宋体" w:hAnsi="宋体" w:eastAsia="宋体"/>
                <w:color w:val="auto"/>
                <w:sz w:val="21"/>
                <w:szCs w:val="21"/>
                <w:highlight w:val="none"/>
                <w:lang w:eastAsia="zh-CN"/>
              </w:rPr>
            </w:pPr>
          </w:p>
        </w:tc>
        <w:tc>
          <w:tcPr>
            <w:tcW w:w="2358" w:type="dxa"/>
            <w:vAlign w:val="center"/>
          </w:tcPr>
          <w:p w14:paraId="07863E60">
            <w:pPr>
              <w:snapToGrid w:val="0"/>
              <w:spacing w:line="240" w:lineRule="exact"/>
              <w:contextualSpacing/>
              <w:jc w:val="both"/>
              <w:rPr>
                <w:rFonts w:asciiTheme="minorEastAsia" w:hAnsiTheme="minorEastAsia" w:eastAsiaTheme="minorEastAsia"/>
                <w:color w:val="auto"/>
                <w:sz w:val="24"/>
                <w:highlight w:val="none"/>
              </w:rPr>
            </w:pPr>
          </w:p>
        </w:tc>
        <w:tc>
          <w:tcPr>
            <w:tcW w:w="1035" w:type="dxa"/>
            <w:vAlign w:val="center"/>
          </w:tcPr>
          <w:p w14:paraId="5080BA1A">
            <w:pPr>
              <w:spacing w:before="0" w:line="240" w:lineRule="auto"/>
              <w:contextualSpacing/>
              <w:jc w:val="center"/>
              <w:rPr>
                <w:rFonts w:asciiTheme="minorEastAsia" w:hAnsiTheme="minorEastAsia" w:eastAsiaTheme="minorEastAsia"/>
                <w:color w:val="auto"/>
                <w:sz w:val="24"/>
                <w:highlight w:val="none"/>
              </w:rPr>
            </w:pPr>
          </w:p>
        </w:tc>
        <w:tc>
          <w:tcPr>
            <w:tcW w:w="990" w:type="dxa"/>
            <w:vAlign w:val="center"/>
          </w:tcPr>
          <w:p w14:paraId="3C4AADC4">
            <w:pPr>
              <w:spacing w:before="0" w:line="240" w:lineRule="auto"/>
              <w:contextualSpacing/>
              <w:jc w:val="center"/>
              <w:rPr>
                <w:rFonts w:asciiTheme="minorEastAsia" w:hAnsiTheme="minorEastAsia" w:eastAsiaTheme="minorEastAsia"/>
                <w:color w:val="auto"/>
                <w:sz w:val="24"/>
                <w:highlight w:val="none"/>
              </w:rPr>
            </w:pPr>
          </w:p>
        </w:tc>
        <w:tc>
          <w:tcPr>
            <w:tcW w:w="1035" w:type="dxa"/>
          </w:tcPr>
          <w:p w14:paraId="0FBA91A4">
            <w:pPr>
              <w:rPr>
                <w:rFonts w:asciiTheme="minorEastAsia" w:hAnsiTheme="minorEastAsia" w:eastAsiaTheme="minorEastAsia"/>
                <w:color w:val="auto"/>
                <w:sz w:val="24"/>
                <w:highlight w:val="none"/>
              </w:rPr>
            </w:pPr>
          </w:p>
        </w:tc>
        <w:tc>
          <w:tcPr>
            <w:tcW w:w="1200" w:type="dxa"/>
          </w:tcPr>
          <w:p w14:paraId="11F0187F">
            <w:pPr>
              <w:rPr>
                <w:rFonts w:asciiTheme="minorEastAsia" w:hAnsiTheme="minorEastAsia" w:eastAsiaTheme="minorEastAsia"/>
                <w:color w:val="auto"/>
                <w:sz w:val="24"/>
                <w:highlight w:val="none"/>
              </w:rPr>
            </w:pPr>
          </w:p>
        </w:tc>
      </w:tr>
      <w:tr w14:paraId="06FA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74" w:type="dxa"/>
            <w:vAlign w:val="center"/>
          </w:tcPr>
          <w:p w14:paraId="1A8B8461">
            <w:pPr>
              <w:spacing w:before="0" w:line="240" w:lineRule="auto"/>
              <w:contextualSpacing/>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1401" w:type="dxa"/>
            <w:vAlign w:val="center"/>
          </w:tcPr>
          <w:p w14:paraId="395CA94B">
            <w:pPr>
              <w:spacing w:before="0" w:line="240" w:lineRule="auto"/>
              <w:contextualSpacing/>
              <w:jc w:val="center"/>
              <w:rPr>
                <w:rFonts w:hint="eastAsia" w:ascii="宋体" w:hAnsi="宋体" w:eastAsia="宋体"/>
                <w:color w:val="auto"/>
                <w:sz w:val="21"/>
                <w:szCs w:val="21"/>
                <w:highlight w:val="none"/>
                <w:lang w:eastAsia="zh-CN"/>
              </w:rPr>
            </w:pPr>
          </w:p>
        </w:tc>
        <w:tc>
          <w:tcPr>
            <w:tcW w:w="2358" w:type="dxa"/>
            <w:vAlign w:val="center"/>
          </w:tcPr>
          <w:p w14:paraId="39FB37F2">
            <w:pPr>
              <w:snapToGrid w:val="0"/>
              <w:spacing w:line="240" w:lineRule="exact"/>
              <w:contextualSpacing/>
              <w:jc w:val="both"/>
              <w:rPr>
                <w:rFonts w:asciiTheme="minorEastAsia" w:hAnsiTheme="minorEastAsia" w:eastAsiaTheme="minorEastAsia"/>
                <w:color w:val="auto"/>
                <w:sz w:val="24"/>
                <w:highlight w:val="none"/>
              </w:rPr>
            </w:pPr>
          </w:p>
        </w:tc>
        <w:tc>
          <w:tcPr>
            <w:tcW w:w="1035" w:type="dxa"/>
            <w:vAlign w:val="center"/>
          </w:tcPr>
          <w:p w14:paraId="32AF0CDC">
            <w:pPr>
              <w:spacing w:before="0" w:line="240" w:lineRule="auto"/>
              <w:contextualSpacing/>
              <w:jc w:val="center"/>
              <w:rPr>
                <w:rFonts w:asciiTheme="minorEastAsia" w:hAnsiTheme="minorEastAsia" w:eastAsiaTheme="minorEastAsia"/>
                <w:color w:val="auto"/>
                <w:sz w:val="24"/>
                <w:highlight w:val="none"/>
              </w:rPr>
            </w:pPr>
          </w:p>
        </w:tc>
        <w:tc>
          <w:tcPr>
            <w:tcW w:w="990" w:type="dxa"/>
            <w:vAlign w:val="center"/>
          </w:tcPr>
          <w:p w14:paraId="08FA18ED">
            <w:pPr>
              <w:spacing w:before="0" w:line="240" w:lineRule="auto"/>
              <w:contextualSpacing/>
              <w:jc w:val="center"/>
              <w:rPr>
                <w:rFonts w:asciiTheme="minorEastAsia" w:hAnsiTheme="minorEastAsia" w:eastAsiaTheme="minorEastAsia"/>
                <w:color w:val="auto"/>
                <w:sz w:val="24"/>
                <w:highlight w:val="none"/>
              </w:rPr>
            </w:pPr>
          </w:p>
        </w:tc>
        <w:tc>
          <w:tcPr>
            <w:tcW w:w="1035" w:type="dxa"/>
          </w:tcPr>
          <w:p w14:paraId="077F8BEC">
            <w:pPr>
              <w:rPr>
                <w:rFonts w:asciiTheme="minorEastAsia" w:hAnsiTheme="minorEastAsia" w:eastAsiaTheme="minorEastAsia"/>
                <w:color w:val="auto"/>
                <w:sz w:val="24"/>
                <w:highlight w:val="none"/>
              </w:rPr>
            </w:pPr>
          </w:p>
        </w:tc>
        <w:tc>
          <w:tcPr>
            <w:tcW w:w="1200" w:type="dxa"/>
          </w:tcPr>
          <w:p w14:paraId="33FD6267">
            <w:pPr>
              <w:rPr>
                <w:rFonts w:asciiTheme="minorEastAsia" w:hAnsiTheme="minorEastAsia" w:eastAsiaTheme="minorEastAsia"/>
                <w:color w:val="auto"/>
                <w:sz w:val="24"/>
                <w:highlight w:val="none"/>
              </w:rPr>
            </w:pPr>
          </w:p>
        </w:tc>
      </w:tr>
      <w:tr w14:paraId="7770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793" w:type="dxa"/>
            <w:gridSpan w:val="6"/>
            <w:tcBorders>
              <w:bottom w:val="single" w:color="auto" w:sz="4" w:space="0"/>
            </w:tcBorders>
            <w:vAlign w:val="center"/>
          </w:tcPr>
          <w:p w14:paraId="73495E22">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highlight w:val="none"/>
              </w:rPr>
              <w:t>合计（元）</w:t>
            </w:r>
          </w:p>
        </w:tc>
        <w:tc>
          <w:tcPr>
            <w:tcW w:w="1200" w:type="dxa"/>
          </w:tcPr>
          <w:p w14:paraId="17513378">
            <w:pPr>
              <w:rPr>
                <w:rFonts w:asciiTheme="minorEastAsia" w:hAnsiTheme="minorEastAsia" w:eastAsiaTheme="minorEastAsia"/>
                <w:color w:val="auto"/>
                <w:sz w:val="24"/>
                <w:highlight w:val="none"/>
              </w:rPr>
            </w:pPr>
          </w:p>
        </w:tc>
      </w:tr>
    </w:tbl>
    <w:p w14:paraId="10F97988">
      <w:pPr>
        <w:widowControl w:val="0"/>
        <w:wordWrap/>
        <w:adjustRightInd/>
        <w:snapToGrid/>
        <w:spacing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注：合同期内执行以上中标单价，按实结算。以上价格包括但不限于设计、制作、运输、装卸搬运、保险、税金（增值税</w:t>
      </w:r>
      <w:r>
        <w:rPr>
          <w:rFonts w:hint="eastAsia" w:ascii="宋体" w:hAnsi="宋体" w:eastAsia="宋体" w:cs="宋体"/>
          <w:b/>
          <w:bCs/>
          <w:color w:val="auto"/>
          <w:sz w:val="24"/>
          <w:szCs w:val="24"/>
          <w:highlight w:val="none"/>
          <w:lang w:val="en-US" w:eastAsia="zh-CN"/>
        </w:rPr>
        <w:t>专用</w:t>
      </w:r>
      <w:r>
        <w:rPr>
          <w:rFonts w:hint="eastAsia" w:ascii="宋体" w:hAnsi="宋体" w:eastAsia="宋体" w:cs="宋体"/>
          <w:b/>
          <w:bCs/>
          <w:color w:val="auto"/>
          <w:sz w:val="24"/>
          <w:szCs w:val="24"/>
          <w:highlight w:val="none"/>
        </w:rPr>
        <w:t>发票）等交付甲方使用前的一切费用，以及免费质保期间</w:t>
      </w:r>
      <w:r>
        <w:rPr>
          <w:rFonts w:hint="eastAsia" w:ascii="宋体" w:hAnsi="宋体" w:eastAsia="宋体" w:cs="宋体"/>
          <w:b/>
          <w:bCs/>
          <w:color w:val="auto"/>
          <w:sz w:val="24"/>
          <w:szCs w:val="24"/>
          <w:highlight w:val="none"/>
          <w:lang w:eastAsia="zh-CN"/>
        </w:rPr>
        <w:t>（一年）</w:t>
      </w:r>
      <w:r>
        <w:rPr>
          <w:rFonts w:hint="eastAsia" w:ascii="宋体" w:hAnsi="宋体" w:eastAsia="宋体" w:cs="宋体"/>
          <w:b/>
          <w:bCs/>
          <w:color w:val="auto"/>
          <w:sz w:val="24"/>
          <w:szCs w:val="24"/>
          <w:highlight w:val="none"/>
        </w:rPr>
        <w:t>的所有维保费用。任何因忽视或误解实际情况而导致的费用增加由乙方自行承担。</w:t>
      </w:r>
    </w:p>
    <w:p w14:paraId="465F5A36">
      <w:pPr>
        <w:widowControl w:val="0"/>
        <w:wordWrap/>
        <w:adjustRightInd/>
        <w:snapToGrid/>
        <w:spacing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2.合同期内，甲乙双方自行承担原材料市场价格涨跌风险，中标单价合同期内不予调整。</w:t>
      </w:r>
    </w:p>
    <w:p w14:paraId="0DBB5790">
      <w:pPr>
        <w:wordWrap/>
        <w:adjustRightInd/>
        <w:snapToGrid/>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二、交货时间、方式、地点</w:t>
      </w:r>
    </w:p>
    <w:p w14:paraId="5697A581">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1.交货方式：</w:t>
      </w:r>
      <w:r>
        <w:rPr>
          <w:rFonts w:hint="eastAsia" w:ascii="宋体" w:hAnsi="宋体" w:eastAsia="宋体" w:cs="宋体"/>
          <w:bCs/>
          <w:color w:val="auto"/>
          <w:kern w:val="0"/>
          <w:sz w:val="24"/>
          <w:szCs w:val="24"/>
          <w:highlight w:val="none"/>
        </w:rPr>
        <w:t>所有仪器设备必须送达</w:t>
      </w:r>
      <w:r>
        <w:rPr>
          <w:rFonts w:hint="eastAsia" w:ascii="宋体" w:hAnsi="宋体" w:eastAsia="宋体" w:cs="宋体"/>
          <w:color w:val="auto"/>
          <w:kern w:val="0"/>
          <w:sz w:val="24"/>
          <w:szCs w:val="24"/>
          <w:highlight w:val="none"/>
          <w:lang w:val="en-US" w:eastAsia="zh-CN"/>
        </w:rPr>
        <w:t>甲方</w:t>
      </w:r>
      <w:r>
        <w:rPr>
          <w:rFonts w:hint="eastAsia" w:ascii="宋体" w:hAnsi="宋体" w:eastAsia="宋体" w:cs="宋体"/>
          <w:bCs/>
          <w:color w:val="auto"/>
          <w:kern w:val="0"/>
          <w:sz w:val="24"/>
          <w:szCs w:val="24"/>
          <w:highlight w:val="none"/>
        </w:rPr>
        <w:t>指定地点，确认仪器设备合乎</w:t>
      </w:r>
      <w:r>
        <w:rPr>
          <w:rFonts w:hint="eastAsia" w:ascii="宋体" w:hAnsi="宋体" w:eastAsia="宋体" w:cs="宋体"/>
          <w:bCs/>
          <w:color w:val="auto"/>
          <w:kern w:val="0"/>
          <w:sz w:val="24"/>
          <w:szCs w:val="24"/>
          <w:highlight w:val="none"/>
          <w:lang w:val="en-US" w:eastAsia="zh-CN"/>
        </w:rPr>
        <w:t>磋商文件《</w:t>
      </w:r>
      <w:r>
        <w:rPr>
          <w:rFonts w:hint="eastAsia" w:cs="宋体"/>
          <w:bCs/>
          <w:color w:val="auto"/>
          <w:kern w:val="0"/>
          <w:sz w:val="24"/>
          <w:szCs w:val="24"/>
          <w:highlight w:val="none"/>
          <w:lang w:val="en-US" w:eastAsia="zh-CN"/>
        </w:rPr>
        <w:t>货物</w:t>
      </w:r>
      <w:r>
        <w:rPr>
          <w:rFonts w:hint="eastAsia" w:ascii="宋体" w:hAnsi="宋体" w:eastAsia="宋体" w:cs="宋体"/>
          <w:bCs/>
          <w:color w:val="auto"/>
          <w:kern w:val="0"/>
          <w:sz w:val="24"/>
          <w:szCs w:val="24"/>
          <w:highlight w:val="none"/>
          <w:lang w:val="en-US" w:eastAsia="zh-CN"/>
        </w:rPr>
        <w:t>需求一览表》中</w:t>
      </w:r>
      <w:r>
        <w:rPr>
          <w:rFonts w:hint="eastAsia" w:ascii="宋体" w:hAnsi="宋体" w:eastAsia="宋体" w:cs="宋体"/>
          <w:bCs/>
          <w:color w:val="auto"/>
          <w:kern w:val="0"/>
          <w:sz w:val="24"/>
          <w:szCs w:val="24"/>
          <w:highlight w:val="none"/>
        </w:rPr>
        <w:t>所列数量、质量等要求，且仪器设备安装调试后运行良好、无故障，并经甲方验收合格</w:t>
      </w:r>
      <w:r>
        <w:rPr>
          <w:rFonts w:hint="eastAsia" w:ascii="宋体" w:hAnsi="宋体" w:eastAsia="宋体" w:cs="宋体"/>
          <w:color w:val="auto"/>
          <w:sz w:val="24"/>
          <w:szCs w:val="24"/>
          <w:highlight w:val="none"/>
        </w:rPr>
        <w:t>。</w:t>
      </w:r>
    </w:p>
    <w:p w14:paraId="5832F5A6">
      <w:pPr>
        <w:wordWrap/>
        <w:adjustRightInd/>
        <w:snapToGrid/>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2.交货地点：合肥市瑶海区大兴镇和平路与钟油坊路交口百大周谷堆办公楼5楼</w:t>
      </w:r>
      <w:r>
        <w:rPr>
          <w:rFonts w:hint="eastAsia" w:ascii="宋体" w:hAnsi="宋体" w:eastAsia="宋体" w:cs="宋体"/>
          <w:color w:val="auto"/>
          <w:kern w:val="0"/>
          <w:sz w:val="24"/>
          <w:szCs w:val="24"/>
          <w:highlight w:val="none"/>
        </w:rPr>
        <w:t>。</w:t>
      </w:r>
    </w:p>
    <w:p w14:paraId="71C9561C">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3.供货期限：</w:t>
      </w:r>
      <w:r>
        <w:rPr>
          <w:rFonts w:hint="eastAsia" w:ascii="宋体" w:hAnsi="宋体" w:eastAsia="宋体"/>
          <w:color w:val="auto"/>
          <w:sz w:val="24"/>
          <w:szCs w:val="24"/>
          <w:highlight w:val="none"/>
          <w:lang w:val="en-US" w:eastAsia="zh-CN"/>
        </w:rPr>
        <w:t>合同签订后7天内中标人将仪器送至招标人指定地点，同时</w:t>
      </w:r>
      <w:r>
        <w:rPr>
          <w:rFonts w:hint="eastAsia" w:ascii="宋体" w:hAnsi="宋体" w:eastAsia="宋体"/>
          <w:color w:val="auto"/>
          <w:sz w:val="24"/>
          <w:szCs w:val="24"/>
          <w:highlight w:val="none"/>
        </w:rPr>
        <w:t>安排有经验的工程技术人员到</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现场</w:t>
      </w:r>
      <w:r>
        <w:rPr>
          <w:rFonts w:hint="eastAsia" w:ascii="宋体" w:hAnsi="宋体" w:eastAsia="宋体"/>
          <w:color w:val="auto"/>
          <w:sz w:val="24"/>
          <w:szCs w:val="24"/>
          <w:highlight w:val="none"/>
          <w:lang w:val="en-US" w:eastAsia="zh-CN"/>
        </w:rPr>
        <w:t>完成仪器</w:t>
      </w:r>
      <w:r>
        <w:rPr>
          <w:rFonts w:hint="eastAsia" w:ascii="宋体" w:hAnsi="宋体" w:eastAsia="宋体"/>
          <w:color w:val="auto"/>
          <w:sz w:val="24"/>
          <w:szCs w:val="24"/>
          <w:highlight w:val="none"/>
        </w:rPr>
        <w:t>安装、调试</w:t>
      </w:r>
      <w:r>
        <w:rPr>
          <w:rFonts w:hint="eastAsia" w:ascii="宋体" w:hAnsi="宋体" w:eastAsia="宋体" w:cs="宋体"/>
          <w:bCs/>
          <w:color w:val="auto"/>
          <w:kern w:val="0"/>
          <w:sz w:val="24"/>
          <w:szCs w:val="24"/>
          <w:highlight w:val="none"/>
          <w:lang w:val="zh-CN"/>
        </w:rPr>
        <w:t>。</w:t>
      </w:r>
      <w:r>
        <w:rPr>
          <w:rFonts w:hint="eastAsia" w:ascii="宋体" w:hAnsi="宋体" w:eastAsia="宋体" w:cs="宋体"/>
          <w:color w:val="auto"/>
          <w:sz w:val="24"/>
          <w:szCs w:val="24"/>
          <w:highlight w:val="none"/>
        </w:rPr>
        <w:t>在甲方验收合格之前，一切风险由乙方承担。</w:t>
      </w:r>
    </w:p>
    <w:p w14:paraId="329566CF">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根据订单送货，超过规定数量交货</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，甲方有权拒收</w:t>
      </w:r>
      <w:r>
        <w:rPr>
          <w:rFonts w:hint="eastAsia" w:ascii="宋体" w:hAnsi="宋体" w:eastAsia="宋体" w:cs="宋体"/>
          <w:color w:val="auto"/>
          <w:sz w:val="24"/>
          <w:szCs w:val="24"/>
          <w:highlight w:val="none"/>
          <w:lang w:val="en-US" w:eastAsia="zh-CN"/>
        </w:rPr>
        <w:t>超出部分</w:t>
      </w:r>
      <w:r>
        <w:rPr>
          <w:rFonts w:hint="eastAsia" w:ascii="宋体" w:hAnsi="宋体" w:eastAsia="宋体" w:cs="宋体"/>
          <w:color w:val="auto"/>
          <w:sz w:val="24"/>
          <w:szCs w:val="24"/>
          <w:highlight w:val="none"/>
        </w:rPr>
        <w:t>。</w:t>
      </w:r>
    </w:p>
    <w:p w14:paraId="3E61D60E">
      <w:pPr>
        <w:wordWrap/>
        <w:adjustRightInd/>
        <w:snapToGrid/>
        <w:spacing w:line="5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、合同价格、期限及质保期</w:t>
      </w:r>
    </w:p>
    <w:p w14:paraId="0DC0BB7A">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合同价款：人民币大写</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元，小写</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lang w:val="zh-CN"/>
        </w:rPr>
        <w:t>。</w:t>
      </w:r>
    </w:p>
    <w:p w14:paraId="07809791">
      <w:pPr>
        <w:tabs>
          <w:tab w:val="left" w:pos="223"/>
        </w:tabs>
        <w:wordWrap/>
        <w:adjustRightInd/>
        <w:snapToGrid/>
        <w:spacing w:line="5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.质保期：</w:t>
      </w:r>
      <w:r>
        <w:rPr>
          <w:rFonts w:hint="eastAsia" w:ascii="宋体" w:hAnsi="宋体" w:eastAsia="宋体" w:cs="宋体"/>
          <w:color w:val="auto"/>
          <w:kern w:val="0"/>
          <w:sz w:val="24"/>
          <w:szCs w:val="24"/>
          <w:highlight w:val="none"/>
        </w:rPr>
        <w:t>免费质保期一年，自该批次货到验收合格之日起算。</w:t>
      </w:r>
    </w:p>
    <w:p w14:paraId="7165C3B3">
      <w:pPr>
        <w:widowControl/>
        <w:wordWrap/>
        <w:adjustRightInd/>
        <w:snapToGrid/>
        <w:spacing w:line="560" w:lineRule="exact"/>
        <w:ind w:firstLine="480" w:firstLineChars="200"/>
        <w:jc w:val="left"/>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.乙方需在接到甲方中标通知后</w:t>
      </w:r>
      <w:r>
        <w:rPr>
          <w:rFonts w:hint="eastAsia"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rPr>
        <w:t>内缴纳</w:t>
      </w:r>
      <w:r>
        <w:rPr>
          <w:rFonts w:hint="eastAsia" w:cs="宋体"/>
          <w:bCs/>
          <w:snapToGrid w:val="0"/>
          <w:color w:val="auto"/>
          <w:sz w:val="24"/>
          <w:szCs w:val="24"/>
          <w:highlight w:val="none"/>
          <w:lang w:val="en-US" w:eastAsia="zh-CN"/>
        </w:rPr>
        <w:t>中标价的2%作为</w:t>
      </w:r>
      <w:r>
        <w:rPr>
          <w:rFonts w:hint="eastAsia" w:ascii="宋体" w:hAnsi="宋体" w:eastAsia="宋体" w:cs="宋体"/>
          <w:color w:val="auto"/>
          <w:kern w:val="0"/>
          <w:sz w:val="24"/>
          <w:szCs w:val="24"/>
          <w:highlight w:val="none"/>
        </w:rPr>
        <w:t>履约保证金</w:t>
      </w:r>
      <w:r>
        <w:rPr>
          <w:rFonts w:hint="eastAsia" w:ascii="宋体" w:hAnsi="宋体" w:eastAsia="宋体" w:cs="宋体"/>
          <w:color w:val="auto"/>
          <w:kern w:val="0"/>
          <w:sz w:val="24"/>
          <w:szCs w:val="24"/>
          <w:highlight w:val="none"/>
        </w:rPr>
        <w:t>，否则取消中标资格，乙方完成全部供货并经甲方验收合格后</w:t>
      </w:r>
      <w:r>
        <w:rPr>
          <w:rFonts w:hint="eastAsia" w:ascii="宋体" w:hAnsi="宋体" w:eastAsia="宋体" w:cs="宋体"/>
          <w:color w:val="auto"/>
          <w:kern w:val="0"/>
          <w:sz w:val="24"/>
          <w:szCs w:val="24"/>
          <w:highlight w:val="none"/>
          <w:lang w:val="en-US" w:eastAsia="zh-CN"/>
        </w:rPr>
        <w:t>7个工作日内</w:t>
      </w:r>
      <w:r>
        <w:rPr>
          <w:rFonts w:hint="eastAsia" w:ascii="宋体" w:hAnsi="宋体" w:eastAsia="宋体" w:cs="宋体"/>
          <w:color w:val="auto"/>
          <w:kern w:val="0"/>
          <w:sz w:val="24"/>
          <w:szCs w:val="24"/>
          <w:highlight w:val="none"/>
        </w:rPr>
        <w:t>退还。</w:t>
      </w:r>
    </w:p>
    <w:p w14:paraId="261307B0">
      <w:pPr>
        <w:wordWrap/>
        <w:adjustRightInd/>
        <w:snapToGrid/>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14:paraId="628BAF4B">
      <w:pPr>
        <w:keepNext w:val="0"/>
        <w:keepLines w:val="0"/>
        <w:pageBreakBefore w:val="0"/>
        <w:kinsoku/>
        <w:wordWrap/>
        <w:overflowPunct/>
        <w:topLinePunct w:val="0"/>
        <w:bidi w:val="0"/>
        <w:adjustRightInd/>
        <w:snapToGrid/>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1.货物送到甲方指定地点</w:t>
      </w:r>
      <w:r>
        <w:rPr>
          <w:rFonts w:hint="eastAsia" w:ascii="宋体" w:hAnsi="宋体" w:eastAsia="宋体" w:cs="宋体"/>
          <w:color w:val="auto"/>
          <w:kern w:val="0"/>
          <w:sz w:val="24"/>
          <w:szCs w:val="24"/>
          <w:highlight w:val="none"/>
          <w:lang w:eastAsia="zh-CN"/>
        </w:rPr>
        <w:t>安装调试完毕</w:t>
      </w:r>
      <w:r>
        <w:rPr>
          <w:rFonts w:hint="eastAsia" w:ascii="宋体" w:hAnsi="宋体" w:eastAsia="宋体" w:cs="宋体"/>
          <w:color w:val="auto"/>
          <w:kern w:val="0"/>
          <w:sz w:val="24"/>
          <w:szCs w:val="24"/>
          <w:highlight w:val="none"/>
        </w:rPr>
        <w:t>并经甲方验收合格后</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日内付至该批次货款的90%，10%余款待质保期满无质量问题后付清。</w:t>
      </w:r>
    </w:p>
    <w:p w14:paraId="00FC8314">
      <w:pPr>
        <w:keepNext w:val="0"/>
        <w:keepLines w:val="0"/>
        <w:pageBreakBefore w:val="0"/>
        <w:kinsoku/>
        <w:wordWrap/>
        <w:overflowPunct/>
        <w:topLinePunct w:val="0"/>
        <w:bidi w:val="0"/>
        <w:adjustRightInd/>
        <w:snapToGrid/>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乙方于</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付款前向甲方开具交付符合法律规定的等额增值税</w:t>
      </w:r>
      <w:r>
        <w:rPr>
          <w:rFonts w:hint="eastAsia" w:ascii="宋体" w:hAnsi="宋体" w:eastAsia="宋体" w:cs="宋体"/>
          <w:bCs/>
          <w:color w:val="auto"/>
          <w:sz w:val="24"/>
          <w:szCs w:val="24"/>
          <w:highlight w:val="none"/>
          <w:lang w:val="en-US" w:eastAsia="zh-CN"/>
        </w:rPr>
        <w:t>专用</w:t>
      </w:r>
      <w:r>
        <w:rPr>
          <w:rFonts w:hint="eastAsia" w:ascii="宋体" w:hAnsi="宋体" w:eastAsia="宋体" w:cs="宋体"/>
          <w:bCs/>
          <w:color w:val="auto"/>
          <w:sz w:val="24"/>
          <w:szCs w:val="24"/>
          <w:highlight w:val="none"/>
        </w:rPr>
        <w:t>发票，如乙方</w:t>
      </w:r>
      <w:r>
        <w:rPr>
          <w:rFonts w:hint="eastAsia" w:ascii="宋体" w:hAnsi="宋体" w:eastAsia="宋体" w:cs="宋体"/>
          <w:bCs/>
          <w:color w:val="auto"/>
          <w:sz w:val="24"/>
          <w:szCs w:val="24"/>
          <w:highlight w:val="none"/>
          <w:lang w:eastAsia="zh-CN"/>
        </w:rPr>
        <w:t>未能</w:t>
      </w:r>
      <w:r>
        <w:rPr>
          <w:rFonts w:hint="eastAsia" w:ascii="宋体" w:hAnsi="宋体" w:eastAsia="宋体" w:cs="宋体"/>
          <w:bCs/>
          <w:color w:val="auto"/>
          <w:sz w:val="24"/>
          <w:szCs w:val="24"/>
          <w:highlight w:val="none"/>
        </w:rPr>
        <w:t>交付</w:t>
      </w:r>
      <w:r>
        <w:rPr>
          <w:rFonts w:hint="eastAsia" w:ascii="宋体" w:hAnsi="宋体" w:eastAsia="宋体" w:cs="宋体"/>
          <w:bCs/>
          <w:color w:val="auto"/>
          <w:sz w:val="24"/>
          <w:szCs w:val="24"/>
          <w:highlight w:val="none"/>
          <w:lang w:eastAsia="zh-CN"/>
        </w:rPr>
        <w:t>合格</w:t>
      </w:r>
      <w:r>
        <w:rPr>
          <w:rFonts w:hint="eastAsia" w:ascii="宋体" w:hAnsi="宋体" w:eastAsia="宋体" w:cs="宋体"/>
          <w:bCs/>
          <w:color w:val="auto"/>
          <w:sz w:val="24"/>
          <w:szCs w:val="24"/>
          <w:highlight w:val="none"/>
        </w:rPr>
        <w:t>发票的，则甲方</w:t>
      </w:r>
      <w:r>
        <w:rPr>
          <w:rFonts w:hint="eastAsia" w:ascii="宋体" w:hAnsi="宋体" w:eastAsia="宋体" w:cs="宋体"/>
          <w:color w:val="auto"/>
          <w:sz w:val="24"/>
          <w:szCs w:val="24"/>
          <w:highlight w:val="none"/>
        </w:rPr>
        <w:t>付款义务相应顺延，且不视为甲方违约。</w:t>
      </w:r>
    </w:p>
    <w:p w14:paraId="6DF2E217">
      <w:pPr>
        <w:widowControl/>
        <w:wordWrap/>
        <w:autoSpaceDE w:val="0"/>
        <w:autoSpaceDN w:val="0"/>
        <w:adjustRightInd/>
        <w:snapToGrid/>
        <w:spacing w:line="560" w:lineRule="exact"/>
        <w:ind w:firstLine="482" w:firstLineChars="200"/>
        <w:textAlignment w:val="bottom"/>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3.甲方开票信息</w:t>
      </w:r>
    </w:p>
    <w:p w14:paraId="19CDD8FF">
      <w:pPr>
        <w:wordWrap/>
        <w:adjustRightInd/>
        <w:snapToGrid/>
        <w:spacing w:line="56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企业名称：</w:t>
      </w:r>
      <w:r>
        <w:rPr>
          <w:rFonts w:hint="eastAsia" w:ascii="宋体" w:hAnsi="宋体" w:eastAsia="宋体" w:cs="宋体"/>
          <w:bCs/>
          <w:color w:val="auto"/>
          <w:sz w:val="24"/>
          <w:szCs w:val="24"/>
          <w:highlight w:val="none"/>
          <w:lang w:val="en-US" w:eastAsia="zh-CN"/>
        </w:rPr>
        <w:t>安徽百大检测技术有限公司</w:t>
      </w:r>
    </w:p>
    <w:p w14:paraId="0DED2B2C">
      <w:pPr>
        <w:wordWrap/>
        <w:adjustRightInd/>
        <w:snapToGrid/>
        <w:spacing w:line="5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纳税人识别号：913401003439168709</w:t>
      </w:r>
    </w:p>
    <w:p w14:paraId="38F9108C">
      <w:pPr>
        <w:wordWrap/>
        <w:adjustRightInd/>
        <w:snapToGrid/>
        <w:spacing w:line="5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rPr>
        <w:t>安徽省合肥市肥西县严店镇解放东路与合铜路交口</w:t>
      </w:r>
      <w:r>
        <w:rPr>
          <w:rFonts w:hint="eastAsia" w:ascii="宋体" w:hAnsi="宋体" w:eastAsia="宋体" w:cs="宋体"/>
          <w:bCs/>
          <w:color w:val="auto"/>
          <w:sz w:val="24"/>
          <w:szCs w:val="24"/>
          <w:highlight w:val="none"/>
        </w:rPr>
        <w:t xml:space="preserve"> </w:t>
      </w:r>
    </w:p>
    <w:p w14:paraId="3C2595A2">
      <w:pPr>
        <w:wordWrap/>
        <w:adjustRightInd/>
        <w:snapToGrid/>
        <w:spacing w:line="5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电话：</w:t>
      </w:r>
      <w:r>
        <w:rPr>
          <w:rFonts w:hint="eastAsia" w:ascii="宋体" w:hAnsi="宋体" w:eastAsia="宋体" w:cs="宋体"/>
          <w:bCs/>
          <w:color w:val="auto"/>
          <w:sz w:val="24"/>
          <w:szCs w:val="24"/>
          <w:highlight w:val="none"/>
        </w:rPr>
        <w:t>0551-62970029</w:t>
      </w:r>
    </w:p>
    <w:p w14:paraId="5346A28C">
      <w:pPr>
        <w:wordWrap/>
        <w:adjustRightInd/>
        <w:snapToGrid/>
        <w:spacing w:line="56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开户行及账号：341302000013000676925交通银行三孝口支行</w:t>
      </w:r>
    </w:p>
    <w:p w14:paraId="036810BF">
      <w:pPr>
        <w:wordWrap/>
        <w:adjustRightInd/>
        <w:snapToGrid/>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五、验收标准及提出异议</w:t>
      </w:r>
    </w:p>
    <w:p w14:paraId="66215A2A">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1.乙方须严格执行本项目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文件要求，必须确保检测设备等标的物质量、规格，不得擅自改变</w:t>
      </w:r>
      <w:r>
        <w:rPr>
          <w:rFonts w:hint="eastAsia" w:ascii="宋体" w:hAnsi="宋体" w:eastAsia="宋体" w:cs="宋体"/>
          <w:color w:val="auto"/>
          <w:sz w:val="24"/>
          <w:szCs w:val="24"/>
          <w:highlight w:val="none"/>
          <w:lang w:val="en-US" w:eastAsia="zh-CN"/>
        </w:rPr>
        <w:t>投标文件中标明的仪器</w:t>
      </w:r>
      <w:r>
        <w:rPr>
          <w:rFonts w:hint="eastAsia" w:ascii="宋体" w:hAnsi="宋体" w:eastAsia="宋体" w:cs="宋体"/>
          <w:color w:val="auto"/>
          <w:sz w:val="24"/>
          <w:szCs w:val="24"/>
          <w:highlight w:val="none"/>
        </w:rPr>
        <w:t>质量标准及生产厂家。</w:t>
      </w:r>
    </w:p>
    <w:p w14:paraId="6AD6D237">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2.甲方按合同约定标准</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验收，验收标准严格按照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文件中标的物技术标准，产品使用周期内均可提出异议。</w:t>
      </w:r>
    </w:p>
    <w:p w14:paraId="118B936E">
      <w:pPr>
        <w:keepNext w:val="0"/>
        <w:keepLines w:val="0"/>
        <w:pageBreakBefore w:val="0"/>
        <w:kinsoku/>
        <w:wordWrap/>
        <w:overflowPunct/>
        <w:topLinePunct w:val="0"/>
        <w:bidi w:val="0"/>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3.验收不合格的，甲方有权拒收或要求退货、更换，</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追究</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违约责任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扣除履约保证金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终止合同。</w:t>
      </w:r>
    </w:p>
    <w:p w14:paraId="0536F0F4">
      <w:pPr>
        <w:keepNext w:val="0"/>
        <w:keepLines w:val="0"/>
        <w:pageBreakBefore w:val="0"/>
        <w:kinsoku/>
        <w:wordWrap/>
        <w:overflowPunct/>
        <w:topLinePunct w:val="0"/>
        <w:bidi w:val="0"/>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4.甲方使用过程中发现产品质量问题，乙方无条件无限期负责退货或更换：因产品质量问题造成甲方</w:t>
      </w:r>
      <w:r>
        <w:rPr>
          <w:rFonts w:hint="eastAsia" w:ascii="宋体" w:hAnsi="宋体" w:eastAsia="宋体" w:cs="宋体"/>
          <w:color w:val="auto"/>
          <w:sz w:val="24"/>
          <w:szCs w:val="24"/>
          <w:highlight w:val="none"/>
          <w:lang w:eastAsia="zh-CN"/>
        </w:rPr>
        <w:t>损失的，</w:t>
      </w:r>
      <w:r>
        <w:rPr>
          <w:rFonts w:hint="eastAsia" w:ascii="宋体" w:hAnsi="宋体" w:eastAsia="宋体" w:cs="宋体"/>
          <w:color w:val="auto"/>
          <w:sz w:val="24"/>
          <w:szCs w:val="24"/>
          <w:highlight w:val="none"/>
        </w:rPr>
        <w:t>由乙方</w:t>
      </w:r>
      <w:r>
        <w:rPr>
          <w:rFonts w:hint="eastAsia" w:ascii="宋体" w:hAnsi="宋体" w:eastAsia="宋体" w:cs="宋体"/>
          <w:color w:val="auto"/>
          <w:sz w:val="24"/>
          <w:szCs w:val="24"/>
          <w:highlight w:val="none"/>
          <w:lang w:eastAsia="zh-CN"/>
        </w:rPr>
        <w:t>赔偿甲方全部损失</w:t>
      </w:r>
      <w:r>
        <w:rPr>
          <w:rFonts w:hint="eastAsia" w:ascii="宋体" w:hAnsi="宋体" w:eastAsia="宋体" w:cs="宋体"/>
          <w:color w:val="auto"/>
          <w:sz w:val="24"/>
          <w:szCs w:val="24"/>
          <w:highlight w:val="none"/>
        </w:rPr>
        <w:t>。</w:t>
      </w:r>
    </w:p>
    <w:p w14:paraId="5EEE310B">
      <w:pPr>
        <w:wordWrap/>
        <w:adjustRightInd/>
        <w:snapToGrid/>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w:t>
      </w:r>
    </w:p>
    <w:p w14:paraId="07FB2FDB">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1.乙方逾期交货，应按合同总价千分之一/日的标准向甲方支付违约金；逾期交货超过5日的，甲方有权解除合同，同时乙方应按合同总价的</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rPr>
        <w:t>向甲方支付违约金，给甲方造成损失的，还应赔偿因此给甲方造成的全部损失。</w:t>
      </w:r>
    </w:p>
    <w:p w14:paraId="51EF134B">
      <w:pPr>
        <w:wordWrap/>
        <w:adjustRightInd/>
        <w:snapToGrid/>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2.乙方交付的产品质量不符合甲方竞价要求及国家相关质量标准的，应在</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约定的期限内及时更换。未更换或未及时更换的，自交付期限届满的次日起按合同总价千分之一/日的标准向甲方支付违约金。逾期超过5日的，甲方有权解除合同，同时乙方应按合同总价的</w:t>
      </w:r>
      <w:r>
        <w:rPr>
          <w:rFonts w:hint="eastAsia" w:ascii="宋体" w:hAnsi="宋体" w:eastAsia="宋体" w:cs="宋体"/>
          <w:color w:val="auto"/>
          <w:sz w:val="24"/>
          <w:szCs w:val="24"/>
          <w:highlight w:val="none"/>
          <w:u w:val="single"/>
        </w:rPr>
        <w:t>20 %</w:t>
      </w:r>
      <w:r>
        <w:rPr>
          <w:rFonts w:hint="eastAsia" w:ascii="宋体" w:hAnsi="宋体" w:eastAsia="宋体" w:cs="宋体"/>
          <w:color w:val="auto"/>
          <w:sz w:val="24"/>
          <w:szCs w:val="24"/>
          <w:highlight w:val="none"/>
        </w:rPr>
        <w:t>向甲方支付违约金，给甲方造成损失的，还应赔偿因此给甲方造成的全部损失。</w:t>
      </w:r>
    </w:p>
    <w:p w14:paraId="02005E12">
      <w:pPr>
        <w:wordWrap/>
        <w:adjustRightInd/>
        <w:snapToGrid/>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3.乙方所供产品存在质量问题，质保期内乙方应按甲方要求进行更换，若未按甲方要求进行更换，甲方有权向第三方采购，甲方向第三方采购</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的金额由乙方承担，同时甲方有权解除合同，不予退还质保金，乙方应赔偿甲方因此遭受的全部损失。</w:t>
      </w:r>
    </w:p>
    <w:p w14:paraId="6DBAAC15">
      <w:pPr>
        <w:wordWrap/>
        <w:adjustRightInd/>
        <w:snapToGrid/>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4.若因</w:t>
      </w:r>
      <w:r>
        <w:rPr>
          <w:rFonts w:hint="eastAsia" w:ascii="宋体" w:hAnsi="宋体" w:eastAsia="宋体" w:cs="宋体"/>
          <w:bCs/>
          <w:color w:val="auto"/>
          <w:sz w:val="24"/>
          <w:szCs w:val="24"/>
          <w:highlight w:val="none"/>
        </w:rPr>
        <w:t>货物</w:t>
      </w:r>
      <w:r>
        <w:rPr>
          <w:rFonts w:hint="eastAsia" w:ascii="宋体" w:hAnsi="宋体" w:eastAsia="宋体" w:cs="宋体"/>
          <w:color w:val="auto"/>
          <w:sz w:val="24"/>
          <w:szCs w:val="24"/>
          <w:highlight w:val="none"/>
        </w:rPr>
        <w:t>出现质量问题，造成甲方其他相关可得利益损失的，乙方应赔偿因此给甲方造成的全部损失，同时甲方有权视情节追究乙方相关法律责任。</w:t>
      </w:r>
    </w:p>
    <w:p w14:paraId="1996E918">
      <w:pPr>
        <w:wordWrap/>
        <w:adjustRightInd/>
        <w:snapToGrid/>
        <w:spacing w:line="56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5.甲方有权从乙方履约保证金或应付货款中扣除乙方应承担的违约金、赔偿金等，若乙方履约保证金部分或全部被扣，则乙方应及时补足，否则甲方有权暂停结算。</w:t>
      </w:r>
    </w:p>
    <w:p w14:paraId="5797D92C">
      <w:pPr>
        <w:wordWrap/>
        <w:adjustRightInd/>
        <w:snapToGrid/>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七、合同变更、解除</w:t>
      </w:r>
    </w:p>
    <w:p w14:paraId="28044264">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1.双方协商一致，可变更、解除本合同。</w:t>
      </w:r>
    </w:p>
    <w:p w14:paraId="1EFBA91C">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受不可抗力事件影响的一方当事人对于不可抗力事件导致的合同义务的延迟履行或不能履行，不承担任何责任。但该方当事人应在3日内以书面的方式将不可抗力事件结束或消除的情况通知另一方当事人。双方当事人应在不可抗力事件结束或其影响消除后3日内继续履行其合同义务，合同期限也相应延长。如果不可抗力事件的影响持续超过30日，任何一方当事人均有权解除合同。</w:t>
      </w:r>
    </w:p>
    <w:p w14:paraId="755A0213">
      <w:pPr>
        <w:wordWrap/>
        <w:adjustRightInd/>
        <w:snapToGrid/>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八、转让与分包</w:t>
      </w:r>
    </w:p>
    <w:p w14:paraId="7EC61B36">
      <w:p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除甲方事先书面同意外，乙方不得部分转让或全部转让其应履行的合同义务；</w:t>
      </w:r>
    </w:p>
    <w:p w14:paraId="1C422EEC">
      <w:pPr>
        <w:numPr>
          <w:ilvl w:val="0"/>
          <w:numId w:val="0"/>
        </w:numPr>
        <w:wordWrap/>
        <w:adjustRightInd/>
        <w:snapToGrid/>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九、</w:t>
      </w:r>
      <w:r>
        <w:rPr>
          <w:rFonts w:hint="eastAsia" w:ascii="宋体" w:hAnsi="宋体" w:eastAsia="宋体" w:cs="宋体"/>
          <w:b/>
          <w:color w:val="auto"/>
          <w:sz w:val="24"/>
          <w:szCs w:val="24"/>
          <w:highlight w:val="none"/>
        </w:rPr>
        <w:t>争议解决</w:t>
      </w:r>
    </w:p>
    <w:p w14:paraId="6E6AD40D">
      <w:pPr>
        <w:numPr>
          <w:ilvl w:val="0"/>
          <w:numId w:val="0"/>
        </w:numPr>
        <w:wordWrap/>
        <w:adjustRightInd/>
        <w:snapToGrid/>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本合同履行中如发生争议，双方友好协商解决；协商解决不成，可向甲方所在地人民法院起诉。</w:t>
      </w:r>
    </w:p>
    <w:p w14:paraId="01EEA3CC">
      <w:pPr>
        <w:widowControl w:val="0"/>
        <w:tabs>
          <w:tab w:val="left" w:pos="2394"/>
        </w:tabs>
        <w:wordWrap/>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color w:val="auto"/>
          <w:sz w:val="24"/>
          <w:szCs w:val="24"/>
          <w:highlight w:val="none"/>
        </w:rPr>
        <w:t>下列关于</w:t>
      </w:r>
      <w:r>
        <w:rPr>
          <w:rFonts w:hint="eastAsia" w:ascii="宋体" w:hAnsi="宋体" w:eastAsia="宋体" w:cs="宋体"/>
          <w:color w:val="auto"/>
          <w:sz w:val="24"/>
          <w:szCs w:val="24"/>
          <w:highlight w:val="none"/>
          <w:lang w:val="en-US" w:eastAsia="zh-CN"/>
        </w:rPr>
        <w:t>安徽百大检测技术有限公司</w:t>
      </w:r>
      <w:r>
        <w:rPr>
          <w:rFonts w:hint="eastAsia" w:ascii="宋体" w:hAnsi="宋体" w:eastAsia="宋体" w:cs="宋体"/>
          <w:color w:val="auto"/>
          <w:sz w:val="24"/>
          <w:szCs w:val="24"/>
          <w:highlight w:val="none"/>
          <w:u w:val="single"/>
        </w:rPr>
        <w:t xml:space="preserve"> 百大检测公司农残检测相关设备采购项目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文件及有关附件是本合同不可分割的组成部分，与本合同具有同等法律效力，这些文件包括但不限于：①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文件；②乙方提供的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文件；③</w:t>
      </w:r>
      <w:r>
        <w:rPr>
          <w:rFonts w:hint="eastAsia" w:ascii="宋体" w:hAnsi="宋体" w:eastAsia="宋体" w:cs="宋体"/>
          <w:color w:val="auto"/>
          <w:sz w:val="24"/>
          <w:szCs w:val="24"/>
          <w:highlight w:val="none"/>
          <w:lang w:val="en-US" w:eastAsia="zh-CN"/>
        </w:rPr>
        <w:t>投标函</w:t>
      </w:r>
      <w:r>
        <w:rPr>
          <w:rFonts w:hint="eastAsia" w:ascii="宋体" w:hAnsi="宋体" w:eastAsia="宋体" w:cs="宋体"/>
          <w:color w:val="auto"/>
          <w:sz w:val="24"/>
          <w:szCs w:val="24"/>
          <w:highlight w:val="none"/>
        </w:rPr>
        <w:t>；④甲乙双方商定的其他文件。以上附件顺序在前的具有优先解释权。</w:t>
      </w:r>
    </w:p>
    <w:p w14:paraId="13E5BA65">
      <w:pPr>
        <w:widowControl w:val="0"/>
        <w:tabs>
          <w:tab w:val="left" w:pos="2394"/>
        </w:tabs>
        <w:wordWrap/>
        <w:adjustRightInd/>
        <w:snapToGrid/>
        <w:spacing w:line="5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伍</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lang w:val="en-US" w:eastAsia="zh-CN"/>
        </w:rPr>
        <w:t>壹</w:t>
      </w:r>
      <w:r>
        <w:rPr>
          <w:rFonts w:hint="eastAsia" w:ascii="宋体" w:hAnsi="宋体" w:eastAsia="宋体" w:cs="宋体"/>
          <w:color w:val="auto"/>
          <w:sz w:val="24"/>
          <w:szCs w:val="24"/>
          <w:highlight w:val="none"/>
        </w:rPr>
        <w:t>份，安徽公共资源交易集团项目管理有限公司留存</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份，自双方当事人签字盖章之日起生效。</w:t>
      </w:r>
    </w:p>
    <w:p w14:paraId="5E71D1E5">
      <w:pPr>
        <w:widowControl w:val="0"/>
        <w:tabs>
          <w:tab w:val="left" w:pos="2394"/>
        </w:tabs>
        <w:wordWrap/>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页A4纸张，缺页之合同为无效合同。</w:t>
      </w:r>
    </w:p>
    <w:p w14:paraId="2298B21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A43D929">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招标人（甲方）：    （公章）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（乙方）：     （公章）  </w:t>
      </w:r>
    </w:p>
    <w:p w14:paraId="6C69570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666A8AC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1E1A6809">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                         委托代理人：</w:t>
      </w:r>
    </w:p>
    <w:p w14:paraId="79A6725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70B72BE9">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6C4483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18950F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2FA513">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p>
    <w:p w14:paraId="6DD60C8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备注：本合同的约定如与本项目磋商文件的</w:t>
      </w:r>
      <w:r>
        <w:rPr>
          <w:rFonts w:hint="eastAsia" w:ascii="宋体" w:hAnsi="宋体" w:eastAsia="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招标人要求</w:t>
      </w:r>
      <w:r>
        <w:rPr>
          <w:rFonts w:hint="eastAsia" w:ascii="宋体" w:hAnsi="宋体" w:eastAsia="宋体" w:cs="宋体"/>
          <w:b/>
          <w:color w:val="auto"/>
          <w:kern w:val="0"/>
          <w:sz w:val="24"/>
          <w:szCs w:val="24"/>
          <w:highlight w:val="none"/>
        </w:rPr>
        <w:t>的约定</w:t>
      </w:r>
      <w:r>
        <w:rPr>
          <w:rFonts w:hint="eastAsia" w:cs="宋体"/>
          <w:b/>
          <w:color w:val="auto"/>
          <w:kern w:val="0"/>
          <w:sz w:val="24"/>
          <w:szCs w:val="24"/>
          <w:highlight w:val="none"/>
          <w:lang w:val="en-US" w:eastAsia="zh-CN"/>
        </w:rPr>
        <w:t>有冲突的</w:t>
      </w:r>
      <w:r>
        <w:rPr>
          <w:rFonts w:hint="eastAsia" w:ascii="宋体" w:hAnsi="宋体" w:eastAsia="宋体" w:cs="宋体"/>
          <w:b/>
          <w:color w:val="auto"/>
          <w:kern w:val="0"/>
          <w:sz w:val="24"/>
          <w:szCs w:val="24"/>
          <w:highlight w:val="none"/>
        </w:rPr>
        <w:t>，以</w:t>
      </w:r>
      <w:r>
        <w:rPr>
          <w:rFonts w:hint="eastAsia" w:ascii="宋体" w:hAnsi="宋体" w:eastAsia="宋体" w:cs="宋体"/>
          <w:b/>
          <w:color w:val="auto"/>
          <w:kern w:val="0"/>
          <w:sz w:val="24"/>
          <w:szCs w:val="24"/>
          <w:highlight w:val="none"/>
          <w:lang w:val="en-US" w:eastAsia="zh-CN"/>
        </w:rPr>
        <w:t>投标人</w:t>
      </w:r>
      <w:r>
        <w:rPr>
          <w:rFonts w:hint="eastAsia" w:ascii="宋体" w:hAnsi="宋体" w:eastAsia="宋体" w:cs="宋体"/>
          <w:b/>
          <w:color w:val="auto"/>
          <w:kern w:val="0"/>
          <w:sz w:val="24"/>
          <w:szCs w:val="24"/>
          <w:highlight w:val="none"/>
        </w:rPr>
        <w:t>须知前附表和</w:t>
      </w:r>
      <w:r>
        <w:rPr>
          <w:rFonts w:hint="eastAsia" w:ascii="宋体" w:hAnsi="宋体" w:eastAsia="宋体" w:cs="宋体"/>
          <w:b/>
          <w:color w:val="auto"/>
          <w:kern w:val="0"/>
          <w:sz w:val="24"/>
          <w:szCs w:val="24"/>
          <w:highlight w:val="none"/>
          <w:lang w:val="en-US" w:eastAsia="zh-CN"/>
        </w:rPr>
        <w:t>招标人要求</w:t>
      </w:r>
      <w:r>
        <w:rPr>
          <w:rFonts w:hint="eastAsia" w:ascii="宋体" w:hAnsi="宋体" w:eastAsia="宋体" w:cs="宋体"/>
          <w:b/>
          <w:color w:val="auto"/>
          <w:kern w:val="0"/>
          <w:sz w:val="24"/>
          <w:szCs w:val="24"/>
          <w:highlight w:val="none"/>
        </w:rPr>
        <w:t>的约定为准。</w:t>
      </w:r>
    </w:p>
    <w:p w14:paraId="56AF951C">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p>
    <w:p w14:paraId="31BF1DE3">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lang w:val="en-US" w:eastAsia="zh-CN" w:bidi="ar"/>
        </w:rPr>
        <w:t>附件：</w:t>
      </w:r>
    </w:p>
    <w:p w14:paraId="6748B72B">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auto"/>
          <w:kern w:val="2"/>
          <w:sz w:val="24"/>
          <w:szCs w:val="24"/>
          <w:highlight w:val="none"/>
          <w:lang w:val="en-US" w:eastAsia="zh-CN" w:bidi="ar"/>
        </w:rPr>
      </w:pPr>
      <w:r>
        <w:rPr>
          <w:rFonts w:hint="eastAsia" w:asciiTheme="minorEastAsia" w:hAnsiTheme="minorEastAsia" w:eastAsiaTheme="minorEastAsia" w:cstheme="minorEastAsia"/>
          <w:b w:val="0"/>
          <w:bCs/>
          <w:color w:val="auto"/>
          <w:kern w:val="2"/>
          <w:sz w:val="24"/>
          <w:szCs w:val="24"/>
          <w:highlight w:val="none"/>
          <w:lang w:val="en-US" w:eastAsia="zh-CN" w:bidi="ar"/>
        </w:rPr>
        <w:t xml:space="preserve">附件1：廉政协议 </w:t>
      </w:r>
    </w:p>
    <w:p w14:paraId="2FA029BC">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
        </w:rPr>
        <w:t>附件2：履约保证金</w:t>
      </w:r>
      <w:r>
        <w:rPr>
          <w:rFonts w:hint="eastAsia" w:ascii="仿宋" w:hAnsi="仿宋" w:eastAsia="仿宋" w:cs="仿宋"/>
          <w:b w:val="0"/>
          <w:bCs/>
          <w:color w:val="auto"/>
          <w:kern w:val="2"/>
          <w:sz w:val="24"/>
          <w:szCs w:val="24"/>
          <w:highlight w:val="none"/>
          <w:lang w:val="en-US" w:eastAsia="zh-CN" w:bidi="ar"/>
        </w:rPr>
        <w:br w:type="page"/>
      </w:r>
    </w:p>
    <w:p w14:paraId="445F08A5">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附件1：廉政协议</w:t>
      </w:r>
    </w:p>
    <w:p w14:paraId="04D2175B">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77986991">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14:paraId="46E6843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14:paraId="47ABAD6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14:paraId="725DD4C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7374029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14:paraId="6864088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D57D80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14:paraId="4911023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14:paraId="0AF45FE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14:paraId="1F78D2D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21FB726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14:paraId="6AC79123">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006C15F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0F5708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263E650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3A61872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0DCCED2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61AE7A0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14:paraId="32D046B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14:paraId="347FA4A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14:paraId="271B2C86">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14:paraId="68A73B4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14:paraId="4BCC0A5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14:paraId="05B82CB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2F657C0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14:paraId="37E6C9A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14:paraId="091CD39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14:paraId="1F3CEB7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14:paraId="167F163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14:paraId="48156ED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66DFA04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甲方投诉联系部门：，联系电话：。</w:t>
      </w:r>
    </w:p>
    <w:p w14:paraId="5BB72AD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76C8560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14:paraId="5B05A40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14:paraId="313D553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14:paraId="705EC98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4778DEB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14:paraId="77ECC21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30C5BF0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14:paraId="47778EC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14:paraId="2CF342A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4A05B7B6">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14:paraId="33A904A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0AE1181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14:paraId="05DAF1F1">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14:paraId="77CDDD9E">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14:paraId="4850CB1D">
      <w:pPr>
        <w:pStyle w:val="13"/>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14:paraId="5D02E2CE">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14:paraId="3683CBA3">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14:paraId="5AA3D51F">
      <w:pPr>
        <w:pStyle w:val="13"/>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：履约保证金</w:t>
      </w:r>
    </w:p>
    <w:p w14:paraId="4F5DC742">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14:paraId="3190F957">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14:paraId="26EE6754">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14:paraId="616B743C">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16312D7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14:paraId="52FB673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700A2E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14:paraId="2064DFD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629079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14:paraId="3FB59107">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26"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26"/>
    <w:p w14:paraId="2A16633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14:paraId="5408A14C">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14:paraId="1CDBC90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14:paraId="5A7120D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14:paraId="226B315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D2F85DC">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27"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27"/>
    </w:p>
    <w:p w14:paraId="61A8313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14:paraId="35235E8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14:paraId="5D6779A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28" w:name="_Hlk40303383"/>
      <w:bookmarkStart w:id="29"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14:paraId="4FE8835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28"/>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29"/>
    <w:p w14:paraId="5935A58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14:paraId="36B10AA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3EE7BA1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5064164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619C9CD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14:paraId="4151DBA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14:paraId="6DE436D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740E910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1D0E44C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4D2FEBB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36458899">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38EFB74C">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auto"/>
          <w:sz w:val="24"/>
          <w:szCs w:val="24"/>
          <w:highlight w:val="none"/>
        </w:rPr>
      </w:pPr>
    </w:p>
    <w:p w14:paraId="0555D449">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68EAA0A5">
      <w:pPr>
        <w:spacing w:line="360" w:lineRule="auto"/>
        <w:jc w:val="center"/>
        <w:outlineLvl w:val="1"/>
        <w:rPr>
          <w:rFonts w:asciiTheme="minorEastAsia" w:hAnsiTheme="minorEastAsia" w:eastAsiaTheme="minorEastAsia"/>
          <w:b/>
          <w:color w:val="auto"/>
          <w:sz w:val="28"/>
          <w:highlight w:val="none"/>
        </w:rPr>
      </w:pPr>
      <w:bookmarkStart w:id="30" w:name="_Toc28981"/>
      <w:r>
        <w:rPr>
          <w:rFonts w:hint="eastAsia" w:asciiTheme="minorEastAsia" w:hAnsiTheme="minorEastAsia" w:eastAsiaTheme="minorEastAsia"/>
          <w:b/>
          <w:color w:val="auto"/>
          <w:sz w:val="28"/>
          <w:highlight w:val="none"/>
        </w:rPr>
        <w:t xml:space="preserve">第六章  </w:t>
      </w:r>
      <w:r>
        <w:rPr>
          <w:rFonts w:hint="eastAsia" w:asciiTheme="minorEastAsia" w:hAnsiTheme="minorEastAsia" w:eastAsiaTheme="minorEastAsia"/>
          <w:b/>
          <w:color w:val="auto"/>
          <w:sz w:val="28"/>
          <w:highlight w:val="none"/>
          <w:lang w:eastAsia="zh-CN"/>
        </w:rPr>
        <w:t>投标文件</w:t>
      </w:r>
      <w:r>
        <w:rPr>
          <w:rFonts w:hint="eastAsia" w:asciiTheme="minorEastAsia" w:hAnsiTheme="minorEastAsia" w:eastAsiaTheme="minorEastAsia"/>
          <w:b/>
          <w:color w:val="auto"/>
          <w:sz w:val="28"/>
          <w:highlight w:val="none"/>
        </w:rPr>
        <w:t>格式</w:t>
      </w:r>
      <w:bookmarkEnd w:id="30"/>
    </w:p>
    <w:p w14:paraId="7BD8E446">
      <w:pPr>
        <w:spacing w:line="500" w:lineRule="exact"/>
        <w:jc w:val="center"/>
        <w:rPr>
          <w:rFonts w:hint="eastAsia" w:asciiTheme="minorEastAsia" w:hAnsiTheme="minorEastAsia" w:eastAsiaTheme="minorEastAsia"/>
          <w:b/>
          <w:color w:val="auto"/>
          <w:sz w:val="32"/>
          <w:highlight w:val="none"/>
          <w:lang w:eastAsia="zh-CN"/>
        </w:rPr>
      </w:pPr>
      <w:r>
        <w:rPr>
          <w:rFonts w:hint="eastAsia" w:asciiTheme="minorEastAsia" w:hAnsiTheme="minorEastAsia" w:eastAsiaTheme="minorEastAsia"/>
          <w:b/>
          <w:color w:val="auto"/>
          <w:sz w:val="32"/>
          <w:highlight w:val="none"/>
          <w:lang w:eastAsia="zh-CN"/>
        </w:rPr>
        <w:t>百大检测公司农残检测相关设备采购项目</w:t>
      </w:r>
    </w:p>
    <w:p w14:paraId="5B2EE3E7">
      <w:pPr>
        <w:spacing w:line="900" w:lineRule="exact"/>
        <w:jc w:val="center"/>
        <w:rPr>
          <w:rFonts w:asciiTheme="minorEastAsia" w:hAnsiTheme="minorEastAsia" w:eastAsiaTheme="minorEastAsia"/>
          <w:b/>
          <w:color w:val="auto"/>
          <w:sz w:val="72"/>
          <w:highlight w:val="none"/>
        </w:rPr>
      </w:pPr>
    </w:p>
    <w:p w14:paraId="5CFDAD4F">
      <w:pPr>
        <w:spacing w:line="900" w:lineRule="exact"/>
        <w:jc w:val="center"/>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投</w:t>
      </w:r>
    </w:p>
    <w:p w14:paraId="025BBFE3">
      <w:pPr>
        <w:spacing w:line="900" w:lineRule="exact"/>
        <w:jc w:val="center"/>
        <w:rPr>
          <w:rFonts w:asciiTheme="minorEastAsia" w:hAnsiTheme="minorEastAsia" w:eastAsiaTheme="minorEastAsia"/>
          <w:b/>
          <w:color w:val="auto"/>
          <w:sz w:val="72"/>
          <w:highlight w:val="none"/>
        </w:rPr>
      </w:pPr>
    </w:p>
    <w:p w14:paraId="62DA14D1">
      <w:pPr>
        <w:spacing w:line="900" w:lineRule="exact"/>
        <w:jc w:val="center"/>
        <w:rPr>
          <w:rFonts w:hint="eastAsia" w:asciiTheme="minorEastAsia" w:hAnsiTheme="minorEastAsia" w:eastAsiaTheme="minorEastAsia"/>
          <w:b/>
          <w:color w:val="auto"/>
          <w:sz w:val="72"/>
          <w:highlight w:val="none"/>
          <w:lang w:val="en-US" w:eastAsia="zh-CN"/>
        </w:rPr>
      </w:pPr>
      <w:r>
        <w:rPr>
          <w:rFonts w:hint="eastAsia" w:asciiTheme="minorEastAsia" w:hAnsiTheme="minorEastAsia" w:eastAsiaTheme="minorEastAsia"/>
          <w:b/>
          <w:color w:val="auto"/>
          <w:sz w:val="72"/>
          <w:highlight w:val="none"/>
          <w:lang w:val="en-US" w:eastAsia="zh-CN"/>
        </w:rPr>
        <w:t>标</w:t>
      </w:r>
    </w:p>
    <w:p w14:paraId="0F04CE61">
      <w:pPr>
        <w:spacing w:line="900" w:lineRule="exact"/>
        <w:jc w:val="center"/>
        <w:rPr>
          <w:rFonts w:asciiTheme="minorEastAsia" w:hAnsiTheme="minorEastAsia" w:eastAsiaTheme="minorEastAsia"/>
          <w:b/>
          <w:color w:val="auto"/>
          <w:sz w:val="72"/>
          <w:highlight w:val="none"/>
        </w:rPr>
      </w:pPr>
    </w:p>
    <w:p w14:paraId="6389EEA4">
      <w:pPr>
        <w:spacing w:line="900" w:lineRule="exact"/>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C5226A6">
      <w:pPr>
        <w:spacing w:line="900" w:lineRule="exact"/>
        <w:jc w:val="center"/>
        <w:rPr>
          <w:rFonts w:asciiTheme="minorEastAsia" w:hAnsiTheme="minorEastAsia" w:eastAsiaTheme="minorEastAsia"/>
          <w:b/>
          <w:color w:val="auto"/>
          <w:sz w:val="72"/>
          <w:highlight w:val="none"/>
        </w:rPr>
      </w:pPr>
    </w:p>
    <w:p w14:paraId="32EAF4B5">
      <w:pPr>
        <w:jc w:val="center"/>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24D67D80">
      <w:pPr>
        <w:spacing w:after="156" w:afterLines="50"/>
        <w:jc w:val="center"/>
        <w:rPr>
          <w:rFonts w:asciiTheme="minorEastAsia" w:hAnsiTheme="minorEastAsia" w:eastAsiaTheme="minorEastAsia"/>
          <w:b/>
          <w:color w:val="auto"/>
          <w:sz w:val="72"/>
          <w:highlight w:val="none"/>
        </w:rPr>
      </w:pPr>
    </w:p>
    <w:p w14:paraId="04D9A14D">
      <w:pPr>
        <w:spacing w:after="156" w:afterLines="50" w:line="500" w:lineRule="exact"/>
        <w:jc w:val="center"/>
        <w:rPr>
          <w:rFonts w:asciiTheme="minorEastAsia" w:hAnsiTheme="minorEastAsia" w:eastAsiaTheme="minorEastAsia"/>
          <w:b/>
          <w:color w:val="auto"/>
          <w:sz w:val="28"/>
          <w:szCs w:val="28"/>
          <w:highlight w:val="none"/>
        </w:rPr>
      </w:pPr>
    </w:p>
    <w:p w14:paraId="72B64947">
      <w:pPr>
        <w:spacing w:after="156" w:afterLines="50" w:line="500" w:lineRule="exact"/>
        <w:jc w:val="center"/>
        <w:rPr>
          <w:rFonts w:asciiTheme="minorEastAsia" w:hAnsiTheme="minorEastAsia" w:eastAsiaTheme="minorEastAsia"/>
          <w:b/>
          <w:color w:val="auto"/>
          <w:sz w:val="72"/>
          <w:highlight w:val="none"/>
        </w:rPr>
      </w:pPr>
    </w:p>
    <w:p w14:paraId="734B1210">
      <w:pPr>
        <w:spacing w:after="156" w:afterLines="50" w:line="500" w:lineRule="exact"/>
        <w:ind w:firstLine="2522" w:firstLineChars="785"/>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eastAsia="zh-CN"/>
        </w:rPr>
        <w:t>投标人</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p>
    <w:p w14:paraId="38909DED">
      <w:pPr>
        <w:spacing w:after="156"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14:paraId="68D41EA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02BC0D8">
      <w:pPr>
        <w:spacing w:line="360" w:lineRule="auto"/>
        <w:jc w:val="center"/>
        <w:outlineLvl w:val="2"/>
        <w:rPr>
          <w:rFonts w:asciiTheme="minorEastAsia" w:hAnsiTheme="minorEastAsia" w:eastAsiaTheme="minorEastAsia"/>
          <w:b/>
          <w:color w:val="auto"/>
          <w:sz w:val="24"/>
          <w:highlight w:val="none"/>
        </w:rPr>
      </w:pPr>
      <w:bookmarkStart w:id="31" w:name="_Toc461053086"/>
      <w:bookmarkStart w:id="32" w:name="_Toc461056631"/>
      <w:bookmarkStart w:id="33" w:name="_Toc520983587"/>
      <w:r>
        <w:rPr>
          <w:rFonts w:hint="eastAsia" w:asciiTheme="minorEastAsia" w:hAnsiTheme="minorEastAsia" w:eastAsiaTheme="minorEastAsia"/>
          <w:b/>
          <w:color w:val="auto"/>
          <w:sz w:val="24"/>
          <w:highlight w:val="none"/>
        </w:rPr>
        <w:t>一</w:t>
      </w:r>
      <w:bookmarkEnd w:id="31"/>
      <w:bookmarkEnd w:id="32"/>
      <w:r>
        <w:rPr>
          <w:rFonts w:hint="eastAsia" w:asciiTheme="minorEastAsia" w:hAnsiTheme="minorEastAsia" w:eastAsiaTheme="minorEastAsia"/>
          <w:b/>
          <w:color w:val="auto"/>
          <w:sz w:val="24"/>
          <w:highlight w:val="none"/>
        </w:rPr>
        <w:t>、报价表格式</w:t>
      </w:r>
      <w:bookmarkEnd w:id="33"/>
    </w:p>
    <w:p w14:paraId="7E338260">
      <w:pPr>
        <w:spacing w:before="156" w:beforeLines="50" w:after="156" w:afterLines="50" w:line="360" w:lineRule="auto"/>
        <w:jc w:val="left"/>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14:paraId="09FDB2A7">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百大检测公司农残检测相关设备采购项目</w:t>
      </w:r>
      <w:r>
        <w:rPr>
          <w:rFonts w:hint="eastAsia" w:cs="宋体" w:asciiTheme="minorEastAsia" w:hAnsiTheme="minorEastAsia" w:eastAsiaTheme="minorEastAsia"/>
          <w:b/>
          <w:color w:val="auto"/>
          <w:kern w:val="2"/>
          <w:sz w:val="24"/>
          <w:szCs w:val="24"/>
          <w:highlight w:val="none"/>
          <w:u w:val="single"/>
        </w:rPr>
        <w:t xml:space="preserve">    </w:t>
      </w:r>
    </w:p>
    <w:p w14:paraId="24240A7B">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2025HAFWN02803</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D95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C1796A3">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557" w:type="pct"/>
            <w:tcBorders>
              <w:left w:val="single" w:color="auto" w:sz="4" w:space="0"/>
            </w:tcBorders>
          </w:tcPr>
          <w:p w14:paraId="78466A27">
            <w:pPr>
              <w:rPr>
                <w:rFonts w:cs="宋体" w:asciiTheme="minorEastAsia" w:hAnsiTheme="minorEastAsia" w:eastAsiaTheme="minorEastAsia"/>
                <w:b/>
                <w:color w:val="auto"/>
                <w:kern w:val="2"/>
                <w:sz w:val="24"/>
                <w:szCs w:val="24"/>
                <w:highlight w:val="none"/>
              </w:rPr>
            </w:pPr>
          </w:p>
        </w:tc>
      </w:tr>
      <w:tr w14:paraId="66F0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20F3484">
            <w:pPr>
              <w:jc w:val="center"/>
              <w:rPr>
                <w:rFonts w:hint="eastAsia" w:cs="宋体" w:asciiTheme="minorEastAsia" w:hAnsiTheme="minorEastAsia" w:eastAsiaTheme="minorEastAsia"/>
                <w:b/>
                <w:color w:val="auto"/>
                <w:kern w:val="2"/>
                <w:sz w:val="24"/>
                <w:szCs w:val="24"/>
                <w:highlight w:val="none"/>
                <w:lang w:val="en-US" w:eastAsia="zh-CN" w:bidi="ar-SA"/>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58C88BE9">
            <w:pPr>
              <w:widowControl/>
              <w:rPr>
                <w:rFonts w:hint="eastAsia" w:cs="宋体" w:asciiTheme="minorEastAsia" w:hAnsiTheme="minorEastAsia" w:eastAsiaTheme="minorEastAsia"/>
                <w:b/>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8"/>
                <w:highlight w:val="none"/>
              </w:rPr>
              <w:t>全部</w:t>
            </w:r>
          </w:p>
        </w:tc>
      </w:tr>
      <w:tr w14:paraId="5366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871521A">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0E34245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E3A4783">
            <w:pPr>
              <w:snapToGrid w:val="0"/>
              <w:rPr>
                <w:rFonts w:cs="宋体" w:asciiTheme="minorEastAsia" w:hAnsiTheme="minorEastAsia" w:eastAsiaTheme="minorEastAsia"/>
                <w:color w:val="auto"/>
                <w:kern w:val="2"/>
                <w:sz w:val="24"/>
                <w:szCs w:val="24"/>
                <w:highlight w:val="none"/>
              </w:rPr>
            </w:pPr>
          </w:p>
          <w:p w14:paraId="74F26942">
            <w:pPr>
              <w:snapToGrid w:val="0"/>
              <w:rPr>
                <w:rFonts w:cs="宋体" w:asciiTheme="minorEastAsia" w:hAnsiTheme="minorEastAsia" w:eastAsiaTheme="minorEastAsia"/>
                <w:bCs/>
                <w:color w:val="auto"/>
                <w:kern w:val="2"/>
                <w:sz w:val="24"/>
                <w:szCs w:val="24"/>
                <w:highlight w:val="none"/>
                <w:u w:val="single"/>
              </w:rPr>
            </w:pPr>
            <w:r>
              <w:rPr>
                <w:rFonts w:hint="eastAsia" w:cs="宋体" w:asciiTheme="minorEastAsia" w:hAnsiTheme="minorEastAsia" w:eastAsiaTheme="minorEastAsia"/>
                <w:bCs/>
                <w:color w:val="auto"/>
                <w:kern w:val="2"/>
                <w:sz w:val="24"/>
                <w:szCs w:val="24"/>
                <w:highlight w:val="none"/>
              </w:rPr>
              <w:t>人民币大写：</w:t>
            </w:r>
            <w:r>
              <w:rPr>
                <w:rFonts w:hint="eastAsia" w:cs="宋体" w:asciiTheme="minorEastAsia" w:hAnsiTheme="minorEastAsia" w:eastAsiaTheme="minorEastAsia"/>
                <w:bCs/>
                <w:color w:val="auto"/>
                <w:kern w:val="2"/>
                <w:sz w:val="24"/>
                <w:szCs w:val="24"/>
                <w:highlight w:val="none"/>
                <w:u w:val="single"/>
              </w:rPr>
              <w:t xml:space="preserve">                        </w:t>
            </w:r>
          </w:p>
          <w:p w14:paraId="32DAB93E">
            <w:pPr>
              <w:snapToGrid w:val="0"/>
              <w:rPr>
                <w:rFonts w:cs="宋体" w:asciiTheme="minorEastAsia" w:hAnsiTheme="minorEastAsia" w:eastAsiaTheme="minorEastAsia"/>
                <w:b/>
                <w:color w:val="auto"/>
                <w:kern w:val="2"/>
                <w:sz w:val="24"/>
                <w:szCs w:val="24"/>
                <w:highlight w:val="none"/>
              </w:rPr>
            </w:pPr>
          </w:p>
        </w:tc>
      </w:tr>
      <w:tr w14:paraId="7EEC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ED9EBA7">
            <w:pPr>
              <w:snapToGrid w:val="0"/>
              <w:jc w:val="center"/>
              <w:rPr>
                <w:rFonts w:hint="default" w:cs="宋体" w:asciiTheme="minorEastAsia" w:hAnsiTheme="minorEastAsia" w:eastAsiaTheme="minorEastAsia"/>
                <w:b/>
                <w:strike/>
                <w:dstrike w:val="0"/>
                <w:color w:val="auto"/>
                <w:kern w:val="2"/>
                <w:sz w:val="24"/>
                <w:szCs w:val="24"/>
                <w:highlight w:val="none"/>
                <w:lang w:val="en-US" w:eastAsia="zh-CN"/>
              </w:rPr>
            </w:pPr>
            <w:r>
              <w:rPr>
                <w:rFonts w:hint="eastAsia" w:cs="宋体" w:asciiTheme="minorEastAsia" w:hAnsiTheme="minorEastAsia" w:eastAsiaTheme="minorEastAsia"/>
                <w:b/>
                <w:strike w:val="0"/>
                <w:dstrike w:val="0"/>
                <w:color w:val="auto"/>
                <w:kern w:val="2"/>
                <w:sz w:val="24"/>
                <w:szCs w:val="24"/>
                <w:highlight w:val="none"/>
                <w:lang w:val="en-US" w:eastAsia="zh-CN"/>
              </w:rPr>
              <w:t>供货（安装）周期</w:t>
            </w:r>
          </w:p>
        </w:tc>
        <w:tc>
          <w:tcPr>
            <w:tcW w:w="3557" w:type="pct"/>
            <w:vAlign w:val="center"/>
          </w:tcPr>
          <w:p w14:paraId="1B8C1131">
            <w:pPr>
              <w:snapToGrid w:val="0"/>
              <w:rPr>
                <w:rFonts w:cs="宋体" w:asciiTheme="minorEastAsia" w:hAnsiTheme="minorEastAsia" w:eastAsiaTheme="minorEastAsia"/>
                <w:b/>
                <w:strike/>
                <w:dstrike w:val="0"/>
                <w:color w:val="auto"/>
                <w:kern w:val="2"/>
                <w:sz w:val="24"/>
                <w:szCs w:val="24"/>
                <w:highlight w:val="none"/>
              </w:rPr>
            </w:pPr>
          </w:p>
        </w:tc>
      </w:tr>
      <w:tr w14:paraId="7907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C27379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01335BB4">
            <w:pPr>
              <w:rPr>
                <w:rFonts w:cs="宋体" w:asciiTheme="minorEastAsia" w:hAnsiTheme="minorEastAsia" w:eastAsiaTheme="minorEastAsia"/>
                <w:b/>
                <w:color w:val="auto"/>
                <w:kern w:val="2"/>
                <w:sz w:val="24"/>
                <w:szCs w:val="24"/>
                <w:highlight w:val="none"/>
              </w:rPr>
            </w:pPr>
          </w:p>
        </w:tc>
      </w:tr>
    </w:tbl>
    <w:p w14:paraId="5DAE339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5DFA28A2">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F8E7123">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2DD60AD6">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7E4EE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w:t>
      </w:r>
      <w:r>
        <w:rPr>
          <w:rFonts w:hint="eastAsia" w:cs="宋体" w:asciiTheme="minorEastAsia" w:hAnsiTheme="minorEastAsia" w:eastAsiaTheme="minorEastAsia"/>
          <w:b/>
          <w:color w:val="auto"/>
          <w:kern w:val="2"/>
          <w:sz w:val="24"/>
          <w:szCs w:val="24"/>
          <w:highlight w:val="none"/>
        </w:rPr>
        <w:t>说明</w:t>
      </w:r>
      <w:r>
        <w:rPr>
          <w:rFonts w:hint="eastAsia" w:cs="宋体" w:asciiTheme="minorEastAsia" w:hAnsiTheme="minorEastAsia" w:eastAsiaTheme="minorEastAsia"/>
          <w:b/>
          <w:bCs/>
          <w:color w:val="auto"/>
          <w:kern w:val="2"/>
          <w:sz w:val="24"/>
          <w:szCs w:val="24"/>
          <w:highlight w:val="none"/>
        </w:rPr>
        <w:t>中注明。</w:t>
      </w:r>
    </w:p>
    <w:p w14:paraId="77CCA01C">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47C8326">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tbl>
      <w:tblPr>
        <w:tblStyle w:val="56"/>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401"/>
        <w:gridCol w:w="2358"/>
        <w:gridCol w:w="1035"/>
        <w:gridCol w:w="990"/>
        <w:gridCol w:w="1035"/>
        <w:gridCol w:w="1200"/>
      </w:tblGrid>
      <w:tr w14:paraId="535F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974" w:type="dxa"/>
            <w:vAlign w:val="center"/>
          </w:tcPr>
          <w:p w14:paraId="2D7BE9A8">
            <w:pPr>
              <w:widowControl w:val="0"/>
              <w:spacing w:before="0" w:beforeAutospacing="0" w:after="0" w:afterAutospacing="0" w:line="560" w:lineRule="exact"/>
              <w:jc w:val="center"/>
              <w:rPr>
                <w:rFonts w:asciiTheme="minorEastAsia" w:hAnsiTheme="minorEastAsia" w:eastAsiaTheme="minorEastAsia" w:cstheme="minorBidi"/>
                <w:b/>
                <w:bCs w:val="0"/>
                <w:color w:val="auto"/>
                <w:kern w:val="2"/>
                <w:sz w:val="24"/>
                <w:szCs w:val="20"/>
                <w:highlight w:val="none"/>
                <w:lang w:val="en-US" w:eastAsia="zh-CN" w:bidi="ar-SA"/>
              </w:rPr>
            </w:pPr>
            <w:r>
              <w:rPr>
                <w:rFonts w:hint="eastAsia" w:asciiTheme="minorEastAsia" w:hAnsiTheme="minorEastAsia" w:eastAsiaTheme="minorEastAsia" w:cstheme="minorEastAsia"/>
                <w:b/>
                <w:bCs w:val="0"/>
                <w:color w:val="auto"/>
                <w:kern w:val="2"/>
                <w:sz w:val="20"/>
                <w:szCs w:val="20"/>
                <w:highlight w:val="none"/>
                <w:lang w:val="en-US" w:eastAsia="zh-CN" w:bidi="ar-SA"/>
              </w:rPr>
              <w:t>序号</w:t>
            </w:r>
          </w:p>
        </w:tc>
        <w:tc>
          <w:tcPr>
            <w:tcW w:w="1401" w:type="dxa"/>
            <w:vAlign w:val="center"/>
          </w:tcPr>
          <w:p w14:paraId="39515524">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产品名称</w:t>
            </w:r>
          </w:p>
        </w:tc>
        <w:tc>
          <w:tcPr>
            <w:tcW w:w="2358" w:type="dxa"/>
            <w:vAlign w:val="center"/>
          </w:tcPr>
          <w:p w14:paraId="28087C9F">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技术参数</w:t>
            </w:r>
          </w:p>
        </w:tc>
        <w:tc>
          <w:tcPr>
            <w:tcW w:w="1035" w:type="dxa"/>
            <w:vAlign w:val="center"/>
          </w:tcPr>
          <w:p w14:paraId="2F2A297D">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单位</w:t>
            </w:r>
          </w:p>
        </w:tc>
        <w:tc>
          <w:tcPr>
            <w:tcW w:w="990" w:type="dxa"/>
            <w:vAlign w:val="center"/>
          </w:tcPr>
          <w:p w14:paraId="4E1D1F08">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数量</w:t>
            </w:r>
          </w:p>
        </w:tc>
        <w:tc>
          <w:tcPr>
            <w:tcW w:w="1035" w:type="dxa"/>
            <w:vAlign w:val="center"/>
          </w:tcPr>
          <w:p w14:paraId="589F2ED0">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单价</w:t>
            </w:r>
          </w:p>
        </w:tc>
        <w:tc>
          <w:tcPr>
            <w:tcW w:w="1200" w:type="dxa"/>
            <w:vAlign w:val="center"/>
          </w:tcPr>
          <w:p w14:paraId="4C574D12">
            <w:pPr>
              <w:spacing w:line="5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cstheme="minorEastAsia"/>
                <w:b/>
                <w:color w:val="auto"/>
                <w:sz w:val="20"/>
                <w:szCs w:val="20"/>
                <w:highlight w:val="none"/>
              </w:rPr>
              <w:t>小计</w:t>
            </w:r>
            <w:r>
              <w:rPr>
                <w:rFonts w:hint="eastAsia" w:asciiTheme="minorEastAsia" w:hAnsiTheme="minorEastAsia" w:eastAsiaTheme="minorEastAsia" w:cstheme="minorEastAsia"/>
                <w:b/>
                <w:color w:val="auto"/>
                <w:sz w:val="20"/>
                <w:szCs w:val="20"/>
                <w:highlight w:val="none"/>
                <w:lang w:eastAsia="zh-CN"/>
              </w:rPr>
              <w:t>（</w:t>
            </w:r>
            <w:r>
              <w:rPr>
                <w:rFonts w:hint="eastAsia" w:asciiTheme="minorEastAsia" w:hAnsiTheme="minorEastAsia" w:eastAsiaTheme="minorEastAsia" w:cstheme="minorEastAsia"/>
                <w:b/>
                <w:color w:val="auto"/>
                <w:sz w:val="20"/>
                <w:szCs w:val="20"/>
                <w:highlight w:val="none"/>
                <w:lang w:val="en-US" w:eastAsia="zh-CN"/>
              </w:rPr>
              <w:t>元）</w:t>
            </w:r>
          </w:p>
        </w:tc>
      </w:tr>
      <w:tr w14:paraId="7842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74" w:type="dxa"/>
            <w:vAlign w:val="center"/>
          </w:tcPr>
          <w:p w14:paraId="7F84DC01">
            <w:pPr>
              <w:spacing w:before="0" w:line="240" w:lineRule="auto"/>
              <w:contextualSpacing/>
              <w:jc w:val="center"/>
              <w:rPr>
                <w:rFonts w:asciiTheme="minorEastAsia" w:hAnsiTheme="minorEastAsia" w:eastAsiaTheme="minorEastAsia"/>
                <w:color w:val="auto"/>
                <w:sz w:val="24"/>
                <w:highlight w:val="none"/>
              </w:rPr>
            </w:pPr>
          </w:p>
        </w:tc>
        <w:tc>
          <w:tcPr>
            <w:tcW w:w="1401" w:type="dxa"/>
            <w:vAlign w:val="center"/>
          </w:tcPr>
          <w:p w14:paraId="572AAA99">
            <w:pPr>
              <w:spacing w:before="0" w:line="240" w:lineRule="auto"/>
              <w:contextualSpacing/>
              <w:jc w:val="center"/>
              <w:rPr>
                <w:rFonts w:asciiTheme="minorEastAsia" w:hAnsiTheme="minorEastAsia" w:eastAsiaTheme="minorEastAsia"/>
                <w:color w:val="auto"/>
                <w:sz w:val="24"/>
                <w:highlight w:val="none"/>
              </w:rPr>
            </w:pPr>
          </w:p>
        </w:tc>
        <w:tc>
          <w:tcPr>
            <w:tcW w:w="2358" w:type="dxa"/>
            <w:vAlign w:val="center"/>
          </w:tcPr>
          <w:p w14:paraId="0246A888">
            <w:pPr>
              <w:snapToGrid w:val="0"/>
              <w:spacing w:line="240" w:lineRule="exact"/>
              <w:contextualSpacing/>
              <w:jc w:val="both"/>
              <w:rPr>
                <w:rFonts w:asciiTheme="minorEastAsia" w:hAnsiTheme="minorEastAsia" w:eastAsiaTheme="minorEastAsia"/>
                <w:color w:val="auto"/>
                <w:sz w:val="24"/>
                <w:highlight w:val="none"/>
              </w:rPr>
            </w:pPr>
          </w:p>
        </w:tc>
        <w:tc>
          <w:tcPr>
            <w:tcW w:w="1035" w:type="dxa"/>
            <w:vAlign w:val="center"/>
          </w:tcPr>
          <w:p w14:paraId="130633AB">
            <w:pPr>
              <w:spacing w:before="0" w:line="240" w:lineRule="auto"/>
              <w:contextualSpacing/>
              <w:jc w:val="center"/>
              <w:rPr>
                <w:rFonts w:asciiTheme="minorEastAsia" w:hAnsiTheme="minorEastAsia" w:eastAsiaTheme="minorEastAsia"/>
                <w:color w:val="auto"/>
                <w:sz w:val="24"/>
                <w:highlight w:val="none"/>
              </w:rPr>
            </w:pPr>
          </w:p>
        </w:tc>
        <w:tc>
          <w:tcPr>
            <w:tcW w:w="990" w:type="dxa"/>
            <w:vAlign w:val="center"/>
          </w:tcPr>
          <w:p w14:paraId="68BA8221">
            <w:pPr>
              <w:spacing w:before="0" w:line="240" w:lineRule="auto"/>
              <w:contextualSpacing/>
              <w:jc w:val="center"/>
              <w:rPr>
                <w:rFonts w:asciiTheme="minorEastAsia" w:hAnsiTheme="minorEastAsia" w:eastAsiaTheme="minorEastAsia"/>
                <w:color w:val="auto"/>
                <w:sz w:val="24"/>
                <w:highlight w:val="none"/>
              </w:rPr>
            </w:pPr>
          </w:p>
        </w:tc>
        <w:tc>
          <w:tcPr>
            <w:tcW w:w="1035" w:type="dxa"/>
          </w:tcPr>
          <w:p w14:paraId="0E8E0E14">
            <w:pPr>
              <w:rPr>
                <w:rFonts w:asciiTheme="minorEastAsia" w:hAnsiTheme="minorEastAsia" w:eastAsiaTheme="minorEastAsia"/>
                <w:color w:val="auto"/>
                <w:sz w:val="24"/>
                <w:highlight w:val="none"/>
              </w:rPr>
            </w:pPr>
          </w:p>
        </w:tc>
        <w:tc>
          <w:tcPr>
            <w:tcW w:w="1200" w:type="dxa"/>
          </w:tcPr>
          <w:p w14:paraId="17734FDE">
            <w:pPr>
              <w:rPr>
                <w:rFonts w:asciiTheme="minorEastAsia" w:hAnsiTheme="minorEastAsia" w:eastAsiaTheme="minorEastAsia"/>
                <w:color w:val="auto"/>
                <w:sz w:val="24"/>
                <w:highlight w:val="none"/>
              </w:rPr>
            </w:pPr>
          </w:p>
        </w:tc>
      </w:tr>
      <w:tr w14:paraId="1341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74" w:type="dxa"/>
            <w:vAlign w:val="center"/>
          </w:tcPr>
          <w:p w14:paraId="2458522C">
            <w:pPr>
              <w:spacing w:before="0" w:line="240" w:lineRule="auto"/>
              <w:contextualSpacing/>
              <w:jc w:val="center"/>
              <w:rPr>
                <w:rFonts w:hint="eastAsia" w:ascii="宋体" w:hAnsi="宋体" w:eastAsia="宋体"/>
                <w:color w:val="auto"/>
                <w:sz w:val="21"/>
                <w:szCs w:val="21"/>
                <w:highlight w:val="none"/>
                <w:lang w:eastAsia="zh-CN"/>
              </w:rPr>
            </w:pPr>
          </w:p>
        </w:tc>
        <w:tc>
          <w:tcPr>
            <w:tcW w:w="1401" w:type="dxa"/>
            <w:vAlign w:val="center"/>
          </w:tcPr>
          <w:p w14:paraId="74C0F983">
            <w:pPr>
              <w:spacing w:before="0" w:line="240" w:lineRule="auto"/>
              <w:contextualSpacing/>
              <w:jc w:val="center"/>
              <w:rPr>
                <w:rFonts w:hint="eastAsia" w:ascii="宋体" w:hAnsi="宋体" w:eastAsia="宋体"/>
                <w:color w:val="auto"/>
                <w:sz w:val="21"/>
                <w:szCs w:val="21"/>
                <w:highlight w:val="none"/>
                <w:lang w:eastAsia="zh-CN"/>
              </w:rPr>
            </w:pPr>
          </w:p>
        </w:tc>
        <w:tc>
          <w:tcPr>
            <w:tcW w:w="2358" w:type="dxa"/>
            <w:vAlign w:val="center"/>
          </w:tcPr>
          <w:p w14:paraId="0F4A2716">
            <w:pPr>
              <w:snapToGrid w:val="0"/>
              <w:spacing w:line="240" w:lineRule="exact"/>
              <w:contextualSpacing/>
              <w:jc w:val="both"/>
              <w:rPr>
                <w:rFonts w:asciiTheme="minorEastAsia" w:hAnsiTheme="minorEastAsia" w:eastAsiaTheme="minorEastAsia"/>
                <w:color w:val="auto"/>
                <w:sz w:val="24"/>
                <w:highlight w:val="none"/>
              </w:rPr>
            </w:pPr>
          </w:p>
        </w:tc>
        <w:tc>
          <w:tcPr>
            <w:tcW w:w="1035" w:type="dxa"/>
            <w:vAlign w:val="center"/>
          </w:tcPr>
          <w:p w14:paraId="77D4A156">
            <w:pPr>
              <w:spacing w:before="0" w:line="240" w:lineRule="auto"/>
              <w:contextualSpacing/>
              <w:jc w:val="center"/>
              <w:rPr>
                <w:rFonts w:asciiTheme="minorEastAsia" w:hAnsiTheme="minorEastAsia" w:eastAsiaTheme="minorEastAsia"/>
                <w:color w:val="auto"/>
                <w:sz w:val="24"/>
                <w:highlight w:val="none"/>
              </w:rPr>
            </w:pPr>
          </w:p>
        </w:tc>
        <w:tc>
          <w:tcPr>
            <w:tcW w:w="990" w:type="dxa"/>
            <w:vAlign w:val="center"/>
          </w:tcPr>
          <w:p w14:paraId="4B12FACA">
            <w:pPr>
              <w:spacing w:before="0" w:line="240" w:lineRule="auto"/>
              <w:contextualSpacing/>
              <w:jc w:val="center"/>
              <w:rPr>
                <w:rFonts w:asciiTheme="minorEastAsia" w:hAnsiTheme="minorEastAsia" w:eastAsiaTheme="minorEastAsia"/>
                <w:color w:val="auto"/>
                <w:sz w:val="24"/>
                <w:highlight w:val="none"/>
              </w:rPr>
            </w:pPr>
          </w:p>
        </w:tc>
        <w:tc>
          <w:tcPr>
            <w:tcW w:w="1035" w:type="dxa"/>
          </w:tcPr>
          <w:p w14:paraId="45411D09">
            <w:pPr>
              <w:rPr>
                <w:rFonts w:asciiTheme="minorEastAsia" w:hAnsiTheme="minorEastAsia" w:eastAsiaTheme="minorEastAsia"/>
                <w:color w:val="auto"/>
                <w:sz w:val="24"/>
                <w:highlight w:val="none"/>
              </w:rPr>
            </w:pPr>
          </w:p>
        </w:tc>
        <w:tc>
          <w:tcPr>
            <w:tcW w:w="1200" w:type="dxa"/>
          </w:tcPr>
          <w:p w14:paraId="7548E8B8">
            <w:pPr>
              <w:rPr>
                <w:rFonts w:asciiTheme="minorEastAsia" w:hAnsiTheme="minorEastAsia" w:eastAsiaTheme="minorEastAsia"/>
                <w:color w:val="auto"/>
                <w:sz w:val="24"/>
                <w:highlight w:val="none"/>
              </w:rPr>
            </w:pPr>
          </w:p>
        </w:tc>
      </w:tr>
      <w:tr w14:paraId="26AC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974" w:type="dxa"/>
            <w:vAlign w:val="center"/>
          </w:tcPr>
          <w:p w14:paraId="660DD2D4">
            <w:pPr>
              <w:spacing w:before="0" w:line="240" w:lineRule="auto"/>
              <w:contextualSpacing/>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1401" w:type="dxa"/>
            <w:vAlign w:val="center"/>
          </w:tcPr>
          <w:p w14:paraId="2B659756">
            <w:pPr>
              <w:spacing w:before="0" w:line="240" w:lineRule="auto"/>
              <w:contextualSpacing/>
              <w:jc w:val="center"/>
              <w:rPr>
                <w:rFonts w:hint="eastAsia" w:ascii="宋体" w:hAnsi="宋体" w:eastAsia="宋体"/>
                <w:color w:val="auto"/>
                <w:sz w:val="21"/>
                <w:szCs w:val="21"/>
                <w:highlight w:val="none"/>
                <w:lang w:eastAsia="zh-CN"/>
              </w:rPr>
            </w:pPr>
          </w:p>
        </w:tc>
        <w:tc>
          <w:tcPr>
            <w:tcW w:w="2358" w:type="dxa"/>
            <w:vAlign w:val="center"/>
          </w:tcPr>
          <w:p w14:paraId="212E5F8A">
            <w:pPr>
              <w:snapToGrid w:val="0"/>
              <w:spacing w:line="240" w:lineRule="exact"/>
              <w:contextualSpacing/>
              <w:jc w:val="both"/>
              <w:rPr>
                <w:rFonts w:asciiTheme="minorEastAsia" w:hAnsiTheme="minorEastAsia" w:eastAsiaTheme="minorEastAsia"/>
                <w:color w:val="auto"/>
                <w:sz w:val="24"/>
                <w:highlight w:val="none"/>
              </w:rPr>
            </w:pPr>
          </w:p>
        </w:tc>
        <w:tc>
          <w:tcPr>
            <w:tcW w:w="1035" w:type="dxa"/>
            <w:vAlign w:val="center"/>
          </w:tcPr>
          <w:p w14:paraId="296DF2C8">
            <w:pPr>
              <w:spacing w:before="0" w:line="240" w:lineRule="auto"/>
              <w:contextualSpacing/>
              <w:jc w:val="center"/>
              <w:rPr>
                <w:rFonts w:asciiTheme="minorEastAsia" w:hAnsiTheme="minorEastAsia" w:eastAsiaTheme="minorEastAsia"/>
                <w:color w:val="auto"/>
                <w:sz w:val="24"/>
                <w:highlight w:val="none"/>
              </w:rPr>
            </w:pPr>
          </w:p>
        </w:tc>
        <w:tc>
          <w:tcPr>
            <w:tcW w:w="990" w:type="dxa"/>
            <w:vAlign w:val="center"/>
          </w:tcPr>
          <w:p w14:paraId="6050E442">
            <w:pPr>
              <w:spacing w:before="0" w:line="240" w:lineRule="auto"/>
              <w:contextualSpacing/>
              <w:jc w:val="center"/>
              <w:rPr>
                <w:rFonts w:asciiTheme="minorEastAsia" w:hAnsiTheme="minorEastAsia" w:eastAsiaTheme="minorEastAsia"/>
                <w:color w:val="auto"/>
                <w:sz w:val="24"/>
                <w:highlight w:val="none"/>
              </w:rPr>
            </w:pPr>
          </w:p>
        </w:tc>
        <w:tc>
          <w:tcPr>
            <w:tcW w:w="1035" w:type="dxa"/>
          </w:tcPr>
          <w:p w14:paraId="446A358E">
            <w:pPr>
              <w:rPr>
                <w:rFonts w:asciiTheme="minorEastAsia" w:hAnsiTheme="minorEastAsia" w:eastAsiaTheme="minorEastAsia"/>
                <w:color w:val="auto"/>
                <w:sz w:val="24"/>
                <w:highlight w:val="none"/>
              </w:rPr>
            </w:pPr>
          </w:p>
        </w:tc>
        <w:tc>
          <w:tcPr>
            <w:tcW w:w="1200" w:type="dxa"/>
          </w:tcPr>
          <w:p w14:paraId="3229F8BE">
            <w:pPr>
              <w:rPr>
                <w:rFonts w:asciiTheme="minorEastAsia" w:hAnsiTheme="minorEastAsia" w:eastAsiaTheme="minorEastAsia"/>
                <w:color w:val="auto"/>
                <w:sz w:val="24"/>
                <w:highlight w:val="none"/>
              </w:rPr>
            </w:pPr>
          </w:p>
        </w:tc>
      </w:tr>
      <w:tr w14:paraId="7B11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793" w:type="dxa"/>
            <w:gridSpan w:val="6"/>
            <w:tcBorders>
              <w:bottom w:val="single" w:color="auto" w:sz="4" w:space="0"/>
            </w:tcBorders>
            <w:vAlign w:val="center"/>
          </w:tcPr>
          <w:p w14:paraId="649ED070">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highlight w:val="none"/>
              </w:rPr>
              <w:t>合计（元）</w:t>
            </w:r>
          </w:p>
        </w:tc>
        <w:tc>
          <w:tcPr>
            <w:tcW w:w="1200" w:type="dxa"/>
          </w:tcPr>
          <w:p w14:paraId="73073CB5">
            <w:pPr>
              <w:rPr>
                <w:rFonts w:asciiTheme="minorEastAsia" w:hAnsiTheme="minorEastAsia" w:eastAsiaTheme="minorEastAsia"/>
                <w:color w:val="auto"/>
                <w:sz w:val="24"/>
                <w:highlight w:val="none"/>
              </w:rPr>
            </w:pPr>
          </w:p>
        </w:tc>
      </w:tr>
    </w:tbl>
    <w:p w14:paraId="38986C7E">
      <w:pPr>
        <w:spacing w:line="440" w:lineRule="exact"/>
        <w:ind w:firstLine="4080" w:firstLineChars="1700"/>
        <w:rPr>
          <w:rFonts w:ascii="宋体" w:hAnsi="宋体" w:eastAsia="宋体"/>
          <w:color w:val="auto"/>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B7455A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1262CD26">
      <w:pPr>
        <w:pStyle w:val="30"/>
        <w:spacing w:line="360" w:lineRule="auto"/>
        <w:jc w:val="right"/>
        <w:rPr>
          <w:rFonts w:ascii="宋体" w:hAnsi="宋体"/>
          <w:color w:val="auto"/>
          <w:sz w:val="24"/>
          <w:highlight w:val="none"/>
        </w:rPr>
      </w:pPr>
    </w:p>
    <w:p w14:paraId="572A78E7">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8"/>
          <w:highlight w:val="none"/>
        </w:rPr>
        <w:t>备注：</w:t>
      </w:r>
      <w:r>
        <w:rPr>
          <w:rFonts w:hint="eastAsia" w:asciiTheme="minorEastAsia" w:hAnsiTheme="minorEastAsia" w:eastAsiaTheme="minorEastAsia"/>
          <w:color w:val="auto"/>
          <w:sz w:val="24"/>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asciiTheme="minorEastAsia" w:hAnsiTheme="minorEastAsia" w:eastAsiaTheme="minorEastAsia"/>
          <w:color w:val="auto"/>
          <w:sz w:val="24"/>
          <w:highlight w:val="none"/>
          <w:lang w:eastAsia="zh-CN"/>
        </w:rPr>
        <w:t>投标人</w:t>
      </w:r>
      <w:r>
        <w:rPr>
          <w:rFonts w:hint="eastAsia" w:asciiTheme="minorEastAsia" w:hAnsiTheme="minorEastAsia" w:eastAsiaTheme="minorEastAsia"/>
          <w:color w:val="auto"/>
          <w:sz w:val="24"/>
          <w:highlight w:val="none"/>
        </w:rPr>
        <w:t>承担全部责任。</w:t>
      </w:r>
    </w:p>
    <w:p w14:paraId="24716988">
      <w:pPr>
        <w:widowControl/>
        <w:jc w:val="left"/>
        <w:rPr>
          <w:b/>
          <w:bCs/>
          <w:color w:val="auto"/>
          <w:sz w:val="24"/>
          <w:szCs w:val="28"/>
          <w:highlight w:val="none"/>
        </w:rPr>
      </w:pPr>
    </w:p>
    <w:p w14:paraId="0EEE8E39">
      <w:pPr>
        <w:spacing w:line="360" w:lineRule="auto"/>
        <w:jc w:val="center"/>
        <w:outlineLvl w:val="2"/>
        <w:rPr>
          <w:rFonts w:hint="eastAsia" w:asciiTheme="minorEastAsia" w:hAnsiTheme="minorEastAsia" w:eastAsiaTheme="minorEastAsia"/>
          <w:b/>
          <w:color w:val="auto"/>
          <w:sz w:val="24"/>
          <w:highlight w:val="none"/>
        </w:rPr>
      </w:pPr>
      <w:bookmarkStart w:id="34" w:name="_Toc461056632"/>
      <w:bookmarkStart w:id="35" w:name="_Toc461053087"/>
      <w:bookmarkStart w:id="36" w:name="_Toc520983588"/>
    </w:p>
    <w:p w14:paraId="2EED5A37">
      <w:pPr>
        <w:spacing w:line="360" w:lineRule="auto"/>
        <w:jc w:val="center"/>
        <w:outlineLvl w:val="2"/>
        <w:rPr>
          <w:rFonts w:hint="eastAsia" w:asciiTheme="minorEastAsia" w:hAnsiTheme="minorEastAsia" w:eastAsiaTheme="minorEastAsia"/>
          <w:b/>
          <w:color w:val="auto"/>
          <w:sz w:val="24"/>
          <w:highlight w:val="none"/>
        </w:rPr>
      </w:pPr>
    </w:p>
    <w:p w14:paraId="7FC34A8B">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5FD7ADAB">
      <w:pPr>
        <w:pStyle w:val="4"/>
        <w:rPr>
          <w:rFonts w:hint="eastAsia"/>
          <w:color w:val="auto"/>
          <w:highlight w:val="none"/>
        </w:rPr>
      </w:pPr>
    </w:p>
    <w:p w14:paraId="7F35619E">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34"/>
      <w:bookmarkEnd w:id="35"/>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第_____轮</w:t>
      </w:r>
      <w:r>
        <w:rPr>
          <w:rFonts w:hint="eastAsia" w:asciiTheme="minorEastAsia" w:hAnsiTheme="minorEastAsia" w:eastAsiaTheme="minorEastAsia"/>
          <w:b/>
          <w:color w:val="auto"/>
          <w:sz w:val="24"/>
          <w:highlight w:val="none"/>
          <w:lang w:eastAsia="zh-CN"/>
        </w:rPr>
        <w:t>报价</w:t>
      </w:r>
      <w:bookmarkEnd w:id="36"/>
    </w:p>
    <w:p w14:paraId="396C26C0">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百大检测公司农残检测相关设备采购项目</w:t>
      </w:r>
      <w:r>
        <w:rPr>
          <w:rFonts w:hint="eastAsia" w:cs="宋体" w:asciiTheme="minorEastAsia" w:hAnsiTheme="minorEastAsia" w:eastAsiaTheme="minorEastAsia"/>
          <w:b/>
          <w:color w:val="auto"/>
          <w:kern w:val="2"/>
          <w:sz w:val="24"/>
          <w:szCs w:val="24"/>
          <w:highlight w:val="none"/>
          <w:u w:val="single"/>
        </w:rPr>
        <w:t xml:space="preserve">    </w:t>
      </w:r>
    </w:p>
    <w:p w14:paraId="4871FBBA">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eastAsia="zh-CN"/>
        </w:rPr>
        <w:t>2025HAFWN02803</w:t>
      </w:r>
      <w:r>
        <w:rPr>
          <w:rFonts w:hint="eastAsia" w:cs="宋体" w:asciiTheme="minorEastAsia" w:hAnsiTheme="minorEastAsia" w:eastAsiaTheme="minorEastAsia"/>
          <w:b/>
          <w:color w:val="auto"/>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601F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D156077">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投标人</w:t>
            </w:r>
            <w:r>
              <w:rPr>
                <w:rFonts w:hint="eastAsia" w:cs="宋体" w:asciiTheme="minorEastAsia" w:hAnsiTheme="minorEastAsia" w:eastAsiaTheme="minorEastAsia"/>
                <w:b/>
                <w:color w:val="auto"/>
                <w:kern w:val="2"/>
                <w:sz w:val="24"/>
                <w:szCs w:val="24"/>
                <w:highlight w:val="none"/>
              </w:rPr>
              <w:t>名称</w:t>
            </w:r>
          </w:p>
        </w:tc>
        <w:tc>
          <w:tcPr>
            <w:tcW w:w="3490" w:type="pct"/>
            <w:tcBorders>
              <w:left w:val="single" w:color="auto" w:sz="4" w:space="0"/>
            </w:tcBorders>
          </w:tcPr>
          <w:p w14:paraId="4D867B90">
            <w:pPr>
              <w:rPr>
                <w:rFonts w:cs="宋体" w:asciiTheme="minorEastAsia" w:hAnsiTheme="minorEastAsia" w:eastAsiaTheme="minorEastAsia"/>
                <w:b/>
                <w:color w:val="auto"/>
                <w:kern w:val="2"/>
                <w:sz w:val="24"/>
                <w:szCs w:val="24"/>
                <w:highlight w:val="none"/>
              </w:rPr>
            </w:pPr>
          </w:p>
        </w:tc>
      </w:tr>
      <w:tr w14:paraId="2C3B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665FE6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0" w:type="pct"/>
            <w:tcBorders>
              <w:left w:val="single" w:color="auto" w:sz="4" w:space="0"/>
            </w:tcBorders>
            <w:vAlign w:val="center"/>
          </w:tcPr>
          <w:p w14:paraId="794D5D1D">
            <w:pPr>
              <w:widowControl/>
              <w:rPr>
                <w:rFonts w:hint="eastAsia" w:cs="宋体" w:asciiTheme="minorEastAsia" w:hAnsiTheme="minorEastAsia" w:eastAsiaTheme="minorEastAsia"/>
                <w:b/>
                <w:color w:val="auto"/>
                <w:kern w:val="2"/>
                <w:sz w:val="24"/>
                <w:szCs w:val="24"/>
                <w:highlight w:val="none"/>
                <w:lang w:eastAsia="zh-CN"/>
              </w:rPr>
            </w:pPr>
            <w:r>
              <w:rPr>
                <w:rFonts w:hint="eastAsia" w:cs="@仿宋_GB2312" w:asciiTheme="minorEastAsia" w:hAnsiTheme="minorEastAsia" w:eastAsiaTheme="minorEastAsia"/>
                <w:color w:val="auto"/>
                <w:kern w:val="2"/>
                <w:sz w:val="24"/>
                <w:szCs w:val="28"/>
                <w:highlight w:val="none"/>
              </w:rPr>
              <w:t>全部</w:t>
            </w:r>
          </w:p>
        </w:tc>
      </w:tr>
      <w:tr w14:paraId="1564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51A6E371">
            <w:pPr>
              <w:spacing w:line="360" w:lineRule="auto"/>
              <w:jc w:val="center"/>
              <w:rPr>
                <w:rFonts w:hint="eastAsia" w:eastAsia="宋体" w:cs="@仿宋_GB2312"/>
                <w:b/>
                <w:color w:val="auto"/>
                <w:kern w:val="2"/>
                <w:sz w:val="24"/>
                <w:highlight w:val="none"/>
                <w:lang w:eastAsia="zh-CN"/>
              </w:rPr>
            </w:pPr>
            <w:r>
              <w:rPr>
                <w:rFonts w:hint="eastAsia" w:cs="@仿宋_GB2312"/>
                <w:b/>
                <w:bCs/>
                <w:color w:val="auto"/>
                <w:kern w:val="2"/>
                <w:sz w:val="24"/>
                <w:szCs w:val="28"/>
                <w:highlight w:val="none"/>
                <w:lang w:eastAsia="zh-CN"/>
              </w:rPr>
              <w:t>最终投标报价</w:t>
            </w:r>
          </w:p>
          <w:p w14:paraId="0C12789E">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0" w:type="pct"/>
            <w:vAlign w:val="center"/>
          </w:tcPr>
          <w:p w14:paraId="7173A5A8">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人民币大写：</w:t>
            </w:r>
            <w:r>
              <w:rPr>
                <w:rFonts w:hint="eastAsia" w:cs="宋体" w:asciiTheme="minorEastAsia" w:hAnsiTheme="minorEastAsia" w:eastAsiaTheme="minorEastAsia"/>
                <w:bCs/>
                <w:color w:val="auto"/>
                <w:kern w:val="2"/>
                <w:sz w:val="24"/>
                <w:szCs w:val="24"/>
                <w:highlight w:val="none"/>
                <w:u w:val="single"/>
              </w:rPr>
              <w:t xml:space="preserve">                        </w:t>
            </w:r>
          </w:p>
        </w:tc>
      </w:tr>
      <w:tr w14:paraId="3F29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C2E88E1">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strike w:val="0"/>
                <w:dstrike w:val="0"/>
                <w:color w:val="auto"/>
                <w:kern w:val="2"/>
                <w:sz w:val="24"/>
                <w:szCs w:val="24"/>
                <w:highlight w:val="none"/>
                <w:lang w:val="en-US" w:eastAsia="zh-CN"/>
              </w:rPr>
              <w:t>供货（安装）周期</w:t>
            </w:r>
          </w:p>
        </w:tc>
        <w:tc>
          <w:tcPr>
            <w:tcW w:w="3490" w:type="pct"/>
            <w:vAlign w:val="center"/>
          </w:tcPr>
          <w:p w14:paraId="29CFECFB">
            <w:pPr>
              <w:snapToGrid w:val="0"/>
              <w:rPr>
                <w:rFonts w:cs="宋体" w:asciiTheme="minorEastAsia" w:hAnsiTheme="minorEastAsia" w:eastAsiaTheme="minorEastAsia"/>
                <w:b/>
                <w:color w:val="auto"/>
                <w:kern w:val="2"/>
                <w:sz w:val="24"/>
                <w:szCs w:val="24"/>
                <w:highlight w:val="none"/>
              </w:rPr>
            </w:pPr>
          </w:p>
        </w:tc>
      </w:tr>
      <w:tr w14:paraId="00F5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561AF05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0" w:type="pct"/>
          </w:tcPr>
          <w:p w14:paraId="6BB2F2A8">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w:t>
            </w:r>
            <w:r>
              <w:rPr>
                <w:rFonts w:hint="eastAsia" w:cs="宋体" w:asciiTheme="minorEastAsia" w:hAnsiTheme="minorEastAsia" w:eastAsiaTheme="minorEastAsia"/>
                <w:b/>
                <w:i/>
                <w:color w:val="auto"/>
                <w:kern w:val="2"/>
                <w:sz w:val="24"/>
                <w:szCs w:val="24"/>
                <w:highlight w:val="none"/>
                <w:lang w:eastAsia="zh-CN"/>
              </w:rPr>
              <w:t>评审小组</w:t>
            </w:r>
            <w:r>
              <w:rPr>
                <w:rFonts w:hint="eastAsia" w:cs="宋体" w:asciiTheme="minorEastAsia" w:hAnsiTheme="minorEastAsia" w:eastAsiaTheme="minorEastAsia"/>
                <w:b/>
                <w:i/>
                <w:color w:val="auto"/>
                <w:kern w:val="2"/>
                <w:sz w:val="24"/>
                <w:szCs w:val="24"/>
                <w:highlight w:val="none"/>
              </w:rPr>
              <w:t>根据与</w:t>
            </w:r>
            <w:r>
              <w:rPr>
                <w:rFonts w:hint="eastAsia" w:cs="宋体" w:asciiTheme="minorEastAsia" w:hAnsiTheme="minorEastAsia" w:eastAsiaTheme="minorEastAsia"/>
                <w:b/>
                <w:i/>
                <w:color w:val="auto"/>
                <w:kern w:val="2"/>
                <w:sz w:val="24"/>
                <w:szCs w:val="24"/>
                <w:highlight w:val="none"/>
                <w:lang w:eastAsia="zh-CN"/>
              </w:rPr>
              <w:t>投标人</w:t>
            </w:r>
            <w:r>
              <w:rPr>
                <w:rFonts w:hint="eastAsia" w:cs="宋体" w:asciiTheme="minorEastAsia" w:hAnsiTheme="minorEastAsia" w:eastAsiaTheme="minorEastAsia"/>
                <w:b/>
                <w:i/>
                <w:color w:val="auto"/>
                <w:kern w:val="2"/>
                <w:sz w:val="24"/>
                <w:szCs w:val="24"/>
                <w:highlight w:val="none"/>
              </w:rPr>
              <w:t>磋商情况变动的磋商文件的内容，包括</w:t>
            </w:r>
            <w:r>
              <w:rPr>
                <w:rFonts w:hint="eastAsia" w:cs="宋体" w:asciiTheme="minorEastAsia" w:hAnsiTheme="minorEastAsia" w:eastAsiaTheme="minorEastAsia"/>
                <w:b/>
                <w:i/>
                <w:color w:val="auto"/>
                <w:kern w:val="2"/>
                <w:sz w:val="24"/>
                <w:szCs w:val="24"/>
                <w:highlight w:val="none"/>
                <w:lang w:eastAsia="zh-CN"/>
              </w:rPr>
              <w:t>招标</w:t>
            </w:r>
            <w:r>
              <w:rPr>
                <w:rFonts w:hint="eastAsia" w:cs="宋体" w:asciiTheme="minorEastAsia" w:hAnsiTheme="minorEastAsia" w:eastAsiaTheme="minorEastAsia"/>
                <w:b/>
                <w:i/>
                <w:color w:val="auto"/>
                <w:kern w:val="2"/>
                <w:sz w:val="24"/>
                <w:szCs w:val="24"/>
                <w:highlight w:val="none"/>
                <w:lang w:val="en-US" w:eastAsia="zh-CN"/>
              </w:rPr>
              <w:t>人要求</w:t>
            </w:r>
            <w:r>
              <w:rPr>
                <w:rFonts w:hint="eastAsia" w:cs="宋体" w:asciiTheme="minorEastAsia" w:hAnsiTheme="minorEastAsia" w:eastAsiaTheme="minorEastAsia"/>
                <w:b/>
                <w:i/>
                <w:color w:val="auto"/>
                <w:kern w:val="2"/>
                <w:sz w:val="24"/>
                <w:szCs w:val="24"/>
                <w:highlight w:val="none"/>
              </w:rPr>
              <w:t>中的</w:t>
            </w:r>
            <w:r>
              <w:rPr>
                <w:rFonts w:hint="eastAsia" w:cs="宋体" w:asciiTheme="minorEastAsia" w:hAnsiTheme="minorEastAsia" w:eastAsiaTheme="minorEastAsia"/>
                <w:b/>
                <w:i/>
                <w:color w:val="auto"/>
                <w:kern w:val="2"/>
                <w:sz w:val="24"/>
                <w:szCs w:val="24"/>
                <w:highlight w:val="none"/>
                <w:lang w:val="en-US" w:eastAsia="zh-CN"/>
              </w:rPr>
              <w:t>供货（安装）</w:t>
            </w:r>
            <w:r>
              <w:rPr>
                <w:rFonts w:hint="eastAsia" w:cs="宋体" w:asciiTheme="minorEastAsia" w:hAnsiTheme="minorEastAsia" w:eastAsiaTheme="minorEastAsia"/>
                <w:b/>
                <w:i/>
                <w:color w:val="auto"/>
                <w:kern w:val="2"/>
                <w:sz w:val="24"/>
                <w:szCs w:val="24"/>
                <w:highlight w:val="none"/>
              </w:rPr>
              <w:t>要求以及合同草案条款。）</w:t>
            </w:r>
          </w:p>
        </w:tc>
      </w:tr>
      <w:tr w14:paraId="10C4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43B78A5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eastAsia="zh-CN"/>
              </w:rPr>
              <w:t>评审小组</w:t>
            </w:r>
            <w:r>
              <w:rPr>
                <w:rFonts w:hint="eastAsia" w:cs="宋体" w:asciiTheme="minorEastAsia" w:hAnsiTheme="minorEastAsia" w:eastAsiaTheme="minorEastAsia"/>
                <w:b/>
                <w:color w:val="auto"/>
                <w:kern w:val="2"/>
                <w:sz w:val="24"/>
                <w:szCs w:val="24"/>
                <w:highlight w:val="none"/>
              </w:rPr>
              <w:t>签字</w:t>
            </w:r>
          </w:p>
        </w:tc>
        <w:tc>
          <w:tcPr>
            <w:tcW w:w="3490" w:type="pct"/>
          </w:tcPr>
          <w:p w14:paraId="0052DE0B">
            <w:pPr>
              <w:rPr>
                <w:rFonts w:cs="宋体" w:asciiTheme="minorEastAsia" w:hAnsiTheme="minorEastAsia" w:eastAsiaTheme="minorEastAsia"/>
                <w:b/>
                <w:color w:val="auto"/>
                <w:kern w:val="2"/>
                <w:sz w:val="24"/>
                <w:szCs w:val="24"/>
                <w:highlight w:val="none"/>
              </w:rPr>
            </w:pPr>
          </w:p>
        </w:tc>
      </w:tr>
    </w:tbl>
    <w:p w14:paraId="57FA0DEA">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szCs w:val="24"/>
          <w:highlight w:val="none"/>
        </w:rPr>
        <w:t>：</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9CF359E">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63509646">
      <w:pPr>
        <w:spacing w:line="360" w:lineRule="auto"/>
        <w:jc w:val="left"/>
        <w:rPr>
          <w:rFonts w:cs="宋体" w:asciiTheme="minorEastAsia" w:hAnsiTheme="minorEastAsia" w:eastAsiaTheme="minorEastAsia"/>
          <w:b/>
          <w:bCs/>
          <w:color w:val="auto"/>
          <w:kern w:val="2"/>
          <w:sz w:val="24"/>
          <w:szCs w:val="24"/>
          <w:highlight w:val="none"/>
        </w:rPr>
      </w:pPr>
    </w:p>
    <w:p w14:paraId="4F61AE3E">
      <w:pPr>
        <w:spacing w:line="360" w:lineRule="auto"/>
        <w:jc w:val="left"/>
        <w:rPr>
          <w:rFonts w:hint="eastAsia" w:eastAsiaTheme="minorEastAsia"/>
          <w:bCs/>
          <w:color w:val="auto"/>
          <w:sz w:val="24"/>
          <w:highlight w:val="none"/>
          <w:lang w:val="en-US" w:eastAsia="zh-CN"/>
        </w:rPr>
      </w:pPr>
      <w:r>
        <w:rPr>
          <w:rFonts w:hint="eastAsia" w:cs="宋体" w:asciiTheme="minorEastAsia" w:hAnsiTheme="minorEastAsia" w:eastAsiaTheme="minorEastAsia"/>
          <w:b/>
          <w:bCs/>
          <w:color w:val="auto"/>
          <w:kern w:val="2"/>
          <w:sz w:val="24"/>
          <w:szCs w:val="24"/>
          <w:highlight w:val="none"/>
        </w:rPr>
        <w:t>注：</w:t>
      </w:r>
      <w:r>
        <w:rPr>
          <w:rFonts w:hint="eastAsia" w:cs="@仿宋_GB2312"/>
          <w:b/>
          <w:bCs/>
          <w:color w:val="auto"/>
          <w:kern w:val="2"/>
          <w:sz w:val="24"/>
          <w:highlight w:val="none"/>
        </w:rPr>
        <w:t>本页报价表由</w:t>
      </w:r>
      <w:r>
        <w:rPr>
          <w:rFonts w:hint="eastAsia" w:cs="@仿宋_GB2312"/>
          <w:b/>
          <w:bCs/>
          <w:color w:val="auto"/>
          <w:kern w:val="2"/>
          <w:sz w:val="24"/>
          <w:highlight w:val="none"/>
          <w:lang w:eastAsia="zh-CN"/>
        </w:rPr>
        <w:t>投标人</w:t>
      </w:r>
      <w:r>
        <w:rPr>
          <w:rFonts w:hint="eastAsia" w:cs="@仿宋_GB2312"/>
          <w:b/>
          <w:bCs/>
          <w:color w:val="auto"/>
          <w:kern w:val="2"/>
          <w:sz w:val="24"/>
          <w:highlight w:val="none"/>
        </w:rPr>
        <w:t>在接到报价通知后依据磋商情况填写</w:t>
      </w:r>
      <w:r>
        <w:rPr>
          <w:rFonts w:hint="eastAsia" w:cs="@仿宋_GB2312"/>
          <w:b/>
          <w:bCs/>
          <w:color w:val="auto"/>
          <w:kern w:val="2"/>
          <w:sz w:val="24"/>
          <w:highlight w:val="none"/>
          <w:lang w:eastAsia="zh-CN"/>
        </w:rPr>
        <w:t>，</w:t>
      </w:r>
      <w:r>
        <w:rPr>
          <w:rFonts w:hint="eastAsia" w:cs="@仿宋_GB2312"/>
          <w:b/>
          <w:bCs/>
          <w:color w:val="auto"/>
          <w:kern w:val="2"/>
          <w:sz w:val="24"/>
          <w:highlight w:val="none"/>
        </w:rPr>
        <w:t>并在规定时间内提交。</w:t>
      </w:r>
      <w:r>
        <w:rPr>
          <w:rFonts w:hint="eastAsia" w:asciiTheme="minorEastAsia" w:hAnsiTheme="minorEastAsia" w:eastAsiaTheme="minorEastAsia"/>
          <w:b/>
          <w:bCs/>
          <w:color w:val="auto"/>
          <w:sz w:val="24"/>
          <w:szCs w:val="28"/>
          <w:highlight w:val="none"/>
          <w:lang w:eastAsia="zh-CN"/>
        </w:rPr>
        <w:t>投标人在填写最终承诺报价后，（第一次报价-最终承诺报价）除以第一次报价后得出的优惠率视同为需求表中全部分项设备、工程量或服务的优惠浮动值（特定分项优惠除外），而不考虑措施项目清单和规费税金清单的金额改变。</w:t>
      </w:r>
    </w:p>
    <w:p w14:paraId="4F1439D9">
      <w:pPr>
        <w:widowControl/>
        <w:jc w:val="left"/>
        <w:rPr>
          <w:bCs/>
          <w:color w:val="auto"/>
          <w:sz w:val="24"/>
          <w:highlight w:val="none"/>
        </w:rPr>
      </w:pPr>
      <w:r>
        <w:rPr>
          <w:bCs/>
          <w:color w:val="auto"/>
          <w:sz w:val="24"/>
          <w:highlight w:val="none"/>
        </w:rPr>
        <w:br w:type="page"/>
      </w:r>
    </w:p>
    <w:p w14:paraId="36A129A4">
      <w:pPr>
        <w:widowControl/>
        <w:jc w:val="left"/>
        <w:rPr>
          <w:rFonts w:asciiTheme="minorEastAsia" w:hAnsiTheme="minorEastAsia" w:eastAsiaTheme="minorEastAsia"/>
          <w:b/>
          <w:color w:val="auto"/>
          <w:sz w:val="24"/>
          <w:highlight w:val="none"/>
        </w:rPr>
      </w:pPr>
      <w:bookmarkStart w:id="37" w:name="_Toc520983591"/>
    </w:p>
    <w:p w14:paraId="740B5C7E">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w:t>
      </w:r>
      <w:r>
        <w:rPr>
          <w:rFonts w:hint="eastAsia" w:asciiTheme="minorEastAsia" w:hAnsiTheme="minorEastAsia" w:eastAsiaTheme="minorEastAsia"/>
          <w:b/>
          <w:color w:val="auto"/>
          <w:sz w:val="24"/>
          <w:highlight w:val="none"/>
        </w:rPr>
        <w:t>函</w:t>
      </w:r>
      <w:bookmarkEnd w:id="37"/>
    </w:p>
    <w:p w14:paraId="35DC6F32">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安徽百大检测技术有限公司</w:t>
      </w:r>
    </w:p>
    <w:p w14:paraId="64FA38AB">
      <w:pPr>
        <w:spacing w:line="360" w:lineRule="auto"/>
        <w:ind w:firstLine="482" w:firstLineChars="20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u w:val="single"/>
        </w:rPr>
        <w:t>安徽公共资源交易集团项目管理有限公司</w:t>
      </w:r>
    </w:p>
    <w:p w14:paraId="08D02BB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w:t>
      </w:r>
      <w:r>
        <w:rPr>
          <w:rFonts w:hint="eastAsia" w:cs="宋体" w:asciiTheme="minorEastAsia" w:hAnsiTheme="minorEastAsia" w:eastAsiaTheme="minorEastAsia"/>
          <w:color w:val="auto"/>
          <w:kern w:val="2"/>
          <w:sz w:val="24"/>
          <w:szCs w:val="24"/>
          <w:highlight w:val="none"/>
          <w:lang w:eastAsia="zh-CN"/>
        </w:rPr>
        <w:t>磋商</w:t>
      </w:r>
      <w:r>
        <w:rPr>
          <w:rFonts w:hint="eastAsia" w:cs="宋体" w:asciiTheme="minorEastAsia" w:hAnsiTheme="minorEastAsia" w:eastAsiaTheme="minorEastAsia"/>
          <w:color w:val="auto"/>
          <w:kern w:val="2"/>
          <w:sz w:val="24"/>
          <w:szCs w:val="24"/>
          <w:highlight w:val="none"/>
          <w:lang w:val="en-US" w:eastAsia="zh-CN"/>
        </w:rPr>
        <w:t>文件</w:t>
      </w:r>
      <w:r>
        <w:rPr>
          <w:rFonts w:hint="eastAsia" w:cs="宋体" w:asciiTheme="minorEastAsia" w:hAnsiTheme="minorEastAsia" w:eastAsiaTheme="minorEastAsia"/>
          <w:color w:val="auto"/>
          <w:kern w:val="2"/>
          <w:sz w:val="24"/>
          <w:szCs w:val="24"/>
          <w:highlight w:val="none"/>
        </w:rPr>
        <w:t>，我方</w:t>
      </w:r>
      <w:r>
        <w:rPr>
          <w:rFonts w:hint="eastAsia" w:cs="宋体" w:asciiTheme="minorEastAsia" w:hAnsiTheme="minorEastAsia" w:eastAsiaTheme="minorEastAsia"/>
          <w:color w:val="auto"/>
          <w:kern w:val="2"/>
          <w:sz w:val="24"/>
          <w:szCs w:val="24"/>
          <w:highlight w:val="none"/>
          <w:lang w:eastAsia="zh-CN"/>
        </w:rPr>
        <w:t>承诺</w:t>
      </w:r>
      <w:r>
        <w:rPr>
          <w:rFonts w:hint="eastAsia" w:cs="宋体" w:asciiTheme="minorEastAsia" w:hAnsiTheme="minorEastAsia" w:eastAsiaTheme="minorEastAsia"/>
          <w:color w:val="auto"/>
          <w:kern w:val="2"/>
          <w:sz w:val="24"/>
          <w:szCs w:val="24"/>
          <w:highlight w:val="none"/>
        </w:rPr>
        <w:t>如下：</w:t>
      </w:r>
    </w:p>
    <w:p w14:paraId="2891D9EF">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w:t>
      </w:r>
      <w:r>
        <w:rPr>
          <w:rFonts w:hint="eastAsia" w:cs="宋体" w:asciiTheme="minorEastAsia" w:hAnsiTheme="minorEastAsia" w:eastAsiaTheme="minorEastAsia"/>
          <w:color w:val="auto"/>
          <w:kern w:val="2"/>
          <w:sz w:val="24"/>
          <w:szCs w:val="24"/>
          <w:highlight w:val="none"/>
          <w:lang w:val="en-US" w:eastAsia="zh-CN"/>
        </w:rPr>
        <w:t>招标人要求</w:t>
      </w:r>
      <w:r>
        <w:rPr>
          <w:rFonts w:hint="eastAsia" w:cs="宋体" w:asciiTheme="minorEastAsia" w:hAnsiTheme="minorEastAsia" w:eastAsiaTheme="minorEastAsia"/>
          <w:color w:val="auto"/>
          <w:kern w:val="2"/>
          <w:sz w:val="24"/>
          <w:szCs w:val="24"/>
          <w:highlight w:val="none"/>
        </w:rPr>
        <w:t>及其他有关文件后，我方接受上述文件要求。我方</w:t>
      </w:r>
      <w:r>
        <w:rPr>
          <w:rFonts w:hint="eastAsia" w:cs="宋体" w:asciiTheme="minorEastAsia" w:hAnsiTheme="minorEastAsia" w:eastAsiaTheme="minorEastAsia"/>
          <w:bCs/>
          <w:color w:val="auto"/>
          <w:kern w:val="2"/>
          <w:sz w:val="24"/>
          <w:szCs w:val="24"/>
          <w:highlight w:val="none"/>
        </w:rPr>
        <w:t>承诺按本磋商文件、合同条款和</w:t>
      </w:r>
      <w:r>
        <w:rPr>
          <w:rFonts w:hint="eastAsia" w:cs="宋体" w:asciiTheme="minorEastAsia" w:hAnsiTheme="minorEastAsia" w:eastAsiaTheme="minorEastAsia"/>
          <w:bCs/>
          <w:color w:val="auto"/>
          <w:kern w:val="2"/>
          <w:sz w:val="24"/>
          <w:szCs w:val="24"/>
          <w:highlight w:val="none"/>
          <w:lang w:val="en-US" w:eastAsia="zh-CN"/>
        </w:rPr>
        <w:t>招标人要求承担本项目的供货（安装）</w:t>
      </w:r>
      <w:r>
        <w:rPr>
          <w:rFonts w:hint="eastAsia" w:cs="宋体" w:asciiTheme="minorEastAsia" w:hAnsiTheme="minorEastAsia" w:eastAsiaTheme="minorEastAsia"/>
          <w:bCs/>
          <w:color w:val="auto"/>
          <w:kern w:val="2"/>
          <w:sz w:val="24"/>
          <w:szCs w:val="24"/>
          <w:highlight w:val="none"/>
        </w:rPr>
        <w:t>，并承担任何质量缺陷保修责任。</w:t>
      </w:r>
    </w:p>
    <w:p w14:paraId="2749B64F">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2</w:t>
      </w:r>
      <w:r>
        <w:rPr>
          <w:rFonts w:hint="eastAsia" w:ascii="宋体" w:hAnsi="宋体" w:eastAsia="宋体"/>
          <w:color w:val="auto"/>
          <w:sz w:val="24"/>
          <w:highlight w:val="none"/>
        </w:rPr>
        <w:t>.我方承诺报价低于</w:t>
      </w:r>
      <w:r>
        <w:rPr>
          <w:rFonts w:ascii="宋体" w:hAnsi="宋体" w:eastAsia="宋体"/>
          <w:color w:val="auto"/>
          <w:sz w:val="24"/>
          <w:highlight w:val="none"/>
        </w:rPr>
        <w:t>同类</w:t>
      </w:r>
      <w:r>
        <w:rPr>
          <w:rFonts w:hint="eastAsia" w:ascii="宋体" w:hAnsi="宋体" w:eastAsia="宋体"/>
          <w:color w:val="auto"/>
          <w:sz w:val="24"/>
          <w:highlight w:val="none"/>
        </w:rPr>
        <w:t>货物和</w:t>
      </w:r>
      <w:r>
        <w:rPr>
          <w:rFonts w:ascii="宋体" w:hAnsi="宋体" w:eastAsia="宋体"/>
          <w:color w:val="auto"/>
          <w:sz w:val="24"/>
          <w:highlight w:val="none"/>
        </w:rPr>
        <w:t>服务的市场平均价格。</w:t>
      </w:r>
    </w:p>
    <w:p w14:paraId="54B393D8">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auto"/>
          <w:kern w:val="2"/>
          <w:sz w:val="24"/>
          <w:szCs w:val="24"/>
          <w:highlight w:val="none"/>
          <w:lang w:val="en-US" w:eastAsia="zh-CN" w:bidi="ar-SA"/>
        </w:rPr>
      </w:pPr>
      <w:r>
        <w:rPr>
          <w:rFonts w:hint="eastAsia" w:cs="宋体" w:asciiTheme="minorEastAsia" w:hAnsiTheme="minorEastAsia" w:eastAsiaTheme="minorEastAsia"/>
          <w:b w:val="0"/>
          <w:bCs w:val="0"/>
          <w:color w:val="auto"/>
          <w:kern w:val="2"/>
          <w:sz w:val="24"/>
          <w:szCs w:val="24"/>
          <w:highlight w:val="none"/>
          <w:lang w:val="en-US" w:eastAsia="zh-CN" w:bidi="ar-SA"/>
        </w:rPr>
        <w:t>3.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7E46A82F">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4</w:t>
      </w:r>
      <w:r>
        <w:rPr>
          <w:rFonts w:hint="eastAsia" w:ascii="宋体" w:hAnsi="宋体" w:eastAsia="宋体"/>
          <w:color w:val="auto"/>
          <w:sz w:val="24"/>
          <w:highlight w:val="none"/>
        </w:rPr>
        <w:t>.如我</w:t>
      </w:r>
      <w:r>
        <w:rPr>
          <w:rFonts w:hint="eastAsia"/>
          <w:color w:val="auto"/>
          <w:sz w:val="24"/>
          <w:highlight w:val="none"/>
          <w:lang w:val="en-US" w:eastAsia="zh-CN"/>
        </w:rPr>
        <w:t>方</w:t>
      </w:r>
      <w:r>
        <w:rPr>
          <w:rFonts w:hint="eastAsia"/>
          <w:color w:val="auto"/>
          <w:sz w:val="24"/>
          <w:highlight w:val="none"/>
          <w:lang w:eastAsia="zh-CN"/>
        </w:rPr>
        <w:t>中标</w:t>
      </w:r>
      <w:r>
        <w:rPr>
          <w:rFonts w:hint="eastAsia" w:ascii="宋体" w:hAnsi="宋体" w:eastAsia="宋体"/>
          <w:color w:val="auto"/>
          <w:sz w:val="24"/>
          <w:highlight w:val="none"/>
        </w:rPr>
        <w:t>，我</w:t>
      </w:r>
      <w:r>
        <w:rPr>
          <w:rFonts w:hint="eastAsia"/>
          <w:color w:val="auto"/>
          <w:sz w:val="24"/>
          <w:highlight w:val="none"/>
          <w:lang w:val="en-US" w:eastAsia="zh-CN"/>
        </w:rPr>
        <w:t>方</w:t>
      </w:r>
      <w:r>
        <w:rPr>
          <w:rFonts w:hint="eastAsia" w:ascii="宋体" w:hAnsi="宋体" w:eastAsia="宋体"/>
          <w:color w:val="auto"/>
          <w:sz w:val="24"/>
          <w:highlight w:val="none"/>
        </w:rPr>
        <w:t>承诺愿意按磋商文件规定缴纳履约保证金和</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。按本次磋商文件规定及</w:t>
      </w:r>
      <w:r>
        <w:rPr>
          <w:rFonts w:ascii="宋体" w:hAnsi="宋体" w:eastAsia="宋体" w:cs="宋体"/>
          <w:color w:val="auto"/>
          <w:sz w:val="24"/>
          <w:szCs w:val="24"/>
          <w:highlight w:val="none"/>
        </w:rPr>
        <w:t>最终投标报价</w:t>
      </w:r>
      <w:r>
        <w:rPr>
          <w:rFonts w:hint="eastAsia" w:ascii="宋体" w:hAnsi="宋体" w:eastAsia="宋体"/>
          <w:color w:val="auto"/>
          <w:sz w:val="24"/>
          <w:highlight w:val="none"/>
        </w:rPr>
        <w:t>承诺供货</w:t>
      </w:r>
      <w:r>
        <w:rPr>
          <w:rFonts w:hint="eastAsia"/>
          <w:color w:val="auto"/>
          <w:sz w:val="24"/>
          <w:highlight w:val="none"/>
          <w:lang w:eastAsia="zh-CN"/>
        </w:rPr>
        <w:t>（</w:t>
      </w:r>
      <w:r>
        <w:rPr>
          <w:rFonts w:hint="eastAsia" w:ascii="宋体" w:hAnsi="宋体" w:eastAsia="宋体"/>
          <w:color w:val="auto"/>
          <w:sz w:val="24"/>
          <w:highlight w:val="none"/>
        </w:rPr>
        <w:t>安装</w:t>
      </w:r>
      <w:r>
        <w:rPr>
          <w:rFonts w:hint="eastAsia"/>
          <w:color w:val="auto"/>
          <w:sz w:val="24"/>
          <w:highlight w:val="none"/>
          <w:lang w:eastAsia="zh-CN"/>
        </w:rPr>
        <w:t>）</w:t>
      </w:r>
      <w:r>
        <w:rPr>
          <w:rFonts w:hint="eastAsia" w:ascii="宋体" w:hAnsi="宋体" w:eastAsia="宋体"/>
          <w:color w:val="auto"/>
          <w:sz w:val="24"/>
          <w:highlight w:val="none"/>
        </w:rPr>
        <w:t>。</w:t>
      </w:r>
    </w:p>
    <w:p w14:paraId="26B80B32">
      <w:pPr>
        <w:spacing w:line="360" w:lineRule="auto"/>
        <w:ind w:firstLine="480" w:firstLineChars="200"/>
        <w:rPr>
          <w:rFonts w:ascii="宋体" w:hAnsi="宋体" w:eastAsia="宋体"/>
          <w:color w:val="auto"/>
          <w:sz w:val="24"/>
          <w:highlight w:val="none"/>
        </w:rPr>
      </w:pPr>
      <w:r>
        <w:rPr>
          <w:rFonts w:hint="eastAsia"/>
          <w:color w:val="auto"/>
          <w:sz w:val="24"/>
          <w:highlight w:val="none"/>
          <w:lang w:val="en-US" w:eastAsia="zh-CN"/>
        </w:rPr>
        <w:t>5</w:t>
      </w:r>
      <w:r>
        <w:rPr>
          <w:rFonts w:hint="eastAsia" w:ascii="宋体" w:hAnsi="宋体" w:eastAsia="宋体"/>
          <w:color w:val="auto"/>
          <w:sz w:val="24"/>
          <w:highlight w:val="none"/>
        </w:rPr>
        <w:t>.我方根据本次磋商文件的规定，严格履行合同的责任和义务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w:t>
      </w:r>
      <w:r>
        <w:rPr>
          <w:rFonts w:hint="eastAsia"/>
          <w:color w:val="auto"/>
          <w:sz w:val="24"/>
          <w:highlight w:val="none"/>
          <w:lang w:val="en-US" w:eastAsia="zh-CN"/>
        </w:rPr>
        <w:t>你</w:t>
      </w:r>
      <w:r>
        <w:rPr>
          <w:rFonts w:hint="eastAsia" w:ascii="宋体" w:hAnsi="宋体" w:eastAsia="宋体"/>
          <w:color w:val="auto"/>
          <w:sz w:val="24"/>
          <w:highlight w:val="none"/>
        </w:rPr>
        <w:t>方要求的日期内完成供货</w:t>
      </w:r>
      <w:r>
        <w:rPr>
          <w:rFonts w:hint="eastAsia"/>
          <w:color w:val="auto"/>
          <w:sz w:val="24"/>
          <w:highlight w:val="none"/>
          <w:lang w:eastAsia="zh-CN"/>
        </w:rPr>
        <w:t>（</w:t>
      </w:r>
      <w:r>
        <w:rPr>
          <w:rFonts w:hint="eastAsia" w:ascii="宋体" w:hAnsi="宋体" w:eastAsia="宋体"/>
          <w:color w:val="auto"/>
          <w:sz w:val="24"/>
          <w:highlight w:val="none"/>
        </w:rPr>
        <w:t>安装</w:t>
      </w:r>
      <w:r>
        <w:rPr>
          <w:rFonts w:hint="eastAsia"/>
          <w:color w:val="auto"/>
          <w:sz w:val="24"/>
          <w:highlight w:val="none"/>
          <w:lang w:eastAsia="zh-CN"/>
        </w:rPr>
        <w:t>）</w:t>
      </w:r>
      <w:r>
        <w:rPr>
          <w:rFonts w:hint="eastAsia" w:ascii="宋体" w:hAnsi="宋体" w:eastAsia="宋体"/>
          <w:color w:val="auto"/>
          <w:sz w:val="24"/>
          <w:highlight w:val="none"/>
        </w:rPr>
        <w:t>及服务，并通过</w:t>
      </w:r>
      <w:r>
        <w:rPr>
          <w:rFonts w:hint="eastAsia"/>
          <w:color w:val="auto"/>
          <w:sz w:val="24"/>
          <w:highlight w:val="none"/>
          <w:lang w:val="en-US" w:eastAsia="zh-CN"/>
        </w:rPr>
        <w:t>你方</w:t>
      </w:r>
      <w:r>
        <w:rPr>
          <w:rFonts w:hint="eastAsia" w:ascii="宋体" w:hAnsi="宋体" w:eastAsia="宋体"/>
          <w:color w:val="auto"/>
          <w:sz w:val="24"/>
          <w:highlight w:val="none"/>
        </w:rPr>
        <w:t>验收。</w:t>
      </w:r>
    </w:p>
    <w:p w14:paraId="16F491A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6.我方同意按</w:t>
      </w:r>
      <w:r>
        <w:rPr>
          <w:rFonts w:hint="eastAsia"/>
          <w:color w:val="auto"/>
          <w:sz w:val="24"/>
          <w:highlight w:val="none"/>
          <w:lang w:val="en-US" w:eastAsia="zh-CN"/>
        </w:rPr>
        <w:t>你</w:t>
      </w:r>
      <w:r>
        <w:rPr>
          <w:rFonts w:hint="eastAsia" w:ascii="宋体" w:hAnsi="宋体" w:eastAsia="宋体"/>
          <w:color w:val="auto"/>
          <w:sz w:val="24"/>
          <w:highlight w:val="none"/>
        </w:rPr>
        <w:t>方要求在磋商规定时间内向</w:t>
      </w:r>
      <w:r>
        <w:rPr>
          <w:rFonts w:hint="eastAsia"/>
          <w:color w:val="auto"/>
          <w:sz w:val="24"/>
          <w:highlight w:val="none"/>
          <w:lang w:val="en-US" w:eastAsia="zh-CN"/>
        </w:rPr>
        <w:t>你</w:t>
      </w:r>
      <w:r>
        <w:rPr>
          <w:rFonts w:hint="eastAsia" w:ascii="宋体" w:hAnsi="宋体" w:eastAsia="宋体"/>
          <w:color w:val="auto"/>
          <w:sz w:val="24"/>
          <w:highlight w:val="none"/>
        </w:rPr>
        <w:t>方提供与其磋商有关的任何证据或补充资料，否则，我方的</w:t>
      </w:r>
      <w:r>
        <w:rPr>
          <w:rFonts w:hint="eastAsia"/>
          <w:color w:val="auto"/>
          <w:sz w:val="24"/>
          <w:highlight w:val="none"/>
          <w:lang w:val="en-US" w:eastAsia="zh-CN"/>
        </w:rPr>
        <w:t>投标</w:t>
      </w:r>
      <w:r>
        <w:rPr>
          <w:rFonts w:hint="eastAsia" w:ascii="宋体" w:hAnsi="宋体" w:eastAsia="宋体"/>
          <w:color w:val="auto"/>
          <w:sz w:val="24"/>
          <w:highlight w:val="none"/>
        </w:rPr>
        <w:t>文件</w:t>
      </w:r>
      <w:r>
        <w:rPr>
          <w:rFonts w:hint="eastAsia" w:ascii="宋体" w:hAnsi="宋体" w:eastAsia="宋体"/>
          <w:color w:val="auto"/>
          <w:sz w:val="24"/>
          <w:highlight w:val="none"/>
        </w:rPr>
        <w:t>可被</w:t>
      </w:r>
      <w:r>
        <w:rPr>
          <w:rFonts w:hint="eastAsia"/>
          <w:color w:val="auto"/>
          <w:sz w:val="24"/>
          <w:highlight w:val="none"/>
          <w:lang w:val="en-US" w:eastAsia="zh-CN"/>
        </w:rPr>
        <w:t>你</w:t>
      </w:r>
      <w:r>
        <w:rPr>
          <w:rFonts w:hint="eastAsia" w:ascii="宋体" w:hAnsi="宋体" w:eastAsia="宋体"/>
          <w:color w:val="auto"/>
          <w:sz w:val="24"/>
          <w:highlight w:val="none"/>
        </w:rPr>
        <w:t>方拒绝。</w:t>
      </w:r>
    </w:p>
    <w:p w14:paraId="2F324B9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7.我方完全理解</w:t>
      </w:r>
      <w:r>
        <w:rPr>
          <w:rFonts w:hint="eastAsia"/>
          <w:color w:val="auto"/>
          <w:sz w:val="24"/>
          <w:highlight w:val="none"/>
          <w:lang w:eastAsia="zh-CN"/>
        </w:rPr>
        <w:t>你方</w:t>
      </w:r>
      <w:r>
        <w:rPr>
          <w:rFonts w:hint="eastAsia" w:ascii="宋体" w:hAnsi="宋体" w:eastAsia="宋体"/>
          <w:color w:val="auto"/>
          <w:sz w:val="24"/>
          <w:highlight w:val="none"/>
        </w:rPr>
        <w:t>不一定接受最低报价的磋商。</w:t>
      </w:r>
    </w:p>
    <w:p w14:paraId="65930B6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8.我方同意磋商文件规定的付款方式、</w:t>
      </w:r>
      <w:r>
        <w:rPr>
          <w:rFonts w:hint="eastAsia"/>
          <w:color w:val="auto"/>
          <w:sz w:val="24"/>
          <w:highlight w:val="none"/>
          <w:lang w:val="en-US" w:eastAsia="zh-CN"/>
        </w:rPr>
        <w:t>供货（安装）期限</w:t>
      </w:r>
      <w:r>
        <w:rPr>
          <w:rFonts w:hint="eastAsia" w:ascii="宋体" w:hAnsi="宋体" w:eastAsia="宋体"/>
          <w:color w:val="auto"/>
          <w:sz w:val="24"/>
          <w:highlight w:val="none"/>
        </w:rPr>
        <w:t>。</w:t>
      </w:r>
    </w:p>
    <w:p w14:paraId="620F5A9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9.我方对</w:t>
      </w:r>
      <w:r>
        <w:rPr>
          <w:rFonts w:hint="eastAsia"/>
          <w:color w:val="auto"/>
          <w:sz w:val="24"/>
          <w:highlight w:val="none"/>
          <w:lang w:val="en-US" w:eastAsia="zh-CN"/>
        </w:rPr>
        <w:t>投标</w:t>
      </w:r>
      <w:r>
        <w:rPr>
          <w:rFonts w:hint="eastAsia" w:ascii="宋体" w:hAnsi="宋体" w:eastAsia="宋体"/>
          <w:color w:val="auto"/>
          <w:sz w:val="24"/>
          <w:highlight w:val="none"/>
        </w:rPr>
        <w:t>文件</w:t>
      </w:r>
      <w:r>
        <w:rPr>
          <w:rFonts w:hint="eastAsia" w:ascii="宋体" w:hAnsi="宋体" w:eastAsia="宋体"/>
          <w:color w:val="auto"/>
          <w:sz w:val="24"/>
          <w:highlight w:val="none"/>
        </w:rPr>
        <w:t>中所提供资料、文件、证书及证件的真实性和有效性负责。</w:t>
      </w:r>
    </w:p>
    <w:p w14:paraId="32D82B8A">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10</w:t>
      </w:r>
      <w:r>
        <w:rPr>
          <w:rFonts w:hint="eastAsia" w:cs="宋体" w:asciiTheme="minorEastAsia" w:hAnsiTheme="minorEastAsia" w:eastAsiaTheme="minorEastAsia"/>
          <w:color w:val="auto"/>
          <w:kern w:val="2"/>
          <w:sz w:val="24"/>
          <w:szCs w:val="24"/>
          <w:highlight w:val="none"/>
        </w:rPr>
        <w:t>.我方同意所提交的</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在磋商文件规定的磋商有效期内有效，在此期间内如果</w:t>
      </w:r>
      <w:r>
        <w:rPr>
          <w:rFonts w:hint="eastAsia" w:cs="宋体" w:asciiTheme="minorEastAsia" w:hAnsiTheme="minorEastAsia" w:eastAsiaTheme="minorEastAsia"/>
          <w:color w:val="auto"/>
          <w:kern w:val="2"/>
          <w:sz w:val="24"/>
          <w:szCs w:val="24"/>
          <w:highlight w:val="none"/>
          <w:lang w:eastAsia="zh-CN"/>
        </w:rPr>
        <w:t>中标</w:t>
      </w:r>
      <w:r>
        <w:rPr>
          <w:rFonts w:hint="eastAsia" w:cs="宋体" w:asciiTheme="minorEastAsia" w:hAnsiTheme="minorEastAsia" w:eastAsiaTheme="minorEastAsia"/>
          <w:color w:val="auto"/>
          <w:kern w:val="2"/>
          <w:sz w:val="24"/>
          <w:szCs w:val="24"/>
          <w:highlight w:val="none"/>
        </w:rPr>
        <w:t>，我方将受此约束。</w:t>
      </w:r>
    </w:p>
    <w:p w14:paraId="7D71C770">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1</w:t>
      </w:r>
      <w:r>
        <w:rPr>
          <w:rFonts w:hint="eastAsia" w:cs="宋体" w:asciiTheme="minorEastAsia" w:hAnsiTheme="minorEastAsia" w:eastAsiaTheme="minorEastAsia"/>
          <w:color w:val="auto"/>
          <w:kern w:val="2"/>
          <w:sz w:val="24"/>
          <w:szCs w:val="24"/>
          <w:highlight w:val="none"/>
        </w:rPr>
        <w:t>.除非另外达成协议并生效，你方的</w:t>
      </w:r>
      <w:r>
        <w:rPr>
          <w:rFonts w:hint="eastAsia" w:cs="宋体" w:asciiTheme="minorEastAsia" w:hAnsiTheme="minorEastAsia" w:eastAsiaTheme="minorEastAsia"/>
          <w:color w:val="auto"/>
          <w:kern w:val="2"/>
          <w:sz w:val="24"/>
          <w:szCs w:val="24"/>
          <w:highlight w:val="none"/>
          <w:lang w:eastAsia="zh-CN"/>
        </w:rPr>
        <w:t>中标通知书</w:t>
      </w:r>
      <w:r>
        <w:rPr>
          <w:rFonts w:hint="eastAsia" w:cs="宋体" w:asciiTheme="minorEastAsia" w:hAnsiTheme="minorEastAsia" w:eastAsiaTheme="minorEastAsia"/>
          <w:color w:val="auto"/>
          <w:kern w:val="2"/>
          <w:sz w:val="24"/>
          <w:szCs w:val="24"/>
          <w:highlight w:val="none"/>
        </w:rPr>
        <w:t>和本</w:t>
      </w:r>
      <w:r>
        <w:rPr>
          <w:rFonts w:hint="eastAsia" w:cs="宋体" w:asciiTheme="minorEastAsia" w:hAnsiTheme="minorEastAsia" w:eastAsiaTheme="minorEastAsia"/>
          <w:color w:val="auto"/>
          <w:kern w:val="2"/>
          <w:sz w:val="24"/>
          <w:szCs w:val="24"/>
          <w:highlight w:val="none"/>
          <w:lang w:eastAsia="zh-CN"/>
        </w:rPr>
        <w:t>投标文件</w:t>
      </w:r>
      <w:r>
        <w:rPr>
          <w:rFonts w:hint="eastAsia" w:cs="宋体" w:asciiTheme="minorEastAsia" w:hAnsiTheme="minorEastAsia" w:eastAsiaTheme="minorEastAsia"/>
          <w:color w:val="auto"/>
          <w:kern w:val="2"/>
          <w:sz w:val="24"/>
          <w:szCs w:val="24"/>
          <w:highlight w:val="none"/>
        </w:rPr>
        <w:t>以及磋商文件、磋商文件澄清、修改、补充将成为约束双方的合同文件的组成部分。</w:t>
      </w:r>
    </w:p>
    <w:p w14:paraId="360134D7">
      <w:pPr>
        <w:spacing w:line="360" w:lineRule="auto"/>
        <w:ind w:firstLine="480" w:firstLineChars="200"/>
        <w:rPr>
          <w:rFonts w:hint="eastAsia"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lang w:val="en-US" w:eastAsia="zh-CN"/>
        </w:rPr>
        <w:t>12.我方</w:t>
      </w:r>
      <w:r>
        <w:rPr>
          <w:rFonts w:hint="eastAsia" w:cs="宋体" w:asciiTheme="minorEastAsia" w:hAnsiTheme="minorEastAsia" w:eastAsiaTheme="minorEastAsia"/>
          <w:color w:val="auto"/>
          <w:kern w:val="2"/>
          <w:sz w:val="24"/>
          <w:szCs w:val="24"/>
          <w:highlight w:val="none"/>
        </w:rPr>
        <w:t>不存在</w:t>
      </w:r>
      <w:r>
        <w:rPr>
          <w:rFonts w:hint="eastAsia" w:cs="宋体" w:asciiTheme="minorEastAsia" w:hAnsiTheme="minorEastAsia" w:eastAsiaTheme="minorEastAsia"/>
          <w:color w:val="auto"/>
          <w:kern w:val="2"/>
          <w:sz w:val="24"/>
          <w:szCs w:val="24"/>
          <w:highlight w:val="none"/>
          <w:lang w:val="en-US" w:eastAsia="zh-CN"/>
        </w:rPr>
        <w:t>磋商公告中“</w:t>
      </w:r>
      <w:r>
        <w:rPr>
          <w:rFonts w:hint="eastAsia" w:cs="宋体" w:asciiTheme="minorEastAsia" w:hAnsiTheme="minorEastAsia" w:eastAsiaTheme="minorEastAsia"/>
          <w:color w:val="auto"/>
          <w:kern w:val="2"/>
          <w:sz w:val="24"/>
          <w:szCs w:val="24"/>
          <w:highlight w:val="none"/>
          <w:lang w:eastAsia="zh-CN"/>
        </w:rPr>
        <w:t>投标人</w:t>
      </w:r>
      <w:r>
        <w:rPr>
          <w:rFonts w:hint="eastAsia" w:cs="宋体" w:asciiTheme="minorEastAsia" w:hAnsiTheme="minorEastAsia" w:eastAsiaTheme="minorEastAsia"/>
          <w:color w:val="auto"/>
          <w:kern w:val="2"/>
          <w:sz w:val="24"/>
          <w:szCs w:val="24"/>
          <w:highlight w:val="none"/>
        </w:rPr>
        <w:t>资格</w:t>
      </w:r>
      <w:r>
        <w:rPr>
          <w:rFonts w:hint="eastAsia" w:cs="宋体" w:asciiTheme="minorEastAsia" w:hAnsiTheme="minorEastAsia" w:eastAsiaTheme="minorEastAsia"/>
          <w:color w:val="auto"/>
          <w:kern w:val="2"/>
          <w:sz w:val="24"/>
          <w:szCs w:val="24"/>
          <w:highlight w:val="none"/>
          <w:lang w:eastAsia="zh-CN"/>
        </w:rPr>
        <w:t>要求”</w:t>
      </w:r>
      <w:r>
        <w:rPr>
          <w:rFonts w:hint="eastAsia" w:cs="宋体" w:asciiTheme="minorEastAsia" w:hAnsiTheme="minorEastAsia" w:eastAsiaTheme="minorEastAsia"/>
          <w:color w:val="auto"/>
          <w:kern w:val="2"/>
          <w:sz w:val="24"/>
          <w:szCs w:val="24"/>
          <w:highlight w:val="none"/>
          <w:lang w:val="en-US" w:eastAsia="zh-CN"/>
        </w:rPr>
        <w:t>的“</w:t>
      </w:r>
      <w:r>
        <w:rPr>
          <w:rFonts w:hint="eastAsia" w:cs="宋体" w:asciiTheme="minorEastAsia" w:hAnsiTheme="minorEastAsia" w:eastAsiaTheme="minorEastAsia"/>
          <w:color w:val="auto"/>
          <w:kern w:val="2"/>
          <w:sz w:val="24"/>
          <w:szCs w:val="24"/>
          <w:highlight w:val="none"/>
        </w:rPr>
        <w:t>不良信用记录情形</w:t>
      </w:r>
      <w:r>
        <w:rPr>
          <w:rFonts w:hint="eastAsia" w:cs="宋体" w:asciiTheme="minorEastAsia" w:hAnsiTheme="minorEastAsia" w:eastAsiaTheme="minorEastAsia"/>
          <w:color w:val="auto"/>
          <w:kern w:val="2"/>
          <w:sz w:val="24"/>
          <w:szCs w:val="24"/>
          <w:highlight w:val="none"/>
          <w:lang w:eastAsia="zh-CN"/>
        </w:rPr>
        <w:t>”</w:t>
      </w:r>
      <w:r>
        <w:rPr>
          <w:rFonts w:hint="eastAsia" w:cs="宋体" w:asciiTheme="minorEastAsia" w:hAnsiTheme="minorEastAsia" w:eastAsiaTheme="minorEastAsia"/>
          <w:color w:val="auto"/>
          <w:kern w:val="2"/>
          <w:sz w:val="24"/>
          <w:szCs w:val="24"/>
          <w:highlight w:val="none"/>
        </w:rPr>
        <w:t>规定的任何一种情形。</w:t>
      </w:r>
    </w:p>
    <w:p w14:paraId="417E7E4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auto"/>
          <w:sz w:val="24"/>
          <w:highlight w:val="none"/>
          <w:lang w:eastAsia="zh-CN"/>
        </w:rPr>
      </w:pPr>
      <w:r>
        <w:rPr>
          <w:rFonts w:hint="eastAsia" w:ascii="宋体" w:hAnsi="宋体" w:eastAsia="宋体" w:cs="宋体"/>
          <w:b/>
          <w:bCs/>
          <w:color w:val="auto"/>
          <w:kern w:val="0"/>
          <w:sz w:val="24"/>
          <w:szCs w:val="24"/>
          <w:highlight w:val="none"/>
          <w:lang w:val="en-US" w:eastAsia="zh-CN" w:bidi="ar"/>
        </w:rPr>
        <w:t>13.我方声明下述内容真实有效，如有</w:t>
      </w:r>
      <w:r>
        <w:rPr>
          <w:rFonts w:hint="eastAsia" w:ascii="宋体" w:hAnsi="宋体" w:eastAsia="宋体"/>
          <w:b/>
          <w:bCs/>
          <w:color w:val="auto"/>
          <w:sz w:val="24"/>
          <w:highlight w:val="none"/>
        </w:rPr>
        <w:t>虚假，将依法承担相应责任</w:t>
      </w:r>
      <w:r>
        <w:rPr>
          <w:rFonts w:hint="eastAsia" w:ascii="宋体" w:hAnsi="宋体" w:eastAsia="宋体"/>
          <w:b/>
          <w:bCs/>
          <w:color w:val="auto"/>
          <w:sz w:val="24"/>
          <w:highlight w:val="none"/>
          <w:lang w:eastAsia="zh-CN"/>
        </w:rPr>
        <w:t>：</w:t>
      </w:r>
    </w:p>
    <w:p w14:paraId="631516C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FB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noWrap w:val="0"/>
            <w:vAlign w:val="top"/>
          </w:tcPr>
          <w:p w14:paraId="71E6C31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2841" w:type="dxa"/>
            <w:noWrap w:val="0"/>
            <w:vAlign w:val="top"/>
          </w:tcPr>
          <w:p w14:paraId="5D1294BE">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单位名称</w:t>
            </w:r>
          </w:p>
        </w:tc>
        <w:tc>
          <w:tcPr>
            <w:tcW w:w="2841" w:type="dxa"/>
            <w:noWrap w:val="0"/>
            <w:vAlign w:val="top"/>
          </w:tcPr>
          <w:p w14:paraId="42661B6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相互关系</w:t>
            </w:r>
          </w:p>
        </w:tc>
      </w:tr>
      <w:tr w14:paraId="5A9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034001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2841" w:type="dxa"/>
            <w:noWrap w:val="0"/>
            <w:vAlign w:val="top"/>
          </w:tcPr>
          <w:p w14:paraId="276C526D">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4E9ED85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A7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BB3656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2841" w:type="dxa"/>
            <w:noWrap w:val="0"/>
            <w:vAlign w:val="top"/>
          </w:tcPr>
          <w:p w14:paraId="32CAEE8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noWrap w:val="0"/>
            <w:vAlign w:val="top"/>
          </w:tcPr>
          <w:p w14:paraId="444D8C34">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bl>
    <w:p w14:paraId="1A7F3E42">
      <w:pPr>
        <w:spacing w:line="360" w:lineRule="auto"/>
        <w:ind w:firstLine="480" w:firstLineChars="200"/>
        <w:rPr>
          <w:rFonts w:hint="eastAsia" w:cs="宋体" w:asciiTheme="minorEastAsia" w:hAnsiTheme="minorEastAsia" w:eastAsiaTheme="minorEastAsia"/>
          <w:color w:val="auto"/>
          <w:kern w:val="2"/>
          <w:sz w:val="24"/>
          <w:szCs w:val="24"/>
          <w:highlight w:val="none"/>
        </w:rPr>
      </w:pPr>
    </w:p>
    <w:p w14:paraId="7430D95B">
      <w:pPr>
        <w:spacing w:line="360" w:lineRule="auto"/>
        <w:ind w:firstLine="480" w:firstLineChars="200"/>
        <w:rPr>
          <w:color w:val="auto"/>
          <w:highlight w:val="none"/>
        </w:rPr>
      </w:pPr>
      <w:r>
        <w:rPr>
          <w:rFonts w:cs="宋体" w:asciiTheme="minorEastAsia" w:hAnsiTheme="minorEastAsia" w:eastAsiaTheme="minorEastAsia"/>
          <w:color w:val="auto"/>
          <w:kern w:val="2"/>
          <w:sz w:val="24"/>
          <w:szCs w:val="24"/>
          <w:highlight w:val="none"/>
        </w:rPr>
        <w:t>1</w:t>
      </w:r>
      <w:r>
        <w:rPr>
          <w:rFonts w:hint="eastAsia" w:cs="宋体" w:asciiTheme="minorEastAsia" w:hAnsiTheme="minorEastAsia" w:eastAsiaTheme="minorEastAsia"/>
          <w:color w:val="auto"/>
          <w:kern w:val="2"/>
          <w:sz w:val="24"/>
          <w:szCs w:val="24"/>
          <w:highlight w:val="none"/>
          <w:lang w:val="en-US" w:eastAsia="zh-CN"/>
        </w:rPr>
        <w:t>4</w:t>
      </w:r>
      <w:r>
        <w:rPr>
          <w:rFonts w:hint="eastAsia" w:cs="宋体" w:asciiTheme="minorEastAsia" w:hAnsiTheme="minorEastAsia" w:eastAsiaTheme="minorEastAsia"/>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u w:val="single"/>
        </w:rPr>
        <w:t xml:space="preserve">             补充说明事项（如有）       </w:t>
      </w:r>
    </w:p>
    <w:p w14:paraId="3FEAAE9D">
      <w:pPr>
        <w:pStyle w:val="54"/>
        <w:ind w:firstLine="200"/>
        <w:rPr>
          <w:color w:val="auto"/>
          <w:highlight w:val="none"/>
          <w:lang w:val="en-US"/>
        </w:rPr>
      </w:pPr>
    </w:p>
    <w:p w14:paraId="6E957053">
      <w:pPr>
        <w:spacing w:line="360" w:lineRule="auto"/>
        <w:ind w:firstLine="4800" w:firstLineChars="2000"/>
        <w:rPr>
          <w:rFonts w:cs="@仿宋_GB2312"/>
          <w:color w:val="auto"/>
          <w:kern w:val="2"/>
          <w:sz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仿宋_GB2312"/>
          <w:color w:val="auto"/>
          <w:kern w:val="2"/>
          <w:sz w:val="24"/>
          <w:highlight w:val="none"/>
        </w:rPr>
        <w:t>：</w:t>
      </w:r>
      <w:r>
        <w:rPr>
          <w:rFonts w:hint="eastAsia" w:cs="@仿宋_GB2312"/>
          <w:color w:val="auto"/>
          <w:kern w:val="2"/>
          <w:sz w:val="24"/>
          <w:highlight w:val="none"/>
          <w:u w:val="single"/>
        </w:rPr>
        <w:t xml:space="preserve">             </w:t>
      </w:r>
    </w:p>
    <w:p w14:paraId="1EFD5938">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573A5C0C">
      <w:pPr>
        <w:widowControl/>
        <w:jc w:val="left"/>
        <w:rPr>
          <w:color w:val="auto"/>
          <w:sz w:val="24"/>
          <w:highlight w:val="none"/>
        </w:rPr>
      </w:pPr>
      <w:r>
        <w:rPr>
          <w:color w:val="auto"/>
          <w:sz w:val="24"/>
          <w:highlight w:val="none"/>
        </w:rPr>
        <w:br w:type="page"/>
      </w:r>
    </w:p>
    <w:p w14:paraId="795B58B8">
      <w:pPr>
        <w:widowControl/>
        <w:jc w:val="left"/>
        <w:rPr>
          <w:color w:val="auto"/>
          <w:sz w:val="24"/>
          <w:highlight w:val="none"/>
        </w:rPr>
      </w:pPr>
    </w:p>
    <w:p w14:paraId="5B492101">
      <w:pPr>
        <w:spacing w:line="360" w:lineRule="auto"/>
        <w:jc w:val="center"/>
        <w:outlineLvl w:val="2"/>
        <w:rPr>
          <w:rFonts w:asciiTheme="minorEastAsia" w:hAnsiTheme="minorEastAsia" w:eastAsiaTheme="minorEastAsia"/>
          <w:b/>
          <w:color w:val="auto"/>
          <w:sz w:val="24"/>
          <w:highlight w:val="none"/>
        </w:rPr>
      </w:pPr>
      <w:bookmarkStart w:id="38" w:name="_Toc520983594"/>
      <w:bookmarkStart w:id="39" w:name="_Toc204594911"/>
      <w:bookmarkStart w:id="40" w:name="_Toc121626298"/>
      <w:bookmarkStart w:id="41" w:name="_Toc516969106"/>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38"/>
      <w:bookmarkEnd w:id="39"/>
      <w:bookmarkEnd w:id="40"/>
      <w:bookmarkEnd w:id="41"/>
    </w:p>
    <w:p w14:paraId="6155460F">
      <w:pPr>
        <w:spacing w:line="360" w:lineRule="auto"/>
        <w:jc w:val="center"/>
        <w:rPr>
          <w:rFonts w:asciiTheme="minorEastAsia" w:hAnsiTheme="minorEastAsia" w:eastAsiaTheme="minorEastAsia"/>
          <w:b/>
          <w:color w:val="auto"/>
          <w:sz w:val="24"/>
          <w:highlight w:val="none"/>
        </w:rPr>
      </w:pPr>
    </w:p>
    <w:p w14:paraId="50EF68B2">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授权代表姓名）代表我方参加本项目</w:t>
      </w:r>
      <w:r>
        <w:rPr>
          <w:rFonts w:hint="eastAsia" w:hAnsi="宋体" w:eastAsia="宋体"/>
          <w:bCs/>
          <w:color w:val="auto"/>
          <w:sz w:val="24"/>
          <w:szCs w:val="28"/>
          <w:highlight w:val="none"/>
          <w:lang w:eastAsia="zh-CN"/>
        </w:rPr>
        <w:t>磋商活动</w:t>
      </w:r>
      <w:r>
        <w:rPr>
          <w:rFonts w:hint="eastAsia" w:hAnsi="宋体" w:eastAsia="宋体"/>
          <w:color w:val="auto"/>
          <w:sz w:val="24"/>
          <w:szCs w:val="28"/>
          <w:highlight w:val="none"/>
        </w:rPr>
        <w:t>，全权代表我方处理磋商过程的一切事宜，包括但不限于：提交</w:t>
      </w:r>
      <w:r>
        <w:rPr>
          <w:rFonts w:hint="eastAsia" w:hAnsi="宋体" w:eastAsia="宋体"/>
          <w:color w:val="auto"/>
          <w:sz w:val="24"/>
          <w:szCs w:val="28"/>
          <w:highlight w:val="none"/>
          <w:lang w:eastAsia="zh-CN"/>
        </w:rPr>
        <w:t>投标文件</w:t>
      </w:r>
      <w:r>
        <w:rPr>
          <w:rFonts w:hint="eastAsia" w:hAnsi="宋体" w:eastAsia="宋体"/>
          <w:color w:val="auto"/>
          <w:sz w:val="24"/>
          <w:szCs w:val="28"/>
          <w:highlight w:val="none"/>
        </w:rPr>
        <w:t>、参与磋商、签约等。</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授权代表在</w:t>
      </w:r>
      <w:r>
        <w:rPr>
          <w:rFonts w:hint="eastAsia" w:hAnsi="宋体" w:eastAsia="宋体"/>
          <w:color w:val="auto"/>
          <w:sz w:val="24"/>
          <w:szCs w:val="28"/>
          <w:highlight w:val="none"/>
          <w:lang w:val="en-US" w:eastAsia="zh-CN"/>
        </w:rPr>
        <w:t>磋商</w:t>
      </w:r>
      <w:r>
        <w:rPr>
          <w:rFonts w:hint="eastAsia" w:hAnsi="宋体" w:eastAsia="宋体"/>
          <w:color w:val="auto"/>
          <w:sz w:val="24"/>
          <w:szCs w:val="28"/>
          <w:highlight w:val="none"/>
          <w:lang w:eastAsia="zh-CN"/>
        </w:rPr>
        <w:t>活动</w:t>
      </w:r>
      <w:r>
        <w:rPr>
          <w:rFonts w:hint="eastAsia" w:hAnsi="宋体" w:eastAsia="宋体"/>
          <w:color w:val="auto"/>
          <w:sz w:val="24"/>
          <w:szCs w:val="28"/>
          <w:highlight w:val="none"/>
        </w:rPr>
        <w:t>过程中所签署的一切文件和处理与之有关的一切事务，本公司均予以认可并对此承担责任。</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授权代表无转委托权。特此授权。</w:t>
      </w:r>
    </w:p>
    <w:p w14:paraId="5576F519">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A7D18A2">
      <w:pPr>
        <w:pStyle w:val="28"/>
        <w:snapToGrid w:val="0"/>
        <w:spacing w:line="360" w:lineRule="auto"/>
        <w:ind w:firstLine="480" w:firstLineChars="200"/>
        <w:jc w:val="left"/>
        <w:rPr>
          <w:rFonts w:hAnsi="宋体" w:eastAsia="宋体"/>
          <w:color w:val="auto"/>
          <w:sz w:val="24"/>
          <w:highlight w:val="none"/>
        </w:rPr>
      </w:pPr>
    </w:p>
    <w:p w14:paraId="5D628E67">
      <w:pPr>
        <w:pStyle w:val="28"/>
        <w:snapToGrid w:val="0"/>
        <w:spacing w:line="360" w:lineRule="auto"/>
        <w:ind w:firstLine="480" w:firstLineChars="200"/>
        <w:jc w:val="left"/>
        <w:rPr>
          <w:rFonts w:hAnsi="宋体" w:eastAsia="宋体"/>
          <w:color w:val="auto"/>
          <w:sz w:val="24"/>
          <w:highlight w:val="none"/>
        </w:rPr>
      </w:pPr>
    </w:p>
    <w:p w14:paraId="1D016859">
      <w:pPr>
        <w:pStyle w:val="28"/>
        <w:snapToGrid w:val="0"/>
        <w:spacing w:line="360" w:lineRule="auto"/>
        <w:ind w:firstLine="480" w:firstLineChars="200"/>
        <w:jc w:val="left"/>
        <w:rPr>
          <w:rFonts w:hAnsi="宋体" w:eastAsia="宋体"/>
          <w:color w:val="auto"/>
          <w:sz w:val="24"/>
          <w:highlight w:val="none"/>
        </w:rPr>
      </w:pPr>
    </w:p>
    <w:p w14:paraId="7D4015B5">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B1E8349">
      <w:pPr>
        <w:pStyle w:val="28"/>
        <w:snapToGrid w:val="0"/>
        <w:spacing w:line="360" w:lineRule="auto"/>
        <w:ind w:firstLine="480" w:firstLineChars="200"/>
        <w:jc w:val="left"/>
        <w:rPr>
          <w:rFonts w:hAnsi="宋体" w:eastAsia="宋体"/>
          <w:color w:val="auto"/>
          <w:sz w:val="24"/>
          <w:szCs w:val="28"/>
          <w:highlight w:val="none"/>
        </w:rPr>
      </w:pPr>
    </w:p>
    <w:p w14:paraId="34755B3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408B6B79">
      <w:pPr>
        <w:spacing w:line="360" w:lineRule="auto"/>
        <w:rPr>
          <w:color w:val="auto"/>
          <w:sz w:val="24"/>
          <w:szCs w:val="28"/>
          <w:highlight w:val="none"/>
        </w:rPr>
      </w:pPr>
    </w:p>
    <w:p w14:paraId="4D332CAD">
      <w:pPr>
        <w:spacing w:line="360" w:lineRule="auto"/>
        <w:rPr>
          <w:bCs/>
          <w:color w:val="auto"/>
          <w:sz w:val="24"/>
          <w:szCs w:val="28"/>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bCs/>
          <w:color w:val="auto"/>
          <w:sz w:val="24"/>
          <w:szCs w:val="28"/>
          <w:highlight w:val="none"/>
        </w:rPr>
        <w:t>：</w:t>
      </w:r>
      <w:r>
        <w:rPr>
          <w:rFonts w:hint="eastAsia"/>
          <w:bCs/>
          <w:color w:val="auto"/>
          <w:sz w:val="24"/>
          <w:szCs w:val="28"/>
          <w:highlight w:val="none"/>
          <w:u w:val="single"/>
        </w:rPr>
        <w:t xml:space="preserve">                    </w:t>
      </w:r>
    </w:p>
    <w:p w14:paraId="01298755">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3BB3569C">
      <w:pPr>
        <w:spacing w:line="360" w:lineRule="auto"/>
        <w:rPr>
          <w:color w:val="auto"/>
          <w:sz w:val="24"/>
          <w:szCs w:val="28"/>
          <w:highlight w:val="none"/>
        </w:rPr>
      </w:pPr>
    </w:p>
    <w:p w14:paraId="334B8589">
      <w:pPr>
        <w:spacing w:line="360" w:lineRule="auto"/>
        <w:rPr>
          <w:color w:val="auto"/>
          <w:sz w:val="24"/>
          <w:szCs w:val="28"/>
          <w:highlight w:val="none"/>
        </w:rPr>
      </w:pPr>
    </w:p>
    <w:p w14:paraId="2ED5514E">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46B26AC3">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w:t>
      </w:r>
      <w:r>
        <w:rPr>
          <w:rFonts w:hint="eastAsia" w:hAnsi="宋体" w:eastAsia="宋体"/>
          <w:color w:val="auto"/>
          <w:sz w:val="24"/>
          <w:szCs w:val="28"/>
          <w:highlight w:val="none"/>
          <w:lang w:eastAsia="zh-CN"/>
        </w:rPr>
        <w:t>投标人</w:t>
      </w:r>
      <w:r>
        <w:rPr>
          <w:rFonts w:hint="eastAsia" w:hAnsi="宋体" w:eastAsia="宋体"/>
          <w:color w:val="auto"/>
          <w:sz w:val="24"/>
          <w:szCs w:val="28"/>
          <w:highlight w:val="none"/>
        </w:rPr>
        <w:t>授权代表；</w:t>
      </w:r>
    </w:p>
    <w:p w14:paraId="0373657D">
      <w:pPr>
        <w:spacing w:line="360" w:lineRule="auto"/>
        <w:jc w:val="left"/>
        <w:rPr>
          <w:color w:val="auto"/>
          <w:sz w:val="24"/>
          <w:highlight w:val="none"/>
        </w:rPr>
      </w:pPr>
      <w:r>
        <w:rPr>
          <w:rFonts w:hint="eastAsia"/>
          <w:color w:val="auto"/>
          <w:sz w:val="24"/>
          <w:highlight w:val="none"/>
        </w:rPr>
        <w:t>2.法定代表人参加磋商的无需提供授权</w:t>
      </w:r>
      <w:r>
        <w:rPr>
          <w:rFonts w:hint="eastAsia"/>
          <w:strike w:val="0"/>
          <w:dstrike w:val="0"/>
          <w:color w:val="auto"/>
          <w:sz w:val="24"/>
          <w:highlight w:val="none"/>
        </w:rPr>
        <w:t>书，仅提供</w:t>
      </w:r>
      <w:r>
        <w:rPr>
          <w:rFonts w:hint="eastAsia"/>
          <w:strike w:val="0"/>
          <w:dstrike w:val="0"/>
          <w:color w:val="auto"/>
          <w:sz w:val="24"/>
          <w:highlight w:val="none"/>
          <w:lang w:val="en-US" w:eastAsia="zh-CN"/>
        </w:rPr>
        <w:t>法定代表人身份证明书</w:t>
      </w:r>
      <w:r>
        <w:rPr>
          <w:rFonts w:hint="eastAsia"/>
          <w:strike w:val="0"/>
          <w:dstrike w:val="0"/>
          <w:color w:val="auto"/>
          <w:sz w:val="24"/>
          <w:highlight w:val="none"/>
        </w:rPr>
        <w:t>。</w:t>
      </w:r>
    </w:p>
    <w:p w14:paraId="7E54EE32">
      <w:pPr>
        <w:widowControl/>
        <w:jc w:val="left"/>
        <w:rPr>
          <w:color w:val="auto"/>
          <w:sz w:val="24"/>
          <w:highlight w:val="none"/>
        </w:rPr>
      </w:pPr>
      <w:r>
        <w:rPr>
          <w:color w:val="auto"/>
          <w:sz w:val="24"/>
          <w:highlight w:val="none"/>
        </w:rPr>
        <w:br w:type="page"/>
      </w:r>
    </w:p>
    <w:p w14:paraId="50A9817A">
      <w:pPr>
        <w:keepNext/>
        <w:keepLines/>
        <w:spacing w:before="260" w:after="260" w:line="416" w:lineRule="auto"/>
        <w:jc w:val="center"/>
        <w:outlineLvl w:val="2"/>
        <w:rPr>
          <w:rFonts w:cs="@仿宋_GB2312" w:asciiTheme="minorEastAsia" w:hAnsiTheme="minorEastAsia" w:eastAsiaTheme="minorEastAsia"/>
          <w:b/>
          <w:bCs/>
          <w:color w:val="auto"/>
          <w:kern w:val="2"/>
          <w:sz w:val="24"/>
          <w:szCs w:val="24"/>
          <w:highlight w:val="none"/>
        </w:rPr>
      </w:pPr>
      <w:r>
        <w:rPr>
          <w:rFonts w:hint="eastAsia" w:cs="@仿宋_GB2312" w:asciiTheme="minorEastAsia" w:hAnsiTheme="minorEastAsia" w:eastAsiaTheme="minorEastAsia"/>
          <w:b/>
          <w:bCs/>
          <w:color w:val="auto"/>
          <w:kern w:val="2"/>
          <w:sz w:val="24"/>
          <w:szCs w:val="24"/>
          <w:highlight w:val="none"/>
          <w:lang w:val="en-US" w:eastAsia="zh-CN"/>
        </w:rPr>
        <w:t>五</w:t>
      </w:r>
      <w:r>
        <w:rPr>
          <w:rFonts w:hint="eastAsia" w:cs="@仿宋_GB2312" w:asciiTheme="minorEastAsia" w:hAnsiTheme="minorEastAsia" w:eastAsiaTheme="minorEastAsia"/>
          <w:b/>
          <w:bCs/>
          <w:color w:val="auto"/>
          <w:kern w:val="2"/>
          <w:sz w:val="24"/>
          <w:szCs w:val="24"/>
          <w:highlight w:val="none"/>
        </w:rPr>
        <w:t>、法定代表人身份证明书</w:t>
      </w:r>
    </w:p>
    <w:p w14:paraId="25620FF9">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6E550E5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01A1A21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75AF93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5A71102">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3D0B8AAA">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95AFEA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7859A880">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0BA53F9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4F2D68C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lang w:eastAsia="zh-CN"/>
        </w:rPr>
        <w:t>投标人</w:t>
      </w:r>
      <w:r>
        <w:rPr>
          <w:rFonts w:hint="eastAsia" w:ascii="Calibri" w:hAnsi="Calibri" w:cs="Times New Roman"/>
          <w:color w:val="auto"/>
          <w:kern w:val="2"/>
          <w:sz w:val="24"/>
          <w:szCs w:val="28"/>
          <w:highlight w:val="none"/>
          <w:u w:val="single"/>
        </w:rPr>
        <w:t xml:space="preserve">单位名称）       </w:t>
      </w:r>
      <w:r>
        <w:rPr>
          <w:rFonts w:hint="eastAsia" w:ascii="Calibri" w:hAnsi="Calibri" w:cs="Times New Roman"/>
          <w:color w:val="auto"/>
          <w:kern w:val="2"/>
          <w:sz w:val="24"/>
          <w:szCs w:val="28"/>
          <w:highlight w:val="none"/>
        </w:rPr>
        <w:t>的法定代表人。</w:t>
      </w:r>
    </w:p>
    <w:p w14:paraId="240B15EB">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57AD3710">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1E538EA9">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7BF5FEC0">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6C6340C9">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00F568F">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E2E522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7A104EE">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3B127E8B">
      <w:pPr>
        <w:keepNext/>
        <w:keepLines/>
        <w:numPr>
          <w:ilvl w:val="0"/>
          <w:numId w:val="0"/>
        </w:numPr>
        <w:spacing w:before="260" w:after="260" w:line="416" w:lineRule="auto"/>
        <w:jc w:val="center"/>
        <w:outlineLvl w:val="2"/>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六、投标业绩</w:t>
      </w:r>
    </w:p>
    <w:p w14:paraId="2BFCD651">
      <w:pPr>
        <w:keepNext/>
        <w:keepLines/>
        <w:pageBreakBefore w:val="0"/>
        <w:widowControl w:val="0"/>
        <w:numPr>
          <w:ilvl w:val="0"/>
          <w:numId w:val="6"/>
        </w:numPr>
        <w:kinsoku/>
        <w:wordWrap/>
        <w:overflowPunct/>
        <w:topLinePunct w:val="0"/>
        <w:autoSpaceDE/>
        <w:autoSpaceDN/>
        <w:bidi w:val="0"/>
        <w:adjustRightInd/>
        <w:snapToGrid/>
        <w:spacing w:line="240" w:lineRule="auto"/>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业绩表</w:t>
      </w:r>
    </w:p>
    <w:p w14:paraId="68C73F25">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（格式仅供参考）</w:t>
      </w:r>
    </w:p>
    <w:p w14:paraId="36F092BD">
      <w:pPr>
        <w:rPr>
          <w:rFonts w:eastAsia="@仿宋_GB2312" w:cs="@仿宋_GB2312"/>
          <w:color w:val="auto"/>
          <w:kern w:val="2"/>
          <w:sz w:val="21"/>
          <w:highlight w:val="non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0E48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4DE01E30">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序号</w:t>
            </w:r>
          </w:p>
        </w:tc>
        <w:tc>
          <w:tcPr>
            <w:tcW w:w="971" w:type="pct"/>
            <w:vAlign w:val="center"/>
          </w:tcPr>
          <w:p w14:paraId="3EA058FD">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p>
        </w:tc>
        <w:tc>
          <w:tcPr>
            <w:tcW w:w="874" w:type="pct"/>
            <w:vAlign w:val="center"/>
          </w:tcPr>
          <w:p w14:paraId="45E63F8A">
            <w:pPr>
              <w:widowControl/>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lang w:val="en-US" w:eastAsia="zh-CN"/>
              </w:rPr>
              <w:t>项目</w:t>
            </w:r>
            <w:r>
              <w:rPr>
                <w:rFonts w:hint="eastAsia" w:cs="宋体" w:asciiTheme="minorEastAsia" w:hAnsiTheme="minorEastAsia" w:eastAsiaTheme="minorEastAsia"/>
                <w:b/>
                <w:color w:val="auto"/>
                <w:kern w:val="2"/>
                <w:sz w:val="24"/>
                <w:szCs w:val="24"/>
                <w:highlight w:val="none"/>
              </w:rPr>
              <w:t>内容</w:t>
            </w:r>
          </w:p>
        </w:tc>
        <w:tc>
          <w:tcPr>
            <w:tcW w:w="918" w:type="pct"/>
            <w:vAlign w:val="center"/>
          </w:tcPr>
          <w:p w14:paraId="3C442201">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合同总金额</w:t>
            </w:r>
          </w:p>
        </w:tc>
        <w:tc>
          <w:tcPr>
            <w:tcW w:w="1043" w:type="pct"/>
            <w:vAlign w:val="center"/>
          </w:tcPr>
          <w:p w14:paraId="073699DD">
            <w:pPr>
              <w:widowControl/>
              <w:spacing w:line="360" w:lineRule="auto"/>
              <w:jc w:val="center"/>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lang w:val="en-US" w:eastAsia="zh-CN"/>
              </w:rPr>
              <w:t>业绩合同甲方及联系电话</w:t>
            </w:r>
          </w:p>
        </w:tc>
        <w:tc>
          <w:tcPr>
            <w:tcW w:w="636" w:type="pct"/>
            <w:vAlign w:val="center"/>
          </w:tcPr>
          <w:p w14:paraId="78CA3561">
            <w:pPr>
              <w:spacing w:line="360" w:lineRule="auto"/>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w:t>
            </w:r>
          </w:p>
        </w:tc>
      </w:tr>
      <w:tr w14:paraId="7299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2E9556D">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投标人初审业绩（资格门槛业绩）</w:t>
            </w:r>
          </w:p>
        </w:tc>
      </w:tr>
      <w:tr w14:paraId="41CF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D53E0FD">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rPr>
              <w:t>1</w:t>
            </w:r>
          </w:p>
        </w:tc>
        <w:tc>
          <w:tcPr>
            <w:tcW w:w="971" w:type="pct"/>
            <w:vAlign w:val="center"/>
          </w:tcPr>
          <w:p w14:paraId="4EB3B6C6">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6A505843">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0DDA9BFD">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25AAACC0">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2769E752">
            <w:pPr>
              <w:spacing w:line="360" w:lineRule="auto"/>
              <w:rPr>
                <w:rFonts w:cs="宋体" w:asciiTheme="minorEastAsia" w:hAnsiTheme="minorEastAsia" w:eastAsiaTheme="minorEastAsia"/>
                <w:b w:val="0"/>
                <w:bCs/>
                <w:color w:val="auto"/>
                <w:kern w:val="2"/>
                <w:sz w:val="24"/>
                <w:szCs w:val="24"/>
                <w:highlight w:val="none"/>
              </w:rPr>
            </w:pPr>
          </w:p>
        </w:tc>
      </w:tr>
      <w:tr w14:paraId="143B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840D1FC">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项目负责人初审业绩（资格门槛业绩）</w:t>
            </w:r>
          </w:p>
        </w:tc>
      </w:tr>
      <w:tr w14:paraId="6286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C8833D6">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7FC3C7AB">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41C3605A">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17C9DBF7">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2B71E92D">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7D16849D">
            <w:pPr>
              <w:spacing w:line="360" w:lineRule="auto"/>
              <w:rPr>
                <w:rFonts w:cs="宋体" w:asciiTheme="minorEastAsia" w:hAnsiTheme="minorEastAsia" w:eastAsiaTheme="minorEastAsia"/>
                <w:b w:val="0"/>
                <w:bCs/>
                <w:color w:val="auto"/>
                <w:kern w:val="2"/>
                <w:sz w:val="24"/>
                <w:szCs w:val="24"/>
                <w:highlight w:val="none"/>
              </w:rPr>
            </w:pPr>
          </w:p>
        </w:tc>
      </w:tr>
      <w:tr w14:paraId="472E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D964AE1">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投标人评审业绩（打分业绩）</w:t>
            </w:r>
          </w:p>
        </w:tc>
      </w:tr>
      <w:tr w14:paraId="115D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49ECE13">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31876231">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4704A2F3">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58A2DC64">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0D73B43E">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48471C18">
            <w:pPr>
              <w:spacing w:line="360" w:lineRule="auto"/>
              <w:rPr>
                <w:rFonts w:cs="宋体" w:asciiTheme="minorEastAsia" w:hAnsiTheme="minorEastAsia" w:eastAsiaTheme="minorEastAsia"/>
                <w:b w:val="0"/>
                <w:bCs/>
                <w:color w:val="auto"/>
                <w:kern w:val="2"/>
                <w:sz w:val="24"/>
                <w:szCs w:val="24"/>
                <w:highlight w:val="none"/>
              </w:rPr>
            </w:pPr>
          </w:p>
        </w:tc>
      </w:tr>
      <w:tr w14:paraId="125B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EED930A">
            <w:pPr>
              <w:spacing w:line="360" w:lineRule="auto"/>
              <w:jc w:val="center"/>
              <w:rPr>
                <w:rFonts w:hint="eastAsia" w:cs="宋体" w:asciiTheme="minorEastAsia" w:hAnsiTheme="minorEastAsia" w:eastAsiaTheme="minorEastAsia"/>
                <w:b w:val="0"/>
                <w:bCs/>
                <w:color w:val="auto"/>
                <w:kern w:val="2"/>
                <w:sz w:val="24"/>
                <w:szCs w:val="24"/>
                <w:highlight w:val="none"/>
                <w:lang w:eastAsia="zh-CN"/>
              </w:rPr>
            </w:pPr>
            <w:r>
              <w:rPr>
                <w:rFonts w:hint="eastAsia" w:cs="宋体" w:asciiTheme="minorEastAsia" w:hAnsiTheme="minorEastAsia" w:eastAsiaTheme="minorEastAsia"/>
                <w:b w:val="0"/>
                <w:bCs/>
                <w:color w:val="auto"/>
                <w:kern w:val="2"/>
                <w:sz w:val="24"/>
                <w:szCs w:val="24"/>
                <w:highlight w:val="none"/>
                <w:lang w:val="en-US" w:eastAsia="zh-CN"/>
              </w:rPr>
              <w:t>2</w:t>
            </w:r>
          </w:p>
        </w:tc>
        <w:tc>
          <w:tcPr>
            <w:tcW w:w="971" w:type="pct"/>
            <w:vAlign w:val="center"/>
          </w:tcPr>
          <w:p w14:paraId="078F2FFC">
            <w:pPr>
              <w:spacing w:line="360" w:lineRule="auto"/>
              <w:rPr>
                <w:rFonts w:cs="宋体" w:asciiTheme="minorEastAsia" w:hAnsiTheme="minorEastAsia" w:eastAsiaTheme="minorEastAsia"/>
                <w:b w:val="0"/>
                <w:bCs/>
                <w:color w:val="auto"/>
                <w:kern w:val="2"/>
                <w:sz w:val="24"/>
                <w:szCs w:val="24"/>
                <w:highlight w:val="none"/>
              </w:rPr>
            </w:pPr>
          </w:p>
        </w:tc>
        <w:tc>
          <w:tcPr>
            <w:tcW w:w="874" w:type="pct"/>
            <w:vAlign w:val="center"/>
          </w:tcPr>
          <w:p w14:paraId="62D9FC06">
            <w:pPr>
              <w:spacing w:line="360" w:lineRule="auto"/>
              <w:rPr>
                <w:rFonts w:cs="宋体" w:asciiTheme="minorEastAsia" w:hAnsiTheme="minorEastAsia" w:eastAsiaTheme="minorEastAsia"/>
                <w:b w:val="0"/>
                <w:bCs/>
                <w:color w:val="auto"/>
                <w:kern w:val="2"/>
                <w:sz w:val="24"/>
                <w:szCs w:val="24"/>
                <w:highlight w:val="none"/>
              </w:rPr>
            </w:pPr>
          </w:p>
        </w:tc>
        <w:tc>
          <w:tcPr>
            <w:tcW w:w="918" w:type="pct"/>
            <w:vAlign w:val="center"/>
          </w:tcPr>
          <w:p w14:paraId="1B98FACB">
            <w:pPr>
              <w:spacing w:line="360" w:lineRule="auto"/>
              <w:rPr>
                <w:rFonts w:cs="宋体" w:asciiTheme="minorEastAsia" w:hAnsiTheme="minorEastAsia" w:eastAsiaTheme="minorEastAsia"/>
                <w:b w:val="0"/>
                <w:bCs/>
                <w:color w:val="auto"/>
                <w:kern w:val="2"/>
                <w:sz w:val="24"/>
                <w:szCs w:val="24"/>
                <w:highlight w:val="none"/>
              </w:rPr>
            </w:pPr>
          </w:p>
        </w:tc>
        <w:tc>
          <w:tcPr>
            <w:tcW w:w="1043" w:type="pct"/>
            <w:vAlign w:val="center"/>
          </w:tcPr>
          <w:p w14:paraId="36867C47">
            <w:pPr>
              <w:spacing w:line="360" w:lineRule="auto"/>
              <w:rPr>
                <w:rFonts w:cs="宋体" w:asciiTheme="minorEastAsia" w:hAnsiTheme="minorEastAsia" w:eastAsiaTheme="minorEastAsia"/>
                <w:b w:val="0"/>
                <w:bCs/>
                <w:color w:val="auto"/>
                <w:kern w:val="2"/>
                <w:sz w:val="24"/>
                <w:szCs w:val="24"/>
                <w:highlight w:val="none"/>
              </w:rPr>
            </w:pPr>
          </w:p>
        </w:tc>
        <w:tc>
          <w:tcPr>
            <w:tcW w:w="636" w:type="pct"/>
            <w:vAlign w:val="center"/>
          </w:tcPr>
          <w:p w14:paraId="12C9DEED">
            <w:pPr>
              <w:spacing w:line="360" w:lineRule="auto"/>
              <w:rPr>
                <w:rFonts w:cs="宋体" w:asciiTheme="minorEastAsia" w:hAnsiTheme="minorEastAsia" w:eastAsiaTheme="minorEastAsia"/>
                <w:b w:val="0"/>
                <w:bCs/>
                <w:color w:val="auto"/>
                <w:kern w:val="2"/>
                <w:sz w:val="24"/>
                <w:szCs w:val="24"/>
                <w:highlight w:val="none"/>
              </w:rPr>
            </w:pPr>
          </w:p>
        </w:tc>
      </w:tr>
      <w:tr w14:paraId="0EAD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01D2CD9">
            <w:pPr>
              <w:spacing w:line="360" w:lineRule="auto"/>
              <w:jc w:val="center"/>
              <w:rPr>
                <w:rFonts w:cs="宋体" w:asciiTheme="minorEastAsia" w:hAnsiTheme="minorEastAsia" w:eastAsiaTheme="minorEastAsia"/>
                <w:b w:val="0"/>
                <w:bCs/>
                <w:color w:val="auto"/>
                <w:kern w:val="2"/>
                <w:sz w:val="24"/>
                <w:szCs w:val="24"/>
                <w:highlight w:val="none"/>
              </w:rPr>
            </w:pPr>
            <w:r>
              <w:rPr>
                <w:rFonts w:hint="eastAsia" w:cs="宋体" w:asciiTheme="minorEastAsia" w:hAnsiTheme="minorEastAsia" w:eastAsiaTheme="minorEastAsia"/>
                <w:b w:val="0"/>
                <w:bCs/>
                <w:color w:val="auto"/>
                <w:kern w:val="2"/>
                <w:sz w:val="24"/>
                <w:szCs w:val="24"/>
                <w:highlight w:val="none"/>
                <w:lang w:val="en-US" w:eastAsia="zh-CN"/>
              </w:rPr>
              <w:t>项目负责人评审业绩（打分业绩）</w:t>
            </w:r>
          </w:p>
        </w:tc>
      </w:tr>
      <w:tr w14:paraId="7D49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54B5C535">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1</w:t>
            </w:r>
          </w:p>
        </w:tc>
        <w:tc>
          <w:tcPr>
            <w:tcW w:w="971" w:type="pct"/>
            <w:vAlign w:val="center"/>
          </w:tcPr>
          <w:p w14:paraId="0DB8E6EF">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64FD5D1C">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2AABBB1D">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1DC0D0E0">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3FC4AD34">
            <w:pPr>
              <w:spacing w:line="360" w:lineRule="auto"/>
              <w:rPr>
                <w:rFonts w:cs="宋体" w:asciiTheme="minorEastAsia" w:hAnsiTheme="minorEastAsia" w:eastAsiaTheme="minorEastAsia"/>
                <w:b/>
                <w:color w:val="auto"/>
                <w:kern w:val="2"/>
                <w:sz w:val="24"/>
                <w:szCs w:val="24"/>
                <w:highlight w:val="none"/>
              </w:rPr>
            </w:pPr>
          </w:p>
        </w:tc>
      </w:tr>
      <w:tr w14:paraId="65F3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3847B6A">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2</w:t>
            </w:r>
          </w:p>
        </w:tc>
        <w:tc>
          <w:tcPr>
            <w:tcW w:w="971" w:type="pct"/>
            <w:vAlign w:val="center"/>
          </w:tcPr>
          <w:p w14:paraId="5E00BDC2">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4AF7A974">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17DD348F">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16477A59">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736ACD13">
            <w:pPr>
              <w:spacing w:line="360" w:lineRule="auto"/>
              <w:rPr>
                <w:rFonts w:cs="宋体" w:asciiTheme="minorEastAsia" w:hAnsiTheme="minorEastAsia" w:eastAsiaTheme="minorEastAsia"/>
                <w:b/>
                <w:color w:val="auto"/>
                <w:kern w:val="2"/>
                <w:sz w:val="24"/>
                <w:szCs w:val="24"/>
                <w:highlight w:val="none"/>
              </w:rPr>
            </w:pPr>
          </w:p>
        </w:tc>
      </w:tr>
      <w:tr w14:paraId="44F1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21E8C0B">
            <w:pPr>
              <w:spacing w:line="360" w:lineRule="auto"/>
              <w:jc w:val="center"/>
              <w:rPr>
                <w:rFonts w:hint="default" w:cs="宋体" w:asciiTheme="minorEastAsia" w:hAnsiTheme="minorEastAsia" w:eastAsiaTheme="minorEastAsia"/>
                <w:b w:val="0"/>
                <w:bCs/>
                <w:color w:val="auto"/>
                <w:kern w:val="2"/>
                <w:sz w:val="24"/>
                <w:szCs w:val="24"/>
                <w:highlight w:val="none"/>
                <w:lang w:val="en-US" w:eastAsia="zh-CN"/>
              </w:rPr>
            </w:pPr>
            <w:r>
              <w:rPr>
                <w:rFonts w:hint="eastAsia" w:cs="宋体" w:asciiTheme="minorEastAsia" w:hAnsiTheme="minorEastAsia" w:eastAsiaTheme="minorEastAsia"/>
                <w:b w:val="0"/>
                <w:bCs/>
                <w:color w:val="auto"/>
                <w:kern w:val="2"/>
                <w:sz w:val="24"/>
                <w:szCs w:val="24"/>
                <w:highlight w:val="none"/>
                <w:lang w:val="en-US" w:eastAsia="zh-CN"/>
              </w:rPr>
              <w:t>……</w:t>
            </w:r>
          </w:p>
        </w:tc>
        <w:tc>
          <w:tcPr>
            <w:tcW w:w="971" w:type="pct"/>
            <w:vAlign w:val="center"/>
          </w:tcPr>
          <w:p w14:paraId="31355AE8">
            <w:pPr>
              <w:spacing w:line="360" w:lineRule="auto"/>
              <w:rPr>
                <w:rFonts w:cs="宋体" w:asciiTheme="minorEastAsia" w:hAnsiTheme="minorEastAsia" w:eastAsiaTheme="minorEastAsia"/>
                <w:b/>
                <w:color w:val="auto"/>
                <w:kern w:val="2"/>
                <w:sz w:val="24"/>
                <w:szCs w:val="24"/>
                <w:highlight w:val="none"/>
              </w:rPr>
            </w:pPr>
          </w:p>
        </w:tc>
        <w:tc>
          <w:tcPr>
            <w:tcW w:w="874" w:type="pct"/>
            <w:vAlign w:val="center"/>
          </w:tcPr>
          <w:p w14:paraId="6D6AEE6B">
            <w:pPr>
              <w:spacing w:line="360" w:lineRule="auto"/>
              <w:rPr>
                <w:rFonts w:cs="宋体" w:asciiTheme="minorEastAsia" w:hAnsiTheme="minorEastAsia" w:eastAsiaTheme="minorEastAsia"/>
                <w:b/>
                <w:color w:val="auto"/>
                <w:kern w:val="2"/>
                <w:sz w:val="24"/>
                <w:szCs w:val="24"/>
                <w:highlight w:val="none"/>
              </w:rPr>
            </w:pPr>
          </w:p>
        </w:tc>
        <w:tc>
          <w:tcPr>
            <w:tcW w:w="918" w:type="pct"/>
            <w:vAlign w:val="center"/>
          </w:tcPr>
          <w:p w14:paraId="734F757A">
            <w:pPr>
              <w:spacing w:line="360" w:lineRule="auto"/>
              <w:rPr>
                <w:rFonts w:cs="宋体" w:asciiTheme="minorEastAsia" w:hAnsiTheme="minorEastAsia" w:eastAsiaTheme="minorEastAsia"/>
                <w:b/>
                <w:color w:val="auto"/>
                <w:kern w:val="2"/>
                <w:sz w:val="24"/>
                <w:szCs w:val="24"/>
                <w:highlight w:val="none"/>
              </w:rPr>
            </w:pPr>
          </w:p>
        </w:tc>
        <w:tc>
          <w:tcPr>
            <w:tcW w:w="1043" w:type="pct"/>
            <w:vAlign w:val="center"/>
          </w:tcPr>
          <w:p w14:paraId="22164CE9">
            <w:pPr>
              <w:spacing w:line="360" w:lineRule="auto"/>
              <w:rPr>
                <w:rFonts w:cs="宋体" w:asciiTheme="minorEastAsia" w:hAnsiTheme="minorEastAsia" w:eastAsiaTheme="minorEastAsia"/>
                <w:b/>
                <w:color w:val="auto"/>
                <w:kern w:val="2"/>
                <w:sz w:val="24"/>
                <w:szCs w:val="24"/>
                <w:highlight w:val="none"/>
              </w:rPr>
            </w:pPr>
          </w:p>
        </w:tc>
        <w:tc>
          <w:tcPr>
            <w:tcW w:w="636" w:type="pct"/>
            <w:vAlign w:val="center"/>
          </w:tcPr>
          <w:p w14:paraId="53D6B5F2">
            <w:pPr>
              <w:spacing w:line="360" w:lineRule="auto"/>
              <w:rPr>
                <w:rFonts w:cs="宋体" w:asciiTheme="minorEastAsia" w:hAnsiTheme="minorEastAsia" w:eastAsiaTheme="minorEastAsia"/>
                <w:b/>
                <w:color w:val="auto"/>
                <w:kern w:val="2"/>
                <w:sz w:val="24"/>
                <w:szCs w:val="24"/>
                <w:highlight w:val="none"/>
              </w:rPr>
            </w:pPr>
          </w:p>
        </w:tc>
      </w:tr>
    </w:tbl>
    <w:p w14:paraId="0DBB4234">
      <w:pPr>
        <w:widowControl/>
        <w:jc w:val="left"/>
        <w:rPr>
          <w:rFonts w:asciiTheme="minorEastAsia" w:hAnsiTheme="minorEastAsia" w:eastAsiaTheme="minorEastAsia"/>
          <w:b/>
          <w:color w:val="auto"/>
          <w:sz w:val="24"/>
          <w:highlight w:val="none"/>
        </w:rPr>
      </w:pPr>
    </w:p>
    <w:p w14:paraId="24F40065">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color w:val="auto"/>
          <w:sz w:val="24"/>
          <w:szCs w:val="24"/>
          <w:highlight w:val="none"/>
          <w:lang w:val="en-US" w:eastAsia="zh-CN"/>
        </w:rPr>
      </w:pPr>
    </w:p>
    <w:p w14:paraId="257B3A9E">
      <w:pPr>
        <w:keepNext/>
        <w:keepLines/>
        <w:pageBreakBefore w:val="0"/>
        <w:widowControl w:val="0"/>
        <w:numPr>
          <w:ilvl w:val="0"/>
          <w:numId w:val="6"/>
        </w:numPr>
        <w:kinsoku/>
        <w:wordWrap/>
        <w:overflowPunct/>
        <w:topLinePunct w:val="0"/>
        <w:autoSpaceDE/>
        <w:autoSpaceDN/>
        <w:bidi w:val="0"/>
        <w:adjustRightInd/>
        <w:snapToGrid/>
        <w:spacing w:line="360" w:lineRule="auto"/>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业绩证明材料</w:t>
      </w:r>
    </w:p>
    <w:p w14:paraId="02A492AC">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color w:val="auto"/>
          <w:sz w:val="24"/>
          <w:highlight w:val="none"/>
        </w:rPr>
      </w:pPr>
      <w:r>
        <w:rPr>
          <w:rFonts w:hint="eastAsia"/>
          <w:color w:val="auto"/>
          <w:sz w:val="24"/>
          <w:szCs w:val="24"/>
          <w:highlight w:val="none"/>
          <w:lang w:val="en-US" w:eastAsia="zh-CN"/>
        </w:rPr>
        <w:t>（建议与上述“（一）业绩表”填写的业绩一一对应）</w:t>
      </w:r>
      <w:r>
        <w:rPr>
          <w:rFonts w:asciiTheme="minorEastAsia" w:hAnsiTheme="minorEastAsia" w:eastAsiaTheme="minorEastAsia"/>
          <w:b/>
          <w:color w:val="auto"/>
          <w:sz w:val="24"/>
          <w:highlight w:val="none"/>
        </w:rPr>
        <w:br w:type="page"/>
      </w:r>
    </w:p>
    <w:p w14:paraId="4CD5E4A2">
      <w:pPr>
        <w:spacing w:line="360" w:lineRule="auto"/>
        <w:jc w:val="center"/>
        <w:outlineLvl w:val="1"/>
        <w:rPr>
          <w:rFonts w:asciiTheme="minorEastAsia" w:hAnsiTheme="minorEastAsia" w:eastAsiaTheme="minorEastAsia"/>
          <w:b/>
          <w:color w:val="auto"/>
          <w:sz w:val="24"/>
          <w:highlight w:val="none"/>
        </w:rPr>
      </w:pPr>
      <w:bookmarkStart w:id="42" w:name="_Toc3201"/>
      <w:bookmarkStart w:id="43" w:name="_Toc32074"/>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42"/>
      <w:r>
        <w:rPr>
          <w:rFonts w:hint="eastAsia" w:asciiTheme="minorEastAsia" w:hAnsiTheme="minorEastAsia" w:eastAsiaTheme="minorEastAsia"/>
          <w:b/>
          <w:color w:val="auto"/>
          <w:sz w:val="24"/>
          <w:highlight w:val="none"/>
        </w:rPr>
        <w:t>磋商响应表</w:t>
      </w:r>
      <w:bookmarkEnd w:id="43"/>
    </w:p>
    <w:p w14:paraId="3649CCE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240D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E5D3018">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182" w:type="dxa"/>
            <w:vAlign w:val="center"/>
          </w:tcPr>
          <w:p w14:paraId="3B381340">
            <w:pPr>
              <w:pStyle w:val="2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31" w:type="dxa"/>
            <w:vAlign w:val="center"/>
          </w:tcPr>
          <w:p w14:paraId="3F46D0FC">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2575" w:type="dxa"/>
            <w:vAlign w:val="center"/>
          </w:tcPr>
          <w:p w14:paraId="24DEA010">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投标人</w:t>
            </w:r>
            <w:r>
              <w:rPr>
                <w:rFonts w:hint="eastAsia" w:cs="Wingdings" w:asciiTheme="minorEastAsia" w:hAnsiTheme="minorEastAsia"/>
                <w:b/>
                <w:color w:val="auto"/>
                <w:sz w:val="24"/>
                <w:highlight w:val="none"/>
              </w:rPr>
              <w:t>承诺</w:t>
            </w:r>
          </w:p>
        </w:tc>
        <w:tc>
          <w:tcPr>
            <w:tcW w:w="810" w:type="dxa"/>
            <w:vAlign w:val="center"/>
          </w:tcPr>
          <w:p w14:paraId="5A6E34AE">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75F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77B6FD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182" w:type="dxa"/>
            <w:vAlign w:val="center"/>
          </w:tcPr>
          <w:p w14:paraId="7E99CF75">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231" w:type="dxa"/>
            <w:vAlign w:val="center"/>
          </w:tcPr>
          <w:p w14:paraId="43144782">
            <w:pPr>
              <w:jc w:val="center"/>
              <w:rPr>
                <w:rFonts w:asciiTheme="minorEastAsia" w:hAnsiTheme="minorEastAsia" w:eastAsiaTheme="minorEastAsia"/>
                <w:color w:val="auto"/>
                <w:sz w:val="24"/>
                <w:highlight w:val="none"/>
              </w:rPr>
            </w:pPr>
          </w:p>
        </w:tc>
        <w:tc>
          <w:tcPr>
            <w:tcW w:w="2575" w:type="dxa"/>
            <w:vAlign w:val="center"/>
          </w:tcPr>
          <w:p w14:paraId="6FCB65F1">
            <w:pPr>
              <w:jc w:val="center"/>
              <w:rPr>
                <w:rFonts w:asciiTheme="minorEastAsia" w:hAnsiTheme="minorEastAsia" w:eastAsiaTheme="minorEastAsia"/>
                <w:color w:val="auto"/>
                <w:sz w:val="24"/>
                <w:highlight w:val="none"/>
              </w:rPr>
            </w:pPr>
          </w:p>
        </w:tc>
        <w:tc>
          <w:tcPr>
            <w:tcW w:w="810" w:type="dxa"/>
            <w:vAlign w:val="center"/>
          </w:tcPr>
          <w:p w14:paraId="772EC9BE">
            <w:pPr>
              <w:jc w:val="center"/>
              <w:rPr>
                <w:rFonts w:asciiTheme="minorEastAsia" w:hAnsiTheme="minorEastAsia" w:eastAsiaTheme="minorEastAsia"/>
                <w:color w:val="auto"/>
                <w:sz w:val="24"/>
                <w:highlight w:val="none"/>
              </w:rPr>
            </w:pPr>
          </w:p>
        </w:tc>
      </w:tr>
      <w:tr w14:paraId="4592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C2E4A5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182" w:type="dxa"/>
            <w:vAlign w:val="center"/>
          </w:tcPr>
          <w:p w14:paraId="33BF36BA">
            <w:pPr>
              <w:jc w:val="center"/>
              <w:rPr>
                <w:rFonts w:ascii="宋体" w:hAnsi="宋体" w:eastAsia="宋体"/>
                <w:color w:val="auto"/>
                <w:sz w:val="24"/>
                <w:highlight w:val="none"/>
              </w:rPr>
            </w:pPr>
            <w:r>
              <w:rPr>
                <w:rFonts w:hint="eastAsia" w:ascii="宋体" w:hAnsi="宋体" w:eastAsia="宋体"/>
                <w:color w:val="auto"/>
                <w:sz w:val="24"/>
                <w:highlight w:val="none"/>
              </w:rPr>
              <w:t>供货</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安装</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地点</w:t>
            </w:r>
          </w:p>
        </w:tc>
        <w:tc>
          <w:tcPr>
            <w:tcW w:w="2231" w:type="dxa"/>
            <w:vAlign w:val="center"/>
          </w:tcPr>
          <w:p w14:paraId="787605DE">
            <w:pPr>
              <w:jc w:val="center"/>
              <w:rPr>
                <w:rFonts w:asciiTheme="minorEastAsia" w:hAnsiTheme="minorEastAsia" w:eastAsiaTheme="minorEastAsia"/>
                <w:color w:val="auto"/>
                <w:sz w:val="24"/>
                <w:highlight w:val="none"/>
              </w:rPr>
            </w:pPr>
          </w:p>
        </w:tc>
        <w:tc>
          <w:tcPr>
            <w:tcW w:w="2575" w:type="dxa"/>
            <w:vAlign w:val="center"/>
          </w:tcPr>
          <w:p w14:paraId="2DD6F31D">
            <w:pPr>
              <w:jc w:val="center"/>
              <w:rPr>
                <w:rFonts w:asciiTheme="minorEastAsia" w:hAnsiTheme="minorEastAsia" w:eastAsiaTheme="minorEastAsia"/>
                <w:color w:val="auto"/>
                <w:sz w:val="24"/>
                <w:highlight w:val="none"/>
              </w:rPr>
            </w:pPr>
          </w:p>
        </w:tc>
        <w:tc>
          <w:tcPr>
            <w:tcW w:w="810" w:type="dxa"/>
            <w:vAlign w:val="center"/>
          </w:tcPr>
          <w:p w14:paraId="5A1547AD">
            <w:pPr>
              <w:jc w:val="center"/>
              <w:rPr>
                <w:rFonts w:asciiTheme="minorEastAsia" w:hAnsiTheme="minorEastAsia" w:eastAsiaTheme="minorEastAsia"/>
                <w:color w:val="auto"/>
                <w:sz w:val="24"/>
                <w:highlight w:val="none"/>
              </w:rPr>
            </w:pPr>
          </w:p>
        </w:tc>
      </w:tr>
      <w:tr w14:paraId="24A8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B09C01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182" w:type="dxa"/>
            <w:vAlign w:val="center"/>
          </w:tcPr>
          <w:p w14:paraId="4931235A">
            <w:pPr>
              <w:jc w:val="center"/>
              <w:rPr>
                <w:rFonts w:hint="default" w:ascii="宋体" w:hAnsi="宋体" w:eastAsia="宋体"/>
                <w:color w:val="auto"/>
                <w:sz w:val="24"/>
                <w:highlight w:val="none"/>
                <w:lang w:val="en-US"/>
              </w:rPr>
            </w:pPr>
            <w:r>
              <w:rPr>
                <w:rFonts w:hint="eastAsia" w:ascii="宋体" w:hAnsi="宋体" w:eastAsia="宋体"/>
                <w:color w:val="auto"/>
                <w:sz w:val="24"/>
                <w:highlight w:val="none"/>
              </w:rPr>
              <w:t>供货</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安装</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周期</w:t>
            </w:r>
          </w:p>
        </w:tc>
        <w:tc>
          <w:tcPr>
            <w:tcW w:w="2231" w:type="dxa"/>
            <w:vAlign w:val="center"/>
          </w:tcPr>
          <w:p w14:paraId="109FD292">
            <w:pPr>
              <w:jc w:val="center"/>
              <w:rPr>
                <w:rFonts w:asciiTheme="minorEastAsia" w:hAnsiTheme="minorEastAsia" w:eastAsiaTheme="minorEastAsia"/>
                <w:color w:val="auto"/>
                <w:sz w:val="24"/>
                <w:highlight w:val="none"/>
              </w:rPr>
            </w:pPr>
          </w:p>
        </w:tc>
        <w:tc>
          <w:tcPr>
            <w:tcW w:w="2575" w:type="dxa"/>
            <w:vAlign w:val="center"/>
          </w:tcPr>
          <w:p w14:paraId="513E251D">
            <w:pPr>
              <w:pStyle w:val="84"/>
              <w:jc w:val="center"/>
              <w:rPr>
                <w:rFonts w:asciiTheme="minorEastAsia" w:hAnsiTheme="minorEastAsia" w:eastAsiaTheme="minorEastAsia"/>
                <w:color w:val="auto"/>
                <w:highlight w:val="none"/>
              </w:rPr>
            </w:pPr>
          </w:p>
        </w:tc>
        <w:tc>
          <w:tcPr>
            <w:tcW w:w="810" w:type="dxa"/>
            <w:vAlign w:val="center"/>
          </w:tcPr>
          <w:p w14:paraId="6630C1BD">
            <w:pPr>
              <w:jc w:val="center"/>
              <w:rPr>
                <w:rFonts w:asciiTheme="minorEastAsia" w:hAnsiTheme="minorEastAsia" w:eastAsiaTheme="minorEastAsia"/>
                <w:color w:val="auto"/>
                <w:sz w:val="24"/>
                <w:highlight w:val="none"/>
              </w:rPr>
            </w:pPr>
          </w:p>
        </w:tc>
      </w:tr>
      <w:tr w14:paraId="40B8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A13BA0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2182" w:type="dxa"/>
            <w:vAlign w:val="center"/>
          </w:tcPr>
          <w:p w14:paraId="6DD0396F">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231" w:type="dxa"/>
            <w:vAlign w:val="center"/>
          </w:tcPr>
          <w:p w14:paraId="3A4D0051">
            <w:pPr>
              <w:jc w:val="center"/>
              <w:rPr>
                <w:rFonts w:asciiTheme="minorEastAsia" w:hAnsiTheme="minorEastAsia" w:eastAsiaTheme="minorEastAsia"/>
                <w:color w:val="auto"/>
                <w:sz w:val="24"/>
                <w:highlight w:val="none"/>
              </w:rPr>
            </w:pPr>
          </w:p>
        </w:tc>
        <w:tc>
          <w:tcPr>
            <w:tcW w:w="2575" w:type="dxa"/>
            <w:vAlign w:val="center"/>
          </w:tcPr>
          <w:p w14:paraId="270279AD">
            <w:pPr>
              <w:jc w:val="center"/>
              <w:rPr>
                <w:rFonts w:asciiTheme="minorEastAsia" w:hAnsiTheme="minorEastAsia" w:eastAsiaTheme="minorEastAsia"/>
                <w:color w:val="auto"/>
                <w:sz w:val="24"/>
                <w:highlight w:val="none"/>
              </w:rPr>
            </w:pPr>
          </w:p>
        </w:tc>
        <w:tc>
          <w:tcPr>
            <w:tcW w:w="810" w:type="dxa"/>
            <w:vAlign w:val="center"/>
          </w:tcPr>
          <w:p w14:paraId="317364B3">
            <w:pPr>
              <w:jc w:val="center"/>
              <w:rPr>
                <w:rFonts w:asciiTheme="minorEastAsia" w:hAnsiTheme="minorEastAsia" w:eastAsiaTheme="minorEastAsia"/>
                <w:color w:val="auto"/>
                <w:sz w:val="24"/>
                <w:highlight w:val="none"/>
              </w:rPr>
            </w:pPr>
          </w:p>
        </w:tc>
      </w:tr>
      <w:tr w14:paraId="01AB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003A4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182" w:type="dxa"/>
            <w:vAlign w:val="center"/>
          </w:tcPr>
          <w:p w14:paraId="37B8D964">
            <w:pPr>
              <w:jc w:val="center"/>
              <w:rPr>
                <w:rFonts w:ascii="宋体" w:hAnsi="宋体" w:eastAsia="宋体"/>
                <w:color w:val="auto"/>
                <w:sz w:val="24"/>
                <w:highlight w:val="none"/>
              </w:rPr>
            </w:pPr>
          </w:p>
        </w:tc>
        <w:tc>
          <w:tcPr>
            <w:tcW w:w="2231" w:type="dxa"/>
            <w:vAlign w:val="center"/>
          </w:tcPr>
          <w:p w14:paraId="7D70EB01">
            <w:pPr>
              <w:jc w:val="center"/>
              <w:rPr>
                <w:rFonts w:asciiTheme="minorEastAsia" w:hAnsiTheme="minorEastAsia" w:eastAsiaTheme="minorEastAsia"/>
                <w:color w:val="auto"/>
                <w:sz w:val="24"/>
                <w:highlight w:val="none"/>
              </w:rPr>
            </w:pPr>
          </w:p>
        </w:tc>
        <w:tc>
          <w:tcPr>
            <w:tcW w:w="2575" w:type="dxa"/>
            <w:vAlign w:val="center"/>
          </w:tcPr>
          <w:p w14:paraId="6D6E2056">
            <w:pPr>
              <w:jc w:val="center"/>
              <w:rPr>
                <w:rFonts w:asciiTheme="minorEastAsia" w:hAnsiTheme="minorEastAsia" w:eastAsiaTheme="minorEastAsia"/>
                <w:color w:val="auto"/>
                <w:sz w:val="24"/>
                <w:highlight w:val="none"/>
              </w:rPr>
            </w:pPr>
          </w:p>
        </w:tc>
        <w:tc>
          <w:tcPr>
            <w:tcW w:w="810" w:type="dxa"/>
            <w:vAlign w:val="center"/>
          </w:tcPr>
          <w:p w14:paraId="1D6D38C4">
            <w:pPr>
              <w:jc w:val="center"/>
              <w:rPr>
                <w:rFonts w:asciiTheme="minorEastAsia" w:hAnsiTheme="minorEastAsia" w:eastAsiaTheme="minorEastAsia"/>
                <w:color w:val="auto"/>
                <w:sz w:val="24"/>
                <w:highlight w:val="none"/>
              </w:rPr>
            </w:pPr>
          </w:p>
        </w:tc>
      </w:tr>
    </w:tbl>
    <w:p w14:paraId="0E4CFC1A">
      <w:pPr>
        <w:spacing w:line="360" w:lineRule="auto"/>
        <w:ind w:firstLine="435"/>
        <w:outlineLvl w:val="2"/>
        <w:rPr>
          <w:rFonts w:hint="eastAsia" w:asciiTheme="minorEastAsia" w:hAnsiTheme="minorEastAsia" w:eastAsiaTheme="minorEastAsia"/>
          <w:b/>
          <w:color w:val="auto"/>
          <w:sz w:val="24"/>
          <w:highlight w:val="none"/>
          <w:lang w:val="en-US" w:eastAsia="zh-CN"/>
        </w:rPr>
      </w:pPr>
    </w:p>
    <w:p w14:paraId="46A7F9CD">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3E88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0C747D7C">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24EE48FF">
            <w:pPr>
              <w:pStyle w:val="28"/>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863" w:type="dxa"/>
            <w:vAlign w:val="center"/>
          </w:tcPr>
          <w:p w14:paraId="0FE41457">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磋商文件规定的技术参数要求</w:t>
            </w:r>
          </w:p>
        </w:tc>
        <w:tc>
          <w:tcPr>
            <w:tcW w:w="2482" w:type="dxa"/>
            <w:vAlign w:val="center"/>
          </w:tcPr>
          <w:p w14:paraId="2AAE193D">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856" w:type="dxa"/>
            <w:vAlign w:val="center"/>
          </w:tcPr>
          <w:p w14:paraId="2428FB84">
            <w:pPr>
              <w:pStyle w:val="28"/>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B0D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DB48A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78B37C78">
            <w:pPr>
              <w:jc w:val="center"/>
              <w:rPr>
                <w:rFonts w:asciiTheme="minorEastAsia" w:hAnsiTheme="minorEastAsia" w:eastAsiaTheme="minorEastAsia"/>
                <w:color w:val="auto"/>
                <w:sz w:val="24"/>
                <w:highlight w:val="none"/>
              </w:rPr>
            </w:pPr>
          </w:p>
        </w:tc>
        <w:tc>
          <w:tcPr>
            <w:tcW w:w="2863" w:type="dxa"/>
            <w:vAlign w:val="center"/>
          </w:tcPr>
          <w:p w14:paraId="341CB1D6">
            <w:pPr>
              <w:jc w:val="center"/>
              <w:rPr>
                <w:rFonts w:asciiTheme="minorEastAsia" w:hAnsiTheme="minorEastAsia" w:eastAsiaTheme="minorEastAsia"/>
                <w:color w:val="auto"/>
                <w:sz w:val="24"/>
                <w:highlight w:val="none"/>
              </w:rPr>
            </w:pPr>
          </w:p>
        </w:tc>
        <w:tc>
          <w:tcPr>
            <w:tcW w:w="2482" w:type="dxa"/>
            <w:vAlign w:val="center"/>
          </w:tcPr>
          <w:p w14:paraId="55F37D03">
            <w:pPr>
              <w:jc w:val="center"/>
              <w:rPr>
                <w:rFonts w:asciiTheme="minorEastAsia" w:hAnsiTheme="minorEastAsia" w:eastAsiaTheme="minorEastAsia"/>
                <w:color w:val="auto"/>
                <w:sz w:val="24"/>
                <w:highlight w:val="none"/>
              </w:rPr>
            </w:pPr>
          </w:p>
        </w:tc>
        <w:tc>
          <w:tcPr>
            <w:tcW w:w="856" w:type="dxa"/>
            <w:vAlign w:val="center"/>
          </w:tcPr>
          <w:p w14:paraId="49885008">
            <w:pPr>
              <w:jc w:val="center"/>
              <w:rPr>
                <w:rFonts w:asciiTheme="minorEastAsia" w:hAnsiTheme="minorEastAsia" w:eastAsiaTheme="minorEastAsia"/>
                <w:color w:val="auto"/>
                <w:sz w:val="24"/>
                <w:highlight w:val="none"/>
              </w:rPr>
            </w:pPr>
          </w:p>
        </w:tc>
      </w:tr>
      <w:tr w14:paraId="7C0D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FCE47E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4DAEE3F4">
            <w:pPr>
              <w:jc w:val="center"/>
              <w:rPr>
                <w:rFonts w:asciiTheme="minorEastAsia" w:hAnsiTheme="minorEastAsia" w:eastAsiaTheme="minorEastAsia"/>
                <w:color w:val="auto"/>
                <w:sz w:val="24"/>
                <w:highlight w:val="none"/>
              </w:rPr>
            </w:pPr>
          </w:p>
        </w:tc>
        <w:tc>
          <w:tcPr>
            <w:tcW w:w="2863" w:type="dxa"/>
            <w:vAlign w:val="center"/>
          </w:tcPr>
          <w:p w14:paraId="3BC0D39F">
            <w:pPr>
              <w:jc w:val="center"/>
              <w:rPr>
                <w:rFonts w:asciiTheme="minorEastAsia" w:hAnsiTheme="minorEastAsia" w:eastAsiaTheme="minorEastAsia"/>
                <w:color w:val="auto"/>
                <w:sz w:val="24"/>
                <w:highlight w:val="none"/>
              </w:rPr>
            </w:pPr>
          </w:p>
        </w:tc>
        <w:tc>
          <w:tcPr>
            <w:tcW w:w="2482" w:type="dxa"/>
            <w:vAlign w:val="center"/>
          </w:tcPr>
          <w:p w14:paraId="6CF53FF1">
            <w:pPr>
              <w:jc w:val="center"/>
              <w:rPr>
                <w:rFonts w:asciiTheme="minorEastAsia" w:hAnsiTheme="minorEastAsia" w:eastAsiaTheme="minorEastAsia"/>
                <w:color w:val="auto"/>
                <w:sz w:val="24"/>
                <w:highlight w:val="none"/>
              </w:rPr>
            </w:pPr>
          </w:p>
        </w:tc>
        <w:tc>
          <w:tcPr>
            <w:tcW w:w="856" w:type="dxa"/>
            <w:vAlign w:val="center"/>
          </w:tcPr>
          <w:p w14:paraId="247F5184">
            <w:pPr>
              <w:jc w:val="center"/>
              <w:rPr>
                <w:rFonts w:asciiTheme="minorEastAsia" w:hAnsiTheme="minorEastAsia" w:eastAsiaTheme="minorEastAsia"/>
                <w:color w:val="auto"/>
                <w:sz w:val="24"/>
                <w:highlight w:val="none"/>
              </w:rPr>
            </w:pPr>
          </w:p>
        </w:tc>
      </w:tr>
      <w:tr w14:paraId="7D23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E0E09A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2B17AF3A">
            <w:pPr>
              <w:jc w:val="center"/>
              <w:rPr>
                <w:rFonts w:asciiTheme="minorEastAsia" w:hAnsiTheme="minorEastAsia" w:eastAsiaTheme="minorEastAsia"/>
                <w:color w:val="auto"/>
                <w:sz w:val="24"/>
                <w:highlight w:val="none"/>
              </w:rPr>
            </w:pPr>
          </w:p>
        </w:tc>
        <w:tc>
          <w:tcPr>
            <w:tcW w:w="2863" w:type="dxa"/>
            <w:vAlign w:val="center"/>
          </w:tcPr>
          <w:p w14:paraId="550A90B9">
            <w:pPr>
              <w:jc w:val="center"/>
              <w:rPr>
                <w:rFonts w:asciiTheme="minorEastAsia" w:hAnsiTheme="minorEastAsia" w:eastAsiaTheme="minorEastAsia"/>
                <w:color w:val="auto"/>
                <w:sz w:val="24"/>
                <w:highlight w:val="none"/>
              </w:rPr>
            </w:pPr>
          </w:p>
        </w:tc>
        <w:tc>
          <w:tcPr>
            <w:tcW w:w="2482" w:type="dxa"/>
            <w:vAlign w:val="center"/>
          </w:tcPr>
          <w:p w14:paraId="3E9247E6">
            <w:pPr>
              <w:pStyle w:val="84"/>
              <w:jc w:val="center"/>
              <w:rPr>
                <w:rFonts w:asciiTheme="minorEastAsia" w:hAnsiTheme="minorEastAsia" w:eastAsiaTheme="minorEastAsia"/>
                <w:color w:val="auto"/>
                <w:highlight w:val="none"/>
              </w:rPr>
            </w:pPr>
          </w:p>
        </w:tc>
        <w:tc>
          <w:tcPr>
            <w:tcW w:w="856" w:type="dxa"/>
            <w:vAlign w:val="center"/>
          </w:tcPr>
          <w:p w14:paraId="102C8239">
            <w:pPr>
              <w:jc w:val="center"/>
              <w:rPr>
                <w:rFonts w:asciiTheme="minorEastAsia" w:hAnsiTheme="minorEastAsia" w:eastAsiaTheme="minorEastAsia"/>
                <w:color w:val="auto"/>
                <w:sz w:val="24"/>
                <w:highlight w:val="none"/>
              </w:rPr>
            </w:pPr>
          </w:p>
        </w:tc>
      </w:tr>
      <w:tr w14:paraId="20C3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0C2D86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1C8E59A8">
            <w:pPr>
              <w:jc w:val="center"/>
              <w:rPr>
                <w:rFonts w:asciiTheme="minorEastAsia" w:hAnsiTheme="minorEastAsia" w:eastAsiaTheme="minorEastAsia"/>
                <w:color w:val="auto"/>
                <w:sz w:val="24"/>
                <w:highlight w:val="none"/>
              </w:rPr>
            </w:pPr>
          </w:p>
        </w:tc>
        <w:tc>
          <w:tcPr>
            <w:tcW w:w="2863" w:type="dxa"/>
            <w:vAlign w:val="center"/>
          </w:tcPr>
          <w:p w14:paraId="2CC161F2">
            <w:pPr>
              <w:jc w:val="center"/>
              <w:rPr>
                <w:rFonts w:asciiTheme="minorEastAsia" w:hAnsiTheme="minorEastAsia" w:eastAsiaTheme="minorEastAsia"/>
                <w:color w:val="auto"/>
                <w:sz w:val="24"/>
                <w:highlight w:val="none"/>
              </w:rPr>
            </w:pPr>
          </w:p>
        </w:tc>
        <w:tc>
          <w:tcPr>
            <w:tcW w:w="2482" w:type="dxa"/>
            <w:vAlign w:val="center"/>
          </w:tcPr>
          <w:p w14:paraId="47BBE1F6">
            <w:pPr>
              <w:pStyle w:val="84"/>
              <w:jc w:val="center"/>
              <w:rPr>
                <w:rFonts w:asciiTheme="minorEastAsia" w:hAnsiTheme="minorEastAsia" w:eastAsiaTheme="minorEastAsia"/>
                <w:color w:val="auto"/>
                <w:highlight w:val="none"/>
              </w:rPr>
            </w:pPr>
          </w:p>
        </w:tc>
        <w:tc>
          <w:tcPr>
            <w:tcW w:w="856" w:type="dxa"/>
            <w:vAlign w:val="center"/>
          </w:tcPr>
          <w:p w14:paraId="378C17FF">
            <w:pPr>
              <w:jc w:val="center"/>
              <w:rPr>
                <w:rFonts w:asciiTheme="minorEastAsia" w:hAnsiTheme="minorEastAsia" w:eastAsiaTheme="minorEastAsia"/>
                <w:color w:val="auto"/>
                <w:sz w:val="24"/>
                <w:highlight w:val="none"/>
              </w:rPr>
            </w:pPr>
          </w:p>
        </w:tc>
      </w:tr>
      <w:tr w14:paraId="0480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2A694A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4DA5D5FC">
            <w:pPr>
              <w:jc w:val="center"/>
              <w:rPr>
                <w:rFonts w:asciiTheme="minorEastAsia" w:hAnsiTheme="minorEastAsia" w:eastAsiaTheme="minorEastAsia"/>
                <w:color w:val="auto"/>
                <w:sz w:val="24"/>
                <w:highlight w:val="none"/>
              </w:rPr>
            </w:pPr>
          </w:p>
        </w:tc>
        <w:tc>
          <w:tcPr>
            <w:tcW w:w="2863" w:type="dxa"/>
            <w:vAlign w:val="center"/>
          </w:tcPr>
          <w:p w14:paraId="6866501D">
            <w:pPr>
              <w:jc w:val="center"/>
              <w:rPr>
                <w:rFonts w:asciiTheme="minorEastAsia" w:hAnsiTheme="minorEastAsia" w:eastAsiaTheme="minorEastAsia"/>
                <w:color w:val="auto"/>
                <w:sz w:val="24"/>
                <w:highlight w:val="none"/>
              </w:rPr>
            </w:pPr>
          </w:p>
        </w:tc>
        <w:tc>
          <w:tcPr>
            <w:tcW w:w="2482" w:type="dxa"/>
            <w:vAlign w:val="center"/>
          </w:tcPr>
          <w:p w14:paraId="2017A5B3">
            <w:pPr>
              <w:jc w:val="center"/>
              <w:rPr>
                <w:rFonts w:asciiTheme="minorEastAsia" w:hAnsiTheme="minorEastAsia" w:eastAsiaTheme="minorEastAsia"/>
                <w:color w:val="auto"/>
                <w:sz w:val="24"/>
                <w:highlight w:val="none"/>
              </w:rPr>
            </w:pPr>
          </w:p>
        </w:tc>
        <w:tc>
          <w:tcPr>
            <w:tcW w:w="856" w:type="dxa"/>
            <w:vAlign w:val="center"/>
          </w:tcPr>
          <w:p w14:paraId="4D199D69">
            <w:pPr>
              <w:jc w:val="center"/>
              <w:rPr>
                <w:rFonts w:asciiTheme="minorEastAsia" w:hAnsiTheme="minorEastAsia" w:eastAsiaTheme="minorEastAsia"/>
                <w:color w:val="auto"/>
                <w:sz w:val="24"/>
                <w:highlight w:val="none"/>
              </w:rPr>
            </w:pPr>
          </w:p>
        </w:tc>
      </w:tr>
    </w:tbl>
    <w:p w14:paraId="2D179AED">
      <w:pPr>
        <w:numPr>
          <w:ilvl w:val="0"/>
          <w:numId w:val="0"/>
        </w:numPr>
        <w:spacing w:line="360" w:lineRule="auto"/>
        <w:rPr>
          <w:rFonts w:hint="eastAsia"/>
          <w:color w:val="auto"/>
          <w:sz w:val="24"/>
          <w:szCs w:val="24"/>
          <w:highlight w:val="none"/>
          <w:lang w:val="en-US" w:eastAsia="zh-CN"/>
        </w:rPr>
      </w:pPr>
    </w:p>
    <w:p w14:paraId="5607CE72">
      <w:pPr>
        <w:numPr>
          <w:ilvl w:val="0"/>
          <w:numId w:val="0"/>
        </w:numPr>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备注：</w:t>
      </w:r>
    </w:p>
    <w:p w14:paraId="34E1E2BB">
      <w:pPr>
        <w:numPr>
          <w:ilvl w:val="0"/>
          <w:numId w:val="7"/>
        </w:numPr>
        <w:spacing w:line="360" w:lineRule="auto"/>
        <w:rPr>
          <w:rFonts w:hint="eastAsia"/>
          <w:color w:val="auto"/>
          <w:sz w:val="24"/>
          <w:szCs w:val="24"/>
          <w:highlight w:val="none"/>
        </w:rPr>
      </w:pPr>
      <w:r>
        <w:rPr>
          <w:rFonts w:hint="eastAsia"/>
          <w:color w:val="auto"/>
          <w:sz w:val="24"/>
          <w:szCs w:val="24"/>
          <w:highlight w:val="none"/>
        </w:rPr>
        <w:t>投标人保证：除</w:t>
      </w:r>
      <w:r>
        <w:rPr>
          <w:rFonts w:hint="eastAsia"/>
          <w:color w:val="auto"/>
          <w:sz w:val="24"/>
          <w:szCs w:val="24"/>
          <w:highlight w:val="none"/>
          <w:lang w:val="en-US" w:eastAsia="zh-CN"/>
        </w:rPr>
        <w:t>上表</w:t>
      </w:r>
      <w:r>
        <w:rPr>
          <w:rFonts w:hint="eastAsia"/>
          <w:color w:val="auto"/>
          <w:sz w:val="24"/>
          <w:szCs w:val="24"/>
          <w:highlight w:val="none"/>
        </w:rPr>
        <w:t>列出的偏差外，投标人响应</w:t>
      </w:r>
      <w:r>
        <w:rPr>
          <w:rFonts w:hint="eastAsia"/>
          <w:color w:val="auto"/>
          <w:sz w:val="24"/>
          <w:szCs w:val="24"/>
          <w:highlight w:val="none"/>
          <w:lang w:val="en-US" w:eastAsia="zh-CN"/>
        </w:rPr>
        <w:t>磋商</w:t>
      </w:r>
      <w:r>
        <w:rPr>
          <w:rFonts w:hint="eastAsia"/>
          <w:color w:val="auto"/>
          <w:sz w:val="24"/>
          <w:szCs w:val="24"/>
          <w:highlight w:val="none"/>
        </w:rPr>
        <w:t>文件的全部要求。</w:t>
      </w:r>
    </w:p>
    <w:p w14:paraId="3B4358CA">
      <w:pPr>
        <w:numPr>
          <w:ilvl w:val="0"/>
          <w:numId w:val="7"/>
        </w:numPr>
        <w:spacing w:line="360" w:lineRule="auto"/>
        <w:rPr>
          <w:rFonts w:hint="eastAsia"/>
          <w:color w:val="auto"/>
          <w:sz w:val="24"/>
          <w:szCs w:val="24"/>
          <w:highlight w:val="none"/>
        </w:rPr>
      </w:pPr>
      <w:r>
        <w:rPr>
          <w:rFonts w:hint="eastAsia"/>
          <w:color w:val="auto"/>
          <w:sz w:val="24"/>
          <w:szCs w:val="24"/>
          <w:highlight w:val="none"/>
        </w:rPr>
        <w:t>采用其他品牌（或型号）的应在上述偏差表中注明并提供有关技术性能指标证明资料等供</w:t>
      </w:r>
      <w:r>
        <w:rPr>
          <w:rFonts w:hint="eastAsia"/>
          <w:color w:val="auto"/>
          <w:sz w:val="24"/>
          <w:szCs w:val="24"/>
          <w:highlight w:val="none"/>
          <w:lang w:val="en-US" w:eastAsia="zh-CN"/>
        </w:rPr>
        <w:t>评审小组</w:t>
      </w:r>
      <w:r>
        <w:rPr>
          <w:rFonts w:hint="eastAsia"/>
          <w:color w:val="auto"/>
          <w:sz w:val="24"/>
          <w:szCs w:val="24"/>
          <w:highlight w:val="none"/>
        </w:rPr>
        <w:t>评审，未注明且未提供有关技术性能指标证明资料，或经</w:t>
      </w:r>
      <w:r>
        <w:rPr>
          <w:rFonts w:hint="eastAsia"/>
          <w:color w:val="auto"/>
          <w:sz w:val="24"/>
          <w:szCs w:val="24"/>
          <w:highlight w:val="none"/>
          <w:lang w:val="en-US" w:eastAsia="zh-CN"/>
        </w:rPr>
        <w:t>评审小组</w:t>
      </w:r>
      <w:r>
        <w:rPr>
          <w:rFonts w:hint="eastAsia"/>
          <w:color w:val="auto"/>
          <w:sz w:val="24"/>
          <w:szCs w:val="24"/>
          <w:highlight w:val="none"/>
        </w:rPr>
        <w:t>评审未通过的，中标后只能从招标人推荐（或参考）品牌中进行选择，合同价格不予调整。</w:t>
      </w:r>
    </w:p>
    <w:p w14:paraId="2C75A0A4">
      <w:pPr>
        <w:spacing w:line="360" w:lineRule="auto"/>
        <w:jc w:val="center"/>
        <w:outlineLvl w:val="2"/>
        <w:rPr>
          <w:rFonts w:hint="eastAsia" w:asciiTheme="minorEastAsia" w:hAnsiTheme="minorEastAsia" w:eastAsiaTheme="minorEastAsia"/>
          <w:b w:val="0"/>
          <w:color w:val="auto"/>
          <w:sz w:val="24"/>
          <w:highlight w:val="none"/>
        </w:rPr>
      </w:pPr>
    </w:p>
    <w:p w14:paraId="18BC3F39">
      <w:pPr>
        <w:spacing w:line="360" w:lineRule="auto"/>
        <w:ind w:firstLine="3840" w:firstLineChars="1600"/>
        <w:rPr>
          <w:rFonts w:cs="宋体"/>
          <w:color w:val="auto"/>
          <w:kern w:val="2"/>
          <w:sz w:val="24"/>
          <w:szCs w:val="24"/>
          <w:highlight w:val="none"/>
        </w:rPr>
      </w:pPr>
      <w:r>
        <w:rPr>
          <w:rFonts w:hint="eastAsia" w:cs="@仿宋_GB2312"/>
          <w:color w:val="auto"/>
          <w:kern w:val="2"/>
          <w:sz w:val="24"/>
          <w:szCs w:val="24"/>
          <w:highlight w:val="none"/>
          <w:lang w:eastAsia="zh-CN"/>
        </w:rPr>
        <w:t>投标人</w:t>
      </w:r>
      <w:r>
        <w:rPr>
          <w:rFonts w:hint="eastAsia" w:cs="@仿宋_GB2312"/>
          <w:color w:val="auto"/>
          <w:kern w:val="2"/>
          <w:sz w:val="24"/>
          <w:szCs w:val="24"/>
          <w:highlight w:val="none"/>
        </w:rPr>
        <w:t>电子签章</w:t>
      </w:r>
      <w:r>
        <w:rPr>
          <w:rFonts w:hint="eastAsia" w:cs="@仿宋_GB2312"/>
          <w:color w:val="auto"/>
          <w:kern w:val="2"/>
          <w:sz w:val="24"/>
          <w:szCs w:val="24"/>
          <w:highlight w:val="none"/>
          <w:lang w:val="en-US" w:eastAsia="zh-CN"/>
        </w:rPr>
        <w:t>或公章</w:t>
      </w:r>
      <w:r>
        <w:rPr>
          <w:rFonts w:hint="eastAsia" w:cs="宋体"/>
          <w:color w:val="auto"/>
          <w:kern w:val="2"/>
          <w:sz w:val="24"/>
          <w:szCs w:val="24"/>
          <w:highlight w:val="none"/>
        </w:rPr>
        <w:t>：</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337F195C">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D7FB112">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asciiTheme="minorEastAsia" w:hAnsiTheme="minorEastAsia" w:eastAsiaTheme="minorEastAsia"/>
          <w:b w:val="0"/>
          <w:color w:val="auto"/>
          <w:sz w:val="24"/>
          <w:highlight w:val="none"/>
        </w:rPr>
        <w:br w:type="page"/>
      </w:r>
    </w:p>
    <w:p w14:paraId="3BD66BCA">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p>
    <w:p w14:paraId="356C8D07">
      <w:pPr>
        <w:spacing w:line="360" w:lineRule="auto"/>
        <w:jc w:val="center"/>
        <w:outlineLvl w:val="1"/>
        <w:rPr>
          <w:rFonts w:hint="eastAsia" w:ascii="宋体" w:hAnsi="宋体" w:eastAsia="宋体"/>
          <w:color w:val="auto"/>
          <w:sz w:val="24"/>
          <w:szCs w:val="22"/>
          <w:highlight w:val="none"/>
          <w:lang w:eastAsia="zh-CN"/>
        </w:rPr>
      </w:pPr>
      <w:bookmarkStart w:id="44" w:name="_Toc25565"/>
      <w:bookmarkStart w:id="45" w:name="_Toc19685"/>
      <w:r>
        <w:rPr>
          <w:rFonts w:hint="eastAsia" w:ascii="宋体" w:hAnsi="宋体" w:eastAsia="宋体"/>
          <w:color w:val="auto"/>
          <w:sz w:val="24"/>
          <w:szCs w:val="22"/>
          <w:highlight w:val="none"/>
          <w:lang w:eastAsia="zh-CN"/>
        </w:rPr>
        <w:t>投标人按照第四章评审方法和标准放置的其他资料。</w:t>
      </w:r>
      <w:bookmarkEnd w:id="44"/>
      <w:bookmarkEnd w:id="45"/>
    </w:p>
    <w:p w14:paraId="10B8CD0B">
      <w:pPr>
        <w:rPr>
          <w:rFonts w:hint="eastAsia" w:ascii="宋体" w:hAnsi="宋体" w:eastAsia="宋体"/>
          <w:color w:val="auto"/>
          <w:sz w:val="24"/>
          <w:szCs w:val="22"/>
          <w:highlight w:val="none"/>
          <w:lang w:eastAsia="zh-CN"/>
        </w:rPr>
      </w:pPr>
      <w:r>
        <w:rPr>
          <w:rFonts w:hint="eastAsia" w:ascii="宋体" w:hAnsi="宋体" w:eastAsia="宋体"/>
          <w:color w:val="auto"/>
          <w:sz w:val="24"/>
          <w:szCs w:val="22"/>
          <w:highlight w:val="none"/>
          <w:lang w:eastAsia="zh-CN"/>
        </w:rPr>
        <w:br w:type="page"/>
      </w:r>
    </w:p>
    <w:p w14:paraId="118A73EB">
      <w:pPr>
        <w:spacing w:line="360" w:lineRule="auto"/>
        <w:jc w:val="center"/>
        <w:outlineLvl w:val="1"/>
        <w:rPr>
          <w:rFonts w:hint="eastAsia" w:asciiTheme="minorEastAsia" w:hAnsiTheme="minorEastAsia" w:eastAsiaTheme="minorEastAsia"/>
          <w:b/>
          <w:color w:val="auto"/>
          <w:sz w:val="28"/>
          <w:highlight w:val="none"/>
        </w:rPr>
      </w:pPr>
      <w:bookmarkStart w:id="46" w:name="_Toc31778"/>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eastAsia="zh-CN"/>
        </w:rPr>
        <w:t>七</w:t>
      </w:r>
      <w:r>
        <w:rPr>
          <w:rFonts w:hint="eastAsia" w:asciiTheme="minorEastAsia" w:hAnsiTheme="minorEastAsia" w:eastAsiaTheme="minorEastAsia"/>
          <w:b/>
          <w:color w:val="auto"/>
          <w:sz w:val="28"/>
          <w:highlight w:val="none"/>
        </w:rPr>
        <w:t>章 安徽公共资源交易集团电子交易操作规程</w:t>
      </w:r>
      <w:bookmarkEnd w:id="46"/>
    </w:p>
    <w:p w14:paraId="2DDAEC9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第一条</w:t>
      </w:r>
      <w:r>
        <w:rPr>
          <w:rFonts w:hint="eastAsia" w:asciiTheme="minorEastAsia" w:hAnsiTheme="minorEastAsia" w:eastAsiaTheme="minorEastAsia" w:cstheme="minorEastAsia"/>
          <w:color w:val="auto"/>
          <w:sz w:val="24"/>
          <w:szCs w:val="24"/>
          <w:highlight w:val="none"/>
        </w:rPr>
        <w:t>  为进一步规范交易行为，提高交易效率，</w:t>
      </w:r>
      <w:r>
        <w:rPr>
          <w:rFonts w:hint="eastAsia" w:asciiTheme="minorEastAsia" w:hAnsiTheme="minorEastAsia" w:eastAsiaTheme="minorEastAsia" w:cstheme="minorEastAsia"/>
          <w:strike w:val="0"/>
          <w:dstrike w:val="0"/>
          <w:color w:val="auto"/>
          <w:sz w:val="24"/>
          <w:szCs w:val="24"/>
          <w:highlight w:val="none"/>
        </w:rPr>
        <w:t>充分利用信息网络技术</w:t>
      </w:r>
      <w:r>
        <w:rPr>
          <w:rFonts w:hint="eastAsia" w:asciiTheme="minorEastAsia" w:hAnsiTheme="minorEastAsia" w:eastAsiaTheme="minorEastAsia" w:cstheme="minorEastAsia"/>
          <w:color w:val="auto"/>
          <w:sz w:val="24"/>
          <w:szCs w:val="24"/>
          <w:highlight w:val="none"/>
        </w:rPr>
        <w:t>，参照《中华人民共和国电子签名法》《电子招标投标办法》等有关规定，结合工作实际，制定本规程。</w:t>
      </w:r>
    </w:p>
    <w:p w14:paraId="7084AEB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w:t>
      </w:r>
      <w:r>
        <w:rPr>
          <w:rFonts w:hint="eastAsia" w:asciiTheme="minorEastAsia" w:hAnsiTheme="minorEastAsia" w:eastAsiaTheme="minorEastAsia" w:cstheme="minorEastAsia"/>
          <w:color w:val="auto"/>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46F9AA2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第三条</w:t>
      </w:r>
      <w:r>
        <w:rPr>
          <w:rFonts w:hint="eastAsia" w:asciiTheme="minorEastAsia" w:hAnsiTheme="minorEastAsia" w:eastAsiaTheme="minorEastAsia" w:cstheme="minorEastAsia"/>
          <w:color w:val="auto"/>
          <w:sz w:val="24"/>
          <w:szCs w:val="24"/>
          <w:highlight w:val="none"/>
        </w:rPr>
        <w:t>  本规程所指的电子交易，是指以数据电文形式，依托安徽公共资源交易集团电子交易系统（简称“电子交易系统”）完成的全部或者部分交易活动。</w:t>
      </w:r>
    </w:p>
    <w:p w14:paraId="18C1F5D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第四条</w:t>
      </w:r>
      <w:r>
        <w:rPr>
          <w:rFonts w:hint="eastAsia" w:asciiTheme="minorEastAsia" w:hAnsiTheme="minorEastAsia" w:eastAsiaTheme="minorEastAsia" w:cstheme="minorEastAsia"/>
          <w:color w:val="auto"/>
          <w:sz w:val="24"/>
          <w:szCs w:val="24"/>
          <w:highlight w:val="none"/>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color w:val="auto"/>
          <w:sz w:val="24"/>
          <w:szCs w:val="24"/>
          <w:highlight w:val="none"/>
        </w:rPr>
        <w:t>根据</w:t>
      </w:r>
      <w:r>
        <w:rPr>
          <w:rFonts w:hint="eastAsia" w:asciiTheme="minorEastAsia" w:hAnsiTheme="minorEastAsia" w:eastAsiaTheme="minorEastAsia" w:cstheme="minorEastAsia"/>
          <w:color w:val="auto"/>
          <w:sz w:val="24"/>
          <w:szCs w:val="24"/>
          <w:highlight w:val="none"/>
        </w:rPr>
        <w:t>交易项目的特点</w:t>
      </w:r>
      <w:r>
        <w:rPr>
          <w:rFonts w:hint="eastAsia" w:asciiTheme="minorEastAsia" w:hAnsiTheme="minorEastAsia" w:eastAsiaTheme="minorEastAsia" w:cstheme="minorEastAsia"/>
          <w:strike w:val="0"/>
          <w:dstrike w:val="0"/>
          <w:color w:val="auto"/>
          <w:sz w:val="24"/>
          <w:szCs w:val="24"/>
          <w:highlight w:val="none"/>
        </w:rPr>
        <w:t>和招标人（采购人）的</w:t>
      </w:r>
      <w:r>
        <w:rPr>
          <w:rFonts w:hint="eastAsia" w:asciiTheme="minorEastAsia" w:hAnsiTheme="minorEastAsia" w:eastAsiaTheme="minorEastAsia" w:cstheme="minorEastAsia"/>
          <w:color w:val="auto"/>
          <w:sz w:val="24"/>
          <w:szCs w:val="24"/>
          <w:highlight w:val="none"/>
        </w:rPr>
        <w:t>实际需求制定的</w:t>
      </w:r>
      <w:r>
        <w:rPr>
          <w:rFonts w:hint="eastAsia" w:asciiTheme="minorEastAsia" w:hAnsiTheme="minorEastAsia" w:eastAsiaTheme="minorEastAsia" w:cstheme="minorEastAsia"/>
          <w:strike w:val="0"/>
          <w:dstrike w:val="0"/>
          <w:color w:val="auto"/>
          <w:sz w:val="24"/>
          <w:szCs w:val="24"/>
          <w:highlight w:val="none"/>
        </w:rPr>
        <w:t>规范性</w:t>
      </w:r>
      <w:r>
        <w:rPr>
          <w:rFonts w:hint="eastAsia" w:asciiTheme="minorEastAsia" w:hAnsiTheme="minorEastAsia" w:eastAsiaTheme="minorEastAsia" w:cstheme="minorEastAsia"/>
          <w:color w:val="auto"/>
          <w:sz w:val="24"/>
          <w:szCs w:val="24"/>
          <w:highlight w:val="none"/>
        </w:rPr>
        <w:t>文件。</w:t>
      </w:r>
    </w:p>
    <w:p w14:paraId="1569ADA0">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本规程所指的投标文件，是指投标人（供应商）应招标文件要求编制的响应</w:t>
      </w:r>
      <w:r>
        <w:rPr>
          <w:rFonts w:hint="eastAsia" w:asciiTheme="minorEastAsia" w:hAnsiTheme="minorEastAsia" w:eastAsiaTheme="minorEastAsia" w:cstheme="minorEastAsia"/>
          <w:strike w:val="0"/>
          <w:dstrike w:val="0"/>
          <w:color w:val="auto"/>
          <w:sz w:val="24"/>
          <w:szCs w:val="24"/>
          <w:highlight w:val="none"/>
        </w:rPr>
        <w:t>性</w:t>
      </w:r>
      <w:r>
        <w:rPr>
          <w:rFonts w:hint="eastAsia" w:asciiTheme="minorEastAsia" w:hAnsiTheme="minorEastAsia" w:eastAsiaTheme="minorEastAsia" w:cstheme="minorEastAsia"/>
          <w:color w:val="auto"/>
          <w:sz w:val="24"/>
          <w:szCs w:val="24"/>
          <w:highlight w:val="none"/>
        </w:rPr>
        <w:t>文件。</w:t>
      </w:r>
    </w:p>
    <w:p w14:paraId="4DB72D4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第五条</w:t>
      </w:r>
      <w:r>
        <w:rPr>
          <w:rFonts w:hint="eastAsia" w:asciiTheme="minorEastAsia" w:hAnsiTheme="minorEastAsia" w:eastAsiaTheme="minorEastAsia" w:cstheme="minorEastAsia"/>
          <w:color w:val="auto"/>
          <w:sz w:val="24"/>
          <w:szCs w:val="24"/>
          <w:highlight w:val="none"/>
        </w:rPr>
        <w:t>  电子交易系统是交易活动当事人通过数据电文形式完成交易活动的系统。</w:t>
      </w:r>
    </w:p>
    <w:p w14:paraId="481811BE">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电子交易系统具备在线完成交易活动全部</w:t>
      </w:r>
      <w:r>
        <w:rPr>
          <w:rFonts w:hint="eastAsia" w:asciiTheme="minorEastAsia" w:hAnsiTheme="minorEastAsia" w:eastAsiaTheme="minorEastAsia" w:cstheme="minorEastAsia"/>
          <w:color w:val="auto"/>
          <w:sz w:val="24"/>
          <w:szCs w:val="24"/>
          <w:highlight w:val="none"/>
          <w:lang w:val="en-US" w:eastAsia="zh-CN"/>
        </w:rPr>
        <w:t>或部分</w:t>
      </w:r>
      <w:r>
        <w:rPr>
          <w:rFonts w:hint="eastAsia" w:asciiTheme="minorEastAsia" w:hAnsiTheme="minorEastAsia" w:eastAsiaTheme="minorEastAsia" w:cstheme="minorEastAsia"/>
          <w:color w:val="auto"/>
          <w:sz w:val="24"/>
          <w:szCs w:val="24"/>
          <w:highlight w:val="none"/>
        </w:rPr>
        <w:t>交易过程，</w:t>
      </w:r>
      <w:r>
        <w:rPr>
          <w:rFonts w:hint="eastAsia" w:asciiTheme="minorEastAsia" w:hAnsiTheme="minorEastAsia" w:eastAsiaTheme="minorEastAsia" w:cstheme="minorEastAsia"/>
          <w:color w:val="auto"/>
          <w:sz w:val="24"/>
          <w:szCs w:val="24"/>
          <w:highlight w:val="none"/>
          <w:lang w:val="en-US" w:eastAsia="zh-CN"/>
        </w:rPr>
        <w:t>具备</w:t>
      </w:r>
      <w:r>
        <w:rPr>
          <w:rFonts w:hint="eastAsia" w:asciiTheme="minorEastAsia" w:hAnsiTheme="minorEastAsia" w:eastAsiaTheme="minorEastAsia" w:cstheme="minorEastAsia"/>
          <w:color w:val="auto"/>
          <w:sz w:val="24"/>
          <w:szCs w:val="24"/>
          <w:highlight w:val="none"/>
        </w:rPr>
        <w:t>编辑、生成、对接、交换和发布有关交易活动数据信息的功能，并为交易活动监督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部门实施监督</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提供所需的信息。</w:t>
      </w:r>
    </w:p>
    <w:p w14:paraId="41250E2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第六条</w:t>
      </w:r>
      <w:r>
        <w:rPr>
          <w:rFonts w:hint="eastAsia" w:asciiTheme="minorEastAsia" w:hAnsiTheme="minorEastAsia" w:eastAsiaTheme="minorEastAsia" w:cstheme="minorEastAsia"/>
          <w:color w:val="auto"/>
          <w:sz w:val="24"/>
          <w:szCs w:val="24"/>
          <w:highlight w:val="none"/>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color w:val="auto"/>
          <w:sz w:val="24"/>
          <w:szCs w:val="24"/>
          <w:highlight w:val="none"/>
        </w:rPr>
        <w:t>服务</w:t>
      </w:r>
      <w:r>
        <w:rPr>
          <w:rFonts w:hint="eastAsia" w:asciiTheme="minorEastAsia" w:hAnsiTheme="minorEastAsia" w:eastAsiaTheme="minorEastAsia" w:cstheme="minorEastAsia"/>
          <w:color w:val="auto"/>
          <w:sz w:val="24"/>
          <w:szCs w:val="24"/>
          <w:highlight w:val="none"/>
        </w:rPr>
        <w:t>保障。</w:t>
      </w:r>
    </w:p>
    <w:p w14:paraId="603EBAF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第七条</w:t>
      </w:r>
      <w:r>
        <w:rPr>
          <w:rFonts w:hint="eastAsia" w:asciiTheme="minorEastAsia" w:hAnsiTheme="minorEastAsia" w:eastAsiaTheme="minorEastAsia" w:cstheme="minorEastAsia"/>
          <w:color w:val="auto"/>
          <w:sz w:val="24"/>
          <w:szCs w:val="24"/>
          <w:highlight w:val="none"/>
        </w:rPr>
        <w:t>  电子交易各方主体应当按照相关规定</w:t>
      </w:r>
      <w:r>
        <w:rPr>
          <w:rFonts w:hint="eastAsia" w:asciiTheme="minorEastAsia" w:hAnsiTheme="minorEastAsia" w:eastAsiaTheme="minorEastAsia" w:cstheme="minorEastAsia"/>
          <w:color w:val="auto"/>
          <w:sz w:val="24"/>
          <w:szCs w:val="24"/>
          <w:highlight w:val="none"/>
          <w:lang w:val="en-US" w:eastAsia="zh-CN"/>
        </w:rPr>
        <w:t>合法</w:t>
      </w:r>
      <w:r>
        <w:rPr>
          <w:rFonts w:hint="eastAsia" w:asciiTheme="minorEastAsia" w:hAnsiTheme="minorEastAsia" w:eastAsiaTheme="minorEastAsia" w:cstheme="minorEastAsia"/>
          <w:color w:val="auto"/>
          <w:sz w:val="24"/>
          <w:szCs w:val="24"/>
          <w:highlight w:val="none"/>
        </w:rPr>
        <w:t>取得和使用数字证书及电子签章，通过数字证书登录电子交易系统</w:t>
      </w:r>
      <w:r>
        <w:rPr>
          <w:rFonts w:hint="eastAsia" w:asciiTheme="minorEastAsia" w:hAnsiTheme="minorEastAsia" w:eastAsiaTheme="minorEastAsia" w:cstheme="minorEastAsia"/>
          <w:color w:val="auto"/>
          <w:sz w:val="24"/>
          <w:szCs w:val="24"/>
          <w:highlight w:val="none"/>
          <w:lang w:val="en-US" w:eastAsia="zh-CN"/>
        </w:rPr>
        <w:t>参与交易活动</w:t>
      </w:r>
      <w:r>
        <w:rPr>
          <w:rFonts w:hint="eastAsia" w:asciiTheme="minorEastAsia" w:hAnsiTheme="minorEastAsia" w:eastAsiaTheme="minorEastAsia" w:cstheme="minorEastAsia"/>
          <w:color w:val="auto"/>
          <w:sz w:val="24"/>
          <w:szCs w:val="24"/>
          <w:highlight w:val="none"/>
        </w:rPr>
        <w:t>。各方主体</w:t>
      </w:r>
      <w:r>
        <w:rPr>
          <w:rFonts w:hint="eastAsia" w:asciiTheme="minorEastAsia" w:hAnsiTheme="minorEastAsia" w:eastAsiaTheme="minorEastAsia" w:cstheme="minorEastAsia"/>
          <w:color w:val="auto"/>
          <w:sz w:val="24"/>
          <w:szCs w:val="24"/>
          <w:highlight w:val="none"/>
          <w:lang w:val="en-US" w:eastAsia="zh-CN"/>
        </w:rPr>
        <w:t>对其依托</w:t>
      </w:r>
      <w:r>
        <w:rPr>
          <w:rFonts w:hint="eastAsia" w:asciiTheme="minorEastAsia" w:hAnsiTheme="minorEastAsia" w:eastAsiaTheme="minorEastAsia" w:cstheme="minorEastAsia"/>
          <w:color w:val="auto"/>
          <w:sz w:val="24"/>
          <w:szCs w:val="24"/>
          <w:highlight w:val="none"/>
        </w:rPr>
        <w:t>电子交易系统</w:t>
      </w:r>
      <w:r>
        <w:rPr>
          <w:rFonts w:hint="eastAsia" w:asciiTheme="minorEastAsia" w:hAnsiTheme="minorEastAsia" w:eastAsiaTheme="minorEastAsia" w:cstheme="minorEastAsia"/>
          <w:color w:val="auto"/>
          <w:sz w:val="24"/>
          <w:szCs w:val="24"/>
          <w:highlight w:val="none"/>
          <w:lang w:val="en-US" w:eastAsia="zh-CN"/>
        </w:rPr>
        <w:t>开展的所有操作</w:t>
      </w:r>
      <w:r>
        <w:rPr>
          <w:rFonts w:hint="eastAsia" w:asciiTheme="minorEastAsia" w:hAnsiTheme="minorEastAsia" w:eastAsiaTheme="minorEastAsia" w:cstheme="minorEastAsia"/>
          <w:color w:val="auto"/>
          <w:sz w:val="24"/>
          <w:szCs w:val="24"/>
          <w:highlight w:val="none"/>
        </w:rPr>
        <w:t>承担法律责任。</w:t>
      </w:r>
    </w:p>
    <w:p w14:paraId="7AE380C4">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投标人（供应商）应妥善保管数字证书，由于数字证书遗失、损坏、更换、续期等情况</w:t>
      </w:r>
      <w:r>
        <w:rPr>
          <w:rFonts w:hint="eastAsia" w:asciiTheme="minorEastAsia" w:hAnsiTheme="minorEastAsia" w:eastAsiaTheme="minorEastAsia" w:cstheme="minorEastAsia"/>
          <w:color w:val="auto"/>
          <w:sz w:val="24"/>
          <w:szCs w:val="24"/>
          <w:highlight w:val="none"/>
          <w:lang w:val="en-US" w:eastAsia="zh-CN"/>
        </w:rPr>
        <w:t>或其他自身原因</w:t>
      </w:r>
      <w:r>
        <w:rPr>
          <w:rFonts w:hint="eastAsia" w:asciiTheme="minorEastAsia" w:hAnsiTheme="minorEastAsia" w:eastAsiaTheme="minorEastAsia" w:cstheme="minorEastAsia"/>
          <w:color w:val="auto"/>
          <w:sz w:val="24"/>
          <w:szCs w:val="24"/>
          <w:highlight w:val="none"/>
        </w:rPr>
        <w:t>导致投标文件无法</w:t>
      </w:r>
      <w:r>
        <w:rPr>
          <w:rFonts w:hint="eastAsia" w:asciiTheme="minorEastAsia" w:hAnsiTheme="minorEastAsia" w:eastAsiaTheme="minorEastAsia" w:cstheme="minorEastAsia"/>
          <w:color w:val="auto"/>
          <w:sz w:val="24"/>
          <w:szCs w:val="24"/>
          <w:highlight w:val="none"/>
          <w:lang w:val="en-US" w:eastAsia="zh-CN"/>
        </w:rPr>
        <w:t>加密、</w:t>
      </w:r>
      <w:r>
        <w:rPr>
          <w:rFonts w:hint="eastAsia" w:asciiTheme="minorEastAsia" w:hAnsiTheme="minorEastAsia" w:eastAsiaTheme="minorEastAsia" w:cstheme="minorEastAsia"/>
          <w:color w:val="auto"/>
          <w:sz w:val="24"/>
          <w:szCs w:val="24"/>
          <w:highlight w:val="none"/>
        </w:rPr>
        <w:t>上传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解密</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，由其自行承担</w:t>
      </w:r>
      <w:r>
        <w:rPr>
          <w:rFonts w:hint="eastAsia" w:asciiTheme="minorEastAsia" w:hAnsiTheme="minorEastAsia" w:eastAsiaTheme="minorEastAsia" w:cstheme="minorEastAsia"/>
          <w:color w:val="auto"/>
          <w:sz w:val="24"/>
          <w:szCs w:val="24"/>
          <w:highlight w:val="none"/>
          <w:lang w:val="en-US" w:eastAsia="zh-CN"/>
        </w:rPr>
        <w:t>所有</w:t>
      </w:r>
      <w:r>
        <w:rPr>
          <w:rFonts w:hint="eastAsia" w:asciiTheme="minorEastAsia" w:hAnsiTheme="minorEastAsia" w:eastAsiaTheme="minorEastAsia" w:cstheme="minorEastAsia"/>
          <w:color w:val="auto"/>
          <w:sz w:val="24"/>
          <w:szCs w:val="24"/>
          <w:highlight w:val="none"/>
        </w:rPr>
        <w:t>责任。</w:t>
      </w:r>
    </w:p>
    <w:p w14:paraId="0305AB0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第八条</w:t>
      </w:r>
      <w:r>
        <w:rPr>
          <w:rFonts w:hint="eastAsia" w:asciiTheme="minorEastAsia" w:hAnsiTheme="minorEastAsia" w:eastAsiaTheme="minorEastAsia" w:cstheme="minorEastAsia"/>
          <w:color w:val="auto"/>
          <w:sz w:val="24"/>
          <w:szCs w:val="24"/>
          <w:highlight w:val="none"/>
        </w:rPr>
        <w:t>  招标人（采购人）或代理机构应在交易公告和招标文件中明确交易项目采取电子交易方式，并按相关流程通过电子交易系统制作招标文件。</w:t>
      </w:r>
    </w:p>
    <w:p w14:paraId="7EA5054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第九条</w:t>
      </w:r>
      <w:r>
        <w:rPr>
          <w:rFonts w:hint="eastAsia" w:asciiTheme="minorEastAsia" w:hAnsiTheme="minorEastAsia" w:eastAsiaTheme="minorEastAsia" w:cstheme="minorEastAsia"/>
          <w:color w:val="auto"/>
          <w:sz w:val="24"/>
          <w:szCs w:val="24"/>
          <w:highlight w:val="none"/>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color w:val="auto"/>
          <w:sz w:val="24"/>
          <w:szCs w:val="24"/>
          <w:highlight w:val="none"/>
        </w:rPr>
        <w:t>须</w:t>
      </w:r>
      <w:r>
        <w:rPr>
          <w:rFonts w:hint="eastAsia" w:asciiTheme="minorEastAsia" w:hAnsiTheme="minorEastAsia" w:eastAsiaTheme="minorEastAsia" w:cstheme="minorEastAsia"/>
          <w:color w:val="auto"/>
          <w:sz w:val="24"/>
          <w:szCs w:val="24"/>
          <w:highlight w:val="none"/>
        </w:rPr>
        <w:t>加盖电子签章。</w:t>
      </w:r>
    </w:p>
    <w:p w14:paraId="24AFC6D8">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w:t>
      </w:r>
      <w:r>
        <w:rPr>
          <w:rFonts w:hint="eastAsia" w:asciiTheme="minorEastAsia" w:hAnsiTheme="minorEastAsia" w:eastAsiaTheme="minorEastAsia" w:cstheme="minorEastAsia"/>
          <w:color w:val="auto"/>
          <w:sz w:val="24"/>
          <w:szCs w:val="24"/>
          <w:highlight w:val="none"/>
        </w:rPr>
        <w:t>  投标人（供应商）登录电子交易系统获取</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w:t>
      </w:r>
    </w:p>
    <w:p w14:paraId="1CD6443F">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color w:val="auto"/>
          <w:sz w:val="24"/>
          <w:szCs w:val="24"/>
          <w:highlight w:val="none"/>
        </w:rPr>
      </w:pPr>
      <w:r>
        <w:rPr>
          <w:rFonts w:hint="eastAsia" w:asciiTheme="minorEastAsia" w:hAnsiTheme="minorEastAsia" w:eastAsiaTheme="minorEastAsia" w:cstheme="minorEastAsia"/>
          <w:b/>
          <w:bCs/>
          <w:strike w:val="0"/>
          <w:dstrike w:val="0"/>
          <w:color w:val="auto"/>
          <w:sz w:val="24"/>
          <w:szCs w:val="24"/>
          <w:highlight w:val="none"/>
        </w:rPr>
        <w:t>第十一条</w:t>
      </w:r>
      <w:r>
        <w:rPr>
          <w:rFonts w:hint="eastAsia" w:asciiTheme="minorEastAsia" w:hAnsiTheme="minorEastAsia" w:eastAsiaTheme="minorEastAsia" w:cstheme="minorEastAsia"/>
          <w:strike w:val="0"/>
          <w:dstrike w:val="0"/>
          <w:color w:val="auto"/>
          <w:sz w:val="24"/>
          <w:szCs w:val="24"/>
          <w:highlight w:val="none"/>
        </w:rPr>
        <w:t>  澄清、修改、更正或补疑等文件应由招标人（采购人）或代理机构通过电子交易系统发出，投标人（供应商）应及时查阅相关信息。</w:t>
      </w:r>
    </w:p>
    <w:p w14:paraId="0C7DEBE6">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投标人（供应商）应使用电子标书制作软件制作投标文件</w:t>
      </w:r>
      <w:r>
        <w:rPr>
          <w:rFonts w:hint="eastAsia" w:asciiTheme="minorEastAsia" w:hAnsiTheme="minorEastAsia" w:eastAsiaTheme="minorEastAsia" w:cstheme="minorEastAsia"/>
          <w:strike w:val="0"/>
          <w:dstrike w:val="0"/>
          <w:color w:val="auto"/>
          <w:sz w:val="24"/>
          <w:szCs w:val="24"/>
          <w:highlight w:val="none"/>
        </w:rPr>
        <w:t>，电子标书制作软件应允许投标人（供应商）离线制作投标文件，并且具备分段或整体加密、解密功能。</w:t>
      </w:r>
    </w:p>
    <w:p w14:paraId="462C086A">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投标人（供应商）应对投标文件进行电子签章并使用数字证书加密，</w:t>
      </w:r>
      <w:r>
        <w:rPr>
          <w:rFonts w:hint="eastAsia" w:asciiTheme="minorEastAsia" w:hAnsiTheme="minorEastAsia" w:eastAsiaTheme="minorEastAsia" w:cstheme="minorEastAsia"/>
          <w:strike w:val="0"/>
          <w:dstrike w:val="0"/>
          <w:color w:val="auto"/>
          <w:sz w:val="24"/>
          <w:szCs w:val="24"/>
          <w:highlight w:val="none"/>
        </w:rPr>
        <w:t>并于</w:t>
      </w:r>
      <w:r>
        <w:rPr>
          <w:rFonts w:hint="eastAsia" w:asciiTheme="minorEastAsia" w:hAnsiTheme="minorEastAsia" w:eastAsiaTheme="minorEastAsia" w:cstheme="minorEastAsia"/>
          <w:color w:val="auto"/>
          <w:sz w:val="24"/>
          <w:szCs w:val="24"/>
          <w:highlight w:val="none"/>
        </w:rPr>
        <w:t>招标文件规定的投标截止时间前通过电子交易系统完成上传。</w:t>
      </w:r>
    </w:p>
    <w:p w14:paraId="5708E7C2">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14:paraId="64D0D484">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color w:val="auto"/>
          <w:sz w:val="24"/>
          <w:szCs w:val="24"/>
          <w:highlight w:val="none"/>
          <w:lang w:val="en-US" w:eastAsia="zh-CN"/>
        </w:rPr>
        <w:t>交易活动涉及的</w:t>
      </w:r>
      <w:r>
        <w:rPr>
          <w:rFonts w:hint="eastAsia" w:asciiTheme="minorEastAsia" w:hAnsiTheme="minorEastAsia" w:eastAsiaTheme="minorEastAsia" w:cstheme="minorEastAsia"/>
          <w:color w:val="auto"/>
          <w:sz w:val="24"/>
          <w:szCs w:val="24"/>
          <w:highlight w:val="none"/>
        </w:rPr>
        <w:t>时间以电子交易系统显示的时间为准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color w:val="auto"/>
          <w:sz w:val="24"/>
          <w:szCs w:val="24"/>
          <w:highlight w:val="none"/>
          <w:lang w:val="en-US" w:eastAsia="zh-CN"/>
        </w:rPr>
        <w:t>须在投标截止时间前完成投标文件上传，</w:t>
      </w:r>
      <w:r>
        <w:rPr>
          <w:rFonts w:hint="eastAsia" w:asciiTheme="minorEastAsia" w:hAnsiTheme="minorEastAsia" w:eastAsiaTheme="minorEastAsia" w:cstheme="minorEastAsia"/>
          <w:strike w:val="0"/>
          <w:dstrike w:val="0"/>
          <w:color w:val="auto"/>
          <w:sz w:val="24"/>
          <w:szCs w:val="24"/>
          <w:highlight w:val="none"/>
        </w:rPr>
        <w:t>逾期系统将自动关闭</w:t>
      </w:r>
      <w:r>
        <w:rPr>
          <w:rFonts w:hint="eastAsia" w:asciiTheme="minorEastAsia" w:hAnsiTheme="minorEastAsia" w:eastAsiaTheme="minorEastAsia" w:cstheme="minorEastAsia"/>
          <w:color w:val="auto"/>
          <w:sz w:val="24"/>
          <w:szCs w:val="24"/>
          <w:highlight w:val="none"/>
        </w:rPr>
        <w:t>。</w:t>
      </w:r>
    </w:p>
    <w:p w14:paraId="2448C8BF">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五</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投标人（供应商）</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strike w:val="0"/>
          <w:dstrike w:val="0"/>
          <w:color w:val="auto"/>
          <w:sz w:val="24"/>
          <w:szCs w:val="24"/>
          <w:highlight w:val="none"/>
        </w:rPr>
        <w:t>投标截止时间后按招标文件规定的解密时间</w:t>
      </w:r>
      <w:r>
        <w:rPr>
          <w:rFonts w:hint="eastAsia" w:asciiTheme="minorEastAsia" w:hAnsiTheme="minorEastAsia" w:eastAsiaTheme="minorEastAsia" w:cstheme="minorEastAsia"/>
          <w:color w:val="auto"/>
          <w:sz w:val="24"/>
          <w:szCs w:val="24"/>
          <w:highlight w:val="none"/>
        </w:rPr>
        <w:t>完成投标文件解密，加密和解密须</w:t>
      </w:r>
      <w:r>
        <w:rPr>
          <w:rFonts w:hint="eastAsia" w:asciiTheme="minorEastAsia" w:hAnsiTheme="minorEastAsia" w:eastAsiaTheme="minorEastAsia" w:cstheme="minorEastAsia"/>
          <w:strike w:val="0"/>
          <w:dstrike w:val="0"/>
          <w:color w:val="auto"/>
          <w:sz w:val="24"/>
          <w:szCs w:val="24"/>
          <w:highlight w:val="none"/>
        </w:rPr>
        <w:t>用</w:t>
      </w:r>
      <w:r>
        <w:rPr>
          <w:rFonts w:hint="eastAsia" w:asciiTheme="minorEastAsia" w:hAnsiTheme="minorEastAsia" w:eastAsiaTheme="minorEastAsia" w:cstheme="minorEastAsia"/>
          <w:color w:val="auto"/>
          <w:sz w:val="24"/>
          <w:szCs w:val="24"/>
          <w:highlight w:val="none"/>
        </w:rPr>
        <w:t>同一数字证书。投标人（供应商）未在</w:t>
      </w:r>
      <w:r>
        <w:rPr>
          <w:rFonts w:hint="eastAsia" w:asciiTheme="minorEastAsia" w:hAnsiTheme="minorEastAsia" w:eastAsiaTheme="minorEastAsia" w:cstheme="minorEastAsia"/>
          <w:strike w:val="0"/>
          <w:dstrike w:val="0"/>
          <w:color w:val="auto"/>
          <w:sz w:val="24"/>
          <w:szCs w:val="24"/>
          <w:highlight w:val="none"/>
        </w:rPr>
        <w:t>招标文件</w:t>
      </w:r>
      <w:r>
        <w:rPr>
          <w:rFonts w:hint="eastAsia" w:asciiTheme="minorEastAsia" w:hAnsiTheme="minorEastAsia" w:eastAsiaTheme="minorEastAsia" w:cstheme="minorEastAsia"/>
          <w:color w:val="auto"/>
          <w:sz w:val="24"/>
          <w:szCs w:val="24"/>
          <w:highlight w:val="none"/>
        </w:rPr>
        <w:t>规定</w:t>
      </w:r>
      <w:r>
        <w:rPr>
          <w:rFonts w:hint="eastAsia" w:asciiTheme="minorEastAsia" w:hAnsiTheme="minorEastAsia" w:eastAsiaTheme="minorEastAsia" w:cstheme="minorEastAsia"/>
          <w:strike w:val="0"/>
          <w:dstrike w:val="0"/>
          <w:color w:val="auto"/>
          <w:sz w:val="24"/>
          <w:szCs w:val="24"/>
          <w:highlight w:val="none"/>
        </w:rPr>
        <w:t>的</w:t>
      </w:r>
      <w:r>
        <w:rPr>
          <w:rFonts w:hint="eastAsia" w:asciiTheme="minorEastAsia" w:hAnsiTheme="minorEastAsia" w:eastAsiaTheme="minorEastAsia" w:cstheme="minorEastAsia"/>
          <w:color w:val="auto"/>
          <w:sz w:val="24"/>
          <w:szCs w:val="24"/>
          <w:highlight w:val="none"/>
        </w:rPr>
        <w:t>时间内完成解密的视为其放弃</w:t>
      </w:r>
      <w:r>
        <w:rPr>
          <w:rFonts w:hint="eastAsia" w:asciiTheme="minorEastAsia" w:hAnsiTheme="minorEastAsia" w:eastAsiaTheme="minorEastAsia" w:cstheme="minorEastAsia"/>
          <w:strike w:val="0"/>
          <w:dstrike w:val="0"/>
          <w:color w:val="auto"/>
          <w:sz w:val="24"/>
          <w:szCs w:val="24"/>
          <w:highlight w:val="none"/>
        </w:rPr>
        <w:t>交易</w:t>
      </w:r>
      <w:r>
        <w:rPr>
          <w:rFonts w:hint="eastAsia" w:asciiTheme="minorEastAsia" w:hAnsiTheme="minorEastAsia" w:eastAsiaTheme="minorEastAsia" w:cstheme="minorEastAsia"/>
          <w:color w:val="auto"/>
          <w:sz w:val="24"/>
          <w:szCs w:val="24"/>
          <w:highlight w:val="none"/>
        </w:rPr>
        <w:t>。</w:t>
      </w:r>
    </w:p>
    <w:p w14:paraId="31C0DDFE">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招标人（采购人）或代理机构完成解密，导入并读取所有成功解密的投标文件。</w:t>
      </w:r>
    </w:p>
    <w:p w14:paraId="5F313CCA">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招标文件约定</w:t>
      </w:r>
      <w:r>
        <w:rPr>
          <w:rFonts w:hint="eastAsia" w:asciiTheme="minorEastAsia" w:hAnsiTheme="minorEastAsia" w:eastAsiaTheme="minorEastAsia" w:cstheme="minorEastAsia"/>
          <w:strike w:val="0"/>
          <w:dstrike w:val="0"/>
          <w:color w:val="auto"/>
          <w:sz w:val="24"/>
          <w:szCs w:val="24"/>
          <w:highlight w:val="none"/>
        </w:rPr>
        <w:t>须到达指定地点或</w:t>
      </w:r>
      <w:r>
        <w:rPr>
          <w:rFonts w:hint="eastAsia" w:asciiTheme="minorEastAsia" w:hAnsiTheme="minorEastAsia" w:eastAsiaTheme="minorEastAsia" w:cstheme="minorEastAsia"/>
          <w:color w:val="auto"/>
          <w:sz w:val="24"/>
          <w:szCs w:val="24"/>
          <w:highlight w:val="none"/>
        </w:rPr>
        <w:t>线上进行演示、答辩、磋商、谈判等情形的，投标人（供应商）应按照招标文件规定</w:t>
      </w:r>
      <w:r>
        <w:rPr>
          <w:rFonts w:hint="eastAsia" w:asciiTheme="minorEastAsia" w:hAnsiTheme="minorEastAsia" w:eastAsiaTheme="minorEastAsia" w:cstheme="minorEastAsia"/>
          <w:strike w:val="0"/>
          <w:dstrike w:val="0"/>
          <w:color w:val="auto"/>
          <w:sz w:val="24"/>
          <w:szCs w:val="24"/>
          <w:highlight w:val="none"/>
        </w:rPr>
        <w:t>的时间到达指定地点或</w:t>
      </w:r>
      <w:r>
        <w:rPr>
          <w:rFonts w:hint="eastAsia" w:asciiTheme="minorEastAsia" w:hAnsiTheme="minorEastAsia" w:eastAsiaTheme="minorEastAsia" w:cstheme="minorEastAsia"/>
          <w:color w:val="auto"/>
          <w:sz w:val="24"/>
          <w:szCs w:val="24"/>
          <w:highlight w:val="none"/>
        </w:rPr>
        <w:t>登录电子交易系统保持在线。</w:t>
      </w:r>
    </w:p>
    <w:p w14:paraId="1C38904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六</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w:t>
      </w:r>
      <w:r>
        <w:rPr>
          <w:rFonts w:hint="eastAsia" w:asciiTheme="minorEastAsia" w:hAnsiTheme="minorEastAsia" w:eastAsiaTheme="minorEastAsia" w:cstheme="minorEastAsia"/>
          <w:strike w:val="0"/>
          <w:dstrike w:val="0"/>
          <w:color w:val="auto"/>
          <w:sz w:val="24"/>
          <w:szCs w:val="24"/>
          <w:highlight w:val="none"/>
        </w:rPr>
        <w:t>未能成功解密的投标文件，</w:t>
      </w:r>
      <w:r>
        <w:rPr>
          <w:rFonts w:hint="eastAsia" w:asciiTheme="minorEastAsia" w:hAnsiTheme="minorEastAsia" w:eastAsiaTheme="minorEastAsia" w:cstheme="minorEastAsia"/>
          <w:color w:val="auto"/>
          <w:sz w:val="24"/>
          <w:szCs w:val="24"/>
          <w:highlight w:val="none"/>
        </w:rPr>
        <w:t>如招标文件</w:t>
      </w:r>
      <w:r>
        <w:rPr>
          <w:rFonts w:hint="eastAsia" w:asciiTheme="minorEastAsia" w:hAnsiTheme="minorEastAsia" w:eastAsiaTheme="minorEastAsia" w:cstheme="minorEastAsia"/>
          <w:strike w:val="0"/>
          <w:dstrike w:val="0"/>
          <w:color w:val="auto"/>
          <w:sz w:val="24"/>
          <w:szCs w:val="24"/>
          <w:highlight w:val="none"/>
        </w:rPr>
        <w:t>中</w:t>
      </w:r>
      <w:r>
        <w:rPr>
          <w:rFonts w:hint="eastAsia" w:asciiTheme="minorEastAsia" w:hAnsiTheme="minorEastAsia" w:eastAsiaTheme="minorEastAsia" w:cstheme="minorEastAsia"/>
          <w:color w:val="auto"/>
          <w:sz w:val="24"/>
          <w:szCs w:val="24"/>
          <w:highlight w:val="none"/>
        </w:rPr>
        <w:t>允许使用电子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作为投标</w:t>
      </w:r>
      <w:r>
        <w:rPr>
          <w:rFonts w:hint="eastAsia" w:asciiTheme="minorEastAsia" w:hAnsiTheme="minorEastAsia" w:eastAsiaTheme="minorEastAsia" w:cstheme="minorEastAsia"/>
          <w:strike w:val="0"/>
          <w:dstrike w:val="0"/>
          <w:color w:val="auto"/>
          <w:sz w:val="24"/>
          <w:szCs w:val="24"/>
          <w:highlight w:val="none"/>
        </w:rPr>
        <w:t>文件解密失败</w:t>
      </w:r>
      <w:r>
        <w:rPr>
          <w:rFonts w:hint="eastAsia" w:asciiTheme="minorEastAsia" w:hAnsiTheme="minorEastAsia" w:eastAsiaTheme="minorEastAsia" w:cstheme="minorEastAsia"/>
          <w:color w:val="auto"/>
          <w:sz w:val="24"/>
          <w:szCs w:val="24"/>
          <w:highlight w:val="none"/>
        </w:rPr>
        <w:t>的补救措施，</w:t>
      </w:r>
      <w:r>
        <w:rPr>
          <w:rFonts w:hint="eastAsia" w:asciiTheme="minorEastAsia" w:hAnsiTheme="minorEastAsia" w:eastAsiaTheme="minorEastAsia" w:cstheme="minorEastAsia"/>
          <w:strike w:val="0"/>
          <w:dstrike w:val="0"/>
          <w:color w:val="auto"/>
          <w:sz w:val="24"/>
          <w:szCs w:val="24"/>
          <w:highlight w:val="none"/>
        </w:rPr>
        <w:t>并且</w:t>
      </w:r>
      <w:r>
        <w:rPr>
          <w:rFonts w:hint="eastAsia" w:asciiTheme="minorEastAsia" w:hAnsiTheme="minorEastAsia" w:eastAsiaTheme="minorEastAsia" w:cstheme="minorEastAsia"/>
          <w:color w:val="auto"/>
          <w:sz w:val="24"/>
          <w:szCs w:val="24"/>
          <w:highlight w:val="none"/>
        </w:rPr>
        <w:t>投标人（供应商）</w:t>
      </w:r>
      <w:r>
        <w:rPr>
          <w:rFonts w:hint="eastAsia" w:asciiTheme="minorEastAsia" w:hAnsiTheme="minorEastAsia" w:eastAsiaTheme="minorEastAsia" w:cstheme="minorEastAsia"/>
          <w:strike w:val="0"/>
          <w:dstrike w:val="0"/>
          <w:color w:val="auto"/>
          <w:sz w:val="24"/>
          <w:szCs w:val="24"/>
          <w:highlight w:val="none"/>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color w:val="auto"/>
          <w:sz w:val="24"/>
          <w:szCs w:val="24"/>
          <w:highlight w:val="none"/>
          <w:lang w:val="en-US" w:eastAsia="zh-CN"/>
        </w:rPr>
        <w:t>介质</w:t>
      </w:r>
      <w:r>
        <w:rPr>
          <w:rFonts w:hint="eastAsia" w:asciiTheme="minorEastAsia" w:hAnsiTheme="minorEastAsia" w:eastAsiaTheme="minorEastAsia" w:cstheme="minorEastAsia"/>
          <w:strike w:val="0"/>
          <w:dstrike w:val="0"/>
          <w:color w:val="auto"/>
          <w:sz w:val="24"/>
          <w:szCs w:val="24"/>
          <w:highlight w:val="none"/>
        </w:rPr>
        <w:t>中非加密投标文件继续进行。若系统识别出</w:t>
      </w:r>
      <w:r>
        <w:rPr>
          <w:rFonts w:hint="eastAsia" w:asciiTheme="minorEastAsia" w:hAnsiTheme="minorEastAsia" w:eastAsiaTheme="minorEastAsia" w:cstheme="minorEastAsia"/>
          <w:color w:val="auto"/>
          <w:sz w:val="24"/>
          <w:szCs w:val="24"/>
          <w:highlight w:val="none"/>
        </w:rPr>
        <w:t>电子</w:t>
      </w:r>
      <w:r>
        <w:rPr>
          <w:rFonts w:hint="eastAsia" w:asciiTheme="minorEastAsia" w:hAnsiTheme="minorEastAsia" w:eastAsiaTheme="minorEastAsia" w:cstheme="minorEastAsia"/>
          <w:color w:val="auto"/>
          <w:sz w:val="24"/>
          <w:szCs w:val="24"/>
          <w:highlight w:val="none"/>
          <w:lang w:val="en-US" w:eastAsia="zh-CN"/>
        </w:rPr>
        <w:t>介质</w:t>
      </w:r>
      <w:r>
        <w:rPr>
          <w:rFonts w:hint="eastAsia" w:asciiTheme="minorEastAsia" w:hAnsiTheme="minorEastAsia" w:eastAsiaTheme="minorEastAsia" w:cstheme="minorEastAsia"/>
          <w:color w:val="auto"/>
          <w:sz w:val="24"/>
          <w:szCs w:val="24"/>
          <w:highlight w:val="none"/>
        </w:rPr>
        <w:t>中</w:t>
      </w:r>
      <w:r>
        <w:rPr>
          <w:rFonts w:hint="eastAsia" w:asciiTheme="minorEastAsia" w:hAnsiTheme="minorEastAsia" w:eastAsiaTheme="minorEastAsia" w:cstheme="minorEastAsia"/>
          <w:color w:val="auto"/>
          <w:sz w:val="24"/>
          <w:szCs w:val="24"/>
          <w:highlight w:val="none"/>
          <w:lang w:val="en-US" w:eastAsia="zh-CN"/>
        </w:rPr>
        <w:t>非</w:t>
      </w:r>
      <w:r>
        <w:rPr>
          <w:rFonts w:hint="eastAsia" w:asciiTheme="minorEastAsia" w:hAnsiTheme="minorEastAsia" w:eastAsiaTheme="minorEastAsia" w:cstheme="minorEastAsia"/>
          <w:color w:val="auto"/>
          <w:sz w:val="24"/>
          <w:szCs w:val="24"/>
          <w:highlight w:val="none"/>
        </w:rPr>
        <w:t>未加密的投标文件和网上递交的加密投标文件识别码</w:t>
      </w:r>
      <w:r>
        <w:rPr>
          <w:rFonts w:hint="eastAsia" w:asciiTheme="minorEastAsia" w:hAnsiTheme="minorEastAsia" w:eastAsiaTheme="minorEastAsia" w:cstheme="minorEastAsia"/>
          <w:strike w:val="0"/>
          <w:dstrike w:val="0"/>
          <w:color w:val="auto"/>
          <w:sz w:val="24"/>
          <w:szCs w:val="24"/>
          <w:highlight w:val="none"/>
        </w:rPr>
        <w:t>不</w:t>
      </w:r>
      <w:r>
        <w:rPr>
          <w:rFonts w:hint="eastAsia" w:asciiTheme="minorEastAsia" w:hAnsiTheme="minorEastAsia" w:eastAsiaTheme="minorEastAsia" w:cstheme="minorEastAsia"/>
          <w:color w:val="auto"/>
          <w:sz w:val="24"/>
          <w:szCs w:val="24"/>
          <w:highlight w:val="none"/>
        </w:rPr>
        <w:t>一致，电子交易系统拒绝导入</w:t>
      </w:r>
      <w:r>
        <w:rPr>
          <w:rFonts w:hint="eastAsia" w:asciiTheme="minorEastAsia" w:hAnsiTheme="minorEastAsia" w:eastAsiaTheme="minorEastAsia" w:cstheme="minorEastAsia"/>
          <w:color w:val="auto"/>
          <w:sz w:val="24"/>
          <w:szCs w:val="24"/>
          <w:highlight w:val="none"/>
          <w:lang w:eastAsia="zh-CN"/>
        </w:rPr>
        <w:t>。</w:t>
      </w:r>
    </w:p>
    <w:p w14:paraId="5FDE26E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七</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招标人（采购人）或代理机构组织评审</w:t>
      </w:r>
      <w:r>
        <w:rPr>
          <w:rFonts w:hint="eastAsia" w:asciiTheme="minorEastAsia" w:hAnsiTheme="minorEastAsia" w:eastAsiaTheme="minorEastAsia" w:cstheme="minorEastAsia"/>
          <w:strike w:val="0"/>
          <w:dstrike w:val="0"/>
          <w:color w:val="auto"/>
          <w:sz w:val="24"/>
          <w:szCs w:val="24"/>
          <w:highlight w:val="none"/>
        </w:rPr>
        <w:t>，</w:t>
      </w:r>
      <w:r>
        <w:rPr>
          <w:rFonts w:hint="eastAsia" w:asciiTheme="minorEastAsia" w:hAnsiTheme="minorEastAsia" w:eastAsiaTheme="minorEastAsia" w:cstheme="minorEastAsia"/>
          <w:color w:val="auto"/>
          <w:sz w:val="24"/>
          <w:szCs w:val="24"/>
          <w:highlight w:val="none"/>
        </w:rPr>
        <w:t>评审委员会依据招标文件规定的评审办法进行评</w:t>
      </w:r>
      <w:r>
        <w:rPr>
          <w:rFonts w:hint="eastAsia" w:asciiTheme="minorEastAsia" w:hAnsiTheme="minorEastAsia" w:eastAsiaTheme="minorEastAsia" w:cstheme="minorEastAsia"/>
          <w:strike w:val="0"/>
          <w:dstrike w:val="0"/>
          <w:color w:val="auto"/>
          <w:sz w:val="24"/>
          <w:szCs w:val="24"/>
          <w:highlight w:val="none"/>
        </w:rPr>
        <w:t>审</w:t>
      </w:r>
      <w:r>
        <w:rPr>
          <w:rFonts w:hint="eastAsia" w:asciiTheme="minorEastAsia" w:hAnsiTheme="minorEastAsia" w:eastAsiaTheme="minorEastAsia" w:cstheme="minorEastAsia"/>
          <w:color w:val="auto"/>
          <w:sz w:val="24"/>
          <w:szCs w:val="24"/>
          <w:highlight w:val="none"/>
        </w:rPr>
        <w:t>，并对评审结果签字或电子签名</w:t>
      </w:r>
      <w:r>
        <w:rPr>
          <w:rFonts w:hint="eastAsia" w:asciiTheme="minorEastAsia" w:hAnsiTheme="minorEastAsia" w:eastAsiaTheme="minorEastAsia" w:cstheme="minorEastAsia"/>
          <w:strike w:val="0"/>
          <w:dstrike w:val="0"/>
          <w:color w:val="auto"/>
          <w:sz w:val="24"/>
          <w:szCs w:val="24"/>
          <w:highlight w:val="none"/>
        </w:rPr>
        <w:t>确认</w:t>
      </w:r>
      <w:r>
        <w:rPr>
          <w:rFonts w:hint="eastAsia" w:asciiTheme="minorEastAsia" w:hAnsiTheme="minorEastAsia" w:eastAsiaTheme="minorEastAsia" w:cstheme="minorEastAsia"/>
          <w:color w:val="auto"/>
          <w:sz w:val="24"/>
          <w:szCs w:val="24"/>
          <w:highlight w:val="none"/>
        </w:rPr>
        <w:t>。</w:t>
      </w:r>
    </w:p>
    <w:p w14:paraId="4A044891">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需要</w:t>
      </w:r>
      <w:r>
        <w:rPr>
          <w:rFonts w:hint="eastAsia" w:asciiTheme="minorEastAsia" w:hAnsiTheme="minorEastAsia" w:eastAsiaTheme="minorEastAsia" w:cstheme="minorEastAsia"/>
          <w:color w:val="auto"/>
          <w:sz w:val="24"/>
          <w:szCs w:val="24"/>
          <w:highlight w:val="none"/>
        </w:rPr>
        <w:t>多</w:t>
      </w:r>
      <w:r>
        <w:rPr>
          <w:rFonts w:hint="eastAsia" w:asciiTheme="minorEastAsia" w:hAnsiTheme="minorEastAsia" w:eastAsiaTheme="minorEastAsia" w:cstheme="minorEastAsia"/>
          <w:color w:val="auto"/>
          <w:sz w:val="24"/>
          <w:szCs w:val="24"/>
          <w:highlight w:val="none"/>
          <w:lang w:val="en-US" w:eastAsia="zh-CN"/>
        </w:rPr>
        <w:t>轮</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应按招标文件</w:t>
      </w:r>
      <w:r>
        <w:rPr>
          <w:rFonts w:hint="eastAsia" w:asciiTheme="minorEastAsia" w:hAnsiTheme="minorEastAsia" w:eastAsiaTheme="minorEastAsia" w:cstheme="minorEastAsia"/>
          <w:strike w:val="0"/>
          <w:dstrike w:val="0"/>
          <w:color w:val="auto"/>
          <w:sz w:val="24"/>
          <w:szCs w:val="24"/>
          <w:highlight w:val="none"/>
          <w:lang w:val="en-US" w:eastAsia="zh-CN"/>
        </w:rPr>
        <w:t>约定</w:t>
      </w:r>
      <w:r>
        <w:rPr>
          <w:rFonts w:hint="eastAsia" w:asciiTheme="minorEastAsia" w:hAnsiTheme="minorEastAsia" w:eastAsiaTheme="minorEastAsia" w:cstheme="minorEastAsia"/>
          <w:color w:val="auto"/>
          <w:sz w:val="24"/>
          <w:szCs w:val="24"/>
          <w:highlight w:val="none"/>
        </w:rPr>
        <w:t>提交。</w:t>
      </w:r>
    </w:p>
    <w:p w14:paraId="2602C5A1">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八</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评审委员会</w:t>
      </w:r>
      <w:r>
        <w:rPr>
          <w:rFonts w:hint="eastAsia" w:asciiTheme="minorEastAsia" w:hAnsiTheme="minorEastAsia" w:eastAsiaTheme="minorEastAsia" w:cstheme="minorEastAsia"/>
          <w:b w:val="0"/>
          <w:bCs w:val="0"/>
          <w:color w:val="auto"/>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lang w:val="en-US" w:eastAsia="zh-CN"/>
        </w:rPr>
        <w:t>过程中</w:t>
      </w:r>
      <w:r>
        <w:rPr>
          <w:rFonts w:hint="eastAsia" w:asciiTheme="minorEastAsia" w:hAnsiTheme="minorEastAsia" w:eastAsiaTheme="minorEastAsia" w:cstheme="minorEastAsia"/>
          <w:color w:val="auto"/>
          <w:sz w:val="24"/>
          <w:szCs w:val="24"/>
          <w:highlight w:val="none"/>
        </w:rPr>
        <w:t>需要</w:t>
      </w:r>
      <w:r>
        <w:rPr>
          <w:rFonts w:hint="eastAsia" w:asciiTheme="minorEastAsia" w:hAnsiTheme="minorEastAsia" w:eastAsiaTheme="minorEastAsia" w:cstheme="minorEastAsia"/>
          <w:color w:val="auto"/>
          <w:sz w:val="24"/>
          <w:szCs w:val="24"/>
          <w:highlight w:val="none"/>
          <w:lang w:val="en-US" w:eastAsia="zh-CN"/>
        </w:rPr>
        <w:t>投标人（供应商）</w:t>
      </w:r>
      <w:r>
        <w:rPr>
          <w:rFonts w:hint="eastAsia" w:asciiTheme="minorEastAsia" w:hAnsiTheme="minorEastAsia" w:eastAsiaTheme="minorEastAsia" w:cstheme="minorEastAsia"/>
          <w:color w:val="auto"/>
          <w:sz w:val="24"/>
          <w:szCs w:val="24"/>
          <w:highlight w:val="none"/>
        </w:rPr>
        <w:t>澄清、说明或补正的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以询标函</w:t>
      </w:r>
      <w:r>
        <w:rPr>
          <w:rFonts w:hint="eastAsia" w:asciiTheme="minorEastAsia" w:hAnsiTheme="minorEastAsia" w:eastAsiaTheme="minorEastAsia" w:cstheme="minorEastAsia"/>
          <w:color w:val="auto"/>
          <w:sz w:val="24"/>
          <w:szCs w:val="24"/>
          <w:highlight w:val="none"/>
        </w:rPr>
        <w:t>（问询函）</w:t>
      </w:r>
      <w:r>
        <w:rPr>
          <w:rFonts w:hint="eastAsia" w:asciiTheme="minorEastAsia" w:hAnsiTheme="minorEastAsia" w:eastAsiaTheme="minorEastAsia" w:cstheme="minorEastAsia"/>
          <w:color w:val="auto"/>
          <w:sz w:val="24"/>
          <w:szCs w:val="24"/>
          <w:highlight w:val="none"/>
        </w:rPr>
        <w:t>的形式</w:t>
      </w:r>
      <w:r>
        <w:rPr>
          <w:rFonts w:hint="eastAsia" w:asciiTheme="minorEastAsia" w:hAnsiTheme="minorEastAsia" w:eastAsiaTheme="minorEastAsia" w:cstheme="minorEastAsia"/>
          <w:color w:val="auto"/>
          <w:sz w:val="24"/>
          <w:szCs w:val="24"/>
          <w:highlight w:val="none"/>
        </w:rPr>
        <w:t>通过电子交易系统</w:t>
      </w:r>
      <w:r>
        <w:rPr>
          <w:rFonts w:hint="eastAsia" w:asciiTheme="minorEastAsia" w:hAnsiTheme="minorEastAsia" w:eastAsiaTheme="minorEastAsia" w:cstheme="minorEastAsia"/>
          <w:color w:val="auto"/>
          <w:sz w:val="24"/>
          <w:szCs w:val="24"/>
          <w:highlight w:val="none"/>
        </w:rPr>
        <w:t>发送给投标人（供应商）</w:t>
      </w:r>
      <w:r>
        <w:rPr>
          <w:rFonts w:hint="eastAsia" w:asciiTheme="minorEastAsia" w:hAnsiTheme="minorEastAsia" w:eastAsiaTheme="minorEastAsia" w:cstheme="minorEastAsia"/>
          <w:color w:val="auto"/>
          <w:sz w:val="24"/>
          <w:szCs w:val="24"/>
          <w:highlight w:val="none"/>
          <w:lang w:eastAsia="zh-CN"/>
        </w:rPr>
        <w:t>。</w:t>
      </w:r>
    </w:p>
    <w:p w14:paraId="0E6FD076">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评审结束前，</w:t>
      </w:r>
      <w:r>
        <w:rPr>
          <w:rFonts w:hint="eastAsia" w:asciiTheme="minorEastAsia" w:hAnsiTheme="minorEastAsia" w:eastAsiaTheme="minorEastAsia" w:cstheme="minorEastAsia"/>
          <w:color w:val="auto"/>
          <w:sz w:val="24"/>
          <w:szCs w:val="24"/>
          <w:highlight w:val="none"/>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auto"/>
          <w:sz w:val="24"/>
          <w:szCs w:val="24"/>
          <w:highlight w:val="none"/>
          <w:lang w:val="en-US" w:eastAsia="zh-CN"/>
        </w:rPr>
        <w:t>完成</w:t>
      </w:r>
      <w:r>
        <w:rPr>
          <w:rFonts w:hint="eastAsia" w:asciiTheme="minorEastAsia" w:hAnsiTheme="minorEastAsia" w:eastAsiaTheme="minorEastAsia" w:cstheme="minorEastAsia"/>
          <w:color w:val="auto"/>
          <w:sz w:val="24"/>
          <w:szCs w:val="24"/>
          <w:highlight w:val="none"/>
        </w:rPr>
        <w:t>回复，</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视为放弃澄清、说明或补正。</w:t>
      </w:r>
    </w:p>
    <w:p w14:paraId="66D6F894">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strike w:val="0"/>
          <w:dstrike w:val="0"/>
          <w:color w:val="auto"/>
          <w:sz w:val="24"/>
          <w:szCs w:val="24"/>
          <w:highlight w:val="none"/>
        </w:rPr>
        <w:t>九</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rPr>
        <w:t>应通过电子交易系统</w:t>
      </w:r>
      <w:r>
        <w:rPr>
          <w:rFonts w:hint="eastAsia" w:asciiTheme="minorEastAsia" w:hAnsiTheme="minorEastAsia" w:eastAsiaTheme="minorEastAsia" w:cstheme="minorEastAsia"/>
          <w:color w:val="auto"/>
          <w:sz w:val="24"/>
          <w:szCs w:val="24"/>
          <w:highlight w:val="none"/>
          <w:lang w:val="en-US" w:eastAsia="zh-CN"/>
        </w:rPr>
        <w:t>公示或公布</w:t>
      </w:r>
      <w:r>
        <w:rPr>
          <w:rFonts w:hint="eastAsia" w:asciiTheme="minorEastAsia" w:hAnsiTheme="minorEastAsia" w:eastAsiaTheme="minorEastAsia" w:cstheme="minorEastAsia"/>
          <w:strike w:val="0"/>
          <w:dstrike w:val="0"/>
          <w:color w:val="auto"/>
          <w:sz w:val="24"/>
          <w:szCs w:val="24"/>
          <w:highlight w:val="none"/>
        </w:rPr>
        <w:t>中标候选人（如有）、</w:t>
      </w:r>
      <w:r>
        <w:rPr>
          <w:rFonts w:hint="eastAsia" w:asciiTheme="minorEastAsia" w:hAnsiTheme="minorEastAsia" w:eastAsiaTheme="minorEastAsia" w:cstheme="minorEastAsia"/>
          <w:color w:val="auto"/>
          <w:sz w:val="24"/>
          <w:szCs w:val="24"/>
          <w:highlight w:val="none"/>
        </w:rPr>
        <w:t>中标（成交）结果。</w:t>
      </w:r>
    </w:p>
    <w:p w14:paraId="7935A4B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strike w:val="0"/>
          <w:dstrike w:val="0"/>
          <w:color w:val="auto"/>
          <w:sz w:val="24"/>
          <w:szCs w:val="24"/>
          <w:highlight w:val="none"/>
        </w:rPr>
        <w:t>二十</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招标人（采购人）</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rPr>
        <w:t>应通过电子交易系统向中标人（成交供应商）发出中标（成交）通知书，中标（成交）通知书发出即视为送达。</w:t>
      </w:r>
    </w:p>
    <w:p w14:paraId="6E8057F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一</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出现下列情形导致电子交易系统无法正常运行，影响交易活动的公平、公正和信息安全，各方当事人免责：</w:t>
      </w:r>
    </w:p>
    <w:p w14:paraId="6281D8CC">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47" w:name="_Toc18950"/>
      <w:r>
        <w:rPr>
          <w:rFonts w:hint="eastAsia" w:asciiTheme="minorEastAsia" w:hAnsiTheme="minorEastAsia" w:eastAsiaTheme="minorEastAsia" w:cstheme="minorEastAsia"/>
          <w:color w:val="auto"/>
          <w:sz w:val="24"/>
          <w:szCs w:val="24"/>
          <w:highlight w:val="none"/>
        </w:rPr>
        <w:t>（一）网络、服务器、数据库发生故障造成无法访问或使用的；</w:t>
      </w:r>
      <w:bookmarkEnd w:id="47"/>
    </w:p>
    <w:p w14:paraId="0539A088">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48" w:name="_Toc27697"/>
      <w:r>
        <w:rPr>
          <w:rFonts w:hint="eastAsia" w:asciiTheme="minorEastAsia" w:hAnsiTheme="minorEastAsia" w:eastAsiaTheme="minorEastAsia" w:cstheme="minorEastAsia"/>
          <w:color w:val="auto"/>
          <w:sz w:val="24"/>
          <w:szCs w:val="24"/>
          <w:highlight w:val="none"/>
        </w:rPr>
        <w:t>（二）电力系统发生故障导致电子交易系统无法运行的；</w:t>
      </w:r>
      <w:bookmarkEnd w:id="48"/>
    </w:p>
    <w:p w14:paraId="09A4B24D">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49" w:name="_Toc12891"/>
      <w:r>
        <w:rPr>
          <w:rFonts w:hint="eastAsia" w:asciiTheme="minorEastAsia" w:hAnsiTheme="minorEastAsia" w:eastAsiaTheme="minorEastAsia" w:cstheme="minorEastAsia"/>
          <w:color w:val="auto"/>
          <w:sz w:val="24"/>
          <w:szCs w:val="24"/>
          <w:highlight w:val="none"/>
        </w:rPr>
        <w:t>（三）出现网络攻击、病毒入侵</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电子交易系统软件设计缺陷、功能缺陷</w:t>
      </w:r>
      <w:r>
        <w:rPr>
          <w:rFonts w:hint="eastAsia" w:asciiTheme="minorEastAsia" w:hAnsiTheme="minorEastAsia" w:eastAsiaTheme="minorEastAsia" w:cstheme="minorEastAsia"/>
          <w:color w:val="auto"/>
          <w:sz w:val="24"/>
          <w:szCs w:val="24"/>
          <w:highlight w:val="none"/>
        </w:rPr>
        <w:t>以及电子交易系统安全漏洞导致无法正常提供服务的；</w:t>
      </w:r>
      <w:bookmarkEnd w:id="49"/>
    </w:p>
    <w:p w14:paraId="6780A1BF">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auto"/>
          <w:sz w:val="24"/>
          <w:szCs w:val="24"/>
          <w:highlight w:val="none"/>
        </w:rPr>
      </w:pPr>
      <w:bookmarkStart w:id="50" w:name="_Toc10566"/>
      <w:r>
        <w:rPr>
          <w:rFonts w:hint="eastAsia" w:asciiTheme="minorEastAsia" w:hAnsiTheme="minorEastAsia" w:eastAsiaTheme="minorEastAsia" w:cstheme="minorEastAsia"/>
          <w:color w:val="auto"/>
          <w:sz w:val="24"/>
          <w:szCs w:val="24"/>
          <w:highlight w:val="none"/>
        </w:rPr>
        <w:t>（四）其他无法保证交易活动公平、公正和信息安全的情形。</w:t>
      </w:r>
      <w:bookmarkEnd w:id="50"/>
    </w:p>
    <w:p w14:paraId="053D31E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出现上述情形，系统建设方应及时组织相关方查明原因，排除故障。若能在故障发</w:t>
      </w:r>
      <w:r>
        <w:rPr>
          <w:rFonts w:hint="eastAsia" w:asciiTheme="minorEastAsia" w:hAnsiTheme="minorEastAsia" w:eastAsiaTheme="minorEastAsia" w:cstheme="minorEastAsia"/>
          <w:color w:val="auto"/>
          <w:sz w:val="24"/>
          <w:szCs w:val="24"/>
          <w:highlight w:val="none"/>
          <w:lang w:val="en-US" w:eastAsia="zh-CN"/>
        </w:rPr>
        <w:t>现</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val="en-US" w:eastAsia="zh-CN"/>
        </w:rPr>
        <w:t>及时</w:t>
      </w:r>
      <w:r>
        <w:rPr>
          <w:rFonts w:hint="eastAsia" w:asciiTheme="minorEastAsia" w:hAnsiTheme="minorEastAsia" w:eastAsiaTheme="minorEastAsia" w:cstheme="minorEastAsia"/>
          <w:color w:val="auto"/>
          <w:sz w:val="24"/>
          <w:szCs w:val="24"/>
          <w:highlight w:val="none"/>
        </w:rPr>
        <w:t>恢复系统运行且不影响项目正常交易的，交易程序继续进行；</w:t>
      </w:r>
      <w:r>
        <w:rPr>
          <w:rFonts w:hint="eastAsia" w:asciiTheme="minorEastAsia" w:hAnsiTheme="minorEastAsia" w:eastAsiaTheme="minorEastAsia" w:cstheme="minorEastAsia"/>
          <w:strike w:val="0"/>
          <w:dstrike w:val="0"/>
          <w:color w:val="auto"/>
          <w:sz w:val="24"/>
          <w:szCs w:val="24"/>
          <w:highlight w:val="none"/>
          <w:lang w:val="en-US" w:eastAsia="zh-CN"/>
        </w:rPr>
        <w:t>否则</w:t>
      </w:r>
      <w:r>
        <w:rPr>
          <w:rFonts w:hint="eastAsia" w:asciiTheme="minorEastAsia" w:hAnsiTheme="minorEastAsia" w:eastAsiaTheme="minorEastAsia" w:cstheme="minorEastAsia"/>
          <w:color w:val="auto"/>
          <w:sz w:val="24"/>
          <w:szCs w:val="24"/>
          <w:highlight w:val="none"/>
        </w:rPr>
        <w:t>，按以下程序操作：</w:t>
      </w:r>
    </w:p>
    <w:p w14:paraId="19600C6A">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（一）项目中止，中止期限由招标人（采购人）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根据项目具体情况确定。中止期限届满后中止情形尚未消除的，招标人（采购人）</w:t>
      </w:r>
      <w:r>
        <w:rPr>
          <w:rFonts w:hint="eastAsia" w:asciiTheme="minorEastAsia" w:hAnsiTheme="minorEastAsia" w:eastAsiaTheme="minorEastAsia" w:cstheme="minorEastAsia"/>
          <w:color w:val="auto"/>
          <w:sz w:val="24"/>
          <w:szCs w:val="24"/>
          <w:highlight w:val="none"/>
          <w:lang w:val="en-US" w:eastAsia="zh-CN"/>
        </w:rPr>
        <w:t>或代理机构</w:t>
      </w:r>
      <w:r>
        <w:rPr>
          <w:rFonts w:hint="eastAsia" w:asciiTheme="minorEastAsia" w:hAnsiTheme="minorEastAsia" w:eastAsiaTheme="minorEastAsia" w:cstheme="minorEastAsia"/>
          <w:color w:val="auto"/>
          <w:sz w:val="24"/>
          <w:szCs w:val="24"/>
          <w:highlight w:val="none"/>
        </w:rPr>
        <w:t>可以根据实际情况决定延长中止期限。决定延长中止期限的，应</w:t>
      </w:r>
      <w:r>
        <w:rPr>
          <w:rFonts w:hint="eastAsia" w:asciiTheme="minorEastAsia" w:hAnsiTheme="minorEastAsia" w:eastAsiaTheme="minorEastAsia" w:cstheme="minorEastAsia"/>
          <w:color w:val="auto"/>
          <w:sz w:val="24"/>
          <w:szCs w:val="24"/>
          <w:highlight w:val="none"/>
        </w:rPr>
        <w:t>通过电子交易系统向</w:t>
      </w:r>
      <w:r>
        <w:rPr>
          <w:rFonts w:hint="eastAsia" w:asciiTheme="minorEastAsia" w:hAnsiTheme="minorEastAsia" w:eastAsiaTheme="minorEastAsia" w:cstheme="minorEastAsia"/>
          <w:color w:val="auto"/>
          <w:sz w:val="24"/>
          <w:szCs w:val="24"/>
          <w:highlight w:val="none"/>
        </w:rPr>
        <w:t>投标人（供应商）发出延长中止期限</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通知。</w:t>
      </w:r>
    </w:p>
    <w:p w14:paraId="14EE49F6">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（二）项目恢复，导致项目中止的情形消除后，招标人（采购人）或代理机构应当尽快恢复交易程序，</w:t>
      </w:r>
      <w:r>
        <w:rPr>
          <w:rFonts w:hint="eastAsia" w:asciiTheme="minorEastAsia" w:hAnsiTheme="minorEastAsia" w:eastAsiaTheme="minorEastAsia" w:cstheme="minorEastAsia"/>
          <w:color w:val="auto"/>
          <w:sz w:val="24"/>
          <w:szCs w:val="24"/>
          <w:highlight w:val="none"/>
        </w:rPr>
        <w:t>通过电子交易系统</w:t>
      </w:r>
      <w:r>
        <w:rPr>
          <w:rFonts w:hint="eastAsia" w:asciiTheme="minorEastAsia" w:hAnsiTheme="minorEastAsia" w:eastAsiaTheme="minorEastAsia" w:cstheme="minorEastAsia"/>
          <w:color w:val="auto"/>
          <w:sz w:val="24"/>
          <w:szCs w:val="24"/>
          <w:highlight w:val="none"/>
        </w:rPr>
        <w:t>向投标人（供应商）发出恢复交易通知；已发出延长中止期限通知的，按通知执行</w:t>
      </w:r>
      <w:r>
        <w:rPr>
          <w:rFonts w:hint="eastAsia" w:asciiTheme="minorEastAsia" w:hAnsiTheme="minorEastAsia" w:eastAsiaTheme="minorEastAsia" w:cstheme="minorEastAsia"/>
          <w:color w:val="auto"/>
          <w:sz w:val="24"/>
          <w:szCs w:val="24"/>
          <w:highlight w:val="none"/>
          <w:lang w:val="en-US" w:eastAsia="zh-CN"/>
        </w:rPr>
        <w:t>或根据招标人（采购人）决定另行通知</w:t>
      </w:r>
      <w:r>
        <w:rPr>
          <w:rFonts w:hint="eastAsia" w:asciiTheme="minorEastAsia" w:hAnsiTheme="minorEastAsia" w:eastAsiaTheme="minorEastAsia" w:cstheme="minorEastAsia"/>
          <w:color w:val="auto"/>
          <w:sz w:val="24"/>
          <w:szCs w:val="24"/>
          <w:highlight w:val="none"/>
        </w:rPr>
        <w:t>。</w:t>
      </w:r>
    </w:p>
    <w:p w14:paraId="558E008B">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在招标文件规定的解密时间内出现第二十</w:t>
      </w:r>
      <w:r>
        <w:rPr>
          <w:rFonts w:hint="eastAsia" w:asciiTheme="minorEastAsia" w:hAnsiTheme="minorEastAsia" w:eastAsiaTheme="minorEastAsia" w:cstheme="minorEastAsia"/>
          <w:strike w:val="0"/>
          <w:dstrike w:val="0"/>
          <w:color w:val="auto"/>
          <w:sz w:val="24"/>
          <w:szCs w:val="24"/>
          <w:highlight w:val="none"/>
        </w:rPr>
        <w:t>一</w:t>
      </w:r>
      <w:r>
        <w:rPr>
          <w:rFonts w:hint="eastAsia" w:asciiTheme="minorEastAsia" w:hAnsiTheme="minorEastAsia" w:eastAsiaTheme="minorEastAsia" w:cstheme="minorEastAsia"/>
          <w:color w:val="auto"/>
          <w:sz w:val="24"/>
          <w:szCs w:val="24"/>
          <w:highlight w:val="none"/>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auto"/>
          <w:sz w:val="24"/>
          <w:szCs w:val="24"/>
          <w:highlight w:val="none"/>
          <w:lang w:val="en-US" w:eastAsia="zh-CN"/>
        </w:rPr>
        <w:t>算</w:t>
      </w:r>
      <w:r>
        <w:rPr>
          <w:rFonts w:hint="eastAsia" w:asciiTheme="minorEastAsia" w:hAnsiTheme="minorEastAsia" w:eastAsiaTheme="minorEastAsia" w:cstheme="minorEastAsia"/>
          <w:color w:val="auto"/>
          <w:sz w:val="24"/>
          <w:szCs w:val="24"/>
          <w:highlight w:val="none"/>
        </w:rPr>
        <w:t>；在规定的解密</w:t>
      </w:r>
      <w:r>
        <w:rPr>
          <w:rFonts w:hint="eastAsia" w:asciiTheme="minorEastAsia" w:hAnsiTheme="minorEastAsia" w:eastAsiaTheme="minorEastAsia" w:cstheme="minorEastAsia"/>
          <w:color w:val="auto"/>
          <w:sz w:val="24"/>
          <w:szCs w:val="24"/>
          <w:highlight w:val="none"/>
          <w:lang w:val="en-US" w:eastAsia="zh-CN"/>
        </w:rPr>
        <w:t>截止</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rPr>
        <w:t>出现</w:t>
      </w:r>
      <w:r>
        <w:rPr>
          <w:rFonts w:hint="eastAsia" w:asciiTheme="minorEastAsia" w:hAnsiTheme="minorEastAsia" w:eastAsiaTheme="minorEastAsia" w:cstheme="minorEastAsia"/>
          <w:color w:val="auto"/>
          <w:sz w:val="24"/>
          <w:szCs w:val="24"/>
          <w:highlight w:val="none"/>
        </w:rPr>
        <w:t>第二十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条规定的意外情形</w:t>
      </w:r>
      <w:r>
        <w:rPr>
          <w:rFonts w:hint="eastAsia" w:asciiTheme="minorEastAsia" w:hAnsiTheme="minorEastAsia" w:eastAsiaTheme="minorEastAsia" w:cstheme="minorEastAsia"/>
          <w:color w:val="auto"/>
          <w:sz w:val="24"/>
          <w:szCs w:val="24"/>
          <w:highlight w:val="none"/>
        </w:rPr>
        <w:t>的，系统恢复后，</w:t>
      </w:r>
      <w:r>
        <w:rPr>
          <w:rFonts w:hint="eastAsia" w:asciiTheme="minorEastAsia" w:hAnsiTheme="minorEastAsia" w:eastAsiaTheme="minorEastAsia" w:cstheme="minorEastAsia"/>
          <w:color w:val="auto"/>
          <w:sz w:val="24"/>
          <w:szCs w:val="24"/>
          <w:highlight w:val="none"/>
          <w:lang w:val="en-US" w:eastAsia="zh-CN"/>
        </w:rPr>
        <w:t>仅允许</w:t>
      </w:r>
      <w:r>
        <w:rPr>
          <w:rFonts w:hint="eastAsia" w:asciiTheme="minorEastAsia" w:hAnsiTheme="minorEastAsia" w:eastAsiaTheme="minorEastAsia" w:cstheme="minorEastAsia"/>
          <w:strike w:val="0"/>
          <w:dstrike w:val="0"/>
          <w:color w:val="auto"/>
          <w:sz w:val="24"/>
          <w:szCs w:val="24"/>
          <w:highlight w:val="none"/>
          <w:lang w:val="en-US" w:eastAsia="zh-CN"/>
        </w:rPr>
        <w:t>原</w:t>
      </w:r>
      <w:r>
        <w:rPr>
          <w:rFonts w:hint="eastAsia" w:asciiTheme="minorEastAsia" w:hAnsiTheme="minorEastAsia" w:eastAsiaTheme="minorEastAsia" w:cstheme="minorEastAsia"/>
          <w:strike w:val="0"/>
          <w:dstrike w:val="0"/>
          <w:color w:val="auto"/>
          <w:sz w:val="24"/>
          <w:szCs w:val="24"/>
          <w:highlight w:val="none"/>
          <w:lang w:val="en-US" w:eastAsia="zh-CN"/>
        </w:rPr>
        <w:t>解密时间内已成功解密但解密文件无法正常使用的投标人</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strike w:val="0"/>
          <w:dstrike w:val="0"/>
          <w:color w:val="auto"/>
          <w:sz w:val="24"/>
          <w:szCs w:val="24"/>
          <w:highlight w:val="none"/>
          <w:lang w:val="en-US" w:eastAsia="zh-CN"/>
        </w:rPr>
        <w:t>重新解密。</w:t>
      </w:r>
    </w:p>
    <w:p w14:paraId="3A0B86FF">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第二十</w:t>
      </w:r>
      <w:r>
        <w:rPr>
          <w:rFonts w:hint="eastAsia" w:asciiTheme="minorEastAsia" w:hAnsiTheme="minorEastAsia" w:eastAsiaTheme="minorEastAsia" w:cstheme="minorEastAsia"/>
          <w:b/>
          <w:bCs/>
          <w:strike w:val="0"/>
          <w:dstrike w:val="0"/>
          <w:color w:val="auto"/>
          <w:sz w:val="24"/>
          <w:szCs w:val="24"/>
          <w:highlight w:val="none"/>
        </w:rPr>
        <w:t>四</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color w:val="auto"/>
          <w:sz w:val="24"/>
          <w:szCs w:val="24"/>
          <w:highlight w:val="none"/>
        </w:rPr>
        <w:t>  本规程由安徽公共资源交易集团负责解释。自发布之日起</w:t>
      </w:r>
      <w:r>
        <w:rPr>
          <w:rFonts w:hint="eastAsia" w:asciiTheme="minorEastAsia" w:hAnsiTheme="minorEastAsia" w:eastAsiaTheme="minorEastAsia" w:cstheme="minorEastAsia"/>
          <w:color w:val="auto"/>
          <w:sz w:val="24"/>
          <w:szCs w:val="24"/>
          <w:highlight w:val="none"/>
          <w:lang w:val="en-US" w:eastAsia="zh-CN"/>
        </w:rPr>
        <w:t>施</w:t>
      </w:r>
      <w:r>
        <w:rPr>
          <w:rFonts w:hint="eastAsia" w:asciiTheme="minorEastAsia" w:hAnsiTheme="minorEastAsia" w:eastAsiaTheme="minorEastAsia" w:cstheme="minorEastAsia"/>
          <w:color w:val="auto"/>
          <w:sz w:val="24"/>
          <w:szCs w:val="24"/>
          <w:highlight w:val="none"/>
        </w:rPr>
        <w:t>行，有效期</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年。</w:t>
      </w:r>
    </w:p>
    <w:p w14:paraId="0A9ACCDE">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eastAsia="zh-CN"/>
        </w:rPr>
      </w:pPr>
    </w:p>
    <w:p w14:paraId="32EA977E">
      <w:pPr>
        <w:bidi w:val="0"/>
        <w:rPr>
          <w:rFonts w:hint="eastAsia"/>
          <w:color w:val="auto"/>
          <w:highlight w:val="none"/>
          <w:lang w:eastAsia="zh-CN"/>
        </w:rPr>
      </w:pPr>
    </w:p>
    <w:p w14:paraId="1FAFFAC6">
      <w:pPr>
        <w:bidi w:val="0"/>
        <w:rPr>
          <w:rFonts w:hint="eastAsia"/>
          <w:color w:val="auto"/>
          <w:highlight w:val="none"/>
          <w:lang w:eastAsia="zh-CN"/>
        </w:rPr>
      </w:pPr>
    </w:p>
    <w:p w14:paraId="37F7A3B9">
      <w:pPr>
        <w:bidi w:val="0"/>
        <w:rPr>
          <w:rFonts w:hint="eastAsia"/>
          <w:color w:val="auto"/>
          <w:highlight w:val="none"/>
          <w:lang w:eastAsia="zh-CN"/>
        </w:rPr>
      </w:pPr>
    </w:p>
    <w:p w14:paraId="6465DE62">
      <w:pPr>
        <w:bidi w:val="0"/>
        <w:rPr>
          <w:rFonts w:hint="eastAsia"/>
          <w:color w:val="auto"/>
          <w:highlight w:val="none"/>
          <w:lang w:eastAsia="zh-CN"/>
        </w:rPr>
      </w:pPr>
    </w:p>
    <w:p w14:paraId="52630963">
      <w:pPr>
        <w:bidi w:val="0"/>
        <w:rPr>
          <w:rFonts w:hint="eastAsia"/>
          <w:color w:val="auto"/>
          <w:highlight w:val="none"/>
          <w:lang w:eastAsia="zh-CN"/>
        </w:rPr>
      </w:pPr>
    </w:p>
    <w:p w14:paraId="7DCD93BB">
      <w:pPr>
        <w:bidi w:val="0"/>
        <w:rPr>
          <w:rFonts w:hint="eastAsia"/>
          <w:color w:val="auto"/>
          <w:highlight w:val="none"/>
          <w:lang w:eastAsia="zh-CN"/>
        </w:rPr>
      </w:pPr>
    </w:p>
    <w:p w14:paraId="75A9DA7C">
      <w:pPr>
        <w:bidi w:val="0"/>
        <w:rPr>
          <w:rFonts w:hint="eastAsia"/>
          <w:color w:val="auto"/>
          <w:highlight w:val="none"/>
          <w:lang w:eastAsia="zh-CN"/>
        </w:rPr>
      </w:pPr>
    </w:p>
    <w:p w14:paraId="6E070CAD">
      <w:pPr>
        <w:bidi w:val="0"/>
        <w:rPr>
          <w:rFonts w:hint="eastAsia"/>
          <w:color w:val="auto"/>
          <w:highlight w:val="none"/>
          <w:lang w:eastAsia="zh-CN"/>
        </w:rPr>
      </w:pPr>
    </w:p>
    <w:p w14:paraId="692D9CD7">
      <w:pPr>
        <w:bidi w:val="0"/>
        <w:rPr>
          <w:rFonts w:hint="eastAsia"/>
          <w:color w:val="auto"/>
          <w:highlight w:val="none"/>
          <w:lang w:eastAsia="zh-CN"/>
        </w:rPr>
      </w:pPr>
    </w:p>
    <w:p w14:paraId="73EB2B3C">
      <w:pPr>
        <w:bidi w:val="0"/>
        <w:rPr>
          <w:rFonts w:hint="eastAsia"/>
          <w:color w:val="auto"/>
          <w:highlight w:val="none"/>
          <w:lang w:eastAsia="zh-CN"/>
        </w:rPr>
      </w:pPr>
    </w:p>
    <w:p w14:paraId="4C3C5818">
      <w:pPr>
        <w:bidi w:val="0"/>
        <w:rPr>
          <w:rFonts w:hint="eastAsia"/>
          <w:color w:val="auto"/>
          <w:highlight w:val="none"/>
          <w:lang w:eastAsia="zh-CN"/>
        </w:rPr>
      </w:pPr>
    </w:p>
    <w:p w14:paraId="5DD20FF0">
      <w:pPr>
        <w:bidi w:val="0"/>
        <w:rPr>
          <w:rFonts w:hint="eastAsia"/>
          <w:color w:val="auto"/>
          <w:highlight w:val="none"/>
          <w:lang w:eastAsia="zh-CN"/>
        </w:rPr>
      </w:pPr>
    </w:p>
    <w:p w14:paraId="46D505D2">
      <w:pPr>
        <w:bidi w:val="0"/>
        <w:rPr>
          <w:rFonts w:hint="eastAsia"/>
          <w:color w:val="auto"/>
          <w:highlight w:val="none"/>
          <w:lang w:eastAsia="zh-CN"/>
        </w:rPr>
      </w:pPr>
    </w:p>
    <w:p w14:paraId="6645D83F">
      <w:pPr>
        <w:bidi w:val="0"/>
        <w:rPr>
          <w:rFonts w:hint="eastAsia"/>
          <w:color w:val="auto"/>
          <w:highlight w:val="none"/>
          <w:lang w:eastAsia="zh-CN"/>
        </w:rPr>
      </w:pPr>
    </w:p>
    <w:p w14:paraId="0BA47C81">
      <w:pPr>
        <w:bidi w:val="0"/>
        <w:rPr>
          <w:rFonts w:hint="eastAsia"/>
          <w:color w:val="auto"/>
          <w:highlight w:val="none"/>
          <w:lang w:eastAsia="zh-CN"/>
        </w:rPr>
      </w:pPr>
    </w:p>
    <w:p w14:paraId="630EE3A6">
      <w:pPr>
        <w:bidi w:val="0"/>
        <w:rPr>
          <w:rFonts w:hint="eastAsia"/>
          <w:color w:val="auto"/>
          <w:highlight w:val="none"/>
          <w:lang w:eastAsia="zh-CN"/>
        </w:rPr>
      </w:pPr>
    </w:p>
    <w:p w14:paraId="36E67D60">
      <w:pPr>
        <w:bidi w:val="0"/>
        <w:rPr>
          <w:rFonts w:hint="eastAsia"/>
          <w:color w:val="auto"/>
          <w:highlight w:val="none"/>
          <w:lang w:eastAsia="zh-CN"/>
        </w:rPr>
      </w:pPr>
    </w:p>
    <w:p w14:paraId="4433A2CA">
      <w:pPr>
        <w:tabs>
          <w:tab w:val="left" w:pos="6876"/>
        </w:tabs>
        <w:bidi w:val="0"/>
        <w:jc w:val="left"/>
        <w:rPr>
          <w:rFonts w:hint="eastAsia"/>
          <w:color w:val="auto"/>
          <w:highlight w:val="none"/>
          <w:lang w:eastAsia="zh-CN"/>
        </w:rPr>
      </w:pPr>
      <w:r>
        <w:rPr>
          <w:rFonts w:hint="eastAsia"/>
          <w:color w:val="auto"/>
          <w:highlight w:val="none"/>
          <w:lang w:eastAsia="zh-CN"/>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65BA">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7747DCD5">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682E">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货物2025.4.22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6BFD">
    <w:pPr>
      <w:pStyle w:val="34"/>
      <w:jc w:val="left"/>
      <w:rPr>
        <w:rFonts w:hint="default"/>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货物 2025.4.22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BD704BE9"/>
    <w:multiLevelType w:val="singleLevel"/>
    <w:tmpl w:val="BD704BE9"/>
    <w:lvl w:ilvl="0" w:tentative="0">
      <w:start w:val="2"/>
      <w:numFmt w:val="decimal"/>
      <w:suff w:val="nothing"/>
      <w:lvlText w:val="（%1）"/>
      <w:lvlJc w:val="left"/>
    </w:lvl>
  </w:abstractNum>
  <w:abstractNum w:abstractNumId="3">
    <w:nsid w:val="F71D34CA"/>
    <w:multiLevelType w:val="singleLevel"/>
    <w:tmpl w:val="F71D34CA"/>
    <w:lvl w:ilvl="0" w:tentative="0">
      <w:start w:val="1"/>
      <w:numFmt w:val="chineseCounting"/>
      <w:suff w:val="space"/>
      <w:lvlText w:val="第%1章"/>
      <w:lvlJc w:val="left"/>
      <w:rPr>
        <w:rFonts w:hint="eastAsia"/>
      </w:rPr>
    </w:lvl>
  </w:abstractNum>
  <w:abstractNum w:abstractNumId="4">
    <w:nsid w:val="FD6C99E5"/>
    <w:multiLevelType w:val="singleLevel"/>
    <w:tmpl w:val="FD6C99E5"/>
    <w:lvl w:ilvl="0" w:tentative="0">
      <w:start w:val="1"/>
      <w:numFmt w:val="decimal"/>
      <w:suff w:val="nothing"/>
      <w:lvlText w:val="（%1）"/>
      <w:lvlJc w:val="left"/>
    </w:lvl>
  </w:abstractNum>
  <w:abstractNum w:abstractNumId="5">
    <w:nsid w:val="6B5DF6B0"/>
    <w:multiLevelType w:val="singleLevel"/>
    <w:tmpl w:val="6B5DF6B0"/>
    <w:lvl w:ilvl="0" w:tentative="0">
      <w:start w:val="1"/>
      <w:numFmt w:val="decimal"/>
      <w:suff w:val="nothing"/>
      <w:lvlText w:val="（%1）"/>
      <w:lvlJc w:val="left"/>
    </w:lvl>
  </w:abstractNum>
  <w:abstractNum w:abstractNumId="6">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BlMDg3YjFiMzQ2MGEzZTYzNzBjZjliNTRiOD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A816E8"/>
    <w:rsid w:val="02C30CDE"/>
    <w:rsid w:val="030B62A1"/>
    <w:rsid w:val="031C2553"/>
    <w:rsid w:val="032205B8"/>
    <w:rsid w:val="03271B9C"/>
    <w:rsid w:val="032F04D8"/>
    <w:rsid w:val="035E4919"/>
    <w:rsid w:val="03B51673"/>
    <w:rsid w:val="03C15358"/>
    <w:rsid w:val="03C76963"/>
    <w:rsid w:val="03D869D2"/>
    <w:rsid w:val="04054CCC"/>
    <w:rsid w:val="04073FBB"/>
    <w:rsid w:val="041A2F36"/>
    <w:rsid w:val="04336711"/>
    <w:rsid w:val="043D0754"/>
    <w:rsid w:val="0475016D"/>
    <w:rsid w:val="047714C2"/>
    <w:rsid w:val="04BC3FEE"/>
    <w:rsid w:val="04E60241"/>
    <w:rsid w:val="05031C1C"/>
    <w:rsid w:val="050A3155"/>
    <w:rsid w:val="05444DBA"/>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30587"/>
    <w:rsid w:val="06735155"/>
    <w:rsid w:val="06783F44"/>
    <w:rsid w:val="06823015"/>
    <w:rsid w:val="068E0BC9"/>
    <w:rsid w:val="06CE1DB6"/>
    <w:rsid w:val="06E67100"/>
    <w:rsid w:val="073C31C4"/>
    <w:rsid w:val="074E7B40"/>
    <w:rsid w:val="078A2181"/>
    <w:rsid w:val="079511E1"/>
    <w:rsid w:val="07A174CB"/>
    <w:rsid w:val="07D822F4"/>
    <w:rsid w:val="0808754A"/>
    <w:rsid w:val="080D690E"/>
    <w:rsid w:val="08337E2C"/>
    <w:rsid w:val="083D6C48"/>
    <w:rsid w:val="08636A5A"/>
    <w:rsid w:val="086A0E2C"/>
    <w:rsid w:val="08782DBB"/>
    <w:rsid w:val="08946CD7"/>
    <w:rsid w:val="08A46BE7"/>
    <w:rsid w:val="08AC66D0"/>
    <w:rsid w:val="08B20230"/>
    <w:rsid w:val="08BB1E7B"/>
    <w:rsid w:val="08DA0EE6"/>
    <w:rsid w:val="08DB07BA"/>
    <w:rsid w:val="08F4666C"/>
    <w:rsid w:val="0946657C"/>
    <w:rsid w:val="0956173A"/>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C017795"/>
    <w:rsid w:val="0C1069CD"/>
    <w:rsid w:val="0C3D1EB8"/>
    <w:rsid w:val="0C3F23A5"/>
    <w:rsid w:val="0C4843B9"/>
    <w:rsid w:val="0C6709D0"/>
    <w:rsid w:val="0C676F35"/>
    <w:rsid w:val="0C880C59"/>
    <w:rsid w:val="0CA05FA3"/>
    <w:rsid w:val="0CAC4948"/>
    <w:rsid w:val="0CCA1C47"/>
    <w:rsid w:val="0CD914B5"/>
    <w:rsid w:val="0CED0F6C"/>
    <w:rsid w:val="0CEF2A86"/>
    <w:rsid w:val="0CF31BB9"/>
    <w:rsid w:val="0D0B3827"/>
    <w:rsid w:val="0D314E4D"/>
    <w:rsid w:val="0D774F56"/>
    <w:rsid w:val="0D7A15C6"/>
    <w:rsid w:val="0D957AD2"/>
    <w:rsid w:val="0DB241E0"/>
    <w:rsid w:val="0DE6032D"/>
    <w:rsid w:val="0E0B38F0"/>
    <w:rsid w:val="0E267FA8"/>
    <w:rsid w:val="0E3E1F17"/>
    <w:rsid w:val="0E52151F"/>
    <w:rsid w:val="0E782F04"/>
    <w:rsid w:val="0E9A5F77"/>
    <w:rsid w:val="0E9E11E9"/>
    <w:rsid w:val="0ECB1AC7"/>
    <w:rsid w:val="0ECF35C4"/>
    <w:rsid w:val="0ED527DB"/>
    <w:rsid w:val="0EEA5E4A"/>
    <w:rsid w:val="0F01750C"/>
    <w:rsid w:val="0F2F1860"/>
    <w:rsid w:val="0F3330FE"/>
    <w:rsid w:val="0F3F1AA3"/>
    <w:rsid w:val="0F4F5A5E"/>
    <w:rsid w:val="0F5F5CA1"/>
    <w:rsid w:val="0F64775C"/>
    <w:rsid w:val="0F672FE3"/>
    <w:rsid w:val="0F686692"/>
    <w:rsid w:val="0F751969"/>
    <w:rsid w:val="0F802974"/>
    <w:rsid w:val="0FAC687F"/>
    <w:rsid w:val="0FB00BF3"/>
    <w:rsid w:val="0FB06A57"/>
    <w:rsid w:val="0FB86474"/>
    <w:rsid w:val="0FE60171"/>
    <w:rsid w:val="0FF1293F"/>
    <w:rsid w:val="0FF4402F"/>
    <w:rsid w:val="10305890"/>
    <w:rsid w:val="10463305"/>
    <w:rsid w:val="10615A49"/>
    <w:rsid w:val="10635C65"/>
    <w:rsid w:val="10732D06"/>
    <w:rsid w:val="107F1F1F"/>
    <w:rsid w:val="10A2360E"/>
    <w:rsid w:val="10B22456"/>
    <w:rsid w:val="10E044A9"/>
    <w:rsid w:val="11031026"/>
    <w:rsid w:val="11254CC9"/>
    <w:rsid w:val="11333889"/>
    <w:rsid w:val="11395C39"/>
    <w:rsid w:val="114710E3"/>
    <w:rsid w:val="118A0FD0"/>
    <w:rsid w:val="11CC15E8"/>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7C10A3"/>
    <w:rsid w:val="14BE025F"/>
    <w:rsid w:val="14C412D5"/>
    <w:rsid w:val="14E36BC9"/>
    <w:rsid w:val="14EA7956"/>
    <w:rsid w:val="14F051F6"/>
    <w:rsid w:val="151E215B"/>
    <w:rsid w:val="15400C78"/>
    <w:rsid w:val="1565422D"/>
    <w:rsid w:val="15916384"/>
    <w:rsid w:val="15A308B2"/>
    <w:rsid w:val="15EF35D8"/>
    <w:rsid w:val="164107F7"/>
    <w:rsid w:val="166746AE"/>
    <w:rsid w:val="167034C3"/>
    <w:rsid w:val="167343CE"/>
    <w:rsid w:val="16946C69"/>
    <w:rsid w:val="16987ACC"/>
    <w:rsid w:val="16A7036B"/>
    <w:rsid w:val="16AC3FC9"/>
    <w:rsid w:val="16B40FC8"/>
    <w:rsid w:val="16BB30FA"/>
    <w:rsid w:val="16BC1C2B"/>
    <w:rsid w:val="171D41E4"/>
    <w:rsid w:val="1727436D"/>
    <w:rsid w:val="173A25E2"/>
    <w:rsid w:val="17485BB5"/>
    <w:rsid w:val="175D0B80"/>
    <w:rsid w:val="176E561B"/>
    <w:rsid w:val="17732C32"/>
    <w:rsid w:val="178F10EE"/>
    <w:rsid w:val="17914E66"/>
    <w:rsid w:val="17916813"/>
    <w:rsid w:val="179601A3"/>
    <w:rsid w:val="1797470D"/>
    <w:rsid w:val="18015B6E"/>
    <w:rsid w:val="18172587"/>
    <w:rsid w:val="18205A58"/>
    <w:rsid w:val="1853036D"/>
    <w:rsid w:val="185403EE"/>
    <w:rsid w:val="18693E47"/>
    <w:rsid w:val="18752043"/>
    <w:rsid w:val="18A25FFA"/>
    <w:rsid w:val="18BD54F4"/>
    <w:rsid w:val="18CD3A1E"/>
    <w:rsid w:val="18D94D16"/>
    <w:rsid w:val="18DC0363"/>
    <w:rsid w:val="18DD28F7"/>
    <w:rsid w:val="18F4203C"/>
    <w:rsid w:val="190B0C48"/>
    <w:rsid w:val="191E097B"/>
    <w:rsid w:val="19237362"/>
    <w:rsid w:val="194303E2"/>
    <w:rsid w:val="1979120B"/>
    <w:rsid w:val="1997072D"/>
    <w:rsid w:val="19A312AE"/>
    <w:rsid w:val="19BE5CBA"/>
    <w:rsid w:val="19BF76EB"/>
    <w:rsid w:val="1A085187"/>
    <w:rsid w:val="1A11228E"/>
    <w:rsid w:val="1A136006"/>
    <w:rsid w:val="1A1A7CD9"/>
    <w:rsid w:val="1A4457AE"/>
    <w:rsid w:val="1A4C5D31"/>
    <w:rsid w:val="1A7251B8"/>
    <w:rsid w:val="1A816B2F"/>
    <w:rsid w:val="1A9F3EA8"/>
    <w:rsid w:val="1ABF618E"/>
    <w:rsid w:val="1ACB4B33"/>
    <w:rsid w:val="1AF71484"/>
    <w:rsid w:val="1B30248C"/>
    <w:rsid w:val="1B5468D6"/>
    <w:rsid w:val="1B58423C"/>
    <w:rsid w:val="1B816BC3"/>
    <w:rsid w:val="1B83540D"/>
    <w:rsid w:val="1B90640E"/>
    <w:rsid w:val="1B9C3F21"/>
    <w:rsid w:val="1BFB0379"/>
    <w:rsid w:val="1C0F0A4F"/>
    <w:rsid w:val="1C2C1B1A"/>
    <w:rsid w:val="1C3B7288"/>
    <w:rsid w:val="1C447AB7"/>
    <w:rsid w:val="1C487397"/>
    <w:rsid w:val="1C580BF0"/>
    <w:rsid w:val="1C5C089A"/>
    <w:rsid w:val="1C6D2330"/>
    <w:rsid w:val="1C850D11"/>
    <w:rsid w:val="1C8953EE"/>
    <w:rsid w:val="1C9761E9"/>
    <w:rsid w:val="1CBC7313"/>
    <w:rsid w:val="1CC47A8B"/>
    <w:rsid w:val="1CC6095E"/>
    <w:rsid w:val="1CF85987"/>
    <w:rsid w:val="1D04257E"/>
    <w:rsid w:val="1D0600A4"/>
    <w:rsid w:val="1D641BF0"/>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ED25C61"/>
    <w:rsid w:val="1EF7005A"/>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22151"/>
    <w:rsid w:val="207D154D"/>
    <w:rsid w:val="208714FC"/>
    <w:rsid w:val="20895274"/>
    <w:rsid w:val="20980AE0"/>
    <w:rsid w:val="209B4FA7"/>
    <w:rsid w:val="20A2086D"/>
    <w:rsid w:val="20C718F8"/>
    <w:rsid w:val="20D109C9"/>
    <w:rsid w:val="20E45634"/>
    <w:rsid w:val="20FC2382"/>
    <w:rsid w:val="214D1EC4"/>
    <w:rsid w:val="21830153"/>
    <w:rsid w:val="21957C48"/>
    <w:rsid w:val="21BA76AF"/>
    <w:rsid w:val="21BF0821"/>
    <w:rsid w:val="21D266CD"/>
    <w:rsid w:val="21EF1DF1"/>
    <w:rsid w:val="21FD1568"/>
    <w:rsid w:val="220F3557"/>
    <w:rsid w:val="22625D47"/>
    <w:rsid w:val="22661A9C"/>
    <w:rsid w:val="22665141"/>
    <w:rsid w:val="22731755"/>
    <w:rsid w:val="227B6E3E"/>
    <w:rsid w:val="229323DA"/>
    <w:rsid w:val="22934188"/>
    <w:rsid w:val="22C83D5D"/>
    <w:rsid w:val="22C85680"/>
    <w:rsid w:val="22DE0399"/>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06E70"/>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AE580E"/>
    <w:rsid w:val="26E15B99"/>
    <w:rsid w:val="26F61189"/>
    <w:rsid w:val="26F82F41"/>
    <w:rsid w:val="273677D8"/>
    <w:rsid w:val="274D77E7"/>
    <w:rsid w:val="275E39BF"/>
    <w:rsid w:val="2799188C"/>
    <w:rsid w:val="27A107B1"/>
    <w:rsid w:val="27B801ED"/>
    <w:rsid w:val="27E85AF1"/>
    <w:rsid w:val="27EB2370"/>
    <w:rsid w:val="27ED3892"/>
    <w:rsid w:val="2803672A"/>
    <w:rsid w:val="280557AF"/>
    <w:rsid w:val="282B4E63"/>
    <w:rsid w:val="2837207C"/>
    <w:rsid w:val="28515D28"/>
    <w:rsid w:val="285E3D85"/>
    <w:rsid w:val="28842155"/>
    <w:rsid w:val="288A1BE1"/>
    <w:rsid w:val="28913C78"/>
    <w:rsid w:val="289D5510"/>
    <w:rsid w:val="28CA01D8"/>
    <w:rsid w:val="28D76D98"/>
    <w:rsid w:val="28DB23E5"/>
    <w:rsid w:val="28DC41A9"/>
    <w:rsid w:val="28EF15D4"/>
    <w:rsid w:val="28F24E39"/>
    <w:rsid w:val="29174F37"/>
    <w:rsid w:val="292F0982"/>
    <w:rsid w:val="29472F72"/>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C51206"/>
    <w:rsid w:val="2B1966E7"/>
    <w:rsid w:val="2B3758CC"/>
    <w:rsid w:val="2B5F745C"/>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009E"/>
    <w:rsid w:val="2D0C41FD"/>
    <w:rsid w:val="2D1633EB"/>
    <w:rsid w:val="2D2B320F"/>
    <w:rsid w:val="2D3C366E"/>
    <w:rsid w:val="2D6F134E"/>
    <w:rsid w:val="2D850B71"/>
    <w:rsid w:val="2D9F7C93"/>
    <w:rsid w:val="2DAA4BFF"/>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237263"/>
    <w:rsid w:val="2F4F5615"/>
    <w:rsid w:val="2F5223C5"/>
    <w:rsid w:val="2F5527C5"/>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4306C"/>
    <w:rsid w:val="308B3C32"/>
    <w:rsid w:val="308B46F0"/>
    <w:rsid w:val="30934C53"/>
    <w:rsid w:val="309F63EE"/>
    <w:rsid w:val="30B42C9E"/>
    <w:rsid w:val="30C03C9B"/>
    <w:rsid w:val="30CA0B34"/>
    <w:rsid w:val="30F7442C"/>
    <w:rsid w:val="31111D33"/>
    <w:rsid w:val="31291211"/>
    <w:rsid w:val="315E0057"/>
    <w:rsid w:val="319D0545"/>
    <w:rsid w:val="31A645A7"/>
    <w:rsid w:val="31AA6151"/>
    <w:rsid w:val="31D64091"/>
    <w:rsid w:val="31F92D57"/>
    <w:rsid w:val="320A7897"/>
    <w:rsid w:val="321B78CE"/>
    <w:rsid w:val="32385F9C"/>
    <w:rsid w:val="323D4B10"/>
    <w:rsid w:val="3263094F"/>
    <w:rsid w:val="327F62D5"/>
    <w:rsid w:val="329A50BF"/>
    <w:rsid w:val="32A001FB"/>
    <w:rsid w:val="32C37BA2"/>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D2241"/>
    <w:rsid w:val="33ED4EB5"/>
    <w:rsid w:val="340D25AE"/>
    <w:rsid w:val="34177C19"/>
    <w:rsid w:val="34256CB2"/>
    <w:rsid w:val="34353186"/>
    <w:rsid w:val="344B7B58"/>
    <w:rsid w:val="3474193F"/>
    <w:rsid w:val="34750EEE"/>
    <w:rsid w:val="349B6ECC"/>
    <w:rsid w:val="34AC732B"/>
    <w:rsid w:val="34CA155F"/>
    <w:rsid w:val="34E45C10"/>
    <w:rsid w:val="35253045"/>
    <w:rsid w:val="354B0704"/>
    <w:rsid w:val="354D1DB2"/>
    <w:rsid w:val="356D1E9C"/>
    <w:rsid w:val="357D5D04"/>
    <w:rsid w:val="35A34C73"/>
    <w:rsid w:val="35AB0B07"/>
    <w:rsid w:val="35D83E40"/>
    <w:rsid w:val="35D94150"/>
    <w:rsid w:val="35FE1C9A"/>
    <w:rsid w:val="362D7FF8"/>
    <w:rsid w:val="36620601"/>
    <w:rsid w:val="36B50719"/>
    <w:rsid w:val="36B86C0F"/>
    <w:rsid w:val="36C25ED8"/>
    <w:rsid w:val="36D2007E"/>
    <w:rsid w:val="36D36DF1"/>
    <w:rsid w:val="36EB413B"/>
    <w:rsid w:val="37011251"/>
    <w:rsid w:val="371B68A6"/>
    <w:rsid w:val="373830F8"/>
    <w:rsid w:val="3747333B"/>
    <w:rsid w:val="37607FE9"/>
    <w:rsid w:val="377F356D"/>
    <w:rsid w:val="3794610E"/>
    <w:rsid w:val="37982CEA"/>
    <w:rsid w:val="379C3687"/>
    <w:rsid w:val="379F0A81"/>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714E2B"/>
    <w:rsid w:val="3B9B5A04"/>
    <w:rsid w:val="3BA725FA"/>
    <w:rsid w:val="3BB0325D"/>
    <w:rsid w:val="3BFA3859"/>
    <w:rsid w:val="3C335C3C"/>
    <w:rsid w:val="3C963645"/>
    <w:rsid w:val="3CA52FDE"/>
    <w:rsid w:val="3CCA2A44"/>
    <w:rsid w:val="3CCC57A3"/>
    <w:rsid w:val="3CE10C14"/>
    <w:rsid w:val="3CF03B2D"/>
    <w:rsid w:val="3D090B7C"/>
    <w:rsid w:val="3D193084"/>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5A1BA6"/>
    <w:rsid w:val="3E60015F"/>
    <w:rsid w:val="3EAD5E70"/>
    <w:rsid w:val="3ECF60F0"/>
    <w:rsid w:val="3F002961"/>
    <w:rsid w:val="3F087854"/>
    <w:rsid w:val="3F2F6EBF"/>
    <w:rsid w:val="3F5D194E"/>
    <w:rsid w:val="3F7F14E7"/>
    <w:rsid w:val="3F8B1360"/>
    <w:rsid w:val="3F9F14A0"/>
    <w:rsid w:val="3FA37E9F"/>
    <w:rsid w:val="3FEF7356"/>
    <w:rsid w:val="3FF21F94"/>
    <w:rsid w:val="3FF35E0E"/>
    <w:rsid w:val="40005166"/>
    <w:rsid w:val="400B4C01"/>
    <w:rsid w:val="40316936"/>
    <w:rsid w:val="4047615A"/>
    <w:rsid w:val="40477F08"/>
    <w:rsid w:val="405165FE"/>
    <w:rsid w:val="406867FC"/>
    <w:rsid w:val="40C6735E"/>
    <w:rsid w:val="40D24B9C"/>
    <w:rsid w:val="40DE6ABE"/>
    <w:rsid w:val="410753AA"/>
    <w:rsid w:val="411E335F"/>
    <w:rsid w:val="41303889"/>
    <w:rsid w:val="41324781"/>
    <w:rsid w:val="414A789D"/>
    <w:rsid w:val="415052BD"/>
    <w:rsid w:val="415C6755"/>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0B5F10"/>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B22FF"/>
    <w:rsid w:val="456D1768"/>
    <w:rsid w:val="45884BE3"/>
    <w:rsid w:val="45C96E92"/>
    <w:rsid w:val="45CC0C03"/>
    <w:rsid w:val="46072613"/>
    <w:rsid w:val="462E0F7B"/>
    <w:rsid w:val="46427B16"/>
    <w:rsid w:val="464A5E88"/>
    <w:rsid w:val="464E0242"/>
    <w:rsid w:val="46690BD8"/>
    <w:rsid w:val="468E6891"/>
    <w:rsid w:val="46AE2A8F"/>
    <w:rsid w:val="46DB1ADF"/>
    <w:rsid w:val="46FE42BD"/>
    <w:rsid w:val="47105641"/>
    <w:rsid w:val="471A6376"/>
    <w:rsid w:val="47392CA0"/>
    <w:rsid w:val="47437DEF"/>
    <w:rsid w:val="47AC3472"/>
    <w:rsid w:val="47AE29D8"/>
    <w:rsid w:val="47B462FA"/>
    <w:rsid w:val="47B745D4"/>
    <w:rsid w:val="47BC567F"/>
    <w:rsid w:val="4814634D"/>
    <w:rsid w:val="48226AEB"/>
    <w:rsid w:val="483673CE"/>
    <w:rsid w:val="489A776F"/>
    <w:rsid w:val="489F4D85"/>
    <w:rsid w:val="48BE41E3"/>
    <w:rsid w:val="48C77E38"/>
    <w:rsid w:val="48CB5B7A"/>
    <w:rsid w:val="48CF4DA7"/>
    <w:rsid w:val="48D92B4D"/>
    <w:rsid w:val="48FD1AAC"/>
    <w:rsid w:val="490523D5"/>
    <w:rsid w:val="49135467"/>
    <w:rsid w:val="49221812"/>
    <w:rsid w:val="494D67E4"/>
    <w:rsid w:val="497D3957"/>
    <w:rsid w:val="498668DA"/>
    <w:rsid w:val="49A00E51"/>
    <w:rsid w:val="49BA799D"/>
    <w:rsid w:val="49DC7762"/>
    <w:rsid w:val="4A161077"/>
    <w:rsid w:val="4A2B147F"/>
    <w:rsid w:val="4A314103"/>
    <w:rsid w:val="4A451330"/>
    <w:rsid w:val="4A5B0EAB"/>
    <w:rsid w:val="4A5C478F"/>
    <w:rsid w:val="4A631DE2"/>
    <w:rsid w:val="4A667117"/>
    <w:rsid w:val="4A8C758B"/>
    <w:rsid w:val="4A8E0642"/>
    <w:rsid w:val="4A91694F"/>
    <w:rsid w:val="4AC95736"/>
    <w:rsid w:val="4AF320B9"/>
    <w:rsid w:val="4B137C28"/>
    <w:rsid w:val="4B2B2900"/>
    <w:rsid w:val="4B410375"/>
    <w:rsid w:val="4B5B0856"/>
    <w:rsid w:val="4B5F07FC"/>
    <w:rsid w:val="4B63653E"/>
    <w:rsid w:val="4B6B53F2"/>
    <w:rsid w:val="4B863FDA"/>
    <w:rsid w:val="4B884F61"/>
    <w:rsid w:val="4B9506C1"/>
    <w:rsid w:val="4B9F32EE"/>
    <w:rsid w:val="4BB9449E"/>
    <w:rsid w:val="4BC52D55"/>
    <w:rsid w:val="4BF930BB"/>
    <w:rsid w:val="4C4D4AF8"/>
    <w:rsid w:val="4C6267F5"/>
    <w:rsid w:val="4C831B77"/>
    <w:rsid w:val="4C83676C"/>
    <w:rsid w:val="4C8E5BE5"/>
    <w:rsid w:val="4CB6269D"/>
    <w:rsid w:val="4CC913FA"/>
    <w:rsid w:val="4CEA67EB"/>
    <w:rsid w:val="4CF64CFD"/>
    <w:rsid w:val="4D116B12"/>
    <w:rsid w:val="4D1B6B8F"/>
    <w:rsid w:val="4D3D5FF4"/>
    <w:rsid w:val="4D4151E3"/>
    <w:rsid w:val="4D487C17"/>
    <w:rsid w:val="4D5A72FA"/>
    <w:rsid w:val="4D633A18"/>
    <w:rsid w:val="4D714816"/>
    <w:rsid w:val="4DB90697"/>
    <w:rsid w:val="4DC52A56"/>
    <w:rsid w:val="4DE4148C"/>
    <w:rsid w:val="4E0062C6"/>
    <w:rsid w:val="4E0B2970"/>
    <w:rsid w:val="4E1759C1"/>
    <w:rsid w:val="4E3E6DEE"/>
    <w:rsid w:val="4E8862BB"/>
    <w:rsid w:val="4ED35AD3"/>
    <w:rsid w:val="4ED8558E"/>
    <w:rsid w:val="4F245FE4"/>
    <w:rsid w:val="4F433169"/>
    <w:rsid w:val="4FC7696F"/>
    <w:rsid w:val="4FD51C85"/>
    <w:rsid w:val="50067498"/>
    <w:rsid w:val="500E39F8"/>
    <w:rsid w:val="505A492D"/>
    <w:rsid w:val="505B4BCF"/>
    <w:rsid w:val="50967210"/>
    <w:rsid w:val="50A4580C"/>
    <w:rsid w:val="50B75FB1"/>
    <w:rsid w:val="50CC248F"/>
    <w:rsid w:val="50E52F2A"/>
    <w:rsid w:val="50F97A8C"/>
    <w:rsid w:val="51013297"/>
    <w:rsid w:val="5105419D"/>
    <w:rsid w:val="51071719"/>
    <w:rsid w:val="51177359"/>
    <w:rsid w:val="51706AE7"/>
    <w:rsid w:val="517F39A6"/>
    <w:rsid w:val="5221002A"/>
    <w:rsid w:val="524679D8"/>
    <w:rsid w:val="52642B9B"/>
    <w:rsid w:val="526F3A1A"/>
    <w:rsid w:val="52816DE8"/>
    <w:rsid w:val="52976ACD"/>
    <w:rsid w:val="529F5982"/>
    <w:rsid w:val="52AF3C79"/>
    <w:rsid w:val="52E617B5"/>
    <w:rsid w:val="52FF78E7"/>
    <w:rsid w:val="530F492E"/>
    <w:rsid w:val="533D19AF"/>
    <w:rsid w:val="53435F37"/>
    <w:rsid w:val="53515F4F"/>
    <w:rsid w:val="537806AC"/>
    <w:rsid w:val="53837B15"/>
    <w:rsid w:val="53983E43"/>
    <w:rsid w:val="539F403D"/>
    <w:rsid w:val="541000EA"/>
    <w:rsid w:val="541008E5"/>
    <w:rsid w:val="54292AE8"/>
    <w:rsid w:val="54295E4B"/>
    <w:rsid w:val="543640C4"/>
    <w:rsid w:val="5436550B"/>
    <w:rsid w:val="543A5A64"/>
    <w:rsid w:val="54547A6F"/>
    <w:rsid w:val="54547F90"/>
    <w:rsid w:val="545A6D5B"/>
    <w:rsid w:val="547A238D"/>
    <w:rsid w:val="54817A35"/>
    <w:rsid w:val="54997C8E"/>
    <w:rsid w:val="54A159E1"/>
    <w:rsid w:val="54D209AB"/>
    <w:rsid w:val="54D42ADE"/>
    <w:rsid w:val="55004DFD"/>
    <w:rsid w:val="55175CA3"/>
    <w:rsid w:val="554747DA"/>
    <w:rsid w:val="555D5DAC"/>
    <w:rsid w:val="556F0C67"/>
    <w:rsid w:val="5573527B"/>
    <w:rsid w:val="55756D9B"/>
    <w:rsid w:val="559B4461"/>
    <w:rsid w:val="55A00722"/>
    <w:rsid w:val="55AD47B6"/>
    <w:rsid w:val="55D106C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E1D6B"/>
    <w:rsid w:val="5A184D97"/>
    <w:rsid w:val="5A1E7A92"/>
    <w:rsid w:val="5A3A32AF"/>
    <w:rsid w:val="5A3D61AC"/>
    <w:rsid w:val="5A492DA3"/>
    <w:rsid w:val="5A7A7400"/>
    <w:rsid w:val="5AC43F81"/>
    <w:rsid w:val="5AED72F3"/>
    <w:rsid w:val="5AF122EE"/>
    <w:rsid w:val="5B0347A3"/>
    <w:rsid w:val="5B4A6DD2"/>
    <w:rsid w:val="5B653C0C"/>
    <w:rsid w:val="5B692FAD"/>
    <w:rsid w:val="5B765E19"/>
    <w:rsid w:val="5B835E40"/>
    <w:rsid w:val="5BC06FFE"/>
    <w:rsid w:val="5BC63C92"/>
    <w:rsid w:val="5BEB056C"/>
    <w:rsid w:val="5BF000ED"/>
    <w:rsid w:val="5BFE5E0F"/>
    <w:rsid w:val="5C052CF9"/>
    <w:rsid w:val="5C1E3DBB"/>
    <w:rsid w:val="5C291C9D"/>
    <w:rsid w:val="5C655B7C"/>
    <w:rsid w:val="5C734107"/>
    <w:rsid w:val="5C7560D1"/>
    <w:rsid w:val="5C7B120D"/>
    <w:rsid w:val="5C9A29DA"/>
    <w:rsid w:val="5CB84210"/>
    <w:rsid w:val="5CEC5C67"/>
    <w:rsid w:val="5CEE456C"/>
    <w:rsid w:val="5D243653"/>
    <w:rsid w:val="5D675EF0"/>
    <w:rsid w:val="5D6A1882"/>
    <w:rsid w:val="5D8E5AFC"/>
    <w:rsid w:val="5D9E3405"/>
    <w:rsid w:val="5DBA0F0B"/>
    <w:rsid w:val="5DCC4B5B"/>
    <w:rsid w:val="5DE0757A"/>
    <w:rsid w:val="5DFD2313"/>
    <w:rsid w:val="5E047173"/>
    <w:rsid w:val="5E4D2736"/>
    <w:rsid w:val="5E543AC4"/>
    <w:rsid w:val="5E565A8E"/>
    <w:rsid w:val="5E8125D5"/>
    <w:rsid w:val="5E9625A4"/>
    <w:rsid w:val="5EB90E35"/>
    <w:rsid w:val="5EC24ED2"/>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1C6864"/>
    <w:rsid w:val="60336BFF"/>
    <w:rsid w:val="606D3A6E"/>
    <w:rsid w:val="607653E6"/>
    <w:rsid w:val="60805044"/>
    <w:rsid w:val="60932FCA"/>
    <w:rsid w:val="60A70B9F"/>
    <w:rsid w:val="60A70CC1"/>
    <w:rsid w:val="60AC188A"/>
    <w:rsid w:val="60C110C9"/>
    <w:rsid w:val="60CA5E20"/>
    <w:rsid w:val="6102109A"/>
    <w:rsid w:val="61133921"/>
    <w:rsid w:val="613A1697"/>
    <w:rsid w:val="61404968"/>
    <w:rsid w:val="617B2468"/>
    <w:rsid w:val="61B61EA8"/>
    <w:rsid w:val="62086704"/>
    <w:rsid w:val="624731C8"/>
    <w:rsid w:val="6260512D"/>
    <w:rsid w:val="62740392"/>
    <w:rsid w:val="627604AD"/>
    <w:rsid w:val="62815399"/>
    <w:rsid w:val="62AA45FB"/>
    <w:rsid w:val="62E94778"/>
    <w:rsid w:val="62F615EE"/>
    <w:rsid w:val="62F85366"/>
    <w:rsid w:val="631B1054"/>
    <w:rsid w:val="63246227"/>
    <w:rsid w:val="63304B00"/>
    <w:rsid w:val="63316ACA"/>
    <w:rsid w:val="634E4F86"/>
    <w:rsid w:val="635A2851"/>
    <w:rsid w:val="63666773"/>
    <w:rsid w:val="63864720"/>
    <w:rsid w:val="638B7F88"/>
    <w:rsid w:val="638E1826"/>
    <w:rsid w:val="638F4D78"/>
    <w:rsid w:val="639E4570"/>
    <w:rsid w:val="63A86178"/>
    <w:rsid w:val="63AE011A"/>
    <w:rsid w:val="63BE035D"/>
    <w:rsid w:val="63E636A7"/>
    <w:rsid w:val="63FF39BB"/>
    <w:rsid w:val="646E1562"/>
    <w:rsid w:val="647469E3"/>
    <w:rsid w:val="649015CE"/>
    <w:rsid w:val="64DE2AAC"/>
    <w:rsid w:val="64F71DB9"/>
    <w:rsid w:val="64FF08D8"/>
    <w:rsid w:val="65181CEF"/>
    <w:rsid w:val="65336B29"/>
    <w:rsid w:val="653603C7"/>
    <w:rsid w:val="654900FB"/>
    <w:rsid w:val="6550702A"/>
    <w:rsid w:val="65523BCC"/>
    <w:rsid w:val="6554084E"/>
    <w:rsid w:val="65610523"/>
    <w:rsid w:val="656A5FB1"/>
    <w:rsid w:val="657620B4"/>
    <w:rsid w:val="65885575"/>
    <w:rsid w:val="659E16D7"/>
    <w:rsid w:val="65A20CA6"/>
    <w:rsid w:val="65B433A9"/>
    <w:rsid w:val="65C5024C"/>
    <w:rsid w:val="65C6799D"/>
    <w:rsid w:val="65CC0253"/>
    <w:rsid w:val="65CC4888"/>
    <w:rsid w:val="66353CE9"/>
    <w:rsid w:val="664762A1"/>
    <w:rsid w:val="66566780"/>
    <w:rsid w:val="66591008"/>
    <w:rsid w:val="665C7632"/>
    <w:rsid w:val="66667F85"/>
    <w:rsid w:val="667217DA"/>
    <w:rsid w:val="66910EE1"/>
    <w:rsid w:val="66915AF7"/>
    <w:rsid w:val="66C73EA9"/>
    <w:rsid w:val="66DC18E2"/>
    <w:rsid w:val="671E7365"/>
    <w:rsid w:val="674A40AB"/>
    <w:rsid w:val="675668ED"/>
    <w:rsid w:val="67784CC7"/>
    <w:rsid w:val="67BF433B"/>
    <w:rsid w:val="67C55897"/>
    <w:rsid w:val="67C972D1"/>
    <w:rsid w:val="67E37916"/>
    <w:rsid w:val="67E46AF1"/>
    <w:rsid w:val="6809591F"/>
    <w:rsid w:val="681748C7"/>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4A61EF"/>
    <w:rsid w:val="69545442"/>
    <w:rsid w:val="699C67E2"/>
    <w:rsid w:val="69D34437"/>
    <w:rsid w:val="69D514B6"/>
    <w:rsid w:val="69E119FE"/>
    <w:rsid w:val="69EB3B79"/>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43C27"/>
    <w:rsid w:val="6B656486"/>
    <w:rsid w:val="6B6712DB"/>
    <w:rsid w:val="6B693994"/>
    <w:rsid w:val="6B734BFF"/>
    <w:rsid w:val="6B792DBC"/>
    <w:rsid w:val="6B7A3866"/>
    <w:rsid w:val="6B7B5DD9"/>
    <w:rsid w:val="6BB23B13"/>
    <w:rsid w:val="6BC04E8F"/>
    <w:rsid w:val="6BE84077"/>
    <w:rsid w:val="6BEE7306"/>
    <w:rsid w:val="6C202F44"/>
    <w:rsid w:val="6C300388"/>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F0E3C2E"/>
    <w:rsid w:val="6F181F26"/>
    <w:rsid w:val="6F3465D4"/>
    <w:rsid w:val="6F40431D"/>
    <w:rsid w:val="6F477302"/>
    <w:rsid w:val="6F55454C"/>
    <w:rsid w:val="6F5F10A7"/>
    <w:rsid w:val="6F676490"/>
    <w:rsid w:val="6F7C10CD"/>
    <w:rsid w:val="6F857F81"/>
    <w:rsid w:val="6F8E2296"/>
    <w:rsid w:val="6F916A65"/>
    <w:rsid w:val="6FB277EB"/>
    <w:rsid w:val="6FC37B4C"/>
    <w:rsid w:val="6FF36D35"/>
    <w:rsid w:val="6FF45107"/>
    <w:rsid w:val="702941FD"/>
    <w:rsid w:val="702A22EE"/>
    <w:rsid w:val="70532E5D"/>
    <w:rsid w:val="70636AF5"/>
    <w:rsid w:val="706859A2"/>
    <w:rsid w:val="706F1447"/>
    <w:rsid w:val="707906C7"/>
    <w:rsid w:val="708055A9"/>
    <w:rsid w:val="7088613C"/>
    <w:rsid w:val="708D33F6"/>
    <w:rsid w:val="70A9583B"/>
    <w:rsid w:val="70FA6DA8"/>
    <w:rsid w:val="714D223A"/>
    <w:rsid w:val="71A07514"/>
    <w:rsid w:val="71BC7EA6"/>
    <w:rsid w:val="71D92806"/>
    <w:rsid w:val="723B3BA8"/>
    <w:rsid w:val="723F4010"/>
    <w:rsid w:val="724C2FD8"/>
    <w:rsid w:val="7261755B"/>
    <w:rsid w:val="726A345E"/>
    <w:rsid w:val="728A58AF"/>
    <w:rsid w:val="729205CD"/>
    <w:rsid w:val="729F135A"/>
    <w:rsid w:val="72D22AA1"/>
    <w:rsid w:val="72D579E3"/>
    <w:rsid w:val="72E651DB"/>
    <w:rsid w:val="72EE408F"/>
    <w:rsid w:val="73092C77"/>
    <w:rsid w:val="7329276F"/>
    <w:rsid w:val="733B05A6"/>
    <w:rsid w:val="734737A0"/>
    <w:rsid w:val="73492F89"/>
    <w:rsid w:val="734D525A"/>
    <w:rsid w:val="736610A2"/>
    <w:rsid w:val="73A11102"/>
    <w:rsid w:val="73C03C7E"/>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603347B"/>
    <w:rsid w:val="760360A4"/>
    <w:rsid w:val="760D6DDC"/>
    <w:rsid w:val="76147566"/>
    <w:rsid w:val="7679608D"/>
    <w:rsid w:val="76AC0BFB"/>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D26013"/>
    <w:rsid w:val="78191D9D"/>
    <w:rsid w:val="781A237F"/>
    <w:rsid w:val="78212811"/>
    <w:rsid w:val="782567A5"/>
    <w:rsid w:val="78734760"/>
    <w:rsid w:val="78A212BA"/>
    <w:rsid w:val="78BD36C3"/>
    <w:rsid w:val="78D45AD6"/>
    <w:rsid w:val="78F07D11"/>
    <w:rsid w:val="78FB7506"/>
    <w:rsid w:val="7907783D"/>
    <w:rsid w:val="7931117A"/>
    <w:rsid w:val="79343A59"/>
    <w:rsid w:val="7940316B"/>
    <w:rsid w:val="794745F4"/>
    <w:rsid w:val="79604D22"/>
    <w:rsid w:val="79832B7B"/>
    <w:rsid w:val="7989351C"/>
    <w:rsid w:val="79915091"/>
    <w:rsid w:val="799B26EC"/>
    <w:rsid w:val="79A731EA"/>
    <w:rsid w:val="79CA4D02"/>
    <w:rsid w:val="79D55FA9"/>
    <w:rsid w:val="7A2B7977"/>
    <w:rsid w:val="7A35180C"/>
    <w:rsid w:val="7A92282C"/>
    <w:rsid w:val="7AC57DCC"/>
    <w:rsid w:val="7ACD712C"/>
    <w:rsid w:val="7B24133B"/>
    <w:rsid w:val="7B6E3FBF"/>
    <w:rsid w:val="7B7315D6"/>
    <w:rsid w:val="7B9D48A5"/>
    <w:rsid w:val="7BC576C6"/>
    <w:rsid w:val="7BC9569A"/>
    <w:rsid w:val="7BCC6F38"/>
    <w:rsid w:val="7BF02C26"/>
    <w:rsid w:val="7BF24BEF"/>
    <w:rsid w:val="7C0340C2"/>
    <w:rsid w:val="7C0B6CB7"/>
    <w:rsid w:val="7C122B9D"/>
    <w:rsid w:val="7C183F2B"/>
    <w:rsid w:val="7C342153"/>
    <w:rsid w:val="7C3B5358"/>
    <w:rsid w:val="7C757E9E"/>
    <w:rsid w:val="7C885555"/>
    <w:rsid w:val="7C9F3684"/>
    <w:rsid w:val="7CA801B8"/>
    <w:rsid w:val="7CA95420"/>
    <w:rsid w:val="7CD866E7"/>
    <w:rsid w:val="7D16178D"/>
    <w:rsid w:val="7D1F5429"/>
    <w:rsid w:val="7D290D52"/>
    <w:rsid w:val="7D524231"/>
    <w:rsid w:val="7D531E0F"/>
    <w:rsid w:val="7D570CC2"/>
    <w:rsid w:val="7DC45624"/>
    <w:rsid w:val="7DD277C6"/>
    <w:rsid w:val="7E235535"/>
    <w:rsid w:val="7E3A63DB"/>
    <w:rsid w:val="7E3C67B6"/>
    <w:rsid w:val="7E4B05E8"/>
    <w:rsid w:val="7E4D4360"/>
    <w:rsid w:val="7E9100D2"/>
    <w:rsid w:val="7EC02D84"/>
    <w:rsid w:val="7EDA196C"/>
    <w:rsid w:val="7EF2547B"/>
    <w:rsid w:val="7EFC3D40"/>
    <w:rsid w:val="7EFD1A58"/>
    <w:rsid w:val="7F0864D9"/>
    <w:rsid w:val="7F1A159B"/>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rPr>
      <w:vanish/>
    </w:rPr>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000FF" w:themeColor="hyperlink"/>
      <w:u w:val="single"/>
      <w14:textFill>
        <w14:solidFill>
          <w14:schemeClr w14:val="hlink"/>
        </w14:solidFill>
      </w14:textFill>
    </w:rPr>
  </w:style>
  <w:style w:type="character" w:styleId="68">
    <w:name w:val="HTML Code"/>
    <w:basedOn w:val="58"/>
    <w:semiHidden/>
    <w:unhideWhenUsed/>
    <w:qFormat/>
    <w:uiPriority w:val="99"/>
    <w:rPr>
      <w:rFonts w:hint="default" w:ascii="monospace" w:hAnsi="monospace" w:eastAsia="monospace" w:cs="monospace"/>
      <w:sz w:val="20"/>
    </w:rPr>
  </w:style>
  <w:style w:type="character" w:styleId="69">
    <w:name w:val="annotation reference"/>
    <w:basedOn w:val="58"/>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批注框文本 Char"/>
    <w:basedOn w:val="58"/>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autoRedefine/>
    <w:qFormat/>
    <w:uiPriority w:val="99"/>
    <w:rPr>
      <w:rFonts w:ascii="@仿宋_GB2312" w:hAnsi="@仿宋_GB2312" w:eastAsia="@仿宋_GB2312" w:cs="@仿宋_GB2312"/>
      <w:sz w:val="18"/>
      <w:szCs w:val="18"/>
    </w:rPr>
  </w:style>
  <w:style w:type="character" w:customStyle="1" w:styleId="79">
    <w:name w:val="页脚 Char"/>
    <w:basedOn w:val="58"/>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8"/>
    <w:autoRedefine/>
    <w:semiHidden/>
    <w:qFormat/>
    <w:uiPriority w:val="99"/>
    <w:rPr>
      <w:rFonts w:hAnsi="Courier New" w:cs="Courier New" w:asciiTheme="minorEastAsia"/>
      <w:szCs w:val="20"/>
    </w:rPr>
  </w:style>
  <w:style w:type="character" w:customStyle="1" w:styleId="82">
    <w:name w:val="未处理的提及1"/>
    <w:basedOn w:val="58"/>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8"/>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0"/>
    <w:rPr>
      <w:rFonts w:ascii="Arial" w:hAnsi="Arial" w:eastAsia="黑体" w:cs="Arial"/>
      <w:szCs w:val="20"/>
    </w:rPr>
  </w:style>
  <w:style w:type="character" w:customStyle="1" w:styleId="92">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autoRedefine/>
    <w:qFormat/>
    <w:uiPriority w:val="0"/>
    <w:rPr>
      <w:rFonts w:ascii="@仿宋_GB2312" w:hAnsi="@仿宋_GB2312" w:eastAsia="@仿宋_GB2312" w:cs="@仿宋_GB2312"/>
      <w:b/>
      <w:bCs/>
      <w:sz w:val="32"/>
      <w:szCs w:val="32"/>
    </w:rPr>
  </w:style>
  <w:style w:type="character" w:customStyle="1" w:styleId="95">
    <w:name w:val="fontstyle01"/>
    <w:basedOn w:val="58"/>
    <w:autoRedefine/>
    <w:qFormat/>
    <w:uiPriority w:val="0"/>
    <w:rPr>
      <w:rFonts w:hint="eastAsia" w:ascii="宋体" w:hAnsi="宋体" w:eastAsia="宋体"/>
      <w:color w:val="000000"/>
      <w:sz w:val="22"/>
      <w:szCs w:val="22"/>
    </w:rPr>
  </w:style>
  <w:style w:type="character" w:customStyle="1" w:styleId="96">
    <w:name w:val="fontstyle21"/>
    <w:basedOn w:val="58"/>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autoRedefine/>
    <w:qFormat/>
    <w:uiPriority w:val="0"/>
    <w:rPr>
      <w:rFonts w:eastAsia="黑体" w:cs="Times New Roman"/>
      <w:kern w:val="2"/>
      <w:sz w:val="32"/>
      <w:szCs w:val="32"/>
      <w:lang w:val="zh-CN" w:eastAsia="zh-CN"/>
    </w:rPr>
  </w:style>
  <w:style w:type="character" w:customStyle="1" w:styleId="110">
    <w:name w:val="标题 9 Char"/>
    <w:basedOn w:val="58"/>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8"/>
    <w:link w:val="31"/>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autoRedefine/>
    <w:qFormat/>
    <w:uiPriority w:val="0"/>
  </w:style>
  <w:style w:type="table" w:customStyle="1" w:styleId="151">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autoRedefine/>
    <w:qFormat/>
    <w:uiPriority w:val="0"/>
    <w:rPr>
      <w:rFonts w:ascii="Times New Roman" w:hAnsi="Times New Roman" w:eastAsia="宋体" w:cs="Times New Roman"/>
      <w:sz w:val="18"/>
      <w:szCs w:val="18"/>
    </w:rPr>
  </w:style>
  <w:style w:type="character" w:customStyle="1" w:styleId="153">
    <w:name w:val="批注主题 Char1"/>
    <w:basedOn w:val="91"/>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autoRedefine/>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autoRedefine/>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3"/>
    <w:next w:val="25"/>
    <w:link w:val="231"/>
    <w:autoRedefine/>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autoRedefine/>
    <w:qFormat/>
    <w:uiPriority w:val="0"/>
    <w:pPr>
      <w:spacing w:line="413" w:lineRule="auto"/>
      <w:jc w:val="left"/>
    </w:pPr>
    <w:rPr>
      <w:rFonts w:ascii="Arial" w:hAnsi="Arial"/>
      <w:sz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8"/>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semiHidden/>
    <w:unhideWhenUsed/>
    <w:qFormat/>
    <w:uiPriority w:val="99"/>
    <w:rPr>
      <w:color w:val="954F72"/>
      <w:u w:val="single"/>
    </w:rPr>
  </w:style>
  <w:style w:type="character" w:customStyle="1" w:styleId="274">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75">
    <w:name w:val="引用 Char2"/>
    <w:basedOn w:val="58"/>
    <w:autoRedefine/>
    <w:qFormat/>
    <w:uiPriority w:val="29"/>
    <w:rPr>
      <w:i/>
      <w:iCs/>
      <w:color w:val="000000" w:themeColor="text1"/>
      <w14:textFill>
        <w14:solidFill>
          <w14:schemeClr w14:val="tx1"/>
        </w14:solidFill>
      </w14:textFill>
    </w:rPr>
  </w:style>
  <w:style w:type="table" w:customStyle="1" w:styleId="276">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59</Pages>
  <Words>1233</Words>
  <Characters>1491</Characters>
  <Lines>395</Lines>
  <Paragraphs>111</Paragraphs>
  <TotalTime>28</TotalTime>
  <ScaleCrop>false</ScaleCrop>
  <LinksUpToDate>false</LinksUpToDate>
  <CharactersWithSpaces>1539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lenovo</cp:lastModifiedBy>
  <cp:lastPrinted>2023-05-30T07:28:00Z</cp:lastPrinted>
  <dcterms:modified xsi:type="dcterms:W3CDTF">2025-11-20T01:03:29Z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DED834627DFF46429211D2FD1CE6F72C_13</vt:lpwstr>
  </property>
  <property fmtid="{D5CDD505-2E9C-101B-9397-08002B2CF9AE}" pid="4" name="KSOTemplateDocerSaveRecord">
    <vt:lpwstr>eyJoZGlkIjoiNTZkZWM2YmY4Zjg1MTZkMDRmZWE1YjEzMTcwOWE1ZjgiLCJ1c2VySWQiOiIxNjE0NzE4NTE3In0=</vt:lpwstr>
  </property>
</Properties>
</file>