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804B2">
      <w:pPr>
        <w:tabs>
          <w:tab w:val="left" w:pos="315"/>
          <w:tab w:val="left" w:pos="8820"/>
        </w:tabs>
        <w:spacing w:beforeLines="100" w:afterLines="50" w:line="500" w:lineRule="exact"/>
        <w:ind w:right="267" w:rightChars="127" w:firstLine="261"/>
        <w:jc w:val="center"/>
        <w:rPr>
          <w:rFonts w:ascii="宋体" w:hAnsi="宋体" w:eastAsia="宋体" w:cs="@仿宋_GB2312"/>
          <w:b/>
          <w:bCs/>
          <w:sz w:val="52"/>
          <w:szCs w:val="52"/>
        </w:rPr>
      </w:pPr>
    </w:p>
    <w:p w14:paraId="7D4475F4">
      <w:pPr>
        <w:ind w:firstLine="220"/>
        <w:rPr>
          <w:rFonts w:ascii="@仿宋_GB2312" w:hAnsi="@仿宋_GB2312" w:eastAsia="@仿宋_GB2312" w:cs="@仿宋_GB2312"/>
          <w:sz w:val="44"/>
          <w:szCs w:val="44"/>
        </w:rPr>
      </w:pPr>
    </w:p>
    <w:p w14:paraId="04F1B870">
      <w:pPr>
        <w:spacing w:line="520" w:lineRule="exact"/>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合肥百货大楼集团商业大厦有限责任公司</w:t>
      </w:r>
    </w:p>
    <w:p w14:paraId="39688C31">
      <w:pPr>
        <w:spacing w:line="520" w:lineRule="exact"/>
        <w:ind w:firstLine="201"/>
        <w:jc w:val="center"/>
        <w:rPr>
          <w:rFonts w:cs="宋体" w:asciiTheme="majorEastAsia" w:hAnsiTheme="majorEastAsia" w:eastAsiaTheme="majorEastAsia"/>
          <w:b/>
          <w:color w:val="000000" w:themeColor="text1"/>
          <w:kern w:val="0"/>
          <w:sz w:val="40"/>
          <w:szCs w:val="40"/>
        </w:rPr>
      </w:pPr>
    </w:p>
    <w:p w14:paraId="572F2377">
      <w:pPr>
        <w:spacing w:line="520" w:lineRule="exact"/>
        <w:ind w:firstLine="201"/>
        <w:jc w:val="center"/>
        <w:rPr>
          <w:rFonts w:ascii="@仿宋_GB2312" w:hAnsi="@仿宋_GB2312" w:eastAsia="@仿宋_GB2312" w:cs="@仿宋_GB2312"/>
          <w:b/>
          <w:bCs/>
          <w:sz w:val="32"/>
          <w:szCs w:val="32"/>
        </w:rPr>
      </w:pPr>
      <w:r>
        <w:rPr>
          <w:rFonts w:hint="eastAsia" w:cs="宋体" w:asciiTheme="majorEastAsia" w:hAnsiTheme="majorEastAsia" w:eastAsiaTheme="majorEastAsia"/>
          <w:b/>
          <w:color w:val="000000" w:themeColor="text1"/>
          <w:kern w:val="0"/>
          <w:sz w:val="40"/>
          <w:szCs w:val="40"/>
        </w:rPr>
        <w:t>配套电缆敷设工程项目竞争性报价文件</w:t>
      </w:r>
    </w:p>
    <w:p w14:paraId="017A6844">
      <w:pPr>
        <w:ind w:firstLine="105"/>
        <w:rPr>
          <w:rFonts w:ascii="@仿宋_GB2312" w:hAnsi="@仿宋_GB2312" w:eastAsia="@仿宋_GB2312" w:cs="@仿宋_GB2312"/>
          <w:szCs w:val="20"/>
        </w:rPr>
      </w:pPr>
    </w:p>
    <w:p w14:paraId="2B6B3B78">
      <w:pPr>
        <w:pStyle w:val="4"/>
        <w:spacing w:line="560" w:lineRule="exact"/>
        <w:ind w:firstLine="3200" w:firstLineChars="1000"/>
        <w:rPr>
          <w:rFonts w:hAnsi="宋体" w:cs="@仿宋_GB2312"/>
          <w:sz w:val="32"/>
          <w:szCs w:val="32"/>
        </w:rPr>
      </w:pPr>
      <w:bookmarkStart w:id="0" w:name="_Hlk9544796"/>
    </w:p>
    <w:p w14:paraId="102F1467">
      <w:pPr>
        <w:pStyle w:val="4"/>
        <w:spacing w:line="560" w:lineRule="exact"/>
        <w:ind w:firstLine="3200" w:firstLineChars="1000"/>
        <w:rPr>
          <w:rFonts w:hint="eastAsia" w:ascii="宋体" w:hAnsi="宋体" w:eastAsia="宋体" w:cs="@仿宋_GB2312"/>
          <w:kern w:val="2"/>
          <w:sz w:val="32"/>
          <w:szCs w:val="32"/>
          <w:lang w:val="en-US" w:eastAsia="zh-CN" w:bidi="ar-SA"/>
        </w:rPr>
      </w:pPr>
      <w:r>
        <w:rPr>
          <w:rFonts w:hint="eastAsia" w:hAnsi="宋体" w:cs="@仿宋_GB2312"/>
          <w:sz w:val="32"/>
          <w:szCs w:val="32"/>
        </w:rPr>
        <w:t>编号：2025BDJTGC00046</w:t>
      </w:r>
    </w:p>
    <w:p w14:paraId="48745771">
      <w:pPr>
        <w:tabs>
          <w:tab w:val="left" w:pos="315"/>
          <w:tab w:val="left" w:pos="8820"/>
        </w:tabs>
        <w:spacing w:beforeLines="100" w:afterLines="50" w:line="500" w:lineRule="exact"/>
        <w:ind w:right="267" w:rightChars="127" w:firstLine="2560" w:firstLineChars="800"/>
        <w:rPr>
          <w:rFonts w:hint="eastAsia" w:ascii="宋体" w:hAnsi="宋体" w:eastAsia="宋体" w:cs="@仿宋_GB2312"/>
          <w:kern w:val="2"/>
          <w:sz w:val="32"/>
          <w:szCs w:val="32"/>
          <w:lang w:val="en-US" w:eastAsia="zh-CN" w:bidi="ar-SA"/>
        </w:rPr>
      </w:pPr>
      <w:r>
        <w:rPr>
          <w:rFonts w:hint="eastAsia" w:ascii="宋体" w:hAnsi="宋体" w:eastAsia="宋体" w:cs="@仿宋_GB2312"/>
          <w:kern w:val="2"/>
          <w:sz w:val="32"/>
          <w:szCs w:val="32"/>
          <w:lang w:val="en-US" w:eastAsia="zh-CN" w:bidi="ar-SA"/>
        </w:rPr>
        <w:t xml:space="preserve"> </w:t>
      </w:r>
    </w:p>
    <w:p w14:paraId="78233386">
      <w:pPr>
        <w:keepNext/>
        <w:keepLines/>
        <w:spacing w:before="260" w:after="260" w:line="416" w:lineRule="auto"/>
        <w:ind w:firstLine="158"/>
        <w:outlineLvl w:val="2"/>
        <w:rPr>
          <w:rFonts w:ascii="@仿宋_GB2312" w:hAnsi="@仿宋_GB2312" w:eastAsia="@仿宋_GB2312" w:cs="@仿宋_GB2312"/>
          <w:b/>
          <w:bCs/>
          <w:sz w:val="32"/>
          <w:szCs w:val="32"/>
        </w:rPr>
      </w:pPr>
    </w:p>
    <w:bookmarkEnd w:id="0"/>
    <w:p w14:paraId="03306214">
      <w:pPr>
        <w:tabs>
          <w:tab w:val="left" w:pos="315"/>
          <w:tab w:val="left" w:pos="8820"/>
        </w:tabs>
        <w:spacing w:beforeLines="100" w:afterLines="50" w:line="500" w:lineRule="exact"/>
        <w:ind w:right="267" w:rightChars="127" w:firstLine="161"/>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14:paraId="639340E9">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2828553F">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0DC7307C">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42F6E7E1">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14:paraId="7F389A3E">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14:paraId="3BF79B12">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14:paraId="5C20D05D">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14:paraId="5CB3856E">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14:paraId="3888F2E9">
      <w:pPr>
        <w:widowControl/>
        <w:tabs>
          <w:tab w:val="right" w:leader="dot" w:pos="8279"/>
        </w:tabs>
        <w:spacing w:after="100" w:line="276" w:lineRule="auto"/>
        <w:ind w:left="220" w:firstLine="105"/>
        <w:jc w:val="left"/>
        <w:rPr>
          <w:rFonts w:hint="eastAsia"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14:paraId="3B333DAB">
      <w:pPr>
        <w:ind w:firstLine="105"/>
        <w:rPr>
          <w:rFonts w:ascii="@仿宋_GB2312" w:hAnsi="@仿宋_GB2312" w:eastAsia="@仿宋_GB2312" w:cs="@仿宋_GB2312"/>
          <w:szCs w:val="20"/>
        </w:rPr>
      </w:pPr>
    </w:p>
    <w:p w14:paraId="1F5D5942">
      <w:pPr>
        <w:ind w:firstLine="105"/>
        <w:rPr>
          <w:rFonts w:ascii="@仿宋_GB2312" w:hAnsi="@仿宋_GB2312" w:eastAsia="@仿宋_GB2312" w:cs="@仿宋_GB2312"/>
          <w:szCs w:val="20"/>
        </w:rPr>
      </w:pPr>
    </w:p>
    <w:p w14:paraId="214F0BDD">
      <w:pPr>
        <w:tabs>
          <w:tab w:val="left" w:pos="2410"/>
        </w:tabs>
        <w:autoSpaceDE w:val="0"/>
        <w:autoSpaceDN w:val="0"/>
        <w:adjustRightInd w:val="0"/>
        <w:snapToGrid w:val="0"/>
        <w:spacing w:line="360" w:lineRule="auto"/>
        <w:ind w:firstLine="140"/>
        <w:rPr>
          <w:rFonts w:ascii="宋体" w:hAnsi="宋体" w:eastAsia="宋体" w:cs="@仿宋_GB2312"/>
          <w:sz w:val="28"/>
          <w:szCs w:val="28"/>
        </w:rPr>
      </w:pPr>
    </w:p>
    <w:p w14:paraId="3906217C">
      <w:pPr>
        <w:tabs>
          <w:tab w:val="left" w:pos="2410"/>
        </w:tabs>
        <w:autoSpaceDE w:val="0"/>
        <w:autoSpaceDN w:val="0"/>
        <w:adjustRightInd w:val="0"/>
        <w:snapToGrid w:val="0"/>
        <w:spacing w:line="360" w:lineRule="auto"/>
        <w:ind w:firstLine="140"/>
        <w:jc w:val="center"/>
        <w:rPr>
          <w:rFonts w:ascii="宋体" w:hAnsi="宋体" w:eastAsia="宋体" w:cs="@仿宋_GB2312"/>
          <w:sz w:val="28"/>
          <w:szCs w:val="28"/>
        </w:rPr>
      </w:pPr>
    </w:p>
    <w:p w14:paraId="489F6293">
      <w:pPr>
        <w:tabs>
          <w:tab w:val="left" w:pos="2410"/>
        </w:tabs>
        <w:autoSpaceDE w:val="0"/>
        <w:autoSpaceDN w:val="0"/>
        <w:adjustRightInd w:val="0"/>
        <w:snapToGrid w:val="0"/>
        <w:spacing w:line="360" w:lineRule="auto"/>
        <w:ind w:firstLine="141"/>
        <w:jc w:val="center"/>
        <w:rPr>
          <w:rFonts w:ascii="宋体" w:hAnsi="宋体" w:eastAsia="宋体" w:cs="@仿宋_GB2312"/>
          <w:b/>
          <w:bCs/>
          <w:sz w:val="28"/>
          <w:szCs w:val="28"/>
        </w:rPr>
      </w:pPr>
      <w:r>
        <w:rPr>
          <w:rFonts w:hint="eastAsia" w:ascii="宋体" w:hAnsi="宋体" w:eastAsia="宋体" w:cs="@仿宋_GB2312"/>
          <w:b/>
          <w:bCs/>
          <w:sz w:val="28"/>
          <w:szCs w:val="28"/>
        </w:rPr>
        <w:t>二零二五年七月</w:t>
      </w:r>
    </w:p>
    <w:p w14:paraId="131EA8F5">
      <w:pPr>
        <w:spacing w:line="360" w:lineRule="auto"/>
        <w:ind w:firstLine="141"/>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14:paraId="6035370B">
      <w:pPr>
        <w:spacing w:line="240" w:lineRule="exact"/>
        <w:ind w:firstLine="141"/>
        <w:jc w:val="center"/>
        <w:outlineLvl w:val="0"/>
        <w:rPr>
          <w:rFonts w:ascii="宋体" w:hAnsi="宋体" w:eastAsia="宋体" w:cs="@仿宋_GB2312"/>
          <w:b/>
          <w:sz w:val="28"/>
          <w:szCs w:val="20"/>
        </w:rPr>
      </w:pPr>
      <w:bookmarkStart w:id="1" w:name="_Toc29728"/>
    </w:p>
    <w:p w14:paraId="48898126">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14:paraId="70ECCB34">
      <w:pPr>
        <w:spacing w:line="360" w:lineRule="auto"/>
        <w:ind w:firstLine="120"/>
        <w:outlineLvl w:val="1"/>
        <w:rPr>
          <w:rFonts w:ascii="宋体" w:hAnsi="宋体" w:eastAsia="宋体" w:cs="宋体"/>
          <w:kern w:val="0"/>
          <w:sz w:val="24"/>
          <w:szCs w:val="20"/>
        </w:rPr>
      </w:pPr>
    </w:p>
    <w:p w14:paraId="3F73D84B">
      <w:pPr>
        <w:spacing w:line="560" w:lineRule="exact"/>
        <w:ind w:firstLine="464" w:firstLineChars="200"/>
        <w:outlineLvl w:val="1"/>
        <w:rPr>
          <w:rFonts w:ascii="宋体" w:hAnsi="宋体" w:eastAsia="宋体" w:cs="宋体"/>
          <w:b/>
          <w:bCs/>
          <w:sz w:val="24"/>
        </w:rPr>
      </w:pPr>
      <w:r>
        <w:rPr>
          <w:rFonts w:hint="eastAsia" w:ascii="宋体" w:hAnsi="宋体" w:eastAsia="宋体" w:cs="宋体"/>
          <w:spacing w:val="-4"/>
          <w:kern w:val="0"/>
          <w:sz w:val="24"/>
        </w:rPr>
        <w:t>合肥百货大楼集团商业大厦有限责任公司（以下简称：</w:t>
      </w:r>
      <w:r>
        <w:rPr>
          <w:rFonts w:hint="eastAsia" w:ascii="宋体" w:hAnsi="宋体" w:eastAsia="宋体" w:cs="宋体"/>
          <w:kern w:val="0"/>
          <w:sz w:val="24"/>
        </w:rPr>
        <w:t>百大商业大厦</w:t>
      </w:r>
      <w:r>
        <w:rPr>
          <w:rFonts w:hint="eastAsia" w:ascii="宋体" w:hAnsi="宋体" w:eastAsia="宋体" w:cs="宋体"/>
          <w:spacing w:val="-4"/>
          <w:kern w:val="0"/>
          <w:sz w:val="24"/>
        </w:rPr>
        <w:t>）现对</w:t>
      </w:r>
      <w:r>
        <w:rPr>
          <w:rFonts w:hint="eastAsia" w:ascii="宋体" w:hAnsi="宋体" w:eastAsia="宋体" w:cs="宋体"/>
          <w:kern w:val="0"/>
          <w:sz w:val="24"/>
        </w:rPr>
        <w:t>百大商业大厦配套电缆敷设工程</w:t>
      </w:r>
      <w:r>
        <w:rPr>
          <w:rFonts w:hint="eastAsia" w:ascii="宋体" w:hAnsi="宋体" w:eastAsia="宋体" w:cs="宋体"/>
          <w:spacing w:val="-4"/>
          <w:kern w:val="0"/>
          <w:sz w:val="24"/>
        </w:rPr>
        <w:t>项目进行</w:t>
      </w:r>
      <w:r>
        <w:rPr>
          <w:rFonts w:hint="eastAsia" w:ascii="宋体" w:hAnsi="宋体" w:eastAsia="宋体" w:cs="宋体"/>
          <w:kern w:val="0"/>
          <w:sz w:val="24"/>
        </w:rPr>
        <w:t>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14:paraId="53BD67D0">
      <w:pPr>
        <w:spacing w:line="560" w:lineRule="exact"/>
        <w:ind w:firstLine="475" w:firstLineChars="197"/>
        <w:outlineLvl w:val="1"/>
        <w:rPr>
          <w:rFonts w:ascii="宋体" w:hAnsi="宋体" w:eastAsia="宋体" w:cs="宋体"/>
          <w:b/>
          <w:bCs/>
          <w:sz w:val="24"/>
        </w:rPr>
      </w:pPr>
      <w:r>
        <w:rPr>
          <w:rFonts w:hint="eastAsia" w:ascii="宋体" w:hAnsi="宋体" w:eastAsia="宋体" w:cs="宋体"/>
          <w:b/>
          <w:bCs/>
          <w:sz w:val="24"/>
        </w:rPr>
        <w:t>一、项目名称及内容</w:t>
      </w:r>
    </w:p>
    <w:p w14:paraId="5DE57333">
      <w:pPr>
        <w:pStyle w:val="4"/>
        <w:spacing w:line="560" w:lineRule="exact"/>
        <w:ind w:firstLine="480" w:firstLineChars="200"/>
        <w:rPr>
          <w:rFonts w:hAnsi="宋体" w:cs="宋体"/>
          <w:sz w:val="24"/>
          <w:szCs w:val="24"/>
        </w:rPr>
      </w:pPr>
      <w:r>
        <w:rPr>
          <w:rFonts w:hint="eastAsia" w:hAnsi="宋体" w:cs="宋体"/>
          <w:sz w:val="24"/>
          <w:szCs w:val="24"/>
        </w:rPr>
        <w:t>1.项目名称：百大商业大厦配套电缆敷设工程</w:t>
      </w:r>
    </w:p>
    <w:p w14:paraId="3AC139D1">
      <w:pPr>
        <w:pStyle w:val="4"/>
        <w:spacing w:line="560" w:lineRule="exact"/>
        <w:ind w:firstLine="480" w:firstLineChars="200"/>
        <w:rPr>
          <w:rFonts w:hint="eastAsia" w:hAnsi="宋体" w:cs="宋体"/>
          <w:sz w:val="24"/>
          <w:szCs w:val="24"/>
        </w:rPr>
      </w:pPr>
      <w:r>
        <w:rPr>
          <w:rFonts w:hint="eastAsia" w:hAnsi="宋体" w:cs="宋体"/>
          <w:sz w:val="24"/>
          <w:szCs w:val="24"/>
        </w:rPr>
        <w:t>2.项目编号：2</w:t>
      </w:r>
      <w:r>
        <w:rPr>
          <w:rFonts w:hint="eastAsia" w:hAnsi="宋体" w:cs="宋体"/>
          <w:sz w:val="24"/>
          <w:szCs w:val="24"/>
        </w:rPr>
        <w:t>025BDJTGC00046</w:t>
      </w:r>
    </w:p>
    <w:p w14:paraId="6B959161">
      <w:pPr>
        <w:pStyle w:val="4"/>
        <w:spacing w:line="560" w:lineRule="exact"/>
        <w:ind w:firstLine="480" w:firstLineChars="200"/>
        <w:rPr>
          <w:rFonts w:hAnsi="宋体" w:cs="宋体"/>
          <w:sz w:val="24"/>
          <w:szCs w:val="24"/>
        </w:rPr>
      </w:pPr>
      <w:r>
        <w:rPr>
          <w:rFonts w:hint="eastAsia" w:hAnsi="宋体" w:cs="宋体"/>
          <w:sz w:val="24"/>
          <w:szCs w:val="24"/>
        </w:rPr>
        <w:t>3.项目地点：合肥市金寨路1168号</w:t>
      </w:r>
    </w:p>
    <w:p w14:paraId="11F0BA1C">
      <w:pPr>
        <w:pStyle w:val="4"/>
        <w:spacing w:line="560" w:lineRule="exact"/>
        <w:ind w:firstLine="480" w:firstLineChars="200"/>
        <w:rPr>
          <w:rFonts w:hAnsi="宋体" w:cs="宋体"/>
          <w:sz w:val="24"/>
        </w:rPr>
      </w:pPr>
      <w:r>
        <w:rPr>
          <w:rFonts w:hint="eastAsia" w:hAnsi="宋体" w:cs="宋体"/>
          <w:sz w:val="24"/>
        </w:rPr>
        <w:t>4.项目概况：</w:t>
      </w:r>
      <w:r>
        <w:rPr>
          <w:rFonts w:hint="eastAsia" w:hAnsi="宋体" w:cs="宋体"/>
          <w:kern w:val="0"/>
          <w:sz w:val="24"/>
        </w:rPr>
        <w:t xml:space="preserve"> 52米电缆(WDZB-YJY4*240+1*120㎜²)采购及敷设安装，电力电缆终端头1个制作安装，6米金属桥架（300㎜*150㎜）采购、安装。详见第三章《采购需求》</w:t>
      </w:r>
      <w:r>
        <w:rPr>
          <w:rFonts w:hint="eastAsia" w:hAnsi="宋体" w:cs="宋体"/>
          <w:sz w:val="24"/>
        </w:rPr>
        <w:t>。</w:t>
      </w:r>
    </w:p>
    <w:p w14:paraId="7163BF53">
      <w:pPr>
        <w:pStyle w:val="4"/>
        <w:spacing w:line="560" w:lineRule="exact"/>
        <w:ind w:firstLine="480" w:firstLineChars="200"/>
        <w:rPr>
          <w:rFonts w:hAnsi="宋体" w:cs="宋体"/>
          <w:sz w:val="24"/>
          <w:szCs w:val="24"/>
        </w:rPr>
      </w:pPr>
      <w:r>
        <w:rPr>
          <w:rFonts w:hint="eastAsia" w:hAnsi="宋体" w:cs="宋体"/>
          <w:sz w:val="24"/>
        </w:rPr>
        <w:t>5.项目预算：</w:t>
      </w:r>
      <w:r>
        <w:rPr>
          <w:rFonts w:hint="eastAsia" w:hAnsi="宋体" w:cs="宋体"/>
          <w:kern w:val="0"/>
          <w:sz w:val="24"/>
        </w:rPr>
        <w:t>人民币</w:t>
      </w:r>
      <w:r>
        <w:rPr>
          <w:rFonts w:hAnsi="宋体" w:cs="宋体"/>
          <w:sz w:val="24"/>
        </w:rPr>
        <w:t>58895.68</w:t>
      </w:r>
      <w:r>
        <w:rPr>
          <w:rFonts w:hint="eastAsia" w:hAnsi="宋体" w:cs="宋体"/>
          <w:kern w:val="0"/>
          <w:sz w:val="24"/>
        </w:rPr>
        <w:t>元</w:t>
      </w:r>
    </w:p>
    <w:p w14:paraId="328529F6">
      <w:pPr>
        <w:spacing w:line="560" w:lineRule="exact"/>
        <w:ind w:firstLine="475" w:firstLineChars="197"/>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14:paraId="009B3301">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14:paraId="6B9EDD32">
      <w:pPr>
        <w:spacing w:line="560" w:lineRule="exact"/>
        <w:ind w:firstLine="480" w:firstLineChars="200"/>
        <w:jc w:val="left"/>
        <w:rPr>
          <w:rFonts w:ascii="宋体" w:hAnsi="宋体"/>
          <w:sz w:val="24"/>
          <w:shd w:val="clear" w:color="auto" w:fill="FDFFFB"/>
        </w:rPr>
      </w:pPr>
      <w:r>
        <w:rPr>
          <w:rFonts w:hint="eastAsia" w:ascii="宋体" w:hAnsi="宋体" w:eastAsia="宋体" w:cs="宋体"/>
          <w:color w:val="000000"/>
          <w:sz w:val="24"/>
          <w:shd w:val="clear" w:color="auto" w:fill="FFFFFF"/>
        </w:rPr>
        <w:t>2.</w:t>
      </w:r>
      <w:r>
        <w:rPr>
          <w:rFonts w:hint="eastAsia" w:ascii="宋体" w:hAnsi="宋体"/>
          <w:sz w:val="24"/>
          <w:shd w:val="clear" w:color="auto" w:fill="FDFFFB"/>
        </w:rPr>
        <w:t>具有《承装（修、试）电力设施许可证》满足五级（含五级）及以上。</w:t>
      </w:r>
    </w:p>
    <w:p w14:paraId="04C9B3AF">
      <w:pPr>
        <w:spacing w:line="560" w:lineRule="exact"/>
        <w:ind w:firstLine="480" w:firstLineChars="200"/>
        <w:jc w:val="left"/>
        <w:rPr>
          <w:rFonts w:ascii="宋体" w:hAnsi="宋体"/>
          <w:sz w:val="24"/>
          <w:shd w:val="clear" w:color="auto" w:fill="FDFFFB"/>
        </w:rPr>
      </w:pPr>
      <w:r>
        <w:rPr>
          <w:rFonts w:hint="eastAsia" w:ascii="宋体" w:hAnsi="宋体" w:eastAsia="宋体" w:cs="宋体"/>
          <w:sz w:val="24"/>
        </w:rPr>
        <w:t>3.具有</w:t>
      </w:r>
      <w:r>
        <w:rPr>
          <w:rFonts w:hint="eastAsia" w:ascii="宋体" w:hAnsi="宋体"/>
          <w:sz w:val="24"/>
          <w:shd w:val="clear" w:color="auto" w:fill="FDFFFB"/>
        </w:rPr>
        <w:t>安全生产许可证。</w:t>
      </w:r>
    </w:p>
    <w:p w14:paraId="683F826B">
      <w:pPr>
        <w:widowControl/>
        <w:spacing w:line="560" w:lineRule="exact"/>
        <w:ind w:firstLine="480" w:firstLineChars="200"/>
        <w:jc w:val="left"/>
        <w:rPr>
          <w:rFonts w:ascii="宋体" w:hAnsi="宋体" w:eastAsia="宋体" w:cs="宋体"/>
          <w:kern w:val="0"/>
          <w:sz w:val="24"/>
          <w:highlight w:val="yellow"/>
        </w:rPr>
      </w:pPr>
      <w:r>
        <w:rPr>
          <w:rFonts w:hint="eastAsia" w:ascii="宋体" w:hAnsi="宋体" w:eastAsia="宋体" w:cs="宋体"/>
          <w:sz w:val="24"/>
        </w:rPr>
        <w:t>4.供应商须符合下列情形之一（以评审当日现场在“安徽合肥公共资源交易中心”网站http://ggzy.hefei.gov.cn/pgt/exposureDesk.html查询信息为准。如网站未收录被查询企业信息视为不存在以下不良行为记录。）：</w:t>
      </w:r>
    </w:p>
    <w:p w14:paraId="5D882AAE">
      <w:pPr>
        <w:spacing w:line="560" w:lineRule="exact"/>
        <w:ind w:firstLine="480" w:firstLineChars="200"/>
        <w:rPr>
          <w:rFonts w:ascii="宋体" w:hAnsi="宋体" w:eastAsia="宋体" w:cs="宋体"/>
          <w:sz w:val="24"/>
        </w:rPr>
      </w:pPr>
      <w:r>
        <w:rPr>
          <w:rFonts w:hint="eastAsia" w:ascii="宋体" w:hAnsi="宋体" w:eastAsia="宋体" w:cs="宋体"/>
          <w:sz w:val="24"/>
        </w:rPr>
        <w:t>4.1评审日前两年内未被合肥市及其所辖县（市）公共资源交易监督管理局记不良行为记录或记不良行为记录累计未满10分的。 </w:t>
      </w:r>
    </w:p>
    <w:p w14:paraId="47FDCFD6">
      <w:pPr>
        <w:spacing w:line="560" w:lineRule="exact"/>
        <w:ind w:firstLine="480" w:firstLineChars="200"/>
        <w:rPr>
          <w:rFonts w:ascii="宋体" w:hAnsi="宋体" w:eastAsia="宋体" w:cs="宋体"/>
          <w:sz w:val="24"/>
        </w:rPr>
      </w:pPr>
      <w:r>
        <w:rPr>
          <w:rFonts w:hint="eastAsia" w:ascii="宋体" w:hAnsi="宋体" w:eastAsia="宋体" w:cs="宋体"/>
          <w:sz w:val="24"/>
        </w:rPr>
        <w:t>4.2最近一次被合肥市及其所辖县（市）公共资源交易监督管理局记不良行为记录累计记分达10分(含10分)到15分且公布日距开标日超过6个月。 </w:t>
      </w:r>
    </w:p>
    <w:p w14:paraId="2B7239CF">
      <w:pPr>
        <w:spacing w:line="560" w:lineRule="exact"/>
        <w:ind w:firstLine="480" w:firstLineChars="200"/>
        <w:rPr>
          <w:rFonts w:ascii="宋体" w:hAnsi="宋体" w:eastAsia="宋体" w:cs="宋体"/>
          <w:sz w:val="24"/>
        </w:rPr>
      </w:pPr>
      <w:r>
        <w:rPr>
          <w:rFonts w:hint="eastAsia" w:ascii="宋体" w:hAnsi="宋体" w:eastAsia="宋体" w:cs="宋体"/>
          <w:sz w:val="24"/>
        </w:rPr>
        <w:t>4.3最近一次被合肥市及其所辖县（市）公共资源交易监督管理局记不良行为记录累计记分达15分(含15分)到20分且公布日距开标日超过12个月。 </w:t>
      </w:r>
    </w:p>
    <w:p w14:paraId="21817C9E">
      <w:pPr>
        <w:spacing w:line="560" w:lineRule="exact"/>
        <w:ind w:firstLine="480" w:firstLineChars="200"/>
        <w:rPr>
          <w:rFonts w:ascii="宋体" w:hAnsi="宋体" w:eastAsia="宋体" w:cs="宋体"/>
          <w:bCs/>
          <w:sz w:val="24"/>
        </w:rPr>
      </w:pPr>
      <w:r>
        <w:rPr>
          <w:rFonts w:hint="eastAsia" w:ascii="宋体" w:hAnsi="宋体" w:eastAsia="宋体" w:cs="宋体"/>
          <w:sz w:val="24"/>
        </w:rPr>
        <w:t>4.4最近一次被合肥市及其所辖县（市）公共资源交易监督管理局记不良行为记录累计记分达20分(含20分)及以上且公布日距开标日超过24个月。</w:t>
      </w:r>
    </w:p>
    <w:p w14:paraId="7C52EF3B">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5.</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14:paraId="72808DF3">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14:paraId="44E45570">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14:paraId="7B4C9A0D">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14:paraId="30A60F3C">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14:paraId="62C6F871">
      <w:pPr>
        <w:spacing w:line="560" w:lineRule="exact"/>
        <w:ind w:firstLine="480" w:firstLineChars="200"/>
        <w:jc w:val="left"/>
        <w:rPr>
          <w:rFonts w:ascii="宋体" w:hAnsi="宋体" w:eastAsia="宋体" w:cs="宋体"/>
          <w:sz w:val="24"/>
        </w:rPr>
      </w:pPr>
      <w:r>
        <w:rPr>
          <w:rFonts w:hint="eastAsia" w:ascii="宋体" w:hAnsi="宋体" w:eastAsia="宋体" w:cs="宋体"/>
          <w:bCs/>
          <w:sz w:val="24"/>
        </w:rPr>
        <w:t>6.本项目不接受联合体投标。</w:t>
      </w:r>
    </w:p>
    <w:p w14:paraId="2BD60FC7">
      <w:pPr>
        <w:spacing w:line="560" w:lineRule="exact"/>
        <w:ind w:firstLine="472" w:firstLineChars="196"/>
        <w:jc w:val="left"/>
        <w:rPr>
          <w:rFonts w:ascii="宋体" w:hAnsi="宋体" w:eastAsia="宋体" w:cs="宋体"/>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14:paraId="75FF85B2">
      <w:pPr>
        <w:autoSpaceDE w:val="0"/>
        <w:autoSpaceDN w:val="0"/>
        <w:adjustRightInd w:val="0"/>
        <w:spacing w:line="560" w:lineRule="exact"/>
        <w:ind w:firstLine="480" w:firstLineChars="200"/>
        <w:jc w:val="left"/>
        <w:rPr>
          <w:rFonts w:ascii="宋体" w:hAnsi="宋体" w:eastAsia="宋体" w:cs="宋体"/>
          <w:sz w:val="24"/>
          <w:highlight w:val="none"/>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w:t>
      </w:r>
      <w:r>
        <w:rPr>
          <w:rFonts w:hint="eastAsia" w:ascii="宋体" w:hAnsi="宋体" w:eastAsia="宋体" w:cs="宋体"/>
          <w:sz w:val="24"/>
          <w:highlight w:val="none"/>
        </w:rPr>
        <w:t>：2025年</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日至2025年</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13</w:t>
      </w:r>
      <w:r>
        <w:rPr>
          <w:rFonts w:hint="eastAsia" w:ascii="宋体" w:hAnsi="宋体" w:eastAsia="宋体" w:cs="宋体"/>
          <w:sz w:val="24"/>
          <w:highlight w:val="none"/>
        </w:rPr>
        <w:t>日</w:t>
      </w:r>
    </w:p>
    <w:p w14:paraId="3F7F68F0">
      <w:pPr>
        <w:spacing w:line="560" w:lineRule="exact"/>
        <w:ind w:firstLine="480" w:firstLineChars="200"/>
        <w:jc w:val="left"/>
        <w:outlineLvl w:val="1"/>
        <w:rPr>
          <w:rFonts w:ascii="宋体" w:hAnsi="宋体" w:eastAsia="宋体" w:cs="宋体"/>
          <w:sz w:val="24"/>
        </w:rPr>
      </w:pPr>
      <w:r>
        <w:rPr>
          <w:rFonts w:hint="eastAsia" w:ascii="宋体" w:hAnsi="宋体" w:eastAsia="宋体" w:cs="宋体"/>
          <w:sz w:val="24"/>
        </w:rPr>
        <w:t>2.获取方式：本项目公告在徽易采、安徽省招投标信息、合肥百大集团、商业大厦网站同步发布。</w:t>
      </w:r>
    </w:p>
    <w:p w14:paraId="25A1B894">
      <w:pPr>
        <w:spacing w:line="560" w:lineRule="exact"/>
        <w:ind w:firstLine="475" w:firstLineChars="197"/>
        <w:jc w:val="left"/>
        <w:outlineLvl w:val="1"/>
        <w:rPr>
          <w:rFonts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14:paraId="050556AA">
      <w:pPr>
        <w:spacing w:line="560" w:lineRule="exact"/>
        <w:ind w:firstLine="480" w:firstLineChars="200"/>
        <w:jc w:val="left"/>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b/>
          <w:sz w:val="24"/>
          <w:highlight w:val="none"/>
        </w:rPr>
        <w:t>.</w:t>
      </w:r>
      <w:r>
        <w:rPr>
          <w:rFonts w:hint="eastAsia" w:ascii="宋体" w:hAnsi="宋体" w:eastAsia="宋体" w:cs="宋体"/>
          <w:bCs/>
          <w:sz w:val="24"/>
          <w:highlight w:val="none"/>
        </w:rPr>
        <w:t>响应文件提交截止时间、</w:t>
      </w:r>
      <w:r>
        <w:rPr>
          <w:rFonts w:hint="eastAsia" w:ascii="宋体" w:hAnsi="宋体" w:eastAsia="宋体" w:cs="宋体"/>
          <w:sz w:val="24"/>
          <w:highlight w:val="none"/>
        </w:rPr>
        <w:t>评审时间：2025年</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分（如有调整，另行通知）</w:t>
      </w:r>
    </w:p>
    <w:p w14:paraId="702AD407">
      <w:pPr>
        <w:spacing w:line="560" w:lineRule="exact"/>
        <w:ind w:firstLine="480" w:firstLineChars="200"/>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提交地点：合肥市金寨路1168号，合肥百货大楼集团商业大厦有限责任公司八楼会议室。</w:t>
      </w:r>
    </w:p>
    <w:p w14:paraId="042B4AB1">
      <w:pPr>
        <w:widowControl/>
        <w:spacing w:line="560" w:lineRule="exact"/>
        <w:ind w:firstLine="472" w:firstLineChars="196"/>
        <w:jc w:val="left"/>
        <w:rPr>
          <w:rFonts w:ascii="宋体" w:hAnsi="宋体" w:eastAsia="宋体" w:cs="宋体"/>
          <w:b/>
          <w:bCs/>
          <w:kern w:val="0"/>
          <w:sz w:val="24"/>
        </w:rPr>
      </w:pPr>
      <w:r>
        <w:rPr>
          <w:rFonts w:hint="eastAsia" w:ascii="宋体" w:hAnsi="宋体" w:eastAsia="宋体" w:cs="宋体"/>
          <w:b/>
          <w:bCs/>
          <w:kern w:val="0"/>
          <w:sz w:val="24"/>
        </w:rPr>
        <w:t>五</w:t>
      </w:r>
      <w:r>
        <w:rPr>
          <w:rFonts w:hint="eastAsia" w:ascii="宋体" w:hAnsi="宋体" w:eastAsia="宋体" w:cs="宋体"/>
          <w:b/>
          <w:kern w:val="0"/>
          <w:sz w:val="24"/>
        </w:rPr>
        <w:t xml:space="preserve">、报价保证金 </w:t>
      </w:r>
    </w:p>
    <w:p w14:paraId="3A6AC1B4">
      <w:pPr>
        <w:tabs>
          <w:tab w:val="left" w:pos="426"/>
        </w:tabs>
        <w:spacing w:line="560" w:lineRule="exact"/>
        <w:ind w:firstLine="544" w:firstLineChars="227"/>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color w:val="000000" w:themeColor="text1"/>
          <w:kern w:val="0"/>
          <w:sz w:val="24"/>
          <w:highlight w:val="none"/>
        </w:rPr>
        <w:t>.2025年</w:t>
      </w:r>
      <w:r>
        <w:rPr>
          <w:rFonts w:hint="eastAsia" w:ascii="宋体" w:hAnsi="宋体" w:eastAsia="宋体" w:cs="宋体"/>
          <w:color w:val="000000" w:themeColor="text1"/>
          <w:kern w:val="0"/>
          <w:sz w:val="24"/>
          <w:highlight w:val="none"/>
          <w:lang w:val="en-US" w:eastAsia="zh-CN"/>
        </w:rPr>
        <w:t>7</w:t>
      </w:r>
      <w:r>
        <w:rPr>
          <w:rFonts w:hint="eastAsia" w:ascii="宋体" w:hAnsi="宋体" w:eastAsia="宋体" w:cs="宋体"/>
          <w:color w:val="000000" w:themeColor="text1"/>
          <w:kern w:val="0"/>
          <w:sz w:val="24"/>
          <w:highlight w:val="none"/>
        </w:rPr>
        <w:t>月</w:t>
      </w:r>
      <w:r>
        <w:rPr>
          <w:rFonts w:hint="eastAsia" w:ascii="宋体" w:hAnsi="宋体" w:eastAsia="宋体" w:cs="宋体"/>
          <w:color w:val="000000" w:themeColor="text1"/>
          <w:kern w:val="0"/>
          <w:sz w:val="24"/>
          <w:highlight w:val="none"/>
          <w:lang w:val="en-US" w:eastAsia="zh-CN"/>
        </w:rPr>
        <w:t>14</w:t>
      </w:r>
      <w:r>
        <w:rPr>
          <w:rFonts w:hint="eastAsia" w:ascii="宋体" w:hAnsi="宋体" w:eastAsia="宋体" w:cs="宋体"/>
          <w:color w:val="000000" w:themeColor="text1"/>
          <w:kern w:val="0"/>
          <w:sz w:val="24"/>
          <w:highlight w:val="none"/>
        </w:rPr>
        <w:t>日</w:t>
      </w:r>
      <w:r>
        <w:rPr>
          <w:rFonts w:hint="eastAsia" w:ascii="宋体" w:hAnsi="宋体" w:eastAsia="宋体" w:cs="宋体"/>
          <w:color w:val="000000" w:themeColor="text1"/>
          <w:kern w:val="0"/>
          <w:sz w:val="24"/>
          <w:highlight w:val="none"/>
          <w:lang w:val="en-US" w:eastAsia="zh-CN"/>
        </w:rPr>
        <w:t>10</w:t>
      </w:r>
      <w:r>
        <w:rPr>
          <w:rFonts w:hint="eastAsia" w:ascii="宋体" w:hAnsi="宋体" w:eastAsia="宋体" w:cs="宋体"/>
          <w:color w:val="000000" w:themeColor="text1"/>
          <w:kern w:val="0"/>
          <w:sz w:val="24"/>
          <w:highlight w:val="none"/>
        </w:rPr>
        <w:t>时</w:t>
      </w:r>
      <w:r>
        <w:rPr>
          <w:rFonts w:hint="eastAsia" w:ascii="宋体" w:hAnsi="宋体" w:eastAsia="宋体" w:cs="宋体"/>
          <w:color w:val="000000" w:themeColor="text1"/>
          <w:kern w:val="0"/>
          <w:sz w:val="24"/>
          <w:highlight w:val="none"/>
          <w:lang w:val="en-US" w:eastAsia="zh-CN"/>
        </w:rPr>
        <w:t>0</w:t>
      </w:r>
      <w:r>
        <w:rPr>
          <w:rFonts w:hint="eastAsia" w:ascii="宋体" w:hAnsi="宋体" w:eastAsia="宋体" w:cs="宋体"/>
          <w:color w:val="000000" w:themeColor="text1"/>
          <w:kern w:val="0"/>
          <w:sz w:val="24"/>
          <w:highlight w:val="none"/>
        </w:rPr>
        <w:t>0分前</w:t>
      </w:r>
      <w:r>
        <w:rPr>
          <w:rFonts w:hint="eastAsia" w:ascii="宋体" w:hAnsi="宋体" w:eastAsia="宋体" w:cs="宋体"/>
          <w:kern w:val="0"/>
          <w:sz w:val="24"/>
          <w:highlight w:val="none"/>
        </w:rPr>
        <w:t>通过转</w:t>
      </w:r>
      <w:r>
        <w:rPr>
          <w:rFonts w:hint="eastAsia" w:ascii="宋体" w:hAnsi="宋体" w:eastAsia="宋体" w:cs="宋体"/>
          <w:kern w:val="0"/>
          <w:sz w:val="24"/>
        </w:rPr>
        <w:t>账的方式缴纳报价保证金</w:t>
      </w:r>
      <w:r>
        <w:rPr>
          <w:rFonts w:hint="eastAsia" w:ascii="宋体" w:hAnsi="宋体" w:eastAsia="宋体" w:cs="宋体"/>
          <w:kern w:val="0"/>
          <w:sz w:val="24"/>
          <w:u w:val="singl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待缴纳履约保证金后无息退还；</w:t>
      </w:r>
      <w:r>
        <w:rPr>
          <w:rFonts w:hint="eastAsia" w:ascii="宋体" w:hAnsi="宋体" w:eastAsia="宋体" w:cs="宋体"/>
          <w:kern w:val="0"/>
          <w:sz w:val="24"/>
        </w:rPr>
        <w:t>如未成交，竞争性报价结果公示后无息退还。</w:t>
      </w: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14:paraId="2B36AE33">
      <w:pPr>
        <w:spacing w:line="560" w:lineRule="exact"/>
        <w:rPr>
          <w:rFonts w:ascii="宋体" w:hAnsi="宋体" w:eastAsia="宋体" w:cs="宋体"/>
          <w:sz w:val="24"/>
        </w:rPr>
      </w:pPr>
      <w:r>
        <w:rPr>
          <w:rFonts w:hint="eastAsia" w:ascii="宋体" w:hAnsi="宋体" w:eastAsia="宋体" w:cs="宋体"/>
          <w:sz w:val="24"/>
          <w:lang w:val="zh-CN"/>
        </w:rPr>
        <w:t>转账资料：</w:t>
      </w:r>
    </w:p>
    <w:p w14:paraId="5B967987">
      <w:pPr>
        <w:spacing w:line="560" w:lineRule="exact"/>
        <w:rPr>
          <w:rFonts w:ascii="宋体" w:hAnsi="宋体" w:eastAsia="宋体" w:cs="宋体"/>
          <w:sz w:val="24"/>
        </w:rPr>
      </w:pPr>
      <w:r>
        <w:rPr>
          <w:rFonts w:hint="eastAsia" w:ascii="宋体" w:hAnsi="宋体" w:eastAsia="宋体" w:cs="宋体"/>
          <w:sz w:val="24"/>
        </w:rPr>
        <w:t>名  称：合肥百货大楼集团商业大厦有限责任公司</w:t>
      </w:r>
    </w:p>
    <w:p w14:paraId="3798D05B">
      <w:pPr>
        <w:spacing w:line="560" w:lineRule="exact"/>
        <w:rPr>
          <w:rFonts w:ascii="宋体" w:hAnsi="宋体" w:eastAsia="宋体" w:cs="宋体"/>
          <w:sz w:val="24"/>
        </w:rPr>
      </w:pPr>
      <w:r>
        <w:rPr>
          <w:rFonts w:hint="eastAsia" w:ascii="宋体" w:hAnsi="宋体" w:eastAsia="宋体" w:cs="宋体"/>
          <w:sz w:val="24"/>
        </w:rPr>
        <w:t>开户行：中国光大银行合肥分行营业部</w:t>
      </w:r>
    </w:p>
    <w:p w14:paraId="47A0DE92">
      <w:pPr>
        <w:spacing w:line="560" w:lineRule="exact"/>
        <w:rPr>
          <w:rFonts w:ascii="宋体" w:hAnsi="宋体" w:eastAsia="宋体" w:cs="宋体"/>
          <w:sz w:val="24"/>
        </w:rPr>
      </w:pPr>
      <w:r>
        <w:rPr>
          <w:rFonts w:hint="eastAsia" w:ascii="宋体" w:hAnsi="宋体" w:eastAsia="宋体" w:cs="宋体"/>
          <w:sz w:val="24"/>
        </w:rPr>
        <w:t>账  号：7669 0188 0003 4816 4（转帐时请备注“百大商业大厦配套电缆敷设工程报价保证金”）</w:t>
      </w:r>
    </w:p>
    <w:p w14:paraId="3FEB4517">
      <w:pPr>
        <w:spacing w:line="560" w:lineRule="exact"/>
        <w:ind w:firstLine="480" w:firstLineChars="200"/>
        <w:rPr>
          <w:rFonts w:ascii="宋体" w:hAnsi="宋体" w:eastAsia="宋体" w:cs="宋体"/>
          <w:bCs/>
          <w:sz w:val="24"/>
        </w:rPr>
      </w:pPr>
      <w:r>
        <w:rPr>
          <w:rFonts w:hint="eastAsia" w:ascii="宋体" w:hAnsi="宋体" w:eastAsia="宋体" w:cs="宋体"/>
          <w:bCs/>
          <w:sz w:val="24"/>
        </w:rPr>
        <w:t>2.下列任何情况发生，报价保证金将不予退还：</w:t>
      </w:r>
    </w:p>
    <w:p w14:paraId="72A571C0">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14:paraId="4E9361B1">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14:paraId="33FD5AF2">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14:paraId="7883F2A7">
      <w:pPr>
        <w:spacing w:line="560" w:lineRule="exact"/>
        <w:ind w:firstLine="465"/>
        <w:rPr>
          <w:rFonts w:ascii="宋体" w:hAnsi="宋体" w:eastAsia="宋体" w:cs="宋体"/>
          <w:sz w:val="24"/>
        </w:rPr>
      </w:pPr>
      <w:r>
        <w:rPr>
          <w:rFonts w:hint="eastAsia" w:ascii="宋体" w:hAnsi="宋体" w:eastAsia="宋体" w:cs="宋体"/>
          <w:sz w:val="24"/>
        </w:rPr>
        <w:t>2.4响应文件中提供虚假文件骗取中标的。</w:t>
      </w:r>
    </w:p>
    <w:p w14:paraId="64CEA691">
      <w:pPr>
        <w:widowControl/>
        <w:spacing w:line="560" w:lineRule="exact"/>
        <w:ind w:firstLine="463" w:firstLineChars="192"/>
        <w:jc w:val="left"/>
        <w:rPr>
          <w:rFonts w:ascii="宋体" w:hAnsi="宋体" w:eastAsia="宋体" w:cs="宋体"/>
          <w:b/>
          <w:bCs/>
          <w:kern w:val="0"/>
          <w:sz w:val="24"/>
        </w:rPr>
      </w:pPr>
      <w:r>
        <w:rPr>
          <w:rFonts w:hint="eastAsia" w:ascii="宋体" w:hAnsi="宋体" w:eastAsia="宋体" w:cs="宋体"/>
          <w:b/>
          <w:bCs/>
          <w:kern w:val="0"/>
          <w:sz w:val="24"/>
        </w:rPr>
        <w:t>六、联系人及电话：</w:t>
      </w:r>
    </w:p>
    <w:p w14:paraId="772723AD">
      <w:pPr>
        <w:spacing w:line="560" w:lineRule="exact"/>
        <w:ind w:firstLine="480" w:firstLineChars="200"/>
        <w:rPr>
          <w:rFonts w:ascii="宋体" w:hAnsi="宋体" w:eastAsia="宋体" w:cs="宋体"/>
          <w:sz w:val="24"/>
        </w:rPr>
      </w:pPr>
      <w:r>
        <w:rPr>
          <w:rFonts w:hint="eastAsia" w:ascii="宋体" w:hAnsi="宋体" w:eastAsia="宋体" w:cs="宋体"/>
          <w:bCs/>
          <w:sz w:val="24"/>
        </w:rPr>
        <w:t>项目联系人：宇工</w:t>
      </w:r>
      <w:r>
        <w:rPr>
          <w:rFonts w:hint="eastAsia" w:ascii="宋体" w:hAnsi="宋体" w:eastAsia="宋体" w:cs="宋体"/>
          <w:kern w:val="0"/>
          <w:sz w:val="24"/>
        </w:rPr>
        <w:t>0551-63633648</w:t>
      </w:r>
    </w:p>
    <w:p w14:paraId="0F129FA8">
      <w:pPr>
        <w:spacing w:line="560" w:lineRule="exact"/>
        <w:rPr>
          <w:rFonts w:ascii="宋体" w:hAnsi="宋体" w:eastAsia="宋体" w:cs="宋体"/>
          <w:bCs/>
          <w:sz w:val="24"/>
        </w:rPr>
      </w:pPr>
      <w:r>
        <w:rPr>
          <w:rFonts w:hint="eastAsia" w:ascii="宋体" w:hAnsi="宋体" w:eastAsia="宋体" w:cs="宋体"/>
          <w:bCs/>
          <w:sz w:val="24"/>
        </w:rPr>
        <w:t xml:space="preserve">　　　 </w:t>
      </w:r>
    </w:p>
    <w:p w14:paraId="4C15ABD8">
      <w:pPr>
        <w:spacing w:line="560" w:lineRule="exact"/>
        <w:ind w:firstLine="141"/>
        <w:jc w:val="center"/>
        <w:rPr>
          <w:rFonts w:ascii="宋体" w:hAnsi="宋体" w:eastAsia="宋体" w:cs="@仿宋_GB2312"/>
          <w:b/>
          <w:sz w:val="28"/>
          <w:szCs w:val="20"/>
        </w:rPr>
      </w:pPr>
      <w:bookmarkStart w:id="2" w:name="_Toc29596"/>
    </w:p>
    <w:p w14:paraId="27007489">
      <w:pPr>
        <w:spacing w:line="560" w:lineRule="exact"/>
        <w:ind w:firstLine="141"/>
        <w:jc w:val="center"/>
        <w:rPr>
          <w:rFonts w:ascii="宋体" w:hAnsi="宋体" w:eastAsia="宋体" w:cs="@仿宋_GB2312"/>
          <w:b/>
          <w:sz w:val="28"/>
          <w:szCs w:val="20"/>
        </w:rPr>
      </w:pPr>
    </w:p>
    <w:p w14:paraId="0A4AEC89">
      <w:pPr>
        <w:spacing w:line="560" w:lineRule="exact"/>
        <w:ind w:firstLine="141"/>
        <w:jc w:val="center"/>
        <w:rPr>
          <w:rFonts w:ascii="宋体" w:hAnsi="宋体" w:eastAsia="宋体" w:cs="@仿宋_GB2312"/>
          <w:b/>
          <w:sz w:val="28"/>
          <w:szCs w:val="20"/>
        </w:rPr>
      </w:pPr>
    </w:p>
    <w:p w14:paraId="68522875">
      <w:pPr>
        <w:spacing w:line="560" w:lineRule="exact"/>
        <w:ind w:firstLine="141"/>
        <w:jc w:val="center"/>
        <w:rPr>
          <w:rFonts w:ascii="宋体" w:hAnsi="宋体" w:eastAsia="宋体" w:cs="@仿宋_GB2312"/>
          <w:b/>
          <w:sz w:val="28"/>
          <w:szCs w:val="20"/>
        </w:rPr>
      </w:pPr>
    </w:p>
    <w:p w14:paraId="78197873">
      <w:pPr>
        <w:spacing w:line="560" w:lineRule="exact"/>
        <w:ind w:firstLine="141"/>
        <w:jc w:val="center"/>
        <w:rPr>
          <w:rFonts w:ascii="宋体" w:hAnsi="宋体" w:eastAsia="宋体" w:cs="@仿宋_GB2312"/>
          <w:b/>
          <w:sz w:val="28"/>
          <w:szCs w:val="20"/>
        </w:rPr>
      </w:pPr>
    </w:p>
    <w:p w14:paraId="59D36415">
      <w:pPr>
        <w:spacing w:line="360" w:lineRule="auto"/>
        <w:ind w:firstLine="141"/>
        <w:jc w:val="center"/>
        <w:rPr>
          <w:rFonts w:ascii="宋体" w:hAnsi="宋体" w:eastAsia="宋体" w:cs="@仿宋_GB2312"/>
          <w:b/>
          <w:sz w:val="28"/>
          <w:szCs w:val="20"/>
        </w:rPr>
      </w:pPr>
    </w:p>
    <w:p w14:paraId="445DDEE6">
      <w:pPr>
        <w:spacing w:line="360" w:lineRule="auto"/>
        <w:ind w:firstLine="141"/>
        <w:jc w:val="center"/>
        <w:rPr>
          <w:rFonts w:ascii="宋体" w:hAnsi="宋体" w:eastAsia="宋体" w:cs="@仿宋_GB2312"/>
          <w:b/>
          <w:sz w:val="28"/>
          <w:szCs w:val="20"/>
        </w:rPr>
      </w:pPr>
    </w:p>
    <w:p w14:paraId="7C224FED">
      <w:pPr>
        <w:spacing w:line="360" w:lineRule="auto"/>
        <w:ind w:firstLine="141"/>
        <w:jc w:val="center"/>
        <w:rPr>
          <w:rFonts w:ascii="宋体" w:hAnsi="宋体" w:eastAsia="宋体" w:cs="@仿宋_GB2312"/>
          <w:b/>
          <w:sz w:val="28"/>
          <w:szCs w:val="20"/>
        </w:rPr>
      </w:pPr>
    </w:p>
    <w:p w14:paraId="56A2A574">
      <w:pPr>
        <w:spacing w:line="240" w:lineRule="exact"/>
        <w:ind w:firstLine="141"/>
        <w:rPr>
          <w:rFonts w:ascii="宋体" w:hAnsi="宋体" w:eastAsia="宋体" w:cs="@仿宋_GB2312"/>
          <w:b/>
          <w:sz w:val="28"/>
          <w:szCs w:val="20"/>
        </w:rPr>
      </w:pPr>
    </w:p>
    <w:p w14:paraId="61445529">
      <w:pPr>
        <w:spacing w:line="360" w:lineRule="auto"/>
        <w:ind w:firstLine="141"/>
        <w:jc w:val="center"/>
        <w:rPr>
          <w:rFonts w:ascii="宋体" w:hAnsi="宋体" w:eastAsia="宋体" w:cs="@仿宋_GB2312"/>
          <w:b/>
          <w:sz w:val="28"/>
          <w:szCs w:val="20"/>
        </w:rPr>
      </w:pPr>
    </w:p>
    <w:p w14:paraId="32E97758">
      <w:pPr>
        <w:spacing w:line="360" w:lineRule="auto"/>
        <w:ind w:firstLine="141"/>
        <w:jc w:val="center"/>
        <w:rPr>
          <w:rFonts w:ascii="宋体" w:hAnsi="宋体" w:eastAsia="宋体" w:cs="@仿宋_GB2312"/>
          <w:b/>
          <w:sz w:val="28"/>
          <w:szCs w:val="20"/>
        </w:rPr>
      </w:pPr>
    </w:p>
    <w:p w14:paraId="4351E40C">
      <w:pPr>
        <w:spacing w:line="360" w:lineRule="auto"/>
        <w:ind w:firstLine="141"/>
        <w:jc w:val="center"/>
        <w:rPr>
          <w:rFonts w:ascii="宋体" w:hAnsi="宋体" w:eastAsia="宋体" w:cs="@仿宋_GB2312"/>
          <w:b/>
          <w:sz w:val="28"/>
          <w:szCs w:val="20"/>
        </w:rPr>
      </w:pPr>
    </w:p>
    <w:p w14:paraId="2C279798">
      <w:pPr>
        <w:spacing w:line="360" w:lineRule="auto"/>
        <w:ind w:firstLine="141"/>
        <w:jc w:val="center"/>
        <w:rPr>
          <w:rFonts w:ascii="宋体" w:hAnsi="宋体" w:eastAsia="宋体" w:cs="@仿宋_GB2312"/>
          <w:b/>
          <w:sz w:val="28"/>
          <w:szCs w:val="20"/>
        </w:rPr>
      </w:pPr>
    </w:p>
    <w:p w14:paraId="39D65679">
      <w:pPr>
        <w:spacing w:line="360" w:lineRule="auto"/>
        <w:ind w:firstLine="141"/>
        <w:jc w:val="center"/>
        <w:rPr>
          <w:rFonts w:ascii="宋体" w:hAnsi="宋体" w:eastAsia="宋体" w:cs="@仿宋_GB2312"/>
          <w:b/>
          <w:sz w:val="28"/>
          <w:szCs w:val="20"/>
        </w:rPr>
      </w:pPr>
    </w:p>
    <w:p w14:paraId="0976B256">
      <w:pPr>
        <w:spacing w:line="360" w:lineRule="auto"/>
        <w:ind w:firstLine="141"/>
        <w:jc w:val="center"/>
        <w:rPr>
          <w:rFonts w:ascii="宋体" w:hAnsi="宋体" w:eastAsia="宋体" w:cs="@仿宋_GB2312"/>
          <w:b/>
          <w:sz w:val="28"/>
          <w:szCs w:val="20"/>
        </w:rPr>
      </w:pPr>
    </w:p>
    <w:p w14:paraId="1B742FA7">
      <w:pPr>
        <w:spacing w:line="360" w:lineRule="auto"/>
        <w:ind w:firstLine="141"/>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14:paraId="478A7C56">
      <w:pPr>
        <w:spacing w:line="240" w:lineRule="exact"/>
        <w:jc w:val="left"/>
        <w:rPr>
          <w:rFonts w:ascii="宋体" w:hAnsi="宋体" w:eastAsia="宋体" w:cs="@仿宋_GB2312"/>
          <w:b/>
          <w:kern w:val="0"/>
          <w:sz w:val="24"/>
        </w:rPr>
      </w:pPr>
    </w:p>
    <w:p w14:paraId="0811373E">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14:paraId="38BA0B8E">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14:paraId="2B2D6C94">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14:paraId="513BD7F6">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14:paraId="20585702">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14:paraId="7210FBAF">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14:paraId="55698AD6">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14:paraId="7DE74654">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14:paraId="1A0484E1">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14:paraId="1B9A36D1">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14:paraId="23BE6842">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14:paraId="074C0F4B">
      <w:pPr>
        <w:spacing w:line="560" w:lineRule="exact"/>
        <w:ind w:firstLine="472" w:firstLineChars="196"/>
        <w:rPr>
          <w:rFonts w:cs="@仿宋_GB2312" w:asciiTheme="minorEastAsia" w:hAnsiTheme="minorEastAsia"/>
          <w:sz w:val="24"/>
        </w:rPr>
      </w:pPr>
      <w:r>
        <w:rPr>
          <w:rFonts w:hint="eastAsia" w:cs="@仿宋_GB2312" w:asciiTheme="minorEastAsia" w:hAnsiTheme="minorEastAsia"/>
          <w:b/>
          <w:bCs/>
          <w:kern w:val="0"/>
          <w:sz w:val="24"/>
        </w:rPr>
        <w:t>2.2.3响应文件须胶装，正、副本各一份。</w:t>
      </w:r>
    </w:p>
    <w:p w14:paraId="05D53B2F">
      <w:pPr>
        <w:spacing w:line="560" w:lineRule="exact"/>
        <w:ind w:firstLine="480" w:firstLineChars="200"/>
        <w:rPr>
          <w:rFonts w:cs="@仿宋_GB2312" w:asciiTheme="minorEastAsia" w:hAnsiTheme="minorEastAsia"/>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14:paraId="60114133">
      <w:pPr>
        <w:spacing w:line="560" w:lineRule="exact"/>
        <w:ind w:firstLine="480" w:firstLineChars="200"/>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p>
    <w:bookmarkEnd w:id="3"/>
    <w:p w14:paraId="36E5D4E7">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2.6本条所指证明文件不包括对本项目文件相关部分的文字、图标的复制。</w:t>
      </w:r>
    </w:p>
    <w:p w14:paraId="02A7B1E9">
      <w:pPr>
        <w:spacing w:line="560" w:lineRule="exact"/>
        <w:ind w:firstLine="360" w:firstLineChars="150"/>
        <w:rPr>
          <w:rFonts w:cs="@仿宋_GB2312" w:asciiTheme="minorEastAsia" w:hAnsiTheme="minorEastAsia"/>
          <w:sz w:val="24"/>
        </w:rPr>
      </w:pPr>
      <w:r>
        <w:rPr>
          <w:rFonts w:hint="eastAsia" w:cs="@仿宋_GB2312" w:asciiTheme="minorEastAsia" w:hAnsiTheme="minorEastAsia"/>
          <w:sz w:val="24"/>
        </w:rPr>
        <w:t xml:space="preserve"> 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14:paraId="7CCCAEAD">
      <w:pPr>
        <w:spacing w:line="560" w:lineRule="exact"/>
        <w:ind w:firstLine="120"/>
        <w:rPr>
          <w:rFonts w:cs="@仿宋_GB2312" w:asciiTheme="minorEastAsia" w:hAnsiTheme="minorEastAsia"/>
          <w:sz w:val="24"/>
        </w:rPr>
      </w:pPr>
      <w:r>
        <w:rPr>
          <w:rFonts w:hint="eastAsia" w:cs="@仿宋_GB2312" w:asciiTheme="minorEastAsia" w:hAnsiTheme="minorEastAsia"/>
          <w:sz w:val="24"/>
        </w:rPr>
        <w:t xml:space="preserve">   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14:paraId="2A1E6621">
      <w:pPr>
        <w:spacing w:line="560" w:lineRule="exact"/>
        <w:ind w:firstLine="475" w:firstLineChars="197"/>
        <w:rPr>
          <w:rFonts w:cs="@仿宋_GB2312" w:asciiTheme="minorEastAsia" w:hAnsiTheme="minorEastAsia"/>
          <w:b/>
          <w:kern w:val="0"/>
          <w:sz w:val="24"/>
          <w:u w:val="single"/>
        </w:rPr>
      </w:pPr>
      <w:r>
        <w:rPr>
          <w:rFonts w:hint="eastAsia" w:cs="@仿宋_GB2312" w:asciiTheme="minorEastAsia" w:hAnsiTheme="minorEastAsia"/>
          <w:b/>
          <w:kern w:val="0"/>
          <w:sz w:val="24"/>
          <w:u w:val="single"/>
        </w:rPr>
        <w:t>3.报价说明</w:t>
      </w:r>
    </w:p>
    <w:p w14:paraId="05878CB9">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14:paraId="572A2F87">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3.2</w:t>
      </w:r>
      <w:r>
        <w:rPr>
          <w:rFonts w:hint="eastAsia" w:cs="@仿宋_GB2312" w:asciiTheme="minorEastAsia" w:hAnsiTheme="minorEastAsia"/>
          <w:sz w:val="24"/>
        </w:rPr>
        <w:t>不论竞争性报价的结果如何，供应商自行承担响应文件编制、提交、现场踏勘所涉及的一切费用。</w:t>
      </w:r>
    </w:p>
    <w:p w14:paraId="7F88596D">
      <w:pPr>
        <w:widowControl/>
        <w:spacing w:line="56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报价为完成《第五章合同》范围内服务项目并经甲方验收合格后开据</w:t>
      </w:r>
      <w:r>
        <w:rPr>
          <w:rFonts w:hint="eastAsia" w:cs="宋体" w:asciiTheme="minorEastAsia" w:hAnsiTheme="minorEastAsia"/>
          <w:bCs/>
          <w:kern w:val="0"/>
          <w:sz w:val="24"/>
          <w:u w:val="single"/>
        </w:rPr>
        <w:t xml:space="preserve"> 9 </w:t>
      </w:r>
      <w:r>
        <w:rPr>
          <w:rFonts w:hint="eastAsia" w:cs="宋体" w:asciiTheme="minorEastAsia" w:hAnsiTheme="minorEastAsia"/>
          <w:bCs/>
          <w:kern w:val="0"/>
          <w:sz w:val="24"/>
        </w:rPr>
        <w:t>%增值税专用发票的价格，包括但不限于人工费、材料费、交通费、夜间加班费等完成全部服务内容所发生的一切费用。报价不得高于本项目概算，否则视为响应无效。</w:t>
      </w:r>
    </w:p>
    <w:p w14:paraId="68044FEA">
      <w:pPr>
        <w:widowControl/>
        <w:spacing w:line="560" w:lineRule="exact"/>
        <w:ind w:firstLine="480" w:firstLineChars="200"/>
        <w:jc w:val="left"/>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14:paraId="609B5CD1">
      <w:pPr>
        <w:widowControl/>
        <w:spacing w:line="560" w:lineRule="exact"/>
        <w:ind w:firstLine="480" w:firstLineChars="200"/>
        <w:jc w:val="left"/>
        <w:rPr>
          <w:rFonts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14:paraId="3D28F554">
      <w:pPr>
        <w:widowControl/>
        <w:spacing w:line="560" w:lineRule="exact"/>
        <w:ind w:firstLine="475" w:firstLineChars="197"/>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14:paraId="5DA7A3FF">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14:paraId="62A2F248">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14:paraId="75E8BC55">
      <w:pPr>
        <w:spacing w:line="560" w:lineRule="exact"/>
        <w:rPr>
          <w:rFonts w:cs="@仿宋_GB2312" w:asciiTheme="minorEastAsia" w:hAnsiTheme="minorEastAsia"/>
          <w:sz w:val="24"/>
        </w:rPr>
      </w:pPr>
      <w:r>
        <w:rPr>
          <w:rFonts w:hint="eastAsia" w:cs="@仿宋_GB2312" w:asciiTheme="minorEastAsia" w:hAnsiTheme="minorEastAsia"/>
          <w:kern w:val="0"/>
          <w:sz w:val="24"/>
        </w:rPr>
        <w:t xml:space="preserve">    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14:paraId="529AB060">
      <w:pPr>
        <w:spacing w:line="560" w:lineRule="exact"/>
        <w:ind w:firstLine="475" w:firstLineChars="197"/>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5.</w:t>
      </w:r>
      <w:r>
        <w:rPr>
          <w:rFonts w:hint="eastAsia" w:cs="@仿宋_GB2312" w:asciiTheme="minorEastAsia" w:hAnsiTheme="minorEastAsia"/>
          <w:b/>
          <w:sz w:val="24"/>
          <w:u w:val="single"/>
        </w:rPr>
        <w:t>报价有效期</w:t>
      </w:r>
    </w:p>
    <w:p w14:paraId="368EF37A">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14:paraId="63571C8B">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14:paraId="2BA356DA">
      <w:pPr>
        <w:spacing w:line="560" w:lineRule="exact"/>
        <w:ind w:firstLine="480" w:firstLineChars="200"/>
        <w:outlineLvl w:val="2"/>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14:paraId="52448F67">
      <w:pPr>
        <w:spacing w:line="560" w:lineRule="exact"/>
        <w:ind w:firstLine="593" w:firstLineChars="246"/>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6.</w:t>
      </w:r>
      <w:r>
        <w:rPr>
          <w:rFonts w:hint="eastAsia" w:cs="@仿宋_GB2312" w:asciiTheme="minorEastAsia" w:hAnsiTheme="minorEastAsia"/>
          <w:b/>
          <w:sz w:val="24"/>
          <w:u w:val="single"/>
        </w:rPr>
        <w:t>本项目文件的澄清与修改</w:t>
      </w:r>
    </w:p>
    <w:p w14:paraId="45E2F74A">
      <w:pPr>
        <w:spacing w:line="560" w:lineRule="exact"/>
        <w:ind w:firstLine="600" w:firstLineChars="250"/>
        <w:rPr>
          <w:rFonts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14:paraId="331F29CC">
      <w:pPr>
        <w:spacing w:line="560" w:lineRule="exact"/>
        <w:ind w:firstLine="600" w:firstLineChars="250"/>
        <w:rPr>
          <w:rFonts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7D0C0327">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highlight w:val="none"/>
        </w:rPr>
        <w:t>6.3供应商</w:t>
      </w:r>
      <w:r>
        <w:rPr>
          <w:rFonts w:cs="@仿宋_GB2312" w:asciiTheme="minorEastAsia" w:hAnsiTheme="minorEastAsia"/>
          <w:sz w:val="24"/>
          <w:highlight w:val="none"/>
        </w:rPr>
        <w:t>如对</w:t>
      </w:r>
      <w:r>
        <w:rPr>
          <w:rFonts w:hint="eastAsia" w:cs="@仿宋_GB2312" w:asciiTheme="minorEastAsia" w:hAnsiTheme="minorEastAsia"/>
          <w:sz w:val="24"/>
          <w:highlight w:val="none"/>
        </w:rPr>
        <w:t>本项目文件</w:t>
      </w:r>
      <w:r>
        <w:rPr>
          <w:rFonts w:cs="@仿宋_GB2312" w:asciiTheme="minorEastAsia" w:hAnsiTheme="minorEastAsia"/>
          <w:sz w:val="24"/>
          <w:highlight w:val="none"/>
        </w:rPr>
        <w:t>内容有疑问，须在</w:t>
      </w:r>
      <w:r>
        <w:rPr>
          <w:rFonts w:hint="eastAsia" w:cs="@仿宋_GB2312" w:asciiTheme="minorEastAsia" w:hAnsiTheme="minorEastAsia"/>
          <w:sz w:val="24"/>
          <w:highlight w:val="none"/>
        </w:rPr>
        <w:t>答疑</w:t>
      </w:r>
      <w:r>
        <w:rPr>
          <w:rFonts w:cs="@仿宋_GB2312" w:asciiTheme="minorEastAsia" w:hAnsiTheme="minorEastAsia"/>
          <w:sz w:val="24"/>
          <w:highlight w:val="none"/>
        </w:rPr>
        <w:t>截止时间</w:t>
      </w:r>
      <w:r>
        <w:rPr>
          <w:rFonts w:hint="eastAsia" w:cs="@仿宋_GB2312" w:asciiTheme="minorEastAsia" w:hAnsiTheme="minorEastAsia"/>
          <w:bCs/>
          <w:sz w:val="24"/>
          <w:highlight w:val="none"/>
          <w:u w:val="single"/>
        </w:rPr>
        <w:t>2025年</w:t>
      </w:r>
      <w:r>
        <w:rPr>
          <w:rFonts w:hint="eastAsia" w:cs="@仿宋_GB2312" w:asciiTheme="minorEastAsia" w:hAnsiTheme="minorEastAsia"/>
          <w:bCs/>
          <w:sz w:val="24"/>
          <w:highlight w:val="none"/>
          <w:u w:val="single"/>
          <w:lang w:val="en-US" w:eastAsia="zh-CN"/>
        </w:rPr>
        <w:t>7</w:t>
      </w:r>
      <w:r>
        <w:rPr>
          <w:rFonts w:hint="eastAsia" w:cs="@仿宋_GB2312" w:asciiTheme="minorEastAsia" w:hAnsiTheme="minorEastAsia"/>
          <w:bCs/>
          <w:sz w:val="24"/>
          <w:highlight w:val="none"/>
          <w:u w:val="single"/>
        </w:rPr>
        <w:t>月</w:t>
      </w:r>
      <w:r>
        <w:rPr>
          <w:rFonts w:hint="eastAsia" w:cs="@仿宋_GB2312" w:asciiTheme="minorEastAsia" w:hAnsiTheme="minorEastAsia"/>
          <w:bCs/>
          <w:sz w:val="24"/>
          <w:highlight w:val="none"/>
          <w:u w:val="single"/>
          <w:lang w:val="en-US" w:eastAsia="zh-CN"/>
        </w:rPr>
        <w:t>14</w:t>
      </w:r>
      <w:r>
        <w:rPr>
          <w:rFonts w:hint="eastAsia" w:cs="@仿宋_GB2312" w:asciiTheme="minorEastAsia" w:hAnsiTheme="minorEastAsia"/>
          <w:bCs/>
          <w:sz w:val="24"/>
          <w:highlight w:val="none"/>
          <w:u w:val="single"/>
        </w:rPr>
        <w:t>日</w:t>
      </w:r>
      <w:r>
        <w:rPr>
          <w:rFonts w:hint="eastAsia" w:cs="@仿宋_GB2312" w:asciiTheme="minorEastAsia" w:hAnsiTheme="minorEastAsia"/>
          <w:bCs/>
          <w:sz w:val="24"/>
          <w:highlight w:val="none"/>
          <w:u w:val="single"/>
          <w:lang w:val="en-US" w:eastAsia="zh-CN"/>
        </w:rPr>
        <w:t>10</w:t>
      </w:r>
      <w:r>
        <w:rPr>
          <w:rFonts w:hint="eastAsia" w:cs="@仿宋_GB2312" w:asciiTheme="minorEastAsia" w:hAnsiTheme="minorEastAsia"/>
          <w:bCs/>
          <w:sz w:val="24"/>
          <w:highlight w:val="none"/>
          <w:u w:val="single"/>
        </w:rPr>
        <w:t>时</w:t>
      </w:r>
      <w:r>
        <w:rPr>
          <w:rFonts w:hint="eastAsia" w:cs="@仿宋_GB2312" w:asciiTheme="minorEastAsia" w:hAnsiTheme="minorEastAsia"/>
          <w:bCs/>
          <w:sz w:val="24"/>
          <w:highlight w:val="none"/>
          <w:u w:val="single"/>
          <w:lang w:val="en-US" w:eastAsia="zh-CN"/>
        </w:rPr>
        <w:t>00</w:t>
      </w:r>
      <w:r>
        <w:rPr>
          <w:rFonts w:hint="eastAsia" w:cs="@仿宋_GB2312" w:asciiTheme="minorEastAsia" w:hAnsiTheme="minorEastAsia"/>
          <w:bCs/>
          <w:sz w:val="24"/>
          <w:highlight w:val="none"/>
          <w:u w:val="single"/>
        </w:rPr>
        <w:t>分</w:t>
      </w:r>
      <w:r>
        <w:rPr>
          <w:rFonts w:cs="@仿宋_GB2312" w:asciiTheme="minorEastAsia" w:hAnsiTheme="minorEastAsia"/>
          <w:bCs/>
          <w:sz w:val="24"/>
          <w:highlight w:val="none"/>
        </w:rPr>
        <w:t>前</w:t>
      </w:r>
      <w:r>
        <w:rPr>
          <w:rFonts w:cs="@仿宋_GB2312" w:asciiTheme="minorEastAsia" w:hAnsiTheme="minorEastAsia"/>
          <w:sz w:val="24"/>
          <w:highlight w:val="none"/>
        </w:rPr>
        <w:t>以</w:t>
      </w:r>
      <w:r>
        <w:rPr>
          <w:rFonts w:hint="eastAsia" w:cs="@仿宋_GB2312" w:asciiTheme="minorEastAsia" w:hAnsiTheme="minorEastAsia"/>
          <w:sz w:val="24"/>
        </w:rPr>
        <w:t>电子邮件形式</w:t>
      </w:r>
      <w:r>
        <w:rPr>
          <w:rFonts w:cs="@仿宋_GB2312" w:asciiTheme="minorEastAsia" w:hAnsiTheme="minorEastAsia"/>
          <w:sz w:val="24"/>
        </w:rPr>
        <w:t>提交采购</w:t>
      </w:r>
      <w:r>
        <w:rPr>
          <w:rFonts w:hint="eastAsia" w:cs="@仿宋_GB2312" w:asciiTheme="minorEastAsia" w:hAnsiTheme="minorEastAsia"/>
          <w:sz w:val="24"/>
        </w:rPr>
        <w:t>人，邮箱：2533447157@qq.com</w:t>
      </w:r>
      <w:r>
        <w:rPr>
          <w:rFonts w:cs="@仿宋_GB2312" w:asciiTheme="minorEastAsia" w:hAnsiTheme="minorEastAsia"/>
          <w:sz w:val="24"/>
        </w:rPr>
        <w:t>。</w:t>
      </w:r>
    </w:p>
    <w:p w14:paraId="1108EB04">
      <w:pPr>
        <w:spacing w:line="560" w:lineRule="exact"/>
        <w:ind w:firstLine="240" w:firstLineChars="100"/>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14:paraId="1EBD5E43">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7</w:t>
      </w:r>
      <w:r>
        <w:rPr>
          <w:rFonts w:cs="@仿宋_GB2312" w:asciiTheme="minorEastAsia" w:hAnsiTheme="minorEastAsia"/>
          <w:b/>
          <w:sz w:val="24"/>
          <w:u w:val="single"/>
        </w:rPr>
        <w:t>.</w:t>
      </w:r>
      <w:r>
        <w:rPr>
          <w:rFonts w:hint="eastAsia" w:cs="@仿宋_GB2312" w:asciiTheme="minorEastAsia" w:hAnsiTheme="minorEastAsia"/>
          <w:b/>
          <w:sz w:val="24"/>
          <w:u w:val="single"/>
        </w:rPr>
        <w:t>评审小组</w:t>
      </w:r>
    </w:p>
    <w:p w14:paraId="0C7A0A01">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14:paraId="06CF62E2">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14:paraId="08452275">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14:paraId="16323D39">
      <w:pPr>
        <w:spacing w:line="560" w:lineRule="exact"/>
        <w:ind w:firstLine="475" w:firstLineChars="197"/>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.响应文件的评审与报价</w:t>
      </w:r>
    </w:p>
    <w:p w14:paraId="418C2FB9">
      <w:pPr>
        <w:spacing w:line="560" w:lineRule="exact"/>
        <w:ind w:firstLine="480" w:firstLineChars="200"/>
        <w:rPr>
          <w:rFonts w:cs="@仿宋_GB2312" w:asciiTheme="minorEastAsia" w:hAnsiTheme="minorEastAsia"/>
          <w:sz w:val="24"/>
          <w:highlight w:val="yellow"/>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14:paraId="5FBDEAF3">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14:paraId="3EBF7AA4">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14:paraId="55FE893D">
      <w:pPr>
        <w:spacing w:line="560" w:lineRule="exact"/>
        <w:ind w:firstLine="472" w:firstLineChars="196"/>
        <w:rPr>
          <w:rFonts w:cs="@仿宋_GB2312" w:asciiTheme="minorEastAsia" w:hAnsiTheme="minorEastAsia"/>
          <w:b/>
          <w:sz w:val="24"/>
        </w:rPr>
      </w:pPr>
      <w:r>
        <w:rPr>
          <w:rFonts w:hint="eastAsia" w:cs="@仿宋_GB2312" w:asciiTheme="minorEastAsia" w:hAnsiTheme="minorEastAsia"/>
          <w:b/>
          <w:sz w:val="24"/>
        </w:rPr>
        <w:t>8.4评审程序</w:t>
      </w:r>
    </w:p>
    <w:p w14:paraId="5B130D50">
      <w:pPr>
        <w:spacing w:line="560" w:lineRule="exact"/>
        <w:ind w:firstLine="475" w:firstLineChars="197"/>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评审小组依次公开查询所有供应商网上资信情况，查询内容：第一章供应商要求4/5项，查询完毕后收取此项合格供应商响应文件。</w:t>
      </w:r>
    </w:p>
    <w:p w14:paraId="6F874C6D">
      <w:pPr>
        <w:spacing w:line="560" w:lineRule="exact"/>
        <w:rPr>
          <w:rFonts w:cs="@仿宋_GB2312" w:asciiTheme="minorEastAsia" w:hAnsiTheme="minorEastAsia"/>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14:paraId="6D3771BD">
      <w:pPr>
        <w:spacing w:line="560" w:lineRule="exact"/>
        <w:ind w:firstLine="472" w:firstLineChars="196"/>
        <w:rPr>
          <w:rFonts w:cs="@仿宋_GB2312" w:asciiTheme="minorEastAsia" w:hAnsiTheme="minorEastAsia"/>
          <w:sz w:val="24"/>
        </w:rPr>
      </w:pP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14:paraId="0450B669">
      <w:pPr>
        <w:spacing w:line="560" w:lineRule="exact"/>
        <w:rPr>
          <w:rFonts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14:paraId="2D6A562E">
      <w:pPr>
        <w:spacing w:line="560" w:lineRule="exact"/>
        <w:ind w:firstLine="475" w:firstLineChars="197"/>
        <w:rPr>
          <w:rFonts w:cs="@仿宋_GB2312" w:asciiTheme="minorEastAsia" w:hAnsiTheme="minorEastAsia"/>
          <w:sz w:val="24"/>
        </w:rPr>
      </w:pPr>
      <w:r>
        <w:rPr>
          <w:rFonts w:hint="eastAsia" w:cs="@仿宋_GB2312" w:asciiTheme="minorEastAsia" w:hAnsiTheme="minorEastAsia"/>
          <w:b/>
          <w:sz w:val="24"/>
        </w:rPr>
        <w:t>8.5相关说明</w:t>
      </w:r>
    </w:p>
    <w:p w14:paraId="479A1AD2">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8.5.1为保证评审顺利进行，供应商授权代表应为本项目所涉专业的相关技术或管理人员。</w:t>
      </w:r>
    </w:p>
    <w:p w14:paraId="483F8119">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14:paraId="26C2A0DE">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14:paraId="1C3DEB01">
      <w:pPr>
        <w:spacing w:line="560" w:lineRule="exact"/>
        <w:ind w:firstLine="480" w:firstLineChars="200"/>
        <w:rPr>
          <w:rFonts w:cs="@仿宋_GB2312" w:asciiTheme="minorEastAsia" w:hAnsiTheme="minorEastAsia"/>
          <w:sz w:val="24"/>
          <w:u w:val="single"/>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14:paraId="2B35B401">
      <w:pPr>
        <w:spacing w:line="560" w:lineRule="exact"/>
        <w:ind w:firstLine="470" w:firstLineChars="195"/>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6</w:t>
      </w:r>
      <w:r>
        <w:rPr>
          <w:rFonts w:cs="@仿宋_GB2312" w:asciiTheme="minorEastAsia" w:hAnsiTheme="minorEastAsia"/>
          <w:b/>
          <w:sz w:val="24"/>
          <w:u w:val="single"/>
        </w:rPr>
        <w:t>响应文件的澄清、说明或</w:t>
      </w:r>
      <w:r>
        <w:rPr>
          <w:rFonts w:hint="eastAsia" w:cs="@仿宋_GB2312" w:asciiTheme="minorEastAsia" w:hAnsiTheme="minorEastAsia"/>
          <w:b/>
          <w:sz w:val="24"/>
          <w:u w:val="single"/>
        </w:rPr>
        <w:t>更正</w:t>
      </w:r>
    </w:p>
    <w:p w14:paraId="56902AEA">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0336AA4">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14:paraId="7A3D0EE9">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14:paraId="321ECFB0">
      <w:pPr>
        <w:spacing w:line="560" w:lineRule="exact"/>
        <w:ind w:firstLine="470" w:firstLineChars="195"/>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7 有下列情况之一的响应文件认定为响应无效</w:t>
      </w:r>
    </w:p>
    <w:p w14:paraId="381BF4B8">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14:paraId="49228789">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14:paraId="6B54B599">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14:paraId="2724DF97">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14:paraId="38EBB4AB">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14:paraId="2202D858">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14:paraId="663BA058">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14:paraId="03D81D39">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14:paraId="5512A537">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14:paraId="1D891D56">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14:paraId="52F145A1">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14:paraId="24361555">
      <w:pPr>
        <w:widowControl/>
        <w:spacing w:line="560" w:lineRule="exact"/>
        <w:ind w:firstLine="472" w:firstLineChars="196"/>
        <w:jc w:val="left"/>
        <w:rPr>
          <w:rFonts w:cs="@仿宋_GB2312" w:asciiTheme="minorEastAsia" w:hAnsiTheme="minorEastAsia"/>
          <w:b/>
          <w:sz w:val="24"/>
          <w:u w:val="single"/>
        </w:rPr>
      </w:pPr>
      <w:r>
        <w:rPr>
          <w:rFonts w:hint="eastAsia" w:cs="@仿宋_GB2312" w:asciiTheme="minorEastAsia" w:hAnsiTheme="minorEastAsia"/>
          <w:b/>
          <w:sz w:val="24"/>
          <w:u w:val="single"/>
        </w:rPr>
        <w:t>9</w:t>
      </w:r>
      <w:r>
        <w:rPr>
          <w:rFonts w:cs="@仿宋_GB2312" w:asciiTheme="minorEastAsia" w:hAnsiTheme="minorEastAsia"/>
          <w:b/>
          <w:sz w:val="24"/>
          <w:u w:val="single"/>
        </w:rPr>
        <w:t>.</w:t>
      </w:r>
      <w:r>
        <w:rPr>
          <w:rFonts w:hint="eastAsia" w:cs="@仿宋_GB2312" w:asciiTheme="minorEastAsia" w:hAnsiTheme="minorEastAsia"/>
          <w:b/>
          <w:sz w:val="24"/>
          <w:u w:val="single"/>
        </w:rPr>
        <w:t>中止或</w:t>
      </w:r>
      <w:r>
        <w:rPr>
          <w:rFonts w:cs="@仿宋_GB2312" w:asciiTheme="minorEastAsia" w:hAnsiTheme="minorEastAsia"/>
          <w:b/>
          <w:sz w:val="24"/>
          <w:u w:val="single"/>
        </w:rPr>
        <w:t>终止竞争性报价</w:t>
      </w:r>
    </w:p>
    <w:p w14:paraId="62EB7043">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14:paraId="5EBFD35B">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14:paraId="0AD3550A">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14:paraId="36F90392">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9.1.3因重大变故，采购任务取消的；</w:t>
      </w:r>
    </w:p>
    <w:p w14:paraId="48B1DA4B">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9.1.4法律法规规定的其他情形。</w:t>
      </w:r>
    </w:p>
    <w:p w14:paraId="47386FE0">
      <w:pPr>
        <w:spacing w:line="560" w:lineRule="exact"/>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14:paraId="6EB1520D">
      <w:pPr>
        <w:spacing w:line="560" w:lineRule="exact"/>
        <w:ind w:firstLine="480" w:firstLineChars="200"/>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14:paraId="539070F9">
      <w:pPr>
        <w:spacing w:line="560" w:lineRule="exact"/>
        <w:ind w:firstLine="480" w:firstLineChars="200"/>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14:paraId="2975E2B1">
      <w:pPr>
        <w:numPr>
          <w:ilvl w:val="255"/>
          <w:numId w:val="0"/>
        </w:numPr>
        <w:spacing w:line="560" w:lineRule="exact"/>
        <w:ind w:firstLine="480" w:firstLineChars="200"/>
        <w:rPr>
          <w:rFonts w:cs="@仿宋_GB2312" w:asciiTheme="minorEastAsia" w:hAnsiTheme="minorEastAsia"/>
          <w:sz w:val="24"/>
          <w:highlight w:val="none"/>
        </w:rPr>
      </w:pPr>
      <w:r>
        <w:rPr>
          <w:rFonts w:hint="eastAsia" w:cs="@仿宋_GB2312" w:asciiTheme="minorEastAsia" w:hAnsiTheme="minorEastAsia"/>
          <w:kern w:val="0"/>
          <w:sz w:val="24"/>
          <w:highlight w:val="none"/>
        </w:rPr>
        <w:t>9.2</w:t>
      </w:r>
      <w:r>
        <w:rPr>
          <w:rFonts w:hint="eastAsia" w:cs="@仿宋_GB2312" w:asciiTheme="minorEastAsia" w:hAnsiTheme="minorEastAsia"/>
          <w:sz w:val="24"/>
          <w:highlight w:val="none"/>
        </w:rPr>
        <w:t>.2二次公告进行竞争性报价时，通过评审的有效供应商2家的，经评审小组评审确认可继续进行的，视为符合规定数量；</w:t>
      </w:r>
    </w:p>
    <w:p w14:paraId="3F3A7EAA">
      <w:pPr>
        <w:spacing w:line="560" w:lineRule="exact"/>
        <w:ind w:firstLine="480" w:firstLineChars="200"/>
        <w:rPr>
          <w:rFonts w:cs="@仿宋_GB2312" w:asciiTheme="minorEastAsia" w:hAnsiTheme="minorEastAsia"/>
          <w:kern w:val="0"/>
          <w:sz w:val="24"/>
          <w:highlight w:val="none"/>
        </w:rPr>
      </w:pPr>
      <w:r>
        <w:rPr>
          <w:rFonts w:hint="eastAsia" w:cs="@仿宋_GB2312" w:asciiTheme="minorEastAsia" w:hAnsiTheme="minorEastAsia"/>
          <w:kern w:val="0"/>
          <w:sz w:val="24"/>
          <w:highlight w:val="none"/>
        </w:rPr>
        <w:t>9.2</w:t>
      </w:r>
      <w:r>
        <w:rPr>
          <w:rFonts w:hint="eastAsia" w:cs="@仿宋_GB2312" w:asciiTheme="minorEastAsia" w:hAnsiTheme="minorEastAsia"/>
          <w:sz w:val="24"/>
          <w:highlight w:val="none"/>
        </w:rPr>
        <w:t>.3二次以上公告进行竞争性报价时，通过评审的有效供应商1家的，经评审小组评审确认可继续进行的，视为符合规定数量；</w:t>
      </w:r>
    </w:p>
    <w:p w14:paraId="278D2A3A">
      <w:p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7FFDCB17">
      <w:pPr>
        <w:spacing w:line="560" w:lineRule="exact"/>
        <w:ind w:firstLine="475" w:firstLineChars="197"/>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14:paraId="1D53908E">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14:paraId="7D5E1FCB">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14:paraId="267FAF62">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14:paraId="7BD40262">
      <w:pPr>
        <w:spacing w:line="560" w:lineRule="exact"/>
        <w:ind w:firstLine="475" w:firstLineChars="197"/>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14:paraId="3BC503F8">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14:paraId="131DB80E">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14:paraId="4B8A985D">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14:paraId="0F563617">
      <w:pPr>
        <w:spacing w:line="560" w:lineRule="exact"/>
        <w:ind w:firstLine="475" w:firstLineChars="197"/>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14:paraId="194320C7">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14:paraId="1A0C5516">
      <w:pPr>
        <w:spacing w:line="560" w:lineRule="exact"/>
        <w:ind w:firstLine="480" w:firstLineChars="200"/>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32CABFB2">
      <w:pPr>
        <w:spacing w:line="560" w:lineRule="exact"/>
        <w:ind w:firstLine="475" w:firstLineChars="197"/>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14:paraId="0C9E81F4">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14:paraId="2A2F4E04">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14:paraId="79CEC6E1">
      <w:pPr>
        <w:spacing w:line="560" w:lineRule="exact"/>
        <w:ind w:firstLine="480" w:firstLineChars="200"/>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73EEF103">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14:paraId="743302C0">
      <w:pPr>
        <w:spacing w:line="560" w:lineRule="exact"/>
        <w:rPr>
          <w:rFonts w:cs="@仿宋_GB2312" w:asciiTheme="minorEastAsia" w:hAnsiTheme="minorEastAsia"/>
          <w:bCs/>
          <w:sz w:val="24"/>
        </w:rPr>
      </w:pPr>
      <w:r>
        <w:rPr>
          <w:rFonts w:hint="eastAsia" w:cs="@仿宋_GB2312" w:asciiTheme="minorEastAsia" w:hAnsiTheme="minorEastAsia"/>
          <w:bCs/>
          <w:sz w:val="24"/>
        </w:rPr>
        <w:t xml:space="preserve">    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14:paraId="4256035D">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14:paraId="2AF3DE75">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我司开展的其它同类采购活动。</w:t>
      </w:r>
    </w:p>
    <w:p w14:paraId="19855CDA">
      <w:pPr>
        <w:spacing w:line="560" w:lineRule="exact"/>
        <w:ind w:firstLine="475" w:firstLineChars="197"/>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14:paraId="3ADA0CBB">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14:paraId="5CF36FE6">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14:paraId="038D7F74">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14:paraId="494C0C34">
      <w:pPr>
        <w:spacing w:line="560" w:lineRule="exact"/>
        <w:ind w:firstLine="480" w:firstLineChars="200"/>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14.4供应商若认为本次竞争性报价过程中存在有违公平、公正原则的情况，可向监标人书面投诉（只接受书面投诉）；联系地址：合肥市金寨路1168号，</w:t>
      </w:r>
      <w:r>
        <w:rPr>
          <w:rFonts w:hint="eastAsia" w:ascii="宋体" w:hAnsi="宋体" w:eastAsia="宋体" w:cs="宋体"/>
          <w:sz w:val="24"/>
        </w:rPr>
        <w:t>合肥百货大楼集团商业大厦有限责任公司</w:t>
      </w:r>
      <w:r>
        <w:rPr>
          <w:rFonts w:hint="eastAsia" w:cs="@仿宋_GB2312" w:asciiTheme="minorEastAsia" w:hAnsiTheme="minorEastAsia"/>
          <w:bCs/>
          <w:kern w:val="0"/>
          <w:sz w:val="24"/>
        </w:rPr>
        <w:t>纪委办公室，联系电话：0551-63660588。</w:t>
      </w:r>
    </w:p>
    <w:p w14:paraId="3AABAF11">
      <w:pPr>
        <w:spacing w:line="560" w:lineRule="exact"/>
        <w:ind w:firstLine="475" w:firstLineChars="197"/>
        <w:outlineLvl w:val="2"/>
        <w:rPr>
          <w:rFonts w:cs="@仿宋_GB2312" w:asciiTheme="minorEastAsia" w:hAnsiTheme="minorEastAsia"/>
          <w:b/>
          <w:sz w:val="24"/>
        </w:rPr>
      </w:pPr>
      <w:r>
        <w:rPr>
          <w:rFonts w:hint="eastAsia" w:cs="@仿宋_GB2312" w:asciiTheme="minorEastAsia" w:hAnsiTheme="minorEastAsia"/>
          <w:b/>
          <w:sz w:val="24"/>
        </w:rPr>
        <w:t>15.适用准则</w:t>
      </w:r>
    </w:p>
    <w:p w14:paraId="005ACA39">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14:paraId="7EF2E06A">
      <w:pPr>
        <w:widowControl/>
        <w:spacing w:line="240" w:lineRule="exact"/>
        <w:jc w:val="left"/>
        <w:rPr>
          <w:rFonts w:ascii="宋体" w:hAnsi="宋体" w:eastAsia="宋体" w:cs="@仿宋_GB2312"/>
          <w:b/>
          <w:kern w:val="0"/>
          <w:sz w:val="24"/>
        </w:rPr>
      </w:pPr>
      <w:bookmarkStart w:id="4" w:name="_Toc24720"/>
    </w:p>
    <w:p w14:paraId="4D34CB24">
      <w:pPr>
        <w:widowControl/>
        <w:spacing w:line="240" w:lineRule="exact"/>
        <w:jc w:val="left"/>
        <w:rPr>
          <w:rFonts w:ascii="宋体" w:hAnsi="宋体" w:eastAsia="宋体" w:cs="@仿宋_GB2312"/>
          <w:b/>
          <w:kern w:val="0"/>
          <w:sz w:val="24"/>
        </w:rPr>
      </w:pPr>
    </w:p>
    <w:p w14:paraId="095BF239">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cols w:space="425" w:num="1"/>
          <w:docGrid w:type="lines" w:linePitch="312" w:charSpace="0"/>
        </w:sectPr>
      </w:pPr>
    </w:p>
    <w:p w14:paraId="3545C43A">
      <w:pPr>
        <w:numPr>
          <w:ilvl w:val="0"/>
          <w:numId w:val="1"/>
        </w:numPr>
        <w:spacing w:line="880" w:lineRule="exact"/>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采购需求</w:t>
      </w:r>
      <w:bookmarkEnd w:id="4"/>
    </w:p>
    <w:p w14:paraId="11058A34">
      <w:pPr>
        <w:spacing w:line="560" w:lineRule="exact"/>
        <w:jc w:val="left"/>
        <w:rPr>
          <w:rFonts w:ascii="宋体" w:hAnsi="宋体"/>
          <w:b/>
          <w:sz w:val="24"/>
        </w:rPr>
      </w:pPr>
      <w:r>
        <w:rPr>
          <w:rFonts w:hint="eastAsia" w:ascii="宋体" w:hAnsi="宋体"/>
          <w:b/>
          <w:sz w:val="24"/>
        </w:rPr>
        <w:t>1.</w:t>
      </w:r>
      <w:r>
        <w:rPr>
          <w:rFonts w:hint="eastAsia" w:ascii="宋体" w:hAnsi="宋体" w:eastAsia="宋体" w:cs="宋体"/>
          <w:kern w:val="0"/>
          <w:sz w:val="24"/>
        </w:rPr>
        <w:t xml:space="preserve"> 52米电缆(WDZB-YJY4*240+1*120㎜²)采购及敷设安装，电力电缆(WDZB-YJY4*240+1*120㎜²)终端头1个制作安装，6米金属桥架（300㎜*150㎜）采购、安装。</w:t>
      </w:r>
    </w:p>
    <w:p w14:paraId="111762C7">
      <w:pPr>
        <w:spacing w:line="560" w:lineRule="exact"/>
        <w:rPr>
          <w:rFonts w:ascii="宋体" w:hAnsi="宋体"/>
          <w:bCs/>
          <w:sz w:val="24"/>
        </w:rPr>
      </w:pPr>
      <w:r>
        <w:rPr>
          <w:rFonts w:hint="eastAsia" w:ascii="宋体" w:hAnsi="宋体"/>
          <w:b/>
          <w:sz w:val="24"/>
        </w:rPr>
        <w:t>2.电缆推荐品牌：江苏远东、江苏上上、中天科技、江苏宝胜；</w:t>
      </w:r>
      <w:r>
        <w:rPr>
          <w:rFonts w:hint="eastAsia" w:ascii="宋体" w:hAnsi="宋体"/>
          <w:bCs/>
          <w:sz w:val="24"/>
        </w:rPr>
        <w:t>为有助于供应商选择投标产品，项目提供了推荐品牌（或型号），但这些品牌（或型号）并无限制性。供应商可以选择性能高于推荐（或参考）的品牌（或型号）的其他品牌产品，由评标小组评委评定是否合格有效。未按推荐品牌投标且经现场评委评审不合格的为废标。</w:t>
      </w:r>
    </w:p>
    <w:p w14:paraId="55997507">
      <w:pPr>
        <w:spacing w:line="560" w:lineRule="exact"/>
        <w:rPr>
          <w:rFonts w:ascii="宋体" w:hAnsi="宋体"/>
          <w:sz w:val="24"/>
        </w:rPr>
      </w:pPr>
      <w:r>
        <w:rPr>
          <w:rFonts w:hint="eastAsia" w:ascii="宋体" w:hAnsi="宋体"/>
          <w:b/>
          <w:bCs/>
          <w:sz w:val="24"/>
        </w:rPr>
        <w:t>3.</w:t>
      </w:r>
      <w:r>
        <w:rPr>
          <w:rFonts w:hint="eastAsia" w:ascii="宋体" w:hAnsi="宋体"/>
          <w:bCs/>
          <w:sz w:val="24"/>
        </w:rPr>
        <w:t>材料</w:t>
      </w:r>
      <w:r>
        <w:rPr>
          <w:rFonts w:hint="eastAsia" w:ascii="宋体" w:hAnsi="宋体"/>
          <w:sz w:val="24"/>
        </w:rPr>
        <w:t>必须是合格新产品，符合国家有关标准，并提供出厂检测报告、合格证等有关证明材料。</w:t>
      </w:r>
    </w:p>
    <w:p w14:paraId="3F4E1449">
      <w:pPr>
        <w:spacing w:line="560" w:lineRule="exact"/>
        <w:rPr>
          <w:rFonts w:ascii="宋体" w:hAnsi="宋体"/>
          <w:b/>
          <w:sz w:val="24"/>
        </w:rPr>
      </w:pPr>
      <w:r>
        <w:rPr>
          <w:rFonts w:hint="eastAsia" w:ascii="宋体" w:hAnsi="宋体"/>
          <w:b/>
          <w:sz w:val="24"/>
        </w:rPr>
        <w:t>4.交货期及完工期</w:t>
      </w:r>
    </w:p>
    <w:p w14:paraId="4938EF9D">
      <w:pPr>
        <w:spacing w:line="560" w:lineRule="exact"/>
        <w:rPr>
          <w:rFonts w:ascii="宋体" w:hAnsi="宋体"/>
          <w:sz w:val="24"/>
        </w:rPr>
      </w:pPr>
      <w:r>
        <w:rPr>
          <w:rFonts w:hint="eastAsia" w:ascii="宋体" w:hAnsi="宋体"/>
          <w:sz w:val="24"/>
        </w:rPr>
        <w:t>接到采购人中标通知后，</w:t>
      </w:r>
      <w:r>
        <w:rPr>
          <w:rFonts w:hint="eastAsia" w:ascii="宋体" w:hAnsi="宋体"/>
          <w:sz w:val="24"/>
          <w:u w:val="single"/>
        </w:rPr>
        <w:t>15</w:t>
      </w:r>
      <w:r>
        <w:rPr>
          <w:rFonts w:hint="eastAsia" w:ascii="宋体" w:hAnsi="宋体"/>
          <w:sz w:val="24"/>
        </w:rPr>
        <w:t>个日历天内完成所有安装项目，并按采购人要求进行送电、调试。</w:t>
      </w:r>
    </w:p>
    <w:p w14:paraId="705DB5DD">
      <w:pPr>
        <w:spacing w:line="560" w:lineRule="exact"/>
        <w:rPr>
          <w:rFonts w:ascii="宋体" w:hAnsi="宋体"/>
          <w:sz w:val="24"/>
        </w:rPr>
      </w:pPr>
      <w:r>
        <w:rPr>
          <w:rFonts w:hint="eastAsia" w:ascii="宋体" w:hAnsi="宋体"/>
          <w:b/>
          <w:sz w:val="24"/>
        </w:rPr>
        <w:t>5.</w:t>
      </w:r>
      <w:r>
        <w:rPr>
          <w:rFonts w:hint="eastAsia" w:ascii="宋体" w:hAnsi="宋体"/>
          <w:sz w:val="24"/>
        </w:rPr>
        <w:t>工程项目质保期：24个月。</w:t>
      </w:r>
    </w:p>
    <w:p w14:paraId="5D607021">
      <w:pPr>
        <w:spacing w:line="560" w:lineRule="exact"/>
        <w:ind w:left="141"/>
        <w:outlineLvl w:val="0"/>
        <w:rPr>
          <w:rFonts w:ascii="宋体" w:hAnsi="宋体" w:eastAsia="宋体" w:cs="@仿宋_GB2312"/>
          <w:b/>
          <w:sz w:val="28"/>
          <w:szCs w:val="20"/>
        </w:rPr>
      </w:pPr>
    </w:p>
    <w:p w14:paraId="6C681E02">
      <w:pPr>
        <w:spacing w:line="360" w:lineRule="auto"/>
        <w:ind w:firstLine="141"/>
        <w:jc w:val="center"/>
        <w:outlineLvl w:val="0"/>
        <w:rPr>
          <w:rFonts w:ascii="宋体" w:hAnsi="宋体" w:eastAsia="宋体" w:cs="@仿宋_GB2312"/>
          <w:b/>
          <w:sz w:val="28"/>
          <w:szCs w:val="20"/>
        </w:rPr>
      </w:pPr>
      <w:bookmarkStart w:id="5" w:name="_Toc20584"/>
    </w:p>
    <w:p w14:paraId="1BD606A9">
      <w:pPr>
        <w:spacing w:line="360" w:lineRule="auto"/>
        <w:ind w:firstLine="141"/>
        <w:jc w:val="center"/>
        <w:outlineLvl w:val="0"/>
        <w:rPr>
          <w:rFonts w:ascii="宋体" w:hAnsi="宋体" w:eastAsia="宋体" w:cs="@仿宋_GB2312"/>
          <w:b/>
          <w:sz w:val="28"/>
          <w:szCs w:val="20"/>
        </w:rPr>
      </w:pPr>
    </w:p>
    <w:p w14:paraId="6A50CBDE">
      <w:pPr>
        <w:spacing w:line="360" w:lineRule="auto"/>
        <w:ind w:firstLine="141"/>
        <w:jc w:val="center"/>
        <w:outlineLvl w:val="0"/>
        <w:rPr>
          <w:rFonts w:ascii="宋体" w:hAnsi="宋体" w:eastAsia="宋体" w:cs="@仿宋_GB2312"/>
          <w:b/>
          <w:sz w:val="28"/>
          <w:szCs w:val="20"/>
        </w:rPr>
      </w:pPr>
    </w:p>
    <w:p w14:paraId="723F60CA">
      <w:pPr>
        <w:spacing w:line="360" w:lineRule="auto"/>
        <w:ind w:firstLine="141"/>
        <w:jc w:val="center"/>
        <w:outlineLvl w:val="0"/>
        <w:rPr>
          <w:rFonts w:ascii="宋体" w:hAnsi="宋体" w:eastAsia="宋体" w:cs="@仿宋_GB2312"/>
          <w:b/>
          <w:sz w:val="28"/>
          <w:szCs w:val="20"/>
        </w:rPr>
      </w:pPr>
    </w:p>
    <w:p w14:paraId="08EFC1B7">
      <w:pPr>
        <w:spacing w:line="360" w:lineRule="auto"/>
        <w:ind w:firstLine="141"/>
        <w:jc w:val="center"/>
        <w:outlineLvl w:val="0"/>
        <w:rPr>
          <w:rFonts w:ascii="宋体" w:hAnsi="宋体" w:eastAsia="宋体" w:cs="@仿宋_GB2312"/>
          <w:b/>
          <w:sz w:val="28"/>
          <w:szCs w:val="20"/>
        </w:rPr>
      </w:pPr>
    </w:p>
    <w:p w14:paraId="537B6497">
      <w:pPr>
        <w:spacing w:line="360" w:lineRule="auto"/>
        <w:ind w:firstLine="141"/>
        <w:jc w:val="center"/>
        <w:outlineLvl w:val="0"/>
        <w:rPr>
          <w:rFonts w:ascii="宋体" w:hAnsi="宋体" w:eastAsia="宋体" w:cs="@仿宋_GB2312"/>
          <w:b/>
          <w:sz w:val="28"/>
          <w:szCs w:val="20"/>
        </w:rPr>
      </w:pPr>
    </w:p>
    <w:p w14:paraId="58027AA6">
      <w:pPr>
        <w:spacing w:line="360" w:lineRule="auto"/>
        <w:ind w:firstLine="141"/>
        <w:jc w:val="center"/>
        <w:outlineLvl w:val="0"/>
        <w:rPr>
          <w:rFonts w:ascii="宋体" w:hAnsi="宋体" w:eastAsia="宋体" w:cs="@仿宋_GB2312"/>
          <w:b/>
          <w:sz w:val="28"/>
          <w:szCs w:val="20"/>
        </w:rPr>
      </w:pPr>
    </w:p>
    <w:p w14:paraId="271E1628">
      <w:pPr>
        <w:spacing w:line="360" w:lineRule="auto"/>
        <w:ind w:firstLine="141"/>
        <w:jc w:val="center"/>
        <w:outlineLvl w:val="0"/>
        <w:rPr>
          <w:rFonts w:ascii="宋体" w:hAnsi="宋体" w:eastAsia="宋体" w:cs="@仿宋_GB2312"/>
          <w:b/>
          <w:sz w:val="28"/>
          <w:szCs w:val="20"/>
        </w:rPr>
      </w:pPr>
    </w:p>
    <w:p w14:paraId="2037E455">
      <w:pPr>
        <w:spacing w:line="360" w:lineRule="auto"/>
        <w:ind w:firstLine="141"/>
        <w:jc w:val="center"/>
        <w:outlineLvl w:val="0"/>
        <w:rPr>
          <w:rFonts w:ascii="宋体" w:hAnsi="宋体" w:eastAsia="宋体" w:cs="@仿宋_GB2312"/>
          <w:b/>
          <w:sz w:val="28"/>
          <w:szCs w:val="20"/>
        </w:rPr>
      </w:pPr>
    </w:p>
    <w:p w14:paraId="3455CC7A">
      <w:pPr>
        <w:spacing w:line="360" w:lineRule="auto"/>
        <w:ind w:firstLine="141"/>
        <w:jc w:val="center"/>
        <w:outlineLvl w:val="0"/>
        <w:rPr>
          <w:rFonts w:ascii="宋体" w:hAnsi="宋体" w:eastAsia="宋体" w:cs="@仿宋_GB2312"/>
          <w:b/>
          <w:sz w:val="28"/>
          <w:szCs w:val="20"/>
        </w:rPr>
      </w:pPr>
    </w:p>
    <w:p w14:paraId="20C02FAF">
      <w:pPr>
        <w:spacing w:line="360" w:lineRule="auto"/>
        <w:ind w:firstLine="141"/>
        <w:jc w:val="center"/>
        <w:outlineLvl w:val="0"/>
        <w:rPr>
          <w:rFonts w:ascii="宋体" w:hAnsi="宋体" w:eastAsia="宋体" w:cs="@仿宋_GB2312"/>
          <w:b/>
          <w:sz w:val="28"/>
          <w:szCs w:val="20"/>
        </w:rPr>
      </w:pPr>
    </w:p>
    <w:p w14:paraId="2D1ADFC0">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14:paraId="5898545F">
      <w:pPr>
        <w:spacing w:line="360" w:lineRule="auto"/>
        <w:ind w:left="120" w:leftChars="57"/>
        <w:jc w:val="left"/>
        <w:outlineLvl w:val="1"/>
        <w:rPr>
          <w:rFonts w:ascii="宋体" w:hAnsi="宋体" w:eastAsia="宋体" w:cs="@仿宋_GB2312"/>
          <w:b/>
          <w:sz w:val="24"/>
          <w:szCs w:val="20"/>
        </w:rPr>
      </w:pPr>
      <w:r>
        <w:rPr>
          <w:rFonts w:hint="eastAsia" w:ascii="宋体" w:hAnsi="宋体" w:eastAsia="宋体" w:cs="@仿宋_GB2312"/>
          <w:b/>
          <w:sz w:val="24"/>
          <w:szCs w:val="20"/>
        </w:rPr>
        <w:t>一、总则</w:t>
      </w:r>
    </w:p>
    <w:p w14:paraId="0772816A">
      <w:pPr>
        <w:spacing w:line="360" w:lineRule="auto"/>
        <w:ind w:firstLine="120"/>
        <w:jc w:val="left"/>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14:paraId="73BB9A4C">
      <w:pPr>
        <w:spacing w:line="360" w:lineRule="auto"/>
        <w:ind w:firstLine="120"/>
        <w:jc w:val="left"/>
        <w:outlineLvl w:val="1"/>
        <w:rPr>
          <w:rFonts w:ascii="宋体" w:hAnsi="宋体" w:eastAsia="宋体" w:cs="@仿宋_GB2312"/>
          <w:b/>
          <w:sz w:val="24"/>
          <w:szCs w:val="20"/>
        </w:rPr>
      </w:pPr>
      <w:r>
        <w:rPr>
          <w:rFonts w:hint="eastAsia" w:ascii="宋体" w:hAnsi="宋体" w:eastAsia="宋体" w:cs="@仿宋_GB2312"/>
          <w:b/>
          <w:sz w:val="24"/>
          <w:szCs w:val="20"/>
        </w:rPr>
        <w:t>二、评审方法</w:t>
      </w:r>
    </w:p>
    <w:p w14:paraId="2D251A11">
      <w:pPr>
        <w:spacing w:line="360" w:lineRule="auto"/>
        <w:ind w:firstLine="120"/>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1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14:paraId="4C54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14:paraId="378C7FD6">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（一）初审表</w:t>
            </w:r>
          </w:p>
        </w:tc>
      </w:tr>
      <w:tr w14:paraId="2D32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3C35567A">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14:paraId="304FC559">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14:paraId="5FD09597">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14:paraId="50AF70B0">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14:paraId="19A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0AB2185C">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14:paraId="21E86972">
            <w:pPr>
              <w:spacing w:line="320" w:lineRule="exact"/>
              <w:ind w:firstLine="105"/>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14:paraId="770A314C">
            <w:pPr>
              <w:spacing w:line="320" w:lineRule="exact"/>
              <w:ind w:firstLine="105"/>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14:paraId="0C13CD57">
            <w:pPr>
              <w:spacing w:line="240" w:lineRule="exact"/>
              <w:ind w:firstLine="105"/>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14:paraId="66B5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65B40D2E">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14:paraId="735D0312">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14:paraId="4DA5BEBD">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14:paraId="20CC09E9">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详见第六章响应文件格式2</w:t>
            </w:r>
          </w:p>
        </w:tc>
      </w:tr>
      <w:tr w14:paraId="59BA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0BE8BDDC">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14:paraId="5A662322">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14:paraId="3AF96BA8">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4F11EEA5">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详见第六章响应文件格式3</w:t>
            </w:r>
          </w:p>
        </w:tc>
      </w:tr>
      <w:tr w14:paraId="30BF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1974D765">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14:paraId="7E0B0766">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供应商股权</w:t>
            </w:r>
          </w:p>
          <w:p w14:paraId="22FD27B9">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14:paraId="5929F91F">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740A20AA">
            <w:pPr>
              <w:spacing w:line="400" w:lineRule="exact"/>
              <w:ind w:firstLine="105"/>
              <w:jc w:val="left"/>
              <w:rPr>
                <w:rFonts w:ascii="宋体" w:hAnsi="宋体" w:eastAsia="宋体" w:cs="@仿宋_GB2312"/>
                <w:szCs w:val="21"/>
              </w:rPr>
            </w:pPr>
            <w:r>
              <w:rPr>
                <w:rFonts w:hint="eastAsia" w:ascii="宋体" w:hAnsi="宋体" w:eastAsia="宋体" w:cs="@仿宋_GB2312"/>
                <w:szCs w:val="21"/>
              </w:rPr>
              <w:t>详见第六章响应文件格式4</w:t>
            </w:r>
          </w:p>
        </w:tc>
      </w:tr>
      <w:tr w14:paraId="3E92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14:paraId="2EFC16DB">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14:paraId="47EF89EE">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14:paraId="175A0A23">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14:paraId="7FF4747F">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详见第六章响应文件格式5</w:t>
            </w:r>
          </w:p>
        </w:tc>
      </w:tr>
      <w:tr w14:paraId="3FCA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4E745264">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14:paraId="7E12B2B2">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14:paraId="724DA172">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58AF6851">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详见第六章响应文件格式6</w:t>
            </w:r>
          </w:p>
        </w:tc>
      </w:tr>
      <w:tr w14:paraId="038D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072BD912">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14:paraId="149BCEEE">
            <w:pPr>
              <w:spacing w:after="50" w:line="240" w:lineRule="exact"/>
              <w:ind w:right="-10" w:firstLine="105"/>
              <w:jc w:val="center"/>
              <w:rPr>
                <w:rFonts w:ascii="宋体" w:hAnsi="宋体" w:eastAsia="宋体" w:cs="@仿宋_GB2312"/>
                <w:szCs w:val="21"/>
              </w:rPr>
            </w:pPr>
            <w:r>
              <w:rPr>
                <w:rFonts w:hint="eastAsia" w:ascii="宋体" w:hAnsi="宋体" w:eastAsia="宋体" w:cs="@仿宋_GB2312"/>
                <w:szCs w:val="21"/>
              </w:rPr>
              <w:t>供应商证明资料</w:t>
            </w:r>
          </w:p>
          <w:p w14:paraId="200CD5B7">
            <w:pPr>
              <w:spacing w:after="50" w:line="240" w:lineRule="exact"/>
              <w:ind w:right="-10" w:firstLine="105"/>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14:paraId="68DA7473">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69E15A73">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详见第六章响应文件格式7</w:t>
            </w:r>
          </w:p>
        </w:tc>
      </w:tr>
      <w:tr w14:paraId="3CFA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6121FCE4">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8</w:t>
            </w:r>
          </w:p>
        </w:tc>
        <w:tc>
          <w:tcPr>
            <w:tcW w:w="2061" w:type="dxa"/>
            <w:vAlign w:val="center"/>
          </w:tcPr>
          <w:p w14:paraId="588AA84D">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14:paraId="3041E2B8">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14:paraId="03CE5344">
            <w:pPr>
              <w:adjustRightInd w:val="0"/>
              <w:snapToGrid w:val="0"/>
              <w:spacing w:line="400" w:lineRule="exact"/>
              <w:ind w:right="-10" w:firstLine="105"/>
              <w:jc w:val="left"/>
              <w:rPr>
                <w:rFonts w:ascii="宋体" w:hAnsi="宋体" w:eastAsia="宋体" w:cs="@仿宋_GB2312"/>
                <w:szCs w:val="21"/>
              </w:rPr>
            </w:pPr>
          </w:p>
        </w:tc>
      </w:tr>
      <w:tr w14:paraId="56FA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14:paraId="3D806B94">
            <w:pPr>
              <w:spacing w:line="400" w:lineRule="exact"/>
              <w:ind w:firstLine="105"/>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14:paraId="1144B435">
      <w:pPr>
        <w:spacing w:line="360" w:lineRule="auto"/>
        <w:ind w:firstLine="120"/>
        <w:rPr>
          <w:rFonts w:ascii="宋体" w:hAnsi="宋体" w:eastAsia="宋体" w:cs="@仿宋_GB2312"/>
          <w:b/>
          <w:bCs/>
          <w:sz w:val="24"/>
          <w:szCs w:val="20"/>
        </w:rPr>
      </w:pPr>
    </w:p>
    <w:p w14:paraId="45F26710">
      <w:pPr>
        <w:spacing w:line="360" w:lineRule="auto"/>
        <w:ind w:firstLine="120"/>
        <w:rPr>
          <w:rFonts w:ascii="宋体" w:hAnsi="宋体" w:eastAsia="宋体" w:cs="@仿宋_GB2312"/>
          <w:b/>
          <w:bCs/>
          <w:sz w:val="24"/>
          <w:szCs w:val="20"/>
        </w:rPr>
      </w:pPr>
    </w:p>
    <w:p w14:paraId="1AFB40F0">
      <w:pPr>
        <w:spacing w:line="360" w:lineRule="auto"/>
        <w:ind w:firstLine="120"/>
        <w:rPr>
          <w:rFonts w:ascii="宋体" w:hAnsi="宋体" w:eastAsia="宋体" w:cs="@仿宋_GB2312"/>
          <w:b/>
          <w:bCs/>
          <w:sz w:val="24"/>
          <w:szCs w:val="20"/>
        </w:rPr>
      </w:pPr>
    </w:p>
    <w:tbl>
      <w:tblPr>
        <w:tblStyle w:val="1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14:paraId="2959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14:paraId="13A1FC03">
            <w:pPr>
              <w:adjustRightInd w:val="0"/>
              <w:snapToGrid w:val="0"/>
              <w:spacing w:line="400" w:lineRule="exact"/>
              <w:ind w:right="-10" w:firstLine="105"/>
              <w:jc w:val="center"/>
              <w:rPr>
                <w:rFonts w:ascii="宋体" w:hAnsi="宋体" w:eastAsia="宋体" w:cs="@仿宋_GB2312"/>
                <w:b/>
                <w:szCs w:val="21"/>
              </w:rPr>
            </w:pPr>
            <w:r>
              <w:rPr>
                <w:rFonts w:hint="eastAsia" w:ascii="宋体" w:hAnsi="宋体" w:eastAsia="宋体" w:cs="@仿宋_GB2312"/>
                <w:b/>
                <w:szCs w:val="21"/>
              </w:rPr>
              <w:t>（二）商务评审表</w:t>
            </w:r>
          </w:p>
        </w:tc>
      </w:tr>
      <w:tr w14:paraId="0614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14:paraId="38BCC812">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14:paraId="24A92858">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14:paraId="3492440C">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14:paraId="4956B7AA">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14:paraId="3CAA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14:paraId="06A71A15">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14:paraId="5898757D">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14:paraId="2F2BE973">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499D1396">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详见第六章响应文件格式9</w:t>
            </w:r>
          </w:p>
        </w:tc>
      </w:tr>
      <w:tr w14:paraId="1791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14:paraId="57D3FE9F">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14:paraId="1F8FCA06">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14:paraId="2E98AEFF">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379EE62F">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详见第六章响应文件格式10</w:t>
            </w:r>
          </w:p>
        </w:tc>
      </w:tr>
      <w:tr w14:paraId="4C65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14:paraId="2B667DE0">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14:paraId="2544A191">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14:paraId="16D75A6A">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77E3E88B">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详见第六章响应文件格式11</w:t>
            </w:r>
          </w:p>
        </w:tc>
      </w:tr>
      <w:tr w14:paraId="2CE9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14:paraId="0647D164">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14:paraId="60AAFC59">
      <w:pPr>
        <w:widowControl/>
        <w:jc w:val="left"/>
        <w:rPr>
          <w:rFonts w:ascii="宋体" w:hAnsi="宋体" w:eastAsia="宋体" w:cs="@仿宋_GB2312"/>
          <w:sz w:val="24"/>
          <w:szCs w:val="20"/>
        </w:rPr>
      </w:pPr>
    </w:p>
    <w:p w14:paraId="3A80F89F">
      <w:pPr>
        <w:spacing w:line="240" w:lineRule="exact"/>
        <w:ind w:firstLine="141"/>
        <w:jc w:val="center"/>
        <w:outlineLvl w:val="0"/>
        <w:rPr>
          <w:rFonts w:ascii="宋体" w:hAnsi="宋体" w:eastAsia="宋体" w:cs="@仿宋_GB2312"/>
          <w:b/>
          <w:sz w:val="28"/>
          <w:szCs w:val="20"/>
        </w:rPr>
      </w:pPr>
      <w:bookmarkStart w:id="6" w:name="_Toc12791"/>
    </w:p>
    <w:p w14:paraId="09FC1609">
      <w:pPr>
        <w:spacing w:line="360" w:lineRule="auto"/>
        <w:ind w:firstLine="141"/>
        <w:jc w:val="center"/>
        <w:outlineLvl w:val="0"/>
        <w:rPr>
          <w:rFonts w:ascii="宋体" w:hAnsi="宋体" w:eastAsia="宋体" w:cs="@仿宋_GB2312"/>
          <w:b/>
          <w:sz w:val="28"/>
          <w:szCs w:val="20"/>
        </w:rPr>
      </w:pPr>
    </w:p>
    <w:p w14:paraId="727AAB1F">
      <w:pPr>
        <w:spacing w:line="360" w:lineRule="auto"/>
        <w:ind w:firstLine="141"/>
        <w:jc w:val="center"/>
        <w:outlineLvl w:val="0"/>
        <w:rPr>
          <w:rFonts w:ascii="宋体" w:hAnsi="宋体" w:eastAsia="宋体" w:cs="@仿宋_GB2312"/>
          <w:b/>
          <w:sz w:val="28"/>
          <w:szCs w:val="20"/>
        </w:rPr>
      </w:pPr>
    </w:p>
    <w:p w14:paraId="70AC4F66">
      <w:pPr>
        <w:spacing w:line="360" w:lineRule="auto"/>
        <w:ind w:firstLine="141"/>
        <w:jc w:val="center"/>
        <w:outlineLvl w:val="0"/>
        <w:rPr>
          <w:rFonts w:ascii="宋体" w:hAnsi="宋体" w:eastAsia="宋体" w:cs="@仿宋_GB2312"/>
          <w:b/>
          <w:sz w:val="28"/>
          <w:szCs w:val="20"/>
        </w:rPr>
      </w:pPr>
    </w:p>
    <w:p w14:paraId="01CA98F4">
      <w:pPr>
        <w:spacing w:line="360" w:lineRule="auto"/>
        <w:ind w:firstLine="141"/>
        <w:jc w:val="center"/>
        <w:outlineLvl w:val="0"/>
        <w:rPr>
          <w:rFonts w:ascii="宋体" w:hAnsi="宋体" w:eastAsia="宋体" w:cs="@仿宋_GB2312"/>
          <w:b/>
          <w:sz w:val="28"/>
          <w:szCs w:val="20"/>
        </w:rPr>
      </w:pPr>
    </w:p>
    <w:p w14:paraId="25FC779F">
      <w:pPr>
        <w:spacing w:line="360" w:lineRule="auto"/>
        <w:ind w:firstLine="141"/>
        <w:jc w:val="center"/>
        <w:outlineLvl w:val="0"/>
        <w:rPr>
          <w:rFonts w:ascii="宋体" w:hAnsi="宋体" w:eastAsia="宋体" w:cs="@仿宋_GB2312"/>
          <w:b/>
          <w:sz w:val="28"/>
          <w:szCs w:val="20"/>
        </w:rPr>
      </w:pPr>
    </w:p>
    <w:p w14:paraId="3426ECB0">
      <w:pPr>
        <w:spacing w:line="360" w:lineRule="auto"/>
        <w:ind w:firstLine="141"/>
        <w:jc w:val="center"/>
        <w:outlineLvl w:val="0"/>
        <w:rPr>
          <w:rFonts w:ascii="宋体" w:hAnsi="宋体" w:eastAsia="宋体" w:cs="@仿宋_GB2312"/>
          <w:b/>
          <w:sz w:val="28"/>
          <w:szCs w:val="20"/>
        </w:rPr>
      </w:pPr>
    </w:p>
    <w:p w14:paraId="6A1970A2">
      <w:pPr>
        <w:spacing w:line="360" w:lineRule="auto"/>
        <w:ind w:firstLine="141"/>
        <w:jc w:val="center"/>
        <w:outlineLvl w:val="0"/>
        <w:rPr>
          <w:rFonts w:ascii="宋体" w:hAnsi="宋体" w:eastAsia="宋体" w:cs="@仿宋_GB2312"/>
          <w:b/>
          <w:sz w:val="28"/>
          <w:szCs w:val="20"/>
        </w:rPr>
      </w:pPr>
    </w:p>
    <w:p w14:paraId="79B38B44">
      <w:pPr>
        <w:spacing w:line="360" w:lineRule="auto"/>
        <w:ind w:firstLine="141"/>
        <w:jc w:val="center"/>
        <w:outlineLvl w:val="0"/>
        <w:rPr>
          <w:rFonts w:ascii="宋体" w:hAnsi="宋体" w:eastAsia="宋体" w:cs="@仿宋_GB2312"/>
          <w:b/>
          <w:sz w:val="28"/>
          <w:szCs w:val="20"/>
        </w:rPr>
      </w:pPr>
    </w:p>
    <w:p w14:paraId="06F2408F">
      <w:pPr>
        <w:spacing w:line="360" w:lineRule="auto"/>
        <w:ind w:firstLine="141"/>
        <w:jc w:val="center"/>
        <w:outlineLvl w:val="0"/>
        <w:rPr>
          <w:rFonts w:ascii="宋体" w:hAnsi="宋体" w:eastAsia="宋体" w:cs="@仿宋_GB2312"/>
          <w:b/>
          <w:sz w:val="28"/>
          <w:szCs w:val="20"/>
        </w:rPr>
      </w:pPr>
    </w:p>
    <w:p w14:paraId="40EF5F9C">
      <w:pPr>
        <w:spacing w:line="360" w:lineRule="auto"/>
        <w:ind w:firstLine="141"/>
        <w:jc w:val="center"/>
        <w:outlineLvl w:val="0"/>
        <w:rPr>
          <w:rFonts w:ascii="宋体" w:hAnsi="宋体" w:eastAsia="宋体" w:cs="@仿宋_GB2312"/>
          <w:b/>
          <w:sz w:val="28"/>
          <w:szCs w:val="20"/>
        </w:rPr>
      </w:pPr>
    </w:p>
    <w:p w14:paraId="3C401672">
      <w:pPr>
        <w:spacing w:line="360" w:lineRule="auto"/>
        <w:ind w:firstLine="141"/>
        <w:jc w:val="center"/>
        <w:outlineLvl w:val="0"/>
        <w:rPr>
          <w:rFonts w:ascii="宋体" w:hAnsi="宋体" w:eastAsia="宋体" w:cs="@仿宋_GB2312"/>
          <w:b/>
          <w:sz w:val="28"/>
          <w:szCs w:val="20"/>
        </w:rPr>
      </w:pPr>
    </w:p>
    <w:p w14:paraId="2744968A">
      <w:pPr>
        <w:spacing w:line="360" w:lineRule="auto"/>
        <w:ind w:firstLine="141"/>
        <w:jc w:val="center"/>
        <w:outlineLvl w:val="0"/>
        <w:rPr>
          <w:rFonts w:ascii="宋体" w:hAnsi="宋体" w:eastAsia="宋体" w:cs="@仿宋_GB2312"/>
          <w:b/>
          <w:sz w:val="28"/>
          <w:szCs w:val="20"/>
        </w:rPr>
      </w:pPr>
    </w:p>
    <w:bookmarkEnd w:id="6"/>
    <w:p w14:paraId="334FBD40">
      <w:pPr>
        <w:pStyle w:val="19"/>
        <w:numPr>
          <w:ilvl w:val="0"/>
          <w:numId w:val="2"/>
        </w:numPr>
        <w:spacing w:line="360" w:lineRule="auto"/>
        <w:ind w:firstLineChars="0"/>
        <w:jc w:val="center"/>
        <w:outlineLvl w:val="0"/>
        <w:rPr>
          <w:rFonts w:ascii="宋体" w:hAnsi="宋体" w:eastAsia="宋体" w:cs="@仿宋_GB2312"/>
          <w:b/>
          <w:sz w:val="28"/>
          <w:szCs w:val="20"/>
        </w:rPr>
      </w:pPr>
      <w:r>
        <w:rPr>
          <w:rFonts w:hint="eastAsia" w:ascii="宋体" w:hAnsi="宋体" w:eastAsia="宋体" w:cs="@仿宋_GB2312"/>
          <w:b/>
          <w:sz w:val="28"/>
          <w:szCs w:val="20"/>
        </w:rPr>
        <w:t xml:space="preserve"> </w:t>
      </w:r>
      <w:r>
        <w:rPr>
          <w:rFonts w:ascii="宋体" w:hAnsi="宋体" w:eastAsia="宋体" w:cs="@仿宋_GB2312"/>
          <w:b/>
          <w:sz w:val="28"/>
          <w:szCs w:val="20"/>
        </w:rPr>
        <w:t>采购合同</w:t>
      </w:r>
      <w:r>
        <w:rPr>
          <w:rFonts w:hint="eastAsia" w:ascii="宋体" w:hAnsi="宋体" w:eastAsia="宋体" w:cs="@仿宋_GB2312"/>
          <w:b/>
          <w:sz w:val="28"/>
          <w:szCs w:val="20"/>
        </w:rPr>
        <w:t>模板</w:t>
      </w:r>
    </w:p>
    <w:p w14:paraId="02A7F7D2">
      <w:pPr>
        <w:pStyle w:val="4"/>
        <w:spacing w:line="560" w:lineRule="exact"/>
        <w:ind w:firstLine="2221" w:firstLineChars="790"/>
        <w:rPr>
          <w:rFonts w:hAnsi="宋体" w:cs="@仿宋_GB2312"/>
          <w:b/>
          <w:sz w:val="28"/>
          <w:szCs w:val="20"/>
        </w:rPr>
      </w:pPr>
      <w:r>
        <w:rPr>
          <w:rFonts w:hint="eastAsia" w:hAnsi="宋体" w:cs="@仿宋_GB2312"/>
          <w:b/>
          <w:sz w:val="28"/>
          <w:szCs w:val="20"/>
        </w:rPr>
        <w:t>百大商业大厦配套电缆敷设工程项目合同</w:t>
      </w:r>
    </w:p>
    <w:p w14:paraId="1813A252">
      <w:pPr>
        <w:adjustRightInd w:val="0"/>
        <w:snapToGrid w:val="0"/>
        <w:spacing w:line="440" w:lineRule="exact"/>
        <w:rPr>
          <w:rFonts w:ascii="宋体" w:hAnsi="宋体" w:cs="宋体"/>
          <w:b/>
          <w:kern w:val="0"/>
          <w:sz w:val="24"/>
        </w:rPr>
      </w:pPr>
    </w:p>
    <w:p w14:paraId="5114753B">
      <w:pPr>
        <w:adjustRightInd w:val="0"/>
        <w:snapToGrid w:val="0"/>
        <w:spacing w:line="440" w:lineRule="exact"/>
        <w:rPr>
          <w:rFonts w:ascii="宋体" w:hAnsi="宋体" w:cs="宋体"/>
          <w:sz w:val="24"/>
          <w:u w:val="single"/>
        </w:rPr>
      </w:pPr>
      <w:r>
        <w:rPr>
          <w:rFonts w:hint="eastAsia" w:ascii="宋体" w:hAnsi="宋体" w:cs="宋体"/>
          <w:b/>
          <w:kern w:val="0"/>
          <w:sz w:val="24"/>
        </w:rPr>
        <w:t>发包人</w:t>
      </w:r>
      <w:r>
        <w:rPr>
          <w:rFonts w:hint="eastAsia" w:ascii="宋体" w:hAnsi="宋体" w:cs="宋体"/>
          <w:kern w:val="0"/>
          <w:sz w:val="24"/>
        </w:rPr>
        <w:t>（甲方）</w:t>
      </w:r>
      <w:r>
        <w:rPr>
          <w:rFonts w:hint="eastAsia" w:ascii="宋体" w:hAnsi="宋体" w:cs="宋体"/>
          <w:b/>
          <w:kern w:val="0"/>
          <w:sz w:val="24"/>
        </w:rPr>
        <w:t>：</w:t>
      </w:r>
      <w:r>
        <w:rPr>
          <w:rFonts w:hint="eastAsia" w:ascii="宋体" w:hAnsi="宋体" w:cs="宋体"/>
          <w:kern w:val="0"/>
          <w:sz w:val="24"/>
          <w:u w:val="single"/>
        </w:rPr>
        <w:t xml:space="preserve">  合肥百货大楼集团商业大厦有限责任公司     </w:t>
      </w:r>
    </w:p>
    <w:p w14:paraId="075B57E6">
      <w:pPr>
        <w:adjustRightInd w:val="0"/>
        <w:snapToGrid w:val="0"/>
        <w:spacing w:line="440" w:lineRule="exact"/>
        <w:rPr>
          <w:rFonts w:ascii="宋体" w:hAnsi="宋体" w:cs="宋体"/>
          <w:sz w:val="24"/>
          <w:u w:val="single"/>
        </w:rPr>
      </w:pPr>
      <w:r>
        <w:rPr>
          <w:rFonts w:hint="eastAsia" w:ascii="宋体" w:hAnsi="宋体" w:cs="宋体"/>
          <w:b/>
          <w:kern w:val="0"/>
          <w:sz w:val="24"/>
        </w:rPr>
        <w:t>承包人</w:t>
      </w:r>
      <w:r>
        <w:rPr>
          <w:rFonts w:hint="eastAsia" w:ascii="宋体" w:hAnsi="宋体" w:cs="宋体"/>
          <w:kern w:val="0"/>
          <w:sz w:val="24"/>
        </w:rPr>
        <w:t>（乙方）</w:t>
      </w:r>
      <w:r>
        <w:rPr>
          <w:rFonts w:hint="eastAsia" w:ascii="宋体" w:hAnsi="宋体" w:cs="宋体"/>
          <w:b/>
          <w:kern w:val="0"/>
          <w:sz w:val="24"/>
        </w:rPr>
        <w:t>：</w:t>
      </w:r>
      <w:r>
        <w:rPr>
          <w:rFonts w:hint="eastAsia" w:ascii="宋体" w:hAnsi="宋体" w:cs="宋体"/>
          <w:kern w:val="0"/>
          <w:sz w:val="24"/>
          <w:u w:val="single"/>
        </w:rPr>
        <w:t xml:space="preserve">                                           </w:t>
      </w:r>
    </w:p>
    <w:p w14:paraId="181B94C6">
      <w:pPr>
        <w:widowControl/>
        <w:spacing w:line="440" w:lineRule="exact"/>
        <w:jc w:val="left"/>
        <w:rPr>
          <w:rFonts w:ascii="宋体" w:hAnsi="宋体" w:cs="宋体"/>
          <w:sz w:val="24"/>
        </w:rPr>
      </w:pPr>
    </w:p>
    <w:p w14:paraId="7CA4B6A5">
      <w:pPr>
        <w:widowControl/>
        <w:adjustRightInd w:val="0"/>
        <w:spacing w:line="440" w:lineRule="exact"/>
        <w:ind w:firstLine="480" w:firstLineChars="200"/>
        <w:jc w:val="left"/>
        <w:rPr>
          <w:rFonts w:ascii="宋体" w:hAnsi="宋体" w:cs="宋体"/>
          <w:kern w:val="0"/>
          <w:sz w:val="24"/>
        </w:rPr>
      </w:pPr>
      <w:r>
        <w:rPr>
          <w:rFonts w:hint="eastAsia" w:ascii="宋体" w:hAnsi="宋体" w:cs="宋体"/>
          <w:sz w:val="24"/>
        </w:rPr>
        <w:t>根据国家现行法律法规相关规定，在遵循平等、自愿、公平和诚实信用原则的基础上，双方就工程施工及有关事项协商一致，共同达成如下协议：</w:t>
      </w:r>
    </w:p>
    <w:p w14:paraId="637B3EAD">
      <w:pPr>
        <w:widowControl/>
        <w:shd w:val="clear" w:color="auto" w:fill="FFFFFF"/>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一、工程概况</w:t>
      </w:r>
    </w:p>
    <w:p w14:paraId="1088A788">
      <w:pPr>
        <w:pStyle w:val="4"/>
        <w:spacing w:line="560" w:lineRule="exact"/>
        <w:ind w:firstLine="480" w:firstLineChars="200"/>
        <w:rPr>
          <w:rFonts w:hAnsi="宋体" w:cs="宋体"/>
          <w:sz w:val="24"/>
          <w:szCs w:val="24"/>
        </w:rPr>
      </w:pPr>
      <w:r>
        <w:rPr>
          <w:rFonts w:hint="eastAsia" w:hAnsi="宋体" w:cs="宋体"/>
          <w:kern w:val="0"/>
          <w:sz w:val="24"/>
        </w:rPr>
        <w:t>1、工程名称：</w:t>
      </w:r>
      <w:r>
        <w:rPr>
          <w:rFonts w:hint="eastAsia" w:hAnsi="宋体" w:cs="宋体"/>
          <w:sz w:val="24"/>
          <w:szCs w:val="24"/>
          <w:u w:val="single"/>
        </w:rPr>
        <w:t>百大商业大厦配套电缆敷设工程</w:t>
      </w:r>
      <w:r>
        <w:rPr>
          <w:rFonts w:hint="eastAsia" w:hAnsi="宋体" w:cs="宋体"/>
          <w:sz w:val="24"/>
          <w:u w:val="single"/>
        </w:rPr>
        <w:t xml:space="preserve"> </w:t>
      </w:r>
      <w:r>
        <w:rPr>
          <w:rFonts w:hint="eastAsia" w:hAnsi="宋体"/>
          <w:sz w:val="24"/>
          <w:u w:val="single"/>
        </w:rPr>
        <w:t xml:space="preserve">   </w:t>
      </w:r>
    </w:p>
    <w:p w14:paraId="7BB483B6">
      <w:pPr>
        <w:widowControl/>
        <w:shd w:val="clear" w:color="auto" w:fill="FFFFFF"/>
        <w:snapToGrid w:val="0"/>
        <w:spacing w:line="440" w:lineRule="exact"/>
        <w:ind w:firstLine="480" w:firstLineChars="200"/>
        <w:jc w:val="left"/>
        <w:rPr>
          <w:rFonts w:ascii="宋体" w:hAnsi="宋体" w:cs="宋体"/>
          <w:kern w:val="0"/>
          <w:sz w:val="24"/>
          <w:u w:val="single"/>
        </w:rPr>
      </w:pPr>
      <w:r>
        <w:rPr>
          <w:rFonts w:hint="eastAsia" w:ascii="宋体" w:hAnsi="宋体" w:cs="宋体"/>
          <w:kern w:val="0"/>
          <w:sz w:val="24"/>
        </w:rPr>
        <w:t>2、工程地点：</w:t>
      </w:r>
      <w:r>
        <w:rPr>
          <w:rFonts w:hint="eastAsia" w:ascii="宋体" w:hAnsi="宋体" w:cs="宋体"/>
          <w:kern w:val="0"/>
          <w:sz w:val="24"/>
          <w:u w:val="single"/>
        </w:rPr>
        <w:t xml:space="preserve">合肥市金寨路1168号             </w:t>
      </w:r>
    </w:p>
    <w:p w14:paraId="42887199">
      <w:pPr>
        <w:snapToGrid w:val="0"/>
        <w:spacing w:line="440" w:lineRule="exact"/>
        <w:ind w:firstLine="480" w:firstLineChars="200"/>
        <w:rPr>
          <w:rFonts w:ascii="宋体" w:hAnsi="宋体" w:cs="宋体"/>
          <w:sz w:val="24"/>
        </w:rPr>
      </w:pPr>
      <w:r>
        <w:rPr>
          <w:rFonts w:hint="eastAsia" w:ascii="宋体" w:hAnsi="宋体" w:cs="宋体"/>
          <w:kern w:val="0"/>
          <w:sz w:val="24"/>
        </w:rPr>
        <w:t>3、</w:t>
      </w:r>
      <w:r>
        <w:rPr>
          <w:rFonts w:hint="eastAsia" w:ascii="宋体" w:hAnsi="宋体" w:cs="宋体"/>
          <w:sz w:val="24"/>
        </w:rPr>
        <w:t>工程范围和内容：</w:t>
      </w:r>
    </w:p>
    <w:p w14:paraId="4431AA88">
      <w:pPr>
        <w:adjustRightInd w:val="0"/>
        <w:snapToGrid w:val="0"/>
        <w:spacing w:line="440" w:lineRule="exact"/>
        <w:ind w:firstLine="480" w:firstLineChars="200"/>
        <w:rPr>
          <w:rFonts w:ascii="宋体" w:hAnsi="宋体" w:cs="宋体"/>
          <w:sz w:val="24"/>
          <w:u w:val="single"/>
        </w:rPr>
      </w:pPr>
      <w:r>
        <w:rPr>
          <w:rFonts w:hint="eastAsia" w:ascii="宋体" w:hAnsi="宋体" w:cs="宋体"/>
          <w:sz w:val="24"/>
        </w:rPr>
        <w:t>3.1、</w:t>
      </w:r>
      <w:r>
        <w:rPr>
          <w:rFonts w:hint="eastAsia" w:ascii="宋体" w:hAnsi="宋体" w:eastAsia="宋体" w:cs="宋体"/>
          <w:kern w:val="0"/>
          <w:sz w:val="24"/>
          <w:u w:val="single"/>
        </w:rPr>
        <w:t>52米电缆(WDZB-YJY4*240+1*120㎜²)采购及敷设安装，电力电缆终端头1个制作安装，6米金属桥架（300㎜*150㎜）采购、安装</w:t>
      </w:r>
      <w:r>
        <w:rPr>
          <w:rFonts w:hint="eastAsia" w:ascii="宋体" w:hAnsi="宋体" w:cs="宋体"/>
          <w:kern w:val="0"/>
          <w:sz w:val="24"/>
          <w:u w:val="single"/>
        </w:rPr>
        <w:t>等。</w:t>
      </w:r>
    </w:p>
    <w:p w14:paraId="700382D5">
      <w:pPr>
        <w:widowControl/>
        <w:shd w:val="clear" w:color="auto" w:fill="FFFFFF"/>
        <w:adjustRightInd w:val="0"/>
        <w:snapToGrid w:val="0"/>
        <w:spacing w:line="440" w:lineRule="exact"/>
        <w:ind w:firstLine="480" w:firstLineChars="200"/>
        <w:jc w:val="left"/>
        <w:rPr>
          <w:rFonts w:ascii="宋体" w:hAnsi="宋体" w:cs="宋体"/>
          <w:kern w:val="0"/>
          <w:sz w:val="24"/>
          <w:u w:val="single"/>
        </w:rPr>
      </w:pPr>
      <w:r>
        <w:rPr>
          <w:rFonts w:hint="eastAsia" w:ascii="宋体" w:hAnsi="宋体" w:cs="宋体"/>
          <w:kern w:val="0"/>
          <w:sz w:val="24"/>
        </w:rPr>
        <w:t>4、承包方式：</w:t>
      </w:r>
      <w:r>
        <w:rPr>
          <w:rFonts w:hint="eastAsia" w:ascii="宋体" w:hAnsi="宋体" w:cs="宋体"/>
          <w:kern w:val="0"/>
          <w:sz w:val="24"/>
          <w:u w:val="single"/>
        </w:rPr>
        <w:t xml:space="preserve"> 总承包      </w:t>
      </w:r>
    </w:p>
    <w:p w14:paraId="4296FC25">
      <w:pPr>
        <w:widowControl/>
        <w:shd w:val="clear" w:color="auto" w:fill="FFFFFF"/>
        <w:adjustRightInd w:val="0"/>
        <w:snapToGrid w:val="0"/>
        <w:spacing w:line="440" w:lineRule="exact"/>
        <w:ind w:firstLine="480" w:firstLineChars="200"/>
        <w:jc w:val="left"/>
        <w:rPr>
          <w:rFonts w:ascii="宋体" w:hAnsi="宋体" w:cs="宋体"/>
          <w:kern w:val="0"/>
          <w:sz w:val="24"/>
          <w:lang w:val="zh-CN"/>
        </w:rPr>
      </w:pPr>
      <w:r>
        <w:rPr>
          <w:rFonts w:hint="eastAsia" w:ascii="宋体" w:hAnsi="宋体" w:cs="宋体"/>
          <w:kern w:val="0"/>
          <w:sz w:val="24"/>
        </w:rPr>
        <w:t>5、履约保证金：签订合同前乙方须向甲方缴纳</w:t>
      </w:r>
      <w:r>
        <w:rPr>
          <w:rFonts w:hint="eastAsia" w:ascii="宋体" w:hAnsi="宋体" w:cs="宋体"/>
          <w:kern w:val="0"/>
          <w:sz w:val="24"/>
          <w:lang w:val="zh-CN"/>
        </w:rPr>
        <w:t>履约保证金，金额为中标价的</w:t>
      </w:r>
      <w:r>
        <w:rPr>
          <w:rFonts w:hint="eastAsia" w:ascii="宋体" w:hAnsi="宋体" w:cs="宋体"/>
          <w:kern w:val="0"/>
          <w:sz w:val="24"/>
          <w:u w:val="single"/>
          <w:lang w:val="zh-CN"/>
        </w:rPr>
        <w:t xml:space="preserve"> 5 </w:t>
      </w:r>
      <w:r>
        <w:rPr>
          <w:rFonts w:hint="eastAsia" w:ascii="宋体" w:hAnsi="宋体" w:cs="宋体"/>
          <w:kern w:val="0"/>
          <w:sz w:val="24"/>
          <w:lang w:val="zh-CN"/>
        </w:rPr>
        <w:t>%，即</w:t>
      </w:r>
      <w:r>
        <w:rPr>
          <w:rFonts w:hint="eastAsia" w:ascii="宋体" w:hAnsi="宋体" w:cs="宋体"/>
          <w:kern w:val="0"/>
          <w:sz w:val="24"/>
          <w:u w:val="single"/>
          <w:lang w:val="zh-CN"/>
        </w:rPr>
        <w:t xml:space="preserve">             </w:t>
      </w:r>
      <w:r>
        <w:rPr>
          <w:rFonts w:hint="eastAsia" w:ascii="宋体" w:hAnsi="宋体" w:cs="宋体"/>
          <w:kern w:val="0"/>
          <w:sz w:val="24"/>
          <w:lang w:val="zh-CN"/>
        </w:rPr>
        <w:t>元，期限至工程竣工验收合格且乙方无违约行为后无息退还。</w:t>
      </w:r>
    </w:p>
    <w:p w14:paraId="23355B39">
      <w:pPr>
        <w:widowControl/>
        <w:shd w:val="clear" w:color="auto" w:fill="FFFFFF"/>
        <w:adjustRightInd w:val="0"/>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二、工期及质量</w:t>
      </w:r>
    </w:p>
    <w:p w14:paraId="137A35D6">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1、计划开工日期：</w:t>
      </w:r>
      <w:r>
        <w:rPr>
          <w:rFonts w:hint="eastAsia" w:ascii="宋体" w:hAnsi="宋体" w:cs="宋体"/>
          <w:kern w:val="0"/>
          <w:sz w:val="24"/>
          <w:u w:val="single"/>
        </w:rPr>
        <w:t xml:space="preserve"> 2025</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日，计划竣工日期：</w:t>
      </w:r>
      <w:r>
        <w:rPr>
          <w:rFonts w:hint="eastAsia" w:ascii="宋体" w:hAnsi="宋体" w:cs="宋体"/>
          <w:kern w:val="0"/>
          <w:sz w:val="24"/>
          <w:u w:val="single"/>
        </w:rPr>
        <w:t xml:space="preserve"> 2025</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日，工期总日历天数为：</w:t>
      </w:r>
      <w:r>
        <w:rPr>
          <w:rFonts w:hint="eastAsia" w:ascii="宋体" w:hAnsi="宋体" w:cs="宋体"/>
          <w:kern w:val="0"/>
          <w:sz w:val="24"/>
          <w:u w:val="single"/>
        </w:rPr>
        <w:t xml:space="preserve">  15  </w:t>
      </w:r>
      <w:r>
        <w:rPr>
          <w:rFonts w:hint="eastAsia" w:ascii="宋体" w:hAnsi="宋体" w:cs="宋体"/>
          <w:kern w:val="0"/>
          <w:sz w:val="24"/>
        </w:rPr>
        <w:t>天。工期总日历天数与根据前述计划开竣工日期计算的工期天数不一致的，以工期总日历天数为准。</w:t>
      </w:r>
    </w:p>
    <w:p w14:paraId="6739F4C1">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2、关于工期延误的责任归属，适用《建设工程施工合同（示范文本）》（GF—2017—0201）通用条款的相关约定。发生应当顺延工期的延误情形时，承包人应当于5日内向监理人和发包人书面提出顺延工期的申请，申请应当载明需要顺延的天数，未按本条约定的期限和内容提出顺延工期申请的，视为承包人放弃顺延工期的主张。</w:t>
      </w:r>
    </w:p>
    <w:p w14:paraId="1F8CFFBC">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3、实际开工时间以发包人或监理单位签发的开工令为准。</w:t>
      </w:r>
    </w:p>
    <w:p w14:paraId="6C4FDEFA">
      <w:pPr>
        <w:snapToGrid w:val="0"/>
        <w:spacing w:line="440" w:lineRule="exact"/>
        <w:ind w:firstLine="480" w:firstLineChars="200"/>
        <w:rPr>
          <w:rFonts w:ascii="宋体" w:hAnsi="宋体" w:cs="宋体"/>
          <w:sz w:val="24"/>
        </w:rPr>
      </w:pPr>
      <w:r>
        <w:rPr>
          <w:rFonts w:hint="eastAsia" w:ascii="宋体" w:hAnsi="宋体" w:cs="宋体"/>
          <w:kern w:val="0"/>
          <w:sz w:val="24"/>
        </w:rPr>
        <w:t>4、实际竣工时间以竣工验收合格</w:t>
      </w:r>
      <w:r>
        <w:rPr>
          <w:rFonts w:hint="eastAsia" w:ascii="宋体" w:hAnsi="宋体" w:cs="宋体"/>
          <w:sz w:val="24"/>
        </w:rPr>
        <w:t>并完成竣工备案（如需）</w:t>
      </w:r>
      <w:r>
        <w:rPr>
          <w:rFonts w:hint="eastAsia" w:ascii="宋体" w:hAnsi="宋体" w:cs="宋体"/>
          <w:kern w:val="0"/>
          <w:sz w:val="24"/>
        </w:rPr>
        <w:t>取得</w:t>
      </w:r>
      <w:r>
        <w:rPr>
          <w:rFonts w:hint="eastAsia" w:ascii="宋体" w:hAnsi="宋体" w:cs="宋体"/>
          <w:sz w:val="24"/>
        </w:rPr>
        <w:t>负责监督本工程的工程质量监督机构出具的工程质量监督报告认为工程质量合格（如需）以及消防主管部门确认消防工程合格的书面文件（如需）为准。</w:t>
      </w:r>
    </w:p>
    <w:p w14:paraId="12BA328B">
      <w:pPr>
        <w:snapToGrid w:val="0"/>
        <w:spacing w:line="440" w:lineRule="exact"/>
        <w:ind w:firstLine="480" w:firstLineChars="200"/>
        <w:rPr>
          <w:rFonts w:ascii="宋体" w:hAnsi="宋体" w:cs="宋体"/>
          <w:kern w:val="0"/>
          <w:sz w:val="24"/>
        </w:rPr>
      </w:pPr>
      <w:r>
        <w:rPr>
          <w:rFonts w:hint="eastAsia" w:ascii="宋体" w:hAnsi="宋体" w:cs="宋体"/>
          <w:kern w:val="0"/>
          <w:sz w:val="24"/>
        </w:rPr>
        <w:t>5、工程质量：合格（</w:t>
      </w:r>
      <w:r>
        <w:rPr>
          <w:rFonts w:hint="eastAsia" w:ascii="宋体" w:hAnsi="宋体" w:cs="宋体"/>
          <w:sz w:val="24"/>
        </w:rPr>
        <w:t>按规范、设计文件与合同约定要求，以孰高为准。)</w:t>
      </w:r>
    </w:p>
    <w:p w14:paraId="1609FBAD">
      <w:pPr>
        <w:widowControl/>
        <w:shd w:val="clear" w:color="auto" w:fill="FFFFFF"/>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三、工程价款及结算</w:t>
      </w:r>
    </w:p>
    <w:p w14:paraId="1A9B5F4F">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sz w:val="24"/>
        </w:rPr>
        <w:t>合同总价为人民币</w:t>
      </w: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bCs/>
          <w:kern w:val="0"/>
          <w:sz w:val="24"/>
        </w:rPr>
        <w:t>（￥</w:t>
      </w:r>
      <w:r>
        <w:rPr>
          <w:rFonts w:hint="eastAsia" w:ascii="宋体" w:hAnsi="宋体" w:cs="宋体"/>
          <w:bCs/>
          <w:kern w:val="0"/>
          <w:sz w:val="24"/>
          <w:u w:val="single"/>
        </w:rPr>
        <w:t xml:space="preserve">       元</w:t>
      </w:r>
      <w:r>
        <w:rPr>
          <w:rFonts w:hint="eastAsia" w:ascii="宋体" w:hAnsi="宋体" w:cs="宋体"/>
          <w:bCs/>
          <w:kern w:val="0"/>
          <w:sz w:val="24"/>
        </w:rPr>
        <w:t>,其中暂列金￥</w:t>
      </w:r>
      <w:r>
        <w:rPr>
          <w:rFonts w:hint="eastAsia" w:ascii="宋体" w:hAnsi="宋体" w:cs="宋体"/>
          <w:bCs/>
          <w:kern w:val="0"/>
          <w:sz w:val="24"/>
          <w:u w:val="single"/>
        </w:rPr>
        <w:t>/ 元</w:t>
      </w:r>
      <w:r>
        <w:rPr>
          <w:rFonts w:hint="eastAsia" w:ascii="宋体" w:hAnsi="宋体" w:cs="宋体"/>
          <w:bCs/>
          <w:kern w:val="0"/>
          <w:sz w:val="24"/>
        </w:rPr>
        <w:t>）</w:t>
      </w:r>
      <w:r>
        <w:rPr>
          <w:rFonts w:hint="eastAsia" w:ascii="宋体" w:hAnsi="宋体" w:cs="宋体"/>
          <w:kern w:val="0"/>
          <w:sz w:val="24"/>
        </w:rPr>
        <w:t xml:space="preserve">，工程清单控制价为 </w:t>
      </w:r>
      <w:r>
        <w:rPr>
          <w:rFonts w:hint="eastAsia" w:ascii="宋体" w:hAnsi="宋体" w:cs="宋体"/>
          <w:kern w:val="0"/>
          <w:sz w:val="24"/>
          <w:u w:val="single"/>
        </w:rPr>
        <w:t xml:space="preserve">/   </w:t>
      </w:r>
      <w:r>
        <w:rPr>
          <w:rFonts w:hint="eastAsia" w:ascii="宋体" w:hAnsi="宋体" w:cs="宋体"/>
          <w:kern w:val="0"/>
          <w:sz w:val="24"/>
        </w:rPr>
        <w:t>元，合同结算费率为：</w:t>
      </w:r>
      <w:r>
        <w:rPr>
          <w:rFonts w:hint="eastAsia" w:ascii="宋体" w:hAnsi="宋体" w:cs="宋体"/>
          <w:kern w:val="0"/>
          <w:sz w:val="24"/>
          <w:u w:val="single"/>
        </w:rPr>
        <w:t xml:space="preserve">/ </w:t>
      </w:r>
      <w:r>
        <w:rPr>
          <w:rFonts w:hint="eastAsia" w:ascii="宋体" w:hAnsi="宋体" w:cs="宋体"/>
          <w:kern w:val="0"/>
          <w:sz w:val="24"/>
        </w:rPr>
        <w:t>%，合同价=工程清单控制价*合同结算费率。</w:t>
      </w:r>
    </w:p>
    <w:p w14:paraId="293E6F20">
      <w:pPr>
        <w:snapToGrid w:val="0"/>
        <w:spacing w:line="440" w:lineRule="exact"/>
        <w:ind w:firstLine="480" w:firstLineChars="200"/>
        <w:rPr>
          <w:rFonts w:ascii="宋体" w:hAnsi="宋体" w:cs="宋体"/>
          <w:sz w:val="24"/>
        </w:rPr>
      </w:pPr>
      <w:r>
        <w:rPr>
          <w:rFonts w:hint="eastAsia" w:ascii="宋体" w:hAnsi="宋体" w:cs="宋体"/>
          <w:kern w:val="0"/>
          <w:sz w:val="24"/>
        </w:rPr>
        <w:t>2、本合同为固定总价合同，</w:t>
      </w:r>
      <w:r>
        <w:rPr>
          <w:rFonts w:hint="eastAsia" w:ascii="宋体" w:hAnsi="宋体" w:cs="宋体"/>
          <w:sz w:val="24"/>
        </w:rPr>
        <w:t>总价包含的风险：</w:t>
      </w:r>
    </w:p>
    <w:p w14:paraId="57349D3B">
      <w:pPr>
        <w:snapToGrid w:val="0"/>
        <w:spacing w:line="440" w:lineRule="exact"/>
        <w:ind w:firstLine="480" w:firstLineChars="200"/>
        <w:rPr>
          <w:rFonts w:ascii="宋体" w:hAnsi="宋体" w:cs="宋体"/>
          <w:sz w:val="24"/>
        </w:rPr>
      </w:pPr>
      <w:r>
        <w:rPr>
          <w:rFonts w:hint="eastAsia" w:ascii="宋体" w:hAnsi="宋体" w:cs="宋体"/>
          <w:sz w:val="24"/>
        </w:rPr>
        <w:t>1)人工、材料、机械费用的市场价格变化；</w:t>
      </w:r>
    </w:p>
    <w:p w14:paraId="43C23611">
      <w:pPr>
        <w:snapToGrid w:val="0"/>
        <w:spacing w:line="440" w:lineRule="exact"/>
        <w:ind w:firstLine="480" w:firstLineChars="200"/>
        <w:rPr>
          <w:rFonts w:ascii="宋体" w:hAnsi="宋体" w:cs="宋体"/>
          <w:sz w:val="24"/>
        </w:rPr>
      </w:pPr>
      <w:r>
        <w:rPr>
          <w:rFonts w:hint="eastAsia" w:ascii="宋体" w:hAnsi="宋体" w:cs="宋体"/>
          <w:sz w:val="24"/>
        </w:rPr>
        <w:t>2）除满足本款第3）项约定可以调整合同总价外，发生除不可抗力以外的其它风险时均不得调整合同总价。</w:t>
      </w:r>
    </w:p>
    <w:p w14:paraId="6069B267">
      <w:pPr>
        <w:widowControl/>
        <w:shd w:val="clear" w:color="auto" w:fill="FFFFFF"/>
        <w:snapToGrid w:val="0"/>
        <w:spacing w:line="440" w:lineRule="exact"/>
        <w:ind w:firstLine="480" w:firstLineChars="200"/>
        <w:jc w:val="left"/>
        <w:rPr>
          <w:rFonts w:hint="eastAsia"/>
          <w:sz w:val="24"/>
        </w:rPr>
      </w:pPr>
      <w:r>
        <w:rPr>
          <w:rFonts w:hint="eastAsia" w:ascii="宋体" w:hAnsi="宋体" w:cs="宋体"/>
          <w:sz w:val="24"/>
        </w:rPr>
        <w:t>3）</w:t>
      </w:r>
      <w:r>
        <w:rPr>
          <w:rFonts w:hint="eastAsia"/>
          <w:sz w:val="24"/>
        </w:rPr>
        <w:t>承包人</w:t>
      </w:r>
      <w:r>
        <w:rPr>
          <w:sz w:val="24"/>
        </w:rPr>
        <w:t>报价前已</w:t>
      </w:r>
      <w:r>
        <w:rPr>
          <w:rFonts w:hint="eastAsia"/>
          <w:sz w:val="24"/>
        </w:rPr>
        <w:t>进行现场勘查并</w:t>
      </w:r>
      <w:r>
        <w:rPr>
          <w:sz w:val="24"/>
        </w:rPr>
        <w:t>全面审核</w:t>
      </w:r>
      <w:r>
        <w:rPr>
          <w:rFonts w:hint="eastAsia"/>
          <w:sz w:val="24"/>
        </w:rPr>
        <w:t>发包人</w:t>
      </w:r>
      <w:r>
        <w:rPr>
          <w:sz w:val="24"/>
        </w:rPr>
        <w:t>发送的工程量清单</w:t>
      </w:r>
      <w:r>
        <w:rPr>
          <w:rFonts w:hint="eastAsia"/>
          <w:sz w:val="24"/>
        </w:rPr>
        <w:t>、</w:t>
      </w:r>
      <w:r>
        <w:rPr>
          <w:sz w:val="24"/>
        </w:rPr>
        <w:t>清单控制价及施工图等数据、资料。</w:t>
      </w:r>
      <w:r>
        <w:rPr>
          <w:rFonts w:hint="eastAsia"/>
          <w:sz w:val="24"/>
        </w:rPr>
        <w:t>承包人</w:t>
      </w:r>
      <w:r>
        <w:rPr>
          <w:sz w:val="24"/>
        </w:rPr>
        <w:t>报价中已充分考虑上述数据、资料中可能存在错误偏差，相应调整已全部包含在</w:t>
      </w:r>
      <w:r>
        <w:rPr>
          <w:rFonts w:hint="eastAsia"/>
          <w:sz w:val="24"/>
        </w:rPr>
        <w:t>报价</w:t>
      </w:r>
      <w:r>
        <w:rPr>
          <w:sz w:val="24"/>
        </w:rPr>
        <w:t>内。</w:t>
      </w:r>
      <w:r>
        <w:rPr>
          <w:rFonts w:hint="eastAsia"/>
          <w:sz w:val="24"/>
        </w:rPr>
        <w:t>无需工程量清单或施工图的零星工程，承包人已经通过现场踏勘合理确定报价。</w:t>
      </w:r>
      <w:r>
        <w:rPr>
          <w:sz w:val="24"/>
        </w:rPr>
        <w:t>合同总价不再因设计变更之外的任何事由调整</w:t>
      </w:r>
      <w:r>
        <w:rPr>
          <w:rFonts w:hint="eastAsia"/>
          <w:sz w:val="24"/>
        </w:rPr>
        <w:t>。</w:t>
      </w:r>
    </w:p>
    <w:p w14:paraId="1AB4B3C0">
      <w:pPr>
        <w:widowControl/>
        <w:shd w:val="clear" w:color="auto" w:fill="FFFFFF"/>
        <w:snapToGrid w:val="0"/>
        <w:spacing w:line="440" w:lineRule="exact"/>
        <w:ind w:firstLine="480" w:firstLineChars="200"/>
        <w:jc w:val="left"/>
        <w:rPr>
          <w:rFonts w:hint="eastAsia"/>
          <w:sz w:val="24"/>
        </w:rPr>
      </w:pPr>
      <w:r>
        <w:rPr>
          <w:sz w:val="24"/>
        </w:rPr>
        <w:t>合同</w:t>
      </w:r>
      <w:r>
        <w:rPr>
          <w:rFonts w:hint="eastAsia"/>
          <w:sz w:val="24"/>
        </w:rPr>
        <w:t>签订</w:t>
      </w:r>
      <w:r>
        <w:rPr>
          <w:sz w:val="24"/>
        </w:rPr>
        <w:t>后</w:t>
      </w:r>
      <w:r>
        <w:rPr>
          <w:rFonts w:hint="eastAsia"/>
          <w:sz w:val="24"/>
        </w:rPr>
        <w:t>承包人</w:t>
      </w:r>
      <w:r>
        <w:rPr>
          <w:sz w:val="24"/>
        </w:rPr>
        <w:t>不得以工程量清单、清单控制价及施工图存在漏项、数量偏差或不合理为由提出延长施工工期、变更合同价或索赔等。</w:t>
      </w:r>
    </w:p>
    <w:p w14:paraId="572DD895">
      <w:pPr>
        <w:widowControl/>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3、本工程工资性工程款为</w:t>
      </w:r>
      <w:r>
        <w:rPr>
          <w:rFonts w:hint="eastAsia" w:ascii="宋体" w:hAnsi="宋体" w:cs="宋体"/>
          <w:sz w:val="24"/>
          <w:u w:val="single"/>
        </w:rPr>
        <w:t xml:space="preserve">（本工程清单控制价的20%）      </w:t>
      </w:r>
      <w:r>
        <w:rPr>
          <w:rFonts w:hint="eastAsia" w:ascii="宋体" w:hAnsi="宋体" w:cs="宋体"/>
          <w:sz w:val="24"/>
        </w:rPr>
        <w:t>元。农民工工资管理严格按照《安徽省工程建设领域农民工工资支付与监管指引（第一版）》等相关文件要求进行落实。</w:t>
      </w:r>
    </w:p>
    <w:p w14:paraId="517AB43F">
      <w:pPr>
        <w:widowControl/>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4、工程款付款支付：发包人不付预付款，乙方无需提供预付款保函。项目竣工验收合格、完成移交并满足以下条件后，发包人支付至（合同价-负签证金额-暂列金）的80%：</w:t>
      </w:r>
    </w:p>
    <w:p w14:paraId="20E7B229">
      <w:pPr>
        <w:widowControl/>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a、完成竣工备案（如需）；</w:t>
      </w:r>
    </w:p>
    <w:p w14:paraId="04F7A091">
      <w:pPr>
        <w:widowControl/>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b、负责监督本工程的工程质量监督机构出具的工程质量监督报告认为工程质量合格（如需）；</w:t>
      </w:r>
    </w:p>
    <w:p w14:paraId="02770806">
      <w:pPr>
        <w:widowControl/>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c、取得消防主管部门确认消防工程合格的书面文件（如需）；</w:t>
      </w:r>
    </w:p>
    <w:p w14:paraId="780B3A78">
      <w:pPr>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d、乙方提交项目无农民工工资拖欠证明并经发包人核实。</w:t>
      </w:r>
    </w:p>
    <w:p w14:paraId="13FE24EF">
      <w:pPr>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结算审计定案后付至工程最终结算价的97%，剩余3%缺陷责任期（24个月）满后</w:t>
      </w:r>
    </w:p>
    <w:p w14:paraId="3EA4A0B1">
      <w:pPr>
        <w:snapToGrid w:val="0"/>
        <w:spacing w:line="440" w:lineRule="exact"/>
        <w:jc w:val="left"/>
        <w:rPr>
          <w:rFonts w:ascii="宋体" w:hAnsi="宋体" w:cs="宋体"/>
          <w:sz w:val="24"/>
        </w:rPr>
      </w:pPr>
      <w:r>
        <w:rPr>
          <w:rFonts w:hint="eastAsia" w:ascii="宋体" w:hAnsi="宋体" w:cs="宋体"/>
          <w:sz w:val="24"/>
        </w:rPr>
        <w:t>无息退还。质保期为工程验收合格后2年，有防水要求的为5年，具体详见《工程质量保修书》。</w:t>
      </w:r>
    </w:p>
    <w:p w14:paraId="1983707F">
      <w:pPr>
        <w:shd w:val="clear" w:color="auto" w:fill="FFFFFF"/>
        <w:snapToGrid w:val="0"/>
        <w:spacing w:line="440" w:lineRule="exact"/>
        <w:ind w:firstLine="480" w:firstLineChars="200"/>
        <w:jc w:val="left"/>
        <w:rPr>
          <w:rFonts w:ascii="宋体" w:hAnsi="宋体" w:cs="宋体"/>
          <w:sz w:val="24"/>
        </w:rPr>
      </w:pPr>
      <w:r>
        <w:rPr>
          <w:rFonts w:hint="eastAsia" w:ascii="宋体" w:hAnsi="宋体" w:cs="宋体"/>
          <w:sz w:val="24"/>
        </w:rPr>
        <w:t>5、发包人每次付款前承包人应向发包人开具并交付同等金额符合规定的发票，发包人付至工程最终结算价的97%前承包人应按最终结算价提供剩余工程款全额发票，否则发包人有权拒绝付款且不承担任何违约责任。</w:t>
      </w:r>
    </w:p>
    <w:p w14:paraId="728C66BD">
      <w:pPr>
        <w:widowControl/>
        <w:shd w:val="clear" w:color="auto" w:fill="FFFFFF"/>
        <w:snapToGrid w:val="0"/>
        <w:spacing w:line="440" w:lineRule="exact"/>
        <w:ind w:firstLine="480" w:firstLineChars="200"/>
        <w:jc w:val="left"/>
        <w:rPr>
          <w:rFonts w:ascii="宋体" w:hAnsi="宋体" w:cs="宋体"/>
          <w:sz w:val="24"/>
          <w:u w:val="single"/>
        </w:rPr>
      </w:pPr>
      <w:r>
        <w:rPr>
          <w:rFonts w:hint="eastAsia" w:ascii="宋体" w:hAnsi="宋体" w:cs="宋体"/>
          <w:sz w:val="24"/>
        </w:rPr>
        <w:t>双方约定合同价款的其他调整因素：</w:t>
      </w:r>
      <w:r>
        <w:rPr>
          <w:rFonts w:hint="eastAsia" w:ascii="宋体" w:hAnsi="宋体" w:cs="宋体"/>
          <w:sz w:val="24"/>
          <w:u w:val="single"/>
        </w:rPr>
        <w:t xml:space="preserve">  /  </w:t>
      </w:r>
    </w:p>
    <w:p w14:paraId="363A5AC2">
      <w:pPr>
        <w:snapToGrid w:val="0"/>
        <w:spacing w:line="440" w:lineRule="exact"/>
        <w:ind w:firstLine="480" w:firstLineChars="200"/>
        <w:rPr>
          <w:rFonts w:ascii="宋体" w:hAnsi="宋体" w:cs="宋体"/>
          <w:sz w:val="24"/>
        </w:rPr>
      </w:pPr>
      <w:r>
        <w:rPr>
          <w:rFonts w:hint="eastAsia" w:ascii="宋体" w:hAnsi="宋体" w:cs="宋体"/>
          <w:sz w:val="24"/>
        </w:rPr>
        <w:t>6、结算方式</w:t>
      </w:r>
    </w:p>
    <w:p w14:paraId="76364099">
      <w:pPr>
        <w:spacing w:line="440" w:lineRule="exact"/>
        <w:ind w:firstLine="480" w:firstLineChars="200"/>
        <w:rPr>
          <w:rFonts w:ascii="宋体" w:hAnsi="宋体" w:cs="宋体"/>
          <w:sz w:val="24"/>
        </w:rPr>
      </w:pPr>
      <w:r>
        <w:rPr>
          <w:rFonts w:hint="eastAsia" w:ascii="宋体" w:hAnsi="宋体" w:cs="宋体"/>
          <w:sz w:val="24"/>
        </w:rPr>
        <w:t>承包人应当自工程竣工验收合格之日起28天内，向发包人递交竣工结算报告及完整的结算资料（包括但不限于中签通知书、施工合同复印件、全套施工图纸及竣工图纸、开工报告或开工令、施工总体进度计划、隐蔽工程影像资料、工程联系单、工程变更经济签证、竣工验收报告），双方按照本合同约定的合同价款结算方式，进行工程竣工结算。乙方应无条件配合发包人结算审计工作，否则因此产生的后果及责任均由乙方自行承担。</w:t>
      </w:r>
    </w:p>
    <w:p w14:paraId="048DFCC9">
      <w:pPr>
        <w:spacing w:line="440" w:lineRule="exact"/>
        <w:ind w:firstLine="480" w:firstLineChars="200"/>
        <w:rPr>
          <w:rFonts w:ascii="宋体" w:hAnsi="宋体" w:cs="宋体"/>
          <w:sz w:val="24"/>
        </w:rPr>
      </w:pPr>
      <w:r>
        <w:rPr>
          <w:rFonts w:hint="eastAsia" w:ascii="宋体" w:hAnsi="宋体" w:cs="宋体"/>
          <w:sz w:val="24"/>
        </w:rPr>
        <w:t>发包人收到承包人递交的竣工结算报告及完整结算资料后28天内进行核实，给予确认或者提出修改意见；承包人收到发包人提出的修改意见后28天内未予反馈，视为认可发包人修改后的结算价。第三方结算审计单位出具的结算审计报告经双方确认并签字盖章后，由乙方提出结算付款申请，发包人审核后通知经办银行向承包人支付工程竣工结算价款。</w:t>
      </w:r>
    </w:p>
    <w:p w14:paraId="5D418ED1">
      <w:pPr>
        <w:widowControl/>
        <w:shd w:val="clear" w:color="auto" w:fill="FFFFFF"/>
        <w:adjustRightInd w:val="0"/>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五、发包人工作及责任</w:t>
      </w:r>
    </w:p>
    <w:p w14:paraId="49E00FEA">
      <w:pPr>
        <w:widowControl/>
        <w:shd w:val="clear" w:color="auto" w:fill="FFFFFF"/>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1、开工前天，向承包人提供施工图纸或作法，向承包人提供施工所需的水、电等接口，并说明使用注意事项；向承包人提供</w:t>
      </w:r>
      <w:r>
        <w:rPr>
          <w:rFonts w:hint="eastAsia" w:ascii="宋体" w:hAnsi="宋体" w:cs="宋体"/>
          <w:sz w:val="24"/>
        </w:rPr>
        <w:t>材料、工机具的堆放场所等，尽可能为承包人提供施工便利。</w:t>
      </w:r>
    </w:p>
    <w:p w14:paraId="61672329">
      <w:pPr>
        <w:widowControl/>
        <w:shd w:val="clear" w:color="auto" w:fill="FFFFFF"/>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2、指派</w:t>
      </w:r>
      <w:r>
        <w:rPr>
          <w:rFonts w:hint="eastAsia" w:ascii="宋体" w:hAnsi="宋体" w:cs="宋体"/>
          <w:kern w:val="0"/>
          <w:sz w:val="24"/>
          <w:u w:val="single"/>
        </w:rPr>
        <w:t xml:space="preserve">          </w:t>
      </w:r>
      <w:r>
        <w:rPr>
          <w:rFonts w:hint="eastAsia" w:ascii="宋体" w:hAnsi="宋体" w:cs="宋体"/>
          <w:kern w:val="0"/>
          <w:sz w:val="24"/>
        </w:rPr>
        <w:t>为发包人驻工地代表，负责合同履行。对工程质量、进度进行监督检查，办理验收、变更、登记手续和其他事宜。</w:t>
      </w:r>
    </w:p>
    <w:p w14:paraId="6329F0DE">
      <w:pPr>
        <w:widowControl/>
        <w:shd w:val="clear" w:color="auto" w:fill="FFFFFF"/>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3、根据工程项目需要，委托监理单位进行工程监理。</w:t>
      </w:r>
    </w:p>
    <w:p w14:paraId="744E4A6A">
      <w:pPr>
        <w:widowControl/>
        <w:shd w:val="clear" w:color="auto" w:fill="FFFFFF"/>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4、负责施工现场承包人与其他施工单位、工种的交叉施工的协调工作。</w:t>
      </w:r>
    </w:p>
    <w:p w14:paraId="3BEEBAAC">
      <w:pPr>
        <w:widowControl/>
        <w:shd w:val="clear" w:color="auto" w:fill="FFFFFF"/>
        <w:adjustRightInd w:val="0"/>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六、承包人工作及责任</w:t>
      </w:r>
    </w:p>
    <w:p w14:paraId="1D718D5F">
      <w:pPr>
        <w:spacing w:line="440" w:lineRule="exact"/>
        <w:ind w:firstLine="480" w:firstLineChars="200"/>
        <w:rPr>
          <w:rFonts w:ascii="宋体" w:hAnsi="宋体" w:cs="宋体"/>
          <w:sz w:val="24"/>
        </w:rPr>
      </w:pPr>
      <w:r>
        <w:rPr>
          <w:rFonts w:hint="eastAsia" w:ascii="宋体" w:hAnsi="宋体" w:cs="宋体"/>
          <w:kern w:val="0"/>
          <w:sz w:val="24"/>
        </w:rPr>
        <w:t>1、参加发包人组织的施工图纸或作法说明的现场交底，拟定施工方案和进度计划，交发包人审定。</w:t>
      </w:r>
    </w:p>
    <w:p w14:paraId="664D89DB">
      <w:pPr>
        <w:widowControl/>
        <w:shd w:val="clear" w:color="auto" w:fill="FFFFFF"/>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2、指派</w:t>
      </w:r>
      <w:r>
        <w:rPr>
          <w:rFonts w:hint="eastAsia" w:ascii="宋体" w:hAnsi="宋体" w:cs="宋体"/>
          <w:kern w:val="0"/>
          <w:sz w:val="24"/>
          <w:u w:val="single"/>
        </w:rPr>
        <w:t xml:space="preserve">       </w:t>
      </w:r>
      <w:r>
        <w:rPr>
          <w:rFonts w:hint="eastAsia" w:ascii="宋体" w:hAnsi="宋体" w:cs="宋体"/>
          <w:kern w:val="0"/>
          <w:sz w:val="24"/>
        </w:rPr>
        <w:t>为项目经理（身份证号：</w:t>
      </w:r>
      <w:r>
        <w:rPr>
          <w:rFonts w:hint="eastAsia" w:ascii="宋体" w:hAnsi="宋体" w:cs="宋体"/>
          <w:kern w:val="0"/>
          <w:sz w:val="24"/>
          <w:u w:val="single"/>
        </w:rPr>
        <w:t xml:space="preserve">        </w:t>
      </w:r>
      <w:r>
        <w:rPr>
          <w:rFonts w:hint="eastAsia" w:ascii="宋体" w:hAnsi="宋体" w:cs="宋体"/>
          <w:kern w:val="0"/>
          <w:sz w:val="24"/>
        </w:rPr>
        <w:t>建造师证书编号：</w:t>
      </w:r>
      <w:r>
        <w:rPr>
          <w:rFonts w:hint="eastAsia" w:ascii="宋体" w:hAnsi="宋体" w:cs="宋体"/>
          <w:kern w:val="0"/>
          <w:sz w:val="24"/>
          <w:u w:val="single"/>
        </w:rPr>
        <w:t xml:space="preserve">        </w:t>
      </w:r>
      <w:r>
        <w:rPr>
          <w:rFonts w:hint="eastAsia" w:ascii="宋体" w:hAnsi="宋体" w:cs="宋体"/>
          <w:kern w:val="0"/>
          <w:sz w:val="24"/>
        </w:rPr>
        <w:t>），负责合同履行，按要求组织施工，保质、保量、按期完成施工任务，解决由承包人负责的各项事宜。</w:t>
      </w:r>
    </w:p>
    <w:p w14:paraId="1EE34D3C">
      <w:pPr>
        <w:widowControl/>
        <w:snapToGrid w:val="0"/>
        <w:spacing w:line="440" w:lineRule="exact"/>
        <w:ind w:firstLine="480" w:firstLineChars="200"/>
        <w:jc w:val="left"/>
        <w:rPr>
          <w:rFonts w:ascii="宋体" w:hAnsi="宋体" w:cs="宋体"/>
          <w:sz w:val="24"/>
        </w:rPr>
      </w:pPr>
      <w:r>
        <w:rPr>
          <w:rFonts w:hint="eastAsia" w:ascii="宋体" w:hAnsi="宋体" w:cs="宋体"/>
          <w:kern w:val="0"/>
          <w:sz w:val="24"/>
        </w:rPr>
        <w:t>3、负责代发包人办理所承包工程项目依法依规必须办理的《施工许可证》《消防验收合格证》《开业前消防检查合格证》等全部报规报建手续，发包人仅负责提供按要求须发包人提供的相关证照及授权委托书等资料文件并安排专人协助办理，承包人认为发包人提供的资料不齐全的，应当书面通知发包人并列明需补充的资料，否则由此延误的工期由承包人负责，合同工期不顺延。</w:t>
      </w:r>
    </w:p>
    <w:p w14:paraId="2A87FD1C">
      <w:pPr>
        <w:widowControl/>
        <w:shd w:val="clear" w:color="auto" w:fill="FFFFFF"/>
        <w:adjustRightInd w:val="0"/>
        <w:snapToGrid w:val="0"/>
        <w:spacing w:line="440" w:lineRule="exact"/>
        <w:ind w:firstLine="480" w:firstLineChars="200"/>
        <w:jc w:val="left"/>
        <w:rPr>
          <w:rFonts w:ascii="宋体" w:hAnsi="宋体" w:cs="宋体"/>
          <w:sz w:val="24"/>
        </w:rPr>
      </w:pPr>
      <w:r>
        <w:rPr>
          <w:rFonts w:hint="eastAsia" w:ascii="宋体" w:hAnsi="宋体" w:cs="宋体"/>
          <w:kern w:val="0"/>
          <w:sz w:val="24"/>
        </w:rPr>
        <w:t>4、严格执行施工规范、安全操作规程、防火安全规定、环境保护规定；严格按照施工图纸、技术说明书或作法说明进行施工，做好各项质量检查记录；参加竣工验收，编制工程结算；</w:t>
      </w:r>
      <w:r>
        <w:rPr>
          <w:rFonts w:hint="eastAsia" w:ascii="宋体" w:hAnsi="宋体" w:cs="宋体"/>
          <w:sz w:val="24"/>
        </w:rPr>
        <w:t>工程竣工后</w:t>
      </w:r>
      <w:r>
        <w:rPr>
          <w:rFonts w:hint="eastAsia" w:ascii="宋体" w:hAnsi="宋体" w:cs="宋体"/>
          <w:sz w:val="24"/>
          <w:u w:val="single"/>
        </w:rPr>
        <w:t xml:space="preserve">  10  </w:t>
      </w:r>
      <w:r>
        <w:rPr>
          <w:rFonts w:hint="eastAsia" w:ascii="宋体" w:hAnsi="宋体" w:cs="宋体"/>
          <w:sz w:val="24"/>
        </w:rPr>
        <w:t>天内，承包人应向发包人提供完整的竣工资料</w:t>
      </w:r>
      <w:r>
        <w:rPr>
          <w:rFonts w:hint="eastAsia" w:ascii="宋体" w:hAnsi="宋体" w:cs="宋体"/>
          <w:sz w:val="24"/>
          <w:u w:val="single"/>
        </w:rPr>
        <w:t xml:space="preserve"> 4  </w:t>
      </w:r>
      <w:r>
        <w:rPr>
          <w:rFonts w:hint="eastAsia" w:ascii="宋体" w:hAnsi="宋体" w:cs="宋体"/>
          <w:sz w:val="24"/>
        </w:rPr>
        <w:t>套并同步提供电子版文件。</w:t>
      </w:r>
    </w:p>
    <w:p w14:paraId="0E81C096">
      <w:pPr>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5、遵守国家或地方政府及有关部门对施工现场管理的规定，妥善保护好施工现场周围建筑物、设备管线等设施设备。做好施工现场保卫和垃圾消纳等工作，处理好由于施工带来的扰民问题及与周围单位（住户）的关系。</w:t>
      </w:r>
    </w:p>
    <w:p w14:paraId="7B1B016B">
      <w:pPr>
        <w:widowControl/>
        <w:shd w:val="clear" w:color="auto" w:fill="FFFFFF"/>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6、施工中未经发包人书面同意或有关部门批准，不得随意拆改原建筑物结构及各种设备管线。</w:t>
      </w:r>
    </w:p>
    <w:p w14:paraId="7FBBAEE3">
      <w:pPr>
        <w:widowControl/>
        <w:shd w:val="clear" w:color="auto" w:fill="FFFFFF"/>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7、工程未经发包人验收合格之前，由承包人负责对现场的一切设施和工程成品进行保护并承担全部责任。</w:t>
      </w:r>
    </w:p>
    <w:p w14:paraId="4223EB5C">
      <w:pPr>
        <w:widowControl/>
        <w:shd w:val="clear" w:color="auto" w:fill="FFFFFF"/>
        <w:adjustRightInd w:val="0"/>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8、在工程施工期间，承包人应服从发包人的现场管理，确保工程质量、工期及安全文明施工。因承包人原因导致的安全事故和发包人损失，由承包人负责处理并承担全部责任。</w:t>
      </w:r>
    </w:p>
    <w:p w14:paraId="03A5C017">
      <w:pPr>
        <w:widowControl/>
        <w:shd w:val="clear" w:color="auto" w:fill="FFFFFF"/>
        <w:adjustRightInd w:val="0"/>
        <w:snapToGrid w:val="0"/>
        <w:spacing w:line="440" w:lineRule="exact"/>
        <w:ind w:firstLine="480" w:firstLineChars="200"/>
        <w:jc w:val="left"/>
        <w:rPr>
          <w:rFonts w:ascii="宋体" w:hAnsi="宋体" w:cs="宋体"/>
          <w:sz w:val="24"/>
        </w:rPr>
      </w:pPr>
      <w:r>
        <w:rPr>
          <w:rFonts w:hint="eastAsia" w:ascii="宋体" w:hAnsi="宋体" w:cs="宋体"/>
          <w:sz w:val="24"/>
        </w:rPr>
        <w:t>9、承包人须严格遵守项目所在地建设行业主管部门制定的关于建筑工人用工实名制管理的相关制度，切实做好项目建筑工人劳动劳务合同签订、实名信息登记、认证、考勤、工资发放等实名制相关工作。</w:t>
      </w:r>
    </w:p>
    <w:p w14:paraId="0435A6A2">
      <w:pPr>
        <w:adjustRightInd w:val="0"/>
        <w:snapToGrid w:val="0"/>
        <w:spacing w:line="440" w:lineRule="exact"/>
        <w:ind w:firstLine="480" w:firstLineChars="200"/>
        <w:rPr>
          <w:rFonts w:ascii="宋体" w:hAnsi="宋体" w:cs="宋体"/>
          <w:sz w:val="24"/>
        </w:rPr>
      </w:pPr>
      <w:r>
        <w:rPr>
          <w:rFonts w:hint="eastAsia" w:ascii="宋体" w:hAnsi="宋体" w:cs="宋体"/>
          <w:sz w:val="24"/>
        </w:rPr>
        <w:t>10、除国家或地方规定由发包人购买的外，承包人应投保建筑工程一切险或安装工程一切险、农民工工伤险等国家或地方规定承包人必须购买的险种，并支付保险费用，并为施工场地内自有人员生命财产和施工现场的机械设备办理保险，费用由承包人承担，承包人购买的所有保险应对与本工程实施期间发生的因施工所导致的人身伤亡及财产损失承担费用、责任、损失、索赔或诉讼的法律责任，并应当保障发包人免于承担该等责任。</w:t>
      </w:r>
    </w:p>
    <w:p w14:paraId="1B9DEEDE">
      <w:pPr>
        <w:adjustRightInd w:val="0"/>
        <w:snapToGrid w:val="0"/>
        <w:spacing w:line="440" w:lineRule="exact"/>
        <w:ind w:firstLine="480" w:firstLineChars="200"/>
        <w:rPr>
          <w:rFonts w:ascii="宋体" w:hAnsi="宋体" w:cs="宋体"/>
          <w:sz w:val="24"/>
        </w:rPr>
      </w:pPr>
      <w:r>
        <w:rPr>
          <w:rFonts w:hint="eastAsia" w:ascii="宋体" w:hAnsi="宋体" w:cs="宋体"/>
          <w:sz w:val="24"/>
        </w:rPr>
        <w:t>承包人必须为其施工现场的全部人员（包括其员工及为履行合同义务聘请的第三方人员）办理意外伤害保险并支付保险费用，并为施工场地内自有人员生命财产和施工现场的机械设备办理保险，支付保险费用。</w:t>
      </w:r>
    </w:p>
    <w:p w14:paraId="2E140173">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11、承包人施工过程中应当合理节约用水用电，并承担相关水电费用，结算时从工程款中按标准扣除。</w:t>
      </w:r>
    </w:p>
    <w:p w14:paraId="6BEA39BD">
      <w:pPr>
        <w:widowControl/>
        <w:shd w:val="clear" w:color="auto" w:fill="FFFFFF"/>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七、工程变更</w:t>
      </w:r>
    </w:p>
    <w:p w14:paraId="2B8455EC">
      <w:pPr>
        <w:snapToGrid w:val="0"/>
        <w:spacing w:line="440" w:lineRule="exact"/>
        <w:ind w:firstLine="480" w:firstLineChars="200"/>
        <w:rPr>
          <w:rFonts w:ascii="宋体" w:hAnsi="宋体" w:cs="宋体"/>
          <w:sz w:val="24"/>
        </w:rPr>
      </w:pPr>
      <w:r>
        <w:rPr>
          <w:rFonts w:hint="eastAsia" w:ascii="宋体" w:hAnsi="宋体" w:cs="宋体"/>
          <w:sz w:val="24"/>
        </w:rPr>
        <w:t>1、工程变更和设计修改办理的程序：变更由承包人依据规范提出，发包人确认签字盖章后承包人执行；或变更由发包人直接签字盖章书面提出，承包人执行。</w:t>
      </w:r>
    </w:p>
    <w:p w14:paraId="7582EE41">
      <w:pPr>
        <w:numPr>
          <w:ilvl w:val="255"/>
          <w:numId w:val="0"/>
        </w:numPr>
        <w:snapToGrid w:val="0"/>
        <w:spacing w:line="440" w:lineRule="exact"/>
        <w:ind w:firstLine="480" w:firstLineChars="200"/>
        <w:rPr>
          <w:rFonts w:ascii="宋体" w:hAnsi="宋体" w:cs="宋体"/>
          <w:sz w:val="24"/>
        </w:rPr>
      </w:pPr>
      <w:r>
        <w:rPr>
          <w:rFonts w:hint="eastAsia" w:ascii="宋体" w:hAnsi="宋体" w:cs="宋体"/>
          <w:sz w:val="24"/>
        </w:rPr>
        <w:t>2、工程施工过程中，如发包人因实际情况变化提出变更，或承包人按规范提出相关方案并经发包人同意实施的变更，均以签证形式提出。所有签证事项均以承包人及发包人、发包人委托的造价咨询单位（若有）、监理单位（若有）审核签字盖章为准，签证金额以工程竣工结算审计结果为准。</w:t>
      </w:r>
    </w:p>
    <w:p w14:paraId="3CB31FEE">
      <w:pPr>
        <w:numPr>
          <w:ilvl w:val="255"/>
          <w:numId w:val="0"/>
        </w:numPr>
        <w:adjustRightInd w:val="0"/>
        <w:snapToGrid w:val="0"/>
        <w:spacing w:line="440" w:lineRule="exact"/>
        <w:ind w:firstLine="480" w:firstLineChars="200"/>
        <w:rPr>
          <w:rFonts w:ascii="宋体" w:hAnsi="宋体" w:cs="宋体"/>
          <w:sz w:val="24"/>
          <w:u w:val="single"/>
        </w:rPr>
      </w:pPr>
      <w:r>
        <w:rPr>
          <w:rFonts w:hint="eastAsia" w:ascii="宋体" w:hAnsi="宋体" w:cs="宋体"/>
          <w:sz w:val="24"/>
        </w:rPr>
        <w:t>3、工程施工过程中，如发包人因实际情况变化提出变更，或承包人按规范提出相关方案并经发包人同意实施的变更，均以签证形式提出。后期结算过程中签证部分执行价格标准如下：</w:t>
      </w:r>
      <w:r>
        <w:rPr>
          <w:rFonts w:hint="eastAsia" w:ascii="宋体" w:hAnsi="宋体" w:cs="宋体"/>
          <w:sz w:val="24"/>
        </w:rPr>
        <w:br w:type="textWrapping"/>
      </w:r>
      <w:r>
        <w:rPr>
          <w:rFonts w:hint="eastAsia" w:ascii="宋体" w:hAnsi="宋体" w:cs="宋体"/>
          <w:sz w:val="24"/>
        </w:rPr>
        <w:t>（1）已标价工程量清单中有适用于变更工程项目的，采用该项目的单价；</w:t>
      </w:r>
      <w:r>
        <w:rPr>
          <w:rFonts w:hint="eastAsia" w:ascii="宋体" w:hAnsi="宋体" w:cs="宋体"/>
          <w:sz w:val="24"/>
        </w:rPr>
        <w:br w:type="textWrapping"/>
      </w:r>
      <w:r>
        <w:rPr>
          <w:rFonts w:hint="eastAsia" w:ascii="宋体" w:hAnsi="宋体" w:cs="宋体"/>
          <w:sz w:val="24"/>
        </w:rPr>
        <w:t>（2）已标价工程量清单中没有适用但有类似于变更工程项目的，可在合理范围内参照类似项目的单价，经发包人及相关单位审核确认后，作为结算的依据。</w:t>
      </w:r>
      <w:r>
        <w:rPr>
          <w:rFonts w:hint="eastAsia" w:ascii="宋体" w:hAnsi="宋体" w:cs="宋体"/>
          <w:sz w:val="24"/>
        </w:rPr>
        <w:br w:type="textWrapping"/>
      </w:r>
      <w:r>
        <w:rPr>
          <w:rFonts w:hint="eastAsia" w:ascii="宋体" w:hAnsi="宋体" w:cs="宋体"/>
          <w:sz w:val="24"/>
        </w:rPr>
        <w:t>（3）已标价工程量清单中没有适用也没有类似于变更工程项目的，由承包人根据变更工程资料、控制价编制时的计量规则和计价办法、当期的工程造价管理机构发布的信息价格和合同结算费率，提出变更工程项目的单价，经发包人及相关单位审核确认后，作为结算的依据。</w:t>
      </w:r>
      <w:r>
        <w:rPr>
          <w:rFonts w:hint="eastAsia" w:ascii="宋体" w:hAnsi="宋体" w:cs="宋体"/>
          <w:sz w:val="24"/>
        </w:rPr>
        <w:br w:type="textWrapping"/>
      </w:r>
      <w:r>
        <w:rPr>
          <w:rFonts w:hint="eastAsia" w:ascii="宋体" w:hAnsi="宋体" w:cs="宋体"/>
          <w:sz w:val="24"/>
        </w:rPr>
        <w:t>（4）已标价工程量清单中没有适用也没有类似于变更工程项目的，且工程造价管理机构发布的信息价缺价的，应由承包人根据变更工程资料、控制价编制时的计量规则和计价办法和通过市场调查等取得有合法依据的市场价格和合同结算费率，提出变更工程项目的单价，经甲方及相关单位审核签字确认后，作为结算的依据。</w:t>
      </w:r>
    </w:p>
    <w:p w14:paraId="5146DC53">
      <w:pPr>
        <w:snapToGrid w:val="0"/>
        <w:spacing w:line="440" w:lineRule="exact"/>
        <w:ind w:left="789" w:leftChars="200" w:hanging="369" w:hangingChars="153"/>
        <w:rPr>
          <w:rFonts w:ascii="宋体" w:hAnsi="宋体" w:cs="宋体"/>
          <w:b/>
          <w:sz w:val="24"/>
        </w:rPr>
      </w:pPr>
      <w:r>
        <w:rPr>
          <w:rFonts w:hint="eastAsia" w:ascii="宋体" w:hAnsi="宋体" w:cs="宋体"/>
          <w:b/>
          <w:kern w:val="0"/>
          <w:sz w:val="24"/>
        </w:rPr>
        <w:t>八、</w:t>
      </w:r>
      <w:r>
        <w:rPr>
          <w:rFonts w:hint="eastAsia" w:ascii="宋体" w:hAnsi="宋体" w:cs="宋体"/>
          <w:b/>
          <w:sz w:val="24"/>
        </w:rPr>
        <w:t>竣工验收</w:t>
      </w:r>
    </w:p>
    <w:p w14:paraId="5733BEC8">
      <w:pPr>
        <w:adjustRightInd w:val="0"/>
        <w:snapToGrid w:val="0"/>
        <w:spacing w:line="440" w:lineRule="exact"/>
        <w:ind w:firstLine="480" w:firstLineChars="200"/>
        <w:rPr>
          <w:rFonts w:ascii="宋体" w:hAnsi="宋体" w:cs="宋体"/>
          <w:sz w:val="24"/>
        </w:rPr>
      </w:pPr>
      <w:r>
        <w:rPr>
          <w:rFonts w:hint="eastAsia" w:ascii="宋体" w:hAnsi="宋体" w:cs="宋体"/>
          <w:sz w:val="24"/>
        </w:rPr>
        <w:t>1、承包人完成合同范围内的全部工程以及有关工作，按合同约定的内容和份数备齐竣工资料，经自检合格后方可向发包人提交竣工验收申请报告。</w:t>
      </w:r>
    </w:p>
    <w:p w14:paraId="2E3A8813">
      <w:pPr>
        <w:adjustRightInd w:val="0"/>
        <w:snapToGrid w:val="0"/>
        <w:spacing w:line="440" w:lineRule="exact"/>
        <w:ind w:firstLine="480" w:firstLineChars="200"/>
        <w:rPr>
          <w:rFonts w:ascii="宋体" w:hAnsi="宋体" w:cs="宋体"/>
          <w:sz w:val="24"/>
        </w:rPr>
      </w:pPr>
      <w:r>
        <w:rPr>
          <w:rFonts w:hint="eastAsia" w:ascii="宋体" w:hAnsi="宋体" w:cs="宋体"/>
          <w:sz w:val="24"/>
        </w:rPr>
        <w:t>2、发包人收到承包人报送的竣工验收申请报告后</w:t>
      </w:r>
      <w:r>
        <w:rPr>
          <w:rFonts w:hint="eastAsia" w:ascii="宋体" w:hAnsi="宋体" w:cs="宋体"/>
          <w:sz w:val="24"/>
          <w:u w:val="single"/>
        </w:rPr>
        <w:t xml:space="preserve"> 3 </w:t>
      </w:r>
      <w:r>
        <w:rPr>
          <w:rFonts w:hint="eastAsia" w:ascii="宋体" w:hAnsi="宋体" w:cs="宋体"/>
          <w:sz w:val="24"/>
        </w:rPr>
        <w:t>日内组织竣工验收。竣工验收合格的，验收合格后</w:t>
      </w:r>
      <w:r>
        <w:rPr>
          <w:rFonts w:hint="eastAsia" w:ascii="宋体" w:hAnsi="宋体" w:cs="宋体"/>
          <w:sz w:val="24"/>
          <w:u w:val="single"/>
        </w:rPr>
        <w:t xml:space="preserve"> 3 </w:t>
      </w:r>
      <w:r>
        <w:rPr>
          <w:rFonts w:hint="eastAsia" w:ascii="宋体" w:hAnsi="宋体" w:cs="宋体"/>
          <w:sz w:val="24"/>
        </w:rPr>
        <w:t>日内发包人向承包人签发工程接受证书；竣工验收不合格的，承包人须按验收意见对不合格工程返工、修复或采取其他补救措施，由此增加的费用和延误的工期由承包人承担，承包人完成不合格工程的返工、修复或采取其他补救措施后，应当重新向发包人提交竣工验收申请报告。</w:t>
      </w:r>
    </w:p>
    <w:p w14:paraId="00A0D155">
      <w:pPr>
        <w:adjustRightInd w:val="0"/>
        <w:snapToGrid w:val="0"/>
        <w:spacing w:line="440" w:lineRule="exact"/>
        <w:ind w:firstLine="480" w:firstLineChars="200"/>
        <w:rPr>
          <w:rFonts w:ascii="宋体" w:hAnsi="宋体" w:cs="宋体"/>
          <w:sz w:val="24"/>
        </w:rPr>
      </w:pPr>
      <w:r>
        <w:rPr>
          <w:rFonts w:hint="eastAsia" w:ascii="宋体" w:hAnsi="宋体" w:cs="宋体"/>
          <w:sz w:val="24"/>
        </w:rPr>
        <w:t>3、承包人竣工验收后须提供6全套竣工图（含电子版），所有竣工图应为新图纸。</w:t>
      </w:r>
    </w:p>
    <w:p w14:paraId="592F963F">
      <w:pPr>
        <w:adjustRightInd w:val="0"/>
        <w:snapToGrid w:val="0"/>
        <w:spacing w:line="440" w:lineRule="exact"/>
        <w:ind w:firstLine="480" w:firstLineChars="200"/>
        <w:rPr>
          <w:rFonts w:ascii="宋体" w:hAnsi="宋体" w:cs="宋体"/>
          <w:sz w:val="24"/>
        </w:rPr>
      </w:pPr>
      <w:r>
        <w:rPr>
          <w:rFonts w:hint="eastAsia" w:ascii="宋体" w:hAnsi="宋体" w:cs="宋体"/>
          <w:sz w:val="24"/>
        </w:rPr>
        <w:t>4、承包人应当在颁发工程接收证书后3日内完成撤场。</w:t>
      </w:r>
    </w:p>
    <w:p w14:paraId="6ADBEF92">
      <w:pPr>
        <w:snapToGrid w:val="0"/>
        <w:spacing w:line="440" w:lineRule="exact"/>
        <w:ind w:left="789" w:leftChars="200" w:hanging="369" w:hangingChars="153"/>
        <w:rPr>
          <w:rFonts w:ascii="宋体" w:hAnsi="宋体" w:cs="宋体"/>
          <w:b/>
          <w:sz w:val="24"/>
        </w:rPr>
      </w:pPr>
      <w:r>
        <w:rPr>
          <w:rFonts w:hint="eastAsia" w:ascii="宋体" w:hAnsi="宋体" w:cs="宋体"/>
          <w:b/>
          <w:sz w:val="24"/>
        </w:rPr>
        <w:t>九、保修条件及期限</w:t>
      </w:r>
    </w:p>
    <w:p w14:paraId="7D065569">
      <w:pPr>
        <w:snapToGrid w:val="0"/>
        <w:spacing w:line="440" w:lineRule="exact"/>
        <w:ind w:left="223" w:leftChars="106" w:firstLine="480" w:firstLineChars="200"/>
        <w:rPr>
          <w:rFonts w:ascii="宋体" w:hAnsi="宋体" w:cs="宋体"/>
          <w:b/>
          <w:sz w:val="24"/>
        </w:rPr>
      </w:pPr>
      <w:r>
        <w:rPr>
          <w:rFonts w:hint="eastAsia" w:ascii="宋体" w:hAnsi="宋体" w:cs="宋体"/>
          <w:sz w:val="24"/>
        </w:rPr>
        <w:t>按附件《工程质量保修书》执行。</w:t>
      </w:r>
    </w:p>
    <w:p w14:paraId="0086A848">
      <w:pPr>
        <w:snapToGrid w:val="0"/>
        <w:spacing w:line="440" w:lineRule="exact"/>
        <w:ind w:left="789" w:leftChars="200" w:hanging="369" w:hangingChars="153"/>
        <w:rPr>
          <w:rStyle w:val="15"/>
          <w:rFonts w:ascii="宋体" w:hAnsi="宋体" w:cs="宋体"/>
          <w:sz w:val="24"/>
        </w:rPr>
      </w:pPr>
      <w:r>
        <w:rPr>
          <w:rFonts w:hint="eastAsia" w:ascii="宋体" w:hAnsi="宋体" w:cs="宋体"/>
          <w:b/>
          <w:sz w:val="24"/>
        </w:rPr>
        <w:t>十、工程材料供应</w:t>
      </w:r>
    </w:p>
    <w:p w14:paraId="12B4836D">
      <w:pPr>
        <w:widowControl/>
        <w:snapToGrid w:val="0"/>
        <w:spacing w:line="440" w:lineRule="exact"/>
        <w:ind w:firstLine="600" w:firstLineChars="250"/>
        <w:jc w:val="left"/>
        <w:rPr>
          <w:rFonts w:ascii="宋体" w:hAnsi="宋体" w:cs="宋体"/>
          <w:sz w:val="24"/>
          <w:highlight w:val="cyan"/>
        </w:rPr>
      </w:pPr>
      <w:r>
        <w:rPr>
          <w:rFonts w:hint="eastAsia" w:ascii="宋体" w:hAnsi="宋体" w:cs="宋体"/>
          <w:sz w:val="24"/>
        </w:rPr>
        <w:t>1、发包人可根据工程实际需要，自行提出涉及材料的推荐品牌。承包人可选用推荐品牌或不低于推荐品牌质量标准的其它品牌；采用其它品牌的应提供相关技术参数、业绩等供发包人审核，未附说明且未提供相关技术参数、业绩或未经发包人审核通过的，发包人只能从推荐品牌中进行选择，价格不予调整。</w:t>
      </w:r>
    </w:p>
    <w:p w14:paraId="7C42B8C2">
      <w:pPr>
        <w:widowControl/>
        <w:shd w:val="clear" w:color="auto" w:fill="FFFFFF"/>
        <w:snapToGrid w:val="0"/>
        <w:spacing w:line="440" w:lineRule="exact"/>
        <w:ind w:firstLine="600" w:firstLineChars="250"/>
        <w:jc w:val="left"/>
        <w:rPr>
          <w:rFonts w:ascii="宋体" w:hAnsi="宋体" w:cs="宋体"/>
          <w:kern w:val="0"/>
          <w:sz w:val="24"/>
        </w:rPr>
      </w:pPr>
      <w:r>
        <w:rPr>
          <w:rFonts w:hint="eastAsia" w:ascii="宋体" w:hAnsi="宋体" w:cs="宋体"/>
          <w:kern w:val="0"/>
          <w:sz w:val="24"/>
        </w:rPr>
        <w:t>2、承包人负责采购工程所需的材料、设备并承担全部费用，承包人提供的材料、设备应为符合设计要求与国家法律法规等强制性规定的合格产品，承包人应按时供应到现场，并承担运输、搬运、拆除、保管、复试等费用。由承包人供应的材料、设备发生了质量问题或规格差异，禁止使用，如已使用的，须无条件拆除、返工，由此造成的工期影响及其他一切损失由承包人承担。</w:t>
      </w:r>
    </w:p>
    <w:p w14:paraId="53AA40BE">
      <w:pPr>
        <w:snapToGrid w:val="0"/>
        <w:spacing w:line="440" w:lineRule="exact"/>
        <w:ind w:left="789" w:leftChars="200" w:hanging="369" w:hangingChars="153"/>
        <w:rPr>
          <w:rFonts w:ascii="宋体" w:hAnsi="宋体" w:cs="宋体"/>
          <w:b/>
          <w:sz w:val="24"/>
        </w:rPr>
      </w:pPr>
      <w:r>
        <w:rPr>
          <w:rFonts w:hint="eastAsia" w:ascii="宋体" w:hAnsi="宋体" w:cs="宋体"/>
          <w:b/>
          <w:sz w:val="24"/>
        </w:rPr>
        <w:t>十一、安全文明施工</w:t>
      </w:r>
    </w:p>
    <w:p w14:paraId="09944ED4">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1、工程现场必须实行封闭管理，承包人应按本合同约定及相关法律法规规定配置专职安全员。</w:t>
      </w:r>
    </w:p>
    <w:p w14:paraId="3AC6CAF8">
      <w:pPr>
        <w:widowControl/>
        <w:shd w:val="clear" w:color="auto" w:fill="FFFFFF"/>
        <w:snapToGrid w:val="0"/>
        <w:spacing w:line="440" w:lineRule="exact"/>
        <w:jc w:val="left"/>
        <w:rPr>
          <w:rFonts w:ascii="宋体" w:hAnsi="宋体" w:cs="宋体"/>
          <w:kern w:val="0"/>
          <w:sz w:val="24"/>
        </w:rPr>
      </w:pPr>
      <w:r>
        <w:rPr>
          <w:rFonts w:hint="eastAsia" w:ascii="宋体" w:hAnsi="宋体" w:cs="宋体"/>
          <w:kern w:val="0"/>
          <w:sz w:val="24"/>
        </w:rPr>
        <w:t xml:space="preserve">    2、现场动用明火的，承包人须向发包人提供书面申请，取得动火许可后方可施工。</w:t>
      </w:r>
    </w:p>
    <w:p w14:paraId="0FCDC008">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3、因承包人施工造成发包人/承包人/第三方人身损害或财产损失，均由承包人负责处理并承担全部责任。</w:t>
      </w:r>
    </w:p>
    <w:p w14:paraId="64284E10">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4、在发包人正常营业期间开展施工的，须做好相应的安全文明施工措施，不得对发包人的正常经营产生影响。</w:t>
      </w:r>
    </w:p>
    <w:p w14:paraId="742410B4">
      <w:pPr>
        <w:pStyle w:val="28"/>
        <w:snapToGrid w:val="0"/>
        <w:spacing w:line="440" w:lineRule="exact"/>
        <w:ind w:firstLine="480" w:firstLineChars="200"/>
        <w:rPr>
          <w:rFonts w:hAnsi="宋体" w:cs="宋体"/>
          <w:szCs w:val="24"/>
        </w:rPr>
      </w:pPr>
      <w:r>
        <w:rPr>
          <w:rFonts w:hint="eastAsia" w:hAnsi="宋体" w:cs="宋体"/>
          <w:szCs w:val="24"/>
        </w:rPr>
        <w:t>5、具体安全文明施工要求按附件《零星工程安全施工协议书》执行。</w:t>
      </w:r>
    </w:p>
    <w:p w14:paraId="0DCF4532">
      <w:pPr>
        <w:widowControl/>
        <w:shd w:val="clear" w:color="auto" w:fill="FFFFFF"/>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十</w:t>
      </w:r>
      <w:r>
        <w:rPr>
          <w:rFonts w:hint="eastAsia" w:ascii="宋体" w:hAnsi="宋体" w:cs="宋体"/>
          <w:b/>
          <w:sz w:val="24"/>
        </w:rPr>
        <w:t>二、</w:t>
      </w:r>
      <w:r>
        <w:rPr>
          <w:rFonts w:hint="eastAsia" w:ascii="宋体" w:hAnsi="宋体" w:cs="宋体"/>
          <w:b/>
          <w:kern w:val="0"/>
          <w:sz w:val="24"/>
        </w:rPr>
        <w:t>违约责任</w:t>
      </w:r>
    </w:p>
    <w:p w14:paraId="44F921C9">
      <w:pPr>
        <w:snapToGrid w:val="0"/>
        <w:spacing w:line="440" w:lineRule="exact"/>
        <w:ind w:firstLine="480" w:firstLineChars="200"/>
        <w:rPr>
          <w:rFonts w:ascii="宋体" w:hAnsi="宋体" w:cs="宋体"/>
          <w:sz w:val="24"/>
          <w:u w:val="single"/>
        </w:rPr>
      </w:pPr>
      <w:r>
        <w:rPr>
          <w:rFonts w:hint="eastAsia" w:ascii="宋体" w:hAnsi="宋体" w:cs="宋体"/>
          <w:kern w:val="0"/>
          <w:sz w:val="24"/>
        </w:rPr>
        <w:t>1、非因发包人原因逾期竣工，每逾期一天，承包人应按</w:t>
      </w:r>
      <w:r>
        <w:rPr>
          <w:rFonts w:hint="eastAsia" w:ascii="宋体" w:hAnsi="宋体" w:cs="宋体"/>
          <w:kern w:val="0"/>
          <w:sz w:val="24"/>
          <w:u w:val="single"/>
        </w:rPr>
        <w:t xml:space="preserve"> 200</w:t>
      </w:r>
      <w:r>
        <w:rPr>
          <w:rFonts w:hint="eastAsia" w:ascii="宋体" w:hAnsi="宋体" w:cs="宋体"/>
          <w:kern w:val="0"/>
          <w:sz w:val="24"/>
        </w:rPr>
        <w:t>元/天向发包人支付违约金；逾期超过</w:t>
      </w:r>
      <w:r>
        <w:rPr>
          <w:rFonts w:hint="eastAsia" w:ascii="宋体" w:hAnsi="宋体" w:cs="宋体"/>
          <w:kern w:val="0"/>
          <w:sz w:val="24"/>
          <w:u w:val="single"/>
        </w:rPr>
        <w:t xml:space="preserve"> 7</w:t>
      </w:r>
      <w:r>
        <w:rPr>
          <w:rFonts w:hint="eastAsia" w:ascii="宋体" w:hAnsi="宋体" w:cs="宋体"/>
          <w:kern w:val="0"/>
          <w:sz w:val="24"/>
        </w:rPr>
        <w:t>天，承包人应按</w:t>
      </w:r>
      <w:r>
        <w:rPr>
          <w:rFonts w:hint="eastAsia" w:ascii="宋体" w:hAnsi="宋体" w:cs="宋体"/>
          <w:kern w:val="0"/>
          <w:sz w:val="24"/>
          <w:u w:val="single"/>
        </w:rPr>
        <w:t xml:space="preserve"> 1000</w:t>
      </w:r>
      <w:r>
        <w:rPr>
          <w:rFonts w:hint="eastAsia" w:ascii="宋体" w:hAnsi="宋体" w:cs="宋体"/>
          <w:kern w:val="0"/>
          <w:sz w:val="24"/>
        </w:rPr>
        <w:t>元/天向发包人支付违约金，</w:t>
      </w:r>
      <w:r>
        <w:rPr>
          <w:rFonts w:hint="eastAsia" w:ascii="宋体" w:hAnsi="宋体" w:cs="宋体"/>
          <w:bCs/>
          <w:sz w:val="24"/>
        </w:rPr>
        <w:t>同时发包人有权解除合同，承包人应赔偿因此给发包人造成的全部损失（发包人的损失包括但不限于因解除合同、主张违约金或要求承包人赔偿损失而产生的诉讼费、保全费、保全保险费、律师费，以及解除合同后</w:t>
      </w:r>
      <w:r>
        <w:rPr>
          <w:rFonts w:hint="eastAsia" w:ascii="宋体" w:hAnsi="宋体" w:cs="宋体"/>
          <w:sz w:val="24"/>
        </w:rPr>
        <w:t>清场费用、新施工单位重新建点费用等发包人额外承担的费用、</w:t>
      </w:r>
      <w:r>
        <w:rPr>
          <w:rFonts w:hint="eastAsia" w:ascii="宋体" w:hAnsi="宋体" w:cs="宋体"/>
          <w:bCs/>
          <w:sz w:val="24"/>
        </w:rPr>
        <w:t>重新选择施工单位的合同价格与本合同价格的差值），发包人没有解除合同时，承包人仍应按</w:t>
      </w:r>
      <w:r>
        <w:rPr>
          <w:rFonts w:hint="eastAsia" w:ascii="宋体" w:hAnsi="宋体" w:cs="宋体"/>
          <w:kern w:val="0"/>
          <w:sz w:val="24"/>
          <w:u w:val="single"/>
        </w:rPr>
        <w:t xml:space="preserve"> 200</w:t>
      </w:r>
      <w:r>
        <w:rPr>
          <w:rFonts w:hint="eastAsia" w:ascii="宋体" w:hAnsi="宋体" w:cs="宋体"/>
          <w:kern w:val="0"/>
          <w:sz w:val="24"/>
        </w:rPr>
        <w:t>元/天</w:t>
      </w:r>
      <w:r>
        <w:rPr>
          <w:rFonts w:hint="eastAsia" w:ascii="宋体" w:hAnsi="宋体" w:cs="宋体"/>
          <w:bCs/>
          <w:sz w:val="24"/>
        </w:rPr>
        <w:t>的标准向发包人支付违约金</w:t>
      </w:r>
      <w:r>
        <w:rPr>
          <w:rFonts w:hint="eastAsia" w:ascii="宋体" w:hAnsi="宋体" w:cs="宋体"/>
          <w:sz w:val="24"/>
        </w:rPr>
        <w:t>。</w:t>
      </w:r>
    </w:p>
    <w:p w14:paraId="1FF0E65F">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2、如承包人未经发包人同意擅自动火，应按10000元/次的标准向发包人支付违约金。</w:t>
      </w:r>
    </w:p>
    <w:p w14:paraId="5AE04B1E">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3、未经发包人书面同意，承包人擅自拆改原建筑物结构或设备管线，由此发生的损失或事故（包括罚款），由承包人负责处理并承担全部责任，并赔偿因此给发包人造成的全部损失。</w:t>
      </w:r>
    </w:p>
    <w:p w14:paraId="4964B731">
      <w:pPr>
        <w:adjustRightInd w:val="0"/>
        <w:spacing w:line="440" w:lineRule="exact"/>
        <w:ind w:firstLine="480" w:firstLineChars="200"/>
        <w:rPr>
          <w:rFonts w:ascii="宋体" w:hAnsi="宋体" w:cs="宋体"/>
          <w:sz w:val="24"/>
          <w:u w:val="single"/>
        </w:rPr>
      </w:pPr>
      <w:r>
        <w:rPr>
          <w:rFonts w:hint="eastAsia" w:ascii="宋体" w:hAnsi="宋体" w:cs="宋体"/>
          <w:sz w:val="24"/>
        </w:rPr>
        <w:t>4、发包人未按本合同约定接收全部或部分工程的，违约金的计算方法为：发包人自应当接收工程之日起，承担工程照管、成品保护、保管等与工程有关的各项费用。工程验收不合格的，在不影响正常使用的情况下，发包人有权先行使用，但不视为对工程质量的认可，承包人须按验收意见进行整改，并重新申请验收。整改期间发包人的使用行为不产生违约金。</w:t>
      </w:r>
    </w:p>
    <w:p w14:paraId="34A4063E">
      <w:pPr>
        <w:adjustRightInd w:val="0"/>
        <w:spacing w:line="440" w:lineRule="exact"/>
        <w:ind w:firstLine="480" w:firstLineChars="200"/>
        <w:rPr>
          <w:rFonts w:ascii="宋体" w:hAnsi="宋体" w:cs="宋体"/>
          <w:sz w:val="24"/>
          <w:u w:val="single"/>
        </w:rPr>
      </w:pPr>
      <w:r>
        <w:rPr>
          <w:rFonts w:hint="eastAsia" w:ascii="宋体" w:hAnsi="宋体" w:cs="宋体"/>
          <w:sz w:val="24"/>
        </w:rPr>
        <w:t>5.承包人未按时移交工程的，违约金的计算方法为：承包人工期延误时，按合同约定承担逾期竣工违约责任；工程验收合格，但承包人没有及时向发包人移交工程的，承包人应承担工程照管、成品保护、保管等与工程有关的各项费用（执行通用条款），并按照如下方法计算损失赔偿金额：发包人自用部分，按营业损失计算；发包人出售或出租部分，发包人因延期交付而向买受人、承租人支付的违约金为承包人给发包人造成的损失。</w:t>
      </w:r>
    </w:p>
    <w:p w14:paraId="4AFA2941">
      <w:pPr>
        <w:widowControl/>
        <w:shd w:val="clear" w:color="auto" w:fill="FFFFFF"/>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十三、争议或纠纷处理</w:t>
      </w:r>
    </w:p>
    <w:p w14:paraId="3546B781">
      <w:pPr>
        <w:snapToGrid w:val="0"/>
        <w:spacing w:line="440" w:lineRule="exact"/>
        <w:ind w:firstLine="480" w:firstLineChars="200"/>
        <w:rPr>
          <w:rFonts w:ascii="宋体" w:hAnsi="宋体" w:cs="宋体"/>
          <w:sz w:val="24"/>
        </w:rPr>
      </w:pPr>
      <w:r>
        <w:rPr>
          <w:rFonts w:hint="eastAsia" w:ascii="宋体" w:hAnsi="宋体" w:cs="宋体"/>
          <w:kern w:val="0"/>
          <w:sz w:val="24"/>
        </w:rPr>
        <w:t>本合同如发生纠纷，当事人双方应当及时协商解决，协商不成时，</w:t>
      </w:r>
      <w:r>
        <w:rPr>
          <w:rFonts w:hint="eastAsia" w:ascii="宋体" w:hAnsi="宋体" w:cs="宋体"/>
          <w:sz w:val="24"/>
        </w:rPr>
        <w:t>双方均可向工程项目所在地人民法院提起诉讼。</w:t>
      </w:r>
    </w:p>
    <w:p w14:paraId="03178887">
      <w:pPr>
        <w:snapToGrid w:val="0"/>
        <w:spacing w:line="440" w:lineRule="exact"/>
        <w:ind w:firstLine="482" w:firstLineChars="200"/>
        <w:rPr>
          <w:rFonts w:ascii="宋体" w:hAnsi="宋体" w:cs="宋体"/>
          <w:sz w:val="24"/>
        </w:rPr>
      </w:pPr>
      <w:r>
        <w:rPr>
          <w:rFonts w:hint="eastAsia" w:ascii="宋体" w:hAnsi="宋体" w:cs="宋体"/>
          <w:b/>
          <w:kern w:val="0"/>
          <w:sz w:val="24"/>
        </w:rPr>
        <w:t>十四、其它约定</w:t>
      </w:r>
    </w:p>
    <w:p w14:paraId="26521E5E">
      <w:pPr>
        <w:snapToGrid w:val="0"/>
        <w:spacing w:line="440" w:lineRule="exact"/>
        <w:ind w:firstLine="480" w:firstLineChars="200"/>
        <w:rPr>
          <w:rFonts w:ascii="宋体" w:hAnsi="宋体" w:cs="宋体"/>
          <w:sz w:val="24"/>
          <w:u w:val="single"/>
        </w:rPr>
      </w:pPr>
      <w:r>
        <w:rPr>
          <w:rFonts w:hint="eastAsia" w:ascii="宋体" w:hAnsi="宋体" w:cs="宋体"/>
          <w:sz w:val="24"/>
        </w:rPr>
        <w:t>1、本工程不得转包。如乙方不具有相关专业资质的工程项目，需进行分包的，须征得甲方的同意，方可实施。</w:t>
      </w:r>
    </w:p>
    <w:p w14:paraId="097F1061">
      <w:pPr>
        <w:spacing w:line="420" w:lineRule="exact"/>
        <w:ind w:firstLine="480" w:firstLineChars="200"/>
        <w:rPr>
          <w:rFonts w:ascii="宋体" w:hAnsi="宋体" w:cs="宋体"/>
          <w:sz w:val="24"/>
        </w:rPr>
      </w:pPr>
      <w:r>
        <w:rPr>
          <w:rFonts w:hint="eastAsia" w:ascii="宋体" w:hAnsi="宋体" w:cs="宋体"/>
          <w:sz w:val="24"/>
        </w:rPr>
        <w:t>2、本合同依据“</w:t>
      </w:r>
      <w:r>
        <w:rPr>
          <w:rFonts w:hint="eastAsia" w:hAnsi="宋体" w:cs="宋体"/>
          <w:sz w:val="24"/>
        </w:rPr>
        <w:t>百大商业大厦配套电缆敷设工程</w:t>
      </w:r>
      <w:r>
        <w:rPr>
          <w:rFonts w:hint="eastAsia" w:ascii="宋体" w:hAnsi="宋体" w:cs="宋体"/>
          <w:sz w:val="24"/>
        </w:rPr>
        <w:t>项目”，所涉该项目的招标文件及有关附件是本合同不可分割的组成部分，与本合同具有同等法律效力，这些文件包含但不限于：①招标文件、②乙方投标文件、③甲乙双方商定的其他文件。以上文件，顺序在前的具有优先解释权。</w:t>
      </w:r>
    </w:p>
    <w:p w14:paraId="3C6C8425">
      <w:pPr>
        <w:snapToGrid w:val="0"/>
        <w:spacing w:line="440" w:lineRule="exact"/>
        <w:ind w:firstLine="480" w:firstLineChars="200"/>
        <w:rPr>
          <w:rFonts w:ascii="宋体" w:hAnsi="宋体" w:cs="宋体"/>
          <w:sz w:val="24"/>
        </w:rPr>
      </w:pPr>
      <w:r>
        <w:rPr>
          <w:rFonts w:hint="eastAsia" w:ascii="宋体" w:hAnsi="宋体" w:cs="宋体"/>
          <w:sz w:val="24"/>
        </w:rPr>
        <w:t>3、本合同未尽事宜，适用《建设工程施工合同(示范文本)》(GF-2017-0201) 通用条款；该通用条款与本合同有冲突的，优先适用本合同。</w:t>
      </w:r>
    </w:p>
    <w:p w14:paraId="23E76D11">
      <w:pPr>
        <w:widowControl/>
        <w:shd w:val="clear" w:color="auto" w:fill="FFFFFF"/>
        <w:snapToGrid w:val="0"/>
        <w:spacing w:line="440" w:lineRule="exact"/>
        <w:ind w:firstLine="482" w:firstLineChars="200"/>
        <w:jc w:val="left"/>
        <w:rPr>
          <w:rFonts w:ascii="宋体" w:hAnsi="宋体" w:cs="宋体"/>
          <w:b/>
          <w:kern w:val="0"/>
          <w:sz w:val="24"/>
        </w:rPr>
      </w:pPr>
      <w:r>
        <w:rPr>
          <w:rFonts w:hint="eastAsia" w:ascii="宋体" w:hAnsi="宋体" w:cs="宋体"/>
          <w:b/>
          <w:kern w:val="0"/>
          <w:sz w:val="24"/>
        </w:rPr>
        <w:t>十五、附则</w:t>
      </w:r>
    </w:p>
    <w:p w14:paraId="6A6D7376">
      <w:pPr>
        <w:snapToGrid w:val="0"/>
        <w:spacing w:line="440" w:lineRule="exact"/>
        <w:ind w:firstLine="480" w:firstLineChars="200"/>
        <w:rPr>
          <w:rFonts w:ascii="宋体" w:hAnsi="宋体" w:cs="宋体"/>
          <w:sz w:val="24"/>
        </w:rPr>
      </w:pPr>
      <w:r>
        <w:rPr>
          <w:rFonts w:hint="eastAsia" w:ascii="宋体" w:hAnsi="宋体" w:cs="宋体"/>
          <w:sz w:val="24"/>
        </w:rPr>
        <w:t>1、本合同一式陆份，发包人执叁份，承包人执叁份，具体同等法律效力。</w:t>
      </w:r>
    </w:p>
    <w:p w14:paraId="483AA6D1">
      <w:pPr>
        <w:snapToGrid w:val="0"/>
        <w:spacing w:line="440" w:lineRule="exact"/>
        <w:ind w:firstLine="480" w:firstLineChars="200"/>
        <w:rPr>
          <w:rFonts w:ascii="宋体" w:hAnsi="宋体" w:cs="宋体"/>
          <w:sz w:val="24"/>
        </w:rPr>
      </w:pPr>
      <w:r>
        <w:rPr>
          <w:rFonts w:hint="eastAsia" w:ascii="宋体" w:hAnsi="宋体" w:cs="宋体"/>
          <w:sz w:val="24"/>
        </w:rPr>
        <w:t>2、附件：①《工程量清单报价表》、②《零星工程安全施工协议书》、③《工程质量保修书》、附件4：《廉政协议》。</w:t>
      </w:r>
    </w:p>
    <w:p w14:paraId="06E1E586">
      <w:pPr>
        <w:widowControl/>
        <w:shd w:val="clear" w:color="auto" w:fill="FFFFFF"/>
        <w:snapToGrid w:val="0"/>
        <w:spacing w:line="440" w:lineRule="exact"/>
        <w:ind w:firstLine="480" w:firstLineChars="200"/>
        <w:jc w:val="left"/>
        <w:rPr>
          <w:rFonts w:ascii="宋体" w:hAnsi="宋体" w:cs="宋体"/>
          <w:kern w:val="0"/>
          <w:sz w:val="24"/>
        </w:rPr>
      </w:pPr>
      <w:r>
        <w:rPr>
          <w:rFonts w:hint="eastAsia" w:ascii="宋体" w:hAnsi="宋体" w:cs="宋体"/>
          <w:kern w:val="0"/>
          <w:sz w:val="24"/>
        </w:rPr>
        <w:t>3、本合同自甲乙双方签字并盖章之日起生效。、</w:t>
      </w:r>
    </w:p>
    <w:p w14:paraId="4A8A533D">
      <w:pPr>
        <w:widowControl/>
        <w:shd w:val="clear" w:color="auto" w:fill="FFFFFF"/>
        <w:spacing w:line="440" w:lineRule="exact"/>
        <w:jc w:val="left"/>
        <w:rPr>
          <w:rFonts w:ascii="宋体" w:hAnsi="宋体" w:cs="宋体"/>
          <w:b/>
          <w:kern w:val="0"/>
          <w:sz w:val="24"/>
        </w:rPr>
      </w:pPr>
      <w:r>
        <w:rPr>
          <w:rFonts w:hint="eastAsia" w:ascii="宋体" w:hAnsi="宋体" w:cs="宋体"/>
          <w:b/>
          <w:kern w:val="0"/>
          <w:sz w:val="24"/>
        </w:rPr>
        <w:t>---------------------------------以下无正文-----------------------------</w:t>
      </w:r>
    </w:p>
    <w:p w14:paraId="6C838079">
      <w:pPr>
        <w:widowControl/>
        <w:shd w:val="clear" w:color="auto" w:fill="FFFFFF"/>
        <w:spacing w:line="440" w:lineRule="exact"/>
        <w:jc w:val="left"/>
        <w:rPr>
          <w:rFonts w:ascii="宋体" w:hAnsi="宋体" w:cs="宋体"/>
          <w:b/>
          <w:kern w:val="0"/>
          <w:sz w:val="24"/>
        </w:rPr>
      </w:pPr>
    </w:p>
    <w:p w14:paraId="5D8F3E67">
      <w:pPr>
        <w:widowControl/>
        <w:shd w:val="clear" w:color="auto" w:fill="FFFFFF"/>
        <w:spacing w:line="440" w:lineRule="exact"/>
        <w:jc w:val="left"/>
        <w:rPr>
          <w:rFonts w:ascii="宋体" w:hAnsi="宋体" w:cs="宋体"/>
          <w:b/>
          <w:kern w:val="0"/>
          <w:sz w:val="24"/>
        </w:rPr>
      </w:pPr>
      <w:r>
        <w:rPr>
          <w:rFonts w:hint="eastAsia" w:ascii="宋体" w:hAnsi="宋体" w:cs="宋体"/>
          <w:b/>
          <w:kern w:val="0"/>
          <w:sz w:val="24"/>
        </w:rPr>
        <w:t>发包人（盖章）：　　　　　　　　　　　　承包人（盖章）：</w:t>
      </w:r>
    </w:p>
    <w:p w14:paraId="04CD9CD7">
      <w:pPr>
        <w:widowControl/>
        <w:shd w:val="clear" w:color="auto" w:fill="FFFFFF"/>
        <w:spacing w:line="440" w:lineRule="exact"/>
        <w:jc w:val="left"/>
        <w:rPr>
          <w:rFonts w:ascii="宋体" w:hAnsi="宋体" w:cs="宋体"/>
          <w:kern w:val="0"/>
          <w:sz w:val="24"/>
        </w:rPr>
      </w:pPr>
      <w:r>
        <w:rPr>
          <w:rFonts w:hint="eastAsia" w:ascii="宋体" w:hAnsi="宋体" w:cs="宋体"/>
          <w:kern w:val="0"/>
          <w:sz w:val="24"/>
        </w:rPr>
        <w:t>法定代表人：　　　　　　　　　　　　　　法定代表人：</w:t>
      </w:r>
    </w:p>
    <w:p w14:paraId="29A11022">
      <w:pPr>
        <w:widowControl/>
        <w:shd w:val="clear" w:color="auto" w:fill="FFFFFF"/>
        <w:spacing w:line="440" w:lineRule="exact"/>
        <w:jc w:val="left"/>
        <w:rPr>
          <w:rFonts w:ascii="宋体" w:hAnsi="宋体" w:cs="宋体"/>
          <w:kern w:val="0"/>
          <w:sz w:val="24"/>
        </w:rPr>
      </w:pPr>
      <w:r>
        <w:rPr>
          <w:rFonts w:hint="eastAsia" w:ascii="宋体" w:hAnsi="宋体" w:cs="宋体"/>
          <w:kern w:val="0"/>
          <w:sz w:val="24"/>
        </w:rPr>
        <w:t>或代理人：　　　　　　　　　　　　　　　或代理人：</w:t>
      </w:r>
    </w:p>
    <w:p w14:paraId="24F6B0A0">
      <w:pPr>
        <w:widowControl/>
        <w:shd w:val="clear" w:color="auto" w:fill="FFFFFF"/>
        <w:spacing w:line="440" w:lineRule="exact"/>
        <w:jc w:val="left"/>
        <w:rPr>
          <w:rFonts w:ascii="宋体" w:hAnsi="宋体" w:cs="宋体"/>
          <w:kern w:val="0"/>
          <w:sz w:val="24"/>
        </w:rPr>
      </w:pPr>
      <w:r>
        <w:rPr>
          <w:rFonts w:hint="eastAsia" w:ascii="宋体" w:hAnsi="宋体" w:cs="宋体"/>
          <w:kern w:val="0"/>
          <w:sz w:val="24"/>
        </w:rPr>
        <w:t>单位地址：　　　　　　　　　　　　　　　单位地址：</w:t>
      </w:r>
    </w:p>
    <w:p w14:paraId="53AB311A">
      <w:pPr>
        <w:widowControl/>
        <w:shd w:val="clear" w:color="auto" w:fill="FFFFFF"/>
        <w:spacing w:line="440" w:lineRule="exact"/>
        <w:jc w:val="left"/>
        <w:rPr>
          <w:rFonts w:ascii="宋体" w:hAnsi="宋体" w:cs="宋体"/>
          <w:kern w:val="0"/>
          <w:sz w:val="24"/>
        </w:rPr>
      </w:pPr>
      <w:r>
        <w:rPr>
          <w:rFonts w:hint="eastAsia" w:ascii="宋体" w:hAnsi="宋体" w:cs="宋体"/>
          <w:kern w:val="0"/>
          <w:sz w:val="24"/>
        </w:rPr>
        <w:t>电话：　　　　　　　　　　　　　　　　　电话：</w:t>
      </w:r>
    </w:p>
    <w:p w14:paraId="20BC6DC1">
      <w:pPr>
        <w:widowControl/>
        <w:shd w:val="clear" w:color="auto" w:fill="FFFFFF"/>
        <w:spacing w:line="440" w:lineRule="exact"/>
        <w:jc w:val="left"/>
        <w:rPr>
          <w:rFonts w:ascii="宋体" w:hAnsi="宋体" w:cs="宋体"/>
          <w:kern w:val="0"/>
          <w:sz w:val="24"/>
        </w:rPr>
      </w:pPr>
      <w:r>
        <w:rPr>
          <w:rFonts w:hint="eastAsia" w:ascii="宋体" w:hAnsi="宋体" w:cs="宋体"/>
          <w:kern w:val="0"/>
          <w:sz w:val="24"/>
        </w:rPr>
        <w:t>开户银行：　　　　　　　　　　　　　　　开户银行：</w:t>
      </w:r>
    </w:p>
    <w:p w14:paraId="0A82E63E">
      <w:pPr>
        <w:widowControl/>
        <w:shd w:val="clear" w:color="auto" w:fill="FFFFFF"/>
        <w:spacing w:line="440" w:lineRule="exact"/>
        <w:jc w:val="left"/>
        <w:rPr>
          <w:rFonts w:ascii="宋体" w:hAnsi="宋体" w:cs="宋体"/>
          <w:kern w:val="0"/>
          <w:sz w:val="24"/>
        </w:rPr>
      </w:pPr>
      <w:r>
        <w:rPr>
          <w:rFonts w:hint="eastAsia" w:ascii="宋体" w:hAnsi="宋体" w:cs="宋体"/>
          <w:kern w:val="0"/>
          <w:sz w:val="24"/>
        </w:rPr>
        <w:t>户名：　　　　　　　　　　　　　　　　　户名：</w:t>
      </w:r>
    </w:p>
    <w:p w14:paraId="3FE92BB1">
      <w:pPr>
        <w:widowControl/>
        <w:shd w:val="clear" w:color="auto" w:fill="FFFFFF"/>
        <w:spacing w:line="440" w:lineRule="exact"/>
        <w:jc w:val="left"/>
        <w:rPr>
          <w:rFonts w:ascii="新宋体" w:hAnsi="新宋体" w:eastAsia="新宋体" w:cs="宋体"/>
          <w:kern w:val="0"/>
          <w:sz w:val="24"/>
        </w:rPr>
      </w:pPr>
      <w:r>
        <w:rPr>
          <w:rFonts w:hint="eastAsia" w:ascii="新宋体" w:hAnsi="新宋体" w:eastAsia="新宋体" w:cs="宋体"/>
          <w:kern w:val="0"/>
          <w:sz w:val="24"/>
        </w:rPr>
        <w:t>帐号：　　　　　　　　　　　　　　　　　帐号：</w:t>
      </w:r>
    </w:p>
    <w:p w14:paraId="70C03507">
      <w:pPr>
        <w:widowControl/>
        <w:shd w:val="clear" w:color="auto" w:fill="FFFFFF"/>
        <w:spacing w:line="440" w:lineRule="exact"/>
        <w:ind w:right="380"/>
        <w:rPr>
          <w:rFonts w:ascii="新宋体" w:hAnsi="新宋体" w:eastAsia="新宋体" w:cs="宋体"/>
          <w:kern w:val="0"/>
          <w:sz w:val="24"/>
        </w:rPr>
      </w:pPr>
      <w:r>
        <w:rPr>
          <w:rFonts w:hint="eastAsia" w:ascii="新宋体" w:hAnsi="新宋体" w:eastAsia="新宋体" w:cs="宋体"/>
          <w:kern w:val="0"/>
          <w:sz w:val="24"/>
        </w:rPr>
        <w:t>2025年　月　日                         2025年　月　日</w:t>
      </w:r>
    </w:p>
    <w:p w14:paraId="29EE242A">
      <w:pPr>
        <w:widowControl/>
        <w:shd w:val="clear" w:color="auto" w:fill="FFFFFF"/>
        <w:spacing w:line="440" w:lineRule="exact"/>
        <w:ind w:right="380"/>
        <w:rPr>
          <w:rFonts w:ascii="新宋体" w:hAnsi="新宋体" w:eastAsia="新宋体" w:cs="宋体"/>
          <w:kern w:val="0"/>
          <w:sz w:val="24"/>
        </w:rPr>
      </w:pPr>
    </w:p>
    <w:p w14:paraId="589BC80A">
      <w:pPr>
        <w:widowControl/>
        <w:shd w:val="clear" w:color="auto" w:fill="FFFFFF"/>
        <w:spacing w:line="440" w:lineRule="exact"/>
        <w:ind w:right="380"/>
        <w:rPr>
          <w:rFonts w:ascii="新宋体" w:hAnsi="新宋体" w:eastAsia="新宋体" w:cs="宋体"/>
          <w:kern w:val="0"/>
          <w:sz w:val="24"/>
        </w:rPr>
      </w:pPr>
    </w:p>
    <w:p w14:paraId="7E8CE46B">
      <w:pPr>
        <w:widowControl/>
        <w:shd w:val="clear" w:color="auto" w:fill="FFFFFF"/>
        <w:spacing w:line="440" w:lineRule="exact"/>
        <w:ind w:right="380"/>
        <w:rPr>
          <w:rFonts w:ascii="新宋体" w:hAnsi="新宋体" w:eastAsia="新宋体" w:cs="宋体"/>
          <w:kern w:val="0"/>
          <w:sz w:val="24"/>
        </w:rPr>
      </w:pPr>
    </w:p>
    <w:p w14:paraId="2B7FF018">
      <w:pPr>
        <w:widowControl/>
        <w:shd w:val="clear" w:color="auto" w:fill="FFFFFF"/>
        <w:spacing w:line="440" w:lineRule="exact"/>
        <w:ind w:right="380"/>
        <w:rPr>
          <w:rFonts w:ascii="新宋体" w:hAnsi="新宋体" w:eastAsia="新宋体" w:cs="宋体"/>
          <w:kern w:val="0"/>
          <w:sz w:val="24"/>
        </w:rPr>
      </w:pPr>
    </w:p>
    <w:p w14:paraId="40AE1A11">
      <w:pPr>
        <w:widowControl/>
        <w:shd w:val="clear" w:color="auto" w:fill="FFFFFF"/>
        <w:spacing w:line="440" w:lineRule="exact"/>
        <w:ind w:right="380"/>
        <w:rPr>
          <w:rFonts w:ascii="新宋体" w:hAnsi="新宋体" w:eastAsia="新宋体" w:cs="宋体"/>
          <w:kern w:val="0"/>
          <w:sz w:val="24"/>
        </w:rPr>
      </w:pPr>
    </w:p>
    <w:p w14:paraId="2C4C67CF">
      <w:pPr>
        <w:widowControl/>
        <w:shd w:val="clear" w:color="auto" w:fill="FFFFFF"/>
        <w:spacing w:line="440" w:lineRule="exact"/>
        <w:ind w:right="380"/>
        <w:rPr>
          <w:rFonts w:ascii="新宋体" w:hAnsi="新宋体" w:eastAsia="新宋体" w:cs="宋体"/>
          <w:kern w:val="0"/>
          <w:sz w:val="24"/>
        </w:rPr>
      </w:pPr>
    </w:p>
    <w:tbl>
      <w:tblPr>
        <w:tblStyle w:val="11"/>
        <w:tblpPr w:leftFromText="180" w:rightFromText="180" w:vertAnchor="page" w:horzAnchor="margin" w:tblpY="1411"/>
        <w:tblW w:w="9735" w:type="dxa"/>
        <w:tblInd w:w="0" w:type="dxa"/>
        <w:tblLayout w:type="autofit"/>
        <w:tblCellMar>
          <w:top w:w="0" w:type="dxa"/>
          <w:left w:w="108" w:type="dxa"/>
          <w:bottom w:w="0" w:type="dxa"/>
          <w:right w:w="108" w:type="dxa"/>
        </w:tblCellMar>
      </w:tblPr>
      <w:tblGrid>
        <w:gridCol w:w="9735"/>
      </w:tblGrid>
      <w:tr w14:paraId="6A8561F9">
        <w:tblPrEx>
          <w:tblCellMar>
            <w:top w:w="0" w:type="dxa"/>
            <w:left w:w="108" w:type="dxa"/>
            <w:bottom w:w="0" w:type="dxa"/>
            <w:right w:w="108" w:type="dxa"/>
          </w:tblCellMar>
        </w:tblPrEx>
        <w:trPr>
          <w:trHeight w:val="589" w:hRule="atLeast"/>
        </w:trPr>
        <w:tc>
          <w:tcPr>
            <w:tcW w:w="9735" w:type="dxa"/>
            <w:tcBorders>
              <w:top w:val="nil"/>
              <w:left w:val="nil"/>
              <w:bottom w:val="nil"/>
              <w:right w:val="nil"/>
            </w:tcBorders>
            <w:shd w:val="clear" w:color="auto" w:fill="auto"/>
            <w:vAlign w:val="center"/>
          </w:tcPr>
          <w:p w14:paraId="07262116">
            <w:pPr>
              <w:widowControl/>
              <w:jc w:val="left"/>
              <w:rPr>
                <w:rFonts w:ascii="宋体" w:hAnsi="宋体" w:cs="宋体"/>
                <w:b/>
                <w:bCs/>
                <w:kern w:val="0"/>
                <w:sz w:val="24"/>
              </w:rPr>
            </w:pPr>
            <w:r>
              <w:rPr>
                <w:rFonts w:hint="eastAsia" w:ascii="宋体" w:hAnsi="宋体"/>
                <w:b/>
                <w:sz w:val="24"/>
              </w:rPr>
              <w:t>附件1：</w:t>
            </w:r>
            <w:r>
              <w:rPr>
                <w:rFonts w:hint="eastAsia" w:ascii="宋体" w:hAnsi="宋体"/>
                <w:sz w:val="24"/>
              </w:rPr>
              <w:t>《工程量清单报价表》</w:t>
            </w:r>
          </w:p>
        </w:tc>
      </w:tr>
    </w:tbl>
    <w:tbl>
      <w:tblPr>
        <w:tblStyle w:val="11"/>
        <w:tblpPr w:leftFromText="180" w:rightFromText="180" w:vertAnchor="text" w:horzAnchor="margin" w:tblpY="613"/>
        <w:tblW w:w="10016" w:type="dxa"/>
        <w:tblInd w:w="0" w:type="dxa"/>
        <w:tblLayout w:type="fixed"/>
        <w:tblCellMar>
          <w:top w:w="0" w:type="dxa"/>
          <w:left w:w="108" w:type="dxa"/>
          <w:bottom w:w="0" w:type="dxa"/>
          <w:right w:w="108" w:type="dxa"/>
        </w:tblCellMar>
      </w:tblPr>
      <w:tblGrid>
        <w:gridCol w:w="957"/>
        <w:gridCol w:w="1132"/>
        <w:gridCol w:w="2406"/>
        <w:gridCol w:w="1132"/>
        <w:gridCol w:w="1132"/>
        <w:gridCol w:w="1497"/>
        <w:gridCol w:w="1760"/>
      </w:tblGrid>
      <w:tr w14:paraId="79D19B1A">
        <w:tblPrEx>
          <w:tblCellMar>
            <w:top w:w="0" w:type="dxa"/>
            <w:left w:w="108" w:type="dxa"/>
            <w:bottom w:w="0" w:type="dxa"/>
            <w:right w:w="108" w:type="dxa"/>
          </w:tblCellMar>
        </w:tblPrEx>
        <w:trPr>
          <w:trHeight w:val="544" w:hRule="atLeast"/>
        </w:trPr>
        <w:tc>
          <w:tcPr>
            <w:tcW w:w="9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2A2741">
            <w:pPr>
              <w:widowControl/>
              <w:jc w:val="center"/>
              <w:rPr>
                <w:rFonts w:ascii="宋体" w:hAnsi="宋体" w:cs="Tahoma"/>
                <w:color w:val="000000"/>
                <w:kern w:val="0"/>
                <w:sz w:val="22"/>
              </w:rPr>
            </w:pPr>
            <w:r>
              <w:rPr>
                <w:rFonts w:hint="eastAsia" w:ascii="宋体" w:hAnsi="宋体" w:cs="Tahoma"/>
                <w:color w:val="000000"/>
                <w:kern w:val="0"/>
                <w:sz w:val="22"/>
              </w:rPr>
              <w:t>序号</w:t>
            </w:r>
          </w:p>
        </w:tc>
        <w:tc>
          <w:tcPr>
            <w:tcW w:w="11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18FE96">
            <w:pPr>
              <w:widowControl/>
              <w:jc w:val="center"/>
              <w:rPr>
                <w:rFonts w:ascii="宋体" w:hAnsi="宋体" w:cs="Tahoma"/>
                <w:color w:val="000000"/>
                <w:kern w:val="0"/>
                <w:sz w:val="22"/>
              </w:rPr>
            </w:pPr>
            <w:r>
              <w:rPr>
                <w:rFonts w:hint="eastAsia" w:ascii="宋体" w:hAnsi="宋体" w:cs="Tahoma"/>
                <w:color w:val="000000"/>
                <w:kern w:val="0"/>
                <w:sz w:val="22"/>
              </w:rPr>
              <w:t>项目名称</w:t>
            </w:r>
          </w:p>
        </w:tc>
        <w:tc>
          <w:tcPr>
            <w:tcW w:w="24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D83917">
            <w:pPr>
              <w:widowControl/>
              <w:jc w:val="center"/>
              <w:rPr>
                <w:rFonts w:ascii="宋体" w:hAnsi="宋体" w:cs="Tahoma"/>
                <w:color w:val="000000"/>
                <w:kern w:val="0"/>
                <w:sz w:val="22"/>
              </w:rPr>
            </w:pPr>
            <w:r>
              <w:rPr>
                <w:rFonts w:hint="eastAsia" w:ascii="宋体" w:hAnsi="宋体" w:cs="Tahoma"/>
                <w:color w:val="000000"/>
                <w:kern w:val="0"/>
                <w:sz w:val="22"/>
              </w:rPr>
              <w:t>项目特征</w:t>
            </w:r>
          </w:p>
        </w:tc>
        <w:tc>
          <w:tcPr>
            <w:tcW w:w="11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81B9E9">
            <w:pPr>
              <w:widowControl/>
              <w:jc w:val="center"/>
              <w:rPr>
                <w:rFonts w:ascii="宋体" w:hAnsi="宋体" w:cs="Tahoma"/>
                <w:color w:val="000000"/>
                <w:kern w:val="0"/>
                <w:sz w:val="22"/>
              </w:rPr>
            </w:pPr>
            <w:r>
              <w:rPr>
                <w:rFonts w:hint="eastAsia" w:ascii="宋体" w:hAnsi="宋体" w:cs="Tahoma"/>
                <w:color w:val="000000"/>
                <w:kern w:val="0"/>
                <w:sz w:val="22"/>
              </w:rPr>
              <w:t>单位</w:t>
            </w:r>
          </w:p>
        </w:tc>
        <w:tc>
          <w:tcPr>
            <w:tcW w:w="11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C38FB3">
            <w:pPr>
              <w:widowControl/>
              <w:jc w:val="center"/>
              <w:rPr>
                <w:rFonts w:ascii="宋体" w:hAnsi="宋体" w:cs="Tahoma"/>
                <w:color w:val="000000"/>
                <w:kern w:val="0"/>
                <w:sz w:val="22"/>
              </w:rPr>
            </w:pPr>
            <w:r>
              <w:rPr>
                <w:rFonts w:hint="eastAsia" w:ascii="宋体" w:hAnsi="宋体" w:cs="Tahoma"/>
                <w:color w:val="000000"/>
                <w:kern w:val="0"/>
                <w:sz w:val="22"/>
              </w:rPr>
              <w:t>工程量</w:t>
            </w:r>
          </w:p>
        </w:tc>
        <w:tc>
          <w:tcPr>
            <w:tcW w:w="3257" w:type="dxa"/>
            <w:gridSpan w:val="2"/>
            <w:tcBorders>
              <w:top w:val="single" w:color="auto" w:sz="4" w:space="0"/>
              <w:left w:val="nil"/>
              <w:bottom w:val="single" w:color="auto" w:sz="4" w:space="0"/>
              <w:right w:val="single" w:color="auto" w:sz="4" w:space="0"/>
            </w:tcBorders>
            <w:shd w:val="clear" w:color="auto" w:fill="auto"/>
            <w:noWrap/>
            <w:vAlign w:val="center"/>
          </w:tcPr>
          <w:p w14:paraId="2FF2DBA4">
            <w:pPr>
              <w:widowControl/>
              <w:jc w:val="center"/>
              <w:rPr>
                <w:rFonts w:ascii="宋体" w:hAnsi="宋体" w:cs="Tahoma"/>
                <w:color w:val="000000"/>
                <w:kern w:val="0"/>
                <w:sz w:val="22"/>
              </w:rPr>
            </w:pPr>
            <w:r>
              <w:rPr>
                <w:rFonts w:hint="eastAsia" w:ascii="宋体" w:hAnsi="宋体" w:cs="Tahoma"/>
                <w:color w:val="000000"/>
                <w:kern w:val="0"/>
                <w:sz w:val="22"/>
              </w:rPr>
              <w:t>金额（元）</w:t>
            </w:r>
          </w:p>
        </w:tc>
      </w:tr>
      <w:tr w14:paraId="7CC52A14">
        <w:tblPrEx>
          <w:tblCellMar>
            <w:top w:w="0" w:type="dxa"/>
            <w:left w:w="108" w:type="dxa"/>
            <w:bottom w:w="0" w:type="dxa"/>
            <w:right w:w="108" w:type="dxa"/>
          </w:tblCellMar>
        </w:tblPrEx>
        <w:trPr>
          <w:trHeight w:val="530" w:hRule="atLeast"/>
        </w:trPr>
        <w:tc>
          <w:tcPr>
            <w:tcW w:w="957" w:type="dxa"/>
            <w:vMerge w:val="continue"/>
            <w:tcBorders>
              <w:top w:val="single" w:color="auto" w:sz="4" w:space="0"/>
              <w:left w:val="single" w:color="auto" w:sz="4" w:space="0"/>
              <w:bottom w:val="single" w:color="auto" w:sz="4" w:space="0"/>
              <w:right w:val="single" w:color="auto" w:sz="4" w:space="0"/>
            </w:tcBorders>
            <w:vAlign w:val="center"/>
          </w:tcPr>
          <w:p w14:paraId="138D6F57">
            <w:pPr>
              <w:widowControl/>
              <w:jc w:val="left"/>
              <w:rPr>
                <w:rFonts w:ascii="宋体" w:hAnsi="宋体" w:cs="Tahoma"/>
                <w:color w:val="000000"/>
                <w:kern w:val="0"/>
                <w:sz w:val="22"/>
              </w:rPr>
            </w:pPr>
          </w:p>
        </w:tc>
        <w:tc>
          <w:tcPr>
            <w:tcW w:w="1132" w:type="dxa"/>
            <w:vMerge w:val="continue"/>
            <w:tcBorders>
              <w:top w:val="single" w:color="auto" w:sz="4" w:space="0"/>
              <w:left w:val="single" w:color="auto" w:sz="4" w:space="0"/>
              <w:bottom w:val="single" w:color="auto" w:sz="4" w:space="0"/>
              <w:right w:val="single" w:color="auto" w:sz="4" w:space="0"/>
            </w:tcBorders>
            <w:vAlign w:val="center"/>
          </w:tcPr>
          <w:p w14:paraId="7C37507E">
            <w:pPr>
              <w:widowControl/>
              <w:jc w:val="left"/>
              <w:rPr>
                <w:rFonts w:ascii="宋体" w:hAnsi="宋体" w:cs="Tahoma"/>
                <w:color w:val="000000"/>
                <w:kern w:val="0"/>
                <w:sz w:val="22"/>
              </w:rPr>
            </w:pPr>
          </w:p>
        </w:tc>
        <w:tc>
          <w:tcPr>
            <w:tcW w:w="2406" w:type="dxa"/>
            <w:vMerge w:val="continue"/>
            <w:tcBorders>
              <w:top w:val="single" w:color="auto" w:sz="4" w:space="0"/>
              <w:left w:val="single" w:color="auto" w:sz="4" w:space="0"/>
              <w:bottom w:val="single" w:color="auto" w:sz="4" w:space="0"/>
              <w:right w:val="single" w:color="auto" w:sz="4" w:space="0"/>
            </w:tcBorders>
            <w:vAlign w:val="center"/>
          </w:tcPr>
          <w:p w14:paraId="7AB494EF">
            <w:pPr>
              <w:widowControl/>
              <w:jc w:val="left"/>
              <w:rPr>
                <w:rFonts w:ascii="宋体" w:hAnsi="宋体" w:cs="Tahoma"/>
                <w:color w:val="000000"/>
                <w:kern w:val="0"/>
                <w:sz w:val="22"/>
              </w:rPr>
            </w:pPr>
          </w:p>
        </w:tc>
        <w:tc>
          <w:tcPr>
            <w:tcW w:w="1132" w:type="dxa"/>
            <w:vMerge w:val="continue"/>
            <w:tcBorders>
              <w:top w:val="single" w:color="auto" w:sz="4" w:space="0"/>
              <w:left w:val="single" w:color="auto" w:sz="4" w:space="0"/>
              <w:bottom w:val="single" w:color="auto" w:sz="4" w:space="0"/>
              <w:right w:val="single" w:color="auto" w:sz="4" w:space="0"/>
            </w:tcBorders>
            <w:vAlign w:val="center"/>
          </w:tcPr>
          <w:p w14:paraId="3C71B930">
            <w:pPr>
              <w:widowControl/>
              <w:jc w:val="left"/>
              <w:rPr>
                <w:rFonts w:ascii="宋体" w:hAnsi="宋体" w:cs="Tahoma"/>
                <w:color w:val="000000"/>
                <w:kern w:val="0"/>
                <w:sz w:val="22"/>
              </w:rPr>
            </w:pPr>
          </w:p>
        </w:tc>
        <w:tc>
          <w:tcPr>
            <w:tcW w:w="1132" w:type="dxa"/>
            <w:vMerge w:val="continue"/>
            <w:tcBorders>
              <w:top w:val="single" w:color="auto" w:sz="4" w:space="0"/>
              <w:left w:val="single" w:color="auto" w:sz="4" w:space="0"/>
              <w:bottom w:val="single" w:color="auto" w:sz="4" w:space="0"/>
              <w:right w:val="single" w:color="auto" w:sz="4" w:space="0"/>
            </w:tcBorders>
            <w:vAlign w:val="center"/>
          </w:tcPr>
          <w:p w14:paraId="6EDFF5F1">
            <w:pPr>
              <w:widowControl/>
              <w:jc w:val="left"/>
              <w:rPr>
                <w:rFonts w:ascii="宋体" w:hAnsi="宋体" w:cs="Tahoma"/>
                <w:color w:val="000000"/>
                <w:kern w:val="0"/>
                <w:sz w:val="22"/>
              </w:rPr>
            </w:pPr>
          </w:p>
        </w:tc>
        <w:tc>
          <w:tcPr>
            <w:tcW w:w="1497" w:type="dxa"/>
            <w:tcBorders>
              <w:top w:val="nil"/>
              <w:left w:val="nil"/>
              <w:bottom w:val="single" w:color="auto" w:sz="4" w:space="0"/>
              <w:right w:val="single" w:color="auto" w:sz="4" w:space="0"/>
            </w:tcBorders>
            <w:shd w:val="clear" w:color="auto" w:fill="auto"/>
            <w:noWrap/>
            <w:vAlign w:val="center"/>
          </w:tcPr>
          <w:p w14:paraId="07F75310">
            <w:pPr>
              <w:widowControl/>
              <w:jc w:val="center"/>
              <w:rPr>
                <w:rFonts w:ascii="宋体" w:hAnsi="宋体" w:cs="Tahoma"/>
                <w:color w:val="000000"/>
                <w:kern w:val="0"/>
                <w:sz w:val="22"/>
              </w:rPr>
            </w:pPr>
            <w:r>
              <w:rPr>
                <w:rFonts w:hint="eastAsia" w:ascii="宋体" w:hAnsi="宋体" w:cs="Tahoma"/>
                <w:color w:val="000000"/>
                <w:kern w:val="0"/>
                <w:sz w:val="22"/>
              </w:rPr>
              <w:t>综合单价</w:t>
            </w:r>
          </w:p>
        </w:tc>
        <w:tc>
          <w:tcPr>
            <w:tcW w:w="1760" w:type="dxa"/>
            <w:tcBorders>
              <w:top w:val="nil"/>
              <w:left w:val="nil"/>
              <w:bottom w:val="single" w:color="auto" w:sz="4" w:space="0"/>
              <w:right w:val="single" w:color="auto" w:sz="4" w:space="0"/>
            </w:tcBorders>
            <w:shd w:val="clear" w:color="auto" w:fill="auto"/>
            <w:noWrap/>
            <w:vAlign w:val="center"/>
          </w:tcPr>
          <w:p w14:paraId="417C0314">
            <w:pPr>
              <w:widowControl/>
              <w:jc w:val="center"/>
              <w:rPr>
                <w:rFonts w:ascii="宋体" w:hAnsi="宋体" w:cs="Tahoma"/>
                <w:color w:val="000000"/>
                <w:kern w:val="0"/>
                <w:sz w:val="22"/>
              </w:rPr>
            </w:pPr>
            <w:r>
              <w:rPr>
                <w:rFonts w:hint="eastAsia" w:ascii="宋体" w:hAnsi="宋体" w:cs="Tahoma"/>
                <w:color w:val="000000"/>
                <w:kern w:val="0"/>
                <w:sz w:val="22"/>
              </w:rPr>
              <w:t>合价</w:t>
            </w:r>
          </w:p>
        </w:tc>
      </w:tr>
      <w:tr w14:paraId="575D8563">
        <w:tblPrEx>
          <w:tblCellMar>
            <w:top w:w="0" w:type="dxa"/>
            <w:left w:w="108" w:type="dxa"/>
            <w:bottom w:w="0" w:type="dxa"/>
            <w:right w:w="108" w:type="dxa"/>
          </w:tblCellMar>
        </w:tblPrEx>
        <w:trPr>
          <w:trHeight w:val="3692" w:hRule="atLeast"/>
        </w:trPr>
        <w:tc>
          <w:tcPr>
            <w:tcW w:w="957" w:type="dxa"/>
            <w:tcBorders>
              <w:top w:val="nil"/>
              <w:left w:val="single" w:color="auto" w:sz="4" w:space="0"/>
              <w:bottom w:val="single" w:color="auto" w:sz="4" w:space="0"/>
              <w:right w:val="single" w:color="auto" w:sz="4" w:space="0"/>
            </w:tcBorders>
            <w:shd w:val="clear" w:color="auto" w:fill="auto"/>
            <w:noWrap/>
            <w:vAlign w:val="center"/>
          </w:tcPr>
          <w:p w14:paraId="3116A231">
            <w:pPr>
              <w:widowControl/>
              <w:jc w:val="center"/>
              <w:rPr>
                <w:rFonts w:ascii="Tahoma" w:hAnsi="Tahoma" w:cs="Tahoma"/>
                <w:color w:val="000000"/>
                <w:kern w:val="0"/>
                <w:sz w:val="22"/>
              </w:rPr>
            </w:pPr>
            <w:r>
              <w:rPr>
                <w:rFonts w:ascii="Tahoma" w:hAnsi="Tahoma" w:cs="Tahoma"/>
                <w:color w:val="000000"/>
                <w:kern w:val="0"/>
                <w:sz w:val="22"/>
              </w:rPr>
              <w:t>1</w:t>
            </w:r>
          </w:p>
        </w:tc>
        <w:tc>
          <w:tcPr>
            <w:tcW w:w="1132" w:type="dxa"/>
            <w:tcBorders>
              <w:top w:val="nil"/>
              <w:left w:val="nil"/>
              <w:bottom w:val="single" w:color="auto" w:sz="4" w:space="0"/>
              <w:right w:val="single" w:color="auto" w:sz="4" w:space="0"/>
            </w:tcBorders>
            <w:shd w:val="clear" w:color="auto" w:fill="auto"/>
            <w:vAlign w:val="center"/>
          </w:tcPr>
          <w:p w14:paraId="1E96F32E">
            <w:pPr>
              <w:widowControl/>
              <w:jc w:val="center"/>
              <w:rPr>
                <w:rFonts w:ascii="宋体" w:hAnsi="宋体" w:cs="Tahoma"/>
                <w:color w:val="000000"/>
                <w:kern w:val="0"/>
                <w:sz w:val="22"/>
              </w:rPr>
            </w:pPr>
            <w:r>
              <w:rPr>
                <w:rFonts w:hint="eastAsia" w:ascii="宋体" w:hAnsi="宋体" w:cs="Tahoma"/>
                <w:color w:val="000000"/>
                <w:kern w:val="0"/>
                <w:sz w:val="22"/>
              </w:rPr>
              <w:t>电力电缆</w:t>
            </w:r>
          </w:p>
        </w:tc>
        <w:tc>
          <w:tcPr>
            <w:tcW w:w="2406" w:type="dxa"/>
            <w:tcBorders>
              <w:top w:val="nil"/>
              <w:left w:val="nil"/>
              <w:bottom w:val="single" w:color="auto" w:sz="4" w:space="0"/>
              <w:right w:val="single" w:color="auto" w:sz="4" w:space="0"/>
            </w:tcBorders>
            <w:shd w:val="clear" w:color="auto" w:fill="auto"/>
            <w:vAlign w:val="center"/>
          </w:tcPr>
          <w:p w14:paraId="2F0C1878">
            <w:pPr>
              <w:widowControl/>
              <w:jc w:val="left"/>
              <w:rPr>
                <w:rFonts w:ascii="Tahoma" w:hAnsi="Tahoma" w:cs="Tahoma"/>
                <w:color w:val="000000"/>
                <w:kern w:val="0"/>
                <w:sz w:val="22"/>
              </w:rPr>
            </w:pPr>
            <w:r>
              <w:rPr>
                <w:rFonts w:hint="eastAsia" w:ascii="宋体" w:hAnsi="宋体" w:cs="Tahoma"/>
                <w:color w:val="000000"/>
                <w:kern w:val="0"/>
                <w:sz w:val="22"/>
              </w:rPr>
              <w:t>1．名称：低压铜芯电力电缆</w:t>
            </w:r>
            <w:r>
              <w:rPr>
                <w:rFonts w:hint="eastAsia" w:ascii="宋体" w:hAnsi="宋体" w:cs="Tahoma"/>
                <w:color w:val="000000"/>
                <w:kern w:val="0"/>
                <w:sz w:val="22"/>
              </w:rPr>
              <w:br w:type="textWrapping"/>
            </w:r>
            <w:r>
              <w:rPr>
                <w:rFonts w:hint="eastAsia" w:ascii="宋体" w:hAnsi="宋体" w:cs="Tahoma"/>
                <w:color w:val="000000"/>
                <w:kern w:val="0"/>
                <w:sz w:val="22"/>
              </w:rPr>
              <w:t>2．型号：WDZB-YJY4*240+1*120㎜²                 3.电压等级：1000V</w:t>
            </w:r>
            <w:r>
              <w:rPr>
                <w:rFonts w:hint="eastAsia" w:ascii="宋体" w:hAnsi="宋体" w:cs="Tahoma"/>
                <w:color w:val="000000"/>
                <w:kern w:val="0"/>
                <w:sz w:val="22"/>
              </w:rPr>
              <w:br w:type="textWrapping"/>
            </w:r>
            <w:r>
              <w:rPr>
                <w:rFonts w:hint="eastAsia" w:ascii="宋体" w:hAnsi="宋体" w:cs="Tahoma"/>
                <w:color w:val="000000"/>
                <w:kern w:val="0"/>
                <w:sz w:val="22"/>
              </w:rPr>
              <w:t>4．材质：铜芯</w:t>
            </w:r>
            <w:r>
              <w:rPr>
                <w:rFonts w:hint="eastAsia" w:ascii="宋体" w:hAnsi="宋体" w:cs="Tahoma"/>
                <w:color w:val="000000"/>
                <w:kern w:val="0"/>
                <w:sz w:val="22"/>
              </w:rPr>
              <w:br w:type="textWrapping"/>
            </w:r>
            <w:r>
              <w:rPr>
                <w:rFonts w:hint="eastAsia" w:ascii="宋体" w:hAnsi="宋体" w:cs="Tahoma"/>
                <w:color w:val="000000"/>
                <w:kern w:val="0"/>
                <w:sz w:val="22"/>
              </w:rPr>
              <w:t>5．敷设方式、部位：桥架、电缆沟。                           6.工作内容：电缆敷设</w:t>
            </w:r>
          </w:p>
        </w:tc>
        <w:tc>
          <w:tcPr>
            <w:tcW w:w="1132" w:type="dxa"/>
            <w:tcBorders>
              <w:top w:val="nil"/>
              <w:left w:val="nil"/>
              <w:bottom w:val="single" w:color="auto" w:sz="4" w:space="0"/>
              <w:right w:val="single" w:color="auto" w:sz="4" w:space="0"/>
            </w:tcBorders>
            <w:shd w:val="clear" w:color="auto" w:fill="auto"/>
            <w:noWrap/>
            <w:vAlign w:val="center"/>
          </w:tcPr>
          <w:p w14:paraId="3F1376AE">
            <w:pPr>
              <w:widowControl/>
              <w:jc w:val="center"/>
              <w:rPr>
                <w:rFonts w:ascii="宋体" w:hAnsi="宋体" w:cs="Tahoma"/>
                <w:color w:val="000000"/>
                <w:kern w:val="0"/>
                <w:sz w:val="22"/>
              </w:rPr>
            </w:pPr>
            <w:r>
              <w:rPr>
                <w:rFonts w:hint="eastAsia" w:ascii="宋体" w:hAnsi="宋体" w:cs="Tahoma"/>
                <w:color w:val="000000"/>
                <w:kern w:val="0"/>
                <w:sz w:val="22"/>
              </w:rPr>
              <w:t>m</w:t>
            </w:r>
          </w:p>
        </w:tc>
        <w:tc>
          <w:tcPr>
            <w:tcW w:w="1132" w:type="dxa"/>
            <w:tcBorders>
              <w:top w:val="nil"/>
              <w:left w:val="nil"/>
              <w:bottom w:val="single" w:color="auto" w:sz="4" w:space="0"/>
              <w:right w:val="single" w:color="auto" w:sz="4" w:space="0"/>
            </w:tcBorders>
            <w:shd w:val="clear" w:color="auto" w:fill="auto"/>
            <w:vAlign w:val="center"/>
          </w:tcPr>
          <w:p w14:paraId="20FFCC66">
            <w:pPr>
              <w:widowControl/>
              <w:jc w:val="center"/>
              <w:rPr>
                <w:rFonts w:ascii="宋体" w:hAnsi="宋体" w:cs="Tahoma"/>
                <w:color w:val="000000"/>
                <w:kern w:val="0"/>
                <w:sz w:val="22"/>
              </w:rPr>
            </w:pPr>
            <w:r>
              <w:rPr>
                <w:rFonts w:hint="eastAsia" w:ascii="宋体" w:hAnsi="宋体" w:cs="Tahoma"/>
                <w:color w:val="000000"/>
                <w:kern w:val="0"/>
                <w:sz w:val="22"/>
              </w:rPr>
              <w:t>52</w:t>
            </w:r>
          </w:p>
        </w:tc>
        <w:tc>
          <w:tcPr>
            <w:tcW w:w="1497" w:type="dxa"/>
            <w:tcBorders>
              <w:top w:val="nil"/>
              <w:left w:val="nil"/>
              <w:bottom w:val="single" w:color="auto" w:sz="4" w:space="0"/>
              <w:right w:val="single" w:color="auto" w:sz="4" w:space="0"/>
            </w:tcBorders>
            <w:shd w:val="clear" w:color="auto" w:fill="auto"/>
            <w:noWrap/>
            <w:vAlign w:val="center"/>
          </w:tcPr>
          <w:p w14:paraId="629E4DF3">
            <w:pPr>
              <w:widowControl/>
              <w:jc w:val="center"/>
              <w:rPr>
                <w:rFonts w:ascii="宋体" w:hAnsi="宋体" w:cs="Tahoma"/>
                <w:color w:val="000000"/>
                <w:kern w:val="0"/>
                <w:sz w:val="22"/>
              </w:rPr>
            </w:pPr>
            <w:r>
              <w:rPr>
                <w:rFonts w:hint="eastAsia" w:ascii="宋体" w:hAnsi="宋体" w:cs="Tahoma"/>
                <w:color w:val="000000"/>
                <w:kern w:val="0"/>
                <w:sz w:val="22"/>
              </w:rPr>
              <w:t>　</w:t>
            </w:r>
          </w:p>
        </w:tc>
        <w:tc>
          <w:tcPr>
            <w:tcW w:w="1760" w:type="dxa"/>
            <w:tcBorders>
              <w:top w:val="nil"/>
              <w:left w:val="nil"/>
              <w:bottom w:val="single" w:color="auto" w:sz="4" w:space="0"/>
              <w:right w:val="single" w:color="auto" w:sz="4" w:space="0"/>
            </w:tcBorders>
            <w:shd w:val="clear" w:color="auto" w:fill="auto"/>
            <w:noWrap/>
            <w:vAlign w:val="center"/>
          </w:tcPr>
          <w:p w14:paraId="1133ADB2">
            <w:pPr>
              <w:widowControl/>
              <w:jc w:val="center"/>
              <w:rPr>
                <w:rFonts w:ascii="宋体" w:hAnsi="宋体" w:cs="Tahoma"/>
                <w:color w:val="000000"/>
                <w:kern w:val="0"/>
                <w:sz w:val="22"/>
              </w:rPr>
            </w:pPr>
            <w:r>
              <w:rPr>
                <w:rFonts w:hint="eastAsia" w:ascii="宋体" w:hAnsi="宋体" w:cs="Tahoma"/>
                <w:color w:val="000000"/>
                <w:kern w:val="0"/>
                <w:sz w:val="22"/>
              </w:rPr>
              <w:t>　</w:t>
            </w:r>
          </w:p>
        </w:tc>
      </w:tr>
      <w:tr w14:paraId="24705CED">
        <w:tblPrEx>
          <w:tblCellMar>
            <w:top w:w="0" w:type="dxa"/>
            <w:left w:w="108" w:type="dxa"/>
            <w:bottom w:w="0" w:type="dxa"/>
            <w:right w:w="108" w:type="dxa"/>
          </w:tblCellMar>
        </w:tblPrEx>
        <w:trPr>
          <w:trHeight w:val="1255" w:hRule="atLeast"/>
        </w:trPr>
        <w:tc>
          <w:tcPr>
            <w:tcW w:w="957" w:type="dxa"/>
            <w:tcBorders>
              <w:top w:val="nil"/>
              <w:left w:val="single" w:color="auto" w:sz="4" w:space="0"/>
              <w:bottom w:val="single" w:color="auto" w:sz="4" w:space="0"/>
              <w:right w:val="single" w:color="auto" w:sz="4" w:space="0"/>
            </w:tcBorders>
            <w:shd w:val="clear" w:color="auto" w:fill="auto"/>
            <w:noWrap/>
            <w:vAlign w:val="center"/>
          </w:tcPr>
          <w:p w14:paraId="7E0FE17A">
            <w:pPr>
              <w:widowControl/>
              <w:jc w:val="center"/>
              <w:rPr>
                <w:rFonts w:ascii="Tahoma" w:hAnsi="Tahoma" w:cs="Tahoma"/>
                <w:color w:val="000000"/>
                <w:kern w:val="0"/>
                <w:sz w:val="22"/>
              </w:rPr>
            </w:pPr>
            <w:r>
              <w:rPr>
                <w:rFonts w:ascii="Tahoma" w:hAnsi="Tahoma" w:cs="Tahoma"/>
                <w:color w:val="000000"/>
                <w:kern w:val="0"/>
                <w:sz w:val="22"/>
              </w:rPr>
              <w:t>2</w:t>
            </w:r>
          </w:p>
        </w:tc>
        <w:tc>
          <w:tcPr>
            <w:tcW w:w="1132" w:type="dxa"/>
            <w:tcBorders>
              <w:top w:val="nil"/>
              <w:left w:val="nil"/>
              <w:bottom w:val="single" w:color="auto" w:sz="4" w:space="0"/>
              <w:right w:val="single" w:color="auto" w:sz="4" w:space="0"/>
            </w:tcBorders>
            <w:shd w:val="clear" w:color="auto" w:fill="auto"/>
            <w:noWrap/>
            <w:vAlign w:val="center"/>
          </w:tcPr>
          <w:p w14:paraId="677545ED">
            <w:pPr>
              <w:widowControl/>
              <w:jc w:val="center"/>
              <w:rPr>
                <w:rFonts w:ascii="宋体" w:hAnsi="宋体" w:cs="Tahoma"/>
                <w:color w:val="000000"/>
                <w:kern w:val="0"/>
                <w:sz w:val="22"/>
              </w:rPr>
            </w:pPr>
            <w:r>
              <w:rPr>
                <w:rFonts w:hint="eastAsia" w:ascii="宋体" w:hAnsi="宋体" w:cs="Tahoma"/>
                <w:color w:val="000000"/>
                <w:kern w:val="0"/>
                <w:sz w:val="22"/>
              </w:rPr>
              <w:t>电力电缆终端头</w:t>
            </w:r>
          </w:p>
        </w:tc>
        <w:tc>
          <w:tcPr>
            <w:tcW w:w="2406" w:type="dxa"/>
            <w:tcBorders>
              <w:top w:val="nil"/>
              <w:left w:val="nil"/>
              <w:bottom w:val="single" w:color="auto" w:sz="4" w:space="0"/>
              <w:right w:val="single" w:color="auto" w:sz="4" w:space="0"/>
            </w:tcBorders>
            <w:shd w:val="clear" w:color="auto" w:fill="auto"/>
            <w:vAlign w:val="center"/>
          </w:tcPr>
          <w:p w14:paraId="0DF9B79B">
            <w:pPr>
              <w:widowControl/>
              <w:jc w:val="left"/>
              <w:rPr>
                <w:rFonts w:ascii="宋体" w:hAnsi="宋体" w:cs="Tahoma"/>
                <w:color w:val="000000"/>
                <w:kern w:val="0"/>
                <w:sz w:val="22"/>
              </w:rPr>
            </w:pPr>
            <w:r>
              <w:rPr>
                <w:rFonts w:hint="eastAsia" w:ascii="宋体" w:hAnsi="宋体" w:cs="Tahoma"/>
                <w:color w:val="000000"/>
                <w:kern w:val="0"/>
                <w:sz w:val="22"/>
              </w:rPr>
              <w:t xml:space="preserve">1、型号:1000V以下电缆头 </w:t>
            </w:r>
            <w:r>
              <w:rPr>
                <w:rFonts w:hint="eastAsia" w:ascii="宋体" w:hAnsi="宋体" w:cs="Tahoma"/>
                <w:color w:val="000000"/>
                <w:kern w:val="0"/>
                <w:sz w:val="22"/>
              </w:rPr>
              <w:br w:type="textWrapping"/>
            </w:r>
            <w:r>
              <w:rPr>
                <w:rFonts w:hint="eastAsia" w:ascii="宋体" w:hAnsi="宋体" w:cs="Tahoma"/>
                <w:color w:val="000000"/>
                <w:kern w:val="0"/>
                <w:sz w:val="22"/>
              </w:rPr>
              <w:t>2、规格:电缆截面(㎜²) ≤240</w:t>
            </w:r>
            <w:r>
              <w:rPr>
                <w:rFonts w:hint="eastAsia" w:ascii="宋体" w:hAnsi="宋体" w:cs="Tahoma"/>
                <w:color w:val="000000"/>
                <w:kern w:val="0"/>
                <w:sz w:val="22"/>
              </w:rPr>
              <w:br w:type="textWrapping"/>
            </w:r>
            <w:r>
              <w:rPr>
                <w:rFonts w:hint="eastAsia" w:ascii="宋体" w:hAnsi="宋体" w:cs="Tahoma"/>
                <w:color w:val="000000"/>
                <w:kern w:val="0"/>
                <w:sz w:val="22"/>
              </w:rPr>
              <w:t>工作内容：          电缆头制作、安装</w:t>
            </w:r>
          </w:p>
        </w:tc>
        <w:tc>
          <w:tcPr>
            <w:tcW w:w="1132" w:type="dxa"/>
            <w:tcBorders>
              <w:top w:val="nil"/>
              <w:left w:val="nil"/>
              <w:bottom w:val="single" w:color="auto" w:sz="4" w:space="0"/>
              <w:right w:val="single" w:color="auto" w:sz="4" w:space="0"/>
            </w:tcBorders>
            <w:shd w:val="clear" w:color="auto" w:fill="auto"/>
            <w:noWrap/>
            <w:vAlign w:val="center"/>
          </w:tcPr>
          <w:p w14:paraId="514A2624">
            <w:pPr>
              <w:widowControl/>
              <w:jc w:val="center"/>
              <w:rPr>
                <w:rFonts w:ascii="宋体" w:hAnsi="宋体" w:cs="Tahoma"/>
                <w:color w:val="000000"/>
                <w:kern w:val="0"/>
                <w:sz w:val="22"/>
              </w:rPr>
            </w:pPr>
            <w:r>
              <w:rPr>
                <w:rFonts w:hint="eastAsia" w:ascii="宋体" w:hAnsi="宋体" w:cs="Tahoma"/>
                <w:color w:val="000000"/>
                <w:kern w:val="0"/>
                <w:sz w:val="22"/>
              </w:rPr>
              <w:t>个</w:t>
            </w:r>
          </w:p>
        </w:tc>
        <w:tc>
          <w:tcPr>
            <w:tcW w:w="1132" w:type="dxa"/>
            <w:tcBorders>
              <w:top w:val="nil"/>
              <w:left w:val="nil"/>
              <w:bottom w:val="single" w:color="auto" w:sz="4" w:space="0"/>
              <w:right w:val="single" w:color="auto" w:sz="4" w:space="0"/>
            </w:tcBorders>
            <w:shd w:val="clear" w:color="auto" w:fill="auto"/>
            <w:noWrap/>
            <w:vAlign w:val="center"/>
          </w:tcPr>
          <w:p w14:paraId="5ACB1FE1">
            <w:pPr>
              <w:widowControl/>
              <w:jc w:val="center"/>
              <w:rPr>
                <w:rFonts w:ascii="宋体" w:hAnsi="宋体" w:cs="Tahoma"/>
                <w:color w:val="000000"/>
                <w:kern w:val="0"/>
                <w:sz w:val="22"/>
              </w:rPr>
            </w:pPr>
            <w:r>
              <w:rPr>
                <w:rFonts w:hint="eastAsia" w:ascii="宋体" w:hAnsi="宋体" w:cs="Tahoma"/>
                <w:color w:val="000000"/>
                <w:kern w:val="0"/>
                <w:sz w:val="22"/>
              </w:rPr>
              <w:t>1</w:t>
            </w:r>
          </w:p>
        </w:tc>
        <w:tc>
          <w:tcPr>
            <w:tcW w:w="1497" w:type="dxa"/>
            <w:tcBorders>
              <w:top w:val="nil"/>
              <w:left w:val="nil"/>
              <w:bottom w:val="single" w:color="auto" w:sz="4" w:space="0"/>
              <w:right w:val="single" w:color="auto" w:sz="4" w:space="0"/>
            </w:tcBorders>
            <w:shd w:val="clear" w:color="auto" w:fill="auto"/>
            <w:noWrap/>
            <w:vAlign w:val="center"/>
          </w:tcPr>
          <w:p w14:paraId="794F4EF7">
            <w:pPr>
              <w:widowControl/>
              <w:jc w:val="center"/>
              <w:rPr>
                <w:rFonts w:ascii="宋体" w:hAnsi="宋体" w:cs="Tahoma"/>
                <w:color w:val="000000"/>
                <w:kern w:val="0"/>
                <w:sz w:val="22"/>
              </w:rPr>
            </w:pPr>
            <w:r>
              <w:rPr>
                <w:rFonts w:hint="eastAsia" w:ascii="宋体" w:hAnsi="宋体" w:cs="Tahoma"/>
                <w:color w:val="000000"/>
                <w:kern w:val="0"/>
                <w:sz w:val="22"/>
              </w:rPr>
              <w:t>　</w:t>
            </w:r>
          </w:p>
        </w:tc>
        <w:tc>
          <w:tcPr>
            <w:tcW w:w="1760" w:type="dxa"/>
            <w:tcBorders>
              <w:top w:val="nil"/>
              <w:left w:val="nil"/>
              <w:bottom w:val="single" w:color="auto" w:sz="4" w:space="0"/>
              <w:right w:val="single" w:color="auto" w:sz="4" w:space="0"/>
            </w:tcBorders>
            <w:shd w:val="clear" w:color="auto" w:fill="auto"/>
            <w:noWrap/>
            <w:vAlign w:val="center"/>
          </w:tcPr>
          <w:p w14:paraId="01D61658">
            <w:pPr>
              <w:widowControl/>
              <w:jc w:val="center"/>
              <w:rPr>
                <w:rFonts w:ascii="宋体" w:hAnsi="宋体" w:cs="Tahoma"/>
                <w:color w:val="000000"/>
                <w:kern w:val="0"/>
                <w:sz w:val="22"/>
              </w:rPr>
            </w:pPr>
            <w:r>
              <w:rPr>
                <w:rFonts w:hint="eastAsia" w:ascii="宋体" w:hAnsi="宋体" w:cs="Tahoma"/>
                <w:color w:val="000000"/>
                <w:kern w:val="0"/>
                <w:sz w:val="22"/>
              </w:rPr>
              <w:t>　</w:t>
            </w:r>
          </w:p>
        </w:tc>
      </w:tr>
      <w:tr w14:paraId="751AF62D">
        <w:tblPrEx>
          <w:tblCellMar>
            <w:top w:w="0" w:type="dxa"/>
            <w:left w:w="108" w:type="dxa"/>
            <w:bottom w:w="0" w:type="dxa"/>
            <w:right w:w="108" w:type="dxa"/>
          </w:tblCellMar>
        </w:tblPrEx>
        <w:trPr>
          <w:trHeight w:val="1617" w:hRule="atLeast"/>
        </w:trPr>
        <w:tc>
          <w:tcPr>
            <w:tcW w:w="957" w:type="dxa"/>
            <w:tcBorders>
              <w:top w:val="nil"/>
              <w:left w:val="single" w:color="auto" w:sz="4" w:space="0"/>
              <w:bottom w:val="single" w:color="auto" w:sz="4" w:space="0"/>
              <w:right w:val="single" w:color="auto" w:sz="4" w:space="0"/>
            </w:tcBorders>
            <w:shd w:val="clear" w:color="auto" w:fill="auto"/>
            <w:noWrap/>
            <w:vAlign w:val="center"/>
          </w:tcPr>
          <w:p w14:paraId="5DC81F00">
            <w:pPr>
              <w:widowControl/>
              <w:jc w:val="center"/>
              <w:rPr>
                <w:rFonts w:ascii="Tahoma" w:hAnsi="Tahoma" w:cs="Tahoma"/>
                <w:color w:val="000000"/>
                <w:kern w:val="0"/>
                <w:sz w:val="22"/>
              </w:rPr>
            </w:pPr>
            <w:r>
              <w:rPr>
                <w:rFonts w:ascii="Tahoma" w:hAnsi="Tahoma" w:cs="Tahoma"/>
                <w:color w:val="000000"/>
                <w:kern w:val="0"/>
                <w:sz w:val="22"/>
              </w:rPr>
              <w:t>3</w:t>
            </w:r>
          </w:p>
        </w:tc>
        <w:tc>
          <w:tcPr>
            <w:tcW w:w="1132" w:type="dxa"/>
            <w:tcBorders>
              <w:top w:val="nil"/>
              <w:left w:val="nil"/>
              <w:bottom w:val="single" w:color="auto" w:sz="4" w:space="0"/>
              <w:right w:val="single" w:color="auto" w:sz="4" w:space="0"/>
            </w:tcBorders>
            <w:shd w:val="clear" w:color="auto" w:fill="auto"/>
            <w:vAlign w:val="center"/>
          </w:tcPr>
          <w:p w14:paraId="0F169785">
            <w:pPr>
              <w:widowControl/>
              <w:jc w:val="center"/>
              <w:rPr>
                <w:rFonts w:ascii="宋体" w:hAnsi="宋体" w:cs="Tahoma"/>
                <w:color w:val="000000"/>
                <w:kern w:val="0"/>
                <w:szCs w:val="21"/>
              </w:rPr>
            </w:pPr>
            <w:r>
              <w:rPr>
                <w:rFonts w:hint="eastAsia" w:ascii="宋体" w:hAnsi="宋体" w:cs="Tahoma"/>
                <w:color w:val="000000"/>
                <w:kern w:val="0"/>
                <w:szCs w:val="21"/>
              </w:rPr>
              <w:t>桥架</w:t>
            </w:r>
          </w:p>
        </w:tc>
        <w:tc>
          <w:tcPr>
            <w:tcW w:w="2406" w:type="dxa"/>
            <w:tcBorders>
              <w:top w:val="nil"/>
              <w:left w:val="nil"/>
              <w:bottom w:val="single" w:color="auto" w:sz="4" w:space="0"/>
              <w:right w:val="single" w:color="auto" w:sz="4" w:space="0"/>
            </w:tcBorders>
            <w:shd w:val="clear" w:color="auto" w:fill="auto"/>
            <w:vAlign w:val="center"/>
          </w:tcPr>
          <w:p w14:paraId="3AA8FCF8">
            <w:pPr>
              <w:widowControl/>
              <w:jc w:val="left"/>
              <w:rPr>
                <w:rFonts w:ascii="宋体" w:hAnsi="宋体" w:cs="Tahoma"/>
                <w:color w:val="000000"/>
                <w:kern w:val="0"/>
                <w:sz w:val="22"/>
              </w:rPr>
            </w:pPr>
            <w:r>
              <w:rPr>
                <w:rFonts w:hint="eastAsia" w:ascii="宋体" w:hAnsi="宋体" w:cs="Tahoma"/>
                <w:color w:val="000000"/>
                <w:kern w:val="0"/>
                <w:sz w:val="22"/>
              </w:rPr>
              <w:t>1．名称：金属槽式桥架</w:t>
            </w:r>
            <w:r>
              <w:rPr>
                <w:rFonts w:hint="eastAsia" w:ascii="宋体" w:hAnsi="宋体" w:cs="Tahoma"/>
                <w:color w:val="000000"/>
                <w:kern w:val="0"/>
                <w:sz w:val="22"/>
              </w:rPr>
              <w:br w:type="textWrapping"/>
            </w:r>
            <w:r>
              <w:rPr>
                <w:rFonts w:hint="eastAsia" w:ascii="宋体" w:hAnsi="宋体" w:cs="Tahoma"/>
                <w:color w:val="000000"/>
                <w:kern w:val="0"/>
                <w:sz w:val="22"/>
              </w:rPr>
              <w:t>2．规格：300㎜*150㎜                 工作内容：                            ①桥架制作、除锈刷油 。                ②桥架、支撑架安装            ③桥架连接件、接地线安装</w:t>
            </w:r>
          </w:p>
        </w:tc>
        <w:tc>
          <w:tcPr>
            <w:tcW w:w="1132" w:type="dxa"/>
            <w:tcBorders>
              <w:top w:val="nil"/>
              <w:left w:val="nil"/>
              <w:bottom w:val="single" w:color="auto" w:sz="4" w:space="0"/>
              <w:right w:val="single" w:color="auto" w:sz="4" w:space="0"/>
            </w:tcBorders>
            <w:shd w:val="clear" w:color="auto" w:fill="auto"/>
            <w:vAlign w:val="center"/>
          </w:tcPr>
          <w:p w14:paraId="20C1EAC9">
            <w:pPr>
              <w:widowControl/>
              <w:jc w:val="center"/>
              <w:rPr>
                <w:rFonts w:ascii="宋体" w:hAnsi="宋体" w:cs="Tahoma"/>
                <w:color w:val="000000"/>
                <w:kern w:val="0"/>
                <w:sz w:val="22"/>
              </w:rPr>
            </w:pPr>
            <w:r>
              <w:rPr>
                <w:rFonts w:hint="eastAsia" w:ascii="宋体" w:hAnsi="宋体" w:cs="Tahoma"/>
                <w:color w:val="000000"/>
                <w:kern w:val="0"/>
                <w:sz w:val="22"/>
              </w:rPr>
              <w:t>m</w:t>
            </w:r>
          </w:p>
        </w:tc>
        <w:tc>
          <w:tcPr>
            <w:tcW w:w="1132" w:type="dxa"/>
            <w:tcBorders>
              <w:top w:val="nil"/>
              <w:left w:val="nil"/>
              <w:bottom w:val="single" w:color="auto" w:sz="4" w:space="0"/>
              <w:right w:val="single" w:color="auto" w:sz="4" w:space="0"/>
            </w:tcBorders>
            <w:shd w:val="clear" w:color="auto" w:fill="auto"/>
            <w:vAlign w:val="center"/>
          </w:tcPr>
          <w:p w14:paraId="3EC7CBED">
            <w:pPr>
              <w:widowControl/>
              <w:jc w:val="center"/>
              <w:rPr>
                <w:rFonts w:ascii="宋体" w:hAnsi="宋体" w:cs="Tahoma"/>
                <w:color w:val="000000"/>
                <w:kern w:val="0"/>
                <w:sz w:val="22"/>
              </w:rPr>
            </w:pPr>
            <w:r>
              <w:rPr>
                <w:rFonts w:hint="eastAsia" w:ascii="宋体" w:hAnsi="宋体" w:cs="Tahoma"/>
                <w:color w:val="000000"/>
                <w:kern w:val="0"/>
                <w:sz w:val="22"/>
              </w:rPr>
              <w:t>6</w:t>
            </w:r>
          </w:p>
        </w:tc>
        <w:tc>
          <w:tcPr>
            <w:tcW w:w="1497" w:type="dxa"/>
            <w:tcBorders>
              <w:top w:val="nil"/>
              <w:left w:val="nil"/>
              <w:bottom w:val="single" w:color="auto" w:sz="4" w:space="0"/>
              <w:right w:val="single" w:color="auto" w:sz="4" w:space="0"/>
            </w:tcBorders>
            <w:shd w:val="clear" w:color="auto" w:fill="auto"/>
            <w:noWrap/>
            <w:vAlign w:val="center"/>
          </w:tcPr>
          <w:p w14:paraId="2E6A5BA0">
            <w:pPr>
              <w:widowControl/>
              <w:jc w:val="center"/>
              <w:rPr>
                <w:rFonts w:ascii="宋体" w:hAnsi="宋体" w:cs="Tahoma"/>
                <w:color w:val="000000"/>
                <w:kern w:val="0"/>
                <w:sz w:val="22"/>
              </w:rPr>
            </w:pPr>
            <w:r>
              <w:rPr>
                <w:rFonts w:hint="eastAsia" w:ascii="宋体" w:hAnsi="宋体" w:cs="Tahoma"/>
                <w:color w:val="000000"/>
                <w:kern w:val="0"/>
                <w:sz w:val="22"/>
              </w:rPr>
              <w:t>　</w:t>
            </w:r>
          </w:p>
        </w:tc>
        <w:tc>
          <w:tcPr>
            <w:tcW w:w="1760" w:type="dxa"/>
            <w:tcBorders>
              <w:top w:val="nil"/>
              <w:left w:val="nil"/>
              <w:bottom w:val="single" w:color="auto" w:sz="4" w:space="0"/>
              <w:right w:val="single" w:color="auto" w:sz="4" w:space="0"/>
            </w:tcBorders>
            <w:shd w:val="clear" w:color="auto" w:fill="auto"/>
            <w:noWrap/>
            <w:vAlign w:val="center"/>
          </w:tcPr>
          <w:p w14:paraId="6C75A3D6">
            <w:pPr>
              <w:widowControl/>
              <w:jc w:val="center"/>
              <w:rPr>
                <w:rFonts w:ascii="宋体" w:hAnsi="宋体" w:cs="Tahoma"/>
                <w:color w:val="000000"/>
                <w:kern w:val="0"/>
                <w:sz w:val="22"/>
              </w:rPr>
            </w:pPr>
            <w:r>
              <w:rPr>
                <w:rFonts w:hint="eastAsia" w:ascii="宋体" w:hAnsi="宋体" w:cs="Tahoma"/>
                <w:color w:val="000000"/>
                <w:kern w:val="0"/>
                <w:sz w:val="22"/>
              </w:rPr>
              <w:t>　</w:t>
            </w:r>
          </w:p>
        </w:tc>
      </w:tr>
      <w:tr w14:paraId="7DE5B4E7">
        <w:tblPrEx>
          <w:tblCellMar>
            <w:top w:w="0" w:type="dxa"/>
            <w:left w:w="108" w:type="dxa"/>
            <w:bottom w:w="0" w:type="dxa"/>
            <w:right w:w="108" w:type="dxa"/>
          </w:tblCellMar>
        </w:tblPrEx>
        <w:trPr>
          <w:trHeight w:val="592" w:hRule="atLeast"/>
        </w:trPr>
        <w:tc>
          <w:tcPr>
            <w:tcW w:w="957" w:type="dxa"/>
            <w:tcBorders>
              <w:top w:val="nil"/>
              <w:left w:val="single" w:color="auto" w:sz="4" w:space="0"/>
              <w:bottom w:val="single" w:color="auto" w:sz="4" w:space="0"/>
              <w:right w:val="single" w:color="auto" w:sz="4" w:space="0"/>
            </w:tcBorders>
            <w:shd w:val="clear" w:color="auto" w:fill="auto"/>
            <w:noWrap/>
            <w:vAlign w:val="center"/>
          </w:tcPr>
          <w:p w14:paraId="1ED56865">
            <w:pPr>
              <w:widowControl/>
              <w:jc w:val="center"/>
              <w:rPr>
                <w:rFonts w:ascii="宋体" w:hAnsi="宋体" w:cs="Tahoma"/>
                <w:color w:val="000000"/>
                <w:kern w:val="0"/>
                <w:sz w:val="22"/>
              </w:rPr>
            </w:pPr>
            <w:r>
              <w:rPr>
                <w:rFonts w:hint="eastAsia" w:ascii="宋体" w:hAnsi="宋体" w:cs="Tahoma"/>
                <w:color w:val="000000"/>
                <w:kern w:val="0"/>
                <w:sz w:val="22"/>
              </w:rPr>
              <w:t>合计</w:t>
            </w:r>
          </w:p>
        </w:tc>
        <w:tc>
          <w:tcPr>
            <w:tcW w:w="7298" w:type="dxa"/>
            <w:gridSpan w:val="5"/>
            <w:tcBorders>
              <w:top w:val="nil"/>
              <w:left w:val="nil"/>
              <w:bottom w:val="single" w:color="auto" w:sz="4" w:space="0"/>
              <w:right w:val="single" w:color="auto" w:sz="4" w:space="0"/>
            </w:tcBorders>
            <w:shd w:val="clear" w:color="auto" w:fill="auto"/>
            <w:noWrap/>
            <w:vAlign w:val="bottom"/>
          </w:tcPr>
          <w:p w14:paraId="75910239">
            <w:pPr>
              <w:widowControl/>
              <w:jc w:val="center"/>
              <w:rPr>
                <w:rFonts w:ascii="Tahoma" w:hAnsi="Tahoma" w:cs="Tahoma"/>
                <w:color w:val="000000"/>
                <w:kern w:val="0"/>
                <w:sz w:val="22"/>
              </w:rPr>
            </w:pPr>
            <w:r>
              <w:rPr>
                <w:rFonts w:ascii="Tahoma" w:hAnsi="Tahoma" w:cs="Tahoma"/>
                <w:color w:val="000000"/>
                <w:kern w:val="0"/>
                <w:sz w:val="22"/>
              </w:rPr>
              <w:t>　</w:t>
            </w:r>
          </w:p>
        </w:tc>
        <w:tc>
          <w:tcPr>
            <w:tcW w:w="1760" w:type="dxa"/>
            <w:tcBorders>
              <w:top w:val="nil"/>
              <w:left w:val="nil"/>
              <w:bottom w:val="single" w:color="auto" w:sz="4" w:space="0"/>
              <w:right w:val="single" w:color="auto" w:sz="4" w:space="0"/>
            </w:tcBorders>
            <w:shd w:val="clear" w:color="auto" w:fill="auto"/>
            <w:noWrap/>
            <w:vAlign w:val="bottom"/>
          </w:tcPr>
          <w:p w14:paraId="0B565C5A">
            <w:pPr>
              <w:widowControl/>
              <w:jc w:val="center"/>
              <w:rPr>
                <w:rFonts w:ascii="Tahoma" w:hAnsi="Tahoma" w:cs="Tahoma"/>
                <w:color w:val="000000"/>
                <w:kern w:val="0"/>
                <w:sz w:val="22"/>
              </w:rPr>
            </w:pPr>
            <w:r>
              <w:rPr>
                <w:rFonts w:ascii="Tahoma" w:hAnsi="Tahoma" w:cs="Tahoma"/>
                <w:color w:val="000000"/>
                <w:kern w:val="0"/>
                <w:sz w:val="22"/>
              </w:rPr>
              <w:t>　</w:t>
            </w:r>
          </w:p>
        </w:tc>
      </w:tr>
    </w:tbl>
    <w:p w14:paraId="5BAEDF88">
      <w:pPr>
        <w:widowControl/>
        <w:rPr>
          <w:rFonts w:ascii="宋体" w:hAnsi="宋体" w:cs="Tahoma"/>
          <w:color w:val="000000"/>
          <w:kern w:val="0"/>
          <w:sz w:val="22"/>
        </w:rPr>
      </w:pPr>
      <w:r>
        <w:rPr>
          <w:rFonts w:hint="eastAsia" w:ascii="宋体" w:hAnsi="宋体" w:cs="Tahoma"/>
          <w:color w:val="000000"/>
          <w:kern w:val="0"/>
          <w:sz w:val="22"/>
        </w:rPr>
        <w:t>注：以上报价费用含9%增值税专用发票、材料、拆卸、安装、调试、运输费等与本项目相关的全部费用。</w:t>
      </w:r>
    </w:p>
    <w:p w14:paraId="445AFF4E">
      <w:pPr>
        <w:widowControl/>
        <w:shd w:val="clear" w:color="auto" w:fill="FFFFFF"/>
        <w:spacing w:line="440" w:lineRule="exact"/>
        <w:ind w:right="380"/>
        <w:rPr>
          <w:rFonts w:ascii="新宋体" w:hAnsi="新宋体" w:eastAsia="新宋体" w:cs="宋体"/>
          <w:kern w:val="0"/>
          <w:sz w:val="24"/>
        </w:rPr>
      </w:pPr>
    </w:p>
    <w:p w14:paraId="7A187571">
      <w:pPr>
        <w:adjustRightInd w:val="0"/>
        <w:snapToGrid w:val="0"/>
        <w:spacing w:line="360" w:lineRule="auto"/>
        <w:rPr>
          <w:rFonts w:ascii="宋体" w:hAnsi="宋体"/>
          <w:b/>
          <w:sz w:val="24"/>
        </w:rPr>
      </w:pPr>
    </w:p>
    <w:p w14:paraId="0FCAE323">
      <w:pPr>
        <w:adjustRightInd w:val="0"/>
        <w:snapToGrid w:val="0"/>
        <w:spacing w:line="360" w:lineRule="auto"/>
        <w:rPr>
          <w:rFonts w:ascii="宋体" w:hAnsi="宋体"/>
          <w:b/>
          <w:sz w:val="24"/>
        </w:rPr>
      </w:pPr>
    </w:p>
    <w:p w14:paraId="5394B94B">
      <w:pPr>
        <w:adjustRightInd w:val="0"/>
        <w:snapToGrid w:val="0"/>
        <w:spacing w:line="360" w:lineRule="auto"/>
        <w:rPr>
          <w:rFonts w:ascii="宋体" w:hAnsi="宋体"/>
          <w:b/>
          <w:sz w:val="24"/>
        </w:rPr>
      </w:pPr>
    </w:p>
    <w:p w14:paraId="34528D36">
      <w:pPr>
        <w:adjustRightInd w:val="0"/>
        <w:snapToGrid w:val="0"/>
        <w:spacing w:line="360" w:lineRule="auto"/>
        <w:rPr>
          <w:rFonts w:ascii="宋体" w:hAnsi="宋体"/>
          <w:b/>
          <w:sz w:val="24"/>
        </w:rPr>
      </w:pPr>
    </w:p>
    <w:p w14:paraId="27A5D39A">
      <w:pPr>
        <w:adjustRightInd w:val="0"/>
        <w:snapToGrid w:val="0"/>
        <w:spacing w:line="360" w:lineRule="auto"/>
        <w:rPr>
          <w:rFonts w:ascii="宋体" w:hAnsi="宋体"/>
          <w:sz w:val="24"/>
        </w:rPr>
      </w:pPr>
      <w:r>
        <w:rPr>
          <w:rFonts w:hint="eastAsia" w:ascii="宋体" w:hAnsi="宋体"/>
          <w:b/>
          <w:sz w:val="24"/>
        </w:rPr>
        <w:t>附件2：</w:t>
      </w:r>
      <w:r>
        <w:rPr>
          <w:rFonts w:hint="eastAsia" w:hAnsi="宋体"/>
          <w:sz w:val="24"/>
        </w:rPr>
        <w:t>《零星工程安全施工协议书》</w:t>
      </w:r>
    </w:p>
    <w:p w14:paraId="41C031F9">
      <w:pPr>
        <w:ind w:firstLine="3052" w:firstLineChars="950"/>
        <w:rPr>
          <w:rFonts w:hint="eastAsia"/>
          <w:b/>
          <w:sz w:val="32"/>
          <w:szCs w:val="32"/>
        </w:rPr>
      </w:pPr>
      <w:r>
        <w:rPr>
          <w:rFonts w:hint="eastAsia"/>
          <w:b/>
          <w:sz w:val="32"/>
          <w:szCs w:val="32"/>
        </w:rPr>
        <w:t>零星工程安全施工协议书</w:t>
      </w:r>
    </w:p>
    <w:p w14:paraId="3F0FD186">
      <w:pPr>
        <w:jc w:val="center"/>
        <w:rPr>
          <w:rFonts w:hint="eastAsia"/>
          <w:sz w:val="32"/>
          <w:szCs w:val="32"/>
        </w:rPr>
      </w:pPr>
    </w:p>
    <w:p w14:paraId="3C9897EA">
      <w:pPr>
        <w:adjustRightInd w:val="0"/>
        <w:snapToGrid w:val="0"/>
        <w:spacing w:line="440" w:lineRule="exact"/>
        <w:rPr>
          <w:rFonts w:ascii="宋体" w:hAnsi="宋体" w:cs="宋体"/>
          <w:sz w:val="24"/>
          <w:u w:val="single"/>
        </w:rPr>
      </w:pPr>
      <w:r>
        <w:rPr>
          <w:rFonts w:hint="eastAsia" w:cs="仿宋_GB2312"/>
          <w:b/>
          <w:spacing w:val="8"/>
          <w:shd w:val="clear" w:color="auto" w:fill="FFFFFF"/>
        </w:rPr>
        <w:t>甲方</w:t>
      </w:r>
      <w:r>
        <w:rPr>
          <w:rFonts w:hint="eastAsia" w:cs="仿宋_GB2312"/>
          <w:spacing w:val="8"/>
          <w:shd w:val="clear" w:color="auto" w:fill="FFFFFF"/>
        </w:rPr>
        <w:t>(发包人)：</w:t>
      </w:r>
      <w:r>
        <w:rPr>
          <w:rFonts w:hint="eastAsia" w:ascii="宋体" w:hAnsi="宋体" w:cs="宋体"/>
          <w:kern w:val="0"/>
          <w:sz w:val="24"/>
          <w:u w:val="single"/>
        </w:rPr>
        <w:t xml:space="preserve">                         </w:t>
      </w:r>
    </w:p>
    <w:p w14:paraId="3BEE646F">
      <w:pPr>
        <w:pStyle w:val="8"/>
        <w:shd w:val="clear" w:color="auto" w:fill="FFFFFF"/>
        <w:spacing w:before="0" w:beforeAutospacing="0" w:after="0" w:afterAutospacing="0" w:line="460" w:lineRule="exact"/>
        <w:jc w:val="both"/>
        <w:rPr>
          <w:rFonts w:cs="仿宋_GB2312"/>
          <w:spacing w:val="8"/>
          <w:shd w:val="clear" w:color="auto" w:fill="FFFFFF"/>
        </w:rPr>
      </w:pPr>
      <w:r>
        <w:rPr>
          <w:rFonts w:hint="eastAsia" w:cs="仿宋_GB2312"/>
          <w:spacing w:val="8"/>
          <w:shd w:val="clear" w:color="auto" w:fill="FFFFFF"/>
        </w:rPr>
        <w:t xml:space="preserve">代理人：                   </w:t>
      </w:r>
    </w:p>
    <w:p w14:paraId="44CEA8DB">
      <w:pPr>
        <w:pStyle w:val="8"/>
        <w:shd w:val="clear" w:color="auto" w:fill="FFFFFF"/>
        <w:spacing w:before="0" w:beforeAutospacing="0" w:after="0" w:afterAutospacing="0" w:line="460" w:lineRule="exact"/>
        <w:jc w:val="both"/>
        <w:rPr>
          <w:rFonts w:cs="仿宋_GB2312"/>
          <w:spacing w:val="8"/>
        </w:rPr>
      </w:pPr>
      <w:r>
        <w:rPr>
          <w:rFonts w:hint="eastAsia" w:cs="仿宋_GB2312"/>
          <w:spacing w:val="8"/>
          <w:shd w:val="clear" w:color="auto" w:fill="FFFFFF"/>
        </w:rPr>
        <w:t xml:space="preserve">联系电话：                </w:t>
      </w:r>
    </w:p>
    <w:p w14:paraId="0B0FBA57">
      <w:pPr>
        <w:pStyle w:val="8"/>
        <w:shd w:val="clear" w:color="auto" w:fill="FFFFFF"/>
        <w:spacing w:before="0" w:beforeAutospacing="0" w:after="0" w:afterAutospacing="0" w:line="460" w:lineRule="exact"/>
        <w:jc w:val="both"/>
        <w:rPr>
          <w:rFonts w:cs="仿宋_GB2312"/>
          <w:spacing w:val="8"/>
          <w:shd w:val="clear" w:color="auto" w:fill="FFFFFF"/>
        </w:rPr>
      </w:pPr>
      <w:r>
        <w:rPr>
          <w:rFonts w:hint="eastAsia" w:cs="仿宋_GB2312"/>
          <w:spacing w:val="8"/>
          <w:shd w:val="clear" w:color="auto" w:fill="FFFFFF"/>
        </w:rPr>
        <w:t>联系地址：</w:t>
      </w:r>
    </w:p>
    <w:p w14:paraId="6DDAB09D">
      <w:pPr>
        <w:adjustRightInd w:val="0"/>
        <w:snapToGrid w:val="0"/>
        <w:spacing w:line="440" w:lineRule="exact"/>
        <w:rPr>
          <w:rFonts w:hint="eastAsia" w:cs="仿宋_GB2312"/>
          <w:b/>
          <w:spacing w:val="8"/>
          <w:shd w:val="clear" w:color="auto" w:fill="FFFFFF"/>
        </w:rPr>
      </w:pPr>
    </w:p>
    <w:p w14:paraId="5DCBE3F2">
      <w:pPr>
        <w:adjustRightInd w:val="0"/>
        <w:snapToGrid w:val="0"/>
        <w:spacing w:line="440" w:lineRule="exact"/>
        <w:rPr>
          <w:rFonts w:ascii="宋体" w:hAnsi="宋体" w:cs="宋体"/>
          <w:sz w:val="24"/>
          <w:u w:val="single"/>
        </w:rPr>
      </w:pPr>
      <w:r>
        <w:rPr>
          <w:rFonts w:hint="eastAsia" w:cs="仿宋_GB2312"/>
          <w:b/>
          <w:spacing w:val="8"/>
          <w:shd w:val="clear" w:color="auto" w:fill="FFFFFF"/>
        </w:rPr>
        <w:t>乙方</w:t>
      </w:r>
      <w:r>
        <w:rPr>
          <w:rFonts w:hint="eastAsia" w:cs="仿宋_GB2312"/>
          <w:spacing w:val="8"/>
          <w:shd w:val="clear" w:color="auto" w:fill="FFFFFF"/>
        </w:rPr>
        <w:t>(承包人)：</w:t>
      </w:r>
      <w:r>
        <w:rPr>
          <w:rFonts w:hint="eastAsia" w:ascii="宋体" w:hAnsi="宋体" w:cs="宋体"/>
          <w:kern w:val="0"/>
          <w:sz w:val="24"/>
          <w:u w:val="single"/>
        </w:rPr>
        <w:t xml:space="preserve">                          </w:t>
      </w:r>
    </w:p>
    <w:p w14:paraId="6F2F71D4">
      <w:pPr>
        <w:pStyle w:val="8"/>
        <w:shd w:val="clear" w:color="auto" w:fill="FFFFFF"/>
        <w:spacing w:before="0" w:beforeAutospacing="0" w:after="0" w:afterAutospacing="0" w:line="460" w:lineRule="exact"/>
        <w:jc w:val="both"/>
        <w:rPr>
          <w:rFonts w:cs="仿宋_GB2312"/>
          <w:spacing w:val="8"/>
          <w:shd w:val="clear" w:color="auto" w:fill="FFFFFF"/>
        </w:rPr>
      </w:pPr>
      <w:r>
        <w:rPr>
          <w:rFonts w:hint="eastAsia" w:cs="仿宋_GB2312"/>
          <w:spacing w:val="8"/>
          <w:shd w:val="clear" w:color="auto" w:fill="FFFFFF"/>
        </w:rPr>
        <w:t xml:space="preserve">代理人：                       </w:t>
      </w:r>
    </w:p>
    <w:p w14:paraId="730CBCD8">
      <w:pPr>
        <w:pStyle w:val="8"/>
        <w:shd w:val="clear" w:color="auto" w:fill="FFFFFF"/>
        <w:spacing w:before="0" w:beforeAutospacing="0" w:after="0" w:afterAutospacing="0" w:line="460" w:lineRule="exact"/>
        <w:jc w:val="both"/>
        <w:rPr>
          <w:rFonts w:cs="仿宋_GB2312"/>
          <w:spacing w:val="8"/>
        </w:rPr>
      </w:pPr>
      <w:r>
        <w:rPr>
          <w:rFonts w:hint="eastAsia" w:cs="仿宋_GB2312"/>
          <w:spacing w:val="8"/>
          <w:shd w:val="clear" w:color="auto" w:fill="FFFFFF"/>
        </w:rPr>
        <w:t xml:space="preserve">联系电话：                     </w:t>
      </w:r>
    </w:p>
    <w:p w14:paraId="360C0B84">
      <w:pPr>
        <w:pStyle w:val="8"/>
        <w:shd w:val="clear" w:color="auto" w:fill="FFFFFF"/>
        <w:spacing w:before="0" w:beforeAutospacing="0" w:after="0" w:afterAutospacing="0" w:line="460" w:lineRule="exact"/>
        <w:jc w:val="both"/>
        <w:rPr>
          <w:rFonts w:cs="仿宋_GB2312"/>
          <w:spacing w:val="8"/>
          <w:shd w:val="clear" w:color="auto" w:fill="FFFFFF"/>
        </w:rPr>
      </w:pPr>
      <w:r>
        <w:rPr>
          <w:rFonts w:hint="eastAsia" w:cs="仿宋_GB2312"/>
          <w:spacing w:val="8"/>
          <w:shd w:val="clear" w:color="auto" w:fill="FFFFFF"/>
        </w:rPr>
        <w:t xml:space="preserve">联系地址： </w:t>
      </w:r>
    </w:p>
    <w:p w14:paraId="1430A570">
      <w:pPr>
        <w:pStyle w:val="8"/>
        <w:shd w:val="clear" w:color="auto" w:fill="FFFFFF"/>
        <w:spacing w:before="0" w:beforeAutospacing="0" w:after="0" w:afterAutospacing="0" w:line="460" w:lineRule="exact"/>
        <w:ind w:firstLine="640" w:firstLineChars="250"/>
        <w:jc w:val="both"/>
        <w:rPr>
          <w:spacing w:val="8"/>
          <w:shd w:val="clear" w:color="auto" w:fill="FFFFFF"/>
        </w:rPr>
      </w:pPr>
      <w:r>
        <w:rPr>
          <w:rFonts w:hint="eastAsia"/>
          <w:spacing w:val="8"/>
          <w:shd w:val="clear" w:color="auto" w:fill="FFFFFF"/>
        </w:rPr>
        <w:t>为了切实加强施工现场安全生产管理，依照《中华人民共和国安全生产法》、《中华人民共和国建筑法》以及《建设工程安全生产管理条例》、《施工现场临时用电安全技术规范》（JGJ46-2005）、《建筑施工安全检查标准》（JGJ59-99）等有关法律法规和规章制度，双方本着平等、自愿的原则，签订本协议书。</w:t>
      </w:r>
    </w:p>
    <w:p w14:paraId="72EA62C4">
      <w:pPr>
        <w:pStyle w:val="8"/>
        <w:shd w:val="clear" w:color="auto" w:fill="FFFFFF"/>
        <w:snapToGrid w:val="0"/>
        <w:spacing w:before="0" w:beforeAutospacing="0" w:after="0" w:afterAutospacing="0" w:line="440" w:lineRule="exact"/>
        <w:ind w:firstLine="514" w:firstLineChars="200"/>
        <w:jc w:val="both"/>
        <w:rPr>
          <w:spacing w:val="8"/>
        </w:rPr>
      </w:pPr>
      <w:r>
        <w:rPr>
          <w:rStyle w:val="14"/>
          <w:rFonts w:hint="eastAsia"/>
          <w:spacing w:val="8"/>
          <w:shd w:val="clear" w:color="auto" w:fill="FFFFFF"/>
        </w:rPr>
        <w:t>一、工程概况</w:t>
      </w:r>
    </w:p>
    <w:p w14:paraId="0D4C0CC6">
      <w:pPr>
        <w:pStyle w:val="8"/>
        <w:shd w:val="clear" w:color="auto" w:fill="FFFFFF"/>
        <w:snapToGrid w:val="0"/>
        <w:spacing w:before="0" w:beforeAutospacing="0" w:after="0" w:afterAutospacing="0" w:line="440" w:lineRule="exact"/>
        <w:ind w:firstLine="512" w:firstLineChars="200"/>
        <w:rPr>
          <w:spacing w:val="8"/>
          <w:shd w:val="clear" w:color="auto" w:fill="FFFFFF"/>
        </w:rPr>
      </w:pPr>
      <w:r>
        <w:rPr>
          <w:rFonts w:hint="eastAsia"/>
          <w:spacing w:val="8"/>
          <w:shd w:val="clear" w:color="auto" w:fill="FFFFFF"/>
        </w:rPr>
        <w:t>1.施工项目：</w:t>
      </w:r>
    </w:p>
    <w:p w14:paraId="3CBD3429">
      <w:pPr>
        <w:pStyle w:val="8"/>
        <w:shd w:val="clear" w:color="auto" w:fill="FFFFFF"/>
        <w:snapToGrid w:val="0"/>
        <w:spacing w:before="0" w:beforeAutospacing="0" w:after="0" w:afterAutospacing="0" w:line="440" w:lineRule="exact"/>
        <w:ind w:firstLine="512" w:firstLineChars="200"/>
        <w:rPr>
          <w:u w:val="single"/>
        </w:rPr>
      </w:pPr>
      <w:r>
        <w:rPr>
          <w:rFonts w:hint="eastAsia"/>
          <w:spacing w:val="8"/>
          <w:shd w:val="clear" w:color="auto" w:fill="FFFFFF"/>
        </w:rPr>
        <w:t>2、工程期限：</w:t>
      </w:r>
      <w:r>
        <w:rPr>
          <w:rFonts w:hint="eastAsia"/>
          <w:u w:val="single"/>
        </w:rPr>
        <w:t>2025</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spacing w:val="8"/>
          <w:shd w:val="clear" w:color="auto" w:fill="FFFFFF"/>
        </w:rPr>
        <w:t>至</w:t>
      </w:r>
      <w:r>
        <w:rPr>
          <w:rFonts w:hint="eastAsia"/>
          <w:u w:val="single"/>
        </w:rPr>
        <w:t>2025</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spacing w:val="8"/>
          <w:shd w:val="clear" w:color="auto" w:fill="FFFFFF"/>
        </w:rPr>
        <w:t>，共计</w:t>
      </w:r>
      <w:r>
        <w:rPr>
          <w:rFonts w:hint="eastAsia"/>
          <w:spacing w:val="8"/>
          <w:u w:val="single"/>
          <w:shd w:val="clear" w:color="auto" w:fill="FFFFFF"/>
        </w:rPr>
        <w:t xml:space="preserve">  15 </w:t>
      </w:r>
      <w:r>
        <w:rPr>
          <w:rFonts w:hint="eastAsia"/>
          <w:spacing w:val="8"/>
          <w:shd w:val="clear" w:color="auto" w:fill="FFFFFF"/>
        </w:rPr>
        <w:t>天。</w:t>
      </w:r>
    </w:p>
    <w:p w14:paraId="34CDCFD9">
      <w:pPr>
        <w:pStyle w:val="8"/>
        <w:shd w:val="clear" w:color="auto" w:fill="FFFFFF"/>
        <w:snapToGrid w:val="0"/>
        <w:spacing w:before="0" w:beforeAutospacing="0" w:after="0" w:afterAutospacing="0" w:line="440" w:lineRule="exact"/>
        <w:ind w:firstLine="512" w:firstLineChars="200"/>
        <w:rPr>
          <w:spacing w:val="8"/>
          <w:u w:val="single"/>
          <w:shd w:val="clear" w:color="auto" w:fill="FFFFFF"/>
        </w:rPr>
      </w:pPr>
      <w:r>
        <w:rPr>
          <w:rFonts w:hint="eastAsia"/>
          <w:spacing w:val="8"/>
          <w:shd w:val="clear" w:color="auto" w:fill="FFFFFF"/>
        </w:rPr>
        <w:t>3、工程地点：</w:t>
      </w:r>
      <w:r>
        <w:rPr>
          <w:rFonts w:hint="eastAsia"/>
          <w:spacing w:val="8"/>
          <w:u w:val="single"/>
          <w:shd w:val="clear" w:color="auto" w:fill="FFFFFF"/>
        </w:rPr>
        <w:t>合肥市金寨路1168号</w:t>
      </w:r>
    </w:p>
    <w:p w14:paraId="7DC3F5F1">
      <w:pPr>
        <w:pStyle w:val="8"/>
        <w:shd w:val="clear" w:color="auto" w:fill="FFFFFF"/>
        <w:snapToGrid w:val="0"/>
        <w:spacing w:before="0" w:beforeAutospacing="0" w:after="0" w:afterAutospacing="0" w:line="440" w:lineRule="exact"/>
        <w:ind w:firstLine="514" w:firstLineChars="200"/>
        <w:rPr>
          <w:spacing w:val="8"/>
        </w:rPr>
      </w:pPr>
      <w:r>
        <w:rPr>
          <w:rStyle w:val="14"/>
          <w:rFonts w:hint="eastAsia"/>
          <w:spacing w:val="8"/>
          <w:shd w:val="clear" w:color="auto" w:fill="FFFFFF"/>
        </w:rPr>
        <w:t>二、管理人员</w:t>
      </w:r>
    </w:p>
    <w:p w14:paraId="2F36CB72">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为保证施工安全管理及安全责任，必须明确现场管理人员：</w:t>
      </w:r>
    </w:p>
    <w:p w14:paraId="14FF25E6">
      <w:pPr>
        <w:pStyle w:val="8"/>
        <w:shd w:val="clear" w:color="auto" w:fill="FFFFFF"/>
        <w:snapToGrid w:val="0"/>
        <w:spacing w:before="0" w:beforeAutospacing="0" w:after="0" w:afterAutospacing="0" w:line="440" w:lineRule="exact"/>
        <w:ind w:firstLine="512" w:firstLineChars="200"/>
        <w:rPr>
          <w:spacing w:val="8"/>
        </w:rPr>
      </w:pPr>
      <w:r>
        <w:rPr>
          <w:rFonts w:hint="eastAsia"/>
          <w:spacing w:val="8"/>
          <w:shd w:val="clear" w:color="auto" w:fill="FFFFFF"/>
        </w:rPr>
        <w:t>1、甲方现场安全负责人：</w:t>
      </w:r>
      <w:r>
        <w:rPr>
          <w:rFonts w:hint="eastAsia"/>
          <w:spacing w:val="8"/>
          <w:u w:val="single"/>
          <w:shd w:val="clear" w:color="auto" w:fill="FFFFFF"/>
        </w:rPr>
        <w:t xml:space="preserve">        </w:t>
      </w:r>
      <w:r>
        <w:rPr>
          <w:rFonts w:hint="eastAsia"/>
          <w:spacing w:val="8"/>
          <w:shd w:val="clear" w:color="auto" w:fill="FFFFFF"/>
        </w:rPr>
        <w:t>联系电话：</w:t>
      </w:r>
      <w:r>
        <w:rPr>
          <w:rFonts w:hint="eastAsia"/>
          <w:spacing w:val="8"/>
          <w:u w:val="single"/>
          <w:shd w:val="clear" w:color="auto" w:fill="FFFFFF"/>
        </w:rPr>
        <w:t xml:space="preserve">              </w:t>
      </w:r>
    </w:p>
    <w:p w14:paraId="5B502C06">
      <w:pPr>
        <w:pStyle w:val="8"/>
        <w:shd w:val="clear" w:color="auto" w:fill="FFFFFF"/>
        <w:snapToGrid w:val="0"/>
        <w:spacing w:before="0" w:beforeAutospacing="0" w:after="0" w:afterAutospacing="0" w:line="440" w:lineRule="exact"/>
        <w:ind w:firstLine="512" w:firstLineChars="200"/>
        <w:rPr>
          <w:spacing w:val="8"/>
          <w:u w:val="single"/>
          <w:shd w:val="clear" w:color="auto" w:fill="FFFFFF"/>
        </w:rPr>
      </w:pPr>
      <w:r>
        <w:rPr>
          <w:rFonts w:hint="eastAsia"/>
          <w:spacing w:val="8"/>
          <w:shd w:val="clear" w:color="auto" w:fill="FFFFFF"/>
        </w:rPr>
        <w:t>2、乙方现场安全负责人：</w:t>
      </w:r>
      <w:r>
        <w:rPr>
          <w:rFonts w:hint="eastAsia"/>
          <w:spacing w:val="8"/>
          <w:u w:val="single"/>
          <w:shd w:val="clear" w:color="auto" w:fill="FFFFFF"/>
        </w:rPr>
        <w:t xml:space="preserve">        </w:t>
      </w:r>
      <w:r>
        <w:rPr>
          <w:rFonts w:hint="eastAsia"/>
          <w:spacing w:val="8"/>
          <w:shd w:val="clear" w:color="auto" w:fill="FFFFFF"/>
        </w:rPr>
        <w:t>联系电话：</w:t>
      </w:r>
      <w:r>
        <w:rPr>
          <w:rFonts w:hint="eastAsia"/>
          <w:spacing w:val="8"/>
          <w:u w:val="single"/>
          <w:shd w:val="clear" w:color="auto" w:fill="FFFFFF"/>
        </w:rPr>
        <w:t xml:space="preserve">             </w:t>
      </w:r>
    </w:p>
    <w:p w14:paraId="23169059">
      <w:pPr>
        <w:pStyle w:val="8"/>
        <w:shd w:val="clear" w:color="auto" w:fill="FFFFFF"/>
        <w:snapToGrid w:val="0"/>
        <w:spacing w:before="0" w:beforeAutospacing="0" w:after="0" w:afterAutospacing="0" w:line="440" w:lineRule="exact"/>
        <w:ind w:firstLine="514" w:firstLineChars="200"/>
        <w:rPr>
          <w:rStyle w:val="14"/>
          <w:spacing w:val="8"/>
          <w:shd w:val="clear" w:color="auto" w:fill="FFFFFF"/>
        </w:rPr>
      </w:pPr>
      <w:r>
        <w:rPr>
          <w:rStyle w:val="14"/>
          <w:rFonts w:hint="eastAsia"/>
          <w:spacing w:val="8"/>
          <w:shd w:val="clear" w:color="auto" w:fill="FFFFFF"/>
        </w:rPr>
        <w:t>三、甲方安全责任</w:t>
      </w:r>
    </w:p>
    <w:p w14:paraId="1DF7FA8E">
      <w:pPr>
        <w:adjustRightInd w:val="0"/>
        <w:snapToGrid w:val="0"/>
        <w:spacing w:line="440" w:lineRule="exact"/>
        <w:ind w:firstLine="512" w:firstLineChars="200"/>
        <w:rPr>
          <w:rFonts w:ascii="宋体" w:hAnsi="宋体" w:cs="宋体"/>
          <w:spacing w:val="8"/>
          <w:sz w:val="24"/>
        </w:rPr>
      </w:pPr>
      <w:r>
        <w:rPr>
          <w:rFonts w:hint="eastAsia" w:ascii="宋体" w:hAnsi="宋体" w:cs="宋体"/>
          <w:spacing w:val="8"/>
          <w:sz w:val="24"/>
          <w:shd w:val="clear" w:color="auto" w:fill="FFFFFF"/>
        </w:rPr>
        <w:t>1、贯彻落实国家有关施工现场安全生产、文明施工的法规和管理规定，对乙方施工现场和区域进行全面的安全生产管理和监督检查并对施工现场临时用电进行安全检查与指导。</w:t>
      </w:r>
    </w:p>
    <w:p w14:paraId="13733101">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2、及时纠正乙方施工人员违章指挥和违章作业行为，并按照有关规定予以查处。对乙方施工区域内的重大安全事故隐患，应开具隐患通知单。</w:t>
      </w:r>
    </w:p>
    <w:p w14:paraId="1CABBBE5">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3、建立健全施工现场各项安全生产管理制度。要求乙方制定施工安全措施，在开始施工前报甲方备案。</w:t>
      </w:r>
    </w:p>
    <w:p w14:paraId="5FD94931">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4、对乙方的安全生产培训、劳动保护用品的使用和危险预知工作提出指导意见，并监督落实情况。</w:t>
      </w:r>
    </w:p>
    <w:p w14:paraId="5A048531">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5、对乙方提出的安全生产要求积极提供帮助。</w:t>
      </w:r>
    </w:p>
    <w:p w14:paraId="54FA3F15">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6、向乙方提供电源时，应与乙方办理交接验收手续。</w:t>
      </w:r>
    </w:p>
    <w:p w14:paraId="5A386B42">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7、按照有关临时用电标准对乙方的临时用电设备设施进行监督和检查。发现乙方在临时用电中存在隐患必须责成乙方以整改。并监督整改落实情况。</w:t>
      </w:r>
    </w:p>
    <w:p w14:paraId="18703C22">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8、对乙方特种作业人员的名单、操作证复印件及培训记录进行存档备案。</w:t>
      </w:r>
    </w:p>
    <w:p w14:paraId="4120D084">
      <w:pPr>
        <w:pStyle w:val="8"/>
        <w:shd w:val="clear" w:color="auto" w:fill="FFFFFF"/>
        <w:snapToGrid w:val="0"/>
        <w:spacing w:before="0" w:beforeAutospacing="0" w:after="0" w:afterAutospacing="0" w:line="440" w:lineRule="exact"/>
        <w:ind w:firstLine="514" w:firstLineChars="200"/>
        <w:jc w:val="both"/>
        <w:rPr>
          <w:spacing w:val="8"/>
        </w:rPr>
      </w:pPr>
      <w:r>
        <w:rPr>
          <w:rStyle w:val="14"/>
          <w:rFonts w:hint="eastAsia"/>
          <w:spacing w:val="8"/>
          <w:shd w:val="clear" w:color="auto" w:fill="FFFFFF"/>
        </w:rPr>
        <w:t>四、乙方安全责任</w:t>
      </w:r>
    </w:p>
    <w:p w14:paraId="68A0D634">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14:paraId="6BD44D50">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2、服从甲方安全生产管理，乙方施工过程中需使用电、水源，就事先与甲方取得联系，不得私拉乱接。中断作业或遇故障应立即切断有关开关。</w:t>
      </w:r>
    </w:p>
    <w:p w14:paraId="0C19B6B0">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3、乙方一切施工活动，必须编制安全施工措施，施工前对全体施工人员进行全面的技术交底，并在整个施工过程正确、完整地执行，无措施或未交底严禁布置施工。</w:t>
      </w:r>
    </w:p>
    <w:p w14:paraId="75F9ED14">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4、乙方必须为施工作业人员参加人身意外保险。</w:t>
      </w:r>
    </w:p>
    <w:p w14:paraId="29AC4EC3">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5、乙方造成生产安全事故，导致人员伤亡时，由乙方承担事故责任和经济责任。</w:t>
      </w:r>
    </w:p>
    <w:p w14:paraId="3587CB0A">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6、未经安全生产教育培训和无证人员，不得上岗作业。</w:t>
      </w:r>
    </w:p>
    <w:p w14:paraId="576485A2">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7、乙方施工过程中应做到工完、料尽、场地清，确保安全文明施工。</w:t>
      </w:r>
    </w:p>
    <w:p w14:paraId="021B339F">
      <w:pPr>
        <w:adjustRightInd w:val="0"/>
        <w:snapToGrid w:val="0"/>
        <w:spacing w:line="440" w:lineRule="exact"/>
        <w:ind w:firstLine="512" w:firstLineChars="200"/>
        <w:rPr>
          <w:rFonts w:ascii="宋体" w:hAnsi="宋体" w:cs="宋体"/>
          <w:spacing w:val="8"/>
          <w:sz w:val="24"/>
          <w:shd w:val="clear" w:color="auto" w:fill="FFFFFF"/>
        </w:rPr>
      </w:pPr>
      <w:r>
        <w:rPr>
          <w:rFonts w:hint="eastAsia" w:ascii="宋体" w:hAnsi="宋体" w:cs="宋体"/>
          <w:spacing w:val="8"/>
          <w:sz w:val="24"/>
          <w:shd w:val="clear" w:color="auto" w:fill="FFFFFF"/>
        </w:rPr>
        <w:t>8、乙方必须接受甲方的监督、检查，对甲方提出的安全整改意见必须及时整改。</w:t>
      </w:r>
    </w:p>
    <w:p w14:paraId="188143C5">
      <w:pPr>
        <w:pStyle w:val="8"/>
        <w:shd w:val="clear" w:color="auto" w:fill="FFFFFF"/>
        <w:snapToGrid w:val="0"/>
        <w:spacing w:before="0" w:beforeAutospacing="0" w:after="0" w:afterAutospacing="0" w:line="440" w:lineRule="exact"/>
        <w:ind w:firstLine="514" w:firstLineChars="200"/>
        <w:jc w:val="both"/>
        <w:rPr>
          <w:b/>
          <w:spacing w:val="8"/>
          <w:shd w:val="clear" w:color="auto" w:fill="FFFFFF"/>
        </w:rPr>
      </w:pPr>
      <w:r>
        <w:rPr>
          <w:rFonts w:hint="eastAsia"/>
          <w:b/>
          <w:spacing w:val="8"/>
          <w:shd w:val="clear" w:color="auto" w:fill="FFFFFF"/>
        </w:rPr>
        <w:t>五、安全要求</w:t>
      </w:r>
    </w:p>
    <w:p w14:paraId="33E86AFA">
      <w:pPr>
        <w:pStyle w:val="8"/>
        <w:shd w:val="clear" w:color="auto" w:fill="FFFFFF"/>
        <w:snapToGrid w:val="0"/>
        <w:spacing w:before="0" w:beforeAutospacing="0" w:after="0" w:afterAutospacing="0" w:line="440" w:lineRule="exact"/>
        <w:ind w:firstLine="514" w:firstLineChars="200"/>
        <w:jc w:val="both"/>
        <w:rPr>
          <w:b/>
          <w:spacing w:val="8"/>
          <w:shd w:val="clear" w:color="auto" w:fill="FFFFFF"/>
        </w:rPr>
      </w:pPr>
      <w:r>
        <w:rPr>
          <w:rFonts w:hint="eastAsia"/>
          <w:b/>
          <w:spacing w:val="8"/>
          <w:shd w:val="clear" w:color="auto" w:fill="FFFFFF"/>
        </w:rPr>
        <w:t>(一)登高上架要求</w:t>
      </w:r>
    </w:p>
    <w:p w14:paraId="42034630">
      <w:pPr>
        <w:snapToGrid w:val="0"/>
        <w:spacing w:line="440" w:lineRule="exact"/>
        <w:ind w:firstLine="512" w:firstLineChars="200"/>
        <w:rPr>
          <w:rFonts w:ascii="宋体" w:hAnsi="宋体" w:cs="宋体"/>
          <w:spacing w:val="8"/>
          <w:sz w:val="24"/>
        </w:rPr>
      </w:pPr>
      <w:r>
        <w:rPr>
          <w:rFonts w:hint="eastAsia" w:ascii="宋体" w:hAnsi="宋体" w:cs="宋体"/>
          <w:spacing w:val="8"/>
          <w:sz w:val="24"/>
          <w:shd w:val="clear" w:color="auto" w:fill="FFFFFF"/>
        </w:rPr>
        <w:t>1、施工采用的脚手架、安全网必须由专业人员搭设，由项目经理(工地负责人)组织技术部、安全部门的有关人员验收合格后，方可投入使用，应按类别逐项查验，并应有验收记录。</w:t>
      </w:r>
    </w:p>
    <w:p w14:paraId="760E8694">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14:paraId="1993E418">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3、进入施工现场的人员必须佩戴安全帽。凡在2m以上高处作业人员，必须正确使用安全带，安全带应高挂低用。</w:t>
      </w:r>
    </w:p>
    <w:p w14:paraId="0785132A">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4、工程施工前，除工程技术人员对施工作业人员进行书面安全技术交底，并履行签字手续外，必须各施工班组长向施工人员进行班组交底及履行签字手续。</w:t>
      </w:r>
    </w:p>
    <w:p w14:paraId="68993706">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5、特殊工程施工项目如；电气、易燃、易爆容器、管道等，必须持有效证件及上岗证的专业人员操作。</w:t>
      </w:r>
    </w:p>
    <w:p w14:paraId="0C0B2798">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6、拆除施工现场，必须设有临时急救人员及药品或设立临时救助站。</w:t>
      </w:r>
    </w:p>
    <w:p w14:paraId="1FE262EE">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7、严禁在工作前和工作中饮酒，不许穿高跟鞋、硬底鞋、拖鞋，应穿防滑鞋。</w:t>
      </w:r>
    </w:p>
    <w:p w14:paraId="364F85A2">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8、进入施工现场须服从领导和安检人员的指挥，遵守劳动纪律、严守岗位、不串岗，作业时思想要集中。</w:t>
      </w:r>
    </w:p>
    <w:p w14:paraId="3ECDBBD2">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9、严禁随意拆除或损坏防护栏杆、拉杆、安全网、跳板、脚手板、支撑等防护设施。</w:t>
      </w:r>
    </w:p>
    <w:p w14:paraId="37EFEC08">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10、面砖搬运、安装时应注意安全，防止因面砖翻倒而受伤。</w:t>
      </w:r>
    </w:p>
    <w:p w14:paraId="2F4BE3B2">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11、各种材料加工时注意操作安全及施工用电，不得随便乱接乱拉电线。</w:t>
      </w:r>
    </w:p>
    <w:p w14:paraId="0D60117D">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12、施工现场各周边洞口，必须有符合安全规范要求的安全防护，若因施工作业场地要求而拆除的，操作完成后，立即恢复。</w:t>
      </w:r>
    </w:p>
    <w:p w14:paraId="69359B37">
      <w:pPr>
        <w:snapToGrid w:val="0"/>
        <w:spacing w:line="440" w:lineRule="exact"/>
        <w:ind w:firstLine="512" w:firstLineChars="200"/>
        <w:rPr>
          <w:rFonts w:ascii="宋体" w:hAnsi="宋体" w:cs="宋体"/>
          <w:spacing w:val="8"/>
          <w:sz w:val="24"/>
        </w:rPr>
      </w:pPr>
      <w:r>
        <w:rPr>
          <w:rFonts w:hint="eastAsia" w:ascii="宋体" w:hAnsi="宋体" w:cs="宋体"/>
          <w:spacing w:val="8"/>
          <w:sz w:val="24"/>
          <w:shd w:val="clear" w:color="auto" w:fill="FFFFFF"/>
        </w:rPr>
        <w:t>13、脚手架上禁止有探头板、飞跳板，脚手架上应满铺脚手板，脚手架上禁止堆放砂浆、砖块、面砖等物料。</w:t>
      </w:r>
    </w:p>
    <w:p w14:paraId="02545B11">
      <w:pPr>
        <w:pStyle w:val="8"/>
        <w:widowControl w:val="0"/>
        <w:shd w:val="clear" w:color="auto" w:fill="FFFFFF"/>
        <w:adjustRightInd w:val="0"/>
        <w:snapToGrid w:val="0"/>
        <w:spacing w:before="0" w:beforeAutospacing="0" w:after="0" w:afterAutospacing="0" w:line="440" w:lineRule="exact"/>
        <w:ind w:firstLine="512" w:firstLineChars="200"/>
        <w:jc w:val="both"/>
      </w:pPr>
      <w:r>
        <w:rPr>
          <w:rFonts w:hint="eastAsia"/>
          <w:spacing w:val="8"/>
          <w:shd w:val="clear" w:color="auto" w:fill="FFFFFF"/>
        </w:rPr>
        <w:t>14、不准从正在起吊、运吊中的物件下通过，以防突然事件，不准从高处往下跑、跳；不准在没有防护的外墙和外悬挑板等建筑物上行走；不准站在小推车</w:t>
      </w:r>
      <w:r>
        <w:rPr>
          <w:rFonts w:hint="eastAsia"/>
        </w:rPr>
        <w:t>等不稳定的物件上操作；不得攀登起重臂、绳索、脚手架、井字架和随同运料的吊盘和吊篮及吊装物上下；井架吊篮禁止乘人。</w:t>
      </w:r>
    </w:p>
    <w:p w14:paraId="51327905">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15、作业中不得往下投掷物件、碎砖、灰渣等，清理物料时应设溜槽或使用垃圾桶；手持工具和零星物料应随时放在工具袋中。</w:t>
      </w:r>
    </w:p>
    <w:p w14:paraId="74F3FEB0">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16、年龄未满18周岁者，患有心脏病、贫血、高血压、低血压、癫痫病及其他不适于高空作业的病症者严禁从事外墙施工作业。</w:t>
      </w:r>
    </w:p>
    <w:p w14:paraId="2C43DBDE">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17、遇到雷雨、大风等天气外墙施工应暂停作业。</w:t>
      </w:r>
    </w:p>
    <w:p w14:paraId="20BBF571">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18、手持电动工具使用前应进行检查，空载试验运转正常合格后方可使用，转移工作点应切断电源，潮湿场所严禁使用手持式电动工具。</w:t>
      </w:r>
    </w:p>
    <w:p w14:paraId="067B81A4">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19、作业前必须认真检查机械设备的安全装置，调整机器或更换刀具时应先切断电源并由机械员进行。</w:t>
      </w:r>
    </w:p>
    <w:p w14:paraId="0DF04697">
      <w:pPr>
        <w:pStyle w:val="8"/>
        <w:shd w:val="clear" w:color="auto" w:fill="FFFFFF"/>
        <w:snapToGrid w:val="0"/>
        <w:spacing w:before="0" w:beforeAutospacing="0" w:after="0" w:afterAutospacing="0" w:line="440" w:lineRule="exact"/>
        <w:ind w:firstLine="514" w:firstLineChars="200"/>
        <w:jc w:val="both"/>
        <w:rPr>
          <w:b/>
          <w:spacing w:val="8"/>
        </w:rPr>
      </w:pPr>
      <w:r>
        <w:rPr>
          <w:rFonts w:hint="eastAsia"/>
          <w:b/>
          <w:spacing w:val="8"/>
          <w:shd w:val="clear" w:color="auto" w:fill="FFFFFF"/>
        </w:rPr>
        <w:t>(二)用电要求</w:t>
      </w:r>
    </w:p>
    <w:p w14:paraId="52694EA3">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1、配电箱的箱柜门处应有名称，用途，分路、标记及内部系统接线图，以防失误操作。</w:t>
      </w:r>
    </w:p>
    <w:p w14:paraId="0361B439">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2、配电装置均应配锁，并有专人负责开启和关闭上锁。</w:t>
      </w:r>
    </w:p>
    <w:p w14:paraId="512EABAC">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3、电工和用电人员用电时，必须按规定穿戴绝缘，防护用品，使用绝缘工具。</w:t>
      </w:r>
    </w:p>
    <w:p w14:paraId="6CF87C2D">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4、施工现场下班停止工作时，必须将班后不用的配电装置分闸断电，并上锁，班中停止工作1小时以上时，相关动力开关箱应断电上锁，暂时不用的配电装置也应断电上锁。</w:t>
      </w:r>
    </w:p>
    <w:p w14:paraId="4837E8B4">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5、配电箱、开关箱内的电气配置和接线，严禁随意改动、并不得随意挂接其他用电设备。</w:t>
      </w:r>
    </w:p>
    <w:p w14:paraId="07A120DC">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6、配电装置的漏电保护器，应每次使用时用试验按钮试跳一次，只有试跳正常才可继续使用。</w:t>
      </w:r>
    </w:p>
    <w:p w14:paraId="022CE4E3">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7、用电设备的保护接地线应并联接地，并严禁串联接地或接零。</w:t>
      </w:r>
    </w:p>
    <w:p w14:paraId="6A1E234B">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8、使用中的电气设备应保持完好的工作状态，严禁带故障运行。</w:t>
      </w:r>
    </w:p>
    <w:p w14:paraId="1C6B835B">
      <w:pPr>
        <w:pStyle w:val="8"/>
        <w:widowControl w:val="0"/>
        <w:shd w:val="clear" w:color="auto" w:fill="FFFFFF"/>
        <w:adjustRightInd w:val="0"/>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9、现场临时用电及照明必须由项目经理同意，由专业电工按JGJ46-88《施工现场临时用电安全技术规范》要求进行操作。</w:t>
      </w:r>
    </w:p>
    <w:p w14:paraId="653C88D5">
      <w:pPr>
        <w:adjustRightInd w:val="0"/>
        <w:snapToGrid w:val="0"/>
        <w:spacing w:line="440" w:lineRule="exact"/>
        <w:ind w:firstLine="512" w:firstLineChars="200"/>
        <w:rPr>
          <w:rFonts w:ascii="宋体" w:hAnsi="宋体" w:cs="宋体"/>
          <w:spacing w:val="8"/>
          <w:sz w:val="24"/>
        </w:rPr>
      </w:pPr>
      <w:r>
        <w:rPr>
          <w:rFonts w:hint="eastAsia" w:ascii="宋体" w:hAnsi="宋体" w:cs="宋体"/>
          <w:spacing w:val="8"/>
          <w:sz w:val="24"/>
          <w:shd w:val="clear" w:color="auto" w:fill="FFFFFF"/>
        </w:rPr>
        <w:t>10、现场所有用电设备必须用插头与插线板连接，禁止将线头直接插入插线板。</w:t>
      </w:r>
    </w:p>
    <w:p w14:paraId="6BAA4965">
      <w:pPr>
        <w:pStyle w:val="8"/>
        <w:widowControl w:val="0"/>
        <w:shd w:val="clear" w:color="auto" w:fill="FFFFFF"/>
        <w:adjustRightInd w:val="0"/>
        <w:snapToGrid w:val="0"/>
        <w:spacing w:before="0" w:beforeAutospacing="0" w:after="0" w:afterAutospacing="0" w:line="440" w:lineRule="exact"/>
        <w:ind w:firstLine="514" w:firstLineChars="200"/>
        <w:jc w:val="both"/>
        <w:rPr>
          <w:b/>
          <w:spacing w:val="8"/>
        </w:rPr>
      </w:pPr>
      <w:r>
        <w:rPr>
          <w:rFonts w:hint="eastAsia"/>
          <w:b/>
          <w:spacing w:val="8"/>
          <w:shd w:val="clear" w:color="auto" w:fill="FFFFFF"/>
        </w:rPr>
        <w:t>(三)电焊机使用要求</w:t>
      </w:r>
    </w:p>
    <w:p w14:paraId="74E895E9">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1、操作人员应具有上岗证书，严禁无证操作。</w:t>
      </w:r>
    </w:p>
    <w:p w14:paraId="0A796CCF">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2、所有交、直流电的金属外壳，都必须采取保护接地或接零。焊接的金属和结构本身接地。</w:t>
      </w:r>
    </w:p>
    <w:p w14:paraId="5314B1FB">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3、电焊机二次焊把线，地线需接长使用时，应保证搭接面积，接点处用绝缘胶带包裹好，地线良好不能有破皮裂口存在。</w:t>
      </w:r>
    </w:p>
    <w:p w14:paraId="5E4DF10D">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4遇有雨、雪、雾或六级以上强风，影响施工安全时应停止室外焊接，雨雪后应先清除施工地点的积水、积雪后方可施焊。</w:t>
      </w:r>
    </w:p>
    <w:p w14:paraId="45DADD42">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5、焊接时，操作人员应穿戴好所有防护用具。</w:t>
      </w:r>
    </w:p>
    <w:p w14:paraId="606F1C8F">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6、各种用电设备，照明设备在露天使用时必须设有防水、防雨设施，各种设备的防护罩必须齐全。</w:t>
      </w:r>
    </w:p>
    <w:p w14:paraId="76671BC5">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7无铬牌的电气设备不得随意接通电源，各种电气设备应铭牌齐全。</w:t>
      </w:r>
    </w:p>
    <w:p w14:paraId="550B8247">
      <w:pPr>
        <w:pStyle w:val="8"/>
        <w:shd w:val="clear" w:color="auto" w:fill="FFFFFF"/>
        <w:snapToGrid w:val="0"/>
        <w:spacing w:before="0" w:beforeAutospacing="0" w:after="0" w:afterAutospacing="0" w:line="440" w:lineRule="exact"/>
        <w:ind w:firstLine="514" w:firstLineChars="200"/>
        <w:jc w:val="both"/>
        <w:rPr>
          <w:b/>
          <w:spacing w:val="8"/>
        </w:rPr>
      </w:pPr>
      <w:r>
        <w:rPr>
          <w:rFonts w:hint="eastAsia"/>
          <w:b/>
          <w:spacing w:val="8"/>
          <w:shd w:val="clear" w:color="auto" w:fill="FFFFFF"/>
        </w:rPr>
        <w:t>(四)动火要求</w:t>
      </w:r>
    </w:p>
    <w:p w14:paraId="3506529A">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1、进入施工现场，必须向施工班组人员进行消防及动火知识教育。</w:t>
      </w:r>
    </w:p>
    <w:p w14:paraId="19A16BF2">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2、施工现场严禁吸烟及随意动火，如需动火必须向项目经理提出申请，经项目经理同意签字后方可使用。</w:t>
      </w:r>
    </w:p>
    <w:p w14:paraId="4771931E">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3、施工中所需使用的易燃物品，如，汽油、气瓶等，必须设专门的临时存放库房并设置灭火器，沙袋等，由专人管理。</w:t>
      </w:r>
    </w:p>
    <w:p w14:paraId="55D5396C">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4、施工现场认真执行“三清，五好”管理制度，尤其对木制品的刨花、锯末、料头，做到每天工完场清，各类材料都要码放成垛，整齐堆放。</w:t>
      </w:r>
    </w:p>
    <w:p w14:paraId="463B3999">
      <w:pPr>
        <w:adjustRightInd w:val="0"/>
        <w:snapToGrid w:val="0"/>
        <w:spacing w:line="440" w:lineRule="exact"/>
        <w:ind w:firstLine="512" w:firstLineChars="200"/>
        <w:jc w:val="left"/>
        <w:rPr>
          <w:rFonts w:ascii="宋体" w:hAnsi="宋体" w:cs="宋体"/>
          <w:spacing w:val="8"/>
          <w:sz w:val="24"/>
        </w:rPr>
      </w:pPr>
      <w:r>
        <w:rPr>
          <w:rFonts w:hint="eastAsia" w:ascii="宋体" w:hAnsi="宋体" w:cs="宋体"/>
          <w:spacing w:val="8"/>
          <w:sz w:val="24"/>
          <w:shd w:val="clear" w:color="auto" w:fill="FFFFFF"/>
        </w:rPr>
        <w:t>5、电焊、气焊作业前要明确作业任务，认真了解作业环境，确定出动火危险区域，并立出明显标志，危险区内的一切易燃品都必须移走，对不能移走的可燃物，采取可靠的保护措施。</w:t>
      </w:r>
    </w:p>
    <w:p w14:paraId="1B286F8D">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6、焊工必须持证上岗，无证者不能进行操作。</w:t>
      </w:r>
    </w:p>
    <w:p w14:paraId="5166ED4F">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7、属特、一、二级防火范围的焊割作业，未经办理动火审批手续，不准进行焊割作业。</w:t>
      </w:r>
    </w:p>
    <w:p w14:paraId="4A3DEFAE">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8、五级风以上禁止动用电气焊。</w:t>
      </w:r>
    </w:p>
    <w:p w14:paraId="6F0F1DD9">
      <w:pPr>
        <w:pStyle w:val="8"/>
        <w:shd w:val="clear" w:color="auto" w:fill="FFFFFF"/>
        <w:snapToGrid w:val="0"/>
        <w:spacing w:before="0" w:beforeAutospacing="0" w:after="0" w:afterAutospacing="0" w:line="440" w:lineRule="exact"/>
        <w:ind w:firstLine="514" w:firstLineChars="200"/>
        <w:jc w:val="both"/>
        <w:rPr>
          <w:b/>
          <w:spacing w:val="8"/>
        </w:rPr>
      </w:pPr>
      <w:r>
        <w:rPr>
          <w:rFonts w:hint="eastAsia"/>
          <w:b/>
          <w:spacing w:val="8"/>
          <w:shd w:val="clear" w:color="auto" w:fill="FFFFFF"/>
        </w:rPr>
        <w:t>(五)室外吊篮施工要求</w:t>
      </w:r>
    </w:p>
    <w:p w14:paraId="14482487">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1、施工前必须检查吊篮的焊接点、杆件、钢丝绳、葫芦，是否存在损坏和生锈，如存在则必须进行除锈补焊、更换等，方可使用。</w:t>
      </w:r>
    </w:p>
    <w:p w14:paraId="1DE48B53">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2、上架的施工人员，必须穿工作服、防滑鞋，并正确佩戴安全带，并与钢丝绳稳固连接。</w:t>
      </w:r>
    </w:p>
    <w:p w14:paraId="121B06B7">
      <w:pPr>
        <w:pStyle w:val="8"/>
        <w:shd w:val="clear" w:color="auto" w:fill="FFFFFF"/>
        <w:snapToGrid w:val="0"/>
        <w:spacing w:before="0" w:beforeAutospacing="0" w:after="0" w:afterAutospacing="0" w:line="440" w:lineRule="exact"/>
        <w:ind w:firstLine="512" w:firstLineChars="200"/>
        <w:jc w:val="both"/>
        <w:rPr>
          <w:spacing w:val="8"/>
        </w:rPr>
      </w:pPr>
      <w:r>
        <w:rPr>
          <w:rFonts w:hint="eastAsia"/>
          <w:spacing w:val="8"/>
          <w:shd w:val="clear" w:color="auto" w:fill="FFFFFF"/>
        </w:rPr>
        <w:t>3、吊篮内的施工人员，只能保持三人，携带的油漆、涂料等不得多于2桶，并用结实的绳索或挂钩固定在吊篮上。</w:t>
      </w:r>
    </w:p>
    <w:p w14:paraId="392CAD21">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4、进入施工现场的操作人员必须由经过专业培训，并取得国家相关部门颁发的证书上岗。</w:t>
      </w:r>
    </w:p>
    <w:p w14:paraId="4FBDA29D">
      <w:pPr>
        <w:pStyle w:val="8"/>
        <w:shd w:val="clear" w:color="auto" w:fill="FFFFFF"/>
        <w:snapToGrid w:val="0"/>
        <w:spacing w:before="0" w:beforeAutospacing="0" w:after="0" w:afterAutospacing="0" w:line="440" w:lineRule="exact"/>
        <w:ind w:firstLine="514" w:firstLineChars="200"/>
        <w:jc w:val="both"/>
        <w:rPr>
          <w:b/>
          <w:spacing w:val="8"/>
          <w:shd w:val="clear" w:color="auto" w:fill="FFFFFF"/>
        </w:rPr>
      </w:pPr>
      <w:r>
        <w:rPr>
          <w:rFonts w:hint="eastAsia"/>
          <w:b/>
          <w:spacing w:val="8"/>
          <w:shd w:val="clear" w:color="auto" w:fill="FFFFFF"/>
        </w:rPr>
        <w:t>六、其他</w:t>
      </w:r>
    </w:p>
    <w:p w14:paraId="47718CB5">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1、协议作为乙双方工程合同的补充，与工程合同具备同样法律效力，协议内容如有和国家地方的有关法律法规规章不符者，按国家和地方的有关规定执行。</w:t>
      </w:r>
    </w:p>
    <w:p w14:paraId="08878C90">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2、本协议一经签订，甲乙双方必须共同遵守，施工现场发生施工人员伤亡事故时，本协议作为区分甲乙双方责任的主要文件，协议未阐明的事项，由甲乙双方按照法律法规的规定解决。</w:t>
      </w:r>
    </w:p>
    <w:p w14:paraId="0E40A33B">
      <w:pPr>
        <w:pStyle w:val="8"/>
        <w:shd w:val="clear" w:color="auto" w:fill="FFFFFF"/>
        <w:snapToGrid w:val="0"/>
        <w:spacing w:before="0" w:beforeAutospacing="0" w:after="0" w:afterAutospacing="0" w:line="440" w:lineRule="exact"/>
        <w:ind w:left="128" w:leftChars="61" w:firstLine="384" w:firstLineChars="150"/>
        <w:jc w:val="both"/>
        <w:rPr>
          <w:spacing w:val="8"/>
          <w:shd w:val="clear" w:color="auto" w:fill="FFFFFF"/>
        </w:rPr>
      </w:pPr>
      <w:r>
        <w:rPr>
          <w:rFonts w:hint="eastAsia"/>
          <w:spacing w:val="8"/>
          <w:shd w:val="clear" w:color="auto" w:fill="FFFFFF"/>
        </w:rPr>
        <w:t>3、本协议经立协议双方法人单位盖章或现场负责人签字后生效，有效期从</w:t>
      </w:r>
      <w:r>
        <w:rPr>
          <w:rFonts w:hint="eastAsia"/>
          <w:spacing w:val="8"/>
          <w:u w:val="single"/>
          <w:shd w:val="clear" w:color="auto" w:fill="FFFFFF"/>
        </w:rPr>
        <w:t>2025年    月    日</w:t>
      </w:r>
      <w:r>
        <w:rPr>
          <w:rFonts w:hint="eastAsia"/>
          <w:spacing w:val="8"/>
          <w:shd w:val="clear" w:color="auto" w:fill="FFFFFF"/>
        </w:rPr>
        <w:t>至合同任务结束。</w:t>
      </w:r>
    </w:p>
    <w:p w14:paraId="1FF17D23">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4、本合同一式四份，甲方执叁份，乙方执壹份。</w:t>
      </w:r>
    </w:p>
    <w:p w14:paraId="3CCB0A6D">
      <w:pPr>
        <w:pStyle w:val="8"/>
        <w:shd w:val="clear" w:color="auto" w:fill="FFFFFF"/>
        <w:snapToGrid w:val="0"/>
        <w:spacing w:before="0" w:beforeAutospacing="0" w:after="0" w:afterAutospacing="0" w:line="440" w:lineRule="exact"/>
        <w:ind w:firstLine="512" w:firstLineChars="200"/>
        <w:jc w:val="both"/>
        <w:rPr>
          <w:spacing w:val="8"/>
          <w:shd w:val="clear" w:color="auto" w:fill="FFFFFF"/>
        </w:rPr>
      </w:pPr>
      <w:r>
        <w:rPr>
          <w:rFonts w:hint="eastAsia"/>
          <w:spacing w:val="8"/>
          <w:shd w:val="clear" w:color="auto" w:fill="FFFFFF"/>
        </w:rPr>
        <w:t>5、当合约双方发生争议时，可以通过协商解决或申请施工合同管理机构有关部门调解，不愿通过调解或调解不成地可以向甲方所在地人民法院起诉。</w:t>
      </w:r>
    </w:p>
    <w:p w14:paraId="55C21575">
      <w:pPr>
        <w:adjustRightInd w:val="0"/>
        <w:snapToGrid w:val="0"/>
        <w:spacing w:line="360" w:lineRule="auto"/>
        <w:rPr>
          <w:rFonts w:ascii="宋体" w:hAnsi="宋体"/>
          <w:b/>
          <w:sz w:val="24"/>
        </w:rPr>
      </w:pPr>
    </w:p>
    <w:p w14:paraId="7B49BA81">
      <w:pPr>
        <w:adjustRightInd w:val="0"/>
        <w:snapToGrid w:val="0"/>
        <w:spacing w:line="360" w:lineRule="auto"/>
        <w:rPr>
          <w:rFonts w:ascii="宋体" w:hAnsi="宋体"/>
          <w:sz w:val="24"/>
        </w:rPr>
      </w:pPr>
      <w:r>
        <w:rPr>
          <w:rFonts w:hint="eastAsia" w:ascii="宋体" w:hAnsi="宋体"/>
          <w:b/>
          <w:sz w:val="24"/>
        </w:rPr>
        <w:t>发包人</w:t>
      </w:r>
      <w:r>
        <w:rPr>
          <w:rFonts w:hint="eastAsia" w:ascii="宋体" w:hAnsi="宋体"/>
          <w:sz w:val="24"/>
        </w:rPr>
        <w:t>(盖章)：</w:t>
      </w:r>
      <w:r>
        <w:rPr>
          <w:rFonts w:hint="eastAsia" w:ascii="宋体" w:hAnsi="宋体" w:cs="宋体"/>
          <w:sz w:val="24"/>
        </w:rPr>
        <w:t xml:space="preserve">                       </w:t>
      </w:r>
      <w:r>
        <w:rPr>
          <w:rFonts w:hint="eastAsia" w:ascii="宋体" w:hAnsi="宋体"/>
          <w:b/>
          <w:sz w:val="24"/>
        </w:rPr>
        <w:t>承包人</w:t>
      </w:r>
      <w:r>
        <w:rPr>
          <w:rFonts w:hint="eastAsia" w:ascii="宋体" w:hAnsi="宋体"/>
          <w:sz w:val="24"/>
        </w:rPr>
        <w:t>(盖章)：</w:t>
      </w:r>
      <w:r>
        <w:rPr>
          <w:rFonts w:hint="eastAsia" w:ascii="宋体" w:hAnsi="宋体" w:cs="宋体"/>
          <w:sz w:val="24"/>
        </w:rPr>
        <w:t></w:t>
      </w:r>
    </w:p>
    <w:p w14:paraId="6D47E69C">
      <w:pPr>
        <w:adjustRightInd w:val="0"/>
        <w:snapToGrid w:val="0"/>
        <w:spacing w:line="360" w:lineRule="auto"/>
        <w:rPr>
          <w:rFonts w:ascii="宋体" w:hAnsi="宋体"/>
          <w:sz w:val="24"/>
        </w:rPr>
      </w:pPr>
      <w:r>
        <w:rPr>
          <w:rFonts w:hint="eastAsia" w:ascii="宋体" w:hAnsi="宋体"/>
          <w:sz w:val="24"/>
        </w:rPr>
        <w:t>现场负责人(签字)：                     现场负责人(签字)：</w:t>
      </w:r>
    </w:p>
    <w:p w14:paraId="038B00C6">
      <w:pPr>
        <w:adjustRightInd w:val="0"/>
        <w:snapToGrid w:val="0"/>
        <w:spacing w:line="360" w:lineRule="auto"/>
        <w:rPr>
          <w:rFonts w:ascii="宋体" w:hAnsi="宋体"/>
          <w:sz w:val="24"/>
        </w:rPr>
      </w:pPr>
      <w:r>
        <w:rPr>
          <w:rFonts w:hint="eastAsia" w:ascii="宋体" w:hAnsi="宋体"/>
          <w:sz w:val="24"/>
        </w:rPr>
        <w:t>联系电话：                             联系电话：</w:t>
      </w:r>
    </w:p>
    <w:p w14:paraId="72E77BBC">
      <w:pPr>
        <w:rPr>
          <w:rFonts w:hint="eastAsia"/>
          <w:sz w:val="24"/>
        </w:rPr>
      </w:pP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          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6E0276F2">
      <w:pPr>
        <w:adjustRightInd w:val="0"/>
        <w:snapToGrid w:val="0"/>
        <w:spacing w:beforeLines="50" w:afterLines="50" w:line="360" w:lineRule="auto"/>
        <w:jc w:val="left"/>
        <w:rPr>
          <w:rFonts w:ascii="宋体" w:hAnsi="宋体"/>
          <w:b/>
          <w:sz w:val="24"/>
        </w:rPr>
      </w:pPr>
    </w:p>
    <w:p w14:paraId="4C8F7203">
      <w:pPr>
        <w:adjustRightInd w:val="0"/>
        <w:snapToGrid w:val="0"/>
        <w:spacing w:beforeLines="50" w:afterLines="50" w:line="360" w:lineRule="auto"/>
        <w:jc w:val="left"/>
        <w:rPr>
          <w:rFonts w:ascii="宋体" w:hAnsi="宋体"/>
          <w:b/>
          <w:sz w:val="24"/>
        </w:rPr>
      </w:pPr>
    </w:p>
    <w:p w14:paraId="326F215D">
      <w:pPr>
        <w:adjustRightInd w:val="0"/>
        <w:snapToGrid w:val="0"/>
        <w:spacing w:beforeLines="50" w:afterLines="50" w:line="360" w:lineRule="auto"/>
        <w:jc w:val="left"/>
        <w:rPr>
          <w:rFonts w:ascii="宋体" w:hAnsi="宋体"/>
          <w:b/>
          <w:sz w:val="24"/>
        </w:rPr>
      </w:pPr>
    </w:p>
    <w:p w14:paraId="548F4AC8">
      <w:pPr>
        <w:adjustRightInd w:val="0"/>
        <w:snapToGrid w:val="0"/>
        <w:spacing w:beforeLines="50" w:afterLines="50" w:line="360" w:lineRule="auto"/>
        <w:jc w:val="left"/>
        <w:rPr>
          <w:rFonts w:ascii="宋体" w:hAnsi="宋体"/>
          <w:b/>
          <w:sz w:val="24"/>
        </w:rPr>
      </w:pPr>
    </w:p>
    <w:p w14:paraId="6E5C0E14">
      <w:pPr>
        <w:adjustRightInd w:val="0"/>
        <w:snapToGrid w:val="0"/>
        <w:spacing w:beforeLines="50" w:afterLines="50" w:line="360" w:lineRule="auto"/>
        <w:jc w:val="left"/>
        <w:rPr>
          <w:rFonts w:ascii="宋体" w:hAnsi="宋体"/>
          <w:b/>
          <w:sz w:val="24"/>
        </w:rPr>
      </w:pPr>
    </w:p>
    <w:p w14:paraId="4D8A4063">
      <w:pPr>
        <w:adjustRightInd w:val="0"/>
        <w:snapToGrid w:val="0"/>
        <w:spacing w:beforeLines="50" w:afterLines="50" w:line="360" w:lineRule="auto"/>
        <w:jc w:val="left"/>
        <w:rPr>
          <w:rFonts w:ascii="宋体" w:hAnsi="宋体"/>
          <w:b/>
          <w:sz w:val="24"/>
        </w:rPr>
      </w:pPr>
    </w:p>
    <w:p w14:paraId="7A77F3B9">
      <w:pPr>
        <w:adjustRightInd w:val="0"/>
        <w:snapToGrid w:val="0"/>
        <w:spacing w:beforeLines="50" w:afterLines="50" w:line="360" w:lineRule="auto"/>
        <w:jc w:val="left"/>
        <w:rPr>
          <w:rFonts w:ascii="宋体" w:hAnsi="宋体"/>
          <w:b/>
          <w:sz w:val="24"/>
        </w:rPr>
      </w:pPr>
    </w:p>
    <w:p w14:paraId="453EA9B3">
      <w:pPr>
        <w:adjustRightInd w:val="0"/>
        <w:snapToGrid w:val="0"/>
        <w:spacing w:beforeLines="50" w:afterLines="50" w:line="360" w:lineRule="auto"/>
        <w:jc w:val="left"/>
        <w:rPr>
          <w:rFonts w:ascii="宋体" w:hAnsi="宋体"/>
          <w:b/>
          <w:sz w:val="24"/>
        </w:rPr>
      </w:pPr>
    </w:p>
    <w:p w14:paraId="18884301">
      <w:pPr>
        <w:adjustRightInd w:val="0"/>
        <w:snapToGrid w:val="0"/>
        <w:spacing w:beforeLines="50" w:afterLines="50" w:line="360" w:lineRule="auto"/>
        <w:jc w:val="left"/>
        <w:rPr>
          <w:rFonts w:ascii="宋体" w:hAnsi="宋体"/>
          <w:b/>
          <w:sz w:val="24"/>
        </w:rPr>
      </w:pPr>
    </w:p>
    <w:p w14:paraId="6ECB762A">
      <w:pPr>
        <w:adjustRightInd w:val="0"/>
        <w:snapToGrid w:val="0"/>
        <w:spacing w:beforeLines="50" w:afterLines="50" w:line="360" w:lineRule="auto"/>
        <w:jc w:val="left"/>
        <w:rPr>
          <w:rFonts w:ascii="宋体" w:hAnsi="宋体"/>
          <w:b/>
          <w:sz w:val="24"/>
        </w:rPr>
      </w:pPr>
    </w:p>
    <w:p w14:paraId="64CD4F0C">
      <w:pPr>
        <w:adjustRightInd w:val="0"/>
        <w:snapToGrid w:val="0"/>
        <w:spacing w:beforeLines="50" w:afterLines="50" w:line="360" w:lineRule="auto"/>
        <w:jc w:val="left"/>
        <w:rPr>
          <w:rFonts w:ascii="宋体" w:hAnsi="宋体"/>
          <w:b/>
          <w:sz w:val="24"/>
        </w:rPr>
      </w:pPr>
    </w:p>
    <w:p w14:paraId="7435C5BE">
      <w:pPr>
        <w:adjustRightInd w:val="0"/>
        <w:snapToGrid w:val="0"/>
        <w:spacing w:beforeLines="50" w:afterLines="50" w:line="360" w:lineRule="auto"/>
        <w:jc w:val="left"/>
        <w:rPr>
          <w:rFonts w:ascii="宋体" w:hAnsi="宋体"/>
          <w:b/>
          <w:sz w:val="24"/>
        </w:rPr>
      </w:pPr>
    </w:p>
    <w:p w14:paraId="5DAEB1A1">
      <w:pPr>
        <w:adjustRightInd w:val="0"/>
        <w:snapToGrid w:val="0"/>
        <w:spacing w:beforeLines="50" w:afterLines="50" w:line="360" w:lineRule="auto"/>
        <w:jc w:val="left"/>
        <w:rPr>
          <w:rFonts w:ascii="宋体" w:hAnsi="宋体"/>
          <w:b/>
          <w:sz w:val="24"/>
        </w:rPr>
      </w:pPr>
    </w:p>
    <w:p w14:paraId="1EC852B6">
      <w:pPr>
        <w:adjustRightInd w:val="0"/>
        <w:snapToGrid w:val="0"/>
        <w:spacing w:beforeLines="50" w:afterLines="50" w:line="360" w:lineRule="auto"/>
        <w:jc w:val="left"/>
        <w:rPr>
          <w:rFonts w:ascii="宋体" w:hAnsi="宋体"/>
          <w:b/>
          <w:sz w:val="24"/>
        </w:rPr>
      </w:pPr>
    </w:p>
    <w:p w14:paraId="5DA7B9BB">
      <w:pPr>
        <w:adjustRightInd w:val="0"/>
        <w:snapToGrid w:val="0"/>
        <w:spacing w:beforeLines="50" w:afterLines="50" w:line="360" w:lineRule="auto"/>
        <w:jc w:val="left"/>
        <w:rPr>
          <w:rFonts w:ascii="宋体" w:hAnsi="宋体"/>
          <w:b/>
          <w:sz w:val="24"/>
        </w:rPr>
      </w:pPr>
    </w:p>
    <w:p w14:paraId="477AF202">
      <w:pPr>
        <w:adjustRightInd w:val="0"/>
        <w:snapToGrid w:val="0"/>
        <w:spacing w:beforeLines="50" w:afterLines="50" w:line="360" w:lineRule="auto"/>
        <w:jc w:val="left"/>
        <w:rPr>
          <w:rFonts w:ascii="宋体" w:hAnsi="宋体"/>
          <w:b/>
          <w:sz w:val="24"/>
        </w:rPr>
      </w:pPr>
    </w:p>
    <w:p w14:paraId="063BD722">
      <w:pPr>
        <w:adjustRightInd w:val="0"/>
        <w:snapToGrid w:val="0"/>
        <w:spacing w:beforeLines="50" w:afterLines="50" w:line="360" w:lineRule="auto"/>
        <w:jc w:val="left"/>
        <w:rPr>
          <w:rFonts w:ascii="宋体" w:hAnsi="宋体"/>
          <w:b/>
          <w:sz w:val="24"/>
        </w:rPr>
      </w:pPr>
    </w:p>
    <w:p w14:paraId="3D87977A">
      <w:pPr>
        <w:adjustRightInd w:val="0"/>
        <w:snapToGrid w:val="0"/>
        <w:spacing w:beforeLines="50" w:afterLines="50" w:line="360" w:lineRule="auto"/>
        <w:jc w:val="left"/>
        <w:rPr>
          <w:rFonts w:ascii="宋体" w:hAnsi="宋体"/>
          <w:sz w:val="24"/>
        </w:rPr>
      </w:pPr>
      <w:r>
        <w:rPr>
          <w:rFonts w:hint="eastAsia" w:ascii="宋体" w:hAnsi="宋体"/>
          <w:b/>
          <w:sz w:val="24"/>
        </w:rPr>
        <w:t>附件3:</w:t>
      </w:r>
      <w:r>
        <w:rPr>
          <w:rFonts w:hint="eastAsia" w:ascii="宋体" w:hAnsi="宋体"/>
          <w:sz w:val="24"/>
        </w:rPr>
        <w:t>《工程质量保修书》</w:t>
      </w:r>
    </w:p>
    <w:p w14:paraId="213139F5">
      <w:pPr>
        <w:adjustRightInd w:val="0"/>
        <w:snapToGrid w:val="0"/>
        <w:spacing w:beforeLines="50" w:afterLines="50" w:line="360" w:lineRule="auto"/>
        <w:ind w:firstLine="3451" w:firstLineChars="1146"/>
        <w:rPr>
          <w:rFonts w:ascii="宋体" w:hAnsi="宋体"/>
          <w:b/>
          <w:sz w:val="30"/>
          <w:szCs w:val="30"/>
        </w:rPr>
      </w:pPr>
      <w:r>
        <w:rPr>
          <w:rFonts w:hint="eastAsia" w:ascii="宋体" w:hAnsi="宋体"/>
          <w:b/>
          <w:sz w:val="30"/>
          <w:szCs w:val="30"/>
        </w:rPr>
        <w:t>工程质量保修书</w:t>
      </w:r>
    </w:p>
    <w:p w14:paraId="5F63B69E">
      <w:pPr>
        <w:adjustRightInd w:val="0"/>
        <w:snapToGrid w:val="0"/>
        <w:spacing w:line="440" w:lineRule="exact"/>
        <w:rPr>
          <w:rFonts w:ascii="宋体" w:hAnsi="宋体" w:cs="宋体"/>
          <w:sz w:val="24"/>
          <w:u w:val="single"/>
        </w:rPr>
      </w:pPr>
      <w:r>
        <w:rPr>
          <w:rFonts w:hint="eastAsia" w:ascii="宋体" w:hAnsi="宋体"/>
          <w:b/>
          <w:sz w:val="24"/>
        </w:rPr>
        <w:t>发包人</w:t>
      </w:r>
      <w:r>
        <w:rPr>
          <w:rFonts w:hint="eastAsia" w:ascii="宋体" w:hAnsi="宋体"/>
          <w:sz w:val="24"/>
        </w:rPr>
        <w:t>（全称）：</w:t>
      </w:r>
      <w:r>
        <w:rPr>
          <w:rFonts w:hint="eastAsia" w:ascii="宋体" w:hAnsi="宋体" w:cs="宋体"/>
          <w:kern w:val="0"/>
          <w:sz w:val="24"/>
          <w:u w:val="single"/>
        </w:rPr>
        <w:t xml:space="preserve">  合肥百货大楼集团商业大厦有限责任公司     </w:t>
      </w:r>
    </w:p>
    <w:p w14:paraId="0528F49A">
      <w:pPr>
        <w:adjustRightInd w:val="0"/>
        <w:snapToGrid w:val="0"/>
        <w:spacing w:line="360" w:lineRule="auto"/>
        <w:rPr>
          <w:rFonts w:ascii="宋体" w:hAnsi="宋体"/>
          <w:sz w:val="24"/>
        </w:rPr>
      </w:pPr>
      <w:r>
        <w:rPr>
          <w:rFonts w:hint="eastAsia" w:ascii="宋体" w:hAnsi="宋体"/>
          <w:sz w:val="24"/>
        </w:rPr>
        <w:t xml:space="preserve"> </w:t>
      </w:r>
    </w:p>
    <w:p w14:paraId="0A8071CE">
      <w:pPr>
        <w:adjustRightInd w:val="0"/>
        <w:snapToGrid w:val="0"/>
        <w:spacing w:line="360" w:lineRule="auto"/>
        <w:rPr>
          <w:rFonts w:ascii="宋体" w:hAnsi="宋体"/>
          <w:sz w:val="24"/>
        </w:rPr>
      </w:pPr>
      <w:r>
        <w:rPr>
          <w:rFonts w:hint="eastAsia" w:ascii="宋体" w:hAnsi="宋体"/>
          <w:b/>
          <w:sz w:val="24"/>
        </w:rPr>
        <w:t>承包人</w:t>
      </w:r>
      <w:r>
        <w:rPr>
          <w:rFonts w:hint="eastAsia" w:ascii="宋体" w:hAnsi="宋体"/>
          <w:sz w:val="24"/>
        </w:rPr>
        <w:t>（全称）：</w:t>
      </w:r>
      <w:r>
        <w:rPr>
          <w:rFonts w:hint="eastAsia" w:ascii="宋体" w:hAnsi="宋体" w:cs="宋体"/>
          <w:kern w:val="0"/>
          <w:sz w:val="24"/>
          <w:u w:val="single"/>
        </w:rPr>
        <w:t xml:space="preserve">                                            </w:t>
      </w:r>
    </w:p>
    <w:p w14:paraId="3D1D6FC0">
      <w:pPr>
        <w:adjustRightInd w:val="0"/>
        <w:snapToGrid w:val="0"/>
        <w:spacing w:line="360" w:lineRule="auto"/>
        <w:rPr>
          <w:rFonts w:ascii="宋体" w:hAnsi="宋体"/>
          <w:sz w:val="24"/>
        </w:rPr>
      </w:pPr>
      <w:r>
        <w:rPr>
          <w:rFonts w:hint="eastAsia" w:ascii="宋体" w:hAnsi="宋体"/>
          <w:sz w:val="24"/>
        </w:rPr>
        <w:t>　</w:t>
      </w:r>
    </w:p>
    <w:p w14:paraId="3E7AE146">
      <w:pPr>
        <w:adjustRightInd w:val="0"/>
        <w:snapToGrid w:val="0"/>
        <w:spacing w:line="360" w:lineRule="auto"/>
        <w:rPr>
          <w:rFonts w:ascii="宋体" w:hAnsi="宋体"/>
          <w:sz w:val="24"/>
        </w:rPr>
      </w:pPr>
      <w:r>
        <w:rPr>
          <w:rFonts w:hint="eastAsia" w:ascii="宋体" w:hAnsi="宋体"/>
          <w:sz w:val="24"/>
        </w:rPr>
        <w:t>　发包人和承包人根据《中华人民共和国建筑法》和《建设工程质量管理条例》，经协商一致，就工程项目签订工程质量保修书。</w:t>
      </w:r>
    </w:p>
    <w:p w14:paraId="2C9EE21B">
      <w:pPr>
        <w:adjustRightInd w:val="0"/>
        <w:snapToGrid w:val="0"/>
        <w:spacing w:line="360" w:lineRule="auto"/>
        <w:rPr>
          <w:rFonts w:ascii="宋体" w:hAnsi="宋体"/>
          <w:b/>
          <w:sz w:val="24"/>
        </w:rPr>
      </w:pPr>
      <w:r>
        <w:rPr>
          <w:rFonts w:hint="eastAsia" w:ascii="宋体" w:hAnsi="宋体"/>
          <w:sz w:val="24"/>
        </w:rPr>
        <w:t>　　</w:t>
      </w:r>
      <w:r>
        <w:rPr>
          <w:rFonts w:hint="eastAsia" w:ascii="宋体" w:hAnsi="宋体"/>
          <w:b/>
          <w:sz w:val="24"/>
        </w:rPr>
        <w:t>一、工程质量保修范围和内容</w:t>
      </w:r>
    </w:p>
    <w:p w14:paraId="6823128C">
      <w:pPr>
        <w:adjustRightInd w:val="0"/>
        <w:snapToGrid w:val="0"/>
        <w:spacing w:line="360" w:lineRule="auto"/>
        <w:rPr>
          <w:rFonts w:ascii="宋体" w:hAnsi="宋体"/>
          <w:sz w:val="24"/>
        </w:rPr>
      </w:pPr>
      <w:r>
        <w:rPr>
          <w:rFonts w:hint="eastAsia" w:ascii="宋体" w:hAnsi="宋体"/>
          <w:sz w:val="24"/>
        </w:rPr>
        <w:t>　　承包人在质量保修期内，按照有关法律规定和合同约定，承担工程质量保修责任。</w:t>
      </w:r>
    </w:p>
    <w:p w14:paraId="0D2767B5">
      <w:pPr>
        <w:adjustRightInd w:val="0"/>
        <w:snapToGrid w:val="0"/>
        <w:spacing w:line="360" w:lineRule="auto"/>
        <w:rPr>
          <w:rFonts w:ascii="宋体" w:hAnsi="宋体"/>
          <w:sz w:val="24"/>
        </w:rPr>
      </w:pPr>
      <w:r>
        <w:rPr>
          <w:rFonts w:hint="eastAsia" w:ascii="宋体" w:hAnsi="宋体"/>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F4465E6">
      <w:pPr>
        <w:adjustRightInd w:val="0"/>
        <w:snapToGrid w:val="0"/>
        <w:spacing w:line="360" w:lineRule="auto"/>
        <w:rPr>
          <w:rFonts w:ascii="宋体" w:hAnsi="宋体"/>
          <w:b/>
          <w:sz w:val="24"/>
        </w:rPr>
      </w:pPr>
      <w:r>
        <w:rPr>
          <w:rFonts w:hint="eastAsia" w:ascii="宋体" w:hAnsi="宋体"/>
          <w:b/>
          <w:sz w:val="24"/>
        </w:rPr>
        <w:t>　　二、质量保修期</w:t>
      </w:r>
    </w:p>
    <w:p w14:paraId="1F936055">
      <w:pPr>
        <w:adjustRightInd w:val="0"/>
        <w:snapToGrid w:val="0"/>
        <w:spacing w:line="360" w:lineRule="auto"/>
        <w:ind w:firstLine="480" w:firstLineChars="200"/>
        <w:rPr>
          <w:rFonts w:ascii="宋体" w:hAnsi="宋体"/>
          <w:sz w:val="24"/>
        </w:rPr>
      </w:pPr>
      <w:r>
        <w:rPr>
          <w:rFonts w:hint="eastAsia" w:ascii="宋体" w:hAnsi="宋体"/>
          <w:sz w:val="24"/>
        </w:rPr>
        <w:t>根据《建设工程质量管理条例》及有关规定，工程的质量保修期如下：</w:t>
      </w:r>
    </w:p>
    <w:p w14:paraId="10FA9422">
      <w:pPr>
        <w:adjustRightInd w:val="0"/>
        <w:snapToGrid w:val="0"/>
        <w:spacing w:line="360" w:lineRule="auto"/>
        <w:ind w:firstLine="480" w:firstLineChars="200"/>
        <w:rPr>
          <w:rFonts w:ascii="宋体" w:hAnsi="宋体"/>
          <w:sz w:val="24"/>
        </w:rPr>
      </w:pPr>
      <w:r>
        <w:rPr>
          <w:rFonts w:hint="eastAsia" w:ascii="宋体" w:hAnsi="宋体"/>
          <w:sz w:val="24"/>
        </w:rPr>
        <w:t>1．地基基础工程和主体结构工程为设计文件规定的工程合理使用年限；</w:t>
      </w:r>
    </w:p>
    <w:p w14:paraId="3ED13A78">
      <w:pPr>
        <w:adjustRightInd w:val="0"/>
        <w:snapToGrid w:val="0"/>
        <w:spacing w:line="360" w:lineRule="auto"/>
        <w:ind w:firstLine="480" w:firstLineChars="200"/>
        <w:rPr>
          <w:rFonts w:ascii="宋体" w:hAnsi="宋体"/>
          <w:sz w:val="24"/>
        </w:rPr>
      </w:pPr>
      <w:r>
        <w:rPr>
          <w:rFonts w:hint="eastAsia" w:ascii="宋体" w:hAnsi="宋体"/>
          <w:sz w:val="24"/>
        </w:rPr>
        <w:t>2．屋面防水工程、有防水要求的卫生间、房间和外墙面的防渗为5年；</w:t>
      </w:r>
    </w:p>
    <w:p w14:paraId="6CCD6746">
      <w:pPr>
        <w:adjustRightInd w:val="0"/>
        <w:snapToGrid w:val="0"/>
        <w:spacing w:line="360" w:lineRule="auto"/>
        <w:ind w:firstLine="480" w:firstLineChars="200"/>
        <w:rPr>
          <w:rFonts w:ascii="宋体" w:hAnsi="宋体"/>
          <w:sz w:val="24"/>
        </w:rPr>
      </w:pPr>
      <w:r>
        <w:rPr>
          <w:rFonts w:hint="eastAsia" w:ascii="宋体" w:hAnsi="宋体"/>
          <w:sz w:val="24"/>
        </w:rPr>
        <w:t>3．装修工程为</w:t>
      </w:r>
      <w:r>
        <w:rPr>
          <w:rFonts w:hint="eastAsia" w:ascii="宋体" w:hAnsi="宋体"/>
          <w:sz w:val="24"/>
          <w:u w:val="single"/>
        </w:rPr>
        <w:t xml:space="preserve">  2  </w:t>
      </w:r>
      <w:r>
        <w:rPr>
          <w:rFonts w:hint="eastAsia" w:ascii="宋体" w:hAnsi="宋体"/>
          <w:sz w:val="24"/>
        </w:rPr>
        <w:t>年；</w:t>
      </w:r>
    </w:p>
    <w:p w14:paraId="1AF5728B">
      <w:pPr>
        <w:adjustRightInd w:val="0"/>
        <w:snapToGrid w:val="0"/>
        <w:spacing w:line="360" w:lineRule="auto"/>
        <w:ind w:firstLine="480" w:firstLineChars="200"/>
        <w:rPr>
          <w:rFonts w:ascii="宋体" w:hAnsi="宋体"/>
          <w:sz w:val="24"/>
        </w:rPr>
      </w:pPr>
      <w:r>
        <w:rPr>
          <w:rFonts w:hint="eastAsia" w:ascii="宋体" w:hAnsi="宋体"/>
          <w:sz w:val="24"/>
        </w:rPr>
        <w:t>4．电气管线、给排水管道、设备安装工程为</w:t>
      </w:r>
      <w:r>
        <w:rPr>
          <w:rFonts w:hint="eastAsia" w:ascii="宋体" w:hAnsi="宋体"/>
          <w:sz w:val="24"/>
          <w:u w:val="single"/>
        </w:rPr>
        <w:t xml:space="preserve">  2  </w:t>
      </w:r>
      <w:r>
        <w:rPr>
          <w:rFonts w:hint="eastAsia" w:ascii="宋体" w:hAnsi="宋体"/>
          <w:sz w:val="24"/>
        </w:rPr>
        <w:t>年；</w:t>
      </w:r>
    </w:p>
    <w:p w14:paraId="0590CF89">
      <w:pPr>
        <w:adjustRightInd w:val="0"/>
        <w:snapToGrid w:val="0"/>
        <w:spacing w:line="360" w:lineRule="auto"/>
        <w:ind w:firstLine="480" w:firstLineChars="200"/>
        <w:rPr>
          <w:rFonts w:ascii="宋体" w:hAnsi="宋体"/>
          <w:sz w:val="24"/>
        </w:rPr>
      </w:pPr>
      <w:r>
        <w:rPr>
          <w:rFonts w:hint="eastAsia" w:ascii="宋体" w:hAnsi="宋体"/>
          <w:sz w:val="24"/>
        </w:rPr>
        <w:t>5．供热与供冷系统为2个采暖期、供冷期；</w:t>
      </w:r>
    </w:p>
    <w:p w14:paraId="3F082D3B">
      <w:pPr>
        <w:adjustRightInd w:val="0"/>
        <w:snapToGrid w:val="0"/>
        <w:spacing w:line="360" w:lineRule="auto"/>
        <w:ind w:firstLine="480" w:firstLineChars="200"/>
        <w:rPr>
          <w:rFonts w:ascii="宋体" w:hAnsi="宋体"/>
          <w:sz w:val="24"/>
        </w:rPr>
      </w:pPr>
      <w:r>
        <w:rPr>
          <w:rFonts w:hint="eastAsia" w:ascii="宋体" w:hAnsi="宋体"/>
          <w:sz w:val="24"/>
        </w:rPr>
        <w:t>6．住宅小区内的给排水设施、道路等配套工程为</w:t>
      </w:r>
      <w:r>
        <w:rPr>
          <w:rFonts w:hint="eastAsia" w:ascii="宋体" w:hAnsi="宋体"/>
          <w:sz w:val="24"/>
          <w:u w:val="single"/>
        </w:rPr>
        <w:t xml:space="preserve">  2  </w:t>
      </w:r>
      <w:r>
        <w:rPr>
          <w:rFonts w:hint="eastAsia" w:ascii="宋体" w:hAnsi="宋体"/>
          <w:sz w:val="24"/>
        </w:rPr>
        <w:t>年；</w:t>
      </w:r>
    </w:p>
    <w:p w14:paraId="10C0A1C6">
      <w:pPr>
        <w:adjustRightInd w:val="0"/>
        <w:snapToGrid w:val="0"/>
        <w:spacing w:line="360" w:lineRule="auto"/>
        <w:ind w:firstLine="480" w:firstLineChars="200"/>
        <w:rPr>
          <w:rFonts w:ascii="宋体" w:hAnsi="宋体"/>
          <w:sz w:val="24"/>
        </w:rPr>
      </w:pPr>
      <w:r>
        <w:rPr>
          <w:rFonts w:hint="eastAsia" w:ascii="宋体" w:hAnsi="宋体"/>
          <w:sz w:val="24"/>
        </w:rPr>
        <w:t>7．其他项目保修期限约定如下：</w:t>
      </w:r>
      <w:r>
        <w:rPr>
          <w:rFonts w:hint="eastAsia" w:ascii="宋体" w:hAnsi="宋体"/>
          <w:sz w:val="24"/>
          <w:u w:val="single"/>
        </w:rPr>
        <w:t xml:space="preserve">     保温工程5年    </w:t>
      </w:r>
      <w:r>
        <w:rPr>
          <w:rFonts w:hint="eastAsia" w:ascii="宋体" w:hAnsi="宋体"/>
          <w:sz w:val="24"/>
        </w:rPr>
        <w:t>。</w:t>
      </w:r>
    </w:p>
    <w:p w14:paraId="09A99D81">
      <w:pPr>
        <w:adjustRightInd w:val="0"/>
        <w:snapToGrid w:val="0"/>
        <w:spacing w:line="360" w:lineRule="auto"/>
        <w:rPr>
          <w:rFonts w:ascii="宋体" w:hAnsi="宋体"/>
          <w:sz w:val="24"/>
        </w:rPr>
      </w:pPr>
      <w:r>
        <w:rPr>
          <w:rFonts w:hint="eastAsia" w:ascii="宋体" w:hAnsi="宋体"/>
          <w:sz w:val="24"/>
        </w:rPr>
        <w:t>　　质量保修期自工程竣工验收合格之日起计算。</w:t>
      </w:r>
    </w:p>
    <w:p w14:paraId="066CD656">
      <w:pPr>
        <w:adjustRightInd w:val="0"/>
        <w:snapToGrid w:val="0"/>
        <w:spacing w:line="360" w:lineRule="auto"/>
        <w:ind w:firstLine="482" w:firstLineChars="200"/>
        <w:rPr>
          <w:rFonts w:ascii="宋体" w:hAnsi="宋体"/>
          <w:b/>
          <w:sz w:val="24"/>
        </w:rPr>
      </w:pPr>
      <w:r>
        <w:rPr>
          <w:rFonts w:hint="eastAsia" w:ascii="宋体" w:hAnsi="宋体"/>
          <w:b/>
          <w:sz w:val="24"/>
        </w:rPr>
        <w:t>三、缺陷责任期</w:t>
      </w:r>
    </w:p>
    <w:p w14:paraId="0F3F3824">
      <w:pPr>
        <w:adjustRightInd w:val="0"/>
        <w:snapToGrid w:val="0"/>
        <w:spacing w:line="360" w:lineRule="auto"/>
        <w:ind w:firstLine="480" w:firstLineChars="200"/>
        <w:rPr>
          <w:rFonts w:ascii="宋体" w:hAnsi="宋体"/>
          <w:sz w:val="24"/>
        </w:rPr>
      </w:pPr>
      <w:r>
        <w:rPr>
          <w:rFonts w:hint="eastAsia" w:ascii="宋体" w:hAnsi="宋体"/>
          <w:sz w:val="24"/>
        </w:rPr>
        <w:t>工程缺陷责任期为</w:t>
      </w:r>
      <w:r>
        <w:rPr>
          <w:rFonts w:hint="eastAsia" w:ascii="宋体" w:hAnsi="宋体"/>
          <w:sz w:val="24"/>
          <w:u w:val="single"/>
        </w:rPr>
        <w:t xml:space="preserve">   2  </w:t>
      </w:r>
      <w:r>
        <w:rPr>
          <w:rFonts w:hint="eastAsia" w:ascii="宋体" w:hAnsi="宋体"/>
          <w:sz w:val="24"/>
        </w:rPr>
        <w:t>年，缺陷责任期自工程竣工验收合格之日起计算。单位工程先于全部工程进行验收，单位工程缺陷责任期自单位工程验收合格之日起算。</w:t>
      </w:r>
    </w:p>
    <w:p w14:paraId="73D26EF3">
      <w:pPr>
        <w:adjustRightInd w:val="0"/>
        <w:snapToGrid w:val="0"/>
        <w:spacing w:line="360" w:lineRule="auto"/>
        <w:ind w:firstLine="480" w:firstLineChars="200"/>
        <w:rPr>
          <w:rFonts w:ascii="宋体" w:hAnsi="宋体"/>
          <w:sz w:val="24"/>
        </w:rPr>
      </w:pPr>
      <w:r>
        <w:rPr>
          <w:rFonts w:hint="eastAsia" w:ascii="宋体" w:hAnsi="宋体"/>
          <w:sz w:val="24"/>
        </w:rPr>
        <w:t>缺陷责任期终止后，发包人应退还剩余的质量保证金。</w:t>
      </w:r>
    </w:p>
    <w:p w14:paraId="40088ED9">
      <w:pPr>
        <w:adjustRightInd w:val="0"/>
        <w:snapToGrid w:val="0"/>
        <w:spacing w:line="360" w:lineRule="auto"/>
        <w:ind w:firstLine="472" w:firstLineChars="196"/>
        <w:rPr>
          <w:rFonts w:ascii="宋体" w:hAnsi="宋体"/>
          <w:b/>
          <w:sz w:val="24"/>
        </w:rPr>
      </w:pPr>
      <w:r>
        <w:rPr>
          <w:rFonts w:hint="eastAsia" w:ascii="宋体" w:hAnsi="宋体"/>
          <w:b/>
          <w:sz w:val="24"/>
        </w:rPr>
        <w:t>四、质量保修责任</w:t>
      </w:r>
    </w:p>
    <w:p w14:paraId="35B2AA13">
      <w:pPr>
        <w:adjustRightInd w:val="0"/>
        <w:snapToGrid w:val="0"/>
        <w:spacing w:line="360" w:lineRule="auto"/>
        <w:ind w:firstLine="491" w:firstLineChars="205"/>
        <w:rPr>
          <w:rFonts w:ascii="宋体" w:hAnsi="宋体"/>
          <w:sz w:val="24"/>
        </w:rPr>
      </w:pPr>
      <w:r>
        <w:rPr>
          <w:rFonts w:hint="eastAsia" w:ascii="宋体" w:hAnsi="宋体"/>
          <w:sz w:val="24"/>
        </w:rPr>
        <w:t>1．属于保修范围、内容的项目，承包人应当在接到保修通知之日起7天内派人保修。承包人不在约定期限内派人保修的，发包人可以委托他人修理。</w:t>
      </w:r>
    </w:p>
    <w:p w14:paraId="284DBC9B">
      <w:pPr>
        <w:adjustRightInd w:val="0"/>
        <w:snapToGrid w:val="0"/>
        <w:spacing w:line="360" w:lineRule="auto"/>
        <w:ind w:firstLine="491" w:firstLineChars="205"/>
        <w:rPr>
          <w:rFonts w:ascii="宋体" w:hAnsi="宋体"/>
          <w:sz w:val="24"/>
        </w:rPr>
      </w:pPr>
      <w:r>
        <w:rPr>
          <w:rFonts w:hint="eastAsia" w:ascii="宋体" w:hAnsi="宋体"/>
          <w:sz w:val="24"/>
        </w:rPr>
        <w:t>2．发生紧急事故需抢修的，承包人在接到事故通知后，应当立即到达事故现场抢修。</w:t>
      </w:r>
    </w:p>
    <w:p w14:paraId="11D13A43">
      <w:pPr>
        <w:adjustRightInd w:val="0"/>
        <w:snapToGrid w:val="0"/>
        <w:spacing w:line="360" w:lineRule="auto"/>
        <w:ind w:firstLine="491" w:firstLineChars="205"/>
        <w:rPr>
          <w:rFonts w:ascii="宋体" w:hAnsi="宋体"/>
          <w:sz w:val="24"/>
        </w:rPr>
      </w:pPr>
      <w:r>
        <w:rPr>
          <w:rFonts w:hint="eastAsia" w:ascii="宋体" w:hAnsi="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E4D45CC">
      <w:pPr>
        <w:adjustRightInd w:val="0"/>
        <w:snapToGrid w:val="0"/>
        <w:spacing w:line="360" w:lineRule="auto"/>
        <w:ind w:firstLine="491" w:firstLineChars="205"/>
        <w:rPr>
          <w:rFonts w:ascii="宋体" w:hAnsi="宋体"/>
          <w:sz w:val="24"/>
        </w:rPr>
      </w:pPr>
      <w:r>
        <w:rPr>
          <w:rFonts w:hint="eastAsia" w:ascii="宋体" w:hAnsi="宋体"/>
          <w:sz w:val="24"/>
        </w:rPr>
        <w:t>4．质量保修完成后，由发包人组织验收。</w:t>
      </w:r>
    </w:p>
    <w:p w14:paraId="5367F993">
      <w:pPr>
        <w:adjustRightInd w:val="0"/>
        <w:snapToGrid w:val="0"/>
        <w:spacing w:line="360" w:lineRule="auto"/>
        <w:rPr>
          <w:rFonts w:ascii="宋体" w:hAnsi="宋体"/>
          <w:b/>
          <w:sz w:val="24"/>
        </w:rPr>
      </w:pPr>
      <w:r>
        <w:rPr>
          <w:rFonts w:hint="eastAsia" w:ascii="宋体" w:hAnsi="宋体"/>
          <w:sz w:val="24"/>
        </w:rPr>
        <w:t>　　</w:t>
      </w:r>
      <w:r>
        <w:rPr>
          <w:rFonts w:hint="eastAsia" w:ascii="宋体" w:hAnsi="宋体"/>
          <w:b/>
          <w:sz w:val="24"/>
        </w:rPr>
        <w:t>五、保修费用</w:t>
      </w:r>
    </w:p>
    <w:p w14:paraId="0DD251DA">
      <w:pPr>
        <w:adjustRightInd w:val="0"/>
        <w:snapToGrid w:val="0"/>
        <w:spacing w:line="360" w:lineRule="auto"/>
        <w:rPr>
          <w:rFonts w:ascii="宋体" w:hAnsi="宋体"/>
          <w:sz w:val="24"/>
        </w:rPr>
      </w:pPr>
      <w:r>
        <w:rPr>
          <w:rFonts w:hint="eastAsia" w:ascii="宋体" w:hAnsi="宋体"/>
          <w:sz w:val="24"/>
        </w:rPr>
        <w:t>　　保修费用由造成质量缺陷的责任方承担。</w:t>
      </w:r>
    </w:p>
    <w:p w14:paraId="5F7BB5D6">
      <w:pPr>
        <w:adjustRightInd w:val="0"/>
        <w:snapToGrid w:val="0"/>
        <w:spacing w:line="360" w:lineRule="auto"/>
        <w:ind w:firstLine="472" w:firstLineChars="196"/>
        <w:rPr>
          <w:rFonts w:ascii="宋体" w:hAnsi="宋体"/>
          <w:sz w:val="24"/>
        </w:rPr>
      </w:pPr>
      <w:r>
        <w:rPr>
          <w:rFonts w:hint="eastAsia" w:ascii="宋体" w:hAnsi="宋体"/>
          <w:b/>
          <w:sz w:val="24"/>
        </w:rPr>
        <w:t>六、双方约定的其他工程质量保修事项</w:t>
      </w:r>
    </w:p>
    <w:p w14:paraId="7229D8B7">
      <w:pPr>
        <w:adjustRightInd w:val="0"/>
        <w:snapToGrid w:val="0"/>
        <w:spacing w:line="360" w:lineRule="auto"/>
        <w:ind w:firstLine="456" w:firstLineChars="190"/>
        <w:rPr>
          <w:rFonts w:ascii="宋体" w:hAnsi="宋体"/>
          <w:sz w:val="24"/>
        </w:rPr>
      </w:pPr>
      <w:r>
        <w:rPr>
          <w:rFonts w:hint="eastAsia" w:ascii="宋体" w:hAnsi="宋体"/>
          <w:sz w:val="24"/>
        </w:rPr>
        <w:t>工程质量保修书由发包人、承包人在工程竣工验收前共同签署，作为施工合同附件，其有效期限至保修期满。</w:t>
      </w:r>
    </w:p>
    <w:p w14:paraId="41F61142">
      <w:pPr>
        <w:adjustRightInd w:val="0"/>
        <w:snapToGrid w:val="0"/>
        <w:spacing w:line="360" w:lineRule="auto"/>
        <w:ind w:firstLine="420"/>
        <w:rPr>
          <w:rFonts w:ascii="宋体" w:hAnsi="宋体"/>
          <w:szCs w:val="21"/>
        </w:rPr>
      </w:pPr>
    </w:p>
    <w:p w14:paraId="3162F469">
      <w:pPr>
        <w:adjustRightInd w:val="0"/>
        <w:snapToGrid w:val="0"/>
        <w:spacing w:line="360" w:lineRule="auto"/>
        <w:rPr>
          <w:rFonts w:ascii="宋体" w:hAnsi="宋体"/>
          <w:szCs w:val="21"/>
        </w:rPr>
      </w:pPr>
    </w:p>
    <w:p w14:paraId="7C4A545E">
      <w:pPr>
        <w:adjustRightInd w:val="0"/>
        <w:snapToGrid w:val="0"/>
        <w:spacing w:line="360" w:lineRule="auto"/>
        <w:rPr>
          <w:rFonts w:ascii="宋体" w:hAnsi="宋体"/>
          <w:sz w:val="24"/>
        </w:rPr>
      </w:pPr>
      <w:r>
        <w:rPr>
          <w:rFonts w:hint="eastAsia" w:ascii="宋体" w:hAnsi="宋体"/>
          <w:b/>
          <w:sz w:val="24"/>
        </w:rPr>
        <w:t>发包人</w:t>
      </w:r>
      <w:r>
        <w:rPr>
          <w:rFonts w:hint="eastAsia" w:ascii="宋体" w:hAnsi="宋体"/>
          <w:sz w:val="24"/>
        </w:rPr>
        <w:t>(盖章)：</w:t>
      </w:r>
      <w:r>
        <w:rPr>
          <w:rFonts w:hint="eastAsia" w:ascii="宋体" w:hAnsi="宋体" w:cs="宋体"/>
          <w:sz w:val="24"/>
        </w:rPr>
        <w:t xml:space="preserve">                      </w:t>
      </w:r>
      <w:r>
        <w:rPr>
          <w:rFonts w:hint="eastAsia" w:ascii="宋体" w:hAnsi="宋体"/>
          <w:b/>
          <w:sz w:val="24"/>
        </w:rPr>
        <w:t>承包人</w:t>
      </w:r>
      <w:r>
        <w:rPr>
          <w:rFonts w:hint="eastAsia" w:ascii="宋体" w:hAnsi="宋体"/>
          <w:sz w:val="24"/>
        </w:rPr>
        <w:t>(盖章)：</w:t>
      </w:r>
      <w:r>
        <w:rPr>
          <w:rFonts w:ascii="宋体" w:hAnsi="宋体"/>
          <w:sz w:val="24"/>
        </w:rPr>
        <w:t xml:space="preserve"> </w:t>
      </w:r>
    </w:p>
    <w:p w14:paraId="20263BCD">
      <w:pPr>
        <w:adjustRightInd w:val="0"/>
        <w:snapToGrid w:val="0"/>
        <w:spacing w:line="360" w:lineRule="auto"/>
        <w:rPr>
          <w:rFonts w:ascii="宋体" w:hAnsi="宋体"/>
          <w:sz w:val="24"/>
        </w:rPr>
      </w:pPr>
      <w:r>
        <w:rPr>
          <w:rFonts w:hint="eastAsia" w:ascii="宋体" w:hAnsi="宋体"/>
          <w:sz w:val="24"/>
        </w:rPr>
        <w:t>地  址：</w:t>
      </w:r>
      <w:r>
        <w:rPr>
          <w:rFonts w:hint="eastAsia" w:ascii="宋体" w:hAnsi="宋体" w:cs="宋体"/>
          <w:sz w:val="24"/>
        </w:rPr>
        <w:t xml:space="preserve">                            </w:t>
      </w:r>
      <w:r>
        <w:rPr>
          <w:rFonts w:hint="eastAsia" w:ascii="宋体" w:hAnsi="宋体"/>
          <w:sz w:val="24"/>
        </w:rPr>
        <w:t>地  址：</w:t>
      </w:r>
    </w:p>
    <w:p w14:paraId="2BE13B63">
      <w:pPr>
        <w:adjustRightInd w:val="0"/>
        <w:snapToGrid w:val="0"/>
        <w:spacing w:line="360" w:lineRule="auto"/>
        <w:rPr>
          <w:rFonts w:ascii="宋体" w:hAnsi="宋体"/>
          <w:sz w:val="24"/>
        </w:rPr>
      </w:pPr>
      <w:r>
        <w:rPr>
          <w:rFonts w:hint="eastAsia" w:ascii="宋体" w:hAnsi="宋体"/>
          <w:sz w:val="24"/>
        </w:rPr>
        <w:t>法定代表人或委托代理人(签字)：        法定代表人或委托代理人(签字)：</w:t>
      </w:r>
    </w:p>
    <w:p w14:paraId="397654DA">
      <w:pPr>
        <w:adjustRightInd w:val="0"/>
        <w:snapToGrid w:val="0"/>
        <w:spacing w:line="360" w:lineRule="auto"/>
        <w:rPr>
          <w:rFonts w:ascii="宋体" w:hAnsi="宋体"/>
          <w:sz w:val="24"/>
        </w:rPr>
      </w:pPr>
      <w:r>
        <w:rPr>
          <w:rFonts w:hint="eastAsia" w:ascii="宋体" w:hAnsi="宋体"/>
          <w:sz w:val="24"/>
        </w:rPr>
        <w:t>电  话：                              电  话：</w:t>
      </w:r>
    </w:p>
    <w:p w14:paraId="19C1F29E">
      <w:pPr>
        <w:rPr>
          <w:rFonts w:hint="eastAsia"/>
          <w:sz w:val="24"/>
        </w:rPr>
      </w:pPr>
      <w:r>
        <w:rPr>
          <w:rFonts w:hint="eastAsia"/>
          <w:sz w:val="24"/>
        </w:rPr>
        <w:t>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         签订时间：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6C320C89">
      <w:pPr>
        <w:rPr>
          <w:rFonts w:hint="eastAsia"/>
          <w:sz w:val="24"/>
        </w:rPr>
      </w:pPr>
    </w:p>
    <w:p w14:paraId="2DEDF78B">
      <w:pPr>
        <w:rPr>
          <w:rFonts w:hint="eastAsia"/>
          <w:b/>
          <w:sz w:val="24"/>
        </w:rPr>
      </w:pPr>
    </w:p>
    <w:p w14:paraId="7DE12356">
      <w:pPr>
        <w:rPr>
          <w:rFonts w:hint="eastAsia"/>
          <w:b/>
          <w:sz w:val="24"/>
        </w:rPr>
      </w:pPr>
    </w:p>
    <w:p w14:paraId="1A0291A2">
      <w:pPr>
        <w:rPr>
          <w:rFonts w:hint="eastAsia"/>
          <w:b/>
          <w:sz w:val="24"/>
        </w:rPr>
      </w:pPr>
    </w:p>
    <w:p w14:paraId="57021B20">
      <w:pPr>
        <w:rPr>
          <w:rFonts w:hint="eastAsia"/>
          <w:b/>
          <w:sz w:val="24"/>
        </w:rPr>
      </w:pPr>
    </w:p>
    <w:p w14:paraId="6A41C784">
      <w:pPr>
        <w:rPr>
          <w:rFonts w:hint="eastAsia"/>
          <w:b/>
          <w:sz w:val="24"/>
        </w:rPr>
      </w:pPr>
    </w:p>
    <w:p w14:paraId="19F7C05F">
      <w:pPr>
        <w:rPr>
          <w:rFonts w:hint="eastAsia"/>
          <w:b/>
          <w:sz w:val="24"/>
        </w:rPr>
      </w:pPr>
    </w:p>
    <w:p w14:paraId="7C5E5277">
      <w:pPr>
        <w:rPr>
          <w:rFonts w:hint="eastAsia"/>
          <w:b/>
          <w:sz w:val="24"/>
        </w:rPr>
      </w:pPr>
    </w:p>
    <w:p w14:paraId="1DBEF714">
      <w:pPr>
        <w:rPr>
          <w:rFonts w:hint="eastAsia"/>
          <w:b/>
          <w:sz w:val="24"/>
        </w:rPr>
      </w:pPr>
    </w:p>
    <w:p w14:paraId="1CA3BBC7">
      <w:pPr>
        <w:rPr>
          <w:rFonts w:hint="eastAsia"/>
          <w:b/>
          <w:sz w:val="24"/>
        </w:rPr>
      </w:pPr>
    </w:p>
    <w:p w14:paraId="24B3EF97">
      <w:pPr>
        <w:rPr>
          <w:rFonts w:hint="eastAsia"/>
          <w:b/>
          <w:sz w:val="24"/>
        </w:rPr>
      </w:pPr>
    </w:p>
    <w:p w14:paraId="591F60B7">
      <w:pPr>
        <w:rPr>
          <w:rFonts w:hint="eastAsia"/>
          <w:b/>
          <w:sz w:val="24"/>
        </w:rPr>
      </w:pPr>
    </w:p>
    <w:p w14:paraId="56B92777">
      <w:pPr>
        <w:rPr>
          <w:rFonts w:hint="eastAsia"/>
          <w:b/>
          <w:sz w:val="24"/>
        </w:rPr>
      </w:pPr>
    </w:p>
    <w:p w14:paraId="0EF04543">
      <w:pPr>
        <w:rPr>
          <w:rFonts w:hint="eastAsia"/>
          <w:b/>
          <w:sz w:val="24"/>
        </w:rPr>
      </w:pPr>
    </w:p>
    <w:p w14:paraId="6648005C">
      <w:pPr>
        <w:rPr>
          <w:rFonts w:hint="eastAsia"/>
          <w:b/>
          <w:sz w:val="24"/>
        </w:rPr>
      </w:pPr>
    </w:p>
    <w:p w14:paraId="6D36DB93">
      <w:pPr>
        <w:rPr>
          <w:rFonts w:hint="eastAsia"/>
          <w:b/>
          <w:sz w:val="24"/>
        </w:rPr>
      </w:pPr>
    </w:p>
    <w:p w14:paraId="4DD2AE58">
      <w:pPr>
        <w:rPr>
          <w:rFonts w:hint="eastAsia"/>
          <w:b/>
          <w:sz w:val="24"/>
        </w:rPr>
      </w:pPr>
    </w:p>
    <w:p w14:paraId="68098953">
      <w:pPr>
        <w:rPr>
          <w:rFonts w:hint="eastAsia"/>
          <w:b/>
          <w:sz w:val="24"/>
        </w:rPr>
      </w:pPr>
    </w:p>
    <w:p w14:paraId="3C86EFC9">
      <w:pPr>
        <w:rPr>
          <w:rFonts w:hint="eastAsia"/>
          <w:sz w:val="24"/>
        </w:rPr>
      </w:pPr>
      <w:r>
        <w:rPr>
          <w:rFonts w:hint="eastAsia"/>
          <w:b/>
          <w:sz w:val="24"/>
        </w:rPr>
        <w:t>附件4</w:t>
      </w:r>
      <w:r>
        <w:rPr>
          <w:rFonts w:hint="eastAsia"/>
          <w:sz w:val="24"/>
        </w:rPr>
        <w:t>：</w:t>
      </w:r>
      <w:r>
        <w:rPr>
          <w:rFonts w:hint="eastAsia"/>
          <w:b/>
          <w:sz w:val="24"/>
        </w:rPr>
        <w:t>廉政协议</w:t>
      </w:r>
    </w:p>
    <w:p w14:paraId="267A47FE">
      <w:pPr>
        <w:spacing w:line="360" w:lineRule="auto"/>
        <w:ind w:firstLine="451" w:firstLineChars="187"/>
        <w:jc w:val="center"/>
        <w:rPr>
          <w:rFonts w:ascii="Times New Roman" w:hAnsi="Times New Roman"/>
          <w:b/>
          <w:bCs/>
          <w:sz w:val="24"/>
          <w:szCs w:val="32"/>
        </w:rPr>
      </w:pPr>
      <w:r>
        <w:rPr>
          <w:rFonts w:hint="eastAsia"/>
          <w:b/>
          <w:bCs/>
          <w:sz w:val="24"/>
          <w:szCs w:val="32"/>
        </w:rPr>
        <w:t>廉政协议</w:t>
      </w:r>
    </w:p>
    <w:p w14:paraId="2EBEB189">
      <w:pPr>
        <w:widowControl/>
        <w:spacing w:line="440" w:lineRule="exact"/>
        <w:ind w:firstLine="480" w:firstLineChars="200"/>
        <w:jc w:val="left"/>
        <w:rPr>
          <w:rFonts w:hint="eastAsia"/>
          <w:kern w:val="0"/>
          <w:sz w:val="24"/>
        </w:rPr>
      </w:pPr>
      <w:r>
        <w:rPr>
          <w:rFonts w:hint="eastAsia"/>
          <w:kern w:val="0"/>
          <w:sz w:val="24"/>
        </w:rPr>
        <w:t>为促进双方诚信经营、廉洁从业，防范商业贿赂，保护国家、集体和当事人的合法权益，根据国家有关法律法规和安徽省、合肥市廉政建设的规定，</w:t>
      </w:r>
      <w:r>
        <w:rPr>
          <w:kern w:val="0"/>
          <w:sz w:val="24"/>
        </w:rPr>
        <w:t>(</w:t>
      </w:r>
      <w:r>
        <w:rPr>
          <w:rFonts w:hint="eastAsia"/>
          <w:kern w:val="0"/>
          <w:sz w:val="24"/>
        </w:rPr>
        <w:t>以下称甲方</w:t>
      </w:r>
      <w:r>
        <w:rPr>
          <w:kern w:val="0"/>
          <w:sz w:val="24"/>
        </w:rPr>
        <w:t>)</w:t>
      </w:r>
      <w:r>
        <w:rPr>
          <w:rFonts w:hint="eastAsia"/>
          <w:kern w:val="0"/>
          <w:sz w:val="24"/>
        </w:rPr>
        <w:t>与</w:t>
      </w:r>
      <w:r>
        <w:rPr>
          <w:kern w:val="0"/>
          <w:sz w:val="24"/>
        </w:rPr>
        <w:t>(</w:t>
      </w:r>
      <w:r>
        <w:rPr>
          <w:rFonts w:hint="eastAsia"/>
          <w:kern w:val="0"/>
          <w:sz w:val="24"/>
        </w:rPr>
        <w:t>以下称乙方</w:t>
      </w:r>
      <w:r>
        <w:rPr>
          <w:kern w:val="0"/>
          <w:sz w:val="24"/>
        </w:rPr>
        <w:t>)</w:t>
      </w:r>
      <w:r>
        <w:rPr>
          <w:rFonts w:hint="eastAsia"/>
          <w:kern w:val="0"/>
          <w:sz w:val="24"/>
        </w:rPr>
        <w:t>，特此订立本协议共同遵照执行。</w:t>
      </w:r>
    </w:p>
    <w:p w14:paraId="53F65AF4">
      <w:pPr>
        <w:widowControl/>
        <w:spacing w:line="440" w:lineRule="exact"/>
        <w:ind w:firstLine="480" w:firstLineChars="200"/>
        <w:jc w:val="left"/>
        <w:rPr>
          <w:rFonts w:hint="eastAsia"/>
          <w:kern w:val="0"/>
          <w:sz w:val="24"/>
        </w:rPr>
      </w:pPr>
      <w:r>
        <w:rPr>
          <w:rFonts w:hint="eastAsia"/>
          <w:kern w:val="0"/>
          <w:sz w:val="24"/>
        </w:rPr>
        <w:t>第一条甲乙双方的权利和义务</w:t>
      </w:r>
    </w:p>
    <w:p w14:paraId="5E9E98AC">
      <w:pPr>
        <w:widowControl/>
        <w:spacing w:line="440" w:lineRule="exact"/>
        <w:ind w:firstLine="480" w:firstLineChars="200"/>
        <w:jc w:val="left"/>
        <w:rPr>
          <w:rFonts w:hint="eastAsia"/>
          <w:kern w:val="0"/>
          <w:sz w:val="24"/>
        </w:rPr>
      </w:pPr>
      <w:r>
        <w:rPr>
          <w:rFonts w:hint="eastAsia"/>
          <w:kern w:val="0"/>
          <w:sz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417F675">
      <w:pPr>
        <w:widowControl/>
        <w:spacing w:line="440" w:lineRule="exact"/>
        <w:ind w:firstLine="480" w:firstLineChars="200"/>
        <w:jc w:val="left"/>
        <w:rPr>
          <w:rFonts w:hint="eastAsia"/>
          <w:kern w:val="0"/>
          <w:sz w:val="24"/>
        </w:rPr>
      </w:pPr>
      <w:r>
        <w:rPr>
          <w:rFonts w:hint="eastAsia"/>
          <w:kern w:val="0"/>
          <w:sz w:val="24"/>
        </w:rPr>
        <w:t>（二）严格执行的合同要求，自觉履行合同约定的相关义务。</w:t>
      </w:r>
    </w:p>
    <w:p w14:paraId="3980F57E">
      <w:pPr>
        <w:widowControl/>
        <w:spacing w:line="440" w:lineRule="exact"/>
        <w:ind w:firstLine="480" w:firstLineChars="200"/>
        <w:jc w:val="left"/>
        <w:rPr>
          <w:rFonts w:hint="eastAsia"/>
          <w:kern w:val="0"/>
          <w:sz w:val="24"/>
        </w:rPr>
      </w:pPr>
      <w:r>
        <w:rPr>
          <w:rFonts w:hint="eastAsia"/>
          <w:kern w:val="0"/>
          <w:sz w:val="24"/>
        </w:rPr>
        <w:t>（三）在业务活动中坚持公开、公正、诚信、透明的原则，不得损害国家、集体利益。</w:t>
      </w:r>
    </w:p>
    <w:p w14:paraId="365FC260">
      <w:pPr>
        <w:widowControl/>
        <w:spacing w:line="440" w:lineRule="exact"/>
        <w:ind w:firstLine="480" w:firstLineChars="200"/>
        <w:jc w:val="left"/>
        <w:rPr>
          <w:rFonts w:hint="eastAsia"/>
          <w:kern w:val="0"/>
          <w:sz w:val="24"/>
        </w:rPr>
      </w:pPr>
      <w:r>
        <w:rPr>
          <w:rFonts w:hint="eastAsia"/>
          <w:kern w:val="0"/>
          <w:sz w:val="24"/>
        </w:rPr>
        <w:t>（四）建立健全廉政制度，开展廉政教育，公布举报电话，监督并认真查处违法违纪行为。</w:t>
      </w:r>
    </w:p>
    <w:p w14:paraId="68F4B23B">
      <w:pPr>
        <w:widowControl/>
        <w:spacing w:line="440" w:lineRule="exact"/>
        <w:ind w:firstLine="480" w:firstLineChars="200"/>
        <w:jc w:val="left"/>
        <w:rPr>
          <w:rFonts w:hint="eastAsia"/>
          <w:kern w:val="0"/>
          <w:sz w:val="24"/>
        </w:rPr>
      </w:pPr>
      <w:r>
        <w:rPr>
          <w:rFonts w:hint="eastAsia"/>
          <w:kern w:val="0"/>
          <w:sz w:val="24"/>
        </w:rPr>
        <w:t>（五）发现对方在业务活动中有违反廉政规定的行为，应及时提醒对方纠正。情节严重的，应向其上级有关部门举报、建议给予处理，并有权要求告知处理结果。</w:t>
      </w:r>
    </w:p>
    <w:p w14:paraId="4A48CFF3">
      <w:pPr>
        <w:widowControl/>
        <w:spacing w:line="440" w:lineRule="exact"/>
        <w:ind w:firstLine="480" w:firstLineChars="200"/>
        <w:jc w:val="left"/>
        <w:rPr>
          <w:rFonts w:hint="eastAsia"/>
          <w:kern w:val="0"/>
          <w:sz w:val="24"/>
        </w:rPr>
      </w:pPr>
      <w:r>
        <w:rPr>
          <w:rFonts w:hint="eastAsia"/>
          <w:kern w:val="0"/>
          <w:sz w:val="24"/>
        </w:rPr>
        <w:t>第二条甲方的义务</w:t>
      </w:r>
    </w:p>
    <w:p w14:paraId="329F7540">
      <w:pPr>
        <w:widowControl/>
        <w:spacing w:line="440" w:lineRule="exact"/>
        <w:ind w:firstLine="600" w:firstLineChars="250"/>
        <w:jc w:val="left"/>
        <w:rPr>
          <w:rFonts w:hint="eastAsia"/>
          <w:kern w:val="0"/>
          <w:sz w:val="24"/>
        </w:rPr>
      </w:pPr>
      <w:r>
        <w:rPr>
          <w:kern w:val="0"/>
          <w:sz w:val="24"/>
        </w:rPr>
        <w:t>(</w:t>
      </w:r>
      <w:r>
        <w:rPr>
          <w:rFonts w:hint="eastAsia"/>
          <w:kern w:val="0"/>
          <w:sz w:val="24"/>
        </w:rPr>
        <w:t>一</w:t>
      </w:r>
      <w:r>
        <w:rPr>
          <w:kern w:val="0"/>
          <w:sz w:val="24"/>
        </w:rPr>
        <w:t>)</w:t>
      </w:r>
      <w:r>
        <w:rPr>
          <w:rFonts w:hint="eastAsia"/>
          <w:kern w:val="0"/>
          <w:sz w:val="24"/>
        </w:rPr>
        <w:t>甲方及其工作人员不得索要或接受乙方的礼金、有价证券和贵重物品，不得在乙方报销任何应由甲方单位或个人支付的费用等。</w:t>
      </w:r>
    </w:p>
    <w:p w14:paraId="644BADAB">
      <w:pPr>
        <w:widowControl/>
        <w:spacing w:line="440" w:lineRule="exact"/>
        <w:ind w:firstLine="480" w:firstLineChars="200"/>
        <w:jc w:val="left"/>
        <w:rPr>
          <w:rFonts w:hint="eastAsia"/>
          <w:kern w:val="0"/>
          <w:sz w:val="24"/>
        </w:rPr>
      </w:pPr>
      <w:r>
        <w:rPr>
          <w:rFonts w:hint="eastAsia"/>
          <w:kern w:val="0"/>
          <w:sz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41F2E7B">
      <w:pPr>
        <w:widowControl/>
        <w:spacing w:line="440" w:lineRule="exact"/>
        <w:ind w:firstLine="480" w:firstLineChars="200"/>
        <w:jc w:val="left"/>
        <w:rPr>
          <w:rFonts w:hint="eastAsia"/>
          <w:kern w:val="0"/>
          <w:sz w:val="24"/>
        </w:rPr>
      </w:pPr>
      <w:r>
        <w:rPr>
          <w:rFonts w:hint="eastAsia"/>
          <w:kern w:val="0"/>
          <w:sz w:val="24"/>
        </w:rPr>
        <w:t>（三）甲方及其工作人员不得要求或者接受乙方为其住房装修、婚丧嫁娶活动、配偶子女工作安排以及出国出境、旅游等提供方便等。</w:t>
      </w:r>
    </w:p>
    <w:p w14:paraId="29F68CAB">
      <w:pPr>
        <w:widowControl/>
        <w:spacing w:line="440" w:lineRule="exact"/>
        <w:ind w:firstLine="480" w:firstLineChars="200"/>
        <w:jc w:val="left"/>
        <w:rPr>
          <w:rFonts w:hint="eastAsia"/>
          <w:kern w:val="0"/>
          <w:sz w:val="24"/>
        </w:rPr>
      </w:pPr>
      <w:r>
        <w:rPr>
          <w:rFonts w:hint="eastAsia"/>
          <w:kern w:val="0"/>
          <w:sz w:val="24"/>
        </w:rPr>
        <w:t>（四）甲方工作人员不得在乙方有股权关联的企业兼职，不得向乙方介绍家属或者亲友从事与甲方业务有关的经济活动。</w:t>
      </w:r>
    </w:p>
    <w:p w14:paraId="7024E6D4">
      <w:pPr>
        <w:widowControl/>
        <w:spacing w:line="440" w:lineRule="exact"/>
        <w:ind w:firstLine="480" w:firstLineChars="200"/>
        <w:jc w:val="left"/>
        <w:rPr>
          <w:rFonts w:hint="eastAsia"/>
          <w:kern w:val="0"/>
          <w:sz w:val="24"/>
        </w:rPr>
      </w:pPr>
      <w:r>
        <w:rPr>
          <w:rFonts w:hint="eastAsia"/>
          <w:kern w:val="0"/>
          <w:sz w:val="24"/>
        </w:rPr>
        <w:t>（五）甲方工作人员不得以明显低于市场的价格向乙方购买房屋、汽车等物品；不得以明显高于市场的价格向乙方出售房屋、汽车等物品；不得以其他交易形式非法收受请托人财物。</w:t>
      </w:r>
    </w:p>
    <w:p w14:paraId="1898A30B">
      <w:pPr>
        <w:widowControl/>
        <w:spacing w:line="440" w:lineRule="exact"/>
        <w:ind w:firstLine="480" w:firstLineChars="200"/>
        <w:jc w:val="left"/>
        <w:rPr>
          <w:rFonts w:hint="eastAsia"/>
          <w:kern w:val="0"/>
          <w:sz w:val="24"/>
        </w:rPr>
      </w:pPr>
      <w:r>
        <w:rPr>
          <w:rFonts w:hint="eastAsia"/>
          <w:kern w:val="0"/>
          <w:sz w:val="24"/>
        </w:rPr>
        <w:t>（六）甲方工作人员不得利用职务之便收受乙方以回扣、手续费、加班费、咨询费、劳务费、协调费、辛苦费等各种名义给予或赠送的钱物。</w:t>
      </w:r>
    </w:p>
    <w:p w14:paraId="3480FDDA">
      <w:pPr>
        <w:widowControl/>
        <w:spacing w:line="440" w:lineRule="exact"/>
        <w:ind w:firstLine="480" w:firstLineChars="200"/>
        <w:jc w:val="left"/>
        <w:rPr>
          <w:rFonts w:hint="eastAsia"/>
          <w:kern w:val="0"/>
          <w:sz w:val="24"/>
        </w:rPr>
      </w:pPr>
      <w:r>
        <w:rPr>
          <w:rFonts w:hint="eastAsia"/>
          <w:kern w:val="0"/>
          <w:sz w:val="24"/>
        </w:rPr>
        <w:t>（七）甲方工作人员不得接受乙方给予或赠送的干股或红利。</w:t>
      </w:r>
    </w:p>
    <w:p w14:paraId="25C1BE93">
      <w:pPr>
        <w:widowControl/>
        <w:spacing w:line="440" w:lineRule="exact"/>
        <w:ind w:firstLine="480" w:firstLineChars="200"/>
        <w:jc w:val="left"/>
        <w:rPr>
          <w:rFonts w:hint="eastAsia"/>
          <w:kern w:val="0"/>
          <w:sz w:val="24"/>
        </w:rPr>
      </w:pPr>
      <w:r>
        <w:rPr>
          <w:rFonts w:hint="eastAsia"/>
          <w:kern w:val="0"/>
          <w:sz w:val="24"/>
        </w:rPr>
        <w:t>（八）甲方任何人不得以个人的名义向乙方推荐设备、部件等供货商以及其它合作单位。</w:t>
      </w:r>
    </w:p>
    <w:p w14:paraId="0DA9001E">
      <w:pPr>
        <w:widowControl/>
        <w:spacing w:line="440" w:lineRule="exact"/>
        <w:ind w:firstLine="480" w:firstLineChars="200"/>
        <w:jc w:val="left"/>
        <w:rPr>
          <w:rFonts w:hint="eastAsia"/>
          <w:kern w:val="0"/>
          <w:sz w:val="24"/>
        </w:rPr>
      </w:pPr>
      <w:r>
        <w:rPr>
          <w:rFonts w:hint="eastAsia"/>
          <w:kern w:val="0"/>
          <w:sz w:val="24"/>
        </w:rPr>
        <w:t>第三条乙方的义务</w:t>
      </w:r>
    </w:p>
    <w:p w14:paraId="621AFA7A">
      <w:pPr>
        <w:widowControl/>
        <w:spacing w:line="440" w:lineRule="exact"/>
        <w:ind w:firstLine="480" w:firstLineChars="200"/>
        <w:jc w:val="left"/>
        <w:rPr>
          <w:rFonts w:hint="eastAsia"/>
          <w:kern w:val="0"/>
          <w:sz w:val="24"/>
        </w:rPr>
      </w:pPr>
      <w:r>
        <w:rPr>
          <w:rFonts w:hint="eastAsia"/>
          <w:kern w:val="0"/>
          <w:sz w:val="24"/>
        </w:rPr>
        <w:t>（一）乙方不得以任何理由向甲方及其工作人员行贿或馈赠礼金、有价证券、贵重礼品。</w:t>
      </w:r>
    </w:p>
    <w:p w14:paraId="5B9EC884">
      <w:pPr>
        <w:widowControl/>
        <w:spacing w:line="440" w:lineRule="exact"/>
        <w:ind w:firstLine="480" w:firstLineChars="200"/>
        <w:jc w:val="left"/>
        <w:rPr>
          <w:rFonts w:hint="eastAsia"/>
          <w:kern w:val="0"/>
          <w:sz w:val="24"/>
        </w:rPr>
      </w:pPr>
      <w:r>
        <w:rPr>
          <w:rFonts w:hint="eastAsia"/>
          <w:kern w:val="0"/>
          <w:sz w:val="24"/>
        </w:rPr>
        <w:t>（二</w:t>
      </w:r>
      <w:r>
        <w:rPr>
          <w:kern w:val="0"/>
          <w:sz w:val="24"/>
        </w:rPr>
        <w:t>)</w:t>
      </w:r>
      <w:r>
        <w:rPr>
          <w:rFonts w:hint="eastAsia"/>
          <w:kern w:val="0"/>
          <w:sz w:val="24"/>
        </w:rPr>
        <w:t>乙方不得以任何名义为甲方及其工作人员报销应由甲方单位或个人支付的任何费用。</w:t>
      </w:r>
    </w:p>
    <w:p w14:paraId="33E3E7C1">
      <w:pPr>
        <w:widowControl/>
        <w:spacing w:line="440" w:lineRule="exact"/>
        <w:ind w:firstLine="480" w:firstLineChars="200"/>
        <w:jc w:val="left"/>
        <w:rPr>
          <w:rFonts w:hint="eastAsia"/>
          <w:kern w:val="0"/>
          <w:sz w:val="24"/>
        </w:rPr>
      </w:pPr>
      <w:r>
        <w:rPr>
          <w:rFonts w:hint="eastAsia"/>
          <w:kern w:val="0"/>
          <w:sz w:val="24"/>
        </w:rPr>
        <w:t>（三）乙方不得以任何理由安排甲方工作人员参加可能影响相关业务公开、公正、公平性的宴请及娱乐活动。</w:t>
      </w:r>
    </w:p>
    <w:p w14:paraId="24C3F2ED">
      <w:pPr>
        <w:widowControl/>
        <w:spacing w:line="440" w:lineRule="exact"/>
        <w:ind w:firstLine="480" w:firstLineChars="200"/>
        <w:jc w:val="left"/>
        <w:rPr>
          <w:rFonts w:hint="eastAsia"/>
          <w:kern w:val="0"/>
          <w:sz w:val="24"/>
        </w:rPr>
      </w:pPr>
      <w:r>
        <w:rPr>
          <w:rFonts w:hint="eastAsia"/>
          <w:kern w:val="0"/>
          <w:sz w:val="24"/>
        </w:rPr>
        <w:t>（四）乙方不得为甲方单位和个人购置或提供通讯工具和高档办公用品等物品，也不得为甲方提供与工作无关的房屋、汽车等。</w:t>
      </w:r>
    </w:p>
    <w:p w14:paraId="0B2641C5">
      <w:pPr>
        <w:widowControl/>
        <w:spacing w:line="440" w:lineRule="exact"/>
        <w:ind w:firstLine="480" w:firstLineChars="200"/>
        <w:jc w:val="left"/>
        <w:rPr>
          <w:rFonts w:hint="eastAsia"/>
          <w:kern w:val="0"/>
          <w:sz w:val="24"/>
        </w:rPr>
      </w:pPr>
      <w:r>
        <w:rPr>
          <w:rFonts w:hint="eastAsia"/>
          <w:kern w:val="0"/>
          <w:sz w:val="24"/>
        </w:rPr>
        <w:t>（五）乙方不得与甲方工作人员就合同中的质量、数量、价格、工程量、验收等条款进行私下商谈或者达成默契。</w:t>
      </w:r>
    </w:p>
    <w:p w14:paraId="39C91695">
      <w:pPr>
        <w:widowControl/>
        <w:spacing w:line="440" w:lineRule="exact"/>
        <w:ind w:firstLine="480" w:firstLineChars="200"/>
        <w:jc w:val="left"/>
        <w:rPr>
          <w:rFonts w:hint="eastAsia"/>
          <w:kern w:val="0"/>
          <w:sz w:val="24"/>
        </w:rPr>
      </w:pPr>
      <w:r>
        <w:rPr>
          <w:rFonts w:hint="eastAsia"/>
          <w:kern w:val="0"/>
          <w:sz w:val="24"/>
        </w:rPr>
        <w:t>（六）乙方不得以回扣、手续费、加班费、咨询费、劳务费、协调费、辛苦费等各种名义向甲方工作人员给予或赠送钱物。</w:t>
      </w:r>
    </w:p>
    <w:p w14:paraId="2E85C334">
      <w:pPr>
        <w:widowControl/>
        <w:spacing w:line="440" w:lineRule="exact"/>
        <w:ind w:firstLine="480" w:firstLineChars="200"/>
        <w:jc w:val="left"/>
        <w:rPr>
          <w:rFonts w:hint="eastAsia"/>
          <w:kern w:val="0"/>
          <w:sz w:val="24"/>
        </w:rPr>
      </w:pPr>
      <w:r>
        <w:rPr>
          <w:rFonts w:hint="eastAsia"/>
          <w:kern w:val="0"/>
          <w:sz w:val="24"/>
        </w:rPr>
        <w:t>（七）乙方不得向甲方工作人员提供干股或红利。</w:t>
      </w:r>
    </w:p>
    <w:p w14:paraId="686B4BF8">
      <w:pPr>
        <w:widowControl/>
        <w:spacing w:line="440" w:lineRule="exact"/>
        <w:ind w:firstLine="480" w:firstLineChars="200"/>
        <w:jc w:val="left"/>
        <w:rPr>
          <w:rFonts w:hint="eastAsia"/>
          <w:kern w:val="0"/>
          <w:sz w:val="24"/>
        </w:rPr>
      </w:pPr>
      <w:r>
        <w:rPr>
          <w:rFonts w:hint="eastAsia"/>
          <w:kern w:val="0"/>
          <w:sz w:val="24"/>
        </w:rPr>
        <w:t>（八）乙方须按照专项纪检监察工作组</w:t>
      </w:r>
      <w:r>
        <w:rPr>
          <w:kern w:val="0"/>
          <w:sz w:val="24"/>
        </w:rPr>
        <w:t>(</w:t>
      </w:r>
      <w:r>
        <w:rPr>
          <w:rFonts w:hint="eastAsia"/>
          <w:kern w:val="0"/>
          <w:sz w:val="24"/>
        </w:rPr>
        <w:t>如有</w:t>
      </w:r>
      <w:r>
        <w:rPr>
          <w:kern w:val="0"/>
          <w:sz w:val="24"/>
        </w:rPr>
        <w:t>)</w:t>
      </w:r>
      <w:r>
        <w:rPr>
          <w:rFonts w:hint="eastAsia"/>
          <w:kern w:val="0"/>
          <w:sz w:val="24"/>
        </w:rPr>
        <w:t>要求开展相关工作。</w:t>
      </w:r>
    </w:p>
    <w:p w14:paraId="199EC272">
      <w:pPr>
        <w:widowControl/>
        <w:spacing w:line="440" w:lineRule="exact"/>
        <w:ind w:firstLine="480" w:firstLineChars="200"/>
        <w:jc w:val="left"/>
        <w:rPr>
          <w:rFonts w:hint="eastAsia"/>
          <w:kern w:val="0"/>
          <w:sz w:val="24"/>
        </w:rPr>
      </w:pPr>
      <w:r>
        <w:rPr>
          <w:rFonts w:hint="eastAsia"/>
          <w:kern w:val="0"/>
          <w:sz w:val="24"/>
        </w:rPr>
        <w:t>第四条违约责任</w:t>
      </w:r>
    </w:p>
    <w:p w14:paraId="5126DAB0">
      <w:pPr>
        <w:widowControl/>
        <w:spacing w:line="440" w:lineRule="exact"/>
        <w:ind w:firstLine="480" w:firstLineChars="200"/>
        <w:jc w:val="left"/>
        <w:rPr>
          <w:rFonts w:hint="eastAsia"/>
          <w:kern w:val="0"/>
          <w:sz w:val="24"/>
        </w:rPr>
      </w:pPr>
      <w:r>
        <w:rPr>
          <w:rFonts w:hint="eastAsia"/>
          <w:kern w:val="0"/>
          <w:sz w:val="24"/>
        </w:rPr>
        <w:t>（一）甲方及其工作人员违反本协议第一、二条规定。甲方按照管理权限，对相关责任人依据有关规定给予党纪、政纪处分或组织处理；涉嫌犯罪的，移交司法机关追究刑事责任；给乙方单位造成经济损失的，应予以赔偿。</w:t>
      </w:r>
    </w:p>
    <w:p w14:paraId="4D928DC3">
      <w:pPr>
        <w:widowControl/>
        <w:spacing w:line="440" w:lineRule="exact"/>
        <w:ind w:firstLine="480" w:firstLineChars="200"/>
        <w:jc w:val="left"/>
        <w:rPr>
          <w:rFonts w:hint="eastAsia"/>
          <w:kern w:val="0"/>
          <w:sz w:val="24"/>
        </w:rPr>
      </w:pPr>
      <w:r>
        <w:rPr>
          <w:rFonts w:hint="eastAsia"/>
          <w:kern w:val="0"/>
          <w:sz w:val="24"/>
        </w:rPr>
        <w:t>甲方投诉联系部门：百大商业大厦纪检</w:t>
      </w:r>
      <w:r>
        <w:rPr>
          <w:kern w:val="0"/>
          <w:sz w:val="24"/>
        </w:rPr>
        <w:t xml:space="preserve"> </w:t>
      </w:r>
      <w:r>
        <w:rPr>
          <w:rFonts w:hint="eastAsia"/>
          <w:kern w:val="0"/>
          <w:sz w:val="24"/>
        </w:rPr>
        <w:t>，</w:t>
      </w:r>
      <w:r>
        <w:rPr>
          <w:kern w:val="0"/>
          <w:sz w:val="24"/>
        </w:rPr>
        <w:t xml:space="preserve">         </w:t>
      </w:r>
      <w:r>
        <w:rPr>
          <w:rFonts w:hint="eastAsia"/>
          <w:kern w:val="0"/>
          <w:sz w:val="24"/>
        </w:rPr>
        <w:t>联系电话</w:t>
      </w:r>
      <w:r>
        <w:rPr>
          <w:kern w:val="0"/>
          <w:sz w:val="24"/>
        </w:rPr>
        <w:t xml:space="preserve">0551-63660588   </w:t>
      </w:r>
      <w:r>
        <w:rPr>
          <w:rFonts w:hint="eastAsia"/>
          <w:kern w:val="0"/>
          <w:sz w:val="24"/>
        </w:rPr>
        <w:t>。</w:t>
      </w:r>
    </w:p>
    <w:p w14:paraId="62AF1E0B">
      <w:pPr>
        <w:widowControl/>
        <w:spacing w:line="440" w:lineRule="exact"/>
        <w:ind w:firstLine="480" w:firstLineChars="200"/>
        <w:jc w:val="left"/>
        <w:rPr>
          <w:rFonts w:hint="eastAsia"/>
          <w:kern w:val="0"/>
          <w:sz w:val="24"/>
        </w:rPr>
      </w:pPr>
      <w:r>
        <w:rPr>
          <w:rFonts w:hint="eastAsia"/>
          <w:kern w:val="0"/>
          <w:sz w:val="24"/>
        </w:rPr>
        <w:t>（二）乙方及其工作人员违反本协议第一、三条规定。根据具体情节和造成的后果，甲方有权对乙方采取以下一种或多种处理办法：</w:t>
      </w:r>
    </w:p>
    <w:p w14:paraId="6738AD9B">
      <w:pPr>
        <w:widowControl/>
        <w:spacing w:line="440" w:lineRule="exact"/>
        <w:ind w:firstLine="480" w:firstLineChars="200"/>
        <w:jc w:val="left"/>
        <w:rPr>
          <w:rFonts w:hint="eastAsia"/>
          <w:kern w:val="0"/>
          <w:sz w:val="24"/>
        </w:rPr>
      </w:pPr>
      <w:r>
        <w:rPr>
          <w:kern w:val="0"/>
          <w:sz w:val="24"/>
        </w:rPr>
        <w:t>1.</w:t>
      </w:r>
      <w:r>
        <w:rPr>
          <w:rFonts w:hint="eastAsia"/>
          <w:kern w:val="0"/>
          <w:sz w:val="24"/>
        </w:rPr>
        <w:t>全额收取乙方合同履约保证金不予退还；</w:t>
      </w:r>
    </w:p>
    <w:p w14:paraId="3F27856C">
      <w:pPr>
        <w:widowControl/>
        <w:spacing w:line="440" w:lineRule="exact"/>
        <w:ind w:firstLine="480" w:firstLineChars="200"/>
        <w:jc w:val="left"/>
        <w:rPr>
          <w:rFonts w:hint="eastAsia"/>
          <w:kern w:val="0"/>
          <w:sz w:val="24"/>
        </w:rPr>
      </w:pPr>
      <w:r>
        <w:rPr>
          <w:kern w:val="0"/>
          <w:sz w:val="24"/>
        </w:rPr>
        <w:t>2.</w:t>
      </w:r>
      <w:r>
        <w:rPr>
          <w:rFonts w:hint="eastAsia"/>
          <w:kern w:val="0"/>
          <w:sz w:val="24"/>
        </w:rPr>
        <w:t>追究乙方其他违约责任；</w:t>
      </w:r>
    </w:p>
    <w:p w14:paraId="5AEC79FF">
      <w:pPr>
        <w:widowControl/>
        <w:spacing w:line="440" w:lineRule="exact"/>
        <w:ind w:firstLine="480" w:firstLineChars="200"/>
        <w:jc w:val="left"/>
        <w:rPr>
          <w:rFonts w:hint="eastAsia"/>
          <w:kern w:val="0"/>
          <w:sz w:val="24"/>
        </w:rPr>
      </w:pPr>
      <w:r>
        <w:rPr>
          <w:kern w:val="0"/>
          <w:sz w:val="24"/>
        </w:rPr>
        <w:t>3.</w:t>
      </w:r>
      <w:r>
        <w:rPr>
          <w:rFonts w:hint="eastAsia"/>
          <w:kern w:val="0"/>
          <w:sz w:val="24"/>
        </w:rPr>
        <w:t>终止或解除双方已签订的包括本合同在内的所有合同；</w:t>
      </w:r>
    </w:p>
    <w:p w14:paraId="65695523">
      <w:pPr>
        <w:widowControl/>
        <w:spacing w:line="440" w:lineRule="exact"/>
        <w:ind w:firstLine="480" w:firstLineChars="200"/>
        <w:jc w:val="left"/>
        <w:rPr>
          <w:rFonts w:hint="eastAsia"/>
          <w:kern w:val="0"/>
          <w:sz w:val="24"/>
        </w:rPr>
      </w:pPr>
      <w:r>
        <w:rPr>
          <w:kern w:val="0"/>
          <w:sz w:val="24"/>
        </w:rPr>
        <w:t>4.</w:t>
      </w:r>
      <w:r>
        <w:rPr>
          <w:rFonts w:hint="eastAsia"/>
          <w:kern w:val="0"/>
          <w:sz w:val="24"/>
        </w:rPr>
        <w:t>乙方一定期限内（</w:t>
      </w:r>
      <w:r>
        <w:rPr>
          <w:kern w:val="0"/>
          <w:sz w:val="24"/>
        </w:rPr>
        <w:t>6</w:t>
      </w:r>
      <w:r>
        <w:rPr>
          <w:rFonts w:hint="eastAsia"/>
          <w:kern w:val="0"/>
          <w:sz w:val="24"/>
        </w:rPr>
        <w:t>个月至</w:t>
      </w:r>
      <w:r>
        <w:rPr>
          <w:kern w:val="0"/>
          <w:sz w:val="24"/>
        </w:rPr>
        <w:t>3</w:t>
      </w:r>
      <w:r>
        <w:rPr>
          <w:rFonts w:hint="eastAsia"/>
          <w:kern w:val="0"/>
          <w:sz w:val="24"/>
        </w:rPr>
        <w:t>年，具体由甲方根据情况而定）不得参与甲方作为发包人（业主）的工程项目投标。</w:t>
      </w:r>
    </w:p>
    <w:p w14:paraId="33082D91">
      <w:pPr>
        <w:widowControl/>
        <w:spacing w:line="440" w:lineRule="exact"/>
        <w:ind w:firstLine="480" w:firstLineChars="200"/>
        <w:jc w:val="left"/>
        <w:rPr>
          <w:rFonts w:hint="eastAsia"/>
          <w:kern w:val="0"/>
          <w:sz w:val="24"/>
        </w:rPr>
      </w:pPr>
      <w:r>
        <w:rPr>
          <w:rFonts w:hint="eastAsia"/>
          <w:kern w:val="0"/>
          <w:sz w:val="24"/>
        </w:rPr>
        <w:t>甲方作出的处理意见，乙方应无条件接受并承担给甲方造成的损失，全额返还通过不正当手段从甲方获取的非法所得，并承担相应的法律责任。</w:t>
      </w:r>
    </w:p>
    <w:p w14:paraId="40E8FA6D">
      <w:pPr>
        <w:widowControl/>
        <w:spacing w:line="440" w:lineRule="exact"/>
        <w:ind w:firstLine="480" w:firstLineChars="200"/>
        <w:jc w:val="left"/>
        <w:rPr>
          <w:rFonts w:hint="eastAsia"/>
          <w:kern w:val="0"/>
          <w:sz w:val="24"/>
        </w:rPr>
      </w:pPr>
      <w:r>
        <w:rPr>
          <w:rFonts w:hint="eastAsia"/>
          <w:kern w:val="0"/>
          <w:sz w:val="24"/>
        </w:rPr>
        <w:t>第五条双方约定</w:t>
      </w:r>
    </w:p>
    <w:p w14:paraId="306B6C66">
      <w:pPr>
        <w:widowControl/>
        <w:spacing w:line="440" w:lineRule="exact"/>
        <w:ind w:firstLine="480" w:firstLineChars="200"/>
        <w:jc w:val="left"/>
        <w:rPr>
          <w:rFonts w:hint="eastAsia"/>
          <w:kern w:val="0"/>
          <w:sz w:val="24"/>
        </w:rPr>
      </w:pPr>
      <w:r>
        <w:rPr>
          <w:rFonts w:hint="eastAsia"/>
          <w:kern w:val="0"/>
          <w:sz w:val="24"/>
        </w:rPr>
        <w:t>本协议由双方或双方上级单位负责监督。可由甲方或甲方上级单位的纪检监察部门约请乙方或乙方上级单位的纪检监察部门对本协议履行情况进行检查，提出在本协议规定范围内的裁定意见。</w:t>
      </w:r>
    </w:p>
    <w:p w14:paraId="334F296D">
      <w:pPr>
        <w:widowControl/>
        <w:spacing w:line="440" w:lineRule="exact"/>
        <w:ind w:firstLine="480" w:firstLineChars="200"/>
        <w:jc w:val="left"/>
        <w:rPr>
          <w:rFonts w:hint="eastAsia"/>
          <w:kern w:val="0"/>
          <w:sz w:val="24"/>
        </w:rPr>
      </w:pPr>
      <w:r>
        <w:rPr>
          <w:rFonts w:hint="eastAsia"/>
          <w:kern w:val="0"/>
          <w:sz w:val="24"/>
        </w:rPr>
        <w:t>第六条本协议有效期为甲乙双方签署之日起至合同终止。</w:t>
      </w:r>
    </w:p>
    <w:p w14:paraId="6984DA36">
      <w:pPr>
        <w:widowControl/>
        <w:spacing w:line="440" w:lineRule="exact"/>
        <w:ind w:firstLine="480" w:firstLineChars="200"/>
        <w:jc w:val="left"/>
        <w:rPr>
          <w:rFonts w:hint="eastAsia"/>
          <w:kern w:val="0"/>
          <w:sz w:val="24"/>
        </w:rPr>
      </w:pPr>
      <w:r>
        <w:rPr>
          <w:rFonts w:hint="eastAsia"/>
          <w:kern w:val="0"/>
          <w:sz w:val="24"/>
        </w:rPr>
        <w:t>第七条本协议作为合同的附件，与本合同具有同等法律效力。</w:t>
      </w:r>
    </w:p>
    <w:p w14:paraId="686726E2">
      <w:pPr>
        <w:widowControl/>
        <w:spacing w:line="440" w:lineRule="exact"/>
        <w:ind w:firstLine="480" w:firstLineChars="200"/>
        <w:jc w:val="left"/>
        <w:rPr>
          <w:rFonts w:hint="eastAsia"/>
          <w:kern w:val="0"/>
          <w:sz w:val="24"/>
        </w:rPr>
      </w:pPr>
    </w:p>
    <w:p w14:paraId="0F270DD8">
      <w:pPr>
        <w:widowControl/>
        <w:spacing w:line="440" w:lineRule="exact"/>
        <w:ind w:firstLine="480" w:firstLineChars="200"/>
        <w:jc w:val="left"/>
        <w:rPr>
          <w:rFonts w:hint="eastAsia"/>
          <w:kern w:val="0"/>
          <w:sz w:val="24"/>
        </w:rPr>
      </w:pPr>
      <w:r>
        <w:rPr>
          <w:rFonts w:hint="eastAsia"/>
          <w:kern w:val="0"/>
          <w:sz w:val="24"/>
        </w:rPr>
        <w:t>甲方（盖章）：</w:t>
      </w:r>
      <w:r>
        <w:rPr>
          <w:kern w:val="0"/>
          <w:sz w:val="24"/>
        </w:rPr>
        <w:t xml:space="preserve">                       </w:t>
      </w:r>
      <w:r>
        <w:rPr>
          <w:rFonts w:hint="eastAsia"/>
          <w:kern w:val="0"/>
          <w:sz w:val="24"/>
        </w:rPr>
        <w:t>乙方（盖章）：</w:t>
      </w:r>
    </w:p>
    <w:p w14:paraId="63B0368B">
      <w:pPr>
        <w:widowControl/>
        <w:spacing w:line="440" w:lineRule="exact"/>
        <w:ind w:firstLine="480" w:firstLineChars="200"/>
        <w:jc w:val="left"/>
        <w:rPr>
          <w:rFonts w:hint="eastAsia"/>
          <w:kern w:val="0"/>
          <w:sz w:val="24"/>
        </w:rPr>
      </w:pPr>
      <w:r>
        <w:rPr>
          <w:rFonts w:hint="eastAsia"/>
          <w:kern w:val="0"/>
          <w:sz w:val="24"/>
        </w:rPr>
        <w:t>法定代表人或</w:t>
      </w:r>
      <w:r>
        <w:rPr>
          <w:kern w:val="0"/>
          <w:sz w:val="24"/>
        </w:rPr>
        <w:t xml:space="preserve">                         </w:t>
      </w:r>
      <w:r>
        <w:rPr>
          <w:rFonts w:hint="eastAsia"/>
          <w:kern w:val="0"/>
          <w:sz w:val="24"/>
        </w:rPr>
        <w:t>法定代表人或</w:t>
      </w:r>
    </w:p>
    <w:p w14:paraId="1184929A">
      <w:pPr>
        <w:widowControl/>
        <w:spacing w:line="440" w:lineRule="exact"/>
        <w:ind w:firstLine="480" w:firstLineChars="200"/>
        <w:jc w:val="left"/>
        <w:rPr>
          <w:rFonts w:hint="eastAsia"/>
          <w:kern w:val="0"/>
          <w:sz w:val="24"/>
        </w:rPr>
      </w:pPr>
      <w:r>
        <w:rPr>
          <w:rFonts w:hint="eastAsia"/>
          <w:kern w:val="0"/>
          <w:sz w:val="24"/>
        </w:rPr>
        <w:t>授权代表：</w:t>
      </w:r>
      <w:r>
        <w:rPr>
          <w:kern w:val="0"/>
          <w:sz w:val="24"/>
        </w:rPr>
        <w:t>(</w:t>
      </w:r>
      <w:r>
        <w:rPr>
          <w:rFonts w:hint="eastAsia"/>
          <w:kern w:val="0"/>
          <w:sz w:val="24"/>
        </w:rPr>
        <w:t>职务</w:t>
      </w:r>
      <w:r>
        <w:rPr>
          <w:kern w:val="0"/>
          <w:sz w:val="24"/>
        </w:rPr>
        <w:t xml:space="preserve">)                      </w:t>
      </w:r>
      <w:r>
        <w:rPr>
          <w:rFonts w:hint="eastAsia"/>
          <w:kern w:val="0"/>
          <w:sz w:val="24"/>
        </w:rPr>
        <w:t>授权代表：</w:t>
      </w:r>
      <w:r>
        <w:rPr>
          <w:kern w:val="0"/>
          <w:sz w:val="24"/>
        </w:rPr>
        <w:t>(</w:t>
      </w:r>
      <w:r>
        <w:rPr>
          <w:rFonts w:hint="eastAsia"/>
          <w:kern w:val="0"/>
          <w:sz w:val="24"/>
        </w:rPr>
        <w:t>职务</w:t>
      </w:r>
      <w:r>
        <w:rPr>
          <w:kern w:val="0"/>
          <w:sz w:val="24"/>
        </w:rPr>
        <w:t>)</w:t>
      </w:r>
    </w:p>
    <w:p w14:paraId="413FB908">
      <w:pPr>
        <w:widowControl/>
        <w:spacing w:line="440" w:lineRule="exact"/>
        <w:ind w:firstLine="480" w:firstLineChars="200"/>
        <w:jc w:val="left"/>
        <w:rPr>
          <w:rFonts w:hint="eastAsia"/>
          <w:kern w:val="0"/>
          <w:sz w:val="24"/>
        </w:rPr>
      </w:pPr>
      <w:r>
        <w:rPr>
          <w:rFonts w:hint="eastAsia"/>
          <w:kern w:val="0"/>
          <w:sz w:val="24"/>
        </w:rPr>
        <w:t>姓名：</w:t>
      </w:r>
      <w:r>
        <w:rPr>
          <w:kern w:val="0"/>
          <w:sz w:val="24"/>
        </w:rPr>
        <w:t xml:space="preserve">                                </w:t>
      </w:r>
      <w:r>
        <w:rPr>
          <w:rFonts w:hint="eastAsia"/>
          <w:kern w:val="0"/>
          <w:sz w:val="24"/>
        </w:rPr>
        <w:t>姓名：</w:t>
      </w:r>
    </w:p>
    <w:p w14:paraId="06C585A8">
      <w:pPr>
        <w:widowControl/>
        <w:spacing w:line="440" w:lineRule="exact"/>
        <w:ind w:firstLine="480" w:firstLineChars="200"/>
        <w:jc w:val="left"/>
        <w:rPr>
          <w:rFonts w:hint="eastAsia"/>
          <w:kern w:val="0"/>
          <w:sz w:val="24"/>
        </w:rPr>
      </w:pPr>
      <w:r>
        <w:rPr>
          <w:rFonts w:hint="eastAsia"/>
          <w:kern w:val="0"/>
          <w:sz w:val="24"/>
        </w:rPr>
        <w:t>签字：</w:t>
      </w:r>
      <w:r>
        <w:rPr>
          <w:kern w:val="0"/>
          <w:sz w:val="24"/>
        </w:rPr>
        <w:t xml:space="preserve">                                </w:t>
      </w:r>
      <w:r>
        <w:rPr>
          <w:rFonts w:hint="eastAsia"/>
          <w:kern w:val="0"/>
          <w:sz w:val="24"/>
        </w:rPr>
        <w:t>签字：</w:t>
      </w:r>
    </w:p>
    <w:p w14:paraId="7CBD58AA">
      <w:pPr>
        <w:widowControl/>
        <w:spacing w:line="440" w:lineRule="exact"/>
        <w:ind w:firstLine="480" w:firstLineChars="200"/>
        <w:jc w:val="left"/>
        <w:rPr>
          <w:rFonts w:hint="eastAsia"/>
          <w:kern w:val="0"/>
          <w:sz w:val="24"/>
        </w:rPr>
      </w:pPr>
      <w:r>
        <w:rPr>
          <w:rFonts w:hint="eastAsia"/>
          <w:kern w:val="0"/>
          <w:sz w:val="24"/>
        </w:rPr>
        <w:t>廉政监督联系人</w:t>
      </w:r>
      <w:r>
        <w:rPr>
          <w:kern w:val="0"/>
          <w:sz w:val="24"/>
        </w:rPr>
        <w:t xml:space="preserve">                        </w:t>
      </w:r>
      <w:r>
        <w:rPr>
          <w:rFonts w:hint="eastAsia"/>
          <w:kern w:val="0"/>
          <w:sz w:val="24"/>
        </w:rPr>
        <w:t>廉政监督联系人</w:t>
      </w:r>
    </w:p>
    <w:p w14:paraId="723807F2">
      <w:pPr>
        <w:widowControl/>
        <w:spacing w:line="440" w:lineRule="exact"/>
        <w:ind w:firstLine="480" w:firstLineChars="200"/>
        <w:jc w:val="left"/>
        <w:rPr>
          <w:rFonts w:hint="eastAsia"/>
          <w:kern w:val="0"/>
          <w:sz w:val="24"/>
        </w:rPr>
      </w:pPr>
      <w:r>
        <w:rPr>
          <w:rFonts w:hint="eastAsia"/>
          <w:kern w:val="0"/>
          <w:sz w:val="24"/>
        </w:rPr>
        <w:t>姓名：</w:t>
      </w:r>
      <w:r>
        <w:rPr>
          <w:kern w:val="0"/>
          <w:sz w:val="24"/>
        </w:rPr>
        <w:t xml:space="preserve">                                </w:t>
      </w:r>
      <w:r>
        <w:rPr>
          <w:rFonts w:hint="eastAsia"/>
          <w:kern w:val="0"/>
          <w:sz w:val="24"/>
        </w:rPr>
        <w:t>姓名：</w:t>
      </w:r>
    </w:p>
    <w:p w14:paraId="66A628D2">
      <w:pPr>
        <w:widowControl/>
        <w:spacing w:line="440" w:lineRule="exact"/>
        <w:ind w:firstLine="480" w:firstLineChars="200"/>
        <w:jc w:val="left"/>
        <w:rPr>
          <w:rFonts w:hint="eastAsia"/>
          <w:kern w:val="0"/>
          <w:sz w:val="24"/>
        </w:rPr>
      </w:pPr>
      <w:r>
        <w:rPr>
          <w:rFonts w:hint="eastAsia"/>
          <w:kern w:val="0"/>
          <w:sz w:val="24"/>
        </w:rPr>
        <w:t>签字：</w:t>
      </w:r>
      <w:r>
        <w:rPr>
          <w:kern w:val="0"/>
          <w:sz w:val="24"/>
        </w:rPr>
        <w:t xml:space="preserve">                                </w:t>
      </w:r>
      <w:r>
        <w:rPr>
          <w:rFonts w:hint="eastAsia"/>
          <w:kern w:val="0"/>
          <w:sz w:val="24"/>
        </w:rPr>
        <w:t>签字：</w:t>
      </w:r>
    </w:p>
    <w:p w14:paraId="402C37F4">
      <w:pPr>
        <w:widowControl/>
        <w:spacing w:line="440" w:lineRule="exact"/>
        <w:ind w:firstLine="480" w:firstLineChars="200"/>
        <w:jc w:val="left"/>
        <w:rPr>
          <w:rFonts w:hint="eastAsia"/>
          <w:kern w:val="0"/>
          <w:sz w:val="24"/>
        </w:rPr>
      </w:pPr>
      <w:r>
        <w:rPr>
          <w:rFonts w:hint="eastAsia"/>
          <w:kern w:val="0"/>
          <w:sz w:val="24"/>
        </w:rPr>
        <w:t>电话：</w:t>
      </w:r>
      <w:r>
        <w:rPr>
          <w:kern w:val="0"/>
          <w:sz w:val="24"/>
        </w:rPr>
        <w:t xml:space="preserve">                                </w:t>
      </w:r>
      <w:r>
        <w:rPr>
          <w:rFonts w:hint="eastAsia"/>
          <w:kern w:val="0"/>
          <w:sz w:val="24"/>
        </w:rPr>
        <w:t>电话：</w:t>
      </w:r>
    </w:p>
    <w:p w14:paraId="195C000A">
      <w:pPr>
        <w:widowControl/>
        <w:spacing w:line="440" w:lineRule="exact"/>
        <w:ind w:firstLine="480" w:firstLineChars="200"/>
        <w:jc w:val="left"/>
        <w:rPr>
          <w:rFonts w:hint="eastAsia"/>
          <w:kern w:val="0"/>
          <w:sz w:val="24"/>
        </w:rPr>
      </w:pPr>
      <w:r>
        <w:rPr>
          <w:rFonts w:hint="eastAsia"/>
          <w:kern w:val="0"/>
          <w:sz w:val="24"/>
        </w:rPr>
        <w:t>地址：</w:t>
      </w:r>
      <w:r>
        <w:rPr>
          <w:kern w:val="0"/>
          <w:sz w:val="24"/>
        </w:rPr>
        <w:t xml:space="preserve">                                </w:t>
      </w:r>
      <w:r>
        <w:rPr>
          <w:rFonts w:hint="eastAsia"/>
          <w:kern w:val="0"/>
          <w:sz w:val="24"/>
        </w:rPr>
        <w:t>地址：</w:t>
      </w:r>
    </w:p>
    <w:p w14:paraId="72E94188">
      <w:pPr>
        <w:widowControl/>
        <w:spacing w:line="440" w:lineRule="exact"/>
        <w:ind w:firstLine="480" w:firstLineChars="200"/>
        <w:jc w:val="left"/>
        <w:rPr>
          <w:rFonts w:ascii="宋体" w:hAnsi="宋体"/>
          <w:b/>
          <w:bCs/>
          <w:color w:val="000000"/>
          <w:kern w:val="0"/>
          <w:sz w:val="32"/>
          <w:szCs w:val="32"/>
        </w:rPr>
      </w:pPr>
      <w:r>
        <w:rPr>
          <w:rFonts w:hint="eastAsia"/>
          <w:kern w:val="0"/>
          <w:sz w:val="24"/>
        </w:rPr>
        <w:t>日期：</w:t>
      </w:r>
      <w:r>
        <w:rPr>
          <w:kern w:val="0"/>
          <w:sz w:val="24"/>
        </w:rPr>
        <w:t xml:space="preserve">                                </w:t>
      </w:r>
      <w:r>
        <w:rPr>
          <w:rFonts w:hint="eastAsia"/>
          <w:kern w:val="0"/>
          <w:sz w:val="24"/>
        </w:rPr>
        <w:t>日期：</w:t>
      </w:r>
    </w:p>
    <w:p w14:paraId="5DF25BD7">
      <w:pPr>
        <w:rPr>
          <w:rFonts w:hint="eastAsia"/>
          <w:sz w:val="24"/>
        </w:rPr>
      </w:pPr>
    </w:p>
    <w:p w14:paraId="4F8A768D">
      <w:pPr>
        <w:spacing w:line="360" w:lineRule="auto"/>
        <w:outlineLvl w:val="0"/>
        <w:rPr>
          <w:rFonts w:ascii="宋体" w:hAnsi="宋体" w:eastAsia="宋体" w:cs="@仿宋_GB2312"/>
          <w:b/>
          <w:sz w:val="28"/>
          <w:szCs w:val="20"/>
        </w:rPr>
      </w:pPr>
    </w:p>
    <w:p w14:paraId="2E41ECDD">
      <w:pPr>
        <w:spacing w:line="360" w:lineRule="auto"/>
        <w:ind w:firstLine="141"/>
        <w:rPr>
          <w:rFonts w:ascii="宋体" w:hAnsi="宋体" w:eastAsia="宋体" w:cs="宋体"/>
          <w:b/>
          <w:bCs/>
          <w:kern w:val="0"/>
          <w:sz w:val="28"/>
          <w:szCs w:val="28"/>
        </w:rPr>
      </w:pPr>
    </w:p>
    <w:p w14:paraId="0A8DEF68">
      <w:pPr>
        <w:spacing w:line="360" w:lineRule="auto"/>
        <w:ind w:firstLine="141"/>
        <w:rPr>
          <w:rFonts w:ascii="宋体" w:hAnsi="宋体" w:eastAsia="宋体" w:cs="宋体"/>
          <w:b/>
          <w:bCs/>
          <w:kern w:val="0"/>
          <w:sz w:val="28"/>
          <w:szCs w:val="28"/>
        </w:rPr>
      </w:pPr>
    </w:p>
    <w:p w14:paraId="0275E9A0">
      <w:pPr>
        <w:spacing w:line="360" w:lineRule="auto"/>
        <w:ind w:firstLine="141"/>
        <w:rPr>
          <w:rFonts w:ascii="宋体" w:hAnsi="宋体" w:eastAsia="宋体" w:cs="宋体"/>
          <w:b/>
          <w:bCs/>
          <w:kern w:val="0"/>
          <w:sz w:val="28"/>
          <w:szCs w:val="28"/>
        </w:rPr>
      </w:pPr>
    </w:p>
    <w:p w14:paraId="60918F68">
      <w:pPr>
        <w:spacing w:line="360" w:lineRule="auto"/>
        <w:ind w:firstLine="141"/>
        <w:rPr>
          <w:rFonts w:ascii="宋体" w:hAnsi="宋体" w:eastAsia="宋体" w:cs="宋体"/>
          <w:b/>
          <w:bCs/>
          <w:kern w:val="0"/>
          <w:sz w:val="28"/>
          <w:szCs w:val="28"/>
        </w:rPr>
      </w:pPr>
    </w:p>
    <w:p w14:paraId="64C1CEDA">
      <w:pPr>
        <w:spacing w:line="360" w:lineRule="auto"/>
        <w:ind w:firstLine="141"/>
        <w:rPr>
          <w:rFonts w:ascii="宋体" w:hAnsi="宋体" w:eastAsia="宋体" w:cs="宋体"/>
          <w:b/>
          <w:bCs/>
          <w:kern w:val="0"/>
          <w:sz w:val="28"/>
          <w:szCs w:val="28"/>
        </w:rPr>
      </w:pPr>
    </w:p>
    <w:p w14:paraId="50FA57E7">
      <w:pPr>
        <w:spacing w:line="360" w:lineRule="auto"/>
        <w:ind w:firstLine="141"/>
        <w:rPr>
          <w:rFonts w:ascii="宋体" w:hAnsi="宋体" w:eastAsia="宋体" w:cs="宋体"/>
          <w:b/>
          <w:bCs/>
          <w:kern w:val="0"/>
          <w:sz w:val="28"/>
          <w:szCs w:val="28"/>
        </w:rPr>
      </w:pPr>
    </w:p>
    <w:p w14:paraId="1AC8A08B">
      <w:pPr>
        <w:spacing w:line="360" w:lineRule="auto"/>
        <w:ind w:firstLine="141"/>
        <w:rPr>
          <w:rFonts w:ascii="宋体" w:hAnsi="宋体" w:eastAsia="宋体" w:cs="宋体"/>
          <w:b/>
          <w:bCs/>
          <w:kern w:val="0"/>
          <w:sz w:val="28"/>
          <w:szCs w:val="28"/>
        </w:rPr>
      </w:pPr>
    </w:p>
    <w:p w14:paraId="39C61F13">
      <w:pPr>
        <w:spacing w:line="360" w:lineRule="auto"/>
        <w:ind w:firstLine="141"/>
        <w:rPr>
          <w:rFonts w:ascii="宋体" w:hAnsi="宋体" w:eastAsia="宋体" w:cs="宋体"/>
          <w:b/>
          <w:bCs/>
          <w:kern w:val="0"/>
          <w:sz w:val="28"/>
          <w:szCs w:val="28"/>
        </w:rPr>
      </w:pPr>
    </w:p>
    <w:p w14:paraId="5AE71598">
      <w:pPr>
        <w:spacing w:line="360" w:lineRule="auto"/>
        <w:ind w:firstLine="141"/>
        <w:rPr>
          <w:rFonts w:ascii="宋体" w:hAnsi="宋体" w:eastAsia="宋体" w:cs="宋体"/>
          <w:b/>
          <w:bCs/>
          <w:kern w:val="0"/>
          <w:sz w:val="28"/>
          <w:szCs w:val="28"/>
        </w:rPr>
      </w:pPr>
    </w:p>
    <w:p w14:paraId="6792FFA5">
      <w:pPr>
        <w:spacing w:line="360" w:lineRule="auto"/>
        <w:ind w:firstLine="141"/>
        <w:rPr>
          <w:rFonts w:ascii="宋体" w:hAnsi="宋体" w:eastAsia="宋体" w:cs="宋体"/>
          <w:b/>
          <w:bCs/>
          <w:kern w:val="0"/>
          <w:sz w:val="28"/>
          <w:szCs w:val="28"/>
        </w:rPr>
      </w:pPr>
    </w:p>
    <w:p w14:paraId="45DAC94E">
      <w:pPr>
        <w:spacing w:line="360" w:lineRule="auto"/>
        <w:ind w:firstLine="141"/>
        <w:rPr>
          <w:rFonts w:ascii="宋体" w:hAnsi="宋体" w:eastAsia="宋体" w:cs="宋体"/>
          <w:b/>
          <w:bCs/>
          <w:kern w:val="0"/>
          <w:sz w:val="28"/>
          <w:szCs w:val="28"/>
        </w:rPr>
      </w:pPr>
    </w:p>
    <w:p w14:paraId="650B7167">
      <w:pPr>
        <w:spacing w:line="578" w:lineRule="exact"/>
        <w:rPr>
          <w:rFonts w:ascii="仿宋_GB2312" w:hAnsi="仿宋_GB2312" w:eastAsia="仿宋_GB2312" w:cs="仿宋_GB2312"/>
          <w:sz w:val="24"/>
        </w:rPr>
        <w:sectPr>
          <w:headerReference r:id="rId7" w:type="default"/>
          <w:pgSz w:w="11906" w:h="16838"/>
          <w:pgMar w:top="1440" w:right="1080" w:bottom="1440" w:left="1080" w:header="851" w:footer="992" w:gutter="0"/>
          <w:cols w:space="720" w:num="1"/>
          <w:docGrid w:type="lines" w:linePitch="312" w:charSpace="0"/>
        </w:sectPr>
      </w:pPr>
    </w:p>
    <w:p w14:paraId="4BBA1E84">
      <w:pPr>
        <w:spacing w:line="360" w:lineRule="auto"/>
        <w:outlineLvl w:val="0"/>
        <w:rPr>
          <w:rFonts w:ascii="宋体" w:hAnsi="宋体" w:eastAsia="宋体" w:cs="@仿宋_GB2312"/>
          <w:b/>
          <w:sz w:val="28"/>
          <w:szCs w:val="20"/>
        </w:rPr>
      </w:pPr>
      <w:bookmarkStart w:id="7" w:name="_Toc14968"/>
    </w:p>
    <w:p w14:paraId="6C016790">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14:paraId="0F7D1C5E">
      <w:pPr>
        <w:keepNext/>
        <w:keepLines/>
        <w:spacing w:before="260" w:after="260" w:line="240" w:lineRule="exact"/>
        <w:jc w:val="center"/>
        <w:outlineLvl w:val="2"/>
        <w:rPr>
          <w:rFonts w:ascii="宋体" w:hAnsi="宋体" w:eastAsia="宋体" w:cs="@仿宋_GB2312"/>
          <w:b/>
          <w:bCs/>
          <w:sz w:val="24"/>
          <w:szCs w:val="32"/>
        </w:rPr>
      </w:pPr>
    </w:p>
    <w:p w14:paraId="093821CE">
      <w:pPr>
        <w:keepNext/>
        <w:keepLines/>
        <w:spacing w:before="260" w:after="260" w:line="42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14:paraId="2A730D10">
      <w:pPr>
        <w:keepNext/>
        <w:keepLines/>
        <w:spacing w:before="260" w:after="260" w:line="416" w:lineRule="auto"/>
        <w:ind w:firstLine="158"/>
        <w:outlineLvl w:val="2"/>
        <w:rPr>
          <w:rFonts w:ascii="@仿宋_GB2312" w:hAnsi="@仿宋_GB2312" w:eastAsia="@仿宋_GB2312" w:cs="@仿宋_GB2312"/>
          <w:b/>
          <w:bCs/>
          <w:sz w:val="32"/>
          <w:szCs w:val="32"/>
        </w:rPr>
      </w:pPr>
    </w:p>
    <w:p w14:paraId="4928A03D">
      <w:pPr>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合肥百货大楼集团商业大厦有限责任公司</w:t>
      </w:r>
    </w:p>
    <w:p w14:paraId="6D0276F4">
      <w:pPr>
        <w:ind w:firstLine="201"/>
        <w:jc w:val="center"/>
        <w:rPr>
          <w:rFonts w:cs="宋体" w:asciiTheme="majorEastAsia" w:hAnsiTheme="majorEastAsia" w:eastAsiaTheme="majorEastAsia"/>
          <w:b/>
          <w:color w:val="000000" w:themeColor="text1"/>
          <w:kern w:val="0"/>
          <w:sz w:val="40"/>
          <w:szCs w:val="40"/>
        </w:rPr>
      </w:pPr>
    </w:p>
    <w:p w14:paraId="26BB0F93">
      <w:pPr>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 xml:space="preserve">配套电缆敷设工程项目 </w:t>
      </w:r>
    </w:p>
    <w:p w14:paraId="4BE60574">
      <w:pPr>
        <w:ind w:firstLine="201"/>
        <w:jc w:val="center"/>
        <w:rPr>
          <w:rFonts w:cs="宋体" w:asciiTheme="majorEastAsia" w:hAnsiTheme="majorEastAsia" w:eastAsiaTheme="majorEastAsia"/>
          <w:b/>
          <w:color w:val="000000" w:themeColor="text1"/>
          <w:kern w:val="0"/>
          <w:sz w:val="40"/>
          <w:szCs w:val="40"/>
        </w:rPr>
      </w:pPr>
    </w:p>
    <w:p w14:paraId="7535F329">
      <w:pPr>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14:paraId="029A4A99">
      <w:pPr>
        <w:keepNext/>
        <w:keepLines/>
        <w:spacing w:before="260" w:after="260" w:line="416" w:lineRule="auto"/>
        <w:ind w:firstLine="158"/>
        <w:outlineLvl w:val="2"/>
        <w:rPr>
          <w:rFonts w:ascii="@仿宋_GB2312" w:hAnsi="@仿宋_GB2312" w:eastAsia="@仿宋_GB2312" w:cs="@仿宋_GB2312"/>
          <w:b/>
          <w:bCs/>
          <w:sz w:val="32"/>
          <w:szCs w:val="32"/>
        </w:rPr>
      </w:pPr>
    </w:p>
    <w:p w14:paraId="3642EF6A">
      <w:pPr>
        <w:ind w:firstLine="105"/>
        <w:rPr>
          <w:rFonts w:ascii="@仿宋_GB2312" w:hAnsi="@仿宋_GB2312" w:eastAsia="@仿宋_GB2312" w:cs="@仿宋_GB2312"/>
          <w:szCs w:val="20"/>
        </w:rPr>
      </w:pPr>
    </w:p>
    <w:p w14:paraId="2B51D032">
      <w:pPr>
        <w:spacing w:line="760" w:lineRule="exact"/>
        <w:ind w:firstLine="2891" w:firstLineChars="400"/>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5D45451E">
      <w:pPr>
        <w:keepNext/>
        <w:keepLines/>
        <w:spacing w:before="260" w:after="260" w:line="416" w:lineRule="auto"/>
        <w:ind w:firstLine="158"/>
        <w:outlineLvl w:val="2"/>
        <w:rPr>
          <w:rFonts w:ascii="@仿宋_GB2312" w:hAnsi="@仿宋_GB2312" w:eastAsia="@仿宋_GB2312" w:cs="@仿宋_GB2312"/>
          <w:b/>
          <w:bCs/>
          <w:sz w:val="32"/>
          <w:szCs w:val="32"/>
        </w:rPr>
      </w:pPr>
    </w:p>
    <w:p w14:paraId="03564884">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14:paraId="4D5CC92F">
      <w:pPr>
        <w:spacing w:afterLines="50" w:line="500" w:lineRule="exact"/>
        <w:ind w:firstLine="161"/>
        <w:jc w:val="center"/>
        <w:rPr>
          <w:rFonts w:ascii="宋体" w:hAnsi="宋体" w:eastAsia="宋体" w:cs="@仿宋_GB2312"/>
          <w:b/>
          <w:sz w:val="32"/>
          <w:szCs w:val="32"/>
        </w:rPr>
      </w:pPr>
    </w:p>
    <w:p w14:paraId="1039188F">
      <w:pPr>
        <w:spacing w:afterLines="50" w:line="500" w:lineRule="exact"/>
        <w:ind w:firstLine="161"/>
        <w:rPr>
          <w:rFonts w:ascii="宋体" w:hAnsi="宋体" w:eastAsia="宋体" w:cs="@仿宋_GB2312"/>
          <w:b/>
          <w:sz w:val="32"/>
          <w:szCs w:val="20"/>
        </w:rPr>
      </w:pPr>
    </w:p>
    <w:p w14:paraId="767B6EA8">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14:paraId="1327EFFD">
      <w:pPr>
        <w:spacing w:afterLines="50" w:line="500" w:lineRule="exact"/>
        <w:ind w:firstLine="161"/>
        <w:jc w:val="center"/>
        <w:outlineLvl w:val="1"/>
        <w:rPr>
          <w:rFonts w:ascii="宋体" w:hAnsi="宋体" w:eastAsia="宋体" w:cs="@仿宋_GB2312"/>
          <w:b/>
          <w:sz w:val="24"/>
          <w:szCs w:val="20"/>
        </w:rPr>
      </w:pPr>
      <w:r>
        <w:rPr>
          <w:rFonts w:hint="eastAsia" w:ascii="宋体" w:hAnsi="宋体" w:eastAsia="宋体" w:cs="@仿宋_GB2312"/>
          <w:b/>
          <w:sz w:val="32"/>
          <w:szCs w:val="20"/>
        </w:rPr>
        <w:t>2025年 月 日</w:t>
      </w:r>
      <w:bookmarkStart w:id="8" w:name="_Toc461053086"/>
      <w:bookmarkStart w:id="9" w:name="_Toc461056631"/>
      <w:bookmarkStart w:id="10" w:name="_Toc520983587"/>
    </w:p>
    <w:p w14:paraId="1583BE70">
      <w:pPr>
        <w:spacing w:line="360" w:lineRule="auto"/>
        <w:jc w:val="center"/>
        <w:outlineLvl w:val="1"/>
        <w:rPr>
          <w:rFonts w:ascii="宋体" w:hAnsi="宋体" w:eastAsia="宋体" w:cs="@仿宋_GB2312"/>
          <w:b/>
          <w:sz w:val="24"/>
          <w:szCs w:val="20"/>
        </w:rPr>
      </w:pPr>
    </w:p>
    <w:p w14:paraId="6D5655C6">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14:paraId="2BFB9A73">
      <w:pPr>
        <w:spacing w:line="360" w:lineRule="auto"/>
        <w:rPr>
          <w:rFonts w:ascii="宋体" w:hAnsi="宋体" w:eastAsia="宋体" w:cs="Arial"/>
          <w:b/>
          <w:sz w:val="24"/>
        </w:rPr>
      </w:pPr>
    </w:p>
    <w:p w14:paraId="1908EC9F">
      <w:pPr>
        <w:rPr>
          <w:rFonts w:ascii="宋体" w:hAnsi="宋体" w:eastAsia="宋体" w:cs="宋体"/>
          <w:b/>
          <w:kern w:val="0"/>
          <w:sz w:val="24"/>
          <w:szCs w:val="20"/>
        </w:rPr>
      </w:pPr>
      <w:r>
        <w:rPr>
          <w:rFonts w:hint="eastAsia" w:ascii="宋体" w:hAnsi="宋体" w:eastAsia="宋体" w:cs="宋体"/>
          <w:b/>
          <w:kern w:val="0"/>
          <w:sz w:val="24"/>
          <w:szCs w:val="20"/>
        </w:rPr>
        <w:t>致合肥百货大楼集团商业大厦有限责任公司：</w:t>
      </w:r>
    </w:p>
    <w:p w14:paraId="7374EDD5">
      <w:pPr>
        <w:pStyle w:val="4"/>
        <w:spacing w:line="560" w:lineRule="exact"/>
        <w:ind w:firstLine="480" w:firstLineChars="200"/>
        <w:rPr>
          <w:rFonts w:hAnsi="宋体" w:cs="@仿宋_GB2312"/>
          <w:dstrike/>
          <w:sz w:val="24"/>
          <w:szCs w:val="20"/>
        </w:rPr>
      </w:pPr>
      <w:r>
        <w:rPr>
          <w:rFonts w:hint="eastAsia" w:hAnsi="宋体" w:cs="@仿宋_GB2312"/>
          <w:sz w:val="24"/>
          <w:szCs w:val="20"/>
        </w:rPr>
        <w:t>根据贵方</w:t>
      </w:r>
      <w:bookmarkStart w:id="11" w:name="_Hlk44287576"/>
      <w:r>
        <w:rPr>
          <w:rFonts w:hint="eastAsia" w:hAnsi="宋体" w:cs="@仿宋_GB2312"/>
          <w:sz w:val="24"/>
          <w:szCs w:val="20"/>
          <w:u w:val="single"/>
        </w:rPr>
        <w:t xml:space="preserve">               </w:t>
      </w:r>
      <w:r>
        <w:rPr>
          <w:rFonts w:hint="eastAsia" w:hAnsi="宋体" w:cs="宋体"/>
          <w:color w:val="000000"/>
          <w:kern w:val="0"/>
          <w:sz w:val="24"/>
          <w:szCs w:val="20"/>
        </w:rPr>
        <w:t>项目</w:t>
      </w:r>
      <w:r>
        <w:rPr>
          <w:rFonts w:hint="eastAsia" w:hAnsi="宋体" w:cs="@仿宋_GB2312"/>
          <w:sz w:val="24"/>
          <w:szCs w:val="20"/>
        </w:rPr>
        <w:t>竞争性报价</w:t>
      </w:r>
      <w:bookmarkEnd w:id="11"/>
      <w:r>
        <w:rPr>
          <w:rFonts w:hint="eastAsia" w:hAnsi="宋体" w:cs="@仿宋_GB2312"/>
          <w:sz w:val="24"/>
          <w:szCs w:val="20"/>
        </w:rPr>
        <w:t>文件要求，我方兹宣布承诺如下内容：</w:t>
      </w:r>
    </w:p>
    <w:p w14:paraId="0FD81D15">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14:paraId="78F2883E">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14:paraId="32F0EB14">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14:paraId="1C18312C">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14:paraId="5DF6A398">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14:paraId="0B91054E">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14:paraId="34A7348D">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14:paraId="27D77BFA">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14:paraId="27174B3B">
      <w:pPr>
        <w:widowControl/>
        <w:spacing w:line="520" w:lineRule="exact"/>
        <w:ind w:firstLine="120"/>
        <w:jc w:val="left"/>
        <w:rPr>
          <w:rFonts w:ascii="宋体" w:hAnsi="宋体" w:eastAsia="宋体" w:cs="宋体"/>
          <w:kern w:val="0"/>
          <w:sz w:val="24"/>
          <w:szCs w:val="20"/>
        </w:rPr>
      </w:pPr>
      <w:r>
        <w:rPr>
          <w:rFonts w:hint="eastAsia" w:ascii="宋体" w:hAnsi="宋体" w:eastAsia="宋体" w:cs="宋体"/>
          <w:kern w:val="0"/>
          <w:sz w:val="24"/>
          <w:szCs w:val="20"/>
        </w:rPr>
        <w:t>特此承诺</w:t>
      </w:r>
    </w:p>
    <w:p w14:paraId="2EAE4C75">
      <w:pPr>
        <w:spacing w:line="560" w:lineRule="exact"/>
        <w:ind w:firstLine="3600" w:firstLineChars="1500"/>
        <w:rPr>
          <w:rFonts w:ascii="宋体" w:hAnsi="宋体" w:eastAsia="宋体" w:cs="@仿宋_GB2312"/>
          <w:sz w:val="24"/>
          <w:szCs w:val="20"/>
        </w:rPr>
      </w:pPr>
    </w:p>
    <w:p w14:paraId="4C79773F">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14:paraId="6C10D009">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14:paraId="4DF1AE71">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二〇二五年 月 日</w:t>
      </w:r>
    </w:p>
    <w:p w14:paraId="3C7D58A6">
      <w:pPr>
        <w:spacing w:line="360" w:lineRule="auto"/>
        <w:outlineLvl w:val="1"/>
        <w:rPr>
          <w:rFonts w:ascii="宋体" w:hAnsi="宋体" w:eastAsia="宋体" w:cs="@仿宋_GB2312"/>
          <w:b/>
          <w:sz w:val="24"/>
          <w:szCs w:val="20"/>
        </w:rPr>
      </w:pPr>
    </w:p>
    <w:p w14:paraId="1D5C27DB">
      <w:pPr>
        <w:spacing w:line="360" w:lineRule="auto"/>
        <w:jc w:val="center"/>
        <w:outlineLvl w:val="1"/>
        <w:rPr>
          <w:rFonts w:ascii="宋体" w:hAnsi="宋体" w:eastAsia="宋体" w:cs="@仿宋_GB2312"/>
          <w:b/>
          <w:sz w:val="24"/>
          <w:szCs w:val="20"/>
        </w:rPr>
      </w:pPr>
    </w:p>
    <w:p w14:paraId="18F44AD5">
      <w:pPr>
        <w:spacing w:line="360" w:lineRule="auto"/>
        <w:ind w:firstLine="3855" w:firstLineChars="1600"/>
        <w:outlineLvl w:val="1"/>
        <w:rPr>
          <w:rFonts w:ascii="宋体" w:hAnsi="宋体" w:eastAsia="宋体" w:cs="@仿宋_GB2312"/>
          <w:b/>
          <w:sz w:val="24"/>
          <w:szCs w:val="20"/>
        </w:rPr>
      </w:pPr>
    </w:p>
    <w:p w14:paraId="5C9DF05F">
      <w:pPr>
        <w:spacing w:line="360" w:lineRule="auto"/>
        <w:ind w:firstLine="3855" w:firstLineChars="1600"/>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14:paraId="238BEFDC">
      <w:pPr>
        <w:snapToGrid w:val="0"/>
        <w:spacing w:line="240" w:lineRule="exact"/>
        <w:ind w:firstLine="480" w:firstLineChars="200"/>
        <w:jc w:val="left"/>
        <w:rPr>
          <w:rFonts w:ascii="宋体" w:hAnsi="宋体" w:eastAsia="宋体" w:cs="Times New Roman"/>
          <w:sz w:val="24"/>
          <w:szCs w:val="28"/>
        </w:rPr>
      </w:pPr>
    </w:p>
    <w:p w14:paraId="18F2FBFB">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66895307">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11"/>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645E2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1CF692C7">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14:paraId="5F3FB6CF">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14:paraId="6EF23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14:paraId="133172E0">
            <w:pPr>
              <w:jc w:val="center"/>
              <w:rPr>
                <w:rFonts w:ascii="宋体" w:hAnsi="宋体" w:eastAsia="宋体" w:cs="Calibri"/>
                <w:kern w:val="0"/>
                <w:sz w:val="24"/>
                <w:szCs w:val="20"/>
              </w:rPr>
            </w:pPr>
          </w:p>
        </w:tc>
        <w:tc>
          <w:tcPr>
            <w:tcW w:w="4927" w:type="dxa"/>
            <w:vAlign w:val="center"/>
          </w:tcPr>
          <w:p w14:paraId="544811A7">
            <w:pPr>
              <w:jc w:val="center"/>
              <w:rPr>
                <w:rFonts w:ascii="宋体" w:hAnsi="宋体" w:eastAsia="宋体" w:cs="Calibri"/>
                <w:kern w:val="0"/>
                <w:sz w:val="24"/>
                <w:szCs w:val="20"/>
              </w:rPr>
            </w:pPr>
          </w:p>
        </w:tc>
      </w:tr>
      <w:tr w14:paraId="52D1E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0489A313">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14:paraId="56050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75CFADD1">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14:paraId="2C53AE6C">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14:paraId="07DC6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14:paraId="7D313079">
            <w:pPr>
              <w:jc w:val="center"/>
              <w:rPr>
                <w:rFonts w:ascii="宋体" w:hAnsi="宋体" w:eastAsia="宋体" w:cs="Calibri"/>
                <w:kern w:val="0"/>
                <w:sz w:val="24"/>
                <w:szCs w:val="20"/>
              </w:rPr>
            </w:pPr>
          </w:p>
        </w:tc>
        <w:tc>
          <w:tcPr>
            <w:tcW w:w="4927" w:type="dxa"/>
            <w:vAlign w:val="center"/>
          </w:tcPr>
          <w:p w14:paraId="460024BC">
            <w:pPr>
              <w:jc w:val="center"/>
              <w:rPr>
                <w:rFonts w:ascii="宋体" w:hAnsi="宋体" w:eastAsia="宋体" w:cs="Calibri"/>
                <w:kern w:val="0"/>
                <w:sz w:val="24"/>
                <w:szCs w:val="20"/>
              </w:rPr>
            </w:pPr>
          </w:p>
        </w:tc>
      </w:tr>
      <w:tr w14:paraId="0D8F7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679C4E90">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14:paraId="00EB8B48">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14:paraId="555A0101">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5B332D21">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二〇二五年  月  日</w:t>
      </w:r>
    </w:p>
    <w:p w14:paraId="773C6530">
      <w:pPr>
        <w:jc w:val="center"/>
        <w:rPr>
          <w:rFonts w:ascii="宋体" w:hAnsi="宋体" w:eastAsia="宋体" w:cs="@仿宋_GB2312"/>
          <w:b/>
          <w:kern w:val="0"/>
          <w:sz w:val="24"/>
          <w:szCs w:val="20"/>
        </w:rPr>
      </w:pPr>
    </w:p>
    <w:p w14:paraId="70554F62">
      <w:pPr>
        <w:jc w:val="center"/>
        <w:rPr>
          <w:rFonts w:ascii="宋体" w:hAnsi="宋体" w:eastAsia="宋体" w:cs="@仿宋_GB2312"/>
          <w:b/>
          <w:kern w:val="0"/>
          <w:sz w:val="24"/>
          <w:szCs w:val="20"/>
        </w:rPr>
      </w:pPr>
    </w:p>
    <w:p w14:paraId="11941266">
      <w:pPr>
        <w:jc w:val="center"/>
        <w:rPr>
          <w:rFonts w:ascii="宋体" w:hAnsi="宋体" w:eastAsia="宋体" w:cs="@仿宋_GB2312"/>
          <w:b/>
          <w:kern w:val="0"/>
          <w:sz w:val="24"/>
          <w:szCs w:val="20"/>
        </w:rPr>
      </w:pPr>
    </w:p>
    <w:p w14:paraId="0A9407DB">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14:paraId="671BCE21">
      <w:pPr>
        <w:ind w:firstLine="105"/>
        <w:rPr>
          <w:rFonts w:ascii="宋体" w:hAnsi="宋体" w:eastAsia="宋体" w:cs="@仿宋_GB2312"/>
          <w:szCs w:val="20"/>
        </w:rPr>
      </w:pPr>
    </w:p>
    <w:p w14:paraId="69570801">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14:paraId="469868BD">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14:paraId="4F79F337">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14F180FB">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7A1A4709">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38D9E525">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14:paraId="434F3188">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14:paraId="1750E8F3">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14:paraId="45FBCD1F">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14:paraId="3481822F">
      <w:pPr>
        <w:spacing w:line="720" w:lineRule="exact"/>
        <w:rPr>
          <w:rFonts w:ascii="宋体" w:hAnsi="宋体" w:eastAsia="宋体" w:cs="@仿宋_GB2312"/>
          <w:sz w:val="24"/>
          <w:szCs w:val="20"/>
        </w:rPr>
      </w:pPr>
    </w:p>
    <w:p w14:paraId="1FE6DF2A">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2CC58104">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二〇二五年 月 日</w:t>
      </w:r>
    </w:p>
    <w:p w14:paraId="72F12004">
      <w:pPr>
        <w:spacing w:line="720" w:lineRule="exact"/>
        <w:rPr>
          <w:rFonts w:ascii="宋体" w:hAnsi="宋体" w:eastAsia="宋体" w:cs="@仿宋_GB2312"/>
          <w:kern w:val="0"/>
          <w:sz w:val="24"/>
          <w:szCs w:val="20"/>
        </w:rPr>
      </w:pPr>
    </w:p>
    <w:p w14:paraId="4504B1E2">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14:paraId="60396517">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14:paraId="0DD48635">
      <w:pPr>
        <w:widowControl/>
        <w:shd w:val="clear" w:color="auto" w:fill="FFFFFF"/>
        <w:spacing w:line="480" w:lineRule="atLeast"/>
        <w:ind w:firstLine="105"/>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14:paraId="1128909D">
      <w:pPr>
        <w:jc w:val="center"/>
        <w:rPr>
          <w:rFonts w:ascii="宋体" w:hAnsi="宋体" w:eastAsia="宋体" w:cs="@仿宋_GB2312"/>
          <w:kern w:val="0"/>
          <w:sz w:val="24"/>
          <w:szCs w:val="20"/>
        </w:rPr>
      </w:pPr>
    </w:p>
    <w:bookmarkEnd w:id="10"/>
    <w:p w14:paraId="5D97F527">
      <w:pPr>
        <w:spacing w:line="360" w:lineRule="auto"/>
        <w:jc w:val="center"/>
        <w:outlineLvl w:val="1"/>
        <w:rPr>
          <w:rFonts w:ascii="宋体" w:hAnsi="宋体" w:eastAsia="宋体" w:cs="@仿宋_GB2312"/>
          <w:b/>
          <w:sz w:val="24"/>
          <w:szCs w:val="20"/>
        </w:rPr>
      </w:pPr>
    </w:p>
    <w:p w14:paraId="2506DA37">
      <w:pPr>
        <w:spacing w:line="360" w:lineRule="auto"/>
        <w:jc w:val="center"/>
        <w:outlineLvl w:val="1"/>
        <w:rPr>
          <w:rFonts w:ascii="宋体" w:hAnsi="宋体" w:eastAsia="宋体" w:cs="@仿宋_GB2312"/>
          <w:b/>
          <w:sz w:val="24"/>
          <w:szCs w:val="20"/>
        </w:rPr>
      </w:pPr>
    </w:p>
    <w:p w14:paraId="49C6E2C4">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14:paraId="0D5D8A63">
      <w:pPr>
        <w:spacing w:line="440" w:lineRule="exact"/>
        <w:ind w:firstLine="120"/>
        <w:rPr>
          <w:rFonts w:ascii="宋体" w:hAnsi="宋体" w:eastAsia="宋体" w:cs="@仿宋_GB2312"/>
          <w:sz w:val="24"/>
        </w:rPr>
      </w:pPr>
    </w:p>
    <w:p w14:paraId="4DC0947D">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14:paraId="0F1299DC">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14:paraId="4D93CA35">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14:paraId="3DC2DCDC">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14:paraId="3A1B3594">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14:paraId="6EBEC3AD">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14:paraId="232B658E">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14:paraId="5B06EB70">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14:paraId="225A51F0">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14:paraId="13582613">
      <w:pPr>
        <w:widowControl/>
        <w:spacing w:line="600" w:lineRule="exact"/>
        <w:ind w:left="482"/>
        <w:jc w:val="left"/>
        <w:rPr>
          <w:rFonts w:ascii="宋体" w:hAnsi="宋体" w:eastAsia="宋体" w:cs="宋体"/>
          <w:b/>
          <w:kern w:val="0"/>
          <w:sz w:val="24"/>
          <w:szCs w:val="20"/>
        </w:rPr>
      </w:pPr>
    </w:p>
    <w:p w14:paraId="5911BD64">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35D6E838">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二〇二五年  月  日</w:t>
      </w:r>
    </w:p>
    <w:p w14:paraId="23342720">
      <w:pPr>
        <w:widowControl/>
        <w:jc w:val="left"/>
        <w:rPr>
          <w:rFonts w:ascii="宋体" w:hAnsi="宋体" w:eastAsia="宋体"/>
          <w:b/>
          <w:sz w:val="24"/>
        </w:rPr>
        <w:sectPr>
          <w:pgSz w:w="11906" w:h="16838"/>
          <w:pgMar w:top="1134" w:right="1134" w:bottom="1134" w:left="1134" w:header="851" w:footer="992" w:gutter="0"/>
          <w:cols w:space="0" w:num="1"/>
          <w:docGrid w:type="lines" w:linePitch="321" w:charSpace="0"/>
        </w:sectPr>
      </w:pPr>
    </w:p>
    <w:p w14:paraId="7B63F143">
      <w:pPr>
        <w:ind w:firstLine="105"/>
        <w:rPr>
          <w:rFonts w:ascii="@仿宋_GB2312" w:hAnsi="@仿宋_GB2312" w:eastAsia="@仿宋_GB2312" w:cs="@仿宋_GB2312"/>
          <w:szCs w:val="20"/>
        </w:rPr>
      </w:pPr>
    </w:p>
    <w:p w14:paraId="08B855CB">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14:paraId="1325B02E">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650FDBB6">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14:paraId="51F3B63E">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14:paraId="5DF4A254">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14:paraId="5335DDDF">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14:paraId="624F8CB0">
      <w:pPr>
        <w:spacing w:line="800" w:lineRule="exact"/>
        <w:jc w:val="left"/>
        <w:rPr>
          <w:rFonts w:ascii="宋体" w:hAnsi="宋体" w:eastAsia="宋体" w:cs="@仿宋_GB2312"/>
          <w:sz w:val="24"/>
          <w:szCs w:val="20"/>
        </w:rPr>
      </w:pPr>
    </w:p>
    <w:p w14:paraId="75431257">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14:paraId="4A63B82B">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30FEFDCE">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14:paraId="6213A384">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14:paraId="5EC0E6E1">
      <w:pPr>
        <w:widowControl/>
        <w:spacing w:line="800" w:lineRule="exact"/>
        <w:ind w:firstLine="480" w:firstLineChars="200"/>
        <w:jc w:val="left"/>
        <w:rPr>
          <w:rFonts w:ascii="宋体" w:hAnsi="宋体" w:eastAsia="宋体" w:cs="宋体"/>
          <w:b/>
          <w:kern w:val="0"/>
          <w:sz w:val="24"/>
          <w:szCs w:val="20"/>
        </w:rPr>
      </w:pPr>
      <w:r>
        <w:rPr>
          <w:rFonts w:hint="eastAsia" w:ascii="宋体" w:hAnsi="宋体" w:eastAsia="宋体" w:cs="宋体"/>
          <w:kern w:val="0"/>
          <w:sz w:val="24"/>
          <w:szCs w:val="20"/>
        </w:rPr>
        <w:t>3.需要说明的其它情况（如有）。</w:t>
      </w:r>
    </w:p>
    <w:p w14:paraId="5D48E1D9">
      <w:pPr>
        <w:spacing w:line="360" w:lineRule="auto"/>
        <w:jc w:val="center"/>
        <w:outlineLvl w:val="1"/>
        <w:rPr>
          <w:rFonts w:ascii="宋体" w:hAnsi="宋体" w:eastAsia="宋体" w:cs="@仿宋_GB2312"/>
          <w:b/>
          <w:sz w:val="24"/>
          <w:szCs w:val="20"/>
        </w:rPr>
      </w:pPr>
    </w:p>
    <w:p w14:paraId="09E7E116">
      <w:pPr>
        <w:spacing w:line="360" w:lineRule="auto"/>
        <w:jc w:val="center"/>
        <w:outlineLvl w:val="1"/>
        <w:rPr>
          <w:rFonts w:ascii="宋体" w:hAnsi="宋体" w:eastAsia="宋体" w:cs="@仿宋_GB2312"/>
          <w:b/>
          <w:sz w:val="24"/>
          <w:szCs w:val="20"/>
        </w:rPr>
      </w:pPr>
    </w:p>
    <w:p w14:paraId="0A492DC3">
      <w:pPr>
        <w:spacing w:line="360" w:lineRule="auto"/>
        <w:jc w:val="center"/>
        <w:outlineLvl w:val="1"/>
        <w:rPr>
          <w:rFonts w:ascii="宋体" w:hAnsi="宋体" w:eastAsia="宋体" w:cs="@仿宋_GB2312"/>
          <w:b/>
          <w:sz w:val="24"/>
          <w:szCs w:val="20"/>
        </w:rPr>
      </w:pPr>
    </w:p>
    <w:p w14:paraId="62976879">
      <w:pPr>
        <w:spacing w:line="360" w:lineRule="auto"/>
        <w:jc w:val="center"/>
        <w:outlineLvl w:val="1"/>
        <w:rPr>
          <w:rFonts w:ascii="宋体" w:hAnsi="宋体" w:eastAsia="宋体" w:cs="@仿宋_GB2312"/>
          <w:b/>
          <w:sz w:val="24"/>
          <w:szCs w:val="20"/>
        </w:rPr>
      </w:pPr>
    </w:p>
    <w:p w14:paraId="483E9EB7">
      <w:pPr>
        <w:spacing w:line="360" w:lineRule="auto"/>
        <w:jc w:val="center"/>
        <w:outlineLvl w:val="1"/>
        <w:rPr>
          <w:rFonts w:ascii="宋体" w:hAnsi="宋体" w:eastAsia="宋体" w:cs="@仿宋_GB2312"/>
          <w:b/>
          <w:sz w:val="24"/>
          <w:szCs w:val="20"/>
        </w:rPr>
      </w:pPr>
    </w:p>
    <w:p w14:paraId="453FE12B">
      <w:pPr>
        <w:spacing w:line="360" w:lineRule="auto"/>
        <w:jc w:val="center"/>
        <w:outlineLvl w:val="1"/>
        <w:rPr>
          <w:rFonts w:ascii="宋体" w:hAnsi="宋体" w:eastAsia="宋体" w:cs="@仿宋_GB2312"/>
          <w:b/>
          <w:sz w:val="24"/>
          <w:szCs w:val="20"/>
        </w:rPr>
      </w:pPr>
    </w:p>
    <w:p w14:paraId="7FD15A0D">
      <w:pPr>
        <w:spacing w:line="360" w:lineRule="auto"/>
        <w:jc w:val="center"/>
        <w:outlineLvl w:val="1"/>
        <w:rPr>
          <w:rFonts w:ascii="宋体" w:hAnsi="宋体" w:eastAsia="宋体" w:cs="@仿宋_GB2312"/>
          <w:b/>
          <w:sz w:val="24"/>
          <w:szCs w:val="20"/>
        </w:rPr>
      </w:pPr>
    </w:p>
    <w:p w14:paraId="2AE5F559">
      <w:pPr>
        <w:spacing w:line="360" w:lineRule="auto"/>
        <w:jc w:val="center"/>
        <w:outlineLvl w:val="1"/>
        <w:rPr>
          <w:rFonts w:ascii="宋体" w:hAnsi="宋体" w:eastAsia="宋体" w:cs="@仿宋_GB2312"/>
          <w:b/>
          <w:sz w:val="24"/>
          <w:szCs w:val="20"/>
        </w:rPr>
      </w:pPr>
    </w:p>
    <w:p w14:paraId="0D4D3D64">
      <w:pPr>
        <w:spacing w:line="360" w:lineRule="auto"/>
        <w:jc w:val="center"/>
        <w:outlineLvl w:val="1"/>
        <w:rPr>
          <w:rFonts w:ascii="宋体" w:hAnsi="宋体" w:eastAsia="宋体" w:cs="@仿宋_GB2312"/>
          <w:b/>
          <w:sz w:val="24"/>
          <w:szCs w:val="20"/>
        </w:rPr>
      </w:pPr>
    </w:p>
    <w:p w14:paraId="4A6CB331">
      <w:pPr>
        <w:keepNext/>
        <w:keepLines/>
        <w:spacing w:before="260" w:after="260" w:line="40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14:paraId="01F25F1F">
      <w:pPr>
        <w:keepNext/>
        <w:keepLines/>
        <w:spacing w:before="260" w:after="260" w:line="416" w:lineRule="auto"/>
        <w:ind w:firstLine="158"/>
        <w:outlineLvl w:val="2"/>
        <w:rPr>
          <w:rFonts w:ascii="@仿宋_GB2312" w:hAnsi="@仿宋_GB2312" w:eastAsia="@仿宋_GB2312" w:cs="@仿宋_GB2312"/>
          <w:b/>
          <w:bCs/>
          <w:sz w:val="32"/>
          <w:szCs w:val="32"/>
        </w:rPr>
      </w:pPr>
    </w:p>
    <w:p w14:paraId="49234508">
      <w:pPr>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合肥百货大楼集团商业大厦有限责任公司</w:t>
      </w:r>
    </w:p>
    <w:p w14:paraId="3A03D73F">
      <w:pPr>
        <w:pStyle w:val="4"/>
        <w:spacing w:line="560" w:lineRule="exact"/>
        <w:rPr>
          <w:rFonts w:cs="宋体" w:asciiTheme="majorEastAsia" w:hAnsiTheme="majorEastAsia" w:eastAsiaTheme="majorEastAsia"/>
          <w:b/>
          <w:color w:val="000000" w:themeColor="text1"/>
          <w:kern w:val="0"/>
          <w:sz w:val="40"/>
          <w:szCs w:val="40"/>
        </w:rPr>
      </w:pPr>
    </w:p>
    <w:p w14:paraId="34951A5C">
      <w:pPr>
        <w:pStyle w:val="4"/>
        <w:spacing w:line="560" w:lineRule="exact"/>
        <w:ind w:firstLine="3357" w:firstLineChars="836"/>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配套电缆敷设工程</w:t>
      </w:r>
    </w:p>
    <w:p w14:paraId="2EF175DC">
      <w:pPr>
        <w:ind w:firstLine="201"/>
        <w:jc w:val="center"/>
        <w:rPr>
          <w:rFonts w:cs="宋体" w:asciiTheme="majorEastAsia" w:hAnsiTheme="majorEastAsia" w:eastAsiaTheme="majorEastAsia"/>
          <w:b/>
          <w:color w:val="000000" w:themeColor="text1"/>
          <w:kern w:val="0"/>
          <w:sz w:val="40"/>
          <w:szCs w:val="40"/>
        </w:rPr>
      </w:pPr>
    </w:p>
    <w:p w14:paraId="6F8C0FA4">
      <w:pPr>
        <w:ind w:firstLine="201"/>
        <w:jc w:val="center"/>
        <w:rPr>
          <w:rFonts w:cs="宋体" w:asciiTheme="majorEastAsia" w:hAnsiTheme="majorEastAsia" w:eastAsiaTheme="majorEastAsia"/>
          <w:b/>
          <w:color w:val="000000" w:themeColor="text1"/>
          <w:kern w:val="0"/>
          <w:sz w:val="40"/>
          <w:szCs w:val="40"/>
        </w:rPr>
      </w:pPr>
    </w:p>
    <w:p w14:paraId="69CB779E">
      <w:pPr>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14:paraId="1D4F3FE0">
      <w:pPr>
        <w:keepNext/>
        <w:keepLines/>
        <w:spacing w:before="260" w:after="260" w:line="416" w:lineRule="auto"/>
        <w:ind w:firstLine="158"/>
        <w:outlineLvl w:val="2"/>
        <w:rPr>
          <w:rFonts w:ascii="@仿宋_GB2312" w:hAnsi="@仿宋_GB2312" w:eastAsia="@仿宋_GB2312" w:cs="@仿宋_GB2312"/>
          <w:b/>
          <w:bCs/>
          <w:sz w:val="32"/>
          <w:szCs w:val="32"/>
        </w:rPr>
      </w:pPr>
    </w:p>
    <w:p w14:paraId="6C53F3DA">
      <w:pPr>
        <w:ind w:firstLine="105"/>
        <w:rPr>
          <w:rFonts w:ascii="@仿宋_GB2312" w:hAnsi="@仿宋_GB2312" w:eastAsia="@仿宋_GB2312" w:cs="@仿宋_GB2312"/>
          <w:szCs w:val="20"/>
        </w:rPr>
      </w:pPr>
    </w:p>
    <w:p w14:paraId="184717DF">
      <w:pPr>
        <w:spacing w:line="760" w:lineRule="exact"/>
        <w:ind w:firstLine="361"/>
        <w:jc w:val="center"/>
        <w:outlineLvl w:val="2"/>
        <w:rPr>
          <w:rFonts w:ascii="宋体" w:hAnsi="宋体" w:eastAsia="宋体" w:cs="@仿宋_GB2312"/>
          <w:b/>
          <w:sz w:val="72"/>
          <w:szCs w:val="20"/>
        </w:rPr>
      </w:pPr>
    </w:p>
    <w:p w14:paraId="716886F4">
      <w:pPr>
        <w:spacing w:line="760" w:lineRule="exact"/>
        <w:ind w:firstLine="361"/>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390215B1">
      <w:pPr>
        <w:keepNext/>
        <w:keepLines/>
        <w:spacing w:before="260" w:after="260" w:line="416" w:lineRule="auto"/>
        <w:ind w:firstLine="158"/>
        <w:outlineLvl w:val="2"/>
        <w:rPr>
          <w:rFonts w:ascii="@仿宋_GB2312" w:hAnsi="@仿宋_GB2312" w:eastAsia="@仿宋_GB2312" w:cs="@仿宋_GB2312"/>
          <w:b/>
          <w:bCs/>
          <w:sz w:val="32"/>
          <w:szCs w:val="32"/>
        </w:rPr>
      </w:pPr>
    </w:p>
    <w:p w14:paraId="048AC172">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14:paraId="254A4706">
      <w:pPr>
        <w:spacing w:afterLines="50" w:line="500" w:lineRule="exact"/>
        <w:ind w:firstLine="161"/>
        <w:jc w:val="center"/>
        <w:rPr>
          <w:rFonts w:ascii="宋体" w:hAnsi="宋体" w:eastAsia="宋体" w:cs="@仿宋_GB2312"/>
          <w:b/>
          <w:sz w:val="32"/>
          <w:szCs w:val="32"/>
        </w:rPr>
      </w:pPr>
    </w:p>
    <w:p w14:paraId="25D2142C">
      <w:pPr>
        <w:spacing w:afterLines="50" w:line="500" w:lineRule="exact"/>
        <w:ind w:firstLine="361"/>
        <w:jc w:val="center"/>
        <w:rPr>
          <w:rFonts w:ascii="宋体" w:hAnsi="宋体" w:eastAsia="宋体" w:cs="@仿宋_GB2312"/>
          <w:b/>
          <w:sz w:val="72"/>
          <w:szCs w:val="20"/>
        </w:rPr>
      </w:pPr>
    </w:p>
    <w:p w14:paraId="0A79DF63">
      <w:pPr>
        <w:spacing w:afterLines="50" w:line="500" w:lineRule="exact"/>
        <w:ind w:firstLine="161"/>
        <w:rPr>
          <w:rFonts w:ascii="宋体" w:hAnsi="宋体" w:eastAsia="宋体" w:cs="@仿宋_GB2312"/>
          <w:b/>
          <w:sz w:val="32"/>
          <w:szCs w:val="20"/>
        </w:rPr>
      </w:pPr>
    </w:p>
    <w:p w14:paraId="367EADB8">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14:paraId="7B90CB53">
      <w:pPr>
        <w:spacing w:afterLines="50" w:line="500" w:lineRule="exact"/>
        <w:ind w:firstLine="161"/>
        <w:jc w:val="center"/>
        <w:outlineLvl w:val="1"/>
        <w:rPr>
          <w:rFonts w:ascii="宋体" w:hAnsi="宋体" w:eastAsia="宋体" w:cs="@仿宋_GB2312"/>
          <w:b/>
          <w:sz w:val="32"/>
          <w:szCs w:val="20"/>
        </w:rPr>
      </w:pPr>
      <w:r>
        <w:rPr>
          <w:rFonts w:hint="eastAsia" w:ascii="宋体" w:hAnsi="宋体" w:eastAsia="宋体" w:cs="@仿宋_GB2312"/>
          <w:b/>
          <w:sz w:val="32"/>
          <w:szCs w:val="20"/>
        </w:rPr>
        <w:t xml:space="preserve">  2025年  月  日</w:t>
      </w:r>
    </w:p>
    <w:p w14:paraId="581565EB">
      <w:pPr>
        <w:spacing w:line="360" w:lineRule="auto"/>
        <w:jc w:val="center"/>
        <w:outlineLvl w:val="1"/>
        <w:rPr>
          <w:rFonts w:ascii="宋体" w:hAnsi="宋体" w:eastAsia="宋体" w:cs="宋体"/>
          <w:b/>
          <w:kern w:val="0"/>
          <w:sz w:val="24"/>
          <w:szCs w:val="20"/>
        </w:rPr>
      </w:pPr>
    </w:p>
    <w:p w14:paraId="408B4234">
      <w:pPr>
        <w:spacing w:line="360" w:lineRule="auto"/>
        <w:ind w:firstLine="3778" w:firstLineChars="1568"/>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14:paraId="246085D3">
      <w:pPr>
        <w:spacing w:line="360" w:lineRule="auto"/>
        <w:jc w:val="center"/>
        <w:outlineLvl w:val="1"/>
        <w:rPr>
          <w:rFonts w:ascii="宋体" w:hAnsi="宋体" w:eastAsia="宋体" w:cs="@仿宋_GB2312"/>
          <w:b/>
          <w:sz w:val="24"/>
          <w:szCs w:val="20"/>
          <w:u w:val="singl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3450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2A81DC5E">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2F02EAED">
            <w:pPr>
              <w:pStyle w:val="4"/>
              <w:spacing w:line="560" w:lineRule="exact"/>
              <w:ind w:firstLine="1440" w:firstLineChars="600"/>
              <w:rPr>
                <w:rFonts w:hAnsi="宋体" w:cs="宋体"/>
                <w:sz w:val="24"/>
                <w:szCs w:val="24"/>
              </w:rPr>
            </w:pPr>
            <w:r>
              <w:rPr>
                <w:rFonts w:hint="eastAsia" w:hAnsi="宋体" w:cs="宋体"/>
                <w:sz w:val="24"/>
                <w:szCs w:val="24"/>
              </w:rPr>
              <w:t>百大商业大厦配套电缆敷设工程</w:t>
            </w:r>
          </w:p>
        </w:tc>
      </w:tr>
      <w:tr w14:paraId="792D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76FD2666">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06FFAF67">
            <w:pPr>
              <w:pStyle w:val="4"/>
              <w:spacing w:line="560" w:lineRule="exact"/>
              <w:ind w:firstLine="2400" w:firstLineChars="1000"/>
              <w:rPr>
                <w:rFonts w:cs="宋体" w:asciiTheme="majorEastAsia" w:hAnsiTheme="majorEastAsia" w:eastAsiaTheme="majorEastAsia"/>
                <w:kern w:val="0"/>
                <w:sz w:val="24"/>
              </w:rPr>
            </w:pPr>
            <w:r>
              <w:rPr>
                <w:rFonts w:hint="eastAsia" w:hAnsi="宋体" w:cs="宋体"/>
                <w:sz w:val="24"/>
                <w:szCs w:val="24"/>
              </w:rPr>
              <w:t>2025BDJTGC00046</w:t>
            </w:r>
          </w:p>
        </w:tc>
      </w:tr>
      <w:tr w14:paraId="7F42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41F15A0F">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49B1F32E">
            <w:pPr>
              <w:widowControl/>
              <w:tabs>
                <w:tab w:val="left" w:pos="420"/>
              </w:tabs>
              <w:spacing w:line="500" w:lineRule="exact"/>
              <w:jc w:val="center"/>
              <w:rPr>
                <w:rFonts w:cs="宋体" w:asciiTheme="majorEastAsia" w:hAnsiTheme="majorEastAsia" w:eastAsiaTheme="majorEastAsia"/>
                <w:b/>
                <w:kern w:val="0"/>
                <w:sz w:val="24"/>
              </w:rPr>
            </w:pPr>
            <w:bookmarkStart w:id="14" w:name="_GoBack"/>
            <w:bookmarkEnd w:id="14"/>
          </w:p>
        </w:tc>
      </w:tr>
      <w:tr w14:paraId="1A5D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10BBF0EE">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6B1A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DEB54D1">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31A6ECD0">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14:paraId="1BA72530">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5D46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92D245F">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15EC46DD">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14:paraId="6E31FD9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240C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22EDDAC8">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3C9407FD">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602DE196">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222B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1148CD47">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4FFB33F5">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407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1F9F8F3C">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0F21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14:paraId="66B395FB">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14:paraId="3EFE9160">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（含9%增值税专用发票）</w:t>
            </w:r>
          </w:p>
        </w:tc>
        <w:tc>
          <w:tcPr>
            <w:tcW w:w="6773" w:type="dxa"/>
            <w:tcBorders>
              <w:top w:val="single" w:color="auto" w:sz="4" w:space="0"/>
              <w:left w:val="single" w:color="auto" w:sz="4" w:space="0"/>
              <w:right w:val="single" w:color="auto" w:sz="4" w:space="0"/>
            </w:tcBorders>
            <w:vAlign w:val="center"/>
          </w:tcPr>
          <w:p w14:paraId="0471CFF6">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14:paraId="42C0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5DC6043B">
            <w:pPr>
              <w:widowControl/>
              <w:spacing w:line="520" w:lineRule="exact"/>
              <w:rPr>
                <w:rFonts w:hint="eastAsia"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ascii="宋体" w:hAnsi="宋体" w:cs="宋体"/>
                <w:sz w:val="24"/>
                <w:u w:val="single"/>
              </w:rPr>
              <w:t>58895.68</w:t>
            </w:r>
            <w:r>
              <w:rPr>
                <w:rFonts w:hint="eastAsia" w:ascii="宋体"/>
                <w:b/>
                <w:color w:val="000000"/>
                <w:sz w:val="24"/>
                <w:u w:val="single"/>
              </w:rPr>
              <w:t>元</w:t>
            </w:r>
            <w:r>
              <w:rPr>
                <w:rFonts w:hint="eastAsia" w:ascii="宋体" w:hAnsi="Calibri" w:eastAsia="宋体" w:cs="Times New Roman"/>
                <w:b/>
                <w:color w:val="000000"/>
                <w:sz w:val="24"/>
              </w:rPr>
              <w:t>），否则视为无效报价；</w:t>
            </w:r>
          </w:p>
          <w:p w14:paraId="1A1BE9C7">
            <w:pPr>
              <w:widowControl/>
              <w:spacing w:line="520" w:lineRule="exact"/>
              <w:ind w:firstLine="482" w:firstLineChars="200"/>
              <w:rPr>
                <w:rFonts w:hint="eastAsia" w:ascii="宋体" w:hAnsi="Calibri" w:eastAsia="宋体" w:cs="Times New Roman"/>
                <w:b/>
                <w:color w:val="000000"/>
                <w:sz w:val="24"/>
              </w:rPr>
            </w:pPr>
            <w:r>
              <w:rPr>
                <w:rFonts w:hint="eastAsia" w:ascii="宋体" w:hAnsi="Calibri" w:eastAsia="宋体" w:cs="Times New Roman"/>
                <w:b/>
                <w:color w:val="000000"/>
                <w:sz w:val="24"/>
              </w:rPr>
              <w:t>2.本项目需提供增值税专用发票，发票税率须填写在上表中。</w:t>
            </w:r>
          </w:p>
        </w:tc>
      </w:tr>
    </w:tbl>
    <w:p w14:paraId="7B994A9B">
      <w:pPr>
        <w:widowControl/>
        <w:spacing w:line="800" w:lineRule="exact"/>
        <w:jc w:val="left"/>
        <w:rPr>
          <w:rFonts w:cs="宋体" w:asciiTheme="majorEastAsia" w:hAnsiTheme="majorEastAsia" w:eastAsiaTheme="majorEastAsia"/>
          <w:b/>
          <w:kern w:val="0"/>
          <w:sz w:val="24"/>
        </w:rPr>
      </w:pPr>
    </w:p>
    <w:p w14:paraId="2529A19A">
      <w:pPr>
        <w:widowControl/>
        <w:spacing w:line="800" w:lineRule="exact"/>
        <w:ind w:firstLine="5783" w:firstLineChars="24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报价人（盖章）：                       </w:t>
      </w:r>
    </w:p>
    <w:p w14:paraId="639295AC">
      <w:pPr>
        <w:widowControl/>
        <w:spacing w:line="800" w:lineRule="exact"/>
        <w:ind w:firstLine="7710" w:firstLineChars="3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2025年  月  日</w:t>
      </w:r>
    </w:p>
    <w:p w14:paraId="6D260994">
      <w:pPr>
        <w:spacing w:line="440" w:lineRule="exact"/>
        <w:rPr>
          <w:rFonts w:cs="宋体" w:asciiTheme="majorEastAsia" w:hAnsiTheme="majorEastAsia" w:eastAsiaTheme="majorEastAsia"/>
          <w:sz w:val="24"/>
        </w:rPr>
      </w:pPr>
    </w:p>
    <w:p w14:paraId="727E19A3">
      <w:pPr>
        <w:spacing w:beforeLines="50" w:afterLines="50" w:line="240" w:lineRule="exact"/>
        <w:jc w:val="center"/>
        <w:outlineLvl w:val="2"/>
        <w:rPr>
          <w:rFonts w:ascii="宋体" w:hAnsi="宋体" w:eastAsia="宋体" w:cs="@仿宋_GB2312"/>
          <w:b/>
          <w:sz w:val="24"/>
          <w:szCs w:val="28"/>
        </w:rPr>
      </w:pPr>
    </w:p>
    <w:p w14:paraId="1F797B91">
      <w:pPr>
        <w:spacing w:beforeLines="50" w:afterLines="50" w:line="240" w:lineRule="exact"/>
        <w:jc w:val="center"/>
        <w:outlineLvl w:val="2"/>
        <w:rPr>
          <w:rFonts w:ascii="宋体" w:hAnsi="宋体" w:eastAsia="宋体" w:cs="@仿宋_GB2312"/>
          <w:b/>
          <w:sz w:val="24"/>
          <w:szCs w:val="28"/>
        </w:rPr>
      </w:pPr>
    </w:p>
    <w:p w14:paraId="071BD783">
      <w:pPr>
        <w:spacing w:beforeLines="50" w:afterLines="50" w:line="240" w:lineRule="exact"/>
        <w:jc w:val="center"/>
        <w:outlineLvl w:val="2"/>
        <w:rPr>
          <w:rFonts w:ascii="宋体" w:hAnsi="宋体" w:eastAsia="宋体" w:cs="@仿宋_GB2312"/>
          <w:b/>
          <w:sz w:val="24"/>
          <w:szCs w:val="28"/>
        </w:rPr>
      </w:pPr>
    </w:p>
    <w:p w14:paraId="67AD6A9E">
      <w:pPr>
        <w:spacing w:beforeLines="50" w:afterLines="50" w:line="240" w:lineRule="exact"/>
        <w:jc w:val="center"/>
        <w:outlineLvl w:val="2"/>
        <w:rPr>
          <w:rFonts w:ascii="宋体" w:hAnsi="宋体" w:eastAsia="宋体" w:cs="@仿宋_GB2312"/>
          <w:b/>
          <w:sz w:val="24"/>
          <w:szCs w:val="28"/>
        </w:rPr>
      </w:pPr>
    </w:p>
    <w:p w14:paraId="536F73A8">
      <w:pPr>
        <w:spacing w:beforeLines="50" w:afterLines="50" w:line="360" w:lineRule="auto"/>
        <w:ind w:firstLine="3855" w:firstLineChars="1600"/>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11"/>
        <w:tblW w:w="5000" w:type="pct"/>
        <w:tblInd w:w="0" w:type="dxa"/>
        <w:tblLayout w:type="fixed"/>
        <w:tblCellMar>
          <w:top w:w="0" w:type="dxa"/>
          <w:left w:w="108" w:type="dxa"/>
          <w:bottom w:w="0" w:type="dxa"/>
          <w:right w:w="108" w:type="dxa"/>
        </w:tblCellMar>
      </w:tblPr>
      <w:tblGrid>
        <w:gridCol w:w="633"/>
        <w:gridCol w:w="1320"/>
        <w:gridCol w:w="2692"/>
        <w:gridCol w:w="993"/>
        <w:gridCol w:w="1419"/>
        <w:gridCol w:w="1415"/>
        <w:gridCol w:w="1382"/>
      </w:tblGrid>
      <w:tr w14:paraId="565D8DE8">
        <w:tblPrEx>
          <w:tblCellMar>
            <w:top w:w="0" w:type="dxa"/>
            <w:left w:w="108" w:type="dxa"/>
            <w:bottom w:w="0" w:type="dxa"/>
            <w:right w:w="108" w:type="dxa"/>
          </w:tblCellMar>
        </w:tblPrEx>
        <w:trPr>
          <w:trHeight w:val="778" w:hRule="atLeast"/>
        </w:trPr>
        <w:tc>
          <w:tcPr>
            <w:tcW w:w="321" w:type="pct"/>
            <w:vMerge w:val="restart"/>
            <w:tcBorders>
              <w:top w:val="single" w:color="auto" w:sz="4" w:space="0"/>
              <w:left w:val="single" w:color="auto" w:sz="4" w:space="0"/>
              <w:right w:val="single" w:color="auto" w:sz="4" w:space="0"/>
            </w:tcBorders>
            <w:shd w:val="clear" w:color="auto" w:fill="auto"/>
            <w:noWrap/>
            <w:vAlign w:val="center"/>
          </w:tcPr>
          <w:p w14:paraId="4828AC8C">
            <w:pPr>
              <w:widowControl/>
              <w:jc w:val="center"/>
              <w:rPr>
                <w:rFonts w:ascii="宋体" w:hAnsi="宋体" w:cs="Tahoma"/>
                <w:color w:val="000000"/>
                <w:kern w:val="0"/>
                <w:sz w:val="22"/>
              </w:rPr>
            </w:pPr>
            <w:bookmarkStart w:id="12" w:name="_Hlk65652864"/>
            <w:r>
              <w:rPr>
                <w:rFonts w:hint="eastAsia" w:ascii="宋体" w:hAnsi="宋体" w:cs="Tahoma"/>
                <w:color w:val="000000"/>
                <w:kern w:val="0"/>
                <w:sz w:val="22"/>
              </w:rPr>
              <w:t>序号</w:t>
            </w:r>
          </w:p>
        </w:tc>
        <w:tc>
          <w:tcPr>
            <w:tcW w:w="670" w:type="pct"/>
            <w:vMerge w:val="restart"/>
            <w:tcBorders>
              <w:top w:val="single" w:color="auto" w:sz="4" w:space="0"/>
              <w:left w:val="nil"/>
              <w:right w:val="single" w:color="auto" w:sz="4" w:space="0"/>
            </w:tcBorders>
            <w:shd w:val="clear" w:color="auto" w:fill="auto"/>
            <w:vAlign w:val="center"/>
          </w:tcPr>
          <w:p w14:paraId="10009BA0">
            <w:pPr>
              <w:widowControl/>
              <w:jc w:val="center"/>
              <w:rPr>
                <w:rFonts w:ascii="宋体" w:hAnsi="宋体" w:cs="Tahoma"/>
                <w:color w:val="000000"/>
                <w:kern w:val="0"/>
                <w:sz w:val="22"/>
              </w:rPr>
            </w:pPr>
            <w:r>
              <w:rPr>
                <w:rFonts w:hint="eastAsia" w:ascii="宋体" w:hAnsi="宋体" w:cs="Tahoma"/>
                <w:color w:val="000000"/>
                <w:kern w:val="0"/>
                <w:sz w:val="22"/>
              </w:rPr>
              <w:t>项目名称</w:t>
            </w:r>
          </w:p>
        </w:tc>
        <w:tc>
          <w:tcPr>
            <w:tcW w:w="1366" w:type="pct"/>
            <w:vMerge w:val="restart"/>
            <w:tcBorders>
              <w:top w:val="single" w:color="auto" w:sz="4" w:space="0"/>
              <w:left w:val="nil"/>
              <w:right w:val="single" w:color="auto" w:sz="4" w:space="0"/>
            </w:tcBorders>
            <w:shd w:val="clear" w:color="auto" w:fill="auto"/>
            <w:vAlign w:val="center"/>
          </w:tcPr>
          <w:p w14:paraId="2A246653">
            <w:pPr>
              <w:widowControl/>
              <w:jc w:val="center"/>
              <w:rPr>
                <w:rFonts w:ascii="宋体" w:hAnsi="宋体" w:cs="Tahoma"/>
                <w:color w:val="000000"/>
                <w:kern w:val="0"/>
                <w:sz w:val="22"/>
              </w:rPr>
            </w:pPr>
            <w:r>
              <w:rPr>
                <w:rFonts w:hint="eastAsia" w:ascii="宋体" w:hAnsi="宋体" w:cs="Tahoma"/>
                <w:color w:val="000000"/>
                <w:kern w:val="0"/>
                <w:sz w:val="22"/>
              </w:rPr>
              <w:t>项目特征</w:t>
            </w:r>
          </w:p>
        </w:tc>
        <w:tc>
          <w:tcPr>
            <w:tcW w:w="504" w:type="pct"/>
            <w:vMerge w:val="restart"/>
            <w:tcBorders>
              <w:top w:val="single" w:color="auto" w:sz="4" w:space="0"/>
              <w:left w:val="nil"/>
              <w:right w:val="single" w:color="auto" w:sz="4" w:space="0"/>
            </w:tcBorders>
            <w:shd w:val="clear" w:color="auto" w:fill="auto"/>
            <w:vAlign w:val="center"/>
          </w:tcPr>
          <w:p w14:paraId="7683B7CA">
            <w:pPr>
              <w:widowControl/>
              <w:jc w:val="center"/>
              <w:rPr>
                <w:rFonts w:ascii="宋体" w:hAnsi="宋体" w:cs="Tahoma"/>
                <w:color w:val="000000"/>
                <w:kern w:val="0"/>
                <w:sz w:val="22"/>
              </w:rPr>
            </w:pPr>
            <w:r>
              <w:rPr>
                <w:rFonts w:hint="eastAsia" w:ascii="宋体" w:hAnsi="宋体" w:cs="Tahoma"/>
                <w:color w:val="000000"/>
                <w:kern w:val="0"/>
                <w:sz w:val="22"/>
              </w:rPr>
              <w:t>单位</w:t>
            </w:r>
          </w:p>
        </w:tc>
        <w:tc>
          <w:tcPr>
            <w:tcW w:w="720" w:type="pct"/>
            <w:vMerge w:val="restart"/>
            <w:tcBorders>
              <w:top w:val="single" w:color="auto" w:sz="4" w:space="0"/>
              <w:left w:val="nil"/>
              <w:right w:val="single" w:color="auto" w:sz="4" w:space="0"/>
            </w:tcBorders>
            <w:shd w:val="clear" w:color="auto" w:fill="auto"/>
            <w:vAlign w:val="center"/>
          </w:tcPr>
          <w:p w14:paraId="16823973">
            <w:pPr>
              <w:widowControl/>
              <w:jc w:val="center"/>
              <w:rPr>
                <w:rFonts w:ascii="宋体" w:hAnsi="宋体" w:cs="Tahoma"/>
                <w:color w:val="000000"/>
                <w:kern w:val="0"/>
                <w:sz w:val="22"/>
              </w:rPr>
            </w:pPr>
            <w:r>
              <w:rPr>
                <w:rFonts w:hint="eastAsia" w:ascii="宋体" w:hAnsi="宋体" w:cs="Tahoma"/>
                <w:color w:val="000000"/>
                <w:kern w:val="0"/>
                <w:sz w:val="22"/>
              </w:rPr>
              <w:t>工程量</w:t>
            </w:r>
          </w:p>
        </w:tc>
        <w:tc>
          <w:tcPr>
            <w:tcW w:w="1420" w:type="pct"/>
            <w:gridSpan w:val="2"/>
            <w:tcBorders>
              <w:top w:val="single" w:color="auto" w:sz="4" w:space="0"/>
              <w:left w:val="nil"/>
              <w:bottom w:val="single" w:color="auto" w:sz="4" w:space="0"/>
              <w:right w:val="single" w:color="auto" w:sz="4" w:space="0"/>
            </w:tcBorders>
            <w:shd w:val="clear" w:color="auto" w:fill="auto"/>
            <w:vAlign w:val="center"/>
          </w:tcPr>
          <w:p w14:paraId="2D1B7046">
            <w:pPr>
              <w:widowControl/>
              <w:jc w:val="center"/>
              <w:rPr>
                <w:rFonts w:ascii="宋体" w:hAnsi="宋体" w:cs="Tahoma"/>
                <w:color w:val="000000"/>
                <w:kern w:val="0"/>
                <w:sz w:val="22"/>
              </w:rPr>
            </w:pPr>
            <w:r>
              <w:rPr>
                <w:rFonts w:hint="eastAsia" w:ascii="宋体" w:hAnsi="宋体" w:cs="Tahoma"/>
                <w:color w:val="000000"/>
                <w:kern w:val="0"/>
                <w:sz w:val="22"/>
              </w:rPr>
              <w:t>金额（元）</w:t>
            </w:r>
          </w:p>
        </w:tc>
      </w:tr>
      <w:tr w14:paraId="765C8736">
        <w:tblPrEx>
          <w:tblCellMar>
            <w:top w:w="0" w:type="dxa"/>
            <w:left w:w="108" w:type="dxa"/>
            <w:bottom w:w="0" w:type="dxa"/>
            <w:right w:w="108" w:type="dxa"/>
          </w:tblCellMar>
        </w:tblPrEx>
        <w:trPr>
          <w:trHeight w:val="832" w:hRule="atLeast"/>
        </w:trPr>
        <w:tc>
          <w:tcPr>
            <w:tcW w:w="321" w:type="pct"/>
            <w:vMerge w:val="continue"/>
            <w:tcBorders>
              <w:left w:val="single" w:color="auto" w:sz="4" w:space="0"/>
              <w:bottom w:val="single" w:color="auto" w:sz="4" w:space="0"/>
              <w:right w:val="single" w:color="auto" w:sz="4" w:space="0"/>
            </w:tcBorders>
            <w:shd w:val="clear" w:color="auto" w:fill="auto"/>
            <w:vAlign w:val="center"/>
          </w:tcPr>
          <w:p w14:paraId="31D373B2">
            <w:pPr>
              <w:widowControl/>
              <w:jc w:val="left"/>
              <w:rPr>
                <w:rFonts w:ascii="宋体" w:hAnsi="宋体" w:cs="Tahoma"/>
                <w:color w:val="000000"/>
                <w:kern w:val="0"/>
                <w:sz w:val="22"/>
              </w:rPr>
            </w:pPr>
          </w:p>
        </w:tc>
        <w:tc>
          <w:tcPr>
            <w:tcW w:w="670" w:type="pct"/>
            <w:vMerge w:val="continue"/>
            <w:tcBorders>
              <w:left w:val="nil"/>
              <w:bottom w:val="single" w:color="auto" w:sz="4" w:space="0"/>
              <w:right w:val="single" w:color="auto" w:sz="4" w:space="0"/>
            </w:tcBorders>
            <w:shd w:val="clear" w:color="auto" w:fill="auto"/>
            <w:vAlign w:val="center"/>
          </w:tcPr>
          <w:p w14:paraId="49F39780">
            <w:pPr>
              <w:widowControl/>
              <w:jc w:val="left"/>
              <w:rPr>
                <w:rFonts w:ascii="宋体" w:hAnsi="宋体" w:cs="Tahoma"/>
                <w:color w:val="000000"/>
                <w:kern w:val="0"/>
                <w:sz w:val="22"/>
              </w:rPr>
            </w:pPr>
          </w:p>
        </w:tc>
        <w:tc>
          <w:tcPr>
            <w:tcW w:w="1366" w:type="pct"/>
            <w:vMerge w:val="continue"/>
            <w:tcBorders>
              <w:left w:val="nil"/>
              <w:bottom w:val="single" w:color="auto" w:sz="4" w:space="0"/>
              <w:right w:val="single" w:color="auto" w:sz="4" w:space="0"/>
            </w:tcBorders>
            <w:shd w:val="clear" w:color="000000" w:fill="FFFFFF"/>
            <w:vAlign w:val="center"/>
          </w:tcPr>
          <w:p w14:paraId="55762D91">
            <w:pPr>
              <w:widowControl/>
              <w:jc w:val="left"/>
              <w:rPr>
                <w:rFonts w:ascii="宋体" w:hAnsi="宋体" w:cs="Tahoma"/>
                <w:color w:val="000000"/>
                <w:kern w:val="0"/>
                <w:sz w:val="22"/>
              </w:rPr>
            </w:pPr>
          </w:p>
        </w:tc>
        <w:tc>
          <w:tcPr>
            <w:tcW w:w="504" w:type="pct"/>
            <w:vMerge w:val="continue"/>
            <w:tcBorders>
              <w:left w:val="nil"/>
              <w:bottom w:val="single" w:color="auto" w:sz="4" w:space="0"/>
              <w:right w:val="single" w:color="auto" w:sz="4" w:space="0"/>
            </w:tcBorders>
            <w:shd w:val="clear" w:color="auto" w:fill="auto"/>
            <w:vAlign w:val="center"/>
          </w:tcPr>
          <w:p w14:paraId="3BA337CF">
            <w:pPr>
              <w:widowControl/>
              <w:jc w:val="left"/>
              <w:rPr>
                <w:rFonts w:ascii="宋体" w:hAnsi="宋体" w:cs="Tahoma"/>
                <w:color w:val="000000"/>
                <w:kern w:val="0"/>
                <w:sz w:val="22"/>
              </w:rPr>
            </w:pPr>
          </w:p>
        </w:tc>
        <w:tc>
          <w:tcPr>
            <w:tcW w:w="720" w:type="pct"/>
            <w:vMerge w:val="continue"/>
            <w:tcBorders>
              <w:left w:val="nil"/>
              <w:bottom w:val="single" w:color="auto" w:sz="4" w:space="0"/>
              <w:right w:val="single" w:color="auto" w:sz="4" w:space="0"/>
            </w:tcBorders>
            <w:shd w:val="clear" w:color="auto" w:fill="auto"/>
            <w:vAlign w:val="center"/>
          </w:tcPr>
          <w:p w14:paraId="261D4E07">
            <w:pPr>
              <w:widowControl/>
              <w:jc w:val="left"/>
              <w:rPr>
                <w:rFonts w:ascii="宋体" w:hAnsi="宋体" w:cs="Tahoma"/>
                <w:color w:val="000000"/>
                <w:kern w:val="0"/>
                <w:sz w:val="22"/>
              </w:rPr>
            </w:pPr>
          </w:p>
        </w:tc>
        <w:tc>
          <w:tcPr>
            <w:tcW w:w="718" w:type="pct"/>
            <w:tcBorders>
              <w:top w:val="nil"/>
              <w:left w:val="nil"/>
              <w:bottom w:val="single" w:color="auto" w:sz="4" w:space="0"/>
              <w:right w:val="single" w:color="auto" w:sz="4" w:space="0"/>
            </w:tcBorders>
            <w:shd w:val="clear" w:color="auto" w:fill="auto"/>
            <w:vAlign w:val="center"/>
          </w:tcPr>
          <w:p w14:paraId="46FD8CE4">
            <w:pPr>
              <w:widowControl/>
              <w:jc w:val="center"/>
              <w:rPr>
                <w:rFonts w:ascii="宋体" w:hAnsi="宋体" w:cs="Tahoma"/>
                <w:color w:val="000000"/>
                <w:kern w:val="0"/>
                <w:sz w:val="22"/>
              </w:rPr>
            </w:pPr>
            <w:r>
              <w:rPr>
                <w:rFonts w:hint="eastAsia" w:ascii="宋体" w:hAnsi="宋体" w:cs="Tahoma"/>
                <w:color w:val="000000"/>
                <w:kern w:val="0"/>
                <w:sz w:val="22"/>
              </w:rPr>
              <w:t>综合单价</w:t>
            </w:r>
          </w:p>
        </w:tc>
        <w:tc>
          <w:tcPr>
            <w:tcW w:w="701" w:type="pct"/>
            <w:tcBorders>
              <w:top w:val="nil"/>
              <w:left w:val="nil"/>
              <w:bottom w:val="single" w:color="auto" w:sz="4" w:space="0"/>
              <w:right w:val="single" w:color="auto" w:sz="4" w:space="0"/>
            </w:tcBorders>
            <w:shd w:val="clear" w:color="auto" w:fill="auto"/>
            <w:vAlign w:val="center"/>
          </w:tcPr>
          <w:p w14:paraId="1E98CF63">
            <w:pPr>
              <w:widowControl/>
              <w:jc w:val="center"/>
              <w:rPr>
                <w:rFonts w:ascii="宋体" w:hAnsi="宋体" w:cs="Tahoma"/>
                <w:color w:val="000000"/>
                <w:kern w:val="0"/>
                <w:sz w:val="22"/>
              </w:rPr>
            </w:pPr>
            <w:r>
              <w:rPr>
                <w:rFonts w:hint="eastAsia" w:ascii="宋体" w:hAnsi="宋体" w:cs="Tahoma"/>
                <w:color w:val="000000"/>
                <w:kern w:val="0"/>
                <w:sz w:val="22"/>
              </w:rPr>
              <w:t>合价</w:t>
            </w:r>
          </w:p>
        </w:tc>
      </w:tr>
      <w:tr w14:paraId="783C82FF">
        <w:tblPrEx>
          <w:tblCellMar>
            <w:top w:w="0" w:type="dxa"/>
            <w:left w:w="108" w:type="dxa"/>
            <w:bottom w:w="0" w:type="dxa"/>
            <w:right w:w="108" w:type="dxa"/>
          </w:tblCellMar>
        </w:tblPrEx>
        <w:trPr>
          <w:trHeight w:val="884" w:hRule="atLeast"/>
        </w:trPr>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4F7C8111">
            <w:pPr>
              <w:widowControl/>
              <w:jc w:val="center"/>
              <w:rPr>
                <w:rFonts w:ascii="Tahoma" w:hAnsi="Tahoma" w:cs="Tahoma"/>
                <w:color w:val="000000"/>
                <w:kern w:val="0"/>
                <w:sz w:val="22"/>
              </w:rPr>
            </w:pPr>
            <w:r>
              <w:rPr>
                <w:rFonts w:ascii="Tahoma" w:hAnsi="Tahoma" w:cs="Tahoma"/>
                <w:color w:val="000000"/>
                <w:kern w:val="0"/>
                <w:sz w:val="22"/>
              </w:rPr>
              <w:t>1</w:t>
            </w:r>
          </w:p>
        </w:tc>
        <w:tc>
          <w:tcPr>
            <w:tcW w:w="670" w:type="pct"/>
            <w:tcBorders>
              <w:top w:val="single" w:color="auto" w:sz="4" w:space="0"/>
              <w:left w:val="nil"/>
              <w:bottom w:val="single" w:color="auto" w:sz="4" w:space="0"/>
              <w:right w:val="single" w:color="auto" w:sz="4" w:space="0"/>
            </w:tcBorders>
            <w:shd w:val="clear" w:color="auto" w:fill="auto"/>
            <w:vAlign w:val="center"/>
          </w:tcPr>
          <w:p w14:paraId="3F9A7863">
            <w:pPr>
              <w:widowControl/>
              <w:jc w:val="center"/>
              <w:rPr>
                <w:rFonts w:ascii="宋体" w:hAnsi="宋体" w:cs="Tahoma"/>
                <w:color w:val="000000"/>
                <w:kern w:val="0"/>
                <w:sz w:val="22"/>
              </w:rPr>
            </w:pPr>
            <w:r>
              <w:rPr>
                <w:rFonts w:hint="eastAsia" w:ascii="宋体" w:hAnsi="宋体" w:cs="Tahoma"/>
                <w:color w:val="000000"/>
                <w:kern w:val="0"/>
                <w:sz w:val="22"/>
              </w:rPr>
              <w:t>电力电缆</w:t>
            </w:r>
          </w:p>
        </w:tc>
        <w:tc>
          <w:tcPr>
            <w:tcW w:w="1366" w:type="pct"/>
            <w:tcBorders>
              <w:top w:val="single" w:color="auto" w:sz="4" w:space="0"/>
              <w:left w:val="nil"/>
              <w:bottom w:val="single" w:color="auto" w:sz="4" w:space="0"/>
              <w:right w:val="single" w:color="auto" w:sz="4" w:space="0"/>
            </w:tcBorders>
            <w:shd w:val="clear" w:color="000000" w:fill="FFFFFF"/>
            <w:vAlign w:val="center"/>
          </w:tcPr>
          <w:p w14:paraId="721439B6">
            <w:pPr>
              <w:widowControl/>
              <w:jc w:val="left"/>
              <w:rPr>
                <w:rFonts w:ascii="Tahoma" w:hAnsi="Tahoma" w:cs="Tahoma"/>
                <w:color w:val="000000"/>
                <w:kern w:val="0"/>
                <w:sz w:val="22"/>
              </w:rPr>
            </w:pPr>
            <w:r>
              <w:rPr>
                <w:rFonts w:hint="eastAsia" w:ascii="宋体" w:hAnsi="宋体" w:cs="Tahoma"/>
                <w:color w:val="000000"/>
                <w:kern w:val="0"/>
                <w:sz w:val="22"/>
              </w:rPr>
              <w:t>1．名称：低压铜芯电力电缆</w:t>
            </w:r>
            <w:r>
              <w:rPr>
                <w:rFonts w:hint="eastAsia" w:ascii="宋体" w:hAnsi="宋体" w:cs="Tahoma"/>
                <w:color w:val="000000"/>
                <w:kern w:val="0"/>
                <w:sz w:val="22"/>
              </w:rPr>
              <w:br w:type="textWrapping"/>
            </w:r>
            <w:r>
              <w:rPr>
                <w:rFonts w:hint="eastAsia" w:ascii="宋体" w:hAnsi="宋体" w:cs="Tahoma"/>
                <w:color w:val="000000"/>
                <w:kern w:val="0"/>
                <w:sz w:val="22"/>
              </w:rPr>
              <w:t>2．型号：WDZB-YJY4*240+1*120㎜²                 3.电压等级：1000V</w:t>
            </w:r>
            <w:r>
              <w:rPr>
                <w:rFonts w:hint="eastAsia" w:ascii="宋体" w:hAnsi="宋体" w:cs="Tahoma"/>
                <w:color w:val="000000"/>
                <w:kern w:val="0"/>
                <w:sz w:val="22"/>
              </w:rPr>
              <w:br w:type="textWrapping"/>
            </w:r>
            <w:r>
              <w:rPr>
                <w:rFonts w:hint="eastAsia" w:ascii="宋体" w:hAnsi="宋体" w:cs="Tahoma"/>
                <w:color w:val="000000"/>
                <w:kern w:val="0"/>
                <w:sz w:val="22"/>
              </w:rPr>
              <w:t>4．材质：铜芯</w:t>
            </w:r>
            <w:r>
              <w:rPr>
                <w:rFonts w:hint="eastAsia" w:ascii="宋体" w:hAnsi="宋体" w:cs="Tahoma"/>
                <w:color w:val="000000"/>
                <w:kern w:val="0"/>
                <w:sz w:val="22"/>
              </w:rPr>
              <w:br w:type="textWrapping"/>
            </w:r>
            <w:r>
              <w:rPr>
                <w:rFonts w:hint="eastAsia" w:ascii="宋体" w:hAnsi="宋体" w:cs="Tahoma"/>
                <w:color w:val="000000"/>
                <w:kern w:val="0"/>
                <w:sz w:val="22"/>
              </w:rPr>
              <w:t>5．敷设方式、部位：桥架、电缆沟。                           6.工作内容：电缆敷设</w:t>
            </w:r>
          </w:p>
        </w:tc>
        <w:tc>
          <w:tcPr>
            <w:tcW w:w="504" w:type="pct"/>
            <w:tcBorders>
              <w:top w:val="single" w:color="auto" w:sz="4" w:space="0"/>
              <w:left w:val="nil"/>
              <w:bottom w:val="single" w:color="auto" w:sz="4" w:space="0"/>
              <w:right w:val="single" w:color="auto" w:sz="4" w:space="0"/>
            </w:tcBorders>
            <w:shd w:val="clear" w:color="auto" w:fill="auto"/>
            <w:vAlign w:val="center"/>
          </w:tcPr>
          <w:p w14:paraId="18BBFC96">
            <w:pPr>
              <w:widowControl/>
              <w:jc w:val="center"/>
              <w:rPr>
                <w:rFonts w:ascii="宋体" w:hAnsi="宋体" w:cs="Tahoma"/>
                <w:color w:val="000000"/>
                <w:kern w:val="0"/>
                <w:sz w:val="22"/>
              </w:rPr>
            </w:pPr>
            <w:r>
              <w:rPr>
                <w:rFonts w:hint="eastAsia" w:ascii="宋体" w:hAnsi="宋体" w:cs="Tahoma"/>
                <w:color w:val="000000"/>
                <w:kern w:val="0"/>
                <w:sz w:val="22"/>
              </w:rPr>
              <w:t>m</w:t>
            </w:r>
          </w:p>
        </w:tc>
        <w:tc>
          <w:tcPr>
            <w:tcW w:w="720" w:type="pct"/>
            <w:tcBorders>
              <w:top w:val="single" w:color="auto" w:sz="4" w:space="0"/>
              <w:left w:val="nil"/>
              <w:bottom w:val="single" w:color="auto" w:sz="4" w:space="0"/>
              <w:right w:val="single" w:color="auto" w:sz="4" w:space="0"/>
            </w:tcBorders>
            <w:shd w:val="clear" w:color="auto" w:fill="auto"/>
            <w:vAlign w:val="center"/>
          </w:tcPr>
          <w:p w14:paraId="2523FA53">
            <w:pPr>
              <w:widowControl/>
              <w:jc w:val="center"/>
              <w:rPr>
                <w:rFonts w:ascii="宋体" w:hAnsi="宋体" w:cs="Tahoma"/>
                <w:color w:val="000000"/>
                <w:kern w:val="0"/>
                <w:sz w:val="22"/>
              </w:rPr>
            </w:pPr>
            <w:r>
              <w:rPr>
                <w:rFonts w:hint="eastAsia" w:ascii="宋体" w:hAnsi="宋体" w:cs="Tahoma"/>
                <w:color w:val="000000"/>
                <w:kern w:val="0"/>
                <w:sz w:val="22"/>
              </w:rPr>
              <w:t>52</w:t>
            </w:r>
          </w:p>
        </w:tc>
        <w:tc>
          <w:tcPr>
            <w:tcW w:w="718" w:type="pct"/>
            <w:tcBorders>
              <w:top w:val="single" w:color="auto" w:sz="4" w:space="0"/>
              <w:left w:val="nil"/>
              <w:bottom w:val="single" w:color="auto" w:sz="4" w:space="0"/>
              <w:right w:val="single" w:color="auto" w:sz="4" w:space="0"/>
            </w:tcBorders>
            <w:shd w:val="clear" w:color="auto" w:fill="auto"/>
            <w:vAlign w:val="center"/>
          </w:tcPr>
          <w:p w14:paraId="5B71D950">
            <w:pPr>
              <w:widowControl/>
              <w:jc w:val="center"/>
              <w:rPr>
                <w:rFonts w:ascii="宋体" w:hAnsi="宋体" w:cs="Tahoma"/>
                <w:color w:val="000000"/>
                <w:kern w:val="0"/>
                <w:sz w:val="22"/>
              </w:rPr>
            </w:pPr>
          </w:p>
        </w:tc>
        <w:tc>
          <w:tcPr>
            <w:tcW w:w="701" w:type="pct"/>
            <w:tcBorders>
              <w:top w:val="single" w:color="auto" w:sz="4" w:space="0"/>
              <w:left w:val="nil"/>
              <w:bottom w:val="single" w:color="auto" w:sz="4" w:space="0"/>
              <w:right w:val="single" w:color="auto" w:sz="4" w:space="0"/>
            </w:tcBorders>
            <w:shd w:val="clear" w:color="auto" w:fill="auto"/>
            <w:vAlign w:val="center"/>
          </w:tcPr>
          <w:p w14:paraId="5C42EC1B">
            <w:pPr>
              <w:ind w:left="102"/>
              <w:jc w:val="center"/>
              <w:rPr>
                <w:rFonts w:ascii="宋体" w:hAnsi="宋体" w:cs="Tahoma"/>
                <w:color w:val="000000"/>
                <w:kern w:val="0"/>
                <w:sz w:val="22"/>
              </w:rPr>
            </w:pPr>
          </w:p>
        </w:tc>
      </w:tr>
      <w:tr w14:paraId="159AF2C6">
        <w:tblPrEx>
          <w:tblCellMar>
            <w:top w:w="0" w:type="dxa"/>
            <w:left w:w="108" w:type="dxa"/>
            <w:bottom w:w="0" w:type="dxa"/>
            <w:right w:w="108" w:type="dxa"/>
          </w:tblCellMar>
        </w:tblPrEx>
        <w:trPr>
          <w:trHeight w:val="988"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50305F0F">
            <w:pPr>
              <w:widowControl/>
              <w:jc w:val="center"/>
              <w:rPr>
                <w:rFonts w:ascii="Tahoma" w:hAnsi="Tahoma" w:cs="Tahoma"/>
                <w:color w:val="000000"/>
                <w:kern w:val="0"/>
                <w:sz w:val="22"/>
              </w:rPr>
            </w:pPr>
            <w:r>
              <w:rPr>
                <w:rFonts w:ascii="Tahoma" w:hAnsi="Tahoma" w:cs="Tahoma"/>
                <w:color w:val="000000"/>
                <w:kern w:val="0"/>
                <w:sz w:val="22"/>
              </w:rPr>
              <w:t>2</w:t>
            </w:r>
          </w:p>
        </w:tc>
        <w:tc>
          <w:tcPr>
            <w:tcW w:w="670" w:type="pct"/>
            <w:tcBorders>
              <w:top w:val="nil"/>
              <w:left w:val="nil"/>
              <w:bottom w:val="single" w:color="auto" w:sz="4" w:space="0"/>
              <w:right w:val="single" w:color="auto" w:sz="4" w:space="0"/>
            </w:tcBorders>
            <w:shd w:val="clear" w:color="auto" w:fill="auto"/>
            <w:vAlign w:val="center"/>
          </w:tcPr>
          <w:p w14:paraId="388DAA78">
            <w:pPr>
              <w:widowControl/>
              <w:jc w:val="center"/>
              <w:rPr>
                <w:rFonts w:ascii="宋体" w:hAnsi="宋体" w:cs="Tahoma"/>
                <w:color w:val="000000"/>
                <w:kern w:val="0"/>
                <w:sz w:val="22"/>
              </w:rPr>
            </w:pPr>
            <w:r>
              <w:rPr>
                <w:rFonts w:hint="eastAsia" w:ascii="宋体" w:hAnsi="宋体" w:cs="Tahoma"/>
                <w:color w:val="000000"/>
                <w:kern w:val="0"/>
                <w:sz w:val="22"/>
              </w:rPr>
              <w:t>电力电缆终端头</w:t>
            </w:r>
          </w:p>
        </w:tc>
        <w:tc>
          <w:tcPr>
            <w:tcW w:w="1366" w:type="pct"/>
            <w:tcBorders>
              <w:top w:val="nil"/>
              <w:left w:val="nil"/>
              <w:bottom w:val="single" w:color="auto" w:sz="4" w:space="0"/>
              <w:right w:val="single" w:color="auto" w:sz="4" w:space="0"/>
            </w:tcBorders>
            <w:shd w:val="clear" w:color="auto" w:fill="auto"/>
            <w:vAlign w:val="center"/>
          </w:tcPr>
          <w:p w14:paraId="797DC5D7">
            <w:pPr>
              <w:widowControl/>
              <w:jc w:val="left"/>
              <w:rPr>
                <w:rFonts w:ascii="宋体" w:hAnsi="宋体" w:cs="Tahoma"/>
                <w:color w:val="000000"/>
                <w:kern w:val="0"/>
                <w:sz w:val="22"/>
              </w:rPr>
            </w:pPr>
            <w:r>
              <w:rPr>
                <w:rFonts w:hint="eastAsia" w:ascii="宋体" w:hAnsi="宋体" w:cs="Tahoma"/>
                <w:color w:val="000000"/>
                <w:kern w:val="0"/>
                <w:sz w:val="22"/>
              </w:rPr>
              <w:t xml:space="preserve">1、型号:1000V以下电缆头 </w:t>
            </w:r>
            <w:r>
              <w:rPr>
                <w:rFonts w:hint="eastAsia" w:ascii="宋体" w:hAnsi="宋体" w:cs="Tahoma"/>
                <w:color w:val="000000"/>
                <w:kern w:val="0"/>
                <w:sz w:val="22"/>
              </w:rPr>
              <w:br w:type="textWrapping"/>
            </w:r>
            <w:r>
              <w:rPr>
                <w:rFonts w:hint="eastAsia" w:ascii="宋体" w:hAnsi="宋体" w:cs="Tahoma"/>
                <w:color w:val="000000"/>
                <w:kern w:val="0"/>
                <w:sz w:val="22"/>
              </w:rPr>
              <w:t>2、规格:电缆截面(㎜²) ≤240</w:t>
            </w:r>
            <w:r>
              <w:rPr>
                <w:rFonts w:hint="eastAsia" w:ascii="宋体" w:hAnsi="宋体" w:cs="Tahoma"/>
                <w:color w:val="000000"/>
                <w:kern w:val="0"/>
                <w:sz w:val="22"/>
              </w:rPr>
              <w:br w:type="textWrapping"/>
            </w:r>
            <w:r>
              <w:rPr>
                <w:rFonts w:hint="eastAsia" w:ascii="宋体" w:hAnsi="宋体" w:cs="Tahoma"/>
                <w:color w:val="000000"/>
                <w:kern w:val="0"/>
                <w:sz w:val="22"/>
              </w:rPr>
              <w:t>工作内容：          电缆头制作、安装</w:t>
            </w:r>
          </w:p>
        </w:tc>
        <w:tc>
          <w:tcPr>
            <w:tcW w:w="504" w:type="pct"/>
            <w:tcBorders>
              <w:top w:val="nil"/>
              <w:left w:val="nil"/>
              <w:bottom w:val="single" w:color="auto" w:sz="4" w:space="0"/>
              <w:right w:val="single" w:color="auto" w:sz="4" w:space="0"/>
            </w:tcBorders>
            <w:shd w:val="clear" w:color="auto" w:fill="auto"/>
            <w:vAlign w:val="center"/>
          </w:tcPr>
          <w:p w14:paraId="679A31DE">
            <w:pPr>
              <w:widowControl/>
              <w:jc w:val="center"/>
              <w:rPr>
                <w:rFonts w:ascii="宋体" w:hAnsi="宋体" w:cs="Tahoma"/>
                <w:color w:val="000000"/>
                <w:kern w:val="0"/>
                <w:sz w:val="22"/>
              </w:rPr>
            </w:pPr>
            <w:r>
              <w:rPr>
                <w:rFonts w:hint="eastAsia" w:ascii="宋体" w:hAnsi="宋体" w:cs="Tahoma"/>
                <w:color w:val="000000"/>
                <w:kern w:val="0"/>
                <w:sz w:val="22"/>
              </w:rPr>
              <w:t>个</w:t>
            </w:r>
          </w:p>
        </w:tc>
        <w:tc>
          <w:tcPr>
            <w:tcW w:w="720" w:type="pct"/>
            <w:tcBorders>
              <w:top w:val="nil"/>
              <w:left w:val="nil"/>
              <w:bottom w:val="single" w:color="auto" w:sz="4" w:space="0"/>
              <w:right w:val="single" w:color="auto" w:sz="4" w:space="0"/>
            </w:tcBorders>
            <w:shd w:val="clear" w:color="auto" w:fill="auto"/>
            <w:vAlign w:val="center"/>
          </w:tcPr>
          <w:p w14:paraId="7D7A8AD9">
            <w:pPr>
              <w:widowControl/>
              <w:jc w:val="center"/>
              <w:rPr>
                <w:rFonts w:ascii="宋体" w:hAnsi="宋体" w:cs="Tahoma"/>
                <w:color w:val="000000"/>
                <w:kern w:val="0"/>
                <w:sz w:val="22"/>
              </w:rPr>
            </w:pPr>
            <w:r>
              <w:rPr>
                <w:rFonts w:hint="eastAsia" w:ascii="宋体" w:hAnsi="宋体" w:cs="Tahoma"/>
                <w:color w:val="000000"/>
                <w:kern w:val="0"/>
                <w:sz w:val="22"/>
              </w:rPr>
              <w:t>1</w:t>
            </w:r>
          </w:p>
        </w:tc>
        <w:tc>
          <w:tcPr>
            <w:tcW w:w="718" w:type="pct"/>
            <w:tcBorders>
              <w:top w:val="nil"/>
              <w:left w:val="nil"/>
              <w:bottom w:val="single" w:color="auto" w:sz="4" w:space="0"/>
              <w:right w:val="single" w:color="auto" w:sz="4" w:space="0"/>
            </w:tcBorders>
            <w:shd w:val="clear" w:color="auto" w:fill="auto"/>
            <w:vAlign w:val="center"/>
          </w:tcPr>
          <w:p w14:paraId="70078F92">
            <w:pPr>
              <w:widowControl/>
              <w:jc w:val="center"/>
              <w:rPr>
                <w:rFonts w:ascii="宋体" w:hAnsi="宋体" w:cs="Tahoma"/>
                <w:color w:val="000000"/>
                <w:kern w:val="0"/>
                <w:sz w:val="22"/>
              </w:rPr>
            </w:pPr>
          </w:p>
        </w:tc>
        <w:tc>
          <w:tcPr>
            <w:tcW w:w="701" w:type="pct"/>
            <w:tcBorders>
              <w:top w:val="nil"/>
              <w:left w:val="nil"/>
              <w:bottom w:val="single" w:color="auto" w:sz="4" w:space="0"/>
              <w:right w:val="single" w:color="auto" w:sz="4" w:space="0"/>
            </w:tcBorders>
            <w:shd w:val="clear" w:color="auto" w:fill="auto"/>
            <w:vAlign w:val="center"/>
          </w:tcPr>
          <w:p w14:paraId="34177545">
            <w:pPr>
              <w:ind w:left="102"/>
              <w:jc w:val="center"/>
              <w:rPr>
                <w:rFonts w:ascii="宋体" w:hAnsi="宋体" w:cs="Tahoma"/>
                <w:color w:val="000000"/>
                <w:kern w:val="0"/>
                <w:sz w:val="22"/>
              </w:rPr>
            </w:pPr>
          </w:p>
        </w:tc>
      </w:tr>
      <w:tr w14:paraId="78C2FD2D">
        <w:tblPrEx>
          <w:tblCellMar>
            <w:top w:w="0" w:type="dxa"/>
            <w:left w:w="108" w:type="dxa"/>
            <w:bottom w:w="0" w:type="dxa"/>
            <w:right w:w="108" w:type="dxa"/>
          </w:tblCellMar>
        </w:tblPrEx>
        <w:trPr>
          <w:trHeight w:val="988" w:hRule="atLeast"/>
        </w:trPr>
        <w:tc>
          <w:tcPr>
            <w:tcW w:w="321" w:type="pct"/>
            <w:tcBorders>
              <w:top w:val="nil"/>
              <w:left w:val="single" w:color="auto" w:sz="4" w:space="0"/>
              <w:bottom w:val="single" w:color="auto" w:sz="4" w:space="0"/>
              <w:right w:val="single" w:color="auto" w:sz="4" w:space="0"/>
            </w:tcBorders>
            <w:shd w:val="clear" w:color="auto" w:fill="auto"/>
            <w:vAlign w:val="center"/>
          </w:tcPr>
          <w:p w14:paraId="2486FAA6">
            <w:pPr>
              <w:widowControl/>
              <w:jc w:val="center"/>
              <w:rPr>
                <w:rFonts w:ascii="Tahoma" w:hAnsi="Tahoma" w:cs="Tahoma"/>
                <w:color w:val="000000"/>
                <w:kern w:val="0"/>
                <w:sz w:val="22"/>
              </w:rPr>
            </w:pPr>
            <w:r>
              <w:rPr>
                <w:rFonts w:ascii="Tahoma" w:hAnsi="Tahoma" w:cs="Tahoma"/>
                <w:color w:val="000000"/>
                <w:kern w:val="0"/>
                <w:sz w:val="22"/>
              </w:rPr>
              <w:t>3</w:t>
            </w:r>
          </w:p>
        </w:tc>
        <w:tc>
          <w:tcPr>
            <w:tcW w:w="670" w:type="pct"/>
            <w:tcBorders>
              <w:top w:val="nil"/>
              <w:left w:val="nil"/>
              <w:bottom w:val="single" w:color="auto" w:sz="4" w:space="0"/>
              <w:right w:val="single" w:color="auto" w:sz="4" w:space="0"/>
            </w:tcBorders>
            <w:shd w:val="clear" w:color="auto" w:fill="auto"/>
            <w:vAlign w:val="center"/>
          </w:tcPr>
          <w:p w14:paraId="7A2B418B">
            <w:pPr>
              <w:widowControl/>
              <w:jc w:val="center"/>
              <w:rPr>
                <w:rFonts w:ascii="宋体" w:hAnsi="宋体" w:cs="Tahoma"/>
                <w:color w:val="000000"/>
                <w:kern w:val="0"/>
                <w:szCs w:val="21"/>
              </w:rPr>
            </w:pPr>
            <w:r>
              <w:rPr>
                <w:rFonts w:hint="eastAsia" w:ascii="宋体" w:hAnsi="宋体" w:cs="Tahoma"/>
                <w:color w:val="000000"/>
                <w:kern w:val="0"/>
                <w:szCs w:val="21"/>
              </w:rPr>
              <w:t>桥架</w:t>
            </w:r>
          </w:p>
        </w:tc>
        <w:tc>
          <w:tcPr>
            <w:tcW w:w="1366" w:type="pct"/>
            <w:tcBorders>
              <w:top w:val="nil"/>
              <w:left w:val="nil"/>
              <w:bottom w:val="single" w:color="auto" w:sz="4" w:space="0"/>
              <w:right w:val="single" w:color="auto" w:sz="4" w:space="0"/>
            </w:tcBorders>
            <w:shd w:val="clear" w:color="auto" w:fill="auto"/>
            <w:vAlign w:val="center"/>
          </w:tcPr>
          <w:p w14:paraId="6AE83F92">
            <w:pPr>
              <w:widowControl/>
              <w:jc w:val="left"/>
              <w:rPr>
                <w:rFonts w:ascii="宋体" w:hAnsi="宋体" w:cs="Tahoma"/>
                <w:color w:val="000000"/>
                <w:kern w:val="0"/>
                <w:sz w:val="22"/>
              </w:rPr>
            </w:pPr>
            <w:r>
              <w:rPr>
                <w:rFonts w:hint="eastAsia" w:ascii="宋体" w:hAnsi="宋体" w:cs="Tahoma"/>
                <w:color w:val="000000"/>
                <w:kern w:val="0"/>
                <w:sz w:val="22"/>
              </w:rPr>
              <w:t>1．名称：金属槽式桥架</w:t>
            </w:r>
            <w:r>
              <w:rPr>
                <w:rFonts w:hint="eastAsia" w:ascii="宋体" w:hAnsi="宋体" w:cs="Tahoma"/>
                <w:color w:val="000000"/>
                <w:kern w:val="0"/>
                <w:sz w:val="22"/>
              </w:rPr>
              <w:br w:type="textWrapping"/>
            </w:r>
            <w:r>
              <w:rPr>
                <w:rFonts w:hint="eastAsia" w:ascii="宋体" w:hAnsi="宋体" w:cs="Tahoma"/>
                <w:color w:val="000000"/>
                <w:kern w:val="0"/>
                <w:sz w:val="22"/>
              </w:rPr>
              <w:t>2．规格：300㎜*150㎜                 工作内容：                            ①桥架制作、除锈刷油 。                ②桥架、支撑架安装            ③桥架连接件、接地线安装</w:t>
            </w:r>
          </w:p>
        </w:tc>
        <w:tc>
          <w:tcPr>
            <w:tcW w:w="504" w:type="pct"/>
            <w:tcBorders>
              <w:top w:val="nil"/>
              <w:left w:val="nil"/>
              <w:bottom w:val="single" w:color="auto" w:sz="4" w:space="0"/>
              <w:right w:val="single" w:color="auto" w:sz="4" w:space="0"/>
            </w:tcBorders>
            <w:shd w:val="clear" w:color="auto" w:fill="auto"/>
            <w:vAlign w:val="center"/>
          </w:tcPr>
          <w:p w14:paraId="1375938C">
            <w:pPr>
              <w:widowControl/>
              <w:jc w:val="center"/>
              <w:rPr>
                <w:rFonts w:ascii="宋体" w:hAnsi="宋体" w:cs="Tahoma"/>
                <w:color w:val="000000"/>
                <w:kern w:val="0"/>
                <w:sz w:val="22"/>
              </w:rPr>
            </w:pPr>
            <w:r>
              <w:rPr>
                <w:rFonts w:hint="eastAsia" w:ascii="宋体" w:hAnsi="宋体" w:cs="Tahoma"/>
                <w:color w:val="000000"/>
                <w:kern w:val="0"/>
                <w:sz w:val="22"/>
              </w:rPr>
              <w:t>m</w:t>
            </w:r>
          </w:p>
        </w:tc>
        <w:tc>
          <w:tcPr>
            <w:tcW w:w="720" w:type="pct"/>
            <w:tcBorders>
              <w:top w:val="nil"/>
              <w:left w:val="nil"/>
              <w:bottom w:val="single" w:color="auto" w:sz="4" w:space="0"/>
              <w:right w:val="single" w:color="auto" w:sz="4" w:space="0"/>
            </w:tcBorders>
            <w:shd w:val="clear" w:color="auto" w:fill="auto"/>
            <w:vAlign w:val="center"/>
          </w:tcPr>
          <w:p w14:paraId="11CC50DF">
            <w:pPr>
              <w:widowControl/>
              <w:jc w:val="center"/>
              <w:rPr>
                <w:rFonts w:ascii="宋体" w:hAnsi="宋体" w:cs="Tahoma"/>
                <w:color w:val="000000"/>
                <w:kern w:val="0"/>
                <w:sz w:val="22"/>
              </w:rPr>
            </w:pPr>
            <w:r>
              <w:rPr>
                <w:rFonts w:hint="eastAsia" w:ascii="宋体" w:hAnsi="宋体" w:cs="Tahoma"/>
                <w:color w:val="000000"/>
                <w:kern w:val="0"/>
                <w:sz w:val="22"/>
              </w:rPr>
              <w:t>6</w:t>
            </w:r>
          </w:p>
        </w:tc>
        <w:tc>
          <w:tcPr>
            <w:tcW w:w="718" w:type="pct"/>
            <w:tcBorders>
              <w:top w:val="nil"/>
              <w:left w:val="nil"/>
              <w:bottom w:val="single" w:color="auto" w:sz="4" w:space="0"/>
              <w:right w:val="single" w:color="auto" w:sz="4" w:space="0"/>
            </w:tcBorders>
            <w:shd w:val="clear" w:color="auto" w:fill="auto"/>
            <w:vAlign w:val="center"/>
          </w:tcPr>
          <w:p w14:paraId="65C525F6">
            <w:pPr>
              <w:widowControl/>
              <w:jc w:val="center"/>
              <w:rPr>
                <w:rFonts w:ascii="宋体" w:hAnsi="宋体" w:cs="Tahoma"/>
                <w:color w:val="000000"/>
                <w:kern w:val="0"/>
                <w:sz w:val="22"/>
              </w:rPr>
            </w:pPr>
          </w:p>
        </w:tc>
        <w:tc>
          <w:tcPr>
            <w:tcW w:w="701" w:type="pct"/>
            <w:tcBorders>
              <w:top w:val="nil"/>
              <w:left w:val="nil"/>
              <w:bottom w:val="single" w:color="auto" w:sz="4" w:space="0"/>
              <w:right w:val="single" w:color="auto" w:sz="4" w:space="0"/>
            </w:tcBorders>
            <w:shd w:val="clear" w:color="auto" w:fill="auto"/>
            <w:vAlign w:val="center"/>
          </w:tcPr>
          <w:p w14:paraId="64208A85">
            <w:pPr>
              <w:ind w:left="102"/>
              <w:jc w:val="center"/>
              <w:rPr>
                <w:rFonts w:ascii="宋体" w:hAnsi="宋体" w:cs="Tahoma"/>
                <w:color w:val="000000"/>
                <w:kern w:val="0"/>
                <w:sz w:val="22"/>
              </w:rPr>
            </w:pPr>
          </w:p>
        </w:tc>
      </w:tr>
      <w:tr w14:paraId="547ADAF5">
        <w:tblPrEx>
          <w:tblCellMar>
            <w:top w:w="0" w:type="dxa"/>
            <w:left w:w="108" w:type="dxa"/>
            <w:bottom w:w="0" w:type="dxa"/>
            <w:right w:w="108" w:type="dxa"/>
          </w:tblCellMar>
        </w:tblPrEx>
        <w:trPr>
          <w:trHeight w:val="1790" w:hRule="atLeast"/>
        </w:trPr>
        <w:tc>
          <w:tcPr>
            <w:tcW w:w="9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01E8E4">
            <w:pPr>
              <w:spacing w:line="500" w:lineRule="exact"/>
              <w:ind w:firstLine="105"/>
              <w:jc w:val="center"/>
              <w:rPr>
                <w:rFonts w:cs="宋体" w:asciiTheme="minorEastAsia" w:hAnsiTheme="minorEastAsia" w:eastAsiaTheme="majorEastAsia"/>
                <w:b/>
                <w:color w:val="000000"/>
                <w:kern w:val="0"/>
                <w:szCs w:val="21"/>
              </w:rPr>
            </w:pPr>
            <w:r>
              <w:rPr>
                <w:rFonts w:hint="eastAsia" w:cs="宋体" w:asciiTheme="majorEastAsia" w:hAnsiTheme="majorEastAsia" w:eastAsiaTheme="majorEastAsia"/>
                <w:b/>
                <w:kern w:val="0"/>
                <w:szCs w:val="21"/>
              </w:rPr>
              <w:t>合计（含9%增值税专用发票）</w:t>
            </w:r>
          </w:p>
        </w:tc>
        <w:tc>
          <w:tcPr>
            <w:tcW w:w="4010" w:type="pct"/>
            <w:gridSpan w:val="5"/>
            <w:tcBorders>
              <w:top w:val="nil"/>
              <w:left w:val="nil"/>
              <w:bottom w:val="single" w:color="auto" w:sz="4" w:space="0"/>
              <w:right w:val="single" w:color="auto" w:sz="4" w:space="0"/>
            </w:tcBorders>
            <w:shd w:val="clear" w:color="auto" w:fill="auto"/>
            <w:vAlign w:val="center"/>
          </w:tcPr>
          <w:p w14:paraId="2F678407">
            <w:pPr>
              <w:widowControl/>
              <w:ind w:firstLine="2280" w:firstLineChars="950"/>
              <w:rPr>
                <w:rFonts w:cs="宋体" w:asciiTheme="minorEastAsia" w:hAnsiTheme="minorEastAsia"/>
                <w:color w:val="000000"/>
                <w:kern w:val="0"/>
                <w:szCs w:val="21"/>
                <w:u w:val="single"/>
              </w:rPr>
            </w:pPr>
            <w:r>
              <w:rPr>
                <w:rFonts w:hint="eastAsia" w:ascii="宋体" w:hAnsi="宋体" w:cs="宋体"/>
                <w:kern w:val="0"/>
                <w:sz w:val="24"/>
              </w:rPr>
              <w:t>￥</w:t>
            </w:r>
            <w:r>
              <w:rPr>
                <w:rFonts w:hint="eastAsia" w:ascii="宋体" w:hAnsi="宋体" w:cs="宋体"/>
                <w:kern w:val="0"/>
                <w:sz w:val="24"/>
                <w:u w:val="single"/>
              </w:rPr>
              <w:t xml:space="preserve">                       元；</w:t>
            </w:r>
          </w:p>
        </w:tc>
      </w:tr>
      <w:bookmarkEnd w:id="12"/>
    </w:tbl>
    <w:p w14:paraId="61B42899">
      <w:pPr>
        <w:widowControl/>
        <w:ind w:firstLine="140"/>
        <w:jc w:val="center"/>
        <w:rPr>
          <w:rFonts w:hint="eastAsia"/>
          <w:color w:val="000000"/>
          <w:sz w:val="28"/>
          <w:szCs w:val="28"/>
        </w:rPr>
      </w:pPr>
    </w:p>
    <w:p w14:paraId="0F109251">
      <w:pPr>
        <w:spacing w:line="440" w:lineRule="exact"/>
        <w:ind w:firstLine="5754" w:firstLineChars="2388"/>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　　　　</w:t>
      </w:r>
    </w:p>
    <w:p w14:paraId="186233CD">
      <w:pPr>
        <w:spacing w:line="440" w:lineRule="exact"/>
        <w:ind w:firstLine="7086" w:firstLineChars="2941"/>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2025年  月  日</w:t>
      </w:r>
    </w:p>
    <w:p w14:paraId="03A5EB30">
      <w:pPr>
        <w:widowControl/>
        <w:spacing w:line="800" w:lineRule="exact"/>
        <w:jc w:val="left"/>
        <w:rPr>
          <w:rFonts w:ascii="宋体" w:hAnsi="宋体" w:eastAsia="宋体" w:cs="宋体"/>
          <w:b/>
          <w:kern w:val="0"/>
          <w:sz w:val="24"/>
          <w:szCs w:val="20"/>
        </w:rPr>
      </w:pPr>
    </w:p>
    <w:p w14:paraId="6080E620">
      <w:pPr>
        <w:spacing w:line="360" w:lineRule="auto"/>
        <w:ind w:firstLine="2951" w:firstLineChars="1225"/>
        <w:outlineLvl w:val="1"/>
        <w:rPr>
          <w:rFonts w:ascii="宋体" w:hAnsi="宋体" w:eastAsia="宋体" w:cs="@仿宋_GB2312"/>
          <w:b/>
          <w:sz w:val="24"/>
          <w:szCs w:val="20"/>
        </w:rPr>
      </w:pPr>
    </w:p>
    <w:p w14:paraId="6109E76F">
      <w:pPr>
        <w:spacing w:line="360" w:lineRule="auto"/>
        <w:ind w:firstLine="2951" w:firstLineChars="1225"/>
        <w:outlineLvl w:val="1"/>
        <w:rPr>
          <w:rFonts w:ascii="宋体" w:hAnsi="宋体" w:eastAsia="宋体" w:cs="@仿宋_GB2312"/>
          <w:b/>
          <w:sz w:val="24"/>
          <w:szCs w:val="20"/>
        </w:rPr>
      </w:pPr>
    </w:p>
    <w:p w14:paraId="71E64EEC">
      <w:pPr>
        <w:spacing w:line="360" w:lineRule="auto"/>
        <w:ind w:firstLine="2951" w:firstLineChars="1225"/>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3"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14:paraId="46B62C1A">
      <w:pPr>
        <w:spacing w:beforeLines="150" w:line="600" w:lineRule="exact"/>
        <w:rPr>
          <w:rFonts w:ascii="宋体" w:hAnsi="宋体" w:eastAsia="宋体" w:cs="宋体"/>
          <w:b/>
          <w:sz w:val="24"/>
        </w:rPr>
      </w:pPr>
      <w:r>
        <w:rPr>
          <w:rFonts w:hint="eastAsia" w:cs="宋体" w:asciiTheme="minorEastAsia" w:hAnsiTheme="minorEastAsia"/>
          <w:b/>
          <w:bCs/>
          <w:kern w:val="0"/>
          <w:sz w:val="24"/>
        </w:rPr>
        <w:t>合肥百货大楼集团商业大厦有限责任公司</w:t>
      </w:r>
      <w:r>
        <w:rPr>
          <w:rFonts w:hint="eastAsia" w:ascii="宋体" w:hAnsi="宋体" w:eastAsia="宋体" w:cs="宋体"/>
          <w:b/>
          <w:sz w:val="24"/>
        </w:rPr>
        <w:t>：</w:t>
      </w:r>
    </w:p>
    <w:p w14:paraId="5603624C">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2025年 月   日</w:t>
      </w:r>
      <w:r>
        <w:rPr>
          <w:rFonts w:hint="eastAsia" w:ascii="宋体" w:hAnsi="宋体" w:eastAsia="宋体" w:cs="宋体"/>
          <w:sz w:val="24"/>
        </w:rPr>
        <w:t>参加</w:t>
      </w:r>
      <w:r>
        <w:rPr>
          <w:rFonts w:hint="eastAsia" w:hAnsi="宋体" w:cs="宋体"/>
          <w:sz w:val="24"/>
          <w:u w:val="single"/>
        </w:rPr>
        <w:t>百大商业大厦配套电缆敷设工程</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壹仟 </w:t>
      </w:r>
      <w:r>
        <w:rPr>
          <w:rFonts w:hint="eastAsia" w:ascii="宋体" w:hAnsi="宋体" w:eastAsia="宋体" w:cs="宋体"/>
          <w:sz w:val="24"/>
        </w:rPr>
        <w:t>元。如我公司未成交，请将该保证金退至以下帐号；如我公司成交，该保证金退还事宜按本文件相关约定执行。</w:t>
      </w:r>
    </w:p>
    <w:p w14:paraId="1D4B6832">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14:paraId="14AEFCB8">
      <w:pPr>
        <w:spacing w:line="600" w:lineRule="exact"/>
        <w:ind w:firstLine="460" w:firstLineChars="192"/>
        <w:rPr>
          <w:rFonts w:ascii="宋体" w:hAnsi="宋体" w:eastAsia="宋体" w:cs="宋体"/>
          <w:sz w:val="24"/>
        </w:rPr>
      </w:pPr>
    </w:p>
    <w:p w14:paraId="4A2B795B">
      <w:pPr>
        <w:spacing w:line="600" w:lineRule="exact"/>
        <w:ind w:firstLine="480" w:firstLineChars="200"/>
        <w:rPr>
          <w:rFonts w:ascii="宋体" w:hAnsi="宋体" w:eastAsia="宋体" w:cs="宋体"/>
          <w:sz w:val="24"/>
        </w:rPr>
      </w:pPr>
      <w:r>
        <w:rPr>
          <w:rFonts w:hint="eastAsia" w:ascii="宋体" w:hAnsi="宋体" w:eastAsia="宋体" w:cs="宋体"/>
          <w:sz w:val="24"/>
        </w:rPr>
        <w:t>户    名：</w:t>
      </w:r>
    </w:p>
    <w:p w14:paraId="13C6607B">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14:paraId="0922C8BD">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14:paraId="685140A0">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11"/>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636C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38DA4BE5">
            <w:pPr>
              <w:spacing w:line="500" w:lineRule="exact"/>
              <w:jc w:val="center"/>
              <w:rPr>
                <w:rFonts w:ascii="宋体" w:hAnsi="宋体" w:eastAsia="宋体" w:cs="宋体"/>
                <w:sz w:val="24"/>
              </w:rPr>
            </w:pPr>
          </w:p>
          <w:p w14:paraId="2E40CE07">
            <w:pPr>
              <w:spacing w:line="500" w:lineRule="exact"/>
              <w:jc w:val="center"/>
              <w:rPr>
                <w:rFonts w:ascii="宋体" w:hAnsi="宋体" w:eastAsia="宋体" w:cs="宋体"/>
                <w:sz w:val="24"/>
              </w:rPr>
            </w:pPr>
          </w:p>
          <w:p w14:paraId="07BBFD6E">
            <w:pPr>
              <w:spacing w:line="500" w:lineRule="exact"/>
              <w:jc w:val="center"/>
              <w:rPr>
                <w:rFonts w:ascii="宋体" w:hAnsi="宋体" w:eastAsia="宋体" w:cs="宋体"/>
                <w:sz w:val="24"/>
              </w:rPr>
            </w:pPr>
          </w:p>
          <w:p w14:paraId="019448B6">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14:paraId="3CDDD726">
            <w:pPr>
              <w:spacing w:line="500" w:lineRule="exact"/>
              <w:jc w:val="center"/>
              <w:rPr>
                <w:rFonts w:ascii="宋体" w:hAnsi="宋体" w:eastAsia="宋体" w:cs="宋体"/>
                <w:sz w:val="24"/>
              </w:rPr>
            </w:pPr>
          </w:p>
          <w:p w14:paraId="71D3203B">
            <w:pPr>
              <w:spacing w:line="500" w:lineRule="exact"/>
              <w:jc w:val="center"/>
              <w:rPr>
                <w:rFonts w:ascii="宋体" w:hAnsi="宋体" w:eastAsia="宋体" w:cs="宋体"/>
                <w:sz w:val="24"/>
              </w:rPr>
            </w:pPr>
          </w:p>
          <w:p w14:paraId="6DC10B5B">
            <w:pPr>
              <w:spacing w:line="640" w:lineRule="exact"/>
              <w:jc w:val="center"/>
              <w:rPr>
                <w:rFonts w:ascii="宋体" w:hAnsi="宋体" w:eastAsia="宋体" w:cs="宋体"/>
                <w:sz w:val="24"/>
              </w:rPr>
            </w:pPr>
          </w:p>
        </w:tc>
      </w:tr>
    </w:tbl>
    <w:p w14:paraId="281AF4DA">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14:paraId="2929E526">
      <w:pPr>
        <w:spacing w:line="640" w:lineRule="exact"/>
        <w:ind w:firstLine="3393" w:firstLineChars="1414"/>
        <w:rPr>
          <w:rFonts w:ascii="宋体" w:hAnsi="宋体" w:eastAsia="宋体" w:cs="宋体"/>
          <w:sz w:val="24"/>
        </w:rPr>
      </w:pPr>
    </w:p>
    <w:p w14:paraId="78638D73">
      <w:pPr>
        <w:spacing w:line="640" w:lineRule="exact"/>
        <w:ind w:firstLine="5783" w:firstLineChars="2400"/>
        <w:rPr>
          <w:rFonts w:ascii="宋体" w:hAnsi="宋体" w:eastAsia="宋体" w:cs="宋体"/>
          <w:b/>
          <w:sz w:val="24"/>
          <w:u w:val="single"/>
        </w:rPr>
      </w:pPr>
      <w:r>
        <w:rPr>
          <w:rFonts w:hint="eastAsia" w:ascii="宋体" w:hAnsi="宋体" w:eastAsia="宋体" w:cs="宋体"/>
          <w:b/>
          <w:sz w:val="24"/>
        </w:rPr>
        <w:t>报价人（公章）：</w:t>
      </w:r>
    </w:p>
    <w:p w14:paraId="0A4D9204">
      <w:pPr>
        <w:widowControl/>
        <w:spacing w:line="400" w:lineRule="exact"/>
        <w:jc w:val="center"/>
        <w:rPr>
          <w:rFonts w:hint="eastAsia"/>
        </w:rPr>
      </w:pPr>
      <w:r>
        <w:rPr>
          <w:rFonts w:hint="eastAsia" w:ascii="宋体" w:hAnsi="宋体" w:eastAsia="宋体" w:cs="宋体"/>
          <w:b/>
          <w:sz w:val="24"/>
        </w:rPr>
        <w:t xml:space="preserve">                                                                20</w:t>
      </w:r>
      <w:r>
        <w:rPr>
          <w:rFonts w:ascii="宋体" w:hAnsi="宋体" w:eastAsia="宋体" w:cs="宋体"/>
          <w:b/>
          <w:sz w:val="24"/>
        </w:rPr>
        <w:t>2</w:t>
      </w:r>
      <w:r>
        <w:rPr>
          <w:rFonts w:hint="eastAsia" w:ascii="宋体" w:hAnsi="宋体" w:eastAsia="宋体" w:cs="宋体"/>
          <w:b/>
          <w:sz w:val="24"/>
        </w:rPr>
        <w:t>5年  月  日</w:t>
      </w:r>
      <w:bookmarkEnd w:id="13"/>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5861B">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2801070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28010709"/>
        </w:sdtPr>
        <w:sdtEndPr>
          <w:rPr>
            <w:rFonts w:ascii="@仿宋_GB2312" w:hAnsi="@仿宋_GB2312" w:eastAsia="@仿宋_GB2312" w:cs="@仿宋_GB2312"/>
            <w:sz w:val="18"/>
            <w:szCs w:val="18"/>
          </w:rPr>
        </w:sdtEndPr>
        <w:sdtContent>
          <w:p w14:paraId="26794884">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42</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44</w:t>
            </w:r>
            <w:r>
              <w:rPr>
                <w:rFonts w:ascii="@仿宋_GB2312" w:hAnsi="@仿宋_GB2312" w:eastAsia="@仿宋_GB2312" w:cs="@仿宋_GB2312"/>
                <w:b/>
                <w:sz w:val="24"/>
              </w:rPr>
              <w:fldChar w:fldCharType="end"/>
            </w:r>
          </w:p>
        </w:sdtContent>
      </w:sdt>
    </w:sdtContent>
  </w:sdt>
  <w:p w14:paraId="69D8D6D1">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2B38B">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49949">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rPr>
      <w:t xml:space="preserve">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C3465">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rPr>
      <w:t xml:space="preserve"> 竞争性报价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D8B1F"/>
    <w:multiLevelType w:val="singleLevel"/>
    <w:tmpl w:val="A98D8B1F"/>
    <w:lvl w:ilvl="0" w:tentative="0">
      <w:start w:val="3"/>
      <w:numFmt w:val="chineseCounting"/>
      <w:suff w:val="space"/>
      <w:lvlText w:val="第%1章"/>
      <w:lvlJc w:val="left"/>
      <w:rPr>
        <w:rFonts w:hint="eastAsia"/>
      </w:rPr>
    </w:lvl>
  </w:abstractNum>
  <w:abstractNum w:abstractNumId="1">
    <w:nsid w:val="3EB67D82"/>
    <w:multiLevelType w:val="multilevel"/>
    <w:tmpl w:val="3EB67D82"/>
    <w:lvl w:ilvl="0" w:tentative="0">
      <w:start w:val="5"/>
      <w:numFmt w:val="japaneseCounting"/>
      <w:lvlText w:val="第%1章"/>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첥޿䃧꣓瑄㦞늇꺴궞蘡꜃챍㊊잴᝵迋ｭ刈诙킣Ⲝ褿ᓘ嬏嘠螨ꤻ姑蜋湐砓べ浠匵璖䇼创⭡Ŧ厠ട܁"/>
    <w:docVar w:name="KSO_WPS_MARK_KEY" w:val="x㊡埨㊸嫰୶x㊡䰜㊸屄㊶屄㊶宄㊶2꣠ଘx㊡䰜㊸宄㊶2ꥠଘx㊡䰜㊸屄㊶屄㊶2"/>
  </w:docVars>
  <w:rsids>
    <w:rsidRoot w:val="52A34A68"/>
    <w:rsid w:val="00012B25"/>
    <w:rsid w:val="0002775F"/>
    <w:rsid w:val="00052E91"/>
    <w:rsid w:val="00063298"/>
    <w:rsid w:val="00067ACD"/>
    <w:rsid w:val="000A2478"/>
    <w:rsid w:val="000E073A"/>
    <w:rsid w:val="000E2DA2"/>
    <w:rsid w:val="000F685C"/>
    <w:rsid w:val="00107F12"/>
    <w:rsid w:val="00111AE3"/>
    <w:rsid w:val="00130336"/>
    <w:rsid w:val="00131764"/>
    <w:rsid w:val="00132603"/>
    <w:rsid w:val="00132AA6"/>
    <w:rsid w:val="00146AE3"/>
    <w:rsid w:val="00187C1A"/>
    <w:rsid w:val="001A0087"/>
    <w:rsid w:val="001A66C4"/>
    <w:rsid w:val="001B09E7"/>
    <w:rsid w:val="001C01CB"/>
    <w:rsid w:val="001E4846"/>
    <w:rsid w:val="001F0825"/>
    <w:rsid w:val="001F3FEA"/>
    <w:rsid w:val="00205E8B"/>
    <w:rsid w:val="0022518B"/>
    <w:rsid w:val="002441B6"/>
    <w:rsid w:val="00245E29"/>
    <w:rsid w:val="0025684A"/>
    <w:rsid w:val="00257C11"/>
    <w:rsid w:val="00266A1D"/>
    <w:rsid w:val="002726DC"/>
    <w:rsid w:val="00276E33"/>
    <w:rsid w:val="00284A0F"/>
    <w:rsid w:val="0028675D"/>
    <w:rsid w:val="002917C0"/>
    <w:rsid w:val="002A2357"/>
    <w:rsid w:val="002A6E6E"/>
    <w:rsid w:val="002B77CB"/>
    <w:rsid w:val="002E31E2"/>
    <w:rsid w:val="002F2D7D"/>
    <w:rsid w:val="00326E8D"/>
    <w:rsid w:val="00333F07"/>
    <w:rsid w:val="00353B0C"/>
    <w:rsid w:val="0037022D"/>
    <w:rsid w:val="00377691"/>
    <w:rsid w:val="003A0914"/>
    <w:rsid w:val="003A094F"/>
    <w:rsid w:val="003B54D3"/>
    <w:rsid w:val="003D3F6A"/>
    <w:rsid w:val="003E49DD"/>
    <w:rsid w:val="003E566E"/>
    <w:rsid w:val="004157D2"/>
    <w:rsid w:val="00422DBB"/>
    <w:rsid w:val="00457A5E"/>
    <w:rsid w:val="00457C0C"/>
    <w:rsid w:val="0046372E"/>
    <w:rsid w:val="00464618"/>
    <w:rsid w:val="004A7725"/>
    <w:rsid w:val="004D0299"/>
    <w:rsid w:val="004D077C"/>
    <w:rsid w:val="004D6C05"/>
    <w:rsid w:val="004E3BBF"/>
    <w:rsid w:val="005246A1"/>
    <w:rsid w:val="00532CF8"/>
    <w:rsid w:val="00551999"/>
    <w:rsid w:val="0056034E"/>
    <w:rsid w:val="00563ACB"/>
    <w:rsid w:val="00567535"/>
    <w:rsid w:val="00574929"/>
    <w:rsid w:val="0058721C"/>
    <w:rsid w:val="005A40B6"/>
    <w:rsid w:val="005B5113"/>
    <w:rsid w:val="005C1723"/>
    <w:rsid w:val="005D5CD8"/>
    <w:rsid w:val="005F129B"/>
    <w:rsid w:val="00600D6A"/>
    <w:rsid w:val="00601437"/>
    <w:rsid w:val="00613E4B"/>
    <w:rsid w:val="00616086"/>
    <w:rsid w:val="00644DA3"/>
    <w:rsid w:val="006720D9"/>
    <w:rsid w:val="00672A4D"/>
    <w:rsid w:val="00683B11"/>
    <w:rsid w:val="00684A50"/>
    <w:rsid w:val="006B001B"/>
    <w:rsid w:val="006D3FAA"/>
    <w:rsid w:val="006E1C01"/>
    <w:rsid w:val="006F4FC0"/>
    <w:rsid w:val="007235E3"/>
    <w:rsid w:val="00724C6C"/>
    <w:rsid w:val="00737B57"/>
    <w:rsid w:val="007406A0"/>
    <w:rsid w:val="0074233E"/>
    <w:rsid w:val="007505C2"/>
    <w:rsid w:val="0076229F"/>
    <w:rsid w:val="0076602E"/>
    <w:rsid w:val="00775615"/>
    <w:rsid w:val="007958D2"/>
    <w:rsid w:val="007A5965"/>
    <w:rsid w:val="007B4C34"/>
    <w:rsid w:val="007B5524"/>
    <w:rsid w:val="007B623A"/>
    <w:rsid w:val="007B79D1"/>
    <w:rsid w:val="007C0CCD"/>
    <w:rsid w:val="007E5039"/>
    <w:rsid w:val="008133E0"/>
    <w:rsid w:val="008140BC"/>
    <w:rsid w:val="008206A3"/>
    <w:rsid w:val="00844FD8"/>
    <w:rsid w:val="00867489"/>
    <w:rsid w:val="00870D73"/>
    <w:rsid w:val="00880C89"/>
    <w:rsid w:val="008A2C16"/>
    <w:rsid w:val="008A4C44"/>
    <w:rsid w:val="008B0D6C"/>
    <w:rsid w:val="008B2108"/>
    <w:rsid w:val="008B6EB8"/>
    <w:rsid w:val="008C0EC7"/>
    <w:rsid w:val="008C1C8B"/>
    <w:rsid w:val="008E2821"/>
    <w:rsid w:val="008F64A5"/>
    <w:rsid w:val="00930728"/>
    <w:rsid w:val="00955B2D"/>
    <w:rsid w:val="00961A2B"/>
    <w:rsid w:val="0098510C"/>
    <w:rsid w:val="00996CD3"/>
    <w:rsid w:val="009A211D"/>
    <w:rsid w:val="009B3551"/>
    <w:rsid w:val="009F7F9B"/>
    <w:rsid w:val="00A2130F"/>
    <w:rsid w:val="00A21E22"/>
    <w:rsid w:val="00A237C8"/>
    <w:rsid w:val="00A3065E"/>
    <w:rsid w:val="00A31077"/>
    <w:rsid w:val="00A433A7"/>
    <w:rsid w:val="00A643CF"/>
    <w:rsid w:val="00B14617"/>
    <w:rsid w:val="00B21F30"/>
    <w:rsid w:val="00B33D59"/>
    <w:rsid w:val="00B457C3"/>
    <w:rsid w:val="00B50653"/>
    <w:rsid w:val="00B56594"/>
    <w:rsid w:val="00B63FD6"/>
    <w:rsid w:val="00B831F1"/>
    <w:rsid w:val="00B96AAD"/>
    <w:rsid w:val="00BA14BB"/>
    <w:rsid w:val="00BC0EDF"/>
    <w:rsid w:val="00BC3088"/>
    <w:rsid w:val="00BC662A"/>
    <w:rsid w:val="00BD6DF6"/>
    <w:rsid w:val="00BD780F"/>
    <w:rsid w:val="00BF0395"/>
    <w:rsid w:val="00C03974"/>
    <w:rsid w:val="00C24448"/>
    <w:rsid w:val="00C27A2E"/>
    <w:rsid w:val="00C61F40"/>
    <w:rsid w:val="00CA1AD2"/>
    <w:rsid w:val="00CA1DA8"/>
    <w:rsid w:val="00CA78BD"/>
    <w:rsid w:val="00CF71F1"/>
    <w:rsid w:val="00D02FEC"/>
    <w:rsid w:val="00D0539F"/>
    <w:rsid w:val="00D05A73"/>
    <w:rsid w:val="00D23115"/>
    <w:rsid w:val="00D30486"/>
    <w:rsid w:val="00D40E08"/>
    <w:rsid w:val="00D7638D"/>
    <w:rsid w:val="00D90B00"/>
    <w:rsid w:val="00D9100C"/>
    <w:rsid w:val="00DA2794"/>
    <w:rsid w:val="00DB0584"/>
    <w:rsid w:val="00E330F7"/>
    <w:rsid w:val="00E37C25"/>
    <w:rsid w:val="00E427C9"/>
    <w:rsid w:val="00E5258E"/>
    <w:rsid w:val="00E563A3"/>
    <w:rsid w:val="00E65B44"/>
    <w:rsid w:val="00E96525"/>
    <w:rsid w:val="00EB7F0E"/>
    <w:rsid w:val="00EC392E"/>
    <w:rsid w:val="00EF2172"/>
    <w:rsid w:val="00F614D0"/>
    <w:rsid w:val="00F654E1"/>
    <w:rsid w:val="00F7697A"/>
    <w:rsid w:val="00FF4954"/>
    <w:rsid w:val="00FF5123"/>
    <w:rsid w:val="0122076E"/>
    <w:rsid w:val="018F2EE2"/>
    <w:rsid w:val="01DF5C17"/>
    <w:rsid w:val="02092C94"/>
    <w:rsid w:val="02A429BD"/>
    <w:rsid w:val="031A0060"/>
    <w:rsid w:val="031F3DF1"/>
    <w:rsid w:val="032B09E8"/>
    <w:rsid w:val="03404493"/>
    <w:rsid w:val="03747C41"/>
    <w:rsid w:val="046B5540"/>
    <w:rsid w:val="04D806FC"/>
    <w:rsid w:val="04E62E18"/>
    <w:rsid w:val="05D610DF"/>
    <w:rsid w:val="061D0ABC"/>
    <w:rsid w:val="063D2F0C"/>
    <w:rsid w:val="065564A8"/>
    <w:rsid w:val="06C077C6"/>
    <w:rsid w:val="06C158EB"/>
    <w:rsid w:val="06FF4665"/>
    <w:rsid w:val="07434BE5"/>
    <w:rsid w:val="076F49D9"/>
    <w:rsid w:val="0878647D"/>
    <w:rsid w:val="088A4403"/>
    <w:rsid w:val="08A96637"/>
    <w:rsid w:val="091C14FF"/>
    <w:rsid w:val="093525C0"/>
    <w:rsid w:val="09526CCE"/>
    <w:rsid w:val="0A4B39C1"/>
    <w:rsid w:val="0A5401FA"/>
    <w:rsid w:val="0ABF65E6"/>
    <w:rsid w:val="0AC44356"/>
    <w:rsid w:val="0AC46F88"/>
    <w:rsid w:val="0AE4604C"/>
    <w:rsid w:val="0B1A61BE"/>
    <w:rsid w:val="0B8E420A"/>
    <w:rsid w:val="0B8E7D66"/>
    <w:rsid w:val="0BDE0CED"/>
    <w:rsid w:val="0C152235"/>
    <w:rsid w:val="0CA3084D"/>
    <w:rsid w:val="0D270472"/>
    <w:rsid w:val="0D38267F"/>
    <w:rsid w:val="0D3D7C96"/>
    <w:rsid w:val="0D585E47"/>
    <w:rsid w:val="0D887163"/>
    <w:rsid w:val="0DF30D4B"/>
    <w:rsid w:val="0DF333CB"/>
    <w:rsid w:val="0E0D1416"/>
    <w:rsid w:val="0E1529C0"/>
    <w:rsid w:val="0E4D0590"/>
    <w:rsid w:val="0EF63FCE"/>
    <w:rsid w:val="0F040A6B"/>
    <w:rsid w:val="0F384BB8"/>
    <w:rsid w:val="0F3A26DF"/>
    <w:rsid w:val="0F6E4136"/>
    <w:rsid w:val="0FA66633"/>
    <w:rsid w:val="0FE8213B"/>
    <w:rsid w:val="10141182"/>
    <w:rsid w:val="10740C17"/>
    <w:rsid w:val="108E2068"/>
    <w:rsid w:val="10A1471B"/>
    <w:rsid w:val="10C04E65"/>
    <w:rsid w:val="111725AC"/>
    <w:rsid w:val="1125116C"/>
    <w:rsid w:val="1170063A"/>
    <w:rsid w:val="1178129C"/>
    <w:rsid w:val="11FA2809"/>
    <w:rsid w:val="11FA76C0"/>
    <w:rsid w:val="129C66E0"/>
    <w:rsid w:val="12A83E03"/>
    <w:rsid w:val="12BF0B36"/>
    <w:rsid w:val="12C72EE7"/>
    <w:rsid w:val="12E0534B"/>
    <w:rsid w:val="12EB20FA"/>
    <w:rsid w:val="13347445"/>
    <w:rsid w:val="13511DA5"/>
    <w:rsid w:val="137C5125"/>
    <w:rsid w:val="1395450E"/>
    <w:rsid w:val="13C20EF5"/>
    <w:rsid w:val="13F15336"/>
    <w:rsid w:val="14373691"/>
    <w:rsid w:val="14904B4F"/>
    <w:rsid w:val="14A30D26"/>
    <w:rsid w:val="15311E8E"/>
    <w:rsid w:val="156A1844"/>
    <w:rsid w:val="165268D4"/>
    <w:rsid w:val="16571DC8"/>
    <w:rsid w:val="167623E4"/>
    <w:rsid w:val="168E37B1"/>
    <w:rsid w:val="169C7F0D"/>
    <w:rsid w:val="16BA5EB3"/>
    <w:rsid w:val="17766630"/>
    <w:rsid w:val="18090EA0"/>
    <w:rsid w:val="188350F6"/>
    <w:rsid w:val="18860743"/>
    <w:rsid w:val="19123BDF"/>
    <w:rsid w:val="19306900"/>
    <w:rsid w:val="195F6641"/>
    <w:rsid w:val="1A0152DB"/>
    <w:rsid w:val="1A725422"/>
    <w:rsid w:val="1A7840BB"/>
    <w:rsid w:val="1A9058A9"/>
    <w:rsid w:val="1AD67034"/>
    <w:rsid w:val="1B351FAC"/>
    <w:rsid w:val="1B4641B9"/>
    <w:rsid w:val="1C346708"/>
    <w:rsid w:val="1C4526C3"/>
    <w:rsid w:val="1C6074FD"/>
    <w:rsid w:val="1C6C40F3"/>
    <w:rsid w:val="1CBA4E5F"/>
    <w:rsid w:val="1D5726AE"/>
    <w:rsid w:val="1D877B87"/>
    <w:rsid w:val="1DA41382"/>
    <w:rsid w:val="1DC83B88"/>
    <w:rsid w:val="1E0839A8"/>
    <w:rsid w:val="1E214A6A"/>
    <w:rsid w:val="1E7E1EBC"/>
    <w:rsid w:val="1E7E7499"/>
    <w:rsid w:val="1E876FC3"/>
    <w:rsid w:val="1EBA1146"/>
    <w:rsid w:val="1EE14925"/>
    <w:rsid w:val="1EF67CA4"/>
    <w:rsid w:val="1EFD4150"/>
    <w:rsid w:val="1F2C1918"/>
    <w:rsid w:val="1F49071C"/>
    <w:rsid w:val="1FA54333"/>
    <w:rsid w:val="200A7EAB"/>
    <w:rsid w:val="207E61A3"/>
    <w:rsid w:val="20CA763A"/>
    <w:rsid w:val="20D83B05"/>
    <w:rsid w:val="217A4BBD"/>
    <w:rsid w:val="219506D4"/>
    <w:rsid w:val="21CF4F08"/>
    <w:rsid w:val="21D56297"/>
    <w:rsid w:val="226615DC"/>
    <w:rsid w:val="227930C6"/>
    <w:rsid w:val="22B12860"/>
    <w:rsid w:val="22CD6F6E"/>
    <w:rsid w:val="2392443F"/>
    <w:rsid w:val="23955CDE"/>
    <w:rsid w:val="23A3664D"/>
    <w:rsid w:val="23B1063E"/>
    <w:rsid w:val="24294678"/>
    <w:rsid w:val="2446347C"/>
    <w:rsid w:val="247D73F6"/>
    <w:rsid w:val="248F4E77"/>
    <w:rsid w:val="24E46F1D"/>
    <w:rsid w:val="25207829"/>
    <w:rsid w:val="25257535"/>
    <w:rsid w:val="259124D5"/>
    <w:rsid w:val="25D54AB7"/>
    <w:rsid w:val="2605432E"/>
    <w:rsid w:val="26793695"/>
    <w:rsid w:val="268B0D23"/>
    <w:rsid w:val="269C55D5"/>
    <w:rsid w:val="26A64C5A"/>
    <w:rsid w:val="26AB75C6"/>
    <w:rsid w:val="26AD1590"/>
    <w:rsid w:val="26C8461C"/>
    <w:rsid w:val="27102ED4"/>
    <w:rsid w:val="27547C5E"/>
    <w:rsid w:val="275C6CE2"/>
    <w:rsid w:val="27B70919"/>
    <w:rsid w:val="27DF1C1D"/>
    <w:rsid w:val="27F03E2A"/>
    <w:rsid w:val="28123DA1"/>
    <w:rsid w:val="284877C3"/>
    <w:rsid w:val="28A40771"/>
    <w:rsid w:val="29746395"/>
    <w:rsid w:val="299D769A"/>
    <w:rsid w:val="29A004C8"/>
    <w:rsid w:val="2A247DBB"/>
    <w:rsid w:val="2AA9206F"/>
    <w:rsid w:val="2AB56C65"/>
    <w:rsid w:val="2AE66A5C"/>
    <w:rsid w:val="2AFE381C"/>
    <w:rsid w:val="2B4F0E68"/>
    <w:rsid w:val="2B764647"/>
    <w:rsid w:val="2B836D64"/>
    <w:rsid w:val="2B8C03FB"/>
    <w:rsid w:val="2BFA7026"/>
    <w:rsid w:val="2C2C73FB"/>
    <w:rsid w:val="2C430ACE"/>
    <w:rsid w:val="2C5B4578"/>
    <w:rsid w:val="2CBF3DCB"/>
    <w:rsid w:val="2D105F1F"/>
    <w:rsid w:val="2DFA4212"/>
    <w:rsid w:val="2EE5639C"/>
    <w:rsid w:val="2EF57F78"/>
    <w:rsid w:val="2F713AA3"/>
    <w:rsid w:val="2F8A246F"/>
    <w:rsid w:val="2FC02334"/>
    <w:rsid w:val="2FF0617B"/>
    <w:rsid w:val="301A5BC2"/>
    <w:rsid w:val="30204B81"/>
    <w:rsid w:val="303118CD"/>
    <w:rsid w:val="308415B4"/>
    <w:rsid w:val="308C2216"/>
    <w:rsid w:val="308F6585"/>
    <w:rsid w:val="30BC6FA0"/>
    <w:rsid w:val="30BF083E"/>
    <w:rsid w:val="30D81900"/>
    <w:rsid w:val="313943CC"/>
    <w:rsid w:val="315A40C3"/>
    <w:rsid w:val="31707702"/>
    <w:rsid w:val="317A6513"/>
    <w:rsid w:val="31C75BFC"/>
    <w:rsid w:val="31CA56EC"/>
    <w:rsid w:val="31D15433"/>
    <w:rsid w:val="31E06CBE"/>
    <w:rsid w:val="32244DFC"/>
    <w:rsid w:val="323668DE"/>
    <w:rsid w:val="32894C60"/>
    <w:rsid w:val="33226E62"/>
    <w:rsid w:val="333252F7"/>
    <w:rsid w:val="333C6176"/>
    <w:rsid w:val="33F702EF"/>
    <w:rsid w:val="34F0546A"/>
    <w:rsid w:val="34FA62E8"/>
    <w:rsid w:val="355F7EFA"/>
    <w:rsid w:val="35895CF3"/>
    <w:rsid w:val="35954CAA"/>
    <w:rsid w:val="362A0508"/>
    <w:rsid w:val="363B0967"/>
    <w:rsid w:val="36483084"/>
    <w:rsid w:val="36BE50F4"/>
    <w:rsid w:val="36CF0417"/>
    <w:rsid w:val="373A6BCC"/>
    <w:rsid w:val="38211E89"/>
    <w:rsid w:val="386817BB"/>
    <w:rsid w:val="38CA5FD2"/>
    <w:rsid w:val="38CC3AF8"/>
    <w:rsid w:val="39396CB4"/>
    <w:rsid w:val="39754190"/>
    <w:rsid w:val="39DD366B"/>
    <w:rsid w:val="3A3758E9"/>
    <w:rsid w:val="3B2E2848"/>
    <w:rsid w:val="3B53405D"/>
    <w:rsid w:val="3BE619F7"/>
    <w:rsid w:val="3BED44B1"/>
    <w:rsid w:val="3C814BF9"/>
    <w:rsid w:val="3C8566E3"/>
    <w:rsid w:val="3D0221DE"/>
    <w:rsid w:val="3D566086"/>
    <w:rsid w:val="3D7A7FC6"/>
    <w:rsid w:val="3E104487"/>
    <w:rsid w:val="3E8A370C"/>
    <w:rsid w:val="3F2B709E"/>
    <w:rsid w:val="3F724CCD"/>
    <w:rsid w:val="3F982986"/>
    <w:rsid w:val="40077B0C"/>
    <w:rsid w:val="40291830"/>
    <w:rsid w:val="411044DC"/>
    <w:rsid w:val="413E57AF"/>
    <w:rsid w:val="41654AEA"/>
    <w:rsid w:val="41792343"/>
    <w:rsid w:val="41B96BE3"/>
    <w:rsid w:val="4212359F"/>
    <w:rsid w:val="42165DE4"/>
    <w:rsid w:val="422D2571"/>
    <w:rsid w:val="422F4A19"/>
    <w:rsid w:val="42C44321"/>
    <w:rsid w:val="42EC60AE"/>
    <w:rsid w:val="42FE6FA4"/>
    <w:rsid w:val="435D0838"/>
    <w:rsid w:val="43D24225"/>
    <w:rsid w:val="44354C47"/>
    <w:rsid w:val="444B446B"/>
    <w:rsid w:val="444D54F0"/>
    <w:rsid w:val="44DF1057"/>
    <w:rsid w:val="44E977E0"/>
    <w:rsid w:val="44FE409C"/>
    <w:rsid w:val="451A5BEB"/>
    <w:rsid w:val="453C3DB3"/>
    <w:rsid w:val="45462E84"/>
    <w:rsid w:val="455A6527"/>
    <w:rsid w:val="456A0921"/>
    <w:rsid w:val="45BB73CE"/>
    <w:rsid w:val="45D65FB6"/>
    <w:rsid w:val="45F621B4"/>
    <w:rsid w:val="4609638B"/>
    <w:rsid w:val="460C7C2A"/>
    <w:rsid w:val="460E39A2"/>
    <w:rsid w:val="4645313C"/>
    <w:rsid w:val="46CE0A31"/>
    <w:rsid w:val="46EE5581"/>
    <w:rsid w:val="46EE732F"/>
    <w:rsid w:val="47013507"/>
    <w:rsid w:val="47543636"/>
    <w:rsid w:val="47AD71EA"/>
    <w:rsid w:val="47E80223"/>
    <w:rsid w:val="4829062E"/>
    <w:rsid w:val="492928A1"/>
    <w:rsid w:val="49557B3A"/>
    <w:rsid w:val="4A2B43F6"/>
    <w:rsid w:val="4A6A4F1F"/>
    <w:rsid w:val="4A851D59"/>
    <w:rsid w:val="4A8F0E29"/>
    <w:rsid w:val="4AEC627C"/>
    <w:rsid w:val="4AF8077D"/>
    <w:rsid w:val="4B094111"/>
    <w:rsid w:val="4B2257F9"/>
    <w:rsid w:val="4B4660B0"/>
    <w:rsid w:val="4B5D0D24"/>
    <w:rsid w:val="4BCB40E3"/>
    <w:rsid w:val="4BE07B8E"/>
    <w:rsid w:val="4C2757BD"/>
    <w:rsid w:val="4C4823D0"/>
    <w:rsid w:val="4CB66B41"/>
    <w:rsid w:val="4D502AF2"/>
    <w:rsid w:val="4D6E6630"/>
    <w:rsid w:val="4DA12297"/>
    <w:rsid w:val="4E197388"/>
    <w:rsid w:val="4E485577"/>
    <w:rsid w:val="4E5C1022"/>
    <w:rsid w:val="4E604FB7"/>
    <w:rsid w:val="4E8C5DAC"/>
    <w:rsid w:val="4EB36AAD"/>
    <w:rsid w:val="4EBE7F2F"/>
    <w:rsid w:val="4EC01C1A"/>
    <w:rsid w:val="4F647EE9"/>
    <w:rsid w:val="507452CF"/>
    <w:rsid w:val="5101031D"/>
    <w:rsid w:val="516E3547"/>
    <w:rsid w:val="51890380"/>
    <w:rsid w:val="51A27694"/>
    <w:rsid w:val="52306A4E"/>
    <w:rsid w:val="52862B12"/>
    <w:rsid w:val="52A34A68"/>
    <w:rsid w:val="530103EA"/>
    <w:rsid w:val="53CC6C4A"/>
    <w:rsid w:val="542919A7"/>
    <w:rsid w:val="542D593B"/>
    <w:rsid w:val="5455279C"/>
    <w:rsid w:val="546D5D37"/>
    <w:rsid w:val="54752E3E"/>
    <w:rsid w:val="553F2912"/>
    <w:rsid w:val="55A21A0F"/>
    <w:rsid w:val="55D02A22"/>
    <w:rsid w:val="55D3606E"/>
    <w:rsid w:val="56130B60"/>
    <w:rsid w:val="561F12B3"/>
    <w:rsid w:val="56665134"/>
    <w:rsid w:val="566D64C3"/>
    <w:rsid w:val="5675479C"/>
    <w:rsid w:val="56AB4053"/>
    <w:rsid w:val="56C41E5B"/>
    <w:rsid w:val="56DE2F1C"/>
    <w:rsid w:val="57034731"/>
    <w:rsid w:val="576C677A"/>
    <w:rsid w:val="57E722A5"/>
    <w:rsid w:val="58737694"/>
    <w:rsid w:val="59101387"/>
    <w:rsid w:val="594316ED"/>
    <w:rsid w:val="59590F80"/>
    <w:rsid w:val="59C04B5B"/>
    <w:rsid w:val="59ED3476"/>
    <w:rsid w:val="5A4A08C9"/>
    <w:rsid w:val="5A8C0EE1"/>
    <w:rsid w:val="5AAD1584"/>
    <w:rsid w:val="5AB02914"/>
    <w:rsid w:val="5AFA22EF"/>
    <w:rsid w:val="5AFB2DE9"/>
    <w:rsid w:val="5B0B0058"/>
    <w:rsid w:val="5B0E18F6"/>
    <w:rsid w:val="5BCD355F"/>
    <w:rsid w:val="5C1A7F01"/>
    <w:rsid w:val="5C6E7C18"/>
    <w:rsid w:val="5C9522CF"/>
    <w:rsid w:val="5CB36BF9"/>
    <w:rsid w:val="5D0B07E3"/>
    <w:rsid w:val="5D6A375C"/>
    <w:rsid w:val="5D845EA0"/>
    <w:rsid w:val="5D9C768D"/>
    <w:rsid w:val="5DCF4E9B"/>
    <w:rsid w:val="5DDB7AD1"/>
    <w:rsid w:val="5EF17D12"/>
    <w:rsid w:val="5EFD5A3F"/>
    <w:rsid w:val="5F1C6CD8"/>
    <w:rsid w:val="5F3D27AA"/>
    <w:rsid w:val="5F9F5213"/>
    <w:rsid w:val="605E092D"/>
    <w:rsid w:val="60636240"/>
    <w:rsid w:val="6096034E"/>
    <w:rsid w:val="609D5BF6"/>
    <w:rsid w:val="61441E24"/>
    <w:rsid w:val="61B054B5"/>
    <w:rsid w:val="62036689"/>
    <w:rsid w:val="62083543"/>
    <w:rsid w:val="623600B0"/>
    <w:rsid w:val="62AD318D"/>
    <w:rsid w:val="62B80AC5"/>
    <w:rsid w:val="630006BE"/>
    <w:rsid w:val="638B61DA"/>
    <w:rsid w:val="63991808"/>
    <w:rsid w:val="63B15515"/>
    <w:rsid w:val="63F20007"/>
    <w:rsid w:val="654725D5"/>
    <w:rsid w:val="65510D5D"/>
    <w:rsid w:val="659333F2"/>
    <w:rsid w:val="66263F98"/>
    <w:rsid w:val="662D17CA"/>
    <w:rsid w:val="66E3632D"/>
    <w:rsid w:val="671B1623"/>
    <w:rsid w:val="67CD5013"/>
    <w:rsid w:val="68352BB8"/>
    <w:rsid w:val="68594AF9"/>
    <w:rsid w:val="68815DFE"/>
    <w:rsid w:val="6897117D"/>
    <w:rsid w:val="68993147"/>
    <w:rsid w:val="68AB4C28"/>
    <w:rsid w:val="68CD4B9F"/>
    <w:rsid w:val="69157BAE"/>
    <w:rsid w:val="69D00DEB"/>
    <w:rsid w:val="6A246A40"/>
    <w:rsid w:val="6A9242F2"/>
    <w:rsid w:val="6ACA583A"/>
    <w:rsid w:val="6ACB692A"/>
    <w:rsid w:val="6B8C0D41"/>
    <w:rsid w:val="6C4016B8"/>
    <w:rsid w:val="6C755C79"/>
    <w:rsid w:val="6CAD10AB"/>
    <w:rsid w:val="6D631F76"/>
    <w:rsid w:val="6D65184A"/>
    <w:rsid w:val="6DEA4189"/>
    <w:rsid w:val="6E1374F8"/>
    <w:rsid w:val="6E423939"/>
    <w:rsid w:val="6E7D2BC3"/>
    <w:rsid w:val="6EA77C40"/>
    <w:rsid w:val="6EC22F57"/>
    <w:rsid w:val="6EC24A7A"/>
    <w:rsid w:val="6EE3511C"/>
    <w:rsid w:val="6F0246DD"/>
    <w:rsid w:val="6FBE16E5"/>
    <w:rsid w:val="70690614"/>
    <w:rsid w:val="707D334E"/>
    <w:rsid w:val="709C1A26"/>
    <w:rsid w:val="70B825D8"/>
    <w:rsid w:val="70CB230C"/>
    <w:rsid w:val="70D26E2A"/>
    <w:rsid w:val="71940950"/>
    <w:rsid w:val="71BE1260"/>
    <w:rsid w:val="72DF5BFA"/>
    <w:rsid w:val="7315161C"/>
    <w:rsid w:val="731735E6"/>
    <w:rsid w:val="734737A0"/>
    <w:rsid w:val="734979C3"/>
    <w:rsid w:val="73C80D84"/>
    <w:rsid w:val="73D72D76"/>
    <w:rsid w:val="74017DF2"/>
    <w:rsid w:val="745B39A7"/>
    <w:rsid w:val="74F55BA9"/>
    <w:rsid w:val="75183646"/>
    <w:rsid w:val="758962F1"/>
    <w:rsid w:val="75907680"/>
    <w:rsid w:val="76766876"/>
    <w:rsid w:val="767E1BCE"/>
    <w:rsid w:val="76A72ED3"/>
    <w:rsid w:val="76EC46AE"/>
    <w:rsid w:val="77C35AEB"/>
    <w:rsid w:val="77D01FB6"/>
    <w:rsid w:val="77D5581E"/>
    <w:rsid w:val="78414C61"/>
    <w:rsid w:val="784F737E"/>
    <w:rsid w:val="78810CFC"/>
    <w:rsid w:val="78A84CE1"/>
    <w:rsid w:val="78AC47D1"/>
    <w:rsid w:val="78CF04BF"/>
    <w:rsid w:val="78E74CA2"/>
    <w:rsid w:val="78FB12B4"/>
    <w:rsid w:val="79096067"/>
    <w:rsid w:val="792E168A"/>
    <w:rsid w:val="79312F28"/>
    <w:rsid w:val="7956473D"/>
    <w:rsid w:val="79AB6836"/>
    <w:rsid w:val="79C45B4A"/>
    <w:rsid w:val="79EE0E19"/>
    <w:rsid w:val="7A513882"/>
    <w:rsid w:val="7AAF67FA"/>
    <w:rsid w:val="7AB76101"/>
    <w:rsid w:val="7B002BB2"/>
    <w:rsid w:val="7B3A0D61"/>
    <w:rsid w:val="7B9003DA"/>
    <w:rsid w:val="7BAC2D3A"/>
    <w:rsid w:val="7BE6624C"/>
    <w:rsid w:val="7CB41EA6"/>
    <w:rsid w:val="7D2C7C8E"/>
    <w:rsid w:val="7D40373A"/>
    <w:rsid w:val="7DA912DF"/>
    <w:rsid w:val="7E0D5D12"/>
    <w:rsid w:val="7E3E411D"/>
    <w:rsid w:val="7F160BF6"/>
    <w:rsid w:val="7F231565"/>
    <w:rsid w:val="7F90710A"/>
    <w:rsid w:val="7FB977D3"/>
    <w:rsid w:val="7FF2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w:basedOn w:val="1"/>
    <w:link w:val="26"/>
    <w:qFormat/>
    <w:uiPriority w:val="0"/>
    <w:pPr>
      <w:spacing w:after="120"/>
    </w:pPr>
  </w:style>
  <w:style w:type="paragraph" w:styleId="4">
    <w:name w:val="Plain Text"/>
    <w:basedOn w:val="1"/>
    <w:qFormat/>
    <w:uiPriority w:val="0"/>
    <w:rPr>
      <w:rFonts w:ascii="宋体" w:hAnsi="Courier New" w:eastAsia="宋体" w:cs="Courier New"/>
      <w:szCs w:val="21"/>
    </w:rPr>
  </w:style>
  <w:style w:type="paragraph" w:styleId="5">
    <w:name w:val="Balloon Text"/>
    <w:basedOn w:val="1"/>
    <w:link w:val="18"/>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2"/>
    <w:next w:val="2"/>
    <w:link w:val="21"/>
    <w:qFormat/>
    <w:uiPriority w:val="0"/>
    <w:rPr>
      <w:b/>
      <w:bCs/>
    </w:rPr>
  </w:style>
  <w:style w:type="paragraph" w:styleId="10">
    <w:name w:val="Body Text First Indent"/>
    <w:basedOn w:val="3"/>
    <w:link w:val="27"/>
    <w:unhideWhenUsed/>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qFormat/>
    <w:uiPriority w:val="0"/>
    <w:rPr>
      <w:sz w:val="21"/>
      <w:szCs w:val="21"/>
    </w:rPr>
  </w:style>
  <w:style w:type="character" w:customStyle="1" w:styleId="16">
    <w:name w:val="页眉 Char"/>
    <w:basedOn w:val="13"/>
    <w:link w:val="7"/>
    <w:qFormat/>
    <w:uiPriority w:val="0"/>
    <w:rPr>
      <w:rFonts w:asciiTheme="minorHAnsi" w:hAnsiTheme="minorHAnsi" w:eastAsiaTheme="minorEastAsia" w:cstheme="minorBidi"/>
      <w:kern w:val="2"/>
      <w:sz w:val="18"/>
      <w:szCs w:val="18"/>
    </w:rPr>
  </w:style>
  <w:style w:type="character" w:customStyle="1" w:styleId="17">
    <w:name w:val="页脚 Char"/>
    <w:basedOn w:val="13"/>
    <w:link w:val="6"/>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5"/>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批注文字 Char"/>
    <w:basedOn w:val="13"/>
    <w:link w:val="2"/>
    <w:qFormat/>
    <w:uiPriority w:val="0"/>
    <w:rPr>
      <w:rFonts w:asciiTheme="minorHAnsi" w:hAnsiTheme="minorHAnsi" w:eastAsiaTheme="minorEastAsia" w:cstheme="minorBidi"/>
      <w:kern w:val="2"/>
      <w:sz w:val="21"/>
      <w:szCs w:val="24"/>
    </w:rPr>
  </w:style>
  <w:style w:type="character" w:customStyle="1" w:styleId="21">
    <w:name w:val="批注主题 Char"/>
    <w:basedOn w:val="20"/>
    <w:link w:val="9"/>
    <w:qFormat/>
    <w:uiPriority w:val="0"/>
    <w:rPr>
      <w:b/>
      <w:bCs/>
    </w:rPr>
  </w:style>
  <w:style w:type="character" w:customStyle="1" w:styleId="22">
    <w:name w:val="font41"/>
    <w:basedOn w:val="13"/>
    <w:qFormat/>
    <w:uiPriority w:val="0"/>
    <w:rPr>
      <w:rFonts w:hint="eastAsia" w:ascii="宋体" w:hAnsi="宋体" w:eastAsia="宋体" w:cs="宋体"/>
      <w:color w:val="000000"/>
      <w:sz w:val="24"/>
      <w:szCs w:val="24"/>
      <w:u w:val="none"/>
    </w:rPr>
  </w:style>
  <w:style w:type="character" w:customStyle="1" w:styleId="23">
    <w:name w:val="font21"/>
    <w:basedOn w:val="13"/>
    <w:qFormat/>
    <w:uiPriority w:val="0"/>
    <w:rPr>
      <w:rFonts w:ascii="Tahoma" w:hAnsi="Tahoma" w:eastAsia="Tahoma" w:cs="Tahoma"/>
      <w:color w:val="000000"/>
      <w:sz w:val="24"/>
      <w:szCs w:val="24"/>
      <w:u w:val="none"/>
    </w:rPr>
  </w:style>
  <w:style w:type="character" w:customStyle="1" w:styleId="24">
    <w:name w:val="time"/>
    <w:basedOn w:val="13"/>
    <w:qFormat/>
    <w:uiPriority w:val="0"/>
  </w:style>
  <w:style w:type="character" w:customStyle="1" w:styleId="25">
    <w:name w:val="status"/>
    <w:basedOn w:val="13"/>
    <w:qFormat/>
    <w:uiPriority w:val="0"/>
    <w:rPr>
      <w:color w:val="0776DD"/>
    </w:rPr>
  </w:style>
  <w:style w:type="character" w:customStyle="1" w:styleId="26">
    <w:name w:val="正文文本 Char"/>
    <w:basedOn w:val="13"/>
    <w:link w:val="3"/>
    <w:qFormat/>
    <w:uiPriority w:val="0"/>
    <w:rPr>
      <w:rFonts w:asciiTheme="minorHAnsi" w:hAnsiTheme="minorHAnsi" w:eastAsiaTheme="minorEastAsia" w:cstheme="minorBidi"/>
      <w:kern w:val="2"/>
      <w:sz w:val="21"/>
      <w:szCs w:val="24"/>
    </w:rPr>
  </w:style>
  <w:style w:type="character" w:customStyle="1" w:styleId="27">
    <w:name w:val="正文首行缩进 Char"/>
    <w:basedOn w:val="26"/>
    <w:link w:val="10"/>
    <w:qFormat/>
    <w:uiPriority w:val="0"/>
  </w:style>
  <w:style w:type="paragraph" w:customStyle="1" w:styleId="28">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7AE9D8-FCB9-47AE-9C49-0A3227F26AF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44</Pages>
  <Words>1706</Words>
  <Characters>1934</Characters>
  <Lines>190</Lines>
  <Paragraphs>53</Paragraphs>
  <TotalTime>817</TotalTime>
  <ScaleCrop>false</ScaleCrop>
  <LinksUpToDate>false</LinksUpToDate>
  <CharactersWithSpaces>2128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Administrator</cp:lastModifiedBy>
  <dcterms:modified xsi:type="dcterms:W3CDTF">2025-07-04T03:42:31Z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C4252E08F0ED454EB654BEE205D12B02_12</vt:lpwstr>
  </property>
  <property fmtid="{D5CDD505-2E9C-101B-9397-08002B2CF9AE}" pid="4" name="KSOTemplateDocerSaveRecord">
    <vt:lpwstr>eyJoZGlkIjoiMWU3NTY1MmQ3YjRlNzdiYjUyZDdkMmEwNWY5NTRiMTMifQ==</vt:lpwstr>
  </property>
</Properties>
</file>