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2E595">
      <w:pPr>
        <w:spacing w:line="520" w:lineRule="exact"/>
        <w:jc w:val="center"/>
        <w:rPr>
          <w:rFonts w:cs="宋体" w:asciiTheme="majorEastAsia" w:hAnsiTheme="majorEastAsia" w:eastAsiaTheme="majorEastAsia"/>
          <w:b/>
          <w:kern w:val="0"/>
          <w:sz w:val="30"/>
          <w:szCs w:val="30"/>
          <w:u w:val="single"/>
        </w:rPr>
      </w:pPr>
    </w:p>
    <w:p w14:paraId="0476F991">
      <w:pPr>
        <w:spacing w:line="520" w:lineRule="exact"/>
        <w:jc w:val="center"/>
        <w:rPr>
          <w:rFonts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rPr>
        <w:t>宿州百大农产品物流有限责任公司</w:t>
      </w:r>
    </w:p>
    <w:p w14:paraId="7808A9D8">
      <w:pPr>
        <w:spacing w:line="520" w:lineRule="exact"/>
        <w:jc w:val="center"/>
        <w:rPr>
          <w:rFonts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lang w:eastAsia="zh-CN"/>
        </w:rPr>
        <w:t>宿州百大门头亮化改造项目（三次）</w:t>
      </w:r>
      <w:r>
        <w:rPr>
          <w:rFonts w:hint="eastAsia" w:cs="宋体" w:asciiTheme="majorEastAsia" w:hAnsiTheme="majorEastAsia" w:eastAsiaTheme="majorEastAsia"/>
          <w:b/>
          <w:kern w:val="0"/>
          <w:sz w:val="30"/>
          <w:szCs w:val="30"/>
          <w:u w:val="single"/>
        </w:rPr>
        <w:t>竞争性报价文件</w:t>
      </w:r>
    </w:p>
    <w:p w14:paraId="51F0E79E">
      <w:pPr>
        <w:widowControl/>
        <w:spacing w:line="580" w:lineRule="exact"/>
        <w:ind w:firstLine="480" w:firstLineChars="200"/>
        <w:jc w:val="left"/>
        <w:rPr>
          <w:rFonts w:cs="宋体" w:asciiTheme="minorEastAsia" w:hAnsiTheme="minorEastAsia"/>
          <w:kern w:val="0"/>
          <w:sz w:val="24"/>
          <w:u w:val="single"/>
        </w:rPr>
      </w:pPr>
    </w:p>
    <w:p w14:paraId="4F931E1E">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single"/>
        </w:rPr>
        <w:t>宿州百大农产品物流有限责任公司</w:t>
      </w:r>
      <w:r>
        <w:rPr>
          <w:rFonts w:hint="eastAsia" w:cs="宋体" w:asciiTheme="minorEastAsia" w:hAnsiTheme="minorEastAsia"/>
          <w:kern w:val="0"/>
          <w:sz w:val="24"/>
        </w:rPr>
        <w:t>（以下简称：</w:t>
      </w:r>
      <w:r>
        <w:rPr>
          <w:rFonts w:hint="eastAsia" w:cs="宋体" w:asciiTheme="minorEastAsia" w:hAnsiTheme="minorEastAsia"/>
          <w:kern w:val="0"/>
          <w:sz w:val="24"/>
          <w:u w:val="single"/>
        </w:rPr>
        <w:t>宿州百大</w:t>
      </w:r>
      <w:r>
        <w:rPr>
          <w:rFonts w:hint="eastAsia" w:cs="宋体" w:asciiTheme="minorEastAsia" w:hAnsiTheme="minorEastAsia"/>
          <w:kern w:val="0"/>
          <w:sz w:val="24"/>
        </w:rPr>
        <w:t>）</w:t>
      </w:r>
      <w:r>
        <w:rPr>
          <w:rFonts w:hint="eastAsia" w:cs="宋体" w:asciiTheme="minorEastAsia" w:hAnsiTheme="minorEastAsia"/>
          <w:kern w:val="0"/>
          <w:sz w:val="24"/>
          <w:u w:val="single"/>
        </w:rPr>
        <w:t>现对</w:t>
      </w:r>
      <w:r>
        <w:rPr>
          <w:rFonts w:hint="eastAsia" w:cs="宋体" w:asciiTheme="minorEastAsia" w:hAnsiTheme="minorEastAsia"/>
          <w:kern w:val="0"/>
          <w:sz w:val="24"/>
          <w:u w:val="single"/>
          <w:lang w:eastAsia="zh-CN"/>
        </w:rPr>
        <w:t>宿州百大门头亮化改造项目（三次）</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14:paraId="1FD04BB8">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14:paraId="505934C3">
      <w:pPr>
        <w:widowControl/>
        <w:spacing w:line="580" w:lineRule="exact"/>
        <w:ind w:firstLine="480" w:firstLineChars="200"/>
        <w:jc w:val="left"/>
        <w:rPr>
          <w:rFonts w:hint="eastAsia" w:cs="宋体" w:asciiTheme="minorEastAsia" w:hAnsiTheme="minorEastAsia" w:eastAsiaTheme="minorEastAsia"/>
          <w:kern w:val="0"/>
          <w:sz w:val="24"/>
          <w:lang w:eastAsia="zh-CN"/>
        </w:rPr>
      </w:pPr>
      <w:r>
        <w:rPr>
          <w:rFonts w:hint="eastAsia" w:cs="宋体" w:asciiTheme="minorEastAsia" w:hAnsiTheme="minorEastAsia"/>
          <w:kern w:val="0"/>
          <w:sz w:val="24"/>
        </w:rPr>
        <w:t>1.项目名称：</w:t>
      </w:r>
      <w:r>
        <w:rPr>
          <w:rFonts w:hint="eastAsia" w:cs="宋体" w:asciiTheme="minorEastAsia" w:hAnsiTheme="minorEastAsia"/>
          <w:kern w:val="0"/>
          <w:sz w:val="24"/>
          <w:u w:val="single"/>
          <w:lang w:eastAsia="zh-CN"/>
        </w:rPr>
        <w:t>宿州百大门头亮化改造项目（三次）</w:t>
      </w:r>
    </w:p>
    <w:p w14:paraId="07DB50CB">
      <w:pPr>
        <w:pStyle w:val="7"/>
        <w:spacing w:line="580" w:lineRule="exact"/>
        <w:ind w:firstLine="480" w:firstLineChars="200"/>
        <w:rPr>
          <w:rFonts w:cs="宋体" w:asciiTheme="minorEastAsia" w:hAnsiTheme="minorEastAsia"/>
          <w:spacing w:val="-4"/>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编号：2025BDJTGC00033</w:t>
      </w:r>
    </w:p>
    <w:p w14:paraId="7DB1D5A2">
      <w:pPr>
        <w:pStyle w:val="7"/>
        <w:spacing w:line="580" w:lineRule="exact"/>
        <w:ind w:firstLine="480" w:firstLineChars="200"/>
        <w:rPr>
          <w:rFonts w:cs="宋体" w:asciiTheme="minorEastAsia" w:hAnsi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rPr>
        <w:t>宿州市经济技术开发区南二环路88号</w:t>
      </w:r>
    </w:p>
    <w:p w14:paraId="0B1ACFFF">
      <w:pPr>
        <w:pStyle w:val="7"/>
        <w:spacing w:line="580" w:lineRule="exact"/>
        <w:ind w:firstLine="480" w:firstLineChars="200"/>
        <w:rPr>
          <w:rFonts w:cs="宋体" w:asciiTheme="minorEastAsia" w:hAnsiTheme="minorEastAsia" w:eastAsiaTheme="minorEastAsia"/>
          <w:kern w:val="0"/>
          <w:sz w:val="24"/>
          <w:highlight w:val="yellow"/>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eastAsiaTheme="minorEastAsia"/>
          <w:kern w:val="0"/>
          <w:sz w:val="24"/>
          <w:highlight w:val="none"/>
        </w:rPr>
        <w:t>：</w:t>
      </w:r>
      <w:r>
        <w:rPr>
          <w:rFonts w:ascii="Calibri" w:hAnsi="Calibri" w:cs="Calibri" w:eastAsiaTheme="minorEastAsia"/>
          <w:kern w:val="0"/>
          <w:sz w:val="24"/>
          <w:highlight w:val="none"/>
        </w:rPr>
        <w:t>①</w:t>
      </w:r>
      <w:r>
        <w:rPr>
          <w:rFonts w:hint="eastAsia" w:cs="宋体" w:asciiTheme="minorEastAsia" w:hAnsiTheme="minorEastAsia" w:eastAsiaTheme="minorEastAsia"/>
          <w:kern w:val="0"/>
          <w:sz w:val="24"/>
          <w:highlight w:val="none"/>
          <w:u w:val="single"/>
        </w:rPr>
        <w:t>宿州百大</w:t>
      </w:r>
      <w:r>
        <w:rPr>
          <w:rFonts w:hint="eastAsia" w:cs="宋体" w:asciiTheme="minorEastAsia" w:hAnsiTheme="minorEastAsia"/>
          <w:kern w:val="0"/>
          <w:sz w:val="24"/>
          <w:highlight w:val="none"/>
          <w:u w:val="single"/>
        </w:rPr>
        <w:t>西门门头原12个亮化字及线路拆除、重新安装12个点阵字</w:t>
      </w:r>
      <w:r>
        <w:rPr>
          <w:rFonts w:hint="eastAsia" w:cs="宋体" w:asciiTheme="minorEastAsia" w:hAnsiTheme="minorEastAsia"/>
          <w:kern w:val="0"/>
          <w:sz w:val="24"/>
          <w:highlight w:val="none"/>
          <w:u w:val="single"/>
          <w:lang w:eastAsia="zh-CN"/>
        </w:rPr>
        <w:t>，</w:t>
      </w:r>
      <w:r>
        <w:rPr>
          <w:rFonts w:hint="eastAsia" w:cs="宋体" w:asciiTheme="minorEastAsia" w:hAnsiTheme="minorEastAsia"/>
          <w:kern w:val="0"/>
          <w:sz w:val="24"/>
          <w:highlight w:val="none"/>
          <w:u w:val="single"/>
        </w:rPr>
        <w:t>尺寸为1.8米*2.2米</w:t>
      </w:r>
      <w:r>
        <w:rPr>
          <w:rFonts w:hint="eastAsia" w:cs="宋体" w:asciiTheme="minorEastAsia" w:hAnsiTheme="minorEastAsia"/>
          <w:kern w:val="0"/>
          <w:sz w:val="24"/>
          <w:highlight w:val="none"/>
          <w:u w:val="single"/>
          <w:lang w:val="en-US" w:eastAsia="zh-CN"/>
        </w:rPr>
        <w:t>/个</w:t>
      </w:r>
      <w:r>
        <w:rPr>
          <w:rFonts w:hint="eastAsia" w:cs="宋体" w:asciiTheme="minorEastAsia" w:hAnsiTheme="minorEastAsia"/>
          <w:kern w:val="0"/>
          <w:sz w:val="24"/>
          <w:highlight w:val="none"/>
          <w:u w:val="single"/>
        </w:rPr>
        <w:t>，LED灯珠，灯距2.0</w:t>
      </w:r>
      <w:r>
        <w:rPr>
          <w:rFonts w:hint="eastAsia" w:cs="宋体" w:asciiTheme="minorEastAsia" w:hAnsiTheme="minorEastAsia"/>
          <w:kern w:val="0"/>
          <w:sz w:val="24"/>
          <w:highlight w:val="none"/>
          <w:u w:val="single"/>
          <w:lang w:val="en-US" w:eastAsia="zh-CN"/>
        </w:rPr>
        <w:t>㎝</w:t>
      </w:r>
      <w:r>
        <w:rPr>
          <w:rFonts w:hint="eastAsia" w:cs="宋体" w:asciiTheme="minorEastAsia" w:hAnsiTheme="minorEastAsia"/>
          <w:kern w:val="0"/>
          <w:sz w:val="24"/>
          <w:highlight w:val="none"/>
          <w:u w:val="single"/>
        </w:rPr>
        <w:t>（</w:t>
      </w:r>
      <w:r>
        <w:rPr>
          <w:rFonts w:hint="eastAsia" w:cs="宋体" w:asciiTheme="minorEastAsia" w:hAnsiTheme="minorEastAsia"/>
          <w:kern w:val="0"/>
          <w:sz w:val="24"/>
          <w:highlight w:val="none"/>
          <w:u w:val="single"/>
          <w:lang w:val="en-US" w:eastAsia="zh-CN"/>
        </w:rPr>
        <w:t>灯珠</w:t>
      </w:r>
      <w:r>
        <w:rPr>
          <w:rFonts w:hint="eastAsia" w:cs="宋体" w:asciiTheme="minorEastAsia" w:hAnsiTheme="minorEastAsia"/>
          <w:kern w:val="0"/>
          <w:sz w:val="24"/>
          <w:highlight w:val="none"/>
          <w:u w:val="single"/>
        </w:rPr>
        <w:t>品牌：台宏、蓝景、华灿），电源盒24个</w:t>
      </w:r>
      <w:r>
        <w:rPr>
          <w:rFonts w:hint="eastAsia"/>
          <w:sz w:val="24"/>
          <w:highlight w:val="none"/>
          <w:u w:val="single"/>
          <w:lang w:eastAsia="zh-CN"/>
        </w:rPr>
        <w:t>（</w:t>
      </w:r>
      <w:r>
        <w:rPr>
          <w:rFonts w:hint="eastAsia"/>
          <w:sz w:val="24"/>
          <w:highlight w:val="none"/>
          <w:u w:val="single"/>
          <w:lang w:val="en-US" w:eastAsia="zh-CN"/>
        </w:rPr>
        <w:t>400W/个</w:t>
      </w:r>
      <w:r>
        <w:rPr>
          <w:rFonts w:hint="eastAsia"/>
          <w:sz w:val="24"/>
          <w:highlight w:val="none"/>
          <w:u w:val="single"/>
          <w:lang w:eastAsia="zh-CN"/>
        </w:rPr>
        <w:t>）</w:t>
      </w:r>
      <w:r>
        <w:rPr>
          <w:rFonts w:hint="eastAsia" w:cs="宋体" w:asciiTheme="minorEastAsia" w:hAnsiTheme="minorEastAsia"/>
          <w:kern w:val="0"/>
          <w:sz w:val="24"/>
          <w:highlight w:val="none"/>
          <w:u w:val="single"/>
          <w:lang w:eastAsia="zh-CN"/>
        </w:rPr>
        <w:t>，</w:t>
      </w:r>
      <w:r>
        <w:rPr>
          <w:rFonts w:hint="eastAsia"/>
          <w:sz w:val="24"/>
          <w:highlight w:val="none"/>
          <w:u w:val="single"/>
        </w:rPr>
        <w:t>字基板为1.0mm厚镀锌铁板</w:t>
      </w:r>
      <w:r>
        <w:rPr>
          <w:rFonts w:hint="eastAsia"/>
          <w:sz w:val="24"/>
          <w:highlight w:val="none"/>
          <w:u w:val="single"/>
          <w:lang w:eastAsia="zh-CN"/>
        </w:rPr>
        <w:t>（</w:t>
      </w:r>
      <w:r>
        <w:rPr>
          <w:rFonts w:hint="eastAsia"/>
          <w:sz w:val="24"/>
          <w:highlight w:val="none"/>
          <w:u w:val="single"/>
        </w:rPr>
        <w:t>红色烤漆</w:t>
      </w:r>
      <w:r>
        <w:rPr>
          <w:rFonts w:hint="eastAsia"/>
          <w:sz w:val="24"/>
          <w:highlight w:val="none"/>
          <w:u w:val="single"/>
          <w:lang w:eastAsia="zh-CN"/>
        </w:rPr>
        <w:t>）</w:t>
      </w:r>
      <w:r>
        <w:rPr>
          <w:rFonts w:hint="eastAsia" w:cs="宋体" w:asciiTheme="minorEastAsia" w:hAnsiTheme="minorEastAsia"/>
          <w:kern w:val="0"/>
          <w:sz w:val="24"/>
          <w:highlight w:val="none"/>
          <w:u w:val="single"/>
        </w:rPr>
        <w:t>；②在西门门头上安装4处吊钩，用钢丝绳配滑轮组牵引至南北门</w:t>
      </w:r>
      <w:r>
        <w:rPr>
          <w:rFonts w:hint="eastAsia" w:cs="宋体" w:asciiTheme="minorEastAsia" w:hAnsiTheme="minorEastAsia"/>
          <w:kern w:val="0"/>
          <w:sz w:val="24"/>
          <w:highlight w:val="none"/>
          <w:u w:val="single"/>
          <w:lang w:val="en-US" w:eastAsia="zh-CN"/>
        </w:rPr>
        <w:t>楼梯间内（钢丝绳约40米/处）并</w:t>
      </w:r>
      <w:r>
        <w:rPr>
          <w:rFonts w:hint="eastAsia" w:cs="宋体" w:asciiTheme="minorEastAsia" w:hAnsiTheme="minorEastAsia"/>
          <w:kern w:val="0"/>
          <w:sz w:val="24"/>
          <w:highlight w:val="none"/>
          <w:u w:val="single"/>
        </w:rPr>
        <w:t>各安装2个手摇钢丝绳装置（该装置安装后能够上下顺畅牢固可靠，</w:t>
      </w:r>
      <w:r>
        <w:rPr>
          <w:rFonts w:hint="eastAsia" w:cs="宋体" w:asciiTheme="minorEastAsia" w:hAnsiTheme="minorEastAsia"/>
          <w:kern w:val="0"/>
          <w:sz w:val="24"/>
          <w:highlight w:val="none"/>
          <w:u w:val="single"/>
          <w:lang w:val="en-US" w:eastAsia="zh-CN"/>
        </w:rPr>
        <w:t>质保期</w:t>
      </w:r>
      <w:r>
        <w:rPr>
          <w:rFonts w:hint="eastAsia" w:cs="宋体" w:asciiTheme="minorEastAsia" w:hAnsiTheme="minorEastAsia"/>
          <w:kern w:val="0"/>
          <w:sz w:val="24"/>
          <w:highlight w:val="none"/>
          <w:u w:val="single"/>
        </w:rPr>
        <w:t>内出现质量问题须</w:t>
      </w:r>
      <w:r>
        <w:rPr>
          <w:rFonts w:hint="eastAsia" w:cs="宋体" w:asciiTheme="minorEastAsia" w:hAnsiTheme="minorEastAsia"/>
          <w:kern w:val="0"/>
          <w:sz w:val="24"/>
          <w:highlight w:val="none"/>
          <w:u w:val="single"/>
          <w:lang w:val="en-US" w:eastAsia="zh-CN"/>
        </w:rPr>
        <w:t>24小</w:t>
      </w:r>
      <w:r>
        <w:rPr>
          <w:rFonts w:hint="eastAsia" w:cs="宋体" w:asciiTheme="minorEastAsia" w:hAnsiTheme="minorEastAsia"/>
          <w:kern w:val="0"/>
          <w:sz w:val="24"/>
          <w:highlight w:val="none"/>
          <w:u w:val="single"/>
        </w:rPr>
        <w:t>时到场配合处理</w:t>
      </w:r>
      <w:r>
        <w:rPr>
          <w:rFonts w:hint="eastAsia" w:cs="宋体" w:asciiTheme="minorEastAsia" w:hAnsiTheme="minorEastAsia"/>
          <w:kern w:val="0"/>
          <w:sz w:val="24"/>
          <w:highlight w:val="none"/>
          <w:u w:val="single"/>
          <w:lang w:eastAsia="zh-CN"/>
        </w:rPr>
        <w:t>）</w:t>
      </w:r>
      <w:r>
        <w:rPr>
          <w:rFonts w:hint="eastAsia" w:cs="宋体" w:asciiTheme="minorEastAsia" w:hAnsiTheme="minorEastAsia"/>
          <w:kern w:val="0"/>
          <w:sz w:val="24"/>
          <w:highlight w:val="none"/>
          <w:u w:val="single"/>
        </w:rPr>
        <w:t>；</w:t>
      </w:r>
      <w:r>
        <w:rPr>
          <w:rFonts w:ascii="Calibri" w:hAnsi="Calibri" w:cs="Calibri"/>
          <w:kern w:val="0"/>
          <w:sz w:val="24"/>
          <w:highlight w:val="none"/>
          <w:u w:val="single"/>
        </w:rPr>
        <w:t>③</w:t>
      </w:r>
      <w:r>
        <w:rPr>
          <w:rFonts w:hint="eastAsia" w:ascii="Calibri" w:hAnsi="Calibri" w:cs="Calibri"/>
          <w:kern w:val="0"/>
          <w:sz w:val="24"/>
          <w:highlight w:val="none"/>
          <w:u w:val="single"/>
        </w:rPr>
        <w:t>A1</w:t>
      </w:r>
      <w:r>
        <w:rPr>
          <w:rFonts w:hint="eastAsia" w:cs="宋体" w:asciiTheme="minorEastAsia" w:hAnsiTheme="minorEastAsia"/>
          <w:kern w:val="0"/>
          <w:sz w:val="24"/>
          <w:highlight w:val="none"/>
          <w:u w:val="single"/>
        </w:rPr>
        <w:t>办公楼门头拆除清运、并按要求重装门头</w:t>
      </w:r>
      <w:r>
        <w:rPr>
          <w:rFonts w:hint="eastAsia" w:cs="宋体" w:asciiTheme="minorEastAsia" w:hAnsiTheme="minorEastAsia"/>
          <w:kern w:val="0"/>
          <w:sz w:val="24"/>
          <w:highlight w:val="none"/>
          <w:u w:val="single"/>
          <w:lang w:val="en-US" w:eastAsia="zh-CN"/>
        </w:rPr>
        <w:t>和</w:t>
      </w:r>
      <w:r>
        <w:rPr>
          <w:rFonts w:hint="eastAsia" w:cs="宋体" w:asciiTheme="minorEastAsia" w:hAnsiTheme="minorEastAsia"/>
          <w:kern w:val="0"/>
          <w:sz w:val="24"/>
          <w:highlight w:val="none"/>
          <w:u w:val="single"/>
        </w:rPr>
        <w:t>亚克力PVC字</w:t>
      </w:r>
      <w:r>
        <w:rPr>
          <w:rFonts w:hint="eastAsia" w:hAnsi="宋体" w:cs="宋体" w:eastAsiaTheme="minorEastAsia"/>
          <w:kern w:val="0"/>
          <w:sz w:val="24"/>
          <w:highlight w:val="none"/>
        </w:rPr>
        <w:t>，详见附件一采购需求和附件二《合同》。</w:t>
      </w:r>
    </w:p>
    <w:p w14:paraId="4330EBD5">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5.项目概算：人民币</w:t>
      </w:r>
      <w:r>
        <w:rPr>
          <w:rFonts w:hint="eastAsia" w:cs="宋体" w:asciiTheme="minorEastAsia" w:hAnsiTheme="minorEastAsia"/>
          <w:kern w:val="0"/>
          <w:sz w:val="24"/>
          <w:highlight w:val="none"/>
          <w:u w:val="single"/>
        </w:rPr>
        <w:t>34459.6</w:t>
      </w:r>
      <w:r>
        <w:rPr>
          <w:rFonts w:hint="eastAsia" w:cs="宋体" w:asciiTheme="minorEastAsia" w:hAnsiTheme="minorEastAsia"/>
          <w:kern w:val="0"/>
          <w:sz w:val="24"/>
          <w:highlight w:val="none"/>
          <w:u w:val="single"/>
          <w:lang w:val="en-US" w:eastAsia="zh-CN"/>
        </w:rPr>
        <w:t>0</w:t>
      </w:r>
      <w:r>
        <w:rPr>
          <w:rFonts w:hint="eastAsia" w:cs="宋体" w:asciiTheme="minorEastAsia" w:hAnsiTheme="minorEastAsia"/>
          <w:kern w:val="0"/>
          <w:sz w:val="24"/>
          <w:highlight w:val="none"/>
        </w:rPr>
        <w:t>元。</w:t>
      </w:r>
    </w:p>
    <w:p w14:paraId="59E20828">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14:paraId="0C55265E">
      <w:pPr>
        <w:shd w:val="clear" w:color="auto" w:fill="FFFFFF"/>
        <w:snapToGrid w:val="0"/>
        <w:spacing w:line="580" w:lineRule="exact"/>
        <w:ind w:firstLine="120" w:firstLineChars="50"/>
        <w:rPr>
          <w:rFonts w:eastAsia="宋体" w:cs="Times New Roman" w:asciiTheme="minorEastAsia" w:hAnsiTheme="minorEastAsia"/>
          <w:kern w:val="0"/>
          <w:sz w:val="24"/>
          <w:szCs w:val="21"/>
        </w:rPr>
      </w:pPr>
      <w:r>
        <w:rPr>
          <w:rFonts w:hint="eastAsia" w:eastAsia="宋体" w:cs="Times New Roman" w:asciiTheme="minorEastAsia" w:hAnsiTheme="minorEastAsia"/>
          <w:kern w:val="0"/>
          <w:sz w:val="24"/>
          <w:szCs w:val="21"/>
        </w:rPr>
        <w:t xml:space="preserve">   1.具有独立承担民事责任的能力。</w:t>
      </w:r>
    </w:p>
    <w:p w14:paraId="3FB23CBF">
      <w:pPr>
        <w:shd w:val="clear" w:color="auto" w:fill="FFFFFF"/>
        <w:snapToGrid w:val="0"/>
        <w:spacing w:line="580" w:lineRule="exact"/>
        <w:ind w:firstLine="480" w:firstLineChars="200"/>
        <w:rPr>
          <w:rFonts w:cs="Times New Roman" w:asciiTheme="minorEastAsia" w:hAnsiTheme="minorEastAsia"/>
          <w:kern w:val="0"/>
          <w:sz w:val="24"/>
        </w:rPr>
      </w:pPr>
      <w:r>
        <w:rPr>
          <w:rFonts w:hint="eastAsia" w:eastAsia="宋体" w:cs="Times New Roman" w:asciiTheme="minorEastAsia" w:hAnsiTheme="minorEastAsia"/>
          <w:kern w:val="0"/>
          <w:sz w:val="24"/>
          <w:szCs w:val="21"/>
        </w:rPr>
        <w:t>2.</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14:paraId="573220DB">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2.1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14:paraId="077B3EC6">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2.2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14:paraId="3F55A2AC">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2.3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14:paraId="34C890CA">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2.4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14:paraId="4C4EA0FE">
      <w:pPr>
        <w:pStyle w:val="21"/>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14:paraId="725BFBC7">
      <w:pPr>
        <w:pStyle w:val="21"/>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文件》须包含：附件三格式</w:t>
      </w:r>
      <w:r>
        <w:rPr>
          <w:rFonts w:hint="eastAsia" w:asciiTheme="minorEastAsia" w:hAnsiTheme="minorEastAsia" w:eastAsiaTheme="minorEastAsia"/>
          <w:b/>
          <w:sz w:val="24"/>
          <w:szCs w:val="24"/>
        </w:rPr>
        <w:t>1-7</w:t>
      </w:r>
      <w:r>
        <w:rPr>
          <w:rFonts w:hint="eastAsia" w:asciiTheme="minorEastAsia" w:hAnsiTheme="minorEastAsia" w:eastAsiaTheme="minorEastAsia"/>
          <w:sz w:val="24"/>
          <w:szCs w:val="24"/>
        </w:rPr>
        <w:t xml:space="preserve">内容； </w:t>
      </w:r>
    </w:p>
    <w:p w14:paraId="76673649">
      <w:pPr>
        <w:pStyle w:val="21"/>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14:paraId="18528D5D">
      <w:pPr>
        <w:pStyle w:val="21"/>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密封在档案袋内于提交截止时间前送达至指定地点，逾期不予受理。</w:t>
      </w:r>
    </w:p>
    <w:p w14:paraId="1D7F3A71">
      <w:pPr>
        <w:pStyle w:val="21"/>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14:paraId="1AB32C8A">
      <w:pPr>
        <w:pStyle w:val="21"/>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报价为完成附件二《合同》所列全部内容的价格。</w:t>
      </w:r>
    </w:p>
    <w:p w14:paraId="05A1329E">
      <w:pPr>
        <w:pStyle w:val="21"/>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报价不得高于本项目概算，否则视为无效报价。</w:t>
      </w:r>
    </w:p>
    <w:p w14:paraId="6C92BAB9">
      <w:pPr>
        <w:pStyle w:val="21"/>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u w:val="single"/>
          <w:lang w:val="en-US" w:eastAsia="zh-CN"/>
        </w:rPr>
        <w:t>30</w:t>
      </w:r>
      <w:r>
        <w:rPr>
          <w:rFonts w:hint="eastAsia" w:asciiTheme="minorEastAsia" w:hAnsiTheme="minorEastAsia" w:eastAsiaTheme="minorEastAsia"/>
          <w:sz w:val="24"/>
          <w:szCs w:val="24"/>
          <w:highlight w:val="none"/>
          <w:u w:val="single"/>
        </w:rPr>
        <w:t>个</w:t>
      </w:r>
      <w:r>
        <w:rPr>
          <w:rFonts w:asciiTheme="minorEastAsia" w:hAnsiTheme="minorEastAsia" w:eastAsiaTheme="minorEastAsia"/>
          <w:sz w:val="24"/>
          <w:szCs w:val="24"/>
          <w:highlight w:val="none"/>
        </w:rPr>
        <w:t>日</w:t>
      </w:r>
      <w:r>
        <w:rPr>
          <w:rFonts w:asciiTheme="minorEastAsia" w:hAnsiTheme="minorEastAsia" w:eastAsiaTheme="minorEastAsia"/>
          <w:sz w:val="24"/>
          <w:szCs w:val="24"/>
        </w:rPr>
        <w:t>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14:paraId="30A714C9">
      <w:pPr>
        <w:pStyle w:val="21"/>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14:paraId="64199F9E">
      <w:pPr>
        <w:pStyle w:val="21"/>
        <w:spacing w:line="58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有效最低价法</w:t>
      </w:r>
      <w:r>
        <w:rPr>
          <w:rFonts w:hint="eastAsia" w:cs="宋体" w:asciiTheme="minorEastAsia" w:hAnsiTheme="minorEastAsia" w:eastAsiaTheme="minorEastAsia"/>
          <w:sz w:val="24"/>
        </w:rPr>
        <w:t>，是指报价人《响应文件》满足本项目《竞争性报价文件》所列全部实质性要求且报价最低的报价人为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14:paraId="0DB6EBF7">
      <w:pPr>
        <w:pStyle w:val="21"/>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如两家及以上有效报价人报价相同且最低的，须再次进行报价，直至产生最低报价；</w:t>
      </w:r>
    </w:p>
    <w:p w14:paraId="3B99A5CF">
      <w:pPr>
        <w:pStyle w:val="21"/>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成交后，甲（采购人）乙（成交供应商）双方签订附件二《合同》，乙方须严格履行合同所列相关责任和义务。</w:t>
      </w:r>
    </w:p>
    <w:p w14:paraId="292AEAF9">
      <w:pPr>
        <w:widowControl/>
        <w:spacing w:line="580" w:lineRule="exact"/>
        <w:ind w:firstLine="482" w:firstLineChars="200"/>
        <w:jc w:val="left"/>
        <w:rPr>
          <w:rFonts w:cs="宋体" w:asciiTheme="minorEastAsia" w:hAnsiTheme="minorEastAsia"/>
          <w:b/>
          <w:kern w:val="0"/>
          <w:sz w:val="24"/>
        </w:rPr>
      </w:pPr>
      <w:r>
        <w:rPr>
          <w:rFonts w:hint="eastAsia" w:cs="Times New Roman" w:asciiTheme="minorEastAsia" w:hAnsiTheme="minorEastAsia"/>
          <w:b/>
          <w:kern w:val="0"/>
          <w:sz w:val="24"/>
        </w:rPr>
        <w:t>七、</w:t>
      </w:r>
      <w:r>
        <w:rPr>
          <w:rFonts w:hint="eastAsia" w:asciiTheme="minorEastAsia" w:hAnsiTheme="minorEastAsia"/>
          <w:b/>
          <w:sz w:val="24"/>
        </w:rPr>
        <w:t>响应</w:t>
      </w:r>
      <w:r>
        <w:rPr>
          <w:rFonts w:hint="eastAsia" w:cs="Times New Roman" w:asciiTheme="minorEastAsia" w:hAnsiTheme="minorEastAsia"/>
          <w:b/>
          <w:kern w:val="0"/>
          <w:sz w:val="24"/>
        </w:rPr>
        <w:t>文件提交截止时间：2025年</w:t>
      </w:r>
      <w:r>
        <w:rPr>
          <w:rFonts w:hint="eastAsia" w:cs="Times New Roman" w:asciiTheme="minorEastAsia" w:hAnsiTheme="minorEastAsia"/>
          <w:b/>
          <w:kern w:val="0"/>
          <w:sz w:val="24"/>
          <w:lang w:val="en-US" w:eastAsia="zh-CN"/>
        </w:rPr>
        <w:t>6</w:t>
      </w:r>
      <w:r>
        <w:rPr>
          <w:rFonts w:hint="eastAsia" w:cs="Times New Roman" w:asciiTheme="minorEastAsia" w:hAnsiTheme="minorEastAsia"/>
          <w:b/>
          <w:kern w:val="0"/>
          <w:sz w:val="24"/>
        </w:rPr>
        <w:t>月</w:t>
      </w:r>
      <w:r>
        <w:rPr>
          <w:rFonts w:hint="eastAsia" w:cs="Times New Roman" w:asciiTheme="minorEastAsia" w:hAnsiTheme="minorEastAsia"/>
          <w:b/>
          <w:kern w:val="0"/>
          <w:sz w:val="24"/>
          <w:lang w:val="en-US" w:eastAsia="zh-CN"/>
        </w:rPr>
        <w:t>24</w:t>
      </w:r>
      <w:bookmarkStart w:id="0" w:name="_GoBack"/>
      <w:bookmarkEnd w:id="0"/>
      <w:r>
        <w:rPr>
          <w:rFonts w:hint="eastAsia" w:cs="Times New Roman" w:asciiTheme="minorEastAsia" w:hAnsiTheme="minorEastAsia"/>
          <w:b/>
          <w:kern w:val="0"/>
          <w:sz w:val="24"/>
        </w:rPr>
        <w:t xml:space="preserve">日 </w:t>
      </w:r>
      <w:r>
        <w:rPr>
          <w:rFonts w:hint="eastAsia" w:cs="Times New Roman" w:asciiTheme="minorEastAsia" w:hAnsiTheme="minorEastAsia"/>
          <w:b/>
          <w:kern w:val="0"/>
          <w:sz w:val="24"/>
          <w:lang w:val="en-US" w:eastAsia="zh-CN"/>
        </w:rPr>
        <w:t>上午10:30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14:paraId="542222CB">
      <w:pPr>
        <w:pStyle w:val="21"/>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sz w:val="24"/>
          <w:szCs w:val="24"/>
          <w:u w:val="single"/>
        </w:rPr>
        <w:t>安徽省宿州市经济开发区南二环路88号A1办公楼小会议室。</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14:paraId="4575867C">
      <w:pPr>
        <w:spacing w:line="580" w:lineRule="exact"/>
        <w:ind w:firstLine="472" w:firstLineChars="196"/>
        <w:rPr>
          <w:rFonts w:asciiTheme="minorEastAsia" w:hAnsiTheme="minorEastAsia"/>
          <w:sz w:val="24"/>
        </w:rPr>
      </w:pPr>
      <w:r>
        <w:rPr>
          <w:rFonts w:hint="eastAsia" w:cs="宋体" w:asciiTheme="minorEastAsia" w:hAnsiTheme="minorEastAsia"/>
          <w:b/>
          <w:kern w:val="0"/>
          <w:sz w:val="24"/>
        </w:rPr>
        <w:t>八、</w:t>
      </w:r>
      <w:r>
        <w:rPr>
          <w:rFonts w:hint="eastAsia" w:asciiTheme="minorEastAsia" w:hAnsiTheme="minorEastAsia"/>
          <w:b/>
          <w:kern w:val="0"/>
          <w:sz w:val="24"/>
        </w:rPr>
        <w:t>联系人及电话：孙工</w:t>
      </w:r>
      <w:r>
        <w:rPr>
          <w:rFonts w:hint="eastAsia" w:asciiTheme="minorEastAsia" w:hAnsiTheme="minorEastAsia"/>
          <w:sz w:val="24"/>
        </w:rPr>
        <w:t xml:space="preserve">  0557-</w:t>
      </w:r>
      <w:r>
        <w:rPr>
          <w:rFonts w:hint="eastAsia" w:asciiTheme="minorEastAsia" w:hAnsiTheme="minorEastAsia"/>
          <w:sz w:val="24"/>
          <w:u w:val="single"/>
        </w:rPr>
        <w:t>3097166</w:t>
      </w:r>
      <w:r>
        <w:rPr>
          <w:rFonts w:hint="eastAsia" w:asciiTheme="minorEastAsia" w:hAnsiTheme="minorEastAsia"/>
          <w:sz w:val="24"/>
        </w:rPr>
        <w:t>；（意向报价人如有疑问可来电垂询）</w:t>
      </w:r>
    </w:p>
    <w:p w14:paraId="7A9652B4">
      <w:pPr>
        <w:spacing w:line="600" w:lineRule="exact"/>
        <w:ind w:firstLine="470" w:firstLineChars="196"/>
        <w:rPr>
          <w:rFonts w:asciiTheme="majorEastAsia" w:hAnsiTheme="majorEastAsia" w:eastAsiaTheme="majorEastAsia"/>
          <w:sz w:val="24"/>
        </w:rPr>
      </w:pPr>
    </w:p>
    <w:p w14:paraId="6C5AB90A">
      <w:pPr>
        <w:spacing w:line="600" w:lineRule="exact"/>
        <w:rPr>
          <w:rFonts w:asciiTheme="majorEastAsia" w:hAnsiTheme="majorEastAsia" w:eastAsiaTheme="majorEastAsia"/>
        </w:rPr>
      </w:pPr>
    </w:p>
    <w:p w14:paraId="638AC0CC">
      <w:pPr>
        <w:spacing w:line="600" w:lineRule="exact"/>
        <w:jc w:val="left"/>
        <w:rPr>
          <w:b/>
          <w:sz w:val="24"/>
        </w:rPr>
      </w:pPr>
      <w:r>
        <w:rPr>
          <w:rFonts w:hint="eastAsia" w:asciiTheme="majorEastAsia" w:hAnsiTheme="majorEastAsia" w:eastAsiaTheme="majorEastAsia"/>
          <w:sz w:val="24"/>
        </w:rPr>
        <w:t xml:space="preserve"> </w:t>
      </w:r>
      <w:r>
        <w:rPr>
          <w:rFonts w:hint="eastAsia"/>
          <w:b/>
          <w:sz w:val="24"/>
        </w:rPr>
        <w:t>附件一：采购需求</w:t>
      </w:r>
    </w:p>
    <w:p w14:paraId="67C0DBD8">
      <w:pPr>
        <w:pStyle w:val="17"/>
      </w:pPr>
    </w:p>
    <w:p w14:paraId="53A9556B">
      <w:pPr>
        <w:numPr>
          <w:ilvl w:val="0"/>
          <w:numId w:val="1"/>
        </w:numPr>
        <w:spacing w:line="360" w:lineRule="exact"/>
        <w:rPr>
          <w:b/>
          <w:bCs/>
          <w:sz w:val="24"/>
        </w:rPr>
      </w:pPr>
      <w:r>
        <w:rPr>
          <w:rFonts w:hint="eastAsia"/>
          <w:b/>
          <w:bCs/>
          <w:sz w:val="24"/>
        </w:rPr>
        <w:t>西门门头亮化字拆除及重新安装要求</w:t>
      </w:r>
    </w:p>
    <w:p w14:paraId="62F253E2">
      <w:pPr>
        <w:spacing w:line="360" w:lineRule="exact"/>
        <w:ind w:firstLine="480" w:firstLineChars="200"/>
        <w:rPr>
          <w:rFonts w:hint="eastAsia"/>
          <w:color w:val="auto"/>
          <w:sz w:val="24"/>
          <w:highlight w:val="none"/>
        </w:rPr>
      </w:pPr>
      <w:r>
        <w:rPr>
          <w:rFonts w:hint="eastAsia"/>
          <w:color w:val="auto"/>
          <w:sz w:val="24"/>
          <w:highlight w:val="none"/>
        </w:rPr>
        <w:t>1. 将西门门头原12个亮化字及原线路拆除，字体支架</w:t>
      </w:r>
      <w:r>
        <w:rPr>
          <w:rFonts w:hint="eastAsia"/>
          <w:color w:val="auto"/>
          <w:sz w:val="24"/>
          <w:highlight w:val="none"/>
          <w:lang w:val="en-US" w:eastAsia="zh-CN"/>
        </w:rPr>
        <w:t>及底部固定横撑</w:t>
      </w:r>
      <w:r>
        <w:rPr>
          <w:rFonts w:hint="eastAsia"/>
          <w:color w:val="auto"/>
          <w:sz w:val="24"/>
          <w:highlight w:val="none"/>
        </w:rPr>
        <w:t>继续作新字体支架使用</w:t>
      </w:r>
      <w:r>
        <w:rPr>
          <w:rFonts w:hint="eastAsia"/>
          <w:color w:val="auto"/>
          <w:sz w:val="24"/>
          <w:highlight w:val="none"/>
          <w:lang w:val="en-US" w:eastAsia="zh-CN"/>
        </w:rPr>
        <w:t>并</w:t>
      </w:r>
      <w:r>
        <w:rPr>
          <w:rFonts w:hint="eastAsia"/>
          <w:color w:val="auto"/>
          <w:sz w:val="24"/>
          <w:highlight w:val="none"/>
        </w:rPr>
        <w:t>对保留支架</w:t>
      </w:r>
      <w:r>
        <w:rPr>
          <w:rFonts w:hint="eastAsia"/>
          <w:color w:val="auto"/>
          <w:sz w:val="24"/>
          <w:highlight w:val="none"/>
          <w:lang w:val="en-US" w:eastAsia="zh-CN"/>
        </w:rPr>
        <w:t>及底部固定横撑做</w:t>
      </w:r>
      <w:r>
        <w:rPr>
          <w:rFonts w:hint="eastAsia"/>
          <w:color w:val="auto"/>
          <w:sz w:val="24"/>
          <w:highlight w:val="none"/>
        </w:rPr>
        <w:t>除锈</w:t>
      </w:r>
      <w:r>
        <w:rPr>
          <w:rFonts w:hint="eastAsia"/>
          <w:color w:val="auto"/>
          <w:sz w:val="24"/>
          <w:highlight w:val="none"/>
          <w:lang w:eastAsia="zh-CN"/>
        </w:rPr>
        <w:t>、</w:t>
      </w:r>
      <w:r>
        <w:rPr>
          <w:rFonts w:hint="eastAsia"/>
          <w:color w:val="auto"/>
          <w:sz w:val="24"/>
          <w:highlight w:val="none"/>
        </w:rPr>
        <w:t>刷防锈油漆</w:t>
      </w:r>
      <w:r>
        <w:rPr>
          <w:rFonts w:hint="eastAsia"/>
          <w:color w:val="auto"/>
          <w:sz w:val="24"/>
          <w:highlight w:val="none"/>
          <w:lang w:val="en-US" w:eastAsia="zh-CN"/>
        </w:rPr>
        <w:t>处理</w:t>
      </w:r>
      <w:r>
        <w:rPr>
          <w:rFonts w:hint="eastAsia"/>
          <w:color w:val="auto"/>
          <w:sz w:val="24"/>
          <w:highlight w:val="none"/>
        </w:rPr>
        <w:t>（</w:t>
      </w:r>
      <w:r>
        <w:rPr>
          <w:rFonts w:hint="eastAsia"/>
          <w:color w:val="auto"/>
          <w:sz w:val="24"/>
          <w:highlight w:val="none"/>
          <w:lang w:val="en-US" w:eastAsia="zh-CN"/>
        </w:rPr>
        <w:t>油漆</w:t>
      </w:r>
      <w:r>
        <w:rPr>
          <w:rFonts w:hint="eastAsia"/>
          <w:color w:val="auto"/>
          <w:sz w:val="24"/>
          <w:highlight w:val="none"/>
        </w:rPr>
        <w:t>品牌：嘉宝莉、乐士、三棵树），</w:t>
      </w:r>
      <w:r>
        <w:rPr>
          <w:rFonts w:hint="eastAsia"/>
          <w:color w:val="auto"/>
          <w:sz w:val="24"/>
          <w:highlight w:val="none"/>
          <w:lang w:val="en-US" w:eastAsia="zh-CN"/>
        </w:rPr>
        <w:t>对</w:t>
      </w:r>
      <w:r>
        <w:rPr>
          <w:rFonts w:hint="eastAsia"/>
          <w:color w:val="auto"/>
          <w:sz w:val="24"/>
          <w:highlight w:val="none"/>
        </w:rPr>
        <w:t>锈蚀严重处采用厚度为2mm同规格</w:t>
      </w:r>
      <w:r>
        <w:rPr>
          <w:rFonts w:hint="eastAsia"/>
          <w:color w:val="auto"/>
          <w:sz w:val="24"/>
          <w:highlight w:val="none"/>
          <w:lang w:eastAsia="zh-CN"/>
        </w:rPr>
        <w:t>（</w:t>
      </w:r>
      <w:r>
        <w:rPr>
          <w:rFonts w:hint="eastAsia"/>
          <w:color w:val="auto"/>
          <w:sz w:val="24"/>
          <w:highlight w:val="none"/>
          <w:lang w:val="en-US" w:eastAsia="zh-CN"/>
        </w:rPr>
        <w:t>标注尺寸、型号</w:t>
      </w:r>
      <w:r>
        <w:rPr>
          <w:rFonts w:hint="eastAsia"/>
          <w:color w:val="auto"/>
          <w:sz w:val="24"/>
          <w:highlight w:val="none"/>
          <w:lang w:eastAsia="zh-CN"/>
        </w:rPr>
        <w:t>）</w:t>
      </w:r>
      <w:r>
        <w:rPr>
          <w:rFonts w:hint="eastAsia"/>
          <w:color w:val="auto"/>
          <w:sz w:val="24"/>
          <w:highlight w:val="none"/>
        </w:rPr>
        <w:t>热镀锌角铁焊接加固。</w:t>
      </w:r>
    </w:p>
    <w:p w14:paraId="0DA99191">
      <w:pPr>
        <w:spacing w:line="360" w:lineRule="exact"/>
        <w:ind w:firstLine="480" w:firstLineChars="200"/>
        <w:rPr>
          <w:color w:val="auto"/>
          <w:sz w:val="24"/>
          <w:highlight w:val="none"/>
        </w:rPr>
      </w:pPr>
      <w:r>
        <w:rPr>
          <w:rFonts w:hint="eastAsia"/>
          <w:color w:val="auto"/>
          <w:sz w:val="24"/>
          <w:highlight w:val="none"/>
        </w:rPr>
        <w:t>2. 制作安装12个点阵亮化字</w:t>
      </w:r>
      <w:r>
        <w:rPr>
          <w:rFonts w:hint="eastAsia"/>
          <w:color w:val="auto"/>
          <w:sz w:val="24"/>
          <w:highlight w:val="none"/>
          <w:lang w:eastAsia="zh-CN"/>
        </w:rPr>
        <w:t>（</w:t>
      </w:r>
      <w:r>
        <w:rPr>
          <w:rFonts w:hint="eastAsia"/>
          <w:color w:val="auto"/>
          <w:sz w:val="24"/>
          <w:highlight w:val="none"/>
          <w:lang w:val="en-US" w:eastAsia="zh-CN"/>
        </w:rPr>
        <w:t>企业logo+宿州百大农产品物流中心</w:t>
      </w:r>
      <w:r>
        <w:rPr>
          <w:rFonts w:hint="eastAsia"/>
          <w:color w:val="auto"/>
          <w:sz w:val="24"/>
          <w:highlight w:val="none"/>
          <w:lang w:eastAsia="zh-CN"/>
        </w:rPr>
        <w:t>）</w:t>
      </w:r>
      <w:r>
        <w:rPr>
          <w:rFonts w:hint="eastAsia"/>
          <w:color w:val="auto"/>
          <w:sz w:val="24"/>
          <w:highlight w:val="none"/>
        </w:rPr>
        <w:t>规格:宽1.8米*高2.2米，字基板为1.0mm厚镀锌铁板</w:t>
      </w:r>
      <w:r>
        <w:rPr>
          <w:rFonts w:hint="eastAsia"/>
          <w:color w:val="auto"/>
          <w:sz w:val="24"/>
          <w:highlight w:val="none"/>
          <w:lang w:eastAsia="zh-CN"/>
        </w:rPr>
        <w:t>（</w:t>
      </w:r>
      <w:r>
        <w:rPr>
          <w:rFonts w:hint="eastAsia"/>
          <w:color w:val="auto"/>
          <w:sz w:val="24"/>
          <w:highlight w:val="none"/>
        </w:rPr>
        <w:t>红色烤漆</w:t>
      </w:r>
      <w:r>
        <w:rPr>
          <w:rFonts w:hint="eastAsia"/>
          <w:color w:val="auto"/>
          <w:sz w:val="24"/>
          <w:highlight w:val="none"/>
          <w:lang w:eastAsia="zh-CN"/>
        </w:rPr>
        <w:t>）</w:t>
      </w:r>
      <w:r>
        <w:rPr>
          <w:rFonts w:hint="eastAsia"/>
          <w:color w:val="auto"/>
          <w:sz w:val="24"/>
          <w:highlight w:val="none"/>
        </w:rPr>
        <w:t>，围边焊接5cm高边条;LED灯珠（</w:t>
      </w:r>
      <w:r>
        <w:rPr>
          <w:rFonts w:hint="eastAsia" w:cs="宋体" w:asciiTheme="minorEastAsia" w:hAnsiTheme="minorEastAsia"/>
          <w:color w:val="auto"/>
          <w:kern w:val="0"/>
          <w:sz w:val="24"/>
          <w:highlight w:val="none"/>
          <w:u w:val="none"/>
          <w:lang w:val="en-US" w:eastAsia="zh-CN"/>
        </w:rPr>
        <w:t>灯珠</w:t>
      </w:r>
      <w:r>
        <w:rPr>
          <w:rFonts w:hint="eastAsia" w:cs="宋体" w:asciiTheme="minorEastAsia" w:hAnsiTheme="minorEastAsia"/>
          <w:color w:val="auto"/>
          <w:kern w:val="0"/>
          <w:sz w:val="24"/>
          <w:highlight w:val="none"/>
          <w:u w:val="none"/>
        </w:rPr>
        <w:t>品牌</w:t>
      </w:r>
      <w:r>
        <w:rPr>
          <w:rFonts w:hint="eastAsia"/>
          <w:color w:val="auto"/>
          <w:sz w:val="24"/>
          <w:highlight w:val="none"/>
        </w:rPr>
        <w:t>：台宏、蓝景、华灿）</w:t>
      </w:r>
      <w:r>
        <w:rPr>
          <w:rFonts w:hint="eastAsia"/>
          <w:color w:val="auto"/>
          <w:sz w:val="24"/>
          <w:highlight w:val="none"/>
          <w:lang w:val="en-US" w:eastAsia="zh-CN"/>
        </w:rPr>
        <w:t>0.15w/个</w:t>
      </w:r>
      <w:r>
        <w:rPr>
          <w:rFonts w:hint="eastAsia" w:cs="宋体" w:asciiTheme="minorEastAsia" w:hAnsiTheme="minorEastAsia"/>
          <w:color w:val="auto"/>
          <w:kern w:val="0"/>
          <w:sz w:val="24"/>
          <w:highlight w:val="none"/>
          <w:u w:val="single"/>
        </w:rPr>
        <w:t>灯距2.0</w:t>
      </w:r>
      <w:r>
        <w:rPr>
          <w:rFonts w:hint="eastAsia" w:cs="宋体" w:asciiTheme="minorEastAsia" w:hAnsiTheme="minorEastAsia"/>
          <w:color w:val="auto"/>
          <w:kern w:val="0"/>
          <w:sz w:val="24"/>
          <w:highlight w:val="none"/>
          <w:u w:val="single"/>
          <w:lang w:val="en-US" w:eastAsia="zh-CN"/>
        </w:rPr>
        <w:t>㎝</w:t>
      </w:r>
      <w:r>
        <w:rPr>
          <w:rFonts w:hint="eastAsia"/>
          <w:color w:val="auto"/>
          <w:sz w:val="24"/>
          <w:highlight w:val="none"/>
        </w:rPr>
        <w:t>。</w:t>
      </w:r>
    </w:p>
    <w:p w14:paraId="14AF0662">
      <w:pPr>
        <w:spacing w:line="360" w:lineRule="exact"/>
        <w:ind w:firstLine="480" w:firstLineChars="200"/>
        <w:rPr>
          <w:color w:val="auto"/>
          <w:sz w:val="24"/>
          <w:highlight w:val="none"/>
        </w:rPr>
      </w:pPr>
      <w:r>
        <w:rPr>
          <w:rFonts w:hint="eastAsia"/>
          <w:color w:val="auto"/>
          <w:sz w:val="24"/>
          <w:highlight w:val="none"/>
        </w:rPr>
        <w:t>3.电源盒24个</w:t>
      </w:r>
      <w:r>
        <w:rPr>
          <w:rFonts w:hint="eastAsia"/>
          <w:color w:val="auto"/>
          <w:sz w:val="24"/>
          <w:highlight w:val="none"/>
          <w:lang w:eastAsia="zh-CN"/>
        </w:rPr>
        <w:t>（</w:t>
      </w:r>
      <w:r>
        <w:rPr>
          <w:rFonts w:hint="eastAsia"/>
          <w:color w:val="auto"/>
          <w:sz w:val="24"/>
          <w:highlight w:val="none"/>
          <w:lang w:val="en-US" w:eastAsia="zh-CN"/>
        </w:rPr>
        <w:t>400W/个</w:t>
      </w:r>
      <w:r>
        <w:rPr>
          <w:rFonts w:hint="eastAsia"/>
          <w:color w:val="auto"/>
          <w:sz w:val="24"/>
          <w:highlight w:val="none"/>
          <w:lang w:eastAsia="zh-CN"/>
        </w:rPr>
        <w:t>）</w:t>
      </w:r>
      <w:r>
        <w:rPr>
          <w:rFonts w:hint="eastAsia"/>
          <w:color w:val="auto"/>
          <w:sz w:val="24"/>
          <w:highlight w:val="none"/>
        </w:rPr>
        <w:t>，主电源线3*2.5mm2铜芯护导线、分电源线1.5mm2铜芯护导线（</w:t>
      </w:r>
      <w:r>
        <w:rPr>
          <w:rFonts w:hint="eastAsia"/>
          <w:color w:val="auto"/>
          <w:sz w:val="24"/>
          <w:highlight w:val="none"/>
          <w:lang w:val="en-US" w:eastAsia="zh-CN"/>
        </w:rPr>
        <w:t>护导线</w:t>
      </w:r>
      <w:r>
        <w:rPr>
          <w:rFonts w:hint="eastAsia"/>
          <w:color w:val="auto"/>
          <w:sz w:val="24"/>
          <w:highlight w:val="none"/>
        </w:rPr>
        <w:t>牌：正泰、绿宝、上上），设置一个控制箱含断路器、漏保、时控开关、交流接触器（</w:t>
      </w:r>
      <w:r>
        <w:rPr>
          <w:rFonts w:hint="eastAsia"/>
          <w:color w:val="auto"/>
          <w:sz w:val="24"/>
          <w:highlight w:val="none"/>
          <w:lang w:val="en-US" w:eastAsia="zh-CN"/>
        </w:rPr>
        <w:t>电气</w:t>
      </w:r>
      <w:r>
        <w:rPr>
          <w:rFonts w:hint="eastAsia"/>
          <w:color w:val="auto"/>
          <w:sz w:val="24"/>
          <w:highlight w:val="none"/>
        </w:rPr>
        <w:t>品牌：正泰、人民、德力西）。电源线走向需横平竖直，外露线路</w:t>
      </w:r>
      <w:r>
        <w:rPr>
          <w:rFonts w:hint="eastAsia"/>
          <w:color w:val="auto"/>
          <w:sz w:val="24"/>
          <w:highlight w:val="none"/>
          <w:lang w:val="en-US" w:eastAsia="zh-CN"/>
        </w:rPr>
        <w:t>须安装</w:t>
      </w:r>
      <w:r>
        <w:rPr>
          <w:rFonts w:hint="eastAsia"/>
          <w:color w:val="auto"/>
          <w:sz w:val="24"/>
          <w:highlight w:val="none"/>
        </w:rPr>
        <w:t>PVC阻燃管固定牢固，自行勘察现场施工环境，自行考虑</w:t>
      </w:r>
      <w:r>
        <w:rPr>
          <w:rFonts w:hint="eastAsia"/>
          <w:color w:val="auto"/>
          <w:sz w:val="24"/>
          <w:highlight w:val="none"/>
          <w:lang w:val="en-US" w:eastAsia="zh-CN"/>
        </w:rPr>
        <w:t>工程量</w:t>
      </w:r>
      <w:r>
        <w:rPr>
          <w:rFonts w:hint="eastAsia"/>
          <w:color w:val="auto"/>
          <w:sz w:val="24"/>
          <w:highlight w:val="none"/>
        </w:rPr>
        <w:t>后综合报价。</w:t>
      </w:r>
    </w:p>
    <w:p w14:paraId="689069C1">
      <w:pPr>
        <w:spacing w:line="360" w:lineRule="exact"/>
        <w:ind w:firstLine="482" w:firstLineChars="200"/>
        <w:rPr>
          <w:b/>
          <w:bCs/>
          <w:color w:val="auto"/>
          <w:sz w:val="24"/>
          <w:highlight w:val="none"/>
        </w:rPr>
      </w:pPr>
      <w:r>
        <w:rPr>
          <w:rFonts w:hint="eastAsia"/>
          <w:b/>
          <w:bCs/>
          <w:color w:val="auto"/>
          <w:sz w:val="24"/>
          <w:highlight w:val="none"/>
        </w:rPr>
        <w:t>二、西门门头灯笼悬挂装置安装要求</w:t>
      </w:r>
    </w:p>
    <w:p w14:paraId="5B3DD922">
      <w:pPr>
        <w:spacing w:line="360" w:lineRule="exact"/>
        <w:ind w:firstLine="480" w:firstLineChars="200"/>
        <w:rPr>
          <w:rFonts w:hint="default" w:cs="宋体" w:asciiTheme="minorEastAsia" w:hAnsiTheme="minorEastAsia"/>
          <w:color w:val="auto"/>
          <w:kern w:val="0"/>
          <w:sz w:val="24"/>
          <w:highlight w:val="none"/>
          <w:u w:val="none"/>
          <w:lang w:val="en-US" w:eastAsia="zh-CN"/>
        </w:rPr>
      </w:pPr>
      <w:r>
        <w:rPr>
          <w:rFonts w:hint="eastAsia" w:cs="宋体" w:asciiTheme="minorEastAsia" w:hAnsiTheme="minorEastAsia"/>
          <w:color w:val="auto"/>
          <w:kern w:val="0"/>
          <w:sz w:val="24"/>
          <w:highlight w:val="none"/>
          <w:u w:val="none"/>
        </w:rPr>
        <w:t>在西门门头上安装4处吊钩，</w:t>
      </w:r>
      <w:r>
        <w:rPr>
          <w:rFonts w:hint="eastAsia" w:cs="宋体" w:asciiTheme="minorEastAsia" w:hAnsiTheme="minorEastAsia"/>
          <w:color w:val="auto"/>
          <w:kern w:val="0"/>
          <w:sz w:val="24"/>
          <w:highlight w:val="none"/>
          <w:u w:val="none"/>
          <w:lang w:val="en-US" w:eastAsia="zh-CN"/>
        </w:rPr>
        <w:t>采</w:t>
      </w:r>
      <w:r>
        <w:rPr>
          <w:rFonts w:hint="eastAsia" w:cs="宋体" w:asciiTheme="minorEastAsia" w:hAnsiTheme="minorEastAsia"/>
          <w:color w:val="auto"/>
          <w:kern w:val="0"/>
          <w:sz w:val="24"/>
          <w:highlight w:val="none"/>
          <w:u w:val="none"/>
        </w:rPr>
        <w:t>用</w:t>
      </w:r>
      <w:r>
        <w:rPr>
          <w:rFonts w:hint="eastAsia" w:cs="宋体" w:asciiTheme="minorEastAsia" w:hAnsiTheme="minorEastAsia"/>
          <w:color w:val="auto"/>
          <w:kern w:val="0"/>
          <w:sz w:val="24"/>
          <w:highlight w:val="none"/>
          <w:u w:val="none"/>
          <w:lang w:val="en-US" w:eastAsia="zh-CN"/>
        </w:rPr>
        <w:t>直径不低于3.1mm的</w:t>
      </w:r>
      <w:r>
        <w:rPr>
          <w:rFonts w:hint="eastAsia" w:cs="宋体" w:asciiTheme="minorEastAsia" w:hAnsiTheme="minorEastAsia"/>
          <w:color w:val="auto"/>
          <w:kern w:val="0"/>
          <w:sz w:val="24"/>
          <w:highlight w:val="none"/>
          <w:u w:val="none"/>
        </w:rPr>
        <w:t>钢丝绳配滑轮组牵引至南北门</w:t>
      </w:r>
      <w:r>
        <w:rPr>
          <w:rFonts w:hint="eastAsia" w:cs="宋体" w:asciiTheme="minorEastAsia" w:hAnsiTheme="minorEastAsia"/>
          <w:color w:val="auto"/>
          <w:kern w:val="0"/>
          <w:sz w:val="24"/>
          <w:highlight w:val="none"/>
          <w:u w:val="none"/>
          <w:lang w:val="en-US" w:eastAsia="zh-CN"/>
        </w:rPr>
        <w:t>楼梯间内（钢丝绳约40米/处）并</w:t>
      </w:r>
      <w:r>
        <w:rPr>
          <w:rFonts w:hint="eastAsia" w:cs="宋体" w:asciiTheme="minorEastAsia" w:hAnsiTheme="minorEastAsia"/>
          <w:color w:val="auto"/>
          <w:kern w:val="0"/>
          <w:sz w:val="24"/>
          <w:highlight w:val="none"/>
          <w:u w:val="none"/>
        </w:rPr>
        <w:t>各安装2个手摇钢丝绳装置（该装置安装后能够上下顺畅牢固可靠，</w:t>
      </w:r>
      <w:r>
        <w:rPr>
          <w:rFonts w:hint="eastAsia" w:cs="宋体" w:asciiTheme="minorEastAsia" w:hAnsiTheme="minorEastAsia"/>
          <w:color w:val="auto"/>
          <w:kern w:val="0"/>
          <w:sz w:val="24"/>
          <w:highlight w:val="none"/>
          <w:u w:val="none"/>
          <w:lang w:val="en-US" w:eastAsia="zh-CN"/>
        </w:rPr>
        <w:t>质保期</w:t>
      </w:r>
      <w:r>
        <w:rPr>
          <w:rFonts w:hint="eastAsia" w:cs="宋体" w:asciiTheme="minorEastAsia" w:hAnsiTheme="minorEastAsia"/>
          <w:color w:val="auto"/>
          <w:kern w:val="0"/>
          <w:sz w:val="24"/>
          <w:highlight w:val="none"/>
          <w:u w:val="none"/>
        </w:rPr>
        <w:t>内出现质量问题须</w:t>
      </w:r>
      <w:r>
        <w:rPr>
          <w:rFonts w:hint="eastAsia" w:cs="宋体" w:asciiTheme="minorEastAsia" w:hAnsiTheme="minorEastAsia"/>
          <w:color w:val="auto"/>
          <w:kern w:val="0"/>
          <w:sz w:val="24"/>
          <w:highlight w:val="none"/>
          <w:u w:val="none"/>
          <w:lang w:val="en-US" w:eastAsia="zh-CN"/>
        </w:rPr>
        <w:t>24小</w:t>
      </w:r>
      <w:r>
        <w:rPr>
          <w:rFonts w:hint="eastAsia" w:cs="宋体" w:asciiTheme="minorEastAsia" w:hAnsiTheme="minorEastAsia"/>
          <w:color w:val="auto"/>
          <w:kern w:val="0"/>
          <w:sz w:val="24"/>
          <w:highlight w:val="none"/>
          <w:u w:val="none"/>
        </w:rPr>
        <w:t>时到场配合处理</w:t>
      </w:r>
      <w:r>
        <w:rPr>
          <w:rFonts w:hint="eastAsia" w:cs="宋体" w:asciiTheme="minorEastAsia" w:hAnsiTheme="minorEastAsia"/>
          <w:color w:val="auto"/>
          <w:kern w:val="0"/>
          <w:sz w:val="24"/>
          <w:highlight w:val="none"/>
          <w:u w:val="none"/>
          <w:lang w:eastAsia="zh-CN"/>
        </w:rPr>
        <w:t>）。</w:t>
      </w:r>
    </w:p>
    <w:p w14:paraId="6F786EA3">
      <w:pPr>
        <w:spacing w:line="360" w:lineRule="exact"/>
        <w:ind w:firstLine="482" w:firstLineChars="200"/>
        <w:rPr>
          <w:b/>
          <w:bCs/>
          <w:color w:val="auto"/>
          <w:sz w:val="24"/>
          <w:highlight w:val="none"/>
        </w:rPr>
      </w:pPr>
      <w:r>
        <w:rPr>
          <w:rFonts w:hint="eastAsia"/>
          <w:b/>
          <w:bCs/>
          <w:color w:val="auto"/>
          <w:sz w:val="24"/>
          <w:highlight w:val="none"/>
        </w:rPr>
        <w:t>三、A1办公楼原门头拆除及新门头制作安装要求</w:t>
      </w:r>
    </w:p>
    <w:p w14:paraId="6B81DCE8">
      <w:pPr>
        <w:spacing w:line="360" w:lineRule="exact"/>
        <w:ind w:firstLine="480" w:firstLineChars="200"/>
        <w:rPr>
          <w:color w:val="auto"/>
          <w:sz w:val="24"/>
          <w:highlight w:val="none"/>
        </w:rPr>
      </w:pPr>
      <w:r>
        <w:rPr>
          <w:rFonts w:hint="eastAsia"/>
          <w:color w:val="auto"/>
          <w:sz w:val="24"/>
          <w:highlight w:val="none"/>
        </w:rPr>
        <w:t>1.</w:t>
      </w:r>
      <w:r>
        <w:rPr>
          <w:rFonts w:hint="eastAsia"/>
          <w:color w:val="auto"/>
          <w:sz w:val="24"/>
          <w:highlight w:val="none"/>
          <w:lang w:val="en-US" w:eastAsia="zh-CN"/>
        </w:rPr>
        <w:t>拆除</w:t>
      </w:r>
      <w:r>
        <w:rPr>
          <w:rFonts w:hint="eastAsia"/>
          <w:color w:val="auto"/>
          <w:sz w:val="24"/>
          <w:highlight w:val="none"/>
        </w:rPr>
        <w:t>原</w:t>
      </w:r>
      <w:r>
        <w:rPr>
          <w:rFonts w:hint="eastAsia"/>
          <w:color w:val="auto"/>
          <w:sz w:val="24"/>
          <w:highlight w:val="none"/>
          <w:lang w:val="en-US" w:eastAsia="zh-CN"/>
        </w:rPr>
        <w:t>有</w:t>
      </w:r>
      <w:r>
        <w:rPr>
          <w:rFonts w:hint="eastAsia"/>
          <w:color w:val="auto"/>
          <w:sz w:val="24"/>
          <w:highlight w:val="none"/>
        </w:rPr>
        <w:t>门头及电子屏</w:t>
      </w:r>
      <w:r>
        <w:rPr>
          <w:rFonts w:hint="eastAsia"/>
          <w:color w:val="auto"/>
          <w:sz w:val="24"/>
          <w:highlight w:val="none"/>
          <w:lang w:val="en-US" w:eastAsia="zh-CN"/>
        </w:rPr>
        <w:t>并负责拆除后</w:t>
      </w:r>
      <w:r>
        <w:rPr>
          <w:rFonts w:hint="eastAsia"/>
          <w:color w:val="auto"/>
          <w:sz w:val="24"/>
          <w:highlight w:val="none"/>
        </w:rPr>
        <w:t>垃圾外运；</w:t>
      </w:r>
    </w:p>
    <w:p w14:paraId="490F3052">
      <w:pPr>
        <w:spacing w:line="360" w:lineRule="exact"/>
        <w:ind w:firstLine="480" w:firstLineChars="200"/>
        <w:rPr>
          <w:color w:val="auto"/>
          <w:sz w:val="24"/>
          <w:highlight w:val="none"/>
        </w:rPr>
      </w:pPr>
      <w:r>
        <w:rPr>
          <w:rFonts w:hint="eastAsia"/>
          <w:color w:val="auto"/>
          <w:sz w:val="24"/>
          <w:highlight w:val="none"/>
        </w:rPr>
        <w:t>2.门头</w:t>
      </w:r>
      <w:r>
        <w:rPr>
          <w:rFonts w:hint="eastAsia"/>
          <w:color w:val="auto"/>
          <w:sz w:val="24"/>
          <w:highlight w:val="none"/>
          <w:lang w:val="en-US" w:eastAsia="zh-CN"/>
        </w:rPr>
        <w:t>龙骨采</w:t>
      </w:r>
      <w:r>
        <w:rPr>
          <w:rFonts w:hint="eastAsia"/>
          <w:color w:val="auto"/>
          <w:sz w:val="24"/>
          <w:highlight w:val="none"/>
        </w:rPr>
        <w:t>用 2</w:t>
      </w:r>
      <w:r>
        <w:rPr>
          <w:rFonts w:hint="eastAsia"/>
          <w:color w:val="auto"/>
          <w:sz w:val="24"/>
          <w:highlight w:val="none"/>
          <w:lang w:val="en-US" w:eastAsia="zh-CN"/>
        </w:rPr>
        <w:t>0</w:t>
      </w:r>
      <w:r>
        <w:rPr>
          <w:rFonts w:hint="eastAsia"/>
          <w:color w:val="auto"/>
          <w:sz w:val="24"/>
          <w:highlight w:val="none"/>
        </w:rPr>
        <w:t>*4</w:t>
      </w:r>
      <w:r>
        <w:rPr>
          <w:rFonts w:hint="eastAsia"/>
          <w:color w:val="auto"/>
          <w:sz w:val="24"/>
          <w:highlight w:val="none"/>
          <w:lang w:val="en-US" w:eastAsia="zh-CN"/>
        </w:rPr>
        <w:t>0*1mm热</w:t>
      </w:r>
      <w:r>
        <w:rPr>
          <w:rFonts w:hint="eastAsia"/>
          <w:color w:val="auto"/>
          <w:sz w:val="24"/>
          <w:highlight w:val="none"/>
        </w:rPr>
        <w:t>镀锌方管焊制，</w:t>
      </w:r>
      <w:r>
        <w:rPr>
          <w:rFonts w:hint="eastAsia"/>
          <w:color w:val="auto"/>
          <w:sz w:val="24"/>
          <w:highlight w:val="none"/>
          <w:lang w:val="en-US" w:eastAsia="zh-CN"/>
        </w:rPr>
        <w:t>外敷</w:t>
      </w:r>
      <w:r>
        <w:rPr>
          <w:rFonts w:hint="eastAsia"/>
          <w:color w:val="auto"/>
          <w:sz w:val="24"/>
          <w:highlight w:val="none"/>
        </w:rPr>
        <w:t>4mm厚铝塑板，</w:t>
      </w:r>
      <w:r>
        <w:rPr>
          <w:rFonts w:hint="eastAsia"/>
          <w:color w:val="auto"/>
          <w:sz w:val="24"/>
          <w:highlight w:val="none"/>
          <w:lang w:val="en-US" w:eastAsia="zh-CN"/>
        </w:rPr>
        <w:t>铝塑板敷设</w:t>
      </w:r>
      <w:r>
        <w:rPr>
          <w:rFonts w:hint="eastAsia"/>
          <w:color w:val="auto"/>
          <w:sz w:val="24"/>
          <w:highlight w:val="none"/>
        </w:rPr>
        <w:t>面积约26m²（</w:t>
      </w:r>
      <w:r>
        <w:rPr>
          <w:rFonts w:hint="eastAsia"/>
          <w:color w:val="auto"/>
          <w:sz w:val="24"/>
          <w:highlight w:val="none"/>
          <w:lang w:val="en-US" w:eastAsia="zh-CN"/>
        </w:rPr>
        <w:t>最终</w:t>
      </w:r>
      <w:r>
        <w:rPr>
          <w:rFonts w:hint="eastAsia"/>
          <w:color w:val="auto"/>
          <w:sz w:val="24"/>
          <w:highlight w:val="none"/>
        </w:rPr>
        <w:t>工程量按实结算），</w:t>
      </w:r>
      <w:r>
        <w:rPr>
          <w:rFonts w:hint="eastAsia"/>
          <w:color w:val="auto"/>
          <w:sz w:val="24"/>
          <w:highlight w:val="none"/>
          <w:lang w:val="en-US" w:eastAsia="zh-CN"/>
        </w:rPr>
        <w:t>阳角处采用</w:t>
      </w:r>
      <w:r>
        <w:rPr>
          <w:rFonts w:hint="eastAsia"/>
          <w:color w:val="auto"/>
          <w:sz w:val="24"/>
          <w:highlight w:val="none"/>
        </w:rPr>
        <w:t>5</w:t>
      </w:r>
      <w:r>
        <w:rPr>
          <w:rFonts w:hint="eastAsia"/>
          <w:color w:val="auto"/>
          <w:sz w:val="24"/>
          <w:highlight w:val="none"/>
          <w:lang w:val="en-US" w:eastAsia="zh-CN"/>
        </w:rPr>
        <w:t>mm</w:t>
      </w:r>
      <w:r>
        <w:rPr>
          <w:rFonts w:hint="eastAsia"/>
          <w:color w:val="auto"/>
          <w:sz w:val="24"/>
          <w:highlight w:val="none"/>
        </w:rPr>
        <w:t>银色不锈钢包边。</w:t>
      </w:r>
    </w:p>
    <w:p w14:paraId="13E9D918">
      <w:pPr>
        <w:spacing w:line="360" w:lineRule="exact"/>
        <w:ind w:firstLine="480" w:firstLineChars="200"/>
        <w:rPr>
          <w:rFonts w:hint="eastAsia"/>
          <w:color w:val="auto"/>
          <w:sz w:val="24"/>
          <w:highlight w:val="none"/>
        </w:rPr>
      </w:pPr>
      <w:r>
        <w:rPr>
          <w:rFonts w:hint="eastAsia"/>
          <w:color w:val="auto"/>
          <w:sz w:val="24"/>
          <w:highlight w:val="none"/>
        </w:rPr>
        <w:t>3.</w:t>
      </w:r>
      <w:r>
        <w:rPr>
          <w:rFonts w:hint="eastAsia"/>
          <w:color w:val="auto"/>
          <w:sz w:val="24"/>
          <w:highlight w:val="none"/>
          <w:lang w:val="en-US" w:eastAsia="zh-CN"/>
        </w:rPr>
        <w:t>需制作24个</w:t>
      </w:r>
      <w:r>
        <w:rPr>
          <w:rFonts w:hint="eastAsia"/>
          <w:color w:val="auto"/>
          <w:sz w:val="24"/>
          <w:highlight w:val="none"/>
        </w:rPr>
        <w:t>门头字</w:t>
      </w:r>
      <w:r>
        <w:rPr>
          <w:rFonts w:hint="eastAsia"/>
          <w:color w:val="auto"/>
          <w:sz w:val="24"/>
          <w:highlight w:val="none"/>
          <w:lang w:val="en-US" w:eastAsia="zh-CN"/>
        </w:rPr>
        <w:t>，材质为</w:t>
      </w:r>
      <w:r>
        <w:rPr>
          <w:rFonts w:hint="eastAsia"/>
          <w:color w:val="auto"/>
          <w:sz w:val="24"/>
          <w:highlight w:val="none"/>
        </w:rPr>
        <w:t>亚克力PVC字（</w:t>
      </w:r>
      <w:r>
        <w:rPr>
          <w:rFonts w:hint="eastAsia"/>
          <w:color w:val="auto"/>
          <w:sz w:val="24"/>
          <w:highlight w:val="none"/>
          <w:lang w:val="en-US" w:eastAsia="zh-CN"/>
        </w:rPr>
        <w:t>其中</w:t>
      </w:r>
      <w:r>
        <w:rPr>
          <w:rFonts w:hint="eastAsia"/>
          <w:color w:val="auto"/>
          <w:sz w:val="24"/>
          <w:highlight w:val="none"/>
        </w:rPr>
        <w:t>亚克力</w:t>
      </w:r>
      <w:r>
        <w:rPr>
          <w:rFonts w:hint="eastAsia"/>
          <w:color w:val="auto"/>
          <w:sz w:val="24"/>
          <w:highlight w:val="none"/>
          <w:lang w:val="en-US" w:eastAsia="zh-CN"/>
        </w:rPr>
        <w:t>厚度</w:t>
      </w:r>
      <w:r>
        <w:rPr>
          <w:rFonts w:hint="eastAsia"/>
          <w:color w:val="auto"/>
          <w:sz w:val="24"/>
          <w:highlight w:val="none"/>
        </w:rPr>
        <w:t>2mm</w:t>
      </w:r>
      <w:r>
        <w:rPr>
          <w:rFonts w:hint="eastAsia"/>
          <w:color w:val="auto"/>
          <w:sz w:val="24"/>
          <w:highlight w:val="none"/>
          <w:lang w:val="en-US" w:eastAsia="zh-CN"/>
        </w:rPr>
        <w:t xml:space="preserve"> ，</w:t>
      </w:r>
      <w:r>
        <w:rPr>
          <w:rFonts w:hint="eastAsia"/>
          <w:color w:val="auto"/>
          <w:sz w:val="24"/>
          <w:highlight w:val="none"/>
        </w:rPr>
        <w:t>PVC</w:t>
      </w:r>
      <w:r>
        <w:rPr>
          <w:rFonts w:hint="eastAsia"/>
          <w:color w:val="auto"/>
          <w:sz w:val="24"/>
          <w:highlight w:val="none"/>
          <w:lang w:val="en-US" w:eastAsia="zh-CN"/>
        </w:rPr>
        <w:t>厚度</w:t>
      </w:r>
      <w:r>
        <w:rPr>
          <w:rFonts w:hint="eastAsia"/>
          <w:color w:val="auto"/>
          <w:sz w:val="24"/>
          <w:highlight w:val="none"/>
        </w:rPr>
        <w:t>15mm）颜色为中国红</w:t>
      </w:r>
      <w:r>
        <w:rPr>
          <w:rFonts w:hint="eastAsia"/>
          <w:color w:val="auto"/>
          <w:sz w:val="24"/>
          <w:highlight w:val="none"/>
          <w:lang w:eastAsia="zh-CN"/>
        </w:rPr>
        <w:t>，</w:t>
      </w:r>
      <w:r>
        <w:rPr>
          <w:rFonts w:hint="eastAsia"/>
          <w:color w:val="auto"/>
          <w:sz w:val="24"/>
          <w:highlight w:val="none"/>
          <w:lang w:val="en-US" w:eastAsia="zh-CN"/>
        </w:rPr>
        <w:t>具体需制作“</w:t>
      </w:r>
      <w:r>
        <w:rPr>
          <w:rFonts w:hint="eastAsia"/>
          <w:color w:val="auto"/>
          <w:sz w:val="24"/>
          <w:highlight w:val="none"/>
        </w:rPr>
        <w:t>百大农产品公司</w:t>
      </w:r>
      <w:r>
        <w:rPr>
          <w:rFonts w:hint="eastAsia"/>
          <w:color w:val="auto"/>
          <w:sz w:val="24"/>
          <w:highlight w:val="none"/>
          <w:lang w:eastAsia="zh-CN"/>
        </w:rPr>
        <w:t>”</w:t>
      </w:r>
      <w:r>
        <w:rPr>
          <w:rFonts w:hint="eastAsia"/>
          <w:color w:val="auto"/>
          <w:sz w:val="24"/>
          <w:highlight w:val="none"/>
        </w:rPr>
        <w:t>尺寸高60cmm，厚度17mm</w:t>
      </w:r>
      <w:r>
        <w:rPr>
          <w:rFonts w:hint="eastAsia"/>
          <w:color w:val="auto"/>
          <w:sz w:val="24"/>
          <w:highlight w:val="none"/>
          <w:lang w:eastAsia="zh-CN"/>
        </w:rPr>
        <w:t>；</w:t>
      </w:r>
      <w:r>
        <w:rPr>
          <w:rFonts w:hint="eastAsia"/>
          <w:color w:val="auto"/>
          <w:sz w:val="24"/>
          <w:highlight w:val="none"/>
          <w:lang w:val="en-US" w:eastAsia="zh-CN"/>
        </w:rPr>
        <w:t>2.企业“</w:t>
      </w:r>
      <w:r>
        <w:rPr>
          <w:rFonts w:hint="eastAsia"/>
          <w:color w:val="auto"/>
          <w:sz w:val="24"/>
          <w:highlight w:val="none"/>
        </w:rPr>
        <w:t>LOGO</w:t>
      </w:r>
      <w:r>
        <w:rPr>
          <w:rFonts w:hint="eastAsia"/>
          <w:color w:val="auto"/>
          <w:sz w:val="24"/>
          <w:highlight w:val="none"/>
          <w:lang w:val="en-US" w:eastAsia="zh-CN"/>
        </w:rPr>
        <w:t>”</w:t>
      </w:r>
      <w:r>
        <w:rPr>
          <w:rFonts w:hint="eastAsia"/>
          <w:color w:val="auto"/>
          <w:sz w:val="24"/>
          <w:highlight w:val="none"/>
          <w:lang w:eastAsia="zh-CN"/>
        </w:rPr>
        <w:t>，</w:t>
      </w:r>
      <w:r>
        <w:rPr>
          <w:rFonts w:hint="eastAsia"/>
          <w:color w:val="auto"/>
          <w:sz w:val="24"/>
          <w:highlight w:val="none"/>
        </w:rPr>
        <w:t>尺寸高35cmm，厚度17mm</w:t>
      </w: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rPr>
        <w:t>塑百年百大</w:t>
      </w:r>
      <w:r>
        <w:rPr>
          <w:rFonts w:hint="eastAsia"/>
          <w:color w:val="auto"/>
          <w:sz w:val="24"/>
          <w:highlight w:val="none"/>
          <w:lang w:val="en-US" w:eastAsia="zh-CN"/>
        </w:rPr>
        <w:t xml:space="preserve"> </w:t>
      </w:r>
      <w:r>
        <w:rPr>
          <w:rFonts w:hint="eastAsia"/>
          <w:color w:val="auto"/>
          <w:sz w:val="24"/>
          <w:highlight w:val="none"/>
        </w:rPr>
        <w:t>筑诚信长城</w:t>
      </w:r>
      <w:r>
        <w:rPr>
          <w:rFonts w:hint="eastAsia"/>
          <w:color w:val="auto"/>
          <w:sz w:val="24"/>
          <w:highlight w:val="none"/>
          <w:lang w:val="en-US" w:eastAsia="zh-CN"/>
        </w:rPr>
        <w:t>”</w:t>
      </w:r>
      <w:r>
        <w:rPr>
          <w:rFonts w:hint="eastAsia"/>
          <w:color w:val="auto"/>
          <w:sz w:val="24"/>
          <w:highlight w:val="none"/>
          <w:lang w:eastAsia="zh-CN"/>
        </w:rPr>
        <w:t>，</w:t>
      </w:r>
      <w:r>
        <w:rPr>
          <w:rFonts w:hint="eastAsia"/>
          <w:color w:val="auto"/>
          <w:sz w:val="24"/>
          <w:highlight w:val="none"/>
        </w:rPr>
        <w:t>尺寸高36mm，厚度17mm</w:t>
      </w:r>
      <w:r>
        <w:rPr>
          <w:rFonts w:hint="eastAsia"/>
          <w:color w:val="auto"/>
          <w:sz w:val="24"/>
          <w:highlight w:val="none"/>
          <w:lang w:val="en-US" w:eastAsia="zh-CN"/>
        </w:rPr>
        <w:t xml:space="preserve"> ； 4.“</w:t>
      </w:r>
      <w:r>
        <w:rPr>
          <w:rFonts w:hint="eastAsia"/>
          <w:color w:val="auto"/>
          <w:sz w:val="24"/>
          <w:highlight w:val="none"/>
        </w:rPr>
        <w:t>合肥百大集团</w:t>
      </w:r>
      <w:r>
        <w:rPr>
          <w:rFonts w:hint="eastAsia"/>
          <w:color w:val="auto"/>
          <w:sz w:val="24"/>
          <w:highlight w:val="none"/>
          <w:lang w:val="en-US" w:eastAsia="zh-CN"/>
        </w:rPr>
        <w:t>”</w:t>
      </w:r>
      <w:r>
        <w:rPr>
          <w:rFonts w:hint="eastAsia"/>
          <w:color w:val="auto"/>
          <w:sz w:val="24"/>
          <w:highlight w:val="none"/>
        </w:rPr>
        <w:t>尺寸高22cmm，厚度17mm（</w:t>
      </w:r>
      <w:r>
        <w:rPr>
          <w:rFonts w:hint="eastAsia"/>
          <w:color w:val="auto"/>
          <w:sz w:val="24"/>
          <w:highlight w:val="none"/>
          <w:lang w:val="en-US" w:eastAsia="zh-CN"/>
        </w:rPr>
        <w:t>详见附件：</w:t>
      </w:r>
      <w:r>
        <w:rPr>
          <w:rFonts w:hint="eastAsia"/>
          <w:color w:val="auto"/>
          <w:sz w:val="24"/>
          <w:highlight w:val="none"/>
        </w:rPr>
        <w:t>效果图）。</w:t>
      </w:r>
    </w:p>
    <w:p w14:paraId="44FFAB03">
      <w:pPr>
        <w:spacing w:line="360" w:lineRule="exact"/>
        <w:ind w:firstLine="480" w:firstLineChars="200"/>
        <w:rPr>
          <w:rFonts w:hint="default"/>
          <w:color w:val="auto"/>
          <w:sz w:val="24"/>
          <w:highlight w:val="none"/>
          <w:lang w:val="en-US"/>
        </w:rPr>
      </w:pPr>
      <w:r>
        <w:rPr>
          <w:rFonts w:hint="eastAsia"/>
          <w:color w:val="auto"/>
          <w:sz w:val="24"/>
          <w:highlight w:val="none"/>
        </w:rPr>
        <w:t>4.</w:t>
      </w:r>
      <w:r>
        <w:rPr>
          <w:rFonts w:hint="eastAsia"/>
          <w:color w:val="auto"/>
          <w:sz w:val="24"/>
          <w:highlight w:val="none"/>
          <w:lang w:val="en-US" w:eastAsia="zh-CN"/>
        </w:rPr>
        <w:t>在门头上部搭设雨搭，尺寸长4.3米，宽1.7米，材质用30*50mm*1.2mm热镀锌方管支撑及厚度0.8mm后蓝色铁皮。</w:t>
      </w:r>
    </w:p>
    <w:p w14:paraId="6B8B8F24">
      <w:pPr>
        <w:spacing w:line="360" w:lineRule="exact"/>
        <w:ind w:firstLine="482" w:firstLineChars="200"/>
        <w:rPr>
          <w:sz w:val="24"/>
        </w:rPr>
      </w:pPr>
      <w:r>
        <w:rPr>
          <w:rFonts w:hint="eastAsia"/>
          <w:b/>
          <w:bCs/>
          <w:sz w:val="24"/>
        </w:rPr>
        <w:t>四、质保</w:t>
      </w:r>
    </w:p>
    <w:p w14:paraId="65D16B81">
      <w:pPr>
        <w:spacing w:line="360" w:lineRule="exact"/>
        <w:ind w:firstLine="480" w:firstLineChars="200"/>
        <w:rPr>
          <w:sz w:val="24"/>
        </w:rPr>
      </w:pPr>
      <w:r>
        <w:rPr>
          <w:rFonts w:hint="eastAsia"/>
          <w:sz w:val="24"/>
        </w:rPr>
        <w:t>项目整体质保2年（含</w:t>
      </w:r>
      <w:r>
        <w:rPr>
          <w:rFonts w:hint="eastAsia"/>
          <w:sz w:val="24"/>
          <w:lang w:val="en-US" w:eastAsia="zh-CN"/>
        </w:rPr>
        <w:t>电气</w:t>
      </w:r>
      <w:r>
        <w:rPr>
          <w:rFonts w:hint="eastAsia"/>
          <w:sz w:val="24"/>
        </w:rPr>
        <w:t xml:space="preserve">件、 </w:t>
      </w:r>
      <w:r>
        <w:rPr>
          <w:rFonts w:hint="eastAsia"/>
          <w:sz w:val="24"/>
          <w:lang w:val="en-US" w:eastAsia="zh-CN"/>
        </w:rPr>
        <w:t>点阵字、热镀锌铁皮及钢丝绳支架等一切施工内容</w:t>
      </w:r>
      <w:r>
        <w:rPr>
          <w:rFonts w:hint="eastAsia"/>
          <w:sz w:val="24"/>
        </w:rPr>
        <w:t>）。</w:t>
      </w:r>
    </w:p>
    <w:p w14:paraId="7CF57B46">
      <w:pPr>
        <w:numPr>
          <w:ilvl w:val="0"/>
          <w:numId w:val="2"/>
        </w:numPr>
        <w:spacing w:line="360" w:lineRule="exact"/>
        <w:ind w:firstLine="482" w:firstLineChars="200"/>
        <w:rPr>
          <w:b/>
          <w:bCs/>
          <w:sz w:val="24"/>
        </w:rPr>
      </w:pPr>
      <w:r>
        <w:rPr>
          <w:rFonts w:hint="eastAsia"/>
          <w:b/>
          <w:bCs/>
          <w:sz w:val="24"/>
        </w:rPr>
        <w:t>工期</w:t>
      </w:r>
    </w:p>
    <w:p w14:paraId="789D4F41">
      <w:pPr>
        <w:spacing w:line="360" w:lineRule="exact"/>
        <w:ind w:firstLine="480" w:firstLineChars="200"/>
        <w:rPr>
          <w:sz w:val="24"/>
        </w:rPr>
      </w:pPr>
      <w:r>
        <w:rPr>
          <w:rFonts w:hint="eastAsia"/>
          <w:sz w:val="24"/>
        </w:rPr>
        <w:t>项目总工期：</w:t>
      </w:r>
      <w:r>
        <w:rPr>
          <w:rFonts w:hint="eastAsia"/>
          <w:sz w:val="24"/>
          <w:lang w:val="en-US" w:eastAsia="zh-CN"/>
        </w:rPr>
        <w:t>30日历</w:t>
      </w:r>
      <w:r>
        <w:rPr>
          <w:rFonts w:hint="eastAsia"/>
          <w:sz w:val="24"/>
        </w:rPr>
        <w:t>天。</w:t>
      </w:r>
    </w:p>
    <w:p w14:paraId="4BEA7CF4">
      <w:pPr>
        <w:spacing w:line="360" w:lineRule="exact"/>
        <w:ind w:firstLine="482" w:firstLineChars="200"/>
        <w:rPr>
          <w:sz w:val="24"/>
        </w:rPr>
      </w:pPr>
      <w:r>
        <w:rPr>
          <w:rFonts w:hint="eastAsia"/>
          <w:b/>
          <w:bCs/>
          <w:sz w:val="24"/>
        </w:rPr>
        <w:t>特别提醒</w:t>
      </w:r>
      <w:r>
        <w:rPr>
          <w:rFonts w:hint="eastAsia"/>
          <w:sz w:val="24"/>
        </w:rPr>
        <w:t>：为确保施工质量和安全的前提下，各报价人可以优化提高材料质量和安装固定措施，但不能低于上述材料技术标准要求，请报价人根据宿州百大方案及技术要求和现场安装条件综合考虑后报价；方案中未考虑全面的材料或施工程序等，请报价人自行勘察现场后综合报价，中标后不予调整；报价包含人工费、材料费、机械费、施工措施费及税费等全部费用。施工期间、质保期内如出现安全问题或造成第三方损失的均由报价人自行承担全部责任。</w:t>
      </w:r>
    </w:p>
    <w:p w14:paraId="33BDADF9"/>
    <w:p w14:paraId="48AA2A34"/>
    <w:p w14:paraId="6B11B37F"/>
    <w:p w14:paraId="382FD91E"/>
    <w:p w14:paraId="7B3ED401">
      <w:pPr>
        <w:spacing w:line="360" w:lineRule="exact"/>
        <w:ind w:firstLine="482" w:firstLineChars="200"/>
        <w:rPr>
          <w:b/>
          <w:bCs/>
          <w:sz w:val="24"/>
        </w:rPr>
      </w:pPr>
      <w:r>
        <w:rPr>
          <w:rFonts w:hint="eastAsia"/>
          <w:b/>
          <w:bCs/>
          <w:sz w:val="24"/>
        </w:rPr>
        <w:t>A1门头改造效果图：</w:t>
      </w:r>
    </w:p>
    <w:p w14:paraId="4F2B503E"/>
    <w:p w14:paraId="11538473"/>
    <w:p w14:paraId="44937AA7">
      <w:r>
        <w:rPr>
          <w:sz w:val="30"/>
          <w:szCs w:val="30"/>
        </w:rPr>
        <w:drawing>
          <wp:inline distT="0" distB="0" distL="0" distR="0">
            <wp:extent cx="5274310" cy="3891280"/>
            <wp:effectExtent l="0" t="0" r="2540" b="13970"/>
            <wp:docPr id="1" name="图片 1" descr="D:\新建文件夹 (4)\WeChat Files\wxid_vngap6iiojqz22\FileStorage\Temp\b566eb38f27d6785c63a5c15e2544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新建文件夹 (4)\WeChat Files\wxid_vngap6iiojqz22\FileStorage\Temp\b566eb38f27d6785c63a5c15e2544b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891284"/>
                    </a:xfrm>
                    <a:prstGeom prst="rect">
                      <a:avLst/>
                    </a:prstGeom>
                    <a:noFill/>
                    <a:ln>
                      <a:noFill/>
                    </a:ln>
                  </pic:spPr>
                </pic:pic>
              </a:graphicData>
            </a:graphic>
          </wp:inline>
        </w:drawing>
      </w:r>
    </w:p>
    <w:p w14:paraId="33FBC269"/>
    <w:p w14:paraId="7452A013"/>
    <w:p w14:paraId="2F13CEF5"/>
    <w:p w14:paraId="6D555A2F"/>
    <w:p w14:paraId="4D48ECA5"/>
    <w:p w14:paraId="57A8BF1D"/>
    <w:p w14:paraId="71AEE51A"/>
    <w:p w14:paraId="4A4F159A"/>
    <w:p w14:paraId="16CACA47"/>
    <w:p w14:paraId="04C45D16"/>
    <w:p w14:paraId="2F24B3AE"/>
    <w:p w14:paraId="19B6FFBB"/>
    <w:p w14:paraId="79C4A69C"/>
    <w:p w14:paraId="58FEBB22"/>
    <w:p w14:paraId="5113FDC0"/>
    <w:p w14:paraId="459FA4A5"/>
    <w:p w14:paraId="677AFA78"/>
    <w:p w14:paraId="53FE8F21"/>
    <w:p w14:paraId="2AF561C1"/>
    <w:p w14:paraId="0208003C"/>
    <w:p w14:paraId="3565AEFA"/>
    <w:p w14:paraId="21A79651"/>
    <w:p w14:paraId="35F78EB9"/>
    <w:p w14:paraId="6FF00746">
      <w:pPr>
        <w:spacing w:line="600" w:lineRule="exact"/>
        <w:jc w:val="left"/>
        <w:rPr>
          <w:rFonts w:hint="eastAsia"/>
          <w:b/>
          <w:sz w:val="24"/>
        </w:rPr>
      </w:pPr>
    </w:p>
    <w:p w14:paraId="0886E445">
      <w:pPr>
        <w:spacing w:line="600" w:lineRule="exact"/>
        <w:jc w:val="left"/>
        <w:rPr>
          <w:b/>
          <w:sz w:val="24"/>
        </w:rPr>
      </w:pPr>
      <w:r>
        <w:rPr>
          <w:rFonts w:hint="eastAsia"/>
          <w:b/>
          <w:sz w:val="24"/>
        </w:rPr>
        <w:t>附件二：《合同》</w:t>
      </w:r>
    </w:p>
    <w:p w14:paraId="1519AE39">
      <w:pPr>
        <w:spacing w:line="560" w:lineRule="exact"/>
        <w:jc w:val="center"/>
        <w:rPr>
          <w:rFonts w:ascii="华文楷体" w:hAnsi="华文楷体" w:eastAsia="华文楷体"/>
          <w:b/>
          <w:sz w:val="30"/>
          <w:szCs w:val="30"/>
        </w:rPr>
      </w:pPr>
      <w:r>
        <w:rPr>
          <w:rFonts w:hint="eastAsia" w:ascii="华文楷体" w:hAnsi="华文楷体" w:eastAsia="华文楷体"/>
          <w:b/>
          <w:sz w:val="30"/>
          <w:szCs w:val="30"/>
        </w:rPr>
        <w:t>宿州百大农产品物流有限责任公司</w:t>
      </w:r>
    </w:p>
    <w:p w14:paraId="19AD462C">
      <w:pPr>
        <w:spacing w:line="560" w:lineRule="exact"/>
        <w:jc w:val="center"/>
        <w:rPr>
          <w:rFonts w:ascii="华文楷体" w:hAnsi="华文楷体" w:eastAsia="华文楷体"/>
          <w:b/>
          <w:sz w:val="30"/>
          <w:szCs w:val="30"/>
        </w:rPr>
      </w:pPr>
      <w:r>
        <w:rPr>
          <w:rFonts w:hint="eastAsia" w:ascii="华文楷体" w:hAnsi="华文楷体" w:eastAsia="华文楷体"/>
          <w:b/>
          <w:sz w:val="30"/>
          <w:szCs w:val="30"/>
          <w:lang w:eastAsia="zh-CN"/>
        </w:rPr>
        <w:t>宿州百大门头亮化改造项目（三次）</w:t>
      </w:r>
      <w:r>
        <w:rPr>
          <w:rFonts w:hint="eastAsia" w:ascii="华文楷体" w:hAnsi="华文楷体" w:eastAsia="华文楷体"/>
          <w:b/>
          <w:sz w:val="30"/>
          <w:szCs w:val="30"/>
        </w:rPr>
        <w:t>合同</w:t>
      </w:r>
    </w:p>
    <w:p w14:paraId="4E6A59D9">
      <w:pPr>
        <w:spacing w:line="560" w:lineRule="exact"/>
        <w:jc w:val="left"/>
        <w:rPr>
          <w:rFonts w:asciiTheme="minorEastAsia" w:hAnsiTheme="minorEastAsia"/>
          <w:sz w:val="24"/>
          <w:highlight w:val="yellow"/>
        </w:rPr>
      </w:pPr>
    </w:p>
    <w:p w14:paraId="41488680">
      <w:pPr>
        <w:spacing w:line="560" w:lineRule="exact"/>
        <w:rPr>
          <w:rFonts w:ascii="华文楷体" w:hAnsi="华文楷体" w:eastAsia="华文楷体"/>
          <w:b/>
          <w:sz w:val="30"/>
          <w:szCs w:val="30"/>
        </w:rPr>
      </w:pPr>
      <w:r>
        <w:rPr>
          <w:rFonts w:hint="eastAsia" w:asciiTheme="minorEastAsia" w:hAnsiTheme="minorEastAsia"/>
          <w:sz w:val="24"/>
        </w:rPr>
        <w:t>甲方（采购方）：</w:t>
      </w:r>
      <w:r>
        <w:rPr>
          <w:rFonts w:hint="eastAsia" w:asciiTheme="minorEastAsia" w:hAnsiTheme="minorEastAsia"/>
          <w:sz w:val="24"/>
          <w:u w:val="single"/>
        </w:rPr>
        <w:t>宿州百大农产品物流有限责任公司</w:t>
      </w:r>
    </w:p>
    <w:p w14:paraId="7BEA9DCD">
      <w:pPr>
        <w:spacing w:line="560" w:lineRule="exact"/>
        <w:jc w:val="left"/>
        <w:rPr>
          <w:rFonts w:ascii="华文楷体" w:hAnsi="华文楷体" w:eastAsia="华文楷体"/>
          <w:b/>
          <w:sz w:val="30"/>
          <w:szCs w:val="30"/>
        </w:rPr>
      </w:pPr>
      <w:r>
        <w:rPr>
          <w:rFonts w:hint="eastAsia" w:asciiTheme="minorEastAsia" w:hAnsiTheme="minorEastAsia"/>
          <w:sz w:val="24"/>
        </w:rPr>
        <w:t>乙方（成交方）：</w:t>
      </w:r>
    </w:p>
    <w:p w14:paraId="1266990F">
      <w:pPr>
        <w:widowControl/>
        <w:shd w:val="clear" w:color="auto" w:fill="FFFFFF"/>
        <w:spacing w:line="420" w:lineRule="exact"/>
        <w:ind w:firstLine="480" w:firstLineChars="200"/>
        <w:jc w:val="left"/>
        <w:rPr>
          <w:rFonts w:ascii="宋体" w:hAnsi="宋体" w:cs="宋体"/>
          <w:b/>
          <w:kern w:val="0"/>
          <w:sz w:val="24"/>
        </w:rPr>
      </w:pPr>
      <w:r>
        <w:rPr>
          <w:rFonts w:hint="eastAsia"/>
          <w:sz w:val="24"/>
        </w:rPr>
        <w:t>根据</w:t>
      </w:r>
      <w:r>
        <w:rPr>
          <w:rFonts w:ascii="Verdana" w:hAnsi="Verdana" w:cs="宋体"/>
          <w:color w:val="000000"/>
          <w:kern w:val="0"/>
          <w:sz w:val="24"/>
        </w:rPr>
        <w:t>《中华人民共和国</w:t>
      </w:r>
      <w:r>
        <w:rPr>
          <w:rFonts w:hint="eastAsia" w:ascii="Verdana" w:hAnsi="Verdana" w:cs="宋体"/>
          <w:color w:val="000000"/>
          <w:kern w:val="0"/>
          <w:sz w:val="24"/>
        </w:rPr>
        <w:t>民法典</w:t>
      </w:r>
      <w:r>
        <w:rPr>
          <w:rFonts w:ascii="Verdana" w:hAnsi="Verdana" w:cs="宋体"/>
          <w:color w:val="000000"/>
          <w:kern w:val="0"/>
          <w:sz w:val="24"/>
        </w:rPr>
        <w:t>》</w:t>
      </w:r>
      <w:r>
        <w:rPr>
          <w:rFonts w:hint="eastAsia" w:ascii="Verdana" w:hAnsi="Verdana" w:cs="宋体"/>
          <w:color w:val="000000"/>
          <w:kern w:val="0"/>
          <w:sz w:val="24"/>
        </w:rPr>
        <w:t>等法律、法规的规定</w:t>
      </w:r>
      <w:r>
        <w:rPr>
          <w:rFonts w:hint="eastAsia"/>
          <w:sz w:val="24"/>
        </w:rPr>
        <w:t>，遵循平等、自愿、公平和诚实信用的原则，双方就工程施工及有关事项协商一致，共同达成如下协议：</w:t>
      </w:r>
    </w:p>
    <w:p w14:paraId="219B21BA">
      <w:pPr>
        <w:widowControl/>
        <w:shd w:val="clear" w:color="auto" w:fill="FFFFFF"/>
        <w:spacing w:before="156" w:beforeLines="50" w:after="156" w:afterLines="50" w:line="420" w:lineRule="exact"/>
        <w:ind w:firstLine="482" w:firstLineChars="200"/>
        <w:jc w:val="left"/>
        <w:rPr>
          <w:rFonts w:ascii="宋体" w:hAnsi="宋体" w:cs="宋体"/>
          <w:b/>
          <w:kern w:val="0"/>
          <w:sz w:val="24"/>
        </w:rPr>
      </w:pPr>
      <w:r>
        <w:rPr>
          <w:rFonts w:hint="eastAsia" w:ascii="宋体" w:hAnsi="宋体" w:cs="宋体"/>
          <w:b/>
          <w:kern w:val="0"/>
          <w:sz w:val="24"/>
        </w:rPr>
        <w:t>第一条、工程概况</w:t>
      </w:r>
    </w:p>
    <w:p w14:paraId="15A06369">
      <w:pPr>
        <w:widowControl/>
        <w:spacing w:line="580" w:lineRule="exact"/>
        <w:ind w:firstLine="480" w:firstLineChars="200"/>
        <w:jc w:val="left"/>
        <w:rPr>
          <w:rFonts w:hint="eastAsia" w:ascii="宋体" w:hAnsi="宋体" w:cs="宋体" w:eastAsiaTheme="minorEastAsia"/>
          <w:kern w:val="0"/>
          <w:sz w:val="24"/>
          <w:u w:val="single" w:color="FFFFFF"/>
          <w:lang w:eastAsia="zh-CN"/>
        </w:rPr>
      </w:pPr>
      <w:r>
        <w:rPr>
          <w:rFonts w:hint="eastAsia" w:ascii="宋体" w:hAnsi="宋体" w:cs="宋体"/>
          <w:kern w:val="0"/>
          <w:sz w:val="24"/>
        </w:rPr>
        <w:t>1.1 工程名称：</w:t>
      </w:r>
      <w:r>
        <w:rPr>
          <w:rFonts w:hint="eastAsia" w:cs="宋体" w:asciiTheme="minorEastAsia" w:hAnsiTheme="minorEastAsia"/>
          <w:kern w:val="0"/>
          <w:sz w:val="24"/>
          <w:u w:val="single"/>
          <w:lang w:eastAsia="zh-CN"/>
        </w:rPr>
        <w:t>宿州百大门头亮化改造项目（三次）</w:t>
      </w:r>
    </w:p>
    <w:p w14:paraId="0A29F1CA">
      <w:pPr>
        <w:widowControl/>
        <w:shd w:val="clear" w:color="auto" w:fill="FFFFFF"/>
        <w:spacing w:line="420" w:lineRule="exact"/>
        <w:ind w:firstLine="480" w:firstLineChars="200"/>
        <w:jc w:val="left"/>
        <w:rPr>
          <w:rFonts w:ascii="宋体" w:hAnsi="宋体" w:cs="宋体"/>
          <w:kern w:val="0"/>
          <w:sz w:val="24"/>
          <w:u w:val="single" w:color="FFFFFF"/>
        </w:rPr>
      </w:pPr>
      <w:r>
        <w:rPr>
          <w:rFonts w:hint="eastAsia" w:ascii="宋体" w:hAnsi="宋体" w:cs="宋体"/>
          <w:kern w:val="0"/>
          <w:sz w:val="24"/>
          <w:u w:val="single" w:color="FFFFFF"/>
        </w:rPr>
        <w:t xml:space="preserve">1.2 工程地点：宿州市经济技术开发区南二环路88号 </w:t>
      </w:r>
    </w:p>
    <w:p w14:paraId="03F8E88E">
      <w:pPr>
        <w:widowControl/>
        <w:spacing w:line="460" w:lineRule="exact"/>
        <w:ind w:firstLine="480" w:firstLineChars="200"/>
        <w:rPr>
          <w:rFonts w:ascii="宋体" w:hAnsi="宋体" w:cs="宋体"/>
          <w:kern w:val="0"/>
          <w:sz w:val="24"/>
          <w:highlight w:val="none"/>
          <w:u w:val="single" w:color="FFFFFF"/>
        </w:rPr>
      </w:pPr>
      <w:r>
        <w:rPr>
          <w:rFonts w:hint="eastAsia" w:ascii="宋体" w:hAnsi="宋体" w:cs="宋体"/>
          <w:kern w:val="0"/>
          <w:sz w:val="24"/>
        </w:rPr>
        <w:t>1.3 工程内容：</w:t>
      </w:r>
      <w:r>
        <w:rPr>
          <w:rFonts w:ascii="Calibri" w:hAnsi="Calibri" w:cs="Calibri" w:eastAsiaTheme="minorEastAsia"/>
          <w:kern w:val="0"/>
          <w:sz w:val="24"/>
          <w:highlight w:val="none"/>
        </w:rPr>
        <w:t>①</w:t>
      </w:r>
      <w:r>
        <w:rPr>
          <w:rFonts w:hint="eastAsia" w:cs="宋体" w:asciiTheme="minorEastAsia" w:hAnsiTheme="minorEastAsia" w:eastAsiaTheme="minorEastAsia"/>
          <w:kern w:val="0"/>
          <w:sz w:val="24"/>
          <w:highlight w:val="none"/>
          <w:u w:val="single"/>
        </w:rPr>
        <w:t>宿州百大</w:t>
      </w:r>
      <w:r>
        <w:rPr>
          <w:rFonts w:hint="eastAsia" w:cs="宋体" w:asciiTheme="minorEastAsia" w:hAnsiTheme="minorEastAsia"/>
          <w:kern w:val="0"/>
          <w:sz w:val="24"/>
          <w:highlight w:val="none"/>
          <w:u w:val="single"/>
        </w:rPr>
        <w:t>西门门头原12个亮化字及线路拆除、重新安装12个点阵字</w:t>
      </w:r>
      <w:r>
        <w:rPr>
          <w:rFonts w:hint="eastAsia" w:cs="宋体" w:asciiTheme="minorEastAsia" w:hAnsiTheme="minorEastAsia"/>
          <w:kern w:val="0"/>
          <w:sz w:val="24"/>
          <w:highlight w:val="none"/>
          <w:u w:val="single"/>
          <w:lang w:eastAsia="zh-CN"/>
        </w:rPr>
        <w:t>，</w:t>
      </w:r>
      <w:r>
        <w:rPr>
          <w:rFonts w:hint="eastAsia" w:cs="宋体" w:asciiTheme="minorEastAsia" w:hAnsiTheme="minorEastAsia"/>
          <w:kern w:val="0"/>
          <w:sz w:val="24"/>
          <w:highlight w:val="none"/>
          <w:u w:val="single"/>
        </w:rPr>
        <w:t>尺寸为1.8米*2.2米</w:t>
      </w:r>
      <w:r>
        <w:rPr>
          <w:rFonts w:hint="eastAsia" w:cs="宋体" w:asciiTheme="minorEastAsia" w:hAnsiTheme="minorEastAsia"/>
          <w:kern w:val="0"/>
          <w:sz w:val="24"/>
          <w:highlight w:val="none"/>
          <w:u w:val="single"/>
          <w:lang w:val="en-US" w:eastAsia="zh-CN"/>
        </w:rPr>
        <w:t>/个</w:t>
      </w:r>
      <w:r>
        <w:rPr>
          <w:rFonts w:hint="eastAsia" w:cs="宋体" w:asciiTheme="minorEastAsia" w:hAnsiTheme="minorEastAsia"/>
          <w:kern w:val="0"/>
          <w:sz w:val="24"/>
          <w:highlight w:val="none"/>
          <w:u w:val="single"/>
        </w:rPr>
        <w:t>，LED灯珠</w:t>
      </w:r>
      <w:r>
        <w:rPr>
          <w:rFonts w:hint="eastAsia"/>
          <w:color w:val="000000" w:themeColor="text1"/>
          <w:sz w:val="24"/>
          <w:highlight w:val="none"/>
          <w:lang w:val="en-US" w:eastAsia="zh-CN"/>
          <w14:textFill>
            <w14:solidFill>
              <w14:schemeClr w14:val="tx1"/>
            </w14:solidFill>
          </w14:textFill>
        </w:rPr>
        <w:t>0.15w/个</w:t>
      </w:r>
      <w:r>
        <w:rPr>
          <w:rFonts w:hint="eastAsia" w:cs="宋体" w:asciiTheme="minorEastAsia" w:hAnsiTheme="minorEastAsia"/>
          <w:color w:val="000000" w:themeColor="text1"/>
          <w:kern w:val="0"/>
          <w:sz w:val="24"/>
          <w:highlight w:val="none"/>
          <w:u w:val="single"/>
          <w14:textFill>
            <w14:solidFill>
              <w14:schemeClr w14:val="tx1"/>
            </w14:solidFill>
          </w14:textFill>
        </w:rPr>
        <w:t>灯距2.0</w:t>
      </w:r>
      <w:r>
        <w:rPr>
          <w:rFonts w:hint="eastAsia" w:cs="宋体" w:asciiTheme="minorEastAsia" w:hAnsiTheme="minorEastAsia"/>
          <w:color w:val="000000" w:themeColor="text1"/>
          <w:kern w:val="0"/>
          <w:sz w:val="24"/>
          <w:highlight w:val="none"/>
          <w:u w:val="single"/>
          <w:lang w:val="en-US" w:eastAsia="zh-CN"/>
          <w14:textFill>
            <w14:solidFill>
              <w14:schemeClr w14:val="tx1"/>
            </w14:solidFill>
          </w14:textFill>
        </w:rPr>
        <w:t>㎝</w:t>
      </w:r>
      <w:r>
        <w:rPr>
          <w:rFonts w:hint="eastAsia" w:cs="宋体" w:asciiTheme="minorEastAsia" w:hAnsiTheme="minorEastAsia"/>
          <w:kern w:val="0"/>
          <w:sz w:val="24"/>
          <w:highlight w:val="none"/>
          <w:u w:val="single"/>
        </w:rPr>
        <w:t>（</w:t>
      </w:r>
      <w:r>
        <w:rPr>
          <w:rFonts w:hint="eastAsia" w:cs="宋体" w:asciiTheme="minorEastAsia" w:hAnsiTheme="minorEastAsia"/>
          <w:kern w:val="0"/>
          <w:sz w:val="24"/>
          <w:highlight w:val="none"/>
          <w:u w:val="single"/>
          <w:lang w:val="en-US" w:eastAsia="zh-CN"/>
        </w:rPr>
        <w:t>灯珠</w:t>
      </w:r>
      <w:r>
        <w:rPr>
          <w:rFonts w:hint="eastAsia" w:cs="宋体" w:asciiTheme="minorEastAsia" w:hAnsiTheme="minorEastAsia"/>
          <w:kern w:val="0"/>
          <w:sz w:val="24"/>
          <w:highlight w:val="none"/>
          <w:u w:val="single"/>
        </w:rPr>
        <w:t>品牌：台宏、蓝景、华灿），电源盒24个</w:t>
      </w:r>
      <w:r>
        <w:rPr>
          <w:rFonts w:hint="eastAsia"/>
          <w:sz w:val="24"/>
          <w:highlight w:val="none"/>
          <w:u w:val="single"/>
          <w:lang w:eastAsia="zh-CN"/>
        </w:rPr>
        <w:t>（</w:t>
      </w:r>
      <w:r>
        <w:rPr>
          <w:rFonts w:hint="eastAsia"/>
          <w:sz w:val="24"/>
          <w:highlight w:val="none"/>
          <w:u w:val="single"/>
          <w:lang w:val="en-US" w:eastAsia="zh-CN"/>
        </w:rPr>
        <w:t>400W/个</w:t>
      </w:r>
      <w:r>
        <w:rPr>
          <w:rFonts w:hint="eastAsia"/>
          <w:sz w:val="24"/>
          <w:highlight w:val="none"/>
          <w:u w:val="single"/>
          <w:lang w:eastAsia="zh-CN"/>
        </w:rPr>
        <w:t>）</w:t>
      </w:r>
      <w:r>
        <w:rPr>
          <w:rFonts w:hint="eastAsia" w:cs="宋体" w:asciiTheme="minorEastAsia" w:hAnsiTheme="minorEastAsia"/>
          <w:kern w:val="0"/>
          <w:sz w:val="24"/>
          <w:highlight w:val="none"/>
          <w:u w:val="single"/>
          <w:lang w:eastAsia="zh-CN"/>
        </w:rPr>
        <w:t>，</w:t>
      </w:r>
      <w:r>
        <w:rPr>
          <w:rFonts w:hint="eastAsia"/>
          <w:sz w:val="24"/>
          <w:highlight w:val="none"/>
          <w:u w:val="single"/>
        </w:rPr>
        <w:t>字基板为1.0mm厚镀锌铁板</w:t>
      </w:r>
      <w:r>
        <w:rPr>
          <w:rFonts w:hint="eastAsia" w:cs="宋体" w:asciiTheme="minorEastAsia" w:hAnsiTheme="minorEastAsia"/>
          <w:kern w:val="0"/>
          <w:sz w:val="24"/>
          <w:highlight w:val="none"/>
          <w:u w:val="single"/>
        </w:rPr>
        <w:t>；②在西门门头上安装4处吊钩，用钢丝绳配滑轮组牵引至南北门</w:t>
      </w:r>
      <w:r>
        <w:rPr>
          <w:rFonts w:hint="eastAsia" w:cs="宋体" w:asciiTheme="minorEastAsia" w:hAnsiTheme="minorEastAsia"/>
          <w:kern w:val="0"/>
          <w:sz w:val="24"/>
          <w:highlight w:val="none"/>
          <w:u w:val="single"/>
          <w:lang w:val="en-US" w:eastAsia="zh-CN"/>
        </w:rPr>
        <w:t>楼梯间内（钢丝绳约40米/处）并</w:t>
      </w:r>
      <w:r>
        <w:rPr>
          <w:rFonts w:hint="eastAsia" w:cs="宋体" w:asciiTheme="minorEastAsia" w:hAnsiTheme="minorEastAsia"/>
          <w:kern w:val="0"/>
          <w:sz w:val="24"/>
          <w:highlight w:val="none"/>
          <w:u w:val="single"/>
        </w:rPr>
        <w:t>各安装2个手摇钢丝绳装置（该装置安装后能够上下顺畅牢固可靠，</w:t>
      </w:r>
      <w:r>
        <w:rPr>
          <w:rFonts w:hint="eastAsia" w:cs="宋体" w:asciiTheme="minorEastAsia" w:hAnsiTheme="minorEastAsia"/>
          <w:kern w:val="0"/>
          <w:sz w:val="24"/>
          <w:highlight w:val="none"/>
          <w:u w:val="single"/>
          <w:lang w:val="en-US" w:eastAsia="zh-CN"/>
        </w:rPr>
        <w:t>质保期</w:t>
      </w:r>
      <w:r>
        <w:rPr>
          <w:rFonts w:hint="eastAsia" w:cs="宋体" w:asciiTheme="minorEastAsia" w:hAnsiTheme="minorEastAsia"/>
          <w:kern w:val="0"/>
          <w:sz w:val="24"/>
          <w:highlight w:val="none"/>
          <w:u w:val="single"/>
        </w:rPr>
        <w:t>内出现质量问题须</w:t>
      </w:r>
      <w:r>
        <w:rPr>
          <w:rFonts w:hint="eastAsia" w:cs="宋体" w:asciiTheme="minorEastAsia" w:hAnsiTheme="minorEastAsia"/>
          <w:kern w:val="0"/>
          <w:sz w:val="24"/>
          <w:highlight w:val="none"/>
          <w:u w:val="single"/>
          <w:lang w:val="en-US" w:eastAsia="zh-CN"/>
        </w:rPr>
        <w:t>24小</w:t>
      </w:r>
      <w:r>
        <w:rPr>
          <w:rFonts w:hint="eastAsia" w:cs="宋体" w:asciiTheme="minorEastAsia" w:hAnsiTheme="minorEastAsia"/>
          <w:kern w:val="0"/>
          <w:sz w:val="24"/>
          <w:highlight w:val="none"/>
          <w:u w:val="single"/>
        </w:rPr>
        <w:t>时到场配合处理</w:t>
      </w:r>
      <w:r>
        <w:rPr>
          <w:rFonts w:hint="eastAsia" w:cs="宋体" w:asciiTheme="minorEastAsia" w:hAnsiTheme="minorEastAsia"/>
          <w:kern w:val="0"/>
          <w:sz w:val="24"/>
          <w:highlight w:val="none"/>
          <w:u w:val="single"/>
          <w:lang w:eastAsia="zh-CN"/>
        </w:rPr>
        <w:t>）</w:t>
      </w:r>
      <w:r>
        <w:rPr>
          <w:rFonts w:hint="eastAsia" w:cs="宋体" w:asciiTheme="minorEastAsia" w:hAnsiTheme="minorEastAsia"/>
          <w:kern w:val="0"/>
          <w:sz w:val="24"/>
          <w:highlight w:val="none"/>
          <w:u w:val="single"/>
        </w:rPr>
        <w:t>；</w:t>
      </w:r>
      <w:r>
        <w:rPr>
          <w:rFonts w:ascii="Calibri" w:hAnsi="Calibri" w:cs="Calibri"/>
          <w:kern w:val="0"/>
          <w:sz w:val="24"/>
          <w:highlight w:val="none"/>
          <w:u w:val="single"/>
        </w:rPr>
        <w:t>③</w:t>
      </w:r>
      <w:r>
        <w:rPr>
          <w:rFonts w:hint="eastAsia" w:ascii="Calibri" w:hAnsi="Calibri" w:cs="Calibri"/>
          <w:kern w:val="0"/>
          <w:sz w:val="24"/>
          <w:highlight w:val="none"/>
          <w:u w:val="single"/>
        </w:rPr>
        <w:t>A1</w:t>
      </w:r>
      <w:r>
        <w:rPr>
          <w:rFonts w:hint="eastAsia" w:cs="宋体" w:asciiTheme="minorEastAsia" w:hAnsiTheme="minorEastAsia"/>
          <w:kern w:val="0"/>
          <w:sz w:val="24"/>
          <w:highlight w:val="none"/>
          <w:u w:val="single"/>
        </w:rPr>
        <w:t>办公楼门头拆除清运、并按要求重装门头</w:t>
      </w:r>
      <w:r>
        <w:rPr>
          <w:rFonts w:hint="eastAsia" w:cs="宋体" w:asciiTheme="minorEastAsia" w:hAnsiTheme="minorEastAsia"/>
          <w:kern w:val="0"/>
          <w:sz w:val="24"/>
          <w:highlight w:val="none"/>
          <w:u w:val="single"/>
          <w:lang w:val="en-US" w:eastAsia="zh-CN"/>
        </w:rPr>
        <w:t>和</w:t>
      </w:r>
      <w:r>
        <w:rPr>
          <w:rFonts w:hint="eastAsia" w:cs="宋体" w:asciiTheme="minorEastAsia" w:hAnsiTheme="minorEastAsia"/>
          <w:kern w:val="0"/>
          <w:sz w:val="24"/>
          <w:highlight w:val="none"/>
          <w:u w:val="single"/>
        </w:rPr>
        <w:t>亚克力PVC字</w:t>
      </w:r>
      <w:r>
        <w:rPr>
          <w:rFonts w:hint="eastAsia" w:ascii="宋体" w:hAnsi="宋体" w:cs="宋体"/>
          <w:kern w:val="0"/>
          <w:sz w:val="24"/>
          <w:highlight w:val="none"/>
        </w:rPr>
        <w:t>。</w:t>
      </w:r>
    </w:p>
    <w:p w14:paraId="637AD030">
      <w:pPr>
        <w:widowControl/>
        <w:shd w:val="clear" w:color="auto" w:fill="FFFFFF"/>
        <w:spacing w:line="42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1.4 承包方式：总承包</w:t>
      </w:r>
    </w:p>
    <w:p w14:paraId="34C99141">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1.5 工期：</w:t>
      </w:r>
      <w:r>
        <w:rPr>
          <w:rFonts w:hint="eastAsia" w:ascii="宋体" w:hAnsi="宋体" w:cs="宋体"/>
          <w:kern w:val="0"/>
          <w:sz w:val="24"/>
          <w:u w:val="single"/>
          <w:lang w:val="en-US" w:eastAsia="zh-CN"/>
        </w:rPr>
        <w:t>3</w:t>
      </w:r>
      <w:r>
        <w:rPr>
          <w:rFonts w:hint="eastAsia" w:ascii="宋体" w:hAnsi="宋体" w:cs="宋体"/>
          <w:kern w:val="0"/>
          <w:sz w:val="24"/>
          <w:u w:val="single"/>
        </w:rPr>
        <w:t>0</w:t>
      </w:r>
      <w:r>
        <w:rPr>
          <w:rFonts w:hint="eastAsia" w:ascii="宋体" w:hAnsi="宋体" w:cs="宋体"/>
          <w:kern w:val="0"/>
          <w:sz w:val="24"/>
        </w:rPr>
        <w:t>日历天,自</w:t>
      </w:r>
      <w:r>
        <w:rPr>
          <w:rFonts w:hint="eastAsia" w:ascii="宋体" w:hAnsi="宋体" w:cs="宋体"/>
          <w:kern w:val="0"/>
          <w:sz w:val="24"/>
          <w:u w:val="single"/>
        </w:rPr>
        <w:t>2025</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日开工（以</w:t>
      </w:r>
      <w:r>
        <w:rPr>
          <w:rFonts w:hint="eastAsia" w:ascii="宋体" w:hAnsi="宋体" w:cs="宋体"/>
          <w:kern w:val="0"/>
          <w:sz w:val="24"/>
          <w:lang w:val="en-US" w:eastAsia="zh-CN"/>
        </w:rPr>
        <w:t>合同签订日期</w:t>
      </w:r>
      <w:r>
        <w:rPr>
          <w:rFonts w:hint="eastAsia" w:ascii="宋体" w:hAnsi="宋体" w:cs="宋体"/>
          <w:kern w:val="0"/>
          <w:sz w:val="24"/>
        </w:rPr>
        <w:t>为准），于</w:t>
      </w:r>
      <w:r>
        <w:rPr>
          <w:rFonts w:hint="eastAsia" w:ascii="宋体" w:hAnsi="宋体" w:cs="宋体"/>
          <w:kern w:val="0"/>
          <w:sz w:val="24"/>
          <w:u w:val="single"/>
        </w:rPr>
        <w:t>2025</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日竣工。</w:t>
      </w:r>
    </w:p>
    <w:p w14:paraId="48E958A9">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1.6 工程质量：合格</w:t>
      </w:r>
    </w:p>
    <w:p w14:paraId="1265F3BD">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1.7 合同价款（人民币大写）：</w:t>
      </w:r>
      <w:r>
        <w:rPr>
          <w:rFonts w:hint="eastAsia" w:ascii="仿宋" w:hAnsi="仿宋" w:eastAsia="仿宋"/>
          <w:b/>
          <w:sz w:val="24"/>
          <w:u w:val="single"/>
        </w:rPr>
        <w:t xml:space="preserve">       </w:t>
      </w:r>
      <w:r>
        <w:rPr>
          <w:rFonts w:hint="eastAsia" w:ascii="宋体" w:hAnsi="宋体" w:cs="宋体"/>
          <w:kern w:val="0"/>
          <w:sz w:val="24"/>
        </w:rPr>
        <w:t>元（大写：</w:t>
      </w:r>
      <w:r>
        <w:rPr>
          <w:rFonts w:hint="eastAsia" w:ascii="仿宋" w:hAnsi="仿宋" w:eastAsia="仿宋"/>
          <w:b/>
          <w:sz w:val="24"/>
          <w:u w:val="single"/>
        </w:rPr>
        <w:t xml:space="preserve">      </w:t>
      </w:r>
      <w:r>
        <w:rPr>
          <w:rFonts w:hint="eastAsia" w:ascii="宋体" w:hAnsi="宋体" w:cs="宋体"/>
          <w:kern w:val="0"/>
          <w:sz w:val="24"/>
        </w:rPr>
        <w:t>）,其中不含税金额</w:t>
      </w:r>
      <w:r>
        <w:rPr>
          <w:rFonts w:hint="eastAsia" w:ascii="仿宋" w:hAnsi="仿宋" w:eastAsia="仿宋" w:cs="Times New Roman"/>
          <w:b/>
          <w:sz w:val="24"/>
          <w:u w:val="single"/>
        </w:rPr>
        <w:t xml:space="preserve">    </w:t>
      </w:r>
      <w:r>
        <w:rPr>
          <w:rFonts w:hint="eastAsia" w:ascii="宋体" w:hAnsi="宋体" w:cs="宋体"/>
          <w:kern w:val="0"/>
          <w:sz w:val="24"/>
        </w:rPr>
        <w:t>元，税金</w:t>
      </w:r>
      <w:r>
        <w:rPr>
          <w:rFonts w:hint="eastAsia" w:ascii="仿宋" w:hAnsi="仿宋" w:eastAsia="仿宋" w:cs="Times New Roman"/>
          <w:b/>
          <w:sz w:val="24"/>
          <w:u w:val="single"/>
        </w:rPr>
        <w:t xml:space="preserve">        </w:t>
      </w:r>
      <w:r>
        <w:rPr>
          <w:rFonts w:hint="eastAsia" w:ascii="宋体" w:hAnsi="宋体" w:cs="宋体"/>
          <w:kern w:val="0"/>
          <w:sz w:val="24"/>
        </w:rPr>
        <w:t>元。</w:t>
      </w:r>
    </w:p>
    <w:p w14:paraId="2D409613">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1.8 合同签订之前乙方应向甲方缴纳合同总价10％的履约保证金</w:t>
      </w:r>
      <w:r>
        <w:rPr>
          <w:rFonts w:hint="eastAsia" w:ascii="宋体" w:hAnsi="宋体" w:cs="宋体"/>
          <w:b/>
          <w:bCs/>
          <w:kern w:val="0"/>
          <w:sz w:val="24"/>
          <w:u w:val="single"/>
        </w:rPr>
        <w:t xml:space="preserve">      </w:t>
      </w:r>
      <w:r>
        <w:rPr>
          <w:rFonts w:hint="eastAsia" w:ascii="宋体" w:hAnsi="宋体" w:cs="宋体"/>
          <w:kern w:val="0"/>
          <w:sz w:val="24"/>
        </w:rPr>
        <w:t>元，待竣工验收合格且乙方无违约行为后退还。</w:t>
      </w:r>
    </w:p>
    <w:p w14:paraId="3B1614B6">
      <w:pPr>
        <w:widowControl/>
        <w:shd w:val="clear" w:color="auto" w:fill="FFFFFF"/>
        <w:spacing w:line="420" w:lineRule="exact"/>
        <w:ind w:firstLine="480" w:firstLineChars="200"/>
        <w:jc w:val="left"/>
      </w:pPr>
      <w:r>
        <w:rPr>
          <w:rFonts w:hint="eastAsia" w:ascii="宋体" w:hAnsi="宋体" w:cs="宋体"/>
          <w:kern w:val="0"/>
          <w:sz w:val="24"/>
        </w:rPr>
        <w:t>1.9 制作安装施工内容包括附件施工图及工程量报价清单中全部内容，报价价格已包含材料、辅材、配件、人工、机械、运输、装卸、税收、利润等全部内容。乙方报价清单中如有漏报、少报项目，视为乙方优惠，不得另外加价。</w:t>
      </w:r>
    </w:p>
    <w:p w14:paraId="6DC44874">
      <w:pPr>
        <w:widowControl/>
        <w:shd w:val="clear" w:color="auto" w:fill="FFFFFF"/>
        <w:spacing w:before="156" w:beforeLines="50" w:after="156" w:afterLines="50" w:line="420" w:lineRule="exact"/>
        <w:ind w:firstLine="482" w:firstLineChars="200"/>
        <w:jc w:val="left"/>
        <w:rPr>
          <w:rFonts w:ascii="宋体" w:hAnsi="宋体" w:cs="宋体"/>
          <w:b/>
          <w:kern w:val="0"/>
          <w:sz w:val="24"/>
        </w:rPr>
      </w:pPr>
      <w:r>
        <w:rPr>
          <w:rFonts w:hint="eastAsia" w:ascii="宋体" w:hAnsi="宋体" w:cs="宋体"/>
          <w:b/>
          <w:kern w:val="0"/>
          <w:sz w:val="24"/>
        </w:rPr>
        <w:t>第二条、甲方工作及责任</w:t>
      </w:r>
    </w:p>
    <w:p w14:paraId="1B6E14A0">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2.1 开工前 3 天，向乙方提供做法，向乙方提供施工所需的水、电等，并说明使用注意事项。办理施工所涉及的各种申请、批件等手续。同时向乙方提供</w:t>
      </w:r>
      <w:r>
        <w:rPr>
          <w:rFonts w:hint="eastAsia" w:ascii="宋体" w:hAnsi="宋体" w:cs="宋体"/>
          <w:sz w:val="24"/>
        </w:rPr>
        <w:t>材料、工机具的堆放场所等，尽可能为乙方提供施工便利。</w:t>
      </w:r>
    </w:p>
    <w:p w14:paraId="7130FA44">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2.2 指派</w:t>
      </w:r>
      <w:r>
        <w:rPr>
          <w:rFonts w:hint="eastAsia" w:ascii="宋体" w:hAnsi="宋体" w:cs="宋体"/>
          <w:kern w:val="0"/>
          <w:sz w:val="24"/>
          <w:u w:val="single"/>
        </w:rPr>
        <w:t xml:space="preserve">        </w:t>
      </w:r>
      <w:r>
        <w:rPr>
          <w:rFonts w:hint="eastAsia" w:ascii="宋体" w:hAnsi="宋体" w:cs="宋体"/>
          <w:kern w:val="0"/>
          <w:sz w:val="24"/>
        </w:rPr>
        <w:t>为甲方驻工地代表，负责合同履行。对工程质量、进度进行监督检查，办理验收、变更、登记手续和其他事宜，除前述指定甲方代表之外的其他人员签署的任何文件，对甲方不具有约束力；涉及增加工程价款的任何文件，除前述指定甲方代表签字之外，还需加盖甲方印章，方对甲方产生约束力。</w:t>
      </w:r>
    </w:p>
    <w:p w14:paraId="474DA9CF">
      <w:pPr>
        <w:widowControl/>
        <w:shd w:val="clear" w:color="auto" w:fill="FFFFFF"/>
        <w:spacing w:line="420" w:lineRule="exact"/>
        <w:ind w:firstLine="420" w:firstLineChars="175"/>
        <w:jc w:val="left"/>
        <w:rPr>
          <w:rFonts w:ascii="宋体" w:hAnsi="宋体" w:cs="宋体"/>
          <w:sz w:val="24"/>
        </w:rPr>
      </w:pPr>
      <w:r>
        <w:rPr>
          <w:rFonts w:hint="eastAsia" w:ascii="宋体" w:hAnsi="宋体" w:cs="宋体"/>
          <w:sz w:val="24"/>
        </w:rPr>
        <w:t>2.3 负责施工现场乙方与其他施工单位、工种的交叉施工的协调工作。</w:t>
      </w:r>
    </w:p>
    <w:p w14:paraId="42F42B40">
      <w:pPr>
        <w:widowControl/>
        <w:shd w:val="clear" w:color="auto" w:fill="FFFFFF"/>
        <w:spacing w:line="420" w:lineRule="exact"/>
        <w:ind w:firstLine="420" w:firstLineChars="175"/>
        <w:jc w:val="left"/>
        <w:rPr>
          <w:rFonts w:ascii="宋体" w:hAnsi="宋体" w:cs="宋体"/>
          <w:b/>
          <w:kern w:val="0"/>
          <w:sz w:val="24"/>
        </w:rPr>
      </w:pPr>
      <w:r>
        <w:rPr>
          <w:rFonts w:hint="eastAsia" w:ascii="宋体" w:hAnsi="宋体" w:cs="宋体"/>
          <w:sz w:val="24"/>
        </w:rPr>
        <w:t>2.4 履行合同约定，按时按量支付相应工程款。</w:t>
      </w:r>
    </w:p>
    <w:p w14:paraId="56FC2D55">
      <w:pPr>
        <w:widowControl/>
        <w:shd w:val="clear" w:color="auto" w:fill="FFFFFF"/>
        <w:spacing w:before="156" w:beforeLines="50" w:after="156" w:afterLines="50" w:line="420" w:lineRule="exact"/>
        <w:ind w:firstLine="482" w:firstLineChars="200"/>
        <w:jc w:val="left"/>
        <w:rPr>
          <w:rFonts w:ascii="宋体" w:hAnsi="宋体" w:cs="宋体"/>
          <w:b/>
          <w:kern w:val="0"/>
          <w:sz w:val="24"/>
        </w:rPr>
      </w:pPr>
      <w:r>
        <w:rPr>
          <w:rFonts w:hint="eastAsia" w:ascii="宋体" w:hAnsi="宋体" w:cs="宋体"/>
          <w:b/>
          <w:kern w:val="0"/>
          <w:sz w:val="24"/>
        </w:rPr>
        <w:t>第三条、乙方工作及责任</w:t>
      </w:r>
    </w:p>
    <w:p w14:paraId="4F424F62">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3.1  拟定施工方案和进度计划，交甲方审定。</w:t>
      </w:r>
    </w:p>
    <w:p w14:paraId="7B6A500B">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3.2  按要求组织施工，保质、保量、按期完成施工任务，解决由乙方负责的各项事宜。</w:t>
      </w:r>
    </w:p>
    <w:p w14:paraId="380F0879">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3.3  严格执行施工规范、安全操作规程、电力施工规范、防火安全规定、环境保护规定；严格按照作法说明进行施工</w:t>
      </w:r>
      <w:r>
        <w:rPr>
          <w:rFonts w:hint="eastAsia" w:ascii="宋体" w:hAnsi="宋体" w:cs="宋体"/>
          <w:sz w:val="24"/>
        </w:rPr>
        <w:t>。</w:t>
      </w:r>
      <w:r>
        <w:rPr>
          <w:rFonts w:hint="eastAsia" w:ascii="宋体" w:hAnsi="宋体" w:cs="宋体"/>
          <w:kern w:val="0"/>
          <w:sz w:val="24"/>
        </w:rPr>
        <w:t>参加竣工验收，编制工程结算；</w:t>
      </w:r>
      <w:r>
        <w:rPr>
          <w:rFonts w:hint="eastAsia" w:ascii="宋体" w:hAnsi="宋体" w:cs="宋体"/>
          <w:sz w:val="24"/>
        </w:rPr>
        <w:t>工程竣工后，乙方应于30日内向甲方提供完整的竣工资料套（含电子版文件）。</w:t>
      </w:r>
    </w:p>
    <w:p w14:paraId="41185C1D">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3.4  遵守国家或地方政府及有关部门对施工现场管理的规定，妥善保护好施工现场周围建筑物、设备管线等设施设备。做好施工现场保卫和垃圾消纳等工作，处理好由于施工带来的扰民问题及与周围单位（住户）的关系。</w:t>
      </w:r>
    </w:p>
    <w:p w14:paraId="5BB49815">
      <w:pPr>
        <w:widowControl/>
        <w:shd w:val="clear" w:color="auto" w:fill="FFFFFF"/>
        <w:spacing w:line="420" w:lineRule="exact"/>
        <w:ind w:firstLine="326"/>
        <w:jc w:val="left"/>
        <w:rPr>
          <w:rFonts w:ascii="宋体" w:hAnsi="宋体" w:cs="宋体"/>
          <w:kern w:val="0"/>
          <w:sz w:val="24"/>
        </w:rPr>
      </w:pPr>
      <w:r>
        <w:rPr>
          <w:rFonts w:hint="eastAsia" w:ascii="宋体" w:hAnsi="宋体" w:cs="宋体"/>
          <w:kern w:val="0"/>
          <w:sz w:val="24"/>
        </w:rPr>
        <w:t xml:space="preserve"> 3.5  施工中未经甲方书面同意或有关部门批准，不得随意拆改原建筑物结构及各种设备管线。</w:t>
      </w:r>
    </w:p>
    <w:p w14:paraId="5F2F2A08">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3.6  工程竣工未移交甲方之前，负责对现场的一切设施和工程成品进行保护。</w:t>
      </w:r>
    </w:p>
    <w:p w14:paraId="5B75AAF4">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3.7  在工程施工期间，乙方应服从甲方的现场管理，确保工程质量、工期及安全文明施工。因乙方原因导致的安全事故和甲方损失，由乙方负责处理并承担全部责任。</w:t>
      </w:r>
    </w:p>
    <w:p w14:paraId="6D9206FB">
      <w:pPr>
        <w:widowControl/>
        <w:shd w:val="clear" w:color="auto" w:fill="FFFFFF"/>
        <w:spacing w:line="420" w:lineRule="exact"/>
        <w:ind w:firstLine="420"/>
        <w:jc w:val="left"/>
        <w:rPr>
          <w:rFonts w:ascii="宋体" w:hAnsi="宋体" w:cs="宋体"/>
          <w:b/>
          <w:kern w:val="0"/>
          <w:sz w:val="24"/>
        </w:rPr>
      </w:pPr>
      <w:r>
        <w:rPr>
          <w:rFonts w:hint="eastAsia" w:ascii="宋体" w:hAnsi="宋体" w:cs="宋体"/>
          <w:kern w:val="0"/>
          <w:sz w:val="24"/>
        </w:rPr>
        <w:t>3.8  乙方必须为其施工现场的全部人员办理意外伤害保险并支付保险费，包括其员工及为履行合同聘请的第三方的人员，并为施工场地内自有人员生命财产和施工机械设备办理保险，支付保险费用。若未办理保险，发生的一切事故与甲方无关，甲方因此产生的一切费用最终由乙方来承担。</w:t>
      </w:r>
    </w:p>
    <w:p w14:paraId="6634D02C">
      <w:pPr>
        <w:widowControl/>
        <w:shd w:val="clear" w:color="auto" w:fill="FFFFFF"/>
        <w:spacing w:before="156" w:beforeLines="50" w:after="156" w:afterLines="50" w:line="420" w:lineRule="exact"/>
        <w:ind w:firstLine="482" w:firstLineChars="200"/>
        <w:jc w:val="left"/>
        <w:rPr>
          <w:rFonts w:ascii="宋体" w:hAnsi="宋体" w:cs="宋体"/>
          <w:b/>
          <w:kern w:val="0"/>
          <w:sz w:val="24"/>
        </w:rPr>
      </w:pPr>
      <w:r>
        <w:rPr>
          <w:rFonts w:hint="eastAsia" w:ascii="宋体" w:hAnsi="宋体" w:cs="宋体"/>
          <w:b/>
          <w:kern w:val="0"/>
          <w:sz w:val="24"/>
        </w:rPr>
        <w:t>第四条、关于工期的约定</w:t>
      </w:r>
    </w:p>
    <w:p w14:paraId="61B9FE41">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4.1  因甲方未按约定完成工作，影响工期，工期顺延。</w:t>
      </w:r>
    </w:p>
    <w:p w14:paraId="071B819B">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4.2  因乙方责任，不能按期开工或中途无故停工，影响工期，工期不顺延。</w:t>
      </w:r>
    </w:p>
    <w:p w14:paraId="5886F656">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4.3  实际开工时间以甲方通知为准。</w:t>
      </w:r>
    </w:p>
    <w:p w14:paraId="3261D020">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4.4  实际竣工时间以竣工验收合格之日为准。</w:t>
      </w:r>
    </w:p>
    <w:p w14:paraId="623C0CCC">
      <w:pPr>
        <w:widowControl/>
        <w:shd w:val="clear" w:color="auto" w:fill="FFFFFF"/>
        <w:spacing w:line="420" w:lineRule="exact"/>
        <w:ind w:firstLine="420"/>
        <w:jc w:val="left"/>
      </w:pPr>
      <w:r>
        <w:rPr>
          <w:rFonts w:hint="eastAsia" w:ascii="宋体" w:hAnsi="宋体" w:cs="宋体"/>
          <w:kern w:val="0"/>
          <w:sz w:val="24"/>
        </w:rPr>
        <w:t>4.5  工期延误的责任归属，适用《建设工程施工合同（示范文本）》（GF-2017-0201）有关条款。</w:t>
      </w:r>
    </w:p>
    <w:p w14:paraId="761F9705">
      <w:pPr>
        <w:widowControl/>
        <w:shd w:val="clear" w:color="auto" w:fill="FFFFFF"/>
        <w:spacing w:before="156" w:beforeLines="50" w:after="156" w:afterLines="50" w:line="420" w:lineRule="exact"/>
        <w:ind w:firstLine="482" w:firstLineChars="200"/>
        <w:jc w:val="left"/>
        <w:rPr>
          <w:rFonts w:ascii="宋体" w:hAnsi="宋体" w:cs="宋体"/>
          <w:b/>
          <w:kern w:val="0"/>
          <w:sz w:val="24"/>
        </w:rPr>
      </w:pPr>
      <w:r>
        <w:rPr>
          <w:rFonts w:hint="eastAsia" w:ascii="宋体" w:hAnsi="宋体" w:cs="宋体"/>
          <w:b/>
          <w:kern w:val="0"/>
          <w:sz w:val="24"/>
        </w:rPr>
        <w:t>第五条、关于工程价款及结算的约定</w:t>
      </w:r>
    </w:p>
    <w:p w14:paraId="5BD3AE31">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 xml:space="preserve">5.1  双方商定本合同价款采用第 </w:t>
      </w:r>
      <w:r>
        <w:rPr>
          <w:rFonts w:hint="eastAsia" w:ascii="宋体" w:hAnsi="宋体" w:cs="宋体"/>
          <w:kern w:val="0"/>
          <w:sz w:val="24"/>
          <w:u w:val="single"/>
        </w:rPr>
        <w:t>（1）</w:t>
      </w:r>
      <w:r>
        <w:rPr>
          <w:rFonts w:hint="eastAsia" w:ascii="宋体" w:hAnsi="宋体" w:cs="宋体"/>
          <w:kern w:val="0"/>
          <w:sz w:val="24"/>
        </w:rPr>
        <w:t>种：</w:t>
      </w:r>
    </w:p>
    <w:p w14:paraId="50BD8321">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 xml:space="preserve">（1）固定单价合同。固定单价已经包含材料价格、人工费和机械费上涨等市场风险，除不可抗力不因任何原因调整。                  </w:t>
      </w:r>
    </w:p>
    <w:p w14:paraId="1543A0BD">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 xml:space="preserve">（2）固定价格加 </w:t>
      </w:r>
      <w:r>
        <w:rPr>
          <w:rFonts w:hint="eastAsia" w:ascii="宋体" w:hAnsi="宋体" w:cs="宋体"/>
          <w:kern w:val="0"/>
          <w:sz w:val="24"/>
          <w:u w:val="single"/>
        </w:rPr>
        <w:t xml:space="preserve">   /   </w:t>
      </w:r>
      <w:r>
        <w:rPr>
          <w:rFonts w:hint="eastAsia" w:ascii="宋体" w:hAnsi="宋体" w:cs="宋体"/>
          <w:kern w:val="0"/>
          <w:sz w:val="24"/>
        </w:rPr>
        <w:t>％包干风险系数计算。包干风险包括</w:t>
      </w:r>
      <w:r>
        <w:rPr>
          <w:rFonts w:hint="eastAsia" w:ascii="宋体" w:hAnsi="宋体" w:cs="宋体"/>
          <w:kern w:val="0"/>
          <w:sz w:val="24"/>
          <w:u w:val="single"/>
        </w:rPr>
        <w:t xml:space="preserve">    /     </w:t>
      </w:r>
      <w:r>
        <w:rPr>
          <w:rFonts w:hint="eastAsia" w:ascii="宋体" w:hAnsi="宋体" w:cs="宋体"/>
          <w:kern w:val="0"/>
          <w:sz w:val="24"/>
        </w:rPr>
        <w:t>内容。</w:t>
      </w:r>
    </w:p>
    <w:p w14:paraId="6A569166">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（3）可调价格：按照国家有关工程计价规定计算造价，并按有关规定进行调整和竣工结算。</w:t>
      </w:r>
    </w:p>
    <w:p w14:paraId="0B561366">
      <w:pPr>
        <w:widowControl/>
        <w:spacing w:line="360" w:lineRule="auto"/>
        <w:ind w:firstLine="482" w:firstLineChars="200"/>
        <w:jc w:val="left"/>
        <w:outlineLvl w:val="0"/>
        <w:rPr>
          <w:rFonts w:ascii="宋体" w:hAnsi="宋体" w:cs="宋体"/>
          <w:b/>
          <w:color w:val="auto"/>
          <w:kern w:val="0"/>
          <w:sz w:val="24"/>
        </w:rPr>
      </w:pPr>
      <w:r>
        <w:rPr>
          <w:rFonts w:hint="eastAsia" w:ascii="宋体" w:hAnsi="宋体" w:cs="宋体"/>
          <w:b/>
          <w:kern w:val="0"/>
          <w:sz w:val="24"/>
        </w:rPr>
        <w:t>5.2 付款方式：合同签约暂定价为</w:t>
      </w:r>
      <w:r>
        <w:rPr>
          <w:rFonts w:hint="eastAsia" w:ascii="仿宋" w:hAnsi="仿宋" w:eastAsia="仿宋"/>
          <w:b/>
          <w:sz w:val="24"/>
          <w:u w:val="single"/>
        </w:rPr>
        <w:t xml:space="preserve">      </w:t>
      </w:r>
      <w:r>
        <w:rPr>
          <w:rFonts w:hint="eastAsia" w:ascii="宋体" w:hAnsi="宋体" w:cs="宋体"/>
          <w:b/>
          <w:kern w:val="0"/>
          <w:sz w:val="24"/>
        </w:rPr>
        <w:t>元，工程竣工经甲方验收合格后，且乙方提交项</w:t>
      </w:r>
      <w:r>
        <w:rPr>
          <w:rFonts w:hint="eastAsia" w:ascii="宋体" w:hAnsi="宋体" w:cs="宋体"/>
          <w:b/>
          <w:color w:val="auto"/>
          <w:kern w:val="0"/>
          <w:sz w:val="24"/>
        </w:rPr>
        <w:t>目无农民工工资拖欠证明并经甲方核实后即付至合同签约暂定价的80%，</w:t>
      </w:r>
      <w:r>
        <w:rPr>
          <w:rFonts w:hint="eastAsia" w:ascii="宋体" w:hAnsi="宋体" w:cs="宋体"/>
          <w:b/>
          <w:color w:val="auto"/>
          <w:kern w:val="0"/>
          <w:sz w:val="24"/>
          <w:highlight w:val="yellow"/>
        </w:rPr>
        <w:t>结算审计</w:t>
      </w:r>
      <w:r>
        <w:rPr>
          <w:rFonts w:hint="eastAsia" w:ascii="宋体" w:hAnsi="宋体" w:cs="宋体"/>
          <w:b/>
          <w:color w:val="auto"/>
          <w:kern w:val="0"/>
          <w:sz w:val="24"/>
        </w:rPr>
        <w:t>完成后支付至结算审定价的97%，剩余3%作为工程质量保证金，贰年（24个月）质保期满经甲方验收无工程质量问题后，一次性由发包人支付给承包人（所有款项无息）。</w:t>
      </w:r>
    </w:p>
    <w:p w14:paraId="2F77E82A">
      <w:pPr>
        <w:widowControl/>
        <w:shd w:val="clear" w:color="auto" w:fill="FFFFFF"/>
        <w:spacing w:line="420" w:lineRule="exact"/>
        <w:ind w:firstLine="420"/>
        <w:jc w:val="left"/>
        <w:rPr>
          <w:rFonts w:ascii="宋体" w:hAnsi="宋体" w:cs="宋体"/>
          <w:kern w:val="0"/>
          <w:sz w:val="24"/>
        </w:rPr>
      </w:pPr>
      <w:r>
        <w:rPr>
          <w:rFonts w:hint="eastAsia" w:ascii="宋体" w:hAnsi="宋体" w:cs="宋体"/>
          <w:kern w:val="0"/>
          <w:sz w:val="24"/>
        </w:rPr>
        <w:t>5.3 甲方每次付款前，乙方应向甲方开具并交付</w:t>
      </w:r>
      <w:r>
        <w:rPr>
          <w:rFonts w:hint="eastAsia" w:ascii="宋体" w:hAnsi="宋体" w:cs="宋体"/>
          <w:kern w:val="0"/>
          <w:sz w:val="24"/>
          <w:highlight w:val="yellow"/>
          <w:u w:val="single"/>
          <w:lang w:val="en-US" w:eastAsia="zh-CN"/>
        </w:rPr>
        <w:t xml:space="preserve">    </w:t>
      </w:r>
      <w:r>
        <w:rPr>
          <w:rFonts w:hint="eastAsia" w:ascii="宋体" w:hAnsi="宋体" w:cs="宋体"/>
          <w:kern w:val="0"/>
          <w:sz w:val="24"/>
          <w:highlight w:val="yellow"/>
        </w:rPr>
        <w:t>%</w:t>
      </w:r>
      <w:r>
        <w:rPr>
          <w:rFonts w:hint="eastAsia" w:ascii="宋体" w:hAnsi="宋体" w:cs="宋体"/>
          <w:kern w:val="0"/>
          <w:sz w:val="24"/>
        </w:rPr>
        <w:t>增值税专用发票，否则甲方有权拒绝付款且</w:t>
      </w:r>
      <w:r>
        <w:rPr>
          <w:rFonts w:hint="eastAsia" w:ascii="宋体" w:hAnsi="宋体" w:cs="宋体"/>
          <w:kern w:val="0"/>
          <w:sz w:val="24"/>
          <w:highlight w:val="none"/>
        </w:rPr>
        <w:t>不视为违约。</w:t>
      </w:r>
    </w:p>
    <w:p w14:paraId="57B7669C">
      <w:pPr>
        <w:widowControl/>
        <w:shd w:val="clear" w:color="auto" w:fill="FFFFFF"/>
        <w:spacing w:before="156" w:beforeLines="50" w:after="156" w:afterLines="50" w:line="420" w:lineRule="exact"/>
        <w:ind w:firstLine="482" w:firstLineChars="200"/>
        <w:jc w:val="left"/>
        <w:rPr>
          <w:rFonts w:ascii="宋体" w:hAnsi="宋体" w:cs="宋体"/>
          <w:b/>
          <w:kern w:val="0"/>
          <w:sz w:val="24"/>
        </w:rPr>
      </w:pPr>
      <w:r>
        <w:rPr>
          <w:rFonts w:hint="eastAsia" w:ascii="宋体" w:hAnsi="宋体" w:cs="宋体"/>
          <w:b/>
          <w:kern w:val="0"/>
          <w:sz w:val="24"/>
        </w:rPr>
        <w:t>第六条、工程变更</w:t>
      </w:r>
    </w:p>
    <w:p w14:paraId="564F73CF">
      <w:pPr>
        <w:spacing w:line="420" w:lineRule="exact"/>
        <w:ind w:firstLine="480" w:firstLineChars="200"/>
        <w:rPr>
          <w:rFonts w:ascii="宋体" w:hAnsi="宋体" w:cs="宋体"/>
          <w:sz w:val="24"/>
        </w:rPr>
      </w:pPr>
      <w:r>
        <w:rPr>
          <w:rFonts w:hint="eastAsia" w:ascii="宋体" w:hAnsi="宋体" w:cs="宋体"/>
          <w:sz w:val="24"/>
        </w:rPr>
        <w:t>6.1 工程变更和设计修改办理的程序：变更由乙方依据规范提出，甲方确认签字盖章后乙方执行；或变更由甲方直接签字盖章书面提出，乙方执行。</w:t>
      </w:r>
    </w:p>
    <w:p w14:paraId="3AF187B1">
      <w:pPr>
        <w:spacing w:line="420" w:lineRule="exact"/>
        <w:ind w:firstLine="480" w:firstLineChars="200"/>
        <w:rPr>
          <w:rFonts w:ascii="宋体" w:hAnsi="宋体" w:cs="宋体"/>
          <w:sz w:val="24"/>
        </w:rPr>
      </w:pPr>
      <w:r>
        <w:rPr>
          <w:rFonts w:hint="eastAsia" w:ascii="宋体" w:hAnsi="宋体" w:cs="宋体"/>
          <w:sz w:val="24"/>
        </w:rPr>
        <w:t>6.2 所有变更、签证均以甲方以及甲方委托的造价咨询单位（若有）、监理（若有）审核签字并盖章确认为准。</w:t>
      </w:r>
    </w:p>
    <w:p w14:paraId="2152EEA1">
      <w:pPr>
        <w:spacing w:line="420" w:lineRule="exact"/>
        <w:ind w:firstLine="480"/>
        <w:rPr>
          <w:rFonts w:ascii="宋体" w:hAnsi="宋体" w:cs="宋体"/>
          <w:sz w:val="24"/>
        </w:rPr>
      </w:pPr>
      <w:r>
        <w:rPr>
          <w:rFonts w:hint="eastAsia" w:ascii="宋体" w:hAnsi="宋体" w:cs="宋体"/>
          <w:sz w:val="24"/>
        </w:rPr>
        <w:t>6.3 工程施工过程中，如甲方因实际情况变化提出变更，或乙方按规范提出相关方案并经甲方同意实施的变更，均以签证形式提出。后期结算过程中签证部分执行价格标准如下：</w:t>
      </w:r>
    </w:p>
    <w:p w14:paraId="2B9F351C">
      <w:pPr>
        <w:spacing w:line="420" w:lineRule="exact"/>
        <w:ind w:firstLine="480"/>
        <w:rPr>
          <w:sz w:val="24"/>
          <w:u w:val="single"/>
        </w:rPr>
      </w:pPr>
      <w:r>
        <w:rPr>
          <w:rFonts w:hint="eastAsia" w:ascii="宋体" w:hAnsi="宋体" w:cs="宋体"/>
          <w:sz w:val="24"/>
        </w:rPr>
        <w:t xml:space="preserve">6.3.1 </w:t>
      </w:r>
      <w:r>
        <w:rPr>
          <w:rFonts w:hint="eastAsia"/>
          <w:sz w:val="24"/>
        </w:rPr>
        <w:t>已标价工程量清单中有适用于变更工程项目的，采用该项目的单价；</w:t>
      </w:r>
    </w:p>
    <w:p w14:paraId="001BE616">
      <w:pPr>
        <w:spacing w:line="420" w:lineRule="exact"/>
        <w:ind w:firstLine="480"/>
        <w:rPr>
          <w:bCs/>
          <w:sz w:val="24"/>
        </w:rPr>
      </w:pPr>
      <w:r>
        <w:rPr>
          <w:rFonts w:hint="eastAsia" w:ascii="宋体" w:hAnsi="宋体" w:cs="宋体"/>
          <w:sz w:val="24"/>
        </w:rPr>
        <w:t>6.3.2 已标价工程量清单中没有适用但有类似于变更工程项目的，可在合理范围内参照类</w:t>
      </w:r>
      <w:r>
        <w:rPr>
          <w:rFonts w:hint="eastAsia"/>
          <w:bCs/>
          <w:sz w:val="24"/>
        </w:rPr>
        <w:t>似项目的单价，经甲方及相关单位审核确认后，作为结算的依据。</w:t>
      </w:r>
    </w:p>
    <w:p w14:paraId="04F1EBEF">
      <w:pPr>
        <w:spacing w:line="420" w:lineRule="exact"/>
        <w:ind w:firstLine="480"/>
        <w:rPr>
          <w:b/>
          <w:sz w:val="24"/>
          <w:u w:val="single"/>
        </w:rPr>
      </w:pPr>
      <w:r>
        <w:rPr>
          <w:rFonts w:hint="eastAsia" w:ascii="宋体" w:hAnsi="宋体" w:cs="宋体"/>
          <w:sz w:val="24"/>
        </w:rPr>
        <w:t xml:space="preserve">6.3.3 </w:t>
      </w:r>
      <w:r>
        <w:rPr>
          <w:rFonts w:hint="eastAsia"/>
          <w:bCs/>
          <w:sz w:val="24"/>
        </w:rPr>
        <w:t>已标价工程量清单中没有适用也没有类似于变更工程项目的，由承包人根据变更工程资料、招标时的计量规则和计价办法、当期的工程造价管理机构发布的信息价格和承包人投标总价优惠率同比下浮标准，提出变更工程项目的单价，经甲方及相关单位审核确认后，作为结算的依据。</w:t>
      </w:r>
    </w:p>
    <w:p w14:paraId="4AC6356A">
      <w:pPr>
        <w:spacing w:line="420" w:lineRule="exact"/>
        <w:ind w:firstLine="480"/>
        <w:rPr>
          <w:rFonts w:ascii="宋体" w:hAnsi="宋体" w:cs="宋体"/>
          <w:b/>
          <w:bCs/>
          <w:sz w:val="24"/>
        </w:rPr>
      </w:pPr>
      <w:r>
        <w:rPr>
          <w:rFonts w:hint="eastAsia" w:ascii="宋体" w:hAnsi="宋体" w:cs="宋体"/>
          <w:sz w:val="24"/>
        </w:rPr>
        <w:t xml:space="preserve">6.3.4 </w:t>
      </w:r>
      <w:r>
        <w:rPr>
          <w:rFonts w:hint="eastAsia"/>
          <w:bCs/>
          <w:sz w:val="24"/>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优惠率同比下浮标准，提出变更工程项目的单价，经甲方及相关单位审核签字确认后，作为结算的依据。</w:t>
      </w:r>
    </w:p>
    <w:p w14:paraId="5187AA92">
      <w:pPr>
        <w:widowControl/>
        <w:shd w:val="clear" w:color="auto" w:fill="FFFFFF"/>
        <w:spacing w:before="156" w:beforeLines="50" w:after="156" w:afterLines="50" w:line="420" w:lineRule="exact"/>
        <w:ind w:firstLine="482" w:firstLineChars="200"/>
        <w:jc w:val="left"/>
        <w:rPr>
          <w:rFonts w:ascii="宋体" w:hAnsi="宋体" w:cs="宋体"/>
          <w:b/>
          <w:kern w:val="0"/>
          <w:sz w:val="24"/>
        </w:rPr>
      </w:pPr>
      <w:r>
        <w:rPr>
          <w:rFonts w:hint="eastAsia" w:ascii="宋体" w:hAnsi="宋体" w:cs="宋体"/>
          <w:b/>
          <w:kern w:val="0"/>
          <w:sz w:val="24"/>
        </w:rPr>
        <w:t>第七条、 竣工验收</w:t>
      </w:r>
    </w:p>
    <w:p w14:paraId="22561658">
      <w:pPr>
        <w:spacing w:line="420" w:lineRule="exact"/>
        <w:ind w:firstLine="480"/>
        <w:rPr>
          <w:rFonts w:ascii="宋体" w:hAnsi="宋体" w:cs="宋体"/>
          <w:sz w:val="24"/>
        </w:rPr>
      </w:pPr>
      <w:r>
        <w:rPr>
          <w:rFonts w:hint="eastAsia" w:ascii="宋体" w:hAnsi="宋体" w:cs="宋体"/>
          <w:sz w:val="24"/>
        </w:rPr>
        <w:t>7.1乙方完成合同范围内的全部工程以及有关工作，经自检合格后，方可向甲方提交竣工验收申请报告。</w:t>
      </w:r>
    </w:p>
    <w:p w14:paraId="5188C9C9">
      <w:pPr>
        <w:spacing w:line="420" w:lineRule="exact"/>
        <w:ind w:firstLine="480"/>
        <w:rPr>
          <w:rFonts w:ascii="宋体" w:hAnsi="宋体" w:cs="宋体"/>
          <w:sz w:val="24"/>
        </w:rPr>
      </w:pPr>
      <w:r>
        <w:rPr>
          <w:rFonts w:hint="eastAsia" w:ascii="宋体" w:hAnsi="宋体" w:cs="宋体"/>
          <w:sz w:val="24"/>
        </w:rPr>
        <w:t>7.2 甲方收到乙方报送的竣工验收申请报告后，7日内组织竣工验收。</w:t>
      </w:r>
    </w:p>
    <w:p w14:paraId="6E20A801">
      <w:pPr>
        <w:spacing w:line="420" w:lineRule="exact"/>
        <w:ind w:firstLine="480"/>
        <w:rPr>
          <w:rFonts w:ascii="宋体" w:hAnsi="宋体" w:cs="宋体"/>
          <w:sz w:val="24"/>
        </w:rPr>
      </w:pPr>
      <w:r>
        <w:rPr>
          <w:rFonts w:hint="eastAsia" w:ascii="宋体" w:hAnsi="宋体" w:cs="宋体"/>
          <w:sz w:val="24"/>
        </w:rPr>
        <w:t>7.3 竣工验收合格的，7日内向乙方签发工程接受证书。</w:t>
      </w:r>
    </w:p>
    <w:p w14:paraId="2626B45A">
      <w:pPr>
        <w:spacing w:line="420" w:lineRule="exact"/>
        <w:ind w:firstLine="480"/>
        <w:rPr>
          <w:rFonts w:ascii="宋体" w:hAnsi="宋体" w:cs="宋体"/>
          <w:sz w:val="24"/>
        </w:rPr>
      </w:pPr>
      <w:r>
        <w:rPr>
          <w:rFonts w:hint="eastAsia" w:ascii="宋体" w:hAnsi="宋体" w:cs="宋体"/>
          <w:sz w:val="24"/>
        </w:rPr>
        <w:t>7.4 竣工验收不合格的，乙方须按验收意见对不合格工程返工、修复或采取其他补救措施。由此增加的费用和延误的工期由乙方承担。乙方完成不合格工程的返工、修复或采取其他补救措施后，应当重新提交竣工验收申请报告。</w:t>
      </w:r>
    </w:p>
    <w:p w14:paraId="2096B57A">
      <w:pPr>
        <w:spacing w:line="420" w:lineRule="exact"/>
        <w:ind w:firstLine="480"/>
        <w:rPr>
          <w:bCs/>
          <w:sz w:val="24"/>
        </w:rPr>
      </w:pPr>
      <w:r>
        <w:rPr>
          <w:rFonts w:hint="eastAsia" w:ascii="宋体" w:hAnsi="宋体" w:cs="宋体"/>
          <w:sz w:val="24"/>
        </w:rPr>
        <w:t>7.5 工程经竣工验收合格的，以乙方提交竣工验收申请报告之日为实际竣工日期，并在工程接收证书中载明</w:t>
      </w:r>
      <w:r>
        <w:rPr>
          <w:rFonts w:hint="eastAsia"/>
          <w:bCs/>
          <w:sz w:val="24"/>
        </w:rPr>
        <w:t>。</w:t>
      </w:r>
    </w:p>
    <w:p w14:paraId="29FCCA4C">
      <w:pPr>
        <w:spacing w:line="420" w:lineRule="exact"/>
        <w:ind w:firstLine="480"/>
      </w:pPr>
      <w:r>
        <w:rPr>
          <w:rFonts w:hint="eastAsia" w:ascii="宋体" w:hAnsi="宋体" w:cs="宋体"/>
          <w:sz w:val="24"/>
        </w:rPr>
        <w:t xml:space="preserve">7.6乙方须于竣工验收合格后30日内，按照甲方要求提供审计结算报告资料，逾期不提供视为乙方免费施工，后期甲方不再支付费用。   </w:t>
      </w:r>
    </w:p>
    <w:p w14:paraId="0D946BDC">
      <w:pPr>
        <w:widowControl/>
        <w:shd w:val="clear" w:color="auto" w:fill="FFFFFF"/>
        <w:spacing w:before="156" w:beforeLines="50" w:after="156" w:afterLines="50" w:line="420" w:lineRule="exact"/>
        <w:ind w:firstLine="482" w:firstLineChars="200"/>
        <w:jc w:val="left"/>
        <w:rPr>
          <w:rFonts w:ascii="宋体" w:hAnsi="宋体" w:cs="宋体"/>
          <w:b/>
          <w:kern w:val="0"/>
          <w:sz w:val="24"/>
        </w:rPr>
      </w:pPr>
      <w:r>
        <w:rPr>
          <w:rFonts w:hint="eastAsia" w:ascii="宋体" w:hAnsi="宋体" w:cs="宋体"/>
          <w:b/>
          <w:kern w:val="0"/>
          <w:sz w:val="24"/>
        </w:rPr>
        <w:t>第八条 保修条件及期限</w:t>
      </w:r>
    </w:p>
    <w:p w14:paraId="5C6A3E7C">
      <w:pPr>
        <w:spacing w:line="420" w:lineRule="exact"/>
        <w:ind w:firstLine="480" w:firstLineChars="200"/>
        <w:rPr>
          <w:rFonts w:ascii="宋体" w:hAnsi="宋体" w:cs="宋体"/>
          <w:b/>
          <w:sz w:val="24"/>
        </w:rPr>
      </w:pPr>
      <w:r>
        <w:rPr>
          <w:rFonts w:hint="eastAsia" w:ascii="宋体" w:hAnsi="宋体" w:cs="宋体"/>
          <w:sz w:val="24"/>
        </w:rPr>
        <w:t>按《工程质量保修书》执行。</w:t>
      </w:r>
    </w:p>
    <w:p w14:paraId="6B122909">
      <w:pPr>
        <w:widowControl/>
        <w:shd w:val="clear" w:color="auto" w:fill="FFFFFF"/>
        <w:spacing w:before="156" w:beforeLines="50" w:after="156" w:afterLines="50" w:line="420" w:lineRule="exact"/>
        <w:ind w:firstLine="482" w:firstLineChars="200"/>
        <w:jc w:val="left"/>
        <w:rPr>
          <w:rFonts w:ascii="宋体" w:hAnsi="宋体" w:cs="宋体"/>
          <w:b/>
          <w:kern w:val="0"/>
          <w:sz w:val="24"/>
        </w:rPr>
      </w:pPr>
      <w:r>
        <w:rPr>
          <w:rFonts w:hint="eastAsia" w:ascii="宋体" w:hAnsi="宋体" w:cs="宋体"/>
          <w:b/>
          <w:kern w:val="0"/>
          <w:sz w:val="24"/>
        </w:rPr>
        <w:t>第九条、关于材料供应的约定</w:t>
      </w:r>
    </w:p>
    <w:p w14:paraId="1F5E6251">
      <w:pPr>
        <w:widowControl/>
        <w:shd w:val="clear" w:color="auto" w:fill="FFFFFF"/>
        <w:spacing w:line="420" w:lineRule="exact"/>
        <w:ind w:firstLine="480" w:firstLineChars="200"/>
        <w:jc w:val="left"/>
        <w:rPr>
          <w:rFonts w:ascii="宋体" w:hAnsi="宋体" w:cs="宋体"/>
          <w:b/>
          <w:sz w:val="24"/>
        </w:rPr>
      </w:pPr>
      <w:r>
        <w:rPr>
          <w:rFonts w:hint="eastAsia" w:ascii="宋体" w:hAnsi="宋体" w:cs="宋体"/>
          <w:kern w:val="0"/>
          <w:sz w:val="24"/>
        </w:rPr>
        <w:t>本工程乙方负责采购工程所需的材料、设备并承担全部费用，乙方提供的材料、设备应为符合设计要求与国家法律法规等强制性规定的合格产品，乙方应按时供应到现场，并承担运输、搬运、拆除、保管、复试等费用。由乙方供应的材料、设备发生了质量问题或规格差异，禁止使用，如已使用的，须无条件拆除、返工，由此造成的工期影响及其他一切损失由乙方承担。</w:t>
      </w:r>
    </w:p>
    <w:p w14:paraId="57DDB349">
      <w:pPr>
        <w:widowControl/>
        <w:shd w:val="clear" w:color="auto" w:fill="FFFFFF"/>
        <w:spacing w:before="156" w:beforeLines="50" w:after="156" w:afterLines="50" w:line="420" w:lineRule="exact"/>
        <w:ind w:firstLine="482" w:firstLineChars="200"/>
        <w:jc w:val="left"/>
        <w:rPr>
          <w:rFonts w:ascii="宋体" w:hAnsi="宋体" w:cs="宋体"/>
          <w:b/>
          <w:kern w:val="0"/>
          <w:sz w:val="24"/>
        </w:rPr>
      </w:pPr>
      <w:r>
        <w:rPr>
          <w:rFonts w:hint="eastAsia" w:ascii="宋体" w:hAnsi="宋体" w:cs="宋体"/>
          <w:b/>
          <w:kern w:val="0"/>
          <w:sz w:val="24"/>
        </w:rPr>
        <w:t>第十条、有关安全文明施工的约定</w:t>
      </w:r>
    </w:p>
    <w:p w14:paraId="37607AA5">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10.1  现场动用明火的，须要向甲方提供书面申请，取得动火许可后方可施工。</w:t>
      </w:r>
    </w:p>
    <w:p w14:paraId="7B17DE6A">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 xml:space="preserve">10.2 </w:t>
      </w:r>
      <w:r>
        <w:rPr>
          <w:rFonts w:hint="eastAsia" w:ascii="宋体" w:hAnsi="宋体" w:cs="宋体"/>
          <w:color w:val="000000" w:themeColor="text1"/>
          <w:kern w:val="0"/>
          <w:sz w:val="24"/>
          <w14:textFill>
            <w14:solidFill>
              <w14:schemeClr w14:val="tx1"/>
            </w14:solidFill>
          </w14:textFill>
        </w:rPr>
        <w:t>因乙方施工造成任何甲方/乙方/第三方人身损害或财产损失，均由乙方承担赔偿责任。质保期内因安装质量问题，出现的一切安全问题均由乙方承担赔偿责任。</w:t>
      </w:r>
    </w:p>
    <w:p w14:paraId="2BD6FFF2">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10.3 在甲方正常营业期间开展施工的，须做好相应的安全文明施工措施，不得对甲方的正常经营产生影响。</w:t>
      </w:r>
    </w:p>
    <w:p w14:paraId="41637992">
      <w:pPr>
        <w:widowControl/>
        <w:shd w:val="clear" w:color="auto" w:fill="FFFFFF"/>
        <w:spacing w:line="420" w:lineRule="exact"/>
        <w:ind w:firstLine="482" w:firstLineChars="200"/>
        <w:jc w:val="left"/>
        <w:rPr>
          <w:rFonts w:ascii="宋体" w:hAnsi="宋体" w:cs="宋体"/>
          <w:b/>
          <w:kern w:val="0"/>
          <w:sz w:val="24"/>
        </w:rPr>
      </w:pPr>
      <w:r>
        <w:rPr>
          <w:rFonts w:hint="eastAsia" w:ascii="宋体" w:hAnsi="宋体" w:cs="宋体"/>
          <w:b/>
          <w:kern w:val="0"/>
          <w:sz w:val="24"/>
        </w:rPr>
        <w:t>第十一条、违约责任</w:t>
      </w:r>
    </w:p>
    <w:p w14:paraId="270DE07C">
      <w:pPr>
        <w:widowControl/>
        <w:shd w:val="clear" w:color="auto" w:fill="FFFFFF"/>
        <w:spacing w:line="420" w:lineRule="exact"/>
        <w:ind w:firstLine="480" w:firstLineChars="200"/>
        <w:jc w:val="left"/>
        <w:rPr>
          <w:rFonts w:ascii="宋体" w:hAnsi="宋体" w:cs="宋体"/>
          <w:color w:val="000000"/>
          <w:kern w:val="0"/>
          <w:sz w:val="24"/>
        </w:rPr>
      </w:pPr>
      <w:r>
        <w:rPr>
          <w:rFonts w:hint="eastAsia" w:ascii="宋体" w:hAnsi="宋体" w:cs="宋体"/>
          <w:kern w:val="0"/>
          <w:sz w:val="24"/>
        </w:rPr>
        <w:t>11.1  由于乙方原因，逾期竣工，每逾期一天</w:t>
      </w:r>
      <w:r>
        <w:rPr>
          <w:rFonts w:hint="eastAsia" w:ascii="宋体" w:hAnsi="宋体" w:cs="宋体"/>
          <w:color w:val="000000"/>
          <w:kern w:val="0"/>
          <w:sz w:val="24"/>
        </w:rPr>
        <w:t>，乙方支付甲方500元违约金。</w:t>
      </w:r>
    </w:p>
    <w:p w14:paraId="3E41F53C">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color w:val="000000"/>
          <w:kern w:val="0"/>
          <w:sz w:val="24"/>
        </w:rPr>
        <w:t>11.2</w:t>
      </w:r>
      <w:r>
        <w:rPr>
          <w:rFonts w:hint="eastAsia" w:ascii="宋体" w:hAnsi="宋体" w:cs="宋体"/>
          <w:kern w:val="0"/>
          <w:sz w:val="24"/>
        </w:rPr>
        <w:t xml:space="preserve">  如乙方未经甲方同意，擅自动火，乙方支付甲方2000元/次违约金，并赔偿因此给甲方造成的全部损失。</w:t>
      </w:r>
    </w:p>
    <w:p w14:paraId="5824462F">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11.3  未经甲方书面同意，乙方擅自拆改原建筑物结构或设备管线，由此发生的损失或事故（包括罚款），由乙方负责处理并承担全部责任，并赔偿因此给甲方造成的全部损失。</w:t>
      </w:r>
    </w:p>
    <w:p w14:paraId="60DD0BF7">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11.4  因一方原因，合同无法继续履行时，应及时通知对方，双方协商一致解除合同，责任方应赔偿因此给对方造成的全部损失。</w:t>
      </w:r>
    </w:p>
    <w:p w14:paraId="63FAB837">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11.5如因乙方违约导致合同解除，甲方支付的与合同解除及相关索赔有关的全部费用（包括但不限于诉讼费、律师费等）由乙方承担。</w:t>
      </w:r>
    </w:p>
    <w:p w14:paraId="5E9D4C62">
      <w:pPr>
        <w:widowControl/>
        <w:shd w:val="clear" w:color="auto" w:fill="FFFFFF"/>
        <w:spacing w:line="420" w:lineRule="exact"/>
        <w:ind w:firstLine="480" w:firstLineChars="200"/>
        <w:jc w:val="left"/>
      </w:pPr>
      <w:r>
        <w:rPr>
          <w:rFonts w:hint="eastAsia" w:ascii="宋体" w:hAnsi="宋体" w:cs="宋体"/>
          <w:kern w:val="0"/>
          <w:sz w:val="24"/>
        </w:rPr>
        <w:t>11.6因本合同工期为20天，不足一个工资支付或进度款支付周期，因此本工程不设进度款，乙方完工并经验收合格后，甲方第一次付款。因此，乙方不得以任何理由拖欠农民工工资、材料款、设备租赁费或其他应向第三方支付的价款，如因乙方拖欠前述款项，导致甲方被第三方起诉，甲方被判令支付的金额、甲方参与诉讼支出的包括律师费、诉讼费在内的一切费用，有权从工程款中扣除，不足部分有权要求乙方另行支付。</w:t>
      </w:r>
    </w:p>
    <w:p w14:paraId="1164CF34">
      <w:pPr>
        <w:widowControl/>
        <w:shd w:val="clear" w:color="auto" w:fill="FFFFFF"/>
        <w:spacing w:before="156" w:beforeLines="50" w:after="156" w:afterLines="50" w:line="420" w:lineRule="exact"/>
        <w:ind w:firstLine="482" w:firstLineChars="200"/>
        <w:jc w:val="left"/>
        <w:rPr>
          <w:rFonts w:ascii="宋体" w:hAnsi="宋体" w:cs="宋体"/>
          <w:b/>
          <w:kern w:val="0"/>
          <w:sz w:val="24"/>
        </w:rPr>
      </w:pPr>
      <w:r>
        <w:rPr>
          <w:rFonts w:hint="eastAsia" w:ascii="宋体" w:hAnsi="宋体" w:cs="宋体"/>
          <w:b/>
          <w:kern w:val="0"/>
          <w:sz w:val="24"/>
        </w:rPr>
        <w:t>第十二条、争议或纠纷处理</w:t>
      </w:r>
    </w:p>
    <w:p w14:paraId="3BB72F1F">
      <w:pPr>
        <w:spacing w:line="420" w:lineRule="exact"/>
        <w:ind w:firstLine="480" w:firstLineChars="200"/>
        <w:rPr>
          <w:rFonts w:ascii="宋体" w:hAnsi="宋体" w:cs="宋体"/>
          <w:b/>
          <w:kern w:val="0"/>
          <w:sz w:val="24"/>
        </w:rPr>
      </w:pPr>
      <w:r>
        <w:rPr>
          <w:rFonts w:hint="eastAsia" w:ascii="宋体" w:hAnsi="宋体" w:cs="宋体"/>
          <w:kern w:val="0"/>
          <w:sz w:val="24"/>
        </w:rPr>
        <w:t>本合同如发生纠纷，当事人双方应当及时协商解决，协商不成时，</w:t>
      </w:r>
      <w:r>
        <w:rPr>
          <w:rFonts w:hint="eastAsia" w:ascii="宋体" w:hAnsi="宋体" w:cs="宋体"/>
          <w:sz w:val="24"/>
          <w:szCs w:val="27"/>
        </w:rPr>
        <w:t>双方均可向</w:t>
      </w:r>
      <w:r>
        <w:rPr>
          <w:rFonts w:hint="eastAsia" w:ascii="宋体" w:hAnsi="宋体" w:cs="宋体"/>
          <w:sz w:val="24"/>
        </w:rPr>
        <w:t>工程项目所在地</w:t>
      </w:r>
      <w:r>
        <w:rPr>
          <w:rFonts w:hint="eastAsia" w:ascii="宋体" w:hAnsi="宋体" w:cs="宋体"/>
          <w:sz w:val="24"/>
          <w:szCs w:val="27"/>
        </w:rPr>
        <w:t>人民法院提起诉讼。</w:t>
      </w:r>
    </w:p>
    <w:p w14:paraId="00CFDF38">
      <w:pPr>
        <w:widowControl/>
        <w:shd w:val="clear" w:color="auto" w:fill="FFFFFF"/>
        <w:spacing w:before="156" w:beforeLines="50" w:after="156" w:afterLines="50" w:line="420" w:lineRule="exact"/>
        <w:ind w:firstLine="482" w:firstLineChars="200"/>
        <w:jc w:val="left"/>
        <w:rPr>
          <w:rFonts w:ascii="宋体" w:hAnsi="宋体" w:cs="宋体"/>
          <w:b/>
          <w:kern w:val="0"/>
          <w:sz w:val="24"/>
        </w:rPr>
      </w:pPr>
      <w:r>
        <w:rPr>
          <w:rFonts w:hint="eastAsia" w:ascii="宋体" w:hAnsi="宋体" w:cs="宋体"/>
          <w:b/>
          <w:kern w:val="0"/>
          <w:sz w:val="24"/>
        </w:rPr>
        <w:t>第十三条、其它约定</w:t>
      </w:r>
    </w:p>
    <w:p w14:paraId="7DEAA0C0">
      <w:pPr>
        <w:spacing w:line="420" w:lineRule="exact"/>
        <w:ind w:firstLine="480" w:firstLineChars="200"/>
        <w:rPr>
          <w:rFonts w:ascii="宋体" w:hAnsi="宋体" w:cs="宋体"/>
          <w:sz w:val="24"/>
        </w:rPr>
      </w:pPr>
      <w:r>
        <w:rPr>
          <w:rFonts w:hint="eastAsia" w:ascii="宋体" w:hAnsi="宋体" w:cs="宋体"/>
          <w:bCs/>
          <w:sz w:val="24"/>
        </w:rPr>
        <w:t xml:space="preserve"> 1.</w:t>
      </w:r>
      <w:r>
        <w:rPr>
          <w:rFonts w:hint="eastAsia" w:ascii="宋体" w:hAnsi="宋体" w:cs="宋体"/>
          <w:sz w:val="24"/>
        </w:rPr>
        <w:t>本合同依据“</w:t>
      </w:r>
      <w:r>
        <w:rPr>
          <w:rFonts w:hint="eastAsia" w:cs="宋体" w:asciiTheme="minorEastAsia" w:hAnsiTheme="minorEastAsia"/>
          <w:kern w:val="0"/>
          <w:sz w:val="24"/>
          <w:u w:val="none"/>
          <w:lang w:eastAsia="zh-CN"/>
        </w:rPr>
        <w:t>宿州百大门头亮化改造项目（三次）</w:t>
      </w:r>
      <w:r>
        <w:rPr>
          <w:rFonts w:hint="eastAsia" w:ascii="宋体" w:hAnsi="宋体" w:cs="宋体"/>
          <w:sz w:val="24"/>
        </w:rPr>
        <w:t>”，所涉该项目的招标文件及有关附件是本合同不可分割的组成部分，与本合同具有同等法律效力，这些文件包含但不限于：①招标文件、②乙方投标文件、③甲乙双方商定的其他文件。以上文件，顺序在前的具有优先解释权。</w:t>
      </w:r>
    </w:p>
    <w:p w14:paraId="3686C3CF">
      <w:pPr>
        <w:spacing w:line="420" w:lineRule="exact"/>
        <w:ind w:firstLine="480" w:firstLineChars="200"/>
        <w:rPr>
          <w:rFonts w:ascii="宋体" w:hAnsi="宋体" w:cs="宋体"/>
          <w:kern w:val="0"/>
          <w:sz w:val="24"/>
        </w:rPr>
      </w:pPr>
      <w:r>
        <w:rPr>
          <w:rFonts w:hint="eastAsia" w:ascii="宋体" w:hAnsi="宋体" w:cs="宋体"/>
          <w:kern w:val="0"/>
          <w:sz w:val="24"/>
        </w:rPr>
        <w:t>2.因本项目</w:t>
      </w:r>
      <w:r>
        <w:rPr>
          <w:rFonts w:hint="eastAsia"/>
          <w:sz w:val="24"/>
        </w:rPr>
        <w:t>为</w:t>
      </w:r>
      <w:r>
        <w:rPr>
          <w:rFonts w:hint="eastAsia" w:ascii="宋体" w:hAnsi="宋体" w:cs="宋体"/>
          <w:kern w:val="0"/>
          <w:sz w:val="24"/>
        </w:rPr>
        <w:t>室外作业，本合同所约定的施工工期20个工作日为晴天作业日，若因天气原因无法施工工期顺延。</w:t>
      </w:r>
    </w:p>
    <w:p w14:paraId="0F480D5A">
      <w:pPr>
        <w:spacing w:line="420" w:lineRule="exact"/>
        <w:ind w:firstLine="480" w:firstLineChars="200"/>
        <w:rPr>
          <w:rFonts w:ascii="宋体" w:hAnsi="宋体" w:cs="宋体"/>
          <w:kern w:val="0"/>
          <w:sz w:val="24"/>
        </w:rPr>
      </w:pPr>
      <w:r>
        <w:rPr>
          <w:rFonts w:hint="eastAsia" w:ascii="宋体" w:hAnsi="宋体" w:cs="宋体"/>
          <w:kern w:val="0"/>
          <w:sz w:val="24"/>
        </w:rPr>
        <w:t>3.本合同附件《工程量清单报价表》为乙方竞价所得，工程审计时单价不变。</w:t>
      </w:r>
    </w:p>
    <w:p w14:paraId="14B55378">
      <w:pPr>
        <w:spacing w:line="420" w:lineRule="exact"/>
        <w:ind w:firstLine="480" w:firstLineChars="200"/>
        <w:rPr>
          <w:rFonts w:ascii="宋体" w:hAnsi="宋体" w:cs="宋体"/>
          <w:b/>
          <w:kern w:val="0"/>
          <w:sz w:val="24"/>
        </w:rPr>
      </w:pPr>
      <w:r>
        <w:rPr>
          <w:rFonts w:hint="eastAsia" w:ascii="宋体" w:hAnsi="宋体" w:cs="宋体"/>
          <w:kern w:val="0"/>
          <w:sz w:val="24"/>
        </w:rPr>
        <w:t>4.本合同未尽事宜，适用《建设工程施工合同(示范文本)》(GF-2017-0201)</w:t>
      </w:r>
      <w:r>
        <w:rPr>
          <w:rFonts w:hint="eastAsia" w:ascii="宋体" w:hAnsi="宋体" w:cs="宋体"/>
          <w:color w:val="FF0000"/>
          <w:kern w:val="0"/>
          <w:sz w:val="24"/>
        </w:rPr>
        <w:t xml:space="preserve"> </w:t>
      </w:r>
      <w:r>
        <w:rPr>
          <w:rFonts w:hint="eastAsia" w:ascii="宋体" w:hAnsi="宋体" w:cs="宋体"/>
          <w:kern w:val="0"/>
          <w:sz w:val="24"/>
        </w:rPr>
        <w:t>通用条款；该通用条款与本合同有冲突的，优先适用本合同。</w:t>
      </w:r>
    </w:p>
    <w:p w14:paraId="520D4DEA">
      <w:pPr>
        <w:widowControl/>
        <w:shd w:val="clear" w:color="auto" w:fill="FFFFFF"/>
        <w:spacing w:before="156" w:beforeLines="50" w:after="156" w:afterLines="50" w:line="420" w:lineRule="exact"/>
        <w:ind w:firstLine="482" w:firstLineChars="200"/>
        <w:jc w:val="left"/>
        <w:rPr>
          <w:rFonts w:ascii="宋体" w:hAnsi="宋体" w:cs="宋体"/>
          <w:b/>
          <w:kern w:val="0"/>
          <w:sz w:val="24"/>
        </w:rPr>
      </w:pPr>
      <w:r>
        <w:rPr>
          <w:rFonts w:hint="eastAsia" w:ascii="宋体" w:hAnsi="宋体" w:cs="宋体"/>
          <w:b/>
          <w:kern w:val="0"/>
          <w:sz w:val="24"/>
        </w:rPr>
        <w:t>第十四条、附则</w:t>
      </w:r>
    </w:p>
    <w:p w14:paraId="6132D763">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14.1  本工程需要进行保修或保险时，应另订协议。</w:t>
      </w:r>
    </w:p>
    <w:p w14:paraId="298C6C2D">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14.2  本合同陆份，甲方执肆份，乙方执两份。</w:t>
      </w:r>
    </w:p>
    <w:p w14:paraId="73D594E1">
      <w:pPr>
        <w:widowControl/>
        <w:shd w:val="clear" w:color="auto" w:fill="FFFFFF"/>
        <w:spacing w:line="420" w:lineRule="exact"/>
        <w:ind w:firstLine="480" w:firstLineChars="200"/>
        <w:jc w:val="left"/>
        <w:rPr>
          <w:rFonts w:ascii="宋体" w:hAnsi="宋体" w:cs="宋体"/>
          <w:kern w:val="0"/>
          <w:sz w:val="24"/>
        </w:rPr>
      </w:pPr>
      <w:r>
        <w:rPr>
          <w:rFonts w:hint="eastAsia" w:ascii="宋体" w:hAnsi="宋体" w:cs="宋体"/>
          <w:kern w:val="0"/>
          <w:sz w:val="24"/>
        </w:rPr>
        <w:t>14.3  本合同履行完成后自动终止。</w:t>
      </w:r>
    </w:p>
    <w:p w14:paraId="6322F705">
      <w:pPr>
        <w:spacing w:line="440" w:lineRule="exact"/>
        <w:ind w:firstLine="480" w:firstLineChars="200"/>
        <w:rPr>
          <w:rFonts w:ascii="宋体" w:hAnsi="宋体" w:cs="宋体"/>
          <w:kern w:val="0"/>
          <w:sz w:val="24"/>
          <w:u w:val="single"/>
        </w:rPr>
      </w:pPr>
      <w:r>
        <w:rPr>
          <w:rFonts w:hint="eastAsia" w:ascii="宋体" w:hAnsi="宋体" w:cs="宋体"/>
          <w:kern w:val="0"/>
          <w:sz w:val="24"/>
        </w:rPr>
        <w:t>14.4  附件：1.《工程质量保修书》、2.《工程量清单报价表》</w:t>
      </w:r>
    </w:p>
    <w:p w14:paraId="6D529CF8">
      <w:pPr>
        <w:widowControl/>
        <w:shd w:val="clear" w:color="auto" w:fill="FFFFFF"/>
        <w:spacing w:line="420" w:lineRule="exact"/>
        <w:jc w:val="left"/>
        <w:rPr>
          <w:rFonts w:ascii="宋体" w:hAnsi="宋体" w:cs="宋体"/>
          <w:kern w:val="0"/>
          <w:sz w:val="24"/>
        </w:rPr>
      </w:pPr>
    </w:p>
    <w:p w14:paraId="48DE3C73">
      <w:pPr>
        <w:widowControl/>
        <w:shd w:val="clear" w:color="auto" w:fill="FFFFFF"/>
        <w:spacing w:line="420" w:lineRule="exact"/>
        <w:ind w:firstLine="482" w:firstLineChars="200"/>
        <w:rPr>
          <w:rFonts w:ascii="宋体" w:hAnsi="宋体" w:cs="宋体"/>
          <w:b/>
          <w:kern w:val="0"/>
          <w:sz w:val="24"/>
        </w:rPr>
      </w:pPr>
      <w:r>
        <w:rPr>
          <w:rFonts w:hint="eastAsia" w:ascii="宋体" w:hAnsi="宋体" w:cs="宋体"/>
          <w:b/>
          <w:kern w:val="0"/>
          <w:sz w:val="24"/>
        </w:rPr>
        <w:t>甲方（盖章）：　　　　　　　　　　　　乙方（盖章）：</w:t>
      </w:r>
    </w:p>
    <w:p w14:paraId="3EEBCC44">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法定代表人：　　　　　　　　　　　     法定代表人：</w:t>
      </w:r>
    </w:p>
    <w:p w14:paraId="1FA7CC26">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代理人：　　　　　　　　　　　　　     代理人：</w:t>
      </w:r>
    </w:p>
    <w:p w14:paraId="6AF42239">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单位地址：                   　　      单位地址：</w:t>
      </w:r>
    </w:p>
    <w:p w14:paraId="0D6A41ED">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电话：               　　　　　　　　　电话：</w:t>
      </w:r>
    </w:p>
    <w:p w14:paraId="76CB405C">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传真：　　　　　　　　　　　　　　　　 传真：</w:t>
      </w:r>
    </w:p>
    <w:p w14:paraId="55353FE7">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 xml:space="preserve">邮码：          　　　　　　　　　　 　邮码： </w:t>
      </w:r>
    </w:p>
    <w:p w14:paraId="5A53AA5A">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开户银行：                        　　 开户银行：</w:t>
      </w:r>
    </w:p>
    <w:p w14:paraId="3C110E42">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户名：                        　　　   户名：</w:t>
      </w:r>
    </w:p>
    <w:p w14:paraId="0D198C6C">
      <w:pPr>
        <w:widowControl/>
        <w:shd w:val="clear" w:color="auto" w:fill="FFFFFF"/>
        <w:spacing w:line="420" w:lineRule="exact"/>
        <w:ind w:firstLine="480" w:firstLineChars="200"/>
        <w:rPr>
          <w:rFonts w:ascii="宋体" w:hAnsi="宋体" w:cs="宋体"/>
          <w:kern w:val="0"/>
          <w:sz w:val="24"/>
        </w:rPr>
      </w:pPr>
      <w:r>
        <w:rPr>
          <w:rFonts w:hint="eastAsia" w:ascii="宋体" w:hAnsi="宋体" w:cs="宋体"/>
          <w:kern w:val="0"/>
          <w:sz w:val="24"/>
        </w:rPr>
        <w:t>帐号：                       　　　 　 帐号：</w:t>
      </w:r>
    </w:p>
    <w:p w14:paraId="6679EEDA">
      <w:pPr>
        <w:widowControl/>
        <w:shd w:val="clear" w:color="auto" w:fill="FFFFFF"/>
        <w:spacing w:line="420" w:lineRule="exact"/>
        <w:ind w:firstLine="960" w:firstLineChars="400"/>
        <w:rPr>
          <w:rFonts w:ascii="宋体" w:hAnsi="宋体" w:cs="宋体"/>
          <w:kern w:val="0"/>
          <w:sz w:val="24"/>
        </w:rPr>
      </w:pPr>
      <w:r>
        <w:rPr>
          <w:rFonts w:hint="eastAsia" w:ascii="宋体" w:hAnsi="宋体" w:cs="宋体"/>
          <w:kern w:val="0"/>
          <w:sz w:val="24"/>
        </w:rPr>
        <w:t>年　 月 　日                           年　  月　  日</w:t>
      </w:r>
    </w:p>
    <w:p w14:paraId="40DBF75D">
      <w:pPr>
        <w:pStyle w:val="17"/>
        <w:ind w:firstLine="840"/>
      </w:pPr>
    </w:p>
    <w:p w14:paraId="32A35AD6">
      <w:pPr>
        <w:pStyle w:val="17"/>
        <w:ind w:firstLine="840"/>
      </w:pPr>
    </w:p>
    <w:p w14:paraId="7039C77D">
      <w:pPr>
        <w:pStyle w:val="17"/>
        <w:ind w:firstLine="840"/>
      </w:pPr>
    </w:p>
    <w:p w14:paraId="543F1698">
      <w:pPr>
        <w:pStyle w:val="17"/>
        <w:ind w:firstLine="840"/>
      </w:pPr>
    </w:p>
    <w:p w14:paraId="42F28C1C">
      <w:pPr>
        <w:pStyle w:val="17"/>
        <w:ind w:firstLine="840"/>
      </w:pPr>
    </w:p>
    <w:p w14:paraId="55BC8563">
      <w:pPr>
        <w:pStyle w:val="17"/>
        <w:ind w:firstLine="840"/>
      </w:pPr>
    </w:p>
    <w:p w14:paraId="3C70E949">
      <w:pPr>
        <w:pStyle w:val="17"/>
        <w:ind w:firstLine="840"/>
      </w:pPr>
    </w:p>
    <w:p w14:paraId="0E1306F6">
      <w:pPr>
        <w:pStyle w:val="17"/>
        <w:ind w:firstLine="840"/>
      </w:pPr>
    </w:p>
    <w:p w14:paraId="6D771D97">
      <w:pPr>
        <w:pStyle w:val="17"/>
        <w:ind w:firstLine="840"/>
      </w:pPr>
    </w:p>
    <w:p w14:paraId="2FDBB866">
      <w:pPr>
        <w:pStyle w:val="17"/>
        <w:ind w:firstLine="840"/>
      </w:pPr>
    </w:p>
    <w:p w14:paraId="54ECC3F2">
      <w:pPr>
        <w:pStyle w:val="17"/>
        <w:ind w:firstLine="840"/>
      </w:pPr>
    </w:p>
    <w:p w14:paraId="368C0A74">
      <w:pPr>
        <w:pStyle w:val="17"/>
        <w:ind w:firstLine="840"/>
      </w:pPr>
    </w:p>
    <w:p w14:paraId="22AC3D3C">
      <w:pPr>
        <w:pStyle w:val="17"/>
        <w:ind w:firstLine="840"/>
      </w:pPr>
    </w:p>
    <w:p w14:paraId="6BA8D0EC">
      <w:pPr>
        <w:pStyle w:val="17"/>
        <w:ind w:firstLine="840"/>
      </w:pPr>
    </w:p>
    <w:p w14:paraId="6F6F77F4">
      <w:pPr>
        <w:pStyle w:val="17"/>
        <w:ind w:firstLine="840"/>
      </w:pPr>
    </w:p>
    <w:p w14:paraId="7357D841">
      <w:pPr>
        <w:pStyle w:val="17"/>
        <w:ind w:firstLine="840"/>
      </w:pPr>
    </w:p>
    <w:p w14:paraId="0FE77AE0">
      <w:pPr>
        <w:pStyle w:val="17"/>
        <w:ind w:firstLine="840"/>
      </w:pPr>
    </w:p>
    <w:p w14:paraId="799EF7C9">
      <w:pPr>
        <w:pStyle w:val="17"/>
        <w:ind w:firstLine="840"/>
      </w:pPr>
    </w:p>
    <w:p w14:paraId="6DB8972D">
      <w:pPr>
        <w:pStyle w:val="17"/>
        <w:ind w:firstLine="840"/>
      </w:pPr>
    </w:p>
    <w:p w14:paraId="070161B2">
      <w:pPr>
        <w:pStyle w:val="17"/>
        <w:ind w:firstLine="840"/>
      </w:pPr>
    </w:p>
    <w:p w14:paraId="556DA063">
      <w:pPr>
        <w:pStyle w:val="17"/>
        <w:ind w:firstLine="840"/>
      </w:pPr>
    </w:p>
    <w:p w14:paraId="1533E5B7">
      <w:pPr>
        <w:pStyle w:val="17"/>
        <w:ind w:firstLine="840"/>
      </w:pPr>
    </w:p>
    <w:p w14:paraId="639926FA">
      <w:pPr>
        <w:pStyle w:val="17"/>
        <w:ind w:firstLine="840"/>
      </w:pPr>
    </w:p>
    <w:p w14:paraId="43210918">
      <w:pPr>
        <w:pStyle w:val="17"/>
        <w:ind w:firstLine="840"/>
      </w:pPr>
    </w:p>
    <w:p w14:paraId="6C83075C">
      <w:pPr>
        <w:pStyle w:val="17"/>
        <w:ind w:firstLine="840"/>
      </w:pPr>
    </w:p>
    <w:p w14:paraId="322EE516">
      <w:pPr>
        <w:pStyle w:val="17"/>
        <w:ind w:firstLine="840"/>
      </w:pPr>
    </w:p>
    <w:p w14:paraId="07230E22">
      <w:pPr>
        <w:pStyle w:val="17"/>
        <w:ind w:firstLine="840"/>
      </w:pPr>
    </w:p>
    <w:p w14:paraId="09325617">
      <w:pPr>
        <w:pStyle w:val="17"/>
        <w:ind w:firstLine="840"/>
      </w:pPr>
    </w:p>
    <w:p w14:paraId="44433852">
      <w:pPr>
        <w:pStyle w:val="17"/>
        <w:ind w:firstLine="840"/>
      </w:pPr>
    </w:p>
    <w:p w14:paraId="0B0FC513">
      <w:pPr>
        <w:widowControl/>
        <w:shd w:val="clear" w:color="auto" w:fill="FFFFFF"/>
        <w:spacing w:line="420" w:lineRule="exact"/>
        <w:ind w:right="380"/>
        <w:rPr>
          <w:rFonts w:hint="eastAsia" w:ascii="宋体" w:hAnsi="宋体" w:cs="宋体" w:eastAsiaTheme="minorEastAsia"/>
          <w:kern w:val="0"/>
          <w:sz w:val="24"/>
          <w:lang w:eastAsia="zh-CN"/>
        </w:rPr>
      </w:pPr>
      <w:r>
        <w:rPr>
          <w:rFonts w:hint="eastAsia" w:ascii="宋体" w:hAnsi="宋体" w:cs="宋体"/>
          <w:b/>
        </w:rPr>
        <w:t>附件</w:t>
      </w:r>
      <w:r>
        <w:rPr>
          <w:rFonts w:hint="eastAsia" w:ascii="宋体" w:hAnsi="宋体" w:cs="宋体"/>
          <w:b/>
          <w:lang w:val="en-US" w:eastAsia="zh-CN"/>
        </w:rPr>
        <w:t>一</w:t>
      </w:r>
    </w:p>
    <w:p w14:paraId="27F7210C">
      <w:pPr>
        <w:adjustRightInd w:val="0"/>
        <w:snapToGrid w:val="0"/>
        <w:spacing w:before="156" w:beforeLines="50" w:after="156" w:afterLines="50" w:line="420" w:lineRule="exact"/>
        <w:jc w:val="center"/>
        <w:rPr>
          <w:rFonts w:ascii="宋体" w:hAnsi="宋体"/>
          <w:b/>
          <w:sz w:val="24"/>
        </w:rPr>
      </w:pPr>
      <w:r>
        <w:rPr>
          <w:rFonts w:hint="eastAsia" w:ascii="宋体" w:hAnsi="宋体"/>
          <w:b/>
          <w:sz w:val="24"/>
        </w:rPr>
        <w:t>工程质量保修书</w:t>
      </w:r>
    </w:p>
    <w:p w14:paraId="48C0F58A">
      <w:pPr>
        <w:widowControl/>
        <w:shd w:val="clear" w:color="auto" w:fill="FFFFFF"/>
        <w:spacing w:line="420" w:lineRule="exact"/>
        <w:ind w:firstLine="482" w:firstLineChars="200"/>
        <w:jc w:val="left"/>
        <w:rPr>
          <w:rFonts w:ascii="宋体" w:hAnsi="宋体"/>
          <w:b/>
          <w:bCs/>
          <w:sz w:val="24"/>
        </w:rPr>
      </w:pPr>
      <w:r>
        <w:rPr>
          <w:rFonts w:hint="eastAsia" w:ascii="宋体" w:hAnsi="宋体"/>
          <w:b/>
          <w:bCs/>
          <w:sz w:val="24"/>
        </w:rPr>
        <w:t>甲方：</w:t>
      </w:r>
      <w:r>
        <w:rPr>
          <w:rFonts w:hint="eastAsia" w:ascii="宋体" w:hAnsi="宋体" w:eastAsia="宋体" w:cs="宋体"/>
          <w:b/>
          <w:bCs/>
          <w:kern w:val="0"/>
          <w:sz w:val="24"/>
        </w:rPr>
        <w:t>宿州百大农产品物流有限责任公司</w:t>
      </w:r>
    </w:p>
    <w:p w14:paraId="5E25F103">
      <w:pPr>
        <w:adjustRightInd w:val="0"/>
        <w:snapToGrid w:val="0"/>
        <w:spacing w:line="520" w:lineRule="exact"/>
        <w:ind w:firstLine="480"/>
        <w:rPr>
          <w:b/>
          <w:bCs/>
        </w:rPr>
      </w:pPr>
      <w:r>
        <w:rPr>
          <w:rFonts w:hint="eastAsia" w:ascii="宋体" w:hAnsi="宋体"/>
          <w:b/>
          <w:bCs/>
          <w:sz w:val="24"/>
        </w:rPr>
        <w:t>乙方：</w:t>
      </w:r>
      <w:r>
        <w:rPr>
          <w:rFonts w:hint="eastAsia" w:ascii="宋体" w:hAnsi="宋体" w:eastAsia="宋体" w:cs="宋体"/>
          <w:b/>
          <w:bCs/>
          <w:kern w:val="0"/>
          <w:sz w:val="24"/>
        </w:rPr>
        <w:t xml:space="preserve"> </w:t>
      </w:r>
      <w:r>
        <w:rPr>
          <w:rFonts w:hint="eastAsia" w:ascii="宋体" w:hAnsi="宋体"/>
          <w:b/>
          <w:bCs/>
          <w:sz w:val="24"/>
        </w:rPr>
        <w:t xml:space="preserve">  </w:t>
      </w:r>
    </w:p>
    <w:p w14:paraId="77EAC91C">
      <w:pPr>
        <w:adjustRightInd w:val="0"/>
        <w:snapToGrid w:val="0"/>
        <w:spacing w:line="520" w:lineRule="exact"/>
        <w:rPr>
          <w:rFonts w:ascii="宋体" w:hAnsi="宋体"/>
          <w:sz w:val="24"/>
        </w:rPr>
      </w:pPr>
      <w:r>
        <w:rPr>
          <w:rFonts w:hint="eastAsia" w:ascii="宋体" w:hAnsi="宋体"/>
          <w:sz w:val="24"/>
        </w:rPr>
        <w:t>　　甲方和乙方根据《中华人民共和国建筑法》和《建设工程质量管理条例》，经协商一致就（工程全称）签订工程质量保修书。</w:t>
      </w:r>
    </w:p>
    <w:p w14:paraId="3BD5A200">
      <w:pPr>
        <w:adjustRightInd w:val="0"/>
        <w:snapToGrid w:val="0"/>
        <w:spacing w:before="156" w:beforeLines="50" w:after="156" w:afterLines="50" w:line="520" w:lineRule="exact"/>
        <w:rPr>
          <w:rFonts w:ascii="宋体" w:hAnsi="宋体"/>
          <w:b/>
          <w:bCs/>
          <w:sz w:val="24"/>
        </w:rPr>
      </w:pPr>
      <w:r>
        <w:rPr>
          <w:rFonts w:hint="eastAsia" w:ascii="宋体" w:hAnsi="宋体"/>
          <w:sz w:val="24"/>
        </w:rPr>
        <w:t>　</w:t>
      </w:r>
      <w:r>
        <w:rPr>
          <w:rFonts w:hint="eastAsia" w:ascii="宋体" w:hAnsi="宋体"/>
          <w:b/>
          <w:bCs/>
          <w:sz w:val="24"/>
        </w:rPr>
        <w:t>　一、工程质量保修范围和内容</w:t>
      </w:r>
    </w:p>
    <w:p w14:paraId="289E96DE">
      <w:pPr>
        <w:adjustRightInd w:val="0"/>
        <w:snapToGrid w:val="0"/>
        <w:spacing w:line="520" w:lineRule="exact"/>
        <w:rPr>
          <w:rFonts w:ascii="宋体" w:hAnsi="宋体"/>
          <w:sz w:val="24"/>
        </w:rPr>
      </w:pPr>
      <w:r>
        <w:rPr>
          <w:rFonts w:hint="eastAsia" w:ascii="宋体" w:hAnsi="宋体"/>
          <w:sz w:val="24"/>
        </w:rPr>
        <w:t>　　乙方在质量保修期内，按照有关法律规定和合同约定，承担工程质量保修责任。</w:t>
      </w:r>
    </w:p>
    <w:p w14:paraId="346ABEC3">
      <w:pPr>
        <w:adjustRightInd w:val="0"/>
        <w:snapToGrid w:val="0"/>
        <w:spacing w:line="520" w:lineRule="exact"/>
        <w:rPr>
          <w:rFonts w:ascii="宋体" w:hAnsi="宋体"/>
          <w:sz w:val="24"/>
        </w:rPr>
      </w:pPr>
      <w:r>
        <w:rPr>
          <w:rFonts w:hint="eastAsia" w:ascii="宋体" w:hAnsi="宋体"/>
          <w:sz w:val="24"/>
        </w:rPr>
        <w:t>　　质量保修范围包括本工程所涉及一切工作内容，以及双方约定的其他项目。具体保修的内容，双方约定如下：</w:t>
      </w:r>
    </w:p>
    <w:p w14:paraId="0E160CE9">
      <w:pPr>
        <w:adjustRightInd w:val="0"/>
        <w:snapToGrid w:val="0"/>
        <w:spacing w:before="156" w:beforeLines="50" w:after="156" w:afterLines="50" w:line="520" w:lineRule="exact"/>
        <w:rPr>
          <w:rFonts w:ascii="宋体" w:hAnsi="宋体"/>
          <w:bCs/>
          <w:sz w:val="24"/>
        </w:rPr>
      </w:pPr>
      <w:r>
        <w:rPr>
          <w:rFonts w:hint="eastAsia" w:ascii="宋体" w:hAnsi="宋体"/>
          <w:bCs/>
          <w:sz w:val="24"/>
        </w:rPr>
        <w:t>　　</w:t>
      </w:r>
      <w:r>
        <w:rPr>
          <w:rFonts w:hint="eastAsia" w:ascii="宋体" w:hAnsi="宋体"/>
          <w:b/>
          <w:sz w:val="24"/>
        </w:rPr>
        <w:t>二、质量保修期</w:t>
      </w:r>
    </w:p>
    <w:p w14:paraId="068EC2C8">
      <w:pPr>
        <w:adjustRightInd w:val="0"/>
        <w:snapToGrid w:val="0"/>
        <w:spacing w:line="520" w:lineRule="exact"/>
        <w:ind w:firstLine="480" w:firstLineChars="200"/>
        <w:rPr>
          <w:rFonts w:ascii="宋体" w:hAnsi="宋体"/>
          <w:sz w:val="24"/>
        </w:rPr>
      </w:pPr>
      <w:r>
        <w:rPr>
          <w:rFonts w:hint="eastAsia" w:ascii="宋体" w:hAnsi="宋体"/>
          <w:sz w:val="24"/>
        </w:rPr>
        <w:t>根据《建设工程质量管理条例》及有关规定，工程的质量保修期如下：</w:t>
      </w:r>
    </w:p>
    <w:p w14:paraId="0F2160B9">
      <w:pPr>
        <w:adjustRightInd w:val="0"/>
        <w:snapToGrid w:val="0"/>
        <w:spacing w:line="520" w:lineRule="exact"/>
        <w:ind w:firstLine="480" w:firstLineChars="200"/>
        <w:rPr>
          <w:rFonts w:ascii="宋体" w:hAnsi="宋体"/>
          <w:sz w:val="24"/>
        </w:rPr>
      </w:pPr>
      <w:r>
        <w:rPr>
          <w:rFonts w:hint="eastAsia" w:ascii="宋体" w:hAnsi="宋体"/>
          <w:sz w:val="24"/>
        </w:rPr>
        <w:t>保修期限约定如下：</w:t>
      </w:r>
      <w:r>
        <w:rPr>
          <w:rFonts w:hint="eastAsia" w:ascii="宋体" w:hAnsi="宋体"/>
          <w:sz w:val="24"/>
          <w:u w:val="single"/>
        </w:rPr>
        <w:t xml:space="preserve">    工程质保2年    </w:t>
      </w:r>
      <w:r>
        <w:rPr>
          <w:rFonts w:hint="eastAsia" w:ascii="宋体" w:hAnsi="宋体"/>
          <w:sz w:val="24"/>
        </w:rPr>
        <w:t>。</w:t>
      </w:r>
    </w:p>
    <w:p w14:paraId="7B1BCD4E">
      <w:pPr>
        <w:adjustRightInd w:val="0"/>
        <w:snapToGrid w:val="0"/>
        <w:spacing w:line="520" w:lineRule="exact"/>
        <w:ind w:firstLine="480" w:firstLineChars="200"/>
        <w:rPr>
          <w:rFonts w:ascii="宋体" w:hAnsi="宋体"/>
          <w:sz w:val="24"/>
        </w:rPr>
      </w:pPr>
      <w:r>
        <w:rPr>
          <w:rFonts w:hint="eastAsia" w:ascii="宋体" w:hAnsi="宋体"/>
          <w:sz w:val="24"/>
        </w:rPr>
        <w:t>亮化字灯珠</w:t>
      </w:r>
    </w:p>
    <w:p w14:paraId="1EDEB1F7">
      <w:pPr>
        <w:adjustRightInd w:val="0"/>
        <w:snapToGrid w:val="0"/>
        <w:spacing w:line="520" w:lineRule="exact"/>
        <w:ind w:firstLine="480"/>
        <w:rPr>
          <w:rFonts w:ascii="宋体" w:hAnsi="宋体"/>
          <w:sz w:val="24"/>
        </w:rPr>
      </w:pPr>
      <w:r>
        <w:rPr>
          <w:rFonts w:hint="eastAsia" w:ascii="宋体" w:hAnsi="宋体"/>
          <w:sz w:val="24"/>
        </w:rPr>
        <w:t>质量保修期自工程竣工验收合格之日起计算。</w:t>
      </w:r>
    </w:p>
    <w:p w14:paraId="1A3111F9">
      <w:pPr>
        <w:adjustRightInd w:val="0"/>
        <w:snapToGrid w:val="0"/>
        <w:spacing w:before="156" w:beforeLines="50" w:after="156" w:afterLines="50" w:line="520" w:lineRule="exact"/>
        <w:ind w:firstLine="482" w:firstLineChars="200"/>
        <w:rPr>
          <w:rFonts w:ascii="宋体" w:hAnsi="宋体"/>
          <w:b/>
          <w:sz w:val="24"/>
        </w:rPr>
      </w:pPr>
      <w:r>
        <w:rPr>
          <w:rFonts w:hint="eastAsia" w:ascii="宋体" w:hAnsi="宋体"/>
          <w:b/>
          <w:sz w:val="24"/>
        </w:rPr>
        <w:t>三、缺陷责任期</w:t>
      </w:r>
    </w:p>
    <w:p w14:paraId="00CC6BD0">
      <w:pPr>
        <w:adjustRightInd w:val="0"/>
        <w:snapToGrid w:val="0"/>
        <w:spacing w:line="520" w:lineRule="exact"/>
        <w:ind w:firstLine="480" w:firstLineChars="200"/>
        <w:rPr>
          <w:rFonts w:ascii="宋体" w:hAnsi="宋体"/>
          <w:sz w:val="24"/>
        </w:rPr>
      </w:pPr>
      <w:r>
        <w:rPr>
          <w:rFonts w:hint="eastAsia" w:ascii="宋体" w:hAnsi="宋体"/>
          <w:sz w:val="24"/>
        </w:rPr>
        <w:t>工程缺陷责任期为</w:t>
      </w:r>
      <w:r>
        <w:rPr>
          <w:rFonts w:hint="eastAsia" w:ascii="宋体" w:hAnsi="宋体"/>
          <w:sz w:val="24"/>
          <w:u w:val="single"/>
        </w:rPr>
        <w:t xml:space="preserve"> 24个月 </w:t>
      </w:r>
      <w:r>
        <w:rPr>
          <w:rFonts w:hint="eastAsia" w:ascii="宋体" w:hAnsi="宋体"/>
          <w:sz w:val="24"/>
        </w:rPr>
        <w:t>，缺陷责任期自工程竣工验收合格之日起计算。单位工程先于全部工程进行验收，单位工程缺陷责任期自单位工程验收合格之日起算。</w:t>
      </w:r>
    </w:p>
    <w:p w14:paraId="47C9931C">
      <w:pPr>
        <w:adjustRightInd w:val="0"/>
        <w:snapToGrid w:val="0"/>
        <w:spacing w:line="520" w:lineRule="exact"/>
        <w:ind w:firstLine="480" w:firstLineChars="200"/>
        <w:rPr>
          <w:rFonts w:ascii="宋体" w:hAnsi="宋体"/>
          <w:sz w:val="24"/>
        </w:rPr>
      </w:pPr>
      <w:r>
        <w:rPr>
          <w:rFonts w:hint="eastAsia" w:ascii="宋体" w:hAnsi="宋体"/>
          <w:sz w:val="24"/>
        </w:rPr>
        <w:t>缺陷责任期终止后，发包人应退还剩余的质量保证金。</w:t>
      </w:r>
    </w:p>
    <w:p w14:paraId="1E108DD5">
      <w:pPr>
        <w:adjustRightInd w:val="0"/>
        <w:snapToGrid w:val="0"/>
        <w:spacing w:before="156" w:beforeLines="50" w:after="156" w:afterLines="50" w:line="520" w:lineRule="exact"/>
        <w:ind w:firstLine="482" w:firstLineChars="200"/>
        <w:rPr>
          <w:rFonts w:ascii="宋体" w:hAnsi="宋体"/>
          <w:b/>
          <w:sz w:val="24"/>
        </w:rPr>
      </w:pPr>
      <w:r>
        <w:rPr>
          <w:rFonts w:hint="eastAsia" w:ascii="宋体" w:hAnsi="宋体"/>
          <w:b/>
          <w:sz w:val="24"/>
        </w:rPr>
        <w:t>四、质量保修责任</w:t>
      </w:r>
    </w:p>
    <w:p w14:paraId="64354A13">
      <w:pPr>
        <w:adjustRightInd w:val="0"/>
        <w:snapToGrid w:val="0"/>
        <w:spacing w:line="520" w:lineRule="exact"/>
        <w:ind w:firstLine="491" w:firstLineChars="205"/>
        <w:rPr>
          <w:rFonts w:ascii="宋体" w:hAnsi="宋体"/>
          <w:sz w:val="24"/>
        </w:rPr>
      </w:pPr>
      <w:r>
        <w:rPr>
          <w:rFonts w:hint="eastAsia" w:ascii="宋体" w:hAnsi="宋体"/>
          <w:sz w:val="24"/>
        </w:rPr>
        <w:t>1．属于保修范围、内容的项目，乙方应当在接到保修通知之日起7天内派人保修。乙方不在约定期限内派人保修的，甲方可以委托他人修理，所产生的的一切费用由乙方承担。</w:t>
      </w:r>
    </w:p>
    <w:p w14:paraId="0C44D1DE">
      <w:pPr>
        <w:adjustRightInd w:val="0"/>
        <w:snapToGrid w:val="0"/>
        <w:spacing w:line="520" w:lineRule="exact"/>
        <w:ind w:firstLine="491" w:firstLineChars="205"/>
        <w:rPr>
          <w:rFonts w:ascii="宋体" w:hAnsi="宋体"/>
          <w:sz w:val="24"/>
        </w:rPr>
      </w:pPr>
      <w:r>
        <w:rPr>
          <w:rFonts w:hint="eastAsia" w:ascii="宋体" w:hAnsi="宋体"/>
          <w:sz w:val="24"/>
        </w:rPr>
        <w:t>2．发生紧急事故需抢修的，乙方在接到事故通知后，应当立即到达事故现场抢修。</w:t>
      </w:r>
    </w:p>
    <w:p w14:paraId="5C7F6B17">
      <w:pPr>
        <w:adjustRightInd w:val="0"/>
        <w:snapToGrid w:val="0"/>
        <w:spacing w:line="520" w:lineRule="exact"/>
        <w:ind w:firstLine="491" w:firstLineChars="205"/>
        <w:rPr>
          <w:rFonts w:ascii="宋体" w:hAnsi="宋体"/>
          <w:sz w:val="24"/>
        </w:rPr>
      </w:pPr>
      <w:r>
        <w:rPr>
          <w:rFonts w:hint="eastAsia" w:ascii="宋体" w:hAnsi="宋体"/>
          <w:sz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14:paraId="1EE7D4C3">
      <w:pPr>
        <w:adjustRightInd w:val="0"/>
        <w:snapToGrid w:val="0"/>
        <w:spacing w:line="520" w:lineRule="exact"/>
        <w:ind w:firstLine="491" w:firstLineChars="205"/>
        <w:rPr>
          <w:rFonts w:ascii="宋体" w:hAnsi="宋体"/>
          <w:sz w:val="24"/>
        </w:rPr>
      </w:pPr>
      <w:r>
        <w:rPr>
          <w:rFonts w:hint="eastAsia" w:ascii="宋体" w:hAnsi="宋体"/>
          <w:sz w:val="24"/>
        </w:rPr>
        <w:t>4．质量保修完成后，由甲方组织验收。</w:t>
      </w:r>
    </w:p>
    <w:p w14:paraId="38C323A4">
      <w:pPr>
        <w:adjustRightInd w:val="0"/>
        <w:snapToGrid w:val="0"/>
        <w:spacing w:before="156" w:beforeLines="50" w:after="156" w:afterLines="50" w:line="520" w:lineRule="exact"/>
        <w:ind w:firstLine="482" w:firstLineChars="200"/>
        <w:rPr>
          <w:rFonts w:ascii="宋体" w:hAnsi="宋体"/>
          <w:b/>
          <w:sz w:val="24"/>
        </w:rPr>
      </w:pPr>
      <w:r>
        <w:rPr>
          <w:rFonts w:hint="eastAsia" w:ascii="宋体" w:hAnsi="宋体"/>
          <w:b/>
          <w:sz w:val="24"/>
        </w:rPr>
        <w:t>五、保修费用</w:t>
      </w:r>
    </w:p>
    <w:p w14:paraId="6DCCEBFE">
      <w:pPr>
        <w:adjustRightInd w:val="0"/>
        <w:snapToGrid w:val="0"/>
        <w:spacing w:line="520" w:lineRule="exact"/>
        <w:ind w:firstLine="420"/>
        <w:rPr>
          <w:rFonts w:ascii="宋体" w:hAnsi="宋体"/>
          <w:sz w:val="24"/>
        </w:rPr>
      </w:pPr>
      <w:r>
        <w:rPr>
          <w:rFonts w:hint="eastAsia" w:ascii="宋体" w:hAnsi="宋体"/>
          <w:sz w:val="24"/>
        </w:rPr>
        <w:t>保修费用由造成质量缺陷的责任方承担。</w:t>
      </w:r>
    </w:p>
    <w:p w14:paraId="1A17DF1C">
      <w:pPr>
        <w:adjustRightInd w:val="0"/>
        <w:snapToGrid w:val="0"/>
        <w:spacing w:before="156" w:beforeLines="50" w:after="156" w:afterLines="50" w:line="520" w:lineRule="exact"/>
        <w:ind w:firstLine="482" w:firstLineChars="200"/>
        <w:rPr>
          <w:rFonts w:ascii="宋体" w:hAnsi="宋体"/>
          <w:bCs/>
          <w:sz w:val="24"/>
        </w:rPr>
      </w:pPr>
      <w:r>
        <w:rPr>
          <w:rFonts w:hint="eastAsia" w:ascii="宋体" w:hAnsi="宋体"/>
          <w:b/>
          <w:sz w:val="24"/>
        </w:rPr>
        <w:t>六、双方约定的其他工程质量保修事项：</w:t>
      </w:r>
    </w:p>
    <w:p w14:paraId="6FBD977E">
      <w:pPr>
        <w:adjustRightInd w:val="0"/>
        <w:snapToGrid w:val="0"/>
        <w:spacing w:line="520" w:lineRule="exact"/>
        <w:ind w:firstLine="456" w:firstLineChars="190"/>
        <w:rPr>
          <w:rFonts w:ascii="宋体" w:hAnsi="宋体"/>
          <w:sz w:val="24"/>
        </w:rPr>
      </w:pPr>
      <w:r>
        <w:rPr>
          <w:rFonts w:hint="eastAsia" w:ascii="宋体" w:hAnsi="宋体"/>
          <w:sz w:val="24"/>
        </w:rPr>
        <w:t>工程质量保修书由甲方、乙方在工程竣工验收前共同签署，作为施工合同附件，其有效期限至保修期满。</w:t>
      </w:r>
    </w:p>
    <w:p w14:paraId="07713B5B">
      <w:pPr>
        <w:adjustRightInd w:val="0"/>
        <w:snapToGrid w:val="0"/>
        <w:spacing w:line="420" w:lineRule="exact"/>
        <w:ind w:firstLine="420"/>
        <w:rPr>
          <w:rFonts w:ascii="宋体" w:hAnsi="宋体"/>
          <w:sz w:val="24"/>
        </w:rPr>
      </w:pPr>
    </w:p>
    <w:p w14:paraId="43019400">
      <w:pPr>
        <w:adjustRightInd w:val="0"/>
        <w:snapToGrid w:val="0"/>
        <w:spacing w:line="420" w:lineRule="exact"/>
        <w:ind w:firstLine="420"/>
        <w:rPr>
          <w:rFonts w:ascii="宋体" w:hAnsi="宋体"/>
          <w:sz w:val="24"/>
        </w:rPr>
      </w:pPr>
    </w:p>
    <w:p w14:paraId="5B0025FD">
      <w:pPr>
        <w:adjustRightInd w:val="0"/>
        <w:snapToGrid w:val="0"/>
        <w:spacing w:line="420" w:lineRule="exact"/>
        <w:ind w:firstLine="420"/>
        <w:rPr>
          <w:rFonts w:ascii="宋体" w:hAnsi="宋体"/>
          <w:sz w:val="24"/>
        </w:rPr>
      </w:pPr>
    </w:p>
    <w:p w14:paraId="0BA48C6E">
      <w:pPr>
        <w:adjustRightInd w:val="0"/>
        <w:snapToGrid w:val="0"/>
        <w:spacing w:line="420" w:lineRule="exact"/>
        <w:ind w:firstLine="420"/>
        <w:rPr>
          <w:rFonts w:ascii="宋体" w:hAnsi="宋体"/>
          <w:sz w:val="24"/>
        </w:rPr>
      </w:pPr>
    </w:p>
    <w:p w14:paraId="59326739">
      <w:pPr>
        <w:adjustRightInd w:val="0"/>
        <w:snapToGrid w:val="0"/>
        <w:spacing w:line="420" w:lineRule="exact"/>
        <w:ind w:firstLine="480" w:firstLineChars="200"/>
        <w:rPr>
          <w:rFonts w:ascii="宋体" w:hAnsi="宋体"/>
          <w:sz w:val="24"/>
        </w:rPr>
      </w:pPr>
      <w:r>
        <w:rPr>
          <w:rFonts w:hint="eastAsia" w:ascii="宋体" w:hAnsi="宋体"/>
          <w:sz w:val="24"/>
        </w:rPr>
        <w:t xml:space="preserve">甲方(公章)：                              乙方(公章)：  </w:t>
      </w:r>
    </w:p>
    <w:p w14:paraId="6D862238">
      <w:pPr>
        <w:adjustRightInd w:val="0"/>
        <w:snapToGrid w:val="0"/>
        <w:spacing w:line="420" w:lineRule="exact"/>
        <w:ind w:firstLine="480" w:firstLineChars="200"/>
        <w:rPr>
          <w:rFonts w:ascii="宋体" w:hAnsi="宋体"/>
          <w:sz w:val="24"/>
        </w:rPr>
      </w:pPr>
      <w:r>
        <w:rPr>
          <w:rFonts w:hint="eastAsia" w:ascii="宋体" w:hAnsi="宋体"/>
          <w:sz w:val="24"/>
        </w:rPr>
        <w:t>地  址：                                   地  址：</w:t>
      </w:r>
    </w:p>
    <w:p w14:paraId="0705D008">
      <w:pPr>
        <w:adjustRightInd w:val="0"/>
        <w:snapToGrid w:val="0"/>
        <w:spacing w:line="420" w:lineRule="exact"/>
        <w:ind w:firstLine="480" w:firstLineChars="200"/>
        <w:rPr>
          <w:rFonts w:ascii="宋体" w:hAnsi="宋体"/>
          <w:sz w:val="24"/>
        </w:rPr>
      </w:pPr>
      <w:r>
        <w:rPr>
          <w:rFonts w:hint="eastAsia" w:ascii="宋体" w:hAnsi="宋体"/>
          <w:sz w:val="24"/>
        </w:rPr>
        <w:t>法定代表人(签字)：                        法定代表人(签字)：</w:t>
      </w:r>
    </w:p>
    <w:p w14:paraId="780ED28D">
      <w:pPr>
        <w:adjustRightInd w:val="0"/>
        <w:snapToGrid w:val="0"/>
        <w:spacing w:line="420" w:lineRule="exact"/>
        <w:ind w:firstLine="480" w:firstLineChars="200"/>
        <w:rPr>
          <w:rFonts w:ascii="宋体" w:hAnsi="宋体"/>
          <w:sz w:val="24"/>
        </w:rPr>
      </w:pPr>
      <w:r>
        <w:rPr>
          <w:rFonts w:hint="eastAsia" w:ascii="宋体" w:hAnsi="宋体"/>
          <w:sz w:val="24"/>
        </w:rPr>
        <w:t>委托代理人(签字)：                        委托代理人(签字)：</w:t>
      </w:r>
    </w:p>
    <w:p w14:paraId="06A63216">
      <w:pPr>
        <w:adjustRightInd w:val="0"/>
        <w:snapToGrid w:val="0"/>
        <w:spacing w:line="420" w:lineRule="exact"/>
        <w:ind w:firstLine="480" w:firstLineChars="200"/>
        <w:rPr>
          <w:rFonts w:ascii="宋体" w:hAnsi="宋体"/>
          <w:sz w:val="24"/>
        </w:rPr>
      </w:pPr>
      <w:r>
        <w:rPr>
          <w:rFonts w:hint="eastAsia" w:ascii="宋体" w:hAnsi="宋体"/>
          <w:sz w:val="24"/>
        </w:rPr>
        <w:t>电  话：                                  电  话：</w:t>
      </w:r>
    </w:p>
    <w:p w14:paraId="7C826BE6">
      <w:pPr>
        <w:adjustRightInd w:val="0"/>
        <w:snapToGrid w:val="0"/>
        <w:spacing w:line="420" w:lineRule="exact"/>
        <w:ind w:firstLine="480" w:firstLineChars="200"/>
        <w:rPr>
          <w:rFonts w:ascii="宋体" w:hAnsi="宋体"/>
          <w:sz w:val="24"/>
        </w:rPr>
      </w:pPr>
      <w:r>
        <w:rPr>
          <w:rFonts w:hint="eastAsia" w:ascii="宋体" w:hAnsi="宋体"/>
          <w:sz w:val="24"/>
        </w:rPr>
        <w:t>传  真：                                  传  真：</w:t>
      </w:r>
    </w:p>
    <w:p w14:paraId="21718652">
      <w:pPr>
        <w:adjustRightInd w:val="0"/>
        <w:snapToGrid w:val="0"/>
        <w:spacing w:line="420" w:lineRule="exact"/>
        <w:ind w:firstLine="480" w:firstLineChars="200"/>
        <w:rPr>
          <w:rFonts w:ascii="宋体" w:hAnsi="宋体"/>
          <w:sz w:val="24"/>
        </w:rPr>
      </w:pPr>
      <w:r>
        <w:rPr>
          <w:rFonts w:hint="eastAsia" w:ascii="宋体" w:hAnsi="宋体"/>
          <w:sz w:val="24"/>
        </w:rPr>
        <w:t>开户银行：                                开户银行：</w:t>
      </w:r>
    </w:p>
    <w:p w14:paraId="5FDF37D4">
      <w:pPr>
        <w:adjustRightInd w:val="0"/>
        <w:snapToGrid w:val="0"/>
        <w:spacing w:line="420" w:lineRule="exact"/>
        <w:ind w:firstLine="480" w:firstLineChars="200"/>
        <w:rPr>
          <w:rFonts w:ascii="宋体" w:hAnsi="宋体"/>
          <w:sz w:val="24"/>
        </w:rPr>
      </w:pPr>
      <w:r>
        <w:rPr>
          <w:rFonts w:hint="eastAsia" w:ascii="宋体" w:hAnsi="宋体"/>
          <w:sz w:val="24"/>
        </w:rPr>
        <w:t>账  号：                                  账  号：</w:t>
      </w:r>
    </w:p>
    <w:p w14:paraId="6F933055">
      <w:pPr>
        <w:adjustRightInd w:val="0"/>
        <w:snapToGrid w:val="0"/>
        <w:spacing w:line="420" w:lineRule="exact"/>
        <w:ind w:firstLine="480" w:firstLineChars="200"/>
        <w:rPr>
          <w:rFonts w:ascii="宋体" w:hAnsi="宋体"/>
          <w:sz w:val="24"/>
        </w:rPr>
      </w:pPr>
      <w:r>
        <w:rPr>
          <w:rFonts w:hint="eastAsia" w:ascii="宋体" w:hAnsi="宋体"/>
          <w:sz w:val="24"/>
        </w:rPr>
        <w:t>邮政编码：                                邮政编码：</w:t>
      </w:r>
    </w:p>
    <w:p w14:paraId="6178C253">
      <w:pPr>
        <w:adjustRightInd w:val="0"/>
        <w:snapToGrid w:val="0"/>
        <w:spacing w:line="420" w:lineRule="exact"/>
        <w:rPr>
          <w:rFonts w:ascii="宋体" w:hAnsi="宋体"/>
          <w:sz w:val="24"/>
        </w:rPr>
      </w:pPr>
    </w:p>
    <w:p w14:paraId="00C08B68">
      <w:pPr>
        <w:adjustRightInd w:val="0"/>
        <w:snapToGrid w:val="0"/>
        <w:spacing w:line="420" w:lineRule="exact"/>
        <w:rPr>
          <w:rFonts w:ascii="宋体" w:hAnsi="宋体"/>
          <w:b/>
          <w:sz w:val="24"/>
        </w:rPr>
      </w:pPr>
    </w:p>
    <w:p w14:paraId="1C45615F">
      <w:pPr>
        <w:adjustRightInd w:val="0"/>
        <w:snapToGrid w:val="0"/>
        <w:spacing w:line="420" w:lineRule="exact"/>
        <w:rPr>
          <w:rFonts w:ascii="宋体" w:hAnsi="宋体"/>
          <w:b/>
          <w:sz w:val="24"/>
        </w:rPr>
      </w:pPr>
    </w:p>
    <w:p w14:paraId="42530940">
      <w:pPr>
        <w:adjustRightInd w:val="0"/>
        <w:snapToGrid w:val="0"/>
        <w:spacing w:line="420" w:lineRule="exact"/>
        <w:rPr>
          <w:rFonts w:ascii="宋体" w:hAnsi="宋体"/>
          <w:b/>
          <w:sz w:val="24"/>
        </w:rPr>
      </w:pPr>
    </w:p>
    <w:p w14:paraId="04B83688">
      <w:pPr>
        <w:adjustRightInd w:val="0"/>
        <w:snapToGrid w:val="0"/>
        <w:spacing w:line="420" w:lineRule="exact"/>
        <w:rPr>
          <w:rFonts w:ascii="宋体" w:hAnsi="宋体"/>
          <w:b/>
          <w:sz w:val="24"/>
        </w:rPr>
      </w:pPr>
    </w:p>
    <w:p w14:paraId="4E929C3C">
      <w:pPr>
        <w:adjustRightInd w:val="0"/>
        <w:snapToGrid w:val="0"/>
        <w:spacing w:line="420" w:lineRule="exact"/>
        <w:rPr>
          <w:rFonts w:ascii="宋体" w:hAnsi="宋体"/>
          <w:b/>
          <w:sz w:val="24"/>
        </w:rPr>
      </w:pPr>
    </w:p>
    <w:p w14:paraId="6FFF7991">
      <w:pPr>
        <w:adjustRightInd w:val="0"/>
        <w:snapToGrid w:val="0"/>
        <w:spacing w:line="420" w:lineRule="exact"/>
        <w:rPr>
          <w:rFonts w:ascii="宋体" w:hAnsi="宋体"/>
          <w:b/>
          <w:sz w:val="24"/>
        </w:rPr>
      </w:pPr>
    </w:p>
    <w:p w14:paraId="4864B80A">
      <w:pPr>
        <w:adjustRightInd w:val="0"/>
        <w:snapToGrid w:val="0"/>
        <w:spacing w:line="420" w:lineRule="exact"/>
        <w:rPr>
          <w:rFonts w:ascii="宋体" w:hAnsi="宋体"/>
          <w:b/>
          <w:sz w:val="24"/>
        </w:rPr>
      </w:pPr>
    </w:p>
    <w:p w14:paraId="2C8B4030">
      <w:pPr>
        <w:adjustRightInd w:val="0"/>
        <w:snapToGrid w:val="0"/>
        <w:spacing w:line="420" w:lineRule="exact"/>
        <w:rPr>
          <w:rFonts w:ascii="宋体" w:hAnsi="宋体"/>
          <w:b/>
          <w:sz w:val="24"/>
        </w:rPr>
      </w:pPr>
    </w:p>
    <w:p w14:paraId="348EF73D">
      <w:pPr>
        <w:spacing w:line="440" w:lineRule="exact"/>
        <w:jc w:val="both"/>
        <w:rPr>
          <w:rFonts w:ascii="宋体" w:hAnsi="宋体" w:cs="Arial Unicode MS"/>
          <w:b/>
          <w:sz w:val="30"/>
          <w:szCs w:val="30"/>
        </w:rPr>
      </w:pPr>
    </w:p>
    <w:p w14:paraId="29A4AF0E">
      <w:pPr>
        <w:widowControl/>
        <w:shd w:val="clear" w:color="auto" w:fill="FFFFFF"/>
        <w:spacing w:line="420" w:lineRule="exact"/>
        <w:ind w:right="380"/>
        <w:rPr>
          <w:rFonts w:hint="default" w:ascii="宋体" w:hAnsi="宋体" w:cs="宋体"/>
          <w:b/>
          <w:lang w:val="en-US" w:eastAsia="zh-CN"/>
        </w:rPr>
      </w:pPr>
      <w:r>
        <w:rPr>
          <w:rFonts w:hint="eastAsia" w:ascii="宋体" w:hAnsi="宋体" w:cs="宋体"/>
          <w:b/>
          <w:lang w:val="en-US" w:eastAsia="zh-CN"/>
        </w:rPr>
        <w:t>附件二</w:t>
      </w:r>
    </w:p>
    <w:p w14:paraId="7E45B5EC">
      <w:pPr>
        <w:ind w:firstLine="3213" w:firstLineChars="1000"/>
        <w:jc w:val="both"/>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安全</w:t>
      </w:r>
      <w:r>
        <w:rPr>
          <w:rFonts w:hint="eastAsia"/>
          <w:b/>
          <w:color w:val="000000" w:themeColor="text1"/>
          <w:sz w:val="32"/>
          <w:szCs w:val="32"/>
          <w:highlight w:val="none"/>
          <w:lang w:val="en-US" w:eastAsia="zh-CN"/>
          <w14:textFill>
            <w14:solidFill>
              <w14:schemeClr w14:val="tx1"/>
            </w14:solidFill>
          </w14:textFill>
        </w:rPr>
        <w:t>生产管理</w:t>
      </w:r>
      <w:r>
        <w:rPr>
          <w:rFonts w:hint="eastAsia"/>
          <w:b/>
          <w:color w:val="000000" w:themeColor="text1"/>
          <w:sz w:val="32"/>
          <w:szCs w:val="32"/>
          <w:highlight w:val="none"/>
          <w14:textFill>
            <w14:solidFill>
              <w14:schemeClr w14:val="tx1"/>
            </w14:solidFill>
          </w14:textFill>
        </w:rPr>
        <w:t>协议</w:t>
      </w:r>
    </w:p>
    <w:p w14:paraId="73AE69D4">
      <w:pPr>
        <w:pStyle w:val="5"/>
        <w:rPr>
          <w:color w:val="000000" w:themeColor="text1"/>
          <w:highlight w:val="none"/>
          <w14:textFill>
            <w14:solidFill>
              <w14:schemeClr w14:val="tx1"/>
            </w14:solidFill>
          </w14:textFill>
        </w:rPr>
      </w:pPr>
    </w:p>
    <w:p w14:paraId="7D78DBE5">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宿州百大</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农产品物流</w:t>
      </w:r>
      <w:r>
        <w:rPr>
          <w:rFonts w:hint="eastAsia" w:ascii="仿宋_GB2312" w:hAnsi="仿宋_GB2312" w:eastAsia="仿宋_GB2312" w:cs="仿宋_GB2312"/>
          <w:color w:val="000000" w:themeColor="text1"/>
          <w:sz w:val="28"/>
          <w:szCs w:val="28"/>
          <w:highlight w:val="none"/>
          <w14:textFill>
            <w14:solidFill>
              <w14:schemeClr w14:val="tx1"/>
            </w14:solidFill>
          </w14:textFill>
        </w:rPr>
        <w:t>有限责任公司</w:t>
      </w:r>
    </w:p>
    <w:p w14:paraId="4237897F">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left"/>
        <w:textAlignment w:val="auto"/>
        <w:rPr>
          <w:rFonts w:hint="default" w:ascii="仿宋_GB2312" w:hAnsi="仿宋_GB2312" w:eastAsia="仿宋_GB2312" w:cs="仿宋_GB2312"/>
          <w:color w:val="000000" w:themeColor="text1"/>
          <w:sz w:val="28"/>
          <w:szCs w:val="28"/>
          <w:highlight w:val="none"/>
          <w:u w:val="single"/>
          <w:lang w:val="en-US"/>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（成交方）                  </w:t>
      </w:r>
    </w:p>
    <w:p w14:paraId="79C8517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为贯彻落实 “安全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第一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预防为主、综合治理”的安全管理方针，依据《中华人民共和国安全生产法》等法律法规及相关要求，双方本着平等 、自愿的原则，签订本协议，并按照约定要求在作业过程中严格履行。此协议作为《宿州百大废弃物资资源化承包及场地租赁合同》的附件，对甲乙双方应履行的权利、义务和责任进行约束。</w:t>
      </w:r>
    </w:p>
    <w:p w14:paraId="5124BDF0">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一、工程概况：</w:t>
      </w:r>
    </w:p>
    <w:p w14:paraId="6C52BB7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工程名称：</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宿州百大门头亮化改造项目（三次）</w:t>
      </w:r>
    </w:p>
    <w:p w14:paraId="1D99CA0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工程地址：宿州市经济技术开发区南二环路88号</w:t>
      </w:r>
    </w:p>
    <w:p w14:paraId="6D9F400C">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二、工程项目期限：</w:t>
      </w:r>
      <w:r>
        <w:rPr>
          <w:rFonts w:hint="eastAsia" w:ascii="仿宋_GB2312" w:hAnsi="仿宋_GB2312" w:eastAsia="仿宋_GB2312" w:cs="仿宋_GB2312"/>
          <w:color w:val="000000" w:themeColor="text1"/>
          <w:sz w:val="28"/>
          <w:szCs w:val="28"/>
          <w:highlight w:val="none"/>
          <w14:textFill>
            <w14:solidFill>
              <w14:schemeClr w14:val="tx1"/>
            </w14:solidFill>
          </w14:textFill>
        </w:rPr>
        <w:t>自2025年</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日起开工至2025年</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日止完工。</w:t>
      </w:r>
    </w:p>
    <w:p w14:paraId="6AEB0458">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甲方的权利和责任</w:t>
      </w:r>
    </w:p>
    <w:p w14:paraId="32651CE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在进场作业前，组织乙方现场（安全）负责人及作业人员进行安全交底，并保存记录；</w:t>
      </w:r>
    </w:p>
    <w:p w14:paraId="1D14938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在作业现场或经营管理区域，甲方应</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督促乙方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确定现场安全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工作</w:t>
      </w:r>
      <w:r>
        <w:rPr>
          <w:rFonts w:hint="eastAsia" w:ascii="仿宋_GB2312" w:hAnsi="仿宋_GB2312" w:eastAsia="仿宋_GB2312" w:cs="仿宋_GB2312"/>
          <w:color w:val="000000" w:themeColor="text1"/>
          <w:sz w:val="28"/>
          <w:szCs w:val="28"/>
          <w:highlight w:val="none"/>
          <w14:textFill>
            <w14:solidFill>
              <w14:schemeClr w14:val="tx1"/>
            </w14:solidFill>
          </w14:textFill>
        </w:rPr>
        <w:t>管理人员，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并</w:t>
      </w:r>
      <w:r>
        <w:rPr>
          <w:rFonts w:hint="eastAsia" w:ascii="仿宋_GB2312" w:hAnsi="仿宋_GB2312" w:eastAsia="仿宋_GB2312" w:cs="仿宋_GB2312"/>
          <w:color w:val="000000" w:themeColor="text1"/>
          <w:sz w:val="28"/>
          <w:szCs w:val="28"/>
          <w:highlight w:val="none"/>
          <w14:textFill>
            <w14:solidFill>
              <w14:schemeClr w14:val="tx1"/>
            </w14:solidFill>
          </w14:textFill>
        </w:rPr>
        <w:t>对现场作业安全进行监督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检查</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4619781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在作业过程中，</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甲方发现</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乙方的作业</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区域存在安全</w:t>
      </w:r>
      <w:r>
        <w:rPr>
          <w:rFonts w:hint="eastAsia" w:ascii="仿宋_GB2312" w:hAnsi="仿宋_GB2312" w:eastAsia="仿宋_GB2312" w:cs="仿宋_GB2312"/>
          <w:color w:val="000000" w:themeColor="text1"/>
          <w:sz w:val="28"/>
          <w:szCs w:val="28"/>
          <w:highlight w:val="none"/>
          <w14:textFill>
            <w14:solidFill>
              <w14:schemeClr w14:val="tx1"/>
            </w14:solidFill>
          </w14:textFill>
        </w:rPr>
        <w:t>事故隐患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或“三违”（违章指挥、违规作业、违反劳动纪律）</w:t>
      </w:r>
      <w:r>
        <w:rPr>
          <w:rFonts w:hint="eastAsia" w:ascii="仿宋_GB2312" w:hAnsi="仿宋_GB2312" w:eastAsia="仿宋_GB2312" w:cs="仿宋_GB2312"/>
          <w:color w:val="000000" w:themeColor="text1"/>
          <w:sz w:val="28"/>
          <w:szCs w:val="28"/>
          <w:highlight w:val="none"/>
          <w14:textFill>
            <w14:solidFill>
              <w14:schemeClr w14:val="tx1"/>
            </w14:solidFill>
          </w14:textFill>
        </w:rPr>
        <w:t>有权要求乙方停止作业，对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要求对</w:t>
      </w:r>
      <w:r>
        <w:rPr>
          <w:rFonts w:hint="eastAsia" w:ascii="仿宋_GB2312" w:hAnsi="仿宋_GB2312" w:eastAsia="仿宋_GB2312" w:cs="仿宋_GB2312"/>
          <w:color w:val="000000" w:themeColor="text1"/>
          <w:sz w:val="28"/>
          <w:szCs w:val="28"/>
          <w:highlight w:val="none"/>
          <w14:textFill>
            <w14:solidFill>
              <w14:schemeClr w14:val="tx1"/>
            </w14:solidFill>
          </w14:textFill>
        </w:rPr>
        <w:t>存在的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问题</w:t>
      </w:r>
      <w:r>
        <w:rPr>
          <w:rFonts w:hint="eastAsia" w:ascii="仿宋_GB2312" w:hAnsi="仿宋_GB2312" w:eastAsia="仿宋_GB2312" w:cs="仿宋_GB2312"/>
          <w:color w:val="000000" w:themeColor="text1"/>
          <w:sz w:val="28"/>
          <w:szCs w:val="28"/>
          <w:highlight w:val="none"/>
          <w14:textFill>
            <w14:solidFill>
              <w14:schemeClr w14:val="tx1"/>
            </w14:solidFill>
          </w14:textFill>
        </w:rPr>
        <w:t>进行整改后</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方可继续作业</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47272E4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甲方应为乙方的作业安全提供协调支持，如：存在与第三方交叉作业</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14:textFill>
            <w14:solidFill>
              <w14:schemeClr w14:val="tx1"/>
            </w14:solidFill>
          </w14:textFill>
        </w:rPr>
        <w:t>，进行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统一</w:t>
      </w:r>
      <w:r>
        <w:rPr>
          <w:rFonts w:hint="eastAsia" w:ascii="仿宋_GB2312" w:hAnsi="仿宋_GB2312" w:eastAsia="仿宋_GB2312" w:cs="仿宋_GB2312"/>
          <w:color w:val="000000" w:themeColor="text1"/>
          <w:sz w:val="28"/>
          <w:szCs w:val="28"/>
          <w:highlight w:val="none"/>
          <w14:textFill>
            <w14:solidFill>
              <w14:schemeClr w14:val="tx1"/>
            </w14:solidFill>
          </w14:textFill>
        </w:rPr>
        <w:t>管理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28"/>
          <w:szCs w:val="28"/>
          <w:highlight w:val="none"/>
          <w14:textFill>
            <w14:solidFill>
              <w14:schemeClr w14:val="tx1"/>
            </w14:solidFill>
          </w14:textFill>
        </w:rPr>
        <w:t>协调；</w:t>
      </w:r>
    </w:p>
    <w:p w14:paraId="0E4F0C6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发生突发事件时，甲方应对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积极配合并参与</w:t>
      </w:r>
      <w:r>
        <w:rPr>
          <w:rFonts w:hint="eastAsia" w:ascii="仿宋_GB2312" w:hAnsi="仿宋_GB2312" w:eastAsia="仿宋_GB2312" w:cs="仿宋_GB2312"/>
          <w:color w:val="000000" w:themeColor="text1"/>
          <w:sz w:val="28"/>
          <w:szCs w:val="28"/>
          <w:highlight w:val="none"/>
          <w14:textFill>
            <w14:solidFill>
              <w14:schemeClr w14:val="tx1"/>
            </w14:solidFill>
          </w14:textFill>
        </w:rPr>
        <w:t>事故的应急救援，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根据政府相关部门工作安排，积极配合并</w:t>
      </w:r>
      <w:r>
        <w:rPr>
          <w:rFonts w:hint="eastAsia" w:ascii="仿宋_GB2312" w:hAnsi="仿宋_GB2312" w:eastAsia="仿宋_GB2312" w:cs="仿宋_GB2312"/>
          <w:color w:val="000000" w:themeColor="text1"/>
          <w:sz w:val="28"/>
          <w:szCs w:val="28"/>
          <w:highlight w:val="none"/>
          <w14:textFill>
            <w14:solidFill>
              <w14:schemeClr w14:val="tx1"/>
            </w14:solidFill>
          </w14:textFill>
        </w:rPr>
        <w:t>参与事故的调查分析，</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并有权对</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违反法律法规及公司制度给公司造成</w:t>
      </w:r>
      <w:r>
        <w:rPr>
          <w:rFonts w:hint="eastAsia" w:ascii="仿宋_GB2312" w:hAnsi="仿宋_GB2312" w:eastAsia="仿宋_GB2312" w:cs="仿宋_GB2312"/>
          <w:color w:val="000000" w:themeColor="text1"/>
          <w:sz w:val="28"/>
          <w:szCs w:val="28"/>
          <w:highlight w:val="none"/>
          <w14:textFill>
            <w14:solidFill>
              <w14:schemeClr w14:val="tx1"/>
            </w14:solidFill>
          </w14:textFill>
        </w:rPr>
        <w:t>损失，索取相应的经济赔偿，</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保留</w:t>
      </w:r>
      <w:r>
        <w:rPr>
          <w:rFonts w:hint="eastAsia" w:ascii="仿宋_GB2312" w:hAnsi="仿宋_GB2312" w:eastAsia="仿宋_GB2312" w:cs="仿宋_GB2312"/>
          <w:color w:val="000000" w:themeColor="text1"/>
          <w:sz w:val="28"/>
          <w:szCs w:val="28"/>
          <w:highlight w:val="none"/>
          <w14:textFill>
            <w14:solidFill>
              <w14:schemeClr w14:val="tx1"/>
            </w14:solidFill>
          </w14:textFill>
        </w:rPr>
        <w:t>追究相应的法律责任</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权利</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C74DE8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.法律法规</w:t>
      </w:r>
      <w:r>
        <w:rPr>
          <w:rFonts w:hint="eastAsia" w:ascii="仿宋_GB2312" w:hAnsi="仿宋_GB2312" w:eastAsia="仿宋_GB2312" w:cs="仿宋_GB2312"/>
          <w:color w:val="000000" w:themeColor="text1"/>
          <w:sz w:val="28"/>
          <w:szCs w:val="28"/>
          <w:highlight w:val="none"/>
          <w14:textFill>
            <w14:solidFill>
              <w14:schemeClr w14:val="tx1"/>
            </w14:solidFill>
          </w14:textFill>
        </w:rPr>
        <w:t>和安全技术规范规定的其他职责。</w:t>
      </w:r>
    </w:p>
    <w:p w14:paraId="37781560">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、乙方的权利和安全责任</w:t>
      </w:r>
    </w:p>
    <w:p w14:paraId="50EC7C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乙方须具备开展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服务本项目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所</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必须</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的法定资质、经营范围，如：高空作业许可</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受限空间作业、动火作业</w:t>
      </w:r>
      <w:r>
        <w:rPr>
          <w:rFonts w:hint="eastAsia" w:ascii="仿宋_GB2312" w:hAnsi="仿宋_GB2312" w:eastAsia="仿宋_GB2312" w:cs="仿宋_GB2312"/>
          <w:color w:val="000000" w:themeColor="text1"/>
          <w:sz w:val="28"/>
          <w:szCs w:val="28"/>
          <w:highlight w:val="none"/>
          <w14:textFill>
            <w14:solidFill>
              <w14:schemeClr w14:val="tx1"/>
            </w14:solidFill>
          </w14:textFill>
        </w:rPr>
        <w:t>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安全生产资质</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279A14F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在作业前，乙方应组织对作业人员进行安全知识的培训，确保员工均具备上岗作业的资格，并参与甲方组织的安全技术交底；</w:t>
      </w:r>
    </w:p>
    <w:p w14:paraId="29AD137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在作业现场，乙方应配置现场安全管理人员，对现场作业安全进行全程监督管理；</w:t>
      </w:r>
    </w:p>
    <w:p w14:paraId="0ECED8E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法规规定的作业人员须持证上岗，证件在有效期内，如：电工证、高空作业证等；</w:t>
      </w:r>
    </w:p>
    <w:p w14:paraId="38FF5D8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乙方在开展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危险</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作业</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如：动火、高空、受限空间等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须办理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相应的危险</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作业许可证，</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准备必要的劳动防护用户、应急救援器材和物资，严格</w:t>
      </w:r>
      <w:r>
        <w:rPr>
          <w:rFonts w:hint="eastAsia" w:ascii="仿宋_GB2312" w:hAnsi="仿宋_GB2312" w:eastAsia="仿宋_GB2312" w:cs="仿宋_GB2312"/>
          <w:color w:val="000000" w:themeColor="text1"/>
          <w:sz w:val="28"/>
          <w:szCs w:val="28"/>
          <w:highlight w:val="none"/>
          <w14:textFill>
            <w14:solidFill>
              <w14:schemeClr w14:val="tx1"/>
            </w14:solidFill>
          </w14:textFill>
        </w:rPr>
        <w:t>落实现场安全防护措施（如：</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安全监护、</w:t>
      </w:r>
      <w:r>
        <w:rPr>
          <w:rFonts w:hint="eastAsia" w:ascii="仿宋_GB2312" w:hAnsi="仿宋_GB2312" w:eastAsia="仿宋_GB2312" w:cs="仿宋_GB2312"/>
          <w:color w:val="000000" w:themeColor="text1"/>
          <w:sz w:val="28"/>
          <w:szCs w:val="28"/>
          <w:highlight w:val="none"/>
          <w14:textFill>
            <w14:solidFill>
              <w14:schemeClr w14:val="tx1"/>
            </w14:solidFill>
          </w14:textFill>
        </w:rPr>
        <w:t>施工隔离，防护用品等），防止作业过程中发生事故，作业完毕清理现场，消除安全隐患；</w:t>
      </w:r>
    </w:p>
    <w:p w14:paraId="0261C09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在甲方物业管理区域内，乙方及</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其</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作业人员应严格遵守</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的物业管理及安全管理要求，不得在物业管理区域内从事不安全行为和非法活动，不得影响物业管理的正常秩序；</w:t>
      </w:r>
    </w:p>
    <w:p w14:paraId="17E3D59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乙方在合同约定时间、区域内，作为</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服务区域</w:t>
      </w:r>
      <w:r>
        <w:rPr>
          <w:rFonts w:hint="eastAsia" w:ascii="仿宋_GB2312" w:hAnsi="仿宋_GB2312" w:eastAsia="仿宋_GB2312" w:cs="仿宋_GB2312"/>
          <w:color w:val="000000" w:themeColor="text1"/>
          <w:sz w:val="28"/>
          <w:szCs w:val="28"/>
          <w:highlight w:val="none"/>
          <w14:textFill>
            <w14:solidFill>
              <w14:schemeClr w14:val="tx1"/>
            </w14:solidFill>
          </w14:textFill>
        </w:rPr>
        <w:t>消防、安全的责任主体，须严格遵守安全生产作业的有关管理制度，并接受甲方或其他部门安全检查人员依法实施的监督检查，并对检查发现的问题及隐患进行及时整改；</w:t>
      </w:r>
    </w:p>
    <w:p w14:paraId="010BE23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乙方在作业、管理时间内落实安全防范措施，由于乙方安全措施不当造成人身安全、财产损坏事故的责任和因此产生的费用，由乙方承担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4F08170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作业过程中发生人员伤亡及其他突发事件时，除按照本单位应急处置流程进行应急救援、现场处置外，还应立即报告甲方现场安全管理人员或负责人，协同对事件进行现场应急处置，减小事件造成的损失和影响；事件发生后，根据事故调查分析结果，承担各自责任</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0BEAEBC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10</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.法律法规</w:t>
      </w:r>
      <w:r>
        <w:rPr>
          <w:rFonts w:hint="eastAsia" w:ascii="仿宋_GB2312" w:hAnsi="仿宋_GB2312" w:eastAsia="仿宋_GB2312" w:cs="仿宋_GB2312"/>
          <w:color w:val="000000" w:themeColor="text1"/>
          <w:sz w:val="28"/>
          <w:szCs w:val="28"/>
          <w:highlight w:val="none"/>
          <w14:textFill>
            <w14:solidFill>
              <w14:schemeClr w14:val="tx1"/>
            </w14:solidFill>
          </w14:textFill>
        </w:rPr>
        <w:t>和安全技术规范规定的其他职责。</w:t>
      </w:r>
    </w:p>
    <w:p w14:paraId="0AA02E0D">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、违约责任</w:t>
      </w:r>
    </w:p>
    <w:p w14:paraId="6C6BFCC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由于甲方或乙方责任造成对方或第三方的人身伤害、设备损坏等财产损失，由责任方承担相应责任，并赔偿对方或第三方因此造成的全部损失；</w:t>
      </w:r>
    </w:p>
    <w:p w14:paraId="0EDC6E1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合同履行中，发现乙方提供的有关资质材料不真实或为无效资料的，甲方有权解除与乙方的主合同，并由乙方承担由此造成的一切损失；</w:t>
      </w:r>
    </w:p>
    <w:p w14:paraId="7B6A3B3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未设置安管人员；未能正确、全面落实安全管理制度；作业、管理人员未掌握本作业特点及作业安全措施；用于本作业的施工机械、工器具及安全防护用品不满足作业需要，甲方有权要求乙方立即停工整改，由此引起的后果及损失由乙方承担；</w:t>
      </w:r>
    </w:p>
    <w:p w14:paraId="1E76BAD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如乙方对存在隐患和违章违纪行为逾期和屡纠不改或拒不整改和纠正的，甲方有权停止乙方作业，一切后果由乙方负责；</w:t>
      </w:r>
    </w:p>
    <w:p w14:paraId="0D9EFD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作业时，各种作业必须按本工种《安全操作规程》执行，特种作业人员必须持证上岗，以备双方安全检查人员的检查，不得违章操作。对因违章造成甲方或第三方的财产损失和人身伤害，由乙方承担全部责任；</w:t>
      </w:r>
    </w:p>
    <w:p w14:paraId="34A27E0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甲方有权对乙方的作业场所、经营区域进行安全监督检查，对违章、违纪行为有权制止、纠正或处罚。对拒绝、阻挠甲方检查，或存在对甲方检查人员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打击报复</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，甲方有权停止乙方施工，因此造成甲方的损失由乙方负责赔偿，乙方的损失由乙方自负；</w:t>
      </w:r>
    </w:p>
    <w:p w14:paraId="0B1F5E6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在施工、经营管理中如发生安全事故，乙方要迅速采取有效措施，组织抢救，防止事故扩大，减少人员伤亡和财产损失；</w:t>
      </w:r>
    </w:p>
    <w:p w14:paraId="3EE64BE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乙方使用甲方提供的设施设备、工器具等造成损坏的，应照价赔偿；</w:t>
      </w:r>
    </w:p>
    <w:p w14:paraId="64F10B4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未尽事宜，由甲乙双方另行协商解决。</w:t>
      </w:r>
    </w:p>
    <w:p w14:paraId="43F3A901">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六</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、其他</w:t>
      </w:r>
    </w:p>
    <w:p w14:paraId="7FCB059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本协议一式两份，甲、乙双方各执一份。</w:t>
      </w:r>
    </w:p>
    <w:p w14:paraId="542314F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其他未尽事宜，按国家相关</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法律法规</w:t>
      </w:r>
      <w:r>
        <w:rPr>
          <w:rFonts w:hint="eastAsia" w:ascii="仿宋_GB2312" w:hAnsi="仿宋_GB2312" w:eastAsia="仿宋_GB2312" w:cs="仿宋_GB2312"/>
          <w:color w:val="000000" w:themeColor="text1"/>
          <w:sz w:val="28"/>
          <w:szCs w:val="28"/>
          <w:highlight w:val="none"/>
          <w14:textFill>
            <w14:solidFill>
              <w14:schemeClr w14:val="tx1"/>
            </w14:solidFill>
          </w14:textFill>
        </w:rPr>
        <w:t>及公司有关制度执行。</w:t>
      </w:r>
    </w:p>
    <w:p w14:paraId="47490BE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本协议有效期同服务合同有效期一致。</w:t>
      </w:r>
    </w:p>
    <w:p w14:paraId="517602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2DE2008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2057DC1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甲方（签章）：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乙方（签章）：</w:t>
      </w:r>
    </w:p>
    <w:p w14:paraId="610EDC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法定代表人：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法定代表人：</w:t>
      </w:r>
    </w:p>
    <w:p w14:paraId="68506B2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委  托  人：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委  托  人：</w:t>
      </w:r>
    </w:p>
    <w:p w14:paraId="7E4B89A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日      期：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日      期：</w:t>
      </w:r>
    </w:p>
    <w:p w14:paraId="27AD4C44">
      <w:pPr>
        <w:widowControl/>
        <w:jc w:val="left"/>
        <w:rPr>
          <w:rFonts w:hint="eastAsia" w:asciiTheme="majorEastAsia" w:hAnsiTheme="majorEastAsia" w:eastAsiaTheme="majorEastAsia"/>
          <w:b/>
          <w:color w:val="000000" w:themeColor="text1"/>
          <w:kern w:val="0"/>
          <w:sz w:val="24"/>
          <w:highlight w:val="none"/>
          <w14:textFill>
            <w14:solidFill>
              <w14:schemeClr w14:val="tx1"/>
            </w14:solidFill>
          </w14:textFill>
        </w:rPr>
      </w:pPr>
    </w:p>
    <w:p w14:paraId="3A4DA712">
      <w:pPr>
        <w:widowControl/>
        <w:jc w:val="left"/>
        <w:rPr>
          <w:rFonts w:asciiTheme="majorEastAsia" w:hAnsiTheme="majorEastAsia" w:eastAsiaTheme="majorEastAsia"/>
          <w:b/>
          <w:kern w:val="0"/>
          <w:sz w:val="24"/>
        </w:rPr>
      </w:pPr>
    </w:p>
    <w:p w14:paraId="71E2D5A0">
      <w:pPr>
        <w:widowControl/>
        <w:jc w:val="left"/>
        <w:rPr>
          <w:rFonts w:asciiTheme="majorEastAsia" w:hAnsiTheme="majorEastAsia" w:eastAsiaTheme="majorEastAsia"/>
          <w:b/>
          <w:kern w:val="0"/>
          <w:sz w:val="24"/>
        </w:rPr>
      </w:pPr>
    </w:p>
    <w:p w14:paraId="12F380A3">
      <w:pPr>
        <w:widowControl/>
        <w:jc w:val="left"/>
        <w:rPr>
          <w:rFonts w:asciiTheme="majorEastAsia" w:hAnsiTheme="majorEastAsia" w:eastAsiaTheme="majorEastAsia"/>
          <w:b/>
          <w:kern w:val="0"/>
          <w:sz w:val="24"/>
        </w:rPr>
      </w:pPr>
    </w:p>
    <w:p w14:paraId="6A57CF51">
      <w:pPr>
        <w:widowControl/>
        <w:jc w:val="left"/>
        <w:rPr>
          <w:rFonts w:asciiTheme="majorEastAsia" w:hAnsiTheme="majorEastAsia" w:eastAsiaTheme="majorEastAsia"/>
          <w:b/>
          <w:kern w:val="0"/>
          <w:sz w:val="24"/>
        </w:rPr>
      </w:pPr>
    </w:p>
    <w:p w14:paraId="5CCC9C8B">
      <w:pPr>
        <w:widowControl/>
        <w:jc w:val="left"/>
        <w:rPr>
          <w:rFonts w:asciiTheme="majorEastAsia" w:hAnsiTheme="majorEastAsia" w:eastAsiaTheme="majorEastAsia"/>
          <w:b/>
          <w:kern w:val="0"/>
          <w:sz w:val="24"/>
        </w:rPr>
      </w:pPr>
    </w:p>
    <w:p w14:paraId="775D3D73">
      <w:pPr>
        <w:widowControl/>
        <w:jc w:val="left"/>
        <w:rPr>
          <w:rFonts w:asciiTheme="majorEastAsia" w:hAnsiTheme="majorEastAsia" w:eastAsiaTheme="majorEastAsia"/>
          <w:b/>
          <w:kern w:val="0"/>
          <w:sz w:val="24"/>
        </w:rPr>
      </w:pPr>
    </w:p>
    <w:p w14:paraId="4E523E7F">
      <w:pPr>
        <w:widowControl/>
        <w:jc w:val="left"/>
        <w:rPr>
          <w:rFonts w:asciiTheme="majorEastAsia" w:hAnsiTheme="majorEastAsia" w:eastAsiaTheme="majorEastAsia"/>
          <w:b/>
          <w:kern w:val="0"/>
          <w:sz w:val="24"/>
        </w:rPr>
      </w:pPr>
    </w:p>
    <w:p w14:paraId="2FE4131F">
      <w:pPr>
        <w:widowControl/>
        <w:jc w:val="left"/>
        <w:rPr>
          <w:rFonts w:asciiTheme="majorEastAsia" w:hAnsiTheme="majorEastAsia" w:eastAsiaTheme="majorEastAsia"/>
          <w:b/>
          <w:kern w:val="0"/>
          <w:sz w:val="24"/>
        </w:rPr>
      </w:pPr>
    </w:p>
    <w:p w14:paraId="0D237CDC">
      <w:pPr>
        <w:widowControl/>
        <w:jc w:val="left"/>
        <w:rPr>
          <w:rFonts w:asciiTheme="majorEastAsia" w:hAnsiTheme="majorEastAsia" w:eastAsiaTheme="majorEastAsia"/>
          <w:b/>
          <w:kern w:val="0"/>
          <w:sz w:val="24"/>
        </w:rPr>
      </w:pPr>
    </w:p>
    <w:p w14:paraId="3FB0E1DB">
      <w:pPr>
        <w:widowControl/>
        <w:shd w:val="clear" w:color="auto" w:fill="FFFFFF"/>
        <w:spacing w:line="420" w:lineRule="exact"/>
        <w:ind w:right="380"/>
        <w:rPr>
          <w:rFonts w:hint="eastAsia" w:ascii="宋体" w:hAnsi="宋体" w:cs="宋体"/>
          <w:b/>
          <w:lang w:val="en-US" w:eastAsia="zh-CN"/>
        </w:rPr>
      </w:pPr>
    </w:p>
    <w:p w14:paraId="20FC8305">
      <w:pPr>
        <w:widowControl/>
        <w:shd w:val="clear" w:color="auto" w:fill="FFFFFF"/>
        <w:spacing w:line="420" w:lineRule="exact"/>
        <w:ind w:right="380"/>
        <w:rPr>
          <w:rFonts w:hint="eastAsia" w:ascii="宋体" w:hAnsi="宋体" w:cs="宋体"/>
          <w:b/>
          <w:lang w:val="en-US" w:eastAsia="zh-CN"/>
        </w:rPr>
      </w:pPr>
      <w:r>
        <w:rPr>
          <w:rFonts w:hint="eastAsia" w:ascii="宋体" w:hAnsi="宋体" w:cs="宋体"/>
          <w:b/>
          <w:lang w:val="en-US" w:eastAsia="zh-CN"/>
        </w:rPr>
        <w:t>附件三：《响应文件格式》</w:t>
      </w:r>
    </w:p>
    <w:p w14:paraId="5174394A">
      <w:pPr>
        <w:widowControl/>
        <w:jc w:val="left"/>
        <w:rPr>
          <w:rFonts w:asciiTheme="majorEastAsia" w:hAnsiTheme="majorEastAsia" w:eastAsiaTheme="majorEastAsia"/>
          <w:b/>
          <w:kern w:val="0"/>
          <w:sz w:val="24"/>
        </w:rPr>
      </w:pPr>
    </w:p>
    <w:p w14:paraId="6DF317AC">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14:paraId="7E1E0FF2">
      <w:pPr>
        <w:pStyle w:val="3"/>
      </w:pPr>
    </w:p>
    <w:p w14:paraId="0E2E142C">
      <w:pPr>
        <w:spacing w:line="900" w:lineRule="exact"/>
        <w:jc w:val="center"/>
        <w:rPr>
          <w:rFonts w:hint="eastAsia" w:asciiTheme="minorEastAsia" w:hAnsiTheme="minorEastAsia" w:eastAsiaTheme="minorEastAsia"/>
          <w:b/>
          <w:sz w:val="36"/>
          <w:szCs w:val="36"/>
          <w:u w:val="single"/>
          <w:lang w:eastAsia="zh-CN"/>
        </w:rPr>
      </w:pPr>
      <w:r>
        <w:rPr>
          <w:rFonts w:hint="eastAsia" w:asciiTheme="minorEastAsia" w:hAnsiTheme="minorEastAsia"/>
          <w:b/>
          <w:sz w:val="36"/>
          <w:szCs w:val="36"/>
          <w:u w:val="single"/>
          <w:lang w:eastAsia="zh-CN"/>
        </w:rPr>
        <w:t>宿州百大门头亮化改造项目（三次）</w:t>
      </w:r>
    </w:p>
    <w:p w14:paraId="3A015ED3">
      <w:pPr>
        <w:pStyle w:val="3"/>
      </w:pPr>
    </w:p>
    <w:p w14:paraId="57B2DB14"/>
    <w:p w14:paraId="3F70106D">
      <w:pPr>
        <w:spacing w:line="760" w:lineRule="exact"/>
        <w:jc w:val="center"/>
        <w:outlineLvl w:val="2"/>
        <w:rPr>
          <w:rFonts w:asciiTheme="minorEastAsia" w:hAnsiTheme="minorEastAsia"/>
          <w:b/>
          <w:sz w:val="72"/>
        </w:rPr>
      </w:pPr>
    </w:p>
    <w:p w14:paraId="4DC6E7B8">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14:paraId="0CE151F8">
      <w:pPr>
        <w:pStyle w:val="3"/>
      </w:pPr>
    </w:p>
    <w:p w14:paraId="027629EA">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14:paraId="1B15119C">
      <w:pPr>
        <w:spacing w:after="120" w:afterLines="50" w:line="500" w:lineRule="exact"/>
        <w:jc w:val="center"/>
        <w:rPr>
          <w:rFonts w:asciiTheme="minorEastAsia" w:hAnsiTheme="minorEastAsia"/>
          <w:b/>
          <w:sz w:val="32"/>
          <w:szCs w:val="32"/>
        </w:rPr>
      </w:pPr>
    </w:p>
    <w:p w14:paraId="75613DE0">
      <w:pPr>
        <w:spacing w:after="120" w:afterLines="50" w:line="500" w:lineRule="exact"/>
        <w:rPr>
          <w:rFonts w:asciiTheme="minorEastAsia" w:hAnsiTheme="minorEastAsia"/>
          <w:b/>
          <w:sz w:val="32"/>
        </w:rPr>
      </w:pPr>
    </w:p>
    <w:p w14:paraId="25A1A02D">
      <w:pPr>
        <w:spacing w:after="120" w:afterLines="50" w:line="500" w:lineRule="exact"/>
        <w:rPr>
          <w:rFonts w:asciiTheme="minorEastAsia" w:hAnsiTheme="minorEastAsia"/>
          <w:b/>
          <w:sz w:val="32"/>
        </w:rPr>
      </w:pPr>
    </w:p>
    <w:p w14:paraId="4C014EA1">
      <w:pPr>
        <w:spacing w:after="120" w:afterLines="50" w:line="500" w:lineRule="exact"/>
        <w:rPr>
          <w:rFonts w:asciiTheme="minorEastAsia" w:hAnsiTheme="minorEastAsia"/>
          <w:b/>
          <w:sz w:val="32"/>
        </w:rPr>
      </w:pPr>
    </w:p>
    <w:p w14:paraId="45E388BD">
      <w:pPr>
        <w:spacing w:after="120" w:afterLines="50" w:line="500" w:lineRule="exact"/>
        <w:rPr>
          <w:rFonts w:asciiTheme="minorEastAsia" w:hAnsiTheme="minorEastAsia"/>
          <w:b/>
          <w:sz w:val="32"/>
        </w:rPr>
      </w:pPr>
    </w:p>
    <w:p w14:paraId="17AFDE40">
      <w:pPr>
        <w:spacing w:after="120"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14:paraId="6E739C70">
      <w:pPr>
        <w:spacing w:after="120" w:afterLines="50" w:line="500" w:lineRule="exact"/>
        <w:jc w:val="center"/>
        <w:outlineLvl w:val="1"/>
        <w:rPr>
          <w:rFonts w:asciiTheme="minorEastAsia" w:hAnsiTheme="minorEastAsia"/>
          <w:b/>
          <w:sz w:val="32"/>
        </w:rPr>
      </w:pPr>
      <w:r>
        <w:rPr>
          <w:rFonts w:hint="eastAsia" w:asciiTheme="minorEastAsia" w:hAnsiTheme="minorEastAsia"/>
          <w:b/>
          <w:sz w:val="32"/>
        </w:rPr>
        <w:t>2025年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14:paraId="54AC0A0D">
      <w:pPr>
        <w:widowControl/>
        <w:jc w:val="left"/>
      </w:pPr>
      <w:r>
        <w:rPr>
          <w:rFonts w:asciiTheme="minorEastAsia" w:hAnsiTheme="minorEastAsia"/>
          <w:b/>
          <w:sz w:val="28"/>
        </w:rPr>
        <w:br w:type="page"/>
      </w:r>
    </w:p>
    <w:p w14:paraId="30E4A668">
      <w:pPr>
        <w:widowControl/>
        <w:jc w:val="center"/>
        <w:rPr>
          <w:rFonts w:cs="Times New Roman" w:asciiTheme="majorEastAsia" w:hAnsiTheme="majorEastAsia" w:eastAsiaTheme="majorEastAsia"/>
          <w:b/>
          <w:kern w:val="0"/>
          <w:sz w:val="24"/>
        </w:rPr>
      </w:pPr>
    </w:p>
    <w:p w14:paraId="0EEAFF07">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14:paraId="1A2A91A3">
      <w:pPr>
        <w:widowControl/>
        <w:spacing w:line="520" w:lineRule="exact"/>
        <w:jc w:val="left"/>
        <w:rPr>
          <w:rFonts w:ascii="宋体" w:hAnsi="宋体" w:eastAsia="宋体" w:cs="宋体"/>
          <w:b/>
          <w:kern w:val="0"/>
          <w:sz w:val="24"/>
        </w:rPr>
      </w:pPr>
    </w:p>
    <w:p w14:paraId="42D56220">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华文楷体" w:hAnsi="华文楷体" w:eastAsia="华文楷体"/>
          <w:b/>
          <w:sz w:val="30"/>
          <w:szCs w:val="30"/>
        </w:rPr>
        <w:t>宿州百大农产品物流有限责任公司</w:t>
      </w:r>
      <w:r>
        <w:rPr>
          <w:rFonts w:hint="eastAsia" w:ascii="宋体" w:hAnsi="宋体" w:eastAsia="宋体" w:cs="宋体"/>
          <w:b/>
          <w:kern w:val="0"/>
          <w:sz w:val="24"/>
        </w:rPr>
        <w:t>：</w:t>
      </w:r>
    </w:p>
    <w:p w14:paraId="2A928FCD">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 xml:space="preserve">根据贵司 </w:t>
      </w:r>
      <w:r>
        <w:rPr>
          <w:rFonts w:hint="eastAsia" w:ascii="宋体" w:hAnsi="宋体" w:eastAsia="宋体" w:cs="宋体"/>
          <w:kern w:val="0"/>
          <w:sz w:val="24"/>
          <w:u w:val="single"/>
        </w:rPr>
        <w:t xml:space="preserve">               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14:paraId="424B2DB0">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14:paraId="51B08FA8">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14:paraId="4A1C9065">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14:paraId="09467480">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14:paraId="5E0AC0EB">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14:paraId="2D81A575">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14:paraId="4C71DDDB">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14:paraId="5DECC37B">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14:paraId="74DD9942">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14:paraId="6F04EBC5">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14:paraId="1984B3BB">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14:paraId="4CBA30DD">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14:paraId="24C5246A">
      <w:pPr>
        <w:widowControl/>
        <w:spacing w:line="360" w:lineRule="exact"/>
        <w:ind w:left="840" w:leftChars="400"/>
        <w:jc w:val="left"/>
        <w:rPr>
          <w:rFonts w:ascii="宋体" w:hAnsi="宋体" w:eastAsia="宋体" w:cs="宋体"/>
          <w:kern w:val="0"/>
          <w:sz w:val="24"/>
        </w:rPr>
      </w:pPr>
    </w:p>
    <w:p w14:paraId="4EDA53F0">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14:paraId="507F99D7">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14:paraId="638D64AA">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二〇二五年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3ED59D0E">
      <w:pPr>
        <w:widowControl/>
        <w:jc w:val="center"/>
        <w:rPr>
          <w:rFonts w:cs="Times New Roman" w:asciiTheme="majorEastAsia" w:hAnsiTheme="majorEastAsia" w:eastAsiaTheme="majorEastAsia"/>
          <w:b/>
          <w:kern w:val="0"/>
          <w:sz w:val="24"/>
        </w:rPr>
      </w:pPr>
    </w:p>
    <w:p w14:paraId="17BEFF0D">
      <w:pPr>
        <w:widowControl/>
        <w:jc w:val="center"/>
        <w:rPr>
          <w:rFonts w:cs="Times New Roman" w:asciiTheme="majorEastAsia" w:hAnsiTheme="majorEastAsia" w:eastAsiaTheme="majorEastAsia"/>
          <w:b/>
          <w:kern w:val="0"/>
          <w:sz w:val="24"/>
        </w:rPr>
      </w:pPr>
    </w:p>
    <w:p w14:paraId="41EFF40C">
      <w:pPr>
        <w:widowControl/>
        <w:jc w:val="center"/>
        <w:rPr>
          <w:rFonts w:cs="Times New Roman" w:asciiTheme="majorEastAsia" w:hAnsiTheme="majorEastAsia" w:eastAsiaTheme="majorEastAsia"/>
          <w:b/>
          <w:kern w:val="0"/>
          <w:sz w:val="24"/>
        </w:rPr>
      </w:pPr>
    </w:p>
    <w:p w14:paraId="59954003">
      <w:pPr>
        <w:jc w:val="center"/>
        <w:rPr>
          <w:rFonts w:ascii="宋体" w:hAnsi="宋体"/>
          <w:b/>
          <w:kern w:val="0"/>
          <w:sz w:val="24"/>
        </w:rPr>
      </w:pPr>
    </w:p>
    <w:p w14:paraId="08B7681C">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14:paraId="019D2BF9">
      <w:pPr>
        <w:jc w:val="left"/>
        <w:rPr>
          <w:rFonts w:ascii="宋体" w:hAnsi="宋体"/>
          <w:kern w:val="0"/>
          <w:sz w:val="24"/>
        </w:rPr>
      </w:pPr>
    </w:p>
    <w:p w14:paraId="7841AF0D">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14:paraId="1E3E4A7E">
      <w:pPr>
        <w:jc w:val="left"/>
        <w:rPr>
          <w:rFonts w:ascii="宋体" w:hAnsi="宋体"/>
          <w:kern w:val="0"/>
          <w:sz w:val="24"/>
        </w:rPr>
      </w:pPr>
      <w:r>
        <w:rPr>
          <w:rFonts w:hint="eastAsia" w:ascii="宋体" w:hAnsi="宋体"/>
          <w:kern w:val="0"/>
          <w:sz w:val="24"/>
        </w:rPr>
        <w:t xml:space="preserve">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7BEAD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5EE46985">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7325013C">
            <w:pPr>
              <w:jc w:val="center"/>
              <w:rPr>
                <w:rFonts w:ascii="宋体" w:hAnsi="宋体" w:cs="Calibri"/>
                <w:b/>
                <w:kern w:val="0"/>
                <w:sz w:val="24"/>
              </w:rPr>
            </w:pPr>
            <w:r>
              <w:rPr>
                <w:rFonts w:hint="eastAsia" w:ascii="宋体" w:hAnsi="宋体" w:cs="Calibri"/>
                <w:b/>
                <w:kern w:val="0"/>
                <w:sz w:val="24"/>
              </w:rPr>
              <w:t>身份证反面</w:t>
            </w:r>
          </w:p>
        </w:tc>
      </w:tr>
      <w:tr w14:paraId="30B54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7CAAB626">
            <w:pPr>
              <w:jc w:val="center"/>
              <w:rPr>
                <w:rFonts w:ascii="宋体" w:hAnsi="宋体" w:cs="Calibri"/>
                <w:kern w:val="0"/>
                <w:sz w:val="24"/>
              </w:rPr>
            </w:pPr>
          </w:p>
        </w:tc>
        <w:tc>
          <w:tcPr>
            <w:tcW w:w="4927" w:type="dxa"/>
            <w:vAlign w:val="center"/>
          </w:tcPr>
          <w:p w14:paraId="67995FDD">
            <w:pPr>
              <w:jc w:val="center"/>
              <w:rPr>
                <w:rFonts w:ascii="宋体" w:hAnsi="宋体" w:cs="Calibri"/>
                <w:kern w:val="0"/>
                <w:sz w:val="24"/>
              </w:rPr>
            </w:pPr>
          </w:p>
        </w:tc>
      </w:tr>
      <w:tr w14:paraId="22F13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463BD457">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14:paraId="3C321B59">
      <w:pPr>
        <w:jc w:val="left"/>
        <w:rPr>
          <w:rFonts w:ascii="宋体" w:hAnsi="宋体"/>
          <w:kern w:val="0"/>
          <w:sz w:val="24"/>
        </w:rPr>
      </w:pPr>
    </w:p>
    <w:p w14:paraId="6B132646">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14:paraId="611DF4FA">
      <w:pPr>
        <w:jc w:val="left"/>
        <w:rPr>
          <w:rFonts w:ascii="宋体" w:hAnsi="宋体"/>
          <w:kern w:val="0"/>
          <w:sz w:val="24"/>
        </w:rPr>
      </w:pPr>
      <w:r>
        <w:rPr>
          <w:rFonts w:hint="eastAsia" w:ascii="宋体" w:hAnsi="宋体"/>
          <w:kern w:val="0"/>
          <w:sz w:val="24"/>
        </w:rPr>
        <w:t xml:space="preserve">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332A0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4927" w:type="dxa"/>
            <w:vAlign w:val="center"/>
          </w:tcPr>
          <w:p w14:paraId="3AC80087">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298E1ACA">
            <w:pPr>
              <w:jc w:val="center"/>
              <w:rPr>
                <w:rFonts w:ascii="宋体" w:hAnsi="宋体" w:cs="Calibri"/>
                <w:b/>
                <w:kern w:val="0"/>
                <w:sz w:val="24"/>
              </w:rPr>
            </w:pPr>
            <w:r>
              <w:rPr>
                <w:rFonts w:hint="eastAsia" w:ascii="宋体" w:hAnsi="宋体" w:cs="Calibri"/>
                <w:b/>
                <w:kern w:val="0"/>
                <w:sz w:val="24"/>
              </w:rPr>
              <w:t>身份证反面</w:t>
            </w:r>
          </w:p>
        </w:tc>
      </w:tr>
      <w:tr w14:paraId="36C70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5BDB0036">
            <w:pPr>
              <w:jc w:val="center"/>
              <w:rPr>
                <w:rFonts w:ascii="宋体" w:hAnsi="宋体" w:cs="Calibri"/>
                <w:kern w:val="0"/>
                <w:sz w:val="24"/>
              </w:rPr>
            </w:pPr>
          </w:p>
        </w:tc>
        <w:tc>
          <w:tcPr>
            <w:tcW w:w="4927" w:type="dxa"/>
            <w:vAlign w:val="center"/>
          </w:tcPr>
          <w:p w14:paraId="678373B1">
            <w:pPr>
              <w:jc w:val="center"/>
              <w:rPr>
                <w:rFonts w:ascii="宋体" w:hAnsi="宋体" w:cs="Calibri"/>
                <w:kern w:val="0"/>
                <w:sz w:val="24"/>
              </w:rPr>
            </w:pPr>
          </w:p>
        </w:tc>
      </w:tr>
      <w:tr w14:paraId="74EEC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54C78483">
            <w:pPr>
              <w:jc w:val="left"/>
              <w:rPr>
                <w:rFonts w:ascii="宋体" w:hAnsi="宋体" w:cs="Calibri"/>
                <w:b/>
                <w:kern w:val="0"/>
                <w:sz w:val="24"/>
              </w:rPr>
            </w:pPr>
            <w:r>
              <w:rPr>
                <w:rFonts w:hint="eastAsia" w:ascii="宋体" w:hAnsi="宋体" w:cs="Calibri"/>
                <w:b/>
                <w:kern w:val="0"/>
                <w:sz w:val="24"/>
              </w:rPr>
              <w:t>授权代表联系电话：</w:t>
            </w:r>
          </w:p>
        </w:tc>
      </w:tr>
    </w:tbl>
    <w:p w14:paraId="3E822EC2">
      <w:pPr>
        <w:jc w:val="left"/>
        <w:rPr>
          <w:rFonts w:ascii="宋体" w:hAnsi="宋体"/>
          <w:b/>
          <w:kern w:val="0"/>
          <w:sz w:val="24"/>
        </w:rPr>
      </w:pPr>
    </w:p>
    <w:p w14:paraId="7AC3C1CA">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14:paraId="5AB2D6F3">
      <w:pPr>
        <w:jc w:val="center"/>
        <w:rPr>
          <w:b/>
          <w:kern w:val="0"/>
          <w:sz w:val="24"/>
        </w:rPr>
      </w:pPr>
    </w:p>
    <w:p w14:paraId="44CE9532">
      <w:pPr>
        <w:jc w:val="center"/>
        <w:rPr>
          <w:b/>
          <w:sz w:val="28"/>
          <w:szCs w:val="28"/>
        </w:rPr>
      </w:pPr>
      <w:r>
        <w:rPr>
          <w:rFonts w:hint="eastAsia"/>
          <w:b/>
          <w:kern w:val="0"/>
          <w:sz w:val="24"/>
        </w:rPr>
        <w:t xml:space="preserve">格式4  </w:t>
      </w:r>
      <w:r>
        <w:rPr>
          <w:rFonts w:hint="eastAsia"/>
          <w:b/>
          <w:sz w:val="24"/>
        </w:rPr>
        <w:t>报价人股权结构说明书</w:t>
      </w:r>
    </w:p>
    <w:p w14:paraId="71F1413E"/>
    <w:p w14:paraId="3698A200">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14:paraId="05056C66">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1F594E27">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0DDEC592">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7E3FDF5E">
      <w:pPr>
        <w:spacing w:line="720" w:lineRule="exact"/>
        <w:rPr>
          <w:rFonts w:ascii="宋体" w:hAnsi="宋体"/>
          <w:sz w:val="24"/>
        </w:rPr>
      </w:pPr>
      <w:r>
        <w:rPr>
          <w:rFonts w:hint="eastAsia" w:ascii="宋体" w:hAnsi="宋体"/>
          <w:sz w:val="24"/>
        </w:rPr>
        <w:t xml:space="preserve">    ……</w:t>
      </w:r>
    </w:p>
    <w:p w14:paraId="33F59687">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0A13D62A">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14:paraId="0B75D4FB">
      <w:pPr>
        <w:spacing w:line="720" w:lineRule="exact"/>
        <w:rPr>
          <w:rFonts w:ascii="宋体" w:hAnsi="宋体"/>
          <w:sz w:val="24"/>
        </w:rPr>
      </w:pPr>
      <w:r>
        <w:rPr>
          <w:rFonts w:hint="eastAsia" w:ascii="宋体" w:hAnsi="宋体"/>
          <w:sz w:val="24"/>
        </w:rPr>
        <w:t xml:space="preserve">    特此说明</w:t>
      </w:r>
    </w:p>
    <w:p w14:paraId="4E376E00">
      <w:pPr>
        <w:spacing w:line="720" w:lineRule="exact"/>
        <w:rPr>
          <w:rFonts w:ascii="宋体" w:hAnsi="宋体"/>
          <w:sz w:val="24"/>
        </w:rPr>
      </w:pPr>
    </w:p>
    <w:p w14:paraId="08815C85">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14:paraId="5346620D">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14:paraId="33518EA1">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二〇二五年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10D52DB5">
      <w:pPr>
        <w:widowControl/>
        <w:jc w:val="center"/>
        <w:rPr>
          <w:rFonts w:cs="Times New Roman" w:asciiTheme="majorEastAsia" w:hAnsiTheme="majorEastAsia" w:eastAsiaTheme="majorEastAsia"/>
          <w:b/>
          <w:kern w:val="0"/>
          <w:sz w:val="24"/>
        </w:rPr>
      </w:pPr>
    </w:p>
    <w:p w14:paraId="39DB5D62">
      <w:pPr>
        <w:widowControl/>
        <w:jc w:val="center"/>
        <w:rPr>
          <w:rFonts w:cs="Times New Roman" w:asciiTheme="majorEastAsia" w:hAnsiTheme="majorEastAsia" w:eastAsiaTheme="majorEastAsia"/>
          <w:b/>
          <w:kern w:val="0"/>
          <w:sz w:val="24"/>
        </w:rPr>
      </w:pPr>
    </w:p>
    <w:p w14:paraId="5EF84462">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highlight w:val="yellow"/>
          <w:u w:val="single"/>
        </w:rPr>
        <w:t>注：根据《</w:t>
      </w:r>
      <w:r>
        <w:rPr>
          <w:rFonts w:hint="eastAsia" w:cs="宋体" w:asciiTheme="minorEastAsia" w:hAnsiTheme="minorEastAsia"/>
          <w:b/>
          <w:kern w:val="0"/>
          <w:szCs w:val="21"/>
          <w:highlight w:val="yellow"/>
          <w:u w:val="single"/>
        </w:rPr>
        <w:t>中华人民共和国招标投标法实施条例</w:t>
      </w:r>
      <w:r>
        <w:rPr>
          <w:rFonts w:hint="eastAsia" w:cs="Times New Roman" w:asciiTheme="minorEastAsia" w:hAnsiTheme="minorEastAsia"/>
          <w:b/>
          <w:kern w:val="0"/>
          <w:szCs w:val="21"/>
          <w:highlight w:val="yellow"/>
          <w:u w:val="single"/>
        </w:rPr>
        <w:t>》三十四条规定“</w:t>
      </w:r>
      <w:r>
        <w:rPr>
          <w:rFonts w:hint="eastAsia" w:cs="宋体" w:asciiTheme="minorEastAsia" w:hAnsiTheme="minorEastAsia"/>
          <w:b/>
          <w:kern w:val="0"/>
          <w:szCs w:val="21"/>
          <w:highlight w:val="yellow"/>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yellow"/>
          <w:u w:val="single"/>
        </w:rPr>
        <w:t>”采购人将查询所有报价人公开的工商行政注册信息，并进行横向比对，报价人之间如有上述条例规定的情形，相关报价人报价无效。</w:t>
      </w:r>
    </w:p>
    <w:p w14:paraId="7BCBDA0B">
      <w:pPr>
        <w:widowControl/>
        <w:jc w:val="left"/>
        <w:rPr>
          <w:rFonts w:cs="Times New Roman" w:asciiTheme="majorEastAsia" w:hAnsiTheme="majorEastAsia" w:eastAsiaTheme="majorEastAsia"/>
          <w:b/>
          <w:kern w:val="0"/>
          <w:sz w:val="24"/>
        </w:rPr>
      </w:pPr>
    </w:p>
    <w:p w14:paraId="357ED4BF">
      <w:pPr>
        <w:widowControl/>
        <w:jc w:val="center"/>
        <w:rPr>
          <w:rFonts w:cs="Times New Roman" w:asciiTheme="majorEastAsia" w:hAnsiTheme="majorEastAsia" w:eastAsiaTheme="majorEastAsia"/>
          <w:b/>
          <w:kern w:val="0"/>
          <w:sz w:val="24"/>
        </w:rPr>
      </w:pPr>
    </w:p>
    <w:p w14:paraId="063C5441">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14:paraId="4CB0A475">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14:paraId="73AE959F">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yellow"/>
          <w:u w:val="single"/>
        </w:rPr>
        <w:t>须包括</w:t>
      </w:r>
      <w:r>
        <w:rPr>
          <w:rFonts w:hint="eastAsia" w:asciiTheme="minorEastAsia" w:hAnsiTheme="minorEastAsia"/>
          <w:b/>
          <w:sz w:val="24"/>
        </w:rPr>
        <w:t>以下内容：</w:t>
      </w:r>
    </w:p>
    <w:p w14:paraId="3AA88860">
      <w:pPr>
        <w:widowControl/>
        <w:numPr>
          <w:ilvl w:val="0"/>
          <w:numId w:val="3"/>
        </w:numPr>
        <w:spacing w:line="800" w:lineRule="exact"/>
        <w:jc w:val="left"/>
        <w:rPr>
          <w:rFonts w:cs="宋体" w:asciiTheme="minorEastAsia" w:hAnsiTheme="minorEastAsia"/>
          <w:bCs/>
          <w:kern w:val="0"/>
          <w:sz w:val="24"/>
        </w:rPr>
      </w:pPr>
      <w:r>
        <w:rPr>
          <w:rFonts w:hint="eastAsia" w:cs="宋体" w:asciiTheme="minorEastAsia" w:hAnsiTheme="minorEastAsia"/>
          <w:kern w:val="0"/>
          <w:sz w:val="24"/>
        </w:rPr>
        <w:t>合法有效的《</w:t>
      </w:r>
      <w:r>
        <w:rPr>
          <w:rFonts w:hint="eastAsia" w:cs="宋体" w:asciiTheme="minorEastAsia" w:hAnsiTheme="minorEastAsia"/>
          <w:b/>
          <w:bCs/>
          <w:kern w:val="0"/>
          <w:sz w:val="24"/>
        </w:rPr>
        <w:t>营业执照</w:t>
      </w:r>
      <w:r>
        <w:rPr>
          <w:rFonts w:hint="eastAsia" w:cs="宋体" w:asciiTheme="minorEastAsia" w:hAnsiTheme="minorEastAsia"/>
          <w:bCs/>
          <w:kern w:val="0"/>
          <w:sz w:val="24"/>
        </w:rPr>
        <w:t>》</w:t>
      </w:r>
      <w:r>
        <w:rPr>
          <w:rFonts w:hint="eastAsia" w:cs="宋体" w:asciiTheme="minorEastAsia" w:hAnsiTheme="minorEastAsia"/>
          <w:kern w:val="0"/>
          <w:sz w:val="24"/>
        </w:rPr>
        <w:t>；</w:t>
      </w:r>
    </w:p>
    <w:p w14:paraId="65FBE8C1">
      <w:pPr>
        <w:widowControl/>
        <w:spacing w:line="80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2.企业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14:paraId="3D980DA4">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3.需要说明的其它情况（如有）。</w:t>
      </w:r>
    </w:p>
    <w:p w14:paraId="48C88561">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p>
    <w:p w14:paraId="488A9CCA">
      <w:pPr>
        <w:widowControl/>
        <w:jc w:val="center"/>
        <w:rPr>
          <w:rFonts w:cs="Times New Roman" w:asciiTheme="majorEastAsia" w:hAnsiTheme="majorEastAsia" w:eastAsiaTheme="majorEastAsia"/>
          <w:b/>
          <w:kern w:val="0"/>
          <w:sz w:val="24"/>
        </w:rPr>
      </w:pPr>
    </w:p>
    <w:p w14:paraId="0084BFA8">
      <w:pPr>
        <w:widowControl/>
        <w:jc w:val="center"/>
        <w:rPr>
          <w:rFonts w:cs="Times New Roman" w:asciiTheme="majorEastAsia" w:hAnsiTheme="majorEastAsia" w:eastAsiaTheme="majorEastAsia"/>
          <w:b/>
          <w:kern w:val="0"/>
          <w:sz w:val="24"/>
        </w:rPr>
      </w:pPr>
    </w:p>
    <w:p w14:paraId="2C3F06D6">
      <w:pPr>
        <w:widowControl/>
        <w:jc w:val="center"/>
        <w:rPr>
          <w:rFonts w:cs="Times New Roman" w:asciiTheme="majorEastAsia" w:hAnsiTheme="majorEastAsia" w:eastAsiaTheme="majorEastAsia"/>
          <w:b/>
          <w:kern w:val="0"/>
          <w:sz w:val="24"/>
        </w:rPr>
      </w:pPr>
    </w:p>
    <w:p w14:paraId="3CF0C93A">
      <w:pPr>
        <w:widowControl/>
        <w:jc w:val="center"/>
        <w:rPr>
          <w:rFonts w:cs="Times New Roman" w:asciiTheme="majorEastAsia" w:hAnsiTheme="majorEastAsia" w:eastAsiaTheme="majorEastAsia"/>
          <w:b/>
          <w:kern w:val="0"/>
          <w:sz w:val="24"/>
        </w:rPr>
      </w:pPr>
    </w:p>
    <w:p w14:paraId="7F968553">
      <w:pPr>
        <w:widowControl/>
        <w:jc w:val="center"/>
        <w:rPr>
          <w:rFonts w:cs="Times New Roman" w:asciiTheme="majorEastAsia" w:hAnsiTheme="majorEastAsia" w:eastAsiaTheme="majorEastAsia"/>
          <w:b/>
          <w:kern w:val="0"/>
          <w:sz w:val="24"/>
        </w:rPr>
      </w:pPr>
    </w:p>
    <w:p w14:paraId="4FA7CE37">
      <w:pPr>
        <w:widowControl/>
        <w:jc w:val="center"/>
        <w:rPr>
          <w:rFonts w:cs="Times New Roman" w:asciiTheme="majorEastAsia" w:hAnsiTheme="majorEastAsia" w:eastAsiaTheme="majorEastAsia"/>
          <w:b/>
          <w:kern w:val="0"/>
          <w:sz w:val="24"/>
        </w:rPr>
      </w:pPr>
    </w:p>
    <w:p w14:paraId="02A1E5E4">
      <w:pPr>
        <w:widowControl/>
        <w:jc w:val="center"/>
        <w:rPr>
          <w:rFonts w:cs="Times New Roman" w:asciiTheme="majorEastAsia" w:hAnsiTheme="majorEastAsia" w:eastAsiaTheme="majorEastAsia"/>
          <w:b/>
          <w:kern w:val="0"/>
          <w:sz w:val="24"/>
        </w:rPr>
      </w:pPr>
    </w:p>
    <w:p w14:paraId="0E8AFFED">
      <w:pPr>
        <w:widowControl/>
        <w:jc w:val="center"/>
        <w:rPr>
          <w:rFonts w:cs="Times New Roman" w:asciiTheme="majorEastAsia" w:hAnsiTheme="majorEastAsia" w:eastAsiaTheme="majorEastAsia"/>
          <w:b/>
          <w:kern w:val="0"/>
          <w:sz w:val="24"/>
        </w:rPr>
      </w:pPr>
    </w:p>
    <w:p w14:paraId="74DD3901">
      <w:pPr>
        <w:widowControl/>
        <w:jc w:val="center"/>
        <w:rPr>
          <w:rFonts w:cs="Times New Roman" w:asciiTheme="majorEastAsia" w:hAnsiTheme="majorEastAsia" w:eastAsiaTheme="majorEastAsia"/>
          <w:b/>
          <w:kern w:val="0"/>
          <w:sz w:val="24"/>
        </w:rPr>
      </w:pPr>
    </w:p>
    <w:p w14:paraId="7F8C3151">
      <w:pPr>
        <w:widowControl/>
        <w:jc w:val="center"/>
        <w:rPr>
          <w:rFonts w:cs="Times New Roman" w:asciiTheme="majorEastAsia" w:hAnsiTheme="majorEastAsia" w:eastAsiaTheme="majorEastAsia"/>
          <w:b/>
          <w:kern w:val="0"/>
          <w:sz w:val="24"/>
        </w:rPr>
      </w:pPr>
    </w:p>
    <w:p w14:paraId="3AA73142">
      <w:pPr>
        <w:widowControl/>
        <w:jc w:val="center"/>
        <w:rPr>
          <w:rFonts w:cs="Times New Roman" w:asciiTheme="majorEastAsia" w:hAnsiTheme="majorEastAsia" w:eastAsiaTheme="majorEastAsia"/>
          <w:b/>
          <w:kern w:val="0"/>
          <w:sz w:val="24"/>
        </w:rPr>
      </w:pPr>
    </w:p>
    <w:p w14:paraId="320760B7">
      <w:pPr>
        <w:widowControl/>
        <w:jc w:val="center"/>
        <w:rPr>
          <w:rFonts w:cs="Times New Roman" w:asciiTheme="majorEastAsia" w:hAnsiTheme="majorEastAsia" w:eastAsiaTheme="majorEastAsia"/>
          <w:b/>
          <w:kern w:val="0"/>
          <w:sz w:val="24"/>
        </w:rPr>
      </w:pPr>
    </w:p>
    <w:p w14:paraId="5FF68406">
      <w:pPr>
        <w:widowControl/>
        <w:jc w:val="center"/>
        <w:rPr>
          <w:rFonts w:cs="Times New Roman" w:asciiTheme="majorEastAsia" w:hAnsiTheme="majorEastAsia" w:eastAsiaTheme="majorEastAsia"/>
          <w:b/>
          <w:kern w:val="0"/>
          <w:sz w:val="24"/>
        </w:rPr>
      </w:pPr>
    </w:p>
    <w:p w14:paraId="7AF333D0">
      <w:pPr>
        <w:widowControl/>
        <w:jc w:val="center"/>
        <w:rPr>
          <w:rFonts w:cs="Times New Roman" w:asciiTheme="majorEastAsia" w:hAnsiTheme="majorEastAsia" w:eastAsiaTheme="majorEastAsia"/>
          <w:b/>
          <w:kern w:val="0"/>
          <w:sz w:val="24"/>
        </w:rPr>
      </w:pPr>
    </w:p>
    <w:p w14:paraId="1894478D">
      <w:pPr>
        <w:widowControl/>
        <w:jc w:val="center"/>
        <w:rPr>
          <w:rFonts w:cs="Times New Roman" w:asciiTheme="majorEastAsia" w:hAnsiTheme="majorEastAsia" w:eastAsiaTheme="majorEastAsia"/>
          <w:b/>
          <w:kern w:val="0"/>
          <w:sz w:val="24"/>
        </w:rPr>
      </w:pPr>
    </w:p>
    <w:p w14:paraId="62B3E8E4">
      <w:pPr>
        <w:widowControl/>
        <w:jc w:val="center"/>
        <w:rPr>
          <w:rFonts w:cs="Times New Roman" w:asciiTheme="majorEastAsia" w:hAnsiTheme="majorEastAsia" w:eastAsiaTheme="majorEastAsia"/>
          <w:b/>
          <w:kern w:val="0"/>
          <w:sz w:val="24"/>
        </w:rPr>
      </w:pPr>
    </w:p>
    <w:p w14:paraId="086957D1">
      <w:pPr>
        <w:widowControl/>
        <w:jc w:val="center"/>
        <w:rPr>
          <w:rFonts w:cs="Times New Roman" w:asciiTheme="majorEastAsia" w:hAnsiTheme="majorEastAsia" w:eastAsiaTheme="majorEastAsia"/>
          <w:b/>
          <w:kern w:val="0"/>
          <w:sz w:val="24"/>
        </w:rPr>
      </w:pPr>
    </w:p>
    <w:p w14:paraId="462B0A2B">
      <w:pPr>
        <w:widowControl/>
        <w:jc w:val="center"/>
        <w:rPr>
          <w:rFonts w:cs="Times New Roman" w:asciiTheme="majorEastAsia" w:hAnsiTheme="majorEastAsia" w:eastAsiaTheme="majorEastAsia"/>
          <w:b/>
          <w:kern w:val="0"/>
          <w:sz w:val="24"/>
        </w:rPr>
      </w:pPr>
    </w:p>
    <w:p w14:paraId="0D5D94D5">
      <w:pPr>
        <w:widowControl/>
        <w:jc w:val="center"/>
        <w:rPr>
          <w:rFonts w:cs="Times New Roman" w:asciiTheme="majorEastAsia" w:hAnsiTheme="majorEastAsia" w:eastAsiaTheme="majorEastAsia"/>
          <w:b/>
          <w:kern w:val="0"/>
          <w:sz w:val="24"/>
        </w:rPr>
      </w:pPr>
    </w:p>
    <w:p w14:paraId="4A5436F8">
      <w:pPr>
        <w:widowControl/>
        <w:jc w:val="center"/>
        <w:rPr>
          <w:rFonts w:cs="Times New Roman" w:asciiTheme="majorEastAsia" w:hAnsiTheme="majorEastAsia" w:eastAsiaTheme="majorEastAsia"/>
          <w:b/>
          <w:kern w:val="0"/>
          <w:sz w:val="24"/>
        </w:rPr>
      </w:pPr>
    </w:p>
    <w:p w14:paraId="0B72174C">
      <w:pPr>
        <w:widowControl/>
        <w:jc w:val="center"/>
        <w:rPr>
          <w:rFonts w:cs="Times New Roman" w:asciiTheme="majorEastAsia" w:hAnsiTheme="majorEastAsia" w:eastAsiaTheme="majorEastAsia"/>
          <w:b/>
          <w:kern w:val="0"/>
          <w:sz w:val="24"/>
        </w:rPr>
      </w:pPr>
    </w:p>
    <w:p w14:paraId="2C694A51">
      <w:pPr>
        <w:widowControl/>
        <w:jc w:val="center"/>
        <w:rPr>
          <w:rFonts w:cs="Times New Roman" w:asciiTheme="majorEastAsia" w:hAnsiTheme="majorEastAsia" w:eastAsiaTheme="majorEastAsia"/>
          <w:b/>
          <w:kern w:val="0"/>
          <w:sz w:val="24"/>
        </w:rPr>
      </w:pPr>
    </w:p>
    <w:p w14:paraId="518595D9">
      <w:pPr>
        <w:widowControl/>
        <w:jc w:val="center"/>
        <w:rPr>
          <w:rFonts w:cs="Times New Roman" w:asciiTheme="majorEastAsia" w:hAnsiTheme="majorEastAsia" w:eastAsiaTheme="majorEastAsia"/>
          <w:b/>
          <w:kern w:val="0"/>
          <w:sz w:val="24"/>
        </w:rPr>
      </w:pPr>
    </w:p>
    <w:p w14:paraId="35384B53">
      <w:pPr>
        <w:widowControl/>
        <w:jc w:val="center"/>
        <w:rPr>
          <w:rFonts w:cs="Times New Roman" w:asciiTheme="majorEastAsia" w:hAnsiTheme="majorEastAsia" w:eastAsiaTheme="majorEastAsia"/>
          <w:b/>
          <w:kern w:val="0"/>
          <w:sz w:val="24"/>
        </w:rPr>
      </w:pPr>
    </w:p>
    <w:p w14:paraId="036049CA">
      <w:pPr>
        <w:widowControl/>
        <w:jc w:val="center"/>
        <w:rPr>
          <w:rFonts w:cs="Times New Roman" w:asciiTheme="majorEastAsia" w:hAnsiTheme="majorEastAsia" w:eastAsiaTheme="majorEastAsia"/>
          <w:b/>
          <w:kern w:val="0"/>
          <w:sz w:val="24"/>
        </w:rPr>
      </w:pPr>
    </w:p>
    <w:p w14:paraId="39167EE8">
      <w:pPr>
        <w:widowControl/>
        <w:jc w:val="center"/>
        <w:rPr>
          <w:rFonts w:cs="Times New Roman" w:asciiTheme="majorEastAsia" w:hAnsiTheme="majorEastAsia" w:eastAsiaTheme="majorEastAsia"/>
          <w:b/>
          <w:kern w:val="0"/>
          <w:sz w:val="24"/>
        </w:rPr>
      </w:pPr>
    </w:p>
    <w:p w14:paraId="1BFA5F6E">
      <w:pPr>
        <w:widowControl/>
        <w:rPr>
          <w:rFonts w:cs="Times New Roman" w:asciiTheme="majorEastAsia" w:hAnsiTheme="majorEastAsia" w:eastAsiaTheme="majorEastAsia"/>
          <w:b/>
          <w:kern w:val="0"/>
          <w:sz w:val="24"/>
        </w:rPr>
      </w:pPr>
    </w:p>
    <w:p w14:paraId="6FD2E3E1">
      <w:pPr>
        <w:widowControl/>
        <w:jc w:val="center"/>
        <w:rPr>
          <w:rFonts w:cs="Times New Roman" w:asciiTheme="majorEastAsia" w:hAnsiTheme="majorEastAsia" w:eastAsiaTheme="majorEastAsia"/>
          <w:b/>
          <w:kern w:val="0"/>
          <w:sz w:val="24"/>
        </w:rPr>
      </w:pPr>
    </w:p>
    <w:p w14:paraId="78A91466">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14:paraId="30A98A80">
      <w:pPr>
        <w:widowControl/>
        <w:spacing w:line="240" w:lineRule="exact"/>
        <w:jc w:val="left"/>
        <w:rPr>
          <w:rFonts w:cs="宋体" w:asciiTheme="majorEastAsia" w:hAnsiTheme="majorEastAsia" w:eastAsiaTheme="majorEastAsia"/>
          <w:b/>
          <w:kern w:val="0"/>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764"/>
        <w:gridCol w:w="6560"/>
      </w:tblGrid>
      <w:tr w14:paraId="3B9C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95" w:type="dxa"/>
            <w:gridSpan w:val="2"/>
            <w:tcBorders>
              <w:top w:val="single" w:color="auto" w:sz="4" w:space="0"/>
              <w:left w:val="single" w:color="auto" w:sz="4" w:space="0"/>
              <w:bottom w:val="single" w:color="auto" w:sz="4" w:space="0"/>
              <w:right w:val="single" w:color="auto" w:sz="4" w:space="0"/>
            </w:tcBorders>
            <w:vAlign w:val="center"/>
          </w:tcPr>
          <w:p w14:paraId="1273A992">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560" w:type="dxa"/>
            <w:tcBorders>
              <w:top w:val="single" w:color="auto" w:sz="4" w:space="0"/>
              <w:left w:val="single" w:color="auto" w:sz="4" w:space="0"/>
              <w:bottom w:val="single" w:color="auto" w:sz="4" w:space="0"/>
              <w:right w:val="single" w:color="auto" w:sz="4" w:space="0"/>
            </w:tcBorders>
            <w:vAlign w:val="center"/>
          </w:tcPr>
          <w:p w14:paraId="6B4C5B7B">
            <w:pPr>
              <w:jc w:val="left"/>
              <w:rPr>
                <w:rFonts w:hint="eastAsia" w:eastAsiaTheme="minorEastAsia"/>
                <w:lang w:eastAsia="zh-CN"/>
              </w:rPr>
            </w:pPr>
            <w:r>
              <w:rPr>
                <w:rFonts w:hint="eastAsia" w:cs="宋体" w:asciiTheme="minorEastAsia" w:hAnsiTheme="minorEastAsia"/>
                <w:kern w:val="0"/>
                <w:sz w:val="24"/>
                <w:lang w:eastAsia="zh-CN"/>
              </w:rPr>
              <w:t>宿州百大门头亮化改造项目（三次）</w:t>
            </w:r>
          </w:p>
        </w:tc>
      </w:tr>
      <w:tr w14:paraId="4CBF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3195" w:type="dxa"/>
            <w:gridSpan w:val="2"/>
            <w:tcBorders>
              <w:top w:val="single" w:color="auto" w:sz="4" w:space="0"/>
              <w:left w:val="single" w:color="auto" w:sz="4" w:space="0"/>
              <w:bottom w:val="single" w:color="auto" w:sz="4" w:space="0"/>
              <w:right w:val="single" w:color="auto" w:sz="4" w:space="0"/>
            </w:tcBorders>
            <w:vAlign w:val="center"/>
          </w:tcPr>
          <w:p w14:paraId="0DF817AB">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560" w:type="dxa"/>
            <w:tcBorders>
              <w:top w:val="single" w:color="auto" w:sz="4" w:space="0"/>
              <w:left w:val="single" w:color="auto" w:sz="4" w:space="0"/>
              <w:bottom w:val="single" w:color="auto" w:sz="4" w:space="0"/>
              <w:right w:val="single" w:color="auto" w:sz="4" w:space="0"/>
            </w:tcBorders>
            <w:vAlign w:val="center"/>
          </w:tcPr>
          <w:p w14:paraId="64FADB09">
            <w:pPr>
              <w:widowControl/>
              <w:tabs>
                <w:tab w:val="left" w:pos="420"/>
              </w:tabs>
              <w:spacing w:line="5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w:t>
            </w:r>
            <w:r>
              <w:rPr>
                <w:rFonts w:hint="eastAsia" w:cs="宋体" w:asciiTheme="minorEastAsia" w:hAnsiTheme="minorEastAsia"/>
                <w:spacing w:val="-4"/>
                <w:kern w:val="0"/>
                <w:sz w:val="24"/>
              </w:rPr>
              <w:t>2025BDJTGC00033</w:t>
            </w:r>
            <w:r>
              <w:rPr>
                <w:rFonts w:hint="eastAsia" w:cs="宋体" w:asciiTheme="majorEastAsia" w:hAnsiTheme="majorEastAsia" w:eastAsiaTheme="majorEastAsia"/>
                <w:b/>
                <w:kern w:val="0"/>
                <w:sz w:val="24"/>
              </w:rPr>
              <w:t xml:space="preserve">            </w:t>
            </w:r>
            <w:r>
              <w:rPr>
                <w:rFonts w:hint="eastAsia" w:cs="宋体" w:asciiTheme="minorEastAsia" w:hAnsiTheme="minorEastAsia"/>
                <w:kern w:val="0"/>
                <w:sz w:val="24"/>
              </w:rPr>
              <w:t xml:space="preserve"> </w:t>
            </w:r>
          </w:p>
        </w:tc>
      </w:tr>
      <w:tr w14:paraId="040E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195" w:type="dxa"/>
            <w:gridSpan w:val="2"/>
            <w:tcBorders>
              <w:top w:val="single" w:color="auto" w:sz="4" w:space="0"/>
              <w:left w:val="single" w:color="auto" w:sz="4" w:space="0"/>
              <w:bottom w:val="single" w:color="auto" w:sz="4" w:space="0"/>
              <w:right w:val="single" w:color="auto" w:sz="4" w:space="0"/>
            </w:tcBorders>
            <w:vAlign w:val="center"/>
          </w:tcPr>
          <w:p w14:paraId="0330B5F4">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560" w:type="dxa"/>
            <w:tcBorders>
              <w:top w:val="single" w:color="auto" w:sz="4" w:space="0"/>
              <w:left w:val="single" w:color="auto" w:sz="4" w:space="0"/>
              <w:bottom w:val="single" w:color="auto" w:sz="4" w:space="0"/>
              <w:right w:val="single" w:color="auto" w:sz="4" w:space="0"/>
            </w:tcBorders>
            <w:vAlign w:val="center"/>
          </w:tcPr>
          <w:p w14:paraId="737A34E6">
            <w:pPr>
              <w:widowControl/>
              <w:tabs>
                <w:tab w:val="left" w:pos="420"/>
              </w:tabs>
              <w:spacing w:line="500" w:lineRule="exact"/>
              <w:jc w:val="left"/>
              <w:rPr>
                <w:rFonts w:cs="宋体" w:asciiTheme="majorEastAsia" w:hAnsiTheme="majorEastAsia" w:eastAsiaTheme="majorEastAsia"/>
                <w:b/>
                <w:kern w:val="0"/>
                <w:sz w:val="24"/>
              </w:rPr>
            </w:pPr>
          </w:p>
        </w:tc>
      </w:tr>
      <w:tr w14:paraId="07F1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47D38D6C">
            <w:pPr>
              <w:widowControl/>
              <w:spacing w:line="5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1005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A0E6C2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764" w:type="dxa"/>
            <w:tcBorders>
              <w:top w:val="single" w:color="auto" w:sz="4" w:space="0"/>
              <w:left w:val="single" w:color="auto" w:sz="4" w:space="0"/>
              <w:bottom w:val="single" w:color="auto" w:sz="4" w:space="0"/>
              <w:right w:val="single" w:color="auto" w:sz="4" w:space="0"/>
            </w:tcBorders>
            <w:vAlign w:val="center"/>
          </w:tcPr>
          <w:p w14:paraId="050D28E8">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560" w:type="dxa"/>
            <w:tcBorders>
              <w:top w:val="single" w:color="auto" w:sz="4" w:space="0"/>
              <w:left w:val="single" w:color="auto" w:sz="4" w:space="0"/>
              <w:bottom w:val="single" w:color="auto" w:sz="4" w:space="0"/>
              <w:right w:val="single" w:color="auto" w:sz="4" w:space="0"/>
            </w:tcBorders>
            <w:vAlign w:val="center"/>
          </w:tcPr>
          <w:p w14:paraId="1DA90B2D">
            <w:pPr>
              <w:widowControl/>
              <w:spacing w:line="500" w:lineRule="exact"/>
              <w:jc w:val="left"/>
              <w:rPr>
                <w:rFonts w:hint="default" w:cs="宋体" w:asciiTheme="majorEastAsia" w:hAnsiTheme="majorEastAsia" w:eastAsiaTheme="majorEastAsia"/>
                <w:kern w:val="0"/>
                <w:sz w:val="24"/>
                <w:u w:val="single"/>
                <w:lang w:val="en-US" w:eastAsia="zh-CN"/>
              </w:rPr>
            </w:pPr>
            <w:r>
              <w:rPr>
                <w:rFonts w:hint="eastAsia" w:cs="宋体" w:asciiTheme="majorEastAsia" w:hAnsiTheme="majorEastAsia" w:eastAsiaTheme="majorEastAsia"/>
                <w:kern w:val="0"/>
                <w:sz w:val="24"/>
              </w:rPr>
              <w:t>是否响应文件要求</w:t>
            </w:r>
            <w:r>
              <w:rPr>
                <w:rFonts w:hint="eastAsia" w:cs="宋体" w:asciiTheme="majorEastAsia" w:hAnsiTheme="majorEastAsia" w:eastAsiaTheme="majorEastAsia"/>
                <w:kern w:val="0"/>
                <w:sz w:val="24"/>
                <w:u w:val="single"/>
                <w:lang w:val="en-US" w:eastAsia="zh-CN"/>
              </w:rPr>
              <w:t xml:space="preserve">        </w:t>
            </w:r>
          </w:p>
        </w:tc>
      </w:tr>
      <w:tr w14:paraId="093C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3B011B6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764" w:type="dxa"/>
            <w:tcBorders>
              <w:top w:val="single" w:color="auto" w:sz="4" w:space="0"/>
              <w:left w:val="single" w:color="auto" w:sz="4" w:space="0"/>
              <w:bottom w:val="single" w:color="auto" w:sz="4" w:space="0"/>
              <w:right w:val="single" w:color="auto" w:sz="4" w:space="0"/>
            </w:tcBorders>
            <w:vAlign w:val="center"/>
          </w:tcPr>
          <w:p w14:paraId="5C8A426E">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rPr>
              <w:t>服务</w:t>
            </w:r>
            <w:r>
              <w:rPr>
                <w:rFonts w:hint="eastAsia" w:cs="Times New Roman" w:asciiTheme="majorEastAsia" w:hAnsiTheme="majorEastAsia" w:eastAsiaTheme="majorEastAsia"/>
                <w:b/>
                <w:kern w:val="28"/>
                <w:sz w:val="24"/>
                <w:lang w:val="eu-ES"/>
              </w:rPr>
              <w:t>期限</w:t>
            </w:r>
          </w:p>
        </w:tc>
        <w:tc>
          <w:tcPr>
            <w:tcW w:w="6560" w:type="dxa"/>
            <w:tcBorders>
              <w:top w:val="single" w:color="auto" w:sz="4" w:space="0"/>
              <w:left w:val="single" w:color="auto" w:sz="4" w:space="0"/>
              <w:bottom w:val="single" w:color="auto" w:sz="4" w:space="0"/>
              <w:right w:val="single" w:color="auto" w:sz="4" w:space="0"/>
            </w:tcBorders>
            <w:vAlign w:val="center"/>
          </w:tcPr>
          <w:p w14:paraId="74A3434E">
            <w:pPr>
              <w:widowControl/>
              <w:spacing w:line="500" w:lineRule="exact"/>
              <w:jc w:val="left"/>
              <w:rPr>
                <w:rFonts w:hint="default" w:cs="宋体" w:asciiTheme="majorEastAsia" w:hAnsiTheme="majorEastAsia" w:eastAsiaTheme="majorEastAsia"/>
                <w:kern w:val="0"/>
                <w:sz w:val="24"/>
                <w:lang w:val="en-US" w:eastAsia="zh-CN"/>
              </w:rPr>
            </w:pPr>
            <w:r>
              <w:rPr>
                <w:rFonts w:hint="eastAsia" w:cs="宋体" w:asciiTheme="majorEastAsia" w:hAnsiTheme="majorEastAsia" w:eastAsiaTheme="majorEastAsia"/>
                <w:kern w:val="0"/>
                <w:sz w:val="24"/>
              </w:rPr>
              <w:t>是否响应文件要求</w:t>
            </w:r>
            <w:r>
              <w:rPr>
                <w:rFonts w:hint="eastAsia" w:cs="宋体" w:asciiTheme="majorEastAsia" w:hAnsiTheme="majorEastAsia" w:eastAsiaTheme="majorEastAsia"/>
                <w:kern w:val="0"/>
                <w:sz w:val="24"/>
                <w:u w:val="single"/>
                <w:lang w:val="en-US" w:eastAsia="zh-CN"/>
              </w:rPr>
              <w:t xml:space="preserve">        </w:t>
            </w:r>
            <w:r>
              <w:rPr>
                <w:rFonts w:hint="eastAsia" w:cs="宋体" w:asciiTheme="majorEastAsia" w:hAnsiTheme="majorEastAsia" w:eastAsiaTheme="majorEastAsia"/>
                <w:kern w:val="0"/>
                <w:sz w:val="24"/>
                <w:lang w:val="en-US" w:eastAsia="zh-CN"/>
              </w:rPr>
              <w:t xml:space="preserve">   </w:t>
            </w:r>
          </w:p>
        </w:tc>
      </w:tr>
      <w:tr w14:paraId="319C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02EA7D7">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764" w:type="dxa"/>
            <w:tcBorders>
              <w:top w:val="single" w:color="auto" w:sz="4" w:space="0"/>
              <w:left w:val="single" w:color="auto" w:sz="4" w:space="0"/>
              <w:bottom w:val="single" w:color="auto" w:sz="4" w:space="0"/>
              <w:right w:val="single" w:color="auto" w:sz="4" w:space="0"/>
            </w:tcBorders>
            <w:vAlign w:val="center"/>
          </w:tcPr>
          <w:p w14:paraId="2D7AAFDD">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560" w:type="dxa"/>
            <w:tcBorders>
              <w:top w:val="single" w:color="auto" w:sz="4" w:space="0"/>
              <w:left w:val="single" w:color="auto" w:sz="4" w:space="0"/>
              <w:bottom w:val="single" w:color="auto" w:sz="4" w:space="0"/>
              <w:right w:val="single" w:color="auto" w:sz="4" w:space="0"/>
            </w:tcBorders>
            <w:vAlign w:val="center"/>
          </w:tcPr>
          <w:p w14:paraId="54B98C2B">
            <w:pPr>
              <w:widowControl/>
              <w:spacing w:line="500" w:lineRule="exact"/>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r>
              <w:rPr>
                <w:rFonts w:hint="eastAsia" w:cs="宋体" w:asciiTheme="majorEastAsia" w:hAnsiTheme="majorEastAsia" w:eastAsiaTheme="majorEastAsia"/>
                <w:kern w:val="0"/>
                <w:sz w:val="24"/>
                <w:u w:val="single"/>
                <w:lang w:val="en-US" w:eastAsia="zh-CN"/>
              </w:rPr>
              <w:t xml:space="preserve">        </w:t>
            </w:r>
            <w:r>
              <w:rPr>
                <w:rFonts w:hint="eastAsia" w:cs="宋体" w:asciiTheme="majorEastAsia" w:hAnsiTheme="majorEastAsia" w:eastAsiaTheme="majorEastAsia"/>
                <w:kern w:val="0"/>
                <w:sz w:val="24"/>
                <w:lang w:val="en-US" w:eastAsia="zh-CN"/>
              </w:rPr>
              <w:t xml:space="preserve"> </w:t>
            </w:r>
          </w:p>
        </w:tc>
      </w:tr>
      <w:tr w14:paraId="04ED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2154B01">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764" w:type="dxa"/>
            <w:tcBorders>
              <w:top w:val="single" w:color="auto" w:sz="4" w:space="0"/>
              <w:left w:val="single" w:color="auto" w:sz="4" w:space="0"/>
              <w:bottom w:val="single" w:color="auto" w:sz="4" w:space="0"/>
              <w:right w:val="single" w:color="auto" w:sz="4" w:space="0"/>
            </w:tcBorders>
            <w:vAlign w:val="center"/>
          </w:tcPr>
          <w:p w14:paraId="62331B70">
            <w:pPr>
              <w:spacing w:line="500" w:lineRule="exact"/>
              <w:jc w:val="center"/>
              <w:rPr>
                <w:rFonts w:cs="Times New Roman" w:asciiTheme="majorEastAsia" w:hAnsiTheme="majorEastAsia" w:eastAsiaTheme="majorEastAsia"/>
                <w:b/>
                <w:kern w:val="28"/>
                <w:sz w:val="24"/>
              </w:rPr>
            </w:pPr>
            <w:r>
              <w:rPr>
                <w:rFonts w:hint="eastAsia" w:cs="Times New Roman" w:asciiTheme="majorEastAsia" w:hAnsiTheme="majorEastAsia" w:eastAsiaTheme="majorEastAsia"/>
                <w:b/>
                <w:kern w:val="28"/>
                <w:sz w:val="24"/>
              </w:rPr>
              <w:t>服务要求</w:t>
            </w:r>
          </w:p>
        </w:tc>
        <w:tc>
          <w:tcPr>
            <w:tcW w:w="6560" w:type="dxa"/>
            <w:tcBorders>
              <w:top w:val="single" w:color="auto" w:sz="4" w:space="0"/>
              <w:left w:val="single" w:color="auto" w:sz="4" w:space="0"/>
              <w:bottom w:val="single" w:color="auto" w:sz="4" w:space="0"/>
              <w:right w:val="single" w:color="auto" w:sz="4" w:space="0"/>
            </w:tcBorders>
            <w:vAlign w:val="center"/>
          </w:tcPr>
          <w:p w14:paraId="30FBE2C0">
            <w:pPr>
              <w:widowControl/>
              <w:spacing w:line="500" w:lineRule="exact"/>
              <w:jc w:val="left"/>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r>
              <w:rPr>
                <w:rFonts w:hint="eastAsia" w:cs="宋体" w:asciiTheme="majorEastAsia" w:hAnsiTheme="majorEastAsia" w:eastAsiaTheme="majorEastAsia"/>
                <w:kern w:val="0"/>
                <w:sz w:val="24"/>
                <w:u w:val="single"/>
                <w:lang w:val="en-US" w:eastAsia="zh-CN"/>
              </w:rPr>
              <w:t xml:space="preserve">        </w:t>
            </w:r>
            <w:r>
              <w:rPr>
                <w:rFonts w:hint="eastAsia" w:cs="宋体" w:asciiTheme="majorEastAsia" w:hAnsiTheme="majorEastAsia" w:eastAsiaTheme="majorEastAsia"/>
                <w:kern w:val="0"/>
                <w:sz w:val="24"/>
                <w:lang w:val="en-US" w:eastAsia="zh-CN"/>
              </w:rPr>
              <w:t xml:space="preserve"> </w:t>
            </w:r>
          </w:p>
        </w:tc>
      </w:tr>
      <w:tr w14:paraId="69F0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7E86AB76">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764" w:type="dxa"/>
            <w:tcBorders>
              <w:top w:val="single" w:color="auto" w:sz="4" w:space="0"/>
              <w:left w:val="single" w:color="auto" w:sz="4" w:space="0"/>
              <w:bottom w:val="single" w:color="auto" w:sz="4" w:space="0"/>
              <w:right w:val="single" w:color="auto" w:sz="4" w:space="0"/>
            </w:tcBorders>
            <w:vAlign w:val="center"/>
          </w:tcPr>
          <w:p w14:paraId="20EBCB71">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560" w:type="dxa"/>
            <w:tcBorders>
              <w:top w:val="single" w:color="auto" w:sz="4" w:space="0"/>
              <w:left w:val="single" w:color="auto" w:sz="4" w:space="0"/>
              <w:bottom w:val="single" w:color="auto" w:sz="4" w:space="0"/>
              <w:right w:val="single" w:color="auto" w:sz="4" w:space="0"/>
            </w:tcBorders>
            <w:vAlign w:val="center"/>
          </w:tcPr>
          <w:p w14:paraId="76EAEAED">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2D97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14:paraId="09123A26">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0D85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2E88E2D5">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764" w:type="dxa"/>
            <w:tcBorders>
              <w:top w:val="single" w:color="auto" w:sz="4" w:space="0"/>
              <w:left w:val="single" w:color="auto" w:sz="4" w:space="0"/>
              <w:right w:val="single" w:color="auto" w:sz="4" w:space="0"/>
            </w:tcBorders>
            <w:vAlign w:val="center"/>
          </w:tcPr>
          <w:p w14:paraId="2C09B03A">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560" w:type="dxa"/>
            <w:tcBorders>
              <w:top w:val="single" w:color="auto" w:sz="4" w:space="0"/>
              <w:left w:val="single" w:color="auto" w:sz="4" w:space="0"/>
              <w:right w:val="single" w:color="auto" w:sz="4" w:space="0"/>
            </w:tcBorders>
            <w:vAlign w:val="center"/>
          </w:tcPr>
          <w:p w14:paraId="08738BFB">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14:paraId="608BC568">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tc>
      </w:tr>
      <w:tr w14:paraId="61D5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539E3D02">
            <w:pPr>
              <w:widowControl/>
              <w:spacing w:line="500" w:lineRule="exact"/>
              <w:jc w:val="center"/>
              <w:rPr>
                <w:rFonts w:cs="宋体" w:asciiTheme="majorEastAsia" w:hAnsiTheme="majorEastAsia" w:eastAsiaTheme="majorEastAsia"/>
                <w:kern w:val="0"/>
                <w:sz w:val="24"/>
                <w:highlight w:val="none"/>
              </w:rPr>
            </w:pPr>
            <w:r>
              <w:rPr>
                <w:rFonts w:hint="eastAsia" w:cs="宋体" w:asciiTheme="majorEastAsia" w:hAnsiTheme="majorEastAsia" w:eastAsiaTheme="majorEastAsia"/>
                <w:kern w:val="0"/>
                <w:sz w:val="24"/>
                <w:highlight w:val="none"/>
              </w:rPr>
              <w:t>2</w:t>
            </w:r>
          </w:p>
        </w:tc>
        <w:tc>
          <w:tcPr>
            <w:tcW w:w="2764" w:type="dxa"/>
            <w:tcBorders>
              <w:top w:val="single" w:color="auto" w:sz="4" w:space="0"/>
              <w:left w:val="single" w:color="auto" w:sz="4" w:space="0"/>
              <w:right w:val="single" w:color="auto" w:sz="4" w:space="0"/>
            </w:tcBorders>
            <w:vAlign w:val="center"/>
          </w:tcPr>
          <w:p w14:paraId="3B4F4E5D">
            <w:pPr>
              <w:spacing w:line="500" w:lineRule="exact"/>
              <w:jc w:val="center"/>
              <w:rPr>
                <w:rFonts w:cs="宋体" w:asciiTheme="majorEastAsia" w:hAnsiTheme="majorEastAsia" w:eastAsiaTheme="majorEastAsia"/>
                <w:b/>
                <w:kern w:val="0"/>
                <w:sz w:val="24"/>
                <w:highlight w:val="none"/>
              </w:rPr>
            </w:pPr>
            <w:r>
              <w:rPr>
                <w:rFonts w:hint="eastAsia" w:cs="宋体" w:asciiTheme="majorEastAsia" w:hAnsiTheme="majorEastAsia" w:eastAsiaTheme="majorEastAsia"/>
                <w:b/>
                <w:kern w:val="0"/>
                <w:sz w:val="24"/>
                <w:highlight w:val="none"/>
              </w:rPr>
              <w:t>含税总报价</w:t>
            </w:r>
          </w:p>
          <w:p w14:paraId="7C56F1CA">
            <w:pPr>
              <w:spacing w:line="500" w:lineRule="exact"/>
              <w:jc w:val="both"/>
              <w:rPr>
                <w:rFonts w:cs="宋体" w:asciiTheme="majorEastAsia" w:hAnsiTheme="majorEastAsia" w:eastAsiaTheme="majorEastAsia"/>
                <w:color w:val="FF0000"/>
                <w:kern w:val="0"/>
                <w:szCs w:val="21"/>
                <w:highlight w:val="none"/>
              </w:rPr>
            </w:pPr>
            <w:r>
              <w:rPr>
                <w:rFonts w:hint="eastAsia" w:cs="宋体" w:asciiTheme="majorEastAsia" w:hAnsiTheme="majorEastAsia" w:eastAsiaTheme="majorEastAsia"/>
                <w:kern w:val="0"/>
                <w:szCs w:val="21"/>
                <w:highlight w:val="none"/>
              </w:rPr>
              <w:t>（含</w:t>
            </w:r>
            <w:r>
              <w:rPr>
                <w:rFonts w:hint="eastAsia" w:cs="宋体" w:asciiTheme="majorEastAsia" w:hAnsiTheme="majorEastAsia" w:eastAsiaTheme="majorEastAsia"/>
                <w:kern w:val="0"/>
                <w:szCs w:val="21"/>
                <w:highlight w:val="none"/>
                <w:u w:val="single"/>
                <w:lang w:val="en-US" w:eastAsia="zh-CN"/>
              </w:rPr>
              <w:t xml:space="preserve">   %</w:t>
            </w:r>
            <w:r>
              <w:rPr>
                <w:rFonts w:hint="eastAsia" w:cs="宋体" w:asciiTheme="majorEastAsia" w:hAnsiTheme="majorEastAsia" w:eastAsiaTheme="majorEastAsia"/>
                <w:kern w:val="0"/>
                <w:szCs w:val="21"/>
                <w:highlight w:val="none"/>
              </w:rPr>
              <w:t>增值税专用发票）</w:t>
            </w:r>
          </w:p>
        </w:tc>
        <w:tc>
          <w:tcPr>
            <w:tcW w:w="6560" w:type="dxa"/>
            <w:tcBorders>
              <w:top w:val="single" w:color="auto" w:sz="4" w:space="0"/>
              <w:left w:val="single" w:color="auto" w:sz="4" w:space="0"/>
              <w:right w:val="single" w:color="auto" w:sz="4" w:space="0"/>
            </w:tcBorders>
            <w:vAlign w:val="center"/>
          </w:tcPr>
          <w:p w14:paraId="5E494B77">
            <w:pPr>
              <w:widowControl/>
              <w:spacing w:line="520" w:lineRule="exact"/>
              <w:rPr>
                <w:rFonts w:ascii="宋体" w:hAnsi="宋体" w:cs="宋体"/>
                <w:kern w:val="0"/>
                <w:sz w:val="24"/>
                <w:highlight w:val="none"/>
                <w:u w:val="single"/>
              </w:rPr>
            </w:pPr>
            <w:r>
              <w:rPr>
                <w:rFonts w:hint="eastAsia" w:ascii="宋体" w:hAnsi="宋体" w:cs="宋体"/>
                <w:kern w:val="0"/>
                <w:sz w:val="24"/>
                <w:highlight w:val="none"/>
              </w:rPr>
              <w:t>大写：</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元；</w:t>
            </w:r>
          </w:p>
          <w:p w14:paraId="5764190D">
            <w:pPr>
              <w:widowControl/>
              <w:spacing w:line="500" w:lineRule="exact"/>
              <w:rPr>
                <w:rFonts w:cs="宋体" w:asciiTheme="majorEastAsia" w:hAnsiTheme="majorEastAsia" w:eastAsiaTheme="majorEastAsia"/>
                <w:kern w:val="0"/>
                <w:sz w:val="24"/>
                <w:highlight w:val="none"/>
              </w:rPr>
            </w:pPr>
            <w:r>
              <w:rPr>
                <w:rFonts w:hint="eastAsia" w:ascii="宋体" w:hAnsi="宋体" w:cs="宋体"/>
                <w:kern w:val="0"/>
                <w:sz w:val="24"/>
                <w:highlight w:val="none"/>
              </w:rPr>
              <w:t>小写：￥</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元；</w:t>
            </w:r>
          </w:p>
        </w:tc>
      </w:tr>
      <w:tr w14:paraId="376D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14:paraId="73AEE74B">
            <w:pPr>
              <w:widowControl/>
              <w:spacing w:line="520" w:lineRule="exact"/>
              <w:rPr>
                <w:rFonts w:ascii="宋体" w:hAnsi="Calibri" w:eastAsia="宋体" w:cs="Times New Roman"/>
                <w:b/>
                <w:color w:val="000000"/>
                <w:sz w:val="24"/>
                <w:highlight w:val="none"/>
              </w:rPr>
            </w:pPr>
            <w:r>
              <w:rPr>
                <w:rFonts w:hint="eastAsia" w:ascii="宋体"/>
                <w:b/>
                <w:color w:val="000000"/>
                <w:sz w:val="24"/>
                <w:highlight w:val="none"/>
              </w:rPr>
              <w:t>注：1.含税</w:t>
            </w:r>
            <w:r>
              <w:rPr>
                <w:rFonts w:hint="eastAsia" w:ascii="宋体" w:hAnsi="Calibri" w:eastAsia="宋体" w:cs="Times New Roman"/>
                <w:b/>
                <w:color w:val="000000"/>
                <w:sz w:val="24"/>
                <w:highlight w:val="none"/>
              </w:rPr>
              <w:t>总报价不得高于本项目概算</w:t>
            </w:r>
            <w:r>
              <w:rPr>
                <w:rFonts w:hint="eastAsia" w:ascii="宋体" w:hAnsi="Calibri" w:eastAsia="宋体" w:cs="Times New Roman"/>
                <w:b/>
                <w:sz w:val="24"/>
                <w:highlight w:val="none"/>
              </w:rPr>
              <w:t>（</w:t>
            </w:r>
            <w:r>
              <w:rPr>
                <w:rFonts w:hint="eastAsia" w:ascii="宋体" w:hAnsi="Calibri" w:eastAsia="宋体" w:cs="Times New Roman"/>
                <w:b/>
                <w:color w:val="0000FF"/>
                <w:sz w:val="24"/>
                <w:highlight w:val="none"/>
              </w:rPr>
              <w:t>人民币</w:t>
            </w:r>
            <w:r>
              <w:rPr>
                <w:rFonts w:hint="eastAsia" w:cs="宋体" w:asciiTheme="minorEastAsia" w:hAnsiTheme="minorEastAsia"/>
                <w:b/>
                <w:color w:val="0000FF"/>
                <w:kern w:val="0"/>
                <w:sz w:val="24"/>
                <w:highlight w:val="none"/>
                <w:u w:val="single"/>
              </w:rPr>
              <w:t xml:space="preserve">  </w:t>
            </w:r>
            <w:r>
              <w:rPr>
                <w:rFonts w:hint="eastAsia" w:ascii="宋体" w:hAnsi="Calibri" w:eastAsia="宋体" w:cs="Times New Roman"/>
                <w:b/>
                <w:color w:val="0000FF"/>
                <w:sz w:val="24"/>
                <w:highlight w:val="none"/>
                <w:u w:val="single"/>
              </w:rPr>
              <w:t>34459.6</w:t>
            </w:r>
            <w:r>
              <w:rPr>
                <w:rFonts w:hint="eastAsia" w:ascii="宋体" w:hAnsi="Calibri" w:eastAsia="宋体" w:cs="Times New Roman"/>
                <w:b/>
                <w:color w:val="0000FF"/>
                <w:sz w:val="24"/>
                <w:highlight w:val="none"/>
                <w:u w:val="single"/>
                <w:lang w:val="en-US" w:eastAsia="zh-CN"/>
              </w:rPr>
              <w:t>0</w:t>
            </w:r>
            <w:r>
              <w:rPr>
                <w:rFonts w:hint="eastAsia" w:ascii="宋体" w:hAnsi="Calibri" w:eastAsia="宋体" w:cs="Times New Roman"/>
                <w:b/>
                <w:color w:val="0000FF"/>
                <w:sz w:val="24"/>
                <w:highlight w:val="none"/>
              </w:rPr>
              <w:t xml:space="preserve"> </w:t>
            </w:r>
            <w:r>
              <w:rPr>
                <w:rFonts w:hint="eastAsia" w:ascii="宋体" w:hAnsi="宋体" w:eastAsia="宋体" w:cs="宋体"/>
                <w:b/>
                <w:color w:val="0000FF"/>
                <w:kern w:val="0"/>
                <w:sz w:val="24"/>
                <w:highlight w:val="none"/>
              </w:rPr>
              <w:t>元</w:t>
            </w:r>
            <w:r>
              <w:rPr>
                <w:rFonts w:hint="eastAsia" w:ascii="宋体" w:hAnsi="Calibri" w:eastAsia="宋体" w:cs="Times New Roman"/>
                <w:b/>
                <w:sz w:val="24"/>
                <w:highlight w:val="none"/>
              </w:rPr>
              <w:t>）</w:t>
            </w:r>
            <w:r>
              <w:rPr>
                <w:rFonts w:hint="eastAsia" w:ascii="宋体" w:hAnsi="Calibri" w:eastAsia="宋体" w:cs="Times New Roman"/>
                <w:b/>
                <w:color w:val="0000FF"/>
                <w:sz w:val="24"/>
                <w:highlight w:val="none"/>
              </w:rPr>
              <w:t>，</w:t>
            </w:r>
            <w:r>
              <w:rPr>
                <w:rFonts w:hint="eastAsia" w:ascii="宋体" w:hAnsi="Calibri" w:eastAsia="宋体" w:cs="Times New Roman"/>
                <w:b/>
                <w:color w:val="000000"/>
                <w:sz w:val="24"/>
                <w:highlight w:val="none"/>
              </w:rPr>
              <w:t>否则视为无效报价；</w:t>
            </w:r>
          </w:p>
          <w:p w14:paraId="0C9C2D7C">
            <w:pPr>
              <w:widowControl/>
              <w:spacing w:line="520" w:lineRule="exact"/>
              <w:rPr>
                <w:rFonts w:cs="宋体" w:asciiTheme="majorEastAsia" w:hAnsiTheme="majorEastAsia" w:eastAsiaTheme="majorEastAsia"/>
                <w:b/>
                <w:kern w:val="0"/>
                <w:sz w:val="24"/>
                <w:highlight w:val="none"/>
              </w:rPr>
            </w:pPr>
            <w:r>
              <w:rPr>
                <w:rFonts w:hint="eastAsia" w:ascii="宋体" w:hAnsi="Calibri" w:eastAsia="宋体" w:cs="Times New Roman"/>
                <w:b/>
                <w:color w:val="000000"/>
                <w:sz w:val="24"/>
                <w:highlight w:val="none"/>
              </w:rPr>
              <w:t xml:space="preserve">    2.如报价人税率不同，以不含税报价作为有效最低价的评审依据，成交后以对应含税报价签订合同；</w:t>
            </w:r>
          </w:p>
        </w:tc>
      </w:tr>
    </w:tbl>
    <w:p w14:paraId="09C9D690">
      <w:pPr>
        <w:widowControl/>
        <w:spacing w:line="800" w:lineRule="exact"/>
        <w:jc w:val="left"/>
        <w:rPr>
          <w:rFonts w:cs="宋体" w:asciiTheme="majorEastAsia" w:hAnsiTheme="majorEastAsia" w:eastAsiaTheme="majorEastAsia"/>
          <w:sz w:val="24"/>
        </w:rPr>
      </w:pPr>
      <w:r>
        <w:rPr>
          <w:rFonts w:hint="eastAsia" w:cs="宋体" w:asciiTheme="majorEastAsia" w:hAnsiTheme="majorEastAsia" w:eastAsiaTheme="majorEastAsia"/>
          <w:b/>
          <w:kern w:val="0"/>
          <w:sz w:val="24"/>
          <w:highlight w:val="none"/>
        </w:rPr>
        <w:t xml:space="preserve">   报价人（盖章</w:t>
      </w:r>
      <w:r>
        <w:rPr>
          <w:rFonts w:hint="eastAsia" w:cs="宋体" w:asciiTheme="majorEastAsia" w:hAnsiTheme="majorEastAsia" w:eastAsiaTheme="majorEastAsia"/>
          <w:b/>
          <w:kern w:val="0"/>
          <w:sz w:val="24"/>
        </w:rPr>
        <w:t>）：</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2025年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31813B70">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14:paraId="1FA6CAB3">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14:paraId="5844ADC1">
      <w:pPr>
        <w:spacing w:line="440" w:lineRule="exact"/>
        <w:rPr>
          <w:rFonts w:asciiTheme="minorEastAsia" w:hAnsiTheme="minorEastAsia"/>
          <w:sz w:val="24"/>
        </w:rPr>
      </w:pPr>
    </w:p>
    <w:p w14:paraId="193EF777">
      <w:pPr>
        <w:spacing w:line="440" w:lineRule="exact"/>
        <w:jc w:val="center"/>
        <w:rPr>
          <w:rFonts w:cs="宋体" w:asciiTheme="minorEastAsia" w:hAnsiTheme="minorEastAsia"/>
          <w:b/>
          <w:kern w:val="0"/>
          <w:sz w:val="24"/>
        </w:rPr>
      </w:pPr>
    </w:p>
    <w:p w14:paraId="0DF6E8FF">
      <w:pPr>
        <w:spacing w:line="440" w:lineRule="exact"/>
        <w:jc w:val="center"/>
        <w:rPr>
          <w:rFonts w:cs="宋体" w:asciiTheme="minorEastAsia" w:hAnsiTheme="minorEastAsia"/>
          <w:b/>
          <w:kern w:val="0"/>
          <w:sz w:val="24"/>
        </w:rPr>
      </w:pPr>
      <w:r>
        <w:rPr>
          <w:rFonts w:hint="eastAsia" w:cs="宋体" w:asciiTheme="minorEastAsia" w:hAnsiTheme="minorEastAsia"/>
          <w:b/>
          <w:kern w:val="0"/>
          <w:sz w:val="24"/>
        </w:rPr>
        <w:t>格式7分项报价表</w:t>
      </w:r>
    </w:p>
    <w:p w14:paraId="57C93995">
      <w:pPr>
        <w:spacing w:line="440" w:lineRule="exact"/>
        <w:jc w:val="center"/>
        <w:rPr>
          <w:rFonts w:cs="宋体" w:asciiTheme="minorEastAsia" w:hAnsiTheme="minorEastAsia"/>
          <w:b/>
          <w:kern w:val="0"/>
          <w:sz w:val="24"/>
        </w:rPr>
      </w:pPr>
    </w:p>
    <w:tbl>
      <w:tblPr>
        <w:tblStyle w:val="13"/>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4"/>
        <w:gridCol w:w="5715"/>
      </w:tblGrid>
      <w:tr w14:paraId="785B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054" w:type="dxa"/>
            <w:vAlign w:val="center"/>
          </w:tcPr>
          <w:p w14:paraId="50BB547B">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5715" w:type="dxa"/>
            <w:vAlign w:val="center"/>
          </w:tcPr>
          <w:p w14:paraId="4A5132B7">
            <w:pPr>
              <w:spacing w:line="500" w:lineRule="exact"/>
              <w:jc w:val="center"/>
              <w:rPr>
                <w:rFonts w:hint="eastAsia" w:cs="宋体" w:asciiTheme="majorEastAsia" w:hAnsiTheme="majorEastAsia" w:eastAsiaTheme="majorEastAsia"/>
                <w:b/>
                <w:kern w:val="0"/>
                <w:sz w:val="24"/>
                <w:lang w:eastAsia="zh-CN"/>
              </w:rPr>
            </w:pPr>
            <w:r>
              <w:rPr>
                <w:rFonts w:hint="eastAsia" w:cs="宋体" w:asciiTheme="majorEastAsia" w:hAnsiTheme="majorEastAsia" w:eastAsiaTheme="majorEastAsia"/>
                <w:b/>
                <w:kern w:val="0"/>
                <w:sz w:val="24"/>
                <w:lang w:eastAsia="zh-CN"/>
              </w:rPr>
              <w:t>宿州百大门头亮化改造项目（三次）</w:t>
            </w:r>
          </w:p>
        </w:tc>
      </w:tr>
      <w:tr w14:paraId="65A6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054" w:type="dxa"/>
            <w:vAlign w:val="center"/>
          </w:tcPr>
          <w:p w14:paraId="39627093">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5715" w:type="dxa"/>
            <w:vAlign w:val="center"/>
          </w:tcPr>
          <w:p w14:paraId="62C0CCF7">
            <w:pPr>
              <w:widowControl/>
              <w:tabs>
                <w:tab w:val="left" w:pos="420"/>
              </w:tabs>
              <w:spacing w:line="500" w:lineRule="exact"/>
              <w:jc w:val="left"/>
              <w:rPr>
                <w:sz w:val="28"/>
                <w:szCs w:val="28"/>
              </w:rPr>
            </w:pPr>
            <w:r>
              <w:rPr>
                <w:rFonts w:hint="eastAsia" w:cs="宋体" w:asciiTheme="majorEastAsia" w:hAnsiTheme="majorEastAsia" w:eastAsiaTheme="majorEastAsia"/>
                <w:b/>
                <w:kern w:val="0"/>
                <w:sz w:val="24"/>
              </w:rPr>
              <w:t xml:space="preserve">                 </w:t>
            </w:r>
            <w:r>
              <w:rPr>
                <w:rFonts w:hint="eastAsia" w:cs="宋体" w:asciiTheme="minorEastAsia" w:hAnsiTheme="minorEastAsia"/>
                <w:spacing w:val="-4"/>
                <w:kern w:val="0"/>
                <w:sz w:val="24"/>
              </w:rPr>
              <w:t>2025BDJTGC00033</w:t>
            </w:r>
            <w:r>
              <w:rPr>
                <w:rFonts w:hint="eastAsia" w:cs="宋体" w:asciiTheme="majorEastAsia" w:hAnsiTheme="majorEastAsia" w:eastAsiaTheme="majorEastAsia"/>
                <w:b/>
                <w:kern w:val="0"/>
                <w:sz w:val="24"/>
              </w:rPr>
              <w:t xml:space="preserve">      </w:t>
            </w:r>
          </w:p>
        </w:tc>
      </w:tr>
      <w:tr w14:paraId="2574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054" w:type="dxa"/>
            <w:vAlign w:val="center"/>
          </w:tcPr>
          <w:p w14:paraId="00DFD989">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5715" w:type="dxa"/>
            <w:vAlign w:val="center"/>
          </w:tcPr>
          <w:p w14:paraId="0323385E">
            <w:pPr>
              <w:widowControl/>
              <w:tabs>
                <w:tab w:val="left" w:pos="420"/>
              </w:tabs>
              <w:spacing w:line="500" w:lineRule="exact"/>
              <w:jc w:val="center"/>
              <w:rPr>
                <w:sz w:val="28"/>
                <w:szCs w:val="28"/>
              </w:rPr>
            </w:pPr>
          </w:p>
        </w:tc>
      </w:tr>
      <w:tr w14:paraId="7C06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054" w:type="dxa"/>
          </w:tcPr>
          <w:p w14:paraId="3DD11D25">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项目1：西门门头亮化单价（元/项）</w:t>
            </w:r>
          </w:p>
        </w:tc>
        <w:tc>
          <w:tcPr>
            <w:tcW w:w="5715" w:type="dxa"/>
          </w:tcPr>
          <w:p w14:paraId="738CBDCB">
            <w:pPr>
              <w:ind w:firstLine="1680" w:firstLineChars="600"/>
              <w:rPr>
                <w:sz w:val="28"/>
                <w:szCs w:val="28"/>
                <w:u w:val="single"/>
              </w:rPr>
            </w:pPr>
          </w:p>
          <w:p w14:paraId="4F0D71BD">
            <w:pPr>
              <w:ind w:firstLine="1680" w:firstLineChars="600"/>
              <w:rPr>
                <w:rFonts w:hint="eastAsia"/>
                <w:sz w:val="28"/>
                <w:szCs w:val="28"/>
              </w:rPr>
            </w:pPr>
            <w:r>
              <w:rPr>
                <w:rFonts w:hint="eastAsia"/>
                <w:sz w:val="28"/>
                <w:szCs w:val="28"/>
                <w:u w:val="single"/>
              </w:rPr>
              <w:t xml:space="preserve">            </w:t>
            </w:r>
            <w:r>
              <w:rPr>
                <w:rFonts w:hint="eastAsia"/>
                <w:sz w:val="28"/>
                <w:szCs w:val="28"/>
              </w:rPr>
              <w:t>元/项</w:t>
            </w:r>
          </w:p>
          <w:p w14:paraId="0366BD0D">
            <w:pPr>
              <w:numPr>
                <w:ilvl w:val="0"/>
                <w:numId w:val="4"/>
              </w:numPr>
              <w:rPr>
                <w:rFonts w:hint="eastAsia"/>
                <w:sz w:val="24"/>
              </w:rPr>
            </w:pPr>
            <w:r>
              <w:rPr>
                <w:rFonts w:hint="eastAsia" w:cs="宋体" w:asciiTheme="minorEastAsia" w:hAnsiTheme="minorEastAsia"/>
                <w:kern w:val="0"/>
                <w:sz w:val="24"/>
                <w:u w:val="none"/>
                <w:lang w:val="en-US" w:eastAsia="zh-CN"/>
              </w:rPr>
              <w:t>灯珠</w:t>
            </w:r>
            <w:r>
              <w:rPr>
                <w:rFonts w:hint="eastAsia" w:cs="宋体" w:asciiTheme="minorEastAsia" w:hAnsiTheme="minorEastAsia"/>
                <w:kern w:val="0"/>
                <w:sz w:val="24"/>
                <w:u w:val="none"/>
              </w:rPr>
              <w:t>品牌</w:t>
            </w:r>
            <w:r>
              <w:rPr>
                <w:rFonts w:hint="eastAsia"/>
                <w:sz w:val="24"/>
              </w:rPr>
              <w:t>：台宏、蓝景、华灿</w:t>
            </w:r>
          </w:p>
          <w:p w14:paraId="05BE6DA6">
            <w:pPr>
              <w:numPr>
                <w:ilvl w:val="0"/>
                <w:numId w:val="4"/>
              </w:numPr>
              <w:rPr>
                <w:rFonts w:hint="eastAsia"/>
                <w:sz w:val="28"/>
                <w:szCs w:val="28"/>
              </w:rPr>
            </w:pPr>
            <w:r>
              <w:rPr>
                <w:rFonts w:hint="eastAsia"/>
                <w:sz w:val="24"/>
                <w:lang w:val="en-US" w:eastAsia="zh-CN"/>
              </w:rPr>
              <w:t>护导线</w:t>
            </w:r>
            <w:r>
              <w:rPr>
                <w:rFonts w:hint="eastAsia"/>
                <w:sz w:val="24"/>
              </w:rPr>
              <w:t>牌：正泰、绿宝、上上</w:t>
            </w:r>
          </w:p>
          <w:p w14:paraId="348C1CFA">
            <w:pPr>
              <w:numPr>
                <w:ilvl w:val="0"/>
                <w:numId w:val="4"/>
              </w:numPr>
              <w:rPr>
                <w:rFonts w:hint="eastAsia"/>
                <w:sz w:val="28"/>
                <w:szCs w:val="28"/>
              </w:rPr>
            </w:pPr>
            <w:r>
              <w:rPr>
                <w:rFonts w:hint="eastAsia"/>
                <w:sz w:val="24"/>
                <w:lang w:val="en-US" w:eastAsia="zh-CN"/>
              </w:rPr>
              <w:t>电气</w:t>
            </w:r>
            <w:r>
              <w:rPr>
                <w:rFonts w:hint="eastAsia"/>
                <w:sz w:val="24"/>
              </w:rPr>
              <w:t>品牌：正泰、人民、德力西</w:t>
            </w:r>
          </w:p>
        </w:tc>
      </w:tr>
      <w:tr w14:paraId="0CB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054" w:type="dxa"/>
          </w:tcPr>
          <w:p w14:paraId="4FAC71F7">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项目2：西门灯笼悬挂装置（元/项）</w:t>
            </w:r>
          </w:p>
        </w:tc>
        <w:tc>
          <w:tcPr>
            <w:tcW w:w="5715" w:type="dxa"/>
          </w:tcPr>
          <w:p w14:paraId="2B8F2B81">
            <w:pPr>
              <w:ind w:firstLine="1680" w:firstLineChars="600"/>
              <w:rPr>
                <w:sz w:val="28"/>
                <w:szCs w:val="28"/>
                <w:u w:val="single"/>
              </w:rPr>
            </w:pPr>
          </w:p>
          <w:p w14:paraId="675658BB">
            <w:pPr>
              <w:ind w:firstLine="1680" w:firstLineChars="600"/>
              <w:rPr>
                <w:sz w:val="28"/>
                <w:szCs w:val="28"/>
                <w:u w:val="single"/>
              </w:rPr>
            </w:pPr>
            <w:r>
              <w:rPr>
                <w:rFonts w:hint="eastAsia"/>
                <w:sz w:val="28"/>
                <w:szCs w:val="28"/>
                <w:u w:val="single"/>
              </w:rPr>
              <w:t xml:space="preserve">            </w:t>
            </w:r>
            <w:r>
              <w:rPr>
                <w:rFonts w:hint="eastAsia"/>
                <w:sz w:val="28"/>
                <w:szCs w:val="28"/>
              </w:rPr>
              <w:t>元/项</w:t>
            </w:r>
          </w:p>
        </w:tc>
      </w:tr>
      <w:tr w14:paraId="77A6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054" w:type="dxa"/>
          </w:tcPr>
          <w:p w14:paraId="7F4D8579">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项目3：A1门头改造（元/项）</w:t>
            </w:r>
          </w:p>
        </w:tc>
        <w:tc>
          <w:tcPr>
            <w:tcW w:w="5715" w:type="dxa"/>
          </w:tcPr>
          <w:p w14:paraId="74B498ED">
            <w:pPr>
              <w:ind w:firstLine="1680" w:firstLineChars="600"/>
              <w:rPr>
                <w:sz w:val="28"/>
                <w:szCs w:val="28"/>
                <w:u w:val="single"/>
              </w:rPr>
            </w:pPr>
          </w:p>
          <w:p w14:paraId="372FCFA0">
            <w:pPr>
              <w:ind w:firstLine="1680" w:firstLineChars="600"/>
              <w:rPr>
                <w:sz w:val="28"/>
                <w:szCs w:val="28"/>
                <w:u w:val="single"/>
              </w:rPr>
            </w:pPr>
            <w:r>
              <w:rPr>
                <w:rFonts w:hint="eastAsia"/>
                <w:sz w:val="28"/>
                <w:szCs w:val="28"/>
                <w:u w:val="single"/>
              </w:rPr>
              <w:t xml:space="preserve">            </w:t>
            </w:r>
            <w:r>
              <w:rPr>
                <w:rFonts w:hint="eastAsia"/>
                <w:sz w:val="28"/>
                <w:szCs w:val="28"/>
              </w:rPr>
              <w:t>元/项</w:t>
            </w:r>
          </w:p>
        </w:tc>
      </w:tr>
      <w:tr w14:paraId="16ED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054" w:type="dxa"/>
            <w:vAlign w:val="center"/>
          </w:tcPr>
          <w:p w14:paraId="2D85FBA0">
            <w:pPr>
              <w:spacing w:line="500" w:lineRule="exact"/>
              <w:jc w:val="center"/>
              <w:rPr>
                <w:rFonts w:hint="eastAsia" w:cs="宋体" w:asciiTheme="majorEastAsia" w:hAnsiTheme="majorEastAsia" w:eastAsiaTheme="majorEastAsia"/>
                <w:color w:val="FF0000"/>
                <w:kern w:val="0"/>
                <w:sz w:val="21"/>
                <w:szCs w:val="21"/>
                <w:lang w:val="en-US" w:eastAsia="zh-CN" w:bidi="ar-SA"/>
              </w:rPr>
            </w:pPr>
            <w:r>
              <w:rPr>
                <w:rFonts w:hint="eastAsia" w:cs="宋体" w:asciiTheme="majorEastAsia" w:hAnsiTheme="majorEastAsia" w:eastAsiaTheme="majorEastAsia"/>
                <w:b/>
                <w:kern w:val="0"/>
                <w:sz w:val="24"/>
              </w:rPr>
              <w:t>不含税总报价</w:t>
            </w:r>
          </w:p>
        </w:tc>
        <w:tc>
          <w:tcPr>
            <w:tcW w:w="5715" w:type="dxa"/>
            <w:vAlign w:val="center"/>
          </w:tcPr>
          <w:p w14:paraId="6338DCAA">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14:paraId="3A85A807">
            <w:pPr>
              <w:widowControl/>
              <w:spacing w:line="500" w:lineRule="exact"/>
              <w:rPr>
                <w:rFonts w:hint="eastAsia" w:cs="宋体" w:asciiTheme="majorEastAsia" w:hAnsiTheme="majorEastAsia" w:eastAsiaTheme="majorEastAsia"/>
                <w:kern w:val="0"/>
                <w:sz w:val="24"/>
                <w:szCs w:val="24"/>
                <w:lang w:val="en-US" w:eastAsia="zh-CN" w:bidi="ar-SA"/>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052E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054" w:type="dxa"/>
          </w:tcPr>
          <w:p w14:paraId="6027CC77">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14:paraId="028BBC23">
            <w:pPr>
              <w:jc w:val="center"/>
              <w:rPr>
                <w:b/>
                <w:bCs/>
                <w:sz w:val="28"/>
                <w:szCs w:val="28"/>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highlight w:val="yellow"/>
                <w:u w:val="single"/>
                <w:lang w:val="en-US" w:eastAsia="zh-CN"/>
              </w:rPr>
              <w:t xml:space="preserve">   %</w:t>
            </w:r>
            <w:r>
              <w:rPr>
                <w:rFonts w:hint="eastAsia" w:cs="宋体" w:asciiTheme="majorEastAsia" w:hAnsiTheme="majorEastAsia" w:eastAsiaTheme="majorEastAsia"/>
                <w:kern w:val="0"/>
                <w:szCs w:val="21"/>
              </w:rPr>
              <w:t>增值税专用发票）</w:t>
            </w:r>
          </w:p>
        </w:tc>
        <w:tc>
          <w:tcPr>
            <w:tcW w:w="5715" w:type="dxa"/>
          </w:tcPr>
          <w:p w14:paraId="51670834">
            <w:pPr>
              <w:ind w:firstLine="840" w:firstLineChars="300"/>
              <w:rPr>
                <w:sz w:val="28"/>
                <w:szCs w:val="28"/>
              </w:rPr>
            </w:pPr>
          </w:p>
          <w:p w14:paraId="37FE660F">
            <w:pPr>
              <w:ind w:firstLine="723" w:firstLineChars="300"/>
              <w:rPr>
                <w:sz w:val="28"/>
                <w:szCs w:val="28"/>
              </w:rPr>
            </w:pPr>
            <w:r>
              <w:rPr>
                <w:rFonts w:hint="eastAsia" w:cs="宋体" w:asciiTheme="majorEastAsia" w:hAnsiTheme="majorEastAsia" w:eastAsiaTheme="majorEastAsia"/>
                <w:b/>
                <w:kern w:val="0"/>
                <w:sz w:val="24"/>
              </w:rPr>
              <w:t>项目1+项目2+项目3</w:t>
            </w:r>
            <w:r>
              <w:rPr>
                <w:rFonts w:hint="eastAsia"/>
                <w:sz w:val="28"/>
                <w:szCs w:val="28"/>
              </w:rPr>
              <w:t>=</w:t>
            </w:r>
            <w:r>
              <w:rPr>
                <w:rFonts w:hint="eastAsia"/>
                <w:sz w:val="28"/>
                <w:szCs w:val="28"/>
                <w:u w:val="single"/>
              </w:rPr>
              <w:t xml:space="preserve">         </w:t>
            </w:r>
            <w:r>
              <w:rPr>
                <w:rFonts w:hint="eastAsia"/>
                <w:sz w:val="28"/>
                <w:szCs w:val="28"/>
              </w:rPr>
              <w:t>元</w:t>
            </w:r>
          </w:p>
        </w:tc>
      </w:tr>
    </w:tbl>
    <w:p w14:paraId="5D723ABE">
      <w:pPr>
        <w:spacing w:line="440" w:lineRule="exact"/>
        <w:jc w:val="left"/>
        <w:rPr>
          <w:rFonts w:cs="宋体" w:asciiTheme="minorEastAsia" w:hAnsiTheme="minorEastAsia"/>
          <w:b/>
          <w:kern w:val="0"/>
          <w:sz w:val="24"/>
        </w:rPr>
      </w:pPr>
      <w:r>
        <w:rPr>
          <w:rFonts w:hint="eastAsia"/>
          <w:sz w:val="24"/>
        </w:rPr>
        <w:t>备注：报价人请根据户外发光广告位方案及技术要求和现场安装条件综合报价</w:t>
      </w:r>
      <w:r>
        <w:rPr>
          <w:rFonts w:hint="eastAsia"/>
          <w:sz w:val="24"/>
          <w:lang w:eastAsia="zh-CN"/>
        </w:rPr>
        <w:t>（</w:t>
      </w:r>
      <w:r>
        <w:rPr>
          <w:rFonts w:hint="eastAsia"/>
          <w:sz w:val="24"/>
          <w:lang w:val="en-US" w:eastAsia="zh-CN"/>
        </w:rPr>
        <w:t>上述推荐品牌，报价时须选择一种</w:t>
      </w:r>
      <w:r>
        <w:rPr>
          <w:rFonts w:hint="eastAsia"/>
          <w:sz w:val="24"/>
          <w:lang w:eastAsia="zh-CN"/>
        </w:rPr>
        <w:t>）</w:t>
      </w:r>
      <w:r>
        <w:rPr>
          <w:rFonts w:hint="eastAsia"/>
          <w:sz w:val="24"/>
        </w:rPr>
        <w:t>，报价包含人工费、材料费、机械、施工措施费及税费等全部费用。方案中未考虑全面的材料或施工程序等，请报价人自行考虑后综合报价，中标后不予调整。材料标准不低于技术要求，施工质量符合施工规范标准。</w:t>
      </w:r>
    </w:p>
    <w:p w14:paraId="2CE771A6">
      <w:pPr>
        <w:spacing w:line="440" w:lineRule="exact"/>
        <w:jc w:val="center"/>
        <w:rPr>
          <w:rFonts w:cs="宋体" w:asciiTheme="minorEastAsia" w:hAnsiTheme="minorEastAsia"/>
          <w:b/>
          <w:kern w:val="0"/>
          <w:sz w:val="24"/>
        </w:rPr>
      </w:pPr>
    </w:p>
    <w:p w14:paraId="65998001">
      <w:pPr>
        <w:spacing w:line="440" w:lineRule="exact"/>
        <w:rPr>
          <w:rFonts w:asciiTheme="minorEastAsia" w:hAnsiTheme="minorEastAsia"/>
          <w:sz w:val="24"/>
        </w:rPr>
      </w:pPr>
    </w:p>
    <w:p w14:paraId="0954879E">
      <w:pPr>
        <w:spacing w:line="440" w:lineRule="exact"/>
        <w:rPr>
          <w:rFonts w:ascii="宋体" w:hAnsi="宋体"/>
          <w:sz w:val="24"/>
        </w:rPr>
      </w:pPr>
    </w:p>
    <w:p w14:paraId="46AE73C6">
      <w:pPr>
        <w:spacing w:line="440" w:lineRule="exact"/>
        <w:rPr>
          <w:rFonts w:ascii="宋体" w:hAnsi="宋体"/>
          <w:sz w:val="24"/>
        </w:rPr>
      </w:pPr>
    </w:p>
    <w:p w14:paraId="5C508EA1">
      <w:pPr>
        <w:spacing w:line="440" w:lineRule="exact"/>
        <w:rPr>
          <w:rFonts w:ascii="宋体" w:hAnsi="宋体"/>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0ECE">
    <w:pPr>
      <w:pStyle w:val="10"/>
      <w:framePr w:wrap="around" w:vAnchor="text" w:hAnchor="margin" w:xAlign="center" w:y="1"/>
      <w:rPr>
        <w:rStyle w:val="15"/>
      </w:rPr>
    </w:pPr>
  </w:p>
  <w:p w14:paraId="2BFD94BD">
    <w:pPr>
      <w:pStyle w:val="10"/>
      <w:framePr w:wrap="around" w:vAnchor="text" w:hAnchor="margin" w:xAlign="center" w:y="1"/>
      <w:rPr>
        <w:rStyle w:val="15"/>
      </w:rPr>
    </w:pPr>
  </w:p>
  <w:p w14:paraId="5875D416">
    <w:pPr>
      <w:pStyle w:val="1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20</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2512C">
    <w:pPr>
      <w:pStyle w:val="10"/>
      <w:framePr w:wrap="around" w:vAnchor="text" w:hAnchor="margin" w:xAlign="center" w:y="1"/>
      <w:rPr>
        <w:rStyle w:val="15"/>
      </w:rPr>
    </w:pPr>
    <w:r>
      <w:fldChar w:fldCharType="begin"/>
    </w:r>
    <w:r>
      <w:rPr>
        <w:rStyle w:val="15"/>
      </w:rPr>
      <w:instrText xml:space="preserve">PAGE  </w:instrText>
    </w:r>
    <w:r>
      <w:fldChar w:fldCharType="end"/>
    </w:r>
  </w:p>
  <w:p w14:paraId="6AAF9D6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B6C58">
    <w:pPr>
      <w:pStyle w:val="11"/>
      <w:jc w:val="both"/>
    </w:pPr>
    <w:r>
      <w:rPr>
        <w:rFonts w:hint="eastAsia"/>
      </w:rPr>
      <w:t>宿州百大农产品物流有限责任公司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F549B">
    <w:pPr>
      <w:pStyle w:val="11"/>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5E6FD"/>
    <w:multiLevelType w:val="singleLevel"/>
    <w:tmpl w:val="9EB5E6FD"/>
    <w:lvl w:ilvl="0" w:tentative="0">
      <w:start w:val="1"/>
      <w:numFmt w:val="decimal"/>
      <w:lvlText w:val="%1."/>
      <w:lvlJc w:val="left"/>
      <w:pPr>
        <w:tabs>
          <w:tab w:val="left" w:pos="312"/>
        </w:tabs>
      </w:pPr>
    </w:lvl>
  </w:abstractNum>
  <w:abstractNum w:abstractNumId="1">
    <w:nsid w:val="A26EDE7D"/>
    <w:multiLevelType w:val="singleLevel"/>
    <w:tmpl w:val="A26EDE7D"/>
    <w:lvl w:ilvl="0" w:tentative="0">
      <w:start w:val="5"/>
      <w:numFmt w:val="chineseCounting"/>
      <w:suff w:val="nothing"/>
      <w:lvlText w:val="%1、"/>
      <w:lvlJc w:val="left"/>
      <w:rPr>
        <w:rFonts w:hint="eastAsia"/>
      </w:rPr>
    </w:lvl>
  </w:abstractNum>
  <w:abstractNum w:abstractNumId="2">
    <w:nsid w:val="21348D86"/>
    <w:multiLevelType w:val="singleLevel"/>
    <w:tmpl w:val="21348D86"/>
    <w:lvl w:ilvl="0" w:tentative="0">
      <w:start w:val="1"/>
      <w:numFmt w:val="decimal"/>
      <w:lvlText w:val="%1."/>
      <w:lvlJc w:val="left"/>
      <w:pPr>
        <w:tabs>
          <w:tab w:val="left" w:pos="312"/>
        </w:tabs>
        <w:ind w:left="480" w:firstLine="0"/>
      </w:pPr>
    </w:lvl>
  </w:abstractNum>
  <w:abstractNum w:abstractNumId="3">
    <w:nsid w:val="65ADB65B"/>
    <w:multiLevelType w:val="singleLevel"/>
    <w:tmpl w:val="65ADB65B"/>
    <w:lvl w:ilvl="0" w:tentative="0">
      <w:start w:val="1"/>
      <w:numFmt w:val="chineseCounting"/>
      <w:suff w:val="nothing"/>
      <w:lvlText w:val="%1、"/>
      <w:lvlJc w:val="left"/>
      <w:pPr>
        <w:ind w:left="12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NDIwODEwMDUxN2IzNTk5YzBlOGM1N2MyYTFhNTk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27CB1"/>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D0600"/>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C28"/>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88A"/>
    <w:rsid w:val="005C0BCD"/>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3406"/>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2BB"/>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A7CA7"/>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1788"/>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87147"/>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725BE"/>
    <w:rsid w:val="00E81AD1"/>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4DB6"/>
    <w:rsid w:val="00FA5700"/>
    <w:rsid w:val="00FA6FE7"/>
    <w:rsid w:val="00FA7D00"/>
    <w:rsid w:val="00FB0AD5"/>
    <w:rsid w:val="00FB236D"/>
    <w:rsid w:val="00FB4547"/>
    <w:rsid w:val="00FC0283"/>
    <w:rsid w:val="00FC4DB9"/>
    <w:rsid w:val="00FD1598"/>
    <w:rsid w:val="00FD1C2E"/>
    <w:rsid w:val="00FD5066"/>
    <w:rsid w:val="00FD528D"/>
    <w:rsid w:val="00FD7DF4"/>
    <w:rsid w:val="00FE73C6"/>
    <w:rsid w:val="00FF1A65"/>
    <w:rsid w:val="00FF34BC"/>
    <w:rsid w:val="00FF74EC"/>
    <w:rsid w:val="00FF7F3E"/>
    <w:rsid w:val="00FF7FB6"/>
    <w:rsid w:val="01161381"/>
    <w:rsid w:val="014C4DA3"/>
    <w:rsid w:val="014F03EF"/>
    <w:rsid w:val="015679D0"/>
    <w:rsid w:val="01A71FD9"/>
    <w:rsid w:val="01AF70E0"/>
    <w:rsid w:val="01BD13FF"/>
    <w:rsid w:val="01CE2F41"/>
    <w:rsid w:val="01DA23AF"/>
    <w:rsid w:val="01EA0118"/>
    <w:rsid w:val="01EF3859"/>
    <w:rsid w:val="01FF3BC3"/>
    <w:rsid w:val="02025461"/>
    <w:rsid w:val="02094A42"/>
    <w:rsid w:val="02290C40"/>
    <w:rsid w:val="02447828"/>
    <w:rsid w:val="025D4D8E"/>
    <w:rsid w:val="02663C42"/>
    <w:rsid w:val="026659F0"/>
    <w:rsid w:val="02906F11"/>
    <w:rsid w:val="02936A01"/>
    <w:rsid w:val="029370C7"/>
    <w:rsid w:val="02BE3A7E"/>
    <w:rsid w:val="03217B69"/>
    <w:rsid w:val="033C49A3"/>
    <w:rsid w:val="03443858"/>
    <w:rsid w:val="034877EC"/>
    <w:rsid w:val="0365214C"/>
    <w:rsid w:val="03681C3C"/>
    <w:rsid w:val="03764359"/>
    <w:rsid w:val="037D56E7"/>
    <w:rsid w:val="041B280B"/>
    <w:rsid w:val="04504BAA"/>
    <w:rsid w:val="04575F38"/>
    <w:rsid w:val="045A77D7"/>
    <w:rsid w:val="047A5783"/>
    <w:rsid w:val="047F723D"/>
    <w:rsid w:val="048E56D2"/>
    <w:rsid w:val="04C918E2"/>
    <w:rsid w:val="04D8694E"/>
    <w:rsid w:val="04EB6681"/>
    <w:rsid w:val="05017C52"/>
    <w:rsid w:val="05031C1C"/>
    <w:rsid w:val="0506170D"/>
    <w:rsid w:val="050E411D"/>
    <w:rsid w:val="05290F57"/>
    <w:rsid w:val="053C6EDC"/>
    <w:rsid w:val="05445D91"/>
    <w:rsid w:val="054933A7"/>
    <w:rsid w:val="054E09BE"/>
    <w:rsid w:val="055204AE"/>
    <w:rsid w:val="05545FD4"/>
    <w:rsid w:val="05726DA2"/>
    <w:rsid w:val="05810A13"/>
    <w:rsid w:val="059960DD"/>
    <w:rsid w:val="05EE467B"/>
    <w:rsid w:val="062005AC"/>
    <w:rsid w:val="06277B8D"/>
    <w:rsid w:val="06292779"/>
    <w:rsid w:val="062D74EB"/>
    <w:rsid w:val="063B53E6"/>
    <w:rsid w:val="064029FC"/>
    <w:rsid w:val="06473D8B"/>
    <w:rsid w:val="065169B7"/>
    <w:rsid w:val="06691F53"/>
    <w:rsid w:val="066B2800"/>
    <w:rsid w:val="06BC6527"/>
    <w:rsid w:val="06C22A6C"/>
    <w:rsid w:val="06E45A7E"/>
    <w:rsid w:val="071D0352"/>
    <w:rsid w:val="071D4AEC"/>
    <w:rsid w:val="0768220B"/>
    <w:rsid w:val="0777244E"/>
    <w:rsid w:val="07A70F85"/>
    <w:rsid w:val="080674B8"/>
    <w:rsid w:val="080C0DE8"/>
    <w:rsid w:val="08275C22"/>
    <w:rsid w:val="0831084F"/>
    <w:rsid w:val="084560A8"/>
    <w:rsid w:val="08493DEA"/>
    <w:rsid w:val="08584E64"/>
    <w:rsid w:val="0870581B"/>
    <w:rsid w:val="089A6F19"/>
    <w:rsid w:val="08C16076"/>
    <w:rsid w:val="08CE609D"/>
    <w:rsid w:val="08D833C0"/>
    <w:rsid w:val="09212671"/>
    <w:rsid w:val="095C5D9F"/>
    <w:rsid w:val="09734E97"/>
    <w:rsid w:val="0983332C"/>
    <w:rsid w:val="09945539"/>
    <w:rsid w:val="09B039F5"/>
    <w:rsid w:val="09BB0D18"/>
    <w:rsid w:val="09BC683E"/>
    <w:rsid w:val="09D05E45"/>
    <w:rsid w:val="09F50422"/>
    <w:rsid w:val="09FC4E8C"/>
    <w:rsid w:val="0A037FC9"/>
    <w:rsid w:val="0A0D0E47"/>
    <w:rsid w:val="0A283ED3"/>
    <w:rsid w:val="0A2C5771"/>
    <w:rsid w:val="0A40121D"/>
    <w:rsid w:val="0A410AF1"/>
    <w:rsid w:val="0A51342A"/>
    <w:rsid w:val="0A5C0354"/>
    <w:rsid w:val="0A8A06EA"/>
    <w:rsid w:val="0A9450C5"/>
    <w:rsid w:val="0A984BB5"/>
    <w:rsid w:val="0AA23C86"/>
    <w:rsid w:val="0AB15C77"/>
    <w:rsid w:val="0AB333E9"/>
    <w:rsid w:val="0ABD286D"/>
    <w:rsid w:val="0ABF65E6"/>
    <w:rsid w:val="0AD14216"/>
    <w:rsid w:val="0ADB2CF4"/>
    <w:rsid w:val="0AE0655C"/>
    <w:rsid w:val="0B064214"/>
    <w:rsid w:val="0B1701D0"/>
    <w:rsid w:val="0B3643CE"/>
    <w:rsid w:val="0B41349E"/>
    <w:rsid w:val="0B462863"/>
    <w:rsid w:val="0B48482D"/>
    <w:rsid w:val="0B494101"/>
    <w:rsid w:val="0B4C599F"/>
    <w:rsid w:val="0B582596"/>
    <w:rsid w:val="0B5C5BE2"/>
    <w:rsid w:val="0B6C7DF0"/>
    <w:rsid w:val="0B84338B"/>
    <w:rsid w:val="0B942F0D"/>
    <w:rsid w:val="0BA92DF2"/>
    <w:rsid w:val="0BAE21B6"/>
    <w:rsid w:val="0BB04180"/>
    <w:rsid w:val="0BB2614A"/>
    <w:rsid w:val="0BEB340A"/>
    <w:rsid w:val="0BFC7099"/>
    <w:rsid w:val="0C012C2E"/>
    <w:rsid w:val="0C085D6A"/>
    <w:rsid w:val="0C1741FF"/>
    <w:rsid w:val="0C1B5A9E"/>
    <w:rsid w:val="0C2D57D1"/>
    <w:rsid w:val="0C3923C8"/>
    <w:rsid w:val="0C762CD4"/>
    <w:rsid w:val="0C7E427E"/>
    <w:rsid w:val="0C882A07"/>
    <w:rsid w:val="0C931AD8"/>
    <w:rsid w:val="0C963376"/>
    <w:rsid w:val="0CAA6E21"/>
    <w:rsid w:val="0CAE6912"/>
    <w:rsid w:val="0CCF6888"/>
    <w:rsid w:val="0D197B03"/>
    <w:rsid w:val="0D1D3396"/>
    <w:rsid w:val="0D352B8F"/>
    <w:rsid w:val="0D6841D1"/>
    <w:rsid w:val="0D7F02AE"/>
    <w:rsid w:val="0D8E229F"/>
    <w:rsid w:val="0DB31D06"/>
    <w:rsid w:val="0DBF4B4E"/>
    <w:rsid w:val="0DCD1019"/>
    <w:rsid w:val="0DDA6F4D"/>
    <w:rsid w:val="0DE94566"/>
    <w:rsid w:val="0DEA5E4E"/>
    <w:rsid w:val="0DF20A80"/>
    <w:rsid w:val="0DF431C4"/>
    <w:rsid w:val="0E2A646C"/>
    <w:rsid w:val="0E2D1AB8"/>
    <w:rsid w:val="0E3378CD"/>
    <w:rsid w:val="0E625C06"/>
    <w:rsid w:val="0E6B25E0"/>
    <w:rsid w:val="0E6B26B6"/>
    <w:rsid w:val="0E7B0A75"/>
    <w:rsid w:val="0E7D2A40"/>
    <w:rsid w:val="0E927B6D"/>
    <w:rsid w:val="0EA14893"/>
    <w:rsid w:val="0EB16245"/>
    <w:rsid w:val="0EC71F0D"/>
    <w:rsid w:val="0EC87A33"/>
    <w:rsid w:val="0ECA5559"/>
    <w:rsid w:val="0ED10695"/>
    <w:rsid w:val="0EE83C31"/>
    <w:rsid w:val="0EFA4090"/>
    <w:rsid w:val="0F0767AD"/>
    <w:rsid w:val="0F113188"/>
    <w:rsid w:val="0F20161D"/>
    <w:rsid w:val="0F2E5AE8"/>
    <w:rsid w:val="0F2E7896"/>
    <w:rsid w:val="0F384BB8"/>
    <w:rsid w:val="0F470D9F"/>
    <w:rsid w:val="0F490B74"/>
    <w:rsid w:val="0F64150A"/>
    <w:rsid w:val="0F8B118C"/>
    <w:rsid w:val="0F933B9D"/>
    <w:rsid w:val="0F953DB9"/>
    <w:rsid w:val="0FAE6C29"/>
    <w:rsid w:val="0FD61CDB"/>
    <w:rsid w:val="0FE8038D"/>
    <w:rsid w:val="10345524"/>
    <w:rsid w:val="10480363"/>
    <w:rsid w:val="104A4BA3"/>
    <w:rsid w:val="105B0B5E"/>
    <w:rsid w:val="107C2883"/>
    <w:rsid w:val="111B209C"/>
    <w:rsid w:val="115B693C"/>
    <w:rsid w:val="115D0906"/>
    <w:rsid w:val="115F467E"/>
    <w:rsid w:val="11673533"/>
    <w:rsid w:val="116C0B49"/>
    <w:rsid w:val="117F262B"/>
    <w:rsid w:val="119B31DD"/>
    <w:rsid w:val="11AB78C4"/>
    <w:rsid w:val="11C646FD"/>
    <w:rsid w:val="11F33019"/>
    <w:rsid w:val="1202500A"/>
    <w:rsid w:val="12096398"/>
    <w:rsid w:val="120E7E53"/>
    <w:rsid w:val="12170AB5"/>
    <w:rsid w:val="12425176"/>
    <w:rsid w:val="12464081"/>
    <w:rsid w:val="12492C39"/>
    <w:rsid w:val="126161D4"/>
    <w:rsid w:val="1272218F"/>
    <w:rsid w:val="129C545E"/>
    <w:rsid w:val="12C64289"/>
    <w:rsid w:val="12D60970"/>
    <w:rsid w:val="12E110C3"/>
    <w:rsid w:val="12E56E05"/>
    <w:rsid w:val="13347445"/>
    <w:rsid w:val="13685340"/>
    <w:rsid w:val="13961EAE"/>
    <w:rsid w:val="13A46379"/>
    <w:rsid w:val="13AA5959"/>
    <w:rsid w:val="13C95DDF"/>
    <w:rsid w:val="13CA1B57"/>
    <w:rsid w:val="13D12EE6"/>
    <w:rsid w:val="13DC1FB6"/>
    <w:rsid w:val="13F56BD4"/>
    <w:rsid w:val="14107EB2"/>
    <w:rsid w:val="14171240"/>
    <w:rsid w:val="141C0605"/>
    <w:rsid w:val="143811B7"/>
    <w:rsid w:val="14524026"/>
    <w:rsid w:val="146D2C0E"/>
    <w:rsid w:val="1481490C"/>
    <w:rsid w:val="148F527B"/>
    <w:rsid w:val="14A32AD4"/>
    <w:rsid w:val="14A405FA"/>
    <w:rsid w:val="14AB7BDB"/>
    <w:rsid w:val="14BF5434"/>
    <w:rsid w:val="14F25809"/>
    <w:rsid w:val="1517519A"/>
    <w:rsid w:val="15190FE8"/>
    <w:rsid w:val="15574892"/>
    <w:rsid w:val="15602773"/>
    <w:rsid w:val="156F29B6"/>
    <w:rsid w:val="15C40F54"/>
    <w:rsid w:val="15CE1DD3"/>
    <w:rsid w:val="160E6673"/>
    <w:rsid w:val="160F7CF5"/>
    <w:rsid w:val="16133C89"/>
    <w:rsid w:val="16434CBC"/>
    <w:rsid w:val="164B3423"/>
    <w:rsid w:val="16534086"/>
    <w:rsid w:val="16691AFB"/>
    <w:rsid w:val="16985F3D"/>
    <w:rsid w:val="16B40FC8"/>
    <w:rsid w:val="16C3120C"/>
    <w:rsid w:val="16ED0036"/>
    <w:rsid w:val="16F5338F"/>
    <w:rsid w:val="16F92E7F"/>
    <w:rsid w:val="16FF7D6A"/>
    <w:rsid w:val="171325EA"/>
    <w:rsid w:val="1719707D"/>
    <w:rsid w:val="171E28E6"/>
    <w:rsid w:val="1739327C"/>
    <w:rsid w:val="173C4B1A"/>
    <w:rsid w:val="17457E73"/>
    <w:rsid w:val="174A7237"/>
    <w:rsid w:val="174D4F79"/>
    <w:rsid w:val="176A78D9"/>
    <w:rsid w:val="178E1F33"/>
    <w:rsid w:val="179E3B13"/>
    <w:rsid w:val="17AC1CA0"/>
    <w:rsid w:val="17BD20FF"/>
    <w:rsid w:val="17E01949"/>
    <w:rsid w:val="185A5BA0"/>
    <w:rsid w:val="185F31B6"/>
    <w:rsid w:val="189B3AC2"/>
    <w:rsid w:val="18DE232D"/>
    <w:rsid w:val="18F37025"/>
    <w:rsid w:val="18FA4C8D"/>
    <w:rsid w:val="190D676E"/>
    <w:rsid w:val="1917536A"/>
    <w:rsid w:val="19193365"/>
    <w:rsid w:val="192D0BBE"/>
    <w:rsid w:val="193059E0"/>
    <w:rsid w:val="19362169"/>
    <w:rsid w:val="195C14A3"/>
    <w:rsid w:val="19650358"/>
    <w:rsid w:val="19687E48"/>
    <w:rsid w:val="19CC487B"/>
    <w:rsid w:val="19DE010A"/>
    <w:rsid w:val="19E219A9"/>
    <w:rsid w:val="1A037B71"/>
    <w:rsid w:val="1A07140F"/>
    <w:rsid w:val="1A1A3838"/>
    <w:rsid w:val="1A2A3350"/>
    <w:rsid w:val="1A7647E7"/>
    <w:rsid w:val="1A7A42D7"/>
    <w:rsid w:val="1A9B5FFB"/>
    <w:rsid w:val="1AB31597"/>
    <w:rsid w:val="1AB33345"/>
    <w:rsid w:val="1AE81CB5"/>
    <w:rsid w:val="1AED4AA9"/>
    <w:rsid w:val="1AF916A0"/>
    <w:rsid w:val="1AFA0F74"/>
    <w:rsid w:val="1AFF2A2E"/>
    <w:rsid w:val="1B1A1616"/>
    <w:rsid w:val="1B293607"/>
    <w:rsid w:val="1B395F40"/>
    <w:rsid w:val="1B4D72F6"/>
    <w:rsid w:val="1B5468D6"/>
    <w:rsid w:val="1B593EEC"/>
    <w:rsid w:val="1B697EA8"/>
    <w:rsid w:val="1BAD4238"/>
    <w:rsid w:val="1BD21EF1"/>
    <w:rsid w:val="1BE10E62"/>
    <w:rsid w:val="1BFE4A94"/>
    <w:rsid w:val="1C2A5889"/>
    <w:rsid w:val="1C3B1844"/>
    <w:rsid w:val="1C3E6748"/>
    <w:rsid w:val="1C4228E7"/>
    <w:rsid w:val="1C746B04"/>
    <w:rsid w:val="1C7B7E93"/>
    <w:rsid w:val="1C84143D"/>
    <w:rsid w:val="1C90123F"/>
    <w:rsid w:val="1CAE0268"/>
    <w:rsid w:val="1CAE64BA"/>
    <w:rsid w:val="1CB02232"/>
    <w:rsid w:val="1CB6536F"/>
    <w:rsid w:val="1CEC181E"/>
    <w:rsid w:val="1D214EDE"/>
    <w:rsid w:val="1D3D339A"/>
    <w:rsid w:val="1D3F5364"/>
    <w:rsid w:val="1D5030CD"/>
    <w:rsid w:val="1D666D95"/>
    <w:rsid w:val="1D6B7F07"/>
    <w:rsid w:val="1D76522A"/>
    <w:rsid w:val="1D7A639C"/>
    <w:rsid w:val="1D954F84"/>
    <w:rsid w:val="1DAA6C81"/>
    <w:rsid w:val="1DD12460"/>
    <w:rsid w:val="1E086BBC"/>
    <w:rsid w:val="1E0A7720"/>
    <w:rsid w:val="1E220F0E"/>
    <w:rsid w:val="1E3173A3"/>
    <w:rsid w:val="1E3D18A3"/>
    <w:rsid w:val="1E4D585F"/>
    <w:rsid w:val="1EBA7398"/>
    <w:rsid w:val="1ED1023E"/>
    <w:rsid w:val="1EEA56C8"/>
    <w:rsid w:val="1F4629DA"/>
    <w:rsid w:val="1F61088A"/>
    <w:rsid w:val="1F680BA2"/>
    <w:rsid w:val="1FA94D17"/>
    <w:rsid w:val="1FAD0CAB"/>
    <w:rsid w:val="1FB65DB1"/>
    <w:rsid w:val="1FE346CD"/>
    <w:rsid w:val="1FEF3071"/>
    <w:rsid w:val="1FFC578E"/>
    <w:rsid w:val="200A7EAB"/>
    <w:rsid w:val="200F101E"/>
    <w:rsid w:val="20124FB2"/>
    <w:rsid w:val="20146634"/>
    <w:rsid w:val="201605FE"/>
    <w:rsid w:val="201B3E66"/>
    <w:rsid w:val="20362A4E"/>
    <w:rsid w:val="20450EE3"/>
    <w:rsid w:val="204551AE"/>
    <w:rsid w:val="204D1B46"/>
    <w:rsid w:val="20765541"/>
    <w:rsid w:val="2079293B"/>
    <w:rsid w:val="207B66B3"/>
    <w:rsid w:val="20992FDD"/>
    <w:rsid w:val="209F6845"/>
    <w:rsid w:val="20AE4CDA"/>
    <w:rsid w:val="20E56222"/>
    <w:rsid w:val="210743EB"/>
    <w:rsid w:val="21415B4F"/>
    <w:rsid w:val="214E3DC8"/>
    <w:rsid w:val="216058A9"/>
    <w:rsid w:val="21701F90"/>
    <w:rsid w:val="21B06830"/>
    <w:rsid w:val="21B31E7D"/>
    <w:rsid w:val="21BA320B"/>
    <w:rsid w:val="21CB71C6"/>
    <w:rsid w:val="21F7445F"/>
    <w:rsid w:val="220646A2"/>
    <w:rsid w:val="220B3A67"/>
    <w:rsid w:val="221C5C74"/>
    <w:rsid w:val="221F7512"/>
    <w:rsid w:val="22205764"/>
    <w:rsid w:val="222114DC"/>
    <w:rsid w:val="22370D00"/>
    <w:rsid w:val="223E5BEA"/>
    <w:rsid w:val="223F371E"/>
    <w:rsid w:val="22525B39"/>
    <w:rsid w:val="226F2247"/>
    <w:rsid w:val="228D0920"/>
    <w:rsid w:val="22C5455D"/>
    <w:rsid w:val="22D30A28"/>
    <w:rsid w:val="22E04EF3"/>
    <w:rsid w:val="22EA5D72"/>
    <w:rsid w:val="22EB6952"/>
    <w:rsid w:val="22F83FEB"/>
    <w:rsid w:val="231D6147"/>
    <w:rsid w:val="232A616E"/>
    <w:rsid w:val="234731C4"/>
    <w:rsid w:val="234E4553"/>
    <w:rsid w:val="23645B24"/>
    <w:rsid w:val="236B0C61"/>
    <w:rsid w:val="23865A9B"/>
    <w:rsid w:val="23983A20"/>
    <w:rsid w:val="23B048C6"/>
    <w:rsid w:val="23B9268E"/>
    <w:rsid w:val="23DC094B"/>
    <w:rsid w:val="23F32A04"/>
    <w:rsid w:val="23FC3497"/>
    <w:rsid w:val="241A61E3"/>
    <w:rsid w:val="241F37F9"/>
    <w:rsid w:val="2435126F"/>
    <w:rsid w:val="24390D5F"/>
    <w:rsid w:val="243A6885"/>
    <w:rsid w:val="2466767A"/>
    <w:rsid w:val="247022A7"/>
    <w:rsid w:val="24777211"/>
    <w:rsid w:val="24885842"/>
    <w:rsid w:val="248D2E59"/>
    <w:rsid w:val="249B6B6C"/>
    <w:rsid w:val="24C06D8A"/>
    <w:rsid w:val="24C90335"/>
    <w:rsid w:val="25184E18"/>
    <w:rsid w:val="253357AE"/>
    <w:rsid w:val="25787665"/>
    <w:rsid w:val="25B61F3B"/>
    <w:rsid w:val="25C1725E"/>
    <w:rsid w:val="25F767DC"/>
    <w:rsid w:val="261D1FBA"/>
    <w:rsid w:val="26431A21"/>
    <w:rsid w:val="264834DB"/>
    <w:rsid w:val="26485289"/>
    <w:rsid w:val="26865DB2"/>
    <w:rsid w:val="269E30FB"/>
    <w:rsid w:val="26A10E3D"/>
    <w:rsid w:val="26B75F6B"/>
    <w:rsid w:val="26B91CE3"/>
    <w:rsid w:val="27247AA4"/>
    <w:rsid w:val="27392E24"/>
    <w:rsid w:val="27765B5C"/>
    <w:rsid w:val="277F2F2D"/>
    <w:rsid w:val="27846795"/>
    <w:rsid w:val="278A18D2"/>
    <w:rsid w:val="27A04C51"/>
    <w:rsid w:val="27A72484"/>
    <w:rsid w:val="27DF5779"/>
    <w:rsid w:val="27F51441"/>
    <w:rsid w:val="28043432"/>
    <w:rsid w:val="281178FD"/>
    <w:rsid w:val="28137B19"/>
    <w:rsid w:val="28215D92"/>
    <w:rsid w:val="28327F9F"/>
    <w:rsid w:val="28433CCD"/>
    <w:rsid w:val="28562DBC"/>
    <w:rsid w:val="285D2B42"/>
    <w:rsid w:val="28616AD6"/>
    <w:rsid w:val="286345FC"/>
    <w:rsid w:val="286640ED"/>
    <w:rsid w:val="28706D19"/>
    <w:rsid w:val="28A644E9"/>
    <w:rsid w:val="28B430AA"/>
    <w:rsid w:val="28B704A4"/>
    <w:rsid w:val="28C36E49"/>
    <w:rsid w:val="28CD7CC8"/>
    <w:rsid w:val="28D177B8"/>
    <w:rsid w:val="28D21782"/>
    <w:rsid w:val="28E03E9F"/>
    <w:rsid w:val="28F2772E"/>
    <w:rsid w:val="28F434A6"/>
    <w:rsid w:val="2919115F"/>
    <w:rsid w:val="2920429C"/>
    <w:rsid w:val="29226266"/>
    <w:rsid w:val="29231FDE"/>
    <w:rsid w:val="29437F8A"/>
    <w:rsid w:val="29477A7A"/>
    <w:rsid w:val="294855A0"/>
    <w:rsid w:val="2973086F"/>
    <w:rsid w:val="29932CBF"/>
    <w:rsid w:val="2996630C"/>
    <w:rsid w:val="299B7DC6"/>
    <w:rsid w:val="29F15C38"/>
    <w:rsid w:val="29F574D6"/>
    <w:rsid w:val="2A0E0598"/>
    <w:rsid w:val="2A113092"/>
    <w:rsid w:val="2A297180"/>
    <w:rsid w:val="2A5561C7"/>
    <w:rsid w:val="2A5E151F"/>
    <w:rsid w:val="2A9A007E"/>
    <w:rsid w:val="2AB253C7"/>
    <w:rsid w:val="2ABE3D6C"/>
    <w:rsid w:val="2AC46EA9"/>
    <w:rsid w:val="2AD25A69"/>
    <w:rsid w:val="2AE17A5A"/>
    <w:rsid w:val="2AF94DA4"/>
    <w:rsid w:val="2B0A0D5F"/>
    <w:rsid w:val="2B141BDE"/>
    <w:rsid w:val="2B1E0CAF"/>
    <w:rsid w:val="2B2C517A"/>
    <w:rsid w:val="2B7D7254"/>
    <w:rsid w:val="2B88437A"/>
    <w:rsid w:val="2B996587"/>
    <w:rsid w:val="2B9D7E25"/>
    <w:rsid w:val="2BA07916"/>
    <w:rsid w:val="2BB13F46"/>
    <w:rsid w:val="2BB1742D"/>
    <w:rsid w:val="2BB46F1D"/>
    <w:rsid w:val="2BC5112A"/>
    <w:rsid w:val="2BD1187D"/>
    <w:rsid w:val="2BE27F2E"/>
    <w:rsid w:val="2BF67536"/>
    <w:rsid w:val="2BFB4B4C"/>
    <w:rsid w:val="2C0559CB"/>
    <w:rsid w:val="2C2A71DF"/>
    <w:rsid w:val="2C3B319A"/>
    <w:rsid w:val="2C4209CD"/>
    <w:rsid w:val="2C646B95"/>
    <w:rsid w:val="2C647A38"/>
    <w:rsid w:val="2C8B2374"/>
    <w:rsid w:val="2C8D1C48"/>
    <w:rsid w:val="2C8E59C0"/>
    <w:rsid w:val="2C9F197B"/>
    <w:rsid w:val="2CB573F1"/>
    <w:rsid w:val="2CBC077F"/>
    <w:rsid w:val="2CBF5B79"/>
    <w:rsid w:val="2CDC497D"/>
    <w:rsid w:val="2CE37ABA"/>
    <w:rsid w:val="2CE850D0"/>
    <w:rsid w:val="2D197980"/>
    <w:rsid w:val="2D1C7470"/>
    <w:rsid w:val="2D214A86"/>
    <w:rsid w:val="2D2500D2"/>
    <w:rsid w:val="2D2D51D9"/>
    <w:rsid w:val="2D32459D"/>
    <w:rsid w:val="2D452523"/>
    <w:rsid w:val="2D60110A"/>
    <w:rsid w:val="2D825525"/>
    <w:rsid w:val="2DB17BB8"/>
    <w:rsid w:val="2DB256DE"/>
    <w:rsid w:val="2DBA2F11"/>
    <w:rsid w:val="2DD13DB6"/>
    <w:rsid w:val="2DE41D3C"/>
    <w:rsid w:val="2DE97352"/>
    <w:rsid w:val="2E5D389C"/>
    <w:rsid w:val="2E61338C"/>
    <w:rsid w:val="2E67296D"/>
    <w:rsid w:val="2E751877"/>
    <w:rsid w:val="2E755089"/>
    <w:rsid w:val="2E7D5CEC"/>
    <w:rsid w:val="2E8E7EF9"/>
    <w:rsid w:val="2EA9088F"/>
    <w:rsid w:val="2EC21951"/>
    <w:rsid w:val="2EE67D35"/>
    <w:rsid w:val="2EED10C4"/>
    <w:rsid w:val="2F1C72B3"/>
    <w:rsid w:val="2F4A5A86"/>
    <w:rsid w:val="2F4D1B62"/>
    <w:rsid w:val="2F4F1437"/>
    <w:rsid w:val="2F527179"/>
    <w:rsid w:val="2F590507"/>
    <w:rsid w:val="2F594063"/>
    <w:rsid w:val="2F8A6913"/>
    <w:rsid w:val="2FDE27BA"/>
    <w:rsid w:val="2FE37DD1"/>
    <w:rsid w:val="2FFE2E5D"/>
    <w:rsid w:val="3014442E"/>
    <w:rsid w:val="301A5EE8"/>
    <w:rsid w:val="30662EDC"/>
    <w:rsid w:val="306B04F2"/>
    <w:rsid w:val="3078676B"/>
    <w:rsid w:val="309A2B85"/>
    <w:rsid w:val="309C68FD"/>
    <w:rsid w:val="30A6777C"/>
    <w:rsid w:val="30A73EF4"/>
    <w:rsid w:val="30A92DC8"/>
    <w:rsid w:val="30B33C47"/>
    <w:rsid w:val="30B8300C"/>
    <w:rsid w:val="30C47C02"/>
    <w:rsid w:val="30C85944"/>
    <w:rsid w:val="30F93D50"/>
    <w:rsid w:val="31091AB9"/>
    <w:rsid w:val="31124E12"/>
    <w:rsid w:val="31434FCB"/>
    <w:rsid w:val="315A2315"/>
    <w:rsid w:val="318B0720"/>
    <w:rsid w:val="31992E3D"/>
    <w:rsid w:val="31B859B9"/>
    <w:rsid w:val="31D10829"/>
    <w:rsid w:val="320D7387"/>
    <w:rsid w:val="32116E77"/>
    <w:rsid w:val="324F79A0"/>
    <w:rsid w:val="327701E8"/>
    <w:rsid w:val="32870EE7"/>
    <w:rsid w:val="32904240"/>
    <w:rsid w:val="32A25D21"/>
    <w:rsid w:val="32E620B2"/>
    <w:rsid w:val="330B1B18"/>
    <w:rsid w:val="33152997"/>
    <w:rsid w:val="333F7A14"/>
    <w:rsid w:val="3344502A"/>
    <w:rsid w:val="33525999"/>
    <w:rsid w:val="33574D5E"/>
    <w:rsid w:val="335F1E64"/>
    <w:rsid w:val="33770F5C"/>
    <w:rsid w:val="33843679"/>
    <w:rsid w:val="33B1342B"/>
    <w:rsid w:val="33B26438"/>
    <w:rsid w:val="33D4015C"/>
    <w:rsid w:val="33ED7470"/>
    <w:rsid w:val="33F46A50"/>
    <w:rsid w:val="33F95E15"/>
    <w:rsid w:val="34125129"/>
    <w:rsid w:val="342310E4"/>
    <w:rsid w:val="343E5F1E"/>
    <w:rsid w:val="345D63A4"/>
    <w:rsid w:val="345E3ECA"/>
    <w:rsid w:val="34AC10D9"/>
    <w:rsid w:val="34D04DC8"/>
    <w:rsid w:val="34E92C55"/>
    <w:rsid w:val="34EE524E"/>
    <w:rsid w:val="35245113"/>
    <w:rsid w:val="357240D1"/>
    <w:rsid w:val="35A149B6"/>
    <w:rsid w:val="35AD335B"/>
    <w:rsid w:val="35AD5109"/>
    <w:rsid w:val="35BA7826"/>
    <w:rsid w:val="35C3492C"/>
    <w:rsid w:val="35D22DC1"/>
    <w:rsid w:val="36176A26"/>
    <w:rsid w:val="363475D8"/>
    <w:rsid w:val="36372C24"/>
    <w:rsid w:val="364A6DFC"/>
    <w:rsid w:val="36653C36"/>
    <w:rsid w:val="366F6862"/>
    <w:rsid w:val="36714388"/>
    <w:rsid w:val="3699743B"/>
    <w:rsid w:val="369D33CF"/>
    <w:rsid w:val="36C3270A"/>
    <w:rsid w:val="36D641EB"/>
    <w:rsid w:val="36D87F64"/>
    <w:rsid w:val="36DD1A1E"/>
    <w:rsid w:val="36E27034"/>
    <w:rsid w:val="37133692"/>
    <w:rsid w:val="373158C6"/>
    <w:rsid w:val="37441A9D"/>
    <w:rsid w:val="376712E7"/>
    <w:rsid w:val="37695060"/>
    <w:rsid w:val="37854533"/>
    <w:rsid w:val="378E2D18"/>
    <w:rsid w:val="379A346B"/>
    <w:rsid w:val="37A4078E"/>
    <w:rsid w:val="38042FDA"/>
    <w:rsid w:val="3805122C"/>
    <w:rsid w:val="383C4522"/>
    <w:rsid w:val="38575800"/>
    <w:rsid w:val="38685317"/>
    <w:rsid w:val="3870241E"/>
    <w:rsid w:val="38710670"/>
    <w:rsid w:val="388365F5"/>
    <w:rsid w:val="388F0AF6"/>
    <w:rsid w:val="38912AC0"/>
    <w:rsid w:val="38926838"/>
    <w:rsid w:val="38D8249D"/>
    <w:rsid w:val="38EE1CC0"/>
    <w:rsid w:val="390F1C37"/>
    <w:rsid w:val="39186D3D"/>
    <w:rsid w:val="39205BF2"/>
    <w:rsid w:val="39243934"/>
    <w:rsid w:val="392A081F"/>
    <w:rsid w:val="39455658"/>
    <w:rsid w:val="39641F82"/>
    <w:rsid w:val="39755F3E"/>
    <w:rsid w:val="397F6DBC"/>
    <w:rsid w:val="39DC420F"/>
    <w:rsid w:val="39E60BE9"/>
    <w:rsid w:val="39EB6200"/>
    <w:rsid w:val="3A015A23"/>
    <w:rsid w:val="3A3E6C77"/>
    <w:rsid w:val="3A4F49E1"/>
    <w:rsid w:val="3A6B7341"/>
    <w:rsid w:val="3A712BA9"/>
    <w:rsid w:val="3A7A31AC"/>
    <w:rsid w:val="3A971EE4"/>
    <w:rsid w:val="3A9C574C"/>
    <w:rsid w:val="3AB46F3A"/>
    <w:rsid w:val="3AD60C5E"/>
    <w:rsid w:val="3AFE01B5"/>
    <w:rsid w:val="3B1D4ADF"/>
    <w:rsid w:val="3B286FE0"/>
    <w:rsid w:val="3B3C3D05"/>
    <w:rsid w:val="3B443E1A"/>
    <w:rsid w:val="3B5A188F"/>
    <w:rsid w:val="3B750477"/>
    <w:rsid w:val="3B9F72A2"/>
    <w:rsid w:val="3BCC2061"/>
    <w:rsid w:val="3BCE5DD9"/>
    <w:rsid w:val="3BD3519D"/>
    <w:rsid w:val="3BF515B8"/>
    <w:rsid w:val="3C122D1E"/>
    <w:rsid w:val="3C1852A6"/>
    <w:rsid w:val="3C2679C3"/>
    <w:rsid w:val="3C6504EB"/>
    <w:rsid w:val="3C6D73A0"/>
    <w:rsid w:val="3C746980"/>
    <w:rsid w:val="3C9B3F0D"/>
    <w:rsid w:val="3CAC611A"/>
    <w:rsid w:val="3CB11983"/>
    <w:rsid w:val="3CD13DD3"/>
    <w:rsid w:val="3D0870C9"/>
    <w:rsid w:val="3D0D46DF"/>
    <w:rsid w:val="3D5440BC"/>
    <w:rsid w:val="3D580050"/>
    <w:rsid w:val="3D6A7D83"/>
    <w:rsid w:val="3D7B3D3F"/>
    <w:rsid w:val="3D9B7F3D"/>
    <w:rsid w:val="3DA05553"/>
    <w:rsid w:val="3DB37034"/>
    <w:rsid w:val="3DB57251"/>
    <w:rsid w:val="3DB64D77"/>
    <w:rsid w:val="3DDD2303"/>
    <w:rsid w:val="3DFB432B"/>
    <w:rsid w:val="3E344619"/>
    <w:rsid w:val="3E350391"/>
    <w:rsid w:val="3E353EED"/>
    <w:rsid w:val="3E8E24F6"/>
    <w:rsid w:val="3EA11583"/>
    <w:rsid w:val="3EC14B85"/>
    <w:rsid w:val="3F06588A"/>
    <w:rsid w:val="3F0833B0"/>
    <w:rsid w:val="3F1735F3"/>
    <w:rsid w:val="3F4C14EF"/>
    <w:rsid w:val="3F6727CC"/>
    <w:rsid w:val="3F6C1B91"/>
    <w:rsid w:val="3F88629F"/>
    <w:rsid w:val="3F9D7F9C"/>
    <w:rsid w:val="3FA532F5"/>
    <w:rsid w:val="3FB62E0C"/>
    <w:rsid w:val="3FF35E0E"/>
    <w:rsid w:val="4013200C"/>
    <w:rsid w:val="4021694A"/>
    <w:rsid w:val="40356427"/>
    <w:rsid w:val="405F5252"/>
    <w:rsid w:val="40640ABA"/>
    <w:rsid w:val="406867FC"/>
    <w:rsid w:val="4093314D"/>
    <w:rsid w:val="40AB66E9"/>
    <w:rsid w:val="40B05AAD"/>
    <w:rsid w:val="40BB2DD0"/>
    <w:rsid w:val="40BC26A4"/>
    <w:rsid w:val="40BC6B48"/>
    <w:rsid w:val="40BE641C"/>
    <w:rsid w:val="40E816EB"/>
    <w:rsid w:val="40EA5463"/>
    <w:rsid w:val="40EE65D6"/>
    <w:rsid w:val="40F2256A"/>
    <w:rsid w:val="40F41E3E"/>
    <w:rsid w:val="40FC6F44"/>
    <w:rsid w:val="41175B2C"/>
    <w:rsid w:val="412546ED"/>
    <w:rsid w:val="41391F47"/>
    <w:rsid w:val="414D77A0"/>
    <w:rsid w:val="41562AF9"/>
    <w:rsid w:val="415D5C35"/>
    <w:rsid w:val="416F7716"/>
    <w:rsid w:val="418D4040"/>
    <w:rsid w:val="41BA3087"/>
    <w:rsid w:val="41CA0DF1"/>
    <w:rsid w:val="422624CB"/>
    <w:rsid w:val="422C3859"/>
    <w:rsid w:val="423F533B"/>
    <w:rsid w:val="426E5C20"/>
    <w:rsid w:val="42756FAE"/>
    <w:rsid w:val="4303280C"/>
    <w:rsid w:val="43301127"/>
    <w:rsid w:val="43370708"/>
    <w:rsid w:val="435766B4"/>
    <w:rsid w:val="43721740"/>
    <w:rsid w:val="43762FDE"/>
    <w:rsid w:val="43784FA8"/>
    <w:rsid w:val="43C024AB"/>
    <w:rsid w:val="43D9531B"/>
    <w:rsid w:val="43E3619A"/>
    <w:rsid w:val="43E52EB2"/>
    <w:rsid w:val="43F14D5A"/>
    <w:rsid w:val="44093E52"/>
    <w:rsid w:val="441445A5"/>
    <w:rsid w:val="4426495C"/>
    <w:rsid w:val="44307631"/>
    <w:rsid w:val="4441183E"/>
    <w:rsid w:val="4450382F"/>
    <w:rsid w:val="44A122DD"/>
    <w:rsid w:val="44AB315B"/>
    <w:rsid w:val="44DE708D"/>
    <w:rsid w:val="44E65F41"/>
    <w:rsid w:val="44E73A68"/>
    <w:rsid w:val="44FC5765"/>
    <w:rsid w:val="45232CF2"/>
    <w:rsid w:val="45244CBC"/>
    <w:rsid w:val="453018B3"/>
    <w:rsid w:val="45534C6A"/>
    <w:rsid w:val="459C0CF6"/>
    <w:rsid w:val="45D40490"/>
    <w:rsid w:val="45F428E0"/>
    <w:rsid w:val="461B7E6D"/>
    <w:rsid w:val="46470C62"/>
    <w:rsid w:val="4665558C"/>
    <w:rsid w:val="4665733A"/>
    <w:rsid w:val="467C4DAF"/>
    <w:rsid w:val="46AE0CE1"/>
    <w:rsid w:val="46B34549"/>
    <w:rsid w:val="46B81B60"/>
    <w:rsid w:val="46BA7686"/>
    <w:rsid w:val="46C027C2"/>
    <w:rsid w:val="46DF0E9A"/>
    <w:rsid w:val="46F81F5C"/>
    <w:rsid w:val="4703102D"/>
    <w:rsid w:val="471548BC"/>
    <w:rsid w:val="471A6376"/>
    <w:rsid w:val="472114B3"/>
    <w:rsid w:val="47431429"/>
    <w:rsid w:val="47571378"/>
    <w:rsid w:val="47617B01"/>
    <w:rsid w:val="47721D0E"/>
    <w:rsid w:val="47B916EB"/>
    <w:rsid w:val="47C6205A"/>
    <w:rsid w:val="47F46BC7"/>
    <w:rsid w:val="47F60B91"/>
    <w:rsid w:val="48111527"/>
    <w:rsid w:val="481903DC"/>
    <w:rsid w:val="481B05F8"/>
    <w:rsid w:val="482374AD"/>
    <w:rsid w:val="48285F43"/>
    <w:rsid w:val="482C45B3"/>
    <w:rsid w:val="48587156"/>
    <w:rsid w:val="485D476D"/>
    <w:rsid w:val="48783354"/>
    <w:rsid w:val="48A4239B"/>
    <w:rsid w:val="48A73C3A"/>
    <w:rsid w:val="48AC72C5"/>
    <w:rsid w:val="48DF1625"/>
    <w:rsid w:val="48E02CA0"/>
    <w:rsid w:val="48E56510"/>
    <w:rsid w:val="48E7672C"/>
    <w:rsid w:val="48E94252"/>
    <w:rsid w:val="48FF3A76"/>
    <w:rsid w:val="492B6918"/>
    <w:rsid w:val="4933371F"/>
    <w:rsid w:val="49463453"/>
    <w:rsid w:val="497C0C22"/>
    <w:rsid w:val="49A60395"/>
    <w:rsid w:val="49B20AE8"/>
    <w:rsid w:val="49D4280C"/>
    <w:rsid w:val="49D96075"/>
    <w:rsid w:val="49E62540"/>
    <w:rsid w:val="4A062BE2"/>
    <w:rsid w:val="4A0A4480"/>
    <w:rsid w:val="4A192915"/>
    <w:rsid w:val="4A1B668D"/>
    <w:rsid w:val="4A8E50B1"/>
    <w:rsid w:val="4A8F4985"/>
    <w:rsid w:val="4AB368C6"/>
    <w:rsid w:val="4AB83EDC"/>
    <w:rsid w:val="4AC5484B"/>
    <w:rsid w:val="4AC565F9"/>
    <w:rsid w:val="4ACA1E61"/>
    <w:rsid w:val="4AE66C9B"/>
    <w:rsid w:val="4AFA44F5"/>
    <w:rsid w:val="4B201A81"/>
    <w:rsid w:val="4B447E66"/>
    <w:rsid w:val="4B4E65EF"/>
    <w:rsid w:val="4B517E8D"/>
    <w:rsid w:val="4B7C7600"/>
    <w:rsid w:val="4B840262"/>
    <w:rsid w:val="4BA3693A"/>
    <w:rsid w:val="4C1A4723"/>
    <w:rsid w:val="4C7E73A7"/>
    <w:rsid w:val="4C806C7C"/>
    <w:rsid w:val="4C8147A2"/>
    <w:rsid w:val="4CC76658"/>
    <w:rsid w:val="4CDD40CE"/>
    <w:rsid w:val="4CFF4044"/>
    <w:rsid w:val="4D355CB8"/>
    <w:rsid w:val="4D537EEC"/>
    <w:rsid w:val="4D720CBA"/>
    <w:rsid w:val="4D814A59"/>
    <w:rsid w:val="4D9C5D37"/>
    <w:rsid w:val="4DAE15C6"/>
    <w:rsid w:val="4DC72C47"/>
    <w:rsid w:val="4DD252B5"/>
    <w:rsid w:val="4DDC25D7"/>
    <w:rsid w:val="4DEB45C9"/>
    <w:rsid w:val="4E047438"/>
    <w:rsid w:val="4E1C29D4"/>
    <w:rsid w:val="4E3E294A"/>
    <w:rsid w:val="4E661EA1"/>
    <w:rsid w:val="4F1D6A04"/>
    <w:rsid w:val="4F337FD5"/>
    <w:rsid w:val="4F3C2702"/>
    <w:rsid w:val="4F5D32A4"/>
    <w:rsid w:val="4FEE03A0"/>
    <w:rsid w:val="500951DA"/>
    <w:rsid w:val="5052092F"/>
    <w:rsid w:val="5066262C"/>
    <w:rsid w:val="50792360"/>
    <w:rsid w:val="50C17863"/>
    <w:rsid w:val="50C23D07"/>
    <w:rsid w:val="50C57353"/>
    <w:rsid w:val="50E517A3"/>
    <w:rsid w:val="50F9524E"/>
    <w:rsid w:val="510065DD"/>
    <w:rsid w:val="510A745C"/>
    <w:rsid w:val="511251E2"/>
    <w:rsid w:val="512322CB"/>
    <w:rsid w:val="512E314A"/>
    <w:rsid w:val="51713037"/>
    <w:rsid w:val="51750D79"/>
    <w:rsid w:val="51844B18"/>
    <w:rsid w:val="51874608"/>
    <w:rsid w:val="51AC0513"/>
    <w:rsid w:val="51BF3DA2"/>
    <w:rsid w:val="51F55A16"/>
    <w:rsid w:val="51F85506"/>
    <w:rsid w:val="520C2D5F"/>
    <w:rsid w:val="520D7203"/>
    <w:rsid w:val="521A36CE"/>
    <w:rsid w:val="524D5852"/>
    <w:rsid w:val="526130AB"/>
    <w:rsid w:val="529214B7"/>
    <w:rsid w:val="52B21B59"/>
    <w:rsid w:val="52F757BE"/>
    <w:rsid w:val="53034162"/>
    <w:rsid w:val="5354676C"/>
    <w:rsid w:val="537F5EDF"/>
    <w:rsid w:val="538E6122"/>
    <w:rsid w:val="5391176E"/>
    <w:rsid w:val="53937294"/>
    <w:rsid w:val="53986FA1"/>
    <w:rsid w:val="539A6875"/>
    <w:rsid w:val="53A96AB8"/>
    <w:rsid w:val="53B042EA"/>
    <w:rsid w:val="53B13BBE"/>
    <w:rsid w:val="53CD6768"/>
    <w:rsid w:val="53D37FD9"/>
    <w:rsid w:val="53D855EF"/>
    <w:rsid w:val="53DD49B3"/>
    <w:rsid w:val="53E95F37"/>
    <w:rsid w:val="540E1011"/>
    <w:rsid w:val="540E5EF2"/>
    <w:rsid w:val="543640C4"/>
    <w:rsid w:val="545E3D46"/>
    <w:rsid w:val="547C3014"/>
    <w:rsid w:val="548B2661"/>
    <w:rsid w:val="5492579E"/>
    <w:rsid w:val="54996B2C"/>
    <w:rsid w:val="54A51975"/>
    <w:rsid w:val="54A84FC1"/>
    <w:rsid w:val="54C142D5"/>
    <w:rsid w:val="55006BAB"/>
    <w:rsid w:val="550348EE"/>
    <w:rsid w:val="55230AEC"/>
    <w:rsid w:val="55346855"/>
    <w:rsid w:val="55A57753"/>
    <w:rsid w:val="55B81234"/>
    <w:rsid w:val="55B856D8"/>
    <w:rsid w:val="55C776C9"/>
    <w:rsid w:val="55D1679A"/>
    <w:rsid w:val="55F3226C"/>
    <w:rsid w:val="55FB7373"/>
    <w:rsid w:val="560E5CE8"/>
    <w:rsid w:val="56156687"/>
    <w:rsid w:val="561F12B3"/>
    <w:rsid w:val="56226FF5"/>
    <w:rsid w:val="56270168"/>
    <w:rsid w:val="56332FB1"/>
    <w:rsid w:val="56440D1A"/>
    <w:rsid w:val="56486A5C"/>
    <w:rsid w:val="565D3B8A"/>
    <w:rsid w:val="569C0B56"/>
    <w:rsid w:val="569F23F4"/>
    <w:rsid w:val="57064221"/>
    <w:rsid w:val="5712706A"/>
    <w:rsid w:val="575651A9"/>
    <w:rsid w:val="57574A7D"/>
    <w:rsid w:val="57AE0B41"/>
    <w:rsid w:val="57AE6D93"/>
    <w:rsid w:val="57B819BF"/>
    <w:rsid w:val="57C55E8A"/>
    <w:rsid w:val="5814296E"/>
    <w:rsid w:val="5818245E"/>
    <w:rsid w:val="583354EA"/>
    <w:rsid w:val="58543C7E"/>
    <w:rsid w:val="5870229A"/>
    <w:rsid w:val="587F428B"/>
    <w:rsid w:val="5889510A"/>
    <w:rsid w:val="589D660D"/>
    <w:rsid w:val="589F0489"/>
    <w:rsid w:val="58A261CC"/>
    <w:rsid w:val="58F76517"/>
    <w:rsid w:val="59050C34"/>
    <w:rsid w:val="5906675A"/>
    <w:rsid w:val="591E5852"/>
    <w:rsid w:val="59396B30"/>
    <w:rsid w:val="593C3F2A"/>
    <w:rsid w:val="59401C6C"/>
    <w:rsid w:val="594C6863"/>
    <w:rsid w:val="596F4300"/>
    <w:rsid w:val="597162CA"/>
    <w:rsid w:val="599975CF"/>
    <w:rsid w:val="59D625D1"/>
    <w:rsid w:val="59F34F31"/>
    <w:rsid w:val="5A5F6122"/>
    <w:rsid w:val="5A6000EC"/>
    <w:rsid w:val="5A871B1D"/>
    <w:rsid w:val="5A8E4C59"/>
    <w:rsid w:val="5ABA77FD"/>
    <w:rsid w:val="5AD76600"/>
    <w:rsid w:val="5ADC59C5"/>
    <w:rsid w:val="5AE96334"/>
    <w:rsid w:val="5AF820D3"/>
    <w:rsid w:val="5B0867BA"/>
    <w:rsid w:val="5B323837"/>
    <w:rsid w:val="5B411CCC"/>
    <w:rsid w:val="5B8147BE"/>
    <w:rsid w:val="5BB71F8E"/>
    <w:rsid w:val="5BCF552A"/>
    <w:rsid w:val="5BD14DFE"/>
    <w:rsid w:val="5BD62414"/>
    <w:rsid w:val="5BE508A9"/>
    <w:rsid w:val="5BEF1728"/>
    <w:rsid w:val="5C6519EA"/>
    <w:rsid w:val="5C9A78E6"/>
    <w:rsid w:val="5CAA564F"/>
    <w:rsid w:val="5CAC586B"/>
    <w:rsid w:val="5CB07109"/>
    <w:rsid w:val="5CC654BC"/>
    <w:rsid w:val="5CCE57E1"/>
    <w:rsid w:val="5CD10E2D"/>
    <w:rsid w:val="5CDF179C"/>
    <w:rsid w:val="5CF35248"/>
    <w:rsid w:val="5D072AA1"/>
    <w:rsid w:val="5D2378DB"/>
    <w:rsid w:val="5D245401"/>
    <w:rsid w:val="5D712F5B"/>
    <w:rsid w:val="5D7243BE"/>
    <w:rsid w:val="5D891708"/>
    <w:rsid w:val="5DA0717E"/>
    <w:rsid w:val="5DB04EE7"/>
    <w:rsid w:val="5DB42C29"/>
    <w:rsid w:val="5DD5494D"/>
    <w:rsid w:val="5DE057CC"/>
    <w:rsid w:val="5DE3182F"/>
    <w:rsid w:val="5DF94AE0"/>
    <w:rsid w:val="5E345B18"/>
    <w:rsid w:val="5E4775F9"/>
    <w:rsid w:val="5E59732C"/>
    <w:rsid w:val="5E8B2D0C"/>
    <w:rsid w:val="5EAA7B88"/>
    <w:rsid w:val="5EAC7460"/>
    <w:rsid w:val="5EBA601D"/>
    <w:rsid w:val="5ECE1AC8"/>
    <w:rsid w:val="5ECE5416"/>
    <w:rsid w:val="5EF808F3"/>
    <w:rsid w:val="5EFF7ED4"/>
    <w:rsid w:val="5F5521EA"/>
    <w:rsid w:val="5F7268F8"/>
    <w:rsid w:val="5F9745B0"/>
    <w:rsid w:val="5FA04EA5"/>
    <w:rsid w:val="5FA171DD"/>
    <w:rsid w:val="5FF8656B"/>
    <w:rsid w:val="5FFA069B"/>
    <w:rsid w:val="6008725C"/>
    <w:rsid w:val="60123C37"/>
    <w:rsid w:val="601B6F8F"/>
    <w:rsid w:val="60251BBC"/>
    <w:rsid w:val="602776E2"/>
    <w:rsid w:val="6051475F"/>
    <w:rsid w:val="60911000"/>
    <w:rsid w:val="60A52CFD"/>
    <w:rsid w:val="60A56859"/>
    <w:rsid w:val="60B62814"/>
    <w:rsid w:val="60CC028A"/>
    <w:rsid w:val="60D333C6"/>
    <w:rsid w:val="60EA0710"/>
    <w:rsid w:val="61025A59"/>
    <w:rsid w:val="610712C2"/>
    <w:rsid w:val="613F0A5C"/>
    <w:rsid w:val="614B5652"/>
    <w:rsid w:val="616B35FF"/>
    <w:rsid w:val="61730705"/>
    <w:rsid w:val="61734BA9"/>
    <w:rsid w:val="617A7CE6"/>
    <w:rsid w:val="617F52FC"/>
    <w:rsid w:val="61842912"/>
    <w:rsid w:val="618741B1"/>
    <w:rsid w:val="619743F4"/>
    <w:rsid w:val="61A905CB"/>
    <w:rsid w:val="61AD1E69"/>
    <w:rsid w:val="62173786"/>
    <w:rsid w:val="62255EA3"/>
    <w:rsid w:val="622639C9"/>
    <w:rsid w:val="624502F4"/>
    <w:rsid w:val="62512CDA"/>
    <w:rsid w:val="626C278F"/>
    <w:rsid w:val="626F711E"/>
    <w:rsid w:val="627B5AC3"/>
    <w:rsid w:val="627C183B"/>
    <w:rsid w:val="62943029"/>
    <w:rsid w:val="62A50D92"/>
    <w:rsid w:val="62A82630"/>
    <w:rsid w:val="62AC2121"/>
    <w:rsid w:val="62B64D4D"/>
    <w:rsid w:val="63051831"/>
    <w:rsid w:val="6320666B"/>
    <w:rsid w:val="6331762E"/>
    <w:rsid w:val="63512CC8"/>
    <w:rsid w:val="635B7DDD"/>
    <w:rsid w:val="637A3FCD"/>
    <w:rsid w:val="637F3391"/>
    <w:rsid w:val="638906B4"/>
    <w:rsid w:val="63A70B3A"/>
    <w:rsid w:val="63BC18CF"/>
    <w:rsid w:val="64047D3A"/>
    <w:rsid w:val="64065861"/>
    <w:rsid w:val="64267CB1"/>
    <w:rsid w:val="642D103F"/>
    <w:rsid w:val="643D7A05"/>
    <w:rsid w:val="6449399F"/>
    <w:rsid w:val="64717C69"/>
    <w:rsid w:val="6477675E"/>
    <w:rsid w:val="647A1DAB"/>
    <w:rsid w:val="647C1FC7"/>
    <w:rsid w:val="647E7AED"/>
    <w:rsid w:val="648B3FB8"/>
    <w:rsid w:val="649C7F73"/>
    <w:rsid w:val="64C73FD5"/>
    <w:rsid w:val="64D63485"/>
    <w:rsid w:val="64FE478A"/>
    <w:rsid w:val="65031DA0"/>
    <w:rsid w:val="651806B7"/>
    <w:rsid w:val="651E6BDA"/>
    <w:rsid w:val="653B778C"/>
    <w:rsid w:val="6545060B"/>
    <w:rsid w:val="655F16CC"/>
    <w:rsid w:val="65660CAD"/>
    <w:rsid w:val="659D0447"/>
    <w:rsid w:val="65CE0600"/>
    <w:rsid w:val="660B715E"/>
    <w:rsid w:val="66100C18"/>
    <w:rsid w:val="66157FDD"/>
    <w:rsid w:val="661F2C0A"/>
    <w:rsid w:val="6623246D"/>
    <w:rsid w:val="662A7F2C"/>
    <w:rsid w:val="664F1741"/>
    <w:rsid w:val="66707909"/>
    <w:rsid w:val="66756CCD"/>
    <w:rsid w:val="6683763C"/>
    <w:rsid w:val="66A42B43"/>
    <w:rsid w:val="66C51A03"/>
    <w:rsid w:val="66DB4D83"/>
    <w:rsid w:val="670F7122"/>
    <w:rsid w:val="67395F4D"/>
    <w:rsid w:val="675B4115"/>
    <w:rsid w:val="678A67A9"/>
    <w:rsid w:val="678E0047"/>
    <w:rsid w:val="67915D89"/>
    <w:rsid w:val="67AE2497"/>
    <w:rsid w:val="67B6134C"/>
    <w:rsid w:val="67BC1058"/>
    <w:rsid w:val="67C43A69"/>
    <w:rsid w:val="67DA6442"/>
    <w:rsid w:val="67E660D5"/>
    <w:rsid w:val="680B5B3B"/>
    <w:rsid w:val="682D5AB2"/>
    <w:rsid w:val="68B57855"/>
    <w:rsid w:val="68B910F3"/>
    <w:rsid w:val="68C1444C"/>
    <w:rsid w:val="68F24605"/>
    <w:rsid w:val="692073C4"/>
    <w:rsid w:val="6922138F"/>
    <w:rsid w:val="69270753"/>
    <w:rsid w:val="694110E9"/>
    <w:rsid w:val="695D23C7"/>
    <w:rsid w:val="695E1C9B"/>
    <w:rsid w:val="69670B4F"/>
    <w:rsid w:val="696A0640"/>
    <w:rsid w:val="69951B60"/>
    <w:rsid w:val="6A0E546F"/>
    <w:rsid w:val="6A274783"/>
    <w:rsid w:val="6A2E3D63"/>
    <w:rsid w:val="6A3273AF"/>
    <w:rsid w:val="6A3D7B02"/>
    <w:rsid w:val="6A4B66C3"/>
    <w:rsid w:val="6A576E16"/>
    <w:rsid w:val="6A590DE0"/>
    <w:rsid w:val="6A617C95"/>
    <w:rsid w:val="6A7A2B04"/>
    <w:rsid w:val="6A8614A9"/>
    <w:rsid w:val="6A86594D"/>
    <w:rsid w:val="6AAD6A36"/>
    <w:rsid w:val="6AB37DC4"/>
    <w:rsid w:val="6AB778B5"/>
    <w:rsid w:val="6ACD70D8"/>
    <w:rsid w:val="6AD541DF"/>
    <w:rsid w:val="6AF26B3F"/>
    <w:rsid w:val="6B0510F0"/>
    <w:rsid w:val="6B054AC4"/>
    <w:rsid w:val="6B0655A6"/>
    <w:rsid w:val="6B182A49"/>
    <w:rsid w:val="6B1E16E2"/>
    <w:rsid w:val="6B2036AC"/>
    <w:rsid w:val="6B4C26F3"/>
    <w:rsid w:val="6B4C77C2"/>
    <w:rsid w:val="6B7B2FD8"/>
    <w:rsid w:val="6B95409A"/>
    <w:rsid w:val="6BBB5183"/>
    <w:rsid w:val="6BD12BF8"/>
    <w:rsid w:val="6BF32B6E"/>
    <w:rsid w:val="6C0F54CE"/>
    <w:rsid w:val="6CC664D5"/>
    <w:rsid w:val="6CC83FFB"/>
    <w:rsid w:val="6CD96208"/>
    <w:rsid w:val="6CFD33D3"/>
    <w:rsid w:val="6D01750D"/>
    <w:rsid w:val="6D033285"/>
    <w:rsid w:val="6D035033"/>
    <w:rsid w:val="6D396CA7"/>
    <w:rsid w:val="6D505D9E"/>
    <w:rsid w:val="6D57537F"/>
    <w:rsid w:val="6D736E23"/>
    <w:rsid w:val="6D9B526C"/>
    <w:rsid w:val="6DBD3434"/>
    <w:rsid w:val="6DC36570"/>
    <w:rsid w:val="6DF40E20"/>
    <w:rsid w:val="6E245261"/>
    <w:rsid w:val="6E2B2A93"/>
    <w:rsid w:val="6E31797E"/>
    <w:rsid w:val="6E4E0530"/>
    <w:rsid w:val="6E6D085D"/>
    <w:rsid w:val="6E891568"/>
    <w:rsid w:val="6E8C2E06"/>
    <w:rsid w:val="6E9E23FE"/>
    <w:rsid w:val="6EA6211A"/>
    <w:rsid w:val="6EBD1212"/>
    <w:rsid w:val="6EC95E08"/>
    <w:rsid w:val="6ED8604B"/>
    <w:rsid w:val="6EE55F79"/>
    <w:rsid w:val="6EE60768"/>
    <w:rsid w:val="6F082DD5"/>
    <w:rsid w:val="6F190B3E"/>
    <w:rsid w:val="6F3C2A7E"/>
    <w:rsid w:val="6F3C482C"/>
    <w:rsid w:val="6F4436E1"/>
    <w:rsid w:val="6F5778B8"/>
    <w:rsid w:val="6F743FC6"/>
    <w:rsid w:val="6F745D74"/>
    <w:rsid w:val="6F7B5355"/>
    <w:rsid w:val="6F8D6E36"/>
    <w:rsid w:val="6F9E1043"/>
    <w:rsid w:val="6FC22F83"/>
    <w:rsid w:val="6FD76303"/>
    <w:rsid w:val="6FF9096F"/>
    <w:rsid w:val="7003534A"/>
    <w:rsid w:val="703B2D36"/>
    <w:rsid w:val="706C1141"/>
    <w:rsid w:val="708A15C7"/>
    <w:rsid w:val="70904E30"/>
    <w:rsid w:val="70A21EE6"/>
    <w:rsid w:val="70CC398E"/>
    <w:rsid w:val="70CF2B23"/>
    <w:rsid w:val="70D171F6"/>
    <w:rsid w:val="70DD5B9B"/>
    <w:rsid w:val="71015D2D"/>
    <w:rsid w:val="712612F0"/>
    <w:rsid w:val="7148570A"/>
    <w:rsid w:val="716B764B"/>
    <w:rsid w:val="718844D0"/>
    <w:rsid w:val="71924BD7"/>
    <w:rsid w:val="71AA1F21"/>
    <w:rsid w:val="71DC5E53"/>
    <w:rsid w:val="71E33685"/>
    <w:rsid w:val="71E511AB"/>
    <w:rsid w:val="71EA4A14"/>
    <w:rsid w:val="71F64B04"/>
    <w:rsid w:val="72001B41"/>
    <w:rsid w:val="72086C48"/>
    <w:rsid w:val="72435ED2"/>
    <w:rsid w:val="726E11A1"/>
    <w:rsid w:val="72822E9E"/>
    <w:rsid w:val="72EB0A43"/>
    <w:rsid w:val="72FC4E5E"/>
    <w:rsid w:val="72FC67AC"/>
    <w:rsid w:val="731004AA"/>
    <w:rsid w:val="7318735E"/>
    <w:rsid w:val="73214465"/>
    <w:rsid w:val="732E26DE"/>
    <w:rsid w:val="733F2B3D"/>
    <w:rsid w:val="73532145"/>
    <w:rsid w:val="73683E42"/>
    <w:rsid w:val="7375030D"/>
    <w:rsid w:val="737E18B7"/>
    <w:rsid w:val="739E5AB6"/>
    <w:rsid w:val="73AF1A71"/>
    <w:rsid w:val="73B452D9"/>
    <w:rsid w:val="73B70925"/>
    <w:rsid w:val="73D56FFD"/>
    <w:rsid w:val="73E060CE"/>
    <w:rsid w:val="73EF00BF"/>
    <w:rsid w:val="73F12089"/>
    <w:rsid w:val="740F0761"/>
    <w:rsid w:val="741E2752"/>
    <w:rsid w:val="74392BBE"/>
    <w:rsid w:val="744C72C0"/>
    <w:rsid w:val="74624D35"/>
    <w:rsid w:val="746960C4"/>
    <w:rsid w:val="748C3B60"/>
    <w:rsid w:val="74A92964"/>
    <w:rsid w:val="74B60BDD"/>
    <w:rsid w:val="74BA06CD"/>
    <w:rsid w:val="74C32452"/>
    <w:rsid w:val="74E474F8"/>
    <w:rsid w:val="74EA0887"/>
    <w:rsid w:val="750B533F"/>
    <w:rsid w:val="751A753E"/>
    <w:rsid w:val="752D5343"/>
    <w:rsid w:val="7530098F"/>
    <w:rsid w:val="754E52B9"/>
    <w:rsid w:val="75730C38"/>
    <w:rsid w:val="759E1D9D"/>
    <w:rsid w:val="75AF45AE"/>
    <w:rsid w:val="75CB690A"/>
    <w:rsid w:val="75DE663D"/>
    <w:rsid w:val="75E83018"/>
    <w:rsid w:val="76397D18"/>
    <w:rsid w:val="76592168"/>
    <w:rsid w:val="76634D94"/>
    <w:rsid w:val="766D79C1"/>
    <w:rsid w:val="767D1282"/>
    <w:rsid w:val="767E1BCE"/>
    <w:rsid w:val="768371E5"/>
    <w:rsid w:val="769B008A"/>
    <w:rsid w:val="76B33626"/>
    <w:rsid w:val="76BD44A5"/>
    <w:rsid w:val="76CD220E"/>
    <w:rsid w:val="76DA5057"/>
    <w:rsid w:val="771D4F43"/>
    <w:rsid w:val="772207AC"/>
    <w:rsid w:val="77302EC9"/>
    <w:rsid w:val="77462317"/>
    <w:rsid w:val="77495D38"/>
    <w:rsid w:val="775070C7"/>
    <w:rsid w:val="77A92C7B"/>
    <w:rsid w:val="77BC29AE"/>
    <w:rsid w:val="77DA4BE2"/>
    <w:rsid w:val="77F4039A"/>
    <w:rsid w:val="77F57C6E"/>
    <w:rsid w:val="78104AA8"/>
    <w:rsid w:val="78236589"/>
    <w:rsid w:val="784B788E"/>
    <w:rsid w:val="78976633"/>
    <w:rsid w:val="78A7540C"/>
    <w:rsid w:val="78B673FD"/>
    <w:rsid w:val="78DB6E64"/>
    <w:rsid w:val="78DE6954"/>
    <w:rsid w:val="78E33F6B"/>
    <w:rsid w:val="78FB5758"/>
    <w:rsid w:val="79020895"/>
    <w:rsid w:val="7919798C"/>
    <w:rsid w:val="791E4FA3"/>
    <w:rsid w:val="79226841"/>
    <w:rsid w:val="79295E21"/>
    <w:rsid w:val="79532E9E"/>
    <w:rsid w:val="795C61F7"/>
    <w:rsid w:val="79707849"/>
    <w:rsid w:val="79825532"/>
    <w:rsid w:val="798D5E3F"/>
    <w:rsid w:val="79955265"/>
    <w:rsid w:val="79A100AE"/>
    <w:rsid w:val="79A11E5C"/>
    <w:rsid w:val="79B17BC5"/>
    <w:rsid w:val="79DF4732"/>
    <w:rsid w:val="7A1969A8"/>
    <w:rsid w:val="7A2F59C3"/>
    <w:rsid w:val="7A50285F"/>
    <w:rsid w:val="7A523156"/>
    <w:rsid w:val="7A635363"/>
    <w:rsid w:val="7A687DE1"/>
    <w:rsid w:val="7A7E219D"/>
    <w:rsid w:val="7A85177D"/>
    <w:rsid w:val="7AAA2F92"/>
    <w:rsid w:val="7AB45BBF"/>
    <w:rsid w:val="7B3B1E3C"/>
    <w:rsid w:val="7B51340D"/>
    <w:rsid w:val="7B525C45"/>
    <w:rsid w:val="7B6E3FBF"/>
    <w:rsid w:val="7B711D02"/>
    <w:rsid w:val="7B772C7A"/>
    <w:rsid w:val="7B8E4662"/>
    <w:rsid w:val="7BBC2F7D"/>
    <w:rsid w:val="7BBD6CF5"/>
    <w:rsid w:val="7BD04FA7"/>
    <w:rsid w:val="7BDA1655"/>
    <w:rsid w:val="7BFA3AA5"/>
    <w:rsid w:val="7BFF49D1"/>
    <w:rsid w:val="7C0861C2"/>
    <w:rsid w:val="7C1F350C"/>
    <w:rsid w:val="7C1F52BA"/>
    <w:rsid w:val="7C2B0102"/>
    <w:rsid w:val="7C3575AE"/>
    <w:rsid w:val="7C38637B"/>
    <w:rsid w:val="7C5036C5"/>
    <w:rsid w:val="7CEA3B1A"/>
    <w:rsid w:val="7CEF1130"/>
    <w:rsid w:val="7D0F17D2"/>
    <w:rsid w:val="7D23702C"/>
    <w:rsid w:val="7D263283"/>
    <w:rsid w:val="7D562F5D"/>
    <w:rsid w:val="7D603DDC"/>
    <w:rsid w:val="7D625DA6"/>
    <w:rsid w:val="7D755AD9"/>
    <w:rsid w:val="7D781125"/>
    <w:rsid w:val="7D796C4C"/>
    <w:rsid w:val="7DCF4ABD"/>
    <w:rsid w:val="7DFF1847"/>
    <w:rsid w:val="7E3314F0"/>
    <w:rsid w:val="7E3808B5"/>
    <w:rsid w:val="7E927FC5"/>
    <w:rsid w:val="7ED24865"/>
    <w:rsid w:val="7F2F7F0A"/>
    <w:rsid w:val="7F460DAF"/>
    <w:rsid w:val="7F482D79"/>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8"/>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6"/>
    <w:qFormat/>
    <w:uiPriority w:val="0"/>
    <w:rPr>
      <w:rFonts w:ascii="宋体" w:eastAsia="宋体"/>
      <w:sz w:val="18"/>
      <w:szCs w:val="18"/>
    </w:rPr>
  </w:style>
  <w:style w:type="paragraph" w:styleId="5">
    <w:name w:val="Body Text"/>
    <w:basedOn w:val="1"/>
    <w:unhideWhenUsed/>
    <w:qFormat/>
    <w:uiPriority w:val="0"/>
    <w:pPr>
      <w:spacing w:after="120"/>
    </w:pPr>
    <w:rPr>
      <w:rFonts w:ascii="Times New Roman" w:hAnsi="Times New Roman"/>
      <w:szCs w:val="20"/>
    </w:rPr>
  </w:style>
  <w:style w:type="paragraph" w:styleId="6">
    <w:name w:val="Body Text Indent"/>
    <w:basedOn w:val="1"/>
    <w:link w:val="23"/>
    <w:qFormat/>
    <w:uiPriority w:val="0"/>
    <w:pPr>
      <w:ind w:firstLine="560" w:firstLineChars="200"/>
    </w:pPr>
    <w:rPr>
      <w:rFonts w:ascii="Times New Roman" w:hAnsi="Times New Roman" w:eastAsia="宋体" w:cs="Times New Roman"/>
      <w:sz w:val="28"/>
    </w:rPr>
  </w:style>
  <w:style w:type="paragraph" w:styleId="7">
    <w:name w:val="Plain Text"/>
    <w:basedOn w:val="1"/>
    <w:link w:val="25"/>
    <w:qFormat/>
    <w:uiPriority w:val="0"/>
    <w:rPr>
      <w:rFonts w:ascii="宋体" w:hAnsi="Courier New" w:eastAsia="宋体" w:cs="Courier New"/>
      <w:szCs w:val="21"/>
    </w:rPr>
  </w:style>
  <w:style w:type="paragraph" w:styleId="8">
    <w:name w:val="Date"/>
    <w:basedOn w:val="1"/>
    <w:next w:val="1"/>
    <w:link w:val="22"/>
    <w:qFormat/>
    <w:uiPriority w:val="0"/>
    <w:pPr>
      <w:ind w:left="100" w:leftChars="2500"/>
    </w:pPr>
  </w:style>
  <w:style w:type="paragraph" w:styleId="9">
    <w:name w:val="Balloon Text"/>
    <w:basedOn w:val="1"/>
    <w:link w:val="20"/>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qFormat/>
    <w:uiPriority w:val="0"/>
    <w:rPr>
      <w:color w:val="0000FF"/>
      <w:u w:val="single"/>
    </w:rPr>
  </w:style>
  <w:style w:type="paragraph" w:customStyle="1" w:styleId="17">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18">
    <w:name w:val="页眉 Char"/>
    <w:basedOn w:val="14"/>
    <w:link w:val="11"/>
    <w:qFormat/>
    <w:uiPriority w:val="0"/>
    <w:rPr>
      <w:rFonts w:asciiTheme="minorHAnsi" w:hAnsiTheme="minorHAnsi" w:eastAsiaTheme="minorEastAsia" w:cstheme="minorBidi"/>
      <w:kern w:val="2"/>
      <w:sz w:val="18"/>
      <w:szCs w:val="18"/>
    </w:rPr>
  </w:style>
  <w:style w:type="character" w:customStyle="1" w:styleId="19">
    <w:name w:val="页脚 Char"/>
    <w:basedOn w:val="14"/>
    <w:link w:val="10"/>
    <w:qFormat/>
    <w:uiPriority w:val="0"/>
    <w:rPr>
      <w:rFonts w:asciiTheme="minorHAnsi" w:hAnsiTheme="minorHAnsi" w:eastAsiaTheme="minorEastAsia" w:cstheme="minorBidi"/>
      <w:kern w:val="2"/>
      <w:sz w:val="18"/>
      <w:szCs w:val="18"/>
    </w:rPr>
  </w:style>
  <w:style w:type="character" w:customStyle="1" w:styleId="20">
    <w:name w:val="批注框文本 Char"/>
    <w:basedOn w:val="14"/>
    <w:link w:val="9"/>
    <w:qFormat/>
    <w:uiPriority w:val="0"/>
    <w:rPr>
      <w:rFonts w:asciiTheme="minorHAnsi" w:hAnsiTheme="minorHAnsi" w:eastAsiaTheme="minorEastAsia" w:cstheme="minorBidi"/>
      <w:kern w:val="2"/>
      <w:sz w:val="18"/>
      <w:szCs w:val="18"/>
    </w:rPr>
  </w:style>
  <w:style w:type="paragraph" w:customStyle="1" w:styleId="21">
    <w:name w:val="p0"/>
    <w:basedOn w:val="1"/>
    <w:qFormat/>
    <w:uiPriority w:val="0"/>
    <w:pPr>
      <w:widowControl/>
    </w:pPr>
    <w:rPr>
      <w:rFonts w:ascii="Times New Roman" w:hAnsi="Times New Roman" w:eastAsia="宋体" w:cs="Times New Roman"/>
      <w:kern w:val="0"/>
      <w:szCs w:val="21"/>
    </w:rPr>
  </w:style>
  <w:style w:type="character" w:customStyle="1" w:styleId="22">
    <w:name w:val="日期 Char"/>
    <w:basedOn w:val="14"/>
    <w:link w:val="8"/>
    <w:qFormat/>
    <w:uiPriority w:val="0"/>
    <w:rPr>
      <w:rFonts w:asciiTheme="minorHAnsi" w:hAnsiTheme="minorHAnsi" w:eastAsiaTheme="minorEastAsia" w:cstheme="minorBidi"/>
      <w:kern w:val="2"/>
      <w:sz w:val="21"/>
      <w:szCs w:val="24"/>
    </w:rPr>
  </w:style>
  <w:style w:type="character" w:customStyle="1" w:styleId="23">
    <w:name w:val="正文文本缩进 Char"/>
    <w:basedOn w:val="14"/>
    <w:link w:val="6"/>
    <w:qFormat/>
    <w:uiPriority w:val="0"/>
    <w:rPr>
      <w:kern w:val="2"/>
      <w:sz w:val="28"/>
      <w:szCs w:val="24"/>
    </w:rPr>
  </w:style>
  <w:style w:type="character" w:customStyle="1" w:styleId="24">
    <w:name w:val="标题 2 Char"/>
    <w:basedOn w:val="14"/>
    <w:link w:val="2"/>
    <w:qFormat/>
    <w:uiPriority w:val="9"/>
    <w:rPr>
      <w:rFonts w:ascii="宋体" w:hAnsi="宋体" w:cs="宋体"/>
      <w:b/>
      <w:bCs/>
      <w:sz w:val="36"/>
      <w:szCs w:val="36"/>
    </w:rPr>
  </w:style>
  <w:style w:type="character" w:customStyle="1" w:styleId="25">
    <w:name w:val="纯文本 Char"/>
    <w:basedOn w:val="14"/>
    <w:link w:val="7"/>
    <w:qFormat/>
    <w:uiPriority w:val="0"/>
    <w:rPr>
      <w:rFonts w:ascii="宋体" w:hAnsi="Courier New" w:cs="Courier New"/>
      <w:kern w:val="2"/>
      <w:sz w:val="21"/>
      <w:szCs w:val="21"/>
    </w:rPr>
  </w:style>
  <w:style w:type="character" w:customStyle="1" w:styleId="26">
    <w:name w:val="文档结构图 Char"/>
    <w:basedOn w:val="14"/>
    <w:link w:val="4"/>
    <w:qFormat/>
    <w:uiPriority w:val="0"/>
    <w:rPr>
      <w:rFonts w:ascii="宋体" w:hAnsiTheme="minorHAnsi" w:cstheme="minorBidi"/>
      <w:kern w:val="2"/>
      <w:sz w:val="18"/>
      <w:szCs w:val="18"/>
    </w:rPr>
  </w:style>
  <w:style w:type="paragraph" w:styleId="27">
    <w:name w:val="List Paragraph"/>
    <w:basedOn w:val="1"/>
    <w:qFormat/>
    <w:uiPriority w:val="34"/>
    <w:pPr>
      <w:ind w:firstLine="420" w:firstLineChars="200"/>
    </w:pPr>
    <w:rPr>
      <w:rFonts w:ascii="Times New Roman" w:hAnsi="Times New Roman" w:eastAsia="宋体" w:cs="Times New Roman"/>
    </w:rPr>
  </w:style>
  <w:style w:type="character" w:customStyle="1" w:styleId="28">
    <w:name w:val="标题 3 Char"/>
    <w:basedOn w:val="14"/>
    <w:link w:val="3"/>
    <w:qFormat/>
    <w:uiPriority w:val="9"/>
    <w:rPr>
      <w:rFonts w:ascii="@仿宋_GB2312" w:hAnsi="@仿宋_GB2312" w:eastAsia="@仿宋_GB2312" w:cs="@仿宋_GB2312"/>
      <w:b/>
      <w:bCs/>
      <w:kern w:val="2"/>
      <w:sz w:val="32"/>
      <w:szCs w:val="32"/>
    </w:rPr>
  </w:style>
  <w:style w:type="character" w:customStyle="1" w:styleId="29">
    <w:name w:val="status"/>
    <w:basedOn w:val="14"/>
    <w:qFormat/>
    <w:uiPriority w:val="0"/>
    <w:rPr>
      <w:color w:val="0776DD"/>
    </w:rPr>
  </w:style>
  <w:style w:type="character" w:customStyle="1" w:styleId="30">
    <w:name w:val="time"/>
    <w:basedOn w:val="14"/>
    <w:qFormat/>
    <w:uiPriority w:val="0"/>
  </w:style>
  <w:style w:type="character" w:customStyle="1" w:styleId="31">
    <w:name w:val="font41"/>
    <w:basedOn w:val="14"/>
    <w:qFormat/>
    <w:uiPriority w:val="0"/>
    <w:rPr>
      <w:rFonts w:hint="eastAsia" w:ascii="宋体" w:hAnsi="宋体" w:eastAsia="宋体" w:cs="宋体"/>
      <w:b/>
      <w:bCs/>
      <w:color w:val="000000"/>
      <w:sz w:val="18"/>
      <w:szCs w:val="18"/>
      <w:u w:val="none"/>
    </w:rPr>
  </w:style>
  <w:style w:type="character" w:customStyle="1" w:styleId="32">
    <w:name w:val="font5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A181F-8BBF-4257-B899-CD37BF576884}">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22</Pages>
  <Words>10821</Words>
  <Characters>11397</Characters>
  <Lines>86</Lines>
  <Paragraphs>24</Paragraphs>
  <TotalTime>53</TotalTime>
  <ScaleCrop>false</ScaleCrop>
  <LinksUpToDate>false</LinksUpToDate>
  <CharactersWithSpaces>13264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心依旧</cp:lastModifiedBy>
  <cp:lastPrinted>2018-12-06T08:17:00Z</cp:lastPrinted>
  <dcterms:modified xsi:type="dcterms:W3CDTF">2025-06-16T12:09:12Z</dcterms:modified>
  <cp:revision>292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95577BC501B046EFA715DD9FC152B852_13</vt:lpwstr>
  </property>
  <property fmtid="{D5CDD505-2E9C-101B-9397-08002B2CF9AE}" pid="4" name="KSOTemplateDocerSaveRecord">
    <vt:lpwstr>eyJoZGlkIjoiNWE1YTU1NjQ1NzUxMmEyMGVmNDFjYTA0OTQyYjk2OTEiLCJ1c2VySWQiOiIzODU3Nzc4NDIifQ==</vt:lpwstr>
  </property>
</Properties>
</file>