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eastAsia="zh-CN"/>
        </w:rPr>
        <w:t>竞争性谈判文件</w:t>
      </w:r>
    </w:p>
    <w:p>
      <w:pPr>
        <w:pStyle w:val="4"/>
        <w:rPr>
          <w:color w:val="auto"/>
          <w:highlight w:val="none"/>
        </w:rPr>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pPr>
        <w:tabs>
          <w:tab w:val="left" w:pos="315"/>
          <w:tab w:val="left" w:pos="8820"/>
        </w:tabs>
        <w:spacing w:before="240" w:beforeLines="100" w:after="120" w:afterLines="50" w:line="500" w:lineRule="exact"/>
        <w:ind w:right="254" w:rightChars="127"/>
        <w:jc w:val="center"/>
        <w:rPr>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2410"/>
        </w:tabs>
        <w:autoSpaceDE w:val="0"/>
        <w:autoSpaceDN w:val="0"/>
        <w:adjustRightInd w:val="0"/>
        <w:snapToGrid w:val="0"/>
        <w:spacing w:line="360" w:lineRule="auto"/>
        <w:rPr>
          <w:rFonts w:hint="eastAsia"/>
          <w:b/>
          <w:color w:val="auto"/>
          <w:spacing w:val="20"/>
          <w:sz w:val="32"/>
          <w:szCs w:val="32"/>
          <w:highlight w:val="none"/>
          <w:u w:val="single"/>
          <w:lang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百大心悦城京东奥莱区域墙体拆除及内装工程</w:t>
      </w:r>
      <w:r>
        <w:rPr>
          <w:rFonts w:hint="eastAsia"/>
          <w:b/>
          <w:color w:val="auto"/>
          <w:spacing w:val="20"/>
          <w:sz w:val="32"/>
          <w:szCs w:val="32"/>
          <w:highlight w:val="none"/>
        </w:rPr>
        <w:t>项目编号：</w:t>
      </w:r>
      <w:r>
        <w:rPr>
          <w:rFonts w:hint="eastAsia"/>
          <w:b/>
          <w:color w:val="auto"/>
          <w:spacing w:val="20"/>
          <w:sz w:val="32"/>
          <w:szCs w:val="32"/>
          <w:highlight w:val="none"/>
          <w:u w:val="single"/>
          <w:lang w:eastAsia="zh-CN"/>
        </w:rPr>
        <w:t>2025HAFGJ00408</w:t>
      </w:r>
    </w:p>
    <w:p>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val="en-US" w:eastAsia="zh-CN"/>
        </w:rPr>
        <w:t>招</w:t>
      </w:r>
      <w:r>
        <w:rPr>
          <w:rFonts w:hint="eastAsia"/>
          <w:b/>
          <w:color w:val="auto"/>
          <w:spacing w:val="20"/>
          <w:sz w:val="32"/>
          <w:szCs w:val="32"/>
          <w:highlight w:val="none"/>
        </w:rPr>
        <w:t xml:space="preserve"> </w:t>
      </w:r>
      <w:r>
        <w:rPr>
          <w:rFonts w:hint="eastAsia"/>
          <w:b/>
          <w:color w:val="auto"/>
          <w:spacing w:val="20"/>
          <w:sz w:val="32"/>
          <w:szCs w:val="32"/>
          <w:highlight w:val="none"/>
          <w:lang w:val="en-US" w:eastAsia="zh-CN"/>
        </w:rPr>
        <w:t>标</w:t>
      </w:r>
      <w:r>
        <w:rPr>
          <w:rFonts w:hint="eastAsia"/>
          <w:b/>
          <w:color w:val="auto"/>
          <w:spacing w:val="20"/>
          <w:sz w:val="32"/>
          <w:szCs w:val="32"/>
          <w:highlight w:val="none"/>
        </w:rPr>
        <w:t xml:space="preserve"> 人：</w:t>
      </w:r>
      <w:r>
        <w:rPr>
          <w:rFonts w:hint="eastAsia"/>
          <w:b/>
          <w:color w:val="auto"/>
          <w:spacing w:val="20"/>
          <w:sz w:val="32"/>
          <w:szCs w:val="32"/>
          <w:highlight w:val="none"/>
          <w:u w:val="single"/>
          <w:lang w:eastAsia="zh-CN"/>
        </w:rPr>
        <w:t>合肥百货大楼集团股份有限公司</w:t>
      </w:r>
    </w:p>
    <w:p>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lang w:eastAsia="zh-CN"/>
        </w:rPr>
        <w:t>代理机构</w:t>
      </w:r>
      <w:r>
        <w:rPr>
          <w:rFonts w:hint="eastAsia"/>
          <w:b/>
          <w:color w:val="auto"/>
          <w:spacing w:val="20"/>
          <w:sz w:val="32"/>
          <w:szCs w:val="32"/>
          <w:highlight w:val="none"/>
        </w:rPr>
        <w:t>：</w:t>
      </w:r>
      <w:r>
        <w:rPr>
          <w:rFonts w:hint="eastAsia"/>
          <w:b/>
          <w:color w:val="auto"/>
          <w:spacing w:val="20"/>
          <w:sz w:val="32"/>
          <w:szCs w:val="32"/>
          <w:highlight w:val="none"/>
          <w:u w:val="single"/>
        </w:rPr>
        <w:t>安徽公共资源交易集团项目管理有限公司</w:t>
      </w: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2410"/>
        </w:tabs>
        <w:autoSpaceDE w:val="0"/>
        <w:autoSpaceDN w:val="0"/>
        <w:adjustRightInd w:val="0"/>
        <w:snapToGrid w:val="0"/>
        <w:spacing w:line="360" w:lineRule="auto"/>
        <w:jc w:val="center"/>
        <w:rPr>
          <w:b/>
          <w:color w:val="auto"/>
          <w:sz w:val="36"/>
          <w:highlight w:val="none"/>
        </w:rPr>
      </w:pPr>
    </w:p>
    <w:p>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pPr>
        <w:tabs>
          <w:tab w:val="left" w:pos="2410"/>
        </w:tabs>
        <w:autoSpaceDE w:val="0"/>
        <w:autoSpaceDN w:val="0"/>
        <w:adjustRightInd w:val="0"/>
        <w:snapToGrid w:val="0"/>
        <w:spacing w:line="360" w:lineRule="auto"/>
        <w:jc w:val="center"/>
        <w:rPr>
          <w:b/>
          <w:color w:val="auto"/>
          <w:sz w:val="28"/>
          <w:highlight w:val="none"/>
        </w:rPr>
      </w:pPr>
    </w:p>
    <w:p>
      <w:pPr>
        <w:pStyle w:val="35"/>
        <w:tabs>
          <w:tab w:val="right" w:leader="dot" w:pos="886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_Toc23295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hint="eastAsia" w:asciiTheme="minorEastAsia" w:hAnsiTheme="minorEastAsia" w:eastAsiaTheme="minorEastAsia"/>
          <w:color w:val="auto"/>
          <w:highlight w:val="none"/>
          <w:lang w:val="en-US" w:eastAsia="zh-CN"/>
        </w:rPr>
        <w:t>谈判公告</w:t>
      </w:r>
      <w:r>
        <w:rPr>
          <w:color w:val="auto"/>
          <w:highlight w:val="none"/>
        </w:rPr>
        <w:tab/>
      </w:r>
      <w:r>
        <w:rPr>
          <w:color w:val="auto"/>
          <w:highlight w:val="none"/>
        </w:rPr>
        <w:fldChar w:fldCharType="begin"/>
      </w:r>
      <w:r>
        <w:rPr>
          <w:color w:val="auto"/>
          <w:highlight w:val="none"/>
        </w:rPr>
        <w:instrText xml:space="preserve"> PAGEREF _Toc23295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pPr>
        <w:pStyle w:val="3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_Toc8378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投标人</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_Toc8378 \h </w:instrText>
      </w:r>
      <w:r>
        <w:rPr>
          <w:color w:val="auto"/>
          <w:highlight w:val="none"/>
        </w:rPr>
        <w:fldChar w:fldCharType="separate"/>
      </w:r>
      <w:r>
        <w:rPr>
          <w:color w:val="auto"/>
          <w:highlight w:val="none"/>
        </w:rPr>
        <w:t>4</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ind w:left="0" w:leftChars="0" w:firstLine="0" w:firstLineChars="0"/>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_Toc18802 </w:instrText>
      </w:r>
      <w:r>
        <w:rPr>
          <w:rFonts w:asciiTheme="minorEastAsia" w:hAnsiTheme="minorEastAsia"/>
          <w:color w:val="auto"/>
          <w:szCs w:val="24"/>
          <w:highlight w:val="none"/>
        </w:rPr>
        <w:fldChar w:fldCharType="separate"/>
      </w:r>
      <w:r>
        <w:rPr>
          <w:rFonts w:hint="eastAsia"/>
          <w:color w:val="auto"/>
          <w:highlight w:val="none"/>
          <w:lang w:val="en-US" w:eastAsia="zh-CN"/>
        </w:rPr>
        <w:t xml:space="preserve">第三章 </w:t>
      </w:r>
      <w:r>
        <w:rPr>
          <w:rFonts w:hint="eastAsia"/>
          <w:color w:val="auto"/>
          <w:highlight w:val="none"/>
          <w:lang w:eastAsia="zh-CN"/>
        </w:rPr>
        <w:t>技术标准及要求</w:t>
      </w:r>
      <w:r>
        <w:rPr>
          <w:color w:val="auto"/>
          <w:highlight w:val="none"/>
        </w:rPr>
        <w:tab/>
      </w:r>
      <w:r>
        <w:rPr>
          <w:color w:val="auto"/>
          <w:highlight w:val="none"/>
        </w:rPr>
        <w:fldChar w:fldCharType="begin"/>
      </w:r>
      <w:r>
        <w:rPr>
          <w:color w:val="auto"/>
          <w:highlight w:val="none"/>
        </w:rPr>
        <w:instrText xml:space="preserve"> PAGEREF _Toc18802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color w:val="auto"/>
          <w:szCs w:val="24"/>
          <w:highlight w:val="none"/>
        </w:rPr>
        <w:fldChar w:fldCharType="end"/>
      </w:r>
    </w:p>
    <w:p>
      <w:pPr>
        <w:pStyle w:val="3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_Toc28479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_Toc28479 \h </w:instrText>
      </w:r>
      <w:r>
        <w:rPr>
          <w:color w:val="auto"/>
          <w:highlight w:val="none"/>
        </w:rPr>
        <w:fldChar w:fldCharType="separate"/>
      </w:r>
      <w:r>
        <w:rPr>
          <w:color w:val="auto"/>
          <w:highlight w:val="none"/>
        </w:rPr>
        <w:t>23</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ind w:left="0" w:leftChars="0" w:firstLine="0" w:firstLineChars="0"/>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_Toc31128 </w:instrText>
      </w:r>
      <w:r>
        <w:rPr>
          <w:rFonts w:asciiTheme="minorEastAsia" w:hAnsiTheme="minorEastAsia"/>
          <w:color w:val="auto"/>
          <w:szCs w:val="24"/>
          <w:highlight w:val="none"/>
        </w:rPr>
        <w:fldChar w:fldCharType="separate"/>
      </w:r>
      <w:r>
        <w:rPr>
          <w:rFonts w:hint="eastAsia" w:ascii="Times New Roman" w:hAnsi="Times New Roman"/>
          <w:caps w:val="0"/>
          <w:smallCaps w:val="0"/>
          <w:color w:val="auto"/>
          <w:highlight w:val="none"/>
          <w:lang w:eastAsia="zh-CN"/>
        </w:rPr>
        <w:t xml:space="preserve">第五章 </w:t>
      </w:r>
      <w:r>
        <w:rPr>
          <w:rFonts w:ascii="Times New Roman" w:hAnsi="Times New Roman" w:eastAsia="宋体"/>
          <w:caps w:val="0"/>
          <w:smallCaps w:val="0"/>
          <w:color w:val="auto"/>
          <w:highlight w:val="none"/>
        </w:rPr>
        <w:t>合同</w:t>
      </w:r>
      <w:r>
        <w:rPr>
          <w:rFonts w:hint="eastAsia" w:ascii="Times New Roman" w:hAnsi="Times New Roman"/>
          <w:caps w:val="0"/>
          <w:smallCaps w:val="0"/>
          <w:color w:val="auto"/>
          <w:highlight w:val="none"/>
          <w:lang w:eastAsia="zh-CN"/>
        </w:rPr>
        <w:t>格式</w:t>
      </w:r>
      <w:r>
        <w:rPr>
          <w:color w:val="auto"/>
          <w:highlight w:val="none"/>
        </w:rPr>
        <w:tab/>
      </w:r>
      <w:r>
        <w:rPr>
          <w:color w:val="auto"/>
          <w:highlight w:val="none"/>
        </w:rPr>
        <w:fldChar w:fldCharType="begin"/>
      </w:r>
      <w:r>
        <w:rPr>
          <w:color w:val="auto"/>
          <w:highlight w:val="none"/>
        </w:rPr>
        <w:instrText xml:space="preserve"> PAGEREF _Toc31128 \h </w:instrText>
      </w:r>
      <w:r>
        <w:rPr>
          <w:color w:val="auto"/>
          <w:highlight w:val="none"/>
        </w:rPr>
        <w:fldChar w:fldCharType="separate"/>
      </w:r>
      <w:r>
        <w:rPr>
          <w:color w:val="auto"/>
          <w:highlight w:val="none"/>
        </w:rPr>
        <w:t>25</w:t>
      </w:r>
      <w:r>
        <w:rPr>
          <w:color w:val="auto"/>
          <w:highlight w:val="none"/>
        </w:rPr>
        <w:fldChar w:fldCharType="end"/>
      </w:r>
      <w:r>
        <w:rPr>
          <w:rFonts w:asciiTheme="minorEastAsia" w:hAnsiTheme="minorEastAsia"/>
          <w:color w:val="auto"/>
          <w:szCs w:val="24"/>
          <w:highlight w:val="none"/>
        </w:rPr>
        <w:fldChar w:fldCharType="end"/>
      </w:r>
    </w:p>
    <w:p>
      <w:pPr>
        <w:pStyle w:val="3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_Toc16125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投标文件</w:t>
      </w:r>
      <w:r>
        <w:rPr>
          <w:rFonts w:hint="eastAsia" w:asciiTheme="minorEastAsia" w:hAnsiTheme="minorEastAsia" w:eastAsiaTheme="minor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_Toc16125 \h </w:instrText>
      </w:r>
      <w:r>
        <w:rPr>
          <w:color w:val="auto"/>
          <w:highlight w:val="none"/>
        </w:rPr>
        <w:fldChar w:fldCharType="separate"/>
      </w:r>
      <w:r>
        <w:rPr>
          <w:color w:val="auto"/>
          <w:highlight w:val="none"/>
        </w:rPr>
        <w:t>48</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ind w:left="0" w:leftChars="0" w:firstLine="0" w:firstLineChars="0"/>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_Toc23050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七</w:t>
      </w:r>
      <w:r>
        <w:rPr>
          <w:rFonts w:hint="eastAsia" w:asciiTheme="minorEastAsia" w:hAnsiTheme="minorEastAsia" w:eastAsiaTheme="minorEastAsia"/>
          <w:color w:val="auto"/>
          <w:highlight w:val="none"/>
        </w:rPr>
        <w:t xml:space="preserve">章  </w:t>
      </w: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olor w:val="auto"/>
          <w:highlight w:val="none"/>
          <w:lang w:eastAsia="zh-CN"/>
        </w:rPr>
        <w:t>安徽公共资源交易集团电子交易操作规程</w:t>
      </w:r>
      <w:r>
        <w:rPr>
          <w:color w:val="auto"/>
          <w:highlight w:val="none"/>
        </w:rPr>
        <w:tab/>
      </w:r>
      <w:r>
        <w:rPr>
          <w:color w:val="auto"/>
          <w:highlight w:val="none"/>
        </w:rPr>
        <w:fldChar w:fldCharType="begin"/>
      </w:r>
      <w:r>
        <w:rPr>
          <w:color w:val="auto"/>
          <w:highlight w:val="none"/>
        </w:rPr>
        <w:instrText xml:space="preserve"> PAGEREF _Toc23050 \h </w:instrText>
      </w:r>
      <w:r>
        <w:rPr>
          <w:color w:val="auto"/>
          <w:highlight w:val="none"/>
        </w:rPr>
        <w:fldChar w:fldCharType="separate"/>
      </w:r>
      <w:r>
        <w:rPr>
          <w:color w:val="auto"/>
          <w:highlight w:val="none"/>
        </w:rPr>
        <w:t>59</w:t>
      </w:r>
      <w:r>
        <w:rPr>
          <w:color w:val="auto"/>
          <w:highlight w:val="none"/>
        </w:rPr>
        <w:fldChar w:fldCharType="end"/>
      </w:r>
      <w:r>
        <w:rPr>
          <w:rFonts w:asciiTheme="minorEastAsia" w:hAnsiTheme="minorEastAsia"/>
          <w:color w:val="auto"/>
          <w:szCs w:val="24"/>
          <w:highlight w:val="none"/>
        </w:rPr>
        <w:fldChar w:fldCharType="end"/>
      </w:r>
    </w:p>
    <w:p>
      <w:pPr>
        <w:pStyle w:val="35"/>
        <w:tabs>
          <w:tab w:val="right" w:leader="dot" w:pos="8869"/>
        </w:tabs>
        <w:rPr>
          <w:color w:val="auto"/>
          <w:highlight w:val="none"/>
        </w:rPr>
      </w:pPr>
    </w:p>
    <w:p>
      <w:pPr>
        <w:pStyle w:val="45"/>
        <w:tabs>
          <w:tab w:val="right" w:leader="dot" w:pos="8296"/>
        </w:tabs>
        <w:rPr>
          <w:rFonts w:asciiTheme="minorEastAsia" w:hAnsiTheme="minorEastAsia"/>
          <w:b/>
          <w:color w:val="auto"/>
          <w:sz w:val="32"/>
          <w:highlight w:val="none"/>
        </w:rPr>
      </w:pPr>
      <w:r>
        <w:rPr>
          <w:rFonts w:asciiTheme="minorEastAsia" w:hAnsiTheme="minorEastAsia"/>
          <w:color w:val="auto"/>
          <w:szCs w:val="24"/>
          <w:highlight w:val="none"/>
        </w:rPr>
        <w:fldChar w:fldCharType="end"/>
      </w:r>
    </w:p>
    <w:p>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pPr>
        <w:numPr>
          <w:ilvl w:val="0"/>
          <w:numId w:val="2"/>
        </w:numPr>
        <w:spacing w:line="360" w:lineRule="auto"/>
        <w:jc w:val="center"/>
        <w:outlineLvl w:val="0"/>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t xml:space="preserve"> </w:t>
      </w:r>
      <w:bookmarkStart w:id="1" w:name="_Toc23295"/>
      <w:r>
        <w:rPr>
          <w:rFonts w:hint="eastAsia" w:asciiTheme="minorEastAsia" w:hAnsiTheme="minorEastAsia" w:eastAsiaTheme="minorEastAsia"/>
          <w:b/>
          <w:color w:val="auto"/>
          <w:sz w:val="28"/>
          <w:highlight w:val="none"/>
          <w:lang w:val="en-US" w:eastAsia="zh-CN"/>
        </w:rPr>
        <w:t>谈判公告</w:t>
      </w:r>
      <w:bookmarkEnd w:id="1"/>
    </w:p>
    <w:p>
      <w:pPr>
        <w:tabs>
          <w:tab w:val="left" w:pos="2410"/>
        </w:tabs>
        <w:autoSpaceDE w:val="0"/>
        <w:autoSpaceDN w:val="0"/>
        <w:adjustRightInd w:val="0"/>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u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合肥百货大楼集团股份有限公司</w:t>
      </w:r>
      <w:r>
        <w:rPr>
          <w:rFonts w:hint="eastAsia" w:asciiTheme="majorEastAsia" w:hAnsiTheme="majorEastAsia" w:eastAsiaTheme="majorEastAsia" w:cstheme="majorEastAsia"/>
          <w:caps w:val="0"/>
          <w:smallCaps w:val="0"/>
          <w:color w:val="auto"/>
          <w:kern w:val="2"/>
          <w:sz w:val="24"/>
          <w:szCs w:val="24"/>
          <w:highlight w:val="none"/>
          <w:u w:val="none"/>
        </w:rPr>
        <w:t>委托，现</w:t>
      </w:r>
      <w:r>
        <w:rPr>
          <w:rFonts w:hint="eastAsia" w:asciiTheme="majorEastAsia" w:hAnsiTheme="majorEastAsia" w:eastAsiaTheme="majorEastAsia" w:cstheme="majorEastAsia"/>
          <w:caps w:val="0"/>
          <w:smallCaps w:val="0"/>
          <w:color w:val="auto"/>
          <w:kern w:val="2"/>
          <w:sz w:val="24"/>
          <w:szCs w:val="24"/>
          <w:highlight w:val="none"/>
          <w:u w:val="none"/>
          <w:lang w:eastAsia="zh-CN"/>
        </w:rPr>
        <w:t>对百大心悦城京东奥莱区域墙体拆除及内装工程</w:t>
      </w:r>
      <w:r>
        <w:rPr>
          <w:rFonts w:hint="eastAsia" w:asciiTheme="majorEastAsia" w:hAnsiTheme="majorEastAsia" w:eastAsiaTheme="majorEastAsia" w:cstheme="majorEastAsia"/>
          <w:caps w:val="0"/>
          <w:smallCaps w:val="0"/>
          <w:color w:val="auto"/>
          <w:kern w:val="2"/>
          <w:sz w:val="24"/>
          <w:szCs w:val="24"/>
          <w:highlight w:val="none"/>
          <w:u w:val="none"/>
        </w:rPr>
        <w:t>进行</w:t>
      </w:r>
      <w:r>
        <w:rPr>
          <w:rFonts w:hint="eastAsia" w:asciiTheme="majorEastAsia" w:hAnsiTheme="majorEastAsia" w:eastAsiaTheme="majorEastAsia" w:cstheme="majorEastAsia"/>
          <w:caps w:val="0"/>
          <w:smallCaps w:val="0"/>
          <w:color w:val="auto"/>
          <w:kern w:val="2"/>
          <w:sz w:val="24"/>
          <w:szCs w:val="24"/>
          <w:highlight w:val="none"/>
          <w:u w:val="none"/>
          <w:lang w:eastAsia="zh-CN"/>
        </w:rPr>
        <w:t>竞争性谈判</w:t>
      </w:r>
      <w:r>
        <w:rPr>
          <w:rFonts w:hint="eastAsia" w:asciiTheme="majorEastAsia" w:hAnsiTheme="majorEastAsia" w:eastAsiaTheme="majorEastAsia" w:cstheme="majorEastAsia"/>
          <w:caps w:val="0"/>
          <w:smallCaps w:val="0"/>
          <w:color w:val="auto"/>
          <w:kern w:val="2"/>
          <w:sz w:val="24"/>
          <w:szCs w:val="24"/>
          <w:highlight w:val="none"/>
          <w:u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u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u w:val="none"/>
        </w:rPr>
        <w:t>参加</w:t>
      </w:r>
      <w:r>
        <w:rPr>
          <w:rFonts w:hint="eastAsia" w:asciiTheme="majorEastAsia" w:hAnsiTheme="majorEastAsia" w:eastAsiaTheme="majorEastAsia" w:cstheme="majorEastAsia"/>
          <w:caps w:val="0"/>
          <w:smallCaps w:val="0"/>
          <w:color w:val="auto"/>
          <w:kern w:val="2"/>
          <w:sz w:val="24"/>
          <w:szCs w:val="24"/>
          <w:highlight w:val="none"/>
          <w:u w:val="none"/>
          <w:lang w:eastAsia="zh-CN"/>
        </w:rPr>
        <w:t>谈判</w:t>
      </w:r>
      <w:r>
        <w:rPr>
          <w:rFonts w:hint="eastAsia" w:asciiTheme="majorEastAsia" w:hAnsiTheme="majorEastAsia" w:eastAsiaTheme="majorEastAsia" w:cstheme="majorEastAsia"/>
          <w:caps w:val="0"/>
          <w:smallCaps w:val="0"/>
          <w:color w:val="auto"/>
          <w:kern w:val="2"/>
          <w:sz w:val="24"/>
          <w:szCs w:val="24"/>
          <w:highlight w:val="none"/>
          <w:u w:val="none"/>
        </w:rPr>
        <w:t>。</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项目名称及内容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1.1 </w:t>
      </w:r>
      <w:r>
        <w:rPr>
          <w:rFonts w:hint="eastAsia" w:asciiTheme="majorEastAsia" w:hAnsiTheme="majorEastAsia" w:eastAsiaTheme="majorEastAsia" w:cstheme="majorEastAsia"/>
          <w:color w:val="auto"/>
          <w:sz w:val="24"/>
          <w:szCs w:val="24"/>
          <w:highlight w:val="none"/>
        </w:rPr>
        <w:t>项目编号：</w:t>
      </w:r>
      <w:r>
        <w:rPr>
          <w:rFonts w:hint="eastAsia" w:asciiTheme="majorEastAsia" w:hAnsiTheme="majorEastAsia" w:eastAsiaTheme="majorEastAsia" w:cstheme="majorEastAsia"/>
          <w:color w:val="auto"/>
          <w:sz w:val="24"/>
          <w:szCs w:val="24"/>
          <w:highlight w:val="none"/>
          <w:u w:val="none"/>
          <w:lang w:eastAsia="zh-CN"/>
        </w:rPr>
        <w:t>2025HAFGJ00408</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aps w:val="0"/>
          <w:smallCaps w:val="0"/>
          <w:color w:val="auto"/>
          <w:kern w:val="2"/>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1.2 </w:t>
      </w:r>
      <w:r>
        <w:rPr>
          <w:rFonts w:hint="eastAsia" w:asciiTheme="majorEastAsia" w:hAnsiTheme="majorEastAsia" w:eastAsiaTheme="majorEastAsia" w:cstheme="majorEastAsia"/>
          <w:color w:val="auto"/>
          <w:sz w:val="24"/>
          <w:szCs w:val="24"/>
          <w:highlight w:val="none"/>
          <w:u w:val="none"/>
        </w:rPr>
        <w:t>项目名称：</w:t>
      </w:r>
      <w:r>
        <w:rPr>
          <w:rFonts w:hint="eastAsia" w:asciiTheme="majorEastAsia" w:hAnsiTheme="majorEastAsia" w:eastAsiaTheme="majorEastAsia" w:cstheme="majorEastAsia"/>
          <w:caps w:val="0"/>
          <w:smallCaps w:val="0"/>
          <w:color w:val="auto"/>
          <w:kern w:val="2"/>
          <w:sz w:val="24"/>
          <w:szCs w:val="24"/>
          <w:highlight w:val="none"/>
          <w:u w:val="none"/>
          <w:lang w:eastAsia="zh-CN"/>
        </w:rPr>
        <w:t>百大心悦城京东奥莱区域墙体拆除及内装工程</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1.3 </w:t>
      </w:r>
      <w:r>
        <w:rPr>
          <w:rFonts w:hint="eastAsia" w:asciiTheme="majorEastAsia" w:hAnsiTheme="majorEastAsia" w:eastAsiaTheme="majorEastAsia" w:cstheme="majorEastAsia"/>
          <w:color w:val="auto"/>
          <w:sz w:val="24"/>
          <w:szCs w:val="24"/>
          <w:highlight w:val="none"/>
        </w:rPr>
        <w:t>项目地点：</w:t>
      </w:r>
      <w:r>
        <w:rPr>
          <w:rFonts w:hint="eastAsia" w:asciiTheme="majorEastAsia" w:hAnsiTheme="majorEastAsia" w:eastAsiaTheme="majorEastAsia" w:cstheme="majorEastAsia"/>
          <w:color w:val="auto"/>
          <w:sz w:val="24"/>
          <w:szCs w:val="24"/>
          <w:highlight w:val="none"/>
          <w:lang w:val="en-US" w:eastAsia="zh-CN"/>
        </w:rPr>
        <w:t>安徽省合肥市包河区包河大道与紫云路交叉口</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1.4 </w:t>
      </w:r>
      <w:r>
        <w:rPr>
          <w:rFonts w:hint="eastAsia" w:asciiTheme="majorEastAsia" w:hAnsiTheme="majorEastAsia" w:eastAsiaTheme="majorEastAsia" w:cstheme="majorEastAsia"/>
          <w:color w:val="auto"/>
          <w:sz w:val="24"/>
          <w:szCs w:val="24"/>
          <w:highlight w:val="none"/>
        </w:rPr>
        <w:t>项目单位：</w:t>
      </w:r>
      <w:r>
        <w:rPr>
          <w:rFonts w:hint="eastAsia" w:asciiTheme="majorEastAsia" w:hAnsiTheme="majorEastAsia" w:eastAsiaTheme="majorEastAsia" w:cstheme="majorEastAsia"/>
          <w:color w:val="auto"/>
          <w:sz w:val="24"/>
          <w:szCs w:val="24"/>
          <w:highlight w:val="none"/>
          <w:lang w:val="en-US" w:eastAsia="zh-CN"/>
        </w:rPr>
        <w:t>合肥百货大楼集团股份有限公司滨湖心悦城购物中心</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1.5 </w:t>
      </w:r>
      <w:r>
        <w:rPr>
          <w:rFonts w:hint="eastAsia" w:asciiTheme="majorEastAsia" w:hAnsiTheme="majorEastAsia" w:eastAsiaTheme="majorEastAsia" w:cstheme="majorEastAsia"/>
          <w:color w:val="auto"/>
          <w:sz w:val="24"/>
          <w:szCs w:val="24"/>
          <w:highlight w:val="none"/>
        </w:rPr>
        <w:t>项目概况：为配合京东奥莱进驻百大心悦城，要对现有24家商户进行铺位调整，拆除现有商户隔墙及区域内装饰工程。</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1.6 </w:t>
      </w:r>
      <w:r>
        <w:rPr>
          <w:rFonts w:hint="eastAsia" w:asciiTheme="majorEastAsia" w:hAnsiTheme="majorEastAsia" w:eastAsiaTheme="majorEastAsia" w:cstheme="majorEastAsia"/>
          <w:color w:val="auto"/>
          <w:sz w:val="24"/>
          <w:szCs w:val="24"/>
          <w:highlight w:val="none"/>
        </w:rPr>
        <w:t>资金来源：</w:t>
      </w:r>
      <w:r>
        <w:rPr>
          <w:rFonts w:hint="eastAsia" w:asciiTheme="majorEastAsia" w:hAnsiTheme="majorEastAsia" w:eastAsiaTheme="majorEastAsia" w:cstheme="majorEastAsia"/>
          <w:color w:val="auto"/>
          <w:sz w:val="24"/>
          <w:szCs w:val="24"/>
          <w:highlight w:val="none"/>
          <w:lang w:val="en-US" w:eastAsia="zh-CN"/>
        </w:rPr>
        <w:t>自筹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1.7 </w:t>
      </w:r>
      <w:r>
        <w:rPr>
          <w:rFonts w:hint="eastAsia" w:asciiTheme="majorEastAsia" w:hAnsiTheme="majorEastAsia" w:eastAsiaTheme="majorEastAsia" w:cstheme="majorEastAsia"/>
          <w:color w:val="auto"/>
          <w:sz w:val="24"/>
          <w:szCs w:val="24"/>
          <w:highlight w:val="none"/>
        </w:rPr>
        <w:t>项目</w:t>
      </w:r>
      <w:r>
        <w:rPr>
          <w:rFonts w:hint="eastAsia" w:asciiTheme="majorEastAsia" w:hAnsiTheme="majorEastAsia" w:eastAsiaTheme="majorEastAsia" w:cstheme="majorEastAsia"/>
          <w:color w:val="auto"/>
          <w:sz w:val="24"/>
          <w:szCs w:val="24"/>
          <w:highlight w:val="none"/>
          <w:lang w:eastAsia="zh-CN"/>
        </w:rPr>
        <w:t>估算价</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 xml:space="preserve">95万元 </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1.8 </w:t>
      </w:r>
      <w:r>
        <w:rPr>
          <w:rFonts w:hint="eastAsia" w:asciiTheme="majorEastAsia" w:hAnsiTheme="majorEastAsia" w:eastAsiaTheme="majorEastAsia" w:cstheme="majorEastAsia"/>
          <w:color w:val="auto"/>
          <w:sz w:val="24"/>
          <w:szCs w:val="24"/>
          <w:highlight w:val="none"/>
        </w:rPr>
        <w:t>项目类别：</w:t>
      </w:r>
      <w:r>
        <w:rPr>
          <w:rFonts w:hint="eastAsia" w:asciiTheme="majorEastAsia" w:hAnsiTheme="majorEastAsia" w:eastAsiaTheme="majorEastAsia" w:cstheme="majorEastAsia"/>
          <w:color w:val="auto"/>
          <w:sz w:val="24"/>
          <w:szCs w:val="24"/>
          <w:highlight w:val="none"/>
          <w:lang w:val="en-US" w:eastAsia="zh-CN"/>
        </w:rPr>
        <w:t>工程施工</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1.9 </w:t>
      </w:r>
      <w:r>
        <w:rPr>
          <w:rFonts w:hint="eastAsia" w:asciiTheme="majorEastAsia" w:hAnsiTheme="majorEastAsia" w:eastAsiaTheme="majorEastAsia" w:cstheme="majorEastAsia"/>
          <w:color w:val="auto"/>
          <w:sz w:val="24"/>
          <w:szCs w:val="24"/>
          <w:highlight w:val="none"/>
        </w:rPr>
        <w:t>标段划分：共分</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val="en-US" w:eastAsia="zh-CN"/>
        </w:rPr>
        <w:t>谈判</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lang w:eastAsia="zh-CN"/>
        </w:rPr>
        <w:t>标段。</w:t>
      </w:r>
    </w:p>
    <w:p>
      <w:pPr>
        <w:spacing w:line="360" w:lineRule="auto"/>
        <w:ind w:firstLine="435"/>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lang w:eastAsia="zh-CN"/>
        </w:rPr>
        <w:t>投标人</w:t>
      </w:r>
      <w:r>
        <w:rPr>
          <w:rFonts w:hint="eastAsia" w:asciiTheme="majorEastAsia" w:hAnsiTheme="majorEastAsia" w:eastAsiaTheme="majorEastAsia" w:cstheme="majorEastAsia"/>
          <w:b/>
          <w:bCs/>
          <w:color w:val="auto"/>
          <w:sz w:val="24"/>
          <w:szCs w:val="24"/>
          <w:highlight w:val="none"/>
        </w:rPr>
        <w:t>资格</w:t>
      </w:r>
      <w:r>
        <w:rPr>
          <w:rFonts w:hint="eastAsia" w:asciiTheme="majorEastAsia" w:hAnsiTheme="majorEastAsia" w:eastAsiaTheme="majorEastAsia" w:cstheme="majorEastAsia"/>
          <w:b/>
          <w:bCs/>
          <w:color w:val="auto"/>
          <w:sz w:val="24"/>
          <w:szCs w:val="24"/>
          <w:highlight w:val="none"/>
          <w:lang w:eastAsia="zh-CN"/>
        </w:rPr>
        <w:t>要求</w:t>
      </w:r>
      <w:r>
        <w:rPr>
          <w:rFonts w:hint="eastAsia" w:asciiTheme="majorEastAsia" w:hAnsiTheme="majorEastAsia" w:eastAsiaTheme="majorEastAsia" w:cstheme="majorEastAsia"/>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2.1</w:t>
      </w:r>
      <w:r>
        <w:rPr>
          <w:rFonts w:hint="eastAsia" w:asciiTheme="majorEastAsia" w:hAnsiTheme="majorEastAsia" w:eastAsiaTheme="majorEastAsia" w:cstheme="majorEastAsia"/>
          <w:color w:val="auto"/>
          <w:sz w:val="24"/>
          <w:szCs w:val="24"/>
          <w:highlight w:val="none"/>
        </w:rPr>
        <w:t>投标人具有独立承担民事责任的能力；</w:t>
      </w:r>
    </w:p>
    <w:p>
      <w:pPr>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2.2</w:t>
      </w:r>
      <w:r>
        <w:rPr>
          <w:rFonts w:hint="eastAsia" w:asciiTheme="majorEastAsia" w:hAnsiTheme="majorEastAsia" w:eastAsiaTheme="majorEastAsia" w:cstheme="majorEastAsia"/>
          <w:color w:val="auto"/>
          <w:sz w:val="24"/>
          <w:szCs w:val="24"/>
          <w:highlight w:val="none"/>
          <w:lang w:eastAsia="zh-CN"/>
        </w:rPr>
        <w:t>投标人资质要求：</w:t>
      </w:r>
      <w:r>
        <w:rPr>
          <w:rFonts w:hint="eastAsia" w:asciiTheme="majorEastAsia" w:hAnsiTheme="majorEastAsia" w:eastAsiaTheme="majorEastAsia" w:cstheme="majorEastAsia"/>
          <w:color w:val="auto"/>
          <w:sz w:val="24"/>
          <w:szCs w:val="24"/>
        </w:rPr>
        <w:t>具备有效的营业执照</w:t>
      </w:r>
      <w:r>
        <w:rPr>
          <w:rFonts w:hint="eastAsia" w:asciiTheme="majorEastAsia" w:hAnsiTheme="majorEastAsia" w:eastAsiaTheme="majorEastAsia" w:cstheme="majorEastAsia"/>
          <w:color w:val="auto"/>
          <w:sz w:val="24"/>
          <w:szCs w:val="24"/>
          <w:lang w:val="en-US" w:eastAsia="zh-CN"/>
        </w:rPr>
        <w:t>,</w:t>
      </w:r>
      <w:r>
        <w:rPr>
          <w:rFonts w:hint="eastAsia" w:ascii="Times New Roman" w:hAnsi="Times New Roman" w:cs="楷体"/>
          <w:bCs/>
          <w:snapToGrid w:val="0"/>
          <w:color w:val="auto"/>
          <w:kern w:val="0"/>
          <w:sz w:val="24"/>
          <w:szCs w:val="24"/>
          <w:highlight w:val="none"/>
        </w:rPr>
        <w:t>投标人须</w:t>
      </w:r>
      <w:r>
        <w:rPr>
          <w:rFonts w:ascii="Times New Roman" w:hAnsi="Times New Roman" w:cs="楷体"/>
          <w:bCs/>
          <w:snapToGrid w:val="0"/>
          <w:color w:val="auto"/>
          <w:kern w:val="0"/>
          <w:sz w:val="24"/>
          <w:szCs w:val="24"/>
          <w:highlight w:val="none"/>
        </w:rPr>
        <w:t>具备</w:t>
      </w:r>
      <w:r>
        <w:rPr>
          <w:rFonts w:hint="eastAsia" w:ascii="Times New Roman" w:hAnsi="Times New Roman"/>
          <w:i w:val="0"/>
          <w:iCs w:val="0"/>
          <w:color w:val="auto"/>
          <w:sz w:val="24"/>
          <w:szCs w:val="24"/>
          <w:highlight w:val="none"/>
          <w:u w:val="none"/>
        </w:rPr>
        <w:t>建筑工程施工总承包叁级及以上</w:t>
      </w:r>
      <w:r>
        <w:rPr>
          <w:rFonts w:hint="eastAsia" w:ascii="Times New Roman" w:hAnsi="Times New Roman" w:cs="楷体"/>
          <w:bCs/>
          <w:i w:val="0"/>
          <w:iCs w:val="0"/>
          <w:snapToGrid w:val="0"/>
          <w:color w:val="auto"/>
          <w:kern w:val="0"/>
          <w:sz w:val="24"/>
          <w:szCs w:val="24"/>
          <w:highlight w:val="none"/>
          <w:u w:val="none"/>
        </w:rPr>
        <w:t>资质</w:t>
      </w:r>
      <w:r>
        <w:rPr>
          <w:rFonts w:hint="eastAsia" w:ascii="Times New Roman" w:hAnsi="Times New Roman" w:cs="楷体"/>
          <w:bCs/>
          <w:i w:val="0"/>
          <w:iCs w:val="0"/>
          <w:snapToGrid w:val="0"/>
          <w:color w:val="auto"/>
          <w:kern w:val="0"/>
          <w:sz w:val="24"/>
          <w:szCs w:val="24"/>
          <w:highlight w:val="none"/>
          <w:u w:val="none"/>
          <w:lang w:eastAsia="zh-CN"/>
        </w:rPr>
        <w:t>，</w:t>
      </w:r>
      <w:r>
        <w:rPr>
          <w:rFonts w:hint="eastAsia" w:ascii="Times New Roman" w:hAnsi="Times New Roman" w:cs="楷体"/>
          <w:bCs/>
          <w:i w:val="0"/>
          <w:iCs w:val="0"/>
          <w:snapToGrid w:val="0"/>
          <w:color w:val="auto"/>
          <w:kern w:val="0"/>
          <w:sz w:val="24"/>
          <w:szCs w:val="24"/>
          <w:highlight w:val="none"/>
          <w:u w:val="none"/>
        </w:rPr>
        <w:t>具备有效的安全生产许可证。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投标人业绩要求：</w:t>
      </w:r>
      <w:r>
        <w:rPr>
          <w:rFonts w:hint="eastAsia" w:asciiTheme="majorEastAsia" w:hAnsiTheme="majorEastAsia" w:eastAsiaTheme="majorEastAsia" w:cstheme="majorEastAsia"/>
          <w:color w:val="auto"/>
          <w:sz w:val="24"/>
          <w:szCs w:val="24"/>
        </w:rPr>
        <w:t>自202</w:t>
      </w:r>
      <w:r>
        <w:rPr>
          <w:rFonts w:hint="eastAsia" w:asciiTheme="majorEastAsia" w:hAnsiTheme="majorEastAsia" w:eastAsiaTheme="majorEastAsia" w:cstheme="majorEastAsia"/>
          <w:color w:val="auto"/>
          <w:sz w:val="24"/>
          <w:szCs w:val="24"/>
          <w:lang w:val="en-US" w:eastAsia="zh-CN"/>
        </w:rPr>
        <w:t>0</w:t>
      </w:r>
      <w:r>
        <w:rPr>
          <w:rFonts w:hint="eastAsia" w:asciiTheme="majorEastAsia" w:hAnsiTheme="majorEastAsia" w:eastAsiaTheme="majorEastAsia" w:cstheme="majorEastAsia"/>
          <w:color w:val="auto"/>
          <w:sz w:val="24"/>
          <w:szCs w:val="24"/>
        </w:rPr>
        <w:t>年1月1日以来（以合同签订时间为准），投标人在中华人民共和国境内（不含港澳台）须具备单个合同中含有合同金额不低于</w:t>
      </w:r>
      <w:r>
        <w:rPr>
          <w:rFonts w:hint="eastAsia" w:asciiTheme="majorEastAsia" w:hAnsiTheme="majorEastAsia" w:eastAsiaTheme="majorEastAsia" w:cstheme="majorEastAsia"/>
          <w:color w:val="auto"/>
          <w:sz w:val="24"/>
          <w:szCs w:val="24"/>
          <w:lang w:val="en-US" w:eastAsia="zh-CN"/>
        </w:rPr>
        <w:t>65</w:t>
      </w:r>
      <w:r>
        <w:rPr>
          <w:rFonts w:hint="eastAsia" w:asciiTheme="majorEastAsia" w:hAnsiTheme="majorEastAsia" w:eastAsiaTheme="majorEastAsia" w:cstheme="majorEastAsia"/>
          <w:color w:val="auto"/>
          <w:sz w:val="24"/>
          <w:szCs w:val="24"/>
        </w:rPr>
        <w:t>万元装饰装修工程的施工业绩。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2.4</w:t>
      </w:r>
      <w:r>
        <w:rPr>
          <w:rFonts w:hint="eastAsia" w:asciiTheme="majorEastAsia" w:hAnsiTheme="majorEastAsia" w:eastAsiaTheme="majorEastAsia" w:cstheme="majorEastAsia"/>
          <w:color w:val="auto"/>
          <w:sz w:val="24"/>
          <w:szCs w:val="24"/>
          <w:highlight w:val="none"/>
        </w:rPr>
        <w:t>项目经理资格要求：</w:t>
      </w:r>
      <w:r>
        <w:rPr>
          <w:rFonts w:hint="eastAsia" w:ascii="Times New Roman" w:hAnsi="Times New Roman" w:cs="楷体"/>
          <w:bCs/>
          <w:i w:val="0"/>
          <w:iCs w:val="0"/>
          <w:snapToGrid w:val="0"/>
          <w:color w:val="auto"/>
          <w:kern w:val="0"/>
          <w:sz w:val="24"/>
          <w:szCs w:val="24"/>
          <w:highlight w:val="none"/>
          <w:u w:val="none"/>
        </w:rPr>
        <w:t>项目负责人须具备建筑工程专业二级及以上注册建造师资格</w:t>
      </w:r>
      <w:r>
        <w:rPr>
          <w:rFonts w:hint="eastAsia" w:ascii="Times New Roman" w:hAnsi="Times New Roman" w:cs="楷体"/>
          <w:bCs/>
          <w:i w:val="0"/>
          <w:iCs w:val="0"/>
          <w:snapToGrid w:val="0"/>
          <w:color w:val="auto"/>
          <w:kern w:val="0"/>
          <w:sz w:val="24"/>
          <w:szCs w:val="24"/>
          <w:highlight w:val="none"/>
          <w:u w:val="none"/>
          <w:lang w:eastAsia="zh-CN"/>
        </w:rPr>
        <w:t>，具备有效的安全生产考核合格证书（B证）。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项目经理</w:t>
      </w:r>
      <w:r>
        <w:rPr>
          <w:rFonts w:hint="eastAsia" w:asciiTheme="majorEastAsia" w:hAnsiTheme="majorEastAsia" w:eastAsiaTheme="majorEastAsia" w:cstheme="majorEastAsia"/>
          <w:color w:val="auto"/>
          <w:sz w:val="24"/>
          <w:szCs w:val="24"/>
          <w:highlight w:val="none"/>
          <w:lang w:val="en-US" w:eastAsia="zh-CN"/>
        </w:rPr>
        <w:t>业绩要求：/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2.6</w:t>
      </w:r>
      <w:r>
        <w:rPr>
          <w:rFonts w:hint="eastAsia" w:asciiTheme="majorEastAsia" w:hAnsiTheme="majorEastAsia" w:eastAsiaTheme="majorEastAsia" w:cstheme="majorEastAsia"/>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2.7</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b/>
          <w:bCs/>
          <w:i/>
          <w:iCs/>
          <w:strike w:val="0"/>
          <w:dstrike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（1）被责令停产停业，暂扣或者吊销许可证，暂扣或者吊销执照；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（2）进入清算程序，或被宣告破产，或其他丧失履约能力的情形；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3</w:t>
      </w:r>
      <w:r>
        <w:rPr>
          <w:rFonts w:hint="eastAsia" w:asciiTheme="majorEastAsia" w:hAnsiTheme="majorEastAsia" w:eastAsiaTheme="majorEastAsia" w:cstheme="majorEastAsia"/>
          <w:strike w:val="0"/>
          <w:dstrike w:val="0"/>
          <w:color w:val="auto"/>
          <w:sz w:val="24"/>
          <w:szCs w:val="24"/>
          <w:highlight w:val="none"/>
        </w:rPr>
        <w:t>）在国家企业信用信息公示系统（http://www.gsxt.gov.cn/）中被列入严重违法失信企业名单；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4</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5</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color w:val="auto"/>
          <w:sz w:val="24"/>
          <w:szCs w:val="24"/>
          <w:highlight w:val="none"/>
          <w:lang w:val="en-US" w:eastAsia="zh-CN"/>
        </w:rPr>
        <w:t>失信主体</w:t>
      </w:r>
      <w:r>
        <w:rPr>
          <w:rFonts w:hint="eastAsia" w:asciiTheme="majorEastAsia" w:hAnsiTheme="majorEastAsia" w:eastAsiaTheme="majorEastAsia" w:cstheme="majorEastAsia"/>
          <w:strike w:val="0"/>
          <w:dstrike w:val="0"/>
          <w:color w:val="auto"/>
          <w:sz w:val="24"/>
          <w:szCs w:val="24"/>
          <w:highlight w:val="none"/>
        </w:rPr>
        <w:t>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6</w:t>
      </w:r>
      <w:r>
        <w:rPr>
          <w:rFonts w:hint="eastAsia" w:asciiTheme="majorEastAsia" w:hAnsiTheme="majorEastAsia" w:eastAsiaTheme="majorEastAsia" w:cstheme="majorEastAsia"/>
          <w:strike w:val="0"/>
          <w:dstrike w:val="0"/>
          <w:color w:val="auto"/>
          <w:sz w:val="24"/>
          <w:szCs w:val="24"/>
          <w:highlight w:val="none"/>
        </w:rPr>
        <w:t>）在近三年内投标人或其法定代表人（单位负责人）有行贿犯罪行为的；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eastAsia="zh-CN"/>
        </w:rPr>
        <w:t>（</w:t>
      </w:r>
      <w:r>
        <w:rPr>
          <w:rFonts w:hint="eastAsia" w:asciiTheme="majorEastAsia" w:hAnsiTheme="majorEastAsia" w:eastAsiaTheme="majorEastAsia" w:cstheme="majorEastAsia"/>
          <w:strike w:val="0"/>
          <w:dstrike w:val="0"/>
          <w:color w:val="auto"/>
          <w:sz w:val="24"/>
          <w:szCs w:val="24"/>
          <w:highlight w:val="none"/>
          <w:lang w:val="en-US" w:eastAsia="zh-CN"/>
        </w:rPr>
        <w:t>7</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）在“信用中国”网站（http://www.creditchina.gov.cn/）中被列入拖欠农民工工资失信联合惩戒对象名单</w:t>
      </w:r>
      <w:r>
        <w:rPr>
          <w:rFonts w:hint="eastAsia" w:asciiTheme="majorEastAsia" w:hAnsiTheme="majorEastAsia" w:eastAsiaTheme="majorEastAsia" w:cstheme="majorEastAsia"/>
          <w:strike w:val="0"/>
          <w:dstrike w:val="0"/>
          <w:color w:val="auto"/>
          <w:sz w:val="24"/>
          <w:szCs w:val="24"/>
          <w:highlight w:val="none"/>
          <w:lang w:eastAsia="zh-CN"/>
        </w:rPr>
        <w:t>。</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3.</w:t>
      </w:r>
      <w:r>
        <w:rPr>
          <w:rFonts w:hint="eastAsia" w:asciiTheme="majorEastAsia" w:hAnsiTheme="majorEastAsia" w:eastAsiaTheme="majorEastAsia" w:cstheme="majorEastAsia"/>
          <w:b/>
          <w:bCs/>
          <w:color w:val="auto"/>
          <w:sz w:val="24"/>
          <w:szCs w:val="24"/>
          <w:highlight w:val="none"/>
          <w:lang w:eastAsia="zh-CN"/>
        </w:rPr>
        <w:t>谈判</w:t>
      </w:r>
      <w:r>
        <w:rPr>
          <w:rFonts w:hint="eastAsia" w:asciiTheme="majorEastAsia" w:hAnsiTheme="majorEastAsia" w:eastAsiaTheme="majorEastAsia" w:cstheme="majorEastAsia"/>
          <w:b/>
          <w:bCs/>
          <w:color w:val="auto"/>
          <w:sz w:val="24"/>
          <w:szCs w:val="24"/>
          <w:highlight w:val="none"/>
        </w:rPr>
        <w:t>文件的获取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获取时间：</w:t>
      </w:r>
      <w:r>
        <w:rPr>
          <w:rFonts w:hint="eastAsia" w:asciiTheme="majorEastAsia" w:hAnsiTheme="majorEastAsia" w:eastAsiaTheme="majorEastAsia" w:cstheme="majorEastAsia"/>
          <w:color w:val="auto"/>
          <w:sz w:val="24"/>
          <w:szCs w:val="24"/>
          <w:highlight w:val="none"/>
          <w:lang w:val="en-US" w:eastAsia="zh-CN"/>
        </w:rPr>
        <w:t>2025-03-04到投标截止时间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获取方式：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（1）本谈判项目实行全流程电子化交易。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color w:val="auto"/>
          <w:sz w:val="24"/>
          <w:szCs w:val="24"/>
          <w:highlight w:val="none"/>
        </w:rPr>
        <w:t>系统（以下简称“电子</w:t>
      </w:r>
      <w:r>
        <w:rPr>
          <w:rFonts w:hint="eastAsia" w:asciiTheme="majorEastAsia" w:hAnsiTheme="majorEastAsia" w:eastAsiaTheme="majorEastAsia" w:cstheme="majorEastAsia"/>
          <w:color w:val="auto"/>
          <w:sz w:val="24"/>
          <w:szCs w:val="24"/>
          <w:highlight w:val="none"/>
          <w:lang w:val="en-US" w:eastAsia="zh-CN"/>
        </w:rPr>
        <w:t>交易</w:t>
      </w:r>
      <w:r>
        <w:rPr>
          <w:rFonts w:hint="eastAsia" w:asciiTheme="majorEastAsia" w:hAnsiTheme="majorEastAsia" w:eastAsiaTheme="majorEastAsia" w:cstheme="majorEastAsia"/>
          <w:color w:val="auto"/>
          <w:sz w:val="24"/>
          <w:szCs w:val="24"/>
          <w:highlight w:val="none"/>
        </w:rPr>
        <w:t>系统”）查阅</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）潜在投标人查阅</w:t>
      </w:r>
      <w:r>
        <w:rPr>
          <w:rFonts w:hint="eastAsia" w:asciiTheme="majorEastAsia" w:hAnsiTheme="majorEastAsia" w:eastAsiaTheme="majorEastAsia" w:cstheme="majorEastAsia"/>
          <w:color w:val="auto"/>
          <w:sz w:val="24"/>
          <w:szCs w:val="24"/>
          <w:highlight w:val="none"/>
          <w:lang w:val="en-US" w:eastAsia="zh-CN"/>
        </w:rPr>
        <w:t>谈判</w:t>
      </w:r>
      <w:r>
        <w:rPr>
          <w:rFonts w:hint="eastAsia" w:asciiTheme="majorEastAsia" w:hAnsiTheme="majorEastAsia" w:eastAsiaTheme="majorEastAsia" w:cstheme="majorEastAsia"/>
          <w:color w:val="auto"/>
          <w:sz w:val="24"/>
          <w:szCs w:val="24"/>
          <w:highlight w:val="none"/>
        </w:rPr>
        <w:t>文件后，如参与投标，则须</w:t>
      </w:r>
      <w:r>
        <w:rPr>
          <w:rFonts w:hint="eastAsia" w:asciiTheme="majorEastAsia" w:hAnsiTheme="majorEastAsia" w:eastAsiaTheme="majorEastAsia" w:cstheme="majorEastAsia"/>
          <w:color w:val="auto"/>
          <w:sz w:val="24"/>
          <w:szCs w:val="24"/>
          <w:highlight w:val="none"/>
          <w:lang w:val="en-US" w:eastAsia="zh-CN"/>
        </w:rPr>
        <w:t>在</w:t>
      </w:r>
      <w:r>
        <w:rPr>
          <w:rFonts w:hint="eastAsia" w:asciiTheme="majorEastAsia" w:hAnsiTheme="majorEastAsia" w:eastAsiaTheme="majorEastAsia" w:cstheme="majorEastAsia"/>
          <w:color w:val="auto"/>
          <w:sz w:val="24"/>
          <w:szCs w:val="24"/>
          <w:highlight w:val="none"/>
        </w:rPr>
        <w:t>规定的</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文件获取时间内通过安徽公共资源交易集团电子交易系统完成投标信息的填写。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文件获取过程中有任何疑问，请在工作时间（9：00-17：30，节假日休息）拨打技术支持热线（非项目咨询）：</w:t>
      </w:r>
      <w:r>
        <w:rPr>
          <w:rFonts w:hint="eastAsia" w:asciiTheme="majorEastAsia" w:hAnsiTheme="majorEastAsia" w:eastAsiaTheme="majorEastAsia" w:cstheme="majorEastAsia"/>
          <w:color w:val="auto"/>
          <w:sz w:val="24"/>
          <w:szCs w:val="24"/>
          <w:highlight w:val="none"/>
          <w:lang w:val="en-US" w:eastAsia="zh-CN"/>
        </w:rPr>
        <w:t>0512-58188516</w:t>
      </w:r>
      <w:r>
        <w:rPr>
          <w:rFonts w:hint="eastAsia" w:asciiTheme="majorEastAsia" w:hAnsiTheme="majorEastAsia" w:eastAsiaTheme="majorEastAsia" w:cstheme="majorEastAsia"/>
          <w:color w:val="auto"/>
          <w:sz w:val="24"/>
          <w:szCs w:val="24"/>
          <w:highlight w:val="none"/>
        </w:rPr>
        <w:t>。项目咨询请拨打电话：0551-6622</w:t>
      </w:r>
      <w:r>
        <w:rPr>
          <w:rFonts w:hint="eastAsia" w:asciiTheme="majorEastAsia" w:hAnsiTheme="majorEastAsia" w:eastAsiaTheme="majorEastAsia" w:cstheme="majorEastAsia"/>
          <w:color w:val="auto"/>
          <w:sz w:val="24"/>
          <w:szCs w:val="24"/>
          <w:highlight w:val="none"/>
          <w:lang w:val="en-US" w:eastAsia="zh-CN"/>
        </w:rPr>
        <w:t>3628</w:t>
      </w:r>
      <w:r>
        <w:rPr>
          <w:rFonts w:hint="eastAsia" w:asciiTheme="majorEastAsia" w:hAnsiTheme="majorEastAsia" w:eastAsiaTheme="majorEastAsia" w:cstheme="majorEastAsia"/>
          <w:color w:val="auto"/>
          <w:sz w:val="24"/>
          <w:szCs w:val="24"/>
          <w:highlight w:val="none"/>
        </w:rPr>
        <w:t>、6622</w:t>
      </w:r>
      <w:r>
        <w:rPr>
          <w:rFonts w:hint="eastAsia" w:asciiTheme="majorEastAsia" w:hAnsiTheme="majorEastAsia" w:eastAsiaTheme="majorEastAsia" w:cstheme="majorEastAsia"/>
          <w:color w:val="auto"/>
          <w:sz w:val="24"/>
          <w:szCs w:val="24"/>
          <w:highlight w:val="none"/>
          <w:lang w:val="en-US" w:eastAsia="zh-CN"/>
        </w:rPr>
        <w:t>3831</w:t>
      </w:r>
      <w:r>
        <w:rPr>
          <w:rFonts w:hint="eastAsia" w:asciiTheme="majorEastAsia" w:hAnsiTheme="majorEastAsia" w:eastAsiaTheme="majorEastAsia" w:cstheme="maj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3.3</w:t>
      </w:r>
      <w:r>
        <w:rPr>
          <w:rFonts w:hint="eastAsia" w:ascii="宋体" w:hAnsi="宋体" w:eastAsia="宋体"/>
          <w:bCs/>
          <w:color w:val="auto"/>
          <w:sz w:val="24"/>
          <w:szCs w:val="24"/>
          <w:highlight w:val="none"/>
          <w:lang w:val="en-US" w:eastAsia="zh-CN"/>
        </w:rPr>
        <w:t>电子交易服务费用：</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200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网上支付。</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4.</w:t>
      </w:r>
      <w:r>
        <w:rPr>
          <w:rFonts w:hint="eastAsia" w:asciiTheme="majorEastAsia" w:hAnsiTheme="majorEastAsia" w:eastAsiaTheme="majorEastAsia" w:cstheme="majorEastAsia"/>
          <w:b/>
          <w:bCs/>
          <w:color w:val="auto"/>
          <w:sz w:val="24"/>
          <w:szCs w:val="24"/>
          <w:highlight w:val="none"/>
          <w:lang w:eastAsia="zh-CN"/>
        </w:rPr>
        <w:t>投标文件</w:t>
      </w:r>
      <w:r>
        <w:rPr>
          <w:rFonts w:hint="eastAsia" w:asciiTheme="majorEastAsia" w:hAnsiTheme="majorEastAsia" w:eastAsiaTheme="majorEastAsia" w:cstheme="majorEastAsia"/>
          <w:b/>
          <w:bCs/>
          <w:color w:val="auto"/>
          <w:sz w:val="24"/>
          <w:szCs w:val="24"/>
          <w:highlight w:val="none"/>
        </w:rPr>
        <w:t>提交截止时间</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同</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时间</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5.</w:t>
      </w:r>
      <w:r>
        <w:rPr>
          <w:rFonts w:hint="eastAsia" w:asciiTheme="majorEastAsia" w:hAnsiTheme="majorEastAsia" w:eastAsiaTheme="majorEastAsia" w:cstheme="majorEastAsia"/>
          <w:b/>
          <w:bCs/>
          <w:color w:val="auto"/>
          <w:sz w:val="24"/>
          <w:szCs w:val="24"/>
          <w:highlight w:val="none"/>
          <w:lang w:eastAsia="zh-CN"/>
        </w:rPr>
        <w:t>谈判</w:t>
      </w:r>
      <w:r>
        <w:rPr>
          <w:rFonts w:hint="eastAsia" w:asciiTheme="majorEastAsia" w:hAnsiTheme="majorEastAsia" w:eastAsiaTheme="majorEastAsia" w:cstheme="majorEastAsia"/>
          <w:b/>
          <w:bCs/>
          <w:color w:val="auto"/>
          <w:sz w:val="24"/>
          <w:szCs w:val="24"/>
          <w:highlight w:val="none"/>
        </w:rPr>
        <w:t>时间及地点</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5.1</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时间：</w:t>
      </w:r>
      <w:r>
        <w:rPr>
          <w:rFonts w:hint="eastAsia" w:asciiTheme="majorEastAsia" w:hAnsiTheme="majorEastAsia" w:eastAsiaTheme="majorEastAsia" w:cstheme="majorEastAsia"/>
          <w:color w:val="auto"/>
          <w:sz w:val="24"/>
          <w:szCs w:val="24"/>
          <w:highlight w:val="none"/>
          <w:lang w:val="en-US" w:eastAsia="zh-CN"/>
        </w:rPr>
        <w:t xml:space="preserve">2025-03-10 14:00 </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5.2</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地点：</w:t>
      </w:r>
      <w:r>
        <w:rPr>
          <w:rFonts w:hint="eastAsia" w:asciiTheme="majorEastAsia" w:hAnsiTheme="majorEastAsia" w:eastAsiaTheme="majorEastAsia" w:cstheme="majorEastAsia"/>
          <w:color w:val="auto"/>
          <w:sz w:val="24"/>
          <w:szCs w:val="24"/>
          <w:highlight w:val="none"/>
          <w:lang w:val="en-US" w:eastAsia="zh-CN"/>
        </w:rPr>
        <w:t>合肥市滨湖新区徽州大道4872号金融港中心A9幢安徽公共资源交易集团二楼评标室（六）</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6.发布公告的媒介</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公告同时在安徽公共资源交易集团网站上发布。</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7.</w:t>
      </w:r>
      <w:r>
        <w:rPr>
          <w:rFonts w:hint="eastAsia" w:asciiTheme="majorEastAsia" w:hAnsiTheme="majorEastAsia" w:eastAsiaTheme="majorEastAsia" w:cstheme="majorEastAsia"/>
          <w:b/>
          <w:bCs/>
          <w:color w:val="auto"/>
          <w:sz w:val="24"/>
          <w:szCs w:val="24"/>
          <w:highlight w:val="none"/>
        </w:rPr>
        <w:t>联系方式</w:t>
      </w:r>
    </w:p>
    <w:p>
      <w:pPr>
        <w:spacing w:line="360" w:lineRule="auto"/>
        <w:ind w:firstLine="435"/>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7.1</w:t>
      </w:r>
      <w:r>
        <w:rPr>
          <w:rFonts w:hint="eastAsia" w:asciiTheme="majorEastAsia" w:hAnsiTheme="majorEastAsia" w:eastAsiaTheme="majorEastAsia" w:cstheme="majorEastAsia"/>
          <w:color w:val="auto"/>
          <w:sz w:val="24"/>
          <w:szCs w:val="24"/>
          <w:highlight w:val="none"/>
          <w:lang w:eastAsia="zh-CN"/>
        </w:rPr>
        <w:t>招标人</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招标人</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合肥百货大楼集团股份有限公司</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lang w:val="en-US" w:eastAsia="zh-CN"/>
        </w:rPr>
        <w:t>合肥市包河区包河大道与紫云路交叉口</w:t>
      </w:r>
    </w:p>
    <w:p>
      <w:pPr>
        <w:spacing w:line="360" w:lineRule="auto"/>
        <w:ind w:firstLine="435"/>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lang w:val="en-US" w:eastAsia="zh-CN"/>
        </w:rPr>
        <w:t>贺工</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lang w:val="en-US" w:eastAsia="zh-CN"/>
        </w:rPr>
        <w:t>0551-62899835</w:t>
      </w:r>
    </w:p>
    <w:p>
      <w:pPr>
        <w:spacing w:line="360" w:lineRule="auto"/>
        <w:ind w:firstLine="435"/>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7.2</w:t>
      </w:r>
      <w:r>
        <w:rPr>
          <w:rFonts w:hint="eastAsia" w:asciiTheme="majorEastAsia" w:hAnsiTheme="majorEastAsia" w:eastAsiaTheme="majorEastAsia" w:cstheme="majorEastAsia"/>
          <w:color w:val="auto"/>
          <w:sz w:val="24"/>
          <w:szCs w:val="24"/>
          <w:highlight w:val="none"/>
          <w:lang w:eastAsia="zh-CN"/>
        </w:rPr>
        <w:t>代理机构</w:t>
      </w:r>
    </w:p>
    <w:p>
      <w:pPr>
        <w:spacing w:line="360" w:lineRule="auto"/>
        <w:ind w:firstLine="435"/>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lang w:eastAsia="zh-CN"/>
        </w:rPr>
        <w:t>代理</w:t>
      </w:r>
      <w:r>
        <w:rPr>
          <w:rFonts w:hint="eastAsia" w:asciiTheme="majorEastAsia" w:hAnsiTheme="majorEastAsia" w:eastAsiaTheme="majorEastAsia" w:cstheme="majorEastAsia"/>
          <w:color w:val="auto"/>
          <w:sz w:val="24"/>
          <w:szCs w:val="24"/>
          <w:highlight w:val="none"/>
          <w:u w:val="none"/>
          <w:lang w:eastAsia="zh-CN"/>
        </w:rPr>
        <w:t>机构</w:t>
      </w:r>
      <w:r>
        <w:rPr>
          <w:rFonts w:hint="eastAsia" w:asciiTheme="majorEastAsia" w:hAnsiTheme="majorEastAsia" w:eastAsiaTheme="majorEastAsia" w:cstheme="majorEastAsia"/>
          <w:color w:val="auto"/>
          <w:sz w:val="24"/>
          <w:szCs w:val="24"/>
          <w:highlight w:val="none"/>
          <w:u w:val="none"/>
        </w:rPr>
        <w:t>：安徽公共资源交易集团项目管理有限公司</w:t>
      </w:r>
    </w:p>
    <w:p>
      <w:pPr>
        <w:spacing w:line="360" w:lineRule="auto"/>
        <w:ind w:firstLine="435"/>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地  址：合肥市滨湖新区南京路2588号（徽州大道与南京路交口）六楼</w:t>
      </w:r>
    </w:p>
    <w:p>
      <w:pPr>
        <w:spacing w:line="360" w:lineRule="auto"/>
        <w:ind w:firstLine="435"/>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联系人：李工</w:t>
      </w:r>
    </w:p>
    <w:p>
      <w:pPr>
        <w:spacing w:line="360" w:lineRule="auto"/>
        <w:ind w:firstLine="435"/>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rPr>
        <w:t>电  话：0551-6622</w:t>
      </w:r>
      <w:r>
        <w:rPr>
          <w:rFonts w:hint="eastAsia" w:asciiTheme="majorEastAsia" w:hAnsiTheme="majorEastAsia" w:eastAsiaTheme="majorEastAsia" w:cstheme="majorEastAsia"/>
          <w:color w:val="auto"/>
          <w:sz w:val="24"/>
          <w:szCs w:val="24"/>
          <w:highlight w:val="none"/>
          <w:u w:val="none"/>
          <w:lang w:val="en-US" w:eastAsia="zh-CN"/>
        </w:rPr>
        <w:t>3628</w:t>
      </w:r>
      <w:r>
        <w:rPr>
          <w:rFonts w:hint="eastAsia" w:asciiTheme="majorEastAsia" w:hAnsiTheme="majorEastAsia" w:eastAsiaTheme="majorEastAsia" w:cstheme="majorEastAsia"/>
          <w:color w:val="auto"/>
          <w:sz w:val="24"/>
          <w:szCs w:val="24"/>
          <w:highlight w:val="none"/>
          <w:u w:val="none"/>
        </w:rPr>
        <w:t>，6622</w:t>
      </w:r>
      <w:r>
        <w:rPr>
          <w:rFonts w:hint="eastAsia" w:asciiTheme="majorEastAsia" w:hAnsiTheme="majorEastAsia" w:eastAsiaTheme="majorEastAsia" w:cstheme="majorEastAsia"/>
          <w:color w:val="auto"/>
          <w:sz w:val="24"/>
          <w:szCs w:val="24"/>
          <w:highlight w:val="none"/>
          <w:u w:val="none"/>
          <w:lang w:val="en-US" w:eastAsia="zh-CN"/>
        </w:rPr>
        <w:t>3831</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7.3</w:t>
      </w:r>
      <w:r>
        <w:rPr>
          <w:rFonts w:hint="eastAsia" w:asciiTheme="majorEastAsia" w:hAnsiTheme="majorEastAsia" w:eastAsiaTheme="majorEastAsia" w:cstheme="majorEastAsia"/>
          <w:color w:val="auto"/>
          <w:sz w:val="24"/>
          <w:szCs w:val="24"/>
          <w:highlight w:val="none"/>
        </w:rPr>
        <w:t>电子交易系统</w:t>
      </w:r>
    </w:p>
    <w:p>
      <w:pPr>
        <w:spacing w:line="360" w:lineRule="auto"/>
        <w:ind w:firstLine="435"/>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rPr>
        <w:t>名  称：</w:t>
      </w:r>
      <w:r>
        <w:rPr>
          <w:rFonts w:hint="eastAsia" w:asciiTheme="majorEastAsia" w:hAnsiTheme="majorEastAsia" w:eastAsiaTheme="majorEastAsia" w:cstheme="majorEastAsia"/>
          <w:color w:val="auto"/>
          <w:sz w:val="24"/>
          <w:szCs w:val="24"/>
          <w:highlight w:val="none"/>
          <w:u w:val="none"/>
        </w:rPr>
        <w:t>安徽公共资源交易集团电子交易系统</w:t>
      </w:r>
    </w:p>
    <w:p>
      <w:pPr>
        <w:spacing w:line="360" w:lineRule="auto"/>
        <w:ind w:firstLine="435"/>
        <w:rPr>
          <w:rFonts w:hint="eastAsia" w:asciiTheme="majorEastAsia" w:hAnsiTheme="majorEastAsia" w:eastAsiaTheme="majorEastAsia" w:cstheme="majorEastAsia"/>
          <w:color w:val="auto"/>
          <w:sz w:val="24"/>
          <w:szCs w:val="24"/>
          <w:highlight w:val="none"/>
          <w:u w:val="none"/>
        </w:rPr>
      </w:pPr>
      <w:bookmarkStart w:id="2" w:name="_Hlk38114117"/>
      <w:r>
        <w:rPr>
          <w:rFonts w:hint="eastAsia" w:asciiTheme="majorEastAsia" w:hAnsiTheme="majorEastAsia" w:eastAsiaTheme="majorEastAsia" w:cstheme="majorEastAsia"/>
          <w:color w:val="auto"/>
          <w:sz w:val="24"/>
          <w:szCs w:val="24"/>
          <w:highlight w:val="none"/>
          <w:u w:val="none"/>
        </w:rPr>
        <w:t>电  话：</w:t>
      </w:r>
      <w:r>
        <w:rPr>
          <w:rFonts w:hint="eastAsia" w:asciiTheme="majorEastAsia" w:hAnsiTheme="majorEastAsia" w:eastAsiaTheme="majorEastAsia" w:cstheme="majorEastAsia"/>
          <w:color w:val="auto"/>
          <w:sz w:val="24"/>
          <w:szCs w:val="24"/>
          <w:highlight w:val="none"/>
          <w:u w:val="none"/>
          <w:lang w:val="en-US" w:eastAsia="zh-CN"/>
        </w:rPr>
        <w:t>0512-58188516</w:t>
      </w:r>
    </w:p>
    <w:bookmarkEnd w:id="2"/>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7.4</w:t>
      </w:r>
      <w:r>
        <w:rPr>
          <w:rFonts w:hint="eastAsia" w:asciiTheme="majorEastAsia" w:hAnsiTheme="majorEastAsia" w:eastAsiaTheme="majorEastAsia" w:cstheme="majorEastAsia"/>
          <w:color w:val="auto"/>
          <w:sz w:val="24"/>
          <w:szCs w:val="24"/>
          <w:highlight w:val="none"/>
        </w:rPr>
        <w:t>监督管理部门</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监督管理部门：合肥百货大楼集团股份有限公司滨湖心悦城购物中心纪委</w:t>
      </w:r>
    </w:p>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lang w:val="en-US" w:eastAsia="zh-CN"/>
        </w:rPr>
        <w:t>合肥市包河区包河大道与紫云路交叉口</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lang w:val="en-US" w:eastAsia="zh-CN"/>
        </w:rPr>
        <w:t>0551-62899835</w:t>
      </w:r>
    </w:p>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8.</w:t>
      </w:r>
      <w:r>
        <w:rPr>
          <w:rFonts w:hint="eastAsia" w:asciiTheme="majorEastAsia" w:hAnsiTheme="majorEastAsia" w:eastAsiaTheme="majorEastAsia" w:cstheme="majorEastAsia"/>
          <w:b/>
          <w:color w:val="auto"/>
          <w:sz w:val="24"/>
          <w:szCs w:val="24"/>
          <w:highlight w:val="none"/>
        </w:rPr>
        <w:t>其他事项说明</w:t>
      </w:r>
    </w:p>
    <w:p>
      <w:pPr>
        <w:spacing w:line="360" w:lineRule="auto"/>
        <w:ind w:firstLine="43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8.1</w:t>
      </w:r>
      <w:r>
        <w:rPr>
          <w:rFonts w:hint="eastAsia" w:asciiTheme="majorEastAsia" w:hAnsiTheme="majorEastAsia" w:eastAsiaTheme="majorEastAsia" w:cstheme="majorEastAsia"/>
          <w:bCs/>
          <w:color w:val="auto"/>
          <w:sz w:val="24"/>
          <w:szCs w:val="24"/>
          <w:highlight w:val="none"/>
          <w:lang w:eastAsia="zh-CN"/>
        </w:rPr>
        <w:t>投标人</w:t>
      </w:r>
      <w:r>
        <w:rPr>
          <w:rFonts w:hint="eastAsia" w:asciiTheme="majorEastAsia" w:hAnsiTheme="majorEastAsia" w:eastAsiaTheme="majorEastAsia" w:cstheme="majorEastAsia"/>
          <w:bCs/>
          <w:color w:val="auto"/>
          <w:sz w:val="24"/>
          <w:szCs w:val="24"/>
          <w:highlight w:val="none"/>
        </w:rPr>
        <w:t>应合理安排</w:t>
      </w:r>
      <w:r>
        <w:rPr>
          <w:rFonts w:hint="eastAsia" w:asciiTheme="majorEastAsia" w:hAnsiTheme="majorEastAsia" w:eastAsiaTheme="majorEastAsia" w:cstheme="majorEastAsia"/>
          <w:color w:val="auto"/>
          <w:sz w:val="24"/>
          <w:szCs w:val="24"/>
          <w:highlight w:val="none"/>
        </w:rPr>
        <w:t>磋商</w:t>
      </w:r>
      <w:r>
        <w:rPr>
          <w:rFonts w:hint="eastAsia" w:asciiTheme="majorEastAsia" w:hAnsiTheme="majorEastAsia" w:eastAsiaTheme="majorEastAsia" w:cstheme="majorEastAsia"/>
          <w:bCs/>
          <w:color w:val="auto"/>
          <w:sz w:val="24"/>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 w:val="24"/>
          <w:szCs w:val="24"/>
          <w:highlight w:val="none"/>
        </w:rPr>
        <w:t>磋商</w:t>
      </w:r>
      <w:r>
        <w:rPr>
          <w:rFonts w:hint="eastAsia" w:asciiTheme="majorEastAsia" w:hAnsiTheme="majorEastAsia" w:eastAsiaTheme="majorEastAsia" w:cstheme="majorEastAsia"/>
          <w:bCs/>
          <w:color w:val="auto"/>
          <w:sz w:val="24"/>
          <w:szCs w:val="24"/>
          <w:highlight w:val="none"/>
        </w:rPr>
        <w:t>文件获取，责任自负。</w:t>
      </w:r>
    </w:p>
    <w:p>
      <w:pPr>
        <w:spacing w:line="360" w:lineRule="auto"/>
        <w:ind w:firstLine="435"/>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8.2投标人如需开具电子交易服务费用发票，在项目谈判次日后自行登录安徽公共资源交易集团电子交易系统平台打印。</w:t>
      </w:r>
    </w:p>
    <w:p>
      <w:pPr>
        <w:numPr>
          <w:ilvl w:val="0"/>
          <w:numId w:val="3"/>
        </w:num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投标保证金账户（如采用银行转账或银行电汇形式递交的，请选择以下任何一家银行递交即可）</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标段简称:1标段</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徽商银行合肥蜀山支行</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户名：安徽公共资源交易集团项目管理有限公司</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账号：1023701021000135582280432</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开户银行：徽商银行合肥蜀山支行</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光大银行合肥阜南路支行</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户名：安徽公共资源交易集团项目管理有限公司</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账号：76700188015652803</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开户银行：光大银行合肥阜南路支行</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建行合肥庐阳支行营业部</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户名：安徽公共资源交易集团项目管理有限公司</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    账号：6232811630000507604</w:t>
      </w:r>
    </w:p>
    <w:p>
      <w:pPr>
        <w:spacing w:line="360" w:lineRule="auto"/>
        <w:ind w:firstLine="435"/>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 xml:space="preserve">    开户银行：建行合肥庐阳支行营业部</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3" w:name="_Toc837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投标人</w:t>
      </w:r>
      <w:r>
        <w:rPr>
          <w:rFonts w:asciiTheme="minorEastAsia" w:hAnsiTheme="minorEastAsia" w:eastAsiaTheme="minorEastAsia"/>
          <w:b/>
          <w:color w:val="auto"/>
          <w:sz w:val="28"/>
          <w:highlight w:val="none"/>
        </w:rPr>
        <w:t>须知</w:t>
      </w:r>
      <w:bookmarkEnd w:id="3"/>
    </w:p>
    <w:p>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432"/>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818" w:type="pct"/>
            <w:vAlign w:val="center"/>
          </w:tcPr>
          <w:p>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621" w:type="pct"/>
            <w:vAlign w:val="center"/>
          </w:tcPr>
          <w:p>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计划工期</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计划工期：</w:t>
            </w:r>
            <w:r>
              <w:rPr>
                <w:rFonts w:hint="eastAsia" w:ascii="宋体" w:hAnsi="宋体" w:eastAsia="宋体" w:cs="宋体"/>
                <w:b w:val="0"/>
                <w:color w:val="auto"/>
                <w:sz w:val="24"/>
                <w:szCs w:val="24"/>
                <w:highlight w:val="none"/>
                <w:u w:val="single"/>
              </w:rPr>
              <w:t xml:space="preserve">   </w:t>
            </w:r>
            <w:r>
              <w:rPr>
                <w:rFonts w:hint="eastAsia" w:cs="宋体"/>
                <w:b w:val="0"/>
                <w:color w:val="auto"/>
                <w:sz w:val="24"/>
                <w:szCs w:val="24"/>
                <w:highlight w:val="none"/>
                <w:u w:val="single"/>
                <w:lang w:val="en-US" w:eastAsia="zh-CN"/>
              </w:rPr>
              <w:t>20</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日历天</w:t>
            </w:r>
          </w:p>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计划开工日期：</w:t>
            </w:r>
            <w:r>
              <w:rPr>
                <w:rFonts w:hint="eastAsia" w:ascii="宋体" w:hAnsi="宋体" w:eastAsia="宋体" w:cs="宋体"/>
                <w:b w:val="0"/>
                <w:color w:val="auto"/>
                <w:sz w:val="24"/>
                <w:szCs w:val="24"/>
                <w:highlight w:val="none"/>
                <w:u w:val="single"/>
              </w:rPr>
              <w:t xml:space="preserve">  </w:t>
            </w:r>
            <w:r>
              <w:rPr>
                <w:rFonts w:hint="eastAsia"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cs="宋体"/>
                <w:b w:val="0"/>
                <w:color w:val="auto"/>
                <w:sz w:val="24"/>
                <w:szCs w:val="24"/>
                <w:highlight w:val="none"/>
                <w:u w:val="single"/>
                <w:lang w:val="en-US" w:eastAsia="zh-CN"/>
              </w:rPr>
              <w:t>3</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cs="宋体"/>
                <w:b w:val="0"/>
                <w:color w:val="auto"/>
                <w:sz w:val="24"/>
                <w:szCs w:val="24"/>
                <w:highlight w:val="none"/>
                <w:u w:val="single"/>
                <w:lang w:val="en-US" w:eastAsia="zh-CN"/>
              </w:rPr>
              <w:t>15</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日，具体开工时间以开工令为准。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质量标准要求</w:t>
            </w:r>
          </w:p>
        </w:tc>
        <w:tc>
          <w:tcPr>
            <w:tcW w:w="3621" w:type="pct"/>
            <w:vAlign w:val="center"/>
          </w:tcPr>
          <w:p>
            <w:pPr>
              <w:pStyle w:val="103"/>
              <w:tabs>
                <w:tab w:val="left" w:pos="1152"/>
              </w:tabs>
              <w:spacing w:before="0" w:beforeAutospacing="0" w:after="0" w:afterAutospacing="0" w:line="360" w:lineRule="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Cs/>
                <w:color w:val="auto"/>
                <w:sz w:val="24"/>
                <w:szCs w:val="24"/>
                <w:highlight w:val="none"/>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总包及分包规定</w:t>
            </w:r>
          </w:p>
        </w:tc>
        <w:tc>
          <w:tcPr>
            <w:tcW w:w="3621" w:type="pct"/>
            <w:vAlign w:val="center"/>
          </w:tcPr>
          <w:p>
            <w:pPr>
              <w:spacing w:line="360" w:lineRule="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eastAsia="zh-CN"/>
              </w:rPr>
              <w:t>投标人</w:t>
            </w:r>
            <w:r>
              <w:rPr>
                <w:rFonts w:hint="eastAsia" w:ascii="宋体" w:hAnsi="宋体" w:eastAsia="宋体" w:cs="宋体"/>
                <w:b w:val="0"/>
                <w:bCs w:val="0"/>
                <w:color w:val="auto"/>
                <w:kern w:val="2"/>
                <w:sz w:val="24"/>
                <w:szCs w:val="24"/>
                <w:highlight w:val="none"/>
              </w:rPr>
              <w:t>不得在</w:t>
            </w:r>
            <w:r>
              <w:rPr>
                <w:rFonts w:hint="eastAsia" w:ascii="宋体" w:hAnsi="宋体" w:eastAsia="宋体" w:cs="宋体"/>
                <w:b w:val="0"/>
                <w:bCs w:val="0"/>
                <w:color w:val="auto"/>
                <w:kern w:val="2"/>
                <w:sz w:val="24"/>
                <w:szCs w:val="24"/>
                <w:highlight w:val="none"/>
                <w:lang w:val="en-US" w:eastAsia="zh-CN"/>
              </w:rPr>
              <w:t>中标</w:t>
            </w:r>
            <w:r>
              <w:rPr>
                <w:rFonts w:hint="eastAsia" w:ascii="宋体" w:hAnsi="宋体" w:eastAsia="宋体" w:cs="宋体"/>
                <w:b w:val="0"/>
                <w:bCs w:val="0"/>
                <w:color w:val="auto"/>
                <w:kern w:val="2"/>
                <w:sz w:val="24"/>
                <w:szCs w:val="24"/>
                <w:highlight w:val="none"/>
              </w:rPr>
              <w:t>后将工程转包给其</w:t>
            </w:r>
            <w:r>
              <w:rPr>
                <w:rFonts w:hint="eastAsia" w:ascii="宋体" w:hAnsi="宋体" w:eastAsia="宋体" w:cs="宋体"/>
                <w:b w:val="0"/>
                <w:bCs w:val="0"/>
                <w:color w:val="auto"/>
                <w:kern w:val="2"/>
                <w:sz w:val="24"/>
                <w:szCs w:val="24"/>
                <w:highlight w:val="none"/>
                <w:lang w:eastAsia="zh-CN"/>
              </w:rPr>
              <w:t>他</w:t>
            </w:r>
            <w:r>
              <w:rPr>
                <w:rFonts w:hint="eastAsia" w:ascii="宋体" w:hAnsi="宋体" w:eastAsia="宋体" w:cs="宋体"/>
                <w:b w:val="0"/>
                <w:bCs w:val="0"/>
                <w:color w:val="auto"/>
                <w:kern w:val="2"/>
                <w:sz w:val="24"/>
                <w:szCs w:val="24"/>
                <w:highlight w:val="none"/>
              </w:rPr>
              <w:t>施工单位。</w:t>
            </w:r>
          </w:p>
          <w:p>
            <w:pPr>
              <w:spacing w:line="360" w:lineRule="auto"/>
              <w:jc w:val="left"/>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分包情况</w:t>
            </w:r>
            <w:r>
              <w:rPr>
                <w:rFonts w:hint="eastAsia" w:ascii="宋体" w:hAnsi="宋体" w:eastAsia="宋体" w:cs="宋体"/>
                <w:b w:val="0"/>
                <w:bCs w:val="0"/>
                <w:color w:val="auto"/>
                <w:kern w:val="2"/>
                <w:sz w:val="24"/>
                <w:szCs w:val="24"/>
                <w:highlight w:val="none"/>
                <w:lang w:eastAsia="zh-CN"/>
              </w:rPr>
              <w:t>：</w:t>
            </w:r>
          </w:p>
          <w:p>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□允许专业分包，分包项目、内容及分包商须经</w:t>
            </w:r>
            <w:r>
              <w:rPr>
                <w:rFonts w:hint="eastAsia" w:ascii="宋体" w:hAnsi="宋体" w:eastAsia="宋体" w:cs="宋体"/>
                <w:color w:val="auto"/>
                <w:kern w:val="2"/>
                <w:sz w:val="24"/>
                <w:szCs w:val="24"/>
                <w:highlight w:val="none"/>
                <w:lang w:eastAsia="zh-CN"/>
              </w:rPr>
              <w:t>招标人</w:t>
            </w:r>
            <w:r>
              <w:rPr>
                <w:rFonts w:hint="eastAsia" w:ascii="宋体" w:hAnsi="宋体" w:eastAsia="宋体" w:cs="宋体"/>
                <w:color w:val="auto"/>
                <w:kern w:val="2"/>
                <w:sz w:val="24"/>
                <w:szCs w:val="24"/>
                <w:highlight w:val="none"/>
              </w:rPr>
              <w:t>及监理单位同意和认可</w:t>
            </w:r>
          </w:p>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w:t>
            </w:r>
          </w:p>
        </w:tc>
        <w:tc>
          <w:tcPr>
            <w:tcW w:w="818" w:type="pct"/>
            <w:vAlign w:val="center"/>
          </w:tcPr>
          <w:p>
            <w:pPr>
              <w:pStyle w:val="76"/>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现场踏勘</w:t>
            </w:r>
          </w:p>
        </w:tc>
        <w:tc>
          <w:tcPr>
            <w:tcW w:w="3621" w:type="pct"/>
            <w:vAlign w:val="center"/>
          </w:tcPr>
          <w:p>
            <w:pPr>
              <w:spacing w:line="360" w:lineRule="auto"/>
              <w:rPr>
                <w:rFonts w:hint="eastAsia" w:ascii="宋体" w:hAnsi="宋体" w:eastAsia="宋体" w:cs="宋体"/>
                <w:bCs/>
                <w:color w:val="auto"/>
                <w:kern w:val="2"/>
                <w:sz w:val="24"/>
                <w:szCs w:val="24"/>
                <w:highlight w:val="none"/>
              </w:rPr>
            </w:pPr>
            <w:r>
              <w:rPr>
                <w:rFonts w:hint="eastAsia" w:cs="宋体"/>
                <w:color w:val="auto"/>
                <w:kern w:val="2"/>
                <w:sz w:val="24"/>
                <w:szCs w:val="24"/>
                <w:highlight w:val="none"/>
                <w:lang w:eastAsia="zh-CN"/>
              </w:rPr>
              <w:t>☑</w:t>
            </w:r>
            <w:r>
              <w:rPr>
                <w:rFonts w:hint="eastAsia" w:ascii="宋体" w:hAnsi="宋体" w:eastAsia="宋体" w:cs="宋体"/>
                <w:bCs/>
                <w:color w:val="auto"/>
                <w:kern w:val="2"/>
                <w:sz w:val="24"/>
                <w:szCs w:val="24"/>
                <w:highlight w:val="none"/>
              </w:rPr>
              <w:t>自行踏勘</w:t>
            </w:r>
          </w:p>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集中组织</w:t>
            </w:r>
          </w:p>
          <w:p>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现场踏勘联系人及联系电话：</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p>
          <w:p>
            <w:pPr>
              <w:pStyle w:val="76"/>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招标人</w:t>
            </w:r>
            <w:r>
              <w:rPr>
                <w:rFonts w:hint="eastAsia" w:ascii="宋体" w:hAnsi="宋体" w:eastAsia="宋体" w:cs="宋体"/>
                <w:bCs w:val="0"/>
                <w:color w:val="auto"/>
                <w:kern w:val="2"/>
                <w:sz w:val="24"/>
                <w:szCs w:val="24"/>
                <w:highlight w:val="none"/>
              </w:rPr>
              <w:t>统一组织的现场踏勘，视同放弃现场踏勘，由此引起的一切责任由</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5</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i w:val="0"/>
                <w:iCs w:val="0"/>
                <w:color w:val="auto"/>
                <w:sz w:val="24"/>
                <w:szCs w:val="24"/>
                <w:highlight w:val="none"/>
                <w:lang w:val="en-US" w:eastAsia="zh-CN" w:bidi="ar-SA"/>
              </w:rPr>
            </w:pPr>
            <w:r>
              <w:rPr>
                <w:rFonts w:hint="eastAsia" w:ascii="宋体" w:hAnsi="宋体" w:eastAsia="宋体" w:cs="宋体"/>
                <w:b w:val="0"/>
                <w:i w:val="0"/>
                <w:iCs w:val="0"/>
                <w:color w:val="auto"/>
                <w:sz w:val="24"/>
                <w:szCs w:val="24"/>
                <w:highlight w:val="none"/>
              </w:rPr>
              <w:t>关于联合体参加</w:t>
            </w:r>
            <w:r>
              <w:rPr>
                <w:rFonts w:hint="eastAsia" w:cs="宋体"/>
                <w:b w:val="0"/>
                <w:i w:val="0"/>
                <w:iCs w:val="0"/>
                <w:color w:val="auto"/>
                <w:sz w:val="24"/>
                <w:szCs w:val="24"/>
                <w:highlight w:val="none"/>
                <w:lang w:eastAsia="zh-CN"/>
              </w:rPr>
              <w:t>谈判</w:t>
            </w:r>
            <w:r>
              <w:rPr>
                <w:rFonts w:hint="eastAsia" w:ascii="宋体" w:hAnsi="宋体" w:eastAsia="宋体" w:cs="宋体"/>
                <w:b w:val="0"/>
                <w:i w:val="0"/>
                <w:iCs w:val="0"/>
                <w:color w:val="auto"/>
                <w:sz w:val="24"/>
                <w:szCs w:val="24"/>
                <w:highlight w:val="none"/>
              </w:rPr>
              <w:t>的相关约定</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bCs/>
                <w:i w:val="0"/>
                <w:iCs w:val="0"/>
                <w:color w:val="auto"/>
                <w:sz w:val="24"/>
                <w:szCs w:val="24"/>
                <w:highlight w:val="none"/>
                <w:lang w:val="en-US" w:eastAsia="zh-CN" w:bidi="ar-SA"/>
              </w:rPr>
            </w:pPr>
            <w:r>
              <w:rPr>
                <w:rFonts w:hint="eastAsia" w:cs="宋体"/>
                <w:b w:val="0"/>
                <w:i w:val="0"/>
                <w:i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6</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项目经理其他要求</w:t>
            </w:r>
          </w:p>
        </w:tc>
        <w:tc>
          <w:tcPr>
            <w:tcW w:w="3621" w:type="pct"/>
            <w:vAlign w:val="center"/>
          </w:tcPr>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（1）项目经理资格</w:t>
            </w:r>
            <w:r>
              <w:rPr>
                <w:rFonts w:hint="eastAsia" w:ascii="宋体" w:hAnsi="宋体" w:eastAsia="宋体" w:cs="宋体"/>
                <w:bCs/>
                <w:color w:val="auto"/>
                <w:kern w:val="2"/>
                <w:sz w:val="24"/>
                <w:szCs w:val="24"/>
                <w:highlight w:val="none"/>
                <w:lang w:val="en-US" w:eastAsia="zh-CN"/>
              </w:rPr>
              <w:t>条件</w:t>
            </w:r>
            <w:r>
              <w:rPr>
                <w:rFonts w:hint="eastAsia" w:ascii="宋体" w:hAnsi="宋体" w:eastAsia="宋体" w:cs="宋体"/>
                <w:bCs/>
                <w:color w:val="auto"/>
                <w:kern w:val="2"/>
                <w:sz w:val="24"/>
                <w:szCs w:val="24"/>
                <w:highlight w:val="none"/>
              </w:rPr>
              <w:t>见</w:t>
            </w:r>
            <w:r>
              <w:rPr>
                <w:rFonts w:hint="eastAsia" w:cs="宋体"/>
                <w:bCs/>
                <w:color w:val="auto"/>
                <w:kern w:val="2"/>
                <w:sz w:val="24"/>
                <w:szCs w:val="24"/>
                <w:highlight w:val="none"/>
                <w:lang w:val="en-US" w:eastAsia="zh-CN"/>
              </w:rPr>
              <w:t>谈判</w:t>
            </w:r>
            <w:r>
              <w:rPr>
                <w:rFonts w:hint="eastAsia" w:ascii="宋体" w:hAnsi="宋体" w:eastAsia="宋体" w:cs="宋体"/>
                <w:bCs/>
                <w:color w:val="auto"/>
                <w:kern w:val="2"/>
                <w:sz w:val="24"/>
                <w:szCs w:val="24"/>
                <w:highlight w:val="none"/>
                <w:lang w:val="en-US" w:eastAsia="zh-CN"/>
              </w:rPr>
              <w:t>公告</w:t>
            </w:r>
            <w:r>
              <w:rPr>
                <w:rFonts w:hint="eastAsia" w:ascii="宋体" w:hAnsi="宋体" w:eastAsia="宋体" w:cs="宋体"/>
                <w:bCs/>
                <w:color w:val="auto"/>
                <w:kern w:val="2"/>
                <w:sz w:val="24"/>
                <w:szCs w:val="24"/>
                <w:highlight w:val="none"/>
              </w:rPr>
              <w:t>要求（必须是本单位人员），项目经理必须具备有效的安全生产考核合格证B证。</w:t>
            </w:r>
          </w:p>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项目经理社保形式（如要求）：提供投标人所属社保机构出具的项目经理（社保时间要求）社保缴费证明（或其他能够证明项目经理参加社保的有效证明）材料，项目经理的社保缴纳单位应当是投标人或者投标人不具备独立法人资格的分支机构。（社保缴费证明或社保的有效证明材料至少含养老保险）</w:t>
            </w:r>
          </w:p>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（3）项目经理不得同时担任两个及以上建设工程施工项目负责人，以下情形除外：</w:t>
            </w:r>
          </w:p>
          <w:p>
            <w:pPr>
              <w:spacing w:line="360" w:lineRule="auto"/>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①法定情形；</w:t>
            </w:r>
          </w:p>
          <w:p>
            <w:pPr>
              <w:spacing w:line="360" w:lineRule="auto"/>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②虽在其他项目上担任项目经理岗位，但承诺在本</w:t>
            </w:r>
            <w:r>
              <w:rPr>
                <w:rFonts w:hint="eastAsia" w:cs="宋体"/>
                <w:bCs/>
                <w:color w:val="auto"/>
                <w:kern w:val="2"/>
                <w:sz w:val="24"/>
                <w:szCs w:val="24"/>
                <w:highlight w:val="none"/>
                <w:lang w:eastAsia="zh-CN"/>
              </w:rPr>
              <w:t>谈判</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中标后合同签订前能够从其他项目变更至本</w:t>
            </w:r>
            <w:r>
              <w:rPr>
                <w:rFonts w:hint="eastAsia" w:cs="宋体"/>
                <w:bCs/>
                <w:color w:val="auto"/>
                <w:kern w:val="2"/>
                <w:sz w:val="24"/>
                <w:szCs w:val="24"/>
                <w:highlight w:val="none"/>
                <w:lang w:eastAsia="zh-CN"/>
              </w:rPr>
              <w:t>谈判</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并全面履约。</w:t>
            </w:r>
          </w:p>
          <w:p>
            <w:pPr>
              <w:pStyle w:val="76"/>
              <w:widowControl w:val="0"/>
              <w:numPr>
                <w:ilvl w:val="0"/>
                <w:numId w:val="4"/>
              </w:numPr>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中标</w:t>
            </w:r>
            <w:r>
              <w:rPr>
                <w:rFonts w:hint="eastAsia" w:ascii="宋体" w:hAnsi="宋体" w:eastAsia="宋体" w:cs="宋体"/>
                <w:b w:val="0"/>
                <w:bCs w:val="0"/>
                <w:color w:val="auto"/>
                <w:kern w:val="2"/>
                <w:sz w:val="24"/>
                <w:szCs w:val="24"/>
                <w:highlight w:val="none"/>
              </w:rPr>
              <w:t>后若项目经理在其他项目上担任项目经理岗位，导致该项目经理无法进场履约的，</w:t>
            </w:r>
            <w:r>
              <w:rPr>
                <w:rFonts w:hint="eastAsia" w:ascii="宋体" w:hAnsi="宋体" w:eastAsia="宋体" w:cs="宋体"/>
                <w:b w:val="0"/>
                <w:bCs w:val="0"/>
                <w:color w:val="auto"/>
                <w:kern w:val="2"/>
                <w:sz w:val="24"/>
                <w:szCs w:val="24"/>
                <w:highlight w:val="none"/>
                <w:lang w:eastAsia="zh-CN"/>
              </w:rPr>
              <w:t>招标人</w:t>
            </w:r>
            <w:r>
              <w:rPr>
                <w:rFonts w:hint="eastAsia" w:ascii="宋体" w:hAnsi="宋体" w:eastAsia="宋体" w:cs="宋体"/>
                <w:b w:val="0"/>
                <w:bCs w:val="0"/>
                <w:color w:val="auto"/>
                <w:kern w:val="2"/>
                <w:sz w:val="24"/>
                <w:szCs w:val="24"/>
                <w:highlight w:val="none"/>
              </w:rPr>
              <w:t>可取消其</w:t>
            </w:r>
            <w:r>
              <w:rPr>
                <w:rFonts w:hint="eastAsia" w:ascii="宋体" w:hAnsi="宋体" w:eastAsia="宋体" w:cs="宋体"/>
                <w:b w:val="0"/>
                <w:bCs w:val="0"/>
                <w:color w:val="auto"/>
                <w:kern w:val="2"/>
                <w:sz w:val="24"/>
                <w:szCs w:val="24"/>
                <w:highlight w:val="none"/>
                <w:lang w:eastAsia="zh-CN"/>
              </w:rPr>
              <w:t>中标资格</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eastAsia="zh-CN"/>
              </w:rPr>
              <w:t>投标人</w:t>
            </w:r>
            <w:r>
              <w:rPr>
                <w:rFonts w:hint="eastAsia" w:ascii="宋体" w:hAnsi="宋体" w:eastAsia="宋体" w:cs="宋体"/>
                <w:b w:val="0"/>
                <w:bCs w:val="0"/>
                <w:color w:val="auto"/>
                <w:kern w:val="2"/>
                <w:sz w:val="24"/>
                <w:szCs w:val="24"/>
                <w:highlight w:val="none"/>
              </w:rPr>
              <w:t>因此原因被取消</w:t>
            </w:r>
            <w:r>
              <w:rPr>
                <w:rFonts w:hint="eastAsia" w:ascii="宋体" w:hAnsi="宋体" w:eastAsia="宋体" w:cs="宋体"/>
                <w:b w:val="0"/>
                <w:bCs w:val="0"/>
                <w:color w:val="auto"/>
                <w:kern w:val="2"/>
                <w:sz w:val="24"/>
                <w:szCs w:val="24"/>
                <w:highlight w:val="none"/>
                <w:lang w:eastAsia="zh-CN"/>
              </w:rPr>
              <w:t>中标资格</w:t>
            </w:r>
            <w:r>
              <w:rPr>
                <w:rFonts w:hint="eastAsia" w:ascii="宋体" w:hAnsi="宋体" w:eastAsia="宋体" w:cs="宋体"/>
                <w:b w:val="0"/>
                <w:bCs w:val="0"/>
                <w:color w:val="auto"/>
                <w:kern w:val="2"/>
                <w:sz w:val="24"/>
                <w:szCs w:val="24"/>
                <w:highlight w:val="none"/>
              </w:rPr>
              <w:t>的，视为无正当理由放弃</w:t>
            </w:r>
            <w:r>
              <w:rPr>
                <w:rFonts w:hint="eastAsia" w:ascii="宋体" w:hAnsi="宋体" w:eastAsia="宋体" w:cs="宋体"/>
                <w:b w:val="0"/>
                <w:bCs w:val="0"/>
                <w:color w:val="auto"/>
                <w:kern w:val="2"/>
                <w:sz w:val="24"/>
                <w:szCs w:val="24"/>
                <w:highlight w:val="none"/>
                <w:lang w:eastAsia="zh-CN"/>
              </w:rPr>
              <w:t>中标资格</w:t>
            </w:r>
            <w:r>
              <w:rPr>
                <w:rFonts w:hint="eastAsia" w:ascii="宋体" w:hAnsi="宋体" w:eastAsia="宋体" w:cs="宋体"/>
                <w:b w:val="0"/>
                <w:bCs w:val="0"/>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7</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初审</w:t>
            </w:r>
            <w:r>
              <w:rPr>
                <w:rFonts w:hint="eastAsia" w:ascii="宋体" w:hAnsi="宋体" w:eastAsia="宋体" w:cs="宋体"/>
                <w:b w:val="0"/>
                <w:color w:val="auto"/>
                <w:sz w:val="24"/>
                <w:szCs w:val="24"/>
                <w:highlight w:val="none"/>
              </w:rPr>
              <w:t>业绩</w:t>
            </w:r>
            <w:r>
              <w:rPr>
                <w:rFonts w:hint="eastAsia" w:ascii="宋体" w:hAnsi="宋体" w:eastAsia="宋体" w:cs="宋体"/>
                <w:b w:val="0"/>
                <w:color w:val="auto"/>
                <w:sz w:val="24"/>
                <w:szCs w:val="24"/>
                <w:highlight w:val="none"/>
                <w:lang w:val="en-US" w:eastAsia="zh-CN"/>
              </w:rPr>
              <w:t>要求</w:t>
            </w:r>
          </w:p>
        </w:tc>
        <w:tc>
          <w:tcPr>
            <w:tcW w:w="3621" w:type="pct"/>
            <w:vAlign w:val="center"/>
          </w:tcPr>
          <w:p>
            <w:pPr>
              <w:numPr>
                <w:ilvl w:val="0"/>
                <w:numId w:val="5"/>
              </w:numPr>
              <w:spacing w:line="44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投标人应按下列规定提供业绩证明资料：</w:t>
            </w:r>
          </w:p>
          <w:p>
            <w:pPr>
              <w:spacing w:line="440" w:lineRule="exac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（1）合同协议书</w:t>
            </w:r>
            <w:r>
              <w:rPr>
                <w:rFonts w:hint="eastAsia" w:ascii="宋体" w:hAnsi="宋体" w:eastAsia="宋体" w:cs="宋体"/>
                <w:bCs/>
                <w:color w:val="auto"/>
                <w:kern w:val="0"/>
                <w:sz w:val="24"/>
                <w:szCs w:val="24"/>
                <w:highlight w:val="none"/>
                <w:lang w:eastAsia="zh-CN"/>
              </w:rPr>
              <w:t>；</w:t>
            </w:r>
          </w:p>
          <w:p>
            <w:pPr>
              <w:spacing w:line="440" w:lineRule="exact"/>
              <w:rPr>
                <w:rFonts w:hint="default" w:ascii="宋体" w:hAnsi="宋体" w:eastAsia="宋体" w:cs="宋体"/>
                <w:b w:val="0"/>
                <w:color w:val="auto"/>
                <w:sz w:val="24"/>
                <w:szCs w:val="24"/>
                <w:highlight w:val="non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）竣工验收证明文件（</w:t>
            </w:r>
            <w:r>
              <w:rPr>
                <w:rFonts w:hint="eastAsia" w:ascii="宋体" w:hAnsi="宋体" w:eastAsia="宋体" w:cs="宋体"/>
                <w:bCs/>
                <w:color w:val="auto"/>
                <w:kern w:val="0"/>
                <w:sz w:val="24"/>
                <w:szCs w:val="24"/>
                <w:highlight w:val="none"/>
                <w:lang w:val="en-US" w:eastAsia="zh-CN"/>
              </w:rPr>
              <w:t>须有</w:t>
            </w:r>
            <w:r>
              <w:rPr>
                <w:rFonts w:hint="eastAsia" w:ascii="宋体" w:hAnsi="宋体" w:eastAsia="宋体" w:cs="宋体"/>
                <w:bCs/>
                <w:color w:val="auto"/>
                <w:kern w:val="0"/>
                <w:sz w:val="24"/>
                <w:szCs w:val="24"/>
                <w:highlight w:val="none"/>
              </w:rPr>
              <w:t>建设单位盖章）</w:t>
            </w:r>
            <w:r>
              <w:rPr>
                <w:rFonts w:hint="eastAsia" w:ascii="宋体" w:hAnsi="宋体" w:eastAsia="宋体" w:cs="宋体"/>
                <w:bCs/>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8</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计价方式</w:t>
            </w:r>
          </w:p>
        </w:tc>
        <w:tc>
          <w:tcPr>
            <w:tcW w:w="3621" w:type="pc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u w:val="single"/>
                <w:lang w:val="en-US" w:eastAsia="zh-CN"/>
              </w:rPr>
            </w:pPr>
            <w:r>
              <w:rPr>
                <w:rFonts w:hint="eastAsia" w:cs="宋体"/>
                <w:b w:val="0"/>
                <w:bCs/>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9</w:t>
            </w:r>
          </w:p>
        </w:tc>
        <w:tc>
          <w:tcPr>
            <w:tcW w:w="818" w:type="pct"/>
            <w:vAlign w:val="center"/>
          </w:tcPr>
          <w:p>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投标人提出疑问</w:t>
            </w:r>
            <w:r>
              <w:rPr>
                <w:rFonts w:hint="eastAsia" w:ascii="宋体" w:hAnsi="宋体" w:eastAsia="宋体" w:cs="宋体"/>
                <w:bCs/>
                <w:color w:val="auto"/>
                <w:kern w:val="0"/>
                <w:sz w:val="24"/>
                <w:szCs w:val="24"/>
                <w:highlight w:val="none"/>
              </w:rPr>
              <w:t>截止时间</w:t>
            </w:r>
          </w:p>
        </w:tc>
        <w:tc>
          <w:tcPr>
            <w:tcW w:w="3621" w:type="pct"/>
            <w:vAlign w:val="top"/>
          </w:tcPr>
          <w:p>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auto"/>
                <w:kern w:val="2"/>
                <w:sz w:val="24"/>
                <w:szCs w:val="24"/>
                <w:highlight w:val="none"/>
                <w:u w:val="single"/>
                <w:lang w:val="en-US" w:eastAsia="zh-CN"/>
              </w:rPr>
              <w:t>2025</w:t>
            </w:r>
            <w:r>
              <w:rPr>
                <w:rFonts w:hint="eastAsia" w:ascii="宋体" w:hAnsi="宋体" w:eastAsia="宋体" w:cs="宋体"/>
                <w:bCs/>
                <w:color w:val="auto"/>
                <w:kern w:val="2"/>
                <w:sz w:val="24"/>
                <w:szCs w:val="24"/>
                <w:highlight w:val="none"/>
              </w:rPr>
              <w:t>年</w:t>
            </w:r>
            <w:r>
              <w:rPr>
                <w:rFonts w:hint="eastAsia" w:cs="宋体"/>
                <w:bCs/>
                <w:color w:val="auto"/>
                <w:kern w:val="2"/>
                <w:sz w:val="24"/>
                <w:szCs w:val="24"/>
                <w:highlight w:val="none"/>
                <w:u w:val="single"/>
                <w:lang w:val="en-US" w:eastAsia="zh-CN"/>
              </w:rPr>
              <w:t>03</w:t>
            </w:r>
            <w:r>
              <w:rPr>
                <w:rFonts w:hint="eastAsia" w:ascii="宋体" w:hAnsi="宋体" w:eastAsia="宋体" w:cs="宋体"/>
                <w:bCs/>
                <w:color w:val="auto"/>
                <w:kern w:val="2"/>
                <w:sz w:val="24"/>
                <w:szCs w:val="24"/>
                <w:highlight w:val="none"/>
              </w:rPr>
              <w:t>月</w:t>
            </w:r>
            <w:r>
              <w:rPr>
                <w:rFonts w:hint="eastAsia" w:cs="宋体"/>
                <w:bCs/>
                <w:color w:val="auto"/>
                <w:kern w:val="2"/>
                <w:sz w:val="24"/>
                <w:szCs w:val="24"/>
                <w:highlight w:val="none"/>
                <w:u w:val="single"/>
                <w:lang w:val="en-US" w:eastAsia="zh-CN"/>
              </w:rPr>
              <w:t>06</w:t>
            </w:r>
            <w:r>
              <w:rPr>
                <w:rFonts w:hint="eastAsia" w:ascii="宋体" w:hAnsi="宋体" w:eastAsia="宋体" w:cs="宋体"/>
                <w:bCs/>
                <w:color w:val="auto"/>
                <w:kern w:val="2"/>
                <w:sz w:val="24"/>
                <w:szCs w:val="24"/>
                <w:highlight w:val="none"/>
              </w:rPr>
              <w:t>日</w:t>
            </w:r>
            <w:r>
              <w:rPr>
                <w:rFonts w:hint="eastAsia"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10</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构成</w:t>
            </w:r>
            <w:r>
              <w:rPr>
                <w:rFonts w:hint="eastAsia" w:cs="宋体"/>
                <w:b w:val="0"/>
                <w:bCs/>
                <w:color w:val="auto"/>
                <w:sz w:val="24"/>
                <w:szCs w:val="24"/>
                <w:highlight w:val="none"/>
                <w:lang w:val="en-US" w:eastAsia="zh-CN" w:bidi="ar-SA"/>
              </w:rPr>
              <w:t>谈判</w:t>
            </w:r>
            <w:r>
              <w:rPr>
                <w:rFonts w:hint="eastAsia" w:ascii="宋体" w:hAnsi="宋体" w:eastAsia="宋体" w:cs="宋体"/>
                <w:b w:val="0"/>
                <w:bCs/>
                <w:color w:val="auto"/>
                <w:sz w:val="24"/>
                <w:szCs w:val="24"/>
                <w:highlight w:val="none"/>
                <w:lang w:val="en-US" w:eastAsia="zh-CN" w:bidi="ar-SA"/>
              </w:rPr>
              <w:t>的其他材料</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cs="宋体"/>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11</w:t>
            </w:r>
          </w:p>
        </w:tc>
        <w:tc>
          <w:tcPr>
            <w:tcW w:w="818" w:type="pct"/>
            <w:vAlign w:val="center"/>
          </w:tcPr>
          <w:p>
            <w:pPr>
              <w:pStyle w:val="76"/>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保证金</w:t>
            </w:r>
          </w:p>
        </w:tc>
        <w:tc>
          <w:tcPr>
            <w:tcW w:w="3621" w:type="pct"/>
            <w:vAlign w:val="center"/>
          </w:tcPr>
          <w:p>
            <w:pPr>
              <w:numPr>
                <w:ilvl w:val="0"/>
                <w:numId w:val="0"/>
              </w:numPr>
              <w:snapToGrid w:val="0"/>
              <w:spacing w:line="360" w:lineRule="auto"/>
              <w:ind w:firstLine="240" w:firstLineChars="100"/>
              <w:rPr>
                <w:rFonts w:hint="eastAsia" w:ascii="Times New Roman" w:cs="宋体"/>
                <w:bCs/>
                <w:color w:val="auto"/>
                <w:szCs w:val="24"/>
                <w:highlight w:val="none"/>
                <w:u w:val="single"/>
                <w:lang w:val="en-US" w:eastAsia="zh-CN"/>
              </w:rPr>
            </w:pPr>
            <w:r>
              <w:rPr>
                <w:rFonts w:hint="eastAsia" w:ascii="宋体" w:hAnsi="宋体" w:eastAsia="宋体" w:cs="宋体"/>
                <w:b w:val="0"/>
                <w:bCs w:val="0"/>
                <w:caps w:val="0"/>
                <w:smallCaps w:val="0"/>
                <w:color w:val="auto"/>
                <w:kern w:val="2"/>
                <w:sz w:val="24"/>
                <w:szCs w:val="24"/>
                <w:highlight w:val="none"/>
                <w:lang w:val="en-US" w:eastAsia="zh-CN" w:bidi="ar-SA"/>
              </w:rPr>
              <w:t>（</w:t>
            </w:r>
            <w:r>
              <w:rPr>
                <w:rFonts w:hint="eastAsia" w:cs="宋体"/>
                <w:b w:val="0"/>
                <w:bCs w:val="0"/>
                <w:caps w:val="0"/>
                <w:smallCaps w:val="0"/>
                <w:color w:val="auto"/>
                <w:kern w:val="2"/>
                <w:sz w:val="24"/>
                <w:szCs w:val="24"/>
                <w:highlight w:val="none"/>
                <w:lang w:val="en-US" w:eastAsia="zh-CN" w:bidi="ar-SA"/>
              </w:rPr>
              <w:t>1</w:t>
            </w:r>
            <w:r>
              <w:rPr>
                <w:rFonts w:hint="eastAsia" w:ascii="宋体" w:hAnsi="宋体" w:eastAsia="宋体" w:cs="宋体"/>
                <w:b w:val="0"/>
                <w:bCs w:val="0"/>
                <w:caps w:val="0"/>
                <w:smallCaps w:val="0"/>
                <w:color w:val="auto"/>
                <w:kern w:val="2"/>
                <w:sz w:val="24"/>
                <w:szCs w:val="24"/>
                <w:highlight w:val="none"/>
                <w:lang w:val="en-US" w:eastAsia="zh-CN" w:bidi="ar-SA"/>
              </w:rPr>
              <w:t>）金额：</w:t>
            </w:r>
            <w:r>
              <w:rPr>
                <w:rFonts w:hint="eastAsia" w:cs="宋体"/>
                <w:b w:val="0"/>
                <w:bCs w:val="0"/>
                <w:caps w:val="0"/>
                <w:smallCaps w:val="0"/>
                <w:color w:val="auto"/>
                <w:kern w:val="2"/>
                <w:sz w:val="24"/>
                <w:szCs w:val="24"/>
                <w:highlight w:val="none"/>
                <w:u w:val="single"/>
                <w:lang w:val="en-US" w:eastAsia="zh-CN" w:bidi="ar-SA"/>
              </w:rPr>
              <w:t>壹万捌仟</w:t>
            </w:r>
            <w:r>
              <w:rPr>
                <w:rFonts w:hint="eastAsia" w:ascii="宋体" w:hAnsi="宋体" w:eastAsia="宋体" w:cs="宋体"/>
                <w:b w:val="0"/>
                <w:bCs w:val="0"/>
                <w:caps w:val="0"/>
                <w:smallCaps w:val="0"/>
                <w:color w:val="auto"/>
                <w:kern w:val="2"/>
                <w:sz w:val="24"/>
                <w:szCs w:val="24"/>
                <w:highlight w:val="none"/>
                <w:u w:val="single"/>
                <w:lang w:val="en-US" w:eastAsia="zh-CN" w:bidi="ar-SA"/>
              </w:rPr>
              <w:t>元人民币</w:t>
            </w:r>
            <w:r>
              <w:rPr>
                <w:rFonts w:hint="eastAsia" w:ascii="Times New Roman" w:cs="宋体"/>
                <w:bCs/>
                <w:color w:val="auto"/>
                <w:szCs w:val="24"/>
                <w:highlight w:val="none"/>
                <w:u w:val="single"/>
                <w:lang w:val="en-US" w:eastAsia="zh-CN"/>
              </w:rPr>
              <w:t>。</w:t>
            </w:r>
          </w:p>
          <w:p>
            <w:pPr>
              <w:numPr>
                <w:ilvl w:val="0"/>
                <w:numId w:val="0"/>
              </w:numPr>
              <w:snapToGrid w:val="0"/>
              <w:spacing w:line="360" w:lineRule="auto"/>
              <w:ind w:firstLine="240" w:firstLineChars="10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w:t>
            </w:r>
            <w:r>
              <w:rPr>
                <w:rFonts w:hint="eastAsia" w:cs="宋体"/>
                <w:b w:val="0"/>
                <w:bCs w:val="0"/>
                <w:caps w:val="0"/>
                <w:smallCaps w:val="0"/>
                <w:color w:val="auto"/>
                <w:kern w:val="2"/>
                <w:sz w:val="24"/>
                <w:szCs w:val="24"/>
                <w:highlight w:val="none"/>
                <w:lang w:val="en-US" w:eastAsia="zh-CN" w:bidi="ar-SA"/>
              </w:rPr>
              <w:t>2</w:t>
            </w:r>
            <w:r>
              <w:rPr>
                <w:rFonts w:hint="eastAsia" w:ascii="宋体" w:hAnsi="宋体" w:eastAsia="宋体" w:cs="宋体"/>
                <w:b w:val="0"/>
                <w:bCs w:val="0"/>
                <w:caps w:val="0"/>
                <w:smallCaps w:val="0"/>
                <w:color w:val="auto"/>
                <w:kern w:val="2"/>
                <w:sz w:val="24"/>
                <w:szCs w:val="24"/>
                <w:highlight w:val="none"/>
                <w:lang w:val="en-US" w:eastAsia="zh-CN" w:bidi="ar-SA"/>
              </w:rPr>
              <w:t>）缴纳形式：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0"/>
                <w:sz w:val="25"/>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pPr>
              <w:snapToGrid w:val="0"/>
              <w:spacing w:line="360" w:lineRule="auto"/>
              <w:ind w:firstLine="240" w:firstLineChars="10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cs="宋体"/>
                <w:b w:val="0"/>
                <w:bCs w:val="0"/>
                <w:caps w:val="0"/>
                <w:smallCaps w:val="0"/>
                <w:color w:val="auto"/>
                <w:kern w:val="2"/>
                <w:sz w:val="24"/>
                <w:szCs w:val="24"/>
                <w:highlight w:val="none"/>
                <w:lang w:val="en-US" w:eastAsia="zh-CN" w:bidi="ar-SA"/>
              </w:rPr>
              <w:t>（3）</w:t>
            </w:r>
            <w:r>
              <w:rPr>
                <w:rFonts w:hint="eastAsia" w:ascii="宋体" w:hAnsi="宋体" w:eastAsia="宋体" w:cs="宋体"/>
                <w:b w:val="0"/>
                <w:bCs w:val="0"/>
                <w:caps w:val="0"/>
                <w:smallCaps w:val="0"/>
                <w:color w:val="auto"/>
                <w:kern w:val="2"/>
                <w:sz w:val="24"/>
                <w:szCs w:val="24"/>
                <w:highlight w:val="none"/>
                <w:lang w:val="en-US" w:eastAsia="zh-CN" w:bidi="ar-SA"/>
              </w:rPr>
              <w:t>递交要求：</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保证金的到账截止时间：</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截止时间。</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③采用银行保函，应为投标人基本账户开户行出具的见索即付无条件银行保函；投标人必须提供明确有效的查询途径（网址链接及查询方式），否则该银行保函无效。评标时</w:t>
            </w:r>
            <w:r>
              <w:rPr>
                <w:rFonts w:hint="eastAsia" w:cs="宋体"/>
                <w:b w:val="0"/>
                <w:bCs w:val="0"/>
                <w:caps w:val="0"/>
                <w:smallCaps w:val="0"/>
                <w:color w:val="auto"/>
                <w:kern w:val="2"/>
                <w:sz w:val="24"/>
                <w:szCs w:val="24"/>
                <w:highlight w:val="none"/>
                <w:lang w:val="en-US" w:eastAsia="zh-CN" w:bidi="ar-SA"/>
              </w:rPr>
              <w:t>评审小组</w:t>
            </w:r>
            <w:r>
              <w:rPr>
                <w:rFonts w:hint="eastAsia" w:ascii="宋体" w:hAnsi="宋体" w:eastAsia="宋体" w:cs="宋体"/>
                <w:b w:val="0"/>
                <w:bCs w:val="0"/>
                <w:caps w:val="0"/>
                <w:smallCaps w:val="0"/>
                <w:color w:val="auto"/>
                <w:kern w:val="2"/>
                <w:sz w:val="24"/>
                <w:szCs w:val="24"/>
                <w:highlight w:val="none"/>
                <w:lang w:val="en-US" w:eastAsia="zh-CN" w:bidi="ar-SA"/>
              </w:rPr>
              <w:t>保留现场核查权利。</w:t>
            </w:r>
          </w:p>
          <w:p>
            <w:pPr>
              <w:snapToGrid w:val="0"/>
              <w:spacing w:line="360" w:lineRule="auto"/>
              <w:ind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保证金交纳账号采用动态虚拟账号，项目招标失败后，</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保证金交纳账号将会发生变化，请投标人参与后续招标时，注意勿将</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保证金错交至其他项目虚拟账号或前次公告账号。</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保证金。投标人参与本次</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，须向本项目本次公告公布的</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保证金账号重新交纳</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保证金无效。</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保证金。未递交</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保证金的标段，其投标无效。</w:t>
            </w:r>
          </w:p>
          <w:p>
            <w:pPr>
              <w:snapToGrid w:val="0"/>
              <w:spacing w:line="360" w:lineRule="auto"/>
              <w:ind w:firstLine="120" w:firstLineChars="50"/>
              <w:rPr>
                <w:rFonts w:hint="eastAsia" w:ascii="宋体" w:hAnsi="宋体" w:eastAsia="宋体" w:cs="宋体"/>
                <w:b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⑤</w:t>
            </w:r>
            <w:r>
              <w:rPr>
                <w:rFonts w:hint="eastAsia" w:ascii="宋体" w:hAnsi="宋体" w:eastAsia="宋体" w:cs="宋体"/>
                <w:b w:val="0"/>
                <w:bCs w:val="0"/>
                <w:caps w:val="0"/>
                <w:smallCaps w:val="0"/>
                <w:color w:val="auto"/>
                <w:kern w:val="2"/>
                <w:sz w:val="24"/>
                <w:szCs w:val="24"/>
                <w:highlight w:val="none"/>
                <w:lang w:val="zh-CN" w:eastAsia="zh-CN" w:bidi="ar-SA"/>
              </w:rPr>
              <w:t>以上</w:t>
            </w:r>
            <w:r>
              <w:rPr>
                <w:rFonts w:hint="eastAsia" w:ascii="宋体" w:hAnsi="宋体" w:eastAsia="宋体" w:cs="宋体"/>
                <w:b w:val="0"/>
                <w:bCs w:val="0"/>
                <w:caps w:val="0"/>
                <w:smallCaps w:val="0"/>
                <w:color w:val="auto"/>
                <w:kern w:val="2"/>
                <w:sz w:val="24"/>
                <w:szCs w:val="24"/>
                <w:highlight w:val="none"/>
                <w:lang w:val="en-US" w:eastAsia="zh-CN" w:bidi="ar-SA"/>
              </w:rPr>
              <w:t>银行保函</w:t>
            </w:r>
            <w:r>
              <w:rPr>
                <w:rFonts w:hint="eastAsia" w:ascii="宋体" w:hAnsi="宋体" w:eastAsia="宋体" w:cs="宋体"/>
                <w:b w:val="0"/>
                <w:bCs w:val="0"/>
                <w:caps w:val="0"/>
                <w:smallCaps w:val="0"/>
                <w:color w:val="auto"/>
                <w:kern w:val="2"/>
                <w:sz w:val="24"/>
                <w:szCs w:val="24"/>
                <w:highlight w:val="none"/>
                <w:lang w:val="zh-CN" w:eastAsia="zh-CN" w:bidi="ar-SA"/>
              </w:rPr>
              <w:t>承担责任的方式须满足无条件见索即付条件。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12</w:t>
            </w:r>
          </w:p>
        </w:tc>
        <w:tc>
          <w:tcPr>
            <w:tcW w:w="818" w:type="pct"/>
            <w:vAlign w:val="center"/>
          </w:tcPr>
          <w:p>
            <w:pPr>
              <w:pStyle w:val="76"/>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不予退还</w:t>
            </w: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保证金的情形</w:t>
            </w:r>
          </w:p>
        </w:tc>
        <w:tc>
          <w:tcPr>
            <w:tcW w:w="3621" w:type="pct"/>
            <w:vAlign w:val="center"/>
          </w:tcPr>
          <w:p>
            <w:pPr>
              <w:snapToGrid w:val="0"/>
              <w:spacing w:line="360" w:lineRule="auto"/>
              <w:ind w:firstLine="120" w:firstLineChars="50"/>
              <w:rPr>
                <w:rFonts w:hint="eastAsia" w:ascii="宋体" w:hAnsi="宋体" w:eastAsia="宋体" w:cs="宋体"/>
                <w:b w:val="0"/>
                <w:color w:val="auto"/>
                <w:sz w:val="24"/>
                <w:szCs w:val="24"/>
                <w:highlight w:val="none"/>
                <w:u w:val="none"/>
                <w:lang w:eastAsia="zh-CN"/>
              </w:rPr>
            </w:pPr>
            <w:r>
              <w:rPr>
                <w:rFonts w:hint="eastAsia" w:cs="宋体"/>
                <w:caps w:val="0"/>
                <w:smallCaps w:val="0"/>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13</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现场提交的其他材料要求</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14</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解密时间</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lang w:eastAsia="zh-CN"/>
              </w:rPr>
              <w:t>投标文件</w:t>
            </w:r>
            <w:r>
              <w:rPr>
                <w:rFonts w:hint="eastAsia" w:ascii="宋体" w:hAnsi="宋体" w:eastAsia="宋体" w:cs="宋体"/>
                <w:b w:val="0"/>
                <w:color w:val="auto"/>
                <w:sz w:val="24"/>
                <w:szCs w:val="24"/>
                <w:highlight w:val="none"/>
                <w:u w:val="none"/>
              </w:rPr>
              <w:t>提交截止时间后30分钟内（以电子交易系统解密倒计时为准）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0" w:type="pct"/>
            <w:vMerge w:val="restar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15</w:t>
            </w:r>
          </w:p>
        </w:tc>
        <w:tc>
          <w:tcPr>
            <w:tcW w:w="818" w:type="pct"/>
            <w:vMerge w:val="restar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中标人</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推荐</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的数量：</w:t>
            </w:r>
            <w:r>
              <w:rPr>
                <w:rFonts w:hint="eastAsia" w:ascii="宋体" w:hAnsi="宋体" w:eastAsia="宋体" w:cs="宋体"/>
                <w:b w:val="0"/>
                <w:color w:val="auto"/>
                <w:sz w:val="24"/>
                <w:szCs w:val="24"/>
                <w:highlight w:val="none"/>
                <w:u w:val="single"/>
                <w:lang w:val="en-US" w:eastAsia="zh-CN"/>
              </w:rPr>
              <w:t>不多于</w:t>
            </w:r>
            <w:r>
              <w:rPr>
                <w:rFonts w:hint="eastAsia" w:cs="宋体"/>
                <w:b w:val="0"/>
                <w:color w:val="auto"/>
                <w:sz w:val="24"/>
                <w:szCs w:val="24"/>
                <w:highlight w:val="none"/>
                <w:u w:val="single"/>
                <w:lang w:val="en-US" w:eastAsia="zh-CN"/>
              </w:rPr>
              <w:t>1</w:t>
            </w:r>
            <w:r>
              <w:rPr>
                <w:rFonts w:hint="eastAsia" w:ascii="宋体" w:hAnsi="宋体" w:eastAsia="宋体" w:cs="宋体"/>
                <w:b w:val="0"/>
                <w:color w:val="auto"/>
                <w:sz w:val="24"/>
                <w:szCs w:val="24"/>
                <w:highlight w:val="none"/>
                <w:u w:val="single"/>
                <w:lang w:val="en-US"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Merge w:val="continue"/>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rPr>
            </w:pPr>
          </w:p>
        </w:tc>
        <w:tc>
          <w:tcPr>
            <w:tcW w:w="818" w:type="pct"/>
            <w:vMerge w:val="continue"/>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w:t>
            </w:r>
          </w:p>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委托</w:t>
            </w: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 xml:space="preserve">确定     </w:t>
            </w:r>
          </w:p>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16</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发出的形式</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color w:val="auto"/>
                <w:sz w:val="24"/>
                <w:szCs w:val="24"/>
                <w:highlight w:val="none"/>
              </w:rPr>
              <w:t>数据电文</w:t>
            </w:r>
          </w:p>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特别提醒：本项目发布</w:t>
            </w:r>
            <w:r>
              <w:rPr>
                <w:rFonts w:hint="eastAsia" w:ascii="宋体" w:hAnsi="宋体" w:eastAsia="宋体" w:cs="宋体"/>
                <w:b w:val="0"/>
                <w:color w:val="auto"/>
                <w:sz w:val="24"/>
                <w:szCs w:val="24"/>
                <w:highlight w:val="none"/>
                <w:lang w:eastAsia="zh-CN"/>
              </w:rPr>
              <w:t>中标结果公告</w:t>
            </w:r>
            <w:r>
              <w:rPr>
                <w:rFonts w:hint="eastAsia" w:ascii="宋体" w:hAnsi="宋体" w:eastAsia="宋体" w:cs="宋体"/>
                <w:b w:val="0"/>
                <w:color w:val="auto"/>
                <w:sz w:val="24"/>
                <w:szCs w:val="24"/>
                <w:highlight w:val="none"/>
              </w:rPr>
              <w:t>的同时，通过电子交易系统向</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发出</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发出视为已送达，</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应主动登录电子交易系统查询，</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不承担</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17</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w:t>
            </w: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结果的形式</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pPr>
              <w:pStyle w:val="7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w:t>
            </w: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18</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621" w:type="pct"/>
          </w:tcPr>
          <w:p>
            <w:pPr>
              <w:snapToGrid w:val="0"/>
              <w:spacing w:line="360" w:lineRule="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（1）金额：</w:t>
            </w:r>
            <w:r>
              <w:rPr>
                <w:rFonts w:hint="eastAsia" w:ascii="宋体" w:hAnsi="宋体" w:eastAsia="宋体" w:cs="宋体"/>
                <w:bCs/>
                <w:snapToGrid w:val="0"/>
                <w:color w:val="auto"/>
                <w:sz w:val="24"/>
                <w:szCs w:val="24"/>
                <w:highlight w:val="none"/>
                <w:u w:val="single"/>
              </w:rPr>
              <w:t xml:space="preserve">  </w:t>
            </w:r>
            <w:r>
              <w:rPr>
                <w:rFonts w:hint="eastAsia" w:cs="宋体"/>
                <w:bCs/>
                <w:snapToGrid w:val="0"/>
                <w:color w:val="auto"/>
                <w:sz w:val="24"/>
                <w:szCs w:val="24"/>
                <w:u w:val="single"/>
                <w:lang w:eastAsia="zh-CN"/>
              </w:rPr>
              <w:t>估算</w:t>
            </w:r>
            <w:r>
              <w:rPr>
                <w:rFonts w:hint="eastAsia" w:cs="宋体"/>
                <w:bCs/>
                <w:snapToGrid w:val="0"/>
                <w:color w:val="auto"/>
                <w:sz w:val="24"/>
                <w:szCs w:val="24"/>
                <w:u w:val="single"/>
              </w:rPr>
              <w:t>价的2%</w:t>
            </w:r>
            <w:r>
              <w:rPr>
                <w:rFonts w:hint="eastAsia" w:ascii="宋体" w:hAnsi="宋体" w:eastAsia="宋体" w:cs="宋体"/>
                <w:bCs/>
                <w:snapToGrid w:val="0"/>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缴纳</w:t>
            </w:r>
            <w:r>
              <w:rPr>
                <w:rFonts w:hint="eastAsia" w:ascii="宋体" w:hAnsi="宋体" w:eastAsia="宋体" w:cs="宋体"/>
                <w:bCs/>
                <w:snapToGrid w:val="0"/>
                <w:color w:val="auto"/>
                <w:sz w:val="24"/>
                <w:szCs w:val="24"/>
                <w:highlight w:val="none"/>
              </w:rPr>
              <w:t>形式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银行转账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银行电汇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银行保函</w:t>
            </w:r>
          </w:p>
          <w:p>
            <w:pPr>
              <w:snapToGrid w:val="0"/>
              <w:spacing w:line="360" w:lineRule="auto"/>
              <w:rPr>
                <w:rFonts w:hint="eastAsia" w:ascii="宋体" w:hAnsi="宋体" w:eastAsia="宋体" w:cs="宋体"/>
                <w:b/>
                <w:bCs/>
                <w:snapToGrid w:val="0"/>
                <w:color w:val="auto"/>
                <w:sz w:val="24"/>
                <w:szCs w:val="24"/>
                <w:highlight w:val="none"/>
              </w:rPr>
            </w:pPr>
            <w:r>
              <w:rPr>
                <w:rFonts w:hint="eastAsia" w:ascii="宋体" w:hAnsi="宋体" w:eastAsia="宋体" w:cs="宋体"/>
                <w:color w:val="auto"/>
                <w:sz w:val="24"/>
                <w:szCs w:val="24"/>
                <w:highlight w:val="none"/>
              </w:rPr>
              <w:t>（3）具体要求：采用银行保函的，应为不可撤销、不可转让的见索即付独立保函。</w:t>
            </w:r>
          </w:p>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）其他要求：</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19</w:t>
            </w:r>
          </w:p>
        </w:tc>
        <w:tc>
          <w:tcPr>
            <w:tcW w:w="818" w:type="pct"/>
            <w:vAlign w:val="center"/>
          </w:tcPr>
          <w:p>
            <w:pPr>
              <w:snapToGrid w:val="0"/>
              <w:spacing w:line="360" w:lineRule="auto"/>
              <w:jc w:val="center"/>
              <w:rPr>
                <w:rFonts w:hint="eastAsia" w:ascii="宋体" w:hAnsi="宋体" w:eastAsia="宋体" w:cs="宋体"/>
                <w:b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招标代理服务费</w:t>
            </w:r>
          </w:p>
        </w:tc>
        <w:tc>
          <w:tcPr>
            <w:tcW w:w="3621" w:type="pct"/>
            <w:vAlign w:val="center"/>
          </w:tcPr>
          <w:p>
            <w:pPr>
              <w:widowControl/>
              <w:snapToGrid w:val="0"/>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（1）招标代理服务费：中标人在领取中标通知书前须向招标代理机构缴纳招标代理服务费，可以银行转账、银行电汇方式。</w:t>
            </w:r>
          </w:p>
          <w:p>
            <w:pPr>
              <w:widowControl/>
              <w:snapToGrid w:val="0"/>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招标代理服务费：以项目预算为计算基数，具体收取金额为附件1对应表格相应招标类别收费标准的80%，每标段收取金额不足4000元的按照4000元最低标准收取。</w:t>
            </w:r>
          </w:p>
          <w:p>
            <w:pPr>
              <w:widowControl/>
              <w:numPr>
                <w:ilvl w:val="0"/>
                <w:numId w:val="0"/>
              </w:numPr>
              <w:snapToGrid w:val="0"/>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（2）以上相关费用，投标人在报价单中不单列，包含在投标总价中，招标人不再单独计量支付。</w:t>
            </w:r>
          </w:p>
          <w:p>
            <w:pPr>
              <w:widowControl/>
              <w:numPr>
                <w:ilvl w:val="0"/>
                <w:numId w:val="0"/>
              </w:numPr>
              <w:snapToGrid w:val="0"/>
              <w:spacing w:line="360" w:lineRule="auto"/>
              <w:jc w:val="left"/>
              <w:rPr>
                <w:rFonts w:hint="eastAsia"/>
                <w:color w:val="auto"/>
                <w:highlight w:val="none"/>
                <w:lang w:eastAsia="zh-CN"/>
              </w:rPr>
            </w:pPr>
            <w:r>
              <w:rPr>
                <w:rFonts w:hint="eastAsia" w:asciiTheme="minorEastAsia" w:hAnsiTheme="minorEastAsia" w:eastAsiaTheme="minorEastAsia" w:cstheme="minorEastAsia"/>
                <w:bCs/>
                <w:color w:val="auto"/>
                <w:sz w:val="24"/>
                <w:szCs w:val="24"/>
                <w:highlight w:val="none"/>
                <w:lang w:val="en-US" w:eastAsia="zh-CN" w:bidi="ar-SA"/>
              </w:rPr>
              <w:t>（3）以上费用代理机构有权从谈判保证金中优先扣除。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20</w:t>
            </w:r>
          </w:p>
        </w:tc>
        <w:tc>
          <w:tcPr>
            <w:tcW w:w="818"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补充约定</w:t>
            </w:r>
          </w:p>
        </w:tc>
        <w:tc>
          <w:tcPr>
            <w:tcW w:w="3621" w:type="pct"/>
            <w:vAlign w:val="center"/>
          </w:tcPr>
          <w:p>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文件约定进行评审并确定结果</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1家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w:t>
            </w:r>
            <w:r>
              <w:rPr>
                <w:rFonts w:hint="eastAsia"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认为具有竞争性的，继续评审并确定结果。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818" w:type="pct"/>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报价须知</w:t>
            </w:r>
          </w:p>
        </w:tc>
        <w:tc>
          <w:tcPr>
            <w:tcW w:w="3621" w:type="pct"/>
            <w:vAlign w:val="center"/>
          </w:tcPr>
          <w:p>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）投标人最终投标报价</w:t>
            </w:r>
            <w:r>
              <w:rPr>
                <w:rFonts w:hint="eastAsia" w:cs="宋体"/>
                <w:bCs/>
                <w:color w:val="auto"/>
                <w:kern w:val="2"/>
                <w:sz w:val="24"/>
                <w:szCs w:val="24"/>
                <w:highlight w:val="none"/>
                <w:lang w:eastAsia="zh-CN"/>
              </w:rPr>
              <w:t>不得</w:t>
            </w:r>
            <w:r>
              <w:rPr>
                <w:rFonts w:hint="eastAsia" w:ascii="宋体" w:hAnsi="宋体" w:eastAsia="宋体" w:cs="宋体"/>
                <w:bCs/>
                <w:color w:val="auto"/>
                <w:kern w:val="2"/>
                <w:sz w:val="24"/>
                <w:szCs w:val="24"/>
                <w:highlight w:val="none"/>
                <w:lang w:eastAsia="zh-CN"/>
              </w:rPr>
              <w:t>高于</w:t>
            </w:r>
            <w:r>
              <w:rPr>
                <w:rFonts w:hint="eastAsia" w:cs="宋体"/>
                <w:bCs/>
                <w:color w:val="auto"/>
                <w:kern w:val="2"/>
                <w:sz w:val="24"/>
                <w:szCs w:val="24"/>
                <w:highlight w:val="none"/>
                <w:lang w:eastAsia="zh-CN"/>
              </w:rPr>
              <w:t>谈判</w:t>
            </w:r>
            <w:r>
              <w:rPr>
                <w:rFonts w:hint="eastAsia" w:ascii="宋体" w:hAnsi="宋体" w:eastAsia="宋体" w:cs="宋体"/>
                <w:bCs/>
                <w:color w:val="auto"/>
                <w:kern w:val="2"/>
                <w:sz w:val="24"/>
                <w:szCs w:val="24"/>
                <w:highlight w:val="none"/>
                <w:lang w:eastAsia="zh-CN"/>
              </w:rPr>
              <w:t>文件（公告）列明的项目预算、最高投标限价，否则其投标文件将被否决。</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在工程项目</w:t>
            </w:r>
            <w:r>
              <w:rPr>
                <w:rFonts w:hint="eastAsia" w:cs="宋体"/>
                <w:color w:val="auto"/>
                <w:kern w:val="2"/>
                <w:sz w:val="24"/>
                <w:szCs w:val="24"/>
                <w:highlight w:val="none"/>
                <w:lang w:eastAsia="zh-CN"/>
              </w:rPr>
              <w:t>谈判</w:t>
            </w:r>
            <w:r>
              <w:rPr>
                <w:rFonts w:hint="eastAsia" w:ascii="宋体" w:hAnsi="宋体" w:eastAsia="宋体" w:cs="宋体"/>
                <w:color w:val="auto"/>
                <w:kern w:val="2"/>
                <w:sz w:val="24"/>
                <w:szCs w:val="24"/>
                <w:highlight w:val="none"/>
              </w:rPr>
              <w:t>过程中，</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22</w:t>
            </w:r>
          </w:p>
        </w:tc>
        <w:tc>
          <w:tcPr>
            <w:tcW w:w="818" w:type="pct"/>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重要说明</w:t>
            </w:r>
          </w:p>
        </w:tc>
        <w:tc>
          <w:tcPr>
            <w:tcW w:w="3621" w:type="pct"/>
            <w:vAlign w:val="center"/>
          </w:tcPr>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）承包人在工程实施过程中用工行为，必须严格执行国家及地方政府的有关规定，依法签订劳动合同，并按规定及时足额支付工资。</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）建设工程不可竞争费构成及计费标准按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关于贯彻执行</w:t>
            </w:r>
            <w:r>
              <w:rPr>
                <w:rFonts w:hint="eastAsia" w:ascii="宋体" w:hAnsi="宋体" w:eastAsia="宋体" w:cs="宋体"/>
                <w:b w:val="0"/>
                <w:bCs w:val="0"/>
                <w:color w:val="auto"/>
                <w:sz w:val="24"/>
                <w:szCs w:val="24"/>
                <w:highlight w:val="none"/>
                <w:lang w:val="en-US" w:eastAsia="zh-CN"/>
              </w:rPr>
              <w:t>&lt;</w:t>
            </w:r>
            <w:r>
              <w:rPr>
                <w:rFonts w:hint="eastAsia" w:ascii="宋体" w:hAnsi="宋体" w:eastAsia="宋体" w:cs="宋体"/>
                <w:b w:val="0"/>
                <w:bCs w:val="0"/>
                <w:color w:val="auto"/>
                <w:sz w:val="24"/>
                <w:szCs w:val="24"/>
                <w:highlight w:val="none"/>
              </w:rPr>
              <w:t>2018版安徽省建设工程计价依据动态调整（第1期）</w:t>
            </w:r>
            <w:r>
              <w:rPr>
                <w:rFonts w:hint="eastAsia" w:ascii="宋体" w:hAnsi="宋体" w:eastAsia="宋体" w:cs="宋体"/>
                <w:b w:val="0"/>
                <w:bCs w:val="0"/>
                <w:color w:val="auto"/>
                <w:sz w:val="24"/>
                <w:szCs w:val="24"/>
                <w:highlight w:val="none"/>
                <w:lang w:val="en-US" w:eastAsia="zh-CN"/>
              </w:rPr>
              <w:t>&gt;</w:t>
            </w:r>
            <w:r>
              <w:rPr>
                <w:rFonts w:hint="eastAsia" w:ascii="宋体" w:hAnsi="宋体" w:eastAsia="宋体" w:cs="宋体"/>
                <w:b w:val="0"/>
                <w:bCs w:val="0"/>
                <w:color w:val="auto"/>
                <w:sz w:val="24"/>
                <w:szCs w:val="24"/>
                <w:highlight w:val="none"/>
              </w:rPr>
              <w:t>的通知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建监管〔2024〕13号）执行，本工程最高投标限价（招标控制价）已按规定的措施项目、费率和单价列出招标工程施工扬尘污染防治费用和建筑工人实名制管理费用清单，投标人应承诺投标报价中已包含招标文件公布的施工扬尘污染防治费用和建筑工人实名制管理费用。工程竣工结算时，未落实的施工扬尘污染防治和建筑工人实名制管理措施项目, 应按清单所列金额从工程结算价款中扣除。（</w:t>
            </w:r>
            <w:r>
              <w:rPr>
                <w:rFonts w:hint="eastAsia" w:ascii="宋体" w:hAnsi="宋体" w:eastAsia="宋体" w:cs="宋体"/>
                <w:b w:val="0"/>
                <w:bCs w:val="0"/>
                <w:color w:val="auto"/>
                <w:sz w:val="24"/>
                <w:szCs w:val="24"/>
                <w:highlight w:val="none"/>
                <w:lang w:eastAsia="zh-CN"/>
              </w:rPr>
              <w:t>采用工程量清单计价</w:t>
            </w:r>
            <w:r>
              <w:rPr>
                <w:rFonts w:hint="eastAsia" w:ascii="宋体" w:hAnsi="宋体" w:eastAsia="宋体" w:cs="宋体"/>
                <w:b w:val="0"/>
                <w:bCs w:val="0"/>
                <w:color w:val="auto"/>
                <w:sz w:val="24"/>
                <w:szCs w:val="24"/>
                <w:highlight w:val="none"/>
              </w:rPr>
              <w:t>合肥市适用）</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）本工程在发放工程量清单、最高投标限价后，</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应对工程量清单和最高投标限价等数据进行复核。如</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认为数据有误，应通过电子交易系统提交。如在规定时间内未提出疑问的，清单和最高投标限价中数据将被作为有效数据用于判定</w:t>
            </w:r>
            <w:r>
              <w:rPr>
                <w:rFonts w:hint="eastAsia" w:ascii="宋体" w:hAnsi="宋体" w:eastAsia="宋体" w:cs="宋体"/>
                <w:b w:val="0"/>
                <w:bCs w:val="0"/>
                <w:color w:val="auto"/>
                <w:sz w:val="24"/>
                <w:szCs w:val="24"/>
                <w:highlight w:val="none"/>
                <w:lang w:eastAsia="zh-CN"/>
              </w:rPr>
              <w:t>最终投标报价</w:t>
            </w:r>
            <w:r>
              <w:rPr>
                <w:rFonts w:hint="eastAsia" w:ascii="宋体" w:hAnsi="宋体" w:eastAsia="宋体" w:cs="宋体"/>
                <w:b w:val="0"/>
                <w:bCs w:val="0"/>
                <w:color w:val="auto"/>
                <w:sz w:val="24"/>
                <w:szCs w:val="24"/>
                <w:highlight w:val="none"/>
              </w:rPr>
              <w:t>是否低于成本价的依据（清单工程量出现重大错误除外）。</w:t>
            </w:r>
            <w:r>
              <w:rPr>
                <w:rFonts w:hint="eastAsia" w:ascii="宋体" w:hAnsi="宋体" w:eastAsia="宋体" w:cs="宋体"/>
                <w:b w:val="0"/>
                <w:bCs w:val="0"/>
                <w:color w:val="auto"/>
                <w:sz w:val="24"/>
                <w:szCs w:val="24"/>
                <w:highlight w:val="none"/>
                <w:lang w:val="en-US" w:eastAsia="zh-CN"/>
              </w:rPr>
              <w:t>投标人提出疑问</w:t>
            </w:r>
            <w:r>
              <w:rPr>
                <w:rFonts w:hint="eastAsia" w:ascii="宋体" w:hAnsi="宋体" w:eastAsia="宋体" w:cs="宋体"/>
                <w:b w:val="0"/>
                <w:bCs w:val="0"/>
                <w:color w:val="auto"/>
                <w:sz w:val="24"/>
                <w:szCs w:val="24"/>
                <w:highlight w:val="none"/>
              </w:rPr>
              <w:t>截止时间前若</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对清单和最高投标限价未提出相关疑问，视同认可工程量清单和最高投标限价编制合理。</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后，</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应按其报价完成</w:t>
            </w:r>
            <w:r>
              <w:rPr>
                <w:rFonts w:hint="eastAsia"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范围和图纸内的全部内容，不得以工程量清单和最高投标限价编制存在漏项或数量偏差或不合理提出各种形式的索赔。</w:t>
            </w:r>
            <w:r>
              <w:rPr>
                <w:rFonts w:hint="eastAsia" w:ascii="宋体" w:hAnsi="宋体" w:eastAsia="宋体" w:cs="宋体"/>
                <w:b/>
                <w:bCs/>
                <w:color w:val="auto"/>
                <w:sz w:val="24"/>
                <w:szCs w:val="24"/>
                <w:highlight w:val="none"/>
                <w:lang w:eastAsia="zh-CN"/>
              </w:rPr>
              <w:t>（如有）</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签订合同，若</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有权取消</w:t>
            </w:r>
            <w:r>
              <w:rPr>
                <w:rFonts w:hint="eastAsia" w:ascii="宋体" w:hAnsi="宋体" w:eastAsia="宋体" w:cs="宋体"/>
                <w:b w:val="0"/>
                <w:bCs w:val="0"/>
                <w:color w:val="auto"/>
                <w:sz w:val="24"/>
                <w:szCs w:val="24"/>
                <w:highlight w:val="none"/>
                <w:lang w:eastAsia="zh-CN"/>
              </w:rPr>
              <w:t>中标人中标资格</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）合同签订后，中标人存在规定时间内不组织人员进场开工，不履行合同义务等情况，招标人有权解除合同，并追究违约责任；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部门调查案件的，招标人可以取消其中标资格或解除合同，并追究其违约责任。</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参与</w:t>
            </w:r>
            <w:r>
              <w:rPr>
                <w:rFonts w:hint="eastAsia"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，应当诚信守法、公平竞争。如有以提供虚假材料（包括但不限于虚假技术参数响应、虚假业绩、虚假证书、虚假检测报告等）、串通</w:t>
            </w:r>
            <w:r>
              <w:rPr>
                <w:rFonts w:hint="eastAsia"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、隐瞒失信信息等谋取</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60" w:type="pct"/>
            <w:vAlign w:val="center"/>
          </w:tcPr>
          <w:p>
            <w:pPr>
              <w:snapToGrid w:val="0"/>
              <w:spacing w:line="360" w:lineRule="auto"/>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23</w:t>
            </w:r>
          </w:p>
        </w:tc>
        <w:tc>
          <w:tcPr>
            <w:tcW w:w="818" w:type="pct"/>
            <w:vAlign w:val="center"/>
          </w:tcPr>
          <w:p>
            <w:pPr>
              <w:snapToGrid w:val="0"/>
              <w:spacing w:line="360" w:lineRule="auto"/>
              <w:jc w:val="center"/>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rPr>
              <w:t>电子招标</w:t>
            </w:r>
          </w:p>
        </w:tc>
        <w:tc>
          <w:tcPr>
            <w:tcW w:w="3621" w:type="pct"/>
            <w:vAlign w:val="center"/>
          </w:tcPr>
          <w:p>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eastAsia="zh-CN"/>
              </w:rPr>
              <w:t>谈判文件</w:t>
            </w:r>
            <w:r>
              <w:rPr>
                <w:rFonts w:hint="eastAsia" w:ascii="宋体" w:hAnsi="宋体" w:eastAsia="宋体" w:cs="宋体"/>
                <w:bCs/>
                <w:color w:val="auto"/>
                <w:sz w:val="24"/>
                <w:szCs w:val="24"/>
                <w:highlight w:val="none"/>
              </w:rPr>
              <w:t>另有规定外，电子招标投标操作要求见本章附件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安徽公共资源交易集团电子交易操作规程</w:t>
            </w:r>
            <w:r>
              <w:rPr>
                <w:rFonts w:hint="eastAsia" w:ascii="宋体" w:hAnsi="宋体" w:eastAsia="宋体" w:cs="宋体"/>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24</w:t>
            </w:r>
          </w:p>
        </w:tc>
        <w:tc>
          <w:tcPr>
            <w:tcW w:w="818" w:type="pct"/>
            <w:vAlign w:val="center"/>
          </w:tcPr>
          <w:p>
            <w:pPr>
              <w:pStyle w:val="76"/>
              <w:widowControl w:val="0"/>
              <w:spacing w:before="0" w:beforeAutospacing="0" w:after="0" w:afterAutospacing="0" w:line="360" w:lineRule="auto"/>
              <w:ind w:firstLine="240" w:firstLineChars="10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3621" w:type="pct"/>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rPr>
              <w:t>文件的各个组成文件应互为解释，互为说明；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rPr>
              <w:t>文件中有特别规定外，仅适用于</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rPr>
              <w:t>及</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提交阶段的规定，按</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lang w:eastAsia="zh-CN"/>
              </w:rPr>
              <w:t>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格式的先后顺序解释；</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25</w:t>
            </w:r>
          </w:p>
        </w:tc>
        <w:tc>
          <w:tcPr>
            <w:tcW w:w="818" w:type="pct"/>
            <w:vAlign w:val="center"/>
          </w:tcPr>
          <w:p>
            <w:pPr>
              <w:pStyle w:val="76"/>
              <w:widowControl w:val="0"/>
              <w:spacing w:before="0" w:beforeAutospacing="0" w:after="0" w:afterAutospacing="0" w:line="360" w:lineRule="auto"/>
              <w:jc w:val="center"/>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最高投标限价</w:t>
            </w:r>
          </w:p>
        </w:tc>
        <w:tc>
          <w:tcPr>
            <w:tcW w:w="3621" w:type="pct"/>
            <w:vAlign w:val="center"/>
          </w:tcPr>
          <w:p>
            <w:pPr>
              <w:pStyle w:val="76"/>
              <w:widowControl w:val="0"/>
              <w:spacing w:before="0" w:beforeAutospacing="0" w:after="0" w:afterAutospacing="0" w:line="360" w:lineRule="auto"/>
              <w:jc w:val="both"/>
              <w:rPr>
                <w:rFonts w:hint="default" w:ascii="宋体" w:hAnsi="宋体" w:eastAsia="宋体" w:cs="宋体"/>
                <w:b w:val="0"/>
                <w:color w:val="auto"/>
                <w:sz w:val="24"/>
                <w:szCs w:val="24"/>
                <w:highlight w:val="none"/>
                <w:lang w:val="en-US" w:eastAsia="zh-CN"/>
              </w:rPr>
            </w:pPr>
            <w:r>
              <w:rPr>
                <w:rFonts w:hint="eastAsia" w:cs="宋体"/>
                <w:b/>
                <w:bCs w:val="0"/>
                <w:color w:val="auto"/>
                <w:sz w:val="24"/>
                <w:szCs w:val="24"/>
                <w:highlight w:val="none"/>
                <w:lang w:val="en-US" w:eastAsia="zh-CN" w:bidi="ar-SA"/>
              </w:rPr>
              <w:t>最高投标费率：90%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bookmarkStart w:id="4" w:name="_Toc4558"/>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6</w:t>
            </w:r>
          </w:p>
        </w:tc>
        <w:tc>
          <w:tcPr>
            <w:tcW w:w="818" w:type="pct"/>
            <w:vAlign w:val="center"/>
          </w:tcPr>
          <w:p>
            <w:pPr>
              <w:pStyle w:val="7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其他补充</w:t>
            </w:r>
          </w:p>
          <w:p>
            <w:pPr>
              <w:pStyle w:val="76"/>
              <w:widowControl w:val="0"/>
              <w:spacing w:before="0" w:beforeAutospacing="0" w:after="0" w:afterAutospacing="0" w:line="360" w:lineRule="auto"/>
              <w:jc w:val="cente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说明</w:t>
            </w:r>
          </w:p>
        </w:tc>
        <w:tc>
          <w:tcPr>
            <w:tcW w:w="3621" w:type="pct"/>
            <w:vAlign w:val="center"/>
          </w:tcPr>
          <w:p>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1.投标人不得与</w:t>
            </w:r>
            <w:r>
              <w:rPr>
                <w:rFonts w:hint="eastAsia" w:ascii="宋体" w:hAnsi="宋体" w:eastAsia="宋体" w:cs="宋体"/>
                <w:b/>
                <w:bCs w:val="0"/>
                <w:color w:val="auto"/>
                <w:sz w:val="24"/>
                <w:szCs w:val="24"/>
                <w:highlight w:val="none"/>
                <w:lang w:val="zh-CN" w:eastAsia="zh-CN" w:bidi="ar-SA"/>
              </w:rPr>
              <w:t>本标段的其他投标人存在</w:t>
            </w:r>
            <w:r>
              <w:rPr>
                <w:rFonts w:hint="eastAsia" w:ascii="宋体" w:hAnsi="宋体" w:eastAsia="宋体" w:cs="宋体"/>
                <w:b/>
                <w:bCs w:val="0"/>
                <w:color w:val="auto"/>
                <w:sz w:val="24"/>
                <w:szCs w:val="24"/>
                <w:highlight w:val="none"/>
                <w:lang w:val="en-US" w:eastAsia="zh-CN" w:bidi="ar-SA"/>
              </w:rPr>
              <w:t>单位负责人为同一人或者存在直接控股、管理关系的情形</w:t>
            </w:r>
            <w:r>
              <w:rPr>
                <w:rFonts w:hint="eastAsia" w:ascii="宋体" w:hAnsi="宋体" w:eastAsia="宋体" w:cs="宋体"/>
                <w:b/>
                <w:bCs w:val="0"/>
                <w:color w:val="auto"/>
                <w:sz w:val="24"/>
                <w:szCs w:val="24"/>
                <w:highlight w:val="none"/>
                <w:lang w:val="zh-CN" w:eastAsia="zh-CN" w:bidi="ar-SA"/>
              </w:rPr>
              <w:t>。</w:t>
            </w:r>
          </w:p>
        </w:tc>
      </w:tr>
    </w:tbl>
    <w:p>
      <w:pPr>
        <w:pStyle w:val="124"/>
        <w:adjustRightInd w:val="0"/>
        <w:snapToGrid w:val="0"/>
        <w:spacing w:line="360" w:lineRule="auto"/>
        <w:outlineLvl w:val="1"/>
        <w:rPr>
          <w:rFonts w:hint="eastAsia" w:ascii="宋体" w:hAnsi="宋体"/>
          <w:b/>
          <w:color w:val="auto"/>
          <w:sz w:val="24"/>
          <w:szCs w:val="24"/>
          <w:highlight w:val="none"/>
        </w:rPr>
      </w:pPr>
    </w:p>
    <w:p>
      <w:pPr>
        <w:pStyle w:val="124"/>
        <w:adjustRightInd w:val="0"/>
        <w:snapToGrid w:val="0"/>
        <w:spacing w:line="360" w:lineRule="auto"/>
        <w:outlineLvl w:val="1"/>
        <w:rPr>
          <w:rFonts w:hint="eastAsia" w:ascii="宋体" w:hAnsi="宋体"/>
          <w:b/>
          <w:color w:val="auto"/>
          <w:sz w:val="24"/>
          <w:szCs w:val="24"/>
          <w:highlight w:val="none"/>
        </w:rPr>
      </w:pP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pStyle w:val="124"/>
        <w:adjustRightInd w:val="0"/>
        <w:snapToGrid w:val="0"/>
        <w:spacing w:line="360" w:lineRule="auto"/>
        <w:outlineLvl w:val="1"/>
        <w:rPr>
          <w:rFonts w:hint="eastAsia" w:ascii="宋体" w:hAnsi="宋体"/>
          <w:b/>
          <w:color w:val="auto"/>
          <w:sz w:val="24"/>
          <w:szCs w:val="24"/>
          <w:highlight w:val="none"/>
        </w:rPr>
      </w:pPr>
    </w:p>
    <w:p>
      <w:pPr>
        <w:pStyle w:val="3"/>
        <w:spacing w:before="240" w:beforeLines="100" w:after="240" w:afterLines="100" w:line="240" w:lineRule="auto"/>
        <w:jc w:val="center"/>
        <w:rPr>
          <w:rFonts w:hint="eastAsia" w:ascii="Times New Roman" w:eastAsia="宋体" w:cs="宋体"/>
          <w:b/>
          <w:bCs/>
          <w:snapToGrid w:val="0"/>
          <w:color w:val="auto"/>
          <w:szCs w:val="24"/>
          <w:highlight w:val="none"/>
          <w:lang w:val="en-US" w:eastAsia="zh-CN"/>
        </w:rPr>
      </w:pPr>
      <w:bookmarkStart w:id="5" w:name="_Toc24583"/>
      <w:r>
        <w:rPr>
          <w:rFonts w:hint="eastAsia" w:ascii="Times New Roman" w:hAnsi="Times New Roman" w:eastAsia="黑体"/>
          <w:b w:val="0"/>
          <w:bCs w:val="0"/>
          <w:color w:val="auto"/>
          <w:highlight w:val="none"/>
          <w:lang w:val="en-US" w:eastAsia="zh-CN"/>
        </w:rPr>
        <w:t>附件1</w:t>
      </w:r>
      <w:r>
        <w:rPr>
          <w:rFonts w:hint="eastAsia" w:ascii="Times New Roman" w:cs="宋体"/>
          <w:bCs/>
          <w:snapToGrid w:val="0"/>
          <w:color w:val="auto"/>
          <w:szCs w:val="24"/>
          <w:highlight w:val="none"/>
        </w:rPr>
        <w:t>招标代理服务费及</w:t>
      </w:r>
      <w:r>
        <w:rPr>
          <w:rFonts w:hint="eastAsia" w:ascii="Times New Roman" w:eastAsia="宋体" w:cs="宋体"/>
          <w:b/>
          <w:bCs/>
          <w:snapToGrid w:val="0"/>
          <w:color w:val="auto"/>
          <w:szCs w:val="24"/>
          <w:highlight w:val="none"/>
          <w:lang w:val="en-US" w:eastAsia="zh-CN"/>
        </w:rPr>
        <w:t>工程量清单</w:t>
      </w:r>
      <w:bookmarkEnd w:id="5"/>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1.招标代理服务费收费标准</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中标金额（万元）</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货物招标</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服务招标</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工程施工/      工程总承包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100以下</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100-500</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500-1000</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0.45%</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1000-5000</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5000-10000</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10000-100000</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100000以上</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43"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56" w:type="dxa"/>
                  <w:noWrap w:val="0"/>
                  <w:vAlign w:val="center"/>
                </w:tcPr>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r>
          </w:tbl>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auto"/>
                <w:sz w:val="24"/>
                <w:szCs w:val="24"/>
                <w:highlight w:val="none"/>
                <w:lang w:val="en-US" w:eastAsia="zh-CN"/>
              </w:rPr>
              <w:t>具体收取金额为上表（招标代理服务费收费标准）相应招标类别收费标准*80%，</w:t>
            </w:r>
            <w:r>
              <w:rPr>
                <w:rFonts w:hint="eastAsia" w:asciiTheme="minorEastAsia" w:hAnsiTheme="minorEastAsia" w:eastAsiaTheme="minorEastAsia" w:cstheme="minorEastAsia"/>
                <w:color w:val="auto"/>
                <w:sz w:val="24"/>
                <w:szCs w:val="24"/>
                <w:highlight w:val="none"/>
                <w:lang w:val="en-US" w:eastAsia="zh-CN"/>
              </w:rPr>
              <w:t>计算招标代理服务费收取金额如下：</w:t>
            </w:r>
          </w:p>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100万元×1.5％×80%＝1.2万元</w:t>
            </w:r>
          </w:p>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（500－100）万元×0.8％×80%＝2.56万元</w:t>
            </w:r>
          </w:p>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（1000－500）万元×0.45％×80%＝1.8万元</w:t>
            </w:r>
          </w:p>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（5000－1000）万元×0.25％×80%＝8万元</w:t>
            </w:r>
          </w:p>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（6000－5000）万元×0.1％×80%＝0.8万元</w:t>
            </w:r>
          </w:p>
          <w:p>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合计收费＝1.2＋2.56＋1.8＋8＋0.8＝14.36(万元)</w:t>
            </w:r>
          </w:p>
          <w:p>
            <w:pPr>
              <w:pStyle w:val="124"/>
              <w:adjustRightInd w:val="0"/>
              <w:snapToGrid w:val="0"/>
              <w:jc w:val="both"/>
              <w:rPr>
                <w:rFonts w:hint="default" w:ascii="仿宋_GB2312" w:hAnsi="仿宋" w:eastAsia="仿宋_GB2312" w:cs="Times New Roman"/>
                <w:b w:val="0"/>
                <w:bCs w:val="0"/>
                <w:color w:val="auto"/>
                <w:kern w:val="2"/>
                <w:sz w:val="28"/>
                <w:szCs w:val="28"/>
                <w:highlight w:val="none"/>
                <w:lang w:val="en-US" w:eastAsia="zh-CN" w:bidi="ar-SA"/>
              </w:rPr>
            </w:pPr>
          </w:p>
        </w:tc>
      </w:tr>
    </w:tbl>
    <w:p>
      <w:pPr>
        <w:pStyle w:val="124"/>
        <w:adjustRightInd w:val="0"/>
        <w:snapToGrid w:val="0"/>
        <w:spacing w:line="360" w:lineRule="auto"/>
        <w:outlineLvl w:val="1"/>
        <w:rPr>
          <w:rFonts w:hint="eastAsia" w:ascii="宋体" w:hAnsi="宋体"/>
          <w:b/>
          <w:color w:val="auto"/>
          <w:sz w:val="24"/>
          <w:szCs w:val="24"/>
          <w:highlight w:val="none"/>
        </w:rPr>
      </w:pPr>
    </w:p>
    <w:p>
      <w:pPr>
        <w:pStyle w:val="124"/>
        <w:adjustRightInd w:val="0"/>
        <w:snapToGrid w:val="0"/>
        <w:spacing w:line="360" w:lineRule="auto"/>
        <w:outlineLvl w:val="1"/>
        <w:rPr>
          <w:rFonts w:hint="eastAsia" w:ascii="宋体" w:hAnsi="宋体"/>
          <w:b/>
          <w:color w:val="auto"/>
          <w:sz w:val="24"/>
          <w:szCs w:val="24"/>
          <w:highlight w:val="none"/>
        </w:rPr>
      </w:pPr>
    </w:p>
    <w:p>
      <w:pPr>
        <w:pStyle w:val="124"/>
        <w:adjustRightInd w:val="0"/>
        <w:snapToGrid w:val="0"/>
        <w:spacing w:line="360" w:lineRule="auto"/>
        <w:outlineLvl w:val="1"/>
        <w:rPr>
          <w:rFonts w:hint="eastAsia" w:ascii="宋体" w:hAnsi="宋体"/>
          <w:b/>
          <w:color w:val="auto"/>
          <w:sz w:val="24"/>
          <w:szCs w:val="24"/>
          <w:highlight w:val="none"/>
        </w:rPr>
      </w:pPr>
    </w:p>
    <w:p>
      <w:pPr>
        <w:keepNext w:val="0"/>
        <w:keepLines w:val="0"/>
        <w:widowControl/>
        <w:suppressLineNumbers w:val="0"/>
        <w:jc w:val="left"/>
        <w:rPr>
          <w:color w:val="auto"/>
          <w:highlight w:val="none"/>
        </w:rPr>
      </w:pPr>
    </w:p>
    <w:p>
      <w:pPr>
        <w:pStyle w:val="124"/>
        <w:adjustRightInd w:val="0"/>
        <w:snapToGrid w:val="0"/>
        <w:spacing w:line="360" w:lineRule="auto"/>
        <w:outlineLvl w:val="1"/>
        <w:rPr>
          <w:rFonts w:hint="eastAsia" w:ascii="宋体" w:hAnsi="宋体"/>
          <w:b/>
          <w:color w:val="auto"/>
          <w:sz w:val="24"/>
          <w:szCs w:val="24"/>
          <w:highlight w:val="none"/>
        </w:rPr>
      </w:pPr>
    </w:p>
    <w:p>
      <w:pPr>
        <w:pStyle w:val="124"/>
        <w:adjustRightInd w:val="0"/>
        <w:snapToGrid w:val="0"/>
        <w:spacing w:line="360" w:lineRule="auto"/>
        <w:outlineLvl w:val="1"/>
        <w:rPr>
          <w:rFonts w:hint="eastAsia" w:ascii="宋体" w:hAnsi="宋体"/>
          <w:b/>
          <w:color w:val="auto"/>
          <w:sz w:val="24"/>
          <w:szCs w:val="24"/>
          <w:highlight w:val="none"/>
        </w:rPr>
      </w:pPr>
    </w:p>
    <w:p>
      <w:pPr>
        <w:rPr>
          <w:rFonts w:hint="eastAsia" w:ascii="宋体" w:hAnsi="宋体"/>
          <w:b/>
          <w:color w:val="auto"/>
          <w:sz w:val="32"/>
          <w:szCs w:val="32"/>
          <w:highlight w:val="none"/>
        </w:rPr>
      </w:pPr>
      <w:r>
        <w:rPr>
          <w:rFonts w:hint="eastAsia" w:ascii="宋体" w:hAnsi="宋体"/>
          <w:b/>
          <w:color w:val="auto"/>
          <w:sz w:val="24"/>
          <w:szCs w:val="24"/>
          <w:highlight w:val="none"/>
        </w:rPr>
        <w:br w:type="page"/>
      </w:r>
    </w:p>
    <w:bookmarkEnd w:id="4"/>
    <w:p>
      <w:pPr>
        <w:keepNext w:val="0"/>
        <w:keepLines w:val="0"/>
        <w:pageBreakBefore w:val="0"/>
        <w:widowControl w:val="0"/>
        <w:kinsoku/>
        <w:wordWrap/>
        <w:overflowPunct/>
        <w:topLinePunct w:val="0"/>
        <w:autoSpaceDE/>
        <w:autoSpaceDN/>
        <w:bidi w:val="0"/>
        <w:adjustRightInd w:val="0"/>
        <w:snapToGrid w:val="0"/>
        <w:spacing w:line="360" w:lineRule="auto"/>
        <w:ind w:left="363"/>
        <w:jc w:val="center"/>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pPr>
        <w:spacing w:line="360" w:lineRule="auto"/>
        <w:ind w:firstLine="437"/>
        <w:outlineLvl w:val="3"/>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本项目的交易方式为</w:t>
      </w:r>
      <w:r>
        <w:rPr>
          <w:rFonts w:hint="eastAsia" w:asciiTheme="minorEastAsia" w:hAnsiTheme="minorEastAsia" w:eastAsiaTheme="minorEastAsia" w:cstheme="minorEastAsia"/>
          <w:b w:val="0"/>
          <w:bCs/>
          <w:color w:val="auto"/>
          <w:sz w:val="24"/>
          <w:szCs w:val="22"/>
          <w:highlight w:val="none"/>
          <w:lang w:eastAsia="zh-CN"/>
        </w:rPr>
        <w:t>竞争性谈判</w:t>
      </w:r>
      <w:r>
        <w:rPr>
          <w:rFonts w:hint="eastAsia" w:asciiTheme="minorEastAsia" w:hAnsiTheme="minorEastAsia" w:eastAsiaTheme="minorEastAsia" w:cstheme="minorEastAsia"/>
          <w:b w:val="0"/>
          <w:bCs/>
          <w:color w:val="auto"/>
          <w:sz w:val="24"/>
          <w:szCs w:val="22"/>
          <w:highlight w:val="none"/>
        </w:rPr>
        <w:t>，招标人为项目实施建设的发包人（甲方），投标人为参与</w:t>
      </w:r>
      <w:r>
        <w:rPr>
          <w:rFonts w:hint="eastAsia" w:asciiTheme="minorEastAsia" w:hAnsiTheme="minorEastAsia" w:eastAsiaTheme="minorEastAsia" w:cstheme="minorEastAsia"/>
          <w:b w:val="0"/>
          <w:bCs/>
          <w:color w:val="auto"/>
          <w:sz w:val="24"/>
          <w:szCs w:val="22"/>
          <w:highlight w:val="none"/>
          <w:lang w:eastAsia="zh-CN"/>
        </w:rPr>
        <w:t>竞争性谈判</w:t>
      </w:r>
      <w:r>
        <w:rPr>
          <w:rFonts w:hint="eastAsia" w:asciiTheme="minorEastAsia" w:hAnsiTheme="minorEastAsia" w:eastAsiaTheme="minorEastAsia" w:cstheme="minorEastAsia"/>
          <w:b w:val="0"/>
          <w:bCs/>
          <w:color w:val="auto"/>
          <w:sz w:val="24"/>
          <w:szCs w:val="22"/>
          <w:highlight w:val="none"/>
        </w:rPr>
        <w:t>的主体，中标人为参与</w:t>
      </w:r>
      <w:r>
        <w:rPr>
          <w:rFonts w:hint="eastAsia" w:asciiTheme="minorEastAsia" w:hAnsiTheme="minorEastAsia" w:eastAsiaTheme="minorEastAsia" w:cstheme="minorEastAsia"/>
          <w:b w:val="0"/>
          <w:bCs/>
          <w:color w:val="auto"/>
          <w:sz w:val="24"/>
          <w:szCs w:val="22"/>
          <w:highlight w:val="none"/>
          <w:lang w:eastAsia="zh-CN"/>
        </w:rPr>
        <w:t>竞争性谈判</w:t>
      </w:r>
      <w:r>
        <w:rPr>
          <w:rFonts w:hint="eastAsia" w:asciiTheme="minorEastAsia" w:hAnsiTheme="minorEastAsia" w:eastAsiaTheme="minorEastAsia" w:cstheme="minorEastAsia"/>
          <w:b w:val="0"/>
          <w:bCs/>
          <w:color w:val="auto"/>
          <w:sz w:val="24"/>
          <w:szCs w:val="22"/>
          <w:highlight w:val="none"/>
        </w:rPr>
        <w:t>，并获得项目实施的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.资金来源</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已获得足以支付本次</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后所签订的合同项下的资金。</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费用</w:t>
      </w:r>
    </w:p>
    <w:p>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的结果如何，</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应承担其所有与准备和参加</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有关的费用。</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文件的澄清与修改</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pPr>
        <w:pStyle w:val="1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未及时关注相关信息引发的相关责任。</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在网上发布或书面通知，均作无效处理，不得作为</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文件的组成部分。</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由此而做出的推论、理解和结论概不负责。</w:t>
      </w:r>
    </w:p>
    <w:p>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将被视为完全认同本</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范围及</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中标准和计量单位的使用</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无论</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文件中是否要求，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所承担工程及伴随的货物和服务均应符合国家强制性标准。</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之间与</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有关的所有往来通知、函件和</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均用中文表述。</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随</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提供的证明文件和资料可以为其他语言，但必须附中文译文。翻译的中文资料与外文资料如果出现差异时，以中文为准。</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除</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文件中有特殊要求外，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构成</w:t>
      </w:r>
    </w:p>
    <w:p>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应完整地按</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文件提供的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格式及</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评审</w:t>
      </w:r>
      <w:r>
        <w:rPr>
          <w:rFonts w:hint="eastAsia" w:asciiTheme="minorEastAsia" w:hAnsiTheme="minorEastAsia" w:eastAsiaTheme="minorEastAsia" w:cstheme="minorEastAsia"/>
          <w:color w:val="auto"/>
          <w:sz w:val="24"/>
          <w:highlight w:val="none"/>
        </w:rPr>
        <w:t>要求编写</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，具体内容详见第六章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格式的相关内容。</w:t>
      </w:r>
    </w:p>
    <w:p>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.2上述文件应按照</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文件规定的格式填写、签署和盖章。</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的报价应当包括满足本次</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全部内容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所有报价均应以人民币报价。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应在分项报价表上标明</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工程的单价（如适用）和总价，未标明的视同包含在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报价中。</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有效期</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有效期为从</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提交截止之日算起的日历天数，</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w:t>
      </w:r>
      <w:r>
        <w:rPr>
          <w:rFonts w:hint="eastAsia" w:asciiTheme="minorEastAsia" w:hAnsiTheme="minorEastAsia" w:eastAsiaTheme="minorEastAsia" w:cstheme="minorEastAsia"/>
          <w:color w:val="auto"/>
          <w:sz w:val="24"/>
          <w:highlight w:val="none"/>
          <w:lang w:val="en-US" w:eastAsia="zh-CN"/>
        </w:rPr>
        <w:t>为120日历天</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可根据实际情况，在原</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有效期截止之前，要求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延长</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有效期。接受该要求的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将不会被要求和允许修正其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可以拒绝延长</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有效期的要求，且不承担任何责任。上述要求和答复都应以书面形式提交。</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保持有效，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不得要求撤销或修改其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的制作</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.1本项目要求提供加密电子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的制作应满足以下规定：</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应当在互联网络通畅状态下启用最新版投标文件制作工具制作</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格式”中要求加盖</w:t>
      </w: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电子签章或公章。联合体参加</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的，除联合协议及</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文件规定须联合体各成员单位各自盖章的证明材料外，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由联合体牵头人按上述规定加盖联合体牵头人单位电子签章或公章。</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制作完成后，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进行文件加密，形成加密的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。采用数字证书加密的，加密时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的所有内容均只能使用同一把数字证书进行加密，否则引起的解密失败责任由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.2因</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自身原因而导致</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无法导入电子交易系统电子开标、评标系统的，该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视为无效</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自行承担由此导致的全部责任。（该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是指解密后的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提交截止时间</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应在第一章“</w:t>
      </w:r>
      <w:r>
        <w:rPr>
          <w:rFonts w:hint="eastAsia" w:asciiTheme="minorEastAsia" w:hAnsiTheme="minorEastAsia" w:eastAsiaTheme="minorEastAsia" w:cstheme="minorEastAsia"/>
          <w:color w:val="auto"/>
          <w:sz w:val="24"/>
          <w:highlight w:val="none"/>
          <w:lang w:eastAsia="zh-CN"/>
        </w:rPr>
        <w:t>谈判公告</w:t>
      </w:r>
      <w:r>
        <w:rPr>
          <w:rFonts w:hint="eastAsia" w:asciiTheme="minorEastAsia" w:hAnsiTheme="minorEastAsia" w:eastAsiaTheme="minorEastAsia" w:cstheme="minorEastAsia"/>
          <w:color w:val="auto"/>
          <w:sz w:val="24"/>
          <w:highlight w:val="none"/>
        </w:rPr>
        <w:t>”规定</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提交截止时间前，在网上提交加密电子</w:t>
      </w:r>
      <w:r>
        <w:rPr>
          <w:rFonts w:hint="eastAsia" w:asciiTheme="minorEastAsia" w:hAnsiTheme="minorEastAsia" w:eastAsiaTheme="minorEastAsia" w:cstheme="minorEastAsia"/>
          <w:color w:val="auto"/>
          <w:sz w:val="24"/>
          <w:highlight w:val="none"/>
          <w:lang w:eastAsia="zh-CN"/>
        </w:rPr>
        <w:t>投标文件（如谈判延期，按最新发布谈判时间执行）</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文件规</w:t>
      </w:r>
      <w:r>
        <w:rPr>
          <w:rFonts w:hint="eastAsia" w:asciiTheme="minorEastAsia" w:hAnsiTheme="minorEastAsia" w:eastAsiaTheme="minorEastAsia" w:cstheme="minorEastAsia"/>
          <w:b w:val="0"/>
          <w:bCs w:val="0"/>
          <w:color w:val="auto"/>
          <w:sz w:val="24"/>
          <w:highlight w:val="none"/>
        </w:rPr>
        <w:t>定的</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提交截止时间前上传了网上加密电子</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，但未在规定时间内进行解密的，</w:t>
      </w:r>
      <w:r>
        <w:rPr>
          <w:rFonts w:hint="eastAsia" w:asciiTheme="minorEastAsia" w:hAnsiTheme="minorEastAsia" w:eastAsiaTheme="minorEastAsia" w:cstheme="minorEastAsia"/>
          <w:b w:val="0"/>
          <w:bCs w:val="0"/>
          <w:color w:val="auto"/>
          <w:sz w:val="24"/>
          <w:highlight w:val="none"/>
          <w:lang w:eastAsia="zh-CN"/>
        </w:rPr>
        <w:t>投标无效</w:t>
      </w:r>
      <w:r>
        <w:rPr>
          <w:rFonts w:hint="eastAsia" w:asciiTheme="minorEastAsia" w:hAnsiTheme="minorEastAsia" w:eastAsiaTheme="minorEastAsia" w:cstheme="minorEastAsia"/>
          <w:b w:val="0"/>
          <w:bCs w:val="0"/>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延迟</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受</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提交截止时间制约的所有权利和义务均应延长至新的截止时间。</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的提交、修改与撤回</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应当在第一章“</w:t>
      </w:r>
      <w:r>
        <w:rPr>
          <w:rFonts w:hint="eastAsia" w:asciiTheme="minorEastAsia" w:hAnsiTheme="minorEastAsia" w:eastAsiaTheme="minorEastAsia" w:cstheme="minorEastAsia"/>
          <w:color w:val="auto"/>
          <w:sz w:val="24"/>
          <w:highlight w:val="none"/>
          <w:lang w:eastAsia="zh-CN"/>
        </w:rPr>
        <w:t>谈判公告</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提交截止时间前，将加密的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在电子交易系统上传</w:t>
      </w:r>
      <w:r>
        <w:rPr>
          <w:rFonts w:hint="eastAsia" w:asciiTheme="minorEastAsia" w:hAnsiTheme="minorEastAsia" w:eastAsiaTheme="minorEastAsia" w:cstheme="minorEastAsia"/>
          <w:color w:val="auto"/>
          <w:sz w:val="24"/>
          <w:highlight w:val="none"/>
          <w:lang w:eastAsia="zh-CN"/>
        </w:rPr>
        <w:t>（如谈判延期，按最新发布谈判时间执行）</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的传输提交（以接收到电子签收凭证为准），并可以补充、修改或者撤回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提交截止时间前未完成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传输的，视为撤回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。未按规定加密或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提交截止时间后送达的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，电子交易系统应当拒收。</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规定的解密时间前（以电子交易系统解密倒计时为准）对本单位的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进行解密。</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评审小组</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委派或</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委托</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抽取经济技术专家等方式组建的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，负责本项目评审工作。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成员由3人以上单数组成，</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及其成员应当依照有关规定履行相关职责和义务。</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根据</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文件规定的</w:t>
      </w:r>
      <w:r>
        <w:rPr>
          <w:rFonts w:hint="eastAsia" w:asciiTheme="minorEastAsia" w:hAnsiTheme="minorEastAsia" w:eastAsiaTheme="minorEastAsia" w:cstheme="minorEastAsia"/>
          <w:color w:val="auto"/>
          <w:sz w:val="24"/>
          <w:highlight w:val="none"/>
          <w:lang w:val="en-US" w:eastAsia="zh-CN"/>
        </w:rPr>
        <w:t>评审方法和标准对投标人提交的投标文件</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从质量和服务均能满足</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文件实质性响应要求的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中推荐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，并编写评审报告。</w:t>
      </w:r>
    </w:p>
    <w:p>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13</w:t>
      </w:r>
      <w:r>
        <w:rPr>
          <w:rFonts w:hint="eastAsia" w:asciiTheme="minorEastAsia" w:hAnsiTheme="minorEastAsia" w:eastAsiaTheme="minorEastAsia" w:cstheme="minorEastAsia"/>
          <w:b/>
          <w:color w:val="auto"/>
          <w:sz w:val="24"/>
          <w:highlight w:val="none"/>
        </w:rPr>
        <w:t>.终止</w:t>
      </w:r>
      <w:r>
        <w:rPr>
          <w:rFonts w:hint="eastAsia" w:asciiTheme="minorEastAsia" w:hAnsiTheme="minorEastAsia" w:eastAsiaTheme="minorEastAsia" w:cstheme="minorEastAsia"/>
          <w:b/>
          <w:color w:val="auto"/>
          <w:sz w:val="24"/>
          <w:highlight w:val="none"/>
          <w:lang w:eastAsia="zh-CN"/>
        </w:rPr>
        <w:t>竞争性谈判</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有权宣布终止</w:t>
      </w:r>
      <w:r>
        <w:rPr>
          <w:rFonts w:hint="eastAsia" w:asciiTheme="minorEastAsia" w:hAnsiTheme="minorEastAsia" w:eastAsiaTheme="minorEastAsia" w:cstheme="minorEastAsia"/>
          <w:color w:val="auto"/>
          <w:sz w:val="24"/>
          <w:highlight w:val="none"/>
          <w:lang w:eastAsia="zh-CN"/>
        </w:rPr>
        <w:t>竞争性谈判</w:t>
      </w:r>
      <w:r>
        <w:rPr>
          <w:rFonts w:hint="eastAsia" w:asciiTheme="minorEastAsia" w:hAnsiTheme="minorEastAsia" w:eastAsiaTheme="minorEastAsia" w:cstheme="minorEastAsia"/>
          <w:color w:val="auto"/>
          <w:sz w:val="24"/>
          <w:highlight w:val="none"/>
        </w:rPr>
        <w:t>采购，并将理由通知所有</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rPr>
        <w:t>通过初审的</w:t>
      </w:r>
      <w:r>
        <w:rPr>
          <w:rFonts w:hint="eastAsia" w:cs="@仿宋_GB2312" w:asciiTheme="minorEastAsia" w:hAnsiTheme="minorEastAsia" w:eastAsiaTheme="minorEastAsia"/>
          <w:color w:val="auto"/>
          <w:kern w:val="2"/>
          <w:sz w:val="24"/>
          <w:szCs w:val="24"/>
          <w:highlight w:val="none"/>
          <w:lang w:eastAsia="zh-CN"/>
        </w:rPr>
        <w:t>投标人</w:t>
      </w:r>
      <w:r>
        <w:rPr>
          <w:rFonts w:hint="eastAsia" w:asciiTheme="minorEastAsia" w:hAnsiTheme="minorEastAsia" w:eastAsiaTheme="minorEastAsia" w:cstheme="minorEastAsia"/>
          <w:color w:val="auto"/>
          <w:sz w:val="24"/>
          <w:highlight w:val="none"/>
        </w:rPr>
        <w:t>不足规定数量，导致本次</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缺乏竞争的；</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谈判文件有重大漏洞，导致无法继续评审的；</w:t>
      </w:r>
    </w:p>
    <w:p>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的澄清、说明或更正</w:t>
      </w:r>
    </w:p>
    <w:p>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的解释发生异议的，以中文文本为准。</w:t>
      </w:r>
    </w:p>
    <w:p>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应当以书面形式（</w:t>
      </w:r>
      <w:r>
        <w:rPr>
          <w:rFonts w:hint="eastAsia" w:asciiTheme="minorEastAsia" w:hAnsiTheme="minorEastAsia" w:eastAsiaTheme="minorEastAsia" w:cstheme="minorEastAsia"/>
          <w:color w:val="auto"/>
          <w:sz w:val="24"/>
          <w:highlight w:val="none"/>
          <w:lang w:val="en-US" w:eastAsia="zh-CN"/>
        </w:rPr>
        <w:t>即网上</w:t>
      </w:r>
      <w:r>
        <w:rPr>
          <w:rFonts w:hint="eastAsia" w:asciiTheme="minorEastAsia" w:hAnsiTheme="minorEastAsia" w:eastAsiaTheme="minorEastAsia" w:cstheme="minorEastAsia"/>
          <w:color w:val="auto"/>
          <w:sz w:val="24"/>
          <w:highlight w:val="none"/>
        </w:rPr>
        <w:t>询标）作出。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加盖投标人电子签章或公章</w:t>
      </w:r>
      <w:r>
        <w:rPr>
          <w:rFonts w:hint="eastAsia" w:asciiTheme="minorEastAsia" w:hAnsiTheme="minorEastAsia" w:eastAsiaTheme="minorEastAsia" w:cstheme="minorEastAsia"/>
          <w:b w:val="0"/>
          <w:bCs w:val="0"/>
          <w:color w:val="auto"/>
          <w:sz w:val="24"/>
          <w:highlight w:val="none"/>
        </w:rPr>
        <w:t>。</w:t>
      </w:r>
    </w:p>
    <w:p>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14.3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投标人</w:t>
      </w:r>
      <w:r>
        <w:rPr>
          <w:rFonts w:hint="eastAsia" w:asciiTheme="minorEastAsia" w:hAnsiTheme="minorEastAsia" w:eastAsiaTheme="minorEastAsia" w:cstheme="minorEastAsia"/>
          <w:b w:val="0"/>
          <w:bCs w:val="0"/>
          <w:color w:val="auto"/>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auto"/>
          <w:sz w:val="24"/>
          <w:highlight w:val="none"/>
          <w:lang w:val="en-US" w:eastAsia="zh-CN"/>
        </w:rPr>
        <w:t>评审小组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投标人</w:t>
      </w:r>
      <w:r>
        <w:rPr>
          <w:rFonts w:hint="eastAsia" w:asciiTheme="minorEastAsia" w:hAnsiTheme="minorEastAsia" w:eastAsiaTheme="minorEastAsia" w:cstheme="minorEastAsia"/>
          <w:b w:val="0"/>
          <w:bCs w:val="0"/>
          <w:color w:val="auto"/>
          <w:sz w:val="24"/>
          <w:highlight w:val="none"/>
        </w:rPr>
        <w:t>自行承担相关风险。</w:t>
      </w:r>
    </w:p>
    <w:p>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最终投标报价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并不限定只进行</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轮报价，如果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认为有必要，可以要求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进行多轮报价。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.2在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内容不做实质性变更或重大调整的前提下，</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下轮报价不得高于上一轮报价。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color w:val="auto"/>
          <w:sz w:val="24"/>
          <w:highlight w:val="none"/>
          <w:lang w:eastAsia="zh-CN"/>
        </w:rPr>
        <w:t>投标人投标文件</w:t>
      </w:r>
      <w:r>
        <w:rPr>
          <w:rFonts w:hint="eastAsia" w:asciiTheme="minorEastAsia" w:hAnsiTheme="minorEastAsia" w:eastAsiaTheme="minorEastAsia" w:cstheme="minorEastAsia"/>
          <w:color w:val="auto"/>
          <w:sz w:val="24"/>
          <w:highlight w:val="none"/>
        </w:rPr>
        <w:t>的有效组成部分，</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也是签订合同的依据。</w:t>
      </w:r>
    </w:p>
    <w:p>
      <w:pPr>
        <w:spacing w:line="360" w:lineRule="auto"/>
        <w:ind w:firstLine="435"/>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lang w:val="en-US" w:eastAsia="zh-CN"/>
        </w:rPr>
        <w:t>15</w:t>
      </w:r>
      <w:r>
        <w:rPr>
          <w:rFonts w:hint="eastAsia" w:asciiTheme="minorEastAsia" w:hAnsiTheme="minorEastAsia" w:eastAsiaTheme="minorEastAsia" w:cstheme="minorEastAsia"/>
          <w:color w:val="auto"/>
          <w:kern w:val="2"/>
          <w:sz w:val="24"/>
          <w:szCs w:val="22"/>
          <w:highlight w:val="none"/>
        </w:rPr>
        <w:t>.</w:t>
      </w:r>
      <w:r>
        <w:rPr>
          <w:rFonts w:hint="eastAsia" w:asciiTheme="minorEastAsia" w:hAnsiTheme="minorEastAsia" w:eastAsiaTheme="minorEastAsia" w:cstheme="minorEastAsia"/>
          <w:color w:val="auto"/>
          <w:kern w:val="2"/>
          <w:sz w:val="24"/>
          <w:szCs w:val="22"/>
          <w:highlight w:val="none"/>
          <w:lang w:val="en-US" w:eastAsia="zh-CN"/>
        </w:rPr>
        <w:t>4</w:t>
      </w:r>
      <w:r>
        <w:rPr>
          <w:rFonts w:hint="eastAsia" w:asciiTheme="minorEastAsia" w:hAnsiTheme="minorEastAsia" w:eastAsiaTheme="minorEastAsia" w:cstheme="minorEastAsia"/>
          <w:color w:val="auto"/>
          <w:kern w:val="2"/>
          <w:sz w:val="24"/>
          <w:szCs w:val="22"/>
          <w:highlight w:val="none"/>
          <w:lang w:eastAsia="zh-CN"/>
        </w:rPr>
        <w:t>投标人</w:t>
      </w:r>
      <w:r>
        <w:rPr>
          <w:rFonts w:hint="eastAsia" w:asciiTheme="minorEastAsia" w:hAnsiTheme="minorEastAsia" w:eastAsiaTheme="minorEastAsia" w:cstheme="minorEastAsia"/>
          <w:color w:val="auto"/>
          <w:kern w:val="2"/>
          <w:sz w:val="24"/>
          <w:szCs w:val="22"/>
          <w:highlight w:val="none"/>
        </w:rPr>
        <w:t>应当按照企业定额或项目所在地最新建设工程计价依据以及材料市场价格信息等，结合自身实力、施工经验、现场环境以及</w:t>
      </w:r>
      <w:r>
        <w:rPr>
          <w:rFonts w:hint="eastAsia" w:asciiTheme="minorEastAsia" w:hAnsiTheme="minorEastAsia" w:eastAsiaTheme="minorEastAsia" w:cstheme="minorEastAsia"/>
          <w:color w:val="auto"/>
          <w:kern w:val="2"/>
          <w:sz w:val="24"/>
          <w:szCs w:val="22"/>
          <w:highlight w:val="none"/>
          <w:lang w:eastAsia="zh-CN"/>
        </w:rPr>
        <w:t>谈判</w:t>
      </w:r>
      <w:r>
        <w:rPr>
          <w:rFonts w:hint="eastAsia" w:asciiTheme="minorEastAsia" w:hAnsiTheme="minorEastAsia" w:eastAsiaTheme="minorEastAsia" w:cstheme="minorEastAsia"/>
          <w:color w:val="auto"/>
          <w:kern w:val="2"/>
          <w:sz w:val="24"/>
          <w:szCs w:val="22"/>
          <w:highlight w:val="none"/>
        </w:rPr>
        <w:t>文件的要求自主报价。</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5</w:t>
      </w:r>
      <w:r>
        <w:rPr>
          <w:rFonts w:hint="eastAsia" w:asciiTheme="minorEastAsia" w:hAnsiTheme="minorEastAsia" w:eastAsiaTheme="minorEastAsia" w:cstheme="minorEastAsia"/>
          <w:color w:val="auto"/>
          <w:kern w:val="2"/>
          <w:sz w:val="24"/>
          <w:highlight w:val="none"/>
        </w:rPr>
        <w:t>除非</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对</w:t>
      </w:r>
      <w:r>
        <w:rPr>
          <w:rFonts w:hint="eastAsia" w:asciiTheme="minorEastAsia" w:hAnsiTheme="minorEastAsia" w:eastAsiaTheme="minorEastAsia" w:cstheme="minorEastAsia"/>
          <w:color w:val="auto"/>
          <w:kern w:val="2"/>
          <w:sz w:val="24"/>
          <w:highlight w:val="none"/>
          <w:lang w:eastAsia="zh-CN"/>
        </w:rPr>
        <w:t>谈判</w:t>
      </w:r>
      <w:r>
        <w:rPr>
          <w:rFonts w:hint="eastAsia" w:asciiTheme="minorEastAsia" w:hAnsiTheme="minorEastAsia" w:eastAsiaTheme="minorEastAsia" w:cstheme="minorEastAsia"/>
          <w:color w:val="auto"/>
          <w:kern w:val="2"/>
          <w:sz w:val="24"/>
          <w:highlight w:val="none"/>
        </w:rPr>
        <w:t>文件予以澄清、修改，否则</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应按</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提供的工程量清单中列出的工程项目和工程量逐项填报综合单价和合价。</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不得在工程量清单中任意增删、修改清单项目与工程量及项目排列顺序。</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6</w:t>
      </w:r>
      <w:r>
        <w:rPr>
          <w:rFonts w:hint="eastAsia" w:asciiTheme="minorEastAsia" w:hAnsiTheme="minorEastAsia" w:eastAsiaTheme="minorEastAsia" w:cstheme="minorEastAsia"/>
          <w:color w:val="auto"/>
          <w:kern w:val="2"/>
          <w:sz w:val="24"/>
          <w:highlight w:val="none"/>
        </w:rPr>
        <w:t>除非合同中另有规定，</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在工程量清单报价书中所报的价格包括完成</w:t>
      </w:r>
      <w:r>
        <w:rPr>
          <w:rFonts w:hint="eastAsia" w:asciiTheme="minorEastAsia" w:hAnsiTheme="minorEastAsia" w:eastAsiaTheme="minorEastAsia" w:cstheme="minorEastAsia"/>
          <w:color w:val="auto"/>
          <w:kern w:val="2"/>
          <w:sz w:val="24"/>
          <w:highlight w:val="none"/>
          <w:lang w:eastAsia="zh-CN"/>
        </w:rPr>
        <w:t>谈判</w:t>
      </w:r>
      <w:r>
        <w:rPr>
          <w:rFonts w:hint="eastAsia" w:asciiTheme="minorEastAsia" w:hAnsiTheme="minorEastAsia" w:eastAsiaTheme="minorEastAsia" w:cstheme="minorEastAsia"/>
          <w:color w:val="auto"/>
          <w:kern w:val="2"/>
          <w:sz w:val="24"/>
          <w:highlight w:val="none"/>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在</w:t>
      </w:r>
      <w:r>
        <w:rPr>
          <w:rFonts w:hint="eastAsia" w:asciiTheme="minorEastAsia" w:hAnsiTheme="minorEastAsia" w:eastAsiaTheme="minorEastAsia" w:cstheme="minorEastAsia"/>
          <w:color w:val="auto"/>
          <w:kern w:val="2"/>
          <w:sz w:val="24"/>
          <w:highlight w:val="none"/>
          <w:lang w:eastAsia="zh-CN"/>
        </w:rPr>
        <w:t>投标文件</w:t>
      </w:r>
      <w:r>
        <w:rPr>
          <w:rFonts w:hint="eastAsia" w:asciiTheme="minorEastAsia" w:hAnsiTheme="minorEastAsia" w:eastAsiaTheme="minorEastAsia" w:cstheme="minorEastAsia"/>
          <w:color w:val="auto"/>
          <w:kern w:val="2"/>
          <w:sz w:val="24"/>
          <w:highlight w:val="none"/>
        </w:rPr>
        <w:t>中提出的各项支付金额的总和。每一清单项目只允许有一个报价，任何有选择的报价将不予接受。</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未填综合单价或合价的清单项目，将被视为该项费用已包括在其他有价款的综合单价或合价以及总价内，</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必须按合同要求完成工程量清单中未填综合单价或合价的工程项目，任何与未填综合单价或合价的工程项目有关的工程价款，</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将不再另行支付。</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7</w:t>
      </w:r>
      <w:r>
        <w:rPr>
          <w:rFonts w:hint="eastAsia" w:asciiTheme="minorEastAsia" w:hAnsiTheme="minorEastAsia" w:eastAsiaTheme="minorEastAsia" w:cstheme="minorEastAsia"/>
          <w:color w:val="auto"/>
          <w:kern w:val="2"/>
          <w:sz w:val="24"/>
          <w:highlight w:val="none"/>
        </w:rPr>
        <w:t>本项目的施工地点为本须知前附表所述，</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可到施工现场踏勘以充分了解工地位置、情况、道路、储存空间、装卸限制及任何</w:t>
      </w:r>
      <w:r>
        <w:rPr>
          <w:rFonts w:hint="eastAsia" w:asciiTheme="minorEastAsia" w:hAnsiTheme="minorEastAsia" w:eastAsiaTheme="minorEastAsia" w:cstheme="minorEastAsia"/>
          <w:color w:val="auto"/>
          <w:kern w:val="2"/>
          <w:sz w:val="24"/>
          <w:highlight w:val="none"/>
          <w:lang w:eastAsia="zh-CN"/>
        </w:rPr>
        <w:t>其他</w:t>
      </w:r>
      <w:r>
        <w:rPr>
          <w:rFonts w:hint="eastAsia" w:asciiTheme="minorEastAsia" w:hAnsiTheme="minorEastAsia" w:eastAsiaTheme="minorEastAsia" w:cstheme="minorEastAsia"/>
          <w:color w:val="auto"/>
          <w:kern w:val="2"/>
          <w:sz w:val="24"/>
          <w:highlight w:val="none"/>
        </w:rPr>
        <w:t>足以影响</w:t>
      </w:r>
      <w:r>
        <w:rPr>
          <w:rFonts w:hint="eastAsia" w:asciiTheme="minorEastAsia" w:hAnsiTheme="minorEastAsia" w:eastAsiaTheme="minorEastAsia" w:cstheme="minorEastAsia"/>
          <w:color w:val="auto"/>
          <w:kern w:val="2"/>
          <w:sz w:val="24"/>
          <w:highlight w:val="none"/>
          <w:lang w:eastAsia="zh-CN"/>
        </w:rPr>
        <w:t>谈判</w:t>
      </w:r>
      <w:r>
        <w:rPr>
          <w:rFonts w:hint="eastAsia" w:asciiTheme="minorEastAsia" w:hAnsiTheme="minorEastAsia" w:eastAsiaTheme="minorEastAsia" w:cstheme="minorEastAsia"/>
          <w:color w:val="auto"/>
          <w:kern w:val="2"/>
          <w:sz w:val="24"/>
          <w:highlight w:val="none"/>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asciiTheme="minorEastAsia" w:hAnsiTheme="minorEastAsia" w:eastAsiaTheme="minorEastAsia" w:cstheme="minorEastAsia"/>
          <w:color w:val="auto"/>
          <w:kern w:val="2"/>
          <w:sz w:val="24"/>
          <w:highlight w:val="none"/>
          <w:lang w:eastAsia="zh-CN"/>
        </w:rPr>
        <w:t>谈判</w:t>
      </w:r>
      <w:r>
        <w:rPr>
          <w:rFonts w:hint="eastAsia" w:asciiTheme="minorEastAsia" w:hAnsiTheme="minorEastAsia" w:eastAsiaTheme="minorEastAsia" w:cstheme="minorEastAsia"/>
          <w:color w:val="auto"/>
          <w:kern w:val="2"/>
          <w:sz w:val="24"/>
          <w:highlight w:val="none"/>
        </w:rPr>
        <w:t>报价范围内，</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不再承担该费用。</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8</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在工程量清单报价书中所报的综合单价一律不予调整。</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9</w:t>
      </w:r>
      <w:r>
        <w:rPr>
          <w:rFonts w:hint="eastAsia" w:asciiTheme="minorEastAsia" w:hAnsiTheme="minorEastAsia" w:eastAsiaTheme="minorEastAsia" w:cstheme="minorEastAsia"/>
          <w:color w:val="auto"/>
          <w:kern w:val="2"/>
          <w:sz w:val="24"/>
          <w:highlight w:val="none"/>
        </w:rPr>
        <w:t>本工程不接受恶意不平衡报价，不保证最低价</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中标候选人</w:t>
      </w:r>
      <w:r>
        <w:rPr>
          <w:rFonts w:hint="eastAsia" w:asciiTheme="minorEastAsia" w:hAnsiTheme="minorEastAsia" w:eastAsiaTheme="minorEastAsia" w:cstheme="minorEastAsia"/>
          <w:b/>
          <w:color w:val="auto"/>
          <w:sz w:val="24"/>
          <w:highlight w:val="none"/>
        </w:rPr>
        <w:t>的推荐原则</w:t>
      </w:r>
    </w:p>
    <w:p>
      <w:pPr>
        <w:spacing w:line="360" w:lineRule="auto"/>
        <w:ind w:firstLine="43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评审小组依据本项目谈判文件所约定的评审方法和标准，按照</w:t>
      </w:r>
      <w:r>
        <w:rPr>
          <w:rFonts w:hint="eastAsia" w:asciiTheme="minorEastAsia" w:hAnsiTheme="minorEastAsia" w:eastAsiaTheme="minorEastAsia" w:cstheme="minorEastAsia"/>
          <w:color w:val="auto"/>
          <w:sz w:val="24"/>
          <w:highlight w:val="none"/>
          <w:lang w:val="en-US" w:eastAsia="zh-CN"/>
        </w:rPr>
        <w:t>最终投标报价</w:t>
      </w:r>
      <w:r>
        <w:rPr>
          <w:rFonts w:hint="eastAsia" w:asciiTheme="minorEastAsia" w:hAnsiTheme="minorEastAsia" w:eastAsiaTheme="minorEastAsia" w:cstheme="minorEastAsia"/>
          <w:color w:val="auto"/>
          <w:sz w:val="24"/>
          <w:highlight w:val="none"/>
          <w:lang w:eastAsia="zh-CN"/>
        </w:rPr>
        <w:t>由低到高的顺序依次推荐中标候选人。</w:t>
      </w:r>
      <w:r>
        <w:rPr>
          <w:rFonts w:hint="eastAsia" w:asciiTheme="minorEastAsia" w:hAnsiTheme="minorEastAsia" w:eastAsiaTheme="minorEastAsia" w:cstheme="minorEastAsia"/>
          <w:color w:val="auto"/>
          <w:sz w:val="24"/>
          <w:highlight w:val="none"/>
          <w:lang w:val="en-US" w:eastAsia="zh-CN"/>
        </w:rPr>
        <w:t>最终投标报价</w:t>
      </w:r>
      <w:r>
        <w:rPr>
          <w:rFonts w:hint="eastAsia" w:asciiTheme="minorEastAsia" w:hAnsiTheme="minorEastAsia" w:eastAsiaTheme="minorEastAsia" w:cstheme="minorEastAsia"/>
          <w:color w:val="auto"/>
          <w:sz w:val="24"/>
          <w:highlight w:val="none"/>
          <w:lang w:eastAsia="zh-CN"/>
        </w:rPr>
        <w:t>相同的，由</w:t>
      </w:r>
      <w:r>
        <w:rPr>
          <w:rFonts w:hint="eastAsia" w:asciiTheme="minorEastAsia" w:hAnsiTheme="minorEastAsia" w:eastAsiaTheme="minorEastAsia" w:cstheme="minorEastAsia"/>
          <w:color w:val="auto"/>
          <w:sz w:val="24"/>
          <w:highlight w:val="none"/>
          <w:lang w:val="en-US" w:eastAsia="zh-CN"/>
        </w:rPr>
        <w:t>评审小组</w:t>
      </w:r>
      <w:r>
        <w:rPr>
          <w:rFonts w:hint="eastAsia" w:asciiTheme="minorEastAsia" w:hAnsiTheme="minorEastAsia" w:eastAsiaTheme="minorEastAsia" w:cstheme="minorEastAsia"/>
          <w:color w:val="auto"/>
          <w:sz w:val="24"/>
          <w:highlight w:val="none"/>
          <w:lang w:eastAsia="zh-CN"/>
        </w:rPr>
        <w:t>根据投标文件投票，按少数服从多数的原则确定中标候选人顺序。</w:t>
      </w:r>
    </w:p>
    <w:p>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17</w:t>
      </w:r>
      <w:r>
        <w:rPr>
          <w:rFonts w:hint="eastAsia" w:asciiTheme="minorEastAsia" w:hAnsiTheme="minorEastAsia" w:eastAsiaTheme="minorEastAsia" w:cstheme="minorEastAsia"/>
          <w:b/>
          <w:color w:val="auto"/>
          <w:sz w:val="24"/>
          <w:highlight w:val="none"/>
        </w:rPr>
        <w:t>.确定</w:t>
      </w:r>
      <w:r>
        <w:rPr>
          <w:rFonts w:hint="eastAsia" w:asciiTheme="minorEastAsia" w:hAnsiTheme="minorEastAsia" w:eastAsiaTheme="minorEastAsia" w:cstheme="minorEastAsia"/>
          <w:b/>
          <w:color w:val="auto"/>
          <w:sz w:val="24"/>
          <w:highlight w:val="none"/>
          <w:lang w:eastAsia="zh-CN"/>
        </w:rPr>
        <w:t>中标人</w:t>
      </w:r>
    </w:p>
    <w:p>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招标人委托评审小组确定中标人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lang w:eastAsia="zh-CN"/>
        </w:rPr>
        <w:t>，排名第一的中标候选人</w:t>
      </w:r>
      <w:r>
        <w:rPr>
          <w:rFonts w:hint="eastAsia" w:asciiTheme="minorEastAsia" w:hAnsiTheme="minorEastAsia" w:eastAsiaTheme="minorEastAsia" w:cstheme="minorEastAsia"/>
          <w:color w:val="auto"/>
          <w:sz w:val="24"/>
          <w:highlight w:val="none"/>
          <w:lang w:val="en-US" w:eastAsia="zh-CN"/>
        </w:rPr>
        <w:t>即为中标人，</w:t>
      </w:r>
      <w:r>
        <w:rPr>
          <w:rFonts w:hint="eastAsia" w:asciiTheme="minorEastAsia" w:hAnsiTheme="minorEastAsia" w:eastAsiaTheme="minorEastAsia" w:cstheme="minorEastAsia"/>
          <w:color w:val="auto"/>
          <w:sz w:val="24"/>
          <w:highlight w:val="none"/>
          <w:lang w:eastAsia="zh-CN"/>
        </w:rPr>
        <w:t>由代理机构在指定媒体上予以公告；</w:t>
      </w:r>
      <w:r>
        <w:rPr>
          <w:rFonts w:hint="eastAsia" w:asciiTheme="minorEastAsia" w:hAnsiTheme="minorEastAsia" w:eastAsiaTheme="minorEastAsia" w:cstheme="minorEastAsia"/>
          <w:color w:val="auto"/>
          <w:sz w:val="24"/>
          <w:highlight w:val="none"/>
          <w:lang w:val="en-US" w:eastAsia="zh-CN"/>
        </w:rPr>
        <w:t>招标人确定中标人的，由招标人函告代理机构后，由</w:t>
      </w:r>
      <w:r>
        <w:rPr>
          <w:rFonts w:hint="eastAsia" w:asciiTheme="minorEastAsia" w:hAnsiTheme="minorEastAsia" w:eastAsiaTheme="minorEastAsia" w:cstheme="minorEastAsia"/>
          <w:color w:val="auto"/>
          <w:sz w:val="24"/>
          <w:highlight w:val="none"/>
          <w:lang w:eastAsia="zh-CN"/>
        </w:rPr>
        <w:t>代理机构在指定媒体上予以公告。</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18</w:t>
      </w:r>
      <w:r>
        <w:rPr>
          <w:rFonts w:hint="eastAsia" w:asciiTheme="minorEastAsia" w:hAnsiTheme="minorEastAsia" w:eastAsiaTheme="minorEastAsia" w:cstheme="minorEastAsia"/>
          <w:b/>
          <w:color w:val="auto"/>
          <w:sz w:val="24"/>
          <w:highlight w:val="none"/>
        </w:rPr>
        <w:t>.编写评审报告</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评审报告是根据全体</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成员签字的原始评审记录和评审结果编写的报告，评审报告由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全体成员签字。对评审结论持有异议的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成员可以阐述其不同意见和理由。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成员拒绝在评审报告上签字且不陈述其不同意见和理由的，视为同意评审结论。</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b/>
          <w:color w:val="auto"/>
          <w:sz w:val="24"/>
          <w:highlight w:val="none"/>
        </w:rPr>
        <w:t>.保密要求</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.1评审将在严格保密的情况下进行。</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color w:val="auto"/>
          <w:sz w:val="24"/>
          <w:highlight w:val="none"/>
          <w:lang w:eastAsia="zh-CN"/>
        </w:rPr>
        <w:t>等</w:t>
      </w:r>
      <w:r>
        <w:rPr>
          <w:rFonts w:hint="eastAsia" w:asciiTheme="minorEastAsia" w:hAnsiTheme="minorEastAsia" w:eastAsiaTheme="minorEastAsia" w:cstheme="minorEastAsia"/>
          <w:color w:val="auto"/>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中标结果公告</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.1</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将在安徽公共资源交易集团网站（http://www.ahggzyjt.com）发布</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内容应当包括</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及其委托的</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的名称、项目名称</w:t>
      </w:r>
      <w:r>
        <w:rPr>
          <w:rFonts w:hint="eastAsia" w:asciiTheme="minorEastAsia" w:hAnsiTheme="minorEastAsia" w:eastAsiaTheme="minorEastAsia" w:cstheme="minorEastAsia"/>
          <w:color w:val="auto"/>
          <w:kern w:val="2"/>
          <w:sz w:val="24"/>
          <w:highlight w:val="none"/>
          <w:lang w:eastAsia="zh-CN"/>
        </w:rPr>
        <w:t>、</w:t>
      </w:r>
      <w:r>
        <w:rPr>
          <w:rFonts w:hint="eastAsia" w:asciiTheme="minorEastAsia" w:hAnsiTheme="minorEastAsia" w:eastAsiaTheme="minorEastAsia" w:cstheme="minorEastAsia"/>
          <w:color w:val="auto"/>
          <w:kern w:val="2"/>
          <w:sz w:val="24"/>
          <w:highlight w:val="none"/>
        </w:rPr>
        <w:t>项目编号</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名称</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金额。</w:t>
      </w:r>
    </w:p>
    <w:p>
      <w:pPr>
        <w:spacing w:line="360" w:lineRule="auto"/>
        <w:ind w:firstLine="437"/>
        <w:outlineLvl w:val="3"/>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21.谈判结果的异议、投诉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auto"/>
          <w:kern w:val="2"/>
          <w:sz w:val="24"/>
          <w:szCs w:val="24"/>
          <w:highlight w:val="none"/>
          <w:lang w:val="en-US" w:eastAsia="zh-CN"/>
        </w:rPr>
      </w:pPr>
      <w:r>
        <w:rPr>
          <w:rFonts w:hint="eastAsia" w:cs="@仿宋_GB2312" w:asciiTheme="minorHAnsi" w:hAnsiTheme="minorHAnsi" w:eastAsiaTheme="minorEastAsia"/>
          <w:color w:val="auto"/>
          <w:kern w:val="2"/>
          <w:sz w:val="24"/>
          <w:szCs w:val="24"/>
          <w:highlight w:val="none"/>
          <w:lang w:val="en-US" w:eastAsia="zh-CN"/>
        </w:rPr>
        <w:t>21.1对于谈判结果有异议的，应在中标结果公告规定的时间内向招标人或代理机构提出。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s="@仿宋_GB2312" w:asciiTheme="minorHAnsi" w:hAnsiTheme="minorHAnsi" w:eastAsiaTheme="minorEastAsia"/>
          <w:color w:val="auto"/>
          <w:kern w:val="2"/>
          <w:sz w:val="24"/>
          <w:szCs w:val="24"/>
          <w:highlight w:val="none"/>
          <w:lang w:val="en-US" w:eastAsia="zh-CN"/>
        </w:rPr>
        <w:t>21.2对于异议答复不满意的，应在收到异议答复之日起3日内向谈判公告载明的监督管理部门提出。</w:t>
      </w:r>
    </w:p>
    <w:p>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中标通知书</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的同时</w:t>
      </w:r>
      <w:r>
        <w:rPr>
          <w:rFonts w:hint="eastAsia" w:asciiTheme="minorEastAsia" w:hAnsiTheme="minorEastAsia" w:eastAsiaTheme="minorEastAsia" w:cstheme="minorEastAsia"/>
          <w:color w:val="auto"/>
          <w:sz w:val="24"/>
          <w:highlight w:val="none"/>
          <w:u w:val="none"/>
        </w:rPr>
        <w:t>以</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rPr>
        <w:t>的形式向</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发出</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具有同等法律效力。</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发出以后，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改变</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结果或者</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，应当承担相应的法律责任。</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是合同的组成部分。</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.告知</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结果</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发布后，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自行登录电子交易系统查询结果信息。</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不做未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原因的解释。</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24</w:t>
      </w:r>
      <w:r>
        <w:rPr>
          <w:rFonts w:hint="eastAsia" w:asciiTheme="minorEastAsia" w:hAnsiTheme="minorEastAsia" w:eastAsiaTheme="minorEastAsia" w:cstheme="minorEastAsia"/>
          <w:b/>
          <w:color w:val="auto"/>
          <w:sz w:val="24"/>
          <w:highlight w:val="none"/>
        </w:rPr>
        <w:t>.履约保证金</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没有按照</w:t>
      </w:r>
      <w:r>
        <w:rPr>
          <w:rFonts w:hint="eastAsia" w:asciiTheme="minorEastAsia" w:hAnsiTheme="minorEastAsia" w:eastAsiaTheme="minorEastAsia" w:cstheme="minorEastAsia"/>
          <w:color w:val="auto"/>
          <w:sz w:val="24"/>
          <w:highlight w:val="none"/>
          <w:lang w:val="en-US" w:eastAsia="zh-CN"/>
        </w:rPr>
        <w:t>投标人须知前附表中</w:t>
      </w:r>
      <w:r>
        <w:rPr>
          <w:rFonts w:hint="eastAsia" w:asciiTheme="minorEastAsia" w:hAnsiTheme="minorEastAsia" w:eastAsiaTheme="minorEastAsia" w:cstheme="minorEastAsia"/>
          <w:color w:val="auto"/>
          <w:sz w:val="24"/>
          <w:highlight w:val="none"/>
        </w:rPr>
        <w:t>履约保证金的规定执行，将视为放弃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。在此情况下，</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25</w:t>
      </w:r>
      <w:r>
        <w:rPr>
          <w:rFonts w:hint="eastAsia" w:asciiTheme="minorEastAsia" w:hAnsiTheme="minorEastAsia" w:eastAsiaTheme="minorEastAsia" w:cstheme="minorEastAsia"/>
          <w:b/>
          <w:color w:val="auto"/>
          <w:sz w:val="24"/>
          <w:highlight w:val="none"/>
        </w:rPr>
        <w:t>.代理费用</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放弃</w:t>
      </w:r>
      <w:r>
        <w:rPr>
          <w:rFonts w:hint="eastAsia" w:asciiTheme="minorEastAsia" w:hAnsiTheme="minorEastAsia" w:eastAsiaTheme="minorEastAsia" w:cstheme="minorEastAsia"/>
          <w:color w:val="auto"/>
          <w:kern w:val="2"/>
          <w:sz w:val="24"/>
          <w:highlight w:val="none"/>
          <w:lang w:eastAsia="zh-CN"/>
        </w:rPr>
        <w:t>中标资格</w:t>
      </w:r>
      <w:r>
        <w:rPr>
          <w:rFonts w:hint="eastAsia" w:asciiTheme="minorEastAsia" w:hAnsiTheme="minorEastAsia" w:eastAsiaTheme="minorEastAsia" w:cstheme="minorEastAsia"/>
          <w:color w:val="auto"/>
          <w:kern w:val="2"/>
          <w:sz w:val="24"/>
          <w:highlight w:val="none"/>
        </w:rPr>
        <w:t>的，</w:t>
      </w:r>
      <w:r>
        <w:rPr>
          <w:rFonts w:hint="eastAsia" w:asciiTheme="minorEastAsia" w:hAnsiTheme="minorEastAsia" w:eastAsiaTheme="minorEastAsia" w:cstheme="minorEastAsia"/>
          <w:color w:val="auto"/>
          <w:sz w:val="24"/>
          <w:highlight w:val="none"/>
          <w:lang w:val="en-US" w:eastAsia="zh-CN"/>
        </w:rPr>
        <w:t>本谈判项目应收取的</w:t>
      </w:r>
      <w:r>
        <w:rPr>
          <w:rFonts w:hint="eastAsia" w:ascii="宋体" w:hAnsi="宋体" w:eastAsia="宋体"/>
          <w:b w:val="0"/>
          <w:color w:val="auto"/>
          <w:sz w:val="24"/>
          <w:szCs w:val="24"/>
          <w:highlight w:val="none"/>
        </w:rPr>
        <w:t>招标代理</w:t>
      </w:r>
      <w:r>
        <w:rPr>
          <w:rFonts w:hint="eastAsia"/>
          <w:b w:val="0"/>
          <w:color w:val="auto"/>
          <w:sz w:val="24"/>
          <w:szCs w:val="24"/>
          <w:highlight w:val="none"/>
        </w:rPr>
        <w:t>服务费</w:t>
      </w:r>
      <w:r>
        <w:rPr>
          <w:rFonts w:hint="eastAsia" w:asciiTheme="minorEastAsia" w:hAnsiTheme="minorEastAsia" w:eastAsiaTheme="minorEastAsia" w:cstheme="minorEastAsia"/>
          <w:color w:val="auto"/>
          <w:kern w:val="2"/>
          <w:sz w:val="24"/>
          <w:highlight w:val="none"/>
          <w:lang w:eastAsia="zh-CN"/>
        </w:rPr>
        <w:t>、</w:t>
      </w:r>
      <w:r>
        <w:rPr>
          <w:rFonts w:hint="eastAsia" w:ascii="宋体" w:hAnsi="宋体" w:eastAsia="宋体"/>
          <w:b w:val="0"/>
          <w:color w:val="auto"/>
          <w:sz w:val="24"/>
          <w:szCs w:val="24"/>
          <w:highlight w:val="none"/>
        </w:rPr>
        <w:t>工程量清单和最高投标限价</w:t>
      </w:r>
      <w:r>
        <w:rPr>
          <w:rFonts w:hint="eastAsia"/>
          <w:b w:val="0"/>
          <w:color w:val="auto"/>
          <w:sz w:val="24"/>
          <w:szCs w:val="24"/>
          <w:highlight w:val="none"/>
          <w:lang w:eastAsia="zh-CN"/>
        </w:rPr>
        <w:t>编制费用</w:t>
      </w:r>
      <w:r>
        <w:rPr>
          <w:rFonts w:hint="eastAsia" w:asciiTheme="minorEastAsia" w:hAnsiTheme="minorEastAsia" w:eastAsiaTheme="minorEastAsia" w:cstheme="minorEastAsia"/>
          <w:color w:val="auto"/>
          <w:kern w:val="2"/>
          <w:sz w:val="24"/>
          <w:highlight w:val="none"/>
        </w:rPr>
        <w:t>由其承担。</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26</w:t>
      </w:r>
      <w:r>
        <w:rPr>
          <w:rFonts w:hint="eastAsia" w:asciiTheme="minorEastAsia" w:hAnsiTheme="minorEastAsia" w:eastAsiaTheme="minorEastAsia" w:cstheme="minorEastAsia"/>
          <w:b/>
          <w:color w:val="auto"/>
          <w:sz w:val="24"/>
          <w:highlight w:val="none"/>
        </w:rPr>
        <w:t>.签订合同</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应当在中标通知书发出后及时签订合同。</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及其澄清文件等，均为签订合同的依据。</w:t>
      </w:r>
    </w:p>
    <w:p>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谈判活动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谈判活动</w:t>
      </w:r>
      <w:r>
        <w:rPr>
          <w:rFonts w:hint="eastAsia" w:asciiTheme="minorEastAsia" w:hAnsiTheme="minorEastAsia" w:eastAsiaTheme="minorEastAsia" w:cstheme="minorEastAsia"/>
          <w:color w:val="auto"/>
          <w:sz w:val="24"/>
          <w:highlight w:val="none"/>
        </w:rPr>
        <w:t>。</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27</w:t>
      </w:r>
      <w:r>
        <w:rPr>
          <w:rFonts w:hint="eastAsia" w:asciiTheme="minorEastAsia" w:hAnsiTheme="minorEastAsia" w:eastAsiaTheme="minorEastAsia" w:cstheme="minorEastAsia"/>
          <w:b/>
          <w:color w:val="auto"/>
          <w:sz w:val="24"/>
          <w:highlight w:val="none"/>
        </w:rPr>
        <w:t>.廉洁自律规定</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工作人员不得以不正当手段获取</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代理业务，不得与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恶意串通。</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报销应当由个人承担的费用。</w:t>
      </w:r>
    </w:p>
    <w:p>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28</w:t>
      </w:r>
      <w:r>
        <w:rPr>
          <w:rFonts w:hint="eastAsia" w:asciiTheme="minorEastAsia" w:hAnsiTheme="minorEastAsia" w:eastAsiaTheme="minorEastAsia" w:cstheme="minorEastAsia"/>
          <w:b/>
          <w:color w:val="auto"/>
          <w:sz w:val="24"/>
          <w:highlight w:val="none"/>
        </w:rPr>
        <w:t>.需要补充的其他内容</w:t>
      </w:r>
    </w:p>
    <w:p>
      <w:pPr>
        <w:spacing w:line="360" w:lineRule="auto"/>
        <w:ind w:firstLine="435"/>
        <w:rPr>
          <w:color w:val="auto"/>
          <w:sz w:val="24"/>
          <w:highlight w:val="none"/>
        </w:rPr>
      </w:pPr>
      <w:r>
        <w:rPr>
          <w:rFonts w:hint="eastAsia" w:asciiTheme="minorEastAsia" w:hAnsiTheme="minorEastAsia" w:eastAsiaTheme="minorEastAsia" w:cstheme="minorEastAsia"/>
          <w:color w:val="auto"/>
          <w:sz w:val="24"/>
          <w:highlight w:val="none"/>
          <w:u w:val="none"/>
        </w:rPr>
        <w:t>需要补充的其他内容，见</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color w:val="auto"/>
          <w:sz w:val="24"/>
          <w:highlight w:val="none"/>
          <w:u w:val="none"/>
        </w:rPr>
        <w:t>。</w:t>
      </w:r>
      <w:r>
        <w:rPr>
          <w:rFonts w:asciiTheme="minorEastAsia" w:hAnsiTheme="minorEastAsia" w:eastAsiaTheme="minorEastAsia"/>
          <w:color w:val="auto"/>
          <w:sz w:val="24"/>
          <w:highlight w:val="none"/>
        </w:rPr>
        <w:br w:type="page"/>
      </w:r>
    </w:p>
    <w:p>
      <w:pPr>
        <w:pStyle w:val="3"/>
        <w:bidi w:val="0"/>
        <w:jc w:val="center"/>
        <w:outlineLvl w:val="0"/>
        <w:rPr>
          <w:rFonts w:hint="eastAsia"/>
          <w:color w:val="auto"/>
          <w:highlight w:val="none"/>
          <w:lang w:eastAsia="zh-CN"/>
        </w:rPr>
      </w:pPr>
      <w:bookmarkStart w:id="6" w:name="_Toc18802"/>
      <w:r>
        <w:rPr>
          <w:rFonts w:hint="eastAsia"/>
          <w:color w:val="auto"/>
          <w:highlight w:val="none"/>
          <w:lang w:val="en-US" w:eastAsia="zh-CN"/>
        </w:rPr>
        <w:t xml:space="preserve">第三章 </w:t>
      </w:r>
      <w:r>
        <w:rPr>
          <w:rFonts w:hint="eastAsia"/>
          <w:color w:val="auto"/>
          <w:highlight w:val="none"/>
          <w:lang w:eastAsia="zh-CN"/>
        </w:rPr>
        <w:t>技术标准及要求</w:t>
      </w:r>
      <w:bookmarkEnd w:id="6"/>
    </w:p>
    <w:p>
      <w:pPr>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Theme="minorEastAsia" w:hAnsiTheme="minorEastAsia" w:eastAsiaTheme="minorEastAsia" w:cstheme="minorEastAsia"/>
          <w:b/>
          <w:color w:val="auto"/>
          <w:sz w:val="24"/>
          <w:szCs w:val="24"/>
          <w:highlight w:val="none"/>
          <w:lang w:val="en-US" w:eastAsia="zh-CN"/>
        </w:rPr>
      </w:pPr>
      <w:bookmarkStart w:id="7" w:name="_Toc17064"/>
      <w:bookmarkStart w:id="8" w:name="_Toc28143"/>
      <w:bookmarkStart w:id="9" w:name="_Toc14360"/>
      <w:bookmarkStart w:id="10" w:name="_Toc130919136"/>
      <w:bookmarkStart w:id="11" w:name="_Toc15876"/>
      <w:bookmarkStart w:id="12" w:name="_Toc128950261"/>
      <w:r>
        <w:rPr>
          <w:rFonts w:hint="eastAsia" w:asciiTheme="minorEastAsia" w:hAnsiTheme="minorEastAsia" w:eastAsiaTheme="minorEastAsia" w:cstheme="minorEastAsia"/>
          <w:b/>
          <w:color w:val="auto"/>
          <w:sz w:val="24"/>
          <w:szCs w:val="24"/>
          <w:highlight w:val="none"/>
          <w:lang w:val="en-US" w:eastAsia="zh-CN"/>
        </w:rPr>
        <w:t>一、本项目工程项目施工、验收须达到设计文件的要求和国家及有关部委、安 徽省、项目所在市现行的工程建设标准、规范、规定的要求 (文件标准之间相 互冲突的，以标准较高者为准) 。</w:t>
      </w:r>
      <w:bookmarkEnd w:id="7"/>
      <w:bookmarkEnd w:id="8"/>
    </w:p>
    <w:p>
      <w:pPr>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Theme="minorEastAsia" w:hAnsiTheme="minorEastAsia" w:eastAsiaTheme="minorEastAsia" w:cstheme="minorEastAsia"/>
          <w:b/>
          <w:color w:val="auto"/>
          <w:sz w:val="24"/>
          <w:szCs w:val="24"/>
          <w:highlight w:val="none"/>
          <w:lang w:val="en-US" w:eastAsia="zh-CN"/>
        </w:rPr>
      </w:pPr>
      <w:bookmarkStart w:id="13" w:name="_Toc5016"/>
      <w:bookmarkStart w:id="14" w:name="_Toc23813"/>
      <w:r>
        <w:rPr>
          <w:rFonts w:hint="eastAsia" w:asciiTheme="minorEastAsia" w:hAnsiTheme="minorEastAsia" w:eastAsiaTheme="minorEastAsia" w:cstheme="minorEastAsia"/>
          <w:b/>
          <w:color w:val="auto"/>
          <w:sz w:val="24"/>
          <w:szCs w:val="24"/>
          <w:highlight w:val="none"/>
          <w:lang w:val="en-US" w:eastAsia="zh-CN"/>
        </w:rPr>
        <w:t>二、其他技术标准和要求：详见谈判项目图纸及相关补疑。</w:t>
      </w:r>
      <w:bookmarkEnd w:id="13"/>
      <w:bookmarkEnd w:id="14"/>
    </w:p>
    <w:p>
      <w:pPr>
        <w:pageBreakBefore w:val="0"/>
        <w:kinsoku/>
        <w:wordWrap/>
        <w:overflowPunct/>
        <w:topLinePunct w:val="0"/>
        <w:autoSpaceDE/>
        <w:autoSpaceDN/>
        <w:bidi w:val="0"/>
        <w:snapToGrid w:val="0"/>
        <w:spacing w:line="360" w:lineRule="auto"/>
        <w:ind w:firstLine="482" w:firstLineChars="200"/>
        <w:textAlignment w:val="auto"/>
        <w:outlineLvl w:val="9"/>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材料与设备要求</w:t>
      </w:r>
    </w:p>
    <w:bookmarkEnd w:id="9"/>
    <w:bookmarkEnd w:id="10"/>
    <w:bookmarkEnd w:id="11"/>
    <w:bookmarkEnd w:id="12"/>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甲供材料由招标人提供，其他材料由中标人自行采购，</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其中甲供材料（如有）：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参考品牌：</w:t>
      </w:r>
      <w:r>
        <w:rPr>
          <w:rFonts w:hint="eastAsia" w:asciiTheme="minorEastAsia" w:hAnsiTheme="minorEastAsia" w:eastAsiaTheme="minorEastAsia" w:cstheme="minorEastAsia"/>
          <w:color w:val="auto"/>
          <w:sz w:val="24"/>
          <w:szCs w:val="24"/>
          <w:highlight w:val="none"/>
          <w:u w:val="single"/>
          <w:lang w:val="en-US" w:eastAsia="zh-CN"/>
        </w:rPr>
        <w:t>详见下附件</w:t>
      </w:r>
    </w:p>
    <w:tbl>
      <w:tblPr>
        <w:tblStyle w:val="56"/>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6"/>
        <w:gridCol w:w="1775"/>
        <w:gridCol w:w="2199"/>
        <w:gridCol w:w="3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spacing w:line="300" w:lineRule="exact"/>
              <w:ind w:right="-125"/>
              <w:rPr>
                <w:rFonts w:cs="宋体"/>
                <w:b/>
                <w:color w:val="auto"/>
                <w:sz w:val="24"/>
                <w:szCs w:val="24"/>
              </w:rPr>
            </w:pPr>
            <w:r>
              <w:rPr>
                <w:rFonts w:hint="eastAsia" w:cs="宋体"/>
                <w:b/>
                <w:color w:val="auto"/>
                <w:sz w:val="24"/>
                <w:szCs w:val="24"/>
              </w:rPr>
              <w:t>序号</w:t>
            </w:r>
          </w:p>
        </w:tc>
        <w:tc>
          <w:tcPr>
            <w:tcW w:w="1775" w:type="dxa"/>
            <w:noWrap w:val="0"/>
            <w:vAlign w:val="top"/>
          </w:tcPr>
          <w:p>
            <w:pPr>
              <w:spacing w:line="300" w:lineRule="exact"/>
              <w:ind w:right="-125"/>
              <w:rPr>
                <w:rFonts w:cs="宋体"/>
                <w:b/>
                <w:color w:val="auto"/>
                <w:sz w:val="24"/>
                <w:szCs w:val="24"/>
              </w:rPr>
            </w:pPr>
            <w:r>
              <w:rPr>
                <w:rFonts w:hint="eastAsia" w:cs="宋体"/>
                <w:b/>
                <w:color w:val="auto"/>
                <w:sz w:val="24"/>
                <w:szCs w:val="24"/>
              </w:rPr>
              <w:t>材料设备名称</w:t>
            </w:r>
          </w:p>
        </w:tc>
        <w:tc>
          <w:tcPr>
            <w:tcW w:w="2199" w:type="dxa"/>
            <w:noWrap w:val="0"/>
            <w:vAlign w:val="top"/>
          </w:tcPr>
          <w:p>
            <w:pPr>
              <w:spacing w:line="300" w:lineRule="exact"/>
              <w:ind w:right="-125"/>
              <w:rPr>
                <w:rFonts w:cs="宋体"/>
                <w:b/>
                <w:color w:val="auto"/>
                <w:sz w:val="24"/>
                <w:szCs w:val="24"/>
              </w:rPr>
            </w:pPr>
            <w:r>
              <w:rPr>
                <w:rFonts w:hint="eastAsia" w:cs="宋体"/>
                <w:b/>
                <w:color w:val="auto"/>
                <w:sz w:val="24"/>
                <w:szCs w:val="24"/>
              </w:rPr>
              <w:t>规格、型号等特殊要求</w:t>
            </w:r>
          </w:p>
        </w:tc>
        <w:tc>
          <w:tcPr>
            <w:tcW w:w="3746" w:type="dxa"/>
            <w:noWrap w:val="0"/>
            <w:vAlign w:val="top"/>
          </w:tcPr>
          <w:p>
            <w:pPr>
              <w:spacing w:line="300" w:lineRule="exact"/>
              <w:ind w:right="-125"/>
              <w:rPr>
                <w:rFonts w:cs="宋体"/>
                <w:b/>
                <w:color w:val="auto"/>
                <w:sz w:val="24"/>
                <w:szCs w:val="24"/>
              </w:rPr>
            </w:pPr>
            <w:r>
              <w:rPr>
                <w:rFonts w:hint="eastAsia" w:cs="宋体"/>
                <w:b/>
                <w:color w:val="auto"/>
                <w:sz w:val="24"/>
                <w:szCs w:val="24"/>
              </w:rPr>
              <w:t>推荐品牌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r>
              <w:rPr>
                <w:rFonts w:hint="eastAsia" w:cs="宋体"/>
                <w:color w:val="auto"/>
                <w:sz w:val="24"/>
                <w:szCs w:val="24"/>
              </w:rPr>
              <w:t>一、</w:t>
            </w:r>
          </w:p>
        </w:tc>
        <w:tc>
          <w:tcPr>
            <w:tcW w:w="1775" w:type="dxa"/>
            <w:noWrap w:val="0"/>
            <w:vAlign w:val="top"/>
          </w:tcPr>
          <w:p>
            <w:pPr>
              <w:widowControl/>
              <w:rPr>
                <w:rFonts w:cs="宋体"/>
                <w:color w:val="auto"/>
                <w:sz w:val="24"/>
                <w:szCs w:val="24"/>
              </w:rPr>
            </w:pPr>
            <w:r>
              <w:rPr>
                <w:rFonts w:hint="eastAsia" w:cs="宋体"/>
                <w:color w:val="auto"/>
                <w:sz w:val="24"/>
                <w:szCs w:val="24"/>
              </w:rPr>
              <w:t>装饰材料</w:t>
            </w:r>
          </w:p>
        </w:tc>
        <w:tc>
          <w:tcPr>
            <w:tcW w:w="2199" w:type="dxa"/>
            <w:noWrap w:val="0"/>
            <w:vAlign w:val="top"/>
          </w:tcPr>
          <w:p>
            <w:pPr>
              <w:widowControl/>
              <w:rPr>
                <w:rFonts w:cs="宋体"/>
                <w:color w:val="auto"/>
                <w:sz w:val="24"/>
                <w:szCs w:val="24"/>
              </w:rPr>
            </w:pPr>
          </w:p>
        </w:tc>
        <w:tc>
          <w:tcPr>
            <w:tcW w:w="3746" w:type="dxa"/>
            <w:noWrap w:val="0"/>
            <w:vAlign w:val="top"/>
          </w:tcPr>
          <w:p>
            <w:pPr>
              <w:widowControl/>
              <w:rPr>
                <w:rFonts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钢制防火门</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日高牌、南粤牌、深圳永福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墙地砖</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蒙娜丽莎、诺贝尔、马可波罗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石膏板</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龙牌、杰科、可耐福、泰山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木工板</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兔宝宝、莫干山、裕森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抗倍特版</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佳丽福牌、奥高、雅美家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玻璃</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上海耀皮、深圳南玻、芜湖信义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密封胶及结构胶</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佛山建华（千里马）、广州恒途、佛山元通、广州创世纪、杭州之江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开启窗五金件</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GMT、恒安、坚朗、丝吉利娅、萨威奥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地弹簧</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GMT、多玛、坚朗、皇冠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不锈钢驳接件</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坚朗、东天、中远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铝板</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雅泰、华源、七色、强徽、上海吉祥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铝型材</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广东广亚、广东亚铝、凤铝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化学螺栓</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慧鱼、喜利得、美亚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涂料及乳胶漆</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华润、多乐士、立邦、三棵树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轻钢龙骨</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龙牌、可耐福、泰山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钢丝网骨架塑料复合管</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四川煌盛、南京联塑、浙江圣华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橡塑保温</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金福莱斯、华美、福乐斯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r>
              <w:rPr>
                <w:rFonts w:hint="eastAsia" w:cs="宋体"/>
                <w:color w:val="auto"/>
                <w:sz w:val="24"/>
                <w:szCs w:val="24"/>
              </w:rPr>
              <w:t>二、</w:t>
            </w:r>
          </w:p>
        </w:tc>
        <w:tc>
          <w:tcPr>
            <w:tcW w:w="1775" w:type="dxa"/>
            <w:noWrap w:val="0"/>
            <w:vAlign w:val="top"/>
          </w:tcPr>
          <w:p>
            <w:pPr>
              <w:widowControl/>
              <w:rPr>
                <w:rFonts w:cs="宋体"/>
                <w:color w:val="auto"/>
                <w:sz w:val="24"/>
                <w:szCs w:val="24"/>
              </w:rPr>
            </w:pPr>
            <w:r>
              <w:rPr>
                <w:rFonts w:hint="eastAsia" w:cs="宋体"/>
                <w:color w:val="auto"/>
                <w:sz w:val="24"/>
                <w:szCs w:val="24"/>
              </w:rPr>
              <w:t>电气</w:t>
            </w:r>
          </w:p>
        </w:tc>
        <w:tc>
          <w:tcPr>
            <w:tcW w:w="2199" w:type="dxa"/>
            <w:noWrap w:val="0"/>
            <w:vAlign w:val="top"/>
          </w:tcPr>
          <w:p>
            <w:pPr>
              <w:widowControl/>
              <w:rPr>
                <w:rFonts w:cs="宋体"/>
                <w:color w:val="auto"/>
                <w:sz w:val="24"/>
                <w:szCs w:val="24"/>
              </w:rPr>
            </w:pPr>
          </w:p>
        </w:tc>
        <w:tc>
          <w:tcPr>
            <w:tcW w:w="3746" w:type="dxa"/>
            <w:noWrap w:val="0"/>
            <w:vAlign w:val="top"/>
          </w:tcPr>
          <w:p>
            <w:pPr>
              <w:widowControl/>
              <w:rPr>
                <w:rFonts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灯具</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麦弗森、灯煌、上海三本，广东特优仕，佛山诺可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灯具光源</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上海三本，广东特优仕，佛山诺可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电（缆）线</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长江、上上、远东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配电箱（柜）</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西门子、ABB、施耐德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配电元器件</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西门子、ABB、施耐德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无缝钢管</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宝钢、金正阳、金宝诚、美鑫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开关、插座、面板</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杭州鸿雁、公元、TCL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桥架</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天安、正旺、铭天、天瑶、首天、江虹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r>
              <w:rPr>
                <w:rFonts w:hint="eastAsia" w:cs="宋体"/>
                <w:color w:val="auto"/>
                <w:sz w:val="24"/>
                <w:szCs w:val="24"/>
              </w:rPr>
              <w:t>三、</w:t>
            </w:r>
          </w:p>
        </w:tc>
        <w:tc>
          <w:tcPr>
            <w:tcW w:w="1775" w:type="dxa"/>
            <w:noWrap w:val="0"/>
            <w:vAlign w:val="top"/>
          </w:tcPr>
          <w:p>
            <w:pPr>
              <w:widowControl/>
              <w:rPr>
                <w:rFonts w:cs="宋体"/>
                <w:color w:val="auto"/>
                <w:sz w:val="24"/>
                <w:szCs w:val="24"/>
              </w:rPr>
            </w:pPr>
            <w:r>
              <w:rPr>
                <w:rFonts w:hint="eastAsia" w:cs="宋体"/>
                <w:color w:val="auto"/>
                <w:sz w:val="24"/>
                <w:szCs w:val="24"/>
              </w:rPr>
              <w:t>给排水</w:t>
            </w:r>
          </w:p>
        </w:tc>
        <w:tc>
          <w:tcPr>
            <w:tcW w:w="2199" w:type="dxa"/>
            <w:noWrap w:val="0"/>
            <w:vAlign w:val="top"/>
          </w:tcPr>
          <w:p>
            <w:pPr>
              <w:widowControl/>
              <w:rPr>
                <w:rFonts w:cs="宋体"/>
                <w:color w:val="auto"/>
                <w:sz w:val="24"/>
                <w:szCs w:val="24"/>
              </w:rPr>
            </w:pPr>
          </w:p>
        </w:tc>
        <w:tc>
          <w:tcPr>
            <w:tcW w:w="3746" w:type="dxa"/>
            <w:noWrap w:val="0"/>
            <w:vAlign w:val="top"/>
          </w:tcPr>
          <w:p>
            <w:pPr>
              <w:widowControl/>
              <w:rPr>
                <w:rFonts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塑料给水管</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日丰、联塑、金德、中财、伟星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塑料排水管、电管</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中财、安徽国通、金德、伟星、公元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管道阀门</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上海良工、安徽白湖、盾安、欧特莱、华宁、冠龙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卫生洁具，卫浴</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科勒、箭牌、九牧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水管闸阀</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纽威、江一、京牌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防水卷材</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东方雨虹、德高、大禹、西卡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widowControl/>
              <w:rPr>
                <w:rFonts w:cs="宋体"/>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地漏</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潜水艇、伟新、欧琳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adjustRightInd w:val="0"/>
              <w:snapToGrid w:val="0"/>
              <w:spacing w:line="360" w:lineRule="auto"/>
              <w:ind w:right="-10"/>
              <w:rPr>
                <w:rFonts w:cs="宋体"/>
                <w:b/>
                <w:color w:val="auto"/>
                <w:sz w:val="24"/>
                <w:szCs w:val="24"/>
              </w:rPr>
            </w:pPr>
            <w:r>
              <w:rPr>
                <w:rFonts w:hint="eastAsia" w:cs="宋体"/>
                <w:color w:val="auto"/>
                <w:sz w:val="24"/>
                <w:szCs w:val="24"/>
              </w:rPr>
              <w:t>四、</w:t>
            </w:r>
          </w:p>
        </w:tc>
        <w:tc>
          <w:tcPr>
            <w:tcW w:w="1775" w:type="dxa"/>
            <w:noWrap w:val="0"/>
            <w:vAlign w:val="top"/>
          </w:tcPr>
          <w:p>
            <w:pPr>
              <w:spacing w:line="300" w:lineRule="exact"/>
              <w:ind w:right="-125"/>
              <w:rPr>
                <w:rFonts w:cs="宋体"/>
                <w:color w:val="auto"/>
                <w:sz w:val="24"/>
                <w:szCs w:val="24"/>
              </w:rPr>
            </w:pPr>
            <w:r>
              <w:rPr>
                <w:rFonts w:hint="eastAsia" w:cs="宋体"/>
                <w:color w:val="auto"/>
                <w:sz w:val="24"/>
                <w:szCs w:val="24"/>
              </w:rPr>
              <w:t>消防</w:t>
            </w:r>
          </w:p>
        </w:tc>
        <w:tc>
          <w:tcPr>
            <w:tcW w:w="2199" w:type="dxa"/>
            <w:noWrap w:val="0"/>
            <w:vAlign w:val="top"/>
          </w:tcPr>
          <w:p>
            <w:pPr>
              <w:adjustRightInd w:val="0"/>
              <w:snapToGrid w:val="0"/>
              <w:spacing w:line="360" w:lineRule="auto"/>
              <w:ind w:right="-10"/>
              <w:rPr>
                <w:rFonts w:cs="宋体"/>
                <w:b/>
                <w:color w:val="auto"/>
                <w:sz w:val="24"/>
                <w:szCs w:val="24"/>
              </w:rPr>
            </w:pPr>
          </w:p>
        </w:tc>
        <w:tc>
          <w:tcPr>
            <w:tcW w:w="3746" w:type="dxa"/>
            <w:noWrap w:val="0"/>
            <w:vAlign w:val="top"/>
          </w:tcPr>
          <w:p>
            <w:pPr>
              <w:adjustRightInd w:val="0"/>
              <w:snapToGrid w:val="0"/>
              <w:spacing w:line="360" w:lineRule="auto"/>
              <w:ind w:right="-10"/>
              <w:rPr>
                <w:rFonts w:cs="宋体"/>
                <w:b/>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adjustRightInd w:val="0"/>
              <w:snapToGrid w:val="0"/>
              <w:spacing w:line="360" w:lineRule="auto"/>
              <w:ind w:right="-10"/>
              <w:rPr>
                <w:rFonts w:cs="宋体"/>
                <w:b/>
                <w:color w:val="auto"/>
                <w:sz w:val="24"/>
                <w:szCs w:val="24"/>
              </w:rPr>
            </w:pPr>
          </w:p>
        </w:tc>
        <w:tc>
          <w:tcPr>
            <w:tcW w:w="1775" w:type="dxa"/>
            <w:noWrap w:val="0"/>
            <w:vAlign w:val="top"/>
          </w:tcPr>
          <w:p>
            <w:pPr>
              <w:spacing w:line="300" w:lineRule="exact"/>
              <w:ind w:right="-125"/>
              <w:rPr>
                <w:rFonts w:cs="宋体"/>
                <w:color w:val="auto"/>
                <w:sz w:val="24"/>
                <w:szCs w:val="24"/>
              </w:rPr>
            </w:pPr>
            <w:r>
              <w:rPr>
                <w:rFonts w:hint="eastAsia" w:cs="宋体"/>
                <w:color w:val="auto"/>
                <w:sz w:val="24"/>
                <w:szCs w:val="24"/>
              </w:rPr>
              <w:t>消防控住主机、手报、按钮、控制模块、</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adjustRightInd w:val="0"/>
              <w:snapToGrid w:val="0"/>
              <w:spacing w:line="360" w:lineRule="auto"/>
              <w:ind w:right="-10"/>
              <w:rPr>
                <w:rFonts w:cs="宋体"/>
                <w:color w:val="auto"/>
                <w:sz w:val="24"/>
                <w:szCs w:val="24"/>
              </w:rPr>
            </w:pPr>
            <w:r>
              <w:rPr>
                <w:rFonts w:hint="eastAsia" w:cs="宋体"/>
                <w:color w:val="auto"/>
                <w:sz w:val="24"/>
                <w:szCs w:val="24"/>
              </w:rPr>
              <w:t>北大青鸟、依爱、北京利达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adjustRightInd w:val="0"/>
              <w:snapToGrid w:val="0"/>
              <w:spacing w:line="360" w:lineRule="auto"/>
              <w:ind w:right="-10"/>
              <w:rPr>
                <w:rFonts w:cs="宋体"/>
                <w:b/>
                <w:color w:val="auto"/>
                <w:sz w:val="24"/>
                <w:szCs w:val="24"/>
              </w:rPr>
            </w:pPr>
          </w:p>
        </w:tc>
        <w:tc>
          <w:tcPr>
            <w:tcW w:w="1775" w:type="dxa"/>
            <w:noWrap w:val="0"/>
            <w:vAlign w:val="top"/>
          </w:tcPr>
          <w:p>
            <w:pPr>
              <w:spacing w:line="300" w:lineRule="exact"/>
              <w:ind w:right="-125"/>
              <w:rPr>
                <w:rFonts w:cs="宋体"/>
                <w:color w:val="auto"/>
                <w:sz w:val="24"/>
                <w:szCs w:val="24"/>
              </w:rPr>
            </w:pPr>
            <w:r>
              <w:rPr>
                <w:rFonts w:hint="eastAsia" w:cs="宋体"/>
                <w:color w:val="auto"/>
                <w:sz w:val="24"/>
                <w:szCs w:val="24"/>
              </w:rPr>
              <w:t>烟感、温感、联动控制柜</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adjustRightInd w:val="0"/>
              <w:snapToGrid w:val="0"/>
              <w:spacing w:line="360" w:lineRule="auto"/>
              <w:ind w:right="-10"/>
              <w:rPr>
                <w:rFonts w:cs="宋体"/>
                <w:color w:val="auto"/>
                <w:sz w:val="24"/>
                <w:szCs w:val="24"/>
              </w:rPr>
            </w:pPr>
            <w:r>
              <w:rPr>
                <w:rFonts w:hint="eastAsia" w:cs="宋体"/>
                <w:color w:val="auto"/>
                <w:sz w:val="24"/>
                <w:szCs w:val="24"/>
              </w:rPr>
              <w:t>北大青鸟、依爱、北京利达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adjustRightInd w:val="0"/>
              <w:snapToGrid w:val="0"/>
              <w:spacing w:line="360" w:lineRule="auto"/>
              <w:ind w:right="-10"/>
              <w:rPr>
                <w:rFonts w:cs="宋体"/>
                <w:b/>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风口、风阀</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龙鑫、春意、润达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adjustRightInd w:val="0"/>
              <w:snapToGrid w:val="0"/>
              <w:spacing w:line="360" w:lineRule="auto"/>
              <w:ind w:right="-10"/>
              <w:rPr>
                <w:rFonts w:cs="宋体"/>
                <w:b/>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镀锌钢板</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宝钢、新华冶金、兴冶、凯立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6" w:type="dxa"/>
            <w:noWrap w:val="0"/>
            <w:vAlign w:val="top"/>
          </w:tcPr>
          <w:p>
            <w:pPr>
              <w:adjustRightInd w:val="0"/>
              <w:snapToGrid w:val="0"/>
              <w:spacing w:line="360" w:lineRule="auto"/>
              <w:ind w:right="-10"/>
              <w:rPr>
                <w:rFonts w:cs="宋体"/>
                <w:b/>
                <w:color w:val="auto"/>
                <w:sz w:val="24"/>
                <w:szCs w:val="24"/>
              </w:rPr>
            </w:pPr>
          </w:p>
        </w:tc>
        <w:tc>
          <w:tcPr>
            <w:tcW w:w="1775" w:type="dxa"/>
            <w:noWrap w:val="0"/>
            <w:vAlign w:val="top"/>
          </w:tcPr>
          <w:p>
            <w:pPr>
              <w:widowControl/>
              <w:rPr>
                <w:rFonts w:cs="宋体"/>
                <w:color w:val="auto"/>
                <w:sz w:val="24"/>
                <w:szCs w:val="24"/>
              </w:rPr>
            </w:pPr>
            <w:r>
              <w:rPr>
                <w:rFonts w:hint="eastAsia" w:cs="宋体"/>
                <w:color w:val="auto"/>
                <w:sz w:val="24"/>
                <w:szCs w:val="24"/>
              </w:rPr>
              <w:t>镀锌钢管、钢塑复合管</w:t>
            </w:r>
          </w:p>
        </w:tc>
        <w:tc>
          <w:tcPr>
            <w:tcW w:w="2199" w:type="dxa"/>
            <w:noWrap w:val="0"/>
            <w:vAlign w:val="top"/>
          </w:tcPr>
          <w:p>
            <w:pPr>
              <w:widowControl/>
              <w:rPr>
                <w:rFonts w:cs="宋体"/>
                <w:color w:val="auto"/>
                <w:sz w:val="24"/>
                <w:szCs w:val="24"/>
              </w:rPr>
            </w:pPr>
            <w:r>
              <w:rPr>
                <w:rFonts w:hint="eastAsia" w:cs="宋体"/>
                <w:color w:val="auto"/>
                <w:sz w:val="24"/>
                <w:szCs w:val="24"/>
              </w:rPr>
              <w:t>按设计要求</w:t>
            </w:r>
          </w:p>
        </w:tc>
        <w:tc>
          <w:tcPr>
            <w:tcW w:w="3746" w:type="dxa"/>
            <w:noWrap w:val="0"/>
            <w:vAlign w:val="top"/>
          </w:tcPr>
          <w:p>
            <w:pPr>
              <w:widowControl/>
              <w:rPr>
                <w:rFonts w:cs="宋体"/>
                <w:color w:val="auto"/>
                <w:sz w:val="24"/>
                <w:szCs w:val="24"/>
              </w:rPr>
            </w:pPr>
            <w:r>
              <w:rPr>
                <w:rFonts w:hint="eastAsia" w:cs="宋体"/>
                <w:color w:val="auto"/>
                <w:sz w:val="24"/>
                <w:szCs w:val="24"/>
              </w:rPr>
              <w:t>浙江金洲、天津友发、河北成龙、华岐、正大</w:t>
            </w:r>
          </w:p>
        </w:tc>
      </w:tr>
    </w:tbl>
    <w:p>
      <w:pPr>
        <w:pageBreakBefore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注：参考品牌不得少于三个，对于招标人参考品牌的材料、设备，投标人可选用参考品牌或不低于参考品牌技术性能指标的其他品牌；采用其他品牌的应在</w:t>
      </w:r>
      <w:r>
        <w:rPr>
          <w:rFonts w:hint="eastAsia" w:asciiTheme="minorEastAsia" w:hAnsiTheme="minorEastAsia" w:eastAsiaTheme="minorEastAsia" w:cstheme="minorEastAsia"/>
          <w:color w:val="auto"/>
          <w:sz w:val="24"/>
          <w:szCs w:val="24"/>
          <w:highlight w:val="none"/>
          <w:lang w:val="en-US" w:eastAsia="zh-CN"/>
        </w:rPr>
        <w:t>投标文件</w:t>
      </w:r>
      <w:r>
        <w:rPr>
          <w:rFonts w:hint="eastAsia" w:asciiTheme="minorEastAsia" w:hAnsiTheme="minorEastAsia" w:eastAsiaTheme="minorEastAsia" w:cstheme="minorEastAsia"/>
          <w:color w:val="auto"/>
          <w:sz w:val="24"/>
          <w:szCs w:val="24"/>
          <w:highlight w:val="none"/>
        </w:rPr>
        <w:t>中注明并提供相关技术性能指标、业绩等供</w:t>
      </w: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评审，未在</w:t>
      </w:r>
      <w:r>
        <w:rPr>
          <w:rFonts w:hint="eastAsia" w:asciiTheme="minorEastAsia" w:hAnsiTheme="minorEastAsia" w:eastAsiaTheme="minorEastAsia" w:cstheme="minorEastAsia"/>
          <w:color w:val="auto"/>
          <w:sz w:val="24"/>
          <w:szCs w:val="24"/>
          <w:highlight w:val="none"/>
          <w:lang w:val="en-US" w:eastAsia="zh-CN"/>
        </w:rPr>
        <w:t>投标文件</w:t>
      </w:r>
      <w:r>
        <w:rPr>
          <w:rFonts w:hint="eastAsia" w:asciiTheme="minorEastAsia" w:hAnsiTheme="minorEastAsia" w:eastAsiaTheme="minorEastAsia" w:cstheme="minorEastAsia"/>
          <w:color w:val="auto"/>
          <w:sz w:val="24"/>
          <w:szCs w:val="24"/>
          <w:highlight w:val="none"/>
        </w:rPr>
        <w:t>中注明且未提供相关技术性能指标、业绩，或经</w:t>
      </w: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评审未通过的，中标后只能从招标人参考品牌中进行选择，合同价格不予调整。</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如图纸中出现特定性、唯一性品牌的表述，该品牌仅作为参考，施工过程中不具有限定性。</w:t>
      </w:r>
    </w:p>
    <w:p>
      <w:pPr>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3.材料要求</w:t>
      </w:r>
    </w:p>
    <w:p>
      <w:pPr>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人自行采购的材料应满足设计和规范要求的质量等级，并须按有关技术规范要求对材料质量进行检验。中标人选定的材料供应厂家和价格须经招标人和监理单位认可。如招标人和监理单位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p>
      <w:pPr>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4.报价要求</w:t>
      </w:r>
    </w:p>
    <w:p>
      <w:pPr>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本项目按投标费率（统一费率）进行投标报价。</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（1）投标人须自行勘察现场，以合同估算价作为计算投标费率的依据。</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（2）投标人的投标费率为：投标费率（统一费率）=（投标人按合同估算价报的投标总价）/（合同估算价）*100%  。如招标文件中列明的合同估算价为100万元，投标人按在实地踏勘后预计的投标总价为80万元，则投标人的最终投标费率=80万元/100万元*100%=80%  。</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费率（统一费率）不因任何因素而调整，包括所投产品税费、制作、相关配件拆除、组装、包装、运至最终目的地的运输、保险、卸车、施工、损耗、垃圾清运和交付后维保等工作所发生的一切费用，投标人应充分勘察现场，相关费用均应考虑在投标报价中。</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5.中标单位需协助招标单位办理建设工程施工许可证</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6.施工要求：</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负二层机械车位保护性拆除，拆除机械车位前需将消防喷淋先拆除，拆除的机械车位运送至指定位置，拆除后的基坑12CM深，用C30混泥土回填，回填前需要用直径8MM钢筋交叉绑扎，混泥土干后用金刚砂打磨至光滑，固化剂硬化，画车位线，做挡车器即可。</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京东奥莱租赁面积6600平米，需要将租赁区域内的原商户隔墙全部拆除，与现场营业区要做围挡防护灰尘，租赁区域内顶和地面不动，需要将公共区域的地面做保护，原先隔墙的消防设施、配电设施需要保护性拆除，后期需要换位置安装，垃圾自行清运等。</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京东奥莱区域装修内容：增加隔墙、钢化玻璃隔档，墙面、吊顶修补粉刷，安装灯具、布线，安装闸机，消防设备（顶、地疏散指示、排烟阀等）的安装，防护网的安装等。以上材料由中标人自行采购，具体施工内容根据最终的施工图纸确认。</w:t>
      </w:r>
    </w:p>
    <w:p>
      <w:pPr>
        <w:widowControl/>
        <w:tabs>
          <w:tab w:val="left" w:pos="2865"/>
          <w:tab w:val="center" w:pos="4819"/>
        </w:tabs>
        <w:spacing w:line="360" w:lineRule="auto"/>
        <w:ind w:firstLine="480" w:firstLineChars="200"/>
        <w:jc w:val="left"/>
        <w:rPr>
          <w:color w:val="auto"/>
          <w:sz w:val="32"/>
          <w:szCs w:val="32"/>
        </w:rPr>
      </w:pPr>
      <w:r>
        <w:rPr>
          <w:rFonts w:hint="eastAsia"/>
          <w:color w:val="auto"/>
          <w:sz w:val="24"/>
          <w:lang w:val="en-US" w:eastAsia="zh-CN"/>
        </w:rPr>
        <w:t>6.4、</w:t>
      </w:r>
      <w:r>
        <w:rPr>
          <w:rFonts w:hint="eastAsia"/>
          <w:color w:val="auto"/>
          <w:sz w:val="24"/>
        </w:rPr>
        <w:t>施工</w:t>
      </w:r>
      <w:r>
        <w:rPr>
          <w:color w:val="auto"/>
          <w:sz w:val="24"/>
        </w:rPr>
        <w:t>单位自行采购的材料应满足设计和规范要求的质量等级，并须按有关技术规范要求对材料质量进行检验</w:t>
      </w:r>
      <w:r>
        <w:rPr>
          <w:rFonts w:hint="eastAsia"/>
          <w:color w:val="auto"/>
          <w:sz w:val="24"/>
          <w:lang w:eastAsia="zh-CN"/>
        </w:rPr>
        <w:t>，</w:t>
      </w:r>
      <w:r>
        <w:rPr>
          <w:rFonts w:hint="eastAsia"/>
          <w:color w:val="auto"/>
          <w:sz w:val="24"/>
          <w:lang w:val="en-US" w:eastAsia="zh-CN"/>
        </w:rPr>
        <w:t>参照施工图纸施工，材料的规格型号符合图纸要求。</w:t>
      </w:r>
      <w:r>
        <w:rPr>
          <w:rFonts w:hint="eastAsia"/>
          <w:color w:val="auto"/>
          <w:sz w:val="24"/>
          <w:lang w:eastAsia="zh-CN"/>
        </w:rPr>
        <w:t>如部分材料为京东奥莱指定，需按要求采购，</w:t>
      </w:r>
      <w:r>
        <w:rPr>
          <w:rFonts w:hint="eastAsia"/>
          <w:color w:val="auto"/>
          <w:sz w:val="24"/>
        </w:rPr>
        <w:t>施工</w:t>
      </w:r>
      <w:r>
        <w:rPr>
          <w:color w:val="auto"/>
          <w:sz w:val="24"/>
        </w:rPr>
        <w:t>单位选定的材料供应厂家和价格须经过我方认可</w:t>
      </w:r>
      <w:r>
        <w:rPr>
          <w:rFonts w:hint="eastAsia"/>
          <w:color w:val="auto"/>
          <w:sz w:val="24"/>
        </w:rPr>
        <w:t>（如有）</w:t>
      </w:r>
      <w:r>
        <w:rPr>
          <w:color w:val="auto"/>
          <w:sz w:val="24"/>
        </w:rPr>
        <w:t>。如</w:t>
      </w:r>
      <w:r>
        <w:rPr>
          <w:rFonts w:hint="eastAsia"/>
          <w:color w:val="auto"/>
          <w:sz w:val="24"/>
        </w:rPr>
        <w:t>我</w:t>
      </w:r>
      <w:r>
        <w:rPr>
          <w:color w:val="auto"/>
          <w:sz w:val="24"/>
        </w:rPr>
        <w:t>方对某种或某些材料的质量有异议，有权提出停止使用的要求，</w:t>
      </w:r>
      <w:r>
        <w:rPr>
          <w:rFonts w:hint="eastAsia"/>
          <w:color w:val="auto"/>
          <w:sz w:val="24"/>
        </w:rPr>
        <w:t>施工</w:t>
      </w:r>
      <w:r>
        <w:rPr>
          <w:color w:val="auto"/>
          <w:sz w:val="24"/>
        </w:rPr>
        <w:t>单位必须服从该要求。若该材料经权威检验部门鉴定确有质量问题，由此而发生的一切费用由</w:t>
      </w:r>
      <w:r>
        <w:rPr>
          <w:rFonts w:hint="eastAsia"/>
          <w:color w:val="auto"/>
          <w:sz w:val="24"/>
        </w:rPr>
        <w:t>施工</w:t>
      </w:r>
      <w:r>
        <w:rPr>
          <w:color w:val="auto"/>
          <w:sz w:val="24"/>
        </w:rPr>
        <w:t>单位自负。</w:t>
      </w:r>
    </w:p>
    <w:p>
      <w:pPr>
        <w:rPr>
          <w:vanish/>
          <w:color w:val="auto"/>
        </w:rPr>
      </w:pP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15" w:name="_Toc28479"/>
      <w:r>
        <w:rPr>
          <w:rFonts w:hint="eastAsia" w:asciiTheme="minorEastAsia" w:hAnsiTheme="minorEastAsia" w:eastAsiaTheme="minorEastAsia"/>
          <w:b/>
          <w:color w:val="auto"/>
          <w:sz w:val="28"/>
          <w:highlight w:val="none"/>
        </w:rPr>
        <w:t>第四章  评审方法和标准</w:t>
      </w:r>
      <w:bookmarkEnd w:id="15"/>
    </w:p>
    <w:p>
      <w:pPr>
        <w:spacing w:line="360" w:lineRule="auto"/>
        <w:ind w:firstLine="437"/>
        <w:outlineLvl w:val="1"/>
        <w:rPr>
          <w:rFonts w:asciiTheme="minorEastAsia" w:hAnsiTheme="minorEastAsia" w:eastAsiaTheme="minorEastAsia"/>
          <w:b/>
          <w:color w:val="auto"/>
          <w:sz w:val="24"/>
          <w:highlight w:val="none"/>
        </w:rPr>
      </w:pPr>
      <w:bookmarkStart w:id="16" w:name="_Toc9303"/>
      <w:r>
        <w:rPr>
          <w:rFonts w:hint="eastAsia" w:asciiTheme="minorEastAsia" w:hAnsiTheme="minorEastAsia" w:eastAsiaTheme="minorEastAsia"/>
          <w:b/>
          <w:color w:val="auto"/>
          <w:sz w:val="24"/>
          <w:highlight w:val="none"/>
        </w:rPr>
        <w:t>一、总则</w:t>
      </w:r>
      <w:bookmarkEnd w:id="16"/>
    </w:p>
    <w:p>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本项目</w:t>
      </w:r>
      <w:r>
        <w:rPr>
          <w:rFonts w:hint="eastAsia" w:asciiTheme="minorEastAsia" w:hAnsiTheme="minorEastAsia" w:eastAsiaTheme="minorEastAsia"/>
          <w:color w:val="auto"/>
          <w:sz w:val="24"/>
          <w:highlight w:val="none"/>
        </w:rPr>
        <w:t>采用</w:t>
      </w:r>
      <w:r>
        <w:rPr>
          <w:rFonts w:hint="eastAsia" w:asciiTheme="minorEastAsia" w:hAnsiTheme="minorEastAsia" w:eastAsiaTheme="minorEastAsia"/>
          <w:color w:val="auto"/>
          <w:sz w:val="24"/>
          <w:highlight w:val="none"/>
          <w:lang w:eastAsia="zh-CN"/>
        </w:rPr>
        <w:t>最低评标价法</w:t>
      </w:r>
      <w:r>
        <w:rPr>
          <w:rFonts w:hint="eastAsia"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满足</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文件全部实质性要求且</w:t>
      </w:r>
      <w:r>
        <w:rPr>
          <w:rFonts w:hint="eastAsia" w:asciiTheme="minorEastAsia" w:hAnsiTheme="minorEastAsia" w:eastAsiaTheme="minorEastAsia"/>
          <w:b w:val="0"/>
          <w:bCs/>
          <w:color w:val="auto"/>
          <w:sz w:val="24"/>
          <w:highlight w:val="none"/>
          <w:lang w:eastAsia="zh-CN"/>
        </w:rPr>
        <w:t>最终投标报价</w:t>
      </w:r>
      <w:r>
        <w:rPr>
          <w:rFonts w:hint="eastAsia" w:asciiTheme="minorEastAsia" w:hAnsiTheme="minorEastAsia" w:eastAsiaTheme="minorEastAsia"/>
          <w:color w:val="auto"/>
          <w:sz w:val="24"/>
          <w:highlight w:val="none"/>
        </w:rPr>
        <w:t>最低的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pPr>
        <w:spacing w:line="360" w:lineRule="auto"/>
        <w:ind w:firstLine="437"/>
        <w:outlineLvl w:val="1"/>
        <w:rPr>
          <w:rFonts w:asciiTheme="minorEastAsia" w:hAnsiTheme="minorEastAsia" w:eastAsiaTheme="minorEastAsia"/>
          <w:b/>
          <w:color w:val="auto"/>
          <w:sz w:val="24"/>
          <w:highlight w:val="none"/>
        </w:rPr>
      </w:pPr>
      <w:bookmarkStart w:id="17" w:name="_Toc21143"/>
      <w:r>
        <w:rPr>
          <w:rFonts w:hint="eastAsia" w:asciiTheme="minorEastAsia" w:hAnsiTheme="minorEastAsia" w:eastAsiaTheme="minorEastAsia"/>
          <w:b/>
          <w:color w:val="auto"/>
          <w:sz w:val="24"/>
          <w:highlight w:val="none"/>
        </w:rPr>
        <w:t>二、评审方法</w:t>
      </w:r>
      <w:bookmarkEnd w:id="17"/>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进行初审，以确定其是否满足</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color w:val="auto"/>
                <w:kern w:val="2"/>
                <w:sz w:val="24"/>
                <w:szCs w:val="22"/>
                <w:highlight w:val="none"/>
              </w:rPr>
            </w:pPr>
            <w:r>
              <w:rPr>
                <w:rFonts w:hint="eastAsia" w:cs="Times New Roman"/>
                <w:color w:val="auto"/>
                <w:kern w:val="2"/>
                <w:sz w:val="24"/>
                <w:highlight w:val="none"/>
              </w:rPr>
              <w:t>1</w:t>
            </w:r>
          </w:p>
        </w:tc>
        <w:tc>
          <w:tcPr>
            <w:tcW w:w="1304" w:type="pct"/>
            <w:tcBorders>
              <w:bottom w:val="single" w:color="auto" w:sz="4" w:space="0"/>
            </w:tcBorders>
            <w:vAlign w:val="center"/>
          </w:tcPr>
          <w:p>
            <w:pPr>
              <w:adjustRightInd w:val="0"/>
              <w:snapToGrid w:val="0"/>
              <w:spacing w:line="360" w:lineRule="auto"/>
              <w:ind w:right="-10"/>
              <w:rPr>
                <w:rFonts w:ascii="Calibri" w:hAnsi="Calibri" w:cs="Times New Roman"/>
                <w:color w:val="auto"/>
                <w:kern w:val="2"/>
                <w:sz w:val="24"/>
                <w:szCs w:val="24"/>
                <w:highlight w:val="none"/>
              </w:rPr>
            </w:pPr>
            <w:r>
              <w:rPr>
                <w:rFonts w:hint="eastAsia" w:cs="Times New Roman"/>
                <w:color w:val="auto"/>
                <w:kern w:val="2"/>
                <w:sz w:val="24"/>
                <w:highlight w:val="none"/>
              </w:rPr>
              <w:t>营业执照</w:t>
            </w:r>
          </w:p>
        </w:tc>
        <w:tc>
          <w:tcPr>
            <w:tcW w:w="3283" w:type="pct"/>
            <w:tcBorders>
              <w:bottom w:val="single" w:color="auto" w:sz="4" w:space="0"/>
            </w:tcBorders>
            <w:vAlign w:val="center"/>
          </w:tcPr>
          <w:p>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提供有效的营业执照扫描件，应完整</w:t>
            </w:r>
            <w:r>
              <w:rPr>
                <w:rFonts w:hint="eastAsia" w:cs="Times New Roman"/>
                <w:color w:val="auto"/>
                <w:kern w:val="2"/>
                <w:sz w:val="24"/>
                <w:szCs w:val="22"/>
                <w:highlight w:val="none"/>
                <w:lang w:eastAsia="zh-CN"/>
              </w:rPr>
              <w:t>地</w:t>
            </w:r>
            <w:r>
              <w:rPr>
                <w:rFonts w:hint="eastAsia" w:cs="Times New Roman"/>
                <w:color w:val="auto"/>
                <w:kern w:val="2"/>
                <w:sz w:val="24"/>
                <w:szCs w:val="22"/>
                <w:highlight w:val="none"/>
              </w:rPr>
              <w:t>体现出营业执照的全部内容。联合体</w:t>
            </w:r>
            <w:r>
              <w:rPr>
                <w:rFonts w:hint="eastAsia" w:cs="Times New Roman"/>
                <w:color w:val="auto"/>
                <w:kern w:val="2"/>
                <w:sz w:val="24"/>
                <w:szCs w:val="22"/>
                <w:highlight w:val="none"/>
                <w:lang w:eastAsia="zh-CN"/>
              </w:rPr>
              <w:t>谈判</w:t>
            </w:r>
            <w:r>
              <w:rPr>
                <w:rFonts w:hint="eastAsia" w:cs="Times New Roman"/>
                <w:color w:val="auto"/>
                <w:kern w:val="2"/>
                <w:sz w:val="24"/>
                <w:szCs w:val="22"/>
                <w:highlight w:val="none"/>
              </w:rPr>
              <w:t>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2</w:t>
            </w:r>
          </w:p>
        </w:tc>
        <w:tc>
          <w:tcPr>
            <w:tcW w:w="1304" w:type="pct"/>
            <w:vAlign w:val="center"/>
          </w:tcPr>
          <w:p>
            <w:pPr>
              <w:adjustRightInd w:val="0"/>
              <w:snapToGrid w:val="0"/>
              <w:spacing w:line="360" w:lineRule="auto"/>
              <w:ind w:right="-10"/>
              <w:rPr>
                <w:rFonts w:ascii="Calibri" w:hAnsi="Calibri" w:cs="Times New Roman"/>
                <w:color w:val="auto"/>
                <w:kern w:val="2"/>
                <w:sz w:val="24"/>
                <w:szCs w:val="24"/>
                <w:highlight w:val="none"/>
              </w:rPr>
            </w:pPr>
            <w:r>
              <w:rPr>
                <w:rFonts w:hint="eastAsia" w:cs="Times New Roman"/>
                <w:color w:val="auto"/>
                <w:kern w:val="2"/>
                <w:sz w:val="24"/>
                <w:highlight w:val="none"/>
              </w:rPr>
              <w:t>资质证书</w:t>
            </w:r>
          </w:p>
        </w:tc>
        <w:tc>
          <w:tcPr>
            <w:tcW w:w="3283" w:type="pct"/>
            <w:vAlign w:val="center"/>
          </w:tcPr>
          <w:p>
            <w:pPr>
              <w:adjustRightInd w:val="0"/>
              <w:snapToGrid w:val="0"/>
              <w:spacing w:line="360" w:lineRule="auto"/>
              <w:ind w:right="-10"/>
              <w:rPr>
                <w:rFonts w:hint="default" w:ascii="Calibri" w:hAnsi="Calibri" w:eastAsia="宋体" w:cs="Times New Roman"/>
                <w:color w:val="auto"/>
                <w:kern w:val="2"/>
                <w:sz w:val="24"/>
                <w:szCs w:val="22"/>
                <w:highlight w:val="none"/>
                <w:lang w:val="en-US" w:eastAsia="zh-CN"/>
              </w:rPr>
            </w:pPr>
            <w:r>
              <w:rPr>
                <w:rFonts w:hint="eastAsia" w:cs="Times New Roman"/>
                <w:color w:val="auto"/>
                <w:kern w:val="2"/>
                <w:sz w:val="24"/>
                <w:szCs w:val="22"/>
                <w:highlight w:val="none"/>
              </w:rPr>
              <w:t>提供</w:t>
            </w:r>
            <w:r>
              <w:rPr>
                <w:rFonts w:hint="eastAsia" w:cs="Times New Roman"/>
                <w:color w:val="auto"/>
                <w:kern w:val="2"/>
                <w:sz w:val="24"/>
                <w:szCs w:val="22"/>
                <w:highlight w:val="none"/>
                <w:lang w:val="en-US" w:eastAsia="zh-CN"/>
              </w:rPr>
              <w:t>符合谈判公告</w:t>
            </w:r>
            <w:r>
              <w:rPr>
                <w:rFonts w:hint="eastAsia" w:cs="Times New Roman"/>
                <w:color w:val="auto"/>
                <w:kern w:val="2"/>
                <w:sz w:val="24"/>
                <w:szCs w:val="22"/>
                <w:highlight w:val="none"/>
              </w:rPr>
              <w:t>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3</w:t>
            </w:r>
          </w:p>
        </w:tc>
        <w:tc>
          <w:tcPr>
            <w:tcW w:w="1304" w:type="pct"/>
            <w:vAlign w:val="center"/>
          </w:tcPr>
          <w:p>
            <w:pPr>
              <w:adjustRightInd w:val="0"/>
              <w:snapToGrid w:val="0"/>
              <w:spacing w:line="360" w:lineRule="auto"/>
              <w:ind w:right="-10"/>
              <w:rPr>
                <w:rFonts w:ascii="Calibri" w:hAnsi="Calibri" w:cs="Times New Roman"/>
                <w:color w:val="auto"/>
                <w:kern w:val="2"/>
                <w:sz w:val="24"/>
                <w:szCs w:val="24"/>
                <w:highlight w:val="none"/>
              </w:rPr>
            </w:pPr>
            <w:r>
              <w:rPr>
                <w:rFonts w:hint="eastAsia" w:cs="Times New Roman"/>
                <w:color w:val="auto"/>
                <w:kern w:val="2"/>
                <w:sz w:val="24"/>
                <w:highlight w:val="none"/>
              </w:rPr>
              <w:t>安全生产许可证</w:t>
            </w:r>
          </w:p>
        </w:tc>
        <w:tc>
          <w:tcPr>
            <w:tcW w:w="3283" w:type="pct"/>
            <w:vAlign w:val="center"/>
          </w:tcPr>
          <w:p>
            <w:pPr>
              <w:spacing w:line="360" w:lineRule="auto"/>
              <w:rPr>
                <w:rFonts w:hint="eastAsia" w:ascii="Calibri" w:hAnsi="Calibri" w:eastAsia="宋体" w:cs="Times New Roman"/>
                <w:color w:val="auto"/>
                <w:kern w:val="2"/>
                <w:sz w:val="24"/>
                <w:szCs w:val="22"/>
                <w:highlight w:val="none"/>
                <w:lang w:val="en-US" w:eastAsia="zh-CN"/>
              </w:rPr>
            </w:pPr>
            <w:r>
              <w:rPr>
                <w:rFonts w:hint="eastAsia" w:cs="Times New Roman"/>
                <w:color w:val="auto"/>
                <w:kern w:val="2"/>
                <w:sz w:val="24"/>
                <w:szCs w:val="22"/>
                <w:highlight w:val="none"/>
              </w:rPr>
              <w:t>提供有效的安全生产许可证。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4</w:t>
            </w:r>
          </w:p>
        </w:tc>
        <w:tc>
          <w:tcPr>
            <w:tcW w:w="1304" w:type="pct"/>
            <w:vAlign w:val="center"/>
          </w:tcPr>
          <w:p>
            <w:pPr>
              <w:adjustRightInd w:val="0"/>
              <w:snapToGrid w:val="0"/>
              <w:spacing w:line="360" w:lineRule="auto"/>
              <w:ind w:right="-10"/>
              <w:rPr>
                <w:rFonts w:ascii="Calibri" w:hAnsi="Calibri" w:cs="Times New Roman"/>
                <w:color w:val="auto"/>
                <w:kern w:val="2"/>
                <w:sz w:val="24"/>
                <w:szCs w:val="24"/>
                <w:highlight w:val="none"/>
              </w:rPr>
            </w:pPr>
            <w:r>
              <w:rPr>
                <w:rFonts w:hint="eastAsia" w:cs="Times New Roman"/>
                <w:color w:val="auto"/>
                <w:kern w:val="2"/>
                <w:sz w:val="24"/>
                <w:highlight w:val="none"/>
              </w:rPr>
              <w:t>项目经理</w:t>
            </w:r>
          </w:p>
        </w:tc>
        <w:tc>
          <w:tcPr>
            <w:tcW w:w="3283" w:type="pct"/>
            <w:vAlign w:val="center"/>
          </w:tcPr>
          <w:p>
            <w:pPr>
              <w:spacing w:line="360" w:lineRule="auto"/>
              <w:rPr>
                <w:rFonts w:cs="Times New Roman"/>
                <w:color w:val="auto"/>
                <w:kern w:val="2"/>
                <w:sz w:val="24"/>
                <w:szCs w:val="22"/>
                <w:highlight w:val="none"/>
              </w:rPr>
            </w:pPr>
            <w:r>
              <w:rPr>
                <w:rFonts w:hint="eastAsia" w:cs="Times New Roman"/>
                <w:color w:val="auto"/>
                <w:kern w:val="2"/>
                <w:sz w:val="24"/>
                <w:szCs w:val="22"/>
                <w:highlight w:val="none"/>
                <w:lang w:eastAsia="zh-CN"/>
              </w:rPr>
              <w:t>（</w:t>
            </w:r>
            <w:r>
              <w:rPr>
                <w:rFonts w:hint="eastAsia" w:cs="Times New Roman"/>
                <w:color w:val="auto"/>
                <w:kern w:val="2"/>
                <w:sz w:val="24"/>
                <w:szCs w:val="22"/>
                <w:highlight w:val="none"/>
                <w:lang w:val="en-US" w:eastAsia="zh-CN"/>
              </w:rPr>
              <w:t>1</w:t>
            </w:r>
            <w:r>
              <w:rPr>
                <w:rFonts w:hint="eastAsia" w:cs="Times New Roman"/>
                <w:color w:val="auto"/>
                <w:kern w:val="2"/>
                <w:sz w:val="24"/>
                <w:szCs w:val="22"/>
                <w:highlight w:val="none"/>
                <w:lang w:eastAsia="zh-CN"/>
              </w:rPr>
              <w:t>）</w:t>
            </w:r>
            <w:r>
              <w:rPr>
                <w:rFonts w:hint="eastAsia" w:cs="Times New Roman"/>
                <w:color w:val="auto"/>
                <w:kern w:val="2"/>
                <w:sz w:val="24"/>
                <w:szCs w:val="22"/>
                <w:highlight w:val="none"/>
              </w:rPr>
              <w:t>提供符合资质要求的注册建造师证书和有效的安全生产考核合格证（B证），注册单位必须是</w:t>
            </w:r>
            <w:r>
              <w:rPr>
                <w:rFonts w:hint="eastAsia" w:cs="Times New Roman"/>
                <w:color w:val="auto"/>
                <w:kern w:val="2"/>
                <w:sz w:val="24"/>
                <w:szCs w:val="22"/>
                <w:highlight w:val="none"/>
                <w:lang w:eastAsia="zh-CN"/>
              </w:rPr>
              <w:t>投标人</w:t>
            </w:r>
            <w:r>
              <w:rPr>
                <w:rFonts w:hint="eastAsia" w:cs="Times New Roman"/>
                <w:color w:val="auto"/>
                <w:kern w:val="2"/>
                <w:sz w:val="24"/>
                <w:szCs w:val="22"/>
                <w:highlight w:val="none"/>
              </w:rPr>
              <w:t>本单位；</w:t>
            </w:r>
          </w:p>
          <w:p>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lang w:eastAsia="zh-CN"/>
              </w:rPr>
              <w:t>（</w:t>
            </w:r>
            <w:r>
              <w:rPr>
                <w:rFonts w:hint="eastAsia" w:cs="Times New Roman"/>
                <w:color w:val="auto"/>
                <w:kern w:val="2"/>
                <w:sz w:val="24"/>
                <w:szCs w:val="22"/>
                <w:highlight w:val="none"/>
                <w:lang w:val="en-US" w:eastAsia="zh-CN"/>
              </w:rPr>
              <w:t>2</w:t>
            </w:r>
            <w:r>
              <w:rPr>
                <w:rFonts w:hint="eastAsia" w:cs="Times New Roman"/>
                <w:color w:val="auto"/>
                <w:kern w:val="2"/>
                <w:sz w:val="24"/>
                <w:szCs w:val="22"/>
                <w:highlight w:val="none"/>
                <w:lang w:eastAsia="zh-CN"/>
              </w:rPr>
              <w:t>）</w:t>
            </w:r>
            <w:r>
              <w:rPr>
                <w:rFonts w:hint="eastAsia" w:cs="Times New Roman"/>
                <w:color w:val="auto"/>
                <w:kern w:val="2"/>
                <w:sz w:val="24"/>
                <w:szCs w:val="22"/>
                <w:highlight w:val="none"/>
              </w:rPr>
              <w:t>提供项目经理承诺，格式后附。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rightChars="0"/>
              <w:jc w:val="center"/>
              <w:rPr>
                <w:rFonts w:hint="eastAsia" w:cs="Times New Roman"/>
                <w:color w:val="auto"/>
                <w:kern w:val="2"/>
                <w:sz w:val="24"/>
                <w:highlight w:val="none"/>
                <w:lang w:val="en-US" w:eastAsia="zh-CN"/>
              </w:rPr>
            </w:pPr>
            <w:r>
              <w:rPr>
                <w:rFonts w:hint="eastAsia" w:cs="Times New Roman"/>
                <w:color w:val="auto"/>
                <w:kern w:val="2"/>
                <w:sz w:val="24"/>
                <w:highlight w:val="none"/>
                <w:lang w:val="en-US" w:eastAsia="zh-CN"/>
              </w:rPr>
              <w:t>5</w:t>
            </w:r>
          </w:p>
        </w:tc>
        <w:tc>
          <w:tcPr>
            <w:tcW w:w="1304" w:type="pct"/>
            <w:vAlign w:val="center"/>
          </w:tcPr>
          <w:p>
            <w:pPr>
              <w:adjustRightInd w:val="0"/>
              <w:snapToGrid w:val="0"/>
              <w:spacing w:line="360" w:lineRule="auto"/>
              <w:ind w:right="-10" w:rightChars="0"/>
              <w:rPr>
                <w:rFonts w:hint="eastAsia" w:cs="Times New Roman"/>
                <w:color w:val="auto"/>
                <w:kern w:val="2"/>
                <w:sz w:val="24"/>
                <w:highlight w:val="none"/>
              </w:rPr>
            </w:pPr>
            <w:r>
              <w:rPr>
                <w:rFonts w:hint="eastAsia" w:ascii="宋体" w:hAnsi="宋体" w:eastAsia="宋体" w:cs="Times New Roman"/>
                <w:color w:val="auto"/>
                <w:kern w:val="2"/>
                <w:sz w:val="24"/>
                <w:highlight w:val="none"/>
                <w:lang w:val="en-US" w:eastAsia="zh-CN"/>
              </w:rPr>
              <w:t>投标人</w:t>
            </w:r>
            <w:r>
              <w:rPr>
                <w:rFonts w:hint="eastAsia" w:ascii="宋体" w:hAnsi="宋体" w:eastAsia="宋体" w:cs="Times New Roman"/>
                <w:color w:val="auto"/>
                <w:kern w:val="2"/>
                <w:sz w:val="24"/>
                <w:highlight w:val="none"/>
              </w:rPr>
              <w:t>业绩</w:t>
            </w:r>
          </w:p>
        </w:tc>
        <w:tc>
          <w:tcPr>
            <w:tcW w:w="3283" w:type="pct"/>
            <w:vAlign w:val="center"/>
          </w:tcPr>
          <w:p>
            <w:pPr>
              <w:spacing w:line="420" w:lineRule="exact"/>
              <w:ind w:right="-11" w:rightChars="0" w:firstLine="0" w:firstLineChars="0"/>
              <w:jc w:val="both"/>
              <w:rPr>
                <w:rFonts w:hint="eastAsia" w:cs="Times New Roman"/>
                <w:color w:val="auto"/>
                <w:kern w:val="2"/>
                <w:sz w:val="24"/>
                <w:szCs w:val="22"/>
                <w:highlight w:val="none"/>
                <w:lang w:eastAsia="zh-CN"/>
              </w:rPr>
            </w:pPr>
            <w:r>
              <w:rPr>
                <w:rFonts w:hint="eastAsia" w:cs="Times New Roman"/>
                <w:color w:val="auto"/>
                <w:kern w:val="2"/>
                <w:sz w:val="24"/>
                <w:szCs w:val="22"/>
                <w:highlight w:val="none"/>
              </w:rPr>
              <w:t>提供</w:t>
            </w:r>
            <w:r>
              <w:rPr>
                <w:rFonts w:hint="eastAsia" w:cs="Times New Roman"/>
                <w:color w:val="auto"/>
                <w:kern w:val="2"/>
                <w:sz w:val="24"/>
                <w:szCs w:val="22"/>
                <w:highlight w:val="none"/>
                <w:lang w:val="en-US" w:eastAsia="zh-CN"/>
              </w:rPr>
              <w:t>符合谈判公告</w:t>
            </w:r>
            <w:r>
              <w:rPr>
                <w:rFonts w:hint="eastAsia" w:cs="Times New Roman"/>
                <w:color w:val="auto"/>
                <w:kern w:val="2"/>
                <w:sz w:val="24"/>
                <w:szCs w:val="22"/>
                <w:highlight w:val="none"/>
              </w:rPr>
              <w:t>的</w:t>
            </w:r>
            <w:r>
              <w:rPr>
                <w:rFonts w:hint="eastAsia" w:cs="Times New Roman"/>
                <w:color w:val="auto"/>
                <w:kern w:val="2"/>
                <w:sz w:val="24"/>
                <w:szCs w:val="22"/>
                <w:highlight w:val="none"/>
                <w:lang w:val="en-US" w:eastAsia="zh-CN"/>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6</w:t>
            </w:r>
          </w:p>
        </w:tc>
        <w:tc>
          <w:tcPr>
            <w:tcW w:w="1304" w:type="pct"/>
            <w:vAlign w:val="center"/>
          </w:tcPr>
          <w:p>
            <w:pPr>
              <w:adjustRightInd w:val="0"/>
              <w:snapToGrid w:val="0"/>
              <w:spacing w:line="360" w:lineRule="auto"/>
              <w:ind w:right="-10"/>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投标</w:t>
            </w:r>
            <w:r>
              <w:rPr>
                <w:rFonts w:hint="eastAsia" w:cs="Times New Roman"/>
                <w:color w:val="auto"/>
                <w:kern w:val="2"/>
                <w:sz w:val="24"/>
                <w:highlight w:val="none"/>
              </w:rPr>
              <w:t>函</w:t>
            </w:r>
          </w:p>
        </w:tc>
        <w:tc>
          <w:tcPr>
            <w:tcW w:w="3283" w:type="pct"/>
            <w:vAlign w:val="center"/>
          </w:tcPr>
          <w:p>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w:t>
            </w:r>
            <w:r>
              <w:rPr>
                <w:rFonts w:hint="eastAsia" w:cs="Times New Roman"/>
                <w:color w:val="auto"/>
                <w:kern w:val="2"/>
                <w:sz w:val="24"/>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7</w:t>
            </w:r>
          </w:p>
        </w:tc>
        <w:tc>
          <w:tcPr>
            <w:tcW w:w="1304" w:type="pct"/>
            <w:vAlign w:val="center"/>
          </w:tcPr>
          <w:p>
            <w:pPr>
              <w:pStyle w:val="54"/>
              <w:ind w:firstLine="0" w:firstLineChars="0"/>
              <w:rPr>
                <w:color w:val="auto"/>
                <w:highlight w:val="none"/>
                <w:lang w:val="en-US"/>
              </w:rPr>
            </w:pPr>
            <w:r>
              <w:rPr>
                <w:rFonts w:hint="eastAsia" w:asciiTheme="minorEastAsia" w:hAnsiTheme="minorEastAsia" w:eastAsiaTheme="minorEastAsia"/>
                <w:color w:val="auto"/>
                <w:sz w:val="24"/>
                <w:szCs w:val="28"/>
                <w:highlight w:val="none"/>
                <w:lang w:val="en-US" w:eastAsia="zh-CN"/>
              </w:rPr>
              <w:t>谈判文件</w:t>
            </w:r>
            <w:r>
              <w:rPr>
                <w:rFonts w:hint="eastAsia" w:asciiTheme="minorEastAsia" w:hAnsiTheme="minorEastAsia" w:eastAsiaTheme="minorEastAsia"/>
                <w:color w:val="auto"/>
                <w:sz w:val="24"/>
                <w:szCs w:val="28"/>
                <w:highlight w:val="none"/>
              </w:rPr>
              <w:t>获取情况</w:t>
            </w:r>
          </w:p>
        </w:tc>
        <w:tc>
          <w:tcPr>
            <w:tcW w:w="3283" w:type="pct"/>
            <w:vAlign w:val="center"/>
          </w:tcPr>
          <w:p>
            <w:pPr>
              <w:adjustRightInd w:val="0"/>
              <w:snapToGrid w:val="0"/>
              <w:spacing w:line="360" w:lineRule="auto"/>
              <w:ind w:right="-10"/>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在</w:t>
            </w:r>
            <w:r>
              <w:rPr>
                <w:rFonts w:hint="eastAsia" w:asciiTheme="minorEastAsia" w:hAnsiTheme="minorEastAsia" w:eastAsiaTheme="minorEastAsia"/>
                <w:color w:val="auto"/>
                <w:sz w:val="24"/>
                <w:szCs w:val="28"/>
                <w:highlight w:val="none"/>
                <w:lang w:eastAsia="zh-CN"/>
              </w:rPr>
              <w:t>谈判文件</w:t>
            </w:r>
            <w:r>
              <w:rPr>
                <w:rFonts w:hint="eastAsia" w:asciiTheme="minorEastAsia" w:hAnsiTheme="minorEastAsia" w:eastAsiaTheme="minorEastAsia"/>
                <w:color w:val="auto"/>
                <w:sz w:val="24"/>
                <w:szCs w:val="28"/>
                <w:highlight w:val="none"/>
              </w:rPr>
              <w:t>获取截止时间前完成</w:t>
            </w:r>
            <w:r>
              <w:rPr>
                <w:rFonts w:hint="eastAsia" w:asciiTheme="minorEastAsia" w:hAnsiTheme="minorEastAsia" w:eastAsiaTheme="minorEastAsia"/>
                <w:color w:val="auto"/>
                <w:sz w:val="24"/>
                <w:szCs w:val="28"/>
                <w:highlight w:val="none"/>
                <w:lang w:eastAsia="zh-CN"/>
              </w:rPr>
              <w:t>谈判文件</w:t>
            </w:r>
            <w:r>
              <w:rPr>
                <w:rFonts w:hint="eastAsia" w:asciiTheme="minorEastAsia" w:hAnsiTheme="minorEastAsia" w:eastAsiaTheme="minorEastAsia"/>
                <w:color w:val="auto"/>
                <w:sz w:val="24"/>
                <w:szCs w:val="28"/>
                <w:highlight w:val="none"/>
              </w:rPr>
              <w:t>获取</w:t>
            </w:r>
            <w:r>
              <w:rPr>
                <w:rFonts w:hint="eastAsia" w:cs="Times New Roman"/>
                <w:color w:val="auto"/>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8</w:t>
            </w:r>
          </w:p>
        </w:tc>
        <w:tc>
          <w:tcPr>
            <w:tcW w:w="1304" w:type="pct"/>
            <w:vAlign w:val="center"/>
          </w:tcPr>
          <w:p>
            <w:pPr>
              <w:adjustRightInd w:val="0"/>
              <w:snapToGrid w:val="0"/>
              <w:spacing w:line="360" w:lineRule="auto"/>
              <w:ind w:right="-10"/>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3283" w:type="pct"/>
            <w:vAlign w:val="center"/>
          </w:tcPr>
          <w:p>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w:t>
            </w:r>
            <w:r>
              <w:rPr>
                <w:rFonts w:hint="eastAsia" w:cs="Times New Roman"/>
                <w:color w:val="auto"/>
                <w:kern w:val="2"/>
                <w:sz w:val="24"/>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9</w:t>
            </w:r>
          </w:p>
        </w:tc>
        <w:tc>
          <w:tcPr>
            <w:tcW w:w="1304" w:type="pct"/>
            <w:vAlign w:val="center"/>
          </w:tcPr>
          <w:p>
            <w:pPr>
              <w:adjustRightInd w:val="0"/>
              <w:snapToGrid w:val="0"/>
              <w:spacing w:line="360" w:lineRule="auto"/>
              <w:ind w:right="-10"/>
              <w:rPr>
                <w:rFonts w:cs="Times New Roman"/>
                <w:color w:val="auto"/>
                <w:kern w:val="2"/>
                <w:sz w:val="24"/>
                <w:highlight w:val="none"/>
              </w:rPr>
            </w:pPr>
            <w:r>
              <w:rPr>
                <w:rFonts w:hint="eastAsia" w:cs="Times New Roman"/>
                <w:color w:val="auto"/>
                <w:kern w:val="2"/>
                <w:sz w:val="24"/>
                <w:highlight w:val="none"/>
                <w:lang w:eastAsia="zh-CN"/>
              </w:rPr>
              <w:t>谈判</w:t>
            </w:r>
            <w:r>
              <w:rPr>
                <w:rFonts w:hint="eastAsia" w:cs="Times New Roman"/>
                <w:color w:val="auto"/>
                <w:kern w:val="2"/>
                <w:sz w:val="24"/>
                <w:highlight w:val="none"/>
              </w:rPr>
              <w:t>保证金</w:t>
            </w:r>
          </w:p>
        </w:tc>
        <w:tc>
          <w:tcPr>
            <w:tcW w:w="3283" w:type="pct"/>
            <w:vAlign w:val="center"/>
          </w:tcPr>
          <w:p>
            <w:pPr>
              <w:adjustRightInd w:val="0"/>
              <w:snapToGrid w:val="0"/>
              <w:spacing w:line="360" w:lineRule="auto"/>
              <w:ind w:right="-10"/>
              <w:rPr>
                <w:rFonts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w:t>
            </w:r>
            <w:r>
              <w:rPr>
                <w:rFonts w:hint="eastAsia" w:cs="Times New Roman"/>
                <w:color w:val="auto"/>
                <w:kern w:val="2"/>
                <w:sz w:val="24"/>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vAlign w:val="center"/>
          </w:tcPr>
          <w:p>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10</w:t>
            </w:r>
          </w:p>
        </w:tc>
        <w:tc>
          <w:tcPr>
            <w:tcW w:w="1304" w:type="pct"/>
            <w:vAlign w:val="center"/>
          </w:tcPr>
          <w:p>
            <w:pPr>
              <w:adjustRightInd w:val="0"/>
              <w:snapToGrid w:val="0"/>
              <w:spacing w:line="360" w:lineRule="auto"/>
              <w:ind w:right="-10"/>
              <w:rPr>
                <w:rFonts w:hint="eastAsia" w:cs="Times New Roman"/>
                <w:color w:val="auto"/>
                <w:kern w:val="2"/>
                <w:sz w:val="24"/>
                <w:szCs w:val="22"/>
                <w:highlight w:val="none"/>
                <w:lang w:eastAsia="zh-CN"/>
              </w:rPr>
            </w:pPr>
            <w:r>
              <w:rPr>
                <w:rFonts w:hint="eastAsia" w:cs="Times New Roman"/>
                <w:color w:val="auto"/>
                <w:kern w:val="2"/>
                <w:sz w:val="24"/>
                <w:szCs w:val="22"/>
                <w:highlight w:val="none"/>
                <w:lang w:eastAsia="zh-CN"/>
              </w:rPr>
              <w:t>未出现异常情形</w:t>
            </w:r>
          </w:p>
        </w:tc>
        <w:tc>
          <w:tcPr>
            <w:tcW w:w="3283" w:type="pct"/>
            <w:vAlign w:val="center"/>
          </w:tcPr>
          <w:p>
            <w:pPr>
              <w:adjustRightInd w:val="0"/>
              <w:snapToGrid w:val="0"/>
              <w:spacing w:line="360" w:lineRule="auto"/>
              <w:ind w:right="-10"/>
              <w:rPr>
                <w:rFonts w:hint="eastAsia" w:cs="Times New Roman"/>
                <w:color w:val="auto"/>
                <w:kern w:val="2"/>
                <w:sz w:val="24"/>
                <w:szCs w:val="22"/>
                <w:highlight w:val="none"/>
                <w:lang w:eastAsia="zh-CN"/>
              </w:rPr>
            </w:pPr>
            <w:r>
              <w:rPr>
                <w:rFonts w:hint="eastAsia" w:cs="Times New Roman"/>
                <w:color w:val="auto"/>
                <w:kern w:val="2"/>
                <w:sz w:val="24"/>
                <w:szCs w:val="22"/>
                <w:highlight w:val="none"/>
                <w:lang w:eastAsia="zh-CN"/>
              </w:rPr>
              <w:t>不同投标人未出现使用相同的机器识别码进行投标的情</w:t>
            </w:r>
            <w:r>
              <w:rPr>
                <w:rFonts w:hint="eastAsia" w:cs="Times New Roman"/>
                <w:color w:val="auto"/>
                <w:kern w:val="2"/>
                <w:sz w:val="24"/>
                <w:szCs w:val="22"/>
                <w:highlight w:val="none"/>
                <w:lang w:val="en-US" w:eastAsia="zh-CN"/>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hint="eastAsia" w:eastAsia="宋体" w:cs="Times New Roman"/>
                <w:color w:val="auto"/>
                <w:kern w:val="2"/>
                <w:sz w:val="24"/>
                <w:highlight w:val="none"/>
                <w:lang w:val="en-US" w:eastAsia="zh-CN"/>
              </w:rPr>
            </w:pPr>
            <w:r>
              <w:rPr>
                <w:rFonts w:hint="eastAsia" w:cs="Times New Roman"/>
                <w:color w:val="auto"/>
                <w:kern w:val="2"/>
                <w:sz w:val="24"/>
                <w:highlight w:val="none"/>
              </w:rPr>
              <w:t>1</w:t>
            </w:r>
            <w:r>
              <w:rPr>
                <w:rFonts w:hint="eastAsia" w:cs="Times New Roman"/>
                <w:color w:val="auto"/>
                <w:kern w:val="2"/>
                <w:sz w:val="24"/>
                <w:highlight w:val="none"/>
                <w:lang w:val="en-US" w:eastAsia="zh-CN"/>
              </w:rPr>
              <w:t>1</w:t>
            </w:r>
          </w:p>
        </w:tc>
        <w:tc>
          <w:tcPr>
            <w:tcW w:w="1304" w:type="pct"/>
            <w:vAlign w:val="center"/>
          </w:tcPr>
          <w:p>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其他要求</w:t>
            </w:r>
          </w:p>
        </w:tc>
        <w:tc>
          <w:tcPr>
            <w:tcW w:w="3283" w:type="pct"/>
            <w:vAlign w:val="center"/>
          </w:tcPr>
          <w:p>
            <w:pPr>
              <w:adjustRightInd w:val="0"/>
              <w:snapToGrid w:val="0"/>
              <w:ind w:right="-10"/>
              <w:jc w:val="both"/>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符合谈判文件列明的其他要求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w:t>
            </w:r>
            <w:r>
              <w:rPr>
                <w:rFonts w:hint="eastAsia" w:ascii="Calibri" w:hAnsi="Calibri" w:cs="Times New Roman"/>
                <w:color w:val="auto"/>
                <w:kern w:val="2"/>
                <w:sz w:val="24"/>
                <w:szCs w:val="22"/>
                <w:highlight w:val="none"/>
                <w:lang w:eastAsia="zh-CN"/>
              </w:rPr>
              <w:t>投标人</w:t>
            </w:r>
            <w:r>
              <w:rPr>
                <w:rFonts w:hint="eastAsia" w:ascii="Calibri" w:hAnsi="Calibri" w:cs="Times New Roman"/>
                <w:color w:val="auto"/>
                <w:kern w:val="2"/>
                <w:sz w:val="24"/>
                <w:szCs w:val="22"/>
                <w:highlight w:val="none"/>
              </w:rPr>
              <w:t>必须通过上述全部指标。</w:t>
            </w:r>
          </w:p>
        </w:tc>
      </w:tr>
    </w:tbl>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必须通过初审表中的全部评审指标。</w:t>
      </w:r>
    </w:p>
    <w:p>
      <w:pPr>
        <w:spacing w:line="360" w:lineRule="auto"/>
        <w:ind w:firstLine="437"/>
        <w:outlineLvl w:val="1"/>
        <w:rPr>
          <w:rFonts w:hint="eastAsia" w:asciiTheme="minorEastAsia" w:hAnsiTheme="minorEastAsia" w:eastAsiaTheme="minorEastAsia"/>
          <w:b/>
          <w:color w:val="auto"/>
          <w:sz w:val="24"/>
          <w:highlight w:val="none"/>
          <w:lang w:val="en-US" w:eastAsia="zh-CN"/>
        </w:rPr>
      </w:pPr>
      <w:bookmarkStart w:id="18" w:name="_Toc11824"/>
      <w:r>
        <w:rPr>
          <w:rFonts w:hint="eastAsia" w:asciiTheme="minorEastAsia" w:hAnsiTheme="minorEastAsia" w:eastAsiaTheme="minorEastAsia"/>
          <w:b/>
          <w:color w:val="auto"/>
          <w:sz w:val="24"/>
          <w:highlight w:val="none"/>
          <w:lang w:val="en-US" w:eastAsia="zh-CN"/>
        </w:rPr>
        <w:t>三、评审程序</w:t>
      </w:r>
      <w:bookmarkEnd w:id="18"/>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rPr>
        <w:t>初审。</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对成功解密的投标文件按照</w:t>
      </w:r>
      <w:r>
        <w:rPr>
          <w:rFonts w:hint="eastAsia" w:asciiTheme="minorEastAsia" w:hAnsiTheme="minorEastAsia" w:eastAsiaTheme="minorEastAsia"/>
          <w:b w:val="0"/>
          <w:bCs/>
          <w:color w:val="auto"/>
          <w:sz w:val="24"/>
          <w:highlight w:val="none"/>
        </w:rPr>
        <w:t>初审表</w:t>
      </w:r>
      <w:r>
        <w:rPr>
          <w:rFonts w:hint="eastAsia" w:asciiTheme="minorEastAsia" w:hAnsiTheme="minorEastAsia" w:eastAsiaTheme="minorEastAsia"/>
          <w:b w:val="0"/>
          <w:bCs/>
          <w:color w:val="auto"/>
          <w:sz w:val="24"/>
          <w:highlight w:val="none"/>
          <w:lang w:val="en-US" w:eastAsia="zh-CN"/>
        </w:rPr>
        <w:t>进行评审，</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未实质性响应</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文件要求导致</w:t>
      </w:r>
      <w:r>
        <w:rPr>
          <w:rFonts w:hint="eastAsia" w:asciiTheme="minorEastAsia" w:hAnsiTheme="minorEastAsia" w:eastAsiaTheme="minorEastAsia"/>
          <w:b w:val="0"/>
          <w:bCs/>
          <w:color w:val="auto"/>
          <w:sz w:val="24"/>
          <w:highlight w:val="none"/>
          <w:lang w:eastAsia="zh-CN"/>
        </w:rPr>
        <w:t>投标无效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。初审合格后，</w:t>
      </w:r>
      <w:r>
        <w:rPr>
          <w:rFonts w:hint="eastAsia" w:asciiTheme="minorEastAsia" w:hAnsiTheme="minorEastAsia" w:eastAsiaTheme="minorEastAsia"/>
          <w:b w:val="0"/>
          <w:bCs/>
          <w:color w:val="auto"/>
          <w:sz w:val="24"/>
          <w:highlight w:val="none"/>
          <w:lang w:val="en-US" w:eastAsia="zh-CN"/>
        </w:rPr>
        <w:t>本项目谈判条件如有变化，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lang w:val="en-US" w:eastAsia="zh-CN"/>
        </w:rPr>
        <w:t>本项目谈判条件如无变化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对应轮次的报价</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则按上一轮次报价为准。</w:t>
      </w:r>
    </w:p>
    <w:p>
      <w:pPr>
        <w:spacing w:line="360" w:lineRule="auto"/>
        <w:ind w:firstLine="435"/>
        <w:outlineLvl w:val="1"/>
        <w:rPr>
          <w:rFonts w:asciiTheme="minorEastAsia" w:hAnsiTheme="minorEastAsia" w:eastAsiaTheme="minorEastAsia"/>
          <w:b w:val="0"/>
          <w:bCs/>
          <w:color w:val="auto"/>
          <w:sz w:val="24"/>
          <w:highlight w:val="none"/>
        </w:rPr>
      </w:pPr>
      <w:bookmarkStart w:id="19" w:name="_Toc15238"/>
      <w:r>
        <w:rPr>
          <w:rFonts w:hint="eastAsia" w:asciiTheme="minorEastAsia" w:hAnsiTheme="minorEastAsia" w:eastAsiaTheme="minorEastAsia"/>
          <w:b w:val="0"/>
          <w:bCs/>
          <w:color w:val="auto"/>
          <w:sz w:val="24"/>
          <w:highlight w:val="none"/>
          <w:lang w:val="en-US" w:eastAsia="zh-CN"/>
        </w:rPr>
        <w:t>四、</w:t>
      </w:r>
      <w:r>
        <w:rPr>
          <w:rFonts w:hint="eastAsia" w:asciiTheme="minorEastAsia" w:hAnsiTheme="minorEastAsia" w:eastAsiaTheme="minorEastAsia"/>
          <w:b w:val="0"/>
          <w:bCs/>
          <w:color w:val="auto"/>
          <w:sz w:val="24"/>
          <w:highlight w:val="none"/>
        </w:rPr>
        <w:t>相关说明。</w:t>
      </w:r>
      <w:bookmarkEnd w:id="19"/>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根据与</w:t>
      </w:r>
      <w:r>
        <w:rPr>
          <w:rFonts w:hint="eastAsia" w:asciiTheme="minorEastAsia" w:hAnsiTheme="minorEastAsia" w:eastAsiaTheme="minorEastAsia"/>
          <w:b w:val="0"/>
          <w:bCs/>
          <w:color w:val="auto"/>
          <w:sz w:val="24"/>
          <w:highlight w:val="none"/>
          <w:lang w:eastAsia="zh-CN"/>
        </w:rPr>
        <w:t>投标人谈判</w:t>
      </w:r>
      <w:r>
        <w:rPr>
          <w:rFonts w:asciiTheme="minorEastAsia" w:hAnsiTheme="minorEastAsia" w:eastAsiaTheme="minorEastAsia"/>
          <w:b w:val="0"/>
          <w:bCs/>
          <w:color w:val="auto"/>
          <w:sz w:val="24"/>
          <w:highlight w:val="none"/>
        </w:rPr>
        <w:t>情况可能实质性变动</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文件</w:t>
      </w:r>
      <w:r>
        <w:rPr>
          <w:rFonts w:asciiTheme="minorEastAsia" w:hAnsiTheme="minorEastAsia" w:eastAsiaTheme="minorEastAsia"/>
          <w:b w:val="0"/>
          <w:bCs/>
          <w:color w:val="auto"/>
          <w:sz w:val="24"/>
          <w:highlight w:val="none"/>
        </w:rPr>
        <w:t>的内容，包括</w:t>
      </w:r>
      <w:r>
        <w:rPr>
          <w:rFonts w:hint="eastAsia" w:asciiTheme="minorEastAsia" w:hAnsiTheme="minorEastAsia" w:eastAsiaTheme="minorEastAsia"/>
          <w:b w:val="0"/>
          <w:bCs/>
          <w:color w:val="auto"/>
          <w:sz w:val="24"/>
          <w:highlight w:val="none"/>
          <w:lang w:eastAsia="zh-CN"/>
        </w:rPr>
        <w:t>招标需求</w:t>
      </w:r>
      <w:r>
        <w:rPr>
          <w:rFonts w:asciiTheme="minorEastAsia" w:hAnsiTheme="minorEastAsia" w:eastAsiaTheme="minorEastAsia"/>
          <w:b w:val="0"/>
          <w:bCs/>
          <w:color w:val="auto"/>
          <w:sz w:val="24"/>
          <w:highlight w:val="none"/>
        </w:rPr>
        <w:t>中的技术、服务要求以及合同草案条款。</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文件有实质性变动的，</w:t>
      </w:r>
      <w:r>
        <w:rPr>
          <w:rFonts w:hint="eastAsia" w:asciiTheme="minorEastAsia" w:hAnsiTheme="minorEastAsia" w:eastAsiaTheme="minorEastAsia"/>
          <w:b w:val="0"/>
          <w:bCs/>
          <w:color w:val="auto"/>
          <w:sz w:val="24"/>
          <w:highlight w:val="none"/>
        </w:rPr>
        <w:t>经</w:t>
      </w:r>
      <w:r>
        <w:rPr>
          <w:rFonts w:hint="eastAsia" w:asciiTheme="minorEastAsia" w:hAnsiTheme="minorEastAsia" w:eastAsiaTheme="minorEastAsia"/>
          <w:b w:val="0"/>
          <w:bCs/>
          <w:color w:val="auto"/>
          <w:sz w:val="24"/>
          <w:highlight w:val="none"/>
          <w:lang w:eastAsia="zh-CN"/>
        </w:rPr>
        <w:t>招标人</w:t>
      </w:r>
      <w:r>
        <w:rPr>
          <w:rFonts w:hint="eastAsia" w:asciiTheme="minorEastAsia" w:hAnsiTheme="minorEastAsia" w:eastAsiaTheme="minorEastAsia"/>
          <w:b w:val="0"/>
          <w:bCs/>
          <w:color w:val="auto"/>
          <w:sz w:val="24"/>
          <w:highlight w:val="none"/>
        </w:rPr>
        <w:t>代表确认作为</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文件的有效组成部分，</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通知所有参加</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发现</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的报价或者某些分项报价明显低于其他通过初审的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的报价，有可能影响产品质量和不能诚信履约的，应当要求其在合理的时间内</w:t>
      </w:r>
      <w:r>
        <w:rPr>
          <w:rFonts w:hint="eastAsia" w:asciiTheme="minorEastAsia" w:hAnsiTheme="minorEastAsia" w:eastAsiaTheme="minorEastAsia"/>
          <w:b w:val="0"/>
          <w:bCs/>
          <w:color w:val="auto"/>
          <w:sz w:val="24"/>
          <w:highlight w:val="none"/>
          <w:lang w:val="en-US" w:eastAsia="zh-CN"/>
        </w:rPr>
        <w:t>按要求</w:t>
      </w:r>
      <w:r>
        <w:rPr>
          <w:rFonts w:asciiTheme="minorEastAsia" w:hAnsiTheme="minorEastAsia" w:eastAsiaTheme="minorEastAsia"/>
          <w:b w:val="0"/>
          <w:bCs/>
          <w:color w:val="auto"/>
          <w:sz w:val="24"/>
          <w:highlight w:val="none"/>
        </w:rPr>
        <w:t>提供说明，必要时提交相关证明材料；</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不能证明其报价合理性的，其</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将被认定为</w:t>
      </w:r>
      <w:r>
        <w:rPr>
          <w:rFonts w:hint="eastAsia" w:asciiTheme="minorEastAsia" w:hAnsiTheme="minorEastAsia" w:eastAsiaTheme="minorEastAsia"/>
          <w:b w:val="0"/>
          <w:bCs/>
          <w:color w:val="auto"/>
          <w:sz w:val="24"/>
          <w:highlight w:val="none"/>
          <w:lang w:eastAsia="zh-CN"/>
        </w:rPr>
        <w:t>投标无效</w:t>
      </w:r>
      <w:r>
        <w:rPr>
          <w:rFonts w:asciiTheme="minorEastAsia" w:hAnsiTheme="minorEastAsia" w:eastAsiaTheme="minorEastAsia"/>
          <w:b w:val="0"/>
          <w:bCs/>
          <w:color w:val="auto"/>
          <w:sz w:val="24"/>
          <w:highlight w:val="none"/>
        </w:rPr>
        <w:t>。</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无论何种原因，即使</w:t>
      </w:r>
      <w:r>
        <w:rPr>
          <w:rFonts w:hint="eastAsia" w:asciiTheme="minorEastAsia" w:hAnsiTheme="minorEastAsia" w:eastAsiaTheme="minorEastAsia"/>
          <w:b w:val="0"/>
          <w:bCs/>
          <w:color w:val="auto"/>
          <w:sz w:val="24"/>
          <w:highlight w:val="none"/>
          <w:lang w:eastAsia="zh-CN"/>
        </w:rPr>
        <w:t>投标人谈判</w:t>
      </w:r>
      <w:r>
        <w:rPr>
          <w:rFonts w:asciiTheme="minorEastAsia" w:hAnsiTheme="minorEastAsia" w:eastAsiaTheme="minorEastAsia"/>
          <w:b w:val="0"/>
          <w:bCs/>
          <w:color w:val="auto"/>
          <w:sz w:val="24"/>
          <w:highlight w:val="none"/>
        </w:rPr>
        <w:t>时携带了证书材料的原件，但</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中未提供与之内容完全一致的</w:t>
      </w:r>
      <w:r>
        <w:rPr>
          <w:rFonts w:hint="eastAsia" w:asciiTheme="minorEastAsia" w:hAnsiTheme="minorEastAsia" w:eastAsiaTheme="minorEastAsia"/>
          <w:b w:val="0"/>
          <w:bCs/>
          <w:color w:val="auto"/>
          <w:sz w:val="24"/>
          <w:highlight w:val="none"/>
        </w:rPr>
        <w:t>扫描件</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可以视同其未提供。</w:t>
      </w:r>
    </w:p>
    <w:p>
      <w:pPr>
        <w:pStyle w:val="4"/>
        <w:rPr>
          <w:color w:val="auto"/>
          <w:highlight w:val="none"/>
        </w:rPr>
      </w:pP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pStyle w:val="3"/>
        <w:numPr>
          <w:ilvl w:val="0"/>
          <w:numId w:val="6"/>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color w:val="auto"/>
          <w:sz w:val="28"/>
          <w:highlight w:val="none"/>
        </w:rPr>
        <w:t xml:space="preserve"> </w:t>
      </w:r>
      <w:bookmarkStart w:id="20" w:name="_Toc31128"/>
      <w:r>
        <w:rPr>
          <w:rFonts w:ascii="Times New Roman" w:hAnsi="Times New Roman" w:eastAsia="宋体"/>
          <w:caps w:val="0"/>
          <w:smallCaps w:val="0"/>
          <w:color w:val="auto"/>
          <w:highlight w:val="none"/>
        </w:rPr>
        <w:t>合同</w:t>
      </w:r>
      <w:r>
        <w:rPr>
          <w:rFonts w:hint="eastAsia" w:ascii="Times New Roman" w:hAnsi="Times New Roman"/>
          <w:caps w:val="0"/>
          <w:smallCaps w:val="0"/>
          <w:color w:val="auto"/>
          <w:highlight w:val="none"/>
          <w:lang w:eastAsia="zh-CN"/>
        </w:rPr>
        <w:t>格式</w:t>
      </w:r>
      <w:bookmarkEnd w:id="20"/>
    </w:p>
    <w:p>
      <w:pPr>
        <w:widowControl/>
        <w:shd w:val="clear" w:color="auto" w:fill="FFFFFF"/>
        <w:jc w:val="center"/>
        <w:rPr>
          <w:rFonts w:hint="eastAsia" w:asciiTheme="minorEastAsia" w:hAnsiTheme="minorEastAsia" w:eastAsiaTheme="minorEastAsia"/>
          <w:b/>
          <w:color w:val="auto"/>
          <w:sz w:val="32"/>
        </w:rPr>
      </w:pPr>
      <w:r>
        <w:rPr>
          <w:rFonts w:hint="eastAsia" w:asciiTheme="minorEastAsia" w:hAnsiTheme="minorEastAsia" w:eastAsiaTheme="minorEastAsia"/>
          <w:b/>
          <w:color w:val="auto"/>
          <w:sz w:val="32"/>
        </w:rPr>
        <w:t>百大心悦城京东奥莱区域墙体拆除及内装工程合同</w:t>
      </w:r>
    </w:p>
    <w:p>
      <w:pPr>
        <w:widowControl/>
        <w:shd w:val="clear" w:color="auto" w:fill="FFFFFF"/>
        <w:jc w:val="center"/>
        <w:rPr>
          <w:rFonts w:hint="eastAsia" w:asciiTheme="minorEastAsia" w:hAnsiTheme="minorEastAsia" w:eastAsiaTheme="minorEastAsia"/>
          <w:b/>
          <w:color w:val="auto"/>
          <w:sz w:val="32"/>
        </w:rPr>
      </w:pPr>
    </w:p>
    <w:p>
      <w:pPr>
        <w:pStyle w:val="176"/>
        <w:keepNext w:val="0"/>
        <w:pageBreakBefore w:val="0"/>
        <w:widowControl/>
        <w:kinsoku/>
        <w:wordWrap/>
        <w:topLinePunct w:val="0"/>
        <w:bidi w:val="0"/>
        <w:adjustRightInd w:val="0"/>
        <w:snapToGrid w:val="0"/>
        <w:spacing w:line="360" w:lineRule="auto"/>
        <w:rPr>
          <w:rFonts w:hint="eastAsia" w:asciiTheme="minorEastAsia" w:hAnsiTheme="minorEastAsia" w:eastAsiaTheme="minorEastAsia" w:cstheme="minorEastAsia"/>
          <w:b/>
          <w:bCs w:val="0"/>
          <w:color w:val="auto"/>
          <w:kern w:val="2"/>
          <w:sz w:val="24"/>
          <w:szCs w:val="24"/>
          <w:highlight w:val="none"/>
          <w:u w:val="single"/>
        </w:rPr>
      </w:pPr>
      <w:r>
        <w:rPr>
          <w:rFonts w:hint="eastAsia" w:asciiTheme="minorEastAsia" w:hAnsiTheme="minorEastAsia" w:eastAsiaTheme="minorEastAsia" w:cstheme="minorEastAsia"/>
          <w:b/>
          <w:bCs w:val="0"/>
          <w:color w:val="auto"/>
          <w:kern w:val="2"/>
          <w:sz w:val="24"/>
          <w:szCs w:val="24"/>
          <w:highlight w:val="none"/>
        </w:rPr>
        <w:t>发包人（甲方）：</w:t>
      </w:r>
      <w:r>
        <w:rPr>
          <w:rFonts w:hint="eastAsia" w:asciiTheme="minorEastAsia" w:hAnsiTheme="minorEastAsia" w:eastAsiaTheme="minorEastAsia" w:cstheme="minorEastAsia"/>
          <w:b/>
          <w:bCs w:val="0"/>
          <w:color w:val="auto"/>
          <w:kern w:val="2"/>
          <w:sz w:val="24"/>
          <w:szCs w:val="24"/>
          <w:highlight w:val="none"/>
          <w:lang w:val="en-US" w:eastAsia="zh-CN"/>
        </w:rPr>
        <w:t xml:space="preserve"> </w:t>
      </w:r>
      <w:r>
        <w:rPr>
          <w:rFonts w:hint="eastAsia" w:asciiTheme="minorEastAsia" w:hAnsiTheme="minorEastAsia" w:eastAsiaTheme="minorEastAsia" w:cstheme="minorEastAsia"/>
          <w:b/>
          <w:bCs w:val="0"/>
          <w:color w:val="auto"/>
          <w:kern w:val="2"/>
          <w:sz w:val="24"/>
          <w:szCs w:val="24"/>
          <w:highlight w:val="none"/>
          <w:u w:val="single"/>
        </w:rPr>
        <w:t xml:space="preserve"> </w:t>
      </w:r>
      <w:r>
        <w:rPr>
          <w:rFonts w:hint="eastAsia" w:asciiTheme="minorEastAsia" w:hAnsiTheme="minorEastAsia" w:eastAsiaTheme="minorEastAsia" w:cstheme="minorEastAsia"/>
          <w:b/>
          <w:bCs w:val="0"/>
          <w:color w:val="auto"/>
          <w:kern w:val="2"/>
          <w:sz w:val="24"/>
          <w:szCs w:val="24"/>
          <w:highlight w:val="none"/>
          <w:u w:val="single"/>
          <w:lang w:eastAsia="zh-CN"/>
        </w:rPr>
        <w:t>合肥百货大楼集团股份有限公司滨湖心悦城购物中心</w:t>
      </w:r>
    </w:p>
    <w:p>
      <w:pPr>
        <w:pStyle w:val="176"/>
        <w:keepNext w:val="0"/>
        <w:pageBreakBefore w:val="0"/>
        <w:widowControl/>
        <w:kinsoku/>
        <w:wordWrap/>
        <w:topLinePunct w:val="0"/>
        <w:bidi w:val="0"/>
        <w:adjustRightInd w:val="0"/>
        <w:snapToGrid w:val="0"/>
        <w:spacing w:line="360" w:lineRule="auto"/>
        <w:rPr>
          <w:rFonts w:hint="eastAsia" w:asciiTheme="minorEastAsia" w:hAnsiTheme="minorEastAsia" w:eastAsiaTheme="minorEastAsia" w:cstheme="minorEastAsia"/>
          <w:b/>
          <w:bCs w:val="0"/>
          <w:color w:val="auto"/>
          <w:kern w:val="2"/>
          <w:sz w:val="24"/>
          <w:szCs w:val="24"/>
          <w:highlight w:val="none"/>
          <w:u w:val="single"/>
        </w:rPr>
      </w:pPr>
      <w:r>
        <w:rPr>
          <w:rFonts w:hint="eastAsia" w:asciiTheme="minorEastAsia" w:hAnsiTheme="minorEastAsia" w:eastAsiaTheme="minorEastAsia" w:cstheme="minorEastAsia"/>
          <w:b/>
          <w:bCs w:val="0"/>
          <w:color w:val="auto"/>
          <w:kern w:val="2"/>
          <w:sz w:val="24"/>
          <w:szCs w:val="24"/>
          <w:highlight w:val="none"/>
        </w:rPr>
        <w:t>承包人（乙方）：</w:t>
      </w:r>
      <w:r>
        <w:rPr>
          <w:rFonts w:hint="eastAsia" w:asciiTheme="minorEastAsia" w:hAnsiTheme="minorEastAsia" w:eastAsiaTheme="minorEastAsia" w:cstheme="minorEastAsia"/>
          <w:b/>
          <w:bCs w:val="0"/>
          <w:color w:val="auto"/>
          <w:kern w:val="2"/>
          <w:sz w:val="24"/>
          <w:szCs w:val="24"/>
          <w:highlight w:val="none"/>
          <w:u w:val="single"/>
        </w:rPr>
        <w:t xml:space="preserve">                                       </w:t>
      </w:r>
    </w:p>
    <w:p>
      <w:pPr>
        <w:pStyle w:val="176"/>
        <w:keepNext w:val="0"/>
        <w:pageBreakBefore w:val="0"/>
        <w:widowControl/>
        <w:kinsoku/>
        <w:wordWrap/>
        <w:topLinePunct w:val="0"/>
        <w:bidi w:val="0"/>
        <w:adjustRightInd w:val="0"/>
        <w:snapToGrid w:val="0"/>
        <w:spacing w:line="360" w:lineRule="auto"/>
        <w:ind w:left="0"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 </w:t>
      </w:r>
    </w:p>
    <w:p>
      <w:pPr>
        <w:pStyle w:val="176"/>
        <w:keepNext w:val="0"/>
        <w:pageBreakBefore w:val="0"/>
        <w:widowControl/>
        <w:kinsoku/>
        <w:wordWrap/>
        <w:topLinePunct w:val="0"/>
        <w:bidi w:val="0"/>
        <w:adjustRightInd w:val="0"/>
        <w:snapToGrid w:val="0"/>
        <w:spacing w:line="360" w:lineRule="auto"/>
        <w:ind w:left="0"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根据《中华人民共和国民法典》《中华人民共和国建筑法》及有关法律规定，遵循平等、自愿、公平和诚实信用的原则，</w:t>
      </w:r>
      <w:r>
        <w:rPr>
          <w:rFonts w:ascii="Times New Roman" w:hAnsi="Times New Roman" w:cs="Times New Roman"/>
          <w:color w:val="auto"/>
          <w:sz w:val="24"/>
          <w:szCs w:val="21"/>
        </w:rPr>
        <w:t>，双方就施工及有关事项协商一致</w:t>
      </w:r>
      <w:r>
        <w:rPr>
          <w:rFonts w:hint="eastAsia" w:asciiTheme="minorEastAsia" w:hAnsiTheme="minorEastAsia" w:eastAsiaTheme="minorEastAsia" w:cstheme="minorEastAsia"/>
          <w:color w:val="auto"/>
          <w:kern w:val="2"/>
          <w:sz w:val="24"/>
          <w:szCs w:val="24"/>
          <w:highlight w:val="none"/>
        </w:rPr>
        <w:t>，共同达成如下协议：</w:t>
      </w:r>
    </w:p>
    <w:p>
      <w:pPr>
        <w:pStyle w:val="176"/>
        <w:keepNext w:val="0"/>
        <w:pageBreakBefore w:val="0"/>
        <w:widowControl/>
        <w:kinsoku/>
        <w:wordWrap/>
        <w:topLinePunct w:val="0"/>
        <w:bidi w:val="0"/>
        <w:adjustRightInd w:val="0"/>
        <w:snapToGrid w:val="0"/>
        <w:spacing w:line="360" w:lineRule="auto"/>
        <w:ind w:left="0" w:firstLine="482" w:firstLineChars="200"/>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一、工程概况</w:t>
      </w:r>
    </w:p>
    <w:p>
      <w:pPr>
        <w:pStyle w:val="176"/>
        <w:keepNext w:val="0"/>
        <w:pageBreakBefore w:val="0"/>
        <w:widowControl/>
        <w:kinsoku/>
        <w:wordWrap/>
        <w:topLinePunct w:val="0"/>
        <w:bidi w:val="0"/>
        <w:adjustRightInd w:val="0"/>
        <w:snapToGrid w:val="0"/>
        <w:spacing w:line="360" w:lineRule="auto"/>
        <w:ind w:left="0" w:firstLine="480" w:firstLineChars="200"/>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rPr>
        <w:t>1.工程名称：</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百大心悦城京东奥莱区域墙体拆除及内装工程                   </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 xml:space="preserve">2.工程地点：   合肥市包河区包河大道与紫云路交叉口西北角                </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 xml:space="preserve">3.工程范围和内容： 拆除京东奥莱租赁区域内的原商铺的隔墙、水电线路，负二层车库的机械车位，混凝土回填，地面硬化，画车位线  京东奥莱装修区域的装饰装修等                                    </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 xml:space="preserve">4.工程承包方式：  专业施工专业承包             </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bCs/>
          <w:color w:val="auto"/>
          <w:kern w:val="2"/>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
        </w:rPr>
        <w:t>5.合同签订地点：</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合肥市             </w:t>
      </w:r>
      <w:r>
        <w:rPr>
          <w:rFonts w:hint="eastAsia" w:asciiTheme="minorEastAsia" w:hAnsiTheme="minorEastAsia" w:eastAsiaTheme="minorEastAsia" w:cstheme="minorEastAsia"/>
          <w:bCs/>
          <w:color w:val="auto"/>
          <w:kern w:val="2"/>
          <w:sz w:val="24"/>
          <w:szCs w:val="24"/>
          <w:highlight w:val="none"/>
          <w:lang w:val="en-US" w:eastAsia="zh-CN" w:bidi="ar"/>
        </w:rPr>
        <w:t xml:space="preserve"> </w:t>
      </w:r>
    </w:p>
    <w:p>
      <w:pPr>
        <w:widowControl/>
        <w:shd w:val="clear" w:color="auto" w:fill="FFFFFF"/>
        <w:snapToGrid w:val="0"/>
        <w:spacing w:line="480" w:lineRule="auto"/>
        <w:ind w:firstLine="326"/>
        <w:jc w:val="left"/>
        <w:rPr>
          <w:rFonts w:cs="宋体"/>
          <w:b/>
          <w:color w:val="auto"/>
          <w:sz w:val="24"/>
        </w:rPr>
      </w:pPr>
      <w:r>
        <w:rPr>
          <w:rFonts w:hint="eastAsia" w:cs="宋体"/>
          <w:b/>
          <w:color w:val="auto"/>
          <w:sz w:val="24"/>
        </w:rPr>
        <w:t>二、工期及质量</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 xml:space="preserve">1、计划开工日期：  年  月 </w:t>
      </w:r>
      <w:r>
        <w:rPr>
          <w:rFonts w:hint="eastAsia" w:cs="宋体"/>
          <w:color w:val="auto"/>
          <w:sz w:val="24"/>
          <w:lang w:val="en-US" w:eastAsia="zh-CN"/>
        </w:rPr>
        <w:t xml:space="preserve"> </w:t>
      </w:r>
      <w:r>
        <w:rPr>
          <w:rFonts w:hint="eastAsia" w:cs="宋体"/>
          <w:color w:val="auto"/>
          <w:sz w:val="24"/>
        </w:rPr>
        <w:t>日，计划竣工日期：年 月 日，工期总日历天数为：</w:t>
      </w:r>
      <w:r>
        <w:rPr>
          <w:rFonts w:hint="eastAsia" w:cs="宋体"/>
          <w:color w:val="auto"/>
          <w:sz w:val="24"/>
          <w:lang w:val="en-US" w:eastAsia="zh-CN"/>
        </w:rPr>
        <w:t xml:space="preserve">20 </w:t>
      </w:r>
      <w:r>
        <w:rPr>
          <w:rFonts w:hint="eastAsia" w:cs="宋体"/>
          <w:color w:val="auto"/>
          <w:sz w:val="24"/>
        </w:rPr>
        <w:t>天。工期总日历天数与根据前述计划开竣工日期计算的工期天数不一致的，以工期总日历天数为准。</w:t>
      </w:r>
    </w:p>
    <w:p>
      <w:pPr>
        <w:widowControl/>
        <w:shd w:val="clear" w:color="auto" w:fill="FFFFFF"/>
        <w:snapToGrid w:val="0"/>
        <w:spacing w:line="480" w:lineRule="auto"/>
        <w:ind w:firstLine="480" w:firstLineChars="200"/>
        <w:jc w:val="left"/>
        <w:rPr>
          <w:rFonts w:cs="宋体"/>
          <w:b/>
          <w:color w:val="auto"/>
          <w:sz w:val="24"/>
        </w:rPr>
      </w:pPr>
      <w:r>
        <w:rPr>
          <w:rFonts w:hint="eastAsia" w:cs="宋体"/>
          <w:color w:val="auto"/>
          <w:sz w:val="24"/>
        </w:rPr>
        <w:t>2、因发包人未按约定完成工作，影响工期，工期顺延，但承包人不得要求工期顺延导致的窝工或停工补偿。</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3、因承包人责任，不能按期开工或中途无故停工，影响工期，工期不顺延。</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4、实际开工时间以发包人或监理单位签发的开工令为准。</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5、实际竣工时间以竣工验收合格，并完成竣工备案（如需），并</w:t>
      </w:r>
      <w:bookmarkStart w:id="21" w:name="OLE_LINK3"/>
      <w:bookmarkStart w:id="22" w:name="OLE_LINK2"/>
      <w:r>
        <w:rPr>
          <w:rFonts w:hint="eastAsia" w:cs="宋体"/>
          <w:color w:val="auto"/>
          <w:sz w:val="24"/>
        </w:rPr>
        <w:t>取得负责监督本工程的工程质量监督机构出具的工程质量监督报告认为工程质量合格（如需）</w:t>
      </w:r>
      <w:bookmarkEnd w:id="21"/>
      <w:bookmarkEnd w:id="22"/>
      <w:r>
        <w:rPr>
          <w:rFonts w:hint="eastAsia" w:cs="宋体"/>
          <w:color w:val="auto"/>
          <w:sz w:val="24"/>
        </w:rPr>
        <w:t xml:space="preserve">以及消防主管部门确认消防工程合格的书面文件（如需）为准。 </w:t>
      </w:r>
    </w:p>
    <w:p>
      <w:pPr>
        <w:snapToGrid w:val="0"/>
        <w:spacing w:line="480" w:lineRule="auto"/>
        <w:ind w:firstLine="480" w:firstLineChars="200"/>
        <w:rPr>
          <w:rFonts w:cs="宋体"/>
          <w:color w:val="auto"/>
          <w:sz w:val="24"/>
        </w:rPr>
      </w:pPr>
      <w:r>
        <w:rPr>
          <w:rFonts w:hint="eastAsia" w:cs="宋体"/>
          <w:color w:val="auto"/>
          <w:sz w:val="24"/>
        </w:rPr>
        <w:t>6、工程质量：合格</w:t>
      </w:r>
    </w:p>
    <w:p>
      <w:pPr>
        <w:widowControl/>
        <w:shd w:val="clear" w:color="auto" w:fill="FFFFFF"/>
        <w:snapToGrid w:val="0"/>
        <w:spacing w:line="480" w:lineRule="auto"/>
        <w:ind w:firstLine="482" w:firstLineChars="200"/>
        <w:jc w:val="left"/>
        <w:rPr>
          <w:rFonts w:hint="eastAsia" w:eastAsia="宋体" w:cs="宋体"/>
          <w:b/>
          <w:color w:val="auto"/>
          <w:sz w:val="24"/>
          <w:lang w:eastAsia="zh-CN"/>
        </w:rPr>
      </w:pPr>
      <w:r>
        <w:rPr>
          <w:rFonts w:hint="eastAsia" w:cs="宋体"/>
          <w:b/>
          <w:color w:val="auto"/>
          <w:sz w:val="24"/>
        </w:rPr>
        <w:t>三、结算</w:t>
      </w:r>
      <w:r>
        <w:rPr>
          <w:rFonts w:hint="eastAsia" w:cs="宋体"/>
          <w:b/>
          <w:color w:val="auto"/>
          <w:sz w:val="24"/>
          <w:lang w:eastAsia="zh-CN"/>
        </w:rPr>
        <w:t>、付款方式、合同费率</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lang w:val="en-US" w:eastAsia="zh-CN"/>
        </w:rPr>
        <w:t>3</w:t>
      </w:r>
      <w:r>
        <w:rPr>
          <w:rFonts w:hint="eastAsia" w:cs="宋体"/>
          <w:color w:val="auto"/>
          <w:sz w:val="24"/>
        </w:rPr>
        <w:t>.1 结算依据</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项目工程结算和审计采用《安徽省建设工程量清单计价规范（2018版）》，即《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人工费调整执行合肥市造价站最新相关文件规定；材料价格（包括推荐品牌的材料）按合肥市造价站发布的市场价格信息正刊（执行月份按工程合同签订前一个月）执行，无市场价格信息的材料，参照合肥市造价站发布的市场价格信息同类价格，既无市场价格信息又无法参照的材料，由建设单位、施工单位、监理单位（如有）、跟踪审计单位（如有）成立询价小组，取费程序及标准执行合肥市造价站的规定</w:t>
      </w:r>
      <w:r>
        <w:rPr>
          <w:rFonts w:hint="eastAsia" w:cs="宋体"/>
          <w:color w:val="auto"/>
          <w:sz w:val="24"/>
          <w:lang w:val="en-US" w:eastAsia="zh-CN"/>
        </w:rPr>
        <w:t>询价</w:t>
      </w:r>
      <w:r>
        <w:rPr>
          <w:rFonts w:hint="eastAsia" w:cs="宋体"/>
          <w:color w:val="auto"/>
          <w:sz w:val="24"/>
        </w:rPr>
        <w:t>。</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双方约定合同价款的其他调整因素：</w:t>
      </w:r>
      <w:r>
        <w:rPr>
          <w:rFonts w:hint="eastAsia" w:cs="宋体"/>
          <w:color w:val="auto"/>
          <w:sz w:val="24"/>
          <w:lang w:val="en-US" w:eastAsia="zh-CN"/>
        </w:rPr>
        <w:t>无</w:t>
      </w:r>
      <w:r>
        <w:rPr>
          <w:rFonts w:hint="eastAsia" w:cs="宋体"/>
          <w:color w:val="auto"/>
          <w:sz w:val="24"/>
        </w:rPr>
        <w:t xml:space="preserve">          </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lang w:val="en-US" w:eastAsia="zh-CN"/>
        </w:rPr>
        <w:t>3</w:t>
      </w:r>
      <w:r>
        <w:rPr>
          <w:rFonts w:hint="eastAsia" w:cs="宋体"/>
          <w:color w:val="auto"/>
          <w:sz w:val="24"/>
        </w:rPr>
        <w:t>.2结算方式</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施工单位应当在项目竣工验收完成并交付后1个月内，向建设单位提交竣工结算书，送审金额为施工单位依据实际完成工程量（图纸变更部分须附建设单位签发的工程变更通知书及经建设单位审批的经济签证单），按照</w:t>
      </w:r>
      <w:r>
        <w:rPr>
          <w:rFonts w:hint="eastAsia" w:cs="宋体"/>
          <w:color w:val="auto"/>
          <w:sz w:val="24"/>
          <w:lang w:val="en-US" w:eastAsia="zh-CN"/>
        </w:rPr>
        <w:t>3</w:t>
      </w:r>
      <w:r>
        <w:rPr>
          <w:rFonts w:hint="eastAsia" w:cs="宋体"/>
          <w:color w:val="auto"/>
          <w:sz w:val="24"/>
        </w:rPr>
        <w:t>.1结算依据规定的结算方式，计算出的工程造价乘以结算费率。</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工程最终结算价为甲方委托的第三方结算审计单位根据实际完成工程量及</w:t>
      </w:r>
      <w:r>
        <w:rPr>
          <w:rFonts w:hint="eastAsia" w:cs="宋体"/>
          <w:color w:val="auto"/>
          <w:sz w:val="24"/>
          <w:lang w:val="en-US" w:eastAsia="zh-CN"/>
        </w:rPr>
        <w:t>3</w:t>
      </w:r>
      <w:r>
        <w:rPr>
          <w:rFonts w:hint="eastAsia" w:cs="宋体"/>
          <w:color w:val="auto"/>
          <w:sz w:val="24"/>
        </w:rPr>
        <w:t>.1结算依据规定的结算方式，对施工单位提交的竣工结算书进行量价审核，并出具的结算审计成果文件中确定的审定金额。</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lang w:val="en-US" w:eastAsia="zh-CN"/>
        </w:rPr>
        <w:t>3</w:t>
      </w:r>
      <w:r>
        <w:rPr>
          <w:rFonts w:hint="eastAsia" w:cs="宋体"/>
          <w:color w:val="auto"/>
          <w:sz w:val="24"/>
        </w:rPr>
        <w:t>.3付款方式</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建设单位不付预付款，乙方无需提供预付款保函。项目竣工验收合格、完成移交并满足以下条件后，建设单位支付至工程项目已完工程量价款*结算费率*80%</w:t>
      </w:r>
      <w:r>
        <w:rPr>
          <w:rFonts w:hint="eastAsia" w:cs="宋体"/>
          <w:color w:val="auto"/>
          <w:sz w:val="24"/>
          <w:lang w:eastAsia="zh-CN"/>
        </w:rPr>
        <w:t>，</w:t>
      </w:r>
      <w:r>
        <w:rPr>
          <w:rFonts w:hint="eastAsia" w:cs="宋体"/>
          <w:color w:val="auto"/>
          <w:sz w:val="24"/>
          <w:lang w:val="en-US" w:eastAsia="zh-CN"/>
        </w:rPr>
        <w:t>其中</w:t>
      </w:r>
      <w:r>
        <w:rPr>
          <w:rFonts w:hint="eastAsia" w:cs="宋体"/>
          <w:color w:val="auto"/>
          <w:sz w:val="24"/>
        </w:rPr>
        <w:t>通过市场询价得到的材料费用不下浮（仅计取税金）</w:t>
      </w:r>
      <w:r>
        <w:rPr>
          <w:rFonts w:hint="eastAsia" w:cs="宋体"/>
          <w:color w:val="auto"/>
          <w:sz w:val="24"/>
          <w:lang w:eastAsia="zh-CN"/>
        </w:rPr>
        <w:t>。</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a、工程竣工验收合格，并完成竣工备案（如需）；</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b、负责监督本工程的工程质量监督机构出具的工程质量监督报告认为工程质量合格（如需）；</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c、取得消防主管部门确认消防工程合格的书面文件（如需）；</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d、中标人提交项目竣工结算书（含软件版）</w:t>
      </w:r>
      <w:r>
        <w:rPr>
          <w:rFonts w:hint="eastAsia" w:cs="宋体"/>
          <w:color w:val="auto"/>
          <w:sz w:val="24"/>
          <w:lang w:eastAsia="zh-CN"/>
        </w:rPr>
        <w:t>、</w:t>
      </w:r>
      <w:r>
        <w:rPr>
          <w:rFonts w:hint="eastAsia" w:cs="宋体"/>
          <w:color w:val="auto"/>
          <w:sz w:val="24"/>
        </w:rPr>
        <w:t>无农民工工资拖欠证明。</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结算审计定案后付至工程最终结算价的97%，剩余3%作为项目质保金待缺陷责任期（24个月）满后退还。质保期为工程验收合格后2年，有防水要求的为5年，具体详见《工程质量保修书》。</w:t>
      </w:r>
    </w:p>
    <w:p>
      <w:pPr>
        <w:snapToGrid w:val="0"/>
        <w:spacing w:line="480" w:lineRule="auto"/>
        <w:ind w:firstLine="480" w:firstLineChars="200"/>
        <w:rPr>
          <w:rFonts w:hint="eastAsia" w:cs="宋体"/>
          <w:color w:val="auto"/>
          <w:sz w:val="24"/>
        </w:rPr>
      </w:pPr>
      <w:r>
        <w:rPr>
          <w:rFonts w:hint="eastAsia" w:cs="宋体"/>
          <w:color w:val="auto"/>
          <w:sz w:val="24"/>
          <w:lang w:val="en-US" w:eastAsia="zh-CN"/>
        </w:rPr>
        <w:t>3.4</w:t>
      </w:r>
      <w:r>
        <w:rPr>
          <w:rFonts w:hint="eastAsia" w:cs="宋体"/>
          <w:color w:val="auto"/>
          <w:sz w:val="24"/>
        </w:rPr>
        <w:t>、发包人每次付款前承包人应向发包人开具并交付同等金额</w:t>
      </w:r>
      <w:r>
        <w:rPr>
          <w:rFonts w:hint="eastAsia" w:cs="宋体"/>
          <w:color w:val="auto"/>
          <w:sz w:val="24"/>
          <w:u w:val="single"/>
        </w:rPr>
        <w:t xml:space="preserve"> </w:t>
      </w:r>
      <w:r>
        <w:rPr>
          <w:rFonts w:hint="eastAsia" w:cs="宋体"/>
          <w:color w:val="auto"/>
          <w:sz w:val="24"/>
          <w:u w:val="single"/>
          <w:lang w:val="en-US" w:eastAsia="zh-CN"/>
        </w:rPr>
        <w:t>9</w:t>
      </w:r>
      <w:r>
        <w:rPr>
          <w:rFonts w:hint="eastAsia" w:cs="宋体"/>
          <w:color w:val="auto"/>
          <w:sz w:val="24"/>
          <w:u w:val="single"/>
        </w:rPr>
        <w:t>%</w:t>
      </w:r>
      <w:r>
        <w:rPr>
          <w:rFonts w:hint="eastAsia" w:cs="宋体"/>
          <w:color w:val="auto"/>
          <w:sz w:val="24"/>
        </w:rPr>
        <w:t>增值税专用发票，发包人付至工程结算审定价的97%前承包人应按工程结算审定价提供剩余工程款全额发票，否则发包人有权拒绝付款且不承担任何违约责任。</w:t>
      </w:r>
    </w:p>
    <w:p>
      <w:pPr>
        <w:snapToGrid w:val="0"/>
        <w:spacing w:line="480" w:lineRule="auto"/>
        <w:ind w:firstLine="480" w:firstLineChars="200"/>
        <w:rPr>
          <w:rFonts w:hint="eastAsia" w:eastAsia="宋体" w:cs="宋体"/>
          <w:color w:val="auto"/>
          <w:sz w:val="24"/>
          <w:lang w:val="en-US" w:eastAsia="zh-CN"/>
        </w:rPr>
      </w:pPr>
      <w:r>
        <w:rPr>
          <w:rFonts w:hint="eastAsia" w:cs="宋体"/>
          <w:color w:val="auto"/>
          <w:sz w:val="24"/>
          <w:lang w:val="en-US" w:eastAsia="zh-CN"/>
        </w:rPr>
        <w:t>3.5、合同估算价为：</w:t>
      </w:r>
      <w:r>
        <w:rPr>
          <w:rFonts w:hint="eastAsia" w:ascii="宋体" w:hAnsi="宋体"/>
          <w:color w:val="auto"/>
          <w:sz w:val="24"/>
          <w:szCs w:val="24"/>
        </w:rPr>
        <w:t>人民币：</w:t>
      </w:r>
      <w:r>
        <w:rPr>
          <w:rFonts w:hint="eastAsia" w:cs="Times New Roman"/>
          <w:color w:val="auto"/>
          <w:sz w:val="24"/>
          <w:szCs w:val="24"/>
          <w:lang w:val="en-US" w:eastAsia="zh-CN"/>
        </w:rPr>
        <w:t>玖拾伍万</w:t>
      </w:r>
      <w:r>
        <w:rPr>
          <w:rFonts w:hint="eastAsia" w:ascii="宋体" w:hAnsi="宋体" w:eastAsia="宋体" w:cs="Times New Roman"/>
          <w:color w:val="auto"/>
          <w:sz w:val="24"/>
          <w:szCs w:val="24"/>
          <w:lang w:val="en-US" w:eastAsia="zh-CN"/>
        </w:rPr>
        <w:t>元整</w:t>
      </w:r>
      <w:r>
        <w:rPr>
          <w:rFonts w:hint="eastAsia" w:ascii="宋体" w:hAnsi="宋体"/>
          <w:color w:val="auto"/>
          <w:sz w:val="24"/>
          <w:szCs w:val="24"/>
        </w:rPr>
        <w:t>，（￥：</w:t>
      </w:r>
      <w:r>
        <w:rPr>
          <w:rFonts w:hint="eastAsia"/>
          <w:color w:val="auto"/>
          <w:sz w:val="24"/>
          <w:szCs w:val="24"/>
          <w:lang w:val="en-US" w:eastAsia="zh-CN"/>
        </w:rPr>
        <w:t>95</w:t>
      </w:r>
      <w:r>
        <w:rPr>
          <w:rFonts w:hint="eastAsia" w:ascii="宋体" w:hAnsi="宋体"/>
          <w:color w:val="auto"/>
          <w:sz w:val="24"/>
          <w:szCs w:val="24"/>
          <w:lang w:val="en-US" w:eastAsia="zh-CN"/>
        </w:rPr>
        <w:t>0000.00</w:t>
      </w:r>
      <w:r>
        <w:rPr>
          <w:rFonts w:hint="eastAsia" w:ascii="宋体" w:hAnsi="宋体"/>
          <w:color w:val="auto"/>
          <w:sz w:val="24"/>
          <w:szCs w:val="24"/>
        </w:rPr>
        <w:t>元），中标费率：    %</w:t>
      </w:r>
      <w:r>
        <w:rPr>
          <w:rFonts w:hint="eastAsia"/>
          <w:color w:val="auto"/>
          <w:sz w:val="24"/>
          <w:szCs w:val="24"/>
          <w:lang w:eastAsia="zh-CN"/>
        </w:rPr>
        <w:t>，</w:t>
      </w:r>
      <w:r>
        <w:rPr>
          <w:rFonts w:hint="eastAsia" w:ascii="宋体" w:hAnsi="宋体"/>
          <w:color w:val="auto"/>
          <w:sz w:val="24"/>
          <w:szCs w:val="24"/>
        </w:rPr>
        <w:t>中标费率即为结算费率，</w:t>
      </w:r>
      <w:r>
        <w:rPr>
          <w:rFonts w:hint="eastAsia"/>
          <w:color w:val="auto"/>
          <w:sz w:val="24"/>
          <w:szCs w:val="24"/>
          <w:lang w:eastAsia="zh-CN"/>
        </w:rPr>
        <w:t>合同</w:t>
      </w:r>
      <w:r>
        <w:rPr>
          <w:rFonts w:hint="eastAsia" w:ascii="宋体" w:hAnsi="宋体"/>
          <w:color w:val="auto"/>
          <w:sz w:val="24"/>
          <w:szCs w:val="24"/>
        </w:rPr>
        <w:t>期内结算费率不做任何调整</w:t>
      </w:r>
      <w:r>
        <w:rPr>
          <w:rFonts w:hint="eastAsia"/>
          <w:color w:val="auto"/>
          <w:sz w:val="24"/>
          <w:szCs w:val="24"/>
          <w:lang w:eastAsia="zh-CN"/>
        </w:rPr>
        <w:t>。</w:t>
      </w:r>
    </w:p>
    <w:p>
      <w:pPr>
        <w:snapToGrid w:val="0"/>
        <w:spacing w:line="480" w:lineRule="auto"/>
        <w:ind w:firstLine="480" w:firstLineChars="200"/>
        <w:rPr>
          <w:rFonts w:cs="宋体"/>
          <w:color w:val="auto"/>
          <w:sz w:val="24"/>
        </w:rPr>
      </w:pPr>
      <w:r>
        <w:rPr>
          <w:rFonts w:hint="eastAsia" w:cs="宋体"/>
          <w:color w:val="auto"/>
          <w:sz w:val="24"/>
          <w:lang w:val="en-US" w:eastAsia="zh-CN"/>
        </w:rPr>
        <w:t>3.6</w:t>
      </w:r>
      <w:r>
        <w:rPr>
          <w:rFonts w:hint="eastAsia" w:cs="宋体"/>
          <w:color w:val="auto"/>
          <w:sz w:val="24"/>
        </w:rPr>
        <w:t>、本项目履约保证金额：</w:t>
      </w:r>
      <w:r>
        <w:rPr>
          <w:rFonts w:hint="eastAsia" w:cs="宋体"/>
          <w:color w:val="auto"/>
          <w:sz w:val="24"/>
          <w:lang w:eastAsia="zh-CN"/>
        </w:rPr>
        <w:t>合同签订前缴纳</w:t>
      </w:r>
      <w:r>
        <w:rPr>
          <w:rFonts w:hint="eastAsia" w:cs="宋体"/>
          <w:color w:val="auto"/>
          <w:sz w:val="24"/>
        </w:rPr>
        <w:t>：</w:t>
      </w:r>
      <w:r>
        <w:rPr>
          <w:rFonts w:hint="eastAsia" w:cs="宋体"/>
          <w:color w:val="auto"/>
          <w:sz w:val="24"/>
          <w:lang w:eastAsia="zh-CN"/>
        </w:rPr>
        <w:t>估算价的</w:t>
      </w:r>
      <w:r>
        <w:rPr>
          <w:rFonts w:hint="eastAsia" w:cs="宋体"/>
          <w:color w:val="auto"/>
          <w:sz w:val="24"/>
          <w:lang w:val="en-US" w:eastAsia="zh-CN"/>
        </w:rPr>
        <w:t>2%</w:t>
      </w:r>
      <w:r>
        <w:rPr>
          <w:rFonts w:hint="eastAsia" w:cs="宋体"/>
          <w:bCs/>
          <w:color w:val="auto"/>
          <w:sz w:val="24"/>
        </w:rPr>
        <w:t>（￥：元）</w:t>
      </w:r>
      <w:r>
        <w:rPr>
          <w:rFonts w:hint="eastAsia"/>
          <w:color w:val="auto"/>
          <w:sz w:val="24"/>
          <w:szCs w:val="24"/>
        </w:rPr>
        <w:t>。</w:t>
      </w:r>
      <w:r>
        <w:rPr>
          <w:rFonts w:hint="eastAsia" w:cs="宋体"/>
          <w:color w:val="auto"/>
          <w:sz w:val="24"/>
        </w:rPr>
        <w:t>期限至：</w:t>
      </w:r>
      <w:r>
        <w:rPr>
          <w:rFonts w:hint="eastAsia" w:cs="宋体"/>
          <w:color w:val="auto"/>
          <w:sz w:val="24"/>
          <w:u w:val="single"/>
          <w:lang w:val="zh-CN"/>
        </w:rPr>
        <w:t>工程竣工验收合格且承包人无违约行为后退还</w:t>
      </w:r>
      <w:r>
        <w:rPr>
          <w:rFonts w:hint="eastAsia" w:cs="宋体"/>
          <w:color w:val="auto"/>
          <w:sz w:val="24"/>
        </w:rPr>
        <w:t>。</w:t>
      </w:r>
    </w:p>
    <w:p>
      <w:pPr>
        <w:widowControl/>
        <w:shd w:val="clear" w:color="auto" w:fill="FFFFFF"/>
        <w:adjustRightInd w:val="0"/>
        <w:snapToGrid w:val="0"/>
        <w:spacing w:line="480" w:lineRule="auto"/>
        <w:ind w:firstLine="482" w:firstLineChars="200"/>
        <w:jc w:val="left"/>
        <w:rPr>
          <w:rFonts w:cs="宋体"/>
          <w:b/>
          <w:color w:val="auto"/>
          <w:sz w:val="24"/>
        </w:rPr>
      </w:pPr>
      <w:r>
        <w:rPr>
          <w:rFonts w:hint="eastAsia" w:cs="宋体"/>
          <w:b/>
          <w:color w:val="auto"/>
          <w:sz w:val="24"/>
        </w:rPr>
        <w:t>四、发包人工作及责任</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1、开工前天，向承包人提供施工图纸或作法，向承包人提供施工所需的水、电等接口，并说明使用注意事项；办理施工所涉及的各种申请、批件等手续；向承包人提供材料、工机具的堆放场所等，尽可能为承包人提供施工便利。</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2、指派为发包人驻工地代表，负责合同履行。对工程质量、进度进行监督检查，办理验收、变更、登记手续和其他事宜。</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3、根据工程项目需要委托监理单位进行工程监理。</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4、负责施工现场承包人与其他施工单位、工种的交叉施工的协调工作。</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5、履行合同约定，按时支付相应工程款。</w:t>
      </w:r>
    </w:p>
    <w:p>
      <w:pPr>
        <w:widowControl/>
        <w:shd w:val="clear" w:color="auto" w:fill="FFFFFF"/>
        <w:adjustRightInd w:val="0"/>
        <w:snapToGrid w:val="0"/>
        <w:spacing w:line="480" w:lineRule="auto"/>
        <w:ind w:firstLine="482" w:firstLineChars="200"/>
        <w:jc w:val="left"/>
        <w:rPr>
          <w:rFonts w:cs="宋体"/>
          <w:b/>
          <w:color w:val="auto"/>
          <w:sz w:val="24"/>
        </w:rPr>
      </w:pPr>
      <w:r>
        <w:rPr>
          <w:rFonts w:hint="eastAsia" w:cs="宋体"/>
          <w:b/>
          <w:color w:val="auto"/>
          <w:sz w:val="24"/>
        </w:rPr>
        <w:t>五、承包人工作及责任</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1、参加发包人组织的施工图纸或作法说明的现场交底，拟定施工方案和进度计划，交发包人审定。</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2、指派为项目经理（身份证号：，建造师证书编号：），负责合同履行，按要求组织施工，保质、保量、按期完成施工任务，解决由承包人负责的各项事宜。</w:t>
      </w:r>
    </w:p>
    <w:p>
      <w:pPr>
        <w:widowControl/>
        <w:snapToGrid w:val="0"/>
        <w:spacing w:line="480" w:lineRule="auto"/>
        <w:ind w:firstLine="480" w:firstLineChars="200"/>
        <w:jc w:val="left"/>
        <w:rPr>
          <w:rFonts w:cs="宋体"/>
          <w:color w:val="auto"/>
          <w:sz w:val="24"/>
        </w:rPr>
      </w:pPr>
      <w:r>
        <w:rPr>
          <w:rFonts w:hint="eastAsia" w:cs="宋体"/>
          <w:color w:val="auto"/>
          <w:sz w:val="24"/>
        </w:rPr>
        <w:t>3、</w:t>
      </w:r>
      <w:r>
        <w:rPr>
          <w:rFonts w:hint="eastAsia"/>
          <w:bCs/>
          <w:color w:val="auto"/>
          <w:sz w:val="24"/>
        </w:rPr>
        <w:t>承包人进场施工前，需按合同总工期要求报送施工总进度计划，经发包人、监理单位（如有）审批确认后执行。如后期承包人完成工程量及进度滞后于已审批的总进度计划，将按监理单位（如有）、跟踪审计（如有）、发包人现场工程师的意见确定进度滞后天数，发包人有权在支付该期工程款中按</w:t>
      </w:r>
      <w:r>
        <w:rPr>
          <w:rFonts w:hint="eastAsia" w:cs="宋体"/>
          <w:color w:val="auto"/>
          <w:sz w:val="24"/>
        </w:rPr>
        <w:t>合同签约暂定价</w:t>
      </w:r>
      <w:r>
        <w:rPr>
          <w:rFonts w:hint="eastAsia"/>
          <w:bCs/>
          <w:color w:val="auto"/>
          <w:sz w:val="24"/>
        </w:rPr>
        <w:t>的万分之二/天的标准扣除违约金。扣除的违约金在承包人赶回整体进度时，经监理单位（如有）、跟踪审计（如有）、发包人现场工程师确认后，于下一期工程进度款中予以返还。</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4、严格执行施工规范、安全操作规程、防火安全规定、环境保护规定；严格按照施工图纸、技术说明书或作法说明进行施工，做好各项质量检查记录；参加竣工验收，编制工程结算；工程竣工后天内，承包人应向发包人提供完整的竣工资料套（含电子版文件）。</w:t>
      </w:r>
    </w:p>
    <w:p>
      <w:pPr>
        <w:adjustRightInd w:val="0"/>
        <w:snapToGrid w:val="0"/>
        <w:spacing w:line="480" w:lineRule="auto"/>
        <w:ind w:firstLine="480" w:firstLineChars="200"/>
        <w:jc w:val="left"/>
        <w:rPr>
          <w:rFonts w:cs="宋体"/>
          <w:color w:val="auto"/>
          <w:sz w:val="24"/>
        </w:rPr>
      </w:pPr>
      <w:r>
        <w:rPr>
          <w:rFonts w:hint="eastAsia" w:cs="宋体"/>
          <w:color w:val="auto"/>
          <w:sz w:val="24"/>
        </w:rPr>
        <w:t>5、遵守国家或地方政府及有关部门对施工现场管理的规定，妥善保护好施工现场周围建筑物、设备管线等设施设备。做好施工现场保卫和垃圾消纳等工作，处理好由于施工带来的扰民问题及与周围单位（商户住户）的关系。</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6、施工中未经发包人书面同意或有关部门批准，不得随意拆改原建筑物结构及各种设备管线。</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7、工程未经发包人验收合格之前，由承包人负责对现场的一切设施和工程成品进行保护并承担全部责任。</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8、在工程施工期间，承包人应服从发包人的现场管理，确保工程质量、工期及安全文明施工。因承包人原因导致的安全事故和发包人损失，由承包人负责处理并承担全部责任。</w:t>
      </w:r>
    </w:p>
    <w:p>
      <w:pPr>
        <w:widowControl/>
        <w:shd w:val="clear" w:color="auto" w:fill="FFFFFF"/>
        <w:adjustRightInd w:val="0"/>
        <w:snapToGrid w:val="0"/>
        <w:spacing w:line="480" w:lineRule="auto"/>
        <w:ind w:firstLine="480" w:firstLineChars="200"/>
        <w:jc w:val="left"/>
        <w:rPr>
          <w:rFonts w:cs="宋体"/>
          <w:color w:val="auto"/>
          <w:sz w:val="24"/>
        </w:rPr>
      </w:pPr>
      <w:r>
        <w:rPr>
          <w:rFonts w:hint="eastAsia" w:cs="宋体"/>
          <w:color w:val="auto"/>
          <w:sz w:val="24"/>
        </w:rPr>
        <w:t>9、</w:t>
      </w:r>
      <w:r>
        <w:rPr>
          <w:rFonts w:hint="eastAsia"/>
          <w:color w:val="auto"/>
          <w:sz w:val="24"/>
        </w:rPr>
        <w:t>承包人</w:t>
      </w:r>
      <w:r>
        <w:rPr>
          <w:color w:val="auto"/>
          <w:sz w:val="24"/>
        </w:rPr>
        <w:t>须严格遵守</w:t>
      </w:r>
      <w:r>
        <w:rPr>
          <w:rFonts w:hint="eastAsia"/>
          <w:color w:val="auto"/>
          <w:sz w:val="24"/>
        </w:rPr>
        <w:t>项目所在地建设行业主管部门制定的关于建筑工人用工实名制管理的相关制度，切实做好</w:t>
      </w:r>
      <w:r>
        <w:rPr>
          <w:color w:val="auto"/>
          <w:sz w:val="24"/>
        </w:rPr>
        <w:t>项目建筑工人</w:t>
      </w:r>
      <w:r>
        <w:rPr>
          <w:rFonts w:hint="eastAsia"/>
          <w:color w:val="auto"/>
          <w:sz w:val="24"/>
        </w:rPr>
        <w:t>劳动劳务合同签订、</w:t>
      </w:r>
      <w:r>
        <w:rPr>
          <w:color w:val="auto"/>
          <w:sz w:val="24"/>
        </w:rPr>
        <w:t>实名信息登记、认证、考勤、工资</w:t>
      </w:r>
      <w:r>
        <w:rPr>
          <w:rFonts w:hint="eastAsia"/>
          <w:color w:val="auto"/>
          <w:sz w:val="24"/>
        </w:rPr>
        <w:t>发放</w:t>
      </w:r>
      <w:r>
        <w:rPr>
          <w:color w:val="auto"/>
          <w:sz w:val="24"/>
        </w:rPr>
        <w:t>等实名制相关工作</w:t>
      </w:r>
      <w:r>
        <w:rPr>
          <w:rFonts w:hint="eastAsia"/>
          <w:color w:val="auto"/>
          <w:sz w:val="24"/>
        </w:rPr>
        <w:t>。</w:t>
      </w:r>
    </w:p>
    <w:p>
      <w:pPr>
        <w:adjustRightInd w:val="0"/>
        <w:snapToGrid w:val="0"/>
        <w:spacing w:line="480" w:lineRule="auto"/>
        <w:ind w:firstLine="480" w:firstLineChars="200"/>
        <w:rPr>
          <w:color w:val="auto"/>
          <w:sz w:val="24"/>
        </w:rPr>
      </w:pPr>
      <w:r>
        <w:rPr>
          <w:rFonts w:hint="eastAsia" w:cs="宋体"/>
          <w:color w:val="auto"/>
          <w:sz w:val="24"/>
        </w:rPr>
        <w:t>10、</w:t>
      </w:r>
      <w:r>
        <w:rPr>
          <w:rFonts w:hint="eastAsia"/>
          <w:color w:val="auto"/>
          <w:sz w:val="24"/>
        </w:rPr>
        <w:t>承包人应投保建筑工程一切险或安装工程一切险。承包人必须为其施工现场的全部人员（包括其员工及为履行合同义务聘请的第三方人员）办理意外伤害保险并支付保险费用，并为施工场地内自有人员生命财产和施工现场的机械设备办理保险，支付保险费用。</w:t>
      </w:r>
    </w:p>
    <w:p>
      <w:pPr>
        <w:widowControl/>
        <w:shd w:val="clear" w:color="auto" w:fill="FFFFFF"/>
        <w:snapToGrid w:val="0"/>
        <w:spacing w:line="480" w:lineRule="auto"/>
        <w:ind w:firstLine="480" w:firstLineChars="200"/>
        <w:jc w:val="left"/>
        <w:rPr>
          <w:rFonts w:hint="eastAsia" w:cs="宋体"/>
          <w:color w:val="auto"/>
          <w:sz w:val="24"/>
        </w:rPr>
      </w:pPr>
      <w:r>
        <w:rPr>
          <w:rFonts w:hint="eastAsia" w:cs="宋体"/>
          <w:color w:val="auto"/>
          <w:sz w:val="24"/>
        </w:rPr>
        <w:t>11、承包人施工过程中应当合理节约用水用电，并承担相关水电费用，结算时按双方确认的施工水电费结算单据或按结算价千分之七的标准从工程款中扣除。</w:t>
      </w:r>
    </w:p>
    <w:p>
      <w:pPr>
        <w:widowControl/>
        <w:shd w:val="clear" w:color="auto" w:fill="FFFFFF"/>
        <w:snapToGrid w:val="0"/>
        <w:spacing w:line="480" w:lineRule="auto"/>
        <w:ind w:firstLine="480" w:firstLineChars="200"/>
        <w:jc w:val="left"/>
        <w:rPr>
          <w:rFonts w:hint="default" w:eastAsia="宋体" w:cs="宋体"/>
          <w:color w:val="auto"/>
          <w:sz w:val="24"/>
          <w:lang w:val="en-US" w:eastAsia="zh-CN"/>
        </w:rPr>
      </w:pPr>
      <w:r>
        <w:rPr>
          <w:rFonts w:hint="eastAsia" w:cs="宋体"/>
          <w:color w:val="auto"/>
          <w:sz w:val="24"/>
          <w:lang w:val="en-US" w:eastAsia="zh-CN"/>
        </w:rPr>
        <w:t>12、</w:t>
      </w:r>
      <w:r>
        <w:rPr>
          <w:rFonts w:hint="eastAsia" w:cs="宋体"/>
          <w:color w:val="auto"/>
          <w:sz w:val="24"/>
        </w:rPr>
        <w:t>承包人</w:t>
      </w:r>
      <w:r>
        <w:rPr>
          <w:rFonts w:hint="eastAsia" w:ascii="宋体" w:hAnsi="宋体"/>
          <w:color w:val="auto"/>
          <w:sz w:val="24"/>
          <w:szCs w:val="24"/>
        </w:rPr>
        <w:t>负责所承包工程项目依法依规必须办理的《施工许可证》《消防验收合格证》《开业前消防检查合格证》等全部报规报建手续，甲方仅负责提供按要求须甲方提供的相关证照及授权委托书等资料文件并安排专人协助办理。</w:t>
      </w:r>
    </w:p>
    <w:p>
      <w:pPr>
        <w:widowControl/>
        <w:shd w:val="clear" w:color="auto" w:fill="FFFFFF"/>
        <w:snapToGrid w:val="0"/>
        <w:spacing w:line="480" w:lineRule="auto"/>
        <w:ind w:firstLine="482" w:firstLineChars="200"/>
        <w:jc w:val="left"/>
        <w:rPr>
          <w:rFonts w:cs="宋体"/>
          <w:b/>
          <w:color w:val="auto"/>
          <w:sz w:val="24"/>
        </w:rPr>
      </w:pPr>
      <w:r>
        <w:rPr>
          <w:rFonts w:hint="eastAsia" w:cs="宋体"/>
          <w:b/>
          <w:color w:val="auto"/>
          <w:sz w:val="24"/>
        </w:rPr>
        <w:t>六、工程变更</w:t>
      </w:r>
    </w:p>
    <w:p>
      <w:pPr>
        <w:spacing w:line="480" w:lineRule="auto"/>
        <w:ind w:firstLine="480" w:firstLineChars="200"/>
        <w:rPr>
          <w:rFonts w:cs="宋体"/>
          <w:color w:val="auto"/>
          <w:sz w:val="24"/>
        </w:rPr>
      </w:pPr>
      <w:r>
        <w:rPr>
          <w:rFonts w:hint="eastAsia" w:cs="宋体"/>
          <w:color w:val="auto"/>
          <w:sz w:val="24"/>
        </w:rPr>
        <w:t>1、工程变更和设计修改办理的程序：变更由承包人依据规范以书面方式提出，发包人确认签字盖章后承包人执行；或变更由发包人直接签字盖章书面提出，承包人执行。</w:t>
      </w:r>
    </w:p>
    <w:p>
      <w:pPr>
        <w:spacing w:line="480" w:lineRule="auto"/>
        <w:ind w:firstLine="480" w:firstLineChars="200"/>
        <w:rPr>
          <w:rFonts w:cs="宋体"/>
          <w:color w:val="auto"/>
          <w:sz w:val="24"/>
        </w:rPr>
      </w:pPr>
      <w:r>
        <w:rPr>
          <w:rFonts w:hint="eastAsia" w:cs="宋体"/>
          <w:color w:val="auto"/>
          <w:sz w:val="24"/>
        </w:rPr>
        <w:t>2、所有变更、签证均以发包人审核签字并盖章确认为准。</w:t>
      </w:r>
    </w:p>
    <w:p>
      <w:pPr>
        <w:spacing w:line="480" w:lineRule="auto"/>
        <w:ind w:firstLine="480"/>
        <w:rPr>
          <w:bCs/>
          <w:color w:val="auto"/>
          <w:sz w:val="24"/>
        </w:rPr>
      </w:pPr>
      <w:r>
        <w:rPr>
          <w:rFonts w:hint="eastAsia" w:cs="宋体"/>
          <w:color w:val="auto"/>
          <w:sz w:val="24"/>
        </w:rPr>
        <w:t>3、工程施工过程中，如发包人因实际情况变化提出变更，或承包人按规范提出相关方案并经发包人同意实施的变更，均以签证形式提出。</w:t>
      </w:r>
    </w:p>
    <w:p>
      <w:pPr>
        <w:snapToGrid w:val="0"/>
        <w:spacing w:line="480" w:lineRule="auto"/>
        <w:ind w:left="769" w:leftChars="200" w:hanging="369" w:hangingChars="153"/>
        <w:rPr>
          <w:rFonts w:cs="宋体"/>
          <w:b/>
          <w:color w:val="auto"/>
          <w:sz w:val="24"/>
        </w:rPr>
      </w:pPr>
      <w:r>
        <w:rPr>
          <w:rFonts w:hint="eastAsia" w:cs="宋体"/>
          <w:b/>
          <w:color w:val="auto"/>
          <w:sz w:val="24"/>
        </w:rPr>
        <w:t>七、竣工验收</w:t>
      </w:r>
    </w:p>
    <w:p>
      <w:pPr>
        <w:autoSpaceDE w:val="0"/>
        <w:autoSpaceDN w:val="0"/>
        <w:adjustRightInd w:val="0"/>
        <w:spacing w:line="480" w:lineRule="auto"/>
        <w:ind w:firstLine="436" w:firstLineChars="182"/>
        <w:jc w:val="left"/>
        <w:rPr>
          <w:rFonts w:cs="宋体"/>
          <w:color w:val="auto"/>
          <w:sz w:val="24"/>
        </w:rPr>
      </w:pPr>
      <w:r>
        <w:rPr>
          <w:rFonts w:hint="eastAsia" w:cs="宋体"/>
          <w:color w:val="auto"/>
          <w:sz w:val="24"/>
        </w:rPr>
        <w:t>1、承包人完成合同范围内的全部工程以及有关工作，将备齐竣工资料不少于三份，经自检合格后方可向发包人提交竣工验收申请报告。</w:t>
      </w:r>
    </w:p>
    <w:p>
      <w:pPr>
        <w:adjustRightInd w:val="0"/>
        <w:snapToGrid w:val="0"/>
        <w:spacing w:line="480" w:lineRule="auto"/>
        <w:ind w:firstLine="480" w:firstLineChars="200"/>
        <w:rPr>
          <w:rFonts w:cs="宋体"/>
          <w:color w:val="auto"/>
          <w:sz w:val="24"/>
        </w:rPr>
      </w:pPr>
      <w:r>
        <w:rPr>
          <w:rFonts w:hint="eastAsia" w:cs="宋体"/>
          <w:color w:val="auto"/>
          <w:sz w:val="24"/>
        </w:rPr>
        <w:t>2、发包人收到承包人报送的竣工验收申请报告后日内组织竣工验收。竣工验收合格的，验收合格后日内发包人向承包人签发工程接收证书；竣工验收不合格的，承包人须按验收意见对不合格工程返工、修复或采取其他补救措施，由此增加的费用和延误的工期由承包人承担，承包人完成不合格工程的返工、修复或采取其他补救措施后，应当重新向发包人提交竣工验收申请报告。</w:t>
      </w:r>
    </w:p>
    <w:p>
      <w:pPr>
        <w:adjustRightInd w:val="0"/>
        <w:snapToGrid w:val="0"/>
        <w:spacing w:line="480" w:lineRule="auto"/>
        <w:ind w:firstLine="480" w:firstLineChars="200"/>
        <w:rPr>
          <w:rFonts w:cs="宋体"/>
          <w:color w:val="auto"/>
          <w:sz w:val="24"/>
        </w:rPr>
      </w:pPr>
      <w:r>
        <w:rPr>
          <w:rFonts w:hint="eastAsia" w:cs="宋体"/>
          <w:color w:val="auto"/>
          <w:sz w:val="24"/>
        </w:rPr>
        <w:t>3、工程经竣工验收合格的，以承包人提交竣工验收申请报告之日为实际竣工日期，并在工程接收证书中载明。</w:t>
      </w:r>
    </w:p>
    <w:p>
      <w:pPr>
        <w:adjustRightInd w:val="0"/>
        <w:snapToGrid w:val="0"/>
        <w:spacing w:line="480" w:lineRule="auto"/>
        <w:ind w:firstLine="480" w:firstLineChars="200"/>
        <w:rPr>
          <w:rFonts w:cs="宋体"/>
          <w:color w:val="auto"/>
          <w:sz w:val="24"/>
        </w:rPr>
      </w:pPr>
      <w:r>
        <w:rPr>
          <w:rFonts w:hint="eastAsia" w:cs="宋体"/>
          <w:color w:val="auto"/>
          <w:sz w:val="24"/>
        </w:rPr>
        <w:t>4、承包人竣工验收后须提供3全套竣工图（含电子版），所有竣工图应为新图纸。</w:t>
      </w:r>
    </w:p>
    <w:p>
      <w:pPr>
        <w:adjustRightInd w:val="0"/>
        <w:snapToGrid w:val="0"/>
        <w:spacing w:line="480" w:lineRule="auto"/>
        <w:ind w:firstLine="480" w:firstLineChars="200"/>
        <w:rPr>
          <w:rFonts w:cs="宋体"/>
          <w:color w:val="auto"/>
          <w:sz w:val="24"/>
        </w:rPr>
      </w:pPr>
      <w:r>
        <w:rPr>
          <w:rFonts w:hint="eastAsia" w:cs="宋体"/>
          <w:color w:val="auto"/>
          <w:sz w:val="24"/>
        </w:rPr>
        <w:t>5、承包人应当在颁发工程接收证书后3日内完成撤场。</w:t>
      </w:r>
    </w:p>
    <w:p>
      <w:pPr>
        <w:snapToGrid w:val="0"/>
        <w:spacing w:line="480" w:lineRule="auto"/>
        <w:ind w:left="769" w:leftChars="200" w:hanging="369" w:hangingChars="153"/>
        <w:rPr>
          <w:rFonts w:cs="宋体"/>
          <w:b/>
          <w:color w:val="auto"/>
          <w:sz w:val="24"/>
        </w:rPr>
      </w:pPr>
      <w:r>
        <w:rPr>
          <w:rFonts w:hint="eastAsia" w:cs="宋体"/>
          <w:b/>
          <w:color w:val="auto"/>
          <w:sz w:val="24"/>
        </w:rPr>
        <w:t>八、保修条件及期限</w:t>
      </w:r>
    </w:p>
    <w:p>
      <w:pPr>
        <w:snapToGrid w:val="0"/>
        <w:spacing w:line="480" w:lineRule="auto"/>
        <w:ind w:left="212" w:leftChars="106" w:firstLine="480" w:firstLineChars="200"/>
        <w:rPr>
          <w:rFonts w:cs="宋体"/>
          <w:b/>
          <w:color w:val="auto"/>
          <w:sz w:val="24"/>
        </w:rPr>
      </w:pPr>
      <w:r>
        <w:rPr>
          <w:rFonts w:hint="eastAsia" w:cs="宋体"/>
          <w:color w:val="auto"/>
          <w:sz w:val="24"/>
        </w:rPr>
        <w:t>按附件《工程质量保修书》执行。</w:t>
      </w:r>
    </w:p>
    <w:p>
      <w:pPr>
        <w:snapToGrid w:val="0"/>
        <w:spacing w:line="480" w:lineRule="auto"/>
        <w:ind w:left="769" w:leftChars="200" w:hanging="369" w:hangingChars="153"/>
        <w:rPr>
          <w:rStyle w:val="69"/>
          <w:rFonts w:ascii="Times New Roman" w:hAnsi="Times New Roman"/>
          <w:color w:val="auto"/>
        </w:rPr>
      </w:pPr>
      <w:r>
        <w:rPr>
          <w:rFonts w:hint="eastAsia" w:cs="宋体"/>
          <w:b/>
          <w:color w:val="auto"/>
          <w:sz w:val="24"/>
        </w:rPr>
        <w:t>九、工程材料供应</w:t>
      </w:r>
    </w:p>
    <w:p>
      <w:pPr>
        <w:widowControl/>
        <w:snapToGrid w:val="0"/>
        <w:spacing w:line="480" w:lineRule="auto"/>
        <w:ind w:left="212" w:leftChars="106" w:firstLine="480" w:firstLineChars="200"/>
        <w:jc w:val="left"/>
        <w:rPr>
          <w:rFonts w:cs="宋体"/>
          <w:color w:val="auto"/>
          <w:sz w:val="24"/>
        </w:rPr>
      </w:pPr>
      <w:r>
        <w:rPr>
          <w:rFonts w:hint="eastAsia" w:cs="宋体"/>
          <w:color w:val="auto"/>
          <w:sz w:val="24"/>
        </w:rPr>
        <w:t>10.1.本工程承包人负责采购工程所需的材料并承担全部费用，承包人提供的材料、设备应为符合设计要求与国家法律法规等强制性规定的合格产品，承包人应按时供应到现场，并承担运输、搬运、拆除、保管、复试等费用。由承包人供应的材料、设备发生了质量问题或规格差异，禁止使用，如已使用的，须无条件拆除、返工，由此造成的工期影响及其他一切损失由承包人承担。</w:t>
      </w:r>
    </w:p>
    <w:p>
      <w:pPr>
        <w:snapToGrid w:val="0"/>
        <w:spacing w:line="480" w:lineRule="auto"/>
        <w:ind w:left="769" w:leftChars="200" w:hanging="369" w:hangingChars="153"/>
        <w:rPr>
          <w:rFonts w:cs="宋体"/>
          <w:b/>
          <w:color w:val="auto"/>
          <w:sz w:val="24"/>
        </w:rPr>
      </w:pPr>
      <w:r>
        <w:rPr>
          <w:rFonts w:hint="eastAsia" w:cs="宋体"/>
          <w:b/>
          <w:color w:val="auto"/>
          <w:sz w:val="24"/>
        </w:rPr>
        <w:t>十、安全文明施工</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1、工程现场必须实行封闭管理，承包人应按招标文件、投标文件、本合同约定及相关法律法规规定配置专职安全员。</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2、现场动用明火的，承包人须向发包人提供书面申请，取得动火许可后方可施工。</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3、因承包人施工造成发包人/承包人/第三方人身损害或财产损失，均由承包人负责处理并承担全部责任。</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4、在发包人正常营业期间开展施工的，须做好相应的安全文明施工措施，不得对发包人的正常经营产生影响。</w:t>
      </w:r>
    </w:p>
    <w:p>
      <w:pPr>
        <w:pStyle w:val="122"/>
        <w:snapToGrid w:val="0"/>
        <w:spacing w:line="480" w:lineRule="auto"/>
        <w:ind w:firstLine="480" w:firstLineChars="200"/>
        <w:rPr>
          <w:rFonts w:ascii="宋体" w:hAnsi="宋体" w:eastAsia="宋体" w:cs="宋体"/>
          <w:color w:val="auto"/>
          <w:szCs w:val="20"/>
        </w:rPr>
      </w:pPr>
      <w:r>
        <w:rPr>
          <w:rFonts w:hint="eastAsia" w:ascii="宋体" w:hAnsi="宋体" w:eastAsia="宋体" w:cs="宋体"/>
          <w:color w:val="auto"/>
          <w:szCs w:val="20"/>
        </w:rPr>
        <w:t>5、具体安全文明施工要求按附件《安全施工协议书》执行。</w:t>
      </w:r>
    </w:p>
    <w:p>
      <w:pPr>
        <w:widowControl/>
        <w:shd w:val="clear" w:color="auto" w:fill="FFFFFF"/>
        <w:snapToGrid w:val="0"/>
        <w:spacing w:line="480" w:lineRule="auto"/>
        <w:ind w:firstLine="482" w:firstLineChars="200"/>
        <w:jc w:val="left"/>
        <w:rPr>
          <w:rFonts w:cs="宋体"/>
          <w:b/>
          <w:color w:val="auto"/>
          <w:sz w:val="24"/>
        </w:rPr>
      </w:pPr>
      <w:r>
        <w:rPr>
          <w:rFonts w:hint="eastAsia" w:cs="宋体"/>
          <w:b/>
          <w:color w:val="auto"/>
          <w:sz w:val="24"/>
        </w:rPr>
        <w:t>十一、违约责任</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1、</w:t>
      </w:r>
      <w:r>
        <w:rPr>
          <w:rFonts w:hint="eastAsia" w:asciiTheme="minorEastAsia" w:hAnsiTheme="minorEastAsia" w:eastAsiaTheme="minorEastAsia" w:cstheme="minorEastAsia"/>
          <w:color w:val="auto"/>
          <w:sz w:val="24"/>
          <w:szCs w:val="24"/>
        </w:rPr>
        <w:t>每延期竣工一天，承包人支付发包人</w:t>
      </w:r>
      <w:r>
        <w:rPr>
          <w:rFonts w:hint="eastAsia" w:asciiTheme="minorEastAsia" w:hAnsiTheme="minorEastAsia" w:eastAsiaTheme="minorEastAsia" w:cstheme="minorEastAsia"/>
          <w:color w:val="auto"/>
          <w:sz w:val="24"/>
          <w:szCs w:val="24"/>
          <w:lang w:val="en-US" w:eastAsia="zh-CN"/>
        </w:rPr>
        <w:t>估算</w:t>
      </w:r>
      <w:r>
        <w:rPr>
          <w:rFonts w:hint="eastAsia" w:asciiTheme="minorEastAsia" w:hAnsiTheme="minorEastAsia" w:eastAsiaTheme="minorEastAsia" w:cstheme="minorEastAsia"/>
          <w:color w:val="auto"/>
          <w:sz w:val="24"/>
          <w:szCs w:val="24"/>
        </w:rPr>
        <w:t>价款的</w:t>
      </w:r>
      <w:r>
        <w:rPr>
          <w:rFonts w:hint="eastAsia" w:asciiTheme="minorEastAsia" w:hAnsiTheme="minorEastAsia" w:eastAsiaTheme="minorEastAsia" w:cstheme="minorEastAsia"/>
          <w:color w:val="auto"/>
          <w:sz w:val="24"/>
          <w:szCs w:val="24"/>
          <w:lang w:eastAsia="zh-CN"/>
        </w:rPr>
        <w:t>千</w:t>
      </w:r>
      <w:r>
        <w:rPr>
          <w:rFonts w:hint="eastAsia" w:asciiTheme="minorEastAsia" w:hAnsiTheme="minorEastAsia" w:eastAsiaTheme="minorEastAsia" w:cstheme="minorEastAsia"/>
          <w:color w:val="auto"/>
          <w:sz w:val="24"/>
          <w:szCs w:val="24"/>
        </w:rPr>
        <w:t>分之</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的违约金；工程延期</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天以上的，每天按</w:t>
      </w:r>
      <w:r>
        <w:rPr>
          <w:rFonts w:hint="eastAsia" w:asciiTheme="minorEastAsia" w:hAnsiTheme="minorEastAsia" w:eastAsiaTheme="minorEastAsia" w:cstheme="minorEastAsia"/>
          <w:color w:val="auto"/>
          <w:sz w:val="24"/>
          <w:szCs w:val="24"/>
          <w:lang w:val="en-US" w:eastAsia="zh-CN"/>
        </w:rPr>
        <w:t>估算</w:t>
      </w:r>
      <w:r>
        <w:rPr>
          <w:rFonts w:hint="eastAsia" w:asciiTheme="minorEastAsia" w:hAnsiTheme="minorEastAsia" w:eastAsiaTheme="minorEastAsia" w:cstheme="minorEastAsia"/>
          <w:color w:val="auto"/>
          <w:sz w:val="24"/>
          <w:szCs w:val="24"/>
        </w:rPr>
        <w:t>价款</w:t>
      </w:r>
      <w:r>
        <w:rPr>
          <w:rFonts w:hint="eastAsia" w:asciiTheme="minorEastAsia" w:hAnsiTheme="minorEastAsia" w:eastAsiaTheme="minorEastAsia" w:cstheme="minorEastAsia"/>
          <w:color w:val="auto"/>
          <w:sz w:val="24"/>
          <w:szCs w:val="24"/>
          <w:lang w:eastAsia="zh-CN"/>
        </w:rPr>
        <w:t>千</w:t>
      </w:r>
      <w:r>
        <w:rPr>
          <w:rFonts w:hint="eastAsia" w:asciiTheme="minorEastAsia" w:hAnsiTheme="minorEastAsia" w:eastAsiaTheme="minorEastAsia" w:cstheme="minorEastAsia"/>
          <w:color w:val="auto"/>
          <w:sz w:val="24"/>
          <w:szCs w:val="24"/>
        </w:rPr>
        <w:t>分之</w:t>
      </w:r>
      <w:r>
        <w:rPr>
          <w:rFonts w:hint="eastAsia" w:asciiTheme="minorEastAsia" w:hAnsiTheme="minorEastAsia" w:eastAsiaTheme="minorEastAsia" w:cstheme="minorEastAsia"/>
          <w:color w:val="auto"/>
          <w:sz w:val="24"/>
          <w:szCs w:val="24"/>
          <w:lang w:val="en-US" w:eastAsia="zh-CN"/>
        </w:rPr>
        <w:t>八</w:t>
      </w:r>
      <w:r>
        <w:rPr>
          <w:rFonts w:hint="eastAsia" w:asciiTheme="minorEastAsia" w:hAnsiTheme="minorEastAsia" w:eastAsiaTheme="minorEastAsia" w:cstheme="minorEastAsia"/>
          <w:color w:val="auto"/>
          <w:sz w:val="24"/>
          <w:szCs w:val="24"/>
        </w:rPr>
        <w:t>向发包人支付违约金；延期竣工</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天以上的，发包人有权解除合同，承包人应按照合同</w:t>
      </w:r>
      <w:r>
        <w:rPr>
          <w:rFonts w:hint="eastAsia" w:asciiTheme="minorEastAsia" w:hAnsiTheme="minorEastAsia" w:eastAsiaTheme="minorEastAsia" w:cstheme="minorEastAsia"/>
          <w:color w:val="auto"/>
          <w:sz w:val="24"/>
          <w:szCs w:val="24"/>
          <w:lang w:val="en-US" w:eastAsia="zh-CN"/>
        </w:rPr>
        <w:t>估算</w:t>
      </w:r>
      <w:r>
        <w:rPr>
          <w:rFonts w:hint="eastAsia" w:asciiTheme="minorEastAsia" w:hAnsiTheme="minorEastAsia" w:eastAsiaTheme="minorEastAsia" w:cstheme="minorEastAsia"/>
          <w:color w:val="auto"/>
          <w:sz w:val="24"/>
          <w:szCs w:val="24"/>
        </w:rPr>
        <w:t>价款的</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%支付违约金，违约金不足以赔偿损失的，发包人有权要求承包人另行赔偿</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赔偿总额为京东奥莱终止合同发包方需向合作方京东奥莱支付的违约金、赔偿金等以及发包人为京东奥莱项目支出的相关费用、损失等的）</w:t>
      </w:r>
      <w:r>
        <w:rPr>
          <w:rFonts w:hint="eastAsia" w:asciiTheme="minorEastAsia" w:hAnsiTheme="minorEastAsia" w:eastAsiaTheme="minorEastAsia" w:cstheme="minorEastAsia"/>
          <w:color w:val="auto"/>
          <w:sz w:val="24"/>
          <w:szCs w:val="24"/>
        </w:rPr>
        <w:t>。违约金不分段累计计算，违约金按最高标准计算。</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2、如承包人未经发包人书面同意擅自动火动焊，应按10000元/次的标准向发包人支付违约金，由此发生的损失或事故（包括罚款），由承包人负责处理并承担全部责任，并赔偿因此给发包人造成的全部损失。</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3、未经发包人书面同意，承包人擅自拆改原建筑物结构或设备管线，由此发生的损失或事故（包括罚款），由承包人负责处理并承担全部责任，并赔偿因此给发包人造成的全部损失。</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4、如因</w:t>
      </w:r>
      <w:r>
        <w:rPr>
          <w:rFonts w:hint="eastAsia" w:cs="宋体"/>
          <w:color w:val="auto"/>
          <w:sz w:val="24"/>
          <w:lang w:val="en-US" w:eastAsia="zh-CN"/>
        </w:rPr>
        <w:t>施工</w:t>
      </w:r>
      <w:r>
        <w:rPr>
          <w:rFonts w:hint="eastAsia" w:cs="宋体"/>
          <w:color w:val="auto"/>
          <w:sz w:val="24"/>
        </w:rPr>
        <w:t>进度、</w:t>
      </w:r>
      <w:r>
        <w:rPr>
          <w:rFonts w:hint="eastAsia" w:cs="宋体"/>
          <w:color w:val="auto"/>
          <w:sz w:val="24"/>
          <w:lang w:val="en-US" w:eastAsia="zh-CN"/>
        </w:rPr>
        <w:t>工程</w:t>
      </w:r>
      <w:r>
        <w:rPr>
          <w:rFonts w:hint="eastAsia" w:cs="宋体"/>
          <w:color w:val="auto"/>
          <w:sz w:val="24"/>
        </w:rPr>
        <w:t>质量、安全文明、专业分包管理出现问题，导致对发包人、</w:t>
      </w:r>
      <w:r>
        <w:rPr>
          <w:rFonts w:hint="eastAsia" w:cs="宋体"/>
          <w:color w:val="auto"/>
          <w:sz w:val="24"/>
          <w:lang w:val="en-US" w:eastAsia="zh-CN"/>
        </w:rPr>
        <w:t>租赁</w:t>
      </w:r>
      <w:r>
        <w:rPr>
          <w:rFonts w:hint="eastAsia" w:cs="宋体"/>
          <w:color w:val="auto"/>
          <w:sz w:val="24"/>
        </w:rPr>
        <w:t>商户造成损失，应由承包人负责处理并承担全部责任，同时赔偿因此给发包人造成的全部损失。每发生一次进度管控失衡、质量隐患、安全文明管理混乱、分包管控不力等情形的，视为承包人履约失职，发包人有权按照1000元/次的违约金扣款标准进行违约扣款。</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发包人有权在工程款中直接扣抵相应违约金。</w:t>
      </w:r>
    </w:p>
    <w:p>
      <w:pPr>
        <w:widowControl/>
        <w:shd w:val="clear" w:color="auto" w:fill="FFFFFF"/>
        <w:snapToGrid w:val="0"/>
        <w:spacing w:line="480" w:lineRule="auto"/>
        <w:ind w:firstLine="482" w:firstLineChars="200"/>
        <w:jc w:val="left"/>
        <w:rPr>
          <w:rFonts w:cs="宋体"/>
          <w:b/>
          <w:color w:val="auto"/>
          <w:sz w:val="24"/>
        </w:rPr>
      </w:pPr>
      <w:r>
        <w:rPr>
          <w:rFonts w:hint="eastAsia" w:cs="宋体"/>
          <w:b/>
          <w:color w:val="auto"/>
          <w:sz w:val="24"/>
        </w:rPr>
        <w:t>十二、争议或纠纷处理</w:t>
      </w:r>
    </w:p>
    <w:p>
      <w:pPr>
        <w:snapToGrid w:val="0"/>
        <w:spacing w:line="480" w:lineRule="auto"/>
        <w:ind w:firstLine="480" w:firstLineChars="200"/>
        <w:rPr>
          <w:rFonts w:cs="宋体"/>
          <w:color w:val="auto"/>
          <w:sz w:val="24"/>
        </w:rPr>
      </w:pPr>
      <w:r>
        <w:rPr>
          <w:rFonts w:hint="eastAsia" w:cs="宋体"/>
          <w:color w:val="auto"/>
          <w:sz w:val="24"/>
        </w:rPr>
        <w:t>本合同如发生纠纷，当事人双方应当及时协商解决，协商不成时，双方均可向工程项目所在地人民法院提起诉讼。</w:t>
      </w:r>
    </w:p>
    <w:p>
      <w:pPr>
        <w:snapToGrid w:val="0"/>
        <w:spacing w:line="480" w:lineRule="auto"/>
        <w:ind w:firstLine="482" w:firstLineChars="200"/>
        <w:rPr>
          <w:rFonts w:cs="宋体"/>
          <w:color w:val="auto"/>
          <w:sz w:val="24"/>
        </w:rPr>
      </w:pPr>
      <w:r>
        <w:rPr>
          <w:rFonts w:hint="eastAsia" w:cs="宋体"/>
          <w:b/>
          <w:bCs/>
          <w:color w:val="auto"/>
          <w:sz w:val="24"/>
        </w:rPr>
        <w:t>十三、其它约定</w:t>
      </w:r>
    </w:p>
    <w:p>
      <w:pPr>
        <w:snapToGrid w:val="0"/>
        <w:spacing w:line="480" w:lineRule="auto"/>
        <w:ind w:firstLine="480" w:firstLineChars="200"/>
        <w:rPr>
          <w:rFonts w:cs="宋体"/>
          <w:color w:val="auto"/>
          <w:sz w:val="24"/>
        </w:rPr>
      </w:pPr>
      <w:r>
        <w:rPr>
          <w:rFonts w:hint="eastAsia" w:cs="宋体"/>
          <w:color w:val="auto"/>
          <w:sz w:val="24"/>
        </w:rPr>
        <w:t>1、本合同依据“百大心悦城京东奥莱区域墙体拆除及内装工程”（项目编号：</w:t>
      </w:r>
      <w:r>
        <w:rPr>
          <w:rFonts w:hint="eastAsia" w:cs="宋体"/>
          <w:color w:val="auto"/>
          <w:sz w:val="24"/>
          <w:lang w:eastAsia="zh-CN"/>
        </w:rPr>
        <w:t>2025HAFGJ00408</w:t>
      </w:r>
      <w:r>
        <w:rPr>
          <w:rFonts w:hint="eastAsia" w:cs="宋体"/>
          <w:color w:val="auto"/>
          <w:sz w:val="24"/>
        </w:rPr>
        <w:t>）招标项目而定，所涉该项目的招标文件及有关附件是本合同不可分割的组成部分，与本合同具有同等法律效力，这些文件包含但不限于：①招标文件、②承包人投标文件、③施工图纸和工程量清单</w:t>
      </w:r>
      <w:r>
        <w:rPr>
          <w:rFonts w:hint="eastAsia" w:cs="宋体"/>
          <w:color w:val="auto"/>
          <w:sz w:val="24"/>
          <w:lang w:eastAsia="zh-CN"/>
        </w:rPr>
        <w:t>（如有）</w:t>
      </w:r>
      <w:r>
        <w:rPr>
          <w:rFonts w:hint="eastAsia" w:cs="宋体"/>
          <w:color w:val="auto"/>
          <w:sz w:val="24"/>
        </w:rPr>
        <w:t>、④发包人承包人双方商定的其他文件。以上文件，顺序在前的具有优先解释权。</w:t>
      </w:r>
    </w:p>
    <w:p>
      <w:pPr>
        <w:snapToGrid w:val="0"/>
        <w:spacing w:line="480" w:lineRule="auto"/>
        <w:ind w:firstLine="480" w:firstLineChars="200"/>
        <w:rPr>
          <w:rFonts w:cs="宋体"/>
          <w:color w:val="auto"/>
          <w:sz w:val="24"/>
        </w:rPr>
      </w:pPr>
      <w:r>
        <w:rPr>
          <w:rFonts w:hint="eastAsia" w:cs="宋体"/>
          <w:color w:val="auto"/>
          <w:sz w:val="24"/>
        </w:rPr>
        <w:t>2、本工程不得转包。如承包人不具有相关专业资质的工程项目，需进行分包的，须征得发包人的同意，方可实施。</w:t>
      </w:r>
    </w:p>
    <w:p>
      <w:pPr>
        <w:snapToGrid w:val="0"/>
        <w:spacing w:line="480" w:lineRule="auto"/>
        <w:rPr>
          <w:rFonts w:cs="宋体"/>
          <w:color w:val="auto"/>
          <w:sz w:val="24"/>
        </w:rPr>
      </w:pPr>
      <w:r>
        <w:rPr>
          <w:rFonts w:hint="eastAsia" w:cs="宋体"/>
          <w:color w:val="auto"/>
          <w:sz w:val="24"/>
        </w:rPr>
        <w:t xml:space="preserve">    3、承包人已对施工现场进行实地堪查，承包人的投标</w:t>
      </w:r>
      <w:r>
        <w:rPr>
          <w:rFonts w:hint="eastAsia" w:cs="宋体"/>
          <w:color w:val="auto"/>
          <w:sz w:val="24"/>
          <w:lang w:eastAsia="zh-CN"/>
        </w:rPr>
        <w:t>费率</w:t>
      </w:r>
      <w:r>
        <w:rPr>
          <w:rFonts w:hint="eastAsia" w:cs="宋体"/>
          <w:color w:val="auto"/>
          <w:sz w:val="24"/>
        </w:rPr>
        <w:t>（合同价款）是承包人基于发包人提供的资料及承包人现场实地堪查后计算得出的，覆盖了承包人完成合同义务所包括的一切工作，承包人不得以漏项或考虑不周提出索赔或要求发包人增加支付费用。</w:t>
      </w:r>
    </w:p>
    <w:p>
      <w:pPr>
        <w:snapToGrid w:val="0"/>
        <w:spacing w:line="480" w:lineRule="auto"/>
        <w:ind w:firstLine="480" w:firstLineChars="200"/>
        <w:rPr>
          <w:rFonts w:cs="宋体"/>
          <w:color w:val="auto"/>
          <w:sz w:val="24"/>
        </w:rPr>
      </w:pPr>
      <w:r>
        <w:rPr>
          <w:rFonts w:hint="eastAsia" w:cs="宋体"/>
          <w:color w:val="auto"/>
          <w:sz w:val="24"/>
        </w:rPr>
        <w:t>4、</w:t>
      </w:r>
      <w:r>
        <w:rPr>
          <w:rFonts w:hint="eastAsia" w:cs="宋体"/>
          <w:color w:val="auto"/>
          <w:sz w:val="24"/>
          <w:lang w:eastAsia="zh-CN"/>
        </w:rPr>
        <w:t>发包人、承包人、跟踪审计三方确认的工程签证单的计算总和即为项目的工程总价</w:t>
      </w:r>
      <w:r>
        <w:rPr>
          <w:rFonts w:hint="eastAsia" w:cs="宋体"/>
          <w:color w:val="auto"/>
          <w:sz w:val="24"/>
        </w:rPr>
        <w:t>。</w:t>
      </w:r>
    </w:p>
    <w:p>
      <w:pPr>
        <w:snapToGrid w:val="0"/>
        <w:spacing w:line="480" w:lineRule="auto"/>
        <w:ind w:firstLine="480" w:firstLineChars="200"/>
        <w:rPr>
          <w:color w:val="auto"/>
        </w:rPr>
      </w:pPr>
      <w:r>
        <w:rPr>
          <w:rFonts w:hint="eastAsia" w:cs="宋体"/>
          <w:color w:val="auto"/>
          <w:sz w:val="24"/>
          <w:lang w:val="en-US" w:eastAsia="zh-CN"/>
        </w:rPr>
        <w:t>5</w:t>
      </w:r>
      <w:r>
        <w:rPr>
          <w:rFonts w:hint="eastAsia" w:cs="宋体"/>
          <w:color w:val="auto"/>
          <w:sz w:val="24"/>
        </w:rPr>
        <w:t>、关于其他保险的约定：承包人须为其施工现场的全部人员办理意外伤害保险并支付保险费，包括其员工及为履行合同聘请的第三方的人员。</w:t>
      </w:r>
    </w:p>
    <w:p>
      <w:pPr>
        <w:snapToGrid w:val="0"/>
        <w:spacing w:line="480" w:lineRule="auto"/>
        <w:ind w:firstLine="480" w:firstLineChars="200"/>
        <w:rPr>
          <w:rFonts w:cs="宋体"/>
          <w:color w:val="auto"/>
          <w:sz w:val="24"/>
        </w:rPr>
      </w:pPr>
      <w:r>
        <w:rPr>
          <w:rFonts w:hint="eastAsia" w:cs="宋体"/>
          <w:color w:val="auto"/>
          <w:sz w:val="24"/>
          <w:lang w:val="en-US" w:eastAsia="zh-CN"/>
        </w:rPr>
        <w:t>6</w:t>
      </w:r>
      <w:r>
        <w:rPr>
          <w:rFonts w:hint="eastAsia" w:cs="宋体"/>
          <w:color w:val="auto"/>
          <w:sz w:val="24"/>
        </w:rPr>
        <w:t>、本合同未尽事宜，适用《建设工程施工合同(示范文本)》(GF-2017-0201) 通用条款；该通用条款与本合同有冲突的，优先适用本合同。</w:t>
      </w:r>
    </w:p>
    <w:p>
      <w:pPr>
        <w:widowControl/>
        <w:shd w:val="clear" w:color="auto" w:fill="FFFFFF"/>
        <w:snapToGrid w:val="0"/>
        <w:spacing w:line="480" w:lineRule="auto"/>
        <w:ind w:firstLine="482" w:firstLineChars="200"/>
        <w:jc w:val="left"/>
        <w:rPr>
          <w:rFonts w:cs="宋体"/>
          <w:b/>
          <w:color w:val="auto"/>
          <w:sz w:val="24"/>
        </w:rPr>
      </w:pPr>
      <w:r>
        <w:rPr>
          <w:rFonts w:hint="eastAsia" w:cs="宋体"/>
          <w:b/>
          <w:color w:val="auto"/>
          <w:sz w:val="24"/>
        </w:rPr>
        <w:t>十四、附则</w:t>
      </w:r>
    </w:p>
    <w:p>
      <w:pPr>
        <w:widowControl/>
        <w:shd w:val="clear" w:color="auto" w:fill="FFFFFF"/>
        <w:snapToGrid w:val="0"/>
        <w:spacing w:line="480" w:lineRule="auto"/>
        <w:ind w:firstLine="480" w:firstLineChars="200"/>
        <w:jc w:val="left"/>
        <w:rPr>
          <w:rFonts w:cs="宋体"/>
          <w:color w:val="auto"/>
          <w:sz w:val="24"/>
        </w:rPr>
      </w:pPr>
      <w:r>
        <w:rPr>
          <w:rFonts w:hint="eastAsia" w:cs="宋体"/>
          <w:color w:val="auto"/>
          <w:sz w:val="24"/>
        </w:rPr>
        <w:t>1、本合同一式</w:t>
      </w:r>
      <w:r>
        <w:rPr>
          <w:rFonts w:hint="eastAsia" w:cs="宋体"/>
          <w:color w:val="auto"/>
          <w:sz w:val="24"/>
          <w:u w:val="single"/>
        </w:rPr>
        <w:t>陆</w:t>
      </w:r>
      <w:r>
        <w:rPr>
          <w:rFonts w:hint="eastAsia" w:cs="宋体"/>
          <w:color w:val="auto"/>
          <w:sz w:val="24"/>
        </w:rPr>
        <w:t>份，发包人执</w:t>
      </w:r>
      <w:r>
        <w:rPr>
          <w:rFonts w:hint="eastAsia" w:cs="宋体"/>
          <w:color w:val="auto"/>
          <w:sz w:val="24"/>
          <w:u w:val="single"/>
        </w:rPr>
        <w:t>叁</w:t>
      </w:r>
      <w:r>
        <w:rPr>
          <w:rFonts w:hint="eastAsia" w:cs="宋体"/>
          <w:color w:val="auto"/>
          <w:sz w:val="24"/>
        </w:rPr>
        <w:t>份，承包人执</w:t>
      </w:r>
      <w:r>
        <w:rPr>
          <w:rFonts w:hint="eastAsia" w:cs="宋体"/>
          <w:color w:val="auto"/>
          <w:sz w:val="24"/>
          <w:u w:val="single"/>
        </w:rPr>
        <w:t>叁</w:t>
      </w:r>
      <w:r>
        <w:rPr>
          <w:rFonts w:hint="eastAsia" w:cs="宋体"/>
          <w:color w:val="auto"/>
          <w:sz w:val="24"/>
        </w:rPr>
        <w:t>份，具体同等法律效力。</w:t>
      </w:r>
    </w:p>
    <w:p>
      <w:pPr>
        <w:widowControl/>
        <w:shd w:val="clear" w:color="auto" w:fill="FFFFFF"/>
        <w:snapToGrid w:val="0"/>
        <w:spacing w:line="480" w:lineRule="auto"/>
        <w:ind w:firstLine="480" w:firstLineChars="200"/>
        <w:jc w:val="left"/>
        <w:rPr>
          <w:rFonts w:cs="宋体"/>
          <w:b/>
          <w:color w:val="auto"/>
          <w:sz w:val="24"/>
        </w:rPr>
      </w:pPr>
      <w:r>
        <w:rPr>
          <w:rFonts w:hint="eastAsia" w:cs="宋体"/>
          <w:color w:val="auto"/>
          <w:sz w:val="24"/>
        </w:rPr>
        <w:t>2、本合同自甲乙双方签字并盖章之日起生效。</w:t>
      </w:r>
    </w:p>
    <w:p>
      <w:pPr>
        <w:widowControl/>
        <w:shd w:val="clear" w:color="auto" w:fill="FFFFFF"/>
        <w:spacing w:line="520" w:lineRule="exact"/>
        <w:jc w:val="left"/>
        <w:rPr>
          <w:rFonts w:cs="宋体"/>
          <w:b/>
          <w:color w:val="auto"/>
          <w:sz w:val="24"/>
        </w:rPr>
      </w:pPr>
    </w:p>
    <w:p>
      <w:pPr>
        <w:widowControl/>
        <w:shd w:val="clear" w:color="auto" w:fill="FFFFFF"/>
        <w:spacing w:line="520" w:lineRule="exact"/>
        <w:jc w:val="left"/>
        <w:rPr>
          <w:rFonts w:cs="宋体"/>
          <w:b/>
          <w:color w:val="auto"/>
          <w:sz w:val="24"/>
        </w:rPr>
      </w:pPr>
    </w:p>
    <w:p>
      <w:pPr>
        <w:widowControl/>
        <w:shd w:val="clear" w:color="auto" w:fill="FFFFFF"/>
        <w:spacing w:line="520" w:lineRule="exact"/>
        <w:jc w:val="left"/>
        <w:rPr>
          <w:rFonts w:cs="宋体"/>
          <w:b/>
          <w:color w:val="auto"/>
          <w:sz w:val="24"/>
        </w:rPr>
      </w:pPr>
      <w:r>
        <w:rPr>
          <w:rFonts w:hint="eastAsia" w:cs="宋体"/>
          <w:b/>
          <w:color w:val="auto"/>
          <w:sz w:val="24"/>
        </w:rPr>
        <w:t>发包人（盖章）：　　　　　　　　　　　　承包人（盖章）：</w:t>
      </w:r>
    </w:p>
    <w:p>
      <w:pPr>
        <w:widowControl/>
        <w:shd w:val="clear" w:color="auto" w:fill="FFFFFF"/>
        <w:spacing w:line="520" w:lineRule="exact"/>
        <w:jc w:val="left"/>
        <w:rPr>
          <w:rFonts w:cs="宋体"/>
          <w:color w:val="auto"/>
          <w:sz w:val="24"/>
        </w:rPr>
      </w:pPr>
      <w:r>
        <w:rPr>
          <w:rFonts w:hint="eastAsia" w:cs="宋体"/>
          <w:color w:val="auto"/>
          <w:sz w:val="24"/>
        </w:rPr>
        <w:t>法定代表人：　　　　　　　　　　　　　　法定代表人：</w:t>
      </w:r>
    </w:p>
    <w:p>
      <w:pPr>
        <w:widowControl/>
        <w:shd w:val="clear" w:color="auto" w:fill="FFFFFF"/>
        <w:spacing w:line="520" w:lineRule="exact"/>
        <w:jc w:val="left"/>
        <w:rPr>
          <w:rFonts w:cs="宋体"/>
          <w:color w:val="auto"/>
          <w:sz w:val="24"/>
        </w:rPr>
      </w:pPr>
      <w:r>
        <w:rPr>
          <w:rFonts w:hint="eastAsia" w:cs="宋体"/>
          <w:color w:val="auto"/>
          <w:sz w:val="24"/>
        </w:rPr>
        <w:t>或代理人：　　　　　　　　　　　　　　　或代理人：</w:t>
      </w:r>
    </w:p>
    <w:p>
      <w:pPr>
        <w:widowControl/>
        <w:shd w:val="clear" w:color="auto" w:fill="FFFFFF"/>
        <w:spacing w:line="520" w:lineRule="exact"/>
        <w:jc w:val="left"/>
        <w:rPr>
          <w:rFonts w:cs="宋体"/>
          <w:color w:val="auto"/>
          <w:sz w:val="24"/>
        </w:rPr>
      </w:pPr>
      <w:r>
        <w:rPr>
          <w:rFonts w:hint="eastAsia" w:cs="宋体"/>
          <w:color w:val="auto"/>
          <w:sz w:val="24"/>
        </w:rPr>
        <w:t>地址：                                  地址：</w:t>
      </w:r>
    </w:p>
    <w:p>
      <w:pPr>
        <w:widowControl/>
        <w:shd w:val="clear" w:color="auto" w:fill="FFFFFF"/>
        <w:spacing w:line="520" w:lineRule="exact"/>
        <w:jc w:val="left"/>
        <w:rPr>
          <w:rFonts w:cs="宋体"/>
          <w:color w:val="auto"/>
          <w:sz w:val="24"/>
        </w:rPr>
      </w:pPr>
    </w:p>
    <w:p>
      <w:pPr>
        <w:widowControl/>
        <w:shd w:val="clear" w:color="auto" w:fill="FFFFFF"/>
        <w:spacing w:line="520" w:lineRule="exact"/>
        <w:jc w:val="left"/>
        <w:rPr>
          <w:rFonts w:cs="宋体"/>
          <w:color w:val="auto"/>
          <w:sz w:val="24"/>
        </w:rPr>
      </w:pPr>
      <w:r>
        <w:rPr>
          <w:rFonts w:hint="eastAsia" w:cs="宋体"/>
          <w:color w:val="auto"/>
          <w:sz w:val="24"/>
        </w:rPr>
        <w:t>电话：　　　　　　　　　　　　　        电话：</w:t>
      </w:r>
    </w:p>
    <w:p>
      <w:pPr>
        <w:widowControl/>
        <w:shd w:val="clear" w:color="auto" w:fill="FFFFFF"/>
        <w:spacing w:line="520" w:lineRule="exact"/>
        <w:jc w:val="left"/>
        <w:rPr>
          <w:rFonts w:cs="宋体"/>
          <w:color w:val="auto"/>
          <w:sz w:val="24"/>
        </w:rPr>
      </w:pPr>
      <w:r>
        <w:rPr>
          <w:rFonts w:hint="eastAsia" w:cs="宋体"/>
          <w:color w:val="auto"/>
          <w:sz w:val="24"/>
        </w:rPr>
        <w:t>传真：　　　　　　　　　　　　　　　　　传真：</w:t>
      </w:r>
    </w:p>
    <w:p>
      <w:pPr>
        <w:widowControl/>
        <w:shd w:val="clear" w:color="auto" w:fill="FFFFFF"/>
        <w:spacing w:line="520" w:lineRule="exact"/>
        <w:jc w:val="left"/>
        <w:rPr>
          <w:rFonts w:cs="宋体"/>
          <w:color w:val="auto"/>
          <w:sz w:val="24"/>
        </w:rPr>
      </w:pPr>
      <w:r>
        <w:rPr>
          <w:rFonts w:hint="eastAsia" w:cs="宋体"/>
          <w:color w:val="auto"/>
          <w:sz w:val="24"/>
        </w:rPr>
        <w:t>邮码：　　　　　　　　　　　　　　　　　邮码：</w:t>
      </w:r>
    </w:p>
    <w:p>
      <w:pPr>
        <w:widowControl/>
        <w:shd w:val="clear" w:color="auto" w:fill="FFFFFF"/>
        <w:spacing w:line="520" w:lineRule="exact"/>
        <w:jc w:val="left"/>
        <w:rPr>
          <w:rFonts w:cs="宋体"/>
          <w:color w:val="auto"/>
          <w:sz w:val="24"/>
        </w:rPr>
      </w:pPr>
      <w:r>
        <w:rPr>
          <w:rFonts w:hint="eastAsia" w:cs="宋体"/>
          <w:color w:val="auto"/>
          <w:sz w:val="24"/>
        </w:rPr>
        <w:t>开户银行：　　　　　　                  开户银行：</w:t>
      </w:r>
    </w:p>
    <w:p>
      <w:pPr>
        <w:widowControl/>
        <w:shd w:val="clear" w:color="auto" w:fill="FFFFFF"/>
        <w:spacing w:line="520" w:lineRule="exact"/>
        <w:jc w:val="left"/>
        <w:rPr>
          <w:rFonts w:cs="宋体"/>
          <w:color w:val="auto"/>
          <w:sz w:val="24"/>
        </w:rPr>
      </w:pPr>
      <w:r>
        <w:rPr>
          <w:rFonts w:hint="eastAsia" w:cs="宋体"/>
          <w:color w:val="auto"/>
          <w:sz w:val="24"/>
        </w:rPr>
        <w:t>户名：                                   户名：　　　　　　　　　　　　　　　　　</w:t>
      </w:r>
    </w:p>
    <w:p>
      <w:pPr>
        <w:widowControl/>
        <w:shd w:val="clear" w:color="auto" w:fill="FFFFFF"/>
        <w:spacing w:line="520" w:lineRule="exact"/>
        <w:jc w:val="left"/>
        <w:rPr>
          <w:rFonts w:cs="宋体"/>
          <w:color w:val="auto"/>
          <w:sz w:val="24"/>
        </w:rPr>
      </w:pPr>
      <w:r>
        <w:rPr>
          <w:rFonts w:hint="eastAsia" w:cs="宋体"/>
          <w:color w:val="auto"/>
          <w:sz w:val="24"/>
          <w:lang w:val="en-US" w:eastAsia="zh-CN"/>
        </w:rPr>
        <w:t>账</w:t>
      </w:r>
      <w:r>
        <w:rPr>
          <w:rFonts w:hint="eastAsia" w:cs="宋体"/>
          <w:color w:val="auto"/>
          <w:sz w:val="24"/>
        </w:rPr>
        <w:t xml:space="preserve">号：　　　　　　　　                   </w:t>
      </w:r>
      <w:r>
        <w:rPr>
          <w:rFonts w:hint="eastAsia" w:cs="宋体"/>
          <w:color w:val="auto"/>
          <w:sz w:val="24"/>
          <w:lang w:val="en-US" w:eastAsia="zh-CN"/>
        </w:rPr>
        <w:t>账</w:t>
      </w:r>
      <w:r>
        <w:rPr>
          <w:rFonts w:hint="eastAsia" w:cs="宋体"/>
          <w:color w:val="auto"/>
          <w:sz w:val="24"/>
        </w:rPr>
        <w:t>号：</w:t>
      </w:r>
    </w:p>
    <w:p>
      <w:pPr>
        <w:widowControl/>
        <w:shd w:val="clear" w:color="auto" w:fill="FFFFFF"/>
        <w:spacing w:line="520" w:lineRule="exact"/>
        <w:ind w:right="380"/>
        <w:rPr>
          <w:rFonts w:asciiTheme="minorEastAsia" w:hAnsiTheme="minorEastAsia" w:eastAsiaTheme="minorEastAsia" w:cstheme="minorEastAsia"/>
          <w:b/>
          <w:color w:val="auto"/>
          <w:kern w:val="2"/>
          <w:sz w:val="24"/>
          <w:szCs w:val="24"/>
        </w:rPr>
      </w:pPr>
      <w:r>
        <w:rPr>
          <w:rFonts w:hint="eastAsia" w:cs="宋体"/>
          <w:color w:val="auto"/>
          <w:sz w:val="24"/>
        </w:rPr>
        <w:t>2025年　月　日                        2025年　月　日</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color w:val="auto"/>
          <w:kern w:val="0"/>
          <w:sz w:val="24"/>
          <w:szCs w:val="24"/>
          <w:highlight w:val="none"/>
        </w:rPr>
      </w:pPr>
    </w:p>
    <w:p>
      <w:pPr>
        <w:spacing w:line="360" w:lineRule="auto"/>
        <w:rPr>
          <w:rFonts w:asciiTheme="minorEastAsia" w:hAnsiTheme="minorEastAsia" w:eastAsiaTheme="minorEastAsia" w:cstheme="minorEastAsia"/>
          <w:b/>
          <w:color w:val="auto"/>
          <w:kern w:val="2"/>
          <w:sz w:val="24"/>
          <w:szCs w:val="24"/>
        </w:rPr>
      </w:pPr>
    </w:p>
    <w:p>
      <w:pPr>
        <w:spacing w:line="360" w:lineRule="auto"/>
        <w:rPr>
          <w:rFonts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附件：</w:t>
      </w:r>
    </w:p>
    <w:p>
      <w:pPr>
        <w:snapToGrid w:val="0"/>
        <w:spacing w:line="360" w:lineRule="auto"/>
        <w:rPr>
          <w:rFonts w:asciiTheme="minorEastAsia" w:hAnsiTheme="minorEastAsia" w:eastAsiaTheme="minorEastAsia" w:cstheme="minorEastAsia"/>
          <w:bCs/>
          <w:color w:val="auto"/>
          <w:kern w:val="2"/>
          <w:sz w:val="24"/>
          <w:szCs w:val="24"/>
        </w:rPr>
      </w:pPr>
      <w:r>
        <w:rPr>
          <w:rFonts w:hint="eastAsia"/>
          <w:b/>
          <w:color w:val="auto"/>
          <w:sz w:val="24"/>
        </w:rPr>
        <w:t>附件1：</w:t>
      </w:r>
      <w:r>
        <w:rPr>
          <w:rFonts w:hint="eastAsia" w:asciiTheme="minorEastAsia" w:hAnsiTheme="minorEastAsia" w:eastAsiaTheme="minorEastAsia" w:cstheme="minorEastAsia"/>
          <w:bCs/>
          <w:color w:val="auto"/>
          <w:kern w:val="2"/>
          <w:sz w:val="24"/>
          <w:szCs w:val="24"/>
        </w:rPr>
        <w:t>《安全施工协议书》</w:t>
      </w:r>
    </w:p>
    <w:p>
      <w:pPr>
        <w:snapToGrid w:val="0"/>
        <w:spacing w:line="360" w:lineRule="auto"/>
        <w:rPr>
          <w:b/>
          <w:color w:val="auto"/>
          <w:sz w:val="24"/>
        </w:rPr>
      </w:pPr>
      <w:r>
        <w:rPr>
          <w:rFonts w:hint="eastAsia"/>
          <w:b/>
          <w:color w:val="auto"/>
          <w:sz w:val="24"/>
        </w:rPr>
        <w:t>附件2：</w:t>
      </w:r>
      <w:r>
        <w:rPr>
          <w:rFonts w:hint="eastAsia"/>
          <w:bCs/>
          <w:color w:val="auto"/>
          <w:sz w:val="24"/>
        </w:rPr>
        <w:t>工程质量保修书</w:t>
      </w:r>
    </w:p>
    <w:p>
      <w:pPr>
        <w:snapToGrid w:val="0"/>
        <w:spacing w:line="360" w:lineRule="auto"/>
        <w:rPr>
          <w:bCs/>
          <w:color w:val="auto"/>
          <w:sz w:val="24"/>
        </w:rPr>
      </w:pPr>
      <w:r>
        <w:rPr>
          <w:rFonts w:hint="eastAsia"/>
          <w:b/>
          <w:color w:val="auto"/>
          <w:sz w:val="24"/>
        </w:rPr>
        <w:t>附件3：</w:t>
      </w:r>
      <w:r>
        <w:rPr>
          <w:rFonts w:hint="eastAsia"/>
          <w:bCs/>
          <w:color w:val="auto"/>
          <w:sz w:val="24"/>
        </w:rPr>
        <w:t>廉政协议</w:t>
      </w:r>
    </w:p>
    <w:p>
      <w:pPr>
        <w:snapToGrid w:val="0"/>
        <w:spacing w:line="360" w:lineRule="auto"/>
        <w:rPr>
          <w:b/>
          <w:color w:val="auto"/>
          <w:sz w:val="24"/>
        </w:rPr>
      </w:pPr>
      <w:r>
        <w:rPr>
          <w:rFonts w:hint="eastAsia"/>
          <w:b/>
          <w:color w:val="auto"/>
          <w:sz w:val="24"/>
        </w:rPr>
        <w:t>附件4：</w:t>
      </w:r>
      <w:r>
        <w:rPr>
          <w:rFonts w:hint="eastAsia" w:asciiTheme="minorEastAsia" w:hAnsiTheme="minorEastAsia" w:eastAsiaTheme="minorEastAsia" w:cstheme="minorEastAsia"/>
          <w:bCs/>
          <w:color w:val="auto"/>
          <w:kern w:val="2"/>
          <w:sz w:val="24"/>
          <w:szCs w:val="24"/>
        </w:rPr>
        <w:t>履约保证金</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color w:val="auto"/>
          <w:kern w:val="0"/>
          <w:sz w:val="24"/>
          <w:szCs w:val="24"/>
          <w:highlight w:val="none"/>
        </w:rPr>
      </w:pPr>
    </w:p>
    <w:p>
      <w:pPr>
        <w:rPr>
          <w:rFonts w:asciiTheme="minorEastAsia" w:hAnsiTheme="minorEastAsia" w:eastAsiaTheme="minorEastAsia" w:cstheme="minorEastAsia"/>
          <w:b/>
          <w:color w:val="auto"/>
          <w:kern w:val="2"/>
          <w:sz w:val="24"/>
          <w:szCs w:val="24"/>
        </w:rPr>
      </w:pPr>
      <w:r>
        <w:rPr>
          <w:rFonts w:asciiTheme="minorEastAsia" w:hAnsiTheme="minorEastAsia" w:eastAsiaTheme="minorEastAsia" w:cstheme="minorEastAsia"/>
          <w:b/>
          <w:color w:val="auto"/>
          <w:kern w:val="2"/>
          <w:sz w:val="24"/>
          <w:szCs w:val="24"/>
        </w:rPr>
        <w:br w:type="page"/>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附件</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bCs/>
          <w:color w:val="auto"/>
          <w:kern w:val="2"/>
          <w:sz w:val="24"/>
          <w:szCs w:val="24"/>
        </w:rPr>
        <w:t>《安全施工协议书》</w:t>
      </w:r>
      <w:r>
        <w:rPr>
          <w:rFonts w:hint="eastAsia" w:asciiTheme="minorEastAsia" w:hAnsiTheme="minorEastAsia" w:eastAsiaTheme="minorEastAsia" w:cstheme="minorEastAsia"/>
          <w:color w:val="auto"/>
          <w:kern w:val="2"/>
          <w:sz w:val="24"/>
          <w:szCs w:val="24"/>
        </w:rPr>
        <w:t xml:space="preserve">    </w:t>
      </w:r>
    </w:p>
    <w:p>
      <w:pPr>
        <w:pStyle w:val="122"/>
        <w:rPr>
          <w:rFonts w:hAnsi="宋体"/>
          <w:color w:val="auto"/>
        </w:rPr>
      </w:pPr>
    </w:p>
    <w:p>
      <w:pPr>
        <w:jc w:val="center"/>
        <w:rPr>
          <w:color w:val="auto"/>
          <w:sz w:val="32"/>
          <w:szCs w:val="32"/>
        </w:rPr>
      </w:pPr>
      <w:r>
        <w:rPr>
          <w:rFonts w:hint="eastAsia"/>
          <w:b/>
          <w:color w:val="auto"/>
          <w:sz w:val="32"/>
          <w:szCs w:val="32"/>
        </w:rPr>
        <w:t>安全施工协议书</w:t>
      </w:r>
    </w:p>
    <w:p>
      <w:pPr>
        <w:pStyle w:val="51"/>
        <w:shd w:val="clear" w:color="auto" w:fill="FFFFFF"/>
        <w:spacing w:before="0" w:beforeAutospacing="0" w:after="0" w:afterAutospacing="0" w:line="460" w:lineRule="exact"/>
        <w:jc w:val="both"/>
        <w:rPr>
          <w:rFonts w:cs="仿宋_GB2312"/>
          <w:color w:val="auto"/>
          <w:spacing w:val="8"/>
          <w:shd w:val="clear" w:color="auto" w:fill="FFFFFF"/>
        </w:rPr>
      </w:pPr>
      <w:r>
        <w:rPr>
          <w:rFonts w:hint="eastAsia" w:cs="仿宋_GB2312"/>
          <w:b/>
          <w:color w:val="auto"/>
          <w:spacing w:val="8"/>
          <w:shd w:val="clear" w:color="auto" w:fill="FFFFFF"/>
        </w:rPr>
        <w:t>甲方</w:t>
      </w:r>
      <w:r>
        <w:rPr>
          <w:rFonts w:hint="eastAsia" w:cs="仿宋_GB2312"/>
          <w:color w:val="auto"/>
          <w:spacing w:val="8"/>
          <w:shd w:val="clear" w:color="auto" w:fill="FFFFFF"/>
        </w:rPr>
        <w:t xml:space="preserve">(发包人)：  </w:t>
      </w:r>
    </w:p>
    <w:p>
      <w:pPr>
        <w:pStyle w:val="51"/>
        <w:shd w:val="clear" w:color="auto" w:fill="FFFFFF"/>
        <w:spacing w:before="0" w:beforeAutospacing="0" w:after="0" w:afterAutospacing="0" w:line="460" w:lineRule="exact"/>
        <w:jc w:val="both"/>
        <w:rPr>
          <w:rFonts w:cs="仿宋_GB2312"/>
          <w:color w:val="auto"/>
          <w:spacing w:val="8"/>
        </w:rPr>
      </w:pPr>
      <w:r>
        <w:rPr>
          <w:rFonts w:hint="eastAsia" w:cs="仿宋_GB2312"/>
          <w:b/>
          <w:color w:val="auto"/>
          <w:spacing w:val="8"/>
          <w:shd w:val="clear" w:color="auto" w:fill="FFFFFF"/>
        </w:rPr>
        <w:t>乙方</w:t>
      </w:r>
      <w:r>
        <w:rPr>
          <w:rFonts w:hint="eastAsia" w:cs="仿宋_GB2312"/>
          <w:color w:val="auto"/>
          <w:spacing w:val="8"/>
          <w:shd w:val="clear" w:color="auto" w:fill="FFFFFF"/>
        </w:rPr>
        <w:t>(承包人)：</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为了切实加强施工现场安全生产管理，依照《中华人民共和国安全生产法》、《中华人民共和国建筑法》以及《建设工程安全生产管理条例》、《建筑与市政工程施工现场临时用电安全技术标准》（JGJ/T46-2024）等有关法律法规和规章制度，双方本着平等、自愿的原则，签订本协议书。</w:t>
      </w:r>
    </w:p>
    <w:p>
      <w:pPr>
        <w:pStyle w:val="51"/>
        <w:shd w:val="clear" w:color="auto" w:fill="FFFFFF"/>
        <w:spacing w:before="0" w:beforeAutospacing="0" w:after="0" w:afterAutospacing="0" w:line="460" w:lineRule="exact"/>
        <w:ind w:firstLine="514" w:firstLineChars="200"/>
        <w:jc w:val="both"/>
        <w:rPr>
          <w:rFonts w:cs="黑体"/>
          <w:color w:val="auto"/>
          <w:spacing w:val="8"/>
        </w:rPr>
      </w:pPr>
      <w:r>
        <w:rPr>
          <w:rStyle w:val="59"/>
          <w:rFonts w:hint="eastAsia" w:cs="黑体"/>
          <w:color w:val="auto"/>
          <w:spacing w:val="8"/>
          <w:shd w:val="clear" w:color="auto" w:fill="FFFFFF"/>
        </w:rPr>
        <w:t>一、工程概况</w:t>
      </w:r>
    </w:p>
    <w:p>
      <w:pPr>
        <w:pStyle w:val="51"/>
        <w:shd w:val="clear" w:color="auto" w:fill="FFFFFF"/>
        <w:spacing w:before="0" w:beforeAutospacing="0" w:after="0" w:afterAutospacing="0" w:line="460" w:lineRule="exact"/>
        <w:ind w:firstLine="512" w:firstLineChars="200"/>
        <w:rPr>
          <w:rFonts w:cs="仿宋_GB2312"/>
          <w:color w:val="auto"/>
          <w:spacing w:val="8"/>
          <w:u w:val="single"/>
          <w:shd w:val="clear" w:color="auto" w:fill="FFFFFF"/>
        </w:rPr>
      </w:pPr>
      <w:r>
        <w:rPr>
          <w:rFonts w:hint="eastAsia" w:cs="仿宋_GB2312"/>
          <w:color w:val="auto"/>
          <w:spacing w:val="8"/>
          <w:shd w:val="clear" w:color="auto" w:fill="FFFFFF"/>
        </w:rPr>
        <w:t>1.施工项目：</w:t>
      </w:r>
    </w:p>
    <w:p>
      <w:pPr>
        <w:pStyle w:val="51"/>
        <w:shd w:val="clear" w:color="auto" w:fill="FFFFFF"/>
        <w:spacing w:before="0" w:beforeAutospacing="0" w:after="0" w:afterAutospacing="0" w:line="460" w:lineRule="exact"/>
        <w:ind w:firstLine="512" w:firstLineChars="200"/>
        <w:rPr>
          <w:rFonts w:cs="仿宋_GB2312"/>
          <w:color w:val="auto"/>
          <w:spacing w:val="8"/>
        </w:rPr>
      </w:pPr>
      <w:r>
        <w:rPr>
          <w:rFonts w:hint="eastAsia" w:cs="仿宋_GB2312"/>
          <w:color w:val="auto"/>
          <w:spacing w:val="8"/>
          <w:shd w:val="clear" w:color="auto" w:fill="FFFFFF"/>
        </w:rPr>
        <w:t>2、工程期限：年月日至年月日，共计天。</w:t>
      </w:r>
    </w:p>
    <w:p>
      <w:pPr>
        <w:pStyle w:val="51"/>
        <w:shd w:val="clear" w:color="auto" w:fill="FFFFFF"/>
        <w:spacing w:before="0" w:beforeAutospacing="0" w:after="0" w:afterAutospacing="0" w:line="460" w:lineRule="exact"/>
        <w:ind w:firstLine="512" w:firstLineChars="200"/>
        <w:rPr>
          <w:rFonts w:cs="仿宋_GB2312"/>
          <w:color w:val="auto"/>
          <w:spacing w:val="8"/>
          <w:shd w:val="clear" w:color="auto" w:fill="FFFFFF"/>
        </w:rPr>
      </w:pPr>
      <w:r>
        <w:rPr>
          <w:rFonts w:hint="eastAsia" w:cs="仿宋_GB2312"/>
          <w:color w:val="auto"/>
          <w:spacing w:val="8"/>
          <w:shd w:val="clear" w:color="auto" w:fill="FFFFFF"/>
        </w:rPr>
        <w:t>3、工程地点：</w:t>
      </w:r>
    </w:p>
    <w:p>
      <w:pPr>
        <w:pStyle w:val="51"/>
        <w:shd w:val="clear" w:color="auto" w:fill="FFFFFF"/>
        <w:spacing w:before="0" w:beforeAutospacing="0" w:after="0" w:afterAutospacing="0" w:line="460" w:lineRule="exact"/>
        <w:ind w:firstLine="514" w:firstLineChars="200"/>
        <w:rPr>
          <w:rFonts w:cs="黑体"/>
          <w:color w:val="auto"/>
          <w:spacing w:val="8"/>
        </w:rPr>
      </w:pPr>
      <w:r>
        <w:rPr>
          <w:rStyle w:val="59"/>
          <w:rFonts w:hint="eastAsia" w:cs="黑体"/>
          <w:color w:val="auto"/>
          <w:spacing w:val="8"/>
          <w:shd w:val="clear" w:color="auto" w:fill="FFFFFF"/>
        </w:rPr>
        <w:t>二、管理人员</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为保证施工安全管理及安全责任，必须明确现场管理人员：</w:t>
      </w:r>
    </w:p>
    <w:p>
      <w:pPr>
        <w:pStyle w:val="51"/>
        <w:shd w:val="clear" w:color="auto" w:fill="FFFFFF"/>
        <w:spacing w:before="0" w:beforeAutospacing="0" w:after="0" w:afterAutospacing="0" w:line="460" w:lineRule="exact"/>
        <w:ind w:firstLine="512" w:firstLineChars="200"/>
        <w:rPr>
          <w:rFonts w:cs="仿宋_GB2312"/>
          <w:color w:val="auto"/>
          <w:spacing w:val="8"/>
        </w:rPr>
      </w:pPr>
      <w:r>
        <w:rPr>
          <w:rFonts w:hint="eastAsia" w:cs="仿宋_GB2312"/>
          <w:color w:val="auto"/>
          <w:spacing w:val="8"/>
          <w:shd w:val="clear" w:color="auto" w:fill="FFFFFF"/>
        </w:rPr>
        <w:t>1、甲方现场安全负责人：  联系电话：</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2、乙方现场安全负责人：联系电话：</w:t>
      </w:r>
    </w:p>
    <w:p>
      <w:pPr>
        <w:pStyle w:val="51"/>
        <w:shd w:val="clear" w:color="auto" w:fill="FFFFFF"/>
        <w:spacing w:before="0" w:beforeAutospacing="0" w:after="0" w:afterAutospacing="0" w:line="460" w:lineRule="exact"/>
        <w:ind w:firstLine="514" w:firstLineChars="200"/>
        <w:jc w:val="both"/>
        <w:rPr>
          <w:rFonts w:cs="黑体"/>
          <w:color w:val="auto"/>
          <w:spacing w:val="8"/>
        </w:rPr>
      </w:pPr>
      <w:r>
        <w:rPr>
          <w:rStyle w:val="59"/>
          <w:rFonts w:hint="eastAsia" w:cs="黑体"/>
          <w:color w:val="auto"/>
          <w:spacing w:val="8"/>
          <w:shd w:val="clear" w:color="auto" w:fill="FFFFFF"/>
        </w:rPr>
        <w:t>三、甲方安全责任</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1、贯彻落实国家有关施工现场安全生产、文明施工的法规和管理规定，对乙方施工现场和区域进行全面的安全生产管理和监督检查并对施工现场临时用电进行安全检查与指导。</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2、及时纠正乙方施工人员违章指挥和违章作业行为，并按照有关规定予以查处。对乙方施工区域内的重大安全事故隐患，应开具隐患通知单。</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3、建立健全施工现场各项安全生产管理制度。要求乙方制定施工安全措施，在开始施工前报甲方备案。</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4、对乙方的安全生产培训、劳动保护用品的使用和危险预知工作提出指导意见，并监督落实情况。</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5、对乙方提出的安全生产要求积极提供帮助。</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6、向乙方提供电源时，应与乙方办理交接验收手续。</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7、按照有关临时用电标准对乙方的临时用电设备设施进行监督和检查。发现乙方在临时用电中存在隐患必须责成</w:t>
      </w:r>
      <w:bookmarkStart w:id="53" w:name="_GoBack"/>
      <w:r>
        <w:rPr>
          <w:rFonts w:hint="eastAsia" w:cs="仿宋_GB2312"/>
          <w:color w:val="auto"/>
          <w:spacing w:val="8"/>
          <w:shd w:val="clear" w:color="auto" w:fill="FFFFFF"/>
        </w:rPr>
        <w:t>乙方以整改</w:t>
      </w:r>
      <w:bookmarkEnd w:id="53"/>
      <w:r>
        <w:rPr>
          <w:rFonts w:hint="eastAsia" w:cs="仿宋_GB2312"/>
          <w:color w:val="auto"/>
          <w:spacing w:val="8"/>
          <w:shd w:val="clear" w:color="auto" w:fill="FFFFFF"/>
        </w:rPr>
        <w:t>。并监督整改落实情况。</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8、对乙方特种作业人员的名单、操作证复印件及培训记录进行存档备案。</w:t>
      </w:r>
    </w:p>
    <w:p>
      <w:pPr>
        <w:pStyle w:val="51"/>
        <w:shd w:val="clear" w:color="auto" w:fill="FFFFFF"/>
        <w:spacing w:before="0" w:beforeAutospacing="0" w:after="0" w:afterAutospacing="0" w:line="460" w:lineRule="exact"/>
        <w:ind w:firstLine="514" w:firstLineChars="200"/>
        <w:jc w:val="both"/>
        <w:rPr>
          <w:rFonts w:cs="黑体"/>
          <w:color w:val="auto"/>
          <w:spacing w:val="8"/>
        </w:rPr>
      </w:pPr>
      <w:r>
        <w:rPr>
          <w:rStyle w:val="59"/>
          <w:rFonts w:hint="eastAsia" w:cs="黑体"/>
          <w:color w:val="auto"/>
          <w:spacing w:val="8"/>
          <w:shd w:val="clear" w:color="auto" w:fill="FFFFFF"/>
        </w:rPr>
        <w:t>四、乙方安全责任</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2、服从甲方安全生产管理，乙方施工过程中需使用电、水源，就事先与甲方取得联系，不得私拉乱接。中断作业或遇故障应立即切断有关开关。</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3、乙方一切施工活动，必须编制安全施工措施，施工前对全体施工人员进行全面的技术交底，并在整个施工过程正确、完整地执行，无措施或未交底严禁布置施工。</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4、乙方必须为施工作业人员参加人身意外保险。</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5、乙方造成生产安全事故，导致人员伤亡时，由乙方承担事故责任和经济责任。</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6、未经安全生产教育培训和无证人员，不得上岗作业。</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7、乙方施工过程中应做到工完、料尽、场地清，确保安全文明施工。</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8、乙方必须接受甲方的监督、检查，对甲方提出的安全整改意见必须及时整改。</w:t>
      </w:r>
    </w:p>
    <w:p>
      <w:pPr>
        <w:pStyle w:val="51"/>
        <w:shd w:val="clear" w:color="auto" w:fill="FFFFFF"/>
        <w:spacing w:before="0" w:beforeAutospacing="0" w:after="0" w:afterAutospacing="0" w:line="460" w:lineRule="exact"/>
        <w:ind w:firstLine="514" w:firstLineChars="200"/>
        <w:jc w:val="both"/>
        <w:rPr>
          <w:rFonts w:cs="黑体"/>
          <w:b/>
          <w:color w:val="auto"/>
          <w:spacing w:val="8"/>
          <w:shd w:val="clear" w:color="auto" w:fill="FFFFFF"/>
        </w:rPr>
      </w:pPr>
      <w:r>
        <w:rPr>
          <w:rFonts w:hint="eastAsia" w:cs="黑体"/>
          <w:b/>
          <w:color w:val="auto"/>
          <w:spacing w:val="8"/>
          <w:shd w:val="clear" w:color="auto" w:fill="FFFFFF"/>
        </w:rPr>
        <w:t>五、安全要求</w:t>
      </w:r>
    </w:p>
    <w:p>
      <w:pPr>
        <w:pStyle w:val="51"/>
        <w:shd w:val="clear" w:color="auto" w:fill="FFFFFF"/>
        <w:spacing w:before="0" w:beforeAutospacing="0" w:after="0" w:afterAutospacing="0" w:line="460" w:lineRule="exact"/>
        <w:ind w:firstLine="514" w:firstLineChars="200"/>
        <w:jc w:val="both"/>
        <w:rPr>
          <w:rFonts w:cs="仿宋_GB2312"/>
          <w:b/>
          <w:color w:val="auto"/>
          <w:spacing w:val="8"/>
        </w:rPr>
      </w:pPr>
      <w:r>
        <w:rPr>
          <w:rFonts w:hint="eastAsia" w:cs="仿宋_GB2312"/>
          <w:b/>
          <w:color w:val="auto"/>
          <w:spacing w:val="8"/>
          <w:shd w:val="clear" w:color="auto" w:fill="FFFFFF"/>
        </w:rPr>
        <w:t>(一)登高上架要求</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1、施工采用的脚手架、安全网必须由专业人员搭设，由项目经理(工地负责人)组织技术部、安全部门的有关人员验收合格后，方可投入使用，应按类别逐项查验，并应有验收记录。</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3、进入施工现场的人员必须佩戴安全帽。凡在2m以上高处作业人员，必须正确使用安全带，安全带应高挂低用。</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4、工程施工前，除工程技术人员对施工作业人员进行书面安全技术交底，并履行签字手续外，必须各施工班组长向施工人员进行班组交底及履行签字手续。</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5、特殊工程施工项目如;电气、易燃、易爆容器、管道等，必须持有效证件及上岗证的专业人员操作。</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6、拆除施工现场，必须设有临时急救人员及药品或设立临时救助站。</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7、严禁在工作前和工作中饮酒，不许穿高跟鞋、硬底鞋、拖鞋，应穿防滑鞋。</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8、进入施工现场须服从领导和安检人员的指挥，遵守劳动纪律、严守岗位、不串岗，作业时思想要集中。</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9、严禁随意拆除或损坏防护栏杆、拉杆、安全网、跳板、脚手板、支撑等防护设施。</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10、面砖搬运、安装时应注意安全，防止因面砖翻倒而受伤。</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11、各种材料加工时注意操作安全及施工用电，不得随便乱接乱拉电线。</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12、施工现场各周边洞口，必须有符合安全规范要求的安全防护，若因施工作业场地要求而拆除的，操作完成后，立即恢复。</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13、脚手架上禁止有探头板、飞跳板，脚手架上应满铺脚手板，脚手架上禁止堆放砂浆、砖块、面砖等物料。</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15、作业中不得往下投掷物件、碎砖、灰渣等，清理物料时应设溜槽或使用垃圾桶;手持工具和零星物料应随时放在工具袋中。</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16、年龄未满18周岁者，患有心脏病、贫血、高血压、低血压、癫痫病及其他不适于高空作业的病症者严禁从事外墙施工作业。</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17、遇到雷雨、大风等天气外墙施工应暂停作业。</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18、手持电动工具使用前应进行检查，空载试验运转正常合格后方可使用，转移工作点应切断电源，潮湿场所严禁使用手持式电动工具。</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19、作业前必须认真检查机械设备的安全装置，调整机器或更换刀具时应先切断电源并由机械员进行。</w:t>
      </w:r>
    </w:p>
    <w:p>
      <w:pPr>
        <w:pStyle w:val="51"/>
        <w:shd w:val="clear" w:color="auto" w:fill="FFFFFF"/>
        <w:spacing w:before="0" w:beforeAutospacing="0" w:after="0" w:afterAutospacing="0" w:line="460" w:lineRule="exact"/>
        <w:ind w:firstLine="514" w:firstLineChars="200"/>
        <w:jc w:val="both"/>
        <w:rPr>
          <w:rFonts w:cs="仿宋_GB2312"/>
          <w:b/>
          <w:color w:val="auto"/>
          <w:spacing w:val="8"/>
        </w:rPr>
      </w:pPr>
      <w:r>
        <w:rPr>
          <w:rFonts w:hint="eastAsia" w:cs="仿宋_GB2312"/>
          <w:b/>
          <w:color w:val="auto"/>
          <w:spacing w:val="8"/>
          <w:shd w:val="clear" w:color="auto" w:fill="FFFFFF"/>
        </w:rPr>
        <w:t>(二)用电要求</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1、配电箱的箱柜门处应有名称，用途，分路、标记及内部系统接线图，以防失误操作。</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2、配电装置均应配锁，并有专人负责开启和关闭上锁。</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3、电工和用电人员用电时，必须按规定穿戴绝缘，防护用品，使用绝缘工具。</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4、施工现场下班停止工作时，必须将班后不用的配电装置分闸断电，并上锁，班中停止工作1小时以上时，相关动力开关箱应断电上锁，暂时不用的配电装置也应断电上锁。</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5、配电箱、开关箱内的电气配置和接线，严禁随意改动、并不得随意挂接其他用电设备。</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6、配电装置的漏电保护器，应每次使用时用试验按钮试跳一次，只有试跳正常才可继续使用。</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7、用电设备的保护接地线应并联接地，并严禁串联接地或接零。</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8、使用中的电气设备应保持完好的工作状态，严禁带故障运行。</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9、现场临时用电及照明必须由项目经理同意，由专业电工按JGJ46-88《施工现场临时用电安全技术规范》要求进行操作。</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10、现场所有用电设备必须用插头与插线板连接，禁止将线头直接插入插线板。</w:t>
      </w:r>
    </w:p>
    <w:p>
      <w:pPr>
        <w:pStyle w:val="51"/>
        <w:shd w:val="clear" w:color="auto" w:fill="FFFFFF"/>
        <w:spacing w:before="0" w:beforeAutospacing="0" w:after="0" w:afterAutospacing="0" w:line="460" w:lineRule="exact"/>
        <w:ind w:firstLine="514" w:firstLineChars="200"/>
        <w:jc w:val="both"/>
        <w:rPr>
          <w:rFonts w:cs="仿宋_GB2312"/>
          <w:b/>
          <w:color w:val="auto"/>
          <w:spacing w:val="8"/>
        </w:rPr>
      </w:pPr>
      <w:r>
        <w:rPr>
          <w:rFonts w:hint="eastAsia" w:cs="仿宋_GB2312"/>
          <w:b/>
          <w:color w:val="auto"/>
          <w:spacing w:val="8"/>
          <w:shd w:val="clear" w:color="auto" w:fill="FFFFFF"/>
        </w:rPr>
        <w:t>(三)电焊机使用要求</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1、操作人员应具有上岗证书，严禁无证操作。</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2、所有交、直流电的金属外壳，都必须采取保护接地或接零。焊接的金属和结构本身接地。</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3、电焊机二次焊把线，地线需接长使用时，应保证搭接面积，接点处用绝缘胶带包裹好，地线良好不能有破皮裂口存在。</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4遇有雨、雪、雾或六级以上强风，影响施工安全时应停止室外焊接，雨雪后应先清除施工地点的积水、积雪后方可施焊。</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5、焊接时，操作人员应穿戴好所有防护用具。</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6、各种用电设备，照明设备在露天使用时必须设有防水、防雨设施，各种设备的防护罩必须齐全。</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7无铬牌的电气设备不得随意接通电源，各种电气设备应铭牌齐全。</w:t>
      </w:r>
    </w:p>
    <w:p>
      <w:pPr>
        <w:pStyle w:val="51"/>
        <w:shd w:val="clear" w:color="auto" w:fill="FFFFFF"/>
        <w:spacing w:before="0" w:beforeAutospacing="0" w:after="0" w:afterAutospacing="0" w:line="460" w:lineRule="exact"/>
        <w:ind w:firstLine="514" w:firstLineChars="200"/>
        <w:jc w:val="both"/>
        <w:rPr>
          <w:rFonts w:cs="仿宋_GB2312"/>
          <w:b/>
          <w:color w:val="auto"/>
          <w:spacing w:val="8"/>
        </w:rPr>
      </w:pPr>
      <w:r>
        <w:rPr>
          <w:rFonts w:hint="eastAsia" w:cs="仿宋_GB2312"/>
          <w:b/>
          <w:color w:val="auto"/>
          <w:spacing w:val="8"/>
          <w:shd w:val="clear" w:color="auto" w:fill="FFFFFF"/>
        </w:rPr>
        <w:t>(四)动火要求</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1、进入施工现场，必须向施工班组人员进行消防及动火知识教育。</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2、施工现场严禁吸烟及随意动火，如需动火必须向项目经理提出申请，经项目经理同意签字后方可使用。</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3、施工中所需使用的易燃物品，如，汽油、气瓶等，必须设专门的临时存放库房并设置灭火器，沙袋等，由专人管理。</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4、施工现场认真执行“三清，五好”管理制度，尤其对木制品的刨花、锯末、料头，做到每天工完场清，各类材料都要码放成垛，整齐堆放。</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5、电焊、气焊作业前要明确作业任务，认真了解作业环境，确定出动火危险区域，并立出明显标志，危险区内的一切易燃品都必须移走，对不能移走的可燃物，采取可靠的保护措施。</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6、焊工必须持证上岗，无证者不能进行操作。</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7、属特、一、二级防火范围的焊割作业，未经办理动火审批手续，不准进行焊割作业。</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8、五级风以上禁止动用电气焊。</w:t>
      </w:r>
    </w:p>
    <w:p>
      <w:pPr>
        <w:pStyle w:val="51"/>
        <w:shd w:val="clear" w:color="auto" w:fill="FFFFFF"/>
        <w:spacing w:before="0" w:beforeAutospacing="0" w:after="0" w:afterAutospacing="0" w:line="460" w:lineRule="exact"/>
        <w:ind w:firstLine="514" w:firstLineChars="200"/>
        <w:jc w:val="both"/>
        <w:rPr>
          <w:rFonts w:cs="仿宋_GB2312"/>
          <w:b/>
          <w:color w:val="auto"/>
          <w:spacing w:val="8"/>
        </w:rPr>
      </w:pPr>
      <w:r>
        <w:rPr>
          <w:rFonts w:hint="eastAsia" w:cs="仿宋_GB2312"/>
          <w:b/>
          <w:color w:val="auto"/>
          <w:spacing w:val="8"/>
          <w:shd w:val="clear" w:color="auto" w:fill="FFFFFF"/>
        </w:rPr>
        <w:t>(五)室外吊篮施工要求</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1、施工前必须检查吊篮的焊接点、杆件、钢丝绳、葫芦，是否存在损坏和生锈，如存在则必须进行除锈补焊、更换等，方可使用。</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2、上架的施工人员，必须穿工作服、防滑鞋，并正确佩戴安全带，并与钢丝绳稳固连接。</w:t>
      </w:r>
    </w:p>
    <w:p>
      <w:pPr>
        <w:pStyle w:val="51"/>
        <w:shd w:val="clear" w:color="auto" w:fill="FFFFFF"/>
        <w:spacing w:before="0" w:beforeAutospacing="0" w:after="0" w:afterAutospacing="0" w:line="460" w:lineRule="exact"/>
        <w:ind w:firstLine="512" w:firstLineChars="200"/>
        <w:jc w:val="both"/>
        <w:rPr>
          <w:rFonts w:cs="仿宋_GB2312"/>
          <w:color w:val="auto"/>
          <w:spacing w:val="8"/>
        </w:rPr>
      </w:pPr>
      <w:r>
        <w:rPr>
          <w:rFonts w:hint="eastAsia" w:cs="仿宋_GB2312"/>
          <w:color w:val="auto"/>
          <w:spacing w:val="8"/>
          <w:shd w:val="clear" w:color="auto" w:fill="FFFFFF"/>
        </w:rPr>
        <w:t>3、吊篮内的施工人员，只能保持三人，携带的油漆、涂料等不得多于2桶，并用结实的绳索或挂钩固定在吊篮上。</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4、进入施工现场的操作人员必须由经过专业培训，并取得国家相关部门颁发的证书上岗。</w:t>
      </w:r>
    </w:p>
    <w:p>
      <w:pPr>
        <w:pStyle w:val="51"/>
        <w:shd w:val="clear" w:color="auto" w:fill="FFFFFF"/>
        <w:spacing w:before="0" w:beforeAutospacing="0" w:after="0" w:afterAutospacing="0" w:line="460" w:lineRule="exact"/>
        <w:ind w:firstLine="514" w:firstLineChars="200"/>
        <w:jc w:val="both"/>
        <w:rPr>
          <w:rFonts w:cs="黑体"/>
          <w:b/>
          <w:color w:val="auto"/>
          <w:spacing w:val="8"/>
          <w:shd w:val="clear" w:color="auto" w:fill="FFFFFF"/>
        </w:rPr>
      </w:pPr>
      <w:r>
        <w:rPr>
          <w:rFonts w:hint="eastAsia" w:cs="黑体"/>
          <w:b/>
          <w:color w:val="auto"/>
          <w:spacing w:val="8"/>
          <w:shd w:val="clear" w:color="auto" w:fill="FFFFFF"/>
        </w:rPr>
        <w:t>六、其他</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1、协议作为乙双方工程合同的补充，与工程合同具备同样法律效力，协议内容如有和国家地方的有关法律法规规章不符者，按国家和地方的有关规定执行。</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3、本协议经立协议双方法人单位盖章或现场负责人签字后生效，有效期从年月日至合同任务结束。</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4、本合同一式陆份，甲方执叁份，乙方执叁份。</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5、当合约双方发生争议时，可以通过协商解决或申请施工合同管理机构有关部门调解，不愿通过调解或调解不成地可以向甲方所在地人民法院起诉。</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p>
    <w:p>
      <w:pPr>
        <w:pStyle w:val="51"/>
        <w:shd w:val="clear" w:color="auto" w:fill="FFFFFF"/>
        <w:spacing w:before="0" w:beforeAutospacing="0" w:after="0" w:afterAutospacing="0" w:line="460" w:lineRule="exact"/>
        <w:ind w:firstLine="514" w:firstLineChars="200"/>
        <w:jc w:val="both"/>
        <w:rPr>
          <w:rFonts w:cs="仿宋_GB2312"/>
          <w:color w:val="auto"/>
          <w:spacing w:val="8"/>
          <w:shd w:val="clear" w:color="auto" w:fill="FFFFFF"/>
        </w:rPr>
      </w:pPr>
      <w:r>
        <w:rPr>
          <w:rFonts w:hint="eastAsia" w:cs="仿宋_GB2312"/>
          <w:b/>
          <w:color w:val="auto"/>
          <w:spacing w:val="8"/>
          <w:shd w:val="clear" w:color="auto" w:fill="FFFFFF"/>
        </w:rPr>
        <w:t>甲方</w:t>
      </w:r>
      <w:r>
        <w:rPr>
          <w:rFonts w:hint="eastAsia" w:cs="仿宋_GB2312"/>
          <w:color w:val="auto"/>
          <w:spacing w:val="8"/>
          <w:shd w:val="clear" w:color="auto" w:fill="FFFFFF"/>
        </w:rPr>
        <w:t>（盖章）:</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现场负责人(签字):</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联系电话:</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签订时间：年月日</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p>
    <w:p>
      <w:pPr>
        <w:pStyle w:val="51"/>
        <w:shd w:val="clear" w:color="auto" w:fill="FFFFFF"/>
        <w:spacing w:before="0" w:beforeAutospacing="0" w:after="0" w:afterAutospacing="0" w:line="460" w:lineRule="exact"/>
        <w:ind w:firstLine="514" w:firstLineChars="200"/>
        <w:jc w:val="both"/>
        <w:rPr>
          <w:rFonts w:cs="仿宋_GB2312"/>
          <w:color w:val="auto"/>
          <w:spacing w:val="8"/>
          <w:shd w:val="clear" w:color="auto" w:fill="FFFFFF"/>
        </w:rPr>
      </w:pPr>
      <w:r>
        <w:rPr>
          <w:rFonts w:hint="eastAsia" w:cs="仿宋_GB2312"/>
          <w:b/>
          <w:color w:val="auto"/>
          <w:spacing w:val="8"/>
          <w:shd w:val="clear" w:color="auto" w:fill="FFFFFF"/>
        </w:rPr>
        <w:t>乙方</w:t>
      </w:r>
      <w:r>
        <w:rPr>
          <w:rFonts w:hint="eastAsia" w:cs="仿宋_GB2312"/>
          <w:color w:val="auto"/>
          <w:spacing w:val="8"/>
          <w:shd w:val="clear" w:color="auto" w:fill="FFFFFF"/>
        </w:rPr>
        <w:t>（盖章）:</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现场负责人(签字)：</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 xml:space="preserve">联系电话: </w:t>
      </w:r>
    </w:p>
    <w:p>
      <w:pPr>
        <w:pStyle w:val="51"/>
        <w:shd w:val="clear" w:color="auto" w:fill="FFFFFF"/>
        <w:spacing w:before="0" w:beforeAutospacing="0" w:after="0" w:afterAutospacing="0" w:line="460" w:lineRule="exact"/>
        <w:ind w:firstLine="512" w:firstLineChars="200"/>
        <w:jc w:val="both"/>
        <w:rPr>
          <w:rFonts w:cs="仿宋_GB2312"/>
          <w:color w:val="auto"/>
          <w:spacing w:val="8"/>
          <w:shd w:val="clear" w:color="auto" w:fill="FFFFFF"/>
        </w:rPr>
      </w:pPr>
      <w:r>
        <w:rPr>
          <w:rFonts w:hint="eastAsia" w:cs="仿宋_GB2312"/>
          <w:color w:val="auto"/>
          <w:spacing w:val="8"/>
          <w:shd w:val="clear" w:color="auto" w:fill="FFFFFF"/>
        </w:rPr>
        <w:t>签订时间：年月日</w:t>
      </w:r>
    </w:p>
    <w:p>
      <w:pPr>
        <w:rPr>
          <w:rFonts w:asciiTheme="minorEastAsia" w:hAnsiTheme="minorEastAsia" w:eastAsiaTheme="minorEastAsia" w:cstheme="minorEastAsia"/>
          <w:color w:val="auto"/>
          <w:kern w:val="2"/>
          <w:sz w:val="24"/>
          <w:szCs w:val="24"/>
        </w:rPr>
      </w:pPr>
      <w:r>
        <w:rPr>
          <w:rFonts w:asciiTheme="minorEastAsia" w:hAnsiTheme="minorEastAsia" w:eastAsiaTheme="minorEastAsia" w:cstheme="minorEastAsia"/>
          <w:color w:val="auto"/>
          <w:kern w:val="2"/>
          <w:sz w:val="24"/>
          <w:szCs w:val="24"/>
        </w:rPr>
        <w:br w:type="page"/>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附件2：工程质量保修书    </w:t>
      </w:r>
    </w:p>
    <w:p>
      <w:pPr>
        <w:spacing w:beforeLines="50" w:afterLines="50" w:line="360" w:lineRule="auto"/>
        <w:jc w:val="center"/>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工程质量保修书</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发包人（全称）：</w:t>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承包人（全称）：</w:t>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发包人和承包人根据《中华人民共和国建筑法》和《建设工程质量管理条例》，经协商一致就 签订工程质量保修书。</w:t>
      </w:r>
    </w:p>
    <w:p>
      <w:pPr>
        <w:spacing w:line="360" w:lineRule="auto"/>
        <w:outlineLvl w:val="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一、工程质量保修范围和内容</w:t>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承包人在质量保修期内，按照有关法律规定和合同约定，承担工程质量保修责任。</w:t>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outlineLvl w:val="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二、质量保修期</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根据《建设工程质量管理条例》及有关规定，工程的质量保修期如下：</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1．地基基础工程和主体结构工程为设计文件规定的工程合理使用年限；</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2．屋面防水工程、有防水要求的卫生间、房间和外墙面的防渗为</w:t>
      </w:r>
      <w:r>
        <w:rPr>
          <w:rFonts w:hint="eastAsia" w:asciiTheme="minorEastAsia" w:hAnsiTheme="minorEastAsia" w:eastAsiaTheme="minorEastAsia" w:cstheme="minorEastAsia"/>
          <w:color w:val="auto"/>
          <w:kern w:val="2"/>
          <w:sz w:val="24"/>
          <w:szCs w:val="24"/>
          <w:u w:val="single"/>
        </w:rPr>
        <w:t>5</w:t>
      </w:r>
      <w:r>
        <w:rPr>
          <w:rFonts w:hint="eastAsia" w:asciiTheme="minorEastAsia" w:hAnsiTheme="minorEastAsia" w:eastAsiaTheme="minorEastAsia" w:cstheme="minorEastAsia"/>
          <w:color w:val="auto"/>
          <w:kern w:val="2"/>
          <w:sz w:val="24"/>
          <w:szCs w:val="24"/>
        </w:rPr>
        <w:t>年；</w:t>
      </w:r>
    </w:p>
    <w:p>
      <w:pPr>
        <w:spacing w:line="360" w:lineRule="auto"/>
        <w:ind w:left="400" w:leftChars="200" w:firstLine="120" w:firstLineChars="5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3．装修工程为</w:t>
      </w:r>
      <w:r>
        <w:rPr>
          <w:rFonts w:hint="eastAsia" w:asciiTheme="minorEastAsia" w:hAnsiTheme="minorEastAsia" w:eastAsiaTheme="minorEastAsia" w:cstheme="minorEastAsia"/>
          <w:color w:val="auto"/>
          <w:kern w:val="2"/>
          <w:sz w:val="24"/>
          <w:szCs w:val="24"/>
          <w:u w:val="single"/>
        </w:rPr>
        <w:t>2</w:t>
      </w:r>
      <w:r>
        <w:rPr>
          <w:rFonts w:hint="eastAsia" w:asciiTheme="minorEastAsia" w:hAnsiTheme="minorEastAsia" w:eastAsiaTheme="minorEastAsia" w:cstheme="minorEastAsia"/>
          <w:color w:val="auto"/>
          <w:kern w:val="2"/>
          <w:sz w:val="24"/>
          <w:szCs w:val="24"/>
        </w:rPr>
        <w:t>年；</w:t>
      </w:r>
    </w:p>
    <w:p>
      <w:pPr>
        <w:spacing w:line="360" w:lineRule="auto"/>
        <w:ind w:left="400" w:leftChars="200" w:firstLine="120" w:firstLineChars="5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4．电气管线、给排水管道、设备安装工程为</w:t>
      </w:r>
      <w:r>
        <w:rPr>
          <w:rFonts w:hint="eastAsia" w:asciiTheme="minorEastAsia" w:hAnsiTheme="minorEastAsia" w:eastAsiaTheme="minorEastAsia" w:cstheme="minorEastAsia"/>
          <w:color w:val="auto"/>
          <w:kern w:val="2"/>
          <w:sz w:val="24"/>
          <w:szCs w:val="24"/>
          <w:u w:val="single"/>
        </w:rPr>
        <w:t>2</w:t>
      </w:r>
      <w:r>
        <w:rPr>
          <w:rFonts w:hint="eastAsia" w:asciiTheme="minorEastAsia" w:hAnsiTheme="minorEastAsia" w:eastAsiaTheme="minorEastAsia" w:cstheme="minorEastAsia"/>
          <w:color w:val="auto"/>
          <w:kern w:val="2"/>
          <w:sz w:val="24"/>
          <w:szCs w:val="24"/>
        </w:rPr>
        <w:t>年；</w:t>
      </w:r>
    </w:p>
    <w:p>
      <w:pPr>
        <w:spacing w:line="360" w:lineRule="auto"/>
        <w:ind w:left="400" w:leftChars="200" w:firstLine="120" w:firstLineChars="5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5．供热与供冷系统为</w:t>
      </w:r>
      <w:r>
        <w:rPr>
          <w:rFonts w:hint="eastAsia" w:asciiTheme="minorEastAsia" w:hAnsiTheme="minorEastAsia" w:eastAsiaTheme="minorEastAsia" w:cstheme="minorEastAsia"/>
          <w:color w:val="auto"/>
          <w:kern w:val="2"/>
          <w:sz w:val="24"/>
          <w:szCs w:val="24"/>
          <w:u w:val="single"/>
        </w:rPr>
        <w:t>2</w:t>
      </w:r>
      <w:r>
        <w:rPr>
          <w:rFonts w:hint="eastAsia" w:asciiTheme="minorEastAsia" w:hAnsiTheme="minorEastAsia" w:eastAsiaTheme="minorEastAsia" w:cstheme="minorEastAsia"/>
          <w:color w:val="auto"/>
          <w:kern w:val="2"/>
          <w:sz w:val="24"/>
          <w:szCs w:val="24"/>
        </w:rPr>
        <w:t>个采暖期、供冷期；</w:t>
      </w:r>
    </w:p>
    <w:p>
      <w:pPr>
        <w:spacing w:line="360" w:lineRule="auto"/>
        <w:ind w:left="400" w:leftChars="200" w:firstLine="120" w:firstLineChars="5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6．住宅小区内的给排水设施、道路等配套工程为</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rPr>
        <w:t>年；</w:t>
      </w:r>
    </w:p>
    <w:p>
      <w:pPr>
        <w:spacing w:line="360" w:lineRule="auto"/>
        <w:ind w:left="400" w:leftChars="200" w:firstLine="120" w:firstLineChars="50"/>
        <w:rPr>
          <w:rFonts w:asciiTheme="minorEastAsia" w:hAnsiTheme="minorEastAsia" w:eastAsiaTheme="minorEastAsia" w:cstheme="minorEastAsia"/>
          <w:color w:val="auto"/>
          <w:kern w:val="2"/>
          <w:sz w:val="24"/>
          <w:szCs w:val="24"/>
          <w:u w:val="single"/>
        </w:rPr>
      </w:pPr>
      <w:r>
        <w:rPr>
          <w:rFonts w:hint="eastAsia" w:asciiTheme="minorEastAsia" w:hAnsiTheme="minorEastAsia" w:eastAsiaTheme="minorEastAsia" w:cstheme="minorEastAsia"/>
          <w:color w:val="auto"/>
          <w:kern w:val="2"/>
          <w:sz w:val="24"/>
          <w:szCs w:val="24"/>
        </w:rPr>
        <w:t>7．其他项目保修期限约定如下：</w:t>
      </w:r>
    </w:p>
    <w:p>
      <w:pPr>
        <w:spacing w:line="360" w:lineRule="auto"/>
        <w:ind w:left="400" w:leftChars="200" w:firstLine="120" w:firstLineChars="5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本项目的质量保修期为</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rPr>
        <w:t>年。质量保修期自工程竣工验收合格之日起计算。</w:t>
      </w:r>
    </w:p>
    <w:p>
      <w:pPr>
        <w:spacing w:line="360" w:lineRule="auto"/>
        <w:ind w:firstLine="480" w:firstLineChars="200"/>
        <w:outlineLvl w:val="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三、缺陷责任期</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工程缺陷责任期为个月，缺陷责任期自工程通过竣工验收之日起计算。单位工程先于全部工程进行验收，单位工程缺陷责任期自单位工程验收合格之日起算。</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缺陷责任期满且承包人已经及时全面履行维修义务后，发包人应退还剩余的质量保证金。</w:t>
      </w:r>
    </w:p>
    <w:p>
      <w:pPr>
        <w:spacing w:line="360" w:lineRule="auto"/>
        <w:ind w:firstLine="480" w:firstLineChars="200"/>
        <w:outlineLvl w:val="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四、质量保修责任</w:t>
      </w:r>
    </w:p>
    <w:p>
      <w:pPr>
        <w:spacing w:line="360" w:lineRule="auto"/>
        <w:ind w:left="100" w:leftChars="50" w:firstLine="489" w:firstLineChars="204"/>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属于保修范围、内容的项目，承包人应当在接到保修通知之日起7天内派人保修。承包人不在约定期限内派人维修的或接到报修通知7日内没有维修好的，发包人可以委托他人修理，委托他人修理产生的费用和风险由承包人承担，发包人有权直接从质保金中扣除垫付的维修费用，质保金不足的，发包人有权另行追偿。</w:t>
      </w:r>
    </w:p>
    <w:p>
      <w:pPr>
        <w:spacing w:line="360" w:lineRule="auto"/>
        <w:ind w:left="100" w:leftChars="50" w:firstLine="489" w:firstLineChars="204"/>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发生紧急事故需抢修的，承包人在接到事故通知后，应当2小时内到达事故现场抢修。承包人如未及时赶到现场处理，发包人可以委托他人抢修，委托他人修理产生的费用和风险由承包人承担，发包人有权直接从质保金中扣除垫付的维修费用，质保金不足的，发包人有权另行追偿。</w:t>
      </w:r>
    </w:p>
    <w:p>
      <w:pPr>
        <w:spacing w:line="360" w:lineRule="auto"/>
        <w:ind w:left="100" w:leftChars="50" w:firstLine="489" w:firstLineChars="204"/>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00" w:leftChars="200" w:firstLine="120" w:firstLineChars="5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4．质量保修完成后，由发包人组织验收。</w:t>
      </w:r>
    </w:p>
    <w:p>
      <w:pPr>
        <w:spacing w:line="360" w:lineRule="auto"/>
        <w:ind w:firstLine="480" w:firstLineChars="200"/>
        <w:outlineLvl w:val="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五、保修费用</w:t>
      </w:r>
    </w:p>
    <w:p>
      <w:pPr>
        <w:spacing w:line="360" w:lineRule="auto"/>
        <w:ind w:firstLine="480" w:firstLineChars="20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保修期内，维修费用由承包方承担；保修期外，维修费用由造成质量缺陷的责任方承担。</w:t>
      </w:r>
    </w:p>
    <w:p>
      <w:pPr>
        <w:spacing w:line="360" w:lineRule="auto"/>
        <w:ind w:firstLine="600"/>
        <w:jc w:val="left"/>
        <w:outlineLvl w:val="0"/>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六、双方约定的其他工程质量保修事项：。</w:t>
      </w:r>
    </w:p>
    <w:p>
      <w:pPr>
        <w:spacing w:line="360" w:lineRule="auto"/>
        <w:ind w:firstLine="456" w:firstLineChars="19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工程质量保修书由发包人、承包人在工程竣工验收前共同签署，作为施工合同附件，其有效期限至保修期满。</w:t>
      </w:r>
    </w:p>
    <w:p>
      <w:pPr>
        <w:spacing w:line="360" w:lineRule="auto"/>
        <w:ind w:firstLine="456" w:firstLineChars="190"/>
        <w:rPr>
          <w:rFonts w:hint="eastAsia" w:asciiTheme="minorEastAsia" w:hAnsiTheme="minorEastAsia" w:eastAsiaTheme="minorEastAsia" w:cstheme="minorEastAsia"/>
          <w:color w:val="auto"/>
          <w:kern w:val="2"/>
          <w:sz w:val="24"/>
          <w:szCs w:val="24"/>
        </w:rPr>
      </w:pPr>
    </w:p>
    <w:p>
      <w:pPr>
        <w:adjustRightInd w:val="0"/>
        <w:snapToGrid w:val="0"/>
        <w:spacing w:line="600" w:lineRule="auto"/>
        <w:rPr>
          <w:color w:val="auto"/>
          <w:sz w:val="24"/>
          <w:szCs w:val="24"/>
        </w:rPr>
      </w:pPr>
      <w:r>
        <w:rPr>
          <w:rFonts w:hint="eastAsia"/>
          <w:color w:val="auto"/>
          <w:sz w:val="24"/>
          <w:szCs w:val="24"/>
        </w:rPr>
        <w:t>发包人(公章)：                           承包人(公章)：</w:t>
      </w:r>
    </w:p>
    <w:p>
      <w:pPr>
        <w:adjustRightInd w:val="0"/>
        <w:snapToGrid w:val="0"/>
        <w:spacing w:line="360" w:lineRule="auto"/>
        <w:rPr>
          <w:color w:val="auto"/>
          <w:sz w:val="24"/>
          <w:szCs w:val="24"/>
          <w:u w:val="single"/>
        </w:rPr>
      </w:pPr>
      <w:r>
        <w:rPr>
          <w:rFonts w:hint="eastAsia"/>
          <w:color w:val="auto"/>
          <w:sz w:val="24"/>
          <w:szCs w:val="24"/>
        </w:rPr>
        <w:t>地址：                                     地址：</w:t>
      </w:r>
    </w:p>
    <w:p>
      <w:pPr>
        <w:adjustRightInd w:val="0"/>
        <w:snapToGrid w:val="0"/>
        <w:spacing w:line="360" w:lineRule="auto"/>
        <w:rPr>
          <w:color w:val="auto"/>
          <w:sz w:val="24"/>
          <w:szCs w:val="24"/>
        </w:rPr>
      </w:pPr>
    </w:p>
    <w:p>
      <w:pPr>
        <w:adjustRightInd w:val="0"/>
        <w:snapToGrid w:val="0"/>
        <w:spacing w:line="600" w:lineRule="auto"/>
        <w:rPr>
          <w:color w:val="auto"/>
          <w:sz w:val="24"/>
          <w:szCs w:val="24"/>
        </w:rPr>
      </w:pPr>
      <w:r>
        <w:rPr>
          <w:rFonts w:hint="eastAsia"/>
          <w:color w:val="auto"/>
          <w:sz w:val="24"/>
          <w:szCs w:val="24"/>
        </w:rPr>
        <w:t>法定代表人(签字)：</w:t>
      </w:r>
      <w:r>
        <w:rPr>
          <w:rFonts w:hint="eastAsia" w:cs="宋体"/>
          <w:color w:val="auto"/>
          <w:sz w:val="24"/>
          <w:szCs w:val="24"/>
          <w:u w:val="single"/>
        </w:rPr>
        <w:t></w:t>
      </w:r>
      <w:r>
        <w:rPr>
          <w:rFonts w:hint="eastAsia"/>
          <w:color w:val="auto"/>
          <w:sz w:val="24"/>
          <w:szCs w:val="24"/>
        </w:rPr>
        <w:t>                   法定代表人(签字)：</w:t>
      </w:r>
      <w:r>
        <w:rPr>
          <w:rFonts w:hint="eastAsia" w:cs="宋体"/>
          <w:color w:val="auto"/>
          <w:sz w:val="24"/>
          <w:szCs w:val="24"/>
          <w:u w:val="single"/>
        </w:rPr>
        <w:t></w:t>
      </w:r>
      <w:r>
        <w:rPr>
          <w:rFonts w:hint="eastAsia"/>
          <w:color w:val="auto"/>
          <w:sz w:val="24"/>
          <w:szCs w:val="24"/>
        </w:rPr>
        <w:t></w:t>
      </w:r>
    </w:p>
    <w:p>
      <w:pPr>
        <w:adjustRightInd w:val="0"/>
        <w:snapToGrid w:val="0"/>
        <w:spacing w:line="600" w:lineRule="auto"/>
        <w:rPr>
          <w:color w:val="auto"/>
          <w:sz w:val="24"/>
          <w:szCs w:val="24"/>
        </w:rPr>
      </w:pPr>
      <w:r>
        <w:rPr>
          <w:rFonts w:hint="eastAsia"/>
          <w:color w:val="auto"/>
          <w:sz w:val="24"/>
          <w:szCs w:val="24"/>
        </w:rPr>
        <w:t>委托代理人(签字)：</w:t>
      </w:r>
      <w:r>
        <w:rPr>
          <w:rFonts w:hint="eastAsia" w:cs="宋体"/>
          <w:color w:val="auto"/>
          <w:sz w:val="24"/>
          <w:szCs w:val="24"/>
          <w:u w:val="single"/>
        </w:rPr>
        <w:t></w:t>
      </w:r>
      <w:r>
        <w:rPr>
          <w:rFonts w:hint="eastAsia" w:cs="宋体"/>
          <w:color w:val="auto"/>
          <w:sz w:val="24"/>
          <w:szCs w:val="24"/>
          <w:u w:val="none"/>
          <w:lang w:val="en-US" w:eastAsia="zh-CN"/>
        </w:rPr>
        <w:t xml:space="preserve">                    </w:t>
      </w:r>
      <w:r>
        <w:rPr>
          <w:rFonts w:hint="eastAsia"/>
          <w:color w:val="auto"/>
          <w:sz w:val="24"/>
          <w:szCs w:val="24"/>
        </w:rPr>
        <w:t>委托代理人(签字)：</w:t>
      </w:r>
      <w:r>
        <w:rPr>
          <w:rFonts w:hint="eastAsia" w:cs="宋体"/>
          <w:color w:val="auto"/>
          <w:sz w:val="24"/>
          <w:szCs w:val="24"/>
          <w:u w:val="single"/>
        </w:rPr>
        <w:t></w:t>
      </w:r>
    </w:p>
    <w:p>
      <w:pPr>
        <w:adjustRightInd w:val="0"/>
        <w:snapToGrid w:val="0"/>
        <w:spacing w:line="600" w:lineRule="auto"/>
        <w:rPr>
          <w:rFonts w:hint="eastAsia" w:cs="宋体"/>
          <w:color w:val="auto"/>
          <w:sz w:val="24"/>
          <w:szCs w:val="24"/>
          <w:u w:val="single"/>
        </w:rPr>
      </w:pPr>
      <w:r>
        <w:rPr>
          <w:rFonts w:hint="eastAsia"/>
          <w:color w:val="auto"/>
          <w:sz w:val="24"/>
          <w:szCs w:val="24"/>
        </w:rPr>
        <w:t>电  话：</w:t>
      </w:r>
      <w:r>
        <w:rPr>
          <w:rFonts w:hint="eastAsia" w:cs="宋体"/>
          <w:color w:val="auto"/>
          <w:sz w:val="24"/>
          <w:szCs w:val="24"/>
          <w:u w:val="single"/>
        </w:rPr>
        <w:t></w:t>
      </w:r>
      <w:r>
        <w:rPr>
          <w:rFonts w:hint="eastAsia" w:cs="宋体"/>
          <w:color w:val="auto"/>
          <w:sz w:val="24"/>
          <w:szCs w:val="24"/>
          <w:u w:val="none"/>
          <w:lang w:val="en-US" w:eastAsia="zh-CN"/>
        </w:rPr>
        <w:t xml:space="preserve">                           </w:t>
      </w:r>
      <w:r>
        <w:rPr>
          <w:rFonts w:hint="eastAsia"/>
          <w:color w:val="auto"/>
          <w:sz w:val="24"/>
          <w:szCs w:val="24"/>
        </w:rPr>
        <w:t>电  话：</w:t>
      </w:r>
      <w:r>
        <w:rPr>
          <w:rFonts w:hint="eastAsia" w:cs="宋体"/>
          <w:color w:val="auto"/>
          <w:sz w:val="24"/>
          <w:szCs w:val="24"/>
          <w:u w:val="single"/>
        </w:rPr>
        <w:t></w:t>
      </w:r>
    </w:p>
    <w:p>
      <w:pPr>
        <w:rPr>
          <w:rFonts w:hint="eastAsia" w:cs="宋体"/>
          <w:color w:val="auto"/>
          <w:sz w:val="24"/>
          <w:szCs w:val="24"/>
          <w:u w:val="single"/>
        </w:rPr>
      </w:pPr>
      <w:r>
        <w:rPr>
          <w:rFonts w:hint="eastAsia" w:cs="宋体"/>
          <w:color w:val="auto"/>
          <w:sz w:val="24"/>
          <w:szCs w:val="24"/>
          <w:u w:val="single"/>
        </w:rPr>
        <w:br w:type="page"/>
      </w:r>
    </w:p>
    <w:p>
      <w:pPr>
        <w:adjustRightInd w:val="0"/>
        <w:snapToGrid w:val="0"/>
        <w:spacing w:line="600" w:lineRule="auto"/>
        <w:rPr>
          <w:rFonts w:hint="eastAsia" w:cs="宋体"/>
          <w:color w:val="auto"/>
          <w:sz w:val="24"/>
          <w:szCs w:val="24"/>
          <w:u w:val="single"/>
        </w:rPr>
      </w:pP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附件3：廉政协议</w:t>
      </w:r>
    </w:p>
    <w:p>
      <w:pPr>
        <w:widowControl/>
        <w:spacing w:line="360" w:lineRule="auto"/>
        <w:ind w:firstLine="643"/>
        <w:jc w:val="center"/>
        <w:rPr>
          <w:rFonts w:asciiTheme="minorEastAsia" w:hAnsiTheme="minorEastAsia" w:eastAsiaTheme="minorEastAsia" w:cstheme="minorEastAsia"/>
          <w:b/>
          <w:bCs/>
          <w:color w:val="auto"/>
          <w:sz w:val="24"/>
          <w:szCs w:val="24"/>
        </w:rPr>
      </w:pPr>
    </w:p>
    <w:p>
      <w:pPr>
        <w:widowControl/>
        <w:spacing w:line="360" w:lineRule="auto"/>
        <w:ind w:firstLine="643"/>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廉 政 协 议</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促进双方诚信经营、廉洁从业，防范商业贿赂，保护国家、集体和当事人的合法权益，根据国家有关法律法规和安徽省、合肥市廉政建设的规定，（以下称甲方）与（以下称乙方），特此订立本协议共同遵照执行。</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 甲乙双方的权利和义务</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（二）严格执行的合同要求，自觉履行合同约定的相关义务。</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（三）在业务活动中坚持公开、公正、诚信、透明的原则，不得损害国家、集体利益。</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（四）建立健全廉政制度，开展廉政教育，公布举报电话，监督并认真查处违法违纪行为。</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（五）发现对方在业务活动中有违反廉政规定的行为，应及时提醒对方纠正。情节严重的，应向其上级有关部门举报、建议给予处理，并有权要求告知处理结果。</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甲方的义务</w:t>
      </w:r>
    </w:p>
    <w:p>
      <w:pPr>
        <w:widowControl/>
        <w:spacing w:line="360" w:lineRule="auto"/>
        <w:ind w:firstLine="600" w:firstLineChars="25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（一）甲方及其工作人员不得索要或接受乙方的礼金、有价证券和贵重物品，不得在乙方报销任何应由甲方单位或个人支付的费用等。</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（三）甲方及其工作人员不得要求或者接受乙方为其住房装修、婚丧嫁娶活动、配偶子女工作安排以及出国出境、旅游等提供方便等。</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（四）甲方工作人员不得在乙方有股权关联的企业兼职，不得向乙方介绍家属或者亲友从事与甲方业务有关的经济活动。</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（六）甲方工作人员不得利用职务之便收受乙方以回扣、手续费、加班费、咨询费、劳务费、协调费、辛苦费等各种名义给予或赠送的钱物。</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（七）甲方工作人员不得接受乙方给予或赠送的干股或红利。</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（八）甲方任何人不得以个人的名义向乙方推荐设备、部件等供货商以及其他合作单位。</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乙方的义务</w:t>
      </w:r>
    </w:p>
    <w:p>
      <w:pPr>
        <w:widowControl/>
        <w:spacing w:line="360" w:lineRule="auto"/>
        <w:ind w:firstLine="600" w:firstLineChars="25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（一）乙方不得以任何理由向甲方及其工作人员行贿或馈赠礼金、有价证券、贵重礼品。</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（二）乙方不得以任何名义为甲方及其工作人员报销应由甲方单位或个人支付的任何费用。</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（三）乙方不得以任何理由安排甲方工作人员参加可能影响相关业务公开、公正、公平性的宴请及娱乐活动。</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（四）乙方不得为甲方单位和个人购置或提供通讯工具和高档办公用品等物品，也不得为甲方提供与工作无关的房屋、汽车等。</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（五）乙方不得与甲方工作人员就合同中的质量、数量、价格、工程量、验收等条款进行私下商谈或者达成默契。</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（六）乙方不得以回扣、手续费、加班费、咨询费、劳务费、协调费、辛苦费等各种名义向甲方工作人员给予或赠送钱物。</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（七）乙方不得向甲方工作人员提供干股或红利。</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（八）乙方须按专项纪检监察工作组（如有）要求开展相关工作。</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第四条 违约责任</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甲方投诉联系部门：，联系电话：。</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（二）乙方及其工作人员违反本协议第一、三条规定的，由甲方根据具体情节和造成的后果，对乙方采取以下一种或多种处理办法：</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1.全额收取乙方合同履约保证金不予退还； </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2.追究乙方其他违约责任；</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3.终止或解除双方已签订的包括本合同在内的所有合同；</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甲方作出的处理意见，乙方应无条件接受并承担给甲方造成的损失，全额返还通过不正当手段从甲方获取的非法所得，并承担相应的法律责任。</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双方约定</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本协议由双方或双方上级单位负责监督。可由甲方或甲方上级单位的纪检监察部门约请乙方或乙方上级单位的纪检监察部门对本协议履行情况进行检查，提出在本协议规定范围内的处理意见。</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第六条  本协议有效期为甲乙双方签署之日起至合同终止。  </w:t>
      </w:r>
    </w:p>
    <w:p>
      <w:pPr>
        <w:widowControl/>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本协议作为合同的附件，与本合同具有同等法律效力。</w:t>
      </w:r>
    </w:p>
    <w:p>
      <w:pPr>
        <w:widowControl/>
        <w:spacing w:line="360" w:lineRule="auto"/>
        <w:ind w:firstLine="480" w:firstLineChars="200"/>
        <w:jc w:val="left"/>
        <w:rPr>
          <w:rFonts w:asciiTheme="minorEastAsia" w:hAnsiTheme="minorEastAsia" w:eastAsiaTheme="minorEastAsia" w:cstheme="minorEastAsia"/>
          <w:color w:val="auto"/>
          <w:sz w:val="24"/>
          <w:szCs w:val="24"/>
        </w:rPr>
      </w:pPr>
    </w:p>
    <w:p>
      <w:pPr>
        <w:widowControl/>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甲方（盖章）：              乙方（盖章）：</w:t>
      </w:r>
    </w:p>
    <w:p>
      <w:pPr>
        <w:widowControl/>
        <w:spacing w:line="360" w:lineRule="auto"/>
        <w:ind w:firstLine="480" w:firstLineChars="200"/>
        <w:jc w:val="left"/>
        <w:rPr>
          <w:rFonts w:asciiTheme="minorEastAsia" w:hAnsiTheme="minorEastAsia" w:eastAsiaTheme="minorEastAsia" w:cstheme="minorEastAsia"/>
          <w:color w:val="auto"/>
          <w:sz w:val="24"/>
          <w:szCs w:val="24"/>
        </w:rPr>
      </w:pPr>
    </w:p>
    <w:p>
      <w:pPr>
        <w:widowControl/>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                法定代表人或</w:t>
      </w:r>
    </w:p>
    <w:p>
      <w:pPr>
        <w:widowControl/>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                  授权代表：</w:t>
      </w:r>
    </w:p>
    <w:p>
      <w:pPr>
        <w:widowControl/>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项目经办人：</w:t>
      </w:r>
    </w:p>
    <w:p>
      <w:pPr>
        <w:pStyle w:val="13"/>
        <w:widowControl/>
        <w:spacing w:line="360" w:lineRule="auto"/>
        <w:ind w:firstLine="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合同经办人：</w:t>
      </w:r>
    </w:p>
    <w:p>
      <w:pPr>
        <w:widowControl/>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日期：</w:t>
      </w:r>
    </w:p>
    <w:p>
      <w:pPr>
        <w:spacing w:line="36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br w:type="page"/>
      </w:r>
    </w:p>
    <w:p>
      <w:pPr>
        <w:pStyle w:val="13"/>
        <w:widowControl/>
        <w:spacing w:line="360" w:lineRule="auto"/>
        <w:ind w:firstLine="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附件4：履约保证金</w:t>
      </w:r>
    </w:p>
    <w:p>
      <w:pPr>
        <w:spacing w:line="360" w:lineRule="auto"/>
        <w:jc w:val="center"/>
        <w:rPr>
          <w:rFonts w:asciiTheme="minorEastAsia" w:hAnsiTheme="minorEastAsia" w:eastAsiaTheme="minorEastAsia" w:cstheme="minorEastAsia"/>
          <w:b/>
          <w:bCs/>
          <w:color w:val="auto"/>
          <w:sz w:val="24"/>
          <w:szCs w:val="24"/>
        </w:rPr>
      </w:pPr>
    </w:p>
    <w:p>
      <w:pPr>
        <w:spacing w:line="360" w:lineRule="auto"/>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履约保函示范文本</w:t>
      </w:r>
    </w:p>
    <w:p>
      <w:pPr>
        <w:wordWrap w:val="0"/>
        <w:spacing w:line="360" w:lineRule="auto"/>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编号：           </w:t>
      </w:r>
    </w:p>
    <w:p>
      <w:pPr>
        <w:spacing w:line="360" w:lineRule="auto"/>
        <w:rPr>
          <w:rFonts w:asciiTheme="minorEastAsia" w:hAnsiTheme="minorEastAsia" w:eastAsiaTheme="minorEastAsia" w:cstheme="minorEastAsia"/>
          <w:color w:val="auto"/>
          <w:sz w:val="24"/>
          <w:szCs w:val="24"/>
        </w:rPr>
      </w:pP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（受益人名称）：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鉴于（以下简称“受益人”）与（以下简称“申请人”）于年月日就</w:t>
      </w:r>
      <w:r>
        <w:rPr>
          <w:rFonts w:hint="eastAsia" w:asciiTheme="minorEastAsia" w:hAnsiTheme="minorEastAsia" w:eastAsiaTheme="minorEastAsia" w:cstheme="minorEastAsia"/>
          <w:snapToGrid w:val="0"/>
          <w:color w:val="auto"/>
          <w:sz w:val="24"/>
          <w:szCs w:val="24"/>
        </w:rPr>
        <w:t>（标段编号）的（标段名称）</w:t>
      </w:r>
      <w:r>
        <w:rPr>
          <w:rFonts w:hint="eastAsia" w:asciiTheme="minorEastAsia" w:hAnsiTheme="minorEastAsia" w:eastAsiaTheme="minorEastAsia" w:cstheme="minorEastAsia"/>
          <w:color w:val="auto"/>
          <w:sz w:val="24"/>
          <w:szCs w:val="24"/>
        </w:rPr>
        <w:t>有关事项协商一致共同签订</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一、本保函担保范围：承包人未按照基础合同的约定履行义务，应当向受益人承担的违约责任和赔偿因此造成的损失、利息、律师费、诉讼费用等实现债权的费用。</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二、本保函担保金额最高不超过人民币（大写）元（¥）。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三、本保函有效期自开立之日起至之日止。 </w:t>
      </w:r>
    </w:p>
    <w:p>
      <w:pPr>
        <w:spacing w:line="360" w:lineRule="auto"/>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四、开立人承诺，在收到受益人发来的书面付款通知后的七日内无条件支付，前述书面付款通知即为付款要求之单据，且应满足以下要求：</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（1）付款通知到达的日期在本保函的有效期内；</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（2）载明要求支付的金额；</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（3）载明申请人违反合同义务的条款和内容；</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（4）声明不存在合同文件约定或我国法律规定免除申请人或开立人支付责任的情形；</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（5）付款通知应在本保函有效期内到达的地址是：。</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受益人发出的书面付款通知应由其法定代表人（负责人）或授权代理人签字并加盖公章。</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五、本保函项下的权利不得转让，不得设定担保。受益人未经我方书面同意转 让本保函或其项下任何权利，对我方不发生法律效力。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六、与本保函有关的基础合同不成立、不生效、无效、被撤销、被解除，不影响本保函的独立有效。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七、本保函项下的义务和责任均在保函有效期到期后自动消灭。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八、本保函适用的法律为中华人民共和国法律，因本保函产生的纠纷案件，由受益人所在地人民法院管辖。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九、本保函自我方法定代表人或授权代表签字并加盖公章之日起生效。 </w:t>
      </w:r>
    </w:p>
    <w:p>
      <w:pPr>
        <w:spacing w:line="360" w:lineRule="auto"/>
        <w:ind w:firstLine="480" w:firstLineChars="200"/>
        <w:rPr>
          <w:rFonts w:asciiTheme="minorEastAsia" w:hAnsiTheme="minorEastAsia" w:eastAsiaTheme="minorEastAsia" w:cstheme="minorEastAsia"/>
          <w:color w:val="auto"/>
          <w:sz w:val="24"/>
          <w:szCs w:val="24"/>
        </w:rPr>
      </w:pPr>
    </w:p>
    <w:p>
      <w:pPr>
        <w:spacing w:line="360" w:lineRule="auto"/>
        <w:ind w:firstLine="480" w:firstLineChars="200"/>
        <w:rPr>
          <w:rFonts w:asciiTheme="minorEastAsia" w:hAnsiTheme="minorEastAsia" w:eastAsiaTheme="minorEastAsia" w:cstheme="minorEastAsia"/>
          <w:color w:val="auto"/>
          <w:sz w:val="24"/>
          <w:szCs w:val="24"/>
        </w:rPr>
      </w:pPr>
    </w:p>
    <w:p>
      <w:pPr>
        <w:spacing w:line="360" w:lineRule="auto"/>
        <w:ind w:firstLine="480" w:firstLineChars="200"/>
        <w:rPr>
          <w:rFonts w:asciiTheme="minorEastAsia" w:hAnsiTheme="minorEastAsia" w:eastAsiaTheme="minorEastAsia" w:cstheme="minorEastAsia"/>
          <w:color w:val="auto"/>
          <w:sz w:val="24"/>
          <w:szCs w:val="24"/>
        </w:rPr>
      </w:pP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 立 人：（公章）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法定代表人（或授权代表）：（签字） </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p>
      <w:pPr>
        <w:spacing w:line="360" w:lineRule="auto"/>
        <w:ind w:firstLine="480" w:firstLineChars="20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传    真：</w:t>
      </w:r>
    </w:p>
    <w:p>
      <w:pPr>
        <w:spacing w:line="360" w:lineRule="auto"/>
        <w:ind w:left="1432" w:leftChars="200" w:hanging="1032" w:hangingChars="43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开立时间：年月日</w:t>
      </w:r>
    </w:p>
    <w:p>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auto"/>
          <w:sz w:val="24"/>
          <w:szCs w:val="24"/>
          <w:highlight w:val="none"/>
        </w:rPr>
      </w:pP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23" w:name="_Toc16125"/>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投标文件</w:t>
      </w:r>
      <w:r>
        <w:rPr>
          <w:rFonts w:hint="eastAsia" w:asciiTheme="minorEastAsia" w:hAnsiTheme="minorEastAsia" w:eastAsiaTheme="minorEastAsia"/>
          <w:b/>
          <w:color w:val="auto"/>
          <w:sz w:val="28"/>
          <w:highlight w:val="none"/>
        </w:rPr>
        <w:t>格式</w:t>
      </w:r>
      <w:bookmarkEnd w:id="23"/>
    </w:p>
    <w:p>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32"/>
          <w:highlight w:val="none"/>
          <w:lang w:eastAsia="zh-CN"/>
        </w:rPr>
        <w:t>百大心悦城京东奥莱区域墙体拆除及内装工程</w:t>
      </w:r>
    </w:p>
    <w:p>
      <w:pPr>
        <w:spacing w:line="900" w:lineRule="exact"/>
        <w:jc w:val="center"/>
        <w:outlineLvl w:val="2"/>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投</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标</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jc w:val="center"/>
        <w:rPr>
          <w:rFonts w:asciiTheme="minorEastAsia" w:hAnsiTheme="minorEastAsia" w:eastAsiaTheme="minorEastAsia"/>
          <w:b/>
          <w:color w:val="auto"/>
          <w:sz w:val="72"/>
          <w:highlight w:val="none"/>
        </w:rPr>
      </w:pPr>
    </w:p>
    <w:p>
      <w:pPr>
        <w:spacing w:after="156" w:afterLines="50" w:line="500" w:lineRule="exact"/>
        <w:jc w:val="center"/>
        <w:rPr>
          <w:rFonts w:asciiTheme="minorEastAsia" w:hAnsiTheme="minorEastAsia" w:eastAsiaTheme="minorEastAsia"/>
          <w:b/>
          <w:color w:val="auto"/>
          <w:sz w:val="28"/>
          <w:szCs w:val="28"/>
          <w:highlight w:val="none"/>
        </w:rPr>
      </w:pPr>
    </w:p>
    <w:p>
      <w:pPr>
        <w:spacing w:after="156" w:afterLines="50" w:line="500" w:lineRule="exact"/>
        <w:jc w:val="center"/>
        <w:rPr>
          <w:rFonts w:asciiTheme="minorEastAsia" w:hAnsiTheme="minorEastAsia" w:eastAsiaTheme="minorEastAsia"/>
          <w:b/>
          <w:color w:val="auto"/>
          <w:sz w:val="72"/>
          <w:highlight w:val="none"/>
        </w:rPr>
      </w:pPr>
    </w:p>
    <w:p>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投标人</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4" w:name="_Toc1814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4"/>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25" w:name="_Toc461053086"/>
      <w:bookmarkStart w:id="26" w:name="_Toc461056631"/>
      <w:bookmarkStart w:id="27" w:name="_Toc16924"/>
      <w:bookmarkStart w:id="28" w:name="_Toc520983587"/>
      <w:r>
        <w:rPr>
          <w:rFonts w:hint="eastAsia" w:asciiTheme="minorEastAsia" w:hAnsiTheme="minorEastAsia" w:eastAsiaTheme="minorEastAsia"/>
          <w:b/>
          <w:color w:val="auto"/>
          <w:sz w:val="24"/>
          <w:highlight w:val="none"/>
        </w:rPr>
        <w:t>一</w:t>
      </w:r>
      <w:bookmarkEnd w:id="25"/>
      <w:bookmarkEnd w:id="26"/>
      <w:r>
        <w:rPr>
          <w:rFonts w:hint="eastAsia" w:asciiTheme="minorEastAsia" w:hAnsiTheme="minorEastAsia" w:eastAsiaTheme="minorEastAsia"/>
          <w:b/>
          <w:color w:val="auto"/>
          <w:sz w:val="24"/>
          <w:highlight w:val="none"/>
        </w:rPr>
        <w:t>、报价表格式</w:t>
      </w:r>
      <w:bookmarkEnd w:id="27"/>
      <w:bookmarkEnd w:id="28"/>
    </w:p>
    <w:p>
      <w:pPr>
        <w:spacing w:before="156" w:beforeLines="50" w:after="156" w:afterLines="50" w:line="360" w:lineRule="auto"/>
        <w:jc w:val="left"/>
        <w:outlineLvl w:val="2"/>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百大心悦城京东奥莱区域墙体拆除及内装工程</w:t>
      </w:r>
      <w:r>
        <w:rPr>
          <w:rFonts w:hint="eastAsia" w:cs="宋体" w:asciiTheme="minorEastAsia" w:hAnsiTheme="minorEastAsia" w:eastAsiaTheme="minorEastAsia"/>
          <w:b/>
          <w:color w:val="auto"/>
          <w:kern w:val="2"/>
          <w:sz w:val="24"/>
          <w:szCs w:val="24"/>
          <w:highlight w:val="none"/>
          <w:u w:val="single"/>
        </w:rPr>
        <w:t xml:space="preserve">    </w:t>
      </w:r>
    </w:p>
    <w:p>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2025HAFGJ00408</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557" w:type="pct"/>
            <w:tcBorders>
              <w:left w:val="single" w:color="auto" w:sz="4" w:space="0"/>
            </w:tcBorders>
          </w:tcPr>
          <w:p>
            <w:pPr>
              <w:rPr>
                <w:rFonts w:cs="宋体" w:asciiTheme="minorEastAsia" w:hAnsiTheme="minorEastAsia" w:eastAsiaTheme="minorEastAsia"/>
                <w:b/>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bCs/>
                <w:color w:val="auto"/>
                <w:kern w:val="2"/>
                <w:sz w:val="24"/>
                <w:szCs w:val="24"/>
                <w:highlight w:val="none"/>
                <w:lang w:eastAsia="zh-CN"/>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pPr>
              <w:widowControl/>
              <w:rPr>
                <w:rFonts w:hint="eastAsia" w:cs="宋体" w:asciiTheme="minorEastAsia" w:hAnsiTheme="minorEastAsia" w:eastAsiaTheme="minorEastAsia"/>
                <w:b/>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宋体" w:asciiTheme="minorEastAsia" w:hAnsiTheme="minorEastAsia" w:eastAsiaTheme="minorEastAsia"/>
                <w:b/>
                <w:color w:val="auto"/>
                <w:kern w:val="2"/>
                <w:sz w:val="24"/>
                <w:szCs w:val="24"/>
                <w:highlight w:val="none"/>
              </w:rPr>
            </w:pPr>
            <w:r>
              <w:rPr>
                <w:rFonts w:hint="eastAsia" w:cs="@仿宋_GB2312"/>
                <w:b/>
                <w:color w:val="auto"/>
                <w:kern w:val="2"/>
                <w:sz w:val="24"/>
                <w:highlight w:val="none"/>
              </w:rPr>
              <w:t>报价</w:t>
            </w:r>
            <w:r>
              <w:rPr>
                <w:rFonts w:hint="eastAsia" w:cs="宋体" w:asciiTheme="minorEastAsia" w:hAnsiTheme="minorEastAsia" w:eastAsiaTheme="minorEastAsia"/>
                <w:b/>
                <w:color w:val="auto"/>
                <w:kern w:val="2"/>
                <w:sz w:val="24"/>
                <w:szCs w:val="24"/>
                <w:highlight w:val="none"/>
              </w:rPr>
              <w:t>（</w:t>
            </w:r>
            <w:r>
              <w:rPr>
                <w:rFonts w:hint="eastAsia" w:cs="宋体" w:asciiTheme="minorEastAsia" w:hAnsiTheme="minorEastAsia" w:eastAsiaTheme="minorEastAsia"/>
                <w:b/>
                <w:color w:val="auto"/>
                <w:kern w:val="2"/>
                <w:sz w:val="24"/>
                <w:szCs w:val="24"/>
                <w:highlight w:val="none"/>
                <w:lang w:val="en-US" w:eastAsia="zh-CN"/>
              </w:rPr>
              <w:t>费率</w:t>
            </w:r>
            <w:r>
              <w:rPr>
                <w:rFonts w:hint="eastAsia" w:cs="宋体" w:asciiTheme="minorEastAsia" w:hAnsiTheme="minorEastAsia" w:eastAsiaTheme="minorEastAsia"/>
                <w:b/>
                <w:color w:val="auto"/>
                <w:kern w:val="2"/>
                <w:sz w:val="24"/>
                <w:szCs w:val="24"/>
                <w:highlight w:val="none"/>
              </w:rPr>
              <w:t>）</w:t>
            </w:r>
          </w:p>
        </w:tc>
        <w:tc>
          <w:tcPr>
            <w:tcW w:w="3557" w:type="pct"/>
            <w:vAlign w:val="center"/>
          </w:tcPr>
          <w:p>
            <w:pPr>
              <w:snapToGrid w:val="0"/>
              <w:rPr>
                <w:rFonts w:cs="宋体" w:asciiTheme="minorEastAsia" w:hAnsiTheme="minorEastAsia" w:eastAsiaTheme="minorEastAsia"/>
                <w:color w:val="auto"/>
                <w:kern w:val="2"/>
                <w:sz w:val="24"/>
                <w:szCs w:val="24"/>
                <w:highlight w:val="none"/>
              </w:rPr>
            </w:pPr>
          </w:p>
          <w:p>
            <w:pPr>
              <w:snapToGrid w:val="0"/>
              <w:rPr>
                <w:rFonts w:hint="eastAsia" w:cs="宋体" w:asciiTheme="minorEastAsia" w:hAnsiTheme="minorEastAsia" w:eastAsiaTheme="minorEastAsia"/>
                <w:bCs/>
                <w:color w:val="auto"/>
                <w:kern w:val="2"/>
                <w:sz w:val="24"/>
                <w:szCs w:val="24"/>
                <w:highlight w:val="none"/>
                <w:u w:val="single"/>
                <w:lang w:eastAsia="zh-CN"/>
              </w:rPr>
            </w:pPr>
            <w:r>
              <w:rPr>
                <w:rFonts w:hint="eastAsia" w:cs="宋体" w:asciiTheme="minorEastAsia" w:hAnsiTheme="minorEastAsia" w:eastAsiaTheme="minorEastAsia"/>
                <w:bCs/>
                <w:color w:val="auto"/>
                <w:kern w:val="2"/>
                <w:sz w:val="24"/>
                <w:szCs w:val="24"/>
                <w:highlight w:val="none"/>
                <w:lang w:val="en-US" w:eastAsia="zh-CN"/>
              </w:rPr>
              <w:t>费率</w:t>
            </w:r>
            <w:r>
              <w:rPr>
                <w:rFonts w:hint="eastAsia" w:cs="宋体" w:asciiTheme="minorEastAsia" w:hAnsiTheme="minorEastAsia" w:eastAsiaTheme="minorEastAsia"/>
                <w:bCs/>
                <w:color w:val="auto"/>
                <w:kern w:val="2"/>
                <w:sz w:val="24"/>
                <w:szCs w:val="24"/>
                <w:highlight w:val="none"/>
              </w:rPr>
              <w:t>：</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u w:val="single"/>
                <w:lang w:val="en-US" w:eastAsia="zh-CN"/>
              </w:rPr>
              <w:t>%</w:t>
            </w:r>
          </w:p>
          <w:p>
            <w:pPr>
              <w:snapToGrid w:val="0"/>
              <w:rPr>
                <w:rFonts w:cs="宋体" w:asciiTheme="minorEastAsia" w:hAnsiTheme="minorEastAsia" w:eastAsiaTheme="minorEastAsia"/>
                <w:b/>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pPr>
              <w:rPr>
                <w:rFonts w:cs="宋体" w:asciiTheme="minorEastAsia" w:hAnsiTheme="minorEastAsia" w:eastAsiaTheme="minorEastAsia"/>
                <w:b/>
                <w:color w:val="auto"/>
                <w:kern w:val="2"/>
                <w:sz w:val="24"/>
                <w:szCs w:val="24"/>
                <w:highlight w:val="none"/>
              </w:rPr>
            </w:pPr>
          </w:p>
        </w:tc>
      </w:tr>
    </w:tbl>
    <w:p>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w:t>
      </w:r>
      <w:r>
        <w:rPr>
          <w:rFonts w:hint="eastAsia" w:cs="宋体" w:asciiTheme="minorEastAsia" w:hAnsiTheme="minorEastAsia" w:eastAsiaTheme="minorEastAsia"/>
          <w:b/>
          <w:bCs/>
          <w:color w:val="auto"/>
          <w:kern w:val="2"/>
          <w:sz w:val="24"/>
          <w:szCs w:val="24"/>
          <w:highlight w:val="none"/>
          <w:lang w:eastAsia="zh-CN"/>
        </w:rPr>
        <w:t>谈判</w:t>
      </w:r>
      <w:r>
        <w:rPr>
          <w:rFonts w:hint="eastAsia" w:cs="宋体" w:asciiTheme="minorEastAsia" w:hAnsiTheme="minorEastAsia" w:eastAsiaTheme="minorEastAsia"/>
          <w:b/>
          <w:bCs/>
          <w:color w:val="auto"/>
          <w:kern w:val="2"/>
          <w:sz w:val="24"/>
          <w:szCs w:val="24"/>
          <w:highlight w:val="none"/>
        </w:rPr>
        <w:t>文件要求包括了</w:t>
      </w:r>
      <w:r>
        <w:rPr>
          <w:rFonts w:hint="eastAsia" w:cs="宋体" w:asciiTheme="minorEastAsia" w:hAnsiTheme="minorEastAsia" w:eastAsiaTheme="minorEastAsia"/>
          <w:b/>
          <w:bCs/>
          <w:color w:val="auto"/>
          <w:kern w:val="2"/>
          <w:sz w:val="24"/>
          <w:szCs w:val="24"/>
          <w:highlight w:val="none"/>
          <w:lang w:eastAsia="zh-CN"/>
        </w:rPr>
        <w:t>谈判</w:t>
      </w:r>
      <w:r>
        <w:rPr>
          <w:rFonts w:hint="eastAsia" w:cs="宋体" w:asciiTheme="minorEastAsia" w:hAnsiTheme="minorEastAsia" w:eastAsiaTheme="minorEastAsia"/>
          <w:b/>
          <w:bCs/>
          <w:color w:val="auto"/>
          <w:kern w:val="2"/>
          <w:sz w:val="24"/>
          <w:szCs w:val="24"/>
          <w:highlight w:val="none"/>
        </w:rPr>
        <w:t>文件要求提供的全部内容的所有费用。</w:t>
      </w:r>
    </w:p>
    <w:p>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w:t>
      </w:r>
      <w:r>
        <w:rPr>
          <w:rFonts w:hint="eastAsia" w:cs="宋体" w:asciiTheme="minorEastAsia" w:hAnsiTheme="minorEastAsia" w:eastAsiaTheme="minorEastAsia"/>
          <w:b/>
          <w:color w:val="auto"/>
          <w:kern w:val="2"/>
          <w:sz w:val="24"/>
          <w:szCs w:val="24"/>
          <w:highlight w:val="none"/>
        </w:rPr>
        <w:t>说明</w:t>
      </w:r>
      <w:r>
        <w:rPr>
          <w:rFonts w:hint="eastAsia" w:cs="宋体" w:asciiTheme="minorEastAsia" w:hAnsiTheme="minorEastAsia" w:eastAsiaTheme="minorEastAsia"/>
          <w:b/>
          <w:bCs/>
          <w:color w:val="auto"/>
          <w:kern w:val="2"/>
          <w:sz w:val="24"/>
          <w:szCs w:val="24"/>
          <w:highlight w:val="none"/>
        </w:rPr>
        <w:t>中注明。</w:t>
      </w:r>
    </w:p>
    <w:p>
      <w:pPr>
        <w:adjustRightInd w:val="0"/>
        <w:snapToGrid w:val="0"/>
        <w:spacing w:line="360" w:lineRule="auto"/>
        <w:rPr>
          <w:b/>
          <w:bCs/>
          <w:color w:val="auto"/>
          <w:sz w:val="24"/>
          <w:szCs w:val="28"/>
          <w:highlight w:val="none"/>
        </w:rPr>
      </w:pPr>
      <w:r>
        <w:rPr>
          <w:b/>
          <w:bCs/>
          <w:color w:val="auto"/>
          <w:sz w:val="24"/>
          <w:szCs w:val="28"/>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29" w:name="_Toc461056632"/>
      <w:bookmarkStart w:id="30" w:name="_Toc461053087"/>
      <w:bookmarkStart w:id="31" w:name="_Toc31935"/>
      <w:bookmarkStart w:id="32" w:name="_Toc520983588"/>
      <w:r>
        <w:rPr>
          <w:rFonts w:hint="eastAsia" w:asciiTheme="minorEastAsia" w:hAnsiTheme="minorEastAsia" w:eastAsiaTheme="minorEastAsia"/>
          <w:b/>
          <w:color w:val="auto"/>
          <w:sz w:val="24"/>
          <w:highlight w:val="none"/>
        </w:rPr>
        <w:t>二</w:t>
      </w:r>
      <w:bookmarkEnd w:id="29"/>
      <w:bookmarkEnd w:id="30"/>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第_____轮</w:t>
      </w:r>
      <w:r>
        <w:rPr>
          <w:rFonts w:hint="eastAsia" w:asciiTheme="minorEastAsia" w:hAnsiTheme="minorEastAsia" w:eastAsiaTheme="minorEastAsia"/>
          <w:b/>
          <w:color w:val="auto"/>
          <w:sz w:val="24"/>
          <w:highlight w:val="none"/>
          <w:lang w:eastAsia="zh-CN"/>
        </w:rPr>
        <w:t>报价</w:t>
      </w:r>
      <w:bookmarkEnd w:id="31"/>
      <w:bookmarkEnd w:id="32"/>
    </w:p>
    <w:p>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百大心悦城京东奥莱区域墙体拆除及内装工程</w:t>
      </w:r>
      <w:r>
        <w:rPr>
          <w:rFonts w:hint="eastAsia" w:cs="宋体" w:asciiTheme="minorEastAsia" w:hAnsiTheme="minorEastAsia" w:eastAsiaTheme="minorEastAsia"/>
          <w:b/>
          <w:color w:val="auto"/>
          <w:kern w:val="2"/>
          <w:sz w:val="24"/>
          <w:szCs w:val="24"/>
          <w:highlight w:val="none"/>
          <w:u w:val="single"/>
        </w:rPr>
        <w:t xml:space="preserve">    </w:t>
      </w:r>
    </w:p>
    <w:p>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2025HAFGJ00408</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490" w:type="pct"/>
            <w:tcBorders>
              <w:left w:val="single" w:color="auto" w:sz="4" w:space="0"/>
            </w:tcBorders>
          </w:tcPr>
          <w:p>
            <w:pPr>
              <w:rPr>
                <w:rFonts w:cs="宋体" w:asciiTheme="minorEastAsia" w:hAnsiTheme="minorEastAsia" w:eastAsiaTheme="minorEastAsia"/>
                <w:b/>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eastAsia="zh-CN"/>
              </w:rPr>
              <w:t>谈判</w:t>
            </w:r>
            <w:r>
              <w:rPr>
                <w:rFonts w:hint="eastAsia" w:cs="宋体" w:asciiTheme="minorEastAsia" w:hAnsiTheme="minorEastAsia" w:eastAsiaTheme="minorEastAsia"/>
                <w:b/>
                <w:color w:val="auto"/>
                <w:kern w:val="2"/>
                <w:sz w:val="24"/>
                <w:szCs w:val="24"/>
                <w:highlight w:val="none"/>
              </w:rPr>
              <w:t>范围</w:t>
            </w:r>
          </w:p>
        </w:tc>
        <w:tc>
          <w:tcPr>
            <w:tcW w:w="3490" w:type="pct"/>
            <w:tcBorders>
              <w:left w:val="single" w:color="auto" w:sz="4" w:space="0"/>
            </w:tcBorders>
            <w:vAlign w:val="center"/>
          </w:tcPr>
          <w:p>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hint="eastAsia" w:eastAsia="宋体" w:cs="@仿宋_GB2312"/>
                <w:b/>
                <w:color w:val="auto"/>
                <w:kern w:val="2"/>
                <w:sz w:val="24"/>
                <w:highlight w:val="none"/>
                <w:lang w:eastAsia="zh-CN"/>
              </w:rPr>
            </w:pPr>
            <w:r>
              <w:rPr>
                <w:rFonts w:hint="eastAsia" w:cs="@仿宋_GB2312"/>
                <w:b/>
                <w:bCs/>
                <w:color w:val="auto"/>
                <w:kern w:val="2"/>
                <w:sz w:val="24"/>
                <w:szCs w:val="28"/>
                <w:highlight w:val="none"/>
                <w:lang w:eastAsia="zh-CN"/>
              </w:rPr>
              <w:t>最终投标报价</w:t>
            </w:r>
          </w:p>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w:t>
            </w:r>
            <w:r>
              <w:rPr>
                <w:rFonts w:hint="eastAsia" w:cs="宋体" w:asciiTheme="minorEastAsia" w:hAnsiTheme="minorEastAsia" w:eastAsiaTheme="minorEastAsia"/>
                <w:b/>
                <w:color w:val="auto"/>
                <w:kern w:val="2"/>
                <w:sz w:val="24"/>
                <w:szCs w:val="24"/>
                <w:highlight w:val="none"/>
                <w:lang w:val="en-US" w:eastAsia="zh-CN"/>
              </w:rPr>
              <w:t>费率</w:t>
            </w:r>
            <w:r>
              <w:rPr>
                <w:rFonts w:hint="eastAsia" w:cs="宋体" w:asciiTheme="minorEastAsia" w:hAnsiTheme="minorEastAsia" w:eastAsiaTheme="minorEastAsia"/>
                <w:b/>
                <w:color w:val="auto"/>
                <w:kern w:val="2"/>
                <w:sz w:val="24"/>
                <w:szCs w:val="24"/>
                <w:highlight w:val="none"/>
              </w:rPr>
              <w:t>）</w:t>
            </w:r>
          </w:p>
        </w:tc>
        <w:tc>
          <w:tcPr>
            <w:tcW w:w="3490" w:type="pct"/>
            <w:vAlign w:val="center"/>
          </w:tcPr>
          <w:p>
            <w:pPr>
              <w:snapToGrid w:val="0"/>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Cs/>
                <w:color w:val="auto"/>
                <w:kern w:val="2"/>
                <w:sz w:val="24"/>
                <w:szCs w:val="24"/>
                <w:highlight w:val="none"/>
                <w:lang w:val="en-US" w:eastAsia="zh-CN"/>
              </w:rPr>
              <w:t>费率</w:t>
            </w:r>
            <w:r>
              <w:rPr>
                <w:rFonts w:hint="eastAsia" w:cs="宋体" w:asciiTheme="minorEastAsia" w:hAnsiTheme="minorEastAsia" w:eastAsiaTheme="minorEastAsia"/>
                <w:bCs/>
                <w:color w:val="auto"/>
                <w:kern w:val="2"/>
                <w:sz w:val="24"/>
                <w:szCs w:val="24"/>
                <w:highlight w:val="none"/>
              </w:rPr>
              <w:t>：</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0" w:type="pct"/>
            <w:vAlign w:val="center"/>
          </w:tcPr>
          <w:p>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0" w:type="pct"/>
          </w:tcPr>
          <w:p>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w:t>
            </w:r>
            <w:r>
              <w:rPr>
                <w:rFonts w:hint="eastAsia" w:cs="宋体" w:asciiTheme="minorEastAsia" w:hAnsiTheme="minorEastAsia" w:eastAsiaTheme="minorEastAsia"/>
                <w:b/>
                <w:i/>
                <w:color w:val="auto"/>
                <w:kern w:val="2"/>
                <w:sz w:val="24"/>
                <w:szCs w:val="24"/>
                <w:highlight w:val="none"/>
                <w:lang w:eastAsia="zh-CN"/>
              </w:rPr>
              <w:t>评审小组</w:t>
            </w:r>
            <w:r>
              <w:rPr>
                <w:rFonts w:hint="eastAsia" w:cs="宋体" w:asciiTheme="minorEastAsia" w:hAnsiTheme="minorEastAsia" w:eastAsiaTheme="minorEastAsia"/>
                <w:b/>
                <w:i/>
                <w:color w:val="auto"/>
                <w:kern w:val="2"/>
                <w:sz w:val="24"/>
                <w:szCs w:val="24"/>
                <w:highlight w:val="none"/>
              </w:rPr>
              <w:t>根据与</w:t>
            </w:r>
            <w:r>
              <w:rPr>
                <w:rFonts w:hint="eastAsia" w:cs="宋体" w:asciiTheme="minorEastAsia" w:hAnsiTheme="minorEastAsia" w:eastAsiaTheme="minorEastAsia"/>
                <w:b/>
                <w:i/>
                <w:color w:val="auto"/>
                <w:kern w:val="2"/>
                <w:sz w:val="24"/>
                <w:szCs w:val="24"/>
                <w:highlight w:val="none"/>
                <w:lang w:eastAsia="zh-CN"/>
              </w:rPr>
              <w:t>投标人谈判</w:t>
            </w:r>
            <w:r>
              <w:rPr>
                <w:rFonts w:hint="eastAsia" w:cs="宋体" w:asciiTheme="minorEastAsia" w:hAnsiTheme="minorEastAsia" w:eastAsiaTheme="minorEastAsia"/>
                <w:b/>
                <w:i/>
                <w:color w:val="auto"/>
                <w:kern w:val="2"/>
                <w:sz w:val="24"/>
                <w:szCs w:val="24"/>
                <w:highlight w:val="none"/>
              </w:rPr>
              <w:t>情况变动的</w:t>
            </w:r>
            <w:r>
              <w:rPr>
                <w:rFonts w:hint="eastAsia" w:cs="宋体" w:asciiTheme="minorEastAsia" w:hAnsiTheme="minorEastAsia" w:eastAsiaTheme="minorEastAsia"/>
                <w:b/>
                <w:i/>
                <w:color w:val="auto"/>
                <w:kern w:val="2"/>
                <w:sz w:val="24"/>
                <w:szCs w:val="24"/>
                <w:highlight w:val="none"/>
                <w:lang w:eastAsia="zh-CN"/>
              </w:rPr>
              <w:t>谈判</w:t>
            </w:r>
            <w:r>
              <w:rPr>
                <w:rFonts w:hint="eastAsia" w:cs="宋体" w:asciiTheme="minorEastAsia" w:hAnsiTheme="minorEastAsia" w:eastAsiaTheme="minorEastAsia"/>
                <w:b/>
                <w:i/>
                <w:color w:val="auto"/>
                <w:kern w:val="2"/>
                <w:sz w:val="24"/>
                <w:szCs w:val="24"/>
                <w:highlight w:val="none"/>
              </w:rPr>
              <w:t>文件的内容，包括</w:t>
            </w:r>
            <w:r>
              <w:rPr>
                <w:rFonts w:hint="eastAsia" w:cs="宋体" w:asciiTheme="minorEastAsia" w:hAnsiTheme="minorEastAsia" w:eastAsiaTheme="minorEastAsia"/>
                <w:b/>
                <w:i/>
                <w:color w:val="auto"/>
                <w:kern w:val="2"/>
                <w:sz w:val="24"/>
                <w:szCs w:val="24"/>
                <w:highlight w:val="none"/>
                <w:lang w:eastAsia="zh-CN"/>
              </w:rPr>
              <w:t>招标需求</w:t>
            </w:r>
            <w:r>
              <w:rPr>
                <w:rFonts w:hint="eastAsia" w:cs="宋体" w:asciiTheme="minorEastAsia" w:hAnsiTheme="minorEastAsia" w:eastAsiaTheme="minorEastAsia"/>
                <w:b/>
                <w:i/>
                <w:color w:val="auto"/>
                <w:kern w:val="2"/>
                <w:sz w:val="24"/>
                <w:szCs w:val="24"/>
                <w:highlight w:val="none"/>
              </w:rPr>
              <w:t>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评审小组</w:t>
            </w:r>
            <w:r>
              <w:rPr>
                <w:rFonts w:hint="eastAsia" w:cs="宋体" w:asciiTheme="minorEastAsia" w:hAnsiTheme="minorEastAsia" w:eastAsiaTheme="minorEastAsia"/>
                <w:b/>
                <w:color w:val="auto"/>
                <w:kern w:val="2"/>
                <w:sz w:val="24"/>
                <w:szCs w:val="24"/>
                <w:highlight w:val="none"/>
              </w:rPr>
              <w:t>签字</w:t>
            </w:r>
          </w:p>
        </w:tc>
        <w:tc>
          <w:tcPr>
            <w:tcW w:w="3490" w:type="pct"/>
          </w:tcPr>
          <w:p>
            <w:pPr>
              <w:rPr>
                <w:rFonts w:cs="宋体" w:asciiTheme="minorEastAsia" w:hAnsiTheme="minorEastAsia" w:eastAsiaTheme="minorEastAsia"/>
                <w:b/>
                <w:color w:val="auto"/>
                <w:kern w:val="2"/>
                <w:sz w:val="24"/>
                <w:szCs w:val="24"/>
                <w:highlight w:val="none"/>
              </w:rPr>
            </w:pPr>
          </w:p>
        </w:tc>
      </w:tr>
    </w:tbl>
    <w:p>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pPr>
        <w:spacing w:line="360" w:lineRule="auto"/>
        <w:jc w:val="left"/>
        <w:rPr>
          <w:rFonts w:cs="宋体" w:asciiTheme="minorEastAsia" w:hAnsiTheme="minorEastAsia" w:eastAsiaTheme="minorEastAsia"/>
          <w:b/>
          <w:bCs/>
          <w:color w:val="auto"/>
          <w:kern w:val="2"/>
          <w:sz w:val="24"/>
          <w:szCs w:val="24"/>
          <w:highlight w:val="none"/>
        </w:rPr>
      </w:pPr>
    </w:p>
    <w:p>
      <w:pPr>
        <w:spacing w:line="360" w:lineRule="auto"/>
        <w:jc w:val="left"/>
        <w:rPr>
          <w:rFonts w:hint="eastAsia" w:eastAsiaTheme="minorEastAsia"/>
          <w:bCs/>
          <w:color w:val="auto"/>
          <w:sz w:val="24"/>
          <w:highlight w:val="none"/>
          <w:lang w:val="en-US" w:eastAsia="zh-CN"/>
        </w:rPr>
      </w:pPr>
      <w:r>
        <w:rPr>
          <w:rFonts w:hint="eastAsia" w:cs="宋体" w:asciiTheme="minorEastAsia" w:hAnsiTheme="minorEastAsia" w:eastAsiaTheme="minorEastAsia"/>
          <w:b/>
          <w:bCs/>
          <w:color w:val="auto"/>
          <w:kern w:val="2"/>
          <w:sz w:val="24"/>
          <w:szCs w:val="24"/>
          <w:highlight w:val="none"/>
        </w:rPr>
        <w:t>注：</w:t>
      </w:r>
      <w:r>
        <w:rPr>
          <w:rFonts w:hint="eastAsia" w:cs="@仿宋_GB2312"/>
          <w:b/>
          <w:bCs/>
          <w:color w:val="auto"/>
          <w:kern w:val="2"/>
          <w:sz w:val="24"/>
          <w:highlight w:val="none"/>
        </w:rPr>
        <w:t>本页报价表由</w:t>
      </w:r>
      <w:r>
        <w:rPr>
          <w:rFonts w:hint="eastAsia" w:cs="@仿宋_GB2312"/>
          <w:b/>
          <w:bCs/>
          <w:color w:val="auto"/>
          <w:kern w:val="2"/>
          <w:sz w:val="24"/>
          <w:highlight w:val="none"/>
          <w:lang w:eastAsia="zh-CN"/>
        </w:rPr>
        <w:t>投标人</w:t>
      </w:r>
      <w:r>
        <w:rPr>
          <w:rFonts w:hint="eastAsia" w:cs="@仿宋_GB2312"/>
          <w:b/>
          <w:bCs/>
          <w:color w:val="auto"/>
          <w:kern w:val="2"/>
          <w:sz w:val="24"/>
          <w:highlight w:val="none"/>
        </w:rPr>
        <w:t>在接到报价通知后依据</w:t>
      </w:r>
      <w:r>
        <w:rPr>
          <w:rFonts w:hint="eastAsia" w:cs="@仿宋_GB2312"/>
          <w:b/>
          <w:bCs/>
          <w:color w:val="auto"/>
          <w:kern w:val="2"/>
          <w:sz w:val="24"/>
          <w:highlight w:val="none"/>
          <w:lang w:eastAsia="zh-CN"/>
        </w:rPr>
        <w:t>谈判</w:t>
      </w:r>
      <w:r>
        <w:rPr>
          <w:rFonts w:hint="eastAsia" w:cs="@仿宋_GB2312"/>
          <w:b/>
          <w:bCs/>
          <w:color w:val="auto"/>
          <w:kern w:val="2"/>
          <w:sz w:val="24"/>
          <w:highlight w:val="none"/>
        </w:rPr>
        <w:t>情况填写</w:t>
      </w:r>
      <w:r>
        <w:rPr>
          <w:rFonts w:hint="eastAsia" w:cs="@仿宋_GB2312"/>
          <w:b/>
          <w:bCs/>
          <w:color w:val="auto"/>
          <w:kern w:val="2"/>
          <w:sz w:val="24"/>
          <w:highlight w:val="none"/>
          <w:lang w:eastAsia="zh-CN"/>
        </w:rPr>
        <w:t>，</w:t>
      </w:r>
      <w:r>
        <w:rPr>
          <w:rFonts w:hint="eastAsia" w:cs="@仿宋_GB2312"/>
          <w:b/>
          <w:bCs/>
          <w:color w:val="auto"/>
          <w:kern w:val="2"/>
          <w:sz w:val="24"/>
          <w:highlight w:val="none"/>
        </w:rPr>
        <w:t>并在规定时间内提交。</w:t>
      </w:r>
    </w:p>
    <w:p>
      <w:pPr>
        <w:widowControl/>
        <w:jc w:val="left"/>
        <w:rPr>
          <w:bCs/>
          <w:color w:val="auto"/>
          <w:sz w:val="24"/>
          <w:highlight w:val="none"/>
        </w:rPr>
      </w:pPr>
      <w:r>
        <w:rPr>
          <w:bCs/>
          <w:color w:val="auto"/>
          <w:sz w:val="24"/>
          <w:highlight w:val="none"/>
        </w:rPr>
        <w:br w:type="page"/>
      </w:r>
    </w:p>
    <w:p>
      <w:pPr>
        <w:widowControl/>
        <w:jc w:val="left"/>
        <w:rPr>
          <w:rFonts w:asciiTheme="minorEastAsia" w:hAnsiTheme="minorEastAsia" w:eastAsiaTheme="minorEastAsia"/>
          <w:b/>
          <w:color w:val="auto"/>
          <w:sz w:val="24"/>
          <w:highlight w:val="none"/>
        </w:rPr>
      </w:pPr>
      <w:bookmarkStart w:id="33" w:name="_Toc520983591"/>
    </w:p>
    <w:p>
      <w:pPr>
        <w:spacing w:line="360" w:lineRule="auto"/>
        <w:jc w:val="center"/>
        <w:outlineLvl w:val="1"/>
        <w:rPr>
          <w:rFonts w:asciiTheme="minorEastAsia" w:hAnsiTheme="minorEastAsia" w:eastAsiaTheme="minorEastAsia"/>
          <w:b/>
          <w:color w:val="auto"/>
          <w:sz w:val="24"/>
          <w:highlight w:val="none"/>
        </w:rPr>
      </w:pPr>
      <w:bookmarkStart w:id="34" w:name="_Toc21206"/>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w:t>
      </w:r>
      <w:r>
        <w:rPr>
          <w:rFonts w:hint="eastAsia" w:asciiTheme="minorEastAsia" w:hAnsiTheme="minorEastAsia" w:eastAsiaTheme="minorEastAsia"/>
          <w:b/>
          <w:color w:val="auto"/>
          <w:sz w:val="24"/>
          <w:highlight w:val="none"/>
        </w:rPr>
        <w:t>函</w:t>
      </w:r>
      <w:bookmarkEnd w:id="33"/>
      <w:bookmarkEnd w:id="34"/>
    </w:p>
    <w:p>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合肥百货大楼集团股份有限公司滨湖心悦城购物中心</w:t>
      </w:r>
    </w:p>
    <w:p>
      <w:pPr>
        <w:spacing w:line="360" w:lineRule="auto"/>
        <w:ind w:firstLine="482" w:firstLineChars="20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lang w:val="en-US" w:eastAsia="zh-CN"/>
        </w:rPr>
        <w:t>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文件的</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w:t>
      </w:r>
      <w:r>
        <w:rPr>
          <w:rFonts w:hint="eastAsia" w:cs="宋体" w:asciiTheme="minorEastAsia" w:hAnsiTheme="minorEastAsia" w:eastAsiaTheme="minorEastAsia"/>
          <w:bCs/>
          <w:color w:val="auto"/>
          <w:kern w:val="2"/>
          <w:sz w:val="24"/>
          <w:szCs w:val="24"/>
          <w:highlight w:val="none"/>
          <w:lang w:eastAsia="zh-CN"/>
        </w:rPr>
        <w:t>谈判</w:t>
      </w:r>
      <w:r>
        <w:rPr>
          <w:rFonts w:hint="eastAsia" w:cs="宋体" w:asciiTheme="minorEastAsia" w:hAnsiTheme="minorEastAsia" w:eastAsiaTheme="minorEastAsia"/>
          <w:bCs/>
          <w:color w:val="auto"/>
          <w:kern w:val="2"/>
          <w:sz w:val="24"/>
          <w:szCs w:val="24"/>
          <w:highlight w:val="none"/>
        </w:rPr>
        <w:t>文件、图纸、合同条款和工程建设技术标准的条件、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文件及有关附件，充分理解</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价格不得低于企业个别成本有关规定。我方经成本核算，所填报的</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报价不低于</w:t>
      </w:r>
      <w:r>
        <w:rPr>
          <w:rFonts w:hint="eastAsia" w:cs="宋体" w:asciiTheme="minorEastAsia" w:hAnsiTheme="minorEastAsia" w:eastAsiaTheme="minorEastAsia"/>
          <w:color w:val="auto"/>
          <w:kern w:val="2"/>
          <w:sz w:val="24"/>
          <w:szCs w:val="24"/>
          <w:highlight w:val="none"/>
          <w:lang w:eastAsia="zh-CN"/>
        </w:rPr>
        <w:t>我公司</w:t>
      </w:r>
      <w:r>
        <w:rPr>
          <w:rFonts w:hint="eastAsia" w:cs="宋体" w:asciiTheme="minorEastAsia" w:hAnsiTheme="minorEastAsia" w:eastAsiaTheme="minorEastAsia"/>
          <w:color w:val="auto"/>
          <w:kern w:val="2"/>
          <w:sz w:val="24"/>
          <w:szCs w:val="24"/>
          <w:highlight w:val="none"/>
        </w:rPr>
        <w:t>成本。</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auto"/>
          <w:kern w:val="2"/>
          <w:sz w:val="24"/>
          <w:szCs w:val="24"/>
          <w:highlight w:val="none"/>
          <w:lang w:val="en-US" w:eastAsia="zh-CN" w:bidi="ar-SA"/>
        </w:rPr>
      </w:pPr>
      <w:r>
        <w:rPr>
          <w:rFonts w:hint="eastAsia" w:cs="宋体" w:asciiTheme="minorEastAsia" w:hAnsiTheme="minorEastAsia" w:eastAsiaTheme="minorEastAsia"/>
          <w:b w:val="0"/>
          <w:bCs w:val="0"/>
          <w:color w:val="auto"/>
          <w:kern w:val="2"/>
          <w:sz w:val="24"/>
          <w:szCs w:val="24"/>
          <w:highlight w:val="none"/>
          <w:lang w:val="en-US" w:eastAsia="zh-CN" w:bidi="ar-SA"/>
        </w:rPr>
        <w:t>3.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4</w:t>
      </w:r>
      <w:r>
        <w:rPr>
          <w:rFonts w:hint="eastAsia" w:cs="宋体" w:asciiTheme="minorEastAsia" w:hAnsiTheme="minorEastAsia" w:eastAsiaTheme="minorEastAsia"/>
          <w:color w:val="auto"/>
          <w:kern w:val="2"/>
          <w:sz w:val="24"/>
          <w:szCs w:val="24"/>
          <w:highlight w:val="none"/>
        </w:rPr>
        <w:t>.一旦我方</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，我方保证按</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文件约定的工期和</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文件或业主开工令的要求如期开工、竣工并移交整个工程。</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5</w:t>
      </w:r>
      <w:r>
        <w:rPr>
          <w:rFonts w:hint="eastAsia" w:cs="宋体" w:asciiTheme="minorEastAsia" w:hAnsiTheme="minorEastAsia" w:eastAsiaTheme="minorEastAsia"/>
          <w:color w:val="auto"/>
          <w:kern w:val="2"/>
          <w:sz w:val="24"/>
          <w:szCs w:val="24"/>
          <w:highlight w:val="none"/>
        </w:rPr>
        <w:t>.一旦我方</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，我方保证工程质量达到合格标准。</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6</w:t>
      </w:r>
      <w:r>
        <w:rPr>
          <w:rFonts w:hint="eastAsia" w:cs="宋体" w:asciiTheme="minorEastAsia" w:hAnsiTheme="minorEastAsia" w:eastAsiaTheme="minorEastAsia"/>
          <w:color w:val="auto"/>
          <w:kern w:val="2"/>
          <w:sz w:val="24"/>
          <w:szCs w:val="24"/>
          <w:highlight w:val="none"/>
        </w:rPr>
        <w:t>.一旦我方</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，我方保证</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中承诺的项目管理班子及施工机械设备到位，并按</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中的施工组织设计组织施工。</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7</w:t>
      </w:r>
      <w:r>
        <w:rPr>
          <w:rFonts w:hint="eastAsia" w:cs="宋体" w:asciiTheme="minorEastAsia" w:hAnsiTheme="minorEastAsia" w:eastAsiaTheme="minorEastAsia"/>
          <w:color w:val="auto"/>
          <w:kern w:val="2"/>
          <w:sz w:val="24"/>
          <w:szCs w:val="24"/>
          <w:highlight w:val="none"/>
        </w:rPr>
        <w:t>.一旦我方</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，我方保证用于本工程的主要材料、设备，符合</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文件规定和</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承诺，并在使用之前经建设、监理、设计单位确认后使用。</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8</w:t>
      </w:r>
      <w:r>
        <w:rPr>
          <w:rFonts w:hint="eastAsia" w:cs="宋体" w:asciiTheme="minorEastAsia" w:hAnsiTheme="minorEastAsia" w:eastAsiaTheme="minorEastAsia"/>
          <w:color w:val="auto"/>
          <w:kern w:val="2"/>
          <w:sz w:val="24"/>
          <w:szCs w:val="24"/>
          <w:highlight w:val="none"/>
        </w:rPr>
        <w:t>.一旦我方</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，我方保证在规定的时间内按</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文件规定的方式、金额向</w:t>
      </w:r>
      <w:r>
        <w:rPr>
          <w:rFonts w:hint="eastAsia" w:cs="宋体" w:asciiTheme="minorEastAsia" w:hAnsiTheme="minorEastAsia" w:eastAsiaTheme="minorEastAsia"/>
          <w:color w:val="auto"/>
          <w:kern w:val="2"/>
          <w:sz w:val="24"/>
          <w:szCs w:val="24"/>
          <w:highlight w:val="none"/>
          <w:lang w:eastAsia="zh-CN"/>
        </w:rPr>
        <w:t>招标人</w:t>
      </w:r>
      <w:r>
        <w:rPr>
          <w:rFonts w:hint="eastAsia" w:cs="宋体" w:asciiTheme="minorEastAsia" w:hAnsiTheme="minorEastAsia" w:eastAsiaTheme="minorEastAsia"/>
          <w:color w:val="auto"/>
          <w:kern w:val="2"/>
          <w:sz w:val="24"/>
          <w:szCs w:val="24"/>
          <w:highlight w:val="none"/>
        </w:rPr>
        <w:t>提交履约担保。</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9</w:t>
      </w:r>
      <w:r>
        <w:rPr>
          <w:rFonts w:hint="eastAsia" w:cs="宋体" w:asciiTheme="minorEastAsia" w:hAnsiTheme="minorEastAsia" w:eastAsiaTheme="minorEastAsia"/>
          <w:color w:val="auto"/>
          <w:kern w:val="2"/>
          <w:sz w:val="24"/>
          <w:szCs w:val="24"/>
          <w:highlight w:val="none"/>
        </w:rPr>
        <w:t>.我方同意所提交的</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在</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文件规定的</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有效期内有效，在此期间内如果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0</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以及</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文件澄清、修改、补充将成为约束双方的合同文件的组成部分。</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2</w:t>
      </w:r>
      <w:r>
        <w:rPr>
          <w:rFonts w:hint="eastAsia" w:cs="宋体" w:asciiTheme="minorEastAsia" w:hAnsiTheme="minorEastAsia" w:eastAsiaTheme="minorEastAsia"/>
          <w:color w:val="auto"/>
          <w:kern w:val="2"/>
          <w:sz w:val="24"/>
          <w:szCs w:val="24"/>
          <w:highlight w:val="none"/>
        </w:rPr>
        <w:t>.我方承诺：</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（1）我单位</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并</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后在项目所在地交纳相关税费。</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（2）我方已对</w:t>
      </w:r>
      <w:r>
        <w:rPr>
          <w:rFonts w:hint="eastAsia" w:cs="宋体" w:asciiTheme="minorEastAsia" w:hAnsiTheme="minorEastAsia" w:eastAsiaTheme="minorEastAsia"/>
          <w:color w:val="auto"/>
          <w:kern w:val="2"/>
          <w:sz w:val="24"/>
          <w:szCs w:val="24"/>
          <w:highlight w:val="none"/>
          <w:lang w:eastAsia="zh-CN"/>
        </w:rPr>
        <w:t>招标人</w:t>
      </w:r>
      <w:r>
        <w:rPr>
          <w:rFonts w:hint="eastAsia" w:cs="宋体" w:asciiTheme="minorEastAsia" w:hAnsiTheme="minorEastAsia" w:eastAsiaTheme="minorEastAsia"/>
          <w:color w:val="auto"/>
          <w:kern w:val="2"/>
          <w:sz w:val="24"/>
          <w:szCs w:val="24"/>
          <w:highlight w:val="none"/>
        </w:rPr>
        <w:t>提供的工程量清单和最高投标限价进行认真复核，确认无误，</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后不再另行调整。</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（3）本次</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所提供</w:t>
      </w: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业绩</w:t>
      </w:r>
      <w:r>
        <w:rPr>
          <w:rFonts w:hint="eastAsia" w:cs="宋体" w:asciiTheme="minorEastAsia" w:hAnsiTheme="minorEastAsia" w:eastAsiaTheme="minorEastAsia"/>
          <w:color w:val="auto"/>
          <w:kern w:val="2"/>
          <w:sz w:val="24"/>
          <w:szCs w:val="24"/>
          <w:highlight w:val="none"/>
          <w:lang w:eastAsia="zh-CN"/>
        </w:rPr>
        <w:t>（如有）</w:t>
      </w:r>
      <w:r>
        <w:rPr>
          <w:rFonts w:hint="eastAsia" w:cs="宋体" w:asciiTheme="minorEastAsia" w:hAnsiTheme="minorEastAsia" w:eastAsiaTheme="minorEastAsia"/>
          <w:color w:val="auto"/>
          <w:kern w:val="2"/>
          <w:sz w:val="24"/>
          <w:szCs w:val="24"/>
          <w:highlight w:val="none"/>
        </w:rPr>
        <w:t>及项目经理业绩</w:t>
      </w:r>
      <w:r>
        <w:rPr>
          <w:rFonts w:hint="eastAsia" w:cs="宋体" w:asciiTheme="minorEastAsia" w:hAnsiTheme="minorEastAsia" w:eastAsiaTheme="minorEastAsia"/>
          <w:color w:val="auto"/>
          <w:kern w:val="2"/>
          <w:sz w:val="24"/>
          <w:szCs w:val="24"/>
          <w:highlight w:val="none"/>
          <w:lang w:eastAsia="zh-CN"/>
        </w:rPr>
        <w:t>（如有）</w:t>
      </w:r>
      <w:r>
        <w:rPr>
          <w:rFonts w:hint="eastAsia" w:cs="宋体" w:asciiTheme="minorEastAsia" w:hAnsiTheme="minorEastAsia" w:eastAsiaTheme="minorEastAsia"/>
          <w:color w:val="auto"/>
          <w:kern w:val="2"/>
          <w:sz w:val="24"/>
          <w:szCs w:val="24"/>
          <w:highlight w:val="none"/>
        </w:rPr>
        <w:t>均真实有效。我</w:t>
      </w:r>
      <w:r>
        <w:rPr>
          <w:rFonts w:hint="eastAsia" w:cs="宋体" w:asciiTheme="minorEastAsia" w:hAnsiTheme="minorEastAsia" w:eastAsiaTheme="minorEastAsia"/>
          <w:color w:val="auto"/>
          <w:kern w:val="2"/>
          <w:sz w:val="24"/>
          <w:szCs w:val="24"/>
          <w:highlight w:val="none"/>
          <w:lang w:eastAsia="zh-CN"/>
        </w:rPr>
        <w:t>方</w:t>
      </w:r>
      <w:r>
        <w:rPr>
          <w:rFonts w:hint="eastAsia" w:cs="宋体" w:asciiTheme="minorEastAsia" w:hAnsiTheme="minorEastAsia" w:eastAsiaTheme="minorEastAsia"/>
          <w:color w:val="auto"/>
          <w:kern w:val="2"/>
          <w:sz w:val="24"/>
          <w:szCs w:val="24"/>
          <w:highlight w:val="none"/>
        </w:rPr>
        <w:t>承诺我</w:t>
      </w:r>
      <w:r>
        <w:rPr>
          <w:rFonts w:hint="eastAsia" w:cs="宋体" w:asciiTheme="minorEastAsia" w:hAnsiTheme="minorEastAsia" w:eastAsiaTheme="minorEastAsia"/>
          <w:color w:val="auto"/>
          <w:kern w:val="2"/>
          <w:sz w:val="24"/>
          <w:szCs w:val="24"/>
          <w:highlight w:val="none"/>
          <w:lang w:eastAsia="zh-CN"/>
        </w:rPr>
        <w:t>方</w:t>
      </w:r>
      <w:r>
        <w:rPr>
          <w:rFonts w:hint="eastAsia" w:cs="宋体" w:asciiTheme="minorEastAsia" w:hAnsiTheme="minorEastAsia" w:eastAsiaTheme="minorEastAsia"/>
          <w:color w:val="auto"/>
          <w:kern w:val="2"/>
          <w:sz w:val="24"/>
          <w:szCs w:val="24"/>
          <w:highlight w:val="none"/>
        </w:rPr>
        <w:t>所委任项目经理未在其他项目上担任项目经理岗位，或虽在其他项目上担任项目经理岗位，但在本项目</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后合同签订前能够从其他项目变更至本项目，全面履约。若因我单位项目经理在其他项目上担任项目经理岗位，无法进场履约的，</w:t>
      </w:r>
      <w:r>
        <w:rPr>
          <w:rFonts w:hint="eastAsia" w:cs="宋体" w:asciiTheme="minorEastAsia" w:hAnsiTheme="minorEastAsia" w:eastAsiaTheme="minorEastAsia"/>
          <w:color w:val="auto"/>
          <w:kern w:val="2"/>
          <w:sz w:val="24"/>
          <w:szCs w:val="24"/>
          <w:highlight w:val="none"/>
          <w:lang w:eastAsia="zh-CN"/>
        </w:rPr>
        <w:t>招标人</w:t>
      </w:r>
      <w:r>
        <w:rPr>
          <w:rFonts w:hint="eastAsia" w:cs="宋体" w:asciiTheme="minorEastAsia" w:hAnsiTheme="minorEastAsia" w:eastAsiaTheme="minorEastAsia"/>
          <w:color w:val="auto"/>
          <w:kern w:val="2"/>
          <w:sz w:val="24"/>
          <w:szCs w:val="24"/>
          <w:highlight w:val="none"/>
        </w:rPr>
        <w:t>可取消我单位</w:t>
      </w:r>
      <w:r>
        <w:rPr>
          <w:rFonts w:hint="eastAsia" w:cs="宋体" w:asciiTheme="minorEastAsia" w:hAnsiTheme="minorEastAsia" w:eastAsiaTheme="minorEastAsia"/>
          <w:color w:val="auto"/>
          <w:kern w:val="2"/>
          <w:sz w:val="24"/>
          <w:szCs w:val="24"/>
          <w:highlight w:val="none"/>
          <w:lang w:eastAsia="zh-CN"/>
        </w:rPr>
        <w:t>中标资格</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lang w:eastAsia="zh-CN"/>
        </w:rPr>
        <w:t>招标人</w:t>
      </w:r>
      <w:r>
        <w:rPr>
          <w:rFonts w:hint="eastAsia" w:cs="宋体" w:asciiTheme="minorEastAsia" w:hAnsiTheme="minorEastAsia" w:eastAsiaTheme="minorEastAsia"/>
          <w:color w:val="auto"/>
          <w:kern w:val="2"/>
          <w:sz w:val="24"/>
          <w:szCs w:val="24"/>
          <w:highlight w:val="none"/>
        </w:rPr>
        <w:t>因此原因取消我单位</w:t>
      </w:r>
      <w:r>
        <w:rPr>
          <w:rFonts w:hint="eastAsia" w:cs="宋体" w:asciiTheme="minorEastAsia" w:hAnsiTheme="minorEastAsia" w:eastAsiaTheme="minorEastAsia"/>
          <w:color w:val="auto"/>
          <w:kern w:val="2"/>
          <w:sz w:val="24"/>
          <w:szCs w:val="24"/>
          <w:highlight w:val="none"/>
          <w:lang w:eastAsia="zh-CN"/>
        </w:rPr>
        <w:t>中标资格</w:t>
      </w:r>
      <w:r>
        <w:rPr>
          <w:rFonts w:hint="eastAsia" w:cs="宋体" w:asciiTheme="minorEastAsia" w:hAnsiTheme="minorEastAsia" w:eastAsiaTheme="minorEastAsia"/>
          <w:color w:val="auto"/>
          <w:kern w:val="2"/>
          <w:sz w:val="24"/>
          <w:szCs w:val="24"/>
          <w:highlight w:val="none"/>
        </w:rPr>
        <w:t>的，视为我单位无正当理由放弃</w:t>
      </w:r>
      <w:r>
        <w:rPr>
          <w:rFonts w:hint="eastAsia" w:cs="宋体" w:asciiTheme="minorEastAsia" w:hAnsiTheme="minorEastAsia" w:eastAsiaTheme="minorEastAsia"/>
          <w:color w:val="auto"/>
          <w:kern w:val="2"/>
          <w:sz w:val="24"/>
          <w:szCs w:val="24"/>
          <w:highlight w:val="none"/>
          <w:lang w:eastAsia="zh-CN"/>
        </w:rPr>
        <w:t>中标资格</w:t>
      </w:r>
      <w:r>
        <w:rPr>
          <w:rFonts w:hint="eastAsia" w:cs="宋体" w:asciiTheme="minorEastAsia" w:hAnsiTheme="minorEastAsia" w:eastAsiaTheme="minorEastAsia"/>
          <w:color w:val="auto"/>
          <w:kern w:val="2"/>
          <w:sz w:val="24"/>
          <w:szCs w:val="24"/>
          <w:highlight w:val="none"/>
        </w:rPr>
        <w:t>，同时贵单位可向我单位进一步追偿工期延误造成的一切损失。</w:t>
      </w:r>
    </w:p>
    <w:p>
      <w:pPr>
        <w:spacing w:line="360" w:lineRule="auto"/>
        <w:ind w:firstLine="480" w:firstLineChars="200"/>
        <w:rPr>
          <w:rFonts w:hint="eastAsia" w:cs="@仿宋_GB2312"/>
          <w:i/>
          <w:iCs/>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（4）</w:t>
      </w:r>
      <w:r>
        <w:rPr>
          <w:rFonts w:hint="eastAsia" w:cs="@仿宋_GB2312"/>
          <w:color w:val="auto"/>
          <w:kern w:val="2"/>
          <w:sz w:val="24"/>
          <w:szCs w:val="24"/>
          <w:highlight w:val="none"/>
        </w:rPr>
        <w:t>我方报价中已包含</w:t>
      </w:r>
      <w:r>
        <w:rPr>
          <w:rFonts w:hint="eastAsia" w:cs="@仿宋_GB2312"/>
          <w:color w:val="auto"/>
          <w:kern w:val="2"/>
          <w:sz w:val="24"/>
          <w:szCs w:val="24"/>
          <w:highlight w:val="none"/>
          <w:lang w:eastAsia="zh-CN"/>
        </w:rPr>
        <w:t>谈判文件</w:t>
      </w:r>
      <w:r>
        <w:rPr>
          <w:rFonts w:hint="eastAsia" w:cs="@仿宋_GB2312"/>
          <w:color w:val="auto"/>
          <w:kern w:val="2"/>
          <w:sz w:val="24"/>
          <w:szCs w:val="24"/>
          <w:highlight w:val="none"/>
        </w:rPr>
        <w:t>公布的施工扬尘污染防治费用和建筑工人实名制管理费用，未落实的施工扬尘污染防治和建筑工人实名制管理措施项目，工程竣工结算时按清单所列金额从工程结算价款中扣除</w:t>
      </w:r>
      <w:r>
        <w:rPr>
          <w:rFonts w:hint="eastAsia" w:cs="@仿宋_GB2312"/>
          <w:color w:val="auto"/>
          <w:kern w:val="2"/>
          <w:sz w:val="24"/>
          <w:szCs w:val="24"/>
          <w:highlight w:val="none"/>
          <w:lang w:eastAsia="zh-CN"/>
        </w:rPr>
        <w:t>。</w:t>
      </w:r>
      <w:r>
        <w:rPr>
          <w:rFonts w:hint="eastAsia" w:cs="@仿宋_GB2312"/>
          <w:i/>
          <w:iCs/>
          <w:color w:val="auto"/>
          <w:kern w:val="2"/>
          <w:sz w:val="24"/>
          <w:szCs w:val="24"/>
          <w:highlight w:val="none"/>
          <w:lang w:eastAsia="zh-CN"/>
        </w:rPr>
        <w:t>（适用工程量清单计价项目）</w:t>
      </w:r>
    </w:p>
    <w:p>
      <w:pPr>
        <w:spacing w:line="360" w:lineRule="auto"/>
        <w:ind w:firstLine="480" w:firstLineChars="200"/>
        <w:rPr>
          <w:rFonts w:hint="eastAsia" w:cs="宋体" w:asciiTheme="minorEastAsia" w:hAnsiTheme="minorEastAsia" w:eastAsiaTheme="minorEastAsia"/>
          <w:color w:val="auto"/>
          <w:kern w:val="2"/>
          <w:sz w:val="24"/>
          <w:szCs w:val="24"/>
          <w:highlight w:val="none"/>
        </w:rPr>
      </w:pPr>
      <w:r>
        <w:rPr>
          <w:rFonts w:hint="eastAsia" w:ascii="宋体" w:hAnsi="宋体" w:eastAsia="宋体" w:cs="@仿宋_GB2312"/>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lang w:val="en-US" w:eastAsia="zh-CN"/>
        </w:rPr>
        <w:t>5</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lang w:val="en-US" w:eastAsia="zh-CN"/>
        </w:rPr>
        <w:t>我方</w:t>
      </w:r>
      <w:r>
        <w:rPr>
          <w:rFonts w:hint="eastAsia" w:cs="宋体" w:asciiTheme="minorEastAsia" w:hAnsiTheme="minorEastAsia" w:eastAsiaTheme="minorEastAsia"/>
          <w:color w:val="auto"/>
          <w:kern w:val="2"/>
          <w:sz w:val="24"/>
          <w:szCs w:val="24"/>
          <w:highlight w:val="none"/>
        </w:rPr>
        <w:t>不存在</w:t>
      </w:r>
      <w:r>
        <w:rPr>
          <w:rFonts w:hint="eastAsia" w:cs="宋体" w:asciiTheme="minorEastAsia" w:hAnsiTheme="minorEastAsia" w:eastAsiaTheme="minorEastAsia"/>
          <w:color w:val="auto"/>
          <w:kern w:val="2"/>
          <w:sz w:val="24"/>
          <w:szCs w:val="24"/>
          <w:highlight w:val="none"/>
          <w:lang w:val="en-US" w:eastAsia="zh-CN"/>
        </w:rPr>
        <w:t>谈判公告中“</w:t>
      </w: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资格</w:t>
      </w:r>
      <w:r>
        <w:rPr>
          <w:rFonts w:hint="eastAsia" w:cs="宋体" w:asciiTheme="minorEastAsia" w:hAnsiTheme="minorEastAsia" w:eastAsiaTheme="minorEastAsia"/>
          <w:color w:val="auto"/>
          <w:kern w:val="2"/>
          <w:sz w:val="24"/>
          <w:szCs w:val="24"/>
          <w:highlight w:val="none"/>
          <w:lang w:eastAsia="zh-CN"/>
        </w:rPr>
        <w:t>要求”</w:t>
      </w:r>
      <w:r>
        <w:rPr>
          <w:rFonts w:hint="eastAsia" w:cs="宋体" w:asciiTheme="minorEastAsia" w:hAnsiTheme="minorEastAsia" w:eastAsiaTheme="minorEastAsia"/>
          <w:color w:val="auto"/>
          <w:kern w:val="2"/>
          <w:sz w:val="24"/>
          <w:szCs w:val="24"/>
          <w:highlight w:val="none"/>
          <w:lang w:val="en-US" w:eastAsia="zh-CN"/>
        </w:rPr>
        <w:t>的“</w:t>
      </w:r>
      <w:r>
        <w:rPr>
          <w:rFonts w:hint="eastAsia" w:cs="宋体" w:asciiTheme="minorEastAsia" w:hAnsiTheme="minorEastAsia" w:eastAsiaTheme="minorEastAsia"/>
          <w:color w:val="auto"/>
          <w:kern w:val="2"/>
          <w:sz w:val="24"/>
          <w:szCs w:val="24"/>
          <w:highlight w:val="none"/>
        </w:rPr>
        <w:t>不良信用记录情形</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规定的任何一种情形。</w:t>
      </w:r>
    </w:p>
    <w:p>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13.</w:t>
      </w:r>
      <w:bookmarkStart w:id="35" w:name="OLE_LINK1"/>
      <w:r>
        <w:rPr>
          <w:rFonts w:hint="eastAsia" w:cs="宋体" w:asciiTheme="minorEastAsia" w:hAnsiTheme="minorEastAsia" w:eastAsiaTheme="minorEastAsia"/>
          <w:color w:val="auto"/>
          <w:kern w:val="2"/>
          <w:sz w:val="24"/>
          <w:szCs w:val="24"/>
          <w:highlight w:val="none"/>
          <w:lang w:val="en-US" w:eastAsia="zh-CN"/>
        </w:rPr>
        <w:t>我方声明下述内容真实有效，如有</w:t>
      </w:r>
      <w:r>
        <w:rPr>
          <w:rFonts w:hint="eastAsia" w:cs="宋体" w:asciiTheme="minorEastAsia" w:hAnsiTheme="minorEastAsia" w:eastAsiaTheme="minorEastAsia"/>
          <w:color w:val="auto"/>
          <w:kern w:val="2"/>
          <w:sz w:val="24"/>
          <w:szCs w:val="24"/>
          <w:highlight w:val="none"/>
        </w:rPr>
        <w:t>虚假，将依法承担相应责任</w:t>
      </w:r>
      <w:r>
        <w:rPr>
          <w:rFonts w:hint="eastAsia" w:cs="宋体" w:asciiTheme="minorEastAsia" w:hAnsiTheme="minorEastAsia" w:eastAsiaTheme="minorEastAsia"/>
          <w:color w:val="auto"/>
          <w:kern w:val="2"/>
          <w:sz w:val="24"/>
          <w:szCs w:val="24"/>
          <w:highlight w:val="none"/>
          <w:lang w:eastAsia="zh-CN"/>
        </w:rPr>
        <w:t>：</w:t>
      </w:r>
    </w:p>
    <w:p>
      <w:p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val="en-US" w:eastAsia="zh-CN"/>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yellow"/>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yellow"/>
                <w:vertAlign w:val="baseline"/>
                <w:lang w:val="en-US" w:eastAsia="zh-CN" w:bidi="ar"/>
              </w:rPr>
            </w:pPr>
          </w:p>
        </w:tc>
        <w:tc>
          <w:tcPr>
            <w:tcW w:w="2841" w:type="dxa"/>
            <w:noWrap w:val="0"/>
            <w:vAlign w:val="top"/>
          </w:tcPr>
          <w:p>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yellow"/>
                <w:vertAlign w:val="baseline"/>
                <w:lang w:val="en-US" w:eastAsia="zh-CN" w:bidi="ar"/>
              </w:rPr>
            </w:pPr>
          </w:p>
        </w:tc>
      </w:tr>
      <w:bookmarkEnd w:id="35"/>
    </w:tbl>
    <w:p>
      <w:pPr>
        <w:spacing w:line="360" w:lineRule="auto"/>
        <w:ind w:firstLine="720" w:firstLineChars="300"/>
        <w:rPr>
          <w:rFonts w:cs="宋体" w:asciiTheme="minorEastAsia" w:hAnsiTheme="minorEastAsia" w:eastAsiaTheme="minorEastAsia"/>
          <w:color w:val="auto"/>
          <w:kern w:val="2"/>
          <w:sz w:val="24"/>
          <w:szCs w:val="24"/>
          <w:highlight w:val="none"/>
          <w:u w:val="single"/>
        </w:rPr>
      </w:pPr>
      <w:r>
        <w:rPr>
          <w:rFonts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4</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pPr>
        <w:pStyle w:val="54"/>
        <w:ind w:firstLine="200"/>
        <w:rPr>
          <w:color w:val="auto"/>
          <w:highlight w:val="none"/>
          <w:lang w:val="en-US"/>
        </w:rPr>
      </w:pPr>
    </w:p>
    <w:p>
      <w:pPr>
        <w:spacing w:line="360" w:lineRule="auto"/>
        <w:ind w:firstLine="4800" w:firstLineChars="2000"/>
        <w:rPr>
          <w:rFonts w:cs="@仿宋_GB2312"/>
          <w:color w:val="auto"/>
          <w:kern w:val="2"/>
          <w:sz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pPr>
        <w:widowControl/>
        <w:jc w:val="left"/>
        <w:rPr>
          <w:color w:val="auto"/>
          <w:sz w:val="24"/>
          <w:highlight w:val="none"/>
        </w:rPr>
      </w:pPr>
      <w:r>
        <w:rPr>
          <w:color w:val="auto"/>
          <w:sz w:val="24"/>
          <w:highlight w:val="none"/>
        </w:rPr>
        <w:br w:type="page"/>
      </w:r>
    </w:p>
    <w:p>
      <w:pPr>
        <w:widowControl/>
        <w:jc w:val="left"/>
        <w:rPr>
          <w:color w:val="auto"/>
          <w:sz w:val="24"/>
          <w:highlight w:val="none"/>
        </w:rPr>
      </w:pPr>
    </w:p>
    <w:p>
      <w:pPr>
        <w:spacing w:line="360" w:lineRule="auto"/>
        <w:jc w:val="center"/>
        <w:outlineLvl w:val="1"/>
        <w:rPr>
          <w:rFonts w:asciiTheme="minorEastAsia" w:hAnsiTheme="minorEastAsia" w:eastAsiaTheme="minorEastAsia"/>
          <w:b/>
          <w:color w:val="auto"/>
          <w:sz w:val="24"/>
          <w:highlight w:val="none"/>
        </w:rPr>
      </w:pPr>
      <w:bookmarkStart w:id="36" w:name="_Toc21595"/>
      <w:bookmarkStart w:id="37" w:name="_Toc516969106"/>
      <w:bookmarkStart w:id="38" w:name="_Toc121626298"/>
      <w:bookmarkStart w:id="39" w:name="_Toc204594911"/>
      <w:bookmarkStart w:id="40" w:name="_Toc520983594"/>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36"/>
      <w:bookmarkEnd w:id="37"/>
      <w:bookmarkEnd w:id="38"/>
      <w:bookmarkEnd w:id="39"/>
      <w:bookmarkEnd w:id="40"/>
    </w:p>
    <w:p>
      <w:pPr>
        <w:spacing w:line="360" w:lineRule="auto"/>
        <w:jc w:val="center"/>
        <w:rPr>
          <w:rFonts w:asciiTheme="minorEastAsia" w:hAnsiTheme="minorEastAsia" w:eastAsiaTheme="minorEastAsia"/>
          <w:b/>
          <w:color w:val="auto"/>
          <w:sz w:val="24"/>
          <w:highlight w:val="none"/>
        </w:rPr>
      </w:pPr>
    </w:p>
    <w:p>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谈判活动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过程的一切事宜，包括但不限于：提交</w:t>
      </w:r>
      <w:r>
        <w:rPr>
          <w:rFonts w:hint="eastAsia" w:hAnsi="宋体" w:eastAsia="宋体"/>
          <w:color w:val="auto"/>
          <w:sz w:val="24"/>
          <w:szCs w:val="28"/>
          <w:highlight w:val="none"/>
          <w:lang w:eastAsia="zh-CN"/>
        </w:rPr>
        <w:t>投标文件</w:t>
      </w:r>
      <w:r>
        <w:rPr>
          <w:rFonts w:hint="eastAsia" w:hAnsi="宋体" w:eastAsia="宋体"/>
          <w:color w:val="auto"/>
          <w:sz w:val="24"/>
          <w:szCs w:val="28"/>
          <w:highlight w:val="none"/>
        </w:rPr>
        <w:t>、参与</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、签约等。</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授权代表在</w:t>
      </w:r>
      <w:r>
        <w:rPr>
          <w:rFonts w:hint="eastAsia" w:hAnsi="宋体" w:eastAsia="宋体"/>
          <w:color w:val="auto"/>
          <w:sz w:val="24"/>
          <w:szCs w:val="28"/>
          <w:highlight w:val="none"/>
          <w:lang w:val="en-US" w:eastAsia="zh-CN"/>
        </w:rPr>
        <w:t>谈判</w:t>
      </w:r>
      <w:r>
        <w:rPr>
          <w:rFonts w:hint="eastAsia" w:hAnsi="宋体" w:eastAsia="宋体"/>
          <w:color w:val="auto"/>
          <w:sz w:val="24"/>
          <w:szCs w:val="28"/>
          <w:highlight w:val="none"/>
          <w:lang w:eastAsia="zh-CN"/>
        </w:rPr>
        <w:t>活动</w:t>
      </w:r>
      <w:r>
        <w:rPr>
          <w:rFonts w:hint="eastAsia" w:hAnsi="宋体" w:eastAsia="宋体"/>
          <w:color w:val="auto"/>
          <w:sz w:val="24"/>
          <w:szCs w:val="28"/>
          <w:highlight w:val="none"/>
        </w:rPr>
        <w:t>过程中所签署的一切文件和处理与之有关的一切事务，本公司均予以认可并对此承担责任。</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授权代表无转委托权。特此授权。</w:t>
      </w:r>
    </w:p>
    <w:p>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28"/>
        <w:snapToGrid w:val="0"/>
        <w:spacing w:line="360" w:lineRule="auto"/>
        <w:ind w:firstLine="480" w:firstLineChars="200"/>
        <w:jc w:val="left"/>
        <w:rPr>
          <w:rFonts w:hAnsi="宋体" w:eastAsia="宋体"/>
          <w:color w:val="auto"/>
          <w:sz w:val="24"/>
          <w:highlight w:val="none"/>
        </w:rPr>
      </w:pPr>
    </w:p>
    <w:p>
      <w:pPr>
        <w:pStyle w:val="28"/>
        <w:snapToGrid w:val="0"/>
        <w:spacing w:line="360" w:lineRule="auto"/>
        <w:ind w:firstLine="480" w:firstLineChars="200"/>
        <w:jc w:val="left"/>
        <w:rPr>
          <w:rFonts w:hAnsi="宋体" w:eastAsia="宋体"/>
          <w:color w:val="auto"/>
          <w:sz w:val="24"/>
          <w:highlight w:val="none"/>
        </w:rPr>
      </w:pPr>
    </w:p>
    <w:p>
      <w:pPr>
        <w:pStyle w:val="28"/>
        <w:snapToGrid w:val="0"/>
        <w:spacing w:line="360" w:lineRule="auto"/>
        <w:ind w:firstLine="480" w:firstLineChars="200"/>
        <w:jc w:val="left"/>
        <w:rPr>
          <w:rFonts w:hAnsi="宋体" w:eastAsia="宋体"/>
          <w:color w:val="auto"/>
          <w:sz w:val="24"/>
          <w:highlight w:val="none"/>
        </w:rPr>
      </w:pPr>
    </w:p>
    <w:p>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pStyle w:val="28"/>
        <w:snapToGrid w:val="0"/>
        <w:spacing w:line="360" w:lineRule="auto"/>
        <w:ind w:firstLine="480" w:firstLineChars="200"/>
        <w:jc w:val="left"/>
        <w:rPr>
          <w:rFonts w:hAnsi="宋体" w:eastAsia="宋体"/>
          <w:color w:val="auto"/>
          <w:sz w:val="24"/>
          <w:szCs w:val="28"/>
          <w:highlight w:val="none"/>
        </w:rPr>
      </w:pPr>
    </w:p>
    <w:p>
      <w:pPr>
        <w:spacing w:line="360" w:lineRule="auto"/>
        <w:ind w:firstLine="360" w:firstLineChars="150"/>
        <w:rPr>
          <w:color w:val="auto"/>
          <w:sz w:val="24"/>
          <w:szCs w:val="28"/>
          <w:highlight w:val="none"/>
        </w:rPr>
      </w:pPr>
      <w:r>
        <w:rPr>
          <w:rFonts w:hint="eastAsia"/>
          <w:color w:val="auto"/>
          <w:sz w:val="24"/>
          <w:szCs w:val="28"/>
          <w:highlight w:val="none"/>
        </w:rPr>
        <w:t>特此声明。</w:t>
      </w:r>
    </w:p>
    <w:p>
      <w:pPr>
        <w:spacing w:line="360" w:lineRule="auto"/>
        <w:rPr>
          <w:color w:val="auto"/>
          <w:sz w:val="24"/>
          <w:szCs w:val="28"/>
          <w:highlight w:val="none"/>
        </w:rPr>
      </w:pPr>
    </w:p>
    <w:p>
      <w:pPr>
        <w:spacing w:line="360" w:lineRule="auto"/>
        <w:rPr>
          <w:bCs/>
          <w:color w:val="auto"/>
          <w:sz w:val="24"/>
          <w:szCs w:val="28"/>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bCs/>
          <w:color w:val="auto"/>
          <w:sz w:val="24"/>
          <w:szCs w:val="28"/>
          <w:highlight w:val="none"/>
        </w:rPr>
        <w:t>：</w:t>
      </w:r>
      <w:r>
        <w:rPr>
          <w:rFonts w:hint="eastAsia"/>
          <w:bCs/>
          <w:color w:val="auto"/>
          <w:sz w:val="24"/>
          <w:szCs w:val="28"/>
          <w:highlight w:val="none"/>
          <w:u w:val="single"/>
        </w:rPr>
        <w:t xml:space="preserve">                    </w:t>
      </w:r>
    </w:p>
    <w:p>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pPr>
        <w:spacing w:line="360" w:lineRule="auto"/>
        <w:rPr>
          <w:color w:val="auto"/>
          <w:sz w:val="24"/>
          <w:szCs w:val="28"/>
          <w:highlight w:val="none"/>
        </w:rPr>
      </w:pPr>
    </w:p>
    <w:p>
      <w:pPr>
        <w:spacing w:line="360" w:lineRule="auto"/>
        <w:rPr>
          <w:color w:val="auto"/>
          <w:sz w:val="24"/>
          <w:szCs w:val="28"/>
          <w:highlight w:val="none"/>
        </w:rPr>
      </w:pPr>
    </w:p>
    <w:p>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w:t>
      </w:r>
    </w:p>
    <w:p>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谈判</w:t>
      </w:r>
      <w:r>
        <w:rPr>
          <w:rFonts w:hint="eastAsia"/>
          <w:color w:val="auto"/>
          <w:sz w:val="24"/>
          <w:highlight w:val="none"/>
        </w:rPr>
        <w:t>的无需提供授权</w:t>
      </w:r>
      <w:r>
        <w:rPr>
          <w:rFonts w:hint="eastAsia"/>
          <w:strike w:val="0"/>
          <w:dstrike w:val="0"/>
          <w:color w:val="auto"/>
          <w:sz w:val="24"/>
          <w:highlight w:val="none"/>
        </w:rPr>
        <w:t>书，仅提供</w:t>
      </w:r>
      <w:r>
        <w:rPr>
          <w:rFonts w:hint="eastAsia"/>
          <w:strike w:val="0"/>
          <w:dstrike w:val="0"/>
          <w:color w:val="auto"/>
          <w:sz w:val="24"/>
          <w:highlight w:val="none"/>
          <w:lang w:val="en-US" w:eastAsia="zh-CN"/>
        </w:rPr>
        <w:t>法定代表人身份证明书</w:t>
      </w:r>
      <w:r>
        <w:rPr>
          <w:rFonts w:hint="eastAsia"/>
          <w:strike w:val="0"/>
          <w:dstrike w:val="0"/>
          <w:color w:val="auto"/>
          <w:sz w:val="24"/>
          <w:highlight w:val="none"/>
        </w:rPr>
        <w:t>。</w:t>
      </w:r>
    </w:p>
    <w:p>
      <w:pPr>
        <w:widowControl/>
        <w:jc w:val="left"/>
        <w:rPr>
          <w:color w:val="auto"/>
          <w:sz w:val="24"/>
          <w:highlight w:val="none"/>
        </w:rPr>
      </w:pPr>
      <w:r>
        <w:rPr>
          <w:color w:val="auto"/>
          <w:sz w:val="24"/>
          <w:highlight w:val="none"/>
        </w:rPr>
        <w:br w:type="page"/>
      </w:r>
    </w:p>
    <w:p>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41" w:name="_Toc19041"/>
      <w:r>
        <w:rPr>
          <w:rFonts w:hint="eastAsia" w:cs="@仿宋_GB2312" w:asciiTheme="minorEastAsia" w:hAnsiTheme="minorEastAsia" w:eastAsiaTheme="minorEastAsia"/>
          <w:b/>
          <w:bCs/>
          <w:color w:val="auto"/>
          <w:kern w:val="2"/>
          <w:sz w:val="24"/>
          <w:szCs w:val="24"/>
          <w:highlight w:val="none"/>
          <w:lang w:val="en-US" w:eastAsia="zh-CN"/>
        </w:rPr>
        <w:t>五</w:t>
      </w:r>
      <w:r>
        <w:rPr>
          <w:rFonts w:hint="eastAsia" w:cs="@仿宋_GB2312" w:asciiTheme="minorEastAsia" w:hAnsiTheme="minorEastAsia" w:eastAsiaTheme="minorEastAsia"/>
          <w:b/>
          <w:bCs/>
          <w:color w:val="auto"/>
          <w:kern w:val="2"/>
          <w:sz w:val="24"/>
          <w:szCs w:val="24"/>
          <w:highlight w:val="none"/>
        </w:rPr>
        <w:t>、法定代表人身份证明书</w:t>
      </w:r>
      <w:bookmarkEnd w:id="41"/>
    </w:p>
    <w:p>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投标人</w:t>
      </w:r>
      <w:r>
        <w:rPr>
          <w:rFonts w:hint="eastAsia" w:ascii="Calibri" w:hAnsi="Calibri" w:cs="Times New Roman"/>
          <w:color w:val="auto"/>
          <w:kern w:val="2"/>
          <w:sz w:val="24"/>
          <w:szCs w:val="28"/>
          <w:highlight w:val="none"/>
          <w:u w:val="single"/>
        </w:rPr>
        <w:t xml:space="preserve">单位名称）       </w:t>
      </w:r>
      <w:r>
        <w:rPr>
          <w:rFonts w:hint="eastAsia" w:ascii="Calibri" w:hAnsi="Calibri" w:cs="Times New Roman"/>
          <w:color w:val="auto"/>
          <w:kern w:val="2"/>
          <w:sz w:val="24"/>
          <w:szCs w:val="28"/>
          <w:highlight w:val="none"/>
        </w:rPr>
        <w:t>的法定代表人。</w:t>
      </w:r>
    </w:p>
    <w:p>
      <w:pPr>
        <w:spacing w:before="62" w:beforeLines="20" w:after="62" w:afterLines="20" w:line="540" w:lineRule="exact"/>
        <w:ind w:firstLine="610"/>
        <w:rPr>
          <w:rFonts w:ascii="@仿宋_GB2312" w:hAnsi="Calibri" w:eastAsia="@仿宋_GB2312" w:cs="宋体"/>
          <w:color w:val="auto"/>
          <w:kern w:val="2"/>
          <w:sz w:val="24"/>
          <w:szCs w:val="24"/>
          <w:highlight w:val="none"/>
        </w:rPr>
      </w:pPr>
    </w:p>
    <w:p>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42" w:name="_Toc9917"/>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、项目经理承诺书</w:t>
      </w:r>
      <w:bookmarkEnd w:id="42"/>
    </w:p>
    <w:p>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合肥百货大楼集团股份有限公司滨湖心悦城购物中心</w:t>
      </w:r>
    </w:p>
    <w:p>
      <w:pPr>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w:t>
      </w:r>
      <w:r>
        <w:rPr>
          <w:rFonts w:hint="eastAsia" w:cs="宋体"/>
          <w:color w:val="auto"/>
          <w:kern w:val="2"/>
          <w:sz w:val="24"/>
          <w:szCs w:val="24"/>
          <w:highlight w:val="none"/>
          <w:lang w:eastAsia="zh-CN"/>
        </w:rPr>
        <w:t>本谈判项目</w:t>
      </w:r>
      <w:r>
        <w:rPr>
          <w:rFonts w:hint="eastAsia" w:cs="宋体"/>
          <w:color w:val="auto"/>
          <w:kern w:val="2"/>
          <w:sz w:val="24"/>
          <w:szCs w:val="24"/>
          <w:highlight w:val="none"/>
        </w:rPr>
        <w:t>项目经理，郑重承诺：</w:t>
      </w:r>
    </w:p>
    <w:p>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ascii="Calibri" w:hAnsi="Calibri" w:cs="Times New Roman"/>
          <w:bCs/>
          <w:color w:val="auto"/>
          <w:kern w:val="2"/>
          <w:sz w:val="24"/>
          <w:szCs w:val="21"/>
          <w:highlight w:val="none"/>
        </w:rPr>
        <w:t>目前无在岗项目或虽在其他项目上担任项目经理岗位，但承诺在本项目中标后合同签订前能够从其他项目变更至本项目并全面履约。</w:t>
      </w:r>
    </w:p>
    <w:p>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w:t>
      </w:r>
      <w:r>
        <w:rPr>
          <w:rFonts w:hint="eastAsia" w:cs="宋体"/>
          <w:color w:val="auto"/>
          <w:kern w:val="2"/>
          <w:sz w:val="24"/>
          <w:szCs w:val="24"/>
          <w:highlight w:val="none"/>
          <w:lang w:eastAsia="zh-CN"/>
        </w:rPr>
        <w:t>中标</w:t>
      </w:r>
      <w:r>
        <w:rPr>
          <w:rFonts w:hint="eastAsia" w:cs="宋体"/>
          <w:color w:val="auto"/>
          <w:kern w:val="2"/>
          <w:sz w:val="24"/>
          <w:szCs w:val="24"/>
          <w:highlight w:val="none"/>
        </w:rPr>
        <w:t>，将严格按照</w:t>
      </w:r>
      <w:r>
        <w:rPr>
          <w:rFonts w:hint="eastAsia" w:cs="宋体"/>
          <w:color w:val="auto"/>
          <w:kern w:val="2"/>
          <w:sz w:val="24"/>
          <w:szCs w:val="24"/>
          <w:highlight w:val="none"/>
          <w:lang w:eastAsia="zh-CN"/>
        </w:rPr>
        <w:t>谈判</w:t>
      </w:r>
      <w:r>
        <w:rPr>
          <w:rFonts w:hint="eastAsia" w:cs="宋体"/>
          <w:color w:val="auto"/>
          <w:kern w:val="2"/>
          <w:sz w:val="24"/>
          <w:szCs w:val="24"/>
          <w:highlight w:val="none"/>
        </w:rPr>
        <w:t>文件规定履约。</w:t>
      </w:r>
    </w:p>
    <w:p>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pPr>
        <w:spacing w:line="360" w:lineRule="auto"/>
        <w:ind w:firstLine="480" w:firstLineChars="200"/>
        <w:rPr>
          <w:rFonts w:cs="宋体"/>
          <w:color w:val="auto"/>
          <w:kern w:val="2"/>
          <w:sz w:val="24"/>
          <w:szCs w:val="24"/>
          <w:highlight w:val="none"/>
        </w:rPr>
      </w:pPr>
    </w:p>
    <w:p>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pPr>
        <w:spacing w:line="360" w:lineRule="auto"/>
        <w:ind w:firstLine="480" w:firstLineChars="200"/>
        <w:rPr>
          <w:rFonts w:cs="宋体"/>
          <w:color w:val="auto"/>
          <w:kern w:val="2"/>
          <w:sz w:val="24"/>
          <w:szCs w:val="24"/>
          <w:highlight w:val="none"/>
        </w:rPr>
      </w:pP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43" w:name="_Toc438648628"/>
      <w:r>
        <w:rPr>
          <w:rFonts w:hint="eastAsia" w:ascii="@仿宋_GB2312" w:eastAsia="@仿宋_GB2312" w:cs="宋体"/>
          <w:b/>
          <w:color w:val="auto"/>
          <w:kern w:val="2"/>
          <w:sz w:val="24"/>
          <w:szCs w:val="24"/>
          <w:highlight w:val="none"/>
        </w:rPr>
        <w:br w:type="page"/>
      </w:r>
      <w:bookmarkEnd w:id="43"/>
    </w:p>
    <w:p>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lang w:val="en-US" w:eastAsia="zh-CN"/>
        </w:rPr>
      </w:pPr>
      <w:bookmarkStart w:id="44" w:name="_Toc3021"/>
      <w:r>
        <w:rPr>
          <w:rFonts w:hint="eastAsia" w:cs="@仿宋_GB2312" w:asciiTheme="minorEastAsia" w:hAnsiTheme="minorEastAsia" w:eastAsiaTheme="minorEastAsia"/>
          <w:b/>
          <w:bCs/>
          <w:color w:val="auto"/>
          <w:kern w:val="2"/>
          <w:sz w:val="24"/>
          <w:szCs w:val="24"/>
          <w:highlight w:val="none"/>
          <w:lang w:val="en-US" w:eastAsia="zh-CN"/>
        </w:rPr>
        <w:t>七、投标业绩</w:t>
      </w:r>
      <w:bookmarkEnd w:id="44"/>
    </w:p>
    <w:p>
      <w:pPr>
        <w:keepNext/>
        <w:keepLines/>
        <w:pageBreakBefore w:val="0"/>
        <w:widowControl w:val="0"/>
        <w:numPr>
          <w:ilvl w:val="0"/>
          <w:numId w:val="7"/>
        </w:numPr>
        <w:kinsoku/>
        <w:wordWrap/>
        <w:overflowPunct/>
        <w:topLinePunct w:val="0"/>
        <w:autoSpaceDE/>
        <w:autoSpaceDN/>
        <w:bidi w:val="0"/>
        <w:adjustRightInd/>
        <w:snapToGrid/>
        <w:spacing w:line="240" w:lineRule="auto"/>
        <w:jc w:val="center"/>
        <w:textAlignment w:val="auto"/>
        <w:outlineLvl w:val="2"/>
        <w:rPr>
          <w:rFonts w:hint="eastAsia"/>
          <w:color w:val="auto"/>
          <w:sz w:val="24"/>
          <w:szCs w:val="24"/>
          <w:highlight w:val="none"/>
          <w:lang w:val="en-US" w:eastAsia="zh-CN"/>
        </w:rPr>
      </w:pPr>
      <w:r>
        <w:rPr>
          <w:rFonts w:hint="eastAsia"/>
          <w:color w:val="auto"/>
          <w:sz w:val="24"/>
          <w:szCs w:val="24"/>
          <w:highlight w:val="none"/>
          <w:lang w:val="en-US" w:eastAsia="zh-CN"/>
        </w:rPr>
        <w:t>业绩表</w:t>
      </w:r>
    </w:p>
    <w:p>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（格式仅供参考）</w:t>
      </w:r>
    </w:p>
    <w:p>
      <w:pPr>
        <w:rPr>
          <w:rFonts w:eastAsia="@仿宋_GB2312" w:cs="@仿宋_GB2312"/>
          <w:color w:val="auto"/>
          <w:kern w:val="2"/>
          <w:sz w:val="21"/>
          <w:highlight w:val="non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55"/>
        <w:gridCol w:w="1490"/>
        <w:gridCol w:w="1565"/>
        <w:gridCol w:w="177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5" w:type="pct"/>
            <w:vAlign w:val="center"/>
          </w:tcPr>
          <w:p>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971" w:type="pct"/>
            <w:vAlign w:val="center"/>
          </w:tcPr>
          <w:p>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874" w:type="pct"/>
            <w:vAlign w:val="center"/>
          </w:tcPr>
          <w:p>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工程</w:t>
            </w:r>
            <w:r>
              <w:rPr>
                <w:rFonts w:hint="eastAsia" w:cs="宋体" w:asciiTheme="minorEastAsia" w:hAnsiTheme="minorEastAsia" w:eastAsiaTheme="minorEastAsia"/>
                <w:b/>
                <w:color w:val="auto"/>
                <w:kern w:val="2"/>
                <w:sz w:val="24"/>
                <w:szCs w:val="24"/>
                <w:highlight w:val="none"/>
              </w:rPr>
              <w:t>内容</w:t>
            </w:r>
          </w:p>
        </w:tc>
        <w:tc>
          <w:tcPr>
            <w:tcW w:w="918" w:type="pct"/>
            <w:vAlign w:val="center"/>
          </w:tcPr>
          <w:p>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合同总金额</w:t>
            </w:r>
          </w:p>
        </w:tc>
        <w:tc>
          <w:tcPr>
            <w:tcW w:w="1043" w:type="pct"/>
            <w:vAlign w:val="center"/>
          </w:tcPr>
          <w:p>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业绩合同甲方及联系电话</w:t>
            </w:r>
          </w:p>
        </w:tc>
        <w:tc>
          <w:tcPr>
            <w:tcW w:w="637" w:type="pct"/>
            <w:vAlign w:val="center"/>
          </w:tcPr>
          <w:p>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rPr>
              <w:t>1</w:t>
            </w:r>
          </w:p>
        </w:tc>
        <w:tc>
          <w:tcPr>
            <w:tcW w:w="971" w:type="pct"/>
            <w:vAlign w:val="center"/>
          </w:tcPr>
          <w:p>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pPr>
              <w:spacing w:line="360" w:lineRule="auto"/>
              <w:rPr>
                <w:rFonts w:cs="宋体" w:asciiTheme="minorEastAsia" w:hAnsiTheme="minorEastAsia" w:eastAsiaTheme="minorEastAsia"/>
                <w:b w:val="0"/>
                <w:bCs/>
                <w:color w:val="auto"/>
                <w:kern w:val="2"/>
                <w:sz w:val="24"/>
                <w:szCs w:val="24"/>
                <w:highlight w:val="none"/>
              </w:rPr>
            </w:pPr>
          </w:p>
        </w:tc>
        <w:tc>
          <w:tcPr>
            <w:tcW w:w="637" w:type="pct"/>
            <w:vAlign w:val="center"/>
          </w:tcPr>
          <w:p>
            <w:pPr>
              <w:spacing w:line="360" w:lineRule="auto"/>
              <w:rPr>
                <w:rFonts w:cs="宋体" w:asciiTheme="minorEastAsia" w:hAnsiTheme="minorEastAsia" w:eastAsiaTheme="minorEastAsia"/>
                <w:b w:val="0"/>
                <w:bCs/>
                <w:color w:val="auto"/>
                <w:kern w:val="2"/>
                <w:sz w:val="24"/>
                <w:szCs w:val="24"/>
                <w:highlight w:val="none"/>
              </w:rPr>
            </w:pPr>
          </w:p>
        </w:tc>
      </w:tr>
    </w:tbl>
    <w:p>
      <w:pPr>
        <w:widowControl/>
        <w:jc w:val="left"/>
        <w:rPr>
          <w:rFonts w:asciiTheme="minorEastAsia" w:hAnsiTheme="minorEastAsia" w:eastAsiaTheme="minorEastAsia"/>
          <w:b/>
          <w:color w:val="auto"/>
          <w:sz w:val="24"/>
          <w:highlight w:val="none"/>
        </w:rPr>
      </w:pPr>
    </w:p>
    <w:p>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auto"/>
          <w:sz w:val="24"/>
          <w:szCs w:val="24"/>
          <w:highlight w:val="none"/>
          <w:lang w:val="en-US" w:eastAsia="zh-CN"/>
        </w:rPr>
      </w:pPr>
    </w:p>
    <w:p>
      <w:pPr>
        <w:keepNext/>
        <w:keepLines/>
        <w:pageBreakBefore w:val="0"/>
        <w:widowControl w:val="0"/>
        <w:numPr>
          <w:ilvl w:val="0"/>
          <w:numId w:val="7"/>
        </w:numPr>
        <w:kinsoku/>
        <w:wordWrap/>
        <w:overflowPunct/>
        <w:topLinePunct w:val="0"/>
        <w:autoSpaceDE/>
        <w:autoSpaceDN/>
        <w:bidi w:val="0"/>
        <w:adjustRightInd/>
        <w:snapToGrid/>
        <w:spacing w:line="360" w:lineRule="auto"/>
        <w:jc w:val="center"/>
        <w:textAlignment w:val="auto"/>
        <w:outlineLvl w:val="2"/>
        <w:rPr>
          <w:rFonts w:hint="eastAsia"/>
          <w:color w:val="auto"/>
          <w:sz w:val="24"/>
          <w:szCs w:val="24"/>
          <w:highlight w:val="none"/>
          <w:lang w:val="en-US" w:eastAsia="zh-CN"/>
        </w:rPr>
      </w:pPr>
      <w:r>
        <w:rPr>
          <w:rFonts w:hint="eastAsia"/>
          <w:color w:val="auto"/>
          <w:sz w:val="24"/>
          <w:szCs w:val="24"/>
          <w:highlight w:val="none"/>
          <w:lang w:val="en-US" w:eastAsia="zh-CN"/>
        </w:rPr>
        <w:t>业绩证明材料</w:t>
      </w:r>
    </w:p>
    <w:p>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auto"/>
          <w:sz w:val="24"/>
          <w:highlight w:val="none"/>
        </w:rPr>
      </w:pPr>
      <w:r>
        <w:rPr>
          <w:rFonts w:hint="eastAsia"/>
          <w:color w:val="auto"/>
          <w:sz w:val="24"/>
          <w:szCs w:val="24"/>
          <w:highlight w:val="none"/>
          <w:lang w:val="en-US" w:eastAsia="zh-CN"/>
        </w:rPr>
        <w:t>（建议与上述“（一）业绩表”填写的业绩一一对应）</w:t>
      </w:r>
      <w:r>
        <w:rPr>
          <w:rFonts w:asciiTheme="minorEastAsia" w:hAnsiTheme="minorEastAsia" w:eastAsiaTheme="minorEastAsia"/>
          <w:b/>
          <w:color w:val="auto"/>
          <w:sz w:val="24"/>
          <w:highlight w:val="none"/>
        </w:rPr>
        <w:br w:type="page"/>
      </w:r>
    </w:p>
    <w:p>
      <w:pPr>
        <w:numPr>
          <w:ilvl w:val="0"/>
          <w:numId w:val="8"/>
        </w:num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股权结构说明书</w:t>
      </w:r>
    </w:p>
    <w:p>
      <w:pPr>
        <w:spacing w:line="720" w:lineRule="exact"/>
        <w:ind w:firstLine="480" w:firstLineChars="200"/>
        <w:rPr>
          <w:rFonts w:cs="@仿宋_GB2312"/>
          <w:color w:val="auto"/>
          <w:sz w:val="24"/>
        </w:rPr>
      </w:pPr>
      <w:r>
        <w:rPr>
          <w:rFonts w:hint="eastAsia" w:cs="@仿宋_GB2312"/>
          <w:color w:val="auto"/>
          <w:sz w:val="24"/>
        </w:rPr>
        <w:t>为依照《中华人民共和国公司法》等法律法规成立的</w:t>
      </w:r>
      <w:r>
        <w:rPr>
          <w:rFonts w:hint="eastAsia" w:cs="@仿宋_GB2312"/>
          <w:color w:val="auto"/>
          <w:sz w:val="24"/>
          <w:u w:val="single"/>
        </w:rPr>
        <w:t>　       　</w:t>
      </w:r>
      <w:r>
        <w:rPr>
          <w:rFonts w:hint="eastAsia" w:cs="@仿宋_GB2312"/>
          <w:color w:val="auto"/>
          <w:sz w:val="24"/>
        </w:rPr>
        <w:t>（企业性质）公司，公司注册资本为</w:t>
      </w:r>
      <w:r>
        <w:rPr>
          <w:rFonts w:hint="eastAsia" w:cs="@仿宋_GB2312"/>
          <w:color w:val="auto"/>
          <w:sz w:val="24"/>
          <w:u w:val="single"/>
        </w:rPr>
        <w:t>　  　</w:t>
      </w:r>
      <w:r>
        <w:rPr>
          <w:rFonts w:hint="eastAsia" w:cs="@仿宋_GB2312"/>
          <w:color w:val="auto"/>
          <w:sz w:val="24"/>
        </w:rPr>
        <w:t>万元，公司股东出资比例和出资额如下：</w:t>
      </w:r>
    </w:p>
    <w:p>
      <w:pPr>
        <w:spacing w:line="720" w:lineRule="exact"/>
        <w:rPr>
          <w:rFonts w:cs="@仿宋_GB2312"/>
          <w:color w:val="auto"/>
          <w:sz w:val="24"/>
        </w:rPr>
      </w:pPr>
      <w:r>
        <w:rPr>
          <w:rFonts w:hint="eastAsia" w:cs="@仿宋_GB2312"/>
          <w:color w:val="auto"/>
          <w:sz w:val="24"/>
        </w:rPr>
        <w:t xml:space="preserve">    1.股东：，出资比例：</w:t>
      </w:r>
      <w:r>
        <w:rPr>
          <w:rFonts w:hint="eastAsia" w:cs="@仿宋_GB2312"/>
          <w:color w:val="auto"/>
          <w:sz w:val="24"/>
          <w:u w:val="single"/>
        </w:rPr>
        <w:t>　　</w:t>
      </w:r>
      <w:r>
        <w:rPr>
          <w:rFonts w:hint="eastAsia" w:cs="@仿宋_GB2312"/>
          <w:color w:val="auto"/>
          <w:sz w:val="24"/>
        </w:rPr>
        <w:t>%，出资额：</w:t>
      </w:r>
      <w:r>
        <w:rPr>
          <w:rFonts w:hint="eastAsia" w:cs="@仿宋_GB2312"/>
          <w:color w:val="auto"/>
          <w:sz w:val="24"/>
          <w:u w:val="single"/>
        </w:rPr>
        <w:t>　　</w:t>
      </w:r>
      <w:r>
        <w:rPr>
          <w:rFonts w:hint="eastAsia" w:cs="@仿宋_GB2312"/>
          <w:color w:val="auto"/>
          <w:sz w:val="24"/>
        </w:rPr>
        <w:t>万元；</w:t>
      </w:r>
    </w:p>
    <w:p>
      <w:pPr>
        <w:spacing w:line="720" w:lineRule="exact"/>
        <w:rPr>
          <w:rFonts w:cs="@仿宋_GB2312"/>
          <w:color w:val="auto"/>
          <w:sz w:val="24"/>
        </w:rPr>
      </w:pPr>
      <w:r>
        <w:rPr>
          <w:rFonts w:hint="eastAsia" w:cs="@仿宋_GB2312"/>
          <w:color w:val="auto"/>
          <w:sz w:val="24"/>
        </w:rPr>
        <w:t xml:space="preserve">    2.股东：，出资比例：</w:t>
      </w:r>
      <w:r>
        <w:rPr>
          <w:rFonts w:hint="eastAsia" w:cs="@仿宋_GB2312"/>
          <w:color w:val="auto"/>
          <w:sz w:val="24"/>
          <w:u w:val="single"/>
        </w:rPr>
        <w:t>　　</w:t>
      </w:r>
      <w:r>
        <w:rPr>
          <w:rFonts w:hint="eastAsia" w:cs="@仿宋_GB2312"/>
          <w:color w:val="auto"/>
          <w:sz w:val="24"/>
        </w:rPr>
        <w:t>%，出资额：</w:t>
      </w:r>
      <w:r>
        <w:rPr>
          <w:rFonts w:hint="eastAsia" w:cs="@仿宋_GB2312"/>
          <w:color w:val="auto"/>
          <w:sz w:val="24"/>
          <w:u w:val="single"/>
        </w:rPr>
        <w:t>　　</w:t>
      </w:r>
      <w:r>
        <w:rPr>
          <w:rFonts w:hint="eastAsia" w:cs="@仿宋_GB2312"/>
          <w:color w:val="auto"/>
          <w:sz w:val="24"/>
        </w:rPr>
        <w:t>万元；</w:t>
      </w:r>
    </w:p>
    <w:p>
      <w:pPr>
        <w:spacing w:line="720" w:lineRule="exact"/>
        <w:rPr>
          <w:rFonts w:cs="@仿宋_GB2312"/>
          <w:color w:val="auto"/>
          <w:sz w:val="24"/>
        </w:rPr>
      </w:pPr>
      <w:r>
        <w:rPr>
          <w:rFonts w:hint="eastAsia" w:cs="@仿宋_GB2312"/>
          <w:color w:val="auto"/>
          <w:sz w:val="24"/>
        </w:rPr>
        <w:t xml:space="preserve">    3.股东：，出资比例：</w:t>
      </w:r>
      <w:r>
        <w:rPr>
          <w:rFonts w:hint="eastAsia" w:cs="@仿宋_GB2312"/>
          <w:color w:val="auto"/>
          <w:sz w:val="24"/>
          <w:u w:val="single"/>
        </w:rPr>
        <w:t>　　</w:t>
      </w:r>
      <w:r>
        <w:rPr>
          <w:rFonts w:hint="eastAsia" w:cs="@仿宋_GB2312"/>
          <w:color w:val="auto"/>
          <w:sz w:val="24"/>
        </w:rPr>
        <w:t>%，出资额：</w:t>
      </w:r>
      <w:r>
        <w:rPr>
          <w:rFonts w:hint="eastAsia" w:cs="@仿宋_GB2312"/>
          <w:color w:val="auto"/>
          <w:sz w:val="24"/>
          <w:u w:val="single"/>
        </w:rPr>
        <w:t>　　</w:t>
      </w:r>
      <w:r>
        <w:rPr>
          <w:rFonts w:hint="eastAsia" w:cs="@仿宋_GB2312"/>
          <w:color w:val="auto"/>
          <w:sz w:val="24"/>
        </w:rPr>
        <w:t>万元；</w:t>
      </w:r>
    </w:p>
    <w:p>
      <w:pPr>
        <w:spacing w:line="720" w:lineRule="exact"/>
        <w:rPr>
          <w:rFonts w:cs="@仿宋_GB2312"/>
          <w:color w:val="auto"/>
          <w:sz w:val="24"/>
        </w:rPr>
      </w:pPr>
      <w:r>
        <w:rPr>
          <w:rFonts w:hint="eastAsia" w:cs="@仿宋_GB2312"/>
          <w:color w:val="auto"/>
          <w:sz w:val="24"/>
        </w:rPr>
        <w:t xml:space="preserve">    ……</w:t>
      </w:r>
    </w:p>
    <w:p>
      <w:pPr>
        <w:spacing w:line="720" w:lineRule="exact"/>
        <w:rPr>
          <w:rFonts w:cs="@仿宋_GB2312"/>
          <w:color w:val="auto"/>
          <w:sz w:val="24"/>
          <w:u w:val="single"/>
        </w:rPr>
      </w:pPr>
      <w:r>
        <w:rPr>
          <w:rFonts w:hint="eastAsia" w:cs="@仿宋_GB2312"/>
          <w:color w:val="auto"/>
          <w:sz w:val="24"/>
        </w:rPr>
        <w:t xml:space="preserve">    公司总经理（负责人）姓名：；联系电话：</w:t>
      </w:r>
    </w:p>
    <w:p>
      <w:pPr>
        <w:spacing w:line="600" w:lineRule="exact"/>
        <w:ind w:firstLine="120"/>
        <w:rPr>
          <w:rFonts w:cs="@仿宋_GB2312"/>
          <w:b/>
          <w:color w:val="auto"/>
          <w:sz w:val="24"/>
        </w:rPr>
      </w:pPr>
      <w:r>
        <w:rPr>
          <w:rFonts w:hint="eastAsia" w:cs="@仿宋_GB2312"/>
          <w:b/>
          <w:color w:val="auto"/>
          <w:sz w:val="24"/>
        </w:rPr>
        <w:t>本单位对上述说明的真实性负责。如有虚假，将依法承担相应责任。</w:t>
      </w:r>
    </w:p>
    <w:p>
      <w:pPr>
        <w:spacing w:line="720" w:lineRule="exact"/>
        <w:rPr>
          <w:rFonts w:cs="@仿宋_GB2312"/>
          <w:color w:val="auto"/>
          <w:sz w:val="24"/>
        </w:rPr>
      </w:pPr>
      <w:r>
        <w:rPr>
          <w:rFonts w:hint="eastAsia" w:cs="@仿宋_GB2312"/>
          <w:color w:val="auto"/>
          <w:sz w:val="24"/>
        </w:rPr>
        <w:t xml:space="preserve">    特此说明</w:t>
      </w:r>
    </w:p>
    <w:p>
      <w:pPr>
        <w:spacing w:line="720" w:lineRule="exact"/>
        <w:rPr>
          <w:rFonts w:cs="@仿宋_GB2312"/>
          <w:color w:val="auto"/>
          <w:sz w:val="24"/>
        </w:rPr>
      </w:pPr>
    </w:p>
    <w:p>
      <w:pPr>
        <w:spacing w:line="360" w:lineRule="auto"/>
        <w:ind w:firstLine="3840" w:firstLineChars="1600"/>
        <w:rPr>
          <w:rFonts w:cs="宋体"/>
          <w:color w:val="auto"/>
          <w:kern w:val="2"/>
          <w:sz w:val="24"/>
          <w:szCs w:val="24"/>
        </w:rPr>
      </w:pPr>
      <w:r>
        <w:rPr>
          <w:rFonts w:hint="eastAsia" w:cs="@仿宋_GB2312"/>
          <w:color w:val="auto"/>
          <w:kern w:val="2"/>
          <w:sz w:val="24"/>
          <w:szCs w:val="24"/>
        </w:rPr>
        <w:t>投标人电子签章或公章</w:t>
      </w:r>
      <w:r>
        <w:rPr>
          <w:rFonts w:hint="eastAsia" w:cs="宋体"/>
          <w:color w:val="auto"/>
          <w:kern w:val="2"/>
          <w:sz w:val="24"/>
          <w:szCs w:val="24"/>
        </w:rPr>
        <w:t>：</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p>
    <w:p>
      <w:pPr>
        <w:numPr>
          <w:ilvl w:val="0"/>
          <w:numId w:val="0"/>
        </w:numPr>
        <w:spacing w:line="360" w:lineRule="auto"/>
        <w:ind w:firstLine="4080" w:firstLineChars="1700"/>
        <w:jc w:val="both"/>
        <w:outlineLvl w:val="1"/>
        <w:rPr>
          <w:rFonts w:hint="eastAsia" w:asciiTheme="minorEastAsia" w:hAnsiTheme="minorEastAsia" w:eastAsiaTheme="minorEastAsia"/>
          <w:b/>
          <w:color w:val="auto"/>
          <w:sz w:val="24"/>
          <w:highlight w:val="none"/>
          <w:lang w:val="en-US" w:eastAsia="zh-CN"/>
        </w:rPr>
      </w:pPr>
      <w:r>
        <w:rPr>
          <w:rFonts w:hint="eastAsia" w:cs="宋体"/>
          <w:color w:val="auto"/>
          <w:kern w:val="2"/>
          <w:sz w:val="24"/>
          <w:szCs w:val="24"/>
        </w:rPr>
        <w:t>日</w:t>
      </w:r>
      <w:r>
        <w:rPr>
          <w:rFonts w:cs="宋体"/>
          <w:color w:val="auto"/>
          <w:kern w:val="2"/>
          <w:sz w:val="24"/>
          <w:szCs w:val="24"/>
        </w:rPr>
        <w:t xml:space="preserve">   </w:t>
      </w:r>
      <w:r>
        <w:rPr>
          <w:rFonts w:hint="eastAsia" w:cs="宋体"/>
          <w:color w:val="auto"/>
          <w:kern w:val="2"/>
          <w:sz w:val="24"/>
          <w:szCs w:val="24"/>
        </w:rPr>
        <w:t xml:space="preserve"> </w:t>
      </w:r>
      <w:r>
        <w:rPr>
          <w:rFonts w:hint="eastAsia" w:cs="宋体"/>
          <w:color w:val="auto"/>
          <w:kern w:val="2"/>
          <w:sz w:val="24"/>
          <w:szCs w:val="24"/>
          <w:lang w:val="en-US" w:eastAsia="zh-CN"/>
        </w:rPr>
        <w:t xml:space="preserve"> </w:t>
      </w:r>
      <w:r>
        <w:rPr>
          <w:rFonts w:hint="eastAsia" w:cs="宋体"/>
          <w:color w:val="auto"/>
          <w:kern w:val="2"/>
          <w:sz w:val="24"/>
          <w:szCs w:val="24"/>
        </w:rPr>
        <w:t xml:space="preserve"> </w:t>
      </w:r>
      <w:r>
        <w:rPr>
          <w:rFonts w:cs="宋体"/>
          <w:color w:val="auto"/>
          <w:kern w:val="2"/>
          <w:sz w:val="24"/>
          <w:szCs w:val="24"/>
        </w:rPr>
        <w:t xml:space="preserve">   </w:t>
      </w:r>
      <w:r>
        <w:rPr>
          <w:rFonts w:hint="eastAsia" w:cs="宋体"/>
          <w:color w:val="auto"/>
          <w:kern w:val="2"/>
          <w:sz w:val="24"/>
          <w:szCs w:val="24"/>
        </w:rPr>
        <w:t>期</w:t>
      </w:r>
      <w:r>
        <w:rPr>
          <w:rFonts w:hint="eastAsia" w:cs="宋体"/>
          <w:color w:val="auto"/>
          <w:kern w:val="2"/>
          <w:sz w:val="24"/>
          <w:szCs w:val="24"/>
          <w:lang w:val="en-US" w:eastAsia="zh-CN"/>
        </w:rPr>
        <w:t xml:space="preserve">    </w:t>
      </w:r>
      <w:r>
        <w:rPr>
          <w:rFonts w:hint="eastAsia" w:cs="宋体"/>
          <w:color w:val="auto"/>
          <w:kern w:val="2"/>
          <w:sz w:val="24"/>
          <w:szCs w:val="24"/>
        </w:rPr>
        <w:t>：</w:t>
      </w:r>
      <w:r>
        <w:rPr>
          <w:rFonts w:cs="宋体"/>
          <w:color w:val="auto"/>
          <w:kern w:val="2"/>
          <w:sz w:val="24"/>
          <w:szCs w:val="24"/>
          <w:u w:val="single"/>
        </w:rPr>
        <w:t xml:space="preserve">  </w:t>
      </w:r>
      <w:r>
        <w:rPr>
          <w:rFonts w:hint="eastAsia" w:cs="宋体"/>
          <w:color w:val="auto"/>
          <w:kern w:val="2"/>
          <w:sz w:val="24"/>
          <w:szCs w:val="24"/>
          <w:u w:val="single"/>
          <w:lang w:val="en-US" w:eastAsia="zh-CN"/>
        </w:rPr>
        <w:t xml:space="preserve">  </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45" w:name="_Toc2170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45"/>
    </w:p>
    <w:p>
      <w:pPr>
        <w:spacing w:line="360" w:lineRule="auto"/>
        <w:jc w:val="center"/>
        <w:outlineLvl w:val="1"/>
        <w:rPr>
          <w:rFonts w:hint="eastAsia" w:ascii="宋体" w:hAnsi="宋体" w:eastAsia="宋体"/>
          <w:color w:val="auto"/>
          <w:sz w:val="24"/>
          <w:szCs w:val="22"/>
          <w:highlight w:val="none"/>
          <w:lang w:eastAsia="zh-CN"/>
        </w:rPr>
      </w:pPr>
      <w:bookmarkStart w:id="46" w:name="_Toc19685"/>
      <w:bookmarkStart w:id="47" w:name="_Toc13767"/>
      <w:r>
        <w:rPr>
          <w:rFonts w:hint="eastAsia" w:ascii="宋体" w:hAnsi="宋体" w:eastAsia="宋体"/>
          <w:color w:val="auto"/>
          <w:sz w:val="24"/>
          <w:szCs w:val="22"/>
          <w:highlight w:val="none"/>
          <w:lang w:eastAsia="zh-CN"/>
        </w:rPr>
        <w:t>投标人按照第四章评审方法和标准放置的其他资料。</w:t>
      </w:r>
      <w:bookmarkEnd w:id="46"/>
      <w:bookmarkEnd w:id="47"/>
    </w:p>
    <w:p>
      <w:pPr>
        <w:rPr>
          <w:rFonts w:hint="eastAsia" w:ascii="宋体" w:hAnsi="宋体" w:eastAsia="宋体"/>
          <w:color w:val="auto"/>
          <w:sz w:val="24"/>
          <w:szCs w:val="22"/>
          <w:highlight w:val="none"/>
          <w:lang w:eastAsia="zh-CN"/>
        </w:rPr>
      </w:pPr>
      <w:r>
        <w:rPr>
          <w:rFonts w:hint="eastAsia" w:ascii="宋体" w:hAnsi="宋体" w:eastAsia="宋体"/>
          <w:color w:val="auto"/>
          <w:sz w:val="24"/>
          <w:szCs w:val="22"/>
          <w:highlight w:val="none"/>
          <w:lang w:eastAsia="zh-CN"/>
        </w:rPr>
        <w:br w:type="page"/>
      </w:r>
    </w:p>
    <w:p>
      <w:pPr>
        <w:spacing w:line="360" w:lineRule="auto"/>
        <w:jc w:val="center"/>
        <w:outlineLvl w:val="1"/>
        <w:rPr>
          <w:rFonts w:hint="eastAsia" w:asciiTheme="minorEastAsia" w:hAnsiTheme="minorEastAsia" w:eastAsiaTheme="minorEastAsia"/>
          <w:b/>
          <w:color w:val="auto"/>
          <w:sz w:val="28"/>
          <w:highlight w:val="none"/>
          <w:lang w:eastAsia="zh-CN"/>
        </w:rPr>
      </w:pPr>
      <w:bookmarkStart w:id="48" w:name="_Toc23050"/>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 xml:space="preserve">章  </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b/>
          <w:color w:val="auto"/>
          <w:sz w:val="28"/>
          <w:highlight w:val="none"/>
          <w:lang w:eastAsia="zh-CN"/>
        </w:rPr>
        <w:t>安徽公共资源交易集团电子交易操作规程</w:t>
      </w:r>
      <w:bookmarkEnd w:id="48"/>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rPr>
        <w:t>  为进一步规范交易行为，提高交易效率，</w:t>
      </w:r>
      <w:r>
        <w:rPr>
          <w:rFonts w:hint="eastAsia" w:asciiTheme="minorEastAsia" w:hAnsiTheme="minorEastAsia" w:eastAsiaTheme="minorEastAsia" w:cstheme="minorEastAsia"/>
          <w:strike w:val="0"/>
          <w:dstrike w:val="0"/>
          <w:color w:val="auto"/>
          <w:sz w:val="24"/>
          <w:szCs w:val="24"/>
          <w:highlight w:val="none"/>
        </w:rPr>
        <w:t>充分利用信息网络技术</w:t>
      </w:r>
      <w:r>
        <w:rPr>
          <w:rFonts w:hint="eastAsia" w:asciiTheme="minorEastAsia" w:hAnsiTheme="minorEastAsia" w:eastAsiaTheme="minorEastAsia" w:cstheme="minorEastAsia"/>
          <w:color w:val="auto"/>
          <w:sz w:val="24"/>
          <w:szCs w:val="24"/>
          <w:highlight w:val="none"/>
        </w:rPr>
        <w:t>，参照《中华人民共和国电子签名法》《电子招标投标办法》等有关规定，结合工作实际，制定本规程。</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w:t>
      </w:r>
      <w:r>
        <w:rPr>
          <w:rFonts w:hint="eastAsia" w:asciiTheme="minorEastAsia" w:hAnsiTheme="minorEastAsia" w:eastAsiaTheme="minorEastAsia" w:cstheme="minorEastAsia"/>
          <w:color w:val="auto"/>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第三条</w:t>
      </w:r>
      <w:r>
        <w:rPr>
          <w:rFonts w:hint="eastAsia" w:asciiTheme="minorEastAsia" w:hAnsiTheme="minorEastAsia" w:eastAsiaTheme="minorEastAsia" w:cstheme="minorEastAsia"/>
          <w:color w:val="auto"/>
          <w:sz w:val="24"/>
          <w:szCs w:val="24"/>
          <w:highlight w:val="none"/>
        </w:rPr>
        <w:t>  本规程所指的电子交易，是指以数据电文形式，依托安徽公共资源交易集团电子交易系统（简称“电子交易系统”）完成的全部或者部分交易活动。</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第四条</w:t>
      </w:r>
      <w:r>
        <w:rPr>
          <w:rFonts w:hint="eastAsia" w:asciiTheme="minorEastAsia" w:hAnsiTheme="minorEastAsia" w:eastAsiaTheme="minorEastAsia" w:cstheme="minorEastAsia"/>
          <w:color w:val="auto"/>
          <w:sz w:val="24"/>
          <w:szCs w:val="24"/>
          <w:highlight w:val="none"/>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auto"/>
          <w:sz w:val="24"/>
          <w:szCs w:val="24"/>
          <w:highlight w:val="none"/>
        </w:rPr>
        <w:t>根据</w:t>
      </w:r>
      <w:r>
        <w:rPr>
          <w:rFonts w:hint="eastAsia" w:asciiTheme="minorEastAsia" w:hAnsiTheme="minorEastAsia" w:eastAsiaTheme="minorEastAsia" w:cstheme="minorEastAsia"/>
          <w:color w:val="auto"/>
          <w:sz w:val="24"/>
          <w:szCs w:val="24"/>
          <w:highlight w:val="none"/>
        </w:rPr>
        <w:t>交易项目的特点</w:t>
      </w:r>
      <w:r>
        <w:rPr>
          <w:rFonts w:hint="eastAsia" w:asciiTheme="minorEastAsia" w:hAnsiTheme="minorEastAsia" w:eastAsiaTheme="minorEastAsia" w:cstheme="minorEastAsia"/>
          <w:strike w:val="0"/>
          <w:dstrike w:val="0"/>
          <w:color w:val="auto"/>
          <w:sz w:val="24"/>
          <w:szCs w:val="24"/>
          <w:highlight w:val="none"/>
        </w:rPr>
        <w:t>和招标人（采购人）的</w:t>
      </w:r>
      <w:r>
        <w:rPr>
          <w:rFonts w:hint="eastAsia" w:asciiTheme="minorEastAsia" w:hAnsiTheme="minorEastAsia" w:eastAsiaTheme="minorEastAsia" w:cstheme="minorEastAsia"/>
          <w:color w:val="auto"/>
          <w:sz w:val="24"/>
          <w:szCs w:val="24"/>
          <w:highlight w:val="none"/>
        </w:rPr>
        <w:t>实际需求制定的</w:t>
      </w:r>
      <w:r>
        <w:rPr>
          <w:rFonts w:hint="eastAsia" w:asciiTheme="minorEastAsia" w:hAnsiTheme="minorEastAsia" w:eastAsiaTheme="minorEastAsia" w:cstheme="minorEastAsia"/>
          <w:strike w:val="0"/>
          <w:dstrike w:val="0"/>
          <w:color w:val="auto"/>
          <w:sz w:val="24"/>
          <w:szCs w:val="24"/>
          <w:highlight w:val="none"/>
        </w:rPr>
        <w:t>规范性</w:t>
      </w:r>
      <w:r>
        <w:rPr>
          <w:rFonts w:hint="eastAsia" w:asciiTheme="minorEastAsia" w:hAnsiTheme="minorEastAsia" w:eastAsiaTheme="minorEastAsia" w:cstheme="minorEastAsia"/>
          <w:color w:val="auto"/>
          <w:sz w:val="24"/>
          <w:szCs w:val="24"/>
          <w:highlight w:val="none"/>
        </w:rPr>
        <w:t>文件。</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本规程所指的投标文件，是指投标人（供应商）应招标文件要求编制的响应</w:t>
      </w:r>
      <w:r>
        <w:rPr>
          <w:rFonts w:hint="eastAsia" w:asciiTheme="minorEastAsia" w:hAnsiTheme="minorEastAsia" w:eastAsiaTheme="minorEastAsia" w:cstheme="minorEastAsia"/>
          <w:strike w:val="0"/>
          <w:dstrike w:val="0"/>
          <w:color w:val="auto"/>
          <w:sz w:val="24"/>
          <w:szCs w:val="24"/>
          <w:highlight w:val="none"/>
        </w:rPr>
        <w:t>性</w:t>
      </w:r>
      <w:r>
        <w:rPr>
          <w:rFonts w:hint="eastAsia" w:asciiTheme="minorEastAsia" w:hAnsiTheme="minorEastAsia" w:eastAsiaTheme="minorEastAsia" w:cstheme="minorEastAsia"/>
          <w:color w:val="auto"/>
          <w:sz w:val="24"/>
          <w:szCs w:val="24"/>
          <w:highlight w:val="none"/>
        </w:rPr>
        <w:t>文件。</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第五条</w:t>
      </w:r>
      <w:r>
        <w:rPr>
          <w:rFonts w:hint="eastAsia" w:asciiTheme="minorEastAsia" w:hAnsiTheme="minorEastAsia" w:eastAsiaTheme="minorEastAsia" w:cstheme="minorEastAsia"/>
          <w:color w:val="auto"/>
          <w:sz w:val="24"/>
          <w:szCs w:val="24"/>
          <w:highlight w:val="none"/>
        </w:rPr>
        <w:t>  电子交易系统是交易活动当事人通过数据电文形式完成交易活动的系统。</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电子交易系统具备在线完成交易活动全部</w:t>
      </w:r>
      <w:r>
        <w:rPr>
          <w:rFonts w:hint="eastAsia" w:asciiTheme="minorEastAsia" w:hAnsiTheme="minorEastAsia" w:eastAsiaTheme="minorEastAsia" w:cstheme="minorEastAsia"/>
          <w:color w:val="auto"/>
          <w:sz w:val="24"/>
          <w:szCs w:val="24"/>
          <w:highlight w:val="none"/>
          <w:lang w:val="en-US" w:eastAsia="zh-CN"/>
        </w:rPr>
        <w:t>或部分</w:t>
      </w:r>
      <w:r>
        <w:rPr>
          <w:rFonts w:hint="eastAsia" w:asciiTheme="minorEastAsia" w:hAnsiTheme="minorEastAsia" w:eastAsiaTheme="minorEastAsia" w:cstheme="minorEastAsia"/>
          <w:color w:val="auto"/>
          <w:sz w:val="24"/>
          <w:szCs w:val="24"/>
          <w:highlight w:val="none"/>
        </w:rPr>
        <w:t>交易过程，</w:t>
      </w:r>
      <w:r>
        <w:rPr>
          <w:rFonts w:hint="eastAsia" w:asciiTheme="minorEastAsia" w:hAnsiTheme="minorEastAsia" w:eastAsia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rPr>
        <w:t>编辑、生成、对接、交换和发布有关交易活动数据信息的功能，并为交易活动监督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部门实施监督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提供所需的信息。</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第六条</w:t>
      </w:r>
      <w:r>
        <w:rPr>
          <w:rFonts w:hint="eastAsia" w:asciiTheme="minorEastAsia" w:hAnsiTheme="minorEastAsia" w:eastAsiaTheme="minorEastAsia" w:cstheme="minorEastAsia"/>
          <w:color w:val="auto"/>
          <w:sz w:val="24"/>
          <w:szCs w:val="24"/>
          <w:highlight w:val="none"/>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auto"/>
          <w:sz w:val="24"/>
          <w:szCs w:val="24"/>
          <w:highlight w:val="none"/>
        </w:rPr>
        <w:t>服务</w:t>
      </w:r>
      <w:r>
        <w:rPr>
          <w:rFonts w:hint="eastAsia" w:asciiTheme="minorEastAsia" w:hAnsiTheme="minorEastAsia" w:eastAsiaTheme="minorEastAsia" w:cstheme="minorEastAsia"/>
          <w:color w:val="auto"/>
          <w:sz w:val="24"/>
          <w:szCs w:val="24"/>
          <w:highlight w:val="none"/>
        </w:rPr>
        <w:t>保障。</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rPr>
        <w:t>  电子交易各方主体应当按照相关规定</w:t>
      </w:r>
      <w:r>
        <w:rPr>
          <w:rFonts w:hint="eastAsia" w:asciiTheme="minorEastAsia" w:hAnsiTheme="minorEastAsia" w:eastAsiaTheme="minorEastAsia" w:cstheme="minorEastAsia"/>
          <w:color w:val="auto"/>
          <w:sz w:val="24"/>
          <w:szCs w:val="24"/>
          <w:highlight w:val="none"/>
          <w:lang w:val="en-US" w:eastAsia="zh-CN"/>
        </w:rPr>
        <w:t>合法</w:t>
      </w:r>
      <w:r>
        <w:rPr>
          <w:rFonts w:hint="eastAsia" w:asciiTheme="minorEastAsia" w:hAnsiTheme="minorEastAsia" w:eastAsiaTheme="minorEastAsia" w:cstheme="minorEastAsia"/>
          <w:color w:val="auto"/>
          <w:sz w:val="24"/>
          <w:szCs w:val="24"/>
          <w:highlight w:val="none"/>
        </w:rPr>
        <w:t>取得和使用数字证书及电子签章，通过数字证书登录电子交易系统</w:t>
      </w:r>
      <w:r>
        <w:rPr>
          <w:rFonts w:hint="eastAsia" w:asciiTheme="minorEastAsia" w:hAnsiTheme="minorEastAsia" w:eastAsiaTheme="minorEastAsia" w:cstheme="minorEastAsia"/>
          <w:color w:val="auto"/>
          <w:sz w:val="24"/>
          <w:szCs w:val="24"/>
          <w:highlight w:val="none"/>
          <w:lang w:val="en-US" w:eastAsia="zh-CN"/>
        </w:rPr>
        <w:t>参与交易活动</w:t>
      </w:r>
      <w:r>
        <w:rPr>
          <w:rFonts w:hint="eastAsia" w:asciiTheme="minorEastAsia" w:hAnsiTheme="minorEastAsia" w:eastAsiaTheme="minorEastAsia" w:cstheme="minorEastAsia"/>
          <w:color w:val="auto"/>
          <w:sz w:val="24"/>
          <w:szCs w:val="24"/>
          <w:highlight w:val="none"/>
        </w:rPr>
        <w:t>。各方主体</w:t>
      </w:r>
      <w:r>
        <w:rPr>
          <w:rFonts w:hint="eastAsia" w:asciiTheme="minorEastAsia" w:hAnsiTheme="minorEastAsia" w:eastAsiaTheme="minorEastAsia" w:cstheme="minorEastAsia"/>
          <w:color w:val="auto"/>
          <w:sz w:val="24"/>
          <w:szCs w:val="24"/>
          <w:highlight w:val="none"/>
          <w:lang w:val="en-US" w:eastAsia="zh-CN"/>
        </w:rPr>
        <w:t>对其依托</w:t>
      </w:r>
      <w:r>
        <w:rPr>
          <w:rFonts w:hint="eastAsia" w:asciiTheme="minorEastAsia" w:hAnsiTheme="minorEastAsia" w:eastAsiaTheme="minorEastAsia" w:cstheme="minorEastAsia"/>
          <w:color w:val="auto"/>
          <w:sz w:val="24"/>
          <w:szCs w:val="24"/>
          <w:highlight w:val="none"/>
        </w:rPr>
        <w:t>电子交易系统</w:t>
      </w:r>
      <w:r>
        <w:rPr>
          <w:rFonts w:hint="eastAsia" w:asciiTheme="minorEastAsia" w:hAnsiTheme="minorEastAsia" w:eastAsiaTheme="minorEastAsia" w:cstheme="minorEastAsia"/>
          <w:color w:val="auto"/>
          <w:sz w:val="24"/>
          <w:szCs w:val="24"/>
          <w:highlight w:val="none"/>
          <w:lang w:val="en-US" w:eastAsia="zh-CN"/>
        </w:rPr>
        <w:t>开展的所有操作</w:t>
      </w:r>
      <w:r>
        <w:rPr>
          <w:rFonts w:hint="eastAsia" w:asciiTheme="minorEastAsia" w:hAnsiTheme="minorEastAsia" w:eastAsiaTheme="minorEastAsia" w:cstheme="minorEastAsia"/>
          <w:color w:val="auto"/>
          <w:sz w:val="24"/>
          <w:szCs w:val="24"/>
          <w:highlight w:val="none"/>
        </w:rPr>
        <w:t>承担法律责任。</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投标人（供应商）应妥善保管数字证书，由于数字证书遗失、损坏、更换、续期等情况</w:t>
      </w:r>
      <w:r>
        <w:rPr>
          <w:rFonts w:hint="eastAsia" w:asciiTheme="minorEastAsia" w:hAnsiTheme="minorEastAsia" w:eastAsiaTheme="minorEastAsia" w:cstheme="minorEastAsia"/>
          <w:color w:val="auto"/>
          <w:sz w:val="24"/>
          <w:szCs w:val="24"/>
          <w:highlight w:val="none"/>
          <w:lang w:val="en-US" w:eastAsia="zh-CN"/>
        </w:rPr>
        <w:t>或其他自身原因</w:t>
      </w:r>
      <w:r>
        <w:rPr>
          <w:rFonts w:hint="eastAsia" w:asciiTheme="minorEastAsia" w:hAnsiTheme="minorEastAsia" w:eastAsiaTheme="minorEastAsia" w:cstheme="minorEastAsia"/>
          <w:color w:val="auto"/>
          <w:sz w:val="24"/>
          <w:szCs w:val="24"/>
          <w:highlight w:val="none"/>
        </w:rPr>
        <w:t>导致投标文件无法</w:t>
      </w:r>
      <w:r>
        <w:rPr>
          <w:rFonts w:hint="eastAsia" w:asciiTheme="minorEastAsia" w:hAnsiTheme="minorEastAsia" w:eastAsiaTheme="minorEastAsia" w:cstheme="minorEastAsia"/>
          <w:color w:val="auto"/>
          <w:sz w:val="24"/>
          <w:szCs w:val="24"/>
          <w:highlight w:val="none"/>
          <w:lang w:val="en-US" w:eastAsia="zh-CN"/>
        </w:rPr>
        <w:t>加密、</w:t>
      </w:r>
      <w:r>
        <w:rPr>
          <w:rFonts w:hint="eastAsia" w:asciiTheme="minorEastAsia" w:hAnsiTheme="minorEastAsia" w:eastAsiaTheme="minorEastAsia" w:cstheme="minorEastAsia"/>
          <w:color w:val="auto"/>
          <w:sz w:val="24"/>
          <w:szCs w:val="24"/>
          <w:highlight w:val="none"/>
        </w:rPr>
        <w:t>上传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解密</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，由其自行承担</w:t>
      </w: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责任。</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rPr>
        <w:t>  招标人（采购人）或代理机构应在交易公告和招标文件中明确交易项目采取电子交易方式，并按相关流程通过电子交易系统制作招标文件。</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第九条</w:t>
      </w:r>
      <w:r>
        <w:rPr>
          <w:rFonts w:hint="eastAsia" w:asciiTheme="minorEastAsia" w:hAnsiTheme="minorEastAsia" w:eastAsiaTheme="minorEastAsia" w:cstheme="minorEastAsia"/>
          <w:color w:val="auto"/>
          <w:sz w:val="24"/>
          <w:szCs w:val="24"/>
          <w:highlight w:val="none"/>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auto"/>
          <w:sz w:val="24"/>
          <w:szCs w:val="24"/>
          <w:highlight w:val="none"/>
        </w:rPr>
        <w:t>须</w:t>
      </w:r>
      <w:r>
        <w:rPr>
          <w:rFonts w:hint="eastAsia" w:asciiTheme="minorEastAsia" w:hAnsiTheme="minorEastAsia" w:eastAsiaTheme="minorEastAsia" w:cstheme="minorEastAsia"/>
          <w:color w:val="auto"/>
          <w:sz w:val="24"/>
          <w:szCs w:val="24"/>
          <w:highlight w:val="none"/>
        </w:rPr>
        <w:t>加盖电子签章。</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w:t>
      </w:r>
      <w:r>
        <w:rPr>
          <w:rFonts w:hint="eastAsia" w:asciiTheme="minorEastAsia" w:hAnsiTheme="minorEastAsia" w:eastAsiaTheme="minorEastAsia" w:cstheme="minorEastAsia"/>
          <w:color w:val="auto"/>
          <w:sz w:val="24"/>
          <w:szCs w:val="24"/>
          <w:highlight w:val="none"/>
        </w:rPr>
        <w:t>  投标人（供应商）登录电子交易系统获取</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b/>
          <w:bCs/>
          <w:strike w:val="0"/>
          <w:dstrike w:val="0"/>
          <w:color w:val="auto"/>
          <w:sz w:val="24"/>
          <w:szCs w:val="24"/>
          <w:highlight w:val="none"/>
        </w:rPr>
        <w:t>第十一条</w:t>
      </w:r>
      <w:r>
        <w:rPr>
          <w:rFonts w:hint="eastAsia" w:asciiTheme="minorEastAsia" w:hAnsiTheme="minorEastAsia" w:eastAsiaTheme="minorEastAsia" w:cstheme="minorEastAsia"/>
          <w:strike w:val="0"/>
          <w:dstrike w:val="0"/>
          <w:color w:val="auto"/>
          <w:sz w:val="24"/>
          <w:szCs w:val="24"/>
          <w:highlight w:val="none"/>
        </w:rPr>
        <w:t>  澄清、修改、更正或补疑等文件应由招标人（采购人）或代理机构通过电子交易系统发出，投标人（供应商）应及时查阅相关信息。</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投标人（供应商）应使用电子标书制作软件制作投标文件</w:t>
      </w:r>
      <w:r>
        <w:rPr>
          <w:rFonts w:hint="eastAsia" w:asciiTheme="minorEastAsia" w:hAnsiTheme="minorEastAsia" w:eastAsiaTheme="minorEastAsia" w:cstheme="minorEastAsia"/>
          <w:strike w:val="0"/>
          <w:dstrike w:val="0"/>
          <w:color w:val="auto"/>
          <w:sz w:val="24"/>
          <w:szCs w:val="24"/>
          <w:highlight w:val="none"/>
        </w:rPr>
        <w:t>，电子标书制作软件应允许投标人（供应商）离线制作投标文件，并且具备分段或整体加密、解密功能。</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投标人（供应商）应对投标文件进行电子签章并使用数字证书加密，</w:t>
      </w:r>
      <w:r>
        <w:rPr>
          <w:rFonts w:hint="eastAsia" w:asciiTheme="minorEastAsia" w:hAnsiTheme="minorEastAsia" w:eastAsiaTheme="minorEastAsia" w:cstheme="minorEastAsia"/>
          <w:strike w:val="0"/>
          <w:dstrike w:val="0"/>
          <w:color w:val="auto"/>
          <w:sz w:val="24"/>
          <w:szCs w:val="24"/>
          <w:highlight w:val="none"/>
        </w:rPr>
        <w:t>并于</w:t>
      </w:r>
      <w:r>
        <w:rPr>
          <w:rFonts w:hint="eastAsia" w:asciiTheme="minorEastAsia" w:hAnsiTheme="minorEastAsia" w:eastAsiaTheme="minorEastAsia" w:cstheme="minorEastAsia"/>
          <w:color w:val="auto"/>
          <w:sz w:val="24"/>
          <w:szCs w:val="24"/>
          <w:highlight w:val="none"/>
        </w:rPr>
        <w:t>招标文件规定的投标截止时间前通过电子交易系统完成上传。</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交易活动涉及的</w:t>
      </w:r>
      <w:r>
        <w:rPr>
          <w:rFonts w:hint="eastAsia" w:asciiTheme="minorEastAsia" w:hAnsiTheme="minorEastAsia" w:eastAsiaTheme="minorEastAsia" w:cstheme="minorEastAsia"/>
          <w:color w:val="auto"/>
          <w:sz w:val="24"/>
          <w:szCs w:val="24"/>
          <w:highlight w:val="none"/>
        </w:rPr>
        <w:t>时间以电子交易系统显示的时间为准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color w:val="auto"/>
          <w:sz w:val="24"/>
          <w:szCs w:val="24"/>
          <w:highlight w:val="none"/>
          <w:lang w:val="en-US" w:eastAsia="zh-CN"/>
        </w:rPr>
        <w:t>须在投标截至时间前完成投标文件上传，</w:t>
      </w:r>
      <w:r>
        <w:rPr>
          <w:rFonts w:hint="eastAsia" w:asciiTheme="minorEastAsia" w:hAnsiTheme="minorEastAsia" w:eastAsiaTheme="minorEastAsia" w:cstheme="minorEastAsia"/>
          <w:strike w:val="0"/>
          <w:dstrike w:val="0"/>
          <w:color w:val="auto"/>
          <w:sz w:val="24"/>
          <w:szCs w:val="24"/>
          <w:highlight w:val="none"/>
        </w:rPr>
        <w:t>逾期系统将自动关闭</w:t>
      </w:r>
      <w:r>
        <w:rPr>
          <w:rFonts w:hint="eastAsia" w:asciiTheme="minorEastAsia" w:hAnsiTheme="minorEastAsia" w:eastAsiaTheme="minorEastAsia" w:cstheme="minorEastAsia"/>
          <w:color w:val="auto"/>
          <w:sz w:val="24"/>
          <w:szCs w:val="24"/>
          <w:highlight w:val="none"/>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五</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strike w:val="0"/>
          <w:dstrike w:val="0"/>
          <w:color w:val="auto"/>
          <w:sz w:val="24"/>
          <w:szCs w:val="24"/>
          <w:highlight w:val="none"/>
        </w:rPr>
        <w:t>投标截止时间后按招标文件规定的解密时间</w:t>
      </w:r>
      <w:r>
        <w:rPr>
          <w:rFonts w:hint="eastAsia" w:asciiTheme="minorEastAsia" w:hAnsiTheme="minorEastAsia" w:eastAsiaTheme="minorEastAsia" w:cstheme="minorEastAsia"/>
          <w:color w:val="auto"/>
          <w:sz w:val="24"/>
          <w:szCs w:val="24"/>
          <w:highlight w:val="none"/>
        </w:rPr>
        <w:t>完成投标文件解密，加密和解密须</w:t>
      </w:r>
      <w:r>
        <w:rPr>
          <w:rFonts w:hint="eastAsia" w:asciiTheme="minorEastAsia" w:hAnsiTheme="minorEastAsia" w:eastAsiaTheme="minorEastAsia" w:cstheme="minorEastAsia"/>
          <w:strike w:val="0"/>
          <w:dstrike w:val="0"/>
          <w:color w:val="auto"/>
          <w:sz w:val="24"/>
          <w:szCs w:val="24"/>
          <w:highlight w:val="none"/>
        </w:rPr>
        <w:t>用</w:t>
      </w:r>
      <w:r>
        <w:rPr>
          <w:rFonts w:hint="eastAsia" w:asciiTheme="minorEastAsia" w:hAnsiTheme="minorEastAsia" w:eastAsiaTheme="minorEastAsia" w:cstheme="minorEastAsia"/>
          <w:color w:val="auto"/>
          <w:sz w:val="24"/>
          <w:szCs w:val="24"/>
          <w:highlight w:val="none"/>
        </w:rPr>
        <w:t>同一数字证书。投标人（供应商）未在</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strike w:val="0"/>
          <w:dstrike w:val="0"/>
          <w:color w:val="auto"/>
          <w:sz w:val="24"/>
          <w:szCs w:val="24"/>
          <w:highlight w:val="none"/>
        </w:rPr>
        <w:t>的</w:t>
      </w:r>
      <w:r>
        <w:rPr>
          <w:rFonts w:hint="eastAsia" w:asciiTheme="minorEastAsia" w:hAnsiTheme="minorEastAsia" w:eastAsiaTheme="minorEastAsia" w:cstheme="minorEastAsia"/>
          <w:color w:val="auto"/>
          <w:sz w:val="24"/>
          <w:szCs w:val="24"/>
          <w:highlight w:val="none"/>
        </w:rPr>
        <w:t>时间内完成解密的视为其放弃</w:t>
      </w:r>
      <w:r>
        <w:rPr>
          <w:rFonts w:hint="eastAsia" w:asciiTheme="minorEastAsia" w:hAnsiTheme="minorEastAsia" w:eastAsiaTheme="minorEastAsia" w:cstheme="minorEastAsia"/>
          <w:strike w:val="0"/>
          <w:dstrike w:val="0"/>
          <w:color w:val="auto"/>
          <w:sz w:val="24"/>
          <w:szCs w:val="24"/>
          <w:highlight w:val="none"/>
        </w:rPr>
        <w:t>交易</w:t>
      </w:r>
      <w:r>
        <w:rPr>
          <w:rFonts w:hint="eastAsia" w:asciiTheme="minorEastAsia" w:hAnsiTheme="minorEastAsia" w:eastAsiaTheme="minorEastAsia" w:cstheme="minorEastAsia"/>
          <w:color w:val="auto"/>
          <w:sz w:val="24"/>
          <w:szCs w:val="24"/>
          <w:highlight w:val="none"/>
        </w:rPr>
        <w:t>。</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招标人（采购人）或代理机构完成解密，导入并读取所有成功解密的投标文件。</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招标文件约定</w:t>
      </w:r>
      <w:r>
        <w:rPr>
          <w:rFonts w:hint="eastAsia" w:asciiTheme="minorEastAsia" w:hAnsiTheme="minorEastAsia" w:eastAsiaTheme="minorEastAsia" w:cstheme="minorEastAsia"/>
          <w:strike w:val="0"/>
          <w:dstrike w:val="0"/>
          <w:color w:val="auto"/>
          <w:sz w:val="24"/>
          <w:szCs w:val="24"/>
          <w:highlight w:val="none"/>
        </w:rPr>
        <w:t>须到达指定地点或</w:t>
      </w:r>
      <w:r>
        <w:rPr>
          <w:rFonts w:hint="eastAsia" w:asciiTheme="minorEastAsia" w:hAnsiTheme="minorEastAsia" w:eastAsiaTheme="minorEastAsia" w:cstheme="minorEastAsia"/>
          <w:color w:val="auto"/>
          <w:sz w:val="24"/>
          <w:szCs w:val="24"/>
          <w:highlight w:val="none"/>
        </w:rPr>
        <w:t>线上进行演示、答辩、磋商、谈判等情形的，投标人（供应商）应按照招标文件规定</w:t>
      </w:r>
      <w:r>
        <w:rPr>
          <w:rFonts w:hint="eastAsia" w:asciiTheme="minorEastAsia" w:hAnsiTheme="minorEastAsia" w:eastAsiaTheme="minorEastAsia" w:cstheme="minorEastAsia"/>
          <w:strike w:val="0"/>
          <w:dstrike w:val="0"/>
          <w:color w:val="auto"/>
          <w:sz w:val="24"/>
          <w:szCs w:val="24"/>
          <w:highlight w:val="none"/>
        </w:rPr>
        <w:t>的时间到达指定地点或</w:t>
      </w:r>
      <w:r>
        <w:rPr>
          <w:rFonts w:hint="eastAsia" w:asciiTheme="minorEastAsia" w:hAnsiTheme="minorEastAsia" w:eastAsiaTheme="minorEastAsia" w:cstheme="minorEastAsia"/>
          <w:color w:val="auto"/>
          <w:sz w:val="24"/>
          <w:szCs w:val="24"/>
          <w:highlight w:val="none"/>
        </w:rPr>
        <w:t>登录电子交易系统保持在线。</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六</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strike w:val="0"/>
          <w:dstrike w:val="0"/>
          <w:color w:val="auto"/>
          <w:sz w:val="24"/>
          <w:szCs w:val="24"/>
          <w:highlight w:val="none"/>
        </w:rPr>
        <w:t>未能成功解密的投标文件，</w:t>
      </w:r>
      <w:r>
        <w:rPr>
          <w:rFonts w:hint="eastAsia" w:asciiTheme="minorEastAsia" w:hAnsiTheme="minorEastAsia" w:eastAsiaTheme="minorEastAsia" w:cstheme="minorEastAsia"/>
          <w:color w:val="auto"/>
          <w:sz w:val="24"/>
          <w:szCs w:val="24"/>
          <w:highlight w:val="none"/>
        </w:rPr>
        <w:t>如招标文件</w:t>
      </w:r>
      <w:r>
        <w:rPr>
          <w:rFonts w:hint="eastAsia" w:asciiTheme="minorEastAsia" w:hAnsiTheme="minorEastAsia" w:eastAsiaTheme="minorEastAsia" w:cstheme="minorEastAsia"/>
          <w:strike w:val="0"/>
          <w:dstrike w:val="0"/>
          <w:color w:val="auto"/>
          <w:sz w:val="24"/>
          <w:szCs w:val="24"/>
          <w:highlight w:val="none"/>
        </w:rPr>
        <w:t>中</w:t>
      </w:r>
      <w:r>
        <w:rPr>
          <w:rFonts w:hint="eastAsia" w:asciiTheme="minorEastAsia" w:hAnsiTheme="minorEastAsia" w:eastAsiaTheme="minorEastAsia" w:cstheme="minorEastAsia"/>
          <w:color w:val="auto"/>
          <w:sz w:val="24"/>
          <w:szCs w:val="24"/>
          <w:highlight w:val="none"/>
        </w:rPr>
        <w:t>允许使用电子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作为投标</w:t>
      </w:r>
      <w:r>
        <w:rPr>
          <w:rFonts w:hint="eastAsia" w:asciiTheme="minorEastAsia" w:hAnsiTheme="minorEastAsia" w:eastAsiaTheme="minorEastAsia" w:cstheme="minorEastAsia"/>
          <w:strike w:val="0"/>
          <w:dstrike w:val="0"/>
          <w:color w:val="auto"/>
          <w:sz w:val="24"/>
          <w:szCs w:val="24"/>
          <w:highlight w:val="none"/>
        </w:rPr>
        <w:t>文件解密失败</w:t>
      </w:r>
      <w:r>
        <w:rPr>
          <w:rFonts w:hint="eastAsia" w:asciiTheme="minorEastAsia" w:hAnsiTheme="minorEastAsia" w:eastAsiaTheme="minorEastAsia" w:cstheme="minorEastAsia"/>
          <w:color w:val="auto"/>
          <w:sz w:val="24"/>
          <w:szCs w:val="24"/>
          <w:highlight w:val="none"/>
        </w:rPr>
        <w:t>的补救措施，</w:t>
      </w:r>
      <w:r>
        <w:rPr>
          <w:rFonts w:hint="eastAsia" w:asciiTheme="minorEastAsia" w:hAnsiTheme="minorEastAsia" w:eastAsiaTheme="minorEastAsia" w:cstheme="minorEastAsia"/>
          <w:strike w:val="0"/>
          <w:dstrike w:val="0"/>
          <w:color w:val="auto"/>
          <w:sz w:val="24"/>
          <w:szCs w:val="24"/>
          <w:highlight w:val="none"/>
        </w:rPr>
        <w:t>并且</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strike w:val="0"/>
          <w:dstrike w:val="0"/>
          <w:color w:val="auto"/>
          <w:sz w:val="24"/>
          <w:szCs w:val="24"/>
          <w:highlight w:val="none"/>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auto"/>
          <w:sz w:val="24"/>
          <w:szCs w:val="24"/>
          <w:highlight w:val="none"/>
          <w:lang w:val="en-US" w:eastAsia="zh-CN"/>
        </w:rPr>
        <w:t>介质</w:t>
      </w:r>
      <w:r>
        <w:rPr>
          <w:rFonts w:hint="eastAsia" w:asciiTheme="minorEastAsia" w:hAnsiTheme="minorEastAsia" w:eastAsiaTheme="minorEastAsia" w:cstheme="minorEastAsia"/>
          <w:strike w:val="0"/>
          <w:dstrike w:val="0"/>
          <w:color w:val="auto"/>
          <w:sz w:val="24"/>
          <w:szCs w:val="24"/>
          <w:highlight w:val="none"/>
        </w:rPr>
        <w:t>中非加密投标文件继续进行。若系统识别出</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lang w:val="en-US" w:eastAsia="zh-CN"/>
        </w:rPr>
        <w:t>非</w:t>
      </w:r>
      <w:r>
        <w:rPr>
          <w:rFonts w:hint="eastAsia" w:asciiTheme="minorEastAsia" w:hAnsiTheme="minorEastAsia" w:eastAsiaTheme="minorEastAsia" w:cstheme="minorEastAsia"/>
          <w:color w:val="auto"/>
          <w:sz w:val="24"/>
          <w:szCs w:val="24"/>
          <w:highlight w:val="none"/>
        </w:rPr>
        <w:t>未加密的投标文件和网上递交的加密投标文件识别码</w:t>
      </w:r>
      <w:r>
        <w:rPr>
          <w:rFonts w:hint="eastAsia" w:asciiTheme="minorEastAsia" w:hAnsiTheme="minorEastAsia" w:eastAsiaTheme="minorEastAsia" w:cstheme="minorEastAsia"/>
          <w:strike w:val="0"/>
          <w:dstrike w:val="0"/>
          <w:color w:val="auto"/>
          <w:sz w:val="24"/>
          <w:szCs w:val="24"/>
          <w:highlight w:val="none"/>
        </w:rPr>
        <w:t>不</w:t>
      </w:r>
      <w:r>
        <w:rPr>
          <w:rFonts w:hint="eastAsia" w:asciiTheme="minorEastAsia" w:hAnsiTheme="minorEastAsia" w:eastAsiaTheme="minorEastAsia" w:cstheme="minorEastAsia"/>
          <w:color w:val="auto"/>
          <w:sz w:val="24"/>
          <w:szCs w:val="24"/>
          <w:highlight w:val="none"/>
        </w:rPr>
        <w:t>一致，电子交易系统拒绝导入</w:t>
      </w:r>
      <w:r>
        <w:rPr>
          <w:rFonts w:hint="eastAsia" w:asciiTheme="minorEastAsia" w:hAnsiTheme="minorEastAsia" w:eastAsiaTheme="minorEastAsia" w:cstheme="minorEastAsia"/>
          <w:color w:val="auto"/>
          <w:sz w:val="24"/>
          <w:szCs w:val="24"/>
          <w:highlight w:val="none"/>
          <w:lang w:eastAsia="zh-CN"/>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七</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招标人（采购人）或代理机构组织评审</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color w:val="auto"/>
          <w:sz w:val="24"/>
          <w:szCs w:val="24"/>
          <w:highlight w:val="none"/>
        </w:rPr>
        <w:t>评审委员会依据招标文件规定的评审办法进行评</w:t>
      </w:r>
      <w:r>
        <w:rPr>
          <w:rFonts w:hint="eastAsia" w:asciiTheme="minorEastAsia" w:hAnsiTheme="minorEastAsia" w:eastAsiaTheme="minorEastAsia" w:cstheme="minorEastAsia"/>
          <w:strike w:val="0"/>
          <w:dstrike w:val="0"/>
          <w:color w:val="auto"/>
          <w:sz w:val="24"/>
          <w:szCs w:val="24"/>
          <w:highlight w:val="none"/>
        </w:rPr>
        <w:t>审</w:t>
      </w:r>
      <w:r>
        <w:rPr>
          <w:rFonts w:hint="eastAsia" w:asciiTheme="minorEastAsia" w:hAnsiTheme="minorEastAsia" w:eastAsiaTheme="minorEastAsia" w:cstheme="minorEastAsia"/>
          <w:color w:val="auto"/>
          <w:sz w:val="24"/>
          <w:szCs w:val="24"/>
          <w:highlight w:val="none"/>
        </w:rPr>
        <w:t>，并对评审结果签字或电子签名</w:t>
      </w:r>
      <w:r>
        <w:rPr>
          <w:rFonts w:hint="eastAsia" w:asciiTheme="minorEastAsia" w:hAnsiTheme="minorEastAsia" w:eastAsiaTheme="minorEastAsia" w:cstheme="minorEastAsia"/>
          <w:strike w:val="0"/>
          <w:dstrike w:val="0"/>
          <w:color w:val="auto"/>
          <w:sz w:val="24"/>
          <w:szCs w:val="24"/>
          <w:highlight w:val="none"/>
        </w:rPr>
        <w:t>确认</w:t>
      </w:r>
      <w:r>
        <w:rPr>
          <w:rFonts w:hint="eastAsia" w:asciiTheme="minorEastAsia" w:hAnsiTheme="minorEastAsia" w:eastAsiaTheme="minorEastAsia" w:cstheme="minorEastAsia"/>
          <w:color w:val="auto"/>
          <w:sz w:val="24"/>
          <w:szCs w:val="24"/>
          <w:highlight w:val="none"/>
        </w:rPr>
        <w:t>。</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需要</w:t>
      </w:r>
      <w:r>
        <w:rPr>
          <w:rFonts w:hint="eastAsia" w:asciiTheme="minorEastAsia" w:hAnsiTheme="minorEastAsia" w:eastAsiaTheme="minorEastAsia" w:cstheme="minorEastAsia"/>
          <w:color w:val="auto"/>
          <w:sz w:val="24"/>
          <w:szCs w:val="24"/>
          <w:highlight w:val="none"/>
        </w:rPr>
        <w:t>多</w:t>
      </w:r>
      <w:r>
        <w:rPr>
          <w:rFonts w:hint="eastAsia" w:asciiTheme="minorEastAsia" w:hAnsiTheme="minorEastAsia" w:eastAsiaTheme="minorEastAsia" w:cstheme="minorEastAsia"/>
          <w:color w:val="auto"/>
          <w:sz w:val="24"/>
          <w:szCs w:val="24"/>
          <w:highlight w:val="none"/>
          <w:lang w:val="en-US" w:eastAsia="zh-CN"/>
        </w:rPr>
        <w:t>轮</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应按招标文件</w:t>
      </w:r>
      <w:r>
        <w:rPr>
          <w:rFonts w:hint="eastAsia" w:asciiTheme="minorEastAsia" w:hAnsiTheme="minorEastAsia" w:eastAsiaTheme="minorEastAsia" w:cstheme="minorEastAsia"/>
          <w:strike w:val="0"/>
          <w:dstrike w:val="0"/>
          <w:color w:val="auto"/>
          <w:sz w:val="24"/>
          <w:szCs w:val="24"/>
          <w:highlight w:val="none"/>
          <w:lang w:val="en-US" w:eastAsia="zh-CN"/>
        </w:rPr>
        <w:t>约定</w:t>
      </w:r>
      <w:r>
        <w:rPr>
          <w:rFonts w:hint="eastAsia" w:asciiTheme="minorEastAsia" w:hAnsiTheme="minorEastAsia" w:eastAsiaTheme="minorEastAsia" w:cstheme="minorEastAsia"/>
          <w:color w:val="auto"/>
          <w:sz w:val="24"/>
          <w:szCs w:val="24"/>
          <w:highlight w:val="none"/>
        </w:rPr>
        <w:t>提交。</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八</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评审委员会</w:t>
      </w:r>
      <w:r>
        <w:rPr>
          <w:rFonts w:hint="eastAsia" w:asciiTheme="minorEastAsia" w:hAnsiTheme="minorEastAsia" w:eastAsiaTheme="minorEastAsia" w:cstheme="minorEastAsia"/>
          <w:b w:val="0"/>
          <w:bCs w:val="0"/>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lang w:val="en-US" w:eastAsia="zh-CN"/>
        </w:rPr>
        <w:t>过程中</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val="en-US" w:eastAsia="zh-CN"/>
        </w:rPr>
        <w:t>投标人（供应商）</w:t>
      </w:r>
      <w:r>
        <w:rPr>
          <w:rFonts w:hint="eastAsia" w:asciiTheme="minorEastAsia" w:hAnsiTheme="minorEastAsia" w:eastAsiaTheme="minorEastAsia" w:cstheme="minorEastAsia"/>
          <w:color w:val="auto"/>
          <w:sz w:val="24"/>
          <w:szCs w:val="24"/>
          <w:highlight w:val="none"/>
        </w:rPr>
        <w:t>澄清、说明或补正的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以询标函（问询函）的形式通过电子交易系统发送给投标人（供应商）</w:t>
      </w:r>
      <w:r>
        <w:rPr>
          <w:rFonts w:hint="eastAsia" w:asciiTheme="minorEastAsia" w:hAnsiTheme="minorEastAsia" w:eastAsiaTheme="minorEastAsia" w:cstheme="minorEastAsia"/>
          <w:color w:val="auto"/>
          <w:sz w:val="24"/>
          <w:szCs w:val="24"/>
          <w:highlight w:val="none"/>
          <w:lang w:eastAsia="zh-CN"/>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评审结束前，</w:t>
      </w:r>
      <w:r>
        <w:rPr>
          <w:rFonts w:hint="eastAsia" w:asciiTheme="minorEastAsia" w:hAnsiTheme="minorEastAsia" w:eastAsiaTheme="minorEastAsia" w:cstheme="minorEastAsia"/>
          <w:color w:val="auto"/>
          <w:sz w:val="24"/>
          <w:szCs w:val="24"/>
          <w:highlight w:val="none"/>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auto"/>
          <w:sz w:val="24"/>
          <w:szCs w:val="24"/>
          <w:highlight w:val="none"/>
          <w:lang w:val="en-US" w:eastAsia="zh-CN"/>
        </w:rPr>
        <w:t>完成</w:t>
      </w:r>
      <w:r>
        <w:rPr>
          <w:rFonts w:hint="eastAsia" w:asciiTheme="minorEastAsia" w:hAnsiTheme="minorEastAsia" w:eastAsiaTheme="minorEastAsia" w:cstheme="minorEastAsia"/>
          <w:color w:val="auto"/>
          <w:sz w:val="24"/>
          <w:szCs w:val="24"/>
          <w:highlight w:val="none"/>
        </w:rPr>
        <w:t>回复，</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视为放弃澄清、说明或补正。</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九</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代理机构应通过电子交易系统</w:t>
      </w:r>
      <w:r>
        <w:rPr>
          <w:rFonts w:hint="eastAsia" w:asciiTheme="minorEastAsia" w:hAnsiTheme="minorEastAsia" w:eastAsiaTheme="minorEastAsia" w:cstheme="minorEastAsia"/>
          <w:color w:val="auto"/>
          <w:sz w:val="24"/>
          <w:szCs w:val="24"/>
          <w:highlight w:val="none"/>
          <w:lang w:val="en-US" w:eastAsia="zh-CN"/>
        </w:rPr>
        <w:t>公示或公布</w:t>
      </w:r>
      <w:r>
        <w:rPr>
          <w:rFonts w:hint="eastAsia" w:asciiTheme="minorEastAsia" w:hAnsiTheme="minorEastAsia" w:eastAsiaTheme="minorEastAsia" w:cstheme="minorEastAsia"/>
          <w:strike w:val="0"/>
          <w:dstrike w:val="0"/>
          <w:color w:val="auto"/>
          <w:sz w:val="24"/>
          <w:szCs w:val="24"/>
          <w:highlight w:val="none"/>
        </w:rPr>
        <w:t>中标候选人（如有）、</w:t>
      </w:r>
      <w:r>
        <w:rPr>
          <w:rFonts w:hint="eastAsia" w:asciiTheme="minorEastAsia" w:hAnsiTheme="minorEastAsia" w:eastAsiaTheme="minorEastAsia" w:cstheme="minorEastAsia"/>
          <w:color w:val="auto"/>
          <w:sz w:val="24"/>
          <w:szCs w:val="24"/>
          <w:highlight w:val="none"/>
        </w:rPr>
        <w:t>中标（成交）结果。</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strike w:val="0"/>
          <w:dstrike w:val="0"/>
          <w:color w:val="auto"/>
          <w:sz w:val="24"/>
          <w:szCs w:val="24"/>
          <w:highlight w:val="none"/>
        </w:rPr>
        <w:t>二十</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代理机构应通过电子交易系统向中标人（成交供应商）发出中标（成交）通知书，中标（成交）通知书发出即视为送达。</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一</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出现下列情形导致电子交易系统无法正常运行，影响交易活动的公平、公正和信息安全，各方当事人免责：</w:t>
      </w:r>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49" w:name="_Toc7772"/>
      <w:r>
        <w:rPr>
          <w:rFonts w:hint="eastAsia" w:asciiTheme="minorEastAsia" w:hAnsiTheme="minorEastAsia" w:eastAsiaTheme="minorEastAsia" w:cstheme="minorEastAsia"/>
          <w:color w:val="auto"/>
          <w:sz w:val="24"/>
          <w:szCs w:val="24"/>
          <w:highlight w:val="none"/>
        </w:rPr>
        <w:t>（一）网络、服务器、数据库发生故障造成无法访问或使用的；</w:t>
      </w:r>
      <w:bookmarkEnd w:id="49"/>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50" w:name="_Toc27143"/>
      <w:r>
        <w:rPr>
          <w:rFonts w:hint="eastAsia" w:asciiTheme="minorEastAsia" w:hAnsiTheme="minorEastAsia" w:eastAsiaTheme="minorEastAsia" w:cstheme="minorEastAsia"/>
          <w:color w:val="auto"/>
          <w:sz w:val="24"/>
          <w:szCs w:val="24"/>
          <w:highlight w:val="none"/>
        </w:rPr>
        <w:t>（二）电力系统发生故障导致电子交易系统无法运行的；</w:t>
      </w:r>
      <w:bookmarkEnd w:id="50"/>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51" w:name="_Toc31059"/>
      <w:r>
        <w:rPr>
          <w:rFonts w:hint="eastAsia" w:asciiTheme="minorEastAsia" w:hAnsiTheme="minorEastAsia" w:eastAsiaTheme="minorEastAsia" w:cstheme="minorEastAsia"/>
          <w:color w:val="auto"/>
          <w:sz w:val="24"/>
          <w:szCs w:val="24"/>
          <w:highlight w:val="none"/>
        </w:rPr>
        <w:t>（三）出现网络攻击、病毒入侵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电子交易系统软件设计缺陷、功能缺陷</w:t>
      </w:r>
      <w:r>
        <w:rPr>
          <w:rFonts w:hint="eastAsia" w:asciiTheme="minorEastAsia" w:hAnsiTheme="minorEastAsia" w:eastAsiaTheme="minorEastAsia" w:cstheme="minorEastAsia"/>
          <w:color w:val="auto"/>
          <w:sz w:val="24"/>
          <w:szCs w:val="24"/>
          <w:highlight w:val="none"/>
        </w:rPr>
        <w:t>以及电子交易系统安全漏洞导致无法正常提供服务的；</w:t>
      </w:r>
      <w:bookmarkEnd w:id="51"/>
    </w:p>
    <w:p>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52" w:name="_Toc32761"/>
      <w:r>
        <w:rPr>
          <w:rFonts w:hint="eastAsia" w:asciiTheme="minorEastAsia" w:hAnsiTheme="minorEastAsia" w:eastAsiaTheme="minorEastAsia" w:cstheme="minorEastAsia"/>
          <w:color w:val="auto"/>
          <w:sz w:val="24"/>
          <w:szCs w:val="24"/>
          <w:highlight w:val="none"/>
        </w:rPr>
        <w:t>（四）其他无法保证交易活动公平、公正和信息安全的情形。</w:t>
      </w:r>
      <w:bookmarkEnd w:id="52"/>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出现上述情形，系统建设方应及时组织相关方查明原因，排除故障。若能在故障发</w:t>
      </w:r>
      <w:r>
        <w:rPr>
          <w:rFonts w:hint="eastAsia" w:asciiTheme="minorEastAsia" w:hAnsiTheme="minorEastAsia" w:eastAsiaTheme="minorEastAsia" w:cstheme="minorEastAsia"/>
          <w:color w:val="auto"/>
          <w:sz w:val="24"/>
          <w:szCs w:val="24"/>
          <w:highlight w:val="none"/>
          <w:lang w:val="en-US" w:eastAsia="zh-CN"/>
        </w:rPr>
        <w:t>现</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及时</w:t>
      </w:r>
      <w:r>
        <w:rPr>
          <w:rFonts w:hint="eastAsia" w:asciiTheme="minorEastAsia" w:hAnsiTheme="minorEastAsia" w:eastAsiaTheme="minorEastAsia" w:cstheme="minorEastAsia"/>
          <w:color w:val="auto"/>
          <w:sz w:val="24"/>
          <w:szCs w:val="24"/>
          <w:highlight w:val="none"/>
        </w:rPr>
        <w:t>恢复系统运行且不影响项目正常交易的，交易程序继续进行；</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，按以下程序操作：</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（一）项目中止，中止期限由招标人（采购人）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根据项目具体情况确定。中止期限届满后中止情形尚未消除的，招标人（采购人）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可以根据实际情况决定延长中止期限。决定延长中止期限的，应通过电子交易系统向投标人（供应商）发出延长中止期限</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通知。</w:t>
      </w:r>
    </w:p>
    <w:p>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（二）项目恢复，导致项目中止的情形消除后，招标人（采购人）或代理机构应当尽快恢复交易程序，通过电子交易系统向投标人（供应商）发出恢复交易通知；已发出延长中止期限通知的，按通知执行</w:t>
      </w:r>
      <w:r>
        <w:rPr>
          <w:rFonts w:hint="eastAsia" w:asciiTheme="minorEastAsia" w:hAnsiTheme="minorEastAsia" w:eastAsiaTheme="minorEastAsia" w:cstheme="minorEastAsia"/>
          <w:color w:val="auto"/>
          <w:sz w:val="24"/>
          <w:szCs w:val="24"/>
          <w:highlight w:val="none"/>
          <w:lang w:val="en-US" w:eastAsia="zh-CN"/>
        </w:rPr>
        <w:t>或根据招标人（采购人）决定另行通知</w:t>
      </w:r>
      <w:r>
        <w:rPr>
          <w:rFonts w:hint="eastAsia" w:asciiTheme="minorEastAsia" w:hAnsiTheme="minorEastAsia" w:eastAsiaTheme="minorEastAsia" w:cstheme="minorEastAsia"/>
          <w:color w:val="auto"/>
          <w:sz w:val="24"/>
          <w:szCs w:val="24"/>
          <w:highlight w:val="none"/>
        </w:rPr>
        <w:t>。</w:t>
      </w:r>
    </w:p>
    <w:p>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在招标文件规定的解密时间内出现第二十</w:t>
      </w:r>
      <w:r>
        <w:rPr>
          <w:rFonts w:hint="eastAsia" w:asciiTheme="minorEastAsia" w:hAnsiTheme="minorEastAsia" w:eastAsiaTheme="minorEastAsia" w:cstheme="minorEastAsia"/>
          <w:strike w:val="0"/>
          <w:dstrike w:val="0"/>
          <w:color w:val="auto"/>
          <w:sz w:val="24"/>
          <w:szCs w:val="24"/>
          <w:highlight w:val="none"/>
        </w:rPr>
        <w:t>一</w:t>
      </w:r>
      <w:r>
        <w:rPr>
          <w:rFonts w:hint="eastAsia" w:asciiTheme="minorEastAsia" w:hAnsiTheme="minorEastAsia" w:eastAsiaTheme="minorEastAsia" w:cstheme="minorEastAsia"/>
          <w:color w:val="auto"/>
          <w:sz w:val="24"/>
          <w:szCs w:val="24"/>
          <w:highlight w:val="none"/>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auto"/>
          <w:sz w:val="24"/>
          <w:szCs w:val="24"/>
          <w:highlight w:val="none"/>
          <w:lang w:val="en-US" w:eastAsia="zh-CN"/>
        </w:rPr>
        <w:t>算</w:t>
      </w:r>
      <w:r>
        <w:rPr>
          <w:rFonts w:hint="eastAsia" w:asciiTheme="minorEastAsia" w:hAnsiTheme="minorEastAsia" w:eastAsiaTheme="minorEastAsia" w:cstheme="minorEastAsia"/>
          <w:color w:val="auto"/>
          <w:sz w:val="24"/>
          <w:szCs w:val="24"/>
          <w:highlight w:val="none"/>
        </w:rPr>
        <w:t>；在规定的解密</w:t>
      </w:r>
      <w:r>
        <w:rPr>
          <w:rFonts w:hint="eastAsia" w:asciiTheme="minorEastAsia" w:hAnsiTheme="minorEastAsia" w:eastAsia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出现第二十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条规定的意外情形的，系统恢复后，</w:t>
      </w:r>
      <w:r>
        <w:rPr>
          <w:rFonts w:hint="eastAsia" w:asciiTheme="minorEastAsia" w:hAnsiTheme="minorEastAsia" w:eastAsiaTheme="minorEastAsia" w:cstheme="minorEastAsia"/>
          <w:color w:val="auto"/>
          <w:sz w:val="24"/>
          <w:szCs w:val="24"/>
          <w:highlight w:val="none"/>
          <w:lang w:val="en-US" w:eastAsia="zh-CN"/>
        </w:rPr>
        <w:t>仅允许</w:t>
      </w:r>
      <w:r>
        <w:rPr>
          <w:rFonts w:hint="eastAsia" w:asciiTheme="minorEastAsia" w:hAnsiTheme="minorEastAsia" w:eastAsiaTheme="minorEastAsia" w:cstheme="minorEastAsia"/>
          <w:strike w:val="0"/>
          <w:dstrike w:val="0"/>
          <w:color w:val="auto"/>
          <w:sz w:val="24"/>
          <w:szCs w:val="24"/>
          <w:highlight w:val="none"/>
          <w:lang w:val="en-US" w:eastAsia="zh-CN"/>
        </w:rPr>
        <w:t>原解密时间内已成功解密但解密文件无法正常使用的投标人</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strike w:val="0"/>
          <w:dstrike w:val="0"/>
          <w:color w:val="auto"/>
          <w:sz w:val="24"/>
          <w:szCs w:val="24"/>
          <w:highlight w:val="none"/>
          <w:lang w:val="en-US" w:eastAsia="zh-CN"/>
        </w:rPr>
        <w:t>重新解密。</w:t>
      </w:r>
    </w:p>
    <w:p>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本规程由安徽公共资源交易集团负责解释。自发布之日起</w:t>
      </w:r>
      <w:r>
        <w:rPr>
          <w:rFonts w:hint="eastAsia" w:asciiTheme="minorEastAsia" w:hAnsiTheme="minorEastAsia" w:eastAsiaTheme="minorEastAsia" w:cstheme="minorEastAsia"/>
          <w:color w:val="auto"/>
          <w:sz w:val="24"/>
          <w:szCs w:val="24"/>
          <w:highlight w:val="none"/>
          <w:lang w:val="en-US" w:eastAsia="zh-CN"/>
        </w:rPr>
        <w:t>施</w:t>
      </w:r>
      <w:r>
        <w:rPr>
          <w:rFonts w:hint="eastAsia" w:asciiTheme="minorEastAsia" w:hAnsiTheme="minorEastAsia" w:eastAsiaTheme="minorEastAsia" w:cstheme="minorEastAsia"/>
          <w:color w:val="auto"/>
          <w:sz w:val="24"/>
          <w:szCs w:val="24"/>
          <w:highlight w:val="none"/>
        </w:rPr>
        <w:t>行，有效期</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p>
    <w:p>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tabs>
          <w:tab w:val="left" w:pos="6876"/>
        </w:tabs>
        <w:bidi w:val="0"/>
        <w:jc w:val="left"/>
        <w:rPr>
          <w:rFonts w:hint="eastAsia"/>
          <w:color w:val="auto"/>
          <w:highlight w:val="none"/>
          <w:lang w:eastAsia="zh-CN"/>
        </w:rPr>
      </w:pPr>
      <w:r>
        <w:rPr>
          <w:rFonts w:hint="eastAsia"/>
          <w:color w:val="auto"/>
          <w:highlight w:val="none"/>
          <w:lang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w:t>
    </w:r>
    <w:r>
      <w:rPr>
        <w:rFonts w:hint="eastAsia" w:asciiTheme="minorEastAsia" w:hAnsiTheme="minorEastAsia" w:eastAsiaTheme="minorEastAsia"/>
        <w:lang w:val="en-US" w:eastAsia="zh-CN"/>
      </w:rPr>
      <w:t>示范文本</w:t>
    </w:r>
    <w:r>
      <w:rPr>
        <w:rFonts w:hint="eastAsia" w:asciiTheme="minorEastAsia" w:hAnsiTheme="minorEastAsia" w:eastAsiaTheme="minorEastAsia"/>
      </w:rPr>
      <w:t>—</w:t>
    </w:r>
    <w:r>
      <w:rPr>
        <w:rFonts w:hint="eastAsia" w:asciiTheme="minorEastAsia" w:hAnsiTheme="minorEastAsia" w:eastAsiaTheme="minorEastAsia"/>
        <w:lang w:eastAsia="zh-CN"/>
      </w:rPr>
      <w:t>施工</w:t>
    </w:r>
    <w:r>
      <w:rPr>
        <w:rFonts w:hint="eastAsia" w:asciiTheme="minorEastAsia" w:hAnsiTheme="minorEastAsia" w:eastAsiaTheme="minorEastAsia"/>
        <w:lang w:val="en-US" w:eastAsia="zh-CN"/>
      </w:rPr>
      <w:t>2024.9.23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lang w:val="en-US"/>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w:t>
    </w:r>
    <w:r>
      <w:rPr>
        <w:rFonts w:hint="eastAsia" w:asciiTheme="minorEastAsia" w:hAnsiTheme="minorEastAsia" w:eastAsiaTheme="minorEastAsia"/>
        <w:lang w:val="en-US" w:eastAsia="zh-CN"/>
      </w:rPr>
      <w:t>示范文本</w:t>
    </w:r>
    <w:r>
      <w:rPr>
        <w:rFonts w:hint="eastAsia" w:asciiTheme="minorEastAsia" w:hAnsiTheme="minorEastAsia" w:eastAsiaTheme="minorEastAsia"/>
      </w:rPr>
      <w:t>—</w:t>
    </w:r>
    <w:r>
      <w:rPr>
        <w:rFonts w:hint="eastAsia" w:asciiTheme="minorEastAsia" w:hAnsiTheme="minorEastAsia" w:eastAsiaTheme="minorEastAsia"/>
        <w:lang w:eastAsia="zh-CN"/>
      </w:rPr>
      <w:t>施工</w:t>
    </w:r>
    <w:r>
      <w:rPr>
        <w:rFonts w:hint="eastAsia" w:asciiTheme="minorEastAsia" w:hAnsiTheme="minorEastAsia" w:eastAsiaTheme="minorEastAsia"/>
        <w:lang w:val="en-US" w:eastAsia="zh-CN"/>
      </w:rPr>
      <w:t>2024.1.16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0AA0F4A"/>
    <w:multiLevelType w:val="singleLevel"/>
    <w:tmpl w:val="B0AA0F4A"/>
    <w:lvl w:ilvl="0" w:tentative="0">
      <w:start w:val="8"/>
      <w:numFmt w:val="chineseCounting"/>
      <w:suff w:val="nothing"/>
      <w:lvlText w:val="%1、"/>
      <w:lvlJc w:val="left"/>
      <w:rPr>
        <w:rFonts w:hint="eastAsia"/>
      </w:rPr>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abstractNum w:abstractNumId="3">
    <w:nsid w:val="E7F2FAED"/>
    <w:multiLevelType w:val="singleLevel"/>
    <w:tmpl w:val="E7F2FAED"/>
    <w:lvl w:ilvl="0" w:tentative="0">
      <w:start w:val="4"/>
      <w:numFmt w:val="decimal"/>
      <w:suff w:val="nothing"/>
      <w:lvlText w:val="（%1）"/>
      <w:lvlJc w:val="left"/>
    </w:lvl>
  </w:abstractNum>
  <w:abstractNum w:abstractNumId="4">
    <w:nsid w:val="F71D34CA"/>
    <w:multiLevelType w:val="singleLevel"/>
    <w:tmpl w:val="F71D34CA"/>
    <w:lvl w:ilvl="0" w:tentative="0">
      <w:start w:val="1"/>
      <w:numFmt w:val="chineseCounting"/>
      <w:suff w:val="space"/>
      <w:lvlText w:val="第%1章"/>
      <w:lvlJc w:val="left"/>
      <w:rPr>
        <w:rFonts w:hint="eastAsia"/>
      </w:rPr>
    </w:lvl>
  </w:abstractNum>
  <w:abstractNum w:abstractNumId="5">
    <w:nsid w:val="F9A8B692"/>
    <w:multiLevelType w:val="singleLevel"/>
    <w:tmpl w:val="F9A8B692"/>
    <w:lvl w:ilvl="0" w:tentative="0">
      <w:start w:val="1"/>
      <w:numFmt w:val="decimal"/>
      <w:lvlText w:val="%1."/>
      <w:lvlJc w:val="left"/>
      <w:pPr>
        <w:tabs>
          <w:tab w:val="left" w:pos="312"/>
        </w:tabs>
      </w:pPr>
    </w:lvl>
  </w:abstractNum>
  <w:abstractNum w:abstractNumId="6">
    <w:nsid w:val="247B35E3"/>
    <w:multiLevelType w:val="singleLevel"/>
    <w:tmpl w:val="247B35E3"/>
    <w:lvl w:ilvl="0" w:tentative="0">
      <w:start w:val="9"/>
      <w:numFmt w:val="decimal"/>
      <w:lvlText w:val="%1."/>
      <w:lvlJc w:val="left"/>
      <w:pPr>
        <w:tabs>
          <w:tab w:val="left" w:pos="312"/>
        </w:tabs>
      </w:pPr>
    </w:lvl>
  </w:abstractNum>
  <w:abstractNum w:abstractNumId="7">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7"/>
  </w:num>
  <w:num w:numId="2">
    <w:abstractNumId w:val="4"/>
  </w:num>
  <w:num w:numId="3">
    <w:abstractNumId w:val="6"/>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ODc1ZWFmNTQ5YWI0NmI4MTM5Zjk1MGI0MGE4M2Y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610608"/>
    <w:rsid w:val="01614E24"/>
    <w:rsid w:val="01777BF4"/>
    <w:rsid w:val="01B7102D"/>
    <w:rsid w:val="01CE57B8"/>
    <w:rsid w:val="01DD1E9F"/>
    <w:rsid w:val="020C4532"/>
    <w:rsid w:val="021653B1"/>
    <w:rsid w:val="021F4C82"/>
    <w:rsid w:val="023263C4"/>
    <w:rsid w:val="02A816E8"/>
    <w:rsid w:val="02C30CDE"/>
    <w:rsid w:val="031C2553"/>
    <w:rsid w:val="032205B8"/>
    <w:rsid w:val="035E4919"/>
    <w:rsid w:val="03C15358"/>
    <w:rsid w:val="03D869D2"/>
    <w:rsid w:val="04054CCC"/>
    <w:rsid w:val="04073FBB"/>
    <w:rsid w:val="041A2F36"/>
    <w:rsid w:val="04336711"/>
    <w:rsid w:val="047714C2"/>
    <w:rsid w:val="04E60241"/>
    <w:rsid w:val="050A3155"/>
    <w:rsid w:val="055F0B42"/>
    <w:rsid w:val="0580501B"/>
    <w:rsid w:val="059B1E55"/>
    <w:rsid w:val="05C05314"/>
    <w:rsid w:val="060528C8"/>
    <w:rsid w:val="061B11E8"/>
    <w:rsid w:val="061D52A4"/>
    <w:rsid w:val="062C51A3"/>
    <w:rsid w:val="0639166E"/>
    <w:rsid w:val="06523F87"/>
    <w:rsid w:val="065B15E4"/>
    <w:rsid w:val="06783F44"/>
    <w:rsid w:val="068E0BC9"/>
    <w:rsid w:val="06A32FF4"/>
    <w:rsid w:val="06DA423B"/>
    <w:rsid w:val="07677A36"/>
    <w:rsid w:val="078A2181"/>
    <w:rsid w:val="07A174CB"/>
    <w:rsid w:val="07A82607"/>
    <w:rsid w:val="07D822F4"/>
    <w:rsid w:val="0808754A"/>
    <w:rsid w:val="08337E2C"/>
    <w:rsid w:val="08636A5A"/>
    <w:rsid w:val="08946CD7"/>
    <w:rsid w:val="08A46BE7"/>
    <w:rsid w:val="08BB1E7B"/>
    <w:rsid w:val="08DA0EE6"/>
    <w:rsid w:val="08DB07BA"/>
    <w:rsid w:val="09A52083"/>
    <w:rsid w:val="09CF5E40"/>
    <w:rsid w:val="09E33DCA"/>
    <w:rsid w:val="0A365FB3"/>
    <w:rsid w:val="0A77544C"/>
    <w:rsid w:val="0AA65F45"/>
    <w:rsid w:val="0AC86268"/>
    <w:rsid w:val="0AD656DD"/>
    <w:rsid w:val="0AD825C4"/>
    <w:rsid w:val="0AD83203"/>
    <w:rsid w:val="0AFA5870"/>
    <w:rsid w:val="0AFE2088"/>
    <w:rsid w:val="0B146AB7"/>
    <w:rsid w:val="0B3644E0"/>
    <w:rsid w:val="0B6E3B68"/>
    <w:rsid w:val="0B93537C"/>
    <w:rsid w:val="0BA91D6D"/>
    <w:rsid w:val="0BC528CF"/>
    <w:rsid w:val="0C017795"/>
    <w:rsid w:val="0C3A2085"/>
    <w:rsid w:val="0C3D1EB8"/>
    <w:rsid w:val="0C4843B9"/>
    <w:rsid w:val="0C6709D0"/>
    <w:rsid w:val="0C676F35"/>
    <w:rsid w:val="0C880C59"/>
    <w:rsid w:val="0CCA1C47"/>
    <w:rsid w:val="0CD914B5"/>
    <w:rsid w:val="0CED0F6C"/>
    <w:rsid w:val="0CF31BB9"/>
    <w:rsid w:val="0D0B3827"/>
    <w:rsid w:val="0D957AD2"/>
    <w:rsid w:val="0DB241E0"/>
    <w:rsid w:val="0DE6032D"/>
    <w:rsid w:val="0E2300A0"/>
    <w:rsid w:val="0E267FA8"/>
    <w:rsid w:val="0E3E1F17"/>
    <w:rsid w:val="0E52151F"/>
    <w:rsid w:val="0E9A5F77"/>
    <w:rsid w:val="0E9E11E9"/>
    <w:rsid w:val="0ECB1AC7"/>
    <w:rsid w:val="0ECF35C4"/>
    <w:rsid w:val="0ED527DB"/>
    <w:rsid w:val="0F052A35"/>
    <w:rsid w:val="0F2F1860"/>
    <w:rsid w:val="0F3330FE"/>
    <w:rsid w:val="0F3F1AA3"/>
    <w:rsid w:val="0F672FE3"/>
    <w:rsid w:val="0F751969"/>
    <w:rsid w:val="0F802974"/>
    <w:rsid w:val="0F8F2FC0"/>
    <w:rsid w:val="0FAC687F"/>
    <w:rsid w:val="0FB00BF3"/>
    <w:rsid w:val="0FB06A57"/>
    <w:rsid w:val="0FF4402F"/>
    <w:rsid w:val="102F109D"/>
    <w:rsid w:val="10305890"/>
    <w:rsid w:val="10463305"/>
    <w:rsid w:val="105D3453"/>
    <w:rsid w:val="10615A49"/>
    <w:rsid w:val="10635C65"/>
    <w:rsid w:val="107F1F1F"/>
    <w:rsid w:val="108568F1"/>
    <w:rsid w:val="10B22456"/>
    <w:rsid w:val="10E044A9"/>
    <w:rsid w:val="11031026"/>
    <w:rsid w:val="11254CC9"/>
    <w:rsid w:val="11333889"/>
    <w:rsid w:val="11395C39"/>
    <w:rsid w:val="118A0FD0"/>
    <w:rsid w:val="11F74B82"/>
    <w:rsid w:val="12135469"/>
    <w:rsid w:val="1232333F"/>
    <w:rsid w:val="12722FED"/>
    <w:rsid w:val="129A3460"/>
    <w:rsid w:val="129B16E6"/>
    <w:rsid w:val="12A07F1A"/>
    <w:rsid w:val="12A14112"/>
    <w:rsid w:val="12C413D6"/>
    <w:rsid w:val="12CD6C86"/>
    <w:rsid w:val="13083E3E"/>
    <w:rsid w:val="13552459"/>
    <w:rsid w:val="138A5F0F"/>
    <w:rsid w:val="139364DD"/>
    <w:rsid w:val="139F6FB4"/>
    <w:rsid w:val="13F50945"/>
    <w:rsid w:val="14225A66"/>
    <w:rsid w:val="147A532B"/>
    <w:rsid w:val="14C412D5"/>
    <w:rsid w:val="14E36BC9"/>
    <w:rsid w:val="14F051F6"/>
    <w:rsid w:val="151E215B"/>
    <w:rsid w:val="1565422D"/>
    <w:rsid w:val="15916384"/>
    <w:rsid w:val="15A308B2"/>
    <w:rsid w:val="15EF35D8"/>
    <w:rsid w:val="164107F7"/>
    <w:rsid w:val="1651030E"/>
    <w:rsid w:val="166746AE"/>
    <w:rsid w:val="167034C3"/>
    <w:rsid w:val="167343CE"/>
    <w:rsid w:val="16987ACC"/>
    <w:rsid w:val="16AC3FC9"/>
    <w:rsid w:val="16B40FC8"/>
    <w:rsid w:val="16BB30FA"/>
    <w:rsid w:val="16BC1C2B"/>
    <w:rsid w:val="171D41E4"/>
    <w:rsid w:val="17260D51"/>
    <w:rsid w:val="1727436D"/>
    <w:rsid w:val="173A25E2"/>
    <w:rsid w:val="17485BB5"/>
    <w:rsid w:val="175D0B80"/>
    <w:rsid w:val="176E561B"/>
    <w:rsid w:val="17732C32"/>
    <w:rsid w:val="178F10EE"/>
    <w:rsid w:val="17914E66"/>
    <w:rsid w:val="17916813"/>
    <w:rsid w:val="1797470D"/>
    <w:rsid w:val="18015B6E"/>
    <w:rsid w:val="18172587"/>
    <w:rsid w:val="18205A58"/>
    <w:rsid w:val="185403EE"/>
    <w:rsid w:val="18693E47"/>
    <w:rsid w:val="18BD54F4"/>
    <w:rsid w:val="18DC0363"/>
    <w:rsid w:val="18DD28F7"/>
    <w:rsid w:val="19076D84"/>
    <w:rsid w:val="194303E2"/>
    <w:rsid w:val="1979120B"/>
    <w:rsid w:val="1997072D"/>
    <w:rsid w:val="19BE5CBA"/>
    <w:rsid w:val="19BF76EB"/>
    <w:rsid w:val="1A085187"/>
    <w:rsid w:val="1A11228E"/>
    <w:rsid w:val="1A1A7CD9"/>
    <w:rsid w:val="1A4457AE"/>
    <w:rsid w:val="1A4C5D31"/>
    <w:rsid w:val="1A816B2F"/>
    <w:rsid w:val="1A9F3EA8"/>
    <w:rsid w:val="1AA03612"/>
    <w:rsid w:val="1ABF618E"/>
    <w:rsid w:val="1AF71484"/>
    <w:rsid w:val="1B30248C"/>
    <w:rsid w:val="1B5468D6"/>
    <w:rsid w:val="1B58423C"/>
    <w:rsid w:val="1B816BC3"/>
    <w:rsid w:val="1B90640E"/>
    <w:rsid w:val="1B9C3F21"/>
    <w:rsid w:val="1BEA24D1"/>
    <w:rsid w:val="1BFB0379"/>
    <w:rsid w:val="1C0F0A4F"/>
    <w:rsid w:val="1C2C1B1A"/>
    <w:rsid w:val="1C3B7288"/>
    <w:rsid w:val="1C447AB7"/>
    <w:rsid w:val="1C487397"/>
    <w:rsid w:val="1C5C089A"/>
    <w:rsid w:val="1C6D2330"/>
    <w:rsid w:val="1C850D11"/>
    <w:rsid w:val="1C8953EE"/>
    <w:rsid w:val="1C9761E9"/>
    <w:rsid w:val="1CC6095E"/>
    <w:rsid w:val="1CF85987"/>
    <w:rsid w:val="1D0600A4"/>
    <w:rsid w:val="1D0905DA"/>
    <w:rsid w:val="1DAD49C3"/>
    <w:rsid w:val="1DB05F30"/>
    <w:rsid w:val="1DC6406D"/>
    <w:rsid w:val="1DC934B1"/>
    <w:rsid w:val="1DCD6CA7"/>
    <w:rsid w:val="1DE2702B"/>
    <w:rsid w:val="1E3D139F"/>
    <w:rsid w:val="1E4A39BB"/>
    <w:rsid w:val="1E5310C7"/>
    <w:rsid w:val="1E74728F"/>
    <w:rsid w:val="1ECF42FE"/>
    <w:rsid w:val="1F120F76"/>
    <w:rsid w:val="1F2E38E2"/>
    <w:rsid w:val="1F354E12"/>
    <w:rsid w:val="1F35643E"/>
    <w:rsid w:val="1F6D083B"/>
    <w:rsid w:val="1F6E1A7C"/>
    <w:rsid w:val="1F705CA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D109C9"/>
    <w:rsid w:val="20E45634"/>
    <w:rsid w:val="20FC2382"/>
    <w:rsid w:val="21395FA9"/>
    <w:rsid w:val="21BF0821"/>
    <w:rsid w:val="21EF1DF1"/>
    <w:rsid w:val="21FD1568"/>
    <w:rsid w:val="220F3557"/>
    <w:rsid w:val="22625D47"/>
    <w:rsid w:val="22665141"/>
    <w:rsid w:val="22731755"/>
    <w:rsid w:val="229323DA"/>
    <w:rsid w:val="22934188"/>
    <w:rsid w:val="22C83D5D"/>
    <w:rsid w:val="22DE0399"/>
    <w:rsid w:val="232F063C"/>
    <w:rsid w:val="23496F3C"/>
    <w:rsid w:val="234E00AF"/>
    <w:rsid w:val="238E494F"/>
    <w:rsid w:val="23906749"/>
    <w:rsid w:val="239649A9"/>
    <w:rsid w:val="23BC770E"/>
    <w:rsid w:val="23DD4441"/>
    <w:rsid w:val="23EF19B8"/>
    <w:rsid w:val="2401350C"/>
    <w:rsid w:val="242765C4"/>
    <w:rsid w:val="244D65B8"/>
    <w:rsid w:val="244F47D6"/>
    <w:rsid w:val="246456B0"/>
    <w:rsid w:val="24A7216D"/>
    <w:rsid w:val="24B94E7B"/>
    <w:rsid w:val="24EA21FD"/>
    <w:rsid w:val="24F86524"/>
    <w:rsid w:val="250E0AED"/>
    <w:rsid w:val="25567B5A"/>
    <w:rsid w:val="257A162F"/>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799188C"/>
    <w:rsid w:val="27A107B1"/>
    <w:rsid w:val="27B801ED"/>
    <w:rsid w:val="27E85AF1"/>
    <w:rsid w:val="2803672A"/>
    <w:rsid w:val="280557AF"/>
    <w:rsid w:val="2837207C"/>
    <w:rsid w:val="28515D28"/>
    <w:rsid w:val="288A1BE1"/>
    <w:rsid w:val="289D5510"/>
    <w:rsid w:val="28C64B8B"/>
    <w:rsid w:val="28D76D98"/>
    <w:rsid w:val="28DB23E5"/>
    <w:rsid w:val="28F24E39"/>
    <w:rsid w:val="28FC05AD"/>
    <w:rsid w:val="29174F37"/>
    <w:rsid w:val="2919115F"/>
    <w:rsid w:val="292F098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975C14"/>
    <w:rsid w:val="2A990F81"/>
    <w:rsid w:val="2AC51206"/>
    <w:rsid w:val="2B1966E7"/>
    <w:rsid w:val="2B3758CC"/>
    <w:rsid w:val="2BD05B4E"/>
    <w:rsid w:val="2BFC771C"/>
    <w:rsid w:val="2C0843C3"/>
    <w:rsid w:val="2C0B2FE1"/>
    <w:rsid w:val="2C472353"/>
    <w:rsid w:val="2C7C7A3B"/>
    <w:rsid w:val="2C855E78"/>
    <w:rsid w:val="2C9D628A"/>
    <w:rsid w:val="2CAC798F"/>
    <w:rsid w:val="2CED0939"/>
    <w:rsid w:val="2CF57294"/>
    <w:rsid w:val="2CF9552F"/>
    <w:rsid w:val="2CFC034F"/>
    <w:rsid w:val="2D0C41FD"/>
    <w:rsid w:val="2D1633EB"/>
    <w:rsid w:val="2D4D13D7"/>
    <w:rsid w:val="2D9F7C93"/>
    <w:rsid w:val="2DAA4BFF"/>
    <w:rsid w:val="2DCC054E"/>
    <w:rsid w:val="2E067D4C"/>
    <w:rsid w:val="2E0D7FA5"/>
    <w:rsid w:val="2E4A51C1"/>
    <w:rsid w:val="2E615CCD"/>
    <w:rsid w:val="2E6C1899"/>
    <w:rsid w:val="2E862DF3"/>
    <w:rsid w:val="2E8727AF"/>
    <w:rsid w:val="2E926FBB"/>
    <w:rsid w:val="2EAE5EA6"/>
    <w:rsid w:val="2EF44200"/>
    <w:rsid w:val="2EF73CF0"/>
    <w:rsid w:val="2F5527C5"/>
    <w:rsid w:val="2F662C24"/>
    <w:rsid w:val="2FC71915"/>
    <w:rsid w:val="2FE204FD"/>
    <w:rsid w:val="2FEA5603"/>
    <w:rsid w:val="300A0C97"/>
    <w:rsid w:val="300E364A"/>
    <w:rsid w:val="301270DA"/>
    <w:rsid w:val="301F4C0C"/>
    <w:rsid w:val="30330D58"/>
    <w:rsid w:val="30621346"/>
    <w:rsid w:val="30756A6C"/>
    <w:rsid w:val="307F3F9D"/>
    <w:rsid w:val="308B3C32"/>
    <w:rsid w:val="308B46F0"/>
    <w:rsid w:val="30913CD1"/>
    <w:rsid w:val="30934C53"/>
    <w:rsid w:val="309F63EE"/>
    <w:rsid w:val="30B42C9E"/>
    <w:rsid w:val="30C03C9B"/>
    <w:rsid w:val="30CA0B34"/>
    <w:rsid w:val="30F7442C"/>
    <w:rsid w:val="31111D33"/>
    <w:rsid w:val="31291211"/>
    <w:rsid w:val="31AA6151"/>
    <w:rsid w:val="31D64091"/>
    <w:rsid w:val="321B78CE"/>
    <w:rsid w:val="32385F9C"/>
    <w:rsid w:val="323D4B10"/>
    <w:rsid w:val="3263094F"/>
    <w:rsid w:val="326E42CA"/>
    <w:rsid w:val="327F62D5"/>
    <w:rsid w:val="329A50BF"/>
    <w:rsid w:val="32A001FB"/>
    <w:rsid w:val="32D81743"/>
    <w:rsid w:val="32E12CEE"/>
    <w:rsid w:val="32FA6DD7"/>
    <w:rsid w:val="33460DA3"/>
    <w:rsid w:val="335A65FC"/>
    <w:rsid w:val="33650106"/>
    <w:rsid w:val="336D4581"/>
    <w:rsid w:val="33AB3DC9"/>
    <w:rsid w:val="33CD2241"/>
    <w:rsid w:val="340D25AE"/>
    <w:rsid w:val="34177C19"/>
    <w:rsid w:val="34353186"/>
    <w:rsid w:val="3474193F"/>
    <w:rsid w:val="349B6ECC"/>
    <w:rsid w:val="34E45C10"/>
    <w:rsid w:val="35253045"/>
    <w:rsid w:val="354B0704"/>
    <w:rsid w:val="354D1DB2"/>
    <w:rsid w:val="35A34C73"/>
    <w:rsid w:val="35D94150"/>
    <w:rsid w:val="35FE1C9A"/>
    <w:rsid w:val="367108D6"/>
    <w:rsid w:val="36B50719"/>
    <w:rsid w:val="36B86C0F"/>
    <w:rsid w:val="36C25ED8"/>
    <w:rsid w:val="36D2007E"/>
    <w:rsid w:val="36EB413B"/>
    <w:rsid w:val="371B68A6"/>
    <w:rsid w:val="3747333B"/>
    <w:rsid w:val="377F356D"/>
    <w:rsid w:val="379C3687"/>
    <w:rsid w:val="379F0A81"/>
    <w:rsid w:val="37BE184F"/>
    <w:rsid w:val="37DC5DA4"/>
    <w:rsid w:val="37E011CC"/>
    <w:rsid w:val="37EA3F46"/>
    <w:rsid w:val="37FF59C4"/>
    <w:rsid w:val="380729ED"/>
    <w:rsid w:val="38517B27"/>
    <w:rsid w:val="386A7825"/>
    <w:rsid w:val="38733130"/>
    <w:rsid w:val="38767A34"/>
    <w:rsid w:val="38921A31"/>
    <w:rsid w:val="38993D10"/>
    <w:rsid w:val="38B247E4"/>
    <w:rsid w:val="38C04D3D"/>
    <w:rsid w:val="38CE6B9E"/>
    <w:rsid w:val="38D66725"/>
    <w:rsid w:val="39123CD2"/>
    <w:rsid w:val="39930ABA"/>
    <w:rsid w:val="3993774F"/>
    <w:rsid w:val="39A2072B"/>
    <w:rsid w:val="39B50DC2"/>
    <w:rsid w:val="39BB6B1C"/>
    <w:rsid w:val="3A230C04"/>
    <w:rsid w:val="3A26548A"/>
    <w:rsid w:val="3A502507"/>
    <w:rsid w:val="3A5567DF"/>
    <w:rsid w:val="3A572443"/>
    <w:rsid w:val="3A6316FB"/>
    <w:rsid w:val="3A7D0B45"/>
    <w:rsid w:val="3AAB3AE0"/>
    <w:rsid w:val="3AB57BE2"/>
    <w:rsid w:val="3ACD3B57"/>
    <w:rsid w:val="3AF561AE"/>
    <w:rsid w:val="3AFA5384"/>
    <w:rsid w:val="3B134F55"/>
    <w:rsid w:val="3B4D0683"/>
    <w:rsid w:val="3B714E2B"/>
    <w:rsid w:val="3B871F58"/>
    <w:rsid w:val="3B9B5A04"/>
    <w:rsid w:val="3BB0325D"/>
    <w:rsid w:val="3C335C3C"/>
    <w:rsid w:val="3C963645"/>
    <w:rsid w:val="3CCA2A44"/>
    <w:rsid w:val="3CCC57A3"/>
    <w:rsid w:val="3CF03B2D"/>
    <w:rsid w:val="3D090B7C"/>
    <w:rsid w:val="3D264775"/>
    <w:rsid w:val="3D536596"/>
    <w:rsid w:val="3D5A0F8B"/>
    <w:rsid w:val="3D89645B"/>
    <w:rsid w:val="3D8C49FE"/>
    <w:rsid w:val="3DD70CF9"/>
    <w:rsid w:val="3DDD315E"/>
    <w:rsid w:val="3E0C196A"/>
    <w:rsid w:val="3E1201FF"/>
    <w:rsid w:val="3E1D0952"/>
    <w:rsid w:val="3E30420A"/>
    <w:rsid w:val="3E3068D7"/>
    <w:rsid w:val="3E3C1720"/>
    <w:rsid w:val="3E5A1BA6"/>
    <w:rsid w:val="3E60015F"/>
    <w:rsid w:val="3EAD5E70"/>
    <w:rsid w:val="3EC60D06"/>
    <w:rsid w:val="3ECF60F0"/>
    <w:rsid w:val="3F087854"/>
    <w:rsid w:val="3F7F14E7"/>
    <w:rsid w:val="3F9F14A0"/>
    <w:rsid w:val="3FDF2363"/>
    <w:rsid w:val="3FEF7356"/>
    <w:rsid w:val="3FF21F94"/>
    <w:rsid w:val="400B4C01"/>
    <w:rsid w:val="40316936"/>
    <w:rsid w:val="40477F08"/>
    <w:rsid w:val="405165FE"/>
    <w:rsid w:val="406867FC"/>
    <w:rsid w:val="40D24B9C"/>
    <w:rsid w:val="40DE6ABE"/>
    <w:rsid w:val="410753AA"/>
    <w:rsid w:val="411E335F"/>
    <w:rsid w:val="41303889"/>
    <w:rsid w:val="415052BD"/>
    <w:rsid w:val="41904D37"/>
    <w:rsid w:val="41A1553C"/>
    <w:rsid w:val="41AD09C0"/>
    <w:rsid w:val="41BB1716"/>
    <w:rsid w:val="41D979E0"/>
    <w:rsid w:val="41DE0A1F"/>
    <w:rsid w:val="41E73751"/>
    <w:rsid w:val="41FD3C44"/>
    <w:rsid w:val="4207478C"/>
    <w:rsid w:val="422A409B"/>
    <w:rsid w:val="42373D37"/>
    <w:rsid w:val="42520476"/>
    <w:rsid w:val="42593CC8"/>
    <w:rsid w:val="428216CB"/>
    <w:rsid w:val="42A17DA3"/>
    <w:rsid w:val="42AB0CD7"/>
    <w:rsid w:val="42C13FA2"/>
    <w:rsid w:val="430345BA"/>
    <w:rsid w:val="43095B0E"/>
    <w:rsid w:val="434B5F61"/>
    <w:rsid w:val="436B215F"/>
    <w:rsid w:val="43C53F65"/>
    <w:rsid w:val="43F81C45"/>
    <w:rsid w:val="440222FE"/>
    <w:rsid w:val="444C0820"/>
    <w:rsid w:val="445D419E"/>
    <w:rsid w:val="4476700E"/>
    <w:rsid w:val="447F2366"/>
    <w:rsid w:val="447F728A"/>
    <w:rsid w:val="44A65B45"/>
    <w:rsid w:val="44AE1377"/>
    <w:rsid w:val="44B244EA"/>
    <w:rsid w:val="44B55D88"/>
    <w:rsid w:val="44BC2C73"/>
    <w:rsid w:val="44E623E5"/>
    <w:rsid w:val="44E97761"/>
    <w:rsid w:val="44FF5255"/>
    <w:rsid w:val="45215B5E"/>
    <w:rsid w:val="45225515"/>
    <w:rsid w:val="45433394"/>
    <w:rsid w:val="455E535F"/>
    <w:rsid w:val="456B22FF"/>
    <w:rsid w:val="456D1768"/>
    <w:rsid w:val="45B2194C"/>
    <w:rsid w:val="45C96E92"/>
    <w:rsid w:val="45CC0C03"/>
    <w:rsid w:val="462E0F7B"/>
    <w:rsid w:val="468E6891"/>
    <w:rsid w:val="46AE2A8F"/>
    <w:rsid w:val="46DB1ADF"/>
    <w:rsid w:val="471A6376"/>
    <w:rsid w:val="47392CA0"/>
    <w:rsid w:val="47437DEF"/>
    <w:rsid w:val="47AE29D8"/>
    <w:rsid w:val="47B462FA"/>
    <w:rsid w:val="47B745D4"/>
    <w:rsid w:val="47BC567F"/>
    <w:rsid w:val="48226AEB"/>
    <w:rsid w:val="483673CE"/>
    <w:rsid w:val="487815A6"/>
    <w:rsid w:val="489A776F"/>
    <w:rsid w:val="489F4D85"/>
    <w:rsid w:val="48BC6649"/>
    <w:rsid w:val="48BE41E3"/>
    <w:rsid w:val="48C77E38"/>
    <w:rsid w:val="48CB5B7A"/>
    <w:rsid w:val="48D92B4D"/>
    <w:rsid w:val="48FD1AAC"/>
    <w:rsid w:val="490523D5"/>
    <w:rsid w:val="49135467"/>
    <w:rsid w:val="49221812"/>
    <w:rsid w:val="494D67E4"/>
    <w:rsid w:val="497D3957"/>
    <w:rsid w:val="498668DA"/>
    <w:rsid w:val="49A00E51"/>
    <w:rsid w:val="49A330DF"/>
    <w:rsid w:val="4A48656C"/>
    <w:rsid w:val="4A5B0EAB"/>
    <w:rsid w:val="4A631DE2"/>
    <w:rsid w:val="4A667117"/>
    <w:rsid w:val="4A8C758B"/>
    <w:rsid w:val="4A8E0642"/>
    <w:rsid w:val="4AC95736"/>
    <w:rsid w:val="4B2257F9"/>
    <w:rsid w:val="4B410375"/>
    <w:rsid w:val="4B5B0856"/>
    <w:rsid w:val="4B63653E"/>
    <w:rsid w:val="4B6B53F2"/>
    <w:rsid w:val="4B863FDA"/>
    <w:rsid w:val="4B884F61"/>
    <w:rsid w:val="4B9506C1"/>
    <w:rsid w:val="4B977F95"/>
    <w:rsid w:val="4B9F32EE"/>
    <w:rsid w:val="4BB9449E"/>
    <w:rsid w:val="4BC52D55"/>
    <w:rsid w:val="4C4A325A"/>
    <w:rsid w:val="4C4D4AF8"/>
    <w:rsid w:val="4C8E5BE5"/>
    <w:rsid w:val="4CB6269D"/>
    <w:rsid w:val="4CC913FA"/>
    <w:rsid w:val="4CEA67EB"/>
    <w:rsid w:val="4CF64CFD"/>
    <w:rsid w:val="4D116B12"/>
    <w:rsid w:val="4D3D5FF4"/>
    <w:rsid w:val="4D5A72FA"/>
    <w:rsid w:val="4D633A18"/>
    <w:rsid w:val="4E0B2970"/>
    <w:rsid w:val="4E1759C1"/>
    <w:rsid w:val="4E3E6DEE"/>
    <w:rsid w:val="4E8862BB"/>
    <w:rsid w:val="4ED43E82"/>
    <w:rsid w:val="4ED8558E"/>
    <w:rsid w:val="4EE86515"/>
    <w:rsid w:val="4F245FE4"/>
    <w:rsid w:val="4F433169"/>
    <w:rsid w:val="4FD51C85"/>
    <w:rsid w:val="4FE92139"/>
    <w:rsid w:val="50067498"/>
    <w:rsid w:val="505A492D"/>
    <w:rsid w:val="505B4BCF"/>
    <w:rsid w:val="50967210"/>
    <w:rsid w:val="50A4580C"/>
    <w:rsid w:val="50B75FB1"/>
    <w:rsid w:val="50CC248F"/>
    <w:rsid w:val="50F97A8C"/>
    <w:rsid w:val="51013297"/>
    <w:rsid w:val="5105419D"/>
    <w:rsid w:val="51177359"/>
    <w:rsid w:val="51706AE7"/>
    <w:rsid w:val="517F39A6"/>
    <w:rsid w:val="5221002A"/>
    <w:rsid w:val="52816DE8"/>
    <w:rsid w:val="52976ACD"/>
    <w:rsid w:val="529F5982"/>
    <w:rsid w:val="52AF3C79"/>
    <w:rsid w:val="52FF78E7"/>
    <w:rsid w:val="530E3233"/>
    <w:rsid w:val="533D19AF"/>
    <w:rsid w:val="537806AC"/>
    <w:rsid w:val="53837B15"/>
    <w:rsid w:val="53983E43"/>
    <w:rsid w:val="539F403D"/>
    <w:rsid w:val="541008E5"/>
    <w:rsid w:val="543640C4"/>
    <w:rsid w:val="5436550B"/>
    <w:rsid w:val="544607AB"/>
    <w:rsid w:val="54492049"/>
    <w:rsid w:val="54547A6F"/>
    <w:rsid w:val="54547F90"/>
    <w:rsid w:val="545A6D5B"/>
    <w:rsid w:val="547A238D"/>
    <w:rsid w:val="54817A35"/>
    <w:rsid w:val="54A159E1"/>
    <w:rsid w:val="54D209AB"/>
    <w:rsid w:val="55004DFD"/>
    <w:rsid w:val="554747DA"/>
    <w:rsid w:val="555D5DAC"/>
    <w:rsid w:val="556F0C67"/>
    <w:rsid w:val="5573527B"/>
    <w:rsid w:val="557F6094"/>
    <w:rsid w:val="55A00722"/>
    <w:rsid w:val="55D106C9"/>
    <w:rsid w:val="55F14746"/>
    <w:rsid w:val="56203C97"/>
    <w:rsid w:val="562E599A"/>
    <w:rsid w:val="56464A92"/>
    <w:rsid w:val="56521689"/>
    <w:rsid w:val="56B07F59"/>
    <w:rsid w:val="56B20379"/>
    <w:rsid w:val="56B91708"/>
    <w:rsid w:val="56C37E91"/>
    <w:rsid w:val="56D0163C"/>
    <w:rsid w:val="56EC3176"/>
    <w:rsid w:val="57077749"/>
    <w:rsid w:val="573613C1"/>
    <w:rsid w:val="57397068"/>
    <w:rsid w:val="5741183E"/>
    <w:rsid w:val="575F252E"/>
    <w:rsid w:val="57757E70"/>
    <w:rsid w:val="577B7280"/>
    <w:rsid w:val="579B12CF"/>
    <w:rsid w:val="579F7237"/>
    <w:rsid w:val="57B23339"/>
    <w:rsid w:val="57BF2D4E"/>
    <w:rsid w:val="5809250B"/>
    <w:rsid w:val="582157B7"/>
    <w:rsid w:val="584638F4"/>
    <w:rsid w:val="588418A2"/>
    <w:rsid w:val="589715D5"/>
    <w:rsid w:val="58BA6E11"/>
    <w:rsid w:val="58C12AF6"/>
    <w:rsid w:val="58DB209D"/>
    <w:rsid w:val="590649AC"/>
    <w:rsid w:val="5914296F"/>
    <w:rsid w:val="59403789"/>
    <w:rsid w:val="5963340F"/>
    <w:rsid w:val="59637709"/>
    <w:rsid w:val="596E5E6A"/>
    <w:rsid w:val="59777658"/>
    <w:rsid w:val="598309D2"/>
    <w:rsid w:val="59967080"/>
    <w:rsid w:val="59AA17DC"/>
    <w:rsid w:val="59B43BDF"/>
    <w:rsid w:val="59BB7545"/>
    <w:rsid w:val="5A0E1D6B"/>
    <w:rsid w:val="5A184D97"/>
    <w:rsid w:val="5A1E7A92"/>
    <w:rsid w:val="5A3A32AF"/>
    <w:rsid w:val="5AC43F81"/>
    <w:rsid w:val="5AED72F3"/>
    <w:rsid w:val="5B0347A3"/>
    <w:rsid w:val="5B4A6DD2"/>
    <w:rsid w:val="5B653C0C"/>
    <w:rsid w:val="5BC06FFE"/>
    <w:rsid w:val="5BC63C92"/>
    <w:rsid w:val="5BF000ED"/>
    <w:rsid w:val="5BFE5E0F"/>
    <w:rsid w:val="5C052CF9"/>
    <w:rsid w:val="5C1E3DBB"/>
    <w:rsid w:val="5C291C9D"/>
    <w:rsid w:val="5C655B7C"/>
    <w:rsid w:val="5C734107"/>
    <w:rsid w:val="5C7560D1"/>
    <w:rsid w:val="5C7B120D"/>
    <w:rsid w:val="5CB84210"/>
    <w:rsid w:val="5CEC5C67"/>
    <w:rsid w:val="5CEE456C"/>
    <w:rsid w:val="5D072698"/>
    <w:rsid w:val="5D675EF0"/>
    <w:rsid w:val="5D6A1882"/>
    <w:rsid w:val="5D8E5AFC"/>
    <w:rsid w:val="5DBA0F0B"/>
    <w:rsid w:val="5DE0757A"/>
    <w:rsid w:val="5DFD2313"/>
    <w:rsid w:val="5E047173"/>
    <w:rsid w:val="5E4D2736"/>
    <w:rsid w:val="5E543AC4"/>
    <w:rsid w:val="5E565A8E"/>
    <w:rsid w:val="5E8125D5"/>
    <w:rsid w:val="5EB90E35"/>
    <w:rsid w:val="5EC24ED2"/>
    <w:rsid w:val="5EF37781"/>
    <w:rsid w:val="5EF534F9"/>
    <w:rsid w:val="5EF86B45"/>
    <w:rsid w:val="5F516722"/>
    <w:rsid w:val="5F68659C"/>
    <w:rsid w:val="5F897393"/>
    <w:rsid w:val="5F911445"/>
    <w:rsid w:val="5F9F3465"/>
    <w:rsid w:val="5FA168CF"/>
    <w:rsid w:val="5FCF5AF8"/>
    <w:rsid w:val="600328DF"/>
    <w:rsid w:val="600B265B"/>
    <w:rsid w:val="60261202"/>
    <w:rsid w:val="60336BFF"/>
    <w:rsid w:val="607653E6"/>
    <w:rsid w:val="60805044"/>
    <w:rsid w:val="60A70B9F"/>
    <w:rsid w:val="60A70CC1"/>
    <w:rsid w:val="60C110C9"/>
    <w:rsid w:val="60CA5E20"/>
    <w:rsid w:val="613A1697"/>
    <w:rsid w:val="61404968"/>
    <w:rsid w:val="617B2468"/>
    <w:rsid w:val="61E70B79"/>
    <w:rsid w:val="62086704"/>
    <w:rsid w:val="624731C8"/>
    <w:rsid w:val="6260512D"/>
    <w:rsid w:val="62724020"/>
    <w:rsid w:val="62740392"/>
    <w:rsid w:val="627604AD"/>
    <w:rsid w:val="62815399"/>
    <w:rsid w:val="62AA45FB"/>
    <w:rsid w:val="62E94778"/>
    <w:rsid w:val="62F615EE"/>
    <w:rsid w:val="63246227"/>
    <w:rsid w:val="63316ACA"/>
    <w:rsid w:val="633D6B64"/>
    <w:rsid w:val="634E4F86"/>
    <w:rsid w:val="635A2851"/>
    <w:rsid w:val="63666773"/>
    <w:rsid w:val="637F2B5A"/>
    <w:rsid w:val="638B7F88"/>
    <w:rsid w:val="638E1826"/>
    <w:rsid w:val="638F4D78"/>
    <w:rsid w:val="639E4570"/>
    <w:rsid w:val="63A86178"/>
    <w:rsid w:val="63AE011A"/>
    <w:rsid w:val="63BE035D"/>
    <w:rsid w:val="63E636A7"/>
    <w:rsid w:val="64131AB4"/>
    <w:rsid w:val="646E1562"/>
    <w:rsid w:val="649015CE"/>
    <w:rsid w:val="64FF08D8"/>
    <w:rsid w:val="650D2C1F"/>
    <w:rsid w:val="65181CEF"/>
    <w:rsid w:val="65336B29"/>
    <w:rsid w:val="653603C7"/>
    <w:rsid w:val="654900FB"/>
    <w:rsid w:val="6550702A"/>
    <w:rsid w:val="65523BCC"/>
    <w:rsid w:val="65610523"/>
    <w:rsid w:val="656A5FB1"/>
    <w:rsid w:val="657620B4"/>
    <w:rsid w:val="65885575"/>
    <w:rsid w:val="659E16D7"/>
    <w:rsid w:val="65C5024C"/>
    <w:rsid w:val="65C6799D"/>
    <w:rsid w:val="65CC0253"/>
    <w:rsid w:val="66171FA7"/>
    <w:rsid w:val="664762A1"/>
    <w:rsid w:val="66566780"/>
    <w:rsid w:val="66591008"/>
    <w:rsid w:val="665C7632"/>
    <w:rsid w:val="667217DA"/>
    <w:rsid w:val="66910EE1"/>
    <w:rsid w:val="66BA2BC2"/>
    <w:rsid w:val="671E7365"/>
    <w:rsid w:val="674A40AB"/>
    <w:rsid w:val="675668ED"/>
    <w:rsid w:val="67784CC7"/>
    <w:rsid w:val="67BF433B"/>
    <w:rsid w:val="67C972D1"/>
    <w:rsid w:val="67E37916"/>
    <w:rsid w:val="67E46AF1"/>
    <w:rsid w:val="6809591F"/>
    <w:rsid w:val="680D70D7"/>
    <w:rsid w:val="683A3D2B"/>
    <w:rsid w:val="68757459"/>
    <w:rsid w:val="68782034"/>
    <w:rsid w:val="687B5FA0"/>
    <w:rsid w:val="68820ED6"/>
    <w:rsid w:val="6884144A"/>
    <w:rsid w:val="68C11E75"/>
    <w:rsid w:val="68E7090B"/>
    <w:rsid w:val="68F24605"/>
    <w:rsid w:val="69076303"/>
    <w:rsid w:val="69174FB5"/>
    <w:rsid w:val="692F7608"/>
    <w:rsid w:val="69545442"/>
    <w:rsid w:val="699C67E2"/>
    <w:rsid w:val="69D34437"/>
    <w:rsid w:val="69D514B6"/>
    <w:rsid w:val="69E119FE"/>
    <w:rsid w:val="69EB3B79"/>
    <w:rsid w:val="6A006484"/>
    <w:rsid w:val="6A022F6E"/>
    <w:rsid w:val="6A3A6264"/>
    <w:rsid w:val="6A7A0D56"/>
    <w:rsid w:val="6A8D1BE6"/>
    <w:rsid w:val="6A9373DA"/>
    <w:rsid w:val="6AA656A7"/>
    <w:rsid w:val="6AA87B5B"/>
    <w:rsid w:val="6AAE27AE"/>
    <w:rsid w:val="6ACB3360"/>
    <w:rsid w:val="6ACB7804"/>
    <w:rsid w:val="6B0E58F8"/>
    <w:rsid w:val="6B281E2F"/>
    <w:rsid w:val="6B2A62D8"/>
    <w:rsid w:val="6B58791B"/>
    <w:rsid w:val="6B734BFF"/>
    <w:rsid w:val="6B792DBC"/>
    <w:rsid w:val="6B7A3866"/>
    <w:rsid w:val="6B7B5DD9"/>
    <w:rsid w:val="6BB23B13"/>
    <w:rsid w:val="6BC04E8F"/>
    <w:rsid w:val="6BE84077"/>
    <w:rsid w:val="6BEE7306"/>
    <w:rsid w:val="6C202F44"/>
    <w:rsid w:val="6CBA5193"/>
    <w:rsid w:val="6CDB4851"/>
    <w:rsid w:val="6CEF1588"/>
    <w:rsid w:val="6CFC7A9E"/>
    <w:rsid w:val="6D201310"/>
    <w:rsid w:val="6D286848"/>
    <w:rsid w:val="6D2D20B0"/>
    <w:rsid w:val="6D45389E"/>
    <w:rsid w:val="6D5C2694"/>
    <w:rsid w:val="6D5E4A16"/>
    <w:rsid w:val="6D633D24"/>
    <w:rsid w:val="6D6F091A"/>
    <w:rsid w:val="6DD42C17"/>
    <w:rsid w:val="6DF130DE"/>
    <w:rsid w:val="6E164774"/>
    <w:rsid w:val="6E1F7D5F"/>
    <w:rsid w:val="6E5666E4"/>
    <w:rsid w:val="6E62222D"/>
    <w:rsid w:val="6E7965D0"/>
    <w:rsid w:val="6E8977BA"/>
    <w:rsid w:val="6EAE0FCF"/>
    <w:rsid w:val="6EC4452A"/>
    <w:rsid w:val="6EC9320D"/>
    <w:rsid w:val="6ED80D6D"/>
    <w:rsid w:val="6ED91ED1"/>
    <w:rsid w:val="6EF74724"/>
    <w:rsid w:val="6F3465D4"/>
    <w:rsid w:val="6F5F10A7"/>
    <w:rsid w:val="6F676490"/>
    <w:rsid w:val="6F7C10CD"/>
    <w:rsid w:val="6F857F81"/>
    <w:rsid w:val="6F916A65"/>
    <w:rsid w:val="6F9F151C"/>
    <w:rsid w:val="6FB277EB"/>
    <w:rsid w:val="6FC37B4C"/>
    <w:rsid w:val="700C06A3"/>
    <w:rsid w:val="702941FD"/>
    <w:rsid w:val="702A22EE"/>
    <w:rsid w:val="70532E5D"/>
    <w:rsid w:val="70636AF5"/>
    <w:rsid w:val="706859A2"/>
    <w:rsid w:val="706F1447"/>
    <w:rsid w:val="707906C7"/>
    <w:rsid w:val="708055A9"/>
    <w:rsid w:val="7088613C"/>
    <w:rsid w:val="708D33F6"/>
    <w:rsid w:val="714D223A"/>
    <w:rsid w:val="71D92806"/>
    <w:rsid w:val="724C2FD8"/>
    <w:rsid w:val="728A58AF"/>
    <w:rsid w:val="729F135A"/>
    <w:rsid w:val="72D22AA1"/>
    <w:rsid w:val="72D579E3"/>
    <w:rsid w:val="72E651DB"/>
    <w:rsid w:val="72EE408F"/>
    <w:rsid w:val="72F86CBC"/>
    <w:rsid w:val="73092C77"/>
    <w:rsid w:val="7329276F"/>
    <w:rsid w:val="733B05A6"/>
    <w:rsid w:val="734737A0"/>
    <w:rsid w:val="73492F89"/>
    <w:rsid w:val="73A11102"/>
    <w:rsid w:val="73F60210"/>
    <w:rsid w:val="74266539"/>
    <w:rsid w:val="746E36DA"/>
    <w:rsid w:val="74B031AD"/>
    <w:rsid w:val="74B6388F"/>
    <w:rsid w:val="74CE4179"/>
    <w:rsid w:val="74D52B6F"/>
    <w:rsid w:val="74FC2405"/>
    <w:rsid w:val="75812F0D"/>
    <w:rsid w:val="758E2517"/>
    <w:rsid w:val="75B16FA1"/>
    <w:rsid w:val="75CB06B8"/>
    <w:rsid w:val="75CB690A"/>
    <w:rsid w:val="75E1732A"/>
    <w:rsid w:val="7603347B"/>
    <w:rsid w:val="760D6DDC"/>
    <w:rsid w:val="76147566"/>
    <w:rsid w:val="7679608D"/>
    <w:rsid w:val="76B31AD3"/>
    <w:rsid w:val="76D22E4C"/>
    <w:rsid w:val="76D96E05"/>
    <w:rsid w:val="76DA7887"/>
    <w:rsid w:val="77291523"/>
    <w:rsid w:val="772937FE"/>
    <w:rsid w:val="77400489"/>
    <w:rsid w:val="77784870"/>
    <w:rsid w:val="777D1E86"/>
    <w:rsid w:val="77843214"/>
    <w:rsid w:val="77894387"/>
    <w:rsid w:val="77A80CB1"/>
    <w:rsid w:val="77D26013"/>
    <w:rsid w:val="77F9150C"/>
    <w:rsid w:val="78212811"/>
    <w:rsid w:val="78734760"/>
    <w:rsid w:val="789B6A68"/>
    <w:rsid w:val="78DB3308"/>
    <w:rsid w:val="78F07D11"/>
    <w:rsid w:val="7931117A"/>
    <w:rsid w:val="79343A59"/>
    <w:rsid w:val="7940316B"/>
    <w:rsid w:val="794745F4"/>
    <w:rsid w:val="79604D22"/>
    <w:rsid w:val="79832B7B"/>
    <w:rsid w:val="7989351C"/>
    <w:rsid w:val="79915091"/>
    <w:rsid w:val="799B26EC"/>
    <w:rsid w:val="7A132AE8"/>
    <w:rsid w:val="7A2B7977"/>
    <w:rsid w:val="7A35180C"/>
    <w:rsid w:val="7A92282C"/>
    <w:rsid w:val="7A96092A"/>
    <w:rsid w:val="7ACD712C"/>
    <w:rsid w:val="7B24133B"/>
    <w:rsid w:val="7B6E3FBF"/>
    <w:rsid w:val="7B9D48A5"/>
    <w:rsid w:val="7BC576C6"/>
    <w:rsid w:val="7BCC6F38"/>
    <w:rsid w:val="7BF02C26"/>
    <w:rsid w:val="7BF24BEF"/>
    <w:rsid w:val="7C0340C2"/>
    <w:rsid w:val="7C0B6CB7"/>
    <w:rsid w:val="7C122B9D"/>
    <w:rsid w:val="7C885555"/>
    <w:rsid w:val="7C9F3684"/>
    <w:rsid w:val="7CA801B8"/>
    <w:rsid w:val="7CCF4F32"/>
    <w:rsid w:val="7CD866E7"/>
    <w:rsid w:val="7D16178D"/>
    <w:rsid w:val="7D1F5429"/>
    <w:rsid w:val="7DC45624"/>
    <w:rsid w:val="7DD277C6"/>
    <w:rsid w:val="7DD86068"/>
    <w:rsid w:val="7DD96312"/>
    <w:rsid w:val="7E235535"/>
    <w:rsid w:val="7E494870"/>
    <w:rsid w:val="7E4B05E8"/>
    <w:rsid w:val="7E4D4360"/>
    <w:rsid w:val="7EC02D84"/>
    <w:rsid w:val="7EF2547B"/>
    <w:rsid w:val="7EFC3D40"/>
    <w:rsid w:val="7EFD1A58"/>
    <w:rsid w:val="7F0864D9"/>
    <w:rsid w:val="7F7E49ED"/>
    <w:rsid w:val="7F806259"/>
    <w:rsid w:val="7F8F581D"/>
    <w:rsid w:val="7FAE487B"/>
    <w:rsid w:val="7FB65F35"/>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autoRedefine/>
    <w:semiHidden/>
    <w:unhideWhenUsed/>
    <w:qFormat/>
    <w:uiPriority w:val="99"/>
  </w:style>
  <w:style w:type="character" w:styleId="64">
    <w:name w:val="HTML Typewriter"/>
    <w:basedOn w:val="58"/>
    <w:autoRedefine/>
    <w:semiHidden/>
    <w:unhideWhenUsed/>
    <w:qFormat/>
    <w:uiPriority w:val="99"/>
    <w:rPr>
      <w:rFonts w:hint="default" w:ascii="monospace" w:hAnsi="monospace" w:eastAsia="monospace" w:cs="monospace"/>
      <w:sz w:val="20"/>
    </w:rPr>
  </w:style>
  <w:style w:type="character" w:styleId="65">
    <w:name w:val="HTML Acronym"/>
    <w:basedOn w:val="58"/>
    <w:autoRedefine/>
    <w:semiHidden/>
    <w:unhideWhenUsed/>
    <w:qFormat/>
    <w:uiPriority w:val="99"/>
  </w:style>
  <w:style w:type="character" w:styleId="66">
    <w:name w:val="HTML Variable"/>
    <w:basedOn w:val="58"/>
    <w:autoRedefine/>
    <w:semiHidden/>
    <w:unhideWhenUsed/>
    <w:qFormat/>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autoRedefine/>
    <w:semiHidden/>
    <w:unhideWhenUsed/>
    <w:qFormat/>
    <w:uiPriority w:val="99"/>
    <w:rPr>
      <w:rFonts w:ascii="monospace" w:hAnsi="monospace" w:eastAsia="monospace" w:cs="monospace"/>
      <w:vanish/>
      <w:sz w:val="20"/>
    </w:rPr>
  </w:style>
  <w:style w:type="character" w:styleId="69">
    <w:name w:val="annotation reference"/>
    <w:basedOn w:val="58"/>
    <w:autoRedefine/>
    <w:unhideWhenUsed/>
    <w:qFormat/>
    <w:uiPriority w:val="0"/>
    <w:rPr>
      <w:sz w:val="21"/>
      <w:szCs w:val="21"/>
    </w:rPr>
  </w:style>
  <w:style w:type="character" w:styleId="70">
    <w:name w:val="HTML Cite"/>
    <w:basedOn w:val="58"/>
    <w:autoRedefine/>
    <w:semiHidden/>
    <w:unhideWhenUsed/>
    <w:qFormat/>
    <w:uiPriority w:val="99"/>
    <w:rPr>
      <w:vanish/>
    </w:rPr>
  </w:style>
  <w:style w:type="character" w:styleId="71">
    <w:name w:val="footnote reference"/>
    <w:autoRedefine/>
    <w:unhideWhenUsed/>
    <w:qFormat/>
    <w:uiPriority w:val="0"/>
    <w:rPr>
      <w:vertAlign w:val="superscript"/>
    </w:rPr>
  </w:style>
  <w:style w:type="character" w:styleId="72">
    <w:name w:val="HTML Keyboard"/>
    <w:basedOn w:val="58"/>
    <w:autoRedefine/>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仿宋_GB2312" w:hAnsi="@仿宋_GB2312" w:eastAsia="@仿宋_GB2312" w:cs="@仿宋_GB2312"/>
      <w:b/>
      <w:bCs/>
      <w:sz w:val="32"/>
      <w:szCs w:val="32"/>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1"/>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8"/>
    <w:link w:val="40"/>
    <w:qFormat/>
    <w:uiPriority w:val="0"/>
    <w:rPr>
      <w:rFonts w:ascii="Arial" w:hAnsi="Arial" w:cs="Times New Roman"/>
      <w:b/>
      <w:bCs/>
      <w:kern w:val="28"/>
      <w:sz w:val="32"/>
      <w:szCs w:val="32"/>
      <w:lang w:val="zh-CN" w:eastAsia="zh-CN"/>
    </w:rPr>
  </w:style>
  <w:style w:type="character" w:customStyle="1" w:styleId="230">
    <w:name w:val="Char Char"/>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qFormat/>
    <w:uiPriority w:val="0"/>
    <w:rPr>
      <w:rFonts w:ascii="Arial" w:hAnsi="Arial"/>
      <w:b/>
      <w:bCs/>
      <w:sz w:val="24"/>
      <w:szCs w:val="32"/>
    </w:rPr>
  </w:style>
  <w:style w:type="paragraph" w:customStyle="1" w:styleId="232">
    <w:name w:val="标题4"/>
    <w:basedOn w:val="3"/>
    <w:next w:val="25"/>
    <w:link w:val="231"/>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qFormat/>
    <w:uiPriority w:val="0"/>
    <w:rPr>
      <w:b/>
      <w:bCs/>
      <w:i/>
      <w:iCs/>
      <w:color w:val="4F81BD"/>
    </w:rPr>
  </w:style>
  <w:style w:type="paragraph" w:styleId="234">
    <w:name w:val="Intense Quote"/>
    <w:basedOn w:val="1"/>
    <w:next w:val="1"/>
    <w:link w:val="233"/>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qFormat/>
    <w:uiPriority w:val="0"/>
    <w:pPr>
      <w:spacing w:line="413" w:lineRule="auto"/>
      <w:jc w:val="left"/>
    </w:pPr>
    <w:rPr>
      <w:rFonts w:ascii="Arial" w:hAnsi="Arial"/>
      <w:sz w:val="24"/>
    </w:rPr>
  </w:style>
  <w:style w:type="character" w:customStyle="1" w:styleId="239">
    <w:name w:val="引用 Char"/>
    <w:link w:val="240"/>
    <w:qFormat/>
    <w:uiPriority w:val="0"/>
    <w:rPr>
      <w:i/>
      <w:iCs/>
      <w:color w:val="000000"/>
    </w:rPr>
  </w:style>
  <w:style w:type="paragraph" w:styleId="240">
    <w:name w:val="Quote"/>
    <w:basedOn w:val="1"/>
    <w:next w:val="1"/>
    <w:link w:val="239"/>
    <w:qFormat/>
    <w:uiPriority w:val="0"/>
    <w:rPr>
      <w:i/>
      <w:iCs/>
      <w:color w:val="000000"/>
    </w:rPr>
  </w:style>
  <w:style w:type="paragraph" w:customStyle="1" w:styleId="241">
    <w:name w:val="引用1"/>
    <w:basedOn w:val="1"/>
    <w:next w:val="1"/>
    <w:qFormat/>
    <w:uiPriority w:val="0"/>
    <w:rPr>
      <w:rFonts w:ascii="Calibri" w:hAnsi="Calibri" w:cs="Times New Roman"/>
      <w:i/>
      <w:iCs/>
      <w:color w:val="000000"/>
      <w:kern w:val="2"/>
      <w:sz w:val="21"/>
      <w:szCs w:val="22"/>
    </w:rPr>
  </w:style>
  <w:style w:type="character" w:customStyle="1" w:styleId="242">
    <w:name w:val="引用 Char1"/>
    <w:basedOn w:val="58"/>
    <w:qFormat/>
    <w:uiPriority w:val="29"/>
    <w:rPr>
      <w:rFonts w:ascii="Times New Roman" w:hAnsi="Times New Roman" w:eastAsia="宋体" w:cs="Times New Roman"/>
      <w:i/>
      <w:iCs/>
      <w:color w:val="404040"/>
      <w:szCs w:val="24"/>
    </w:rPr>
  </w:style>
  <w:style w:type="character" w:customStyle="1" w:styleId="243">
    <w:name w:val="ask-title2"/>
    <w:qFormat/>
    <w:uiPriority w:val="0"/>
  </w:style>
  <w:style w:type="character" w:customStyle="1" w:styleId="244">
    <w:name w:val="正文文本 Char1"/>
    <w:qFormat/>
    <w:uiPriority w:val="0"/>
    <w:rPr>
      <w:kern w:val="2"/>
      <w:sz w:val="21"/>
      <w:szCs w:val="22"/>
    </w:rPr>
  </w:style>
  <w:style w:type="character" w:customStyle="1" w:styleId="245">
    <w:name w:val="不明显强调1"/>
    <w:qFormat/>
    <w:uiPriority w:val="0"/>
    <w:rPr>
      <w:i/>
      <w:iCs/>
      <w:color w:val="808080"/>
    </w:rPr>
  </w:style>
  <w:style w:type="character" w:customStyle="1" w:styleId="246">
    <w:name w:val="明显参考1"/>
    <w:qFormat/>
    <w:uiPriority w:val="0"/>
    <w:rPr>
      <w:b/>
      <w:bCs/>
      <w:smallCaps/>
      <w:color w:val="C0504D"/>
      <w:spacing w:val="5"/>
      <w:u w:val="single"/>
    </w:rPr>
  </w:style>
  <w:style w:type="character" w:customStyle="1" w:styleId="247">
    <w:name w:val="书籍标题1"/>
    <w:qFormat/>
    <w:uiPriority w:val="0"/>
    <w:rPr>
      <w:b/>
      <w:bCs/>
      <w:smallCaps/>
      <w:spacing w:val="5"/>
    </w:rPr>
  </w:style>
  <w:style w:type="character" w:customStyle="1" w:styleId="248">
    <w:name w:val="日期 Char1"/>
    <w:qFormat/>
    <w:uiPriority w:val="0"/>
    <w:rPr>
      <w:kern w:val="2"/>
      <w:sz w:val="21"/>
      <w:szCs w:val="22"/>
    </w:rPr>
  </w:style>
  <w:style w:type="character" w:customStyle="1" w:styleId="249">
    <w:name w:val="明显强调1"/>
    <w:qFormat/>
    <w:uiPriority w:val="0"/>
    <w:rPr>
      <w:b/>
      <w:bCs/>
      <w:i/>
      <w:iCs/>
      <w:color w:val="4F81BD"/>
    </w:rPr>
  </w:style>
  <w:style w:type="character" w:customStyle="1" w:styleId="250">
    <w:name w:val="textcontents"/>
    <w:qFormat/>
    <w:uiPriority w:val="0"/>
    <w:rPr>
      <w:rFonts w:cs="Times New Roman"/>
    </w:rPr>
  </w:style>
  <w:style w:type="character" w:customStyle="1" w:styleId="251">
    <w:name w:val="不明显参考1"/>
    <w:qFormat/>
    <w:uiPriority w:val="0"/>
    <w:rPr>
      <w:smallCaps/>
      <w:color w:val="C0504D"/>
      <w:u w:val="single"/>
    </w:rPr>
  </w:style>
  <w:style w:type="character" w:customStyle="1" w:styleId="252">
    <w:name w:val="批注文字 Char Char"/>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qFormat/>
    <w:uiPriority w:val="0"/>
    <w:rPr>
      <w:rFonts w:ascii="Times New Roman" w:hAnsi="Times New Roman" w:eastAsia="宋体" w:cs="Times New Roman"/>
      <w:kern w:val="2"/>
      <w:sz w:val="21"/>
      <w:szCs w:val="24"/>
      <w:lang w:val="en-US" w:eastAsia="zh-CN" w:bidi="ar-SA"/>
    </w:rPr>
  </w:style>
  <w:style w:type="character" w:customStyle="1" w:styleId="255">
    <w:name w:val="页脚 Char1"/>
    <w:semiHidden/>
    <w:qFormat/>
    <w:uiPriority w:val="99"/>
    <w:rPr>
      <w:kern w:val="2"/>
      <w:sz w:val="18"/>
      <w:szCs w:val="18"/>
    </w:rPr>
  </w:style>
  <w:style w:type="character" w:customStyle="1" w:styleId="256">
    <w:name w:val="批注框文本 Char2"/>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qFormat/>
    <w:uiPriority w:val="10"/>
    <w:rPr>
      <w:rFonts w:ascii="Cambria" w:hAnsi="Cambria" w:cs="Times New Roman"/>
      <w:b/>
      <w:bCs/>
      <w:kern w:val="2"/>
      <w:sz w:val="32"/>
      <w:szCs w:val="32"/>
    </w:rPr>
  </w:style>
  <w:style w:type="character" w:customStyle="1" w:styleId="263">
    <w:name w:val="副标题 Char1"/>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66</Pages>
  <Words>2301</Words>
  <Characters>2611</Characters>
  <Lines>395</Lines>
  <Paragraphs>111</Paragraphs>
  <TotalTime>83</TotalTime>
  <ScaleCrop>false</ScaleCrop>
  <LinksUpToDate>false</LinksUpToDate>
  <CharactersWithSpaces>2703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杨成志</cp:lastModifiedBy>
  <cp:lastPrinted>2023-05-22T01:21:00Z</cp:lastPrinted>
  <dcterms:modified xsi:type="dcterms:W3CDTF">2025-03-03T04:16:00Z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2F23E421237A4FE6BC9CBE66224C2B35_13</vt:lpwstr>
  </property>
  <property fmtid="{D5CDD505-2E9C-101B-9397-08002B2CF9AE}" pid="4" name="KSOTemplateDocerSaveRecord">
    <vt:lpwstr>eyJoZGlkIjoiNzMzNTdkM2ExZjVjNDQzOGUyZmZhMDgxODVjODdiNmIiLCJ1c2VySWQiOiI1NDQ2MjE3OTcifQ==</vt:lpwstr>
  </property>
</Properties>
</file>