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54" w:rightChars="127"/>
        <w:jc w:val="center"/>
        <w:rPr>
          <w:b/>
          <w:bCs/>
          <w:sz w:val="52"/>
          <w:szCs w:val="52"/>
          <w:vertAlign w:val="superscript"/>
        </w:rPr>
      </w:pPr>
    </w:p>
    <w:p>
      <w:pPr>
        <w:tabs>
          <w:tab w:val="left" w:pos="315"/>
          <w:tab w:val="left" w:pos="8820"/>
        </w:tabs>
        <w:spacing w:beforeLines="100" w:afterLines="50" w:line="500" w:lineRule="exact"/>
        <w:ind w:right="254" w:rightChars="127"/>
        <w:jc w:val="center"/>
        <w:rPr>
          <w:b/>
          <w:bCs/>
          <w:sz w:val="52"/>
          <w:szCs w:val="52"/>
        </w:rPr>
      </w:pPr>
      <w:bookmarkStart w:id="0" w:name="_Hlk9544796"/>
      <w:r>
        <w:rPr>
          <w:rFonts w:hint="eastAsia"/>
          <w:b/>
          <w:bCs/>
          <w:sz w:val="52"/>
          <w:szCs w:val="52"/>
        </w:rPr>
        <w:t>竞争性谈判文件</w:t>
      </w:r>
    </w:p>
    <w:p>
      <w:pPr>
        <w:pStyle w:val="4"/>
      </w:pPr>
      <w:r>
        <w:rPr>
          <w:rFonts w:hint="eastAsia"/>
        </w:rPr>
        <w:drawing>
          <wp:anchor distT="0" distB="0" distL="114300" distR="114300" simplePos="0" relativeHeight="251660288"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bookmarkEnd w:id="0"/>
    <w:p>
      <w:pPr>
        <w:tabs>
          <w:tab w:val="left" w:pos="315"/>
          <w:tab w:val="left" w:pos="8820"/>
        </w:tabs>
        <w:spacing w:beforeLines="100" w:afterLines="50" w:line="500" w:lineRule="exact"/>
        <w:ind w:right="254" w:rightChars="127"/>
        <w:jc w:val="center"/>
        <w:rPr>
          <w:bCs/>
          <w:sz w:val="44"/>
          <w:szCs w:val="44"/>
        </w:rPr>
      </w:pPr>
    </w:p>
    <w:p>
      <w:pPr>
        <w:tabs>
          <w:tab w:val="left" w:pos="315"/>
          <w:tab w:val="left" w:pos="8820"/>
        </w:tabs>
        <w:spacing w:beforeLines="100" w:afterLines="50" w:line="500" w:lineRule="exact"/>
        <w:ind w:right="254" w:rightChars="127"/>
        <w:jc w:val="center"/>
        <w:rPr>
          <w:b/>
          <w:bCs/>
          <w:sz w:val="44"/>
          <w:szCs w:val="44"/>
        </w:rPr>
      </w:pPr>
    </w:p>
    <w:p>
      <w:pPr>
        <w:tabs>
          <w:tab w:val="left" w:pos="315"/>
          <w:tab w:val="left" w:pos="8820"/>
        </w:tabs>
        <w:spacing w:beforeLines="100" w:afterLines="50" w:line="500" w:lineRule="exact"/>
        <w:ind w:right="254" w:rightChars="127"/>
        <w:jc w:val="center"/>
        <w:rPr>
          <w:b/>
          <w:bCs/>
          <w:sz w:val="44"/>
          <w:szCs w:val="44"/>
        </w:rPr>
      </w:pPr>
    </w:p>
    <w:p>
      <w:pPr>
        <w:tabs>
          <w:tab w:val="left" w:pos="315"/>
          <w:tab w:val="left" w:pos="8820"/>
        </w:tabs>
        <w:spacing w:beforeLines="100" w:afterLines="50" w:line="500" w:lineRule="exact"/>
        <w:ind w:right="254" w:rightChars="127"/>
        <w:jc w:val="center"/>
        <w:rPr>
          <w:b/>
          <w:bCs/>
          <w:sz w:val="44"/>
          <w:szCs w:val="44"/>
        </w:rPr>
      </w:pPr>
    </w:p>
    <w:p>
      <w:pPr>
        <w:tabs>
          <w:tab w:val="left" w:pos="315"/>
          <w:tab w:val="left" w:pos="8820"/>
        </w:tabs>
        <w:spacing w:beforeLines="100" w:afterLines="50" w:line="500" w:lineRule="exact"/>
        <w:ind w:right="254" w:rightChars="127"/>
        <w:jc w:val="center"/>
        <w:rPr>
          <w:b/>
          <w:bCs/>
          <w:sz w:val="44"/>
          <w:szCs w:val="44"/>
        </w:rPr>
      </w:pPr>
    </w:p>
    <w:p>
      <w:pPr>
        <w:tabs>
          <w:tab w:val="left" w:pos="315"/>
          <w:tab w:val="left" w:pos="8820"/>
        </w:tabs>
        <w:spacing w:beforeLines="100" w:afterLines="50" w:line="500" w:lineRule="exact"/>
        <w:ind w:right="254" w:rightChars="127"/>
        <w:jc w:val="center"/>
        <w:rPr>
          <w:b/>
          <w:bCs/>
          <w:sz w:val="44"/>
          <w:szCs w:val="44"/>
        </w:rPr>
      </w:pPr>
    </w:p>
    <w:p>
      <w:pPr>
        <w:tabs>
          <w:tab w:val="left" w:pos="315"/>
          <w:tab w:val="left" w:pos="8820"/>
        </w:tabs>
        <w:spacing w:beforeLines="10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项目名称：</w:t>
      </w:r>
      <w:r>
        <w:rPr>
          <w:rFonts w:hint="eastAsia"/>
          <w:b/>
          <w:spacing w:val="20"/>
          <w:sz w:val="32"/>
          <w:szCs w:val="32"/>
          <w:u w:val="single"/>
        </w:rPr>
        <w:t>百大心悦城商户道具移装项目</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2025HEFQJ00138</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招标 人：</w:t>
      </w:r>
      <w:r>
        <w:rPr>
          <w:rFonts w:hint="eastAsia"/>
          <w:b/>
          <w:spacing w:val="20"/>
          <w:sz w:val="32"/>
          <w:szCs w:val="32"/>
          <w:u w:val="single"/>
        </w:rPr>
        <w:t>合肥百货大楼集团股份有限公司</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代理机构：</w:t>
      </w:r>
      <w:r>
        <w:rPr>
          <w:rFonts w:hint="eastAsia"/>
          <w:b/>
          <w:spacing w:val="20"/>
          <w:sz w:val="32"/>
          <w:szCs w:val="32"/>
          <w:u w:val="single"/>
        </w:rPr>
        <w:t>安徽公共资源交易集团项目管理有限公司</w:t>
      </w:r>
    </w:p>
    <w:p>
      <w:pPr>
        <w:tabs>
          <w:tab w:val="left" w:pos="315"/>
          <w:tab w:val="left" w:pos="8820"/>
        </w:tabs>
        <w:spacing w:beforeLines="10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jc w:val="center"/>
        <w:rPr>
          <w:b/>
          <w:sz w:val="36"/>
        </w:rPr>
      </w:pPr>
    </w:p>
    <w:p>
      <w:pPr>
        <w:tabs>
          <w:tab w:val="left" w:pos="2410"/>
        </w:tabs>
        <w:autoSpaceDE w:val="0"/>
        <w:autoSpaceDN w:val="0"/>
        <w:adjustRightInd w:val="0"/>
        <w:snapToGrid w:val="0"/>
        <w:spacing w:line="360" w:lineRule="auto"/>
        <w:jc w:val="center"/>
        <w:rPr>
          <w:b/>
          <w:sz w:val="36"/>
        </w:rPr>
      </w:pPr>
      <w:r>
        <w:rPr>
          <w:b/>
          <w:sz w:val="36"/>
        </w:rPr>
        <w:br w:type="page"/>
      </w:r>
    </w:p>
    <w:p>
      <w:pPr>
        <w:tabs>
          <w:tab w:val="left" w:pos="2410"/>
        </w:tabs>
        <w:autoSpaceDE w:val="0"/>
        <w:autoSpaceDN w:val="0"/>
        <w:adjustRightInd w:val="0"/>
        <w:snapToGrid w:val="0"/>
        <w:spacing w:line="360" w:lineRule="auto"/>
        <w:jc w:val="center"/>
        <w:rPr>
          <w:b/>
          <w:sz w:val="28"/>
        </w:rPr>
      </w:pPr>
      <w:r>
        <w:rPr>
          <w:rFonts w:hint="eastAsia"/>
          <w:b/>
          <w:sz w:val="28"/>
        </w:rPr>
        <w:t>目  录</w:t>
      </w:r>
    </w:p>
    <w:p>
      <w:pPr>
        <w:tabs>
          <w:tab w:val="left" w:pos="2410"/>
        </w:tabs>
        <w:autoSpaceDE w:val="0"/>
        <w:autoSpaceDN w:val="0"/>
        <w:adjustRightInd w:val="0"/>
        <w:snapToGrid w:val="0"/>
        <w:spacing w:line="360" w:lineRule="auto"/>
        <w:jc w:val="center"/>
        <w:rPr>
          <w:b/>
          <w:sz w:val="28"/>
        </w:rPr>
      </w:pPr>
    </w:p>
    <w:p>
      <w:pPr>
        <w:pStyle w:val="35"/>
        <w:tabs>
          <w:tab w:val="right" w:leader="dot" w:pos="8869"/>
        </w:tabs>
      </w:pPr>
      <w:r>
        <w:rPr>
          <w:rFonts w:asciiTheme="minorEastAsia" w:hAnsiTheme="minorEastAsia"/>
          <w:b/>
          <w:sz w:val="24"/>
          <w:szCs w:val="24"/>
        </w:rPr>
        <w:fldChar w:fldCharType="begin"/>
      </w:r>
      <w:r>
        <w:rPr>
          <w:rFonts w:hint="eastAsia" w:asciiTheme="minorEastAsia" w:hAnsiTheme="minorEastAsia"/>
          <w:b/>
          <w:sz w:val="24"/>
          <w:szCs w:val="24"/>
        </w:rPr>
        <w:instrText xml:space="preserve">TOC \o "1-2" \h \z \u</w:instrText>
      </w:r>
      <w:r>
        <w:rPr>
          <w:rFonts w:asciiTheme="minorEastAsia" w:hAnsiTheme="minorEastAsia"/>
          <w:b/>
          <w:sz w:val="24"/>
          <w:szCs w:val="24"/>
        </w:rPr>
        <w:fldChar w:fldCharType="separate"/>
      </w:r>
      <w:r>
        <w:fldChar w:fldCharType="begin"/>
      </w:r>
      <w:r>
        <w:instrText xml:space="preserve"> HYPERLINK \l "_Toc23542" </w:instrText>
      </w:r>
      <w:r>
        <w:fldChar w:fldCharType="separate"/>
      </w:r>
      <w:r>
        <w:rPr>
          <w:rFonts w:hint="eastAsia" w:asciiTheme="minorEastAsia" w:hAnsiTheme="minorEastAsia"/>
        </w:rPr>
        <w:t>第一章 谈判公告</w:t>
      </w:r>
      <w:r>
        <w:tab/>
      </w:r>
      <w:r>
        <w:fldChar w:fldCharType="begin"/>
      </w:r>
      <w:r>
        <w:instrText xml:space="preserve"> PAGEREF _Toc23542 \h </w:instrText>
      </w:r>
      <w:r>
        <w:fldChar w:fldCharType="separate"/>
      </w:r>
      <w:r>
        <w:t>1</w:t>
      </w:r>
      <w:r>
        <w:fldChar w:fldCharType="end"/>
      </w:r>
      <w:r>
        <w:fldChar w:fldCharType="end"/>
      </w:r>
    </w:p>
    <w:p>
      <w:pPr>
        <w:pStyle w:val="35"/>
        <w:tabs>
          <w:tab w:val="right" w:leader="dot" w:pos="8869"/>
        </w:tabs>
      </w:pPr>
      <w:r>
        <w:fldChar w:fldCharType="begin"/>
      </w:r>
      <w:r>
        <w:instrText xml:space="preserve"> HYPERLINK \l "_Toc20598" </w:instrText>
      </w:r>
      <w:r>
        <w:fldChar w:fldCharType="separate"/>
      </w:r>
      <w:r>
        <w:rPr>
          <w:rFonts w:hint="eastAsia" w:asciiTheme="minorEastAsia" w:hAnsiTheme="minorEastAsia"/>
        </w:rPr>
        <w:t>第二章投标人</w:t>
      </w:r>
      <w:r>
        <w:rPr>
          <w:rFonts w:asciiTheme="minorEastAsia" w:hAnsiTheme="minorEastAsia"/>
        </w:rPr>
        <w:t>须知</w:t>
      </w:r>
      <w:r>
        <w:tab/>
      </w:r>
      <w:r>
        <w:fldChar w:fldCharType="begin"/>
      </w:r>
      <w:r>
        <w:instrText xml:space="preserve"> PAGEREF _Toc20598 \h </w:instrText>
      </w:r>
      <w:r>
        <w:fldChar w:fldCharType="separate"/>
      </w:r>
      <w:r>
        <w:t>4</w:t>
      </w:r>
      <w:r>
        <w:fldChar w:fldCharType="end"/>
      </w:r>
      <w:r>
        <w:fldChar w:fldCharType="end"/>
      </w:r>
    </w:p>
    <w:p>
      <w:pPr>
        <w:pStyle w:val="45"/>
        <w:tabs>
          <w:tab w:val="right" w:leader="dot" w:pos="8869"/>
        </w:tabs>
        <w:ind w:left="0"/>
      </w:pPr>
      <w:r>
        <w:fldChar w:fldCharType="begin"/>
      </w:r>
      <w:r>
        <w:instrText xml:space="preserve"> HYPERLINK \l "_Toc16843" </w:instrText>
      </w:r>
      <w:r>
        <w:fldChar w:fldCharType="separate"/>
      </w:r>
      <w:r>
        <w:rPr>
          <w:rFonts w:hint="eastAsia"/>
        </w:rPr>
        <w:t>第三章 招标人要求</w:t>
      </w:r>
      <w:r>
        <w:tab/>
      </w:r>
      <w:r>
        <w:fldChar w:fldCharType="begin"/>
      </w:r>
      <w:r>
        <w:instrText xml:space="preserve"> PAGEREF _Toc16843 \h </w:instrText>
      </w:r>
      <w:r>
        <w:fldChar w:fldCharType="separate"/>
      </w:r>
      <w:r>
        <w:t>20</w:t>
      </w:r>
      <w:r>
        <w:fldChar w:fldCharType="end"/>
      </w:r>
      <w:r>
        <w:fldChar w:fldCharType="end"/>
      </w:r>
    </w:p>
    <w:p>
      <w:pPr>
        <w:pStyle w:val="35"/>
        <w:tabs>
          <w:tab w:val="right" w:leader="dot" w:pos="8869"/>
        </w:tabs>
      </w:pPr>
      <w:r>
        <w:fldChar w:fldCharType="begin"/>
      </w:r>
      <w:r>
        <w:instrText xml:space="preserve"> HYPERLINK \l "_Toc24793" </w:instrText>
      </w:r>
      <w:r>
        <w:fldChar w:fldCharType="separate"/>
      </w:r>
      <w:r>
        <w:rPr>
          <w:rFonts w:hint="eastAsia" w:asciiTheme="minorEastAsia" w:hAnsiTheme="minorEastAsia"/>
        </w:rPr>
        <w:t>第四章  评审方法和标准</w:t>
      </w:r>
      <w:r>
        <w:tab/>
      </w:r>
      <w:r>
        <w:fldChar w:fldCharType="begin"/>
      </w:r>
      <w:r>
        <w:instrText xml:space="preserve"> PAGEREF _Toc24793 \h </w:instrText>
      </w:r>
      <w:r>
        <w:fldChar w:fldCharType="separate"/>
      </w:r>
      <w:r>
        <w:t>22</w:t>
      </w:r>
      <w:r>
        <w:fldChar w:fldCharType="end"/>
      </w:r>
      <w:r>
        <w:fldChar w:fldCharType="end"/>
      </w:r>
    </w:p>
    <w:p>
      <w:pPr>
        <w:pStyle w:val="45"/>
        <w:tabs>
          <w:tab w:val="right" w:leader="dot" w:pos="8869"/>
        </w:tabs>
        <w:ind w:left="0"/>
      </w:pPr>
      <w:r>
        <w:fldChar w:fldCharType="begin"/>
      </w:r>
      <w:r>
        <w:instrText xml:space="preserve"> HYPERLINK \l "_Toc6858" </w:instrText>
      </w:r>
      <w:r>
        <w:fldChar w:fldCharType="separate"/>
      </w:r>
      <w:r>
        <w:rPr>
          <w:rFonts w:hint="eastAsia" w:ascii="Times New Roman" w:hAnsi="Times New Roman"/>
        </w:rPr>
        <w:t xml:space="preserve">第五章 </w:t>
      </w:r>
      <w:r>
        <w:rPr>
          <w:rFonts w:ascii="Times New Roman" w:hAnsi="Times New Roman" w:eastAsia="宋体"/>
        </w:rPr>
        <w:t>合同</w:t>
      </w:r>
      <w:r>
        <w:tab/>
      </w:r>
      <w:r>
        <w:fldChar w:fldCharType="begin"/>
      </w:r>
      <w:r>
        <w:instrText xml:space="preserve"> PAGEREF _Toc6858 \h </w:instrText>
      </w:r>
      <w:r>
        <w:fldChar w:fldCharType="separate"/>
      </w:r>
      <w:r>
        <w:t>24</w:t>
      </w:r>
      <w:r>
        <w:fldChar w:fldCharType="end"/>
      </w:r>
      <w:r>
        <w:fldChar w:fldCharType="end"/>
      </w:r>
    </w:p>
    <w:p>
      <w:pPr>
        <w:pStyle w:val="35"/>
        <w:tabs>
          <w:tab w:val="right" w:leader="dot" w:pos="8869"/>
        </w:tabs>
      </w:pPr>
      <w:r>
        <w:fldChar w:fldCharType="begin"/>
      </w:r>
      <w:r>
        <w:instrText xml:space="preserve"> HYPERLINK \l "_Toc25839" </w:instrText>
      </w:r>
      <w:r>
        <w:fldChar w:fldCharType="separate"/>
      </w:r>
      <w:r>
        <w:rPr>
          <w:rFonts w:hint="eastAsia" w:asciiTheme="minorEastAsia" w:hAnsiTheme="minorEastAsia"/>
        </w:rPr>
        <w:t>第六章  投标文件格式</w:t>
      </w:r>
      <w:r>
        <w:tab/>
      </w:r>
      <w:r>
        <w:fldChar w:fldCharType="begin"/>
      </w:r>
      <w:r>
        <w:instrText xml:space="preserve"> PAGEREF _Toc25839 \h </w:instrText>
      </w:r>
      <w:r>
        <w:fldChar w:fldCharType="separate"/>
      </w:r>
      <w:r>
        <w:t>35</w:t>
      </w:r>
      <w:r>
        <w:fldChar w:fldCharType="end"/>
      </w:r>
      <w:r>
        <w:fldChar w:fldCharType="end"/>
      </w:r>
    </w:p>
    <w:p>
      <w:pPr>
        <w:pStyle w:val="45"/>
        <w:tabs>
          <w:tab w:val="right" w:leader="dot" w:pos="8869"/>
        </w:tabs>
        <w:ind w:left="0"/>
      </w:pPr>
      <w:r>
        <w:fldChar w:fldCharType="begin"/>
      </w:r>
      <w:r>
        <w:instrText xml:space="preserve"> HYPERLINK \l "_Toc17245" </w:instrText>
      </w:r>
      <w:r>
        <w:fldChar w:fldCharType="separate"/>
      </w:r>
      <w:r>
        <w:rPr>
          <w:rFonts w:hint="eastAsia" w:asciiTheme="minorEastAsia" w:hAnsiTheme="minorEastAsia"/>
        </w:rPr>
        <w:t>第七章  安徽公共资源交易集团电子交易操作规程</w:t>
      </w:r>
      <w:r>
        <w:tab/>
      </w:r>
      <w:r>
        <w:fldChar w:fldCharType="begin"/>
      </w:r>
      <w:r>
        <w:instrText xml:space="preserve"> PAGEREF _Toc17245 \h </w:instrText>
      </w:r>
      <w:r>
        <w:fldChar w:fldCharType="separate"/>
      </w:r>
      <w:r>
        <w:t>48</w:t>
      </w:r>
      <w:r>
        <w:fldChar w:fldCharType="end"/>
      </w:r>
      <w:r>
        <w:fldChar w:fldCharType="end"/>
      </w:r>
    </w:p>
    <w:p>
      <w:pPr>
        <w:pStyle w:val="45"/>
        <w:tabs>
          <w:tab w:val="right" w:leader="dot" w:pos="8296"/>
        </w:tabs>
        <w:rPr>
          <w:rFonts w:asciiTheme="minorEastAsia" w:hAnsiTheme="minorEastAsia"/>
          <w:b/>
          <w:sz w:val="32"/>
        </w:rPr>
      </w:pPr>
      <w:r>
        <w:rPr>
          <w:rFonts w:asciiTheme="minorEastAsia" w:hAnsiTheme="minorEastAsia"/>
          <w:szCs w:val="24"/>
        </w:rPr>
        <w:fldChar w:fldCharType="end"/>
      </w:r>
    </w:p>
    <w:p>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numPr>
          <w:ilvl w:val="0"/>
          <w:numId w:val="2"/>
        </w:numPr>
        <w:spacing w:line="360" w:lineRule="auto"/>
        <w:jc w:val="center"/>
        <w:outlineLvl w:val="0"/>
        <w:rPr>
          <w:rFonts w:asciiTheme="minorEastAsia" w:hAnsiTheme="minorEastAsia" w:eastAsiaTheme="minorEastAsia"/>
          <w:b/>
          <w:sz w:val="28"/>
        </w:rPr>
      </w:pPr>
      <w:bookmarkStart w:id="1" w:name="_Toc23542"/>
      <w:r>
        <w:rPr>
          <w:rFonts w:hint="eastAsia" w:asciiTheme="minorEastAsia" w:hAnsiTheme="minorEastAsia" w:eastAsiaTheme="minorEastAsia"/>
          <w:b/>
          <w:sz w:val="28"/>
        </w:rPr>
        <w:t>谈判公告</w:t>
      </w:r>
      <w:bookmarkEnd w:id="1"/>
    </w:p>
    <w:p>
      <w:pPr>
        <w:pStyle w:val="75"/>
        <w:widowControl w:val="0"/>
        <w:autoSpaceDE w:val="0"/>
        <w:autoSpaceDN w:val="0"/>
        <w:adjustRightInd w:val="0"/>
        <w:spacing w:before="0" w:after="0" w:line="360" w:lineRule="auto"/>
        <w:rPr>
          <w:rFonts w:asciiTheme="majorEastAsia" w:hAnsiTheme="majorEastAsia" w:eastAsiaTheme="majorEastAsia" w:cstheme="majorEastAsia"/>
        </w:rPr>
      </w:pPr>
      <w:r>
        <w:rPr>
          <w:rFonts w:hint="eastAsia" w:asciiTheme="majorEastAsia" w:hAnsiTheme="majorEastAsia" w:eastAsiaTheme="majorEastAsia" w:cstheme="majorEastAsia"/>
          <w:kern w:val="2"/>
        </w:rPr>
        <w:t>安徽公共资源交易集团项目管理有限公司受合肥百货大楼集团股份有限公司委托，现对百大心悦城商户道具移装项目进行竞争性谈判，欢迎具备条件的国内投标人参加谈判。</w:t>
      </w:r>
    </w:p>
    <w:p>
      <w:pPr>
        <w:spacing w:line="360" w:lineRule="auto"/>
        <w:ind w:firstLine="435"/>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1.项目名称及内容</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 项目编号：2025HEFQJ00138</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 项目名称：百大心悦城商户道具移装项目</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 项目地点：安徽省合肥市包河区</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 项目单位：合肥百货大楼集团股份有限公司</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 项目概况：百大心悦城商户道具移装</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1.6 资金来源：自筹</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 项目预算：56.737500万元</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1.8 项目类别：其他交易·货物</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1.9 标段划分：共分</w:t>
      </w:r>
      <w:r>
        <w:rPr>
          <w:rFonts w:hint="eastAsia" w:asciiTheme="majorEastAsia" w:hAnsiTheme="majorEastAsia" w:eastAsiaTheme="majorEastAsia" w:cstheme="majorEastAsia"/>
          <w:sz w:val="24"/>
          <w:szCs w:val="24"/>
          <w:u w:val="single"/>
        </w:rPr>
        <w:t>1</w:t>
      </w:r>
      <w:r>
        <w:rPr>
          <w:rFonts w:hint="eastAsia" w:asciiTheme="majorEastAsia" w:hAnsiTheme="majorEastAsia" w:eastAsiaTheme="majorEastAsia" w:cstheme="majorEastAsia"/>
          <w:sz w:val="24"/>
          <w:szCs w:val="24"/>
        </w:rPr>
        <w:t>个标段，本次谈判第</w:t>
      </w:r>
      <w:r>
        <w:rPr>
          <w:rFonts w:hint="eastAsia" w:asciiTheme="majorEastAsia" w:hAnsiTheme="majorEastAsia" w:eastAsiaTheme="majorEastAsia" w:cstheme="majorEastAsia"/>
          <w:sz w:val="24"/>
          <w:szCs w:val="24"/>
          <w:u w:val="single"/>
        </w:rPr>
        <w:t>1</w:t>
      </w:r>
      <w:r>
        <w:rPr>
          <w:rFonts w:hint="eastAsia" w:asciiTheme="majorEastAsia" w:hAnsiTheme="majorEastAsia" w:eastAsiaTheme="majorEastAsia" w:cstheme="majorEastAsia"/>
          <w:sz w:val="24"/>
          <w:szCs w:val="24"/>
        </w:rPr>
        <w:t>标段。</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2.投标人资格要求</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2.1投标人具有独立承担民事责任的能力；</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2.2投标人资质要求：/</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2.3投标人业绩要求：自2021年1月1日以来（以合同签订时间为准），投标人具有展台道具（含柜台或展台或书架等起到展示作用的道具）的制作及安装项目业绩；</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2.4项目负责人资格要求：/</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2.5本项目不接受联合体投标。</w:t>
      </w:r>
    </w:p>
    <w:p>
      <w:pPr>
        <w:spacing w:line="360" w:lineRule="auto"/>
        <w:ind w:firstLine="480" w:firstLineChars="200"/>
        <w:rPr>
          <w:rFonts w:asciiTheme="majorEastAsia" w:hAnsiTheme="majorEastAsia" w:eastAsiaTheme="majorEastAsia" w:cstheme="majorEastAsia"/>
          <w:b/>
          <w:bCs/>
          <w:i/>
          <w:iCs/>
          <w:sz w:val="24"/>
          <w:szCs w:val="24"/>
        </w:rPr>
      </w:pPr>
      <w:r>
        <w:rPr>
          <w:rFonts w:hint="eastAsia" w:asciiTheme="majorEastAsia" w:hAnsiTheme="majorEastAsia" w:eastAsiaTheme="majorEastAsia" w:cstheme="majorEastAsia"/>
          <w:sz w:val="24"/>
          <w:szCs w:val="24"/>
        </w:rPr>
        <w:t>2.6投标人不得存在以下不良信用记录情形</w:t>
      </w:r>
      <w:r>
        <w:rPr>
          <w:rFonts w:hint="eastAsia" w:asciiTheme="majorEastAsia" w:hAnsiTheme="majorEastAsia" w:eastAsiaTheme="majorEastAsia" w:cstheme="majorEastAsia"/>
          <w:b/>
          <w:bCs/>
          <w:i/>
          <w:iCs/>
          <w:sz w:val="24"/>
          <w:szCs w:val="24"/>
        </w:rPr>
        <w:t>：</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（1）被责令停产停业，暂扣或者吊销许可证，暂扣或者吊销执照；</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（2）进入清算程序，或被宣告破产，或其他丧失履约能力的情形；</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（3）在国家企业信用信息公示系统（http://www.gsxt.gov.cn/）中被列入严重违法失信企业名单；</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（4）在“信用中国”网站（http://www.creditchina.gov.cn/）中被列入失信被执行人名单；</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（5）在“信用中国”网站（http://www.creditchina.gov.cn/）中被列入重大税收违法失信主体名单；</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（6）在近三年内投标人或其法定代表人（单位负责人）有行贿犯罪行为的；</w:t>
      </w:r>
    </w:p>
    <w:p>
      <w:pPr>
        <w:pStyle w:val="4"/>
        <w:rPr>
          <w:b/>
          <w:bCs/>
        </w:rPr>
      </w:pPr>
      <w:r>
        <w:rPr>
          <w:rFonts w:hint="eastAsia"/>
        </w:rPr>
        <w:t>2.7其他要求：/。</w:t>
      </w:r>
    </w:p>
    <w:p>
      <w:pPr>
        <w:spacing w:line="360" w:lineRule="auto"/>
        <w:ind w:firstLine="435"/>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3.谈判文件的获取</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3.1获取时间：</w:t>
      </w:r>
      <w:r>
        <w:rPr>
          <w:rFonts w:hint="eastAsia" w:asciiTheme="majorEastAsia" w:hAnsiTheme="majorEastAsia" w:eastAsiaTheme="majorEastAsia" w:cstheme="majorEastAsia"/>
          <w:sz w:val="24"/>
          <w:szCs w:val="24"/>
          <w:lang w:val="en-US" w:eastAsia="zh-CN"/>
        </w:rPr>
        <w:t>2025-03-04 到投标截止时间</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3.2获取方式：</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（1）本谈判项目实行全流程电子化交易。</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（2）潜在投标人须登录安徽公共资源交易集团电子交易系统（以下简称“电子交易系统”）查阅谈判文件。</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（3）潜在投标人查阅谈判文件后，如参与投标，则须在规定的谈判文件获取时间内通过安徽公共资源交易集团电子交易系统完成投标信息的填写。</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（4）谈判文件获取过程中有任何疑问，请在工作时间（9：00-17：30，节假日休息）拨打技术支持热线（非项目咨询）：0512-58188516。项目咨询请拨打电话：0551-66223628、66223831。</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w:t>
      </w:r>
      <w:r>
        <w:rPr>
          <w:rFonts w:hint="eastAsia"/>
          <w:bCs/>
          <w:sz w:val="24"/>
          <w:szCs w:val="24"/>
        </w:rPr>
        <w:t>电子交易服务费用：</w:t>
      </w:r>
      <w:r>
        <w:rPr>
          <w:rFonts w:hint="eastAsia" w:cs="宋体"/>
          <w:sz w:val="24"/>
          <w:szCs w:val="24"/>
          <w:u w:val="single"/>
        </w:rPr>
        <w:t>200</w:t>
      </w:r>
      <w:r>
        <w:rPr>
          <w:rFonts w:hint="eastAsia" w:cs="宋体"/>
          <w:sz w:val="24"/>
          <w:szCs w:val="24"/>
        </w:rPr>
        <w:t>元整，网上支付。</w:t>
      </w:r>
    </w:p>
    <w:p>
      <w:pPr>
        <w:spacing w:line="360" w:lineRule="auto"/>
        <w:ind w:firstLine="435"/>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4.投标文件提交截止时间</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同谈判时间</w:t>
      </w:r>
    </w:p>
    <w:p>
      <w:pPr>
        <w:spacing w:line="360" w:lineRule="auto"/>
        <w:ind w:firstLine="435"/>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5.谈判时间及地点</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5.1谈判时间：</w:t>
      </w:r>
      <w:r>
        <w:rPr>
          <w:rFonts w:hint="eastAsia" w:asciiTheme="majorEastAsia" w:hAnsiTheme="majorEastAsia" w:eastAsiaTheme="majorEastAsia" w:cstheme="majorEastAsia"/>
          <w:sz w:val="24"/>
          <w:szCs w:val="24"/>
          <w:lang w:val="en-US" w:eastAsia="zh-CN"/>
        </w:rPr>
        <w:t xml:space="preserve">2025-03-10 14:30 </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5.2谈判地点：</w:t>
      </w:r>
      <w:r>
        <w:rPr>
          <w:rFonts w:hint="eastAsia" w:asciiTheme="majorEastAsia" w:hAnsiTheme="majorEastAsia" w:eastAsiaTheme="majorEastAsia" w:cstheme="majorEastAsia"/>
          <w:sz w:val="24"/>
          <w:szCs w:val="24"/>
          <w:lang w:val="en-US" w:eastAsia="zh-CN"/>
        </w:rPr>
        <w:t>合肥市滨湖新区徽州大道4872号金融港中心A9幢安徽公共资源交易集团二楼评标室（七）</w:t>
      </w:r>
    </w:p>
    <w:p>
      <w:pPr>
        <w:spacing w:line="360" w:lineRule="auto"/>
        <w:ind w:firstLine="435"/>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6.发布公告的媒介</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本次谈判公告同时在安徽公共资源交易集团网站上发布。</w:t>
      </w:r>
    </w:p>
    <w:p>
      <w:pPr>
        <w:spacing w:line="360" w:lineRule="auto"/>
        <w:ind w:firstLine="435"/>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7.联系方式</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7.1招标人</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招标人：合肥百货大楼集团股份有限公司</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  址：合肥市包河区包河大道与紫云路交叉口</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联系人：汪工</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  话：0551-62899835</w:t>
      </w:r>
    </w:p>
    <w:p>
      <w:pPr>
        <w:spacing w:line="360" w:lineRule="auto"/>
        <w:ind w:firstLine="435"/>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7.2代理机构</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代理机构：安徽公共资源交易集团项目管理有限公司</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  址：合肥市滨湖新区南京路2588号（徽州大道与南京路交口）六楼</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联系人：李工</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  话：0551-66223628，66223831</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7.3电子交易系统</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名  称：安徽公共资源交易集团电子交易系统</w:t>
      </w:r>
    </w:p>
    <w:p>
      <w:pPr>
        <w:spacing w:line="360" w:lineRule="auto"/>
        <w:ind w:firstLine="435"/>
        <w:rPr>
          <w:rFonts w:asciiTheme="majorEastAsia" w:hAnsiTheme="majorEastAsia" w:eastAsiaTheme="majorEastAsia" w:cstheme="majorEastAsia"/>
          <w:sz w:val="24"/>
          <w:szCs w:val="24"/>
        </w:rPr>
      </w:pPr>
      <w:bookmarkStart w:id="2" w:name="_Hlk38114117"/>
      <w:r>
        <w:rPr>
          <w:rFonts w:hint="eastAsia" w:asciiTheme="majorEastAsia" w:hAnsiTheme="majorEastAsia" w:eastAsiaTheme="majorEastAsia" w:cstheme="majorEastAsia"/>
          <w:sz w:val="24"/>
          <w:szCs w:val="24"/>
        </w:rPr>
        <w:t>电  话：0512-58188516</w:t>
      </w:r>
    </w:p>
    <w:bookmarkEnd w:id="2"/>
    <w:p>
      <w:pPr>
        <w:spacing w:line="360" w:lineRule="auto"/>
        <w:ind w:firstLine="435"/>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7.4监督管理部门</w:t>
      </w:r>
    </w:p>
    <w:p>
      <w:pPr>
        <w:spacing w:line="360" w:lineRule="auto"/>
        <w:ind w:firstLine="435"/>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监督管理部门：合肥百货大楼集团股份有限公司滨湖心悦城购物中心纪委</w:t>
      </w:r>
    </w:p>
    <w:p>
      <w:pPr>
        <w:spacing w:line="360" w:lineRule="auto"/>
        <w:ind w:firstLine="435"/>
        <w:rPr>
          <w:rFonts w:asciiTheme="majorEastAsia" w:hAnsiTheme="majorEastAsia" w:eastAsiaTheme="majorEastAsia" w:cstheme="majorEastAsia"/>
          <w:b/>
          <w:color w:val="FF0000"/>
          <w:sz w:val="24"/>
          <w:szCs w:val="24"/>
        </w:rPr>
      </w:pPr>
      <w:r>
        <w:rPr>
          <w:rFonts w:hint="eastAsia" w:asciiTheme="majorEastAsia" w:hAnsiTheme="majorEastAsia" w:eastAsiaTheme="majorEastAsia" w:cstheme="majorEastAsia"/>
          <w:sz w:val="24"/>
          <w:szCs w:val="24"/>
        </w:rPr>
        <w:t>地  址：合肥市包河区包河大道与紫云路交口</w:t>
      </w: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  话：0551-62899835</w:t>
      </w:r>
    </w:p>
    <w:p>
      <w:pPr>
        <w:spacing w:line="360" w:lineRule="auto"/>
        <w:ind w:firstLine="435"/>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8.其他事项说明</w:t>
      </w:r>
    </w:p>
    <w:p>
      <w:pPr>
        <w:spacing w:line="360" w:lineRule="auto"/>
        <w:ind w:firstLine="43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sz w:val="24"/>
          <w:szCs w:val="24"/>
        </w:rPr>
        <w:t>8.1</w:t>
      </w:r>
      <w:r>
        <w:rPr>
          <w:rFonts w:hint="eastAsia" w:asciiTheme="majorEastAsia" w:hAnsiTheme="majorEastAsia" w:eastAsiaTheme="majorEastAsia" w:cstheme="majorEastAsia"/>
          <w:bCs/>
          <w:sz w:val="24"/>
          <w:szCs w:val="24"/>
        </w:rPr>
        <w:t>投标人应合理安排</w:t>
      </w:r>
      <w:r>
        <w:rPr>
          <w:rFonts w:hint="eastAsia" w:asciiTheme="majorEastAsia" w:hAnsiTheme="majorEastAsia" w:eastAsiaTheme="majorEastAsia" w:cstheme="majorEastAsia"/>
          <w:sz w:val="24"/>
          <w:szCs w:val="24"/>
        </w:rPr>
        <w:t>磋商</w:t>
      </w:r>
      <w:r>
        <w:rPr>
          <w:rFonts w:hint="eastAsia" w:asciiTheme="majorEastAsia" w:hAnsiTheme="majorEastAsia" w:eastAsiaTheme="majorEastAsia" w:cstheme="majorEastAsia"/>
          <w:bCs/>
          <w:sz w:val="24"/>
          <w:szCs w:val="24"/>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sz w:val="24"/>
          <w:szCs w:val="24"/>
        </w:rPr>
        <w:t>磋商</w:t>
      </w:r>
      <w:r>
        <w:rPr>
          <w:rFonts w:hint="eastAsia" w:asciiTheme="majorEastAsia" w:hAnsiTheme="majorEastAsia" w:eastAsiaTheme="majorEastAsia" w:cstheme="majorEastAsia"/>
          <w:bCs/>
          <w:sz w:val="24"/>
          <w:szCs w:val="24"/>
        </w:rPr>
        <w:t>文件获取，责任自负。</w:t>
      </w:r>
    </w:p>
    <w:p>
      <w:pPr>
        <w:spacing w:line="360" w:lineRule="auto"/>
        <w:ind w:firstLine="435"/>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8.2投标人如需开具电子交易服务费用发票，在项目谈判次日后自行登录安徽公共资源交易集团电子交易系统平台打印。</w:t>
      </w:r>
    </w:p>
    <w:p>
      <w:pPr>
        <w:numPr>
          <w:ilvl w:val="0"/>
          <w:numId w:val="3"/>
        </w:numPr>
        <w:spacing w:line="360" w:lineRule="auto"/>
        <w:ind w:firstLine="435"/>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投标保证金账户（如采用银行转账或银行电汇形式递交的，请选择以下任何一家银行递交即可）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adjustRightInd/>
        <w:spacing w:before="0" w:beforeAutospacing="0" w:after="0" w:afterAutospacing="0" w:line="360" w:lineRule="auto"/>
        <w:ind w:left="0" w:right="0" w:firstLine="435" w:firstLineChars="0"/>
        <w:jc w:val="left"/>
        <w:rPr>
          <w:rFonts w:hint="eastAsia" w:asciiTheme="majorEastAsia" w:hAnsiTheme="majorEastAsia" w:eastAsiaTheme="majorEastAsia" w:cstheme="majorEastAsia"/>
          <w:kern w:val="0"/>
          <w:sz w:val="24"/>
          <w:szCs w:val="24"/>
          <w:shd w:val="clear"/>
          <w:lang w:val="en-US" w:eastAsia="zh-CN" w:bidi="ar"/>
        </w:rPr>
      </w:pPr>
      <w:r>
        <w:rPr>
          <w:rFonts w:hint="eastAsia" w:asciiTheme="majorEastAsia" w:hAnsiTheme="majorEastAsia" w:eastAsiaTheme="majorEastAsia" w:cstheme="majorEastAsia"/>
          <w:kern w:val="0"/>
          <w:sz w:val="24"/>
          <w:szCs w:val="24"/>
          <w:shd w:val="clear"/>
          <w:lang w:val="en-US" w:eastAsia="zh-CN" w:bidi="ar"/>
        </w:rPr>
        <w:t>标段简称:1标段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adjustRightInd/>
        <w:spacing w:before="0" w:beforeAutospacing="0" w:after="0" w:afterAutospacing="0" w:line="360" w:lineRule="auto"/>
        <w:ind w:left="0" w:right="0" w:firstLine="435" w:firstLineChars="0"/>
        <w:jc w:val="left"/>
        <w:rPr>
          <w:rFonts w:hint="eastAsia" w:asciiTheme="majorEastAsia" w:hAnsiTheme="majorEastAsia" w:eastAsiaTheme="majorEastAsia" w:cstheme="majorEastAsia"/>
          <w:kern w:val="0"/>
          <w:sz w:val="24"/>
          <w:szCs w:val="24"/>
          <w:shd w:val="clear"/>
          <w:lang w:val="en-US" w:eastAsia="zh-CN" w:bidi="ar"/>
        </w:rPr>
      </w:pPr>
      <w:r>
        <w:rPr>
          <w:rFonts w:hint="eastAsia" w:asciiTheme="majorEastAsia" w:hAnsiTheme="majorEastAsia" w:eastAsiaTheme="majorEastAsia" w:cstheme="majorEastAsia"/>
          <w:kern w:val="0"/>
          <w:sz w:val="24"/>
          <w:szCs w:val="24"/>
          <w:shd w:val="clear"/>
          <w:lang w:val="en-US" w:eastAsia="zh-CN" w:bidi="ar"/>
        </w:rPr>
        <w:t xml:space="preserve">    建行合肥庐阳支行营业部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adjustRightInd/>
        <w:spacing w:before="0" w:beforeAutospacing="0" w:after="0" w:afterAutospacing="0" w:line="360" w:lineRule="auto"/>
        <w:ind w:left="0" w:right="0" w:firstLine="435" w:firstLineChars="0"/>
        <w:jc w:val="left"/>
        <w:rPr>
          <w:rFonts w:hint="eastAsia" w:asciiTheme="majorEastAsia" w:hAnsiTheme="majorEastAsia" w:eastAsiaTheme="majorEastAsia" w:cstheme="majorEastAsia"/>
          <w:kern w:val="0"/>
          <w:sz w:val="24"/>
          <w:szCs w:val="24"/>
          <w:shd w:val="clear"/>
          <w:lang w:val="en-US" w:eastAsia="zh-CN" w:bidi="ar"/>
        </w:rPr>
      </w:pPr>
      <w:r>
        <w:rPr>
          <w:rFonts w:hint="eastAsia" w:asciiTheme="majorEastAsia" w:hAnsiTheme="majorEastAsia" w:eastAsiaTheme="majorEastAsia" w:cstheme="majorEastAsia"/>
          <w:kern w:val="0"/>
          <w:sz w:val="24"/>
          <w:szCs w:val="24"/>
          <w:shd w:val="clear"/>
          <w:lang w:val="en-US" w:eastAsia="zh-CN" w:bidi="ar"/>
        </w:rPr>
        <w:t xml:space="preserve">    户名：安徽公共资源交易集团项目管理有限公司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adjustRightInd/>
        <w:spacing w:before="0" w:beforeAutospacing="0" w:after="0" w:afterAutospacing="0" w:line="360" w:lineRule="auto"/>
        <w:ind w:left="0" w:right="0" w:firstLine="435" w:firstLineChars="0"/>
        <w:jc w:val="left"/>
        <w:rPr>
          <w:rFonts w:hint="eastAsia" w:asciiTheme="majorEastAsia" w:hAnsiTheme="majorEastAsia" w:eastAsiaTheme="majorEastAsia" w:cstheme="majorEastAsia"/>
          <w:kern w:val="0"/>
          <w:sz w:val="24"/>
          <w:szCs w:val="24"/>
          <w:shd w:val="clear"/>
          <w:lang w:val="en-US" w:eastAsia="zh-CN" w:bidi="ar"/>
        </w:rPr>
      </w:pPr>
      <w:r>
        <w:rPr>
          <w:rFonts w:hint="eastAsia" w:asciiTheme="majorEastAsia" w:hAnsiTheme="majorEastAsia" w:eastAsiaTheme="majorEastAsia" w:cstheme="majorEastAsia"/>
          <w:kern w:val="0"/>
          <w:sz w:val="24"/>
          <w:szCs w:val="24"/>
          <w:shd w:val="clear"/>
          <w:lang w:val="en-US" w:eastAsia="zh-CN" w:bidi="ar"/>
        </w:rPr>
        <w:t xml:space="preserve">    账号：6232811630000508347</w:t>
      </w:r>
    </w:p>
    <w:p>
      <w:pPr>
        <w:keepNext w:val="0"/>
        <w:keepLines w:val="0"/>
        <w:widowControl/>
        <w:suppressLineNumbers w:val="0"/>
        <w:pBdr>
          <w:top w:val="none" w:color="auto" w:sz="0" w:space="0"/>
          <w:left w:val="none" w:color="auto" w:sz="0" w:space="0"/>
          <w:bottom w:val="none" w:color="auto" w:sz="0" w:space="0"/>
          <w:right w:val="none" w:color="auto" w:sz="0" w:space="0"/>
        </w:pBdr>
        <w:shd w:val="clear"/>
        <w:adjustRightInd/>
        <w:spacing w:before="0" w:beforeAutospacing="0" w:after="0" w:afterAutospacing="0" w:line="360" w:lineRule="auto"/>
        <w:ind w:left="0" w:right="0" w:firstLine="435" w:firstLineChars="0"/>
        <w:jc w:val="left"/>
        <w:rPr>
          <w:rFonts w:hint="eastAsia" w:asciiTheme="majorEastAsia" w:hAnsiTheme="majorEastAsia" w:eastAsiaTheme="majorEastAsia" w:cstheme="majorEastAsia"/>
          <w:kern w:val="0"/>
          <w:sz w:val="24"/>
          <w:szCs w:val="24"/>
          <w:shd w:val="clear"/>
          <w:lang w:val="en-US" w:eastAsia="zh-CN" w:bidi="ar"/>
        </w:rPr>
      </w:pPr>
      <w:r>
        <w:rPr>
          <w:rFonts w:hint="eastAsia" w:asciiTheme="majorEastAsia" w:hAnsiTheme="majorEastAsia" w:eastAsiaTheme="majorEastAsia" w:cstheme="majorEastAsia"/>
          <w:kern w:val="0"/>
          <w:sz w:val="24"/>
          <w:szCs w:val="24"/>
          <w:shd w:val="clear"/>
          <w:lang w:val="en-US" w:eastAsia="zh-CN" w:bidi="ar"/>
        </w:rPr>
        <w:t xml:space="preserve">    开户银行：建行合肥庐阳支行营业部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adjustRightInd/>
        <w:spacing w:before="0" w:beforeAutospacing="0" w:after="0" w:afterAutospacing="0" w:line="360" w:lineRule="auto"/>
        <w:ind w:left="0" w:right="0" w:firstLine="435" w:firstLineChars="0"/>
        <w:jc w:val="left"/>
        <w:rPr>
          <w:rFonts w:hint="eastAsia" w:asciiTheme="majorEastAsia" w:hAnsiTheme="majorEastAsia" w:eastAsiaTheme="majorEastAsia" w:cstheme="majorEastAsia"/>
          <w:kern w:val="0"/>
          <w:sz w:val="24"/>
          <w:szCs w:val="24"/>
          <w:shd w:val="clear"/>
          <w:lang w:val="en-US" w:eastAsia="zh-CN" w:bidi="ar"/>
        </w:rPr>
      </w:pPr>
      <w:r>
        <w:rPr>
          <w:rFonts w:hint="eastAsia" w:asciiTheme="majorEastAsia" w:hAnsiTheme="majorEastAsia" w:eastAsiaTheme="majorEastAsia" w:cstheme="majorEastAsia"/>
          <w:kern w:val="0"/>
          <w:sz w:val="24"/>
          <w:szCs w:val="24"/>
          <w:shd w:val="clear"/>
          <w:lang w:val="en-US" w:eastAsia="zh-CN" w:bidi="ar"/>
        </w:rPr>
        <w:t xml:space="preserve">    徽商银行合肥蜀山支行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adjustRightInd/>
        <w:spacing w:before="0" w:beforeAutospacing="0" w:after="0" w:afterAutospacing="0" w:line="360" w:lineRule="auto"/>
        <w:ind w:left="0" w:right="0" w:firstLine="435" w:firstLineChars="0"/>
        <w:jc w:val="left"/>
        <w:rPr>
          <w:rFonts w:hint="eastAsia" w:asciiTheme="majorEastAsia" w:hAnsiTheme="majorEastAsia" w:eastAsiaTheme="majorEastAsia" w:cstheme="majorEastAsia"/>
          <w:kern w:val="0"/>
          <w:sz w:val="24"/>
          <w:szCs w:val="24"/>
          <w:shd w:val="clear"/>
          <w:lang w:val="en-US" w:eastAsia="zh-CN" w:bidi="ar"/>
        </w:rPr>
      </w:pPr>
      <w:r>
        <w:rPr>
          <w:rFonts w:hint="eastAsia" w:asciiTheme="majorEastAsia" w:hAnsiTheme="majorEastAsia" w:eastAsiaTheme="majorEastAsia" w:cstheme="majorEastAsia"/>
          <w:kern w:val="0"/>
          <w:sz w:val="24"/>
          <w:szCs w:val="24"/>
          <w:shd w:val="clear"/>
          <w:lang w:val="en-US" w:eastAsia="zh-CN" w:bidi="ar"/>
        </w:rPr>
        <w:t xml:space="preserve">    户名：安徽公共资源交易集团项目管理有限公司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adjustRightInd/>
        <w:spacing w:before="0" w:beforeAutospacing="0" w:after="0" w:afterAutospacing="0" w:line="360" w:lineRule="auto"/>
        <w:ind w:left="0" w:right="0" w:firstLine="435" w:firstLineChars="0"/>
        <w:jc w:val="left"/>
        <w:rPr>
          <w:rFonts w:hint="eastAsia" w:asciiTheme="majorEastAsia" w:hAnsiTheme="majorEastAsia" w:eastAsiaTheme="majorEastAsia" w:cstheme="majorEastAsia"/>
          <w:kern w:val="0"/>
          <w:sz w:val="24"/>
          <w:szCs w:val="24"/>
          <w:shd w:val="clear"/>
          <w:lang w:val="en-US" w:eastAsia="zh-CN" w:bidi="ar"/>
        </w:rPr>
      </w:pPr>
      <w:r>
        <w:rPr>
          <w:rFonts w:hint="eastAsia" w:asciiTheme="majorEastAsia" w:hAnsiTheme="majorEastAsia" w:eastAsiaTheme="majorEastAsia" w:cstheme="majorEastAsia"/>
          <w:kern w:val="0"/>
          <w:sz w:val="24"/>
          <w:szCs w:val="24"/>
          <w:shd w:val="clear"/>
          <w:lang w:val="en-US" w:eastAsia="zh-CN" w:bidi="ar"/>
        </w:rPr>
        <w:t xml:space="preserve">    账号：1023701021000135582280437</w:t>
      </w:r>
    </w:p>
    <w:p>
      <w:pPr>
        <w:keepNext w:val="0"/>
        <w:keepLines w:val="0"/>
        <w:widowControl/>
        <w:suppressLineNumbers w:val="0"/>
        <w:pBdr>
          <w:top w:val="none" w:color="auto" w:sz="0" w:space="0"/>
          <w:left w:val="none" w:color="auto" w:sz="0" w:space="0"/>
          <w:bottom w:val="none" w:color="auto" w:sz="0" w:space="0"/>
          <w:right w:val="none" w:color="auto" w:sz="0" w:space="0"/>
        </w:pBdr>
        <w:shd w:val="clear"/>
        <w:adjustRightInd/>
        <w:spacing w:before="0" w:beforeAutospacing="0" w:after="0" w:afterAutospacing="0" w:line="360" w:lineRule="auto"/>
        <w:ind w:left="0" w:right="0" w:firstLine="435" w:firstLineChars="0"/>
        <w:jc w:val="left"/>
        <w:rPr>
          <w:rFonts w:hint="eastAsia" w:asciiTheme="majorEastAsia" w:hAnsiTheme="majorEastAsia" w:eastAsiaTheme="majorEastAsia" w:cstheme="majorEastAsia"/>
          <w:kern w:val="0"/>
          <w:sz w:val="24"/>
          <w:szCs w:val="24"/>
          <w:shd w:val="clear"/>
          <w:lang w:val="en-US" w:eastAsia="zh-CN" w:bidi="ar"/>
        </w:rPr>
      </w:pPr>
      <w:r>
        <w:rPr>
          <w:rFonts w:hint="eastAsia" w:asciiTheme="majorEastAsia" w:hAnsiTheme="majorEastAsia" w:eastAsiaTheme="majorEastAsia" w:cstheme="majorEastAsia"/>
          <w:kern w:val="0"/>
          <w:sz w:val="24"/>
          <w:szCs w:val="24"/>
          <w:shd w:val="clear"/>
          <w:lang w:val="en-US" w:eastAsia="zh-CN" w:bidi="ar"/>
        </w:rPr>
        <w:t xml:space="preserve">    开户银行：徽商银行合肥蜀山支行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adjustRightInd/>
        <w:spacing w:before="0" w:beforeAutospacing="0" w:after="0" w:afterAutospacing="0" w:line="360" w:lineRule="auto"/>
        <w:ind w:left="0" w:right="0" w:firstLine="435" w:firstLineChars="0"/>
        <w:jc w:val="left"/>
        <w:rPr>
          <w:rFonts w:hint="eastAsia" w:asciiTheme="majorEastAsia" w:hAnsiTheme="majorEastAsia" w:eastAsiaTheme="majorEastAsia" w:cstheme="majorEastAsia"/>
          <w:kern w:val="0"/>
          <w:sz w:val="24"/>
          <w:szCs w:val="24"/>
          <w:shd w:val="clear"/>
          <w:lang w:val="en-US" w:eastAsia="zh-CN" w:bidi="ar"/>
        </w:rPr>
      </w:pPr>
      <w:r>
        <w:rPr>
          <w:rFonts w:hint="eastAsia" w:asciiTheme="majorEastAsia" w:hAnsiTheme="majorEastAsia" w:eastAsiaTheme="majorEastAsia" w:cstheme="majorEastAsia"/>
          <w:kern w:val="0"/>
          <w:sz w:val="24"/>
          <w:szCs w:val="24"/>
          <w:shd w:val="clear"/>
          <w:lang w:val="en-US" w:eastAsia="zh-CN" w:bidi="ar"/>
        </w:rPr>
        <w:t xml:space="preserve">    光大银行合肥阜南路支行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adjustRightInd/>
        <w:spacing w:before="0" w:beforeAutospacing="0" w:after="0" w:afterAutospacing="0" w:line="360" w:lineRule="auto"/>
        <w:ind w:left="0" w:right="0" w:firstLine="435" w:firstLineChars="0"/>
        <w:jc w:val="left"/>
        <w:rPr>
          <w:rFonts w:hint="eastAsia" w:asciiTheme="majorEastAsia" w:hAnsiTheme="majorEastAsia" w:eastAsiaTheme="majorEastAsia" w:cstheme="majorEastAsia"/>
          <w:kern w:val="0"/>
          <w:sz w:val="24"/>
          <w:szCs w:val="24"/>
          <w:shd w:val="clear"/>
          <w:lang w:val="en-US" w:eastAsia="zh-CN" w:bidi="ar"/>
        </w:rPr>
      </w:pPr>
      <w:r>
        <w:rPr>
          <w:rFonts w:hint="eastAsia" w:asciiTheme="majorEastAsia" w:hAnsiTheme="majorEastAsia" w:eastAsiaTheme="majorEastAsia" w:cstheme="majorEastAsia"/>
          <w:kern w:val="0"/>
          <w:sz w:val="24"/>
          <w:szCs w:val="24"/>
          <w:shd w:val="clear"/>
          <w:lang w:val="en-US" w:eastAsia="zh-CN" w:bidi="ar"/>
        </w:rPr>
        <w:t xml:space="preserve">    户名：安徽公共资源交易集团项目管理有限公司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adjustRightInd/>
        <w:spacing w:before="0" w:beforeAutospacing="0" w:after="0" w:afterAutospacing="0" w:line="360" w:lineRule="auto"/>
        <w:ind w:left="0" w:right="0" w:firstLine="435" w:firstLineChars="0"/>
        <w:jc w:val="left"/>
        <w:rPr>
          <w:rFonts w:hint="eastAsia" w:asciiTheme="majorEastAsia" w:hAnsiTheme="majorEastAsia" w:eastAsiaTheme="majorEastAsia" w:cstheme="majorEastAsia"/>
          <w:kern w:val="0"/>
          <w:sz w:val="24"/>
          <w:szCs w:val="24"/>
          <w:shd w:val="clear"/>
          <w:lang w:val="en-US" w:eastAsia="zh-CN" w:bidi="ar"/>
        </w:rPr>
      </w:pPr>
      <w:r>
        <w:rPr>
          <w:rFonts w:hint="eastAsia" w:asciiTheme="majorEastAsia" w:hAnsiTheme="majorEastAsia" w:eastAsiaTheme="majorEastAsia" w:cstheme="majorEastAsia"/>
          <w:kern w:val="0"/>
          <w:sz w:val="24"/>
          <w:szCs w:val="24"/>
          <w:shd w:val="clear"/>
          <w:lang w:val="en-US" w:eastAsia="zh-CN" w:bidi="ar"/>
        </w:rPr>
        <w:t xml:space="preserve">    账号：76700188015653533</w:t>
      </w:r>
    </w:p>
    <w:p>
      <w:pPr>
        <w:keepNext w:val="0"/>
        <w:keepLines w:val="0"/>
        <w:widowControl/>
        <w:suppressLineNumbers w:val="0"/>
        <w:pBdr>
          <w:top w:val="none" w:color="auto" w:sz="0" w:space="0"/>
          <w:left w:val="none" w:color="auto" w:sz="0" w:space="0"/>
          <w:bottom w:val="none" w:color="auto" w:sz="0" w:space="0"/>
          <w:right w:val="none" w:color="auto" w:sz="0" w:space="0"/>
        </w:pBdr>
        <w:shd w:val="clear"/>
        <w:adjustRightInd/>
        <w:spacing w:before="0" w:beforeAutospacing="0" w:after="0" w:afterAutospacing="0" w:line="360" w:lineRule="auto"/>
        <w:ind w:left="0" w:right="0" w:firstLine="435" w:firstLine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shd w:val="clear"/>
          <w:lang w:val="en-US" w:eastAsia="zh-CN" w:bidi="ar"/>
        </w:rPr>
        <w:t xml:space="preserve">    开户银行：光大银行合肥阜南路支行</w:t>
      </w:r>
    </w:p>
    <w:p>
      <w:pPr>
        <w:spacing w:line="360" w:lineRule="auto"/>
        <w:ind w:firstLine="435"/>
        <w:rPr>
          <w:rFonts w:hint="eastAsia" w:asciiTheme="majorEastAsia" w:hAnsiTheme="majorEastAsia" w:eastAsiaTheme="majorEastAsia" w:cstheme="majorEastAsia"/>
          <w:b w:val="0"/>
          <w:sz w:val="24"/>
          <w:szCs w:val="24"/>
        </w:rPr>
      </w:pPr>
    </w:p>
    <w:p>
      <w:pPr>
        <w:spacing w:line="36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page"/>
      </w:r>
    </w:p>
    <w:p>
      <w:pPr>
        <w:spacing w:line="360" w:lineRule="auto"/>
        <w:jc w:val="center"/>
        <w:outlineLvl w:val="0"/>
        <w:rPr>
          <w:rFonts w:asciiTheme="minorEastAsia" w:hAnsiTheme="minorEastAsia" w:eastAsiaTheme="minorEastAsia"/>
          <w:b/>
          <w:sz w:val="28"/>
        </w:rPr>
      </w:pPr>
      <w:bookmarkStart w:id="3" w:name="_Toc20598"/>
      <w:bookmarkStart w:id="4" w:name="_Toc4558"/>
      <w:r>
        <w:rPr>
          <w:rFonts w:hint="eastAsia" w:asciiTheme="minorEastAsia" w:hAnsiTheme="minorEastAsia" w:eastAsiaTheme="minorEastAsia"/>
          <w:b/>
          <w:sz w:val="28"/>
        </w:rPr>
        <w:t>第二章投标人</w:t>
      </w:r>
      <w:r>
        <w:rPr>
          <w:rFonts w:asciiTheme="minorEastAsia" w:hAnsiTheme="minorEastAsia" w:eastAsiaTheme="minorEastAsia"/>
          <w:b/>
          <w:sz w:val="28"/>
        </w:rPr>
        <w:t>须知</w:t>
      </w:r>
      <w:bookmarkEnd w:id="3"/>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投标人</w:t>
      </w:r>
      <w:r>
        <w:rPr>
          <w:rFonts w:asciiTheme="minorEastAsia" w:hAnsiTheme="minorEastAsia" w:eastAsiaTheme="minorEastAsia"/>
          <w:b/>
          <w:sz w:val="24"/>
        </w:rPr>
        <w:t>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1432"/>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6"/>
              <w:rPr>
                <w:color w:val="auto"/>
                <w:kern w:val="2"/>
              </w:rPr>
            </w:pPr>
            <w:r>
              <w:rPr>
                <w:rFonts w:hint="eastAsia"/>
                <w:color w:val="auto"/>
                <w:kern w:val="2"/>
              </w:rPr>
              <w:t>条款号</w:t>
            </w:r>
          </w:p>
        </w:tc>
        <w:tc>
          <w:tcPr>
            <w:tcW w:w="818" w:type="pct"/>
            <w:vAlign w:val="center"/>
          </w:tcPr>
          <w:p>
            <w:pPr>
              <w:pStyle w:val="76"/>
              <w:rPr>
                <w:color w:val="auto"/>
                <w:kern w:val="2"/>
              </w:rPr>
            </w:pPr>
            <w:r>
              <w:rPr>
                <w:rFonts w:hint="eastAsia"/>
                <w:color w:val="auto"/>
                <w:kern w:val="2"/>
              </w:rPr>
              <w:t>条款名称</w:t>
            </w:r>
          </w:p>
        </w:tc>
        <w:tc>
          <w:tcPr>
            <w:tcW w:w="3621" w:type="pct"/>
            <w:vAlign w:val="center"/>
          </w:tcPr>
          <w:p>
            <w:pPr>
              <w:pStyle w:val="76"/>
              <w:rPr>
                <w:color w:val="auto"/>
                <w:kern w:val="2"/>
              </w:rPr>
            </w:pPr>
            <w:r>
              <w:rPr>
                <w:rFonts w:hint="eastAsia"/>
                <w:color w:val="auto"/>
                <w:kern w:val="2"/>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1</w:t>
            </w:r>
          </w:p>
        </w:tc>
        <w:tc>
          <w:tcPr>
            <w:tcW w:w="818" w:type="pct"/>
            <w:vAlign w:val="center"/>
          </w:tcPr>
          <w:p>
            <w:pPr>
              <w:pStyle w:val="76"/>
              <w:rPr>
                <w:color w:val="auto"/>
              </w:rPr>
            </w:pPr>
            <w:r>
              <w:rPr>
                <w:rFonts w:hint="eastAsia"/>
                <w:color w:val="auto"/>
              </w:rPr>
              <w:t>供货（安装）地点</w:t>
            </w:r>
          </w:p>
        </w:tc>
        <w:tc>
          <w:tcPr>
            <w:tcW w:w="3621" w:type="pct"/>
            <w:vAlign w:val="center"/>
          </w:tcPr>
          <w:p>
            <w:pPr>
              <w:pStyle w:val="76"/>
              <w:rPr>
                <w:color w:val="auto"/>
              </w:rPr>
            </w:pPr>
            <w:r>
              <w:rPr>
                <w:rFonts w:hint="eastAsia"/>
                <w:color w:val="auto"/>
              </w:rPr>
              <w:t>合肥市包河区包河大道与紫云路交口西北角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2</w:t>
            </w:r>
          </w:p>
        </w:tc>
        <w:tc>
          <w:tcPr>
            <w:tcW w:w="818" w:type="pct"/>
            <w:vAlign w:val="center"/>
          </w:tcPr>
          <w:p>
            <w:pPr>
              <w:pStyle w:val="76"/>
              <w:rPr>
                <w:color w:val="auto"/>
              </w:rPr>
            </w:pPr>
            <w:r>
              <w:rPr>
                <w:rFonts w:hint="eastAsia"/>
                <w:color w:val="auto"/>
              </w:rPr>
              <w:t>供货（安装）周期</w:t>
            </w:r>
          </w:p>
        </w:tc>
        <w:tc>
          <w:tcPr>
            <w:tcW w:w="3621" w:type="pct"/>
            <w:vAlign w:val="center"/>
          </w:tcPr>
          <w:p>
            <w:pPr>
              <w:pStyle w:val="103"/>
              <w:rPr>
                <w:b w:val="0"/>
                <w:bCs/>
                <w:color w:val="auto"/>
              </w:rPr>
            </w:pPr>
            <w:r>
              <w:rPr>
                <w:b w:val="0"/>
                <w:bCs/>
                <w:color w:val="auto"/>
              </w:rPr>
              <w:t>20个日历</w:t>
            </w:r>
            <w:r>
              <w:rPr>
                <w:rFonts w:hint="eastAsia"/>
                <w:b w:val="0"/>
                <w:bCs/>
                <w:color w:val="auto"/>
              </w:rPr>
              <w:t>日。</w:t>
            </w:r>
          </w:p>
          <w:p>
            <w:pPr>
              <w:pStyle w:val="103"/>
              <w:rPr>
                <w:color w:val="auto"/>
              </w:rPr>
            </w:pPr>
            <w:r>
              <w:rPr>
                <w:b w:val="0"/>
                <w:bCs/>
                <w:color w:val="auto"/>
              </w:rPr>
              <w:t>(</w:t>
            </w:r>
            <w:r>
              <w:rPr>
                <w:rFonts w:hint="eastAsia"/>
                <w:b w:val="0"/>
                <w:bCs/>
                <w:color w:val="auto"/>
              </w:rPr>
              <w:t>现有道具拆除、移动至招标人指定位置，不得超过5个日历日。拆除道具修复、安装到位，不得超过15个日历日</w:t>
            </w:r>
            <w:r>
              <w:rPr>
                <w:b w:val="0"/>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3</w:t>
            </w:r>
          </w:p>
        </w:tc>
        <w:tc>
          <w:tcPr>
            <w:tcW w:w="818" w:type="pct"/>
            <w:vAlign w:val="center"/>
          </w:tcPr>
          <w:p>
            <w:pPr>
              <w:pStyle w:val="76"/>
              <w:rPr>
                <w:color w:val="auto"/>
              </w:rPr>
            </w:pPr>
            <w:r>
              <w:rPr>
                <w:rFonts w:hint="eastAsia"/>
                <w:color w:val="auto"/>
              </w:rPr>
              <w:t>现场踏勘</w:t>
            </w:r>
          </w:p>
        </w:tc>
        <w:tc>
          <w:tcPr>
            <w:tcW w:w="3621" w:type="pct"/>
            <w:vAlign w:val="center"/>
          </w:tcPr>
          <w:p>
            <w:pPr>
              <w:spacing w:line="360" w:lineRule="auto"/>
              <w:rPr>
                <w:rFonts w:cs="宋体"/>
                <w:bCs/>
                <w:color w:val="auto"/>
                <w:kern w:val="2"/>
                <w:sz w:val="24"/>
                <w:szCs w:val="24"/>
              </w:rPr>
            </w:pPr>
            <w:r>
              <w:rPr>
                <w:rFonts w:hint="eastAsia" w:cs="宋体"/>
                <w:color w:val="auto"/>
                <w:kern w:val="2"/>
                <w:sz w:val="24"/>
                <w:szCs w:val="24"/>
                <w:u w:val="none"/>
                <w:lang w:eastAsia="zh-CN"/>
              </w:rPr>
              <w:t>☑</w:t>
            </w:r>
            <w:r>
              <w:rPr>
                <w:rFonts w:hint="eastAsia" w:cs="宋体"/>
                <w:bCs/>
                <w:color w:val="auto"/>
                <w:kern w:val="2"/>
                <w:sz w:val="24"/>
                <w:szCs w:val="24"/>
              </w:rPr>
              <w:t>自行踏勘</w:t>
            </w:r>
          </w:p>
          <w:p>
            <w:pPr>
              <w:spacing w:line="360" w:lineRule="auto"/>
              <w:rPr>
                <w:rFonts w:cs="宋体"/>
                <w:bCs/>
                <w:color w:val="auto"/>
                <w:kern w:val="2"/>
                <w:sz w:val="24"/>
                <w:szCs w:val="24"/>
              </w:rPr>
            </w:pPr>
            <w:r>
              <w:rPr>
                <w:rFonts w:hint="eastAsia" w:cs="宋体"/>
                <w:color w:val="auto"/>
                <w:kern w:val="2"/>
                <w:sz w:val="24"/>
                <w:szCs w:val="24"/>
              </w:rPr>
              <w:t>□</w:t>
            </w:r>
            <w:r>
              <w:rPr>
                <w:rFonts w:hint="eastAsia" w:cs="宋体"/>
                <w:bCs/>
                <w:color w:val="auto"/>
                <w:kern w:val="2"/>
                <w:sz w:val="24"/>
                <w:szCs w:val="24"/>
              </w:rPr>
              <w:t>集中组织</w:t>
            </w:r>
          </w:p>
          <w:p>
            <w:pPr>
              <w:spacing w:line="360" w:lineRule="auto"/>
              <w:rPr>
                <w:rFonts w:cs="宋体"/>
                <w:bCs/>
                <w:color w:val="auto"/>
                <w:kern w:val="2"/>
                <w:sz w:val="24"/>
                <w:szCs w:val="24"/>
                <w:u w:val="single"/>
              </w:rPr>
            </w:pPr>
            <w:r>
              <w:rPr>
                <w:rFonts w:hint="eastAsia" w:cs="宋体"/>
                <w:bCs/>
                <w:color w:val="auto"/>
                <w:kern w:val="2"/>
                <w:sz w:val="24"/>
                <w:szCs w:val="24"/>
              </w:rPr>
              <w:t>时间：</w:t>
            </w:r>
            <w:r>
              <w:rPr>
                <w:rFonts w:hint="eastAsia" w:cs="宋体"/>
                <w:bCs/>
                <w:color w:val="auto"/>
                <w:kern w:val="2"/>
                <w:sz w:val="24"/>
                <w:szCs w:val="24"/>
                <w:lang w:val="en-US" w:eastAsia="zh-CN"/>
              </w:rPr>
              <w:t xml:space="preserve">    </w:t>
            </w:r>
            <w:r>
              <w:rPr>
                <w:rFonts w:hint="eastAsia" w:cs="宋体"/>
                <w:bCs/>
                <w:color w:val="auto"/>
                <w:kern w:val="2"/>
                <w:sz w:val="24"/>
                <w:szCs w:val="24"/>
              </w:rPr>
              <w:t>年</w:t>
            </w:r>
            <w:r>
              <w:rPr>
                <w:rFonts w:hint="eastAsia" w:cs="宋体"/>
                <w:bCs/>
                <w:color w:val="auto"/>
                <w:kern w:val="2"/>
                <w:sz w:val="24"/>
                <w:szCs w:val="24"/>
                <w:lang w:val="en-US" w:eastAsia="zh-CN"/>
              </w:rPr>
              <w:t xml:space="preserve">  </w:t>
            </w:r>
            <w:r>
              <w:rPr>
                <w:rFonts w:hint="eastAsia" w:cs="宋体"/>
                <w:bCs/>
                <w:color w:val="auto"/>
                <w:kern w:val="2"/>
                <w:sz w:val="24"/>
                <w:szCs w:val="24"/>
              </w:rPr>
              <w:t>月</w:t>
            </w:r>
            <w:r>
              <w:rPr>
                <w:rFonts w:hint="eastAsia" w:cs="宋体"/>
                <w:bCs/>
                <w:color w:val="auto"/>
                <w:kern w:val="2"/>
                <w:sz w:val="24"/>
                <w:szCs w:val="24"/>
                <w:lang w:val="en-US" w:eastAsia="zh-CN"/>
              </w:rPr>
              <w:t xml:space="preserve">  </w:t>
            </w:r>
            <w:r>
              <w:rPr>
                <w:rFonts w:hint="eastAsia" w:cs="宋体"/>
                <w:bCs/>
                <w:color w:val="auto"/>
                <w:kern w:val="2"/>
                <w:sz w:val="24"/>
                <w:szCs w:val="24"/>
              </w:rPr>
              <w:t>日</w:t>
            </w:r>
            <w:r>
              <w:rPr>
                <w:rFonts w:hint="eastAsia" w:cs="宋体"/>
                <w:bCs/>
                <w:color w:val="auto"/>
                <w:kern w:val="2"/>
                <w:sz w:val="24"/>
                <w:szCs w:val="24"/>
                <w:lang w:val="en-US" w:eastAsia="zh-CN"/>
              </w:rPr>
              <w:t xml:space="preserve">  </w:t>
            </w:r>
            <w:r>
              <w:rPr>
                <w:rFonts w:hint="eastAsia" w:cs="宋体"/>
                <w:bCs/>
                <w:color w:val="auto"/>
                <w:kern w:val="2"/>
                <w:sz w:val="24"/>
                <w:szCs w:val="24"/>
              </w:rPr>
              <w:t>时</w:t>
            </w:r>
            <w:r>
              <w:rPr>
                <w:rFonts w:hint="eastAsia" w:cs="宋体"/>
                <w:bCs/>
                <w:color w:val="auto"/>
                <w:kern w:val="2"/>
                <w:sz w:val="24"/>
                <w:szCs w:val="24"/>
                <w:lang w:val="en-US" w:eastAsia="zh-CN"/>
              </w:rPr>
              <w:t xml:space="preserve">  </w:t>
            </w:r>
            <w:r>
              <w:rPr>
                <w:rFonts w:hint="eastAsia" w:cs="宋体"/>
                <w:bCs/>
                <w:color w:val="auto"/>
                <w:kern w:val="2"/>
                <w:sz w:val="24"/>
                <w:szCs w:val="24"/>
              </w:rPr>
              <w:t>分</w:t>
            </w:r>
          </w:p>
          <w:p>
            <w:pPr>
              <w:spacing w:line="360" w:lineRule="auto"/>
              <w:rPr>
                <w:rFonts w:hint="default" w:eastAsia="宋体" w:cs="宋体"/>
                <w:bCs/>
                <w:color w:val="auto"/>
                <w:kern w:val="2"/>
                <w:sz w:val="24"/>
                <w:szCs w:val="24"/>
                <w:u w:val="single"/>
                <w:lang w:val="en-US" w:eastAsia="zh-CN"/>
              </w:rPr>
            </w:pPr>
            <w:r>
              <w:rPr>
                <w:rFonts w:hint="eastAsia" w:cs="宋体"/>
                <w:bCs/>
                <w:color w:val="auto"/>
                <w:kern w:val="2"/>
                <w:sz w:val="24"/>
                <w:szCs w:val="24"/>
              </w:rPr>
              <w:t>现场踏勘联系人及联系电话：</w:t>
            </w:r>
            <w:r>
              <w:rPr>
                <w:rFonts w:hint="eastAsia" w:cs="宋体"/>
                <w:bCs/>
                <w:color w:val="auto"/>
                <w:kern w:val="2"/>
                <w:sz w:val="24"/>
                <w:szCs w:val="24"/>
                <w:u w:val="single"/>
                <w:lang w:val="en-US" w:eastAsia="zh-CN"/>
              </w:rPr>
              <w:t xml:space="preserve">                 </w:t>
            </w:r>
          </w:p>
          <w:p>
            <w:pPr>
              <w:pStyle w:val="76"/>
              <w:rPr>
                <w:color w:val="auto"/>
              </w:rPr>
            </w:pPr>
            <w:r>
              <w:rPr>
                <w:rFonts w:hint="eastAsia"/>
                <w:color w:val="auto"/>
                <w:kern w:val="2"/>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4</w:t>
            </w:r>
          </w:p>
        </w:tc>
        <w:tc>
          <w:tcPr>
            <w:tcW w:w="818" w:type="pct"/>
            <w:vAlign w:val="center"/>
          </w:tcPr>
          <w:p>
            <w:pPr>
              <w:widowControl/>
              <w:snapToGrid w:val="0"/>
              <w:spacing w:line="360" w:lineRule="auto"/>
              <w:jc w:val="center"/>
              <w:rPr>
                <w:rFonts w:eastAsia="楷体"/>
                <w:bCs/>
                <w:snapToGrid w:val="0"/>
                <w:color w:val="auto"/>
                <w:sz w:val="24"/>
                <w:szCs w:val="24"/>
              </w:rPr>
            </w:pPr>
            <w:r>
              <w:rPr>
                <w:rFonts w:hint="eastAsia"/>
                <w:bCs/>
                <w:snapToGrid w:val="0"/>
                <w:color w:val="auto"/>
                <w:sz w:val="24"/>
                <w:szCs w:val="24"/>
              </w:rPr>
              <w:t>便利化服务</w:t>
            </w:r>
          </w:p>
        </w:tc>
        <w:tc>
          <w:tcPr>
            <w:tcW w:w="3621" w:type="pct"/>
            <w:vAlign w:val="center"/>
          </w:tcPr>
          <w:p>
            <w:pPr>
              <w:widowControl/>
              <w:snapToGrid w:val="0"/>
              <w:spacing w:line="360" w:lineRule="auto"/>
              <w:jc w:val="left"/>
              <w:rPr>
                <w:bCs/>
                <w:snapToGrid w:val="0"/>
                <w:color w:val="auto"/>
                <w:sz w:val="24"/>
                <w:szCs w:val="24"/>
              </w:rPr>
            </w:pPr>
            <w:r>
              <w:rPr>
                <w:rFonts w:hint="eastAsia"/>
                <w:bCs/>
                <w:snapToGrid w:val="0"/>
                <w:color w:val="auto"/>
                <w:sz w:val="24"/>
                <w:szCs w:val="24"/>
              </w:rPr>
              <w:t>本项目是否要求便利化服务能力：</w:t>
            </w:r>
            <w:r>
              <w:rPr>
                <w:rFonts w:hint="eastAsia"/>
                <w:bCs/>
                <w:snapToGrid w:val="0"/>
                <w:color w:val="auto"/>
                <w:sz w:val="24"/>
                <w:szCs w:val="24"/>
                <w:lang w:eastAsia="zh-CN"/>
              </w:rPr>
              <w:t>□</w:t>
            </w:r>
            <w:r>
              <w:rPr>
                <w:rFonts w:hint="eastAsia"/>
                <w:bCs/>
                <w:snapToGrid w:val="0"/>
                <w:color w:val="auto"/>
                <w:sz w:val="24"/>
                <w:szCs w:val="24"/>
              </w:rPr>
              <w:t xml:space="preserve">要求   </w:t>
            </w:r>
            <w:r>
              <w:rPr>
                <w:rFonts w:hint="eastAsia"/>
                <w:bCs/>
                <w:snapToGrid w:val="0"/>
                <w:color w:val="auto"/>
                <w:sz w:val="24"/>
                <w:szCs w:val="24"/>
                <w:lang w:eastAsia="zh-CN"/>
              </w:rPr>
              <w:t>☑</w:t>
            </w:r>
            <w:r>
              <w:rPr>
                <w:rFonts w:hint="eastAsia"/>
                <w:bCs/>
                <w:snapToGrid w:val="0"/>
                <w:color w:val="auto"/>
                <w:sz w:val="24"/>
                <w:szCs w:val="24"/>
              </w:rPr>
              <w:t>不要求</w:t>
            </w:r>
          </w:p>
          <w:p>
            <w:pPr>
              <w:widowControl/>
              <w:snapToGrid w:val="0"/>
              <w:spacing w:line="360" w:lineRule="auto"/>
              <w:jc w:val="left"/>
              <w:rPr>
                <w:bCs/>
                <w:snapToGrid w:val="0"/>
                <w:color w:val="auto"/>
                <w:sz w:val="24"/>
                <w:szCs w:val="24"/>
              </w:rPr>
            </w:pPr>
            <w:r>
              <w:rPr>
                <w:rFonts w:hint="eastAsia"/>
                <w:bCs/>
                <w:snapToGrid w:val="0"/>
                <w:color w:val="auto"/>
                <w:sz w:val="24"/>
                <w:szCs w:val="24"/>
              </w:rPr>
              <w:t>便利化服务的能力是指具有下列条件之一：</w:t>
            </w:r>
          </w:p>
          <w:p>
            <w:pPr>
              <w:widowControl/>
              <w:snapToGrid w:val="0"/>
              <w:spacing w:line="360" w:lineRule="auto"/>
              <w:jc w:val="left"/>
              <w:rPr>
                <w:bCs/>
                <w:snapToGrid w:val="0"/>
                <w:color w:val="auto"/>
                <w:sz w:val="24"/>
                <w:szCs w:val="24"/>
              </w:rPr>
            </w:pPr>
            <w:r>
              <w:rPr>
                <w:rFonts w:hint="eastAsia"/>
                <w:bCs/>
                <w:snapToGrid w:val="0"/>
                <w:color w:val="auto"/>
                <w:sz w:val="24"/>
                <w:szCs w:val="24"/>
              </w:rPr>
              <w:t>（1）在</w:t>
            </w:r>
            <w:r>
              <w:rPr>
                <w:bCs/>
                <w:snapToGrid w:val="0"/>
                <w:color w:val="auto"/>
                <w:sz w:val="24"/>
                <w:szCs w:val="24"/>
              </w:rPr>
              <w:t>合肥</w:t>
            </w:r>
            <w:r>
              <w:rPr>
                <w:rFonts w:hint="eastAsia"/>
                <w:bCs/>
                <w:snapToGrid w:val="0"/>
                <w:color w:val="auto"/>
                <w:sz w:val="24"/>
                <w:szCs w:val="24"/>
              </w:rPr>
              <w:t>行政区域范围（含四县一市）具有固定的办公场所及人员；</w:t>
            </w:r>
          </w:p>
          <w:p>
            <w:pPr>
              <w:widowControl/>
              <w:snapToGrid w:val="0"/>
              <w:spacing w:line="360" w:lineRule="auto"/>
              <w:jc w:val="left"/>
              <w:rPr>
                <w:bCs/>
                <w:snapToGrid w:val="0"/>
                <w:color w:val="auto"/>
                <w:sz w:val="24"/>
                <w:szCs w:val="24"/>
              </w:rPr>
            </w:pPr>
            <w:r>
              <w:rPr>
                <w:rFonts w:hint="eastAsia"/>
                <w:bCs/>
                <w:snapToGrid w:val="0"/>
                <w:color w:val="auto"/>
                <w:sz w:val="24"/>
                <w:szCs w:val="24"/>
              </w:rPr>
              <w:t>（2）投标人在</w:t>
            </w:r>
            <w:r>
              <w:rPr>
                <w:bCs/>
                <w:snapToGrid w:val="0"/>
                <w:color w:val="auto"/>
                <w:sz w:val="24"/>
                <w:szCs w:val="24"/>
              </w:rPr>
              <w:t>合肥</w:t>
            </w:r>
            <w:r>
              <w:rPr>
                <w:rFonts w:hint="eastAsia"/>
                <w:bCs/>
                <w:snapToGrid w:val="0"/>
                <w:color w:val="auto"/>
                <w:sz w:val="24"/>
                <w:szCs w:val="24"/>
              </w:rPr>
              <w:t>行政区域范围（含四县一市）注册成立的；</w:t>
            </w:r>
          </w:p>
          <w:p>
            <w:pPr>
              <w:widowControl/>
              <w:snapToGrid w:val="0"/>
              <w:spacing w:line="360" w:lineRule="auto"/>
              <w:jc w:val="left"/>
              <w:rPr>
                <w:bCs/>
                <w:snapToGrid w:val="0"/>
                <w:color w:val="auto"/>
                <w:sz w:val="24"/>
                <w:szCs w:val="24"/>
              </w:rPr>
            </w:pPr>
            <w:r>
              <w:rPr>
                <w:rFonts w:hint="eastAsia"/>
                <w:bCs/>
                <w:snapToGrid w:val="0"/>
                <w:color w:val="auto"/>
                <w:sz w:val="24"/>
                <w:szCs w:val="24"/>
              </w:rPr>
              <w:t>（3）承诺中标即在</w:t>
            </w:r>
            <w:r>
              <w:rPr>
                <w:bCs/>
                <w:snapToGrid w:val="0"/>
                <w:color w:val="auto"/>
                <w:sz w:val="24"/>
                <w:szCs w:val="24"/>
              </w:rPr>
              <w:t>合肥</w:t>
            </w:r>
            <w:r>
              <w:rPr>
                <w:rFonts w:hint="eastAsia"/>
                <w:bCs/>
                <w:snapToGrid w:val="0"/>
                <w:color w:val="auto"/>
                <w:sz w:val="24"/>
                <w:szCs w:val="24"/>
              </w:rPr>
              <w:t>行政区域范围（含四县一市）设立服务机构，或委托相关单位作为服务机构；</w:t>
            </w:r>
          </w:p>
          <w:p>
            <w:pPr>
              <w:widowControl/>
              <w:snapToGrid w:val="0"/>
              <w:spacing w:line="360" w:lineRule="auto"/>
              <w:jc w:val="left"/>
              <w:rPr>
                <w:bCs/>
                <w:snapToGrid w:val="0"/>
                <w:color w:val="auto"/>
                <w:sz w:val="24"/>
                <w:szCs w:val="24"/>
              </w:rPr>
            </w:pPr>
            <w:r>
              <w:rPr>
                <w:rFonts w:hint="eastAsia"/>
                <w:bCs/>
                <w:snapToGrid w:val="0"/>
                <w:color w:val="auto"/>
                <w:sz w:val="24"/>
                <w:szCs w:val="24"/>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5</w:t>
            </w:r>
          </w:p>
        </w:tc>
        <w:tc>
          <w:tcPr>
            <w:tcW w:w="818" w:type="pct"/>
            <w:vAlign w:val="center"/>
          </w:tcPr>
          <w:p>
            <w:pPr>
              <w:pStyle w:val="76"/>
              <w:rPr>
                <w:color w:val="auto"/>
              </w:rPr>
            </w:pPr>
            <w:r>
              <w:rPr>
                <w:rFonts w:hint="eastAsia"/>
                <w:color w:val="auto"/>
              </w:rPr>
              <w:t>关于联合体参加谈判的相关约定</w:t>
            </w:r>
          </w:p>
        </w:tc>
        <w:tc>
          <w:tcPr>
            <w:tcW w:w="3621" w:type="pct"/>
            <w:vAlign w:val="center"/>
          </w:tcPr>
          <w:p>
            <w:pPr>
              <w:pStyle w:val="76"/>
              <w:rPr>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4"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6</w:t>
            </w:r>
          </w:p>
        </w:tc>
        <w:tc>
          <w:tcPr>
            <w:tcW w:w="818" w:type="pct"/>
            <w:vAlign w:val="center"/>
          </w:tcPr>
          <w:p>
            <w:pPr>
              <w:pStyle w:val="76"/>
              <w:rPr>
                <w:color w:val="auto"/>
              </w:rPr>
            </w:pPr>
            <w:r>
              <w:rPr>
                <w:rFonts w:hint="eastAsia"/>
                <w:color w:val="auto"/>
              </w:rPr>
              <w:t>初审业绩要求</w:t>
            </w:r>
          </w:p>
        </w:tc>
        <w:tc>
          <w:tcPr>
            <w:tcW w:w="3621" w:type="pct"/>
            <w:vAlign w:val="center"/>
          </w:tcPr>
          <w:p>
            <w:pPr>
              <w:spacing w:line="360" w:lineRule="auto"/>
              <w:rPr>
                <w:color w:val="auto"/>
                <w:sz w:val="24"/>
                <w:szCs w:val="24"/>
              </w:rPr>
            </w:pPr>
            <w:r>
              <w:rPr>
                <w:rFonts w:hint="eastAsia"/>
                <w:color w:val="auto"/>
                <w:sz w:val="24"/>
                <w:szCs w:val="24"/>
              </w:rPr>
              <w:t>投标人应按下列规定提供业绩证明资料：</w:t>
            </w:r>
          </w:p>
          <w:p>
            <w:pPr>
              <w:spacing w:line="360" w:lineRule="auto"/>
              <w:rPr>
                <w:color w:val="auto"/>
                <w:sz w:val="24"/>
                <w:szCs w:val="24"/>
              </w:rPr>
            </w:pPr>
            <w:r>
              <w:rPr>
                <w:rFonts w:hint="eastAsia"/>
                <w:color w:val="auto"/>
                <w:sz w:val="24"/>
                <w:szCs w:val="24"/>
              </w:rPr>
              <w:t>（1）合同；</w:t>
            </w:r>
          </w:p>
          <w:p>
            <w:pPr>
              <w:spacing w:line="360" w:lineRule="auto"/>
              <w:rPr>
                <w:bCs/>
                <w:snapToGrid w:val="0"/>
                <w:color w:val="auto"/>
                <w:sz w:val="24"/>
                <w:szCs w:val="24"/>
              </w:rPr>
            </w:pPr>
            <w:r>
              <w:rPr>
                <w:rFonts w:hint="eastAsia"/>
                <w:bCs/>
                <w:snapToGrid w:val="0"/>
                <w:color w:val="auto"/>
                <w:sz w:val="24"/>
                <w:szCs w:val="24"/>
              </w:rPr>
              <w:t>备注：</w:t>
            </w:r>
          </w:p>
          <w:p>
            <w:pPr>
              <w:spacing w:line="360" w:lineRule="auto"/>
              <w:rPr>
                <w:bCs/>
                <w:snapToGrid w:val="0"/>
                <w:color w:val="auto"/>
                <w:sz w:val="24"/>
                <w:szCs w:val="24"/>
              </w:rPr>
            </w:pPr>
            <w:r>
              <w:rPr>
                <w:rFonts w:hint="eastAsia"/>
                <w:bCs/>
                <w:snapToGrid w:val="0"/>
                <w:color w:val="auto"/>
                <w:sz w:val="24"/>
                <w:szCs w:val="24"/>
              </w:rPr>
              <w:t>（1）业绩合同可提供包含甲乙方、项目名称、合同总金额、合同签订时间、合同供货范围、合同签字盖章页等关键内容的关键页的扫描件；</w:t>
            </w:r>
          </w:p>
          <w:p>
            <w:pPr>
              <w:numPr>
                <w:ilvl w:val="0"/>
                <w:numId w:val="4"/>
              </w:numPr>
              <w:spacing w:line="360" w:lineRule="auto"/>
              <w:rPr>
                <w:color w:val="auto"/>
              </w:rPr>
            </w:pPr>
            <w:r>
              <w:rPr>
                <w:rFonts w:hint="eastAsia"/>
                <w:bCs/>
                <w:snapToGrid w:val="0"/>
                <w:color w:val="auto"/>
                <w:sz w:val="24"/>
                <w:szCs w:val="24"/>
              </w:rPr>
              <w:t>以上涉及到的材料扫描件信息应完整或能充分反映评审因素。如均未能明确反映出谈判文件所要求的内容的（如合同总金额、项目负责人名称等），应另附买方（或合同甲方）出具的证明资料予以明确说明。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7</w:t>
            </w:r>
          </w:p>
        </w:tc>
        <w:tc>
          <w:tcPr>
            <w:tcW w:w="818" w:type="pct"/>
            <w:vAlign w:val="center"/>
          </w:tcPr>
          <w:p>
            <w:pPr>
              <w:spacing w:line="440" w:lineRule="exact"/>
              <w:rPr>
                <w:rFonts w:cs="宋体"/>
                <w:bCs/>
                <w:color w:val="auto"/>
                <w:sz w:val="24"/>
                <w:szCs w:val="24"/>
              </w:rPr>
            </w:pPr>
            <w:r>
              <w:rPr>
                <w:rFonts w:hint="eastAsia" w:cs="宋体"/>
                <w:bCs/>
                <w:color w:val="auto"/>
                <w:sz w:val="24"/>
                <w:szCs w:val="24"/>
              </w:rPr>
              <w:t>投标人提出疑问截止时间</w:t>
            </w:r>
          </w:p>
        </w:tc>
        <w:tc>
          <w:tcPr>
            <w:tcW w:w="3621" w:type="pct"/>
          </w:tcPr>
          <w:p>
            <w:pPr>
              <w:spacing w:line="440" w:lineRule="exact"/>
              <w:rPr>
                <w:rFonts w:cs="宋体"/>
                <w:bCs/>
                <w:color w:val="auto"/>
                <w:sz w:val="24"/>
                <w:szCs w:val="24"/>
              </w:rPr>
            </w:pPr>
            <w:r>
              <w:rPr>
                <w:rFonts w:hint="eastAsia" w:cs="宋体"/>
                <w:bCs/>
                <w:color w:val="auto"/>
                <w:sz w:val="24"/>
                <w:szCs w:val="24"/>
              </w:rPr>
              <w:t>（1）时间：</w:t>
            </w:r>
            <w:r>
              <w:rPr>
                <w:rFonts w:hint="eastAsia" w:cs="宋体"/>
                <w:bCs/>
                <w:color w:val="auto"/>
                <w:sz w:val="24"/>
                <w:szCs w:val="24"/>
                <w:lang w:val="en-US" w:eastAsia="zh-CN"/>
              </w:rPr>
              <w:t>2025</w:t>
            </w:r>
            <w:r>
              <w:rPr>
                <w:rFonts w:hint="eastAsia" w:cs="宋体"/>
                <w:bCs/>
                <w:color w:val="auto"/>
                <w:kern w:val="2"/>
                <w:sz w:val="24"/>
                <w:szCs w:val="24"/>
              </w:rPr>
              <w:t>年</w:t>
            </w:r>
            <w:r>
              <w:rPr>
                <w:rFonts w:hint="eastAsia" w:cs="宋体"/>
                <w:bCs/>
                <w:color w:val="auto"/>
                <w:kern w:val="2"/>
                <w:sz w:val="24"/>
                <w:szCs w:val="24"/>
                <w:lang w:val="en-US" w:eastAsia="zh-CN"/>
              </w:rPr>
              <w:t>03</w:t>
            </w:r>
            <w:r>
              <w:rPr>
                <w:rFonts w:hint="eastAsia" w:cs="宋体"/>
                <w:bCs/>
                <w:color w:val="auto"/>
                <w:kern w:val="2"/>
                <w:sz w:val="24"/>
                <w:szCs w:val="24"/>
              </w:rPr>
              <w:t>月</w:t>
            </w:r>
            <w:r>
              <w:rPr>
                <w:rFonts w:hint="eastAsia" w:cs="宋体"/>
                <w:bCs/>
                <w:color w:val="auto"/>
                <w:kern w:val="2"/>
                <w:sz w:val="24"/>
                <w:szCs w:val="24"/>
                <w:lang w:val="en-US" w:eastAsia="zh-CN"/>
              </w:rPr>
              <w:t>06</w:t>
            </w:r>
            <w:r>
              <w:rPr>
                <w:rFonts w:hint="eastAsia" w:cs="宋体"/>
                <w:bCs/>
                <w:color w:val="auto"/>
                <w:kern w:val="2"/>
                <w:sz w:val="24"/>
                <w:szCs w:val="24"/>
              </w:rPr>
              <w:t>日</w:t>
            </w:r>
            <w:r>
              <w:rPr>
                <w:rFonts w:hint="eastAsia" w:cs="宋体"/>
                <w:bCs/>
                <w:color w:val="auto"/>
                <w:kern w:val="2"/>
                <w:sz w:val="24"/>
                <w:szCs w:val="24"/>
                <w:lang w:val="en-US" w:eastAsia="zh-CN"/>
              </w:rPr>
              <w:t>17</w:t>
            </w:r>
            <w:r>
              <w:rPr>
                <w:rFonts w:hint="eastAsia" w:cs="宋体"/>
                <w:bCs/>
                <w:color w:val="auto"/>
                <w:kern w:val="2"/>
                <w:sz w:val="24"/>
                <w:szCs w:val="24"/>
              </w:rPr>
              <w:t>时</w:t>
            </w:r>
            <w:r>
              <w:rPr>
                <w:rFonts w:hint="eastAsia" w:cs="宋体"/>
                <w:bCs/>
                <w:color w:val="auto"/>
                <w:kern w:val="2"/>
                <w:sz w:val="24"/>
                <w:szCs w:val="24"/>
                <w:lang w:val="en-US" w:eastAsia="zh-CN"/>
              </w:rPr>
              <w:t>30</w:t>
            </w:r>
            <w:r>
              <w:rPr>
                <w:rFonts w:hint="eastAsia" w:cs="宋体"/>
                <w:bCs/>
                <w:color w:val="auto"/>
                <w:kern w:val="2"/>
                <w:sz w:val="24"/>
                <w:szCs w:val="24"/>
              </w:rPr>
              <w:t>分</w:t>
            </w:r>
          </w:p>
          <w:p>
            <w:pPr>
              <w:spacing w:line="440" w:lineRule="exact"/>
              <w:rPr>
                <w:rFonts w:cs="宋体"/>
                <w:bCs/>
                <w:color w:val="auto"/>
                <w:sz w:val="24"/>
                <w:szCs w:val="24"/>
              </w:rPr>
            </w:pPr>
            <w:r>
              <w:rPr>
                <w:rFonts w:hint="eastAsia" w:cs="宋体"/>
                <w:bCs/>
                <w:color w:val="auto"/>
                <w:sz w:val="24"/>
                <w:szCs w:val="24"/>
              </w:rPr>
              <w:t>（2）形式：通过电子交易系统提交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8</w:t>
            </w:r>
          </w:p>
        </w:tc>
        <w:tc>
          <w:tcPr>
            <w:tcW w:w="818" w:type="pct"/>
            <w:vAlign w:val="center"/>
          </w:tcPr>
          <w:p>
            <w:pPr>
              <w:pStyle w:val="76"/>
              <w:rPr>
                <w:color w:val="auto"/>
              </w:rPr>
            </w:pPr>
            <w:r>
              <w:rPr>
                <w:rFonts w:hint="eastAsia"/>
                <w:color w:val="auto"/>
              </w:rPr>
              <w:t>构成谈判的其他材料</w:t>
            </w:r>
          </w:p>
        </w:tc>
        <w:tc>
          <w:tcPr>
            <w:tcW w:w="3621" w:type="pct"/>
            <w:vAlign w:val="center"/>
          </w:tcPr>
          <w:p>
            <w:pPr>
              <w:adjustRightInd w:val="0"/>
              <w:snapToGrid w:val="0"/>
              <w:spacing w:line="360" w:lineRule="auto"/>
              <w:jc w:val="left"/>
              <w:rPr>
                <w:rFonts w:cs="宋体"/>
                <w:bCs/>
                <w:color w:val="auto"/>
                <w:sz w:val="24"/>
                <w:szCs w:val="24"/>
              </w:rPr>
            </w:pPr>
            <w:r>
              <w:rPr>
                <w:rFonts w:hint="eastAsia" w:cs="宋体"/>
                <w:bCs/>
                <w:color w:val="auto"/>
                <w:sz w:val="24"/>
                <w:szCs w:val="24"/>
              </w:rPr>
              <w:t>□图纸</w:t>
            </w:r>
          </w:p>
          <w:p>
            <w:pPr>
              <w:adjustRightInd w:val="0"/>
              <w:snapToGrid w:val="0"/>
              <w:spacing w:line="360" w:lineRule="auto"/>
              <w:jc w:val="left"/>
              <w:rPr>
                <w:rFonts w:cs="宋体"/>
                <w:bCs/>
                <w:color w:val="auto"/>
                <w:sz w:val="24"/>
                <w:szCs w:val="24"/>
              </w:rPr>
            </w:pPr>
            <w:r>
              <w:rPr>
                <w:rFonts w:hint="eastAsia" w:cs="宋体"/>
                <w:bCs/>
                <w:color w:val="auto"/>
                <w:sz w:val="24"/>
                <w:szCs w:val="24"/>
                <w:lang w:eastAsia="zh-CN"/>
              </w:rPr>
              <w:t>☑</w:t>
            </w:r>
            <w:r>
              <w:rPr>
                <w:rFonts w:hint="eastAsia" w:cs="宋体"/>
                <w:bCs/>
                <w:color w:val="auto"/>
                <w:sz w:val="24"/>
                <w:szCs w:val="24"/>
              </w:rPr>
              <w:t>采购清单</w:t>
            </w:r>
          </w:p>
          <w:p>
            <w:pPr>
              <w:adjustRightInd w:val="0"/>
              <w:snapToGrid w:val="0"/>
              <w:spacing w:line="360" w:lineRule="auto"/>
              <w:jc w:val="left"/>
              <w:rPr>
                <w:rFonts w:cs="宋体"/>
                <w:bCs/>
                <w:color w:val="auto"/>
                <w:sz w:val="24"/>
                <w:szCs w:val="24"/>
              </w:rPr>
            </w:pPr>
            <w:r>
              <w:rPr>
                <w:rFonts w:hint="eastAsia" w:cs="宋体"/>
                <w:bCs/>
                <w:color w:val="auto"/>
                <w:sz w:val="24"/>
                <w:szCs w:val="24"/>
              </w:rPr>
              <w:t>获得方式：</w:t>
            </w:r>
          </w:p>
          <w:p>
            <w:pPr>
              <w:pStyle w:val="76"/>
              <w:rPr>
                <w:b/>
                <w:color w:val="auto"/>
              </w:rPr>
            </w:pPr>
            <w:r>
              <w:rPr>
                <w:rFonts w:hint="eastAsia"/>
                <w:color w:val="auto"/>
              </w:rPr>
              <w:t>上述资料请投标人在获取谈判文件后，自行登录电子交易系统下载本项目附件。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9</w:t>
            </w:r>
          </w:p>
        </w:tc>
        <w:tc>
          <w:tcPr>
            <w:tcW w:w="818" w:type="pct"/>
            <w:vAlign w:val="center"/>
          </w:tcPr>
          <w:p>
            <w:pPr>
              <w:pStyle w:val="76"/>
              <w:rPr>
                <w:color w:val="auto"/>
              </w:rPr>
            </w:pPr>
            <w:r>
              <w:rPr>
                <w:rFonts w:hint="eastAsia"/>
                <w:color w:val="auto"/>
              </w:rPr>
              <w:t>谈判保证金</w:t>
            </w:r>
          </w:p>
        </w:tc>
        <w:tc>
          <w:tcPr>
            <w:tcW w:w="3621" w:type="pct"/>
            <w:vAlign w:val="center"/>
          </w:tcPr>
          <w:p>
            <w:pPr>
              <w:numPr>
                <w:ilvl w:val="0"/>
                <w:numId w:val="5"/>
              </w:numPr>
              <w:snapToGrid w:val="0"/>
              <w:spacing w:line="360" w:lineRule="auto"/>
              <w:ind w:firstLine="120" w:firstLineChars="50"/>
              <w:rPr>
                <w:rFonts w:cs="宋体"/>
                <w:color w:val="auto"/>
                <w:kern w:val="2"/>
                <w:sz w:val="24"/>
                <w:szCs w:val="24"/>
              </w:rPr>
            </w:pPr>
            <w:r>
              <w:rPr>
                <w:rFonts w:hint="eastAsia" w:cs="宋体"/>
                <w:color w:val="auto"/>
                <w:kern w:val="2"/>
                <w:sz w:val="24"/>
                <w:szCs w:val="24"/>
              </w:rPr>
              <w:t>金额：</w:t>
            </w:r>
            <w:r>
              <w:rPr>
                <w:rFonts w:hint="eastAsia" w:cs="宋体"/>
                <w:color w:val="auto"/>
                <w:kern w:val="2"/>
                <w:sz w:val="24"/>
                <w:szCs w:val="24"/>
                <w:u w:val="single"/>
                <w:lang w:val="en-US" w:eastAsia="zh-CN"/>
              </w:rPr>
              <w:t>壹万壹仟</w:t>
            </w:r>
            <w:r>
              <w:rPr>
                <w:rFonts w:hint="eastAsia" w:cs="宋体"/>
                <w:color w:val="auto"/>
                <w:kern w:val="2"/>
                <w:sz w:val="24"/>
                <w:szCs w:val="24"/>
                <w:u w:val="single"/>
              </w:rPr>
              <w:t>元人民币</w:t>
            </w:r>
            <w:r>
              <w:rPr>
                <w:rFonts w:hint="eastAsia" w:ascii="Times New Roman" w:cs="宋体"/>
                <w:bCs/>
                <w:color w:val="auto"/>
                <w:szCs w:val="24"/>
                <w:u w:val="single"/>
              </w:rPr>
              <w:t>。</w:t>
            </w:r>
          </w:p>
          <w:p>
            <w:pPr>
              <w:numPr>
                <w:ilvl w:val="0"/>
                <w:numId w:val="5"/>
              </w:numPr>
              <w:snapToGrid w:val="0"/>
              <w:spacing w:line="360" w:lineRule="auto"/>
              <w:ind w:firstLine="120" w:firstLineChars="50"/>
              <w:rPr>
                <w:rFonts w:cs="宋体"/>
                <w:color w:val="auto"/>
                <w:kern w:val="2"/>
                <w:sz w:val="24"/>
                <w:szCs w:val="24"/>
              </w:rPr>
            </w:pPr>
            <w:r>
              <w:rPr>
                <w:rFonts w:hint="eastAsia" w:cs="宋体"/>
                <w:color w:val="auto"/>
                <w:kern w:val="2"/>
                <w:sz w:val="24"/>
                <w:szCs w:val="24"/>
              </w:rPr>
              <w:t>（缴纳形式：</w:t>
            </w:r>
            <w:r>
              <w:rPr>
                <w:rFonts w:hint="eastAsia" w:cs="宋体"/>
                <w:color w:val="auto"/>
                <w:kern w:val="2"/>
                <w:sz w:val="24"/>
                <w:szCs w:val="24"/>
              </w:rPr>
              <w:fldChar w:fldCharType="begin"/>
            </w:r>
            <w:r>
              <w:rPr>
                <w:rFonts w:hint="eastAsia" w:cs="宋体"/>
                <w:color w:val="auto"/>
                <w:kern w:val="2"/>
                <w:sz w:val="24"/>
                <w:szCs w:val="24"/>
              </w:rPr>
              <w:instrText xml:space="preserve"> eq \o\ac(</w:instrText>
            </w:r>
            <w:r>
              <w:rPr>
                <w:rFonts w:hint="eastAsia" w:cs="宋体"/>
                <w:color w:val="auto"/>
                <w:kern w:val="2"/>
                <w:position w:val="-4"/>
                <w:sz w:val="36"/>
                <w:szCs w:val="24"/>
              </w:rPr>
              <w:instrText xml:space="preserve">□</w:instrText>
            </w:r>
            <w:r>
              <w:rPr>
                <w:rFonts w:hint="eastAsia" w:cs="宋体"/>
                <w:color w:val="auto"/>
                <w:kern w:val="2"/>
                <w:sz w:val="24"/>
                <w:szCs w:val="24"/>
              </w:rPr>
              <w:instrText xml:space="preserve">,√)</w:instrText>
            </w:r>
            <w:r>
              <w:rPr>
                <w:rFonts w:hint="eastAsia" w:cs="宋体"/>
                <w:color w:val="auto"/>
                <w:kern w:val="2"/>
                <w:sz w:val="24"/>
                <w:szCs w:val="24"/>
              </w:rPr>
              <w:fldChar w:fldCharType="end"/>
            </w:r>
            <w:r>
              <w:rPr>
                <w:rFonts w:hint="eastAsia" w:cs="宋体"/>
                <w:color w:val="auto"/>
                <w:kern w:val="2"/>
                <w:sz w:val="24"/>
                <w:szCs w:val="24"/>
              </w:rPr>
              <w:t xml:space="preserve">银行转账  </w:t>
            </w:r>
            <w:r>
              <w:rPr>
                <w:rFonts w:hint="eastAsia" w:cs="宋体"/>
                <w:color w:val="auto"/>
                <w:kern w:val="2"/>
                <w:sz w:val="24"/>
                <w:szCs w:val="24"/>
              </w:rPr>
              <w:fldChar w:fldCharType="begin"/>
            </w:r>
            <w:r>
              <w:rPr>
                <w:rFonts w:hint="eastAsia" w:cs="宋体"/>
                <w:color w:val="auto"/>
                <w:kern w:val="2"/>
                <w:sz w:val="24"/>
                <w:szCs w:val="24"/>
              </w:rPr>
              <w:instrText xml:space="preserve"> eq \o\ac(</w:instrText>
            </w:r>
            <w:r>
              <w:rPr>
                <w:rFonts w:hint="eastAsia" w:cs="宋体"/>
                <w:color w:val="auto"/>
                <w:kern w:val="2"/>
                <w:position w:val="-4"/>
                <w:sz w:val="36"/>
                <w:szCs w:val="24"/>
              </w:rPr>
              <w:instrText xml:space="preserve">□</w:instrText>
            </w:r>
            <w:r>
              <w:rPr>
                <w:rFonts w:hint="eastAsia" w:cs="宋体"/>
                <w:color w:val="auto"/>
                <w:kern w:val="2"/>
                <w:sz w:val="24"/>
                <w:szCs w:val="24"/>
              </w:rPr>
              <w:instrText xml:space="preserve">,√)</w:instrText>
            </w:r>
            <w:r>
              <w:rPr>
                <w:rFonts w:hint="eastAsia" w:cs="宋体"/>
                <w:color w:val="auto"/>
                <w:kern w:val="2"/>
                <w:sz w:val="24"/>
                <w:szCs w:val="24"/>
              </w:rPr>
              <w:fldChar w:fldCharType="end"/>
            </w:r>
            <w:r>
              <w:rPr>
                <w:rFonts w:hint="eastAsia" w:cs="宋体"/>
                <w:color w:val="auto"/>
                <w:kern w:val="2"/>
                <w:sz w:val="24"/>
                <w:szCs w:val="24"/>
              </w:rPr>
              <w:t xml:space="preserve">银行电汇  </w:t>
            </w:r>
            <w:r>
              <w:rPr>
                <w:rFonts w:hint="eastAsia" w:cs="宋体"/>
                <w:color w:val="auto"/>
                <w:kern w:val="2"/>
                <w:sz w:val="24"/>
                <w:szCs w:val="24"/>
              </w:rPr>
              <w:fldChar w:fldCharType="begin"/>
            </w:r>
            <w:r>
              <w:rPr>
                <w:rFonts w:hint="eastAsia" w:cs="宋体"/>
                <w:color w:val="auto"/>
                <w:kern w:val="2"/>
                <w:sz w:val="24"/>
                <w:szCs w:val="24"/>
              </w:rPr>
              <w:instrText xml:space="preserve"> eq \o\ac(</w:instrText>
            </w:r>
            <w:r>
              <w:rPr>
                <w:rFonts w:hint="eastAsia" w:cs="宋体"/>
                <w:color w:val="auto"/>
                <w:kern w:val="2"/>
                <w:position w:val="-4"/>
                <w:sz w:val="36"/>
                <w:szCs w:val="24"/>
              </w:rPr>
              <w:instrText xml:space="preserve">□,</w:instrText>
            </w:r>
            <w:r>
              <w:rPr>
                <w:rFonts w:hint="eastAsia" w:cs="宋体"/>
                <w:color w:val="auto"/>
                <w:kern w:val="2"/>
                <w:sz w:val="25"/>
                <w:szCs w:val="24"/>
              </w:rPr>
              <w:instrText xml:space="preserve">√</w:instrText>
            </w:r>
            <w:r>
              <w:rPr>
                <w:rFonts w:hint="eastAsia" w:cs="宋体"/>
                <w:color w:val="auto"/>
                <w:kern w:val="2"/>
                <w:sz w:val="24"/>
                <w:szCs w:val="24"/>
              </w:rPr>
              <w:instrText xml:space="preserve">)</w:instrText>
            </w:r>
            <w:r>
              <w:rPr>
                <w:rFonts w:hint="eastAsia" w:cs="宋体"/>
                <w:color w:val="auto"/>
                <w:kern w:val="2"/>
                <w:sz w:val="24"/>
                <w:szCs w:val="24"/>
              </w:rPr>
              <w:fldChar w:fldCharType="end"/>
            </w:r>
            <w:r>
              <w:rPr>
                <w:rFonts w:hint="eastAsia" w:cs="宋体"/>
                <w:color w:val="auto"/>
                <w:kern w:val="2"/>
                <w:sz w:val="24"/>
                <w:szCs w:val="24"/>
              </w:rPr>
              <w:t xml:space="preserve">银行保函 </w:t>
            </w:r>
          </w:p>
          <w:p>
            <w:pPr>
              <w:snapToGrid w:val="0"/>
              <w:spacing w:line="360" w:lineRule="auto"/>
              <w:ind w:firstLine="120" w:firstLineChars="50"/>
              <w:rPr>
                <w:rFonts w:cs="宋体"/>
                <w:color w:val="auto"/>
                <w:kern w:val="2"/>
                <w:sz w:val="24"/>
                <w:szCs w:val="24"/>
              </w:rPr>
            </w:pPr>
            <w:r>
              <w:rPr>
                <w:rFonts w:hint="eastAsia" w:cs="宋体"/>
                <w:color w:val="auto"/>
                <w:kern w:val="2"/>
                <w:sz w:val="24"/>
                <w:szCs w:val="24"/>
              </w:rPr>
              <w:t>（3）递交要求：</w:t>
            </w:r>
          </w:p>
          <w:p>
            <w:pPr>
              <w:snapToGrid w:val="0"/>
              <w:spacing w:line="360" w:lineRule="auto"/>
              <w:ind w:firstLine="120" w:firstLineChars="50"/>
              <w:rPr>
                <w:rFonts w:cs="宋体"/>
                <w:color w:val="auto"/>
                <w:kern w:val="2"/>
                <w:sz w:val="24"/>
                <w:szCs w:val="24"/>
              </w:rPr>
            </w:pPr>
            <w:r>
              <w:rPr>
                <w:rFonts w:hint="eastAsia" w:cs="宋体"/>
                <w:color w:val="auto"/>
                <w:kern w:val="2"/>
                <w:sz w:val="24"/>
                <w:szCs w:val="24"/>
              </w:rPr>
              <w:t>①谈判保证金的到账截止时间：谈判截止时间。</w:t>
            </w:r>
          </w:p>
          <w:p>
            <w:pPr>
              <w:snapToGrid w:val="0"/>
              <w:spacing w:line="360" w:lineRule="auto"/>
              <w:ind w:firstLine="120" w:firstLineChars="50"/>
              <w:rPr>
                <w:rFonts w:cs="宋体"/>
                <w:color w:val="auto"/>
                <w:kern w:val="2"/>
                <w:sz w:val="24"/>
                <w:szCs w:val="24"/>
              </w:rPr>
            </w:pPr>
            <w:r>
              <w:rPr>
                <w:rFonts w:hint="eastAsia" w:cs="宋体"/>
                <w:color w:val="auto"/>
                <w:kern w:val="2"/>
                <w:sz w:val="24"/>
                <w:szCs w:val="24"/>
              </w:rPr>
              <w:t>②转入的开户银行及账号见本项目招标公告所示。</w:t>
            </w:r>
          </w:p>
          <w:p>
            <w:pPr>
              <w:snapToGrid w:val="0"/>
              <w:spacing w:line="360" w:lineRule="auto"/>
              <w:ind w:firstLine="120" w:firstLineChars="50"/>
              <w:rPr>
                <w:rFonts w:cs="宋体"/>
                <w:color w:val="auto"/>
                <w:kern w:val="2"/>
                <w:sz w:val="24"/>
                <w:szCs w:val="24"/>
              </w:rPr>
            </w:pPr>
            <w:r>
              <w:rPr>
                <w:rFonts w:hint="eastAsia" w:cs="宋体"/>
                <w:color w:val="auto"/>
                <w:kern w:val="2"/>
                <w:sz w:val="24"/>
                <w:szCs w:val="24"/>
              </w:rPr>
              <w:t>③采用银行保函，应为投标人基本账户开户行出具的见索即付无条件银行保函；投标人必须提供明确有效的查询途径（网址链接及查询方式），否则该银行保函无效。评审时评审小组保留现场核查权利。</w:t>
            </w:r>
          </w:p>
          <w:p>
            <w:pPr>
              <w:snapToGrid w:val="0"/>
              <w:spacing w:line="360" w:lineRule="auto"/>
              <w:ind w:firstLine="120" w:firstLineChars="50"/>
              <w:rPr>
                <w:rFonts w:cs="宋体"/>
                <w:color w:val="auto"/>
                <w:sz w:val="24"/>
                <w:szCs w:val="24"/>
              </w:rPr>
            </w:pPr>
            <w:r>
              <w:rPr>
                <w:rFonts w:hint="eastAsia" w:cs="宋体"/>
                <w:color w:val="auto"/>
                <w:kern w:val="2"/>
                <w:sz w:val="24"/>
                <w:szCs w:val="24"/>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pPr>
              <w:snapToGrid w:val="0"/>
              <w:spacing w:line="360" w:lineRule="auto"/>
              <w:rPr>
                <w:rFonts w:cs="宋体"/>
                <w:color w:val="auto"/>
                <w:kern w:val="2"/>
                <w:sz w:val="24"/>
                <w:szCs w:val="24"/>
              </w:rPr>
            </w:pPr>
            <w:r>
              <w:rPr>
                <w:rFonts w:hint="eastAsia" w:cs="宋体"/>
                <w:color w:val="auto"/>
                <w:kern w:val="2"/>
                <w:sz w:val="24"/>
                <w:szCs w:val="24"/>
              </w:rPr>
              <w:t>（4）注意事项：</w:t>
            </w:r>
          </w:p>
          <w:p>
            <w:pPr>
              <w:snapToGrid w:val="0"/>
              <w:spacing w:line="360" w:lineRule="auto"/>
              <w:ind w:firstLine="120" w:firstLineChars="50"/>
              <w:rPr>
                <w:rFonts w:cs="宋体"/>
                <w:color w:val="auto"/>
                <w:kern w:val="2"/>
                <w:sz w:val="24"/>
                <w:szCs w:val="24"/>
              </w:rPr>
            </w:pPr>
            <w:r>
              <w:rPr>
                <w:rFonts w:hint="eastAsia" w:cs="宋体"/>
                <w:color w:val="auto"/>
                <w:kern w:val="2"/>
                <w:sz w:val="24"/>
                <w:szCs w:val="24"/>
              </w:rPr>
              <w:t>①谈判保证金交纳账号采用动态虚拟账号，项目招标失败后，谈判保证金交纳账号将会发生变化，请投标人参与后续招标时，注意勿将谈判保证金错交至其他项目虚拟账号或前次公告账号。</w:t>
            </w:r>
          </w:p>
          <w:p>
            <w:pPr>
              <w:snapToGrid w:val="0"/>
              <w:spacing w:line="360" w:lineRule="auto"/>
              <w:ind w:firstLine="120" w:firstLineChars="50"/>
              <w:rPr>
                <w:rFonts w:cs="宋体"/>
                <w:color w:val="auto"/>
                <w:kern w:val="2"/>
                <w:sz w:val="24"/>
                <w:szCs w:val="24"/>
              </w:rPr>
            </w:pPr>
            <w:r>
              <w:rPr>
                <w:rFonts w:hint="eastAsia" w:cs="宋体"/>
                <w:color w:val="auto"/>
                <w:kern w:val="2"/>
                <w:sz w:val="24"/>
                <w:szCs w:val="24"/>
              </w:rPr>
              <w:t>②如本项目前次招标失败，招标人退还投标人的谈判保证金。投标人参与本次谈判，须向本项目本次公告公布的谈判保证金账号重新交纳谈判保证金。</w:t>
            </w:r>
          </w:p>
          <w:p>
            <w:pPr>
              <w:snapToGrid w:val="0"/>
              <w:spacing w:line="360" w:lineRule="auto"/>
              <w:ind w:firstLine="120" w:firstLineChars="50"/>
              <w:rPr>
                <w:rFonts w:cs="宋体"/>
                <w:color w:val="auto"/>
                <w:kern w:val="2"/>
                <w:sz w:val="24"/>
                <w:szCs w:val="24"/>
              </w:rPr>
            </w:pPr>
            <w:r>
              <w:rPr>
                <w:rFonts w:hint="eastAsia" w:cs="宋体"/>
                <w:color w:val="auto"/>
                <w:kern w:val="2"/>
                <w:sz w:val="24"/>
                <w:szCs w:val="24"/>
              </w:rPr>
              <w:t>③凡转账到其他项目虚拟账户或本项目前次公告账户的，谈判保证金无效。</w:t>
            </w:r>
          </w:p>
          <w:p>
            <w:pPr>
              <w:snapToGrid w:val="0"/>
              <w:spacing w:line="360" w:lineRule="auto"/>
              <w:ind w:firstLine="120" w:firstLineChars="50"/>
              <w:rPr>
                <w:rFonts w:cs="宋体"/>
                <w:color w:val="auto"/>
                <w:kern w:val="2"/>
                <w:sz w:val="24"/>
                <w:szCs w:val="24"/>
              </w:rPr>
            </w:pPr>
            <w:r>
              <w:rPr>
                <w:rFonts w:hint="eastAsia" w:cs="宋体"/>
                <w:color w:val="auto"/>
                <w:kern w:val="2"/>
                <w:sz w:val="24"/>
                <w:szCs w:val="24"/>
              </w:rPr>
              <w:t>④投标人参与本项目多个标段投标的（如分多标段的），应该按标段分别递交谈判保证金。未递交谈判保证金的标段，其投标无效。</w:t>
            </w:r>
          </w:p>
          <w:p>
            <w:pPr>
              <w:snapToGrid w:val="0"/>
              <w:spacing w:line="360" w:lineRule="auto"/>
              <w:ind w:firstLine="120" w:firstLineChars="50"/>
              <w:rPr>
                <w:rFonts w:cs="宋体"/>
                <w:color w:val="auto"/>
                <w:sz w:val="24"/>
                <w:szCs w:val="24"/>
              </w:rPr>
            </w:pPr>
            <w:r>
              <w:rPr>
                <w:rFonts w:hint="eastAsia" w:cs="宋体"/>
                <w:color w:val="auto"/>
                <w:kern w:val="2"/>
                <w:sz w:val="24"/>
                <w:szCs w:val="24"/>
              </w:rPr>
              <w:t>⑤</w:t>
            </w:r>
            <w:r>
              <w:rPr>
                <w:rFonts w:hint="eastAsia" w:cs="宋体"/>
                <w:color w:val="auto"/>
                <w:kern w:val="2"/>
                <w:sz w:val="24"/>
                <w:szCs w:val="24"/>
                <w:lang w:val="zh-CN"/>
              </w:rPr>
              <w:t>以上</w:t>
            </w:r>
            <w:r>
              <w:rPr>
                <w:rFonts w:hint="eastAsia" w:cs="宋体"/>
                <w:color w:val="auto"/>
                <w:kern w:val="2"/>
                <w:sz w:val="24"/>
                <w:szCs w:val="24"/>
              </w:rPr>
              <w:t>银行保函</w:t>
            </w:r>
            <w:r>
              <w:rPr>
                <w:rFonts w:hint="eastAsia" w:cs="宋体"/>
                <w:color w:val="auto"/>
                <w:kern w:val="2"/>
                <w:sz w:val="24"/>
                <w:szCs w:val="24"/>
                <w:lang w:val="zh-CN"/>
              </w:rPr>
              <w:t>承担责任的方式须满足无条件见索即付条件。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10</w:t>
            </w:r>
          </w:p>
        </w:tc>
        <w:tc>
          <w:tcPr>
            <w:tcW w:w="818" w:type="pct"/>
            <w:vAlign w:val="center"/>
          </w:tcPr>
          <w:p>
            <w:pPr>
              <w:pStyle w:val="76"/>
              <w:rPr>
                <w:color w:val="auto"/>
              </w:rPr>
            </w:pPr>
            <w:r>
              <w:rPr>
                <w:rFonts w:hint="eastAsia"/>
                <w:color w:val="auto"/>
              </w:rPr>
              <w:t>不予退还谈判保证金的情形</w:t>
            </w:r>
          </w:p>
        </w:tc>
        <w:tc>
          <w:tcPr>
            <w:tcW w:w="3621" w:type="pct"/>
            <w:vAlign w:val="center"/>
          </w:tcPr>
          <w:p>
            <w:pPr>
              <w:snapToGrid w:val="0"/>
              <w:spacing w:line="360" w:lineRule="auto"/>
              <w:ind w:firstLine="120" w:firstLineChars="50"/>
              <w:rPr>
                <w:rFonts w:cs="宋体"/>
                <w:color w:val="auto"/>
                <w:sz w:val="24"/>
                <w:szCs w:val="24"/>
              </w:rPr>
            </w:pPr>
            <w:r>
              <w:rPr>
                <w:rFonts w:hint="eastAsia" w:cs="宋体"/>
                <w:color w:val="auto"/>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11</w:t>
            </w:r>
          </w:p>
        </w:tc>
        <w:tc>
          <w:tcPr>
            <w:tcW w:w="818" w:type="pct"/>
            <w:vAlign w:val="center"/>
          </w:tcPr>
          <w:p>
            <w:pPr>
              <w:pStyle w:val="76"/>
              <w:rPr>
                <w:color w:val="auto"/>
              </w:rPr>
            </w:pPr>
            <w:r>
              <w:rPr>
                <w:rFonts w:hint="eastAsia"/>
                <w:color w:val="auto"/>
              </w:rPr>
              <w:t>谈判现场提交的其他材料要求</w:t>
            </w:r>
          </w:p>
        </w:tc>
        <w:tc>
          <w:tcPr>
            <w:tcW w:w="3621" w:type="pct"/>
            <w:vAlign w:val="center"/>
          </w:tcPr>
          <w:p>
            <w:pPr>
              <w:pStyle w:val="76"/>
              <w:rPr>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12</w:t>
            </w:r>
          </w:p>
        </w:tc>
        <w:tc>
          <w:tcPr>
            <w:tcW w:w="818" w:type="pct"/>
            <w:vAlign w:val="center"/>
          </w:tcPr>
          <w:p>
            <w:pPr>
              <w:pStyle w:val="76"/>
              <w:rPr>
                <w:color w:val="auto"/>
              </w:rPr>
            </w:pPr>
            <w:r>
              <w:rPr>
                <w:rFonts w:hint="eastAsia"/>
                <w:color w:val="auto"/>
              </w:rPr>
              <w:t>投标文件解密时间</w:t>
            </w:r>
          </w:p>
        </w:tc>
        <w:tc>
          <w:tcPr>
            <w:tcW w:w="3621" w:type="pct"/>
            <w:vAlign w:val="center"/>
          </w:tcPr>
          <w:p>
            <w:pPr>
              <w:pStyle w:val="76"/>
              <w:rPr>
                <w:color w:val="auto"/>
              </w:rPr>
            </w:pPr>
            <w:r>
              <w:rPr>
                <w:rFonts w:hint="eastAsia"/>
                <w:color w:val="auto"/>
              </w:rPr>
              <w:t>投标文件提交截止时间后30分钟内（以电子交易系统解密倒计时为准）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0" w:type="pct"/>
            <w:vMerge w:val="restar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13</w:t>
            </w:r>
          </w:p>
        </w:tc>
        <w:tc>
          <w:tcPr>
            <w:tcW w:w="818" w:type="pct"/>
            <w:vMerge w:val="restart"/>
            <w:vAlign w:val="center"/>
          </w:tcPr>
          <w:p>
            <w:pPr>
              <w:pStyle w:val="76"/>
              <w:rPr>
                <w:color w:val="auto"/>
              </w:rPr>
            </w:pPr>
            <w:r>
              <w:rPr>
                <w:rFonts w:hint="eastAsia"/>
                <w:color w:val="auto"/>
              </w:rPr>
              <w:t>确定中标候选人和中标人</w:t>
            </w:r>
          </w:p>
        </w:tc>
        <w:tc>
          <w:tcPr>
            <w:tcW w:w="3621" w:type="pct"/>
            <w:vAlign w:val="center"/>
          </w:tcPr>
          <w:p>
            <w:pPr>
              <w:pStyle w:val="76"/>
              <w:rPr>
                <w:color w:val="auto"/>
                <w:u w:val="single"/>
              </w:rPr>
            </w:pPr>
            <w:r>
              <w:rPr>
                <w:rFonts w:hint="eastAsia"/>
                <w:color w:val="auto"/>
              </w:rPr>
              <w:t>评审小组推荐中标候选人的数量：</w:t>
            </w:r>
            <w:r>
              <w:rPr>
                <w:rFonts w:hint="eastAsia"/>
                <w:color w:val="auto"/>
                <w:u w:val="single"/>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Merge w:val="continue"/>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p>
        </w:tc>
        <w:tc>
          <w:tcPr>
            <w:tcW w:w="818" w:type="pct"/>
            <w:vMerge w:val="continue"/>
            <w:vAlign w:val="center"/>
          </w:tcPr>
          <w:p>
            <w:pPr>
              <w:pStyle w:val="76"/>
              <w:rPr>
                <w:color w:val="auto"/>
              </w:rPr>
            </w:pPr>
          </w:p>
        </w:tc>
        <w:tc>
          <w:tcPr>
            <w:tcW w:w="3621" w:type="pct"/>
            <w:vAlign w:val="center"/>
          </w:tcPr>
          <w:p>
            <w:pPr>
              <w:pStyle w:val="76"/>
              <w:rPr>
                <w:color w:val="auto"/>
              </w:rPr>
            </w:pPr>
            <w:r>
              <w:rPr>
                <w:rFonts w:hint="eastAsia"/>
                <w:color w:val="auto"/>
              </w:rPr>
              <w:t>确定中标人：</w:t>
            </w:r>
          </w:p>
          <w:p>
            <w:pPr>
              <w:pStyle w:val="76"/>
              <w:rPr>
                <w:color w:val="auto"/>
              </w:rPr>
            </w:pPr>
            <w:r>
              <w:rPr>
                <w:rFonts w:hint="eastAsia"/>
                <w:color w:val="auto"/>
              </w:rPr>
              <w:sym w:font="Wingdings 2" w:char="0052"/>
            </w:r>
            <w:r>
              <w:rPr>
                <w:rFonts w:hint="eastAsia"/>
                <w:color w:val="auto"/>
              </w:rPr>
              <w:t xml:space="preserve">招标人委托评审小组确定     </w:t>
            </w:r>
          </w:p>
          <w:p>
            <w:pPr>
              <w:pStyle w:val="76"/>
              <w:rPr>
                <w:color w:val="auto"/>
              </w:rPr>
            </w:pPr>
            <w:r>
              <w:rPr>
                <w:rFonts w:hint="eastAsia"/>
                <w:color w:val="auto"/>
              </w:rPr>
              <w:sym w:font="Wingdings 2" w:char="00A3"/>
            </w:r>
            <w:r>
              <w:rPr>
                <w:rFonts w:hint="eastAsia"/>
                <w:color w:val="auto"/>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14</w:t>
            </w:r>
          </w:p>
        </w:tc>
        <w:tc>
          <w:tcPr>
            <w:tcW w:w="818" w:type="pct"/>
            <w:vAlign w:val="center"/>
          </w:tcPr>
          <w:p>
            <w:pPr>
              <w:pStyle w:val="76"/>
              <w:rPr>
                <w:color w:val="auto"/>
              </w:rPr>
            </w:pPr>
            <w:r>
              <w:rPr>
                <w:rFonts w:hint="eastAsia"/>
                <w:color w:val="auto"/>
              </w:rPr>
              <w:t>中标通知书发出的形式</w:t>
            </w:r>
          </w:p>
        </w:tc>
        <w:tc>
          <w:tcPr>
            <w:tcW w:w="3621" w:type="pct"/>
            <w:vAlign w:val="center"/>
          </w:tcPr>
          <w:p>
            <w:pPr>
              <w:pStyle w:val="76"/>
              <w:rPr>
                <w:color w:val="auto"/>
              </w:rPr>
            </w:pPr>
            <w:r>
              <w:rPr>
                <w:rFonts w:hint="eastAsia"/>
                <w:color w:val="auto"/>
              </w:rPr>
              <w:t xml:space="preserve">□书面     </w:t>
            </w:r>
            <w:r>
              <w:rPr>
                <w:rFonts w:hint="eastAsia"/>
                <w:color w:val="auto"/>
              </w:rPr>
              <w:sym w:font="Wingdings" w:char="F0FE"/>
            </w:r>
            <w:r>
              <w:rPr>
                <w:rFonts w:hint="eastAsia"/>
                <w:color w:val="auto"/>
              </w:rPr>
              <w:t>数据电文</w:t>
            </w:r>
          </w:p>
          <w:p>
            <w:pPr>
              <w:pStyle w:val="76"/>
              <w:rPr>
                <w:color w:val="auto"/>
              </w:rPr>
            </w:pPr>
            <w:r>
              <w:rPr>
                <w:rFonts w:hint="eastAsia"/>
                <w:color w:val="auto"/>
              </w:rPr>
              <w:t>特别提醒：本项目发布中标结果公告的同时，通过电子交易系统向中标人发出中标通知书。中标通知书发出视为已送达，投标人应主动登录电子交易系统查询，代理机构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15</w:t>
            </w:r>
          </w:p>
        </w:tc>
        <w:tc>
          <w:tcPr>
            <w:tcW w:w="818" w:type="pct"/>
            <w:vAlign w:val="center"/>
          </w:tcPr>
          <w:p>
            <w:pPr>
              <w:pStyle w:val="76"/>
              <w:rPr>
                <w:color w:val="auto"/>
              </w:rPr>
            </w:pPr>
            <w:r>
              <w:rPr>
                <w:rFonts w:hint="eastAsia"/>
                <w:color w:val="auto"/>
              </w:rPr>
              <w:t>告知谈判结果的形式</w:t>
            </w:r>
          </w:p>
        </w:tc>
        <w:tc>
          <w:tcPr>
            <w:tcW w:w="3621" w:type="pct"/>
            <w:vAlign w:val="center"/>
          </w:tcPr>
          <w:p>
            <w:pPr>
              <w:pStyle w:val="76"/>
              <w:rPr>
                <w:color w:val="auto"/>
              </w:rPr>
            </w:pPr>
            <w:r>
              <w:rPr>
                <w:rFonts w:hint="eastAsia"/>
                <w:color w:val="auto"/>
              </w:rPr>
              <w:sym w:font="Wingdings" w:char="F0FE"/>
            </w:r>
            <w:r>
              <w:rPr>
                <w:rFonts w:hint="eastAsia"/>
                <w:color w:val="auto"/>
              </w:rPr>
              <w:t>投标人自行登录电子交易系统查看</w:t>
            </w:r>
          </w:p>
          <w:p>
            <w:pPr>
              <w:pStyle w:val="76"/>
              <w:rPr>
                <w:color w:val="auto"/>
              </w:rPr>
            </w:pPr>
            <w:r>
              <w:rPr>
                <w:rFonts w:hint="eastAsia"/>
                <w:color w:val="auto"/>
              </w:rPr>
              <w:t>□谈判现场告知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16</w:t>
            </w:r>
          </w:p>
        </w:tc>
        <w:tc>
          <w:tcPr>
            <w:tcW w:w="818" w:type="pct"/>
            <w:vAlign w:val="center"/>
          </w:tcPr>
          <w:p>
            <w:pPr>
              <w:pStyle w:val="76"/>
              <w:rPr>
                <w:color w:val="auto"/>
              </w:rPr>
            </w:pPr>
            <w:r>
              <w:rPr>
                <w:rFonts w:hint="eastAsia"/>
                <w:color w:val="auto"/>
              </w:rPr>
              <w:t>履约保证金</w:t>
            </w:r>
          </w:p>
        </w:tc>
        <w:tc>
          <w:tcPr>
            <w:tcW w:w="3621" w:type="pct"/>
          </w:tcPr>
          <w:p>
            <w:pPr>
              <w:snapToGrid w:val="0"/>
              <w:spacing w:line="360" w:lineRule="auto"/>
              <w:rPr>
                <w:rFonts w:cs="宋体"/>
                <w:bCs/>
                <w:snapToGrid w:val="0"/>
                <w:color w:val="auto"/>
                <w:sz w:val="24"/>
                <w:szCs w:val="24"/>
              </w:rPr>
            </w:pPr>
            <w:r>
              <w:rPr>
                <w:rFonts w:hint="eastAsia" w:cs="宋体"/>
                <w:bCs/>
                <w:snapToGrid w:val="0"/>
                <w:color w:val="auto"/>
                <w:sz w:val="24"/>
                <w:szCs w:val="24"/>
              </w:rPr>
              <w:t>（1）金额：</w:t>
            </w:r>
            <w:r>
              <w:rPr>
                <w:rFonts w:hint="eastAsia" w:cs="宋体"/>
                <w:bCs/>
                <w:snapToGrid w:val="0"/>
                <w:color w:val="auto"/>
                <w:sz w:val="24"/>
                <w:szCs w:val="24"/>
                <w:u w:val="single"/>
              </w:rPr>
              <w:t>贰万元人民币</w:t>
            </w:r>
          </w:p>
          <w:p>
            <w:pPr>
              <w:snapToGrid w:val="0"/>
              <w:spacing w:line="360" w:lineRule="auto"/>
              <w:rPr>
                <w:rFonts w:cs="宋体"/>
                <w:color w:val="auto"/>
                <w:sz w:val="24"/>
                <w:szCs w:val="24"/>
              </w:rPr>
            </w:pPr>
            <w:r>
              <w:rPr>
                <w:rFonts w:hint="eastAsia" w:cs="宋体"/>
                <w:bCs/>
                <w:snapToGrid w:val="0"/>
                <w:color w:val="auto"/>
                <w:sz w:val="24"/>
                <w:szCs w:val="24"/>
              </w:rPr>
              <w:t>（2）缴纳形式</w:t>
            </w:r>
            <w:r>
              <w:rPr>
                <w:rFonts w:hint="eastAsia" w:cs="宋体"/>
                <w:color w:val="auto"/>
                <w:sz w:val="24"/>
                <w:szCs w:val="24"/>
              </w:rPr>
              <w:t>：</w:t>
            </w:r>
            <w:r>
              <w:rPr>
                <w:rFonts w:hint="eastAsia"/>
                <w:color w:val="auto"/>
                <w:lang w:eastAsia="zh-CN"/>
              </w:rPr>
              <w:t>☑</w:t>
            </w:r>
            <w:r>
              <w:rPr>
                <w:rFonts w:hint="eastAsia" w:cs="宋体"/>
                <w:color w:val="auto"/>
                <w:sz w:val="24"/>
                <w:szCs w:val="24"/>
              </w:rPr>
              <w:t>银行转账</w:t>
            </w:r>
            <w:r>
              <w:rPr>
                <w:rFonts w:hint="eastAsia"/>
                <w:color w:val="auto"/>
                <w:lang w:eastAsia="zh-CN"/>
              </w:rPr>
              <w:t>☑</w:t>
            </w:r>
            <w:r>
              <w:rPr>
                <w:rFonts w:hint="eastAsia" w:cs="宋体"/>
                <w:color w:val="auto"/>
                <w:sz w:val="24"/>
                <w:szCs w:val="24"/>
              </w:rPr>
              <w:t>银行电汇</w:t>
            </w:r>
            <w:r>
              <w:rPr>
                <w:rFonts w:hint="eastAsia"/>
                <w:color w:val="auto"/>
                <w:lang w:eastAsia="zh-CN"/>
              </w:rPr>
              <w:t>☑</w:t>
            </w:r>
            <w:r>
              <w:rPr>
                <w:rFonts w:hint="eastAsia" w:cs="宋体"/>
                <w:color w:val="auto"/>
                <w:sz w:val="24"/>
                <w:szCs w:val="24"/>
              </w:rPr>
              <w:t>银行保函</w:t>
            </w:r>
          </w:p>
          <w:p>
            <w:pPr>
              <w:snapToGrid w:val="0"/>
              <w:spacing w:line="360" w:lineRule="auto"/>
              <w:rPr>
                <w:rFonts w:cs="宋体"/>
                <w:b/>
                <w:bCs/>
                <w:snapToGrid w:val="0"/>
                <w:color w:val="auto"/>
                <w:sz w:val="24"/>
                <w:szCs w:val="24"/>
              </w:rPr>
            </w:pPr>
            <w:r>
              <w:rPr>
                <w:rFonts w:hint="eastAsia" w:cs="宋体"/>
                <w:color w:val="auto"/>
                <w:sz w:val="24"/>
                <w:szCs w:val="24"/>
              </w:rPr>
              <w:t>（3）具体要求：采用银行保函的，</w:t>
            </w:r>
            <w:bookmarkStart w:id="5" w:name="OLE_LINK3"/>
            <w:bookmarkStart w:id="6" w:name="OLE_LINK2"/>
            <w:r>
              <w:rPr>
                <w:rFonts w:hint="eastAsia" w:cs="宋体"/>
                <w:color w:val="auto"/>
                <w:sz w:val="24"/>
                <w:szCs w:val="24"/>
              </w:rPr>
              <w:t>应为不可撤销、不可转让的见索即付独立保函。</w:t>
            </w:r>
            <w:bookmarkEnd w:id="5"/>
            <w:bookmarkEnd w:id="6"/>
          </w:p>
          <w:p>
            <w:pPr>
              <w:pStyle w:val="76"/>
              <w:rPr>
                <w:color w:val="auto"/>
              </w:rPr>
            </w:pPr>
            <w:r>
              <w:rPr>
                <w:rFonts w:hint="eastAsia"/>
                <w:color w:val="auto"/>
              </w:rPr>
              <w:t>（4）其他要求：</w:t>
            </w:r>
            <w:r>
              <w:rPr>
                <w:color w:val="auto"/>
              </w:rPr>
              <w:t>中标人在</w:t>
            </w:r>
            <w:r>
              <w:rPr>
                <w:rFonts w:hint="eastAsia"/>
                <w:color w:val="auto"/>
              </w:rPr>
              <w:t>签订合同后3日内应当缴纳履约保证金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17</w:t>
            </w:r>
          </w:p>
        </w:tc>
        <w:tc>
          <w:tcPr>
            <w:tcW w:w="1432" w:type="dxa"/>
            <w:vAlign w:val="center"/>
          </w:tcPr>
          <w:p>
            <w:pPr>
              <w:snapToGrid w:val="0"/>
              <w:spacing w:line="360" w:lineRule="auto"/>
              <w:jc w:val="center"/>
              <w:rPr>
                <w:rFonts w:cs="宋体"/>
                <w:color w:val="auto"/>
                <w:sz w:val="24"/>
                <w:szCs w:val="24"/>
              </w:rPr>
            </w:pPr>
            <w:r>
              <w:rPr>
                <w:rFonts w:hint="eastAsia" w:ascii="Times New Roman" w:cs="宋体"/>
                <w:bCs/>
                <w:snapToGrid w:val="0"/>
                <w:color w:val="auto"/>
                <w:sz w:val="24"/>
                <w:szCs w:val="24"/>
              </w:rPr>
              <w:t>招标代理服务费</w:t>
            </w:r>
          </w:p>
        </w:tc>
        <w:tc>
          <w:tcPr>
            <w:tcW w:w="6337" w:type="dxa"/>
            <w:vAlign w:val="center"/>
          </w:tcPr>
          <w:p>
            <w:pPr>
              <w:widowControl/>
              <w:snapToGrid w:val="0"/>
              <w:spacing w:line="360" w:lineRule="auto"/>
              <w:jc w:val="left"/>
              <w:rPr>
                <w:rFonts w:ascii="Times New Roman" w:hAnsi="Times New Roman" w:cs="宋体"/>
                <w:bCs/>
                <w:color w:val="auto"/>
                <w:sz w:val="24"/>
                <w:szCs w:val="24"/>
              </w:rPr>
            </w:pPr>
            <w:r>
              <w:rPr>
                <w:rFonts w:hint="eastAsia" w:ascii="Times New Roman" w:hAnsi="Times New Roman" w:cs="宋体"/>
                <w:bCs/>
                <w:color w:val="auto"/>
                <w:sz w:val="24"/>
                <w:szCs w:val="24"/>
              </w:rPr>
              <w:t>（1）招标代理服务费：中标人在领取中标通知书前须向招标代理机构缴纳招标代理服务费，可以银行转账、银行电汇方式。</w:t>
            </w:r>
          </w:p>
          <w:p>
            <w:pPr>
              <w:widowControl/>
              <w:snapToGrid w:val="0"/>
              <w:spacing w:line="360" w:lineRule="auto"/>
              <w:jc w:val="left"/>
              <w:rPr>
                <w:rFonts w:ascii="Times New Roman" w:hAnsi="Times New Roman" w:cs="宋体"/>
                <w:bCs/>
                <w:color w:val="auto"/>
                <w:sz w:val="24"/>
                <w:szCs w:val="24"/>
              </w:rPr>
            </w:pPr>
            <w:r>
              <w:rPr>
                <w:rFonts w:hint="eastAsia" w:ascii="Times New Roman" w:hAnsi="Times New Roman" w:cs="宋体"/>
                <w:bCs/>
                <w:color w:val="auto"/>
                <w:sz w:val="24"/>
                <w:szCs w:val="24"/>
              </w:rPr>
              <w:t>招标代理服务费：以每标段的中标价为计算基数，具体收取金额为附件1对应表格相应招标类别收费标准的80%，每标段收取金额不足4000元的按照4000元最低标准收取。</w:t>
            </w:r>
          </w:p>
          <w:p>
            <w:pPr>
              <w:widowControl/>
              <w:snapToGrid w:val="0"/>
              <w:spacing w:line="360" w:lineRule="auto"/>
              <w:jc w:val="left"/>
              <w:rPr>
                <w:rFonts w:ascii="Times New Roman" w:hAnsi="Times New Roman" w:cs="宋体"/>
                <w:bCs/>
                <w:color w:val="auto"/>
                <w:sz w:val="24"/>
                <w:szCs w:val="24"/>
              </w:rPr>
            </w:pPr>
            <w:r>
              <w:rPr>
                <w:rFonts w:hint="eastAsia" w:ascii="Times New Roman" w:hAnsi="Times New Roman" w:cs="宋体"/>
                <w:bCs/>
                <w:color w:val="auto"/>
                <w:sz w:val="24"/>
                <w:szCs w:val="24"/>
              </w:rPr>
              <w:t>（2）以上相关费用，投标人在报价单中不单列，包含在投标总价中，招标人不再单独计量支付。</w:t>
            </w:r>
          </w:p>
          <w:p>
            <w:pPr>
              <w:pStyle w:val="19"/>
              <w:rPr>
                <w:color w:val="auto"/>
              </w:rPr>
            </w:pPr>
            <w:r>
              <w:rPr>
                <w:rFonts w:hint="eastAsia" w:asciiTheme="minorEastAsia" w:hAnsiTheme="minorEastAsia" w:eastAsiaTheme="minorEastAsia" w:cstheme="minorEastAsia"/>
                <w:bCs/>
                <w:color w:val="auto"/>
                <w:sz w:val="24"/>
                <w:lang w:val="en-US"/>
              </w:rPr>
              <w:t>（3）以上费用代理机构有权从谈判保证金中优先扣除。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18</w:t>
            </w:r>
          </w:p>
        </w:tc>
        <w:tc>
          <w:tcPr>
            <w:tcW w:w="818" w:type="pct"/>
            <w:vAlign w:val="center"/>
          </w:tcPr>
          <w:p>
            <w:pPr>
              <w:pStyle w:val="76"/>
              <w:rPr>
                <w:color w:val="auto"/>
              </w:rPr>
            </w:pPr>
            <w:r>
              <w:rPr>
                <w:rFonts w:hint="eastAsia"/>
                <w:color w:val="auto"/>
              </w:rPr>
              <w:t>补充约定</w:t>
            </w:r>
          </w:p>
        </w:tc>
        <w:tc>
          <w:tcPr>
            <w:tcW w:w="3621" w:type="pct"/>
            <w:vAlign w:val="center"/>
          </w:tcPr>
          <w:p>
            <w:pPr>
              <w:numPr>
                <w:ilvl w:val="255"/>
                <w:numId w:val="0"/>
              </w:numPr>
              <w:adjustRightInd w:val="0"/>
              <w:snapToGrid w:val="0"/>
              <w:spacing w:line="360" w:lineRule="auto"/>
              <w:rPr>
                <w:rFonts w:cs="宋体"/>
                <w:color w:val="auto"/>
                <w:sz w:val="24"/>
                <w:szCs w:val="24"/>
              </w:rPr>
            </w:pPr>
            <w:r>
              <w:rPr>
                <w:rFonts w:hint="eastAsia" w:cs="宋体"/>
                <w:color w:val="auto"/>
                <w:sz w:val="24"/>
                <w:szCs w:val="24"/>
              </w:rPr>
              <w:t>（1）通过初审的投标人为2家及以上的，按谈判文件约定进行评审并确定结果；</w:t>
            </w:r>
          </w:p>
          <w:p>
            <w:pPr>
              <w:adjustRightInd w:val="0"/>
              <w:snapToGrid w:val="0"/>
              <w:spacing w:line="360" w:lineRule="auto"/>
              <w:rPr>
                <w:rFonts w:cs="宋体"/>
                <w:color w:val="auto"/>
                <w:sz w:val="24"/>
                <w:szCs w:val="24"/>
              </w:rPr>
            </w:pPr>
            <w:r>
              <w:rPr>
                <w:rFonts w:hint="eastAsia" w:cs="宋体"/>
                <w:color w:val="auto"/>
                <w:sz w:val="24"/>
                <w:szCs w:val="24"/>
              </w:rPr>
              <w:t>（2）通过初审的投标人为1家的，且评审小组认为具有竞争性的，继续评审并确定结果。</w:t>
            </w:r>
          </w:p>
          <w:p>
            <w:pPr>
              <w:pStyle w:val="4"/>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spacing w:line="360" w:lineRule="auto"/>
              <w:jc w:val="center"/>
              <w:rPr>
                <w:rFonts w:cs="宋体"/>
                <w:color w:val="auto"/>
                <w:kern w:val="2"/>
                <w:sz w:val="24"/>
                <w:szCs w:val="24"/>
              </w:rPr>
            </w:pPr>
            <w:r>
              <w:rPr>
                <w:rFonts w:hint="eastAsia" w:cs="宋体"/>
                <w:color w:val="auto"/>
                <w:kern w:val="2"/>
                <w:sz w:val="24"/>
                <w:szCs w:val="24"/>
              </w:rPr>
              <w:t>19</w:t>
            </w:r>
          </w:p>
        </w:tc>
        <w:tc>
          <w:tcPr>
            <w:tcW w:w="818" w:type="pct"/>
            <w:vAlign w:val="center"/>
          </w:tcPr>
          <w:p>
            <w:pPr>
              <w:spacing w:line="360" w:lineRule="auto"/>
              <w:rPr>
                <w:rFonts w:cs="宋体"/>
                <w:color w:val="auto"/>
                <w:kern w:val="2"/>
                <w:sz w:val="24"/>
                <w:szCs w:val="24"/>
              </w:rPr>
            </w:pPr>
            <w:r>
              <w:rPr>
                <w:rFonts w:hint="eastAsia" w:cs="宋体"/>
                <w:color w:val="auto"/>
                <w:kern w:val="2"/>
                <w:sz w:val="24"/>
                <w:szCs w:val="24"/>
              </w:rPr>
              <w:t>报价须知</w:t>
            </w:r>
          </w:p>
        </w:tc>
        <w:tc>
          <w:tcPr>
            <w:tcW w:w="3621" w:type="pct"/>
            <w:vAlign w:val="center"/>
          </w:tcPr>
          <w:p>
            <w:pPr>
              <w:spacing w:line="360" w:lineRule="auto"/>
              <w:rPr>
                <w:rFonts w:cs="宋体"/>
                <w:bCs/>
                <w:color w:val="auto"/>
                <w:kern w:val="2"/>
                <w:sz w:val="24"/>
                <w:szCs w:val="24"/>
              </w:rPr>
            </w:pPr>
            <w:r>
              <w:rPr>
                <w:rFonts w:hint="eastAsia"/>
                <w:bCs/>
                <w:snapToGrid w:val="0"/>
                <w:color w:val="auto"/>
                <w:sz w:val="24"/>
                <w:szCs w:val="24"/>
              </w:rPr>
              <w:t>（1）投标人的报价应包含所投货物的供货、包装运输及保险、安装、调试、考核验收、培训、交付后约定期限内免费维修保养服务、税费等所有工作和应有费用。</w:t>
            </w:r>
          </w:p>
          <w:p>
            <w:pPr>
              <w:spacing w:line="360" w:lineRule="auto"/>
              <w:rPr>
                <w:rFonts w:cs="宋体"/>
                <w:bCs/>
                <w:color w:val="auto"/>
                <w:kern w:val="2"/>
                <w:sz w:val="24"/>
                <w:szCs w:val="24"/>
              </w:rPr>
            </w:pPr>
            <w:r>
              <w:rPr>
                <w:rFonts w:hint="eastAsia" w:cs="宋体"/>
                <w:bCs/>
                <w:color w:val="auto"/>
                <w:kern w:val="2"/>
                <w:sz w:val="24"/>
                <w:szCs w:val="24"/>
              </w:rPr>
              <w:t>（2）投标人最终投标报价不得高于谈判文件（公告）列明的项目预算、最高投标限价，否则其投标文件将被否决。</w:t>
            </w:r>
          </w:p>
          <w:p>
            <w:pPr>
              <w:spacing w:line="360" w:lineRule="auto"/>
              <w:rPr>
                <w:rFonts w:cs="宋体"/>
                <w:color w:val="auto"/>
                <w:sz w:val="24"/>
                <w:szCs w:val="24"/>
              </w:rPr>
            </w:pPr>
            <w:r>
              <w:rPr>
                <w:rFonts w:hint="eastAsia" w:cs="宋体"/>
                <w:color w:val="auto"/>
                <w:kern w:val="2"/>
                <w:sz w:val="24"/>
                <w:szCs w:val="24"/>
              </w:rPr>
              <w:t>（3）在项目谈判过程中，投标人最终投标报价与公布的最高投标限价或项目</w:t>
            </w:r>
            <w:r>
              <w:rPr>
                <w:rFonts w:hint="eastAsia" w:cs="宋体"/>
                <w:color w:val="auto"/>
                <w:sz w:val="24"/>
                <w:szCs w:val="24"/>
              </w:rPr>
              <w:t>预算</w:t>
            </w:r>
            <w:r>
              <w:rPr>
                <w:rFonts w:hint="eastAsia" w:cs="宋体"/>
                <w:color w:val="auto"/>
                <w:kern w:val="2"/>
                <w:sz w:val="24"/>
                <w:szCs w:val="24"/>
              </w:rPr>
              <w:t>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spacing w:line="360" w:lineRule="auto"/>
              <w:jc w:val="center"/>
              <w:rPr>
                <w:rFonts w:cs="宋体"/>
                <w:color w:val="auto"/>
                <w:kern w:val="2"/>
                <w:sz w:val="24"/>
                <w:szCs w:val="24"/>
              </w:rPr>
            </w:pPr>
            <w:r>
              <w:rPr>
                <w:rFonts w:hint="eastAsia" w:cs="宋体"/>
                <w:color w:val="auto"/>
                <w:kern w:val="2"/>
                <w:sz w:val="24"/>
                <w:szCs w:val="24"/>
              </w:rPr>
              <w:t>20</w:t>
            </w:r>
          </w:p>
        </w:tc>
        <w:tc>
          <w:tcPr>
            <w:tcW w:w="818" w:type="pct"/>
            <w:vAlign w:val="center"/>
          </w:tcPr>
          <w:p>
            <w:pPr>
              <w:spacing w:line="360" w:lineRule="auto"/>
              <w:rPr>
                <w:rFonts w:cs="宋体"/>
                <w:color w:val="auto"/>
                <w:kern w:val="2"/>
                <w:sz w:val="24"/>
                <w:szCs w:val="24"/>
              </w:rPr>
            </w:pPr>
            <w:r>
              <w:rPr>
                <w:rFonts w:hint="eastAsia" w:cs="宋体"/>
                <w:color w:val="auto"/>
                <w:kern w:val="2"/>
                <w:sz w:val="24"/>
                <w:szCs w:val="24"/>
              </w:rPr>
              <w:t>重要说明</w:t>
            </w:r>
          </w:p>
        </w:tc>
        <w:tc>
          <w:tcPr>
            <w:tcW w:w="3621" w:type="pct"/>
            <w:vAlign w:val="center"/>
          </w:tcPr>
          <w:p>
            <w:pPr>
              <w:spacing w:line="360" w:lineRule="auto"/>
              <w:rPr>
                <w:rFonts w:cs="宋体"/>
                <w:color w:val="auto"/>
                <w:sz w:val="24"/>
                <w:szCs w:val="24"/>
              </w:rPr>
            </w:pPr>
            <w:r>
              <w:rPr>
                <w:rFonts w:hint="eastAsia" w:cs="宋体"/>
                <w:color w:val="auto"/>
                <w:sz w:val="24"/>
                <w:szCs w:val="24"/>
              </w:rPr>
              <w:t>（1）中标人应在规定期限内提交履约保证金并与招标人签订合同，若中标人未能在规定期限内提交履约保证金或签订合同，招标人有权取消中标人中标资格；</w:t>
            </w:r>
          </w:p>
          <w:p>
            <w:pPr>
              <w:spacing w:line="360" w:lineRule="auto"/>
              <w:rPr>
                <w:rFonts w:cs="宋体"/>
                <w:color w:val="auto"/>
                <w:sz w:val="24"/>
                <w:szCs w:val="24"/>
              </w:rPr>
            </w:pPr>
            <w:r>
              <w:rPr>
                <w:rFonts w:hint="eastAsia" w:cs="宋体"/>
                <w:color w:val="auto"/>
                <w:sz w:val="24"/>
                <w:szCs w:val="24"/>
              </w:rPr>
              <w:t>（2）合同签订后，中标人存在规定时间内不组织人员进场开工，不履行合同义务等情况，招标人有权解除合同，并追究违约责任；</w:t>
            </w:r>
          </w:p>
          <w:p>
            <w:pPr>
              <w:spacing w:line="360" w:lineRule="auto"/>
              <w:rPr>
                <w:rFonts w:cs="宋体"/>
                <w:color w:val="auto"/>
                <w:sz w:val="24"/>
                <w:szCs w:val="24"/>
              </w:rPr>
            </w:pPr>
            <w:r>
              <w:rPr>
                <w:rFonts w:hint="eastAsia" w:cs="宋体"/>
                <w:color w:val="auto"/>
                <w:sz w:val="24"/>
                <w:szCs w:val="24"/>
              </w:rPr>
              <w:t>（3）中标人在中标项目发生投诉、信访举报案件、履约存在争议时，拒绝协助配合有关部门调查案件的，招标人可以取消其中标资格或解除合同，并追究其违约责任。</w:t>
            </w:r>
          </w:p>
          <w:p>
            <w:pPr>
              <w:pStyle w:val="4"/>
              <w:rPr>
                <w:color w:val="auto"/>
              </w:rPr>
            </w:pPr>
            <w:r>
              <w:rPr>
                <w:rFonts w:hint="eastAsia"/>
                <w:color w:val="auto"/>
              </w:rPr>
              <w:t>（4）投标人参与谈判，应当诚信守法、公平竞争。如有以提供虚假材料（包括但不限于虚假技术参数响应、虚假业绩、虚假证书、虚假检测报告等）、串通谈判、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60" w:type="pct"/>
            <w:vAlign w:val="center"/>
          </w:tcPr>
          <w:p>
            <w:pPr>
              <w:snapToGrid w:val="0"/>
              <w:spacing w:line="360" w:lineRule="auto"/>
              <w:jc w:val="center"/>
              <w:rPr>
                <w:rFonts w:cs="宋体"/>
                <w:bCs/>
                <w:color w:val="auto"/>
                <w:sz w:val="24"/>
                <w:szCs w:val="24"/>
              </w:rPr>
            </w:pPr>
            <w:r>
              <w:rPr>
                <w:rFonts w:hint="eastAsia" w:cs="宋体"/>
                <w:bCs/>
                <w:color w:val="auto"/>
                <w:sz w:val="24"/>
                <w:szCs w:val="24"/>
              </w:rPr>
              <w:t>21</w:t>
            </w:r>
          </w:p>
        </w:tc>
        <w:tc>
          <w:tcPr>
            <w:tcW w:w="818" w:type="pct"/>
            <w:vAlign w:val="center"/>
          </w:tcPr>
          <w:p>
            <w:pPr>
              <w:snapToGrid w:val="0"/>
              <w:spacing w:line="360" w:lineRule="auto"/>
              <w:jc w:val="center"/>
              <w:rPr>
                <w:rFonts w:cs="宋体"/>
                <w:bCs/>
                <w:snapToGrid w:val="0"/>
                <w:color w:val="auto"/>
                <w:sz w:val="24"/>
                <w:szCs w:val="24"/>
              </w:rPr>
            </w:pPr>
            <w:r>
              <w:rPr>
                <w:rFonts w:hint="eastAsia" w:cs="宋体"/>
                <w:bCs/>
                <w:snapToGrid w:val="0"/>
                <w:color w:val="auto"/>
                <w:sz w:val="24"/>
                <w:szCs w:val="24"/>
              </w:rPr>
              <w:t>电子招标</w:t>
            </w:r>
          </w:p>
        </w:tc>
        <w:tc>
          <w:tcPr>
            <w:tcW w:w="3621" w:type="pct"/>
            <w:vAlign w:val="center"/>
          </w:tcPr>
          <w:p>
            <w:pPr>
              <w:widowControl/>
              <w:snapToGrid w:val="0"/>
              <w:spacing w:line="360" w:lineRule="auto"/>
              <w:jc w:val="left"/>
              <w:rPr>
                <w:rFonts w:cs="宋体"/>
                <w:bCs/>
                <w:color w:val="auto"/>
                <w:sz w:val="24"/>
                <w:szCs w:val="24"/>
              </w:rPr>
            </w:pPr>
            <w:r>
              <w:rPr>
                <w:rFonts w:hint="eastAsia" w:cs="宋体"/>
                <w:bCs/>
                <w:color w:val="auto"/>
                <w:sz w:val="24"/>
                <w:szCs w:val="24"/>
              </w:rPr>
              <w:t>本谈判项目实行全流程电子化交易，除谈判文件另有规定外，电子招标投标操作要求见本章附件《安徽公共资源交易集团电子交易操作规程》。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22</w:t>
            </w:r>
          </w:p>
        </w:tc>
        <w:tc>
          <w:tcPr>
            <w:tcW w:w="818" w:type="pct"/>
            <w:vAlign w:val="center"/>
          </w:tcPr>
          <w:p>
            <w:pPr>
              <w:pStyle w:val="76"/>
              <w:rPr>
                <w:color w:val="auto"/>
              </w:rPr>
            </w:pPr>
            <w:r>
              <w:rPr>
                <w:rFonts w:hint="eastAsia"/>
                <w:color w:val="auto"/>
              </w:rPr>
              <w:t>解释权</w:t>
            </w:r>
          </w:p>
        </w:tc>
        <w:tc>
          <w:tcPr>
            <w:tcW w:w="3621" w:type="pct"/>
            <w:vAlign w:val="center"/>
          </w:tcPr>
          <w:p>
            <w:pPr>
              <w:spacing w:line="360" w:lineRule="auto"/>
              <w:rPr>
                <w:rFonts w:cs="宋体"/>
                <w:bCs/>
                <w:color w:val="auto"/>
                <w:sz w:val="24"/>
                <w:szCs w:val="24"/>
              </w:rPr>
            </w:pPr>
            <w:r>
              <w:rPr>
                <w:rFonts w:hint="eastAsia" w:cs="宋体"/>
                <w:bCs/>
                <w:color w:val="auto"/>
                <w:sz w:val="24"/>
                <w:szCs w:val="24"/>
              </w:rPr>
              <w:t>（1）构成本谈判文件的各个组成文件应互为解释，互为说明；</w:t>
            </w:r>
          </w:p>
          <w:p>
            <w:pPr>
              <w:spacing w:line="360" w:lineRule="auto"/>
              <w:rPr>
                <w:rFonts w:cs="宋体"/>
                <w:bCs/>
                <w:color w:val="auto"/>
                <w:sz w:val="24"/>
                <w:szCs w:val="24"/>
              </w:rPr>
            </w:pPr>
            <w:r>
              <w:rPr>
                <w:rFonts w:hint="eastAsia" w:cs="宋体"/>
                <w:bCs/>
                <w:color w:val="auto"/>
                <w:sz w:val="24"/>
                <w:szCs w:val="24"/>
              </w:rPr>
              <w:t>（2）同一组成文件中就同一事项的规定或约定不一致的，以编排顺序在后者为准；</w:t>
            </w:r>
          </w:p>
          <w:p>
            <w:pPr>
              <w:spacing w:line="360" w:lineRule="auto"/>
              <w:rPr>
                <w:rFonts w:cs="宋体"/>
                <w:bCs/>
                <w:color w:val="auto"/>
                <w:sz w:val="24"/>
                <w:szCs w:val="24"/>
              </w:rPr>
            </w:pPr>
            <w:r>
              <w:rPr>
                <w:rFonts w:hint="eastAsia" w:cs="宋体"/>
                <w:bCs/>
                <w:color w:val="auto"/>
                <w:sz w:val="24"/>
                <w:szCs w:val="24"/>
              </w:rPr>
              <w:t>（3）如有不明确或不一致，构成合同文件组成内容的，以合同文件约定内容为准，且以专用合同条款约定的合同文件优先顺序解释；</w:t>
            </w:r>
          </w:p>
          <w:p>
            <w:pPr>
              <w:spacing w:line="360" w:lineRule="auto"/>
              <w:rPr>
                <w:rFonts w:cs="宋体"/>
                <w:bCs/>
                <w:color w:val="auto"/>
                <w:sz w:val="24"/>
                <w:szCs w:val="24"/>
              </w:rPr>
            </w:pPr>
            <w:r>
              <w:rPr>
                <w:rFonts w:hint="eastAsia" w:cs="宋体"/>
                <w:bCs/>
                <w:color w:val="auto"/>
                <w:sz w:val="24"/>
                <w:szCs w:val="24"/>
              </w:rPr>
              <w:t>（4）除谈判文件中有特别规定外，仅适用于谈判及投标文件提交阶段的规定，按谈判公告、投标人须知前附表、投标人须知正文、评审方法和标准、投标文件格式的先后顺序解释；</w:t>
            </w:r>
          </w:p>
          <w:p>
            <w:pPr>
              <w:spacing w:line="360" w:lineRule="auto"/>
              <w:rPr>
                <w:rFonts w:cs="宋体"/>
                <w:color w:val="auto"/>
                <w:sz w:val="24"/>
                <w:szCs w:val="24"/>
              </w:rPr>
            </w:pPr>
            <w:r>
              <w:rPr>
                <w:rFonts w:hint="eastAsia" w:cs="宋体"/>
                <w:bCs/>
                <w:color w:val="auto"/>
                <w:sz w:val="24"/>
                <w:szCs w:val="24"/>
              </w:rPr>
              <w:t>（5）</w:t>
            </w:r>
            <w:r>
              <w:rPr>
                <w:rFonts w:hint="eastAsia" w:cs="宋体"/>
                <w:color w:val="auto"/>
                <w:sz w:val="24"/>
                <w:szCs w:val="24"/>
              </w:rPr>
              <w:t>有澄清的部分以最终的澄清更正内容为准；</w:t>
            </w:r>
          </w:p>
          <w:p>
            <w:pPr>
              <w:pStyle w:val="76"/>
              <w:rPr>
                <w:color w:val="auto"/>
              </w:rPr>
            </w:pPr>
            <w:r>
              <w:rPr>
                <w:rFonts w:hint="eastAsia"/>
                <w:color w:val="auto"/>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cs="宋体"/>
                <w:bCs/>
                <w:color w:val="auto"/>
                <w:kern w:val="2"/>
                <w:szCs w:val="24"/>
              </w:rPr>
            </w:pPr>
            <w:r>
              <w:rPr>
                <w:rFonts w:hint="eastAsia" w:cs="宋体"/>
                <w:bCs/>
                <w:color w:val="auto"/>
                <w:kern w:val="2"/>
                <w:szCs w:val="24"/>
              </w:rPr>
              <w:t>23</w:t>
            </w:r>
          </w:p>
        </w:tc>
        <w:tc>
          <w:tcPr>
            <w:tcW w:w="818" w:type="pct"/>
            <w:vAlign w:val="center"/>
          </w:tcPr>
          <w:p>
            <w:pPr>
              <w:pStyle w:val="76"/>
              <w:rPr>
                <w:color w:val="auto"/>
              </w:rPr>
            </w:pPr>
            <w:r>
              <w:rPr>
                <w:rFonts w:hint="eastAsia"/>
                <w:color w:val="auto"/>
              </w:rPr>
              <w:t>其他补充</w:t>
            </w:r>
          </w:p>
          <w:p>
            <w:pPr>
              <w:pStyle w:val="76"/>
              <w:rPr>
                <w:color w:val="auto"/>
              </w:rPr>
            </w:pPr>
            <w:r>
              <w:rPr>
                <w:rFonts w:hint="eastAsia"/>
                <w:color w:val="auto"/>
              </w:rPr>
              <w:t>说明</w:t>
            </w:r>
          </w:p>
        </w:tc>
        <w:tc>
          <w:tcPr>
            <w:tcW w:w="3621" w:type="pct"/>
            <w:vAlign w:val="center"/>
          </w:tcPr>
          <w:p>
            <w:pPr>
              <w:pStyle w:val="76"/>
              <w:rPr>
                <w:color w:val="auto"/>
              </w:rPr>
            </w:pPr>
            <w:r>
              <w:rPr>
                <w:rFonts w:hint="eastAsia"/>
                <w:color w:val="auto"/>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谈判响应表》中注明并提供有关技术性能指标证明资料等供评审小组评审，未在《谈判响应表》中注明且未提供有关技术性能指标证明资料，或经评审小组评审未通过的，中标后只能从招标人推荐（或参考）品牌中进行选择，合同价格不予调整。</w:t>
            </w:r>
          </w:p>
          <w:p>
            <w:pPr>
              <w:pStyle w:val="76"/>
              <w:rPr>
                <w:color w:val="auto"/>
              </w:rPr>
            </w:pPr>
            <w:r>
              <w:rPr>
                <w:rFonts w:hint="eastAsia"/>
                <w:color w:val="auto"/>
              </w:rPr>
              <w:t>投标人不得与</w:t>
            </w:r>
            <w:r>
              <w:rPr>
                <w:rFonts w:hint="eastAsia"/>
                <w:color w:val="auto"/>
                <w:lang w:val="zh-CN"/>
              </w:rPr>
              <w:t>本标段的其他投标人存在</w:t>
            </w:r>
            <w:r>
              <w:rPr>
                <w:rFonts w:hint="eastAsia"/>
                <w:color w:val="auto"/>
              </w:rPr>
              <w:t>单位负责人为同一人或者存在直接控股、管理关系的情形</w:t>
            </w:r>
            <w:r>
              <w:rPr>
                <w:rFonts w:hint="eastAsia"/>
                <w:color w:val="auto"/>
                <w:lang w:val="zh-CN"/>
              </w:rPr>
              <w:t>。</w:t>
            </w:r>
          </w:p>
        </w:tc>
      </w:tr>
    </w:tbl>
    <w:p>
      <w:pPr>
        <w:pStyle w:val="124"/>
        <w:adjustRightInd w:val="0"/>
        <w:snapToGrid w:val="0"/>
        <w:spacing w:line="360" w:lineRule="auto"/>
        <w:outlineLvl w:val="1"/>
        <w:rPr>
          <w:rFonts w:ascii="宋体" w:hAnsi="宋体"/>
          <w:b/>
          <w:sz w:val="24"/>
          <w:szCs w:val="24"/>
        </w:rPr>
      </w:pPr>
    </w:p>
    <w:p>
      <w:pPr>
        <w:pStyle w:val="3"/>
        <w:spacing w:beforeLines="100" w:afterLines="100" w:line="240" w:lineRule="auto"/>
        <w:jc w:val="center"/>
        <w:rPr>
          <w:rFonts w:ascii="Times New Roman" w:cs="宋体"/>
          <w:snapToGrid w:val="0"/>
          <w:szCs w:val="24"/>
          <w:lang w:val="en-US"/>
        </w:rPr>
      </w:pPr>
      <w:bookmarkStart w:id="7" w:name="_Toc5218"/>
      <w:r>
        <w:rPr>
          <w:rFonts w:hint="eastAsia" w:ascii="Times New Roman" w:hAnsi="Times New Roman" w:eastAsia="黑体"/>
          <w:b w:val="0"/>
          <w:bCs w:val="0"/>
          <w:color w:val="000000"/>
          <w:lang w:val="en-US"/>
        </w:rPr>
        <w:t>附件1</w:t>
      </w:r>
      <w:r>
        <w:rPr>
          <w:rFonts w:hint="eastAsia" w:ascii="Times New Roman" w:cs="宋体"/>
          <w:snapToGrid w:val="0"/>
          <w:szCs w:val="24"/>
        </w:rPr>
        <w:t>招标代理服务费</w:t>
      </w:r>
      <w:bookmarkEnd w:id="7"/>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1.招标代理服务费收费标准</w:t>
            </w: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中标金额（万元）</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货物招标</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服务招标</w:t>
                  </w:r>
                </w:p>
              </w:tc>
              <w:tc>
                <w:tcPr>
                  <w:tcW w:w="1856"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工程施工/      工程总承包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100以下</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w:t>
                  </w:r>
                </w:p>
              </w:tc>
              <w:tc>
                <w:tcPr>
                  <w:tcW w:w="1856"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100-500</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0.8%</w:t>
                  </w:r>
                </w:p>
              </w:tc>
              <w:tc>
                <w:tcPr>
                  <w:tcW w:w="1856"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500-1000</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0.8%</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0.45%</w:t>
                  </w:r>
                </w:p>
              </w:tc>
              <w:tc>
                <w:tcPr>
                  <w:tcW w:w="1856"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1000-5000</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0.5%</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0.25%</w:t>
                  </w:r>
                </w:p>
              </w:tc>
              <w:tc>
                <w:tcPr>
                  <w:tcW w:w="1856"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5000-10000</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0.25%</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0.1%</w:t>
                  </w:r>
                </w:p>
              </w:tc>
              <w:tc>
                <w:tcPr>
                  <w:tcW w:w="1856"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10000-100000</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0.05%</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0.05%</w:t>
                  </w:r>
                </w:p>
              </w:tc>
              <w:tc>
                <w:tcPr>
                  <w:tcW w:w="1856"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100000以上</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0.01%</w:t>
                  </w:r>
                </w:p>
              </w:tc>
              <w:tc>
                <w:tcPr>
                  <w:tcW w:w="1843"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0.01%</w:t>
                  </w:r>
                </w:p>
              </w:tc>
              <w:tc>
                <w:tcPr>
                  <w:tcW w:w="1856" w:type="dxa"/>
                  <w:noWrap/>
                  <w:vAlign w:val="center"/>
                </w:tcPr>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0.01%</w:t>
                  </w:r>
                </w:p>
              </w:tc>
            </w:tr>
          </w:tbl>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注：招标代理服务收费按差额定率累进法计算，中标金额含本数。例如：某服务招标代理业务中标金额为6000万元，</w:t>
            </w:r>
            <w:r>
              <w:rPr>
                <w:rFonts w:hint="eastAsia" w:asciiTheme="minorEastAsia" w:hAnsiTheme="minorEastAsia" w:eastAsiaTheme="minorEastAsia" w:cstheme="minorEastAsia"/>
                <w:bCs/>
                <w:color w:val="FF0000"/>
                <w:sz w:val="24"/>
                <w:szCs w:val="24"/>
              </w:rPr>
              <w:t>具体收取金额为上表（招标代理服务费收费标准）相应招标类别收费标准*80%，</w:t>
            </w:r>
            <w:r>
              <w:rPr>
                <w:rFonts w:hint="eastAsia" w:asciiTheme="minorEastAsia" w:hAnsiTheme="minorEastAsia" w:eastAsiaTheme="minorEastAsia" w:cstheme="minorEastAsia"/>
                <w:color w:val="000000"/>
                <w:sz w:val="24"/>
                <w:szCs w:val="24"/>
              </w:rPr>
              <w:t>计算招标代理服务费收取金额如下：</w:t>
            </w:r>
          </w:p>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100万元×1.5％×80%＝1.2万元</w:t>
            </w:r>
          </w:p>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（500－100）万元×0.8％×80%＝2.56万元</w:t>
            </w:r>
          </w:p>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（1000－500）万元×0.45％×80%＝1.8万元</w:t>
            </w:r>
          </w:p>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（5000－1000）万元×0.25％×80%＝8万元</w:t>
            </w:r>
          </w:p>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（6000－5000）万元×0.1％×80%＝0.8万元</w:t>
            </w:r>
          </w:p>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合计收费＝1.2＋2.56＋1.8＋8＋0.8＝14.36(万元)</w:t>
            </w:r>
          </w:p>
          <w:p>
            <w:pPr>
              <w:pStyle w:val="124"/>
              <w:adjustRightInd w:val="0"/>
              <w:snapToGrid w:val="0"/>
              <w:rPr>
                <w:rFonts w:ascii="仿宋_GB2312" w:hAnsi="仿宋" w:eastAsia="仿宋_GB2312"/>
                <w:sz w:val="28"/>
                <w:szCs w:val="28"/>
              </w:rPr>
            </w:pPr>
          </w:p>
        </w:tc>
      </w:tr>
    </w:tbl>
    <w:p>
      <w:pPr>
        <w:jc w:val="center"/>
        <w:outlineLvl w:val="1"/>
        <w:rPr>
          <w:b/>
          <w:sz w:val="24"/>
          <w:szCs w:val="24"/>
        </w:rPr>
      </w:pPr>
    </w:p>
    <w:p>
      <w:pPr>
        <w:jc w:val="center"/>
        <w:outlineLvl w:val="1"/>
        <w:rPr>
          <w:b/>
          <w:sz w:val="24"/>
          <w:szCs w:val="24"/>
        </w:rPr>
      </w:pPr>
    </w:p>
    <w:p>
      <w:pPr>
        <w:widowControl/>
        <w:jc w:val="left"/>
      </w:pPr>
    </w:p>
    <w:p>
      <w:pPr>
        <w:jc w:val="center"/>
        <w:outlineLvl w:val="1"/>
        <w:rPr>
          <w:rFonts w:asciiTheme="minorEastAsia" w:hAnsiTheme="minorEastAsia" w:eastAsiaTheme="minorEastAsia"/>
          <w:b/>
          <w:sz w:val="24"/>
        </w:rPr>
      </w:pPr>
      <w:r>
        <w:rPr>
          <w:rFonts w:hint="eastAsia"/>
          <w:b/>
          <w:sz w:val="24"/>
          <w:szCs w:val="24"/>
        </w:rPr>
        <w:br w:type="page"/>
      </w:r>
      <w:bookmarkEnd w:id="4"/>
      <w:bookmarkStart w:id="8" w:name="_Toc32648"/>
      <w:bookmarkStart w:id="9" w:name="_Toc16843"/>
      <w:r>
        <w:rPr>
          <w:rFonts w:hint="eastAsia" w:asciiTheme="minorEastAsia" w:hAnsiTheme="minorEastAsia" w:eastAsiaTheme="minorEastAsia"/>
          <w:b/>
          <w:sz w:val="24"/>
        </w:rPr>
        <w:t>投标人</w:t>
      </w:r>
      <w:r>
        <w:rPr>
          <w:rFonts w:asciiTheme="minorEastAsia" w:hAnsiTheme="minorEastAsia" w:eastAsiaTheme="minorEastAsia"/>
          <w:b/>
          <w:sz w:val="24"/>
        </w:rPr>
        <w:t>须知</w:t>
      </w:r>
      <w:r>
        <w:rPr>
          <w:rFonts w:hint="eastAsia" w:asciiTheme="minorEastAsia" w:hAnsiTheme="minorEastAsia" w:eastAsiaTheme="minorEastAsia"/>
          <w:b/>
          <w:sz w:val="24"/>
        </w:rPr>
        <w:t>正文</w:t>
      </w:r>
      <w:bookmarkEnd w:id="8"/>
    </w:p>
    <w:p>
      <w:pPr>
        <w:spacing w:line="360" w:lineRule="auto"/>
        <w:ind w:firstLine="437"/>
        <w:outlineLvl w:val="1"/>
        <w:rPr>
          <w:rFonts w:asciiTheme="minorEastAsia" w:hAnsiTheme="minorEastAsia" w:eastAsiaTheme="minorEastAsia" w:cstheme="minorEastAsia"/>
          <w:b/>
          <w:sz w:val="24"/>
        </w:rPr>
      </w:pPr>
      <w:bookmarkStart w:id="10" w:name="_Toc1995"/>
      <w:r>
        <w:rPr>
          <w:rFonts w:hint="eastAsia" w:asciiTheme="minorEastAsia" w:hAnsiTheme="minorEastAsia" w:eastAsiaTheme="minorEastAsia" w:cstheme="minorEastAsia"/>
          <w:b/>
          <w:sz w:val="24"/>
        </w:rPr>
        <w:t>1.有关定义</w:t>
      </w:r>
      <w:bookmarkEnd w:id="10"/>
    </w:p>
    <w:p>
      <w:pPr>
        <w:spacing w:line="360" w:lineRule="auto"/>
        <w:ind w:firstLine="437"/>
        <w:outlineLvl w:val="3"/>
        <w:rPr>
          <w:rFonts w:asciiTheme="minorEastAsia" w:hAnsiTheme="minorEastAsia" w:eastAsiaTheme="minorEastAsia" w:cstheme="minorEastAsia"/>
          <w:bCs/>
          <w:sz w:val="24"/>
          <w:szCs w:val="22"/>
        </w:rPr>
      </w:pPr>
      <w:r>
        <w:rPr>
          <w:rFonts w:hint="eastAsia" w:asciiTheme="minorEastAsia" w:hAnsiTheme="minorEastAsia" w:eastAsiaTheme="minorEastAsia" w:cstheme="minorEastAsia"/>
          <w:bCs/>
          <w:sz w:val="24"/>
          <w:szCs w:val="22"/>
        </w:rPr>
        <w:t>本项目的交易方式为竞争性谈判，招标人为项目实施建设的发包人（甲方），投标人为参与竞争性谈判的主体，中标人为参与竞争性谈判，并获得项目实施的承包人（乙方）。</w:t>
      </w:r>
    </w:p>
    <w:p>
      <w:pPr>
        <w:spacing w:line="360" w:lineRule="auto"/>
        <w:ind w:firstLine="437"/>
        <w:outlineLvl w:val="1"/>
        <w:rPr>
          <w:rFonts w:asciiTheme="minorEastAsia" w:hAnsiTheme="minorEastAsia" w:eastAsiaTheme="minorEastAsia" w:cstheme="minorEastAsia"/>
          <w:b/>
          <w:sz w:val="24"/>
        </w:rPr>
      </w:pPr>
      <w:bookmarkStart w:id="11" w:name="_Toc1682"/>
      <w:r>
        <w:rPr>
          <w:rFonts w:hint="eastAsia" w:asciiTheme="minorEastAsia" w:hAnsiTheme="minorEastAsia" w:eastAsiaTheme="minorEastAsia" w:cstheme="minorEastAsia"/>
          <w:b/>
          <w:sz w:val="24"/>
        </w:rPr>
        <w:t>2.资金来源</w:t>
      </w:r>
      <w:bookmarkEnd w:id="11"/>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本项目的招标人已获得足以支付本次谈判后所签订的合同项下的资金。</w:t>
      </w:r>
    </w:p>
    <w:p>
      <w:pPr>
        <w:spacing w:line="360" w:lineRule="auto"/>
        <w:ind w:firstLine="437"/>
        <w:outlineLvl w:val="1"/>
        <w:rPr>
          <w:rFonts w:asciiTheme="minorEastAsia" w:hAnsiTheme="minorEastAsia" w:eastAsiaTheme="minorEastAsia" w:cstheme="minorEastAsia"/>
          <w:b/>
          <w:sz w:val="24"/>
        </w:rPr>
      </w:pPr>
      <w:bookmarkStart w:id="12" w:name="_Toc9597"/>
      <w:r>
        <w:rPr>
          <w:rFonts w:hint="eastAsia" w:asciiTheme="minorEastAsia" w:hAnsiTheme="minorEastAsia" w:eastAsiaTheme="minorEastAsia" w:cstheme="minorEastAsia"/>
          <w:b/>
          <w:sz w:val="24"/>
        </w:rPr>
        <w:t>3.谈判费用</w:t>
      </w:r>
      <w:bookmarkEnd w:id="12"/>
    </w:p>
    <w:p>
      <w:pPr>
        <w:spacing w:line="360" w:lineRule="auto"/>
        <w:ind w:firstLine="43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不论谈判的结果如何，投标人应承担其所有与准备和参加谈判有关的费用。</w:t>
      </w:r>
    </w:p>
    <w:p>
      <w:pPr>
        <w:spacing w:line="360" w:lineRule="auto"/>
        <w:ind w:firstLine="437"/>
        <w:outlineLvl w:val="1"/>
        <w:rPr>
          <w:rFonts w:asciiTheme="minorEastAsia" w:hAnsiTheme="minorEastAsia" w:eastAsiaTheme="minorEastAsia" w:cstheme="minorEastAsia"/>
          <w:b/>
          <w:sz w:val="24"/>
        </w:rPr>
      </w:pPr>
      <w:bookmarkStart w:id="13" w:name="_Toc4394"/>
      <w:r>
        <w:rPr>
          <w:rFonts w:hint="eastAsia" w:asciiTheme="minorEastAsia" w:hAnsiTheme="minorEastAsia" w:eastAsiaTheme="minorEastAsia" w:cstheme="minorEastAsia"/>
          <w:b/>
          <w:sz w:val="24"/>
        </w:rPr>
        <w:t>4.谈判文件的澄清与修改</w:t>
      </w:r>
      <w:bookmarkEnd w:id="13"/>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4.1投标人如对谈判文件内容有疑问，按投标人须知前附表规定提出。</w:t>
      </w:r>
    </w:p>
    <w:p>
      <w:pPr>
        <w:pStyle w:val="16"/>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招标人可主动或在解答投标人提出的问题时对谈判文件进行澄清或者修改。代理机构将在安徽公共资源交易集团网站澄清或修改谈判文件，投标人应主动上网查询。代理机构和招标人不承担投标人未及时关注相关信息引发的相关责任。</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4.3任何人或任何组织向投标人提供的任何书面或口头资料，未经代理机构在网上发布或书面通知，均作无效处理，不得作为谈判文件的组成部分。代理机构对投标人由此而做出的推论、理解和结论概不负责。</w:t>
      </w:r>
    </w:p>
    <w:p>
      <w:pPr>
        <w:spacing w:line="360" w:lineRule="auto"/>
        <w:ind w:firstLine="435"/>
        <w:rPr>
          <w:rFonts w:asciiTheme="minorEastAsia" w:hAnsiTheme="minorEastAsia" w:eastAsiaTheme="minorEastAsia" w:cstheme="minorEastAsia"/>
          <w:iCs/>
          <w:sz w:val="24"/>
        </w:rPr>
      </w:pPr>
      <w:r>
        <w:rPr>
          <w:rFonts w:hint="eastAsia" w:asciiTheme="minorEastAsia" w:hAnsiTheme="minorEastAsia" w:eastAsiaTheme="minorEastAsia" w:cstheme="minorEastAsia"/>
          <w:sz w:val="24"/>
        </w:rPr>
        <w:t>4.4对于没有提出疑问又参与了本项目谈判的投标人将被视为完全认同本谈判文件（含澄清、修改等内容）</w:t>
      </w:r>
      <w:r>
        <w:rPr>
          <w:rFonts w:hint="eastAsia" w:asciiTheme="minorEastAsia" w:hAnsiTheme="minorEastAsia" w:eastAsiaTheme="minorEastAsia" w:cstheme="minorEastAsia"/>
          <w:iCs/>
          <w:sz w:val="24"/>
        </w:rPr>
        <w:t>。</w:t>
      </w:r>
    </w:p>
    <w:p>
      <w:pPr>
        <w:spacing w:line="360" w:lineRule="auto"/>
        <w:ind w:firstLine="437"/>
        <w:outlineLvl w:val="1"/>
        <w:rPr>
          <w:rFonts w:asciiTheme="minorEastAsia" w:hAnsiTheme="minorEastAsia" w:eastAsiaTheme="minorEastAsia" w:cstheme="minorEastAsia"/>
          <w:b/>
          <w:sz w:val="24"/>
        </w:rPr>
      </w:pPr>
      <w:bookmarkStart w:id="14" w:name="_Toc26184"/>
      <w:r>
        <w:rPr>
          <w:rFonts w:hint="eastAsia" w:asciiTheme="minorEastAsia" w:hAnsiTheme="minorEastAsia" w:eastAsiaTheme="minorEastAsia" w:cstheme="minorEastAsia"/>
          <w:b/>
          <w:sz w:val="24"/>
        </w:rPr>
        <w:t>5.谈判范围及投标文件中标准和计量单位的使用</w:t>
      </w:r>
      <w:bookmarkEnd w:id="14"/>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5.1无论谈判文件中是否要求，投标人所承担货物及伴随的工程和服务均应符合国家强制性标准。</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投标人与代理机构之间与谈判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5.3除谈判文件中有特殊要求外，投标文件中所使用的计量单位，应采用中华人民共和国法定计量单位。</w:t>
      </w:r>
    </w:p>
    <w:p>
      <w:pPr>
        <w:spacing w:line="360" w:lineRule="auto"/>
        <w:ind w:firstLine="437"/>
        <w:outlineLvl w:val="1"/>
        <w:rPr>
          <w:rFonts w:asciiTheme="minorEastAsia" w:hAnsiTheme="minorEastAsia" w:eastAsiaTheme="minorEastAsia" w:cstheme="minorEastAsia"/>
          <w:b/>
          <w:sz w:val="24"/>
        </w:rPr>
      </w:pPr>
      <w:bookmarkStart w:id="15" w:name="_Toc2600"/>
      <w:r>
        <w:rPr>
          <w:rFonts w:hint="eastAsia" w:asciiTheme="minorEastAsia" w:hAnsiTheme="minorEastAsia" w:eastAsiaTheme="minorEastAsia" w:cstheme="minorEastAsia"/>
          <w:b/>
          <w:sz w:val="24"/>
        </w:rPr>
        <w:t>6.投标文件构成</w:t>
      </w:r>
      <w:bookmarkEnd w:id="15"/>
    </w:p>
    <w:p>
      <w:pPr>
        <w:spacing w:line="360" w:lineRule="auto"/>
        <w:ind w:firstLine="43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6.1投标人应完整地按谈判文件提供的投标文件格式及谈判文件评审要求编写投标文件，具体内容详见第六章投标文件格式的相关内容。</w:t>
      </w:r>
    </w:p>
    <w:p>
      <w:pPr>
        <w:spacing w:line="360" w:lineRule="auto"/>
        <w:ind w:firstLine="43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6.2上述文件应按照谈判文件规定的格式填写、签署和盖章。</w:t>
      </w:r>
    </w:p>
    <w:p>
      <w:pPr>
        <w:spacing w:line="360" w:lineRule="auto"/>
        <w:ind w:firstLine="437"/>
        <w:outlineLvl w:val="1"/>
        <w:rPr>
          <w:rFonts w:asciiTheme="minorEastAsia" w:hAnsiTheme="minorEastAsia" w:eastAsiaTheme="minorEastAsia" w:cstheme="minorEastAsia"/>
          <w:b/>
          <w:sz w:val="24"/>
        </w:rPr>
      </w:pPr>
      <w:bookmarkStart w:id="16" w:name="_Toc12745"/>
      <w:r>
        <w:rPr>
          <w:rFonts w:hint="eastAsia" w:asciiTheme="minorEastAsia" w:hAnsiTheme="minorEastAsia" w:eastAsiaTheme="minorEastAsia" w:cstheme="minorEastAsia"/>
          <w:b/>
          <w:sz w:val="24"/>
        </w:rPr>
        <w:t>7.报价</w:t>
      </w:r>
      <w:bookmarkEnd w:id="16"/>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7.1投标人的报价应当包括满足本次谈判全部内容，所有报价均应以人民币报价。</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7.2投标人应在分项报价表上标明谈判项目的单价（如适用）和总价，未标明的视同包含在谈判报价中。</w:t>
      </w:r>
    </w:p>
    <w:p>
      <w:pPr>
        <w:spacing w:line="360" w:lineRule="auto"/>
        <w:ind w:firstLine="437"/>
        <w:outlineLvl w:val="1"/>
        <w:rPr>
          <w:rFonts w:asciiTheme="minorEastAsia" w:hAnsiTheme="minorEastAsia" w:eastAsiaTheme="minorEastAsia" w:cstheme="minorEastAsia"/>
          <w:b/>
          <w:sz w:val="24"/>
        </w:rPr>
      </w:pPr>
      <w:bookmarkStart w:id="17" w:name="_Toc19029"/>
      <w:r>
        <w:rPr>
          <w:rFonts w:hint="eastAsia" w:asciiTheme="minorEastAsia" w:hAnsiTheme="minorEastAsia" w:eastAsiaTheme="minorEastAsia" w:cstheme="minorEastAsia"/>
          <w:b/>
          <w:sz w:val="24"/>
        </w:rPr>
        <w:t>8.谈判有效期</w:t>
      </w:r>
      <w:bookmarkEnd w:id="17"/>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谈判有效期为从投标文件提交截止之日算起的日历天数，谈判有效期为120日历天。招标人或代理机构可根据实际情况，在原谈判有效期截止之前，要求投标人延长谈判有效期。接受该要求的投标人将不会被要求和允许修正其投标文件。投标人可以拒绝延长谈判有效期的要求，且不承担任何责任。上述要求和答复都应以书面形式提交。</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8.2在谈判有效期内，投标人的谈判保持有效，投标人不得要求撤销或修改其投标文件。</w:t>
      </w:r>
    </w:p>
    <w:p>
      <w:pPr>
        <w:spacing w:line="360" w:lineRule="auto"/>
        <w:ind w:firstLine="437"/>
        <w:outlineLvl w:val="1"/>
        <w:rPr>
          <w:rFonts w:asciiTheme="minorEastAsia" w:hAnsiTheme="minorEastAsia" w:eastAsiaTheme="minorEastAsia" w:cstheme="minorEastAsia"/>
          <w:b/>
          <w:sz w:val="24"/>
        </w:rPr>
      </w:pPr>
      <w:bookmarkStart w:id="18" w:name="_Toc14039"/>
      <w:r>
        <w:rPr>
          <w:rFonts w:hint="eastAsia" w:asciiTheme="minorEastAsia" w:hAnsiTheme="minorEastAsia" w:eastAsiaTheme="minorEastAsia" w:cstheme="minorEastAsia"/>
          <w:b/>
          <w:sz w:val="24"/>
        </w:rPr>
        <w:t>9.投标文件的制作</w:t>
      </w:r>
      <w:bookmarkEnd w:id="18"/>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9.1本项目要求提供加密电子投标文件，投标文件的制作应满足以下规定：</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文件由投标人使用电子交易系统提供的“投标文件制作工具”制作生成。“投标文件制作工具”可以通过电子交易系统中下载。投标人应当在互联网络通畅状态下启用最新版投标文件制作工具制作投标文件。</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（2）在第六章“投标文件格式”中要求加盖</w:t>
      </w:r>
      <w:r>
        <w:rPr>
          <w:rFonts w:hint="eastAsia" w:cs="@仿宋_GB2312"/>
          <w:kern w:val="2"/>
          <w:sz w:val="24"/>
          <w:szCs w:val="24"/>
        </w:rPr>
        <w:t>投标人电子签章或公章处</w:t>
      </w:r>
      <w:r>
        <w:rPr>
          <w:rFonts w:hint="eastAsia" w:asciiTheme="minorEastAsia" w:hAnsiTheme="minorEastAsia" w:eastAsiaTheme="minorEastAsia" w:cstheme="minorEastAsia"/>
          <w:sz w:val="24"/>
        </w:rPr>
        <w:t>，投标人均应加盖投标人电子签章或公章。联合体参加谈判的，除联合协议及谈判文件规定须联合体各成员单位各自盖章的证明材料外，投标文件由联合体牵头人按上述规定加盖联合体牵头人单位电子签章或公章。</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9.2因投标人自身原因而导致投标文件无法导入电子交易系统电子开标、评标系统的，该投标文件视为无效投标文件，投标人自行承担由此导致的全部责任。（该投标文件是指解密后的投标文件）。</w:t>
      </w:r>
    </w:p>
    <w:p>
      <w:pPr>
        <w:spacing w:line="360" w:lineRule="auto"/>
        <w:ind w:firstLine="437"/>
        <w:outlineLvl w:val="1"/>
        <w:rPr>
          <w:rFonts w:asciiTheme="minorEastAsia" w:hAnsiTheme="minorEastAsia" w:eastAsiaTheme="minorEastAsia" w:cstheme="minorEastAsia"/>
          <w:b/>
          <w:sz w:val="24"/>
        </w:rPr>
      </w:pPr>
      <w:bookmarkStart w:id="19" w:name="_Toc24977"/>
      <w:r>
        <w:rPr>
          <w:rFonts w:hint="eastAsia" w:asciiTheme="minorEastAsia" w:hAnsiTheme="minorEastAsia" w:eastAsiaTheme="minorEastAsia" w:cstheme="minorEastAsia"/>
          <w:b/>
          <w:sz w:val="24"/>
        </w:rPr>
        <w:t>10.投标文件提交截止时间</w:t>
      </w:r>
      <w:bookmarkEnd w:id="19"/>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10.1投标人应在第一章“谈判公告”规定</w:t>
      </w:r>
      <w:r>
        <w:rPr>
          <w:rFonts w:hint="eastAsia" w:asciiTheme="minorEastAsia" w:hAnsiTheme="minorEastAsia" w:eastAsiaTheme="minorEastAsia" w:cstheme="minorEastAsia"/>
          <w:sz w:val="24"/>
          <w:szCs w:val="22"/>
        </w:rPr>
        <w:t>的</w:t>
      </w:r>
      <w:r>
        <w:rPr>
          <w:rFonts w:hint="eastAsia" w:asciiTheme="minorEastAsia" w:hAnsiTheme="minorEastAsia" w:eastAsiaTheme="minorEastAsia" w:cstheme="minorEastAsia"/>
          <w:sz w:val="24"/>
        </w:rPr>
        <w:t>投标文件提交截止时间前，在网上提交加密电子投标文件（如谈判延期，按最新发布谈判时间执行）。</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10.2投标人在谈判文件规定的投标文件提交截止时间前上传了网上加密电子投标文件，但未在规定时间内进行解密的，投标无效。</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10.3招标人和代理机构延迟投标文件提交截止时间的。招标人、代理机构和投标人受投标文件提交截止时间制约的所有权利和义务均应延长至新的截止时间。</w:t>
      </w:r>
    </w:p>
    <w:p>
      <w:pPr>
        <w:spacing w:line="360" w:lineRule="auto"/>
        <w:ind w:firstLine="437"/>
        <w:outlineLvl w:val="1"/>
        <w:rPr>
          <w:rFonts w:asciiTheme="minorEastAsia" w:hAnsiTheme="minorEastAsia" w:eastAsiaTheme="minorEastAsia" w:cstheme="minorEastAsia"/>
          <w:b/>
          <w:sz w:val="24"/>
        </w:rPr>
      </w:pPr>
      <w:bookmarkStart w:id="20" w:name="_Toc6287"/>
      <w:r>
        <w:rPr>
          <w:rFonts w:hint="eastAsia" w:asciiTheme="minorEastAsia" w:hAnsiTheme="minorEastAsia" w:eastAsiaTheme="minorEastAsia" w:cstheme="minorEastAsia"/>
          <w:b/>
          <w:sz w:val="24"/>
        </w:rPr>
        <w:t>11.投标文件的提交、修改与撤回</w:t>
      </w:r>
      <w:bookmarkEnd w:id="20"/>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11.1投标人应当在第一章“谈判公告”规定的投标文件提交截止时间前，将加密的投标文件在电子交易系统上传（如谈判延期，按最新发布谈判时间执行）。</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投标人应当在投标文件提交截止时间前完成投标文件的传输提交（以接收到电子签收凭证为准），并可以补充、修改或者撤回投标文件。投标文件提交截止时间前未完成投标文件传输的，视为撤回投标文件。未按规定加密或投标文件提交截止时间后送达的投标文件，电子交易系统应当拒收。</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11.3投标人应在投标人须知前附表规定的解密时间前（以电子交易系统解密倒计时为准）对本单位的投标文件进行解密。</w:t>
      </w:r>
    </w:p>
    <w:p>
      <w:pPr>
        <w:spacing w:line="360" w:lineRule="auto"/>
        <w:ind w:firstLine="437"/>
        <w:outlineLvl w:val="1"/>
        <w:rPr>
          <w:rFonts w:asciiTheme="minorEastAsia" w:hAnsiTheme="minorEastAsia" w:eastAsiaTheme="minorEastAsia" w:cstheme="minorEastAsia"/>
          <w:b/>
          <w:sz w:val="24"/>
        </w:rPr>
      </w:pPr>
      <w:bookmarkStart w:id="21" w:name="_Toc30274"/>
      <w:r>
        <w:rPr>
          <w:rFonts w:hint="eastAsia" w:asciiTheme="minorEastAsia" w:hAnsiTheme="minorEastAsia" w:eastAsiaTheme="minorEastAsia" w:cstheme="minorEastAsia"/>
          <w:b/>
          <w:sz w:val="24"/>
        </w:rPr>
        <w:t>12.评审小组</w:t>
      </w:r>
      <w:bookmarkEnd w:id="21"/>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12.1由招标人委派或招标人委托代理机构抽取经济技术专家等方式组建的评审小组，负责本项目评审工作。评审小组成员由3人以上单数组成，评审小组及其成员应当依照有关规定履行相关职责和义务。</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12.2评审小组根据谈判文件规定的评审方法和标准对投标人提交的投标文件进行评审，从质量和服务均能满足谈判文件实质性响应要求的投标人中推荐中标候选人，并编写评审报告。</w:t>
      </w:r>
    </w:p>
    <w:p>
      <w:pPr>
        <w:spacing w:line="360" w:lineRule="auto"/>
        <w:ind w:firstLine="437"/>
        <w:outlineLvl w:val="1"/>
        <w:rPr>
          <w:rFonts w:asciiTheme="minorEastAsia" w:hAnsiTheme="minorEastAsia" w:eastAsiaTheme="minorEastAsia" w:cstheme="minorEastAsia"/>
          <w:b/>
          <w:sz w:val="24"/>
        </w:rPr>
      </w:pPr>
      <w:bookmarkStart w:id="22" w:name="_Toc7318"/>
      <w:r>
        <w:rPr>
          <w:rFonts w:hint="eastAsia" w:asciiTheme="minorEastAsia" w:hAnsiTheme="minorEastAsia" w:eastAsiaTheme="minorEastAsia" w:cstheme="minorEastAsia"/>
          <w:b/>
          <w:sz w:val="24"/>
        </w:rPr>
        <w:t>13.终止竞争性谈判</w:t>
      </w:r>
      <w:bookmarkEnd w:id="22"/>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出现下列情况之一时，招标人和代理机构有权宣布终止竞争性谈判采购，并将理由通知所有投标人：</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cs="@仿宋_GB2312" w:asciiTheme="minorEastAsia" w:hAnsiTheme="minorEastAsia" w:eastAsiaTheme="minorEastAsia"/>
          <w:kern w:val="2"/>
          <w:sz w:val="24"/>
          <w:szCs w:val="24"/>
        </w:rPr>
        <w:t>通过初审的投标人</w:t>
      </w:r>
      <w:r>
        <w:rPr>
          <w:rFonts w:hint="eastAsia" w:asciiTheme="minorEastAsia" w:hAnsiTheme="minorEastAsia" w:eastAsiaTheme="minorEastAsia" w:cstheme="minorEastAsia"/>
          <w:sz w:val="24"/>
        </w:rPr>
        <w:t>不足规定数量，导致本次谈判缺乏竞争的；</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（2）出现影响公正的违法、违规行为的；</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（3）因重大变故，招标任务取消的；</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（4）谈判文件有重大漏洞，导致无法继续评审的；</w:t>
      </w:r>
    </w:p>
    <w:p>
      <w:pPr>
        <w:spacing w:line="360" w:lineRule="auto"/>
        <w:ind w:firstLine="435"/>
      </w:pPr>
      <w:r>
        <w:rPr>
          <w:rFonts w:hint="eastAsia" w:asciiTheme="minorEastAsia" w:hAnsiTheme="minorEastAsia" w:eastAsiaTheme="minorEastAsia" w:cstheme="minorEastAsia"/>
          <w:sz w:val="24"/>
        </w:rPr>
        <w:t>（5）法律法规规定的其他情形。</w:t>
      </w:r>
    </w:p>
    <w:p>
      <w:pPr>
        <w:spacing w:line="360" w:lineRule="auto"/>
        <w:ind w:firstLine="437"/>
        <w:outlineLvl w:val="1"/>
        <w:rPr>
          <w:rFonts w:asciiTheme="minorEastAsia" w:hAnsiTheme="minorEastAsia" w:eastAsiaTheme="minorEastAsia" w:cstheme="minorEastAsia"/>
          <w:b/>
          <w:sz w:val="24"/>
        </w:rPr>
      </w:pPr>
      <w:bookmarkStart w:id="23" w:name="_Toc21760"/>
      <w:r>
        <w:rPr>
          <w:rFonts w:hint="eastAsia" w:asciiTheme="minorEastAsia" w:hAnsiTheme="minorEastAsia" w:eastAsiaTheme="minorEastAsia" w:cstheme="minorEastAsia"/>
          <w:b/>
          <w:sz w:val="24"/>
        </w:rPr>
        <w:t>14.投标文件的澄清、说明或更正</w:t>
      </w:r>
      <w:bookmarkEnd w:id="23"/>
    </w:p>
    <w:p>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14.2评审小组要求投标人澄清、说明或者更正投标文件应当以书面形式（即网上询标）作出。投标人的澄清、说明或者更正应当加盖投标人电子签章或公章。</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14.3如有询标，投标人通过远程登录的方式接受网上询标。投标人应登录电子交易系统并保持在线状态，以便及时接收评审小组可能发出的询标函，并在规定时间内回复，因授权代表联系不上、没有及时登录系统等情形而无法接受评审小组询标的，投标人自行承担相关风险。</w:t>
      </w:r>
    </w:p>
    <w:p>
      <w:pPr>
        <w:spacing w:line="360" w:lineRule="auto"/>
        <w:ind w:firstLine="437"/>
        <w:outlineLvl w:val="1"/>
        <w:rPr>
          <w:rFonts w:asciiTheme="minorEastAsia" w:hAnsiTheme="minorEastAsia" w:eastAsiaTheme="minorEastAsia" w:cstheme="minorEastAsia"/>
          <w:b/>
          <w:sz w:val="24"/>
        </w:rPr>
      </w:pPr>
      <w:bookmarkStart w:id="24" w:name="_Toc11397"/>
      <w:r>
        <w:rPr>
          <w:rFonts w:hint="eastAsia" w:asciiTheme="minorEastAsia" w:hAnsiTheme="minorEastAsia" w:eastAsiaTheme="minorEastAsia" w:cstheme="minorEastAsia"/>
          <w:b/>
          <w:sz w:val="24"/>
        </w:rPr>
        <w:t>15.最终投标报价</w:t>
      </w:r>
      <w:bookmarkEnd w:id="24"/>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15.1谈判并不限定只进行二轮报价，如果评审小组认为有必要，可以要求投标人进行多轮报价。</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15.2在谈判内容不做实质性变更或重大调整的前提下，投标人下轮报价不得高于上一轮报价。</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15.3最终投标报价是投标人投标文件的有效组成部分，最终投标报价也是签订合同的依据。</w:t>
      </w:r>
    </w:p>
    <w:p>
      <w:pPr>
        <w:spacing w:line="360" w:lineRule="auto"/>
        <w:ind w:firstLine="435"/>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szCs w:val="22"/>
        </w:rPr>
        <w:t>15.4</w:t>
      </w:r>
      <w:r>
        <w:rPr>
          <w:rFonts w:hint="eastAsia" w:asciiTheme="minorEastAsia" w:hAnsiTheme="minorEastAsia" w:eastAsiaTheme="minorEastAsia" w:cstheme="minorEastAsia"/>
          <w:kern w:val="2"/>
          <w:sz w:val="24"/>
        </w:rPr>
        <w:t>除非招标人对谈判文件予以澄清、修改，否则投标人应按招标人提供的货物清单中列出的项目和工程量逐项填报综合单价和合价。投标人不得在货物清单中任意增删、修改清单项目与工程量及项目排列顺序。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5"/>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15.5本项目的供货（安装）地点为本须知前附表所述，投标人可到项目现场踏勘以充分了解项目位置、情况、道路、储存空间、装卸限制及任何其他足以影响谈判报价的情况，任何因忽视或误解项目场地情况而导致的索赔或供货（安装）周期延长申请将不被批准。对于受项目现场场地限制，如需要另外寻找场地解决临时住宿、材料及设备堆放，由此所产生的费用应包含在谈判报价范围内，招标人不再承担该费用。</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kern w:val="2"/>
          <w:sz w:val="24"/>
        </w:rPr>
        <w:t>15.6本项目不接受恶意不平衡报价，不保证最低价中标。</w:t>
      </w:r>
    </w:p>
    <w:p>
      <w:pPr>
        <w:spacing w:line="360" w:lineRule="auto"/>
        <w:ind w:firstLine="437"/>
        <w:outlineLvl w:val="1"/>
        <w:rPr>
          <w:rFonts w:asciiTheme="minorEastAsia" w:hAnsiTheme="minorEastAsia" w:eastAsiaTheme="minorEastAsia" w:cstheme="minorEastAsia"/>
          <w:b/>
          <w:sz w:val="24"/>
        </w:rPr>
      </w:pPr>
      <w:bookmarkStart w:id="25" w:name="_Toc23258"/>
      <w:r>
        <w:rPr>
          <w:rFonts w:hint="eastAsia" w:asciiTheme="minorEastAsia" w:hAnsiTheme="minorEastAsia" w:eastAsiaTheme="minorEastAsia" w:cstheme="minorEastAsia"/>
          <w:b/>
          <w:sz w:val="24"/>
        </w:rPr>
        <w:t>16.中标候选人的推荐原则</w:t>
      </w:r>
      <w:bookmarkEnd w:id="25"/>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小组依据本项目谈判文件所约定的评审方法和标准，按照最终投标报价由低到高的顺序依次推荐中标候选人。最终投标报价相同的，由评审小组根据投标文件投票，按少数服从多数的原则确定中标候选人顺序。</w:t>
      </w:r>
    </w:p>
    <w:p>
      <w:pPr>
        <w:spacing w:line="360" w:lineRule="auto"/>
        <w:ind w:firstLine="437"/>
        <w:outlineLvl w:val="1"/>
        <w:rPr>
          <w:rFonts w:asciiTheme="minorEastAsia" w:hAnsiTheme="minorEastAsia" w:eastAsiaTheme="minorEastAsia" w:cstheme="minorEastAsia"/>
          <w:b/>
          <w:sz w:val="24"/>
        </w:rPr>
      </w:pPr>
      <w:bookmarkStart w:id="26" w:name="_Toc19358"/>
      <w:r>
        <w:rPr>
          <w:rFonts w:hint="eastAsia" w:asciiTheme="minorEastAsia" w:hAnsiTheme="minorEastAsia" w:eastAsiaTheme="minorEastAsia" w:cstheme="minorEastAsia"/>
          <w:b/>
          <w:sz w:val="24"/>
        </w:rPr>
        <w:t>17.确定中标人</w:t>
      </w:r>
      <w:bookmarkEnd w:id="26"/>
    </w:p>
    <w:p>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招标人委托评审小组确定中标人的，排名第一的中标候选人即为中标人，由代理机构在指定媒体上予以公告；招标人确定中标人的，由招标人函告代理机构后，由代理机构在指定媒体上予以公告。</w:t>
      </w:r>
    </w:p>
    <w:p>
      <w:pPr>
        <w:spacing w:line="360" w:lineRule="auto"/>
        <w:ind w:firstLine="437"/>
        <w:outlineLvl w:val="1"/>
        <w:rPr>
          <w:rFonts w:asciiTheme="minorEastAsia" w:hAnsiTheme="minorEastAsia" w:eastAsiaTheme="minorEastAsia" w:cstheme="minorEastAsia"/>
          <w:b/>
          <w:sz w:val="24"/>
        </w:rPr>
      </w:pPr>
      <w:bookmarkStart w:id="27" w:name="_Toc30389"/>
      <w:r>
        <w:rPr>
          <w:rFonts w:hint="eastAsia" w:asciiTheme="minorEastAsia" w:hAnsiTheme="minorEastAsia" w:eastAsiaTheme="minorEastAsia" w:cstheme="minorEastAsia"/>
          <w:b/>
          <w:sz w:val="24"/>
        </w:rPr>
        <w:t>18.编写评审报告</w:t>
      </w:r>
      <w:bookmarkEnd w:id="27"/>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1"/>
        <w:rPr>
          <w:rFonts w:asciiTheme="minorEastAsia" w:hAnsiTheme="minorEastAsia" w:eastAsiaTheme="minorEastAsia" w:cstheme="minorEastAsia"/>
          <w:b/>
          <w:sz w:val="24"/>
        </w:rPr>
      </w:pPr>
      <w:bookmarkStart w:id="28" w:name="_Toc27449"/>
      <w:r>
        <w:rPr>
          <w:rFonts w:hint="eastAsia" w:asciiTheme="minorEastAsia" w:hAnsiTheme="minorEastAsia" w:eastAsiaTheme="minorEastAsia" w:cstheme="minorEastAsia"/>
          <w:b/>
          <w:sz w:val="24"/>
        </w:rPr>
        <w:t>19.保密要求</w:t>
      </w:r>
      <w:bookmarkEnd w:id="28"/>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19.1评审将在严格保密的情况下进行。</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19.2有关人员应当遵守评审工作纪律，不得泄露评审文件、评审情况和评审中获悉的国家秘密、商业秘密等。</w:t>
      </w:r>
    </w:p>
    <w:p>
      <w:pPr>
        <w:spacing w:line="360" w:lineRule="auto"/>
        <w:ind w:firstLine="437"/>
        <w:outlineLvl w:val="1"/>
        <w:rPr>
          <w:rFonts w:asciiTheme="minorEastAsia" w:hAnsiTheme="minorEastAsia" w:eastAsiaTheme="minorEastAsia" w:cstheme="minorEastAsia"/>
          <w:b/>
          <w:sz w:val="24"/>
        </w:rPr>
      </w:pPr>
      <w:bookmarkStart w:id="29" w:name="_Toc8836"/>
      <w:r>
        <w:rPr>
          <w:rFonts w:hint="eastAsia" w:asciiTheme="minorEastAsia" w:hAnsiTheme="minorEastAsia" w:eastAsiaTheme="minorEastAsia" w:cstheme="minorEastAsia"/>
          <w:b/>
          <w:sz w:val="24"/>
        </w:rPr>
        <w:t>20.中标结果公告</w:t>
      </w:r>
      <w:bookmarkEnd w:id="29"/>
    </w:p>
    <w:p>
      <w:pPr>
        <w:spacing w:line="360" w:lineRule="auto"/>
        <w:ind w:firstLine="435"/>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20.1中标人确定后，代理机构将在安徽公共资源交易集团网站（http://www.ahggzyjt.com）发布中标结果公告。</w:t>
      </w:r>
    </w:p>
    <w:p>
      <w:pPr>
        <w:spacing w:line="360" w:lineRule="auto"/>
        <w:ind w:firstLine="435"/>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20.2中标结果公告内容应当包括招标人及其委托的代理机构的名称、项目名称、项目编号、中标人名称、中标金额。</w:t>
      </w:r>
    </w:p>
    <w:p>
      <w:pPr>
        <w:spacing w:line="360" w:lineRule="auto"/>
        <w:ind w:firstLine="437"/>
        <w:outlineLvl w:val="1"/>
        <w:rPr>
          <w:rFonts w:asciiTheme="minorEastAsia" w:hAnsiTheme="minorEastAsia" w:eastAsiaTheme="minorEastAsia" w:cstheme="minorEastAsia"/>
          <w:b/>
          <w:sz w:val="24"/>
        </w:rPr>
      </w:pPr>
      <w:bookmarkStart w:id="30" w:name="_Toc7051"/>
      <w:r>
        <w:rPr>
          <w:rFonts w:hint="eastAsia" w:asciiTheme="minorEastAsia" w:hAnsiTheme="minorEastAsia" w:eastAsiaTheme="minorEastAsia" w:cstheme="minorEastAsia"/>
          <w:b/>
          <w:sz w:val="24"/>
        </w:rPr>
        <w:t>21.谈判结果的异议、投诉</w:t>
      </w:r>
      <w:bookmarkEnd w:id="30"/>
    </w:p>
    <w:p>
      <w:pPr>
        <w:spacing w:line="360" w:lineRule="auto"/>
        <w:ind w:firstLine="480" w:firstLineChars="200"/>
        <w:rPr>
          <w:rFonts w:cs="@仿宋_GB2312" w:asciiTheme="minorHAnsi" w:hAnsiTheme="minorHAnsi" w:eastAsiaTheme="minorEastAsia"/>
          <w:kern w:val="2"/>
          <w:sz w:val="24"/>
          <w:szCs w:val="24"/>
        </w:rPr>
      </w:pPr>
      <w:r>
        <w:rPr>
          <w:rFonts w:hint="eastAsia" w:cs="@仿宋_GB2312" w:asciiTheme="minorHAnsi" w:hAnsiTheme="minorHAnsi" w:eastAsiaTheme="minorEastAsia"/>
          <w:kern w:val="2"/>
          <w:sz w:val="24"/>
          <w:szCs w:val="24"/>
        </w:rPr>
        <w:t>21.1对于谈判结果有异议的，应在中标结果公告规定的时间内向招标人或代理机构提出。</w:t>
      </w:r>
    </w:p>
    <w:p>
      <w:pPr>
        <w:spacing w:line="360" w:lineRule="auto"/>
        <w:ind w:firstLine="480" w:firstLineChars="200"/>
      </w:pPr>
      <w:r>
        <w:rPr>
          <w:rFonts w:hint="eastAsia" w:cs="@仿宋_GB2312" w:asciiTheme="minorHAnsi" w:hAnsiTheme="minorHAnsi" w:eastAsiaTheme="minorEastAsia"/>
          <w:kern w:val="2"/>
          <w:sz w:val="24"/>
          <w:szCs w:val="24"/>
        </w:rPr>
        <w:t>21.2对于异议答复不满意的，应在收到异议答复之日起3日内向谈判公告载明的监督管理部门提出。</w:t>
      </w:r>
    </w:p>
    <w:p>
      <w:pPr>
        <w:spacing w:line="360" w:lineRule="auto"/>
        <w:ind w:firstLine="437"/>
        <w:outlineLvl w:val="1"/>
        <w:rPr>
          <w:rFonts w:asciiTheme="minorEastAsia" w:hAnsiTheme="minorEastAsia" w:eastAsiaTheme="minorEastAsia" w:cstheme="minorEastAsia"/>
          <w:b/>
          <w:sz w:val="24"/>
        </w:rPr>
      </w:pPr>
      <w:bookmarkStart w:id="31" w:name="_Toc31603"/>
      <w:r>
        <w:rPr>
          <w:rFonts w:hint="eastAsia" w:asciiTheme="minorEastAsia" w:hAnsiTheme="minorEastAsia" w:eastAsiaTheme="minorEastAsia" w:cstheme="minorEastAsia"/>
          <w:b/>
          <w:sz w:val="24"/>
        </w:rPr>
        <w:t>22.中标通知书</w:t>
      </w:r>
      <w:bookmarkEnd w:id="31"/>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22.1代理机构发布中标结果公告的同时以投标人须知前附表规定的形式向中标人发出中标通知书。</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22.2中标通知书对招标人和中标人具有同等法律效力。中标通知书发出以后，招标人改变中标结果或者中标人放弃中标资格，应当承担相应的法律责任。</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22.3中标通知书是合同的组成部分。</w:t>
      </w:r>
    </w:p>
    <w:p>
      <w:pPr>
        <w:spacing w:line="360" w:lineRule="auto"/>
        <w:ind w:firstLine="437"/>
        <w:outlineLvl w:val="1"/>
        <w:rPr>
          <w:rFonts w:asciiTheme="minorEastAsia" w:hAnsiTheme="minorEastAsia" w:eastAsiaTheme="minorEastAsia" w:cstheme="minorEastAsia"/>
          <w:b/>
          <w:sz w:val="24"/>
        </w:rPr>
      </w:pPr>
      <w:bookmarkStart w:id="32" w:name="_Toc17331"/>
      <w:r>
        <w:rPr>
          <w:rFonts w:hint="eastAsia" w:asciiTheme="minorEastAsia" w:hAnsiTheme="minorEastAsia" w:eastAsiaTheme="minorEastAsia" w:cstheme="minorEastAsia"/>
          <w:b/>
          <w:sz w:val="24"/>
        </w:rPr>
        <w:t>23.告知谈判结果</w:t>
      </w:r>
      <w:bookmarkEnd w:id="32"/>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23.1中标结果公告发布后，投标人自行登录电子交易系统查询结果信息。</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23.2代理机构对未中标的投标人不做未中标原因的解释。</w:t>
      </w:r>
    </w:p>
    <w:p>
      <w:pPr>
        <w:spacing w:line="360" w:lineRule="auto"/>
        <w:ind w:firstLine="437"/>
        <w:outlineLvl w:val="1"/>
        <w:rPr>
          <w:rFonts w:asciiTheme="minorEastAsia" w:hAnsiTheme="minorEastAsia" w:eastAsiaTheme="minorEastAsia" w:cstheme="minorEastAsia"/>
          <w:b/>
          <w:sz w:val="24"/>
        </w:rPr>
      </w:pPr>
      <w:bookmarkStart w:id="33" w:name="_Toc6203"/>
      <w:r>
        <w:rPr>
          <w:rFonts w:hint="eastAsia" w:asciiTheme="minorEastAsia" w:hAnsiTheme="minorEastAsia" w:eastAsiaTheme="minorEastAsia" w:cstheme="minorEastAsia"/>
          <w:b/>
          <w:sz w:val="24"/>
        </w:rPr>
        <w:t>24.履约保证金</w:t>
      </w:r>
      <w:bookmarkEnd w:id="33"/>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如果中标人没有按照投标人须知前附表中履约保证金的规定执行，将视为放弃中标资格。在此情况下，招标人可确定下一中标候选人为中标人，也可以重新开展谈判。</w:t>
      </w:r>
    </w:p>
    <w:p>
      <w:pPr>
        <w:spacing w:line="360" w:lineRule="auto"/>
        <w:ind w:firstLine="437"/>
        <w:outlineLvl w:val="1"/>
        <w:rPr>
          <w:rFonts w:asciiTheme="minorEastAsia" w:hAnsiTheme="minorEastAsia" w:eastAsiaTheme="minorEastAsia" w:cstheme="minorEastAsia"/>
          <w:b/>
          <w:sz w:val="24"/>
        </w:rPr>
      </w:pPr>
      <w:bookmarkStart w:id="34" w:name="_Toc9017"/>
      <w:r>
        <w:rPr>
          <w:rFonts w:hint="eastAsia" w:asciiTheme="minorEastAsia" w:hAnsiTheme="minorEastAsia" w:eastAsiaTheme="minorEastAsia" w:cstheme="minorEastAsia"/>
          <w:b/>
          <w:sz w:val="24"/>
        </w:rPr>
        <w:t>25.代理费用</w:t>
      </w:r>
      <w:bookmarkEnd w:id="34"/>
    </w:p>
    <w:p>
      <w:pPr>
        <w:spacing w:line="360" w:lineRule="auto"/>
        <w:ind w:firstLine="435"/>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中标人放弃中标资格的，</w:t>
      </w:r>
      <w:r>
        <w:rPr>
          <w:rFonts w:hint="eastAsia" w:asciiTheme="minorEastAsia" w:hAnsiTheme="minorEastAsia" w:eastAsiaTheme="minorEastAsia" w:cstheme="minorEastAsia"/>
          <w:sz w:val="24"/>
        </w:rPr>
        <w:t>本谈判项目应收取的</w:t>
      </w:r>
      <w:r>
        <w:rPr>
          <w:rFonts w:hint="eastAsia"/>
          <w:sz w:val="24"/>
          <w:szCs w:val="24"/>
        </w:rPr>
        <w:t>招标代理服务费</w:t>
      </w:r>
      <w:r>
        <w:rPr>
          <w:rFonts w:hint="eastAsia" w:asciiTheme="minorEastAsia" w:hAnsiTheme="minorEastAsia" w:eastAsiaTheme="minorEastAsia" w:cstheme="minorEastAsia"/>
          <w:kern w:val="2"/>
          <w:sz w:val="24"/>
        </w:rPr>
        <w:t>、</w:t>
      </w:r>
      <w:r>
        <w:rPr>
          <w:rFonts w:hint="eastAsia"/>
          <w:sz w:val="24"/>
          <w:szCs w:val="24"/>
        </w:rPr>
        <w:t>工程量清单和最高投标限价编制费用</w:t>
      </w:r>
      <w:r>
        <w:rPr>
          <w:rFonts w:hint="eastAsia" w:asciiTheme="minorEastAsia" w:hAnsiTheme="minorEastAsia" w:eastAsiaTheme="minorEastAsia" w:cstheme="minorEastAsia"/>
          <w:kern w:val="2"/>
          <w:sz w:val="24"/>
        </w:rPr>
        <w:t>由其承担。</w:t>
      </w:r>
    </w:p>
    <w:p>
      <w:pPr>
        <w:spacing w:line="360" w:lineRule="auto"/>
        <w:ind w:firstLine="437"/>
        <w:outlineLvl w:val="1"/>
        <w:rPr>
          <w:rFonts w:asciiTheme="minorEastAsia" w:hAnsiTheme="minorEastAsia" w:eastAsiaTheme="minorEastAsia" w:cstheme="minorEastAsia"/>
          <w:b/>
          <w:sz w:val="24"/>
        </w:rPr>
      </w:pPr>
      <w:bookmarkStart w:id="35" w:name="_Toc30515"/>
      <w:r>
        <w:rPr>
          <w:rFonts w:hint="eastAsia" w:asciiTheme="minorEastAsia" w:hAnsiTheme="minorEastAsia" w:eastAsiaTheme="minorEastAsia" w:cstheme="minorEastAsia"/>
          <w:b/>
          <w:sz w:val="24"/>
        </w:rPr>
        <w:t>26.签订合同</w:t>
      </w:r>
      <w:bookmarkEnd w:id="35"/>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26.1招标人与中标人应当在中标通知书发出后及时签订合同。</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26.2谈判文件、中标人的投标文件及其澄清文件等，均为签订合同的依据。</w:t>
      </w:r>
    </w:p>
    <w:p>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中标人拒绝与招标人签订合同的，招标人可以按照评审报告推荐的中标候选人名单排序，确定下一中标候选人为中标人，也可以重新开展谈判活动。中标人拒绝签订合同的不得参加对该项目重新开展的谈判活动。</w:t>
      </w:r>
    </w:p>
    <w:p>
      <w:pPr>
        <w:spacing w:line="360" w:lineRule="auto"/>
        <w:ind w:firstLine="437"/>
        <w:outlineLvl w:val="1"/>
        <w:rPr>
          <w:rFonts w:asciiTheme="minorEastAsia" w:hAnsiTheme="minorEastAsia" w:eastAsiaTheme="minorEastAsia" w:cstheme="minorEastAsia"/>
          <w:b/>
          <w:sz w:val="24"/>
        </w:rPr>
      </w:pPr>
      <w:bookmarkStart w:id="36" w:name="_Toc12374"/>
      <w:r>
        <w:rPr>
          <w:rFonts w:hint="eastAsia" w:asciiTheme="minorEastAsia" w:hAnsiTheme="minorEastAsia" w:eastAsiaTheme="minorEastAsia" w:cstheme="minorEastAsia"/>
          <w:b/>
          <w:sz w:val="24"/>
        </w:rPr>
        <w:t>27.廉洁自律规定</w:t>
      </w:r>
      <w:bookmarkEnd w:id="36"/>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27.1代理机构工作人员不得以不正当手段获取招标代理业务，不得与招标人、投标人恶意串通。</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27.2代理机构工作人员不得接受招标人或者投标人组织的宴请、旅游、娱乐，不得收受礼品、现金、有价证券等，不得向招标人或者投标人报销应当由个人承担的费用。</w:t>
      </w:r>
    </w:p>
    <w:p>
      <w:pPr>
        <w:spacing w:line="360" w:lineRule="auto"/>
        <w:ind w:firstLine="437"/>
        <w:outlineLvl w:val="1"/>
        <w:rPr>
          <w:rFonts w:asciiTheme="minorEastAsia" w:hAnsiTheme="minorEastAsia" w:eastAsiaTheme="minorEastAsia" w:cstheme="minorEastAsia"/>
          <w:b/>
          <w:sz w:val="24"/>
        </w:rPr>
      </w:pPr>
      <w:bookmarkStart w:id="37" w:name="_Toc27107"/>
      <w:r>
        <w:rPr>
          <w:rFonts w:hint="eastAsia" w:asciiTheme="minorEastAsia" w:hAnsiTheme="minorEastAsia" w:eastAsiaTheme="minorEastAsia" w:cstheme="minorEastAsia"/>
          <w:b/>
          <w:sz w:val="24"/>
        </w:rPr>
        <w:t>28.需要补充的其他内容</w:t>
      </w:r>
      <w:bookmarkEnd w:id="37"/>
    </w:p>
    <w:p>
      <w:pPr>
        <w:jc w:val="left"/>
        <w:outlineLvl w:val="1"/>
        <w:rPr>
          <w:rFonts w:asciiTheme="minorEastAsia" w:hAnsiTheme="minorEastAsia" w:eastAsiaTheme="minorEastAsia"/>
          <w:sz w:val="24"/>
        </w:rPr>
      </w:pPr>
      <w:r>
        <w:rPr>
          <w:rFonts w:hint="eastAsia" w:asciiTheme="minorEastAsia" w:hAnsiTheme="minorEastAsia" w:eastAsiaTheme="minorEastAsia" w:cstheme="minorEastAsia"/>
          <w:sz w:val="24"/>
        </w:rPr>
        <w:t>需要补充的其他内容，见投标人须知前附表</w:t>
      </w:r>
      <w:r>
        <w:rPr>
          <w:rFonts w:hint="eastAsia"/>
          <w:sz w:val="24"/>
        </w:rPr>
        <w:t>。</w:t>
      </w: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Theme="minorEastAsia" w:hAnsiTheme="minorEastAsia" w:eastAsiaTheme="minorEastAsia"/>
          <w:sz w:val="24"/>
        </w:rPr>
      </w:pPr>
    </w:p>
    <w:p>
      <w:pPr>
        <w:spacing w:line="360" w:lineRule="auto"/>
        <w:ind w:firstLine="435"/>
        <w:jc w:val="center"/>
        <w:rPr>
          <w:rFonts w:ascii="Cambria" w:hAnsi="Cambria" w:cs="Times New Roman"/>
          <w:b/>
          <w:bCs/>
          <w:kern w:val="2"/>
          <w:sz w:val="32"/>
          <w:szCs w:val="32"/>
        </w:rPr>
      </w:pPr>
    </w:p>
    <w:p>
      <w:pPr>
        <w:spacing w:line="360" w:lineRule="auto"/>
        <w:ind w:firstLine="435"/>
        <w:jc w:val="center"/>
        <w:rPr>
          <w:rFonts w:ascii="Cambria" w:hAnsi="Cambria" w:cs="Times New Roman"/>
          <w:b/>
          <w:bCs/>
          <w:kern w:val="2"/>
          <w:sz w:val="32"/>
          <w:szCs w:val="32"/>
        </w:rPr>
      </w:pPr>
      <w:r>
        <w:rPr>
          <w:rFonts w:hint="eastAsia" w:ascii="Cambria" w:hAnsi="Cambria" w:cs="Times New Roman"/>
          <w:b/>
          <w:bCs/>
          <w:kern w:val="2"/>
          <w:sz w:val="32"/>
          <w:szCs w:val="32"/>
        </w:rPr>
        <w:t>第三章 招标人要求</w:t>
      </w:r>
      <w:bookmarkEnd w:id="9"/>
    </w:p>
    <w:p>
      <w:pPr>
        <w:pStyle w:val="3"/>
        <w:rPr>
          <w:rFonts w:ascii="Times New Roman" w:hAnsi="Times New Roman"/>
          <w:sz w:val="24"/>
          <w:szCs w:val="24"/>
        </w:rPr>
      </w:pPr>
      <w:bookmarkStart w:id="38" w:name="_Toc501460778"/>
      <w:bookmarkStart w:id="39" w:name="_Toc24421"/>
      <w:bookmarkStart w:id="40" w:name="_Toc21018"/>
      <w:r>
        <w:rPr>
          <w:rFonts w:ascii="Times New Roman" w:hAnsi="Times New Roman"/>
          <w:sz w:val="24"/>
          <w:szCs w:val="24"/>
        </w:rPr>
        <w:t>一、项目概况</w:t>
      </w:r>
      <w:bookmarkEnd w:id="38"/>
      <w:bookmarkEnd w:id="39"/>
      <w:bookmarkEnd w:id="40"/>
    </w:p>
    <w:p>
      <w:pPr>
        <w:spacing w:line="440" w:lineRule="exact"/>
        <w:ind w:firstLine="480" w:firstLineChars="200"/>
      </w:pPr>
      <w:r>
        <w:rPr>
          <w:rFonts w:hint="eastAsia"/>
          <w:color w:val="000000"/>
          <w:sz w:val="24"/>
          <w:szCs w:val="24"/>
        </w:rPr>
        <w:t>百大心悦城商场内13个厅房道具移位，部分需要做零星基装。总服务台移位，强弱电恢复。</w:t>
      </w:r>
    </w:p>
    <w:p>
      <w:pPr>
        <w:pStyle w:val="3"/>
        <w:numPr>
          <w:ilvl w:val="0"/>
          <w:numId w:val="6"/>
        </w:numPr>
        <w:rPr>
          <w:rFonts w:ascii="Times New Roman" w:hAnsi="Times New Roman"/>
          <w:sz w:val="24"/>
          <w:szCs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bookmarkStart w:id="41" w:name="_Toc30199"/>
      <w:bookmarkStart w:id="42" w:name="_Toc10248"/>
      <w:bookmarkStart w:id="43" w:name="_Toc501460779"/>
      <w:r>
        <w:rPr>
          <w:rFonts w:hint="eastAsia" w:ascii="Times New Roman" w:hAnsi="Times New Roman"/>
          <w:sz w:val="24"/>
          <w:szCs w:val="24"/>
        </w:rPr>
        <w:t>货物</w:t>
      </w:r>
      <w:r>
        <w:rPr>
          <w:rFonts w:ascii="Times New Roman" w:hAnsi="Times New Roman"/>
          <w:sz w:val="24"/>
          <w:szCs w:val="24"/>
        </w:rPr>
        <w:t>需求一览表</w:t>
      </w:r>
      <w:bookmarkEnd w:id="41"/>
      <w:bookmarkEnd w:id="42"/>
      <w:bookmarkEnd w:id="43"/>
    </w:p>
    <w:tbl>
      <w:tblPr>
        <w:tblStyle w:val="56"/>
        <w:tblW w:w="5000" w:type="pct"/>
        <w:tblInd w:w="0" w:type="dxa"/>
        <w:shd w:val="clear" w:color="auto" w:fill="FFFFFF" w:themeFill="background1"/>
        <w:tblLayout w:type="autofit"/>
        <w:tblCellMar>
          <w:top w:w="0" w:type="dxa"/>
          <w:left w:w="108" w:type="dxa"/>
          <w:bottom w:w="0" w:type="dxa"/>
          <w:right w:w="108" w:type="dxa"/>
        </w:tblCellMar>
      </w:tblPr>
      <w:tblGrid>
        <w:gridCol w:w="417"/>
        <w:gridCol w:w="1488"/>
        <w:gridCol w:w="2717"/>
        <w:gridCol w:w="428"/>
        <w:gridCol w:w="618"/>
        <w:gridCol w:w="2848"/>
      </w:tblGrid>
      <w:tr>
        <w:tblPrEx>
          <w:tblCellMar>
            <w:top w:w="0" w:type="dxa"/>
            <w:left w:w="108" w:type="dxa"/>
            <w:bottom w:w="0" w:type="dxa"/>
            <w:right w:w="108" w:type="dxa"/>
          </w:tblCellMar>
        </w:tblPrEx>
        <w:trPr>
          <w:trHeight w:val="525" w:hRule="atLeast"/>
        </w:trPr>
        <w:tc>
          <w:tcPr>
            <w:tcW w:w="5000" w:type="pct"/>
            <w:gridSpan w:val="6"/>
            <w:tcBorders>
              <w:top w:val="nil"/>
              <w:left w:val="nil"/>
              <w:bottom w:val="nil"/>
              <w:right w:val="nil"/>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3FABC道具移装内容</w:t>
            </w:r>
          </w:p>
        </w:tc>
      </w:tr>
      <w:tr>
        <w:tblPrEx>
          <w:tblCellMar>
            <w:top w:w="0" w:type="dxa"/>
            <w:left w:w="108" w:type="dxa"/>
            <w:bottom w:w="0" w:type="dxa"/>
            <w:right w:w="108" w:type="dxa"/>
          </w:tblCellMar>
        </w:tblPrEx>
        <w:trPr>
          <w:trHeight w:val="462"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462"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tblCellMar>
            <w:top w:w="0" w:type="dxa"/>
            <w:left w:w="108" w:type="dxa"/>
            <w:bottom w:w="0" w:type="dxa"/>
            <w:right w:w="108" w:type="dxa"/>
          </w:tblCellMar>
        </w:tblPrEx>
        <w:trPr>
          <w:trHeight w:val="130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shd w:val="clear" w:color="auto" w:fill="FFFFFF" w:themeFill="background1"/>
          <w:tblCellMar>
            <w:top w:w="0" w:type="dxa"/>
            <w:left w:w="108" w:type="dxa"/>
            <w:bottom w:w="0" w:type="dxa"/>
            <w:right w:w="108" w:type="dxa"/>
          </w:tblCellMar>
        </w:tblPrEx>
        <w:trPr>
          <w:trHeight w:val="73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shd w:val="clear" w:color="auto" w:fill="FFFFFF" w:themeFill="background1"/>
          <w:tblCellMar>
            <w:top w:w="0" w:type="dxa"/>
            <w:left w:w="108" w:type="dxa"/>
            <w:bottom w:w="0" w:type="dxa"/>
            <w:right w:w="108" w:type="dxa"/>
          </w:tblCellMar>
        </w:tblPrEx>
        <w:trPr>
          <w:trHeight w:val="499"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99"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919"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8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shd w:val="clear" w:color="auto" w:fill="FFFFFF" w:themeFill="background1"/>
          <w:tblCellMar>
            <w:top w:w="0" w:type="dxa"/>
            <w:left w:w="108" w:type="dxa"/>
            <w:bottom w:w="0" w:type="dxa"/>
            <w:right w:w="108" w:type="dxa"/>
          </w:tblCellMar>
        </w:tblPrEx>
        <w:trPr>
          <w:trHeight w:val="48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48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48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702"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小耐克右侧墙面美化</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原有墙面耐克字拆掉后，电线孔贴画面美化</w:t>
            </w:r>
          </w:p>
        </w:tc>
      </w:tr>
      <w:tr>
        <w:tblPrEx>
          <w:shd w:val="clear" w:color="auto" w:fill="FFFFFF" w:themeFill="background1"/>
          <w:tblCellMar>
            <w:top w:w="0" w:type="dxa"/>
            <w:left w:w="108" w:type="dxa"/>
            <w:bottom w:w="0" w:type="dxa"/>
            <w:right w:w="108" w:type="dxa"/>
          </w:tblCellMar>
        </w:tblPrEx>
        <w:trPr>
          <w:trHeight w:val="60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门楣新做ABC发光字</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门楣新做ABC发光字</w:t>
            </w:r>
          </w:p>
        </w:tc>
      </w:tr>
      <w:tr>
        <w:tblPrEx>
          <w:shd w:val="clear" w:color="auto" w:fill="FFFFFF" w:themeFill="background1"/>
          <w:tblCellMar>
            <w:top w:w="0" w:type="dxa"/>
            <w:left w:w="108" w:type="dxa"/>
            <w:bottom w:w="0" w:type="dxa"/>
            <w:right w:w="108" w:type="dxa"/>
          </w:tblCellMar>
        </w:tblPrEx>
        <w:trPr>
          <w:trHeight w:val="66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b/>
                <w:bCs/>
              </w:rPr>
            </w:pPr>
          </w:p>
        </w:tc>
      </w:tr>
      <w:tr>
        <w:tblPrEx>
          <w:shd w:val="clear" w:color="auto" w:fill="FFFFFF" w:themeFill="background1"/>
          <w:tblCellMar>
            <w:top w:w="0" w:type="dxa"/>
            <w:left w:w="108" w:type="dxa"/>
            <w:bottom w:w="0" w:type="dxa"/>
            <w:right w:w="108" w:type="dxa"/>
          </w:tblCellMar>
        </w:tblPrEx>
        <w:trPr>
          <w:trHeight w:val="54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道具搬迁+修缮+再次安装+必要基装部分总计：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52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202</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52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2FLagogo女装基装+道具移装内容（搬至3F衣拉拉）</w:t>
            </w:r>
          </w:p>
        </w:tc>
      </w:tr>
      <w:tr>
        <w:tblPrEx>
          <w:tblCellMar>
            <w:top w:w="0" w:type="dxa"/>
            <w:left w:w="108" w:type="dxa"/>
            <w:bottom w:w="0" w:type="dxa"/>
            <w:right w:w="108" w:type="dxa"/>
          </w:tblCellMar>
        </w:tblPrEx>
        <w:trPr>
          <w:trHeight w:val="45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42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tblCellMar>
            <w:top w:w="0" w:type="dxa"/>
            <w:left w:w="108" w:type="dxa"/>
            <w:bottom w:w="0" w:type="dxa"/>
            <w:right w:w="108" w:type="dxa"/>
          </w:tblCellMar>
        </w:tblPrEx>
        <w:trPr>
          <w:trHeight w:val="10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7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shd w:val="clear" w:color="auto" w:fill="FFFFFF" w:themeFill="background1"/>
          <w:tblCellMar>
            <w:top w:w="0" w:type="dxa"/>
            <w:left w:w="108" w:type="dxa"/>
            <w:bottom w:w="0" w:type="dxa"/>
            <w:right w:w="108" w:type="dxa"/>
          </w:tblCellMar>
        </w:tblPrEx>
        <w:trPr>
          <w:trHeight w:val="78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55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76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7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shd w:val="clear" w:color="auto" w:fill="FFFFFF" w:themeFill="background1"/>
          <w:tblCellMar>
            <w:top w:w="0" w:type="dxa"/>
            <w:left w:w="108" w:type="dxa"/>
            <w:bottom w:w="0" w:type="dxa"/>
            <w:right w:w="108" w:type="dxa"/>
          </w:tblCellMar>
        </w:tblPrEx>
        <w:trPr>
          <w:trHeight w:val="52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5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52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陈列墙面+仓库+试衣间隔墙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100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陈列面墙面+仓库+试衣间，轻钢龙骨隔墙，预估100平米</w:t>
            </w: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墙面艺术乳涂料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100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墙面单面分色艺术涂料，试衣间内部墙纸或艺术涂料</w:t>
            </w: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3</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仓库内部墙面乳胶漆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32</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仓库内部整体立邦乳胶漆</w:t>
            </w:r>
          </w:p>
        </w:tc>
      </w:tr>
      <w:tr>
        <w:tblPrEx>
          <w:shd w:val="clear" w:color="auto" w:fill="FFFFFF" w:themeFill="background1"/>
          <w:tblCellMar>
            <w:top w:w="0" w:type="dxa"/>
            <w:left w:w="108" w:type="dxa"/>
            <w:bottom w:w="0" w:type="dxa"/>
            <w:right w:w="108" w:type="dxa"/>
          </w:tblCellMar>
        </w:tblPrEx>
        <w:trPr>
          <w:trHeight w:val="54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b/>
                <w:bCs/>
              </w:rPr>
            </w:pPr>
          </w:p>
        </w:tc>
      </w:tr>
      <w:tr>
        <w:tblPrEx>
          <w:shd w:val="clear" w:color="auto" w:fill="FFFFFF" w:themeFill="background1"/>
          <w:tblCellMar>
            <w:top w:w="0" w:type="dxa"/>
            <w:left w:w="108" w:type="dxa"/>
            <w:bottom w:w="0" w:type="dxa"/>
            <w:right w:w="108" w:type="dxa"/>
          </w:tblCellMar>
        </w:tblPrEx>
        <w:trPr>
          <w:trHeight w:val="57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道具搬迁+修缮+再次安装+必要基装部分总计：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5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119</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6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2F艾蜜雪女装基装+道具移装内容（搬至3F随同编程）</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28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shd w:val="clear" w:color="auto" w:fill="FFFFFF" w:themeFill="background1"/>
          <w:tblCellMar>
            <w:top w:w="0" w:type="dxa"/>
            <w:left w:w="108" w:type="dxa"/>
            <w:bottom w:w="0" w:type="dxa"/>
            <w:right w:w="108" w:type="dxa"/>
          </w:tblCellMar>
        </w:tblPrEx>
        <w:trPr>
          <w:trHeight w:val="66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37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8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shd w:val="clear" w:color="auto" w:fill="FFFFFF" w:themeFill="background1"/>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6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陈列墙面+仓库+试衣间隔墙+灰色纹理仿石材墙板</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100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陈列面墙面+仓库+试衣间，轻钢龙骨隔墙，预估100平米</w:t>
            </w:r>
          </w:p>
        </w:tc>
      </w:tr>
      <w:tr>
        <w:tblPrEx>
          <w:shd w:val="clear" w:color="auto" w:fill="FFFFFF" w:themeFill="background1"/>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100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墙面乳胶漆</w:t>
            </w:r>
          </w:p>
        </w:tc>
      </w:tr>
      <w:tr>
        <w:tblPrEx>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3</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隔墙拆除</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365</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原隔墙拆除，垃圾清运</w:t>
            </w:r>
          </w:p>
        </w:tc>
      </w:tr>
      <w:tr>
        <w:tblPrEx>
          <w:shd w:val="clear" w:color="auto" w:fill="FFFFFF" w:themeFill="background1"/>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4</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主电源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重新放电缆（3*6电缆100米）</w:t>
            </w:r>
          </w:p>
        </w:tc>
      </w:tr>
      <w:tr>
        <w:tblPrEx>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5</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灯具、拆座电源恢复</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3*2.5电线约30米</w:t>
            </w:r>
          </w:p>
          <w:p>
            <w:pPr>
              <w:widowControl/>
              <w:jc w:val="left"/>
              <w:textAlignment w:val="center"/>
              <w:rPr>
                <w:rFonts w:cs="宋体"/>
              </w:rPr>
            </w:pPr>
            <w:r>
              <w:rPr>
                <w:rFonts w:hint="eastAsia" w:cs="宋体"/>
              </w:rPr>
              <w:t>3*4电线约50米</w:t>
            </w:r>
          </w:p>
        </w:tc>
      </w:tr>
      <w:tr>
        <w:tblPrEx>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6</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仓库墙面乳胶漆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32</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仓库整体立邦净味120乳胶漆</w:t>
            </w:r>
          </w:p>
        </w:tc>
      </w:tr>
      <w:tr>
        <w:tblPrEx>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道具搬迁+修缮+再次安装+必要基装部分总计：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133</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52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2F虫二女装基装+道具移装内容（搬至3F柒鑫母婴）</w:t>
            </w:r>
          </w:p>
        </w:tc>
      </w:tr>
      <w:tr>
        <w:tblPrEx>
          <w:shd w:val="clear" w:color="auto" w:fill="FFFFFF" w:themeFill="background1"/>
          <w:tblCellMar>
            <w:top w:w="0" w:type="dxa"/>
            <w:left w:w="108" w:type="dxa"/>
            <w:bottom w:w="0" w:type="dxa"/>
            <w:right w:w="108" w:type="dxa"/>
          </w:tblCellMar>
        </w:tblPrEx>
        <w:trPr>
          <w:trHeight w:val="4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28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63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9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cs="宋体"/>
              </w:rPr>
            </w:pPr>
          </w:p>
        </w:tc>
      </w:tr>
      <w:tr>
        <w:tblPrEx>
          <w:tblCellMar>
            <w:top w:w="0" w:type="dxa"/>
            <w:left w:w="108" w:type="dxa"/>
            <w:bottom w:w="0" w:type="dxa"/>
            <w:right w:w="108" w:type="dxa"/>
          </w:tblCellMar>
        </w:tblPrEx>
        <w:trPr>
          <w:trHeight w:val="28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cs="宋体"/>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6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shd w:val="clear" w:color="auto" w:fill="FFFFFF" w:themeFill="background1"/>
          <w:tblCellMar>
            <w:top w:w="0" w:type="dxa"/>
            <w:left w:w="108" w:type="dxa"/>
            <w:bottom w:w="0" w:type="dxa"/>
            <w:right w:w="108" w:type="dxa"/>
          </w:tblCellMar>
        </w:tblPrEx>
        <w:trPr>
          <w:trHeight w:val="42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cs="宋体"/>
              </w:rPr>
            </w:pPr>
          </w:p>
        </w:tc>
      </w:tr>
      <w:tr>
        <w:tblPrEx>
          <w:shd w:val="clear" w:color="auto" w:fill="FFFFFF" w:themeFill="background1"/>
          <w:tblCellMar>
            <w:top w:w="0" w:type="dxa"/>
            <w:left w:w="108" w:type="dxa"/>
            <w:bottom w:w="0" w:type="dxa"/>
            <w:right w:w="108" w:type="dxa"/>
          </w:tblCellMar>
        </w:tblPrEx>
        <w:trPr>
          <w:trHeight w:val="42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cs="宋体"/>
              </w:rPr>
            </w:pPr>
          </w:p>
        </w:tc>
      </w:tr>
      <w:tr>
        <w:tblPrEx>
          <w:tblCellMar>
            <w:top w:w="0" w:type="dxa"/>
            <w:left w:w="108" w:type="dxa"/>
            <w:bottom w:w="0" w:type="dxa"/>
            <w:right w:w="108" w:type="dxa"/>
          </w:tblCellMar>
        </w:tblPrEx>
        <w:trPr>
          <w:trHeight w:val="42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cs="宋体"/>
              </w:rPr>
            </w:pPr>
          </w:p>
        </w:tc>
      </w:tr>
      <w:tr>
        <w:tblPrEx>
          <w:tblCellMar>
            <w:top w:w="0" w:type="dxa"/>
            <w:left w:w="108" w:type="dxa"/>
            <w:bottom w:w="0" w:type="dxa"/>
            <w:right w:w="108" w:type="dxa"/>
          </w:tblCellMar>
        </w:tblPrEx>
        <w:trPr>
          <w:trHeight w:val="5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陈列墙面+仓库+试衣间隔墙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100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陈列面墙面+仓库+试衣间，轻钢龙骨隔墙，预估100平米</w:t>
            </w:r>
          </w:p>
        </w:tc>
      </w:tr>
      <w:tr>
        <w:tblPrEx>
          <w:shd w:val="clear" w:color="auto" w:fill="FFFFFF" w:themeFill="background1"/>
          <w:tblCellMar>
            <w:top w:w="0" w:type="dxa"/>
            <w:left w:w="108" w:type="dxa"/>
            <w:bottom w:w="0" w:type="dxa"/>
            <w:right w:w="108" w:type="dxa"/>
          </w:tblCellMar>
        </w:tblPrEx>
        <w:trPr>
          <w:trHeight w:val="5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墙面艺术乳涂料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100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墙面单面艺术涂料</w:t>
            </w:r>
          </w:p>
        </w:tc>
      </w:tr>
      <w:tr>
        <w:tblPrEx>
          <w:tblCellMar>
            <w:top w:w="0" w:type="dxa"/>
            <w:left w:w="108" w:type="dxa"/>
            <w:bottom w:w="0" w:type="dxa"/>
            <w:right w:w="108" w:type="dxa"/>
          </w:tblCellMar>
        </w:tblPrEx>
        <w:trPr>
          <w:trHeight w:val="5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3</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仓库墙面乳胶漆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32</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仓库整体乳胶漆</w:t>
            </w:r>
          </w:p>
        </w:tc>
      </w:tr>
      <w:tr>
        <w:tblPrEx>
          <w:shd w:val="clear" w:color="auto" w:fill="FFFFFF" w:themeFill="background1"/>
          <w:tblCellMar>
            <w:top w:w="0" w:type="dxa"/>
            <w:left w:w="108" w:type="dxa"/>
            <w:bottom w:w="0" w:type="dxa"/>
            <w:right w:w="108" w:type="dxa"/>
          </w:tblCellMar>
        </w:tblPrEx>
        <w:trPr>
          <w:trHeight w:val="5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4</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橱窗搬迁</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玻璃橱窗搬迁+损坏预估</w:t>
            </w:r>
          </w:p>
        </w:tc>
      </w:tr>
      <w:tr>
        <w:tblPrEx>
          <w:shd w:val="clear" w:color="auto" w:fill="FFFFFF" w:themeFill="background1"/>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道具搬迁+修缮+再次安装+必要基装部分总计：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110</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52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2F好波基装+道具移装内容（搬至2F爱蜜雪）</w:t>
            </w:r>
          </w:p>
        </w:tc>
      </w:tr>
      <w:tr>
        <w:tblPrEx>
          <w:tblCellMar>
            <w:top w:w="0" w:type="dxa"/>
            <w:left w:w="108" w:type="dxa"/>
            <w:bottom w:w="0" w:type="dxa"/>
            <w:right w:w="108" w:type="dxa"/>
          </w:tblCellMar>
        </w:tblPrEx>
        <w:trPr>
          <w:trHeight w:val="52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52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66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46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76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shd w:val="clear" w:color="auto" w:fill="FFFFFF" w:themeFill="background1"/>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46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58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陈列墙面+仓库+试衣间隔墙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60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陈列面墙面+仓库+试衣间，轻钢龙骨隔墙，预估60平米</w:t>
            </w:r>
          </w:p>
        </w:tc>
      </w:tr>
      <w:tr>
        <w:tblPrEx>
          <w:tblCellMar>
            <w:top w:w="0" w:type="dxa"/>
            <w:left w:w="108" w:type="dxa"/>
            <w:bottom w:w="0" w:type="dxa"/>
            <w:right w:w="108" w:type="dxa"/>
          </w:tblCellMar>
        </w:tblPrEx>
        <w:trPr>
          <w:trHeight w:val="58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60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墙面乳胶漆</w:t>
            </w:r>
          </w:p>
        </w:tc>
      </w:tr>
      <w:tr>
        <w:tblPrEx>
          <w:shd w:val="clear" w:color="auto" w:fill="FFFFFF" w:themeFill="background1"/>
          <w:tblCellMar>
            <w:top w:w="0" w:type="dxa"/>
            <w:left w:w="108" w:type="dxa"/>
            <w:bottom w:w="0" w:type="dxa"/>
            <w:right w:w="108" w:type="dxa"/>
          </w:tblCellMar>
        </w:tblPrEx>
        <w:trPr>
          <w:trHeight w:val="58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3</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仓库墙面乳胶漆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仓库整体立邦乳胶漆</w:t>
            </w:r>
          </w:p>
        </w:tc>
      </w:tr>
      <w:tr>
        <w:tblPrEx>
          <w:shd w:val="clear" w:color="auto" w:fill="FFFFFF" w:themeFill="background1"/>
          <w:tblCellMar>
            <w:top w:w="0" w:type="dxa"/>
            <w:left w:w="108" w:type="dxa"/>
            <w:bottom w:w="0" w:type="dxa"/>
            <w:right w:w="108" w:type="dxa"/>
          </w:tblCellMar>
        </w:tblPrEx>
        <w:trPr>
          <w:trHeight w:val="58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4</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橱窗搬迁</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 xml:space="preserve">玻璃橱窗搬迁+损坏预估 </w:t>
            </w:r>
          </w:p>
        </w:tc>
      </w:tr>
      <w:tr>
        <w:tblPrEx>
          <w:shd w:val="clear" w:color="auto" w:fill="FFFFFF" w:themeFill="background1"/>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道具搬迁+修缮+再次安装+基装部分总计：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110</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51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2F洁牌女装基装+道具移装内容（搬至3F-16）</w:t>
            </w:r>
          </w:p>
        </w:tc>
      </w:tr>
      <w:tr>
        <w:tblPrEx>
          <w:shd w:val="clear" w:color="auto" w:fill="FFFFFF" w:themeFill="background1"/>
          <w:tblCellMar>
            <w:top w:w="0" w:type="dxa"/>
            <w:left w:w="108" w:type="dxa"/>
            <w:bottom w:w="0" w:type="dxa"/>
            <w:right w:w="108" w:type="dxa"/>
          </w:tblCellMar>
        </w:tblPrEx>
        <w:trPr>
          <w:trHeight w:val="5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51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shd w:val="clear" w:color="auto" w:fill="FFFFFF" w:themeFill="background1"/>
          <w:tblCellMar>
            <w:top w:w="0" w:type="dxa"/>
            <w:left w:w="108" w:type="dxa"/>
            <w:bottom w:w="0" w:type="dxa"/>
            <w:right w:w="108" w:type="dxa"/>
          </w:tblCellMar>
        </w:tblPrEx>
        <w:trPr>
          <w:trHeight w:val="37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37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73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2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陈列墙面+仓库+试衣间隔墙+圆弧造型隔墙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110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陈列面墙面+仓库+试衣间，轻钢龙骨隔墙，预估110平米</w:t>
            </w:r>
          </w:p>
        </w:tc>
      </w:tr>
      <w:tr>
        <w:tblPrEx>
          <w:shd w:val="clear" w:color="auto" w:fill="FFFFFF" w:themeFill="background1"/>
          <w:tblCellMar>
            <w:top w:w="0" w:type="dxa"/>
            <w:left w:w="108" w:type="dxa"/>
            <w:bottom w:w="0" w:type="dxa"/>
            <w:right w:w="108" w:type="dxa"/>
          </w:tblCellMar>
        </w:tblPrEx>
        <w:trPr>
          <w:trHeight w:val="28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墙面艺术乳涂料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160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墙面单面艺术涂料，试衣间内部墙纸，墙面隔墙基本单面，试衣间双面</w:t>
            </w:r>
          </w:p>
        </w:tc>
      </w:tr>
      <w:tr>
        <w:tblPrEx>
          <w:shd w:val="clear" w:color="auto" w:fill="FFFFFF" w:themeFill="background1"/>
          <w:tblCellMar>
            <w:top w:w="0" w:type="dxa"/>
            <w:left w:w="108" w:type="dxa"/>
            <w:bottom w:w="0" w:type="dxa"/>
            <w:right w:w="108" w:type="dxa"/>
          </w:tblCellMar>
        </w:tblPrEx>
        <w:trPr>
          <w:trHeight w:val="37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3</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仓库墙面乳胶漆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32</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仓库整体立邦乳胶漆</w:t>
            </w:r>
          </w:p>
        </w:tc>
      </w:tr>
      <w:tr>
        <w:tblPrEx>
          <w:shd w:val="clear" w:color="auto" w:fill="FFFFFF" w:themeFill="background1"/>
          <w:tblCellMar>
            <w:top w:w="0" w:type="dxa"/>
            <w:left w:w="108" w:type="dxa"/>
            <w:bottom w:w="0" w:type="dxa"/>
            <w:right w:w="108" w:type="dxa"/>
          </w:tblCellMar>
        </w:tblPrEx>
        <w:trPr>
          <w:trHeight w:val="52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b/>
                <w:bCs/>
              </w:rPr>
            </w:pPr>
          </w:p>
        </w:tc>
      </w:tr>
      <w:tr>
        <w:tblPrEx>
          <w:tblCellMar>
            <w:top w:w="0" w:type="dxa"/>
            <w:left w:w="108" w:type="dxa"/>
            <w:bottom w:w="0" w:type="dxa"/>
            <w:right w:w="108" w:type="dxa"/>
          </w:tblCellMar>
        </w:tblPrEx>
        <w:trPr>
          <w:trHeight w:val="52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道具搬迁+修缮+再次安装+基装部分总计：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114</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49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2F梦丝锦家纺基装+道具移装内容（搬至2F-14好波）</w:t>
            </w:r>
          </w:p>
        </w:tc>
      </w:tr>
      <w:tr>
        <w:tblPrEx>
          <w:shd w:val="clear" w:color="auto" w:fill="FFFFFF" w:themeFill="background1"/>
          <w:tblCellMar>
            <w:top w:w="0" w:type="dxa"/>
            <w:left w:w="108" w:type="dxa"/>
            <w:bottom w:w="0" w:type="dxa"/>
            <w:right w:w="108" w:type="dxa"/>
          </w:tblCellMar>
        </w:tblPrEx>
        <w:trPr>
          <w:trHeight w:val="4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49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0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40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134</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5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1F欧泊莱厅房道具移装内容（搬至1F-14-5HR箱包）</w:t>
            </w:r>
          </w:p>
        </w:tc>
      </w:tr>
      <w:tr>
        <w:tblPrEx>
          <w:shd w:val="clear" w:color="auto" w:fill="FFFFFF" w:themeFill="background1"/>
          <w:tblCellMar>
            <w:top w:w="0" w:type="dxa"/>
            <w:left w:w="108" w:type="dxa"/>
            <w:bottom w:w="0" w:type="dxa"/>
            <w:right w:w="108" w:type="dxa"/>
          </w:tblCellMar>
        </w:tblPrEx>
        <w:trPr>
          <w:trHeight w:val="58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58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shd w:val="clear" w:color="auto" w:fill="FFFFFF" w:themeFill="background1"/>
          <w:tblCellMar>
            <w:top w:w="0" w:type="dxa"/>
            <w:left w:w="108" w:type="dxa"/>
            <w:bottom w:w="0" w:type="dxa"/>
            <w:right w:w="108" w:type="dxa"/>
          </w:tblCellMar>
        </w:tblPrEx>
        <w:trPr>
          <w:trHeight w:val="615"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L7880*W6380</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专业道具制作厂家作无损拆除，无法避免损坏部件，需要拉回道具厂恢复原样修复或新制作补上</w:t>
            </w:r>
          </w:p>
        </w:tc>
      </w:tr>
      <w:tr>
        <w:tblPrEx>
          <w:tblCellMar>
            <w:top w:w="0" w:type="dxa"/>
            <w:left w:w="108" w:type="dxa"/>
            <w:bottom w:w="0" w:type="dxa"/>
            <w:right w:w="108" w:type="dxa"/>
          </w:tblCellMar>
        </w:tblPrEx>
        <w:trPr>
          <w:trHeight w:val="61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51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16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新做欧泊莱一圈柜楣+外圈灯带</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灯带：L6000+5800+6000+5800=23.6米柜楣：2*4面=8米</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31.6</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按欧泊莱款式1：1新做欧泊莱一圈柜楣+外圈灯带，合计31.6米</w:t>
            </w:r>
          </w:p>
        </w:tc>
      </w:tr>
      <w:tr>
        <w:tblPrEx>
          <w:shd w:val="clear" w:color="auto" w:fill="FFFFFF" w:themeFill="background1"/>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34</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55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2F青俏女装基装+道具移装内容（搬至3F随同编程）</w:t>
            </w:r>
          </w:p>
        </w:tc>
      </w:tr>
      <w:tr>
        <w:tblPrEx>
          <w:shd w:val="clear" w:color="auto" w:fill="FFFFFF" w:themeFill="background1"/>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shd w:val="clear" w:color="auto" w:fill="FFFFFF" w:themeFill="background1"/>
          <w:tblCellMar>
            <w:top w:w="0" w:type="dxa"/>
            <w:left w:w="108" w:type="dxa"/>
            <w:bottom w:w="0" w:type="dxa"/>
            <w:right w:w="108" w:type="dxa"/>
          </w:tblCellMar>
        </w:tblPrEx>
        <w:trPr>
          <w:trHeight w:val="70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shd w:val="clear" w:color="auto" w:fill="FFFFFF" w:themeFill="background1"/>
          <w:tblCellMar>
            <w:top w:w="0" w:type="dxa"/>
            <w:left w:w="108" w:type="dxa"/>
            <w:bottom w:w="0" w:type="dxa"/>
            <w:right w:w="108" w:type="dxa"/>
          </w:tblCellMar>
        </w:tblPrEx>
        <w:trPr>
          <w:trHeight w:val="42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42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67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shd w:val="clear" w:color="auto" w:fill="FFFFFF" w:themeFill="background1"/>
          <w:tblCellMar>
            <w:top w:w="0" w:type="dxa"/>
            <w:left w:w="108" w:type="dxa"/>
            <w:bottom w:w="0" w:type="dxa"/>
            <w:right w:w="108" w:type="dxa"/>
          </w:tblCellMar>
        </w:tblPrEx>
        <w:trPr>
          <w:trHeight w:val="67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w:t>
            </w:r>
          </w:p>
        </w:tc>
        <w:tc>
          <w:tcPr>
            <w:tcW w:w="874" w:type="pct"/>
            <w:tcBorders>
              <w:top w:val="single" w:color="000000" w:sz="4" w:space="0"/>
              <w:left w:val="nil"/>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灯具、拆座电源恢复</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3*4电线约50米</w:t>
            </w:r>
          </w:p>
          <w:p>
            <w:pPr>
              <w:widowControl/>
              <w:jc w:val="left"/>
              <w:textAlignment w:val="center"/>
              <w:rPr>
                <w:rFonts w:cs="宋体"/>
              </w:rPr>
            </w:pPr>
            <w:r>
              <w:rPr>
                <w:rFonts w:hint="eastAsia" w:cs="宋体"/>
              </w:rPr>
              <w:t>3*2.5电线约100米</w:t>
            </w:r>
          </w:p>
        </w:tc>
      </w:tr>
      <w:tr>
        <w:tblPrEx>
          <w:shd w:val="clear" w:color="auto" w:fill="FFFFFF" w:themeFill="background1"/>
          <w:tblCellMar>
            <w:top w:w="0" w:type="dxa"/>
            <w:left w:w="108" w:type="dxa"/>
            <w:bottom w:w="0" w:type="dxa"/>
            <w:right w:w="108" w:type="dxa"/>
          </w:tblCellMar>
        </w:tblPrEx>
        <w:trPr>
          <w:trHeight w:val="64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55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158</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51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1F水星家纺基装+道具移装内容（搬至2F-15哦亿）</w:t>
            </w:r>
          </w:p>
        </w:tc>
      </w:tr>
      <w:tr>
        <w:tblPrEx>
          <w:shd w:val="clear" w:color="auto" w:fill="FFFFFF" w:themeFill="background1"/>
          <w:tblCellMar>
            <w:top w:w="0" w:type="dxa"/>
            <w:left w:w="108" w:type="dxa"/>
            <w:bottom w:w="0" w:type="dxa"/>
            <w:right w:w="108" w:type="dxa"/>
          </w:tblCellMar>
        </w:tblPrEx>
        <w:trPr>
          <w:trHeight w:val="5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51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390525</wp:posOffset>
                  </wp:positionV>
                  <wp:extent cx="771525" cy="0"/>
                  <wp:effectExtent l="0" t="0" r="0" b="0"/>
                  <wp:wrapNone/>
                  <wp:docPr id="86" name="图片_1"/>
                  <wp:cNvGraphicFramePr/>
                  <a:graphic xmlns:a="http://schemas.openxmlformats.org/drawingml/2006/main">
                    <a:graphicData uri="http://schemas.openxmlformats.org/drawingml/2006/picture">
                      <pic:pic xmlns:pic="http://schemas.openxmlformats.org/drawingml/2006/picture">
                        <pic:nvPicPr>
                          <pic:cNvPr id="86" name="图片_1"/>
                          <pic:cNvPicPr/>
                        </pic:nvPicPr>
                        <pic:blipFill>
                          <a:blip r:embed="rId9"/>
                          <a:stretch>
                            <a:fillRect/>
                          </a:stretch>
                        </pic:blipFill>
                        <pic:spPr>
                          <a:xfrm>
                            <a:off x="0" y="0"/>
                            <a:ext cx="771525" cy="0"/>
                          </a:xfrm>
                          <a:prstGeom prst="rect">
                            <a:avLst/>
                          </a:prstGeom>
                          <a:noFill/>
                          <a:ln>
                            <a:noFill/>
                          </a:ln>
                        </pic:spPr>
                      </pic:pic>
                    </a:graphicData>
                  </a:graphic>
                </wp:anchor>
              </w:drawing>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shd w:val="clear" w:color="auto" w:fill="FFFFFF" w:themeFill="background1"/>
          <w:tblCellMar>
            <w:top w:w="0" w:type="dxa"/>
            <w:left w:w="108" w:type="dxa"/>
            <w:bottom w:w="0" w:type="dxa"/>
            <w:right w:w="108" w:type="dxa"/>
          </w:tblCellMar>
        </w:tblPrEx>
        <w:trPr>
          <w:trHeight w:val="48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48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82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shd w:val="clear" w:color="auto" w:fill="FFFFFF" w:themeFill="background1"/>
          <w:tblCellMar>
            <w:top w:w="0" w:type="dxa"/>
            <w:left w:w="108" w:type="dxa"/>
            <w:bottom w:w="0" w:type="dxa"/>
            <w:right w:w="108" w:type="dxa"/>
          </w:tblCellMar>
        </w:tblPrEx>
        <w:trPr>
          <w:trHeight w:val="54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54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150</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6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2F熙然女装基装+道具移装内容（搬至3F小阿迪）</w:t>
            </w:r>
          </w:p>
        </w:tc>
      </w:tr>
      <w:tr>
        <w:tblPrEx>
          <w:tblCellMar>
            <w:top w:w="0" w:type="dxa"/>
            <w:left w:w="108" w:type="dxa"/>
            <w:bottom w:w="0" w:type="dxa"/>
            <w:right w:w="108" w:type="dxa"/>
          </w:tblCellMar>
        </w:tblPrEx>
        <w:trPr>
          <w:trHeight w:val="60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60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5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45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49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9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9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必要由道具厂一并施工基装项目</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陈列墙面+仓库+试衣间隔墙+圆弧造型隔墙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120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陈列面墙面+仓库+试衣间，轻钢龙骨隔墙，预估120平米</w:t>
            </w:r>
          </w:p>
        </w:tc>
      </w:tr>
      <w:tr>
        <w:tblPrEx>
          <w:shd w:val="clear" w:color="auto" w:fill="FFFFFF" w:themeFill="background1"/>
          <w:tblCellMar>
            <w:top w:w="0" w:type="dxa"/>
            <w:left w:w="108" w:type="dxa"/>
            <w:bottom w:w="0" w:type="dxa"/>
            <w:right w:w="108" w:type="dxa"/>
          </w:tblCellMar>
        </w:tblPrEx>
        <w:trPr>
          <w:trHeight w:val="28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墙面艺术乳涂料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200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墙面单面艺术涂料，试衣间内部墙纸，很多隔墙是双面的面积多算一点</w:t>
            </w:r>
          </w:p>
        </w:tc>
      </w:tr>
      <w:tr>
        <w:tblPrEx>
          <w:shd w:val="clear" w:color="auto" w:fill="FFFFFF" w:themeFill="background1"/>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3</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仓库墙面乳胶漆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32</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仓库整体立邦净味120乳胶漆</w:t>
            </w:r>
          </w:p>
        </w:tc>
      </w:tr>
      <w:tr>
        <w:tblPrEx>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4</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橱窗搬迁</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玻璃橱窗搬迁+损坏预估</w:t>
            </w:r>
          </w:p>
        </w:tc>
      </w:tr>
      <w:tr>
        <w:tblPrEx>
          <w:shd w:val="clear" w:color="auto" w:fill="FFFFFF" w:themeFill="background1"/>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shd w:val="clear" w:color="auto" w:fill="FFFFFF" w:themeFill="background1"/>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道具搬迁+修缮+再次安装+必要基装部分总计：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159</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5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3F衣拉拉道具移装内容（搬至3F捷米梵）</w:t>
            </w:r>
          </w:p>
        </w:tc>
      </w:tr>
      <w:tr>
        <w:tblPrEx>
          <w:shd w:val="clear" w:color="auto" w:fill="FFFFFF" w:themeFill="background1"/>
          <w:tblCellMar>
            <w:top w:w="0" w:type="dxa"/>
            <w:left w:w="108" w:type="dxa"/>
            <w:bottom w:w="0" w:type="dxa"/>
            <w:right w:w="108" w:type="dxa"/>
          </w:tblCellMar>
        </w:tblPrEx>
        <w:trPr>
          <w:trHeight w:val="46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48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shd w:val="clear" w:color="auto" w:fill="FFFFFF" w:themeFill="background1"/>
          <w:tblCellMar>
            <w:top w:w="0" w:type="dxa"/>
            <w:left w:w="108" w:type="dxa"/>
            <w:bottom w:w="0" w:type="dxa"/>
            <w:right w:w="108" w:type="dxa"/>
          </w:tblCellMar>
        </w:tblPrEx>
        <w:trPr>
          <w:trHeight w:val="28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28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shd w:val="clear" w:color="auto" w:fill="FFFFFF" w:themeFill="background1"/>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48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106</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6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2F易美内衣家纺基装+道具移装内容（搬至2F-13青俏）</w:t>
            </w:r>
          </w:p>
        </w:tc>
      </w:tr>
      <w:tr>
        <w:tblPrEx>
          <w:shd w:val="clear" w:color="auto" w:fill="FFFFFF" w:themeFill="background1"/>
          <w:tblCellMar>
            <w:top w:w="0" w:type="dxa"/>
            <w:left w:w="108" w:type="dxa"/>
            <w:bottom w:w="0" w:type="dxa"/>
            <w:right w:w="108" w:type="dxa"/>
          </w:tblCellMar>
        </w:tblPrEx>
        <w:trPr>
          <w:trHeight w:val="4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49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sz w:val="21"/>
                <w:szCs w:val="21"/>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9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49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60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28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95</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64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总服务台移装内容</w:t>
            </w:r>
          </w:p>
        </w:tc>
      </w:tr>
      <w:tr>
        <w:tblPrEx>
          <w:shd w:val="clear" w:color="auto" w:fill="FFFFFF" w:themeFill="background1"/>
          <w:tblCellMar>
            <w:top w:w="0" w:type="dxa"/>
            <w:left w:w="108" w:type="dxa"/>
            <w:bottom w:w="0" w:type="dxa"/>
            <w:right w:w="108" w:type="dxa"/>
          </w:tblCellMar>
        </w:tblPrEx>
        <w:trPr>
          <w:trHeight w:val="63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63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方案一：搬迁</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shd w:val="clear" w:color="auto" w:fill="FFFFFF" w:themeFill="background1"/>
          <w:tblCellMar>
            <w:top w:w="0" w:type="dxa"/>
            <w:left w:w="108" w:type="dxa"/>
            <w:bottom w:w="0" w:type="dxa"/>
            <w:right w:w="108" w:type="dxa"/>
          </w:tblCellMar>
        </w:tblPrEx>
        <w:trPr>
          <w:trHeight w:val="7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整体搬迁费用</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L5550</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整体搬迁，大理石是整体后焊接的，整体尺寸太大了很可能无法搬迁，即使搬迁几乎必然导致大理石损坏</w:t>
            </w:r>
          </w:p>
        </w:tc>
      </w:tr>
      <w:tr>
        <w:tblPrEx>
          <w:tblCellMar>
            <w:top w:w="0" w:type="dxa"/>
            <w:left w:w="108" w:type="dxa"/>
            <w:bottom w:w="0" w:type="dxa"/>
            <w:right w:w="108" w:type="dxa"/>
          </w:tblCellMar>
        </w:tblPrEx>
        <w:trPr>
          <w:trHeight w:val="5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损坏修复</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大理石或台体损坏后修复费用</w:t>
            </w:r>
          </w:p>
        </w:tc>
      </w:tr>
      <w:tr>
        <w:tblPrEx>
          <w:shd w:val="clear" w:color="auto" w:fill="FFFFFF" w:themeFill="background1"/>
          <w:tblCellMar>
            <w:top w:w="0" w:type="dxa"/>
            <w:left w:w="108" w:type="dxa"/>
            <w:bottom w:w="0" w:type="dxa"/>
            <w:right w:w="108" w:type="dxa"/>
          </w:tblCellMar>
        </w:tblPrEx>
        <w:trPr>
          <w:trHeight w:val="54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54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方案二 新做</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5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新做总服务台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5.55</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重新设计制作服务台，木结石材+不锈钢</w:t>
            </w:r>
          </w:p>
        </w:tc>
      </w:tr>
      <w:tr>
        <w:tblPrEx>
          <w:tblCellMar>
            <w:top w:w="0" w:type="dxa"/>
            <w:left w:w="108" w:type="dxa"/>
            <w:bottom w:w="0" w:type="dxa"/>
            <w:right w:w="108" w:type="dxa"/>
          </w:tblCellMar>
        </w:tblPrEx>
        <w:trPr>
          <w:trHeight w:val="5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服务台后背景利旧</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长5.48*高1.5米</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服务台背景墙，木结构烤漆+发光字</w:t>
            </w:r>
          </w:p>
        </w:tc>
      </w:tr>
      <w:tr>
        <w:tblPrEx>
          <w:shd w:val="clear" w:color="auto" w:fill="FFFFFF" w:themeFill="background1"/>
          <w:tblCellMar>
            <w:top w:w="0" w:type="dxa"/>
            <w:left w:w="108" w:type="dxa"/>
            <w:bottom w:w="0" w:type="dxa"/>
            <w:right w:w="108" w:type="dxa"/>
          </w:tblCellMar>
        </w:tblPrEx>
        <w:trPr>
          <w:trHeight w:val="54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bl>
    <w:p>
      <w:pPr>
        <w:ind w:firstLine="480" w:firstLineChars="200"/>
        <w:rPr>
          <w:color w:val="000000"/>
          <w:sz w:val="24"/>
          <w:szCs w:val="24"/>
        </w:rPr>
      </w:pPr>
      <w:r>
        <w:rPr>
          <w:rFonts w:hint="eastAsia"/>
          <w:color w:val="000000"/>
          <w:sz w:val="24"/>
          <w:szCs w:val="24"/>
        </w:rPr>
        <w:t>备注：原有厅房内所有可利旧道具组织专业技术工人无损拆除，部分涉及尺寸严重不符或拆除过程中损坏的道具，需重新制作。</w:t>
      </w:r>
    </w:p>
    <w:p>
      <w:pPr>
        <w:ind w:firstLine="480" w:firstLineChars="200"/>
        <w:rPr>
          <w:color w:val="000000"/>
          <w:sz w:val="24"/>
          <w:szCs w:val="24"/>
        </w:rPr>
      </w:pPr>
      <w:r>
        <w:rPr>
          <w:rFonts w:hint="eastAsia"/>
          <w:color w:val="000000"/>
          <w:sz w:val="24"/>
          <w:szCs w:val="24"/>
        </w:rPr>
        <w:t>拆除或修补后的道具</w:t>
      </w:r>
      <w:r>
        <w:rPr>
          <w:color w:val="000000"/>
          <w:sz w:val="24"/>
          <w:szCs w:val="24"/>
        </w:rPr>
        <w:t>搬运到新厅房安全摆放</w:t>
      </w:r>
      <w:r>
        <w:rPr>
          <w:rFonts w:hint="eastAsia"/>
          <w:color w:val="000000"/>
          <w:sz w:val="24"/>
          <w:szCs w:val="24"/>
        </w:rPr>
        <w:t>、安装</w:t>
      </w:r>
      <w:r>
        <w:rPr>
          <w:color w:val="000000"/>
          <w:sz w:val="24"/>
          <w:szCs w:val="24"/>
        </w:rPr>
        <w:t>，部分需要修改的道具</w:t>
      </w:r>
      <w:r>
        <w:rPr>
          <w:rFonts w:hint="eastAsia"/>
          <w:color w:val="000000"/>
          <w:sz w:val="24"/>
          <w:szCs w:val="24"/>
        </w:rPr>
        <w:t>需</w:t>
      </w:r>
      <w:r>
        <w:rPr>
          <w:color w:val="000000"/>
          <w:sz w:val="24"/>
          <w:szCs w:val="24"/>
        </w:rPr>
        <w:t>进行修改</w:t>
      </w:r>
      <w:r>
        <w:rPr>
          <w:rFonts w:hint="eastAsia"/>
          <w:color w:val="000000"/>
          <w:sz w:val="24"/>
          <w:szCs w:val="24"/>
        </w:rPr>
        <w:t>、</w:t>
      </w:r>
      <w:r>
        <w:rPr>
          <w:color w:val="000000"/>
          <w:sz w:val="24"/>
          <w:szCs w:val="24"/>
        </w:rPr>
        <w:t>翻新</w:t>
      </w:r>
      <w:r>
        <w:rPr>
          <w:rFonts w:hint="eastAsia"/>
          <w:color w:val="000000"/>
          <w:sz w:val="24"/>
          <w:szCs w:val="24"/>
        </w:rPr>
        <w:t>。</w:t>
      </w:r>
    </w:p>
    <w:p>
      <w:pPr>
        <w:ind w:firstLine="480" w:firstLineChars="200"/>
        <w:rPr>
          <w:color w:val="000000"/>
          <w:sz w:val="24"/>
          <w:szCs w:val="24"/>
        </w:rPr>
      </w:pPr>
      <w:r>
        <w:rPr>
          <w:rFonts w:hint="eastAsia"/>
          <w:color w:val="000000"/>
          <w:sz w:val="24"/>
          <w:szCs w:val="24"/>
        </w:rPr>
        <w:t>拆改后的新厅房的布置和道具原则上与原厅房保持一致。</w:t>
      </w:r>
    </w:p>
    <w:p>
      <w:pPr>
        <w:sectPr>
          <w:pgSz w:w="11906" w:h="16838"/>
          <w:pgMar w:top="1440" w:right="1803" w:bottom="1440" w:left="1803" w:header="851" w:footer="992" w:gutter="0"/>
          <w:cols w:space="0" w:num="1"/>
          <w:docGrid w:type="lines" w:linePitch="319" w:charSpace="0"/>
        </w:sectPr>
      </w:pPr>
    </w:p>
    <w:p>
      <w:pPr>
        <w:rPr>
          <w:rFonts w:ascii="Times New Roman" w:hAnsi="Times New Roman"/>
          <w:sz w:val="24"/>
          <w:szCs w:val="24"/>
        </w:rPr>
      </w:pPr>
      <w:bookmarkStart w:id="44" w:name="_Toc501460780"/>
      <w:bookmarkStart w:id="45" w:name="_Toc21575"/>
      <w:bookmarkStart w:id="46" w:name="_Toc25821"/>
      <w:r>
        <w:rPr>
          <w:rFonts w:ascii="Times New Roman" w:hAnsi="Times New Roman"/>
          <w:sz w:val="24"/>
          <w:szCs w:val="24"/>
        </w:rPr>
        <w:t>三、技术性能指标</w:t>
      </w:r>
      <w:bookmarkEnd w:id="44"/>
      <w:bookmarkEnd w:id="45"/>
      <w:bookmarkEnd w:id="46"/>
    </w:p>
    <w:p>
      <w:pPr>
        <w:spacing w:line="360" w:lineRule="auto"/>
        <w:ind w:firstLine="410" w:firstLineChars="171"/>
        <w:outlineLvl w:val="2"/>
        <w:rPr>
          <w:color w:val="000000"/>
          <w:sz w:val="24"/>
          <w:szCs w:val="24"/>
        </w:rPr>
      </w:pPr>
      <w:r>
        <w:rPr>
          <w:rFonts w:hint="eastAsia"/>
          <w:color w:val="000000"/>
          <w:sz w:val="24"/>
          <w:szCs w:val="24"/>
        </w:rPr>
        <w:t>（一）说明</w:t>
      </w:r>
    </w:p>
    <w:p>
      <w:pPr>
        <w:spacing w:line="360" w:lineRule="auto"/>
        <w:ind w:firstLine="410" w:firstLineChars="171"/>
        <w:rPr>
          <w:color w:val="000000"/>
          <w:sz w:val="24"/>
          <w:szCs w:val="24"/>
        </w:rPr>
      </w:pPr>
      <w:r>
        <w:rPr>
          <w:rFonts w:hint="eastAsia"/>
          <w:color w:val="000000"/>
          <w:sz w:val="24"/>
          <w:szCs w:val="24"/>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pPr>
        <w:spacing w:line="360" w:lineRule="auto"/>
        <w:ind w:firstLine="410" w:firstLineChars="171"/>
        <w:rPr>
          <w:color w:val="000000"/>
          <w:sz w:val="24"/>
          <w:szCs w:val="24"/>
        </w:rPr>
      </w:pPr>
      <w:r>
        <w:rPr>
          <w:rFonts w:hint="eastAsia"/>
          <w:color w:val="000000"/>
          <w:sz w:val="24"/>
          <w:szCs w:val="24"/>
        </w:rPr>
        <w:t>2.为鼓励不同品牌的充分竞争，如某货物的某技术参数或要求属于个别品牌专有，则该技术参数及要求不具有限制性，投标人可对该参数或要求的响应情况进行说明，且该说明须经评审小组审核认可。</w:t>
      </w:r>
    </w:p>
    <w:p>
      <w:pPr>
        <w:spacing w:line="360" w:lineRule="auto"/>
        <w:ind w:firstLine="410" w:firstLineChars="171"/>
        <w:rPr>
          <w:color w:val="000000"/>
          <w:sz w:val="24"/>
          <w:szCs w:val="24"/>
        </w:rPr>
      </w:pPr>
      <w:r>
        <w:rPr>
          <w:rFonts w:hint="eastAsia"/>
          <w:color w:val="000000"/>
          <w:sz w:val="24"/>
          <w:szCs w:val="24"/>
        </w:rPr>
        <w:t>3.投标人应自行踏勘本项目实施现场，核对货物安装现场的土建尺寸等可能影响后期安装的全部因素，确保所投货物满足现场实际安装要求。</w:t>
      </w:r>
    </w:p>
    <w:p>
      <w:pPr>
        <w:spacing w:line="360" w:lineRule="auto"/>
        <w:ind w:firstLine="410" w:firstLineChars="171"/>
        <w:rPr>
          <w:color w:val="000000"/>
          <w:sz w:val="24"/>
          <w:szCs w:val="24"/>
        </w:rPr>
      </w:pPr>
      <w:r>
        <w:rPr>
          <w:rFonts w:hint="eastAsia"/>
          <w:color w:val="000000"/>
          <w:sz w:val="24"/>
          <w:szCs w:val="24"/>
        </w:rPr>
        <w:t>4.招标人保留在签订合同之前对本技术规格及要求进行补充和修改的权利，投标人应予以配合。</w:t>
      </w:r>
    </w:p>
    <w:p>
      <w:pPr>
        <w:spacing w:line="360" w:lineRule="auto"/>
        <w:rPr>
          <w:color w:val="000000"/>
          <w:sz w:val="24"/>
          <w:szCs w:val="24"/>
        </w:rPr>
      </w:pPr>
      <w:bookmarkStart w:id="47" w:name="_Toc12083"/>
      <w:bookmarkStart w:id="48" w:name="_Toc14578"/>
      <w:bookmarkStart w:id="49" w:name="_Toc501460781"/>
      <w:r>
        <w:rPr>
          <w:color w:val="000000"/>
          <w:sz w:val="24"/>
          <w:szCs w:val="24"/>
        </w:rPr>
        <w:t>四、检验考核要求</w:t>
      </w:r>
      <w:bookmarkEnd w:id="47"/>
      <w:bookmarkEnd w:id="48"/>
      <w:bookmarkEnd w:id="49"/>
    </w:p>
    <w:p>
      <w:pPr>
        <w:spacing w:line="360" w:lineRule="auto"/>
        <w:ind w:firstLine="410" w:firstLineChars="171"/>
        <w:rPr>
          <w:color w:val="000000"/>
          <w:sz w:val="24"/>
          <w:szCs w:val="24"/>
        </w:rPr>
      </w:pPr>
      <w:r>
        <w:rPr>
          <w:color w:val="000000"/>
          <w:sz w:val="24"/>
          <w:szCs w:val="24"/>
        </w:rPr>
        <w:t>制作、安装、调试应符合招标文件要求和</w:t>
      </w:r>
      <w:r>
        <w:rPr>
          <w:rFonts w:hint="eastAsia"/>
          <w:color w:val="000000"/>
          <w:sz w:val="24"/>
          <w:szCs w:val="24"/>
        </w:rPr>
        <w:t>中标人</w:t>
      </w:r>
      <w:r>
        <w:rPr>
          <w:color w:val="000000"/>
          <w:sz w:val="24"/>
          <w:szCs w:val="24"/>
        </w:rPr>
        <w:t>响应承诺，道具应平整美观，无毛刺尖角或容易造成人员伤害的部件。安装、调试完毕后报甲方验收，验收内容涉及道具材质及其厚度、漆面工艺、五金、电气部分、基础大小标准、安装规范、安全标准等（验收标准按照招标文件第三章采购需求），如未达标，乙方应按规定材质和要求重新制作安装，且由此产生的 一切损失和费用由乙方自行承担。乙方安装施工过程中如因违反有关安全管理规定导致的甲方、 乙方及第三方人员伤害、财产损失的，由乙方负责处理并承担全部责任。</w:t>
      </w:r>
      <w:bookmarkStart w:id="50" w:name="_Toc501460782"/>
      <w:bookmarkStart w:id="51" w:name="_Toc26887"/>
      <w:bookmarkStart w:id="52" w:name="_Toc2473"/>
    </w:p>
    <w:p>
      <w:pPr>
        <w:spacing w:line="360" w:lineRule="auto"/>
        <w:rPr>
          <w:color w:val="000000"/>
          <w:sz w:val="24"/>
          <w:szCs w:val="24"/>
        </w:rPr>
      </w:pPr>
      <w:r>
        <w:rPr>
          <w:color w:val="000000"/>
          <w:sz w:val="24"/>
          <w:szCs w:val="24"/>
        </w:rPr>
        <w:t>五、技术服务和质保期服务要求</w:t>
      </w:r>
      <w:bookmarkEnd w:id="50"/>
      <w:bookmarkEnd w:id="51"/>
      <w:bookmarkEnd w:id="52"/>
    </w:p>
    <w:p>
      <w:pPr>
        <w:spacing w:line="360" w:lineRule="auto"/>
        <w:ind w:firstLine="410" w:firstLineChars="171"/>
        <w:rPr>
          <w:color w:val="000000"/>
          <w:sz w:val="24"/>
          <w:szCs w:val="24"/>
        </w:rPr>
      </w:pPr>
      <w:r>
        <w:rPr>
          <w:rFonts w:hint="eastAsia"/>
          <w:color w:val="000000"/>
          <w:sz w:val="24"/>
          <w:szCs w:val="24"/>
        </w:rPr>
        <w:t>满足厅房使用功能。</w:t>
      </w:r>
    </w:p>
    <w:p>
      <w:pPr>
        <w:spacing w:line="360" w:lineRule="auto"/>
        <w:ind w:firstLine="410" w:firstLineChars="171"/>
        <w:rPr>
          <w:color w:val="000000"/>
          <w:sz w:val="24"/>
          <w:szCs w:val="24"/>
        </w:rPr>
      </w:pPr>
      <w:r>
        <w:rPr>
          <w:rFonts w:hint="eastAsia"/>
          <w:color w:val="000000"/>
          <w:sz w:val="24"/>
          <w:szCs w:val="24"/>
        </w:rPr>
        <w:t>拆除道具如有损坏，需修复出新，重新安装，此部分道具安装质保壹年。</w:t>
      </w:r>
    </w:p>
    <w:p>
      <w:pPr>
        <w:spacing w:line="360" w:lineRule="auto"/>
        <w:ind w:firstLine="410" w:firstLineChars="171"/>
        <w:rPr>
          <w:color w:val="000000"/>
          <w:sz w:val="24"/>
          <w:szCs w:val="24"/>
        </w:rPr>
      </w:pPr>
      <w:r>
        <w:rPr>
          <w:rFonts w:hint="eastAsia"/>
          <w:color w:val="000000"/>
          <w:sz w:val="24"/>
          <w:szCs w:val="24"/>
        </w:rPr>
        <w:t>新制作的道具，质保壹年。</w:t>
      </w:r>
    </w:p>
    <w:p>
      <w:pPr>
        <w:spacing w:line="360" w:lineRule="auto"/>
        <w:ind w:firstLine="410" w:firstLineChars="171"/>
        <w:rPr>
          <w:rFonts w:hint="eastAsia"/>
          <w:color w:val="000000"/>
          <w:sz w:val="24"/>
          <w:szCs w:val="24"/>
        </w:rPr>
      </w:pPr>
      <w:r>
        <w:rPr>
          <w:rFonts w:hint="eastAsia"/>
          <w:color w:val="000000"/>
          <w:sz w:val="24"/>
          <w:szCs w:val="24"/>
        </w:rPr>
        <w:t>保修期内，中标人免费对道具实行包修、包维护。</w:t>
      </w:r>
    </w:p>
    <w:p>
      <w:pPr>
        <w:spacing w:line="360" w:lineRule="auto"/>
        <w:rPr>
          <w:color w:val="000000"/>
          <w:sz w:val="24"/>
          <w:szCs w:val="24"/>
          <w:u w:val="none"/>
        </w:rPr>
      </w:pPr>
      <w:bookmarkStart w:id="53" w:name="_Toc482188644"/>
      <w:r>
        <w:rPr>
          <w:rFonts w:hint="eastAsia"/>
          <w:color w:val="000000"/>
          <w:sz w:val="24"/>
          <w:szCs w:val="24"/>
          <w:u w:val="none"/>
          <w:lang w:val="en-US" w:eastAsia="zh-CN"/>
        </w:rPr>
        <w:t>六</w:t>
      </w:r>
      <w:r>
        <w:rPr>
          <w:color w:val="000000"/>
          <w:sz w:val="24"/>
          <w:szCs w:val="24"/>
          <w:u w:val="none"/>
        </w:rPr>
        <w:t>、</w:t>
      </w:r>
      <w:bookmarkEnd w:id="53"/>
      <w:r>
        <w:rPr>
          <w:rFonts w:hint="eastAsia"/>
          <w:color w:val="000000"/>
          <w:sz w:val="24"/>
          <w:szCs w:val="24"/>
          <w:u w:val="none"/>
        </w:rPr>
        <w:t>报价要求</w:t>
      </w:r>
    </w:p>
    <w:p>
      <w:pPr>
        <w:spacing w:line="500" w:lineRule="exact"/>
        <w:ind w:firstLine="480" w:firstLineChars="200"/>
        <w:rPr>
          <w:rFonts w:cs="Times New Roman"/>
          <w:sz w:val="24"/>
          <w:szCs w:val="24"/>
          <w:u w:val="none"/>
        </w:rPr>
      </w:pPr>
      <w:r>
        <w:rPr>
          <w:rFonts w:hint="eastAsia" w:cs="Times New Roman"/>
          <w:sz w:val="24"/>
          <w:szCs w:val="24"/>
          <w:u w:val="none"/>
        </w:rPr>
        <w:t>报价方式：</w:t>
      </w:r>
      <w:r>
        <w:rPr>
          <w:rFonts w:cs="宋体"/>
          <w:sz w:val="24"/>
          <w:szCs w:val="24"/>
          <w:u w:val="none"/>
        </w:rPr>
        <w:t>本项目采用总价包死，此报价包含所投服务、设备费、人工费（含所用人工工资、福利、社保等）、误餐费、加班费、办公费、交通费、通讯费、培训费、税金、利润、劳动服务费、税费、验收等工作所发生的一切应有费用</w:t>
      </w:r>
      <w:r>
        <w:rPr>
          <w:rFonts w:hint="eastAsia" w:cs="Times New Roman"/>
          <w:sz w:val="24"/>
          <w:szCs w:val="24"/>
          <w:u w:val="none"/>
        </w:rPr>
        <w:t>。结算时不因任何因素而调整，投标人的报价应含本项目所涉及到的一切费用，投标人应充分勘察现场，相关费用均应考虑在投标报价中。中标后不得以对现场情况不明为理由提出任何增加项目费用的索赔。</w:t>
      </w:r>
    </w:p>
    <w:p>
      <w:pPr>
        <w:spacing w:line="360" w:lineRule="auto"/>
        <w:ind w:firstLine="0" w:firstLineChars="0"/>
        <w:rPr>
          <w:rFonts w:hint="eastAsia"/>
          <w:color w:val="000000"/>
          <w:sz w:val="24"/>
          <w:szCs w:val="24"/>
        </w:rPr>
      </w:pPr>
    </w:p>
    <w:p>
      <w:pPr>
        <w:spacing w:line="240" w:lineRule="auto"/>
        <w:ind w:firstLine="0" w:firstLineChars="0"/>
        <w:rPr>
          <w:rFonts w:hint="eastAsia"/>
          <w:color w:val="000000"/>
          <w:sz w:val="24"/>
          <w:szCs w:val="24"/>
        </w:rPr>
      </w:pPr>
      <w:r>
        <w:rPr>
          <w:rFonts w:hint="eastAsia"/>
          <w:color w:val="000000"/>
          <w:sz w:val="24"/>
          <w:szCs w:val="24"/>
        </w:rPr>
        <w:br w:type="page"/>
      </w:r>
    </w:p>
    <w:p>
      <w:pPr>
        <w:spacing w:line="360" w:lineRule="auto"/>
        <w:ind w:firstLine="410" w:firstLineChars="171"/>
        <w:rPr>
          <w:color w:val="000000"/>
          <w:sz w:val="24"/>
          <w:szCs w:val="24"/>
        </w:rPr>
      </w:pPr>
    </w:p>
    <w:p>
      <w:pPr>
        <w:spacing w:line="360" w:lineRule="auto"/>
        <w:jc w:val="center"/>
        <w:outlineLvl w:val="0"/>
        <w:rPr>
          <w:rFonts w:asciiTheme="minorEastAsia" w:hAnsiTheme="minorEastAsia" w:eastAsiaTheme="minorEastAsia"/>
          <w:b/>
          <w:sz w:val="28"/>
        </w:rPr>
      </w:pPr>
      <w:bookmarkStart w:id="54" w:name="_Toc24793"/>
      <w:r>
        <w:rPr>
          <w:rFonts w:hint="eastAsia" w:asciiTheme="minorEastAsia" w:hAnsiTheme="minorEastAsia" w:eastAsiaTheme="minorEastAsia"/>
          <w:b/>
          <w:sz w:val="28"/>
        </w:rPr>
        <w:t>第四章  评审方法和标准</w:t>
      </w:r>
      <w:bookmarkEnd w:id="54"/>
    </w:p>
    <w:p>
      <w:pPr>
        <w:spacing w:line="360" w:lineRule="auto"/>
        <w:ind w:firstLine="437"/>
        <w:outlineLvl w:val="1"/>
        <w:rPr>
          <w:rFonts w:asciiTheme="minorEastAsia" w:hAnsiTheme="minorEastAsia" w:eastAsiaTheme="minorEastAsia"/>
          <w:b/>
          <w:sz w:val="24"/>
        </w:rPr>
      </w:pPr>
      <w:bookmarkStart w:id="55" w:name="_Toc15468"/>
      <w:r>
        <w:rPr>
          <w:rFonts w:hint="eastAsia" w:asciiTheme="minorEastAsia" w:hAnsiTheme="minorEastAsia" w:eastAsiaTheme="minorEastAsia"/>
          <w:b/>
          <w:sz w:val="24"/>
        </w:rPr>
        <w:t>一、总则</w:t>
      </w:r>
      <w:bookmarkEnd w:id="55"/>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本项目采用最低评标价法评审，投标文件满足谈判文件全部实质性要求且</w:t>
      </w:r>
      <w:r>
        <w:rPr>
          <w:rFonts w:hint="eastAsia" w:asciiTheme="minorEastAsia" w:hAnsiTheme="minorEastAsia" w:eastAsiaTheme="minorEastAsia"/>
          <w:bCs/>
          <w:sz w:val="24"/>
        </w:rPr>
        <w:t>最终投标报价</w:t>
      </w:r>
      <w:r>
        <w:rPr>
          <w:rFonts w:hint="eastAsia" w:asciiTheme="minorEastAsia" w:hAnsiTheme="minorEastAsia" w:eastAsiaTheme="minorEastAsia"/>
          <w:sz w:val="24"/>
        </w:rPr>
        <w:t>最低的投标人为中标候选人的评审方法。</w:t>
      </w:r>
    </w:p>
    <w:p>
      <w:pPr>
        <w:spacing w:line="360" w:lineRule="auto"/>
        <w:ind w:firstLine="437"/>
        <w:outlineLvl w:val="1"/>
        <w:rPr>
          <w:rFonts w:asciiTheme="minorEastAsia" w:hAnsiTheme="minorEastAsia" w:eastAsiaTheme="minorEastAsia"/>
          <w:b/>
          <w:sz w:val="24"/>
        </w:rPr>
      </w:pPr>
      <w:bookmarkStart w:id="56" w:name="_Toc4660"/>
      <w:r>
        <w:rPr>
          <w:rFonts w:hint="eastAsia" w:asciiTheme="minorEastAsia" w:hAnsiTheme="minorEastAsia" w:eastAsiaTheme="minorEastAsia"/>
          <w:b/>
          <w:sz w:val="24"/>
        </w:rPr>
        <w:t>二、评审方法</w:t>
      </w:r>
      <w:bookmarkEnd w:id="56"/>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评审小组对投标人的投标文件进行初审，以确定其是否满足谈判文件的实质性要求。初审表如下：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1"/>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4"/>
                <w:szCs w:val="22"/>
              </w:rPr>
            </w:pPr>
            <w:r>
              <w:rPr>
                <w:rFonts w:hint="eastAsia" w:ascii="Calibri" w:hAnsi="Calibri" w:cs="Times New Roman"/>
                <w:b/>
                <w:kern w:val="2"/>
                <w:sz w:val="24"/>
                <w:szCs w:val="22"/>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b/>
                <w:kern w:val="2"/>
                <w:sz w:val="24"/>
                <w:szCs w:val="22"/>
              </w:rPr>
            </w:pPr>
            <w:r>
              <w:rPr>
                <w:rFonts w:hint="eastAsia" w:ascii="Calibri" w:hAnsi="Calibri" w:cs="Times New Roman"/>
                <w:b/>
                <w:kern w:val="2"/>
                <w:sz w:val="24"/>
                <w:szCs w:val="22"/>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4"/>
                <w:szCs w:val="24"/>
              </w:rPr>
            </w:pPr>
            <w:r>
              <w:rPr>
                <w:rFonts w:hint="eastAsia" w:ascii="Calibri" w:hAnsi="Calibri" w:cs="Times New Roman"/>
                <w:b/>
                <w:kern w:val="2"/>
                <w:sz w:val="24"/>
                <w:szCs w:val="24"/>
              </w:rPr>
              <w:t>评审指标</w:t>
            </w:r>
          </w:p>
        </w:tc>
        <w:tc>
          <w:tcPr>
            <w:tcW w:w="3283" w:type="pct"/>
            <w:tcBorders>
              <w:bottom w:val="single" w:color="auto" w:sz="4" w:space="0"/>
            </w:tcBorders>
            <w:vAlign w:val="center"/>
          </w:tcPr>
          <w:p>
            <w:pPr>
              <w:adjustRightInd w:val="0"/>
              <w:snapToGrid w:val="0"/>
              <w:ind w:right="-10"/>
              <w:jc w:val="center"/>
              <w:rPr>
                <w:rFonts w:ascii="Calibri" w:hAnsi="Calibri" w:cs="Times New Roman"/>
                <w:b/>
                <w:kern w:val="2"/>
                <w:sz w:val="24"/>
                <w:szCs w:val="22"/>
              </w:rPr>
            </w:pPr>
            <w:r>
              <w:rPr>
                <w:rFonts w:hint="eastAsia" w:ascii="Calibri" w:hAnsi="Calibri" w:cs="Times New Roman"/>
                <w:b/>
                <w:kern w:val="2"/>
                <w:sz w:val="24"/>
                <w:szCs w:val="22"/>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kern w:val="2"/>
                <w:sz w:val="24"/>
                <w:szCs w:val="22"/>
              </w:rPr>
            </w:pPr>
            <w:r>
              <w:rPr>
                <w:rFonts w:hint="eastAsia" w:cs="Times New Roman"/>
                <w:kern w:val="2"/>
                <w:sz w:val="24"/>
              </w:rPr>
              <w:t>1</w:t>
            </w:r>
          </w:p>
        </w:tc>
        <w:tc>
          <w:tcPr>
            <w:tcW w:w="1304" w:type="pct"/>
            <w:tcBorders>
              <w:bottom w:val="single" w:color="auto" w:sz="4" w:space="0"/>
            </w:tcBorders>
            <w:vAlign w:val="center"/>
          </w:tcPr>
          <w:p>
            <w:pPr>
              <w:adjustRightInd w:val="0"/>
              <w:snapToGrid w:val="0"/>
              <w:ind w:right="-10"/>
              <w:jc w:val="left"/>
              <w:rPr>
                <w:rFonts w:cs="Times New Roman"/>
                <w:kern w:val="2"/>
                <w:sz w:val="24"/>
              </w:rPr>
            </w:pPr>
            <w:r>
              <w:rPr>
                <w:rFonts w:hint="eastAsia" w:cs="Times New Roman"/>
                <w:kern w:val="2"/>
                <w:sz w:val="24"/>
              </w:rPr>
              <w:t>营业执照</w:t>
            </w:r>
          </w:p>
        </w:tc>
        <w:tc>
          <w:tcPr>
            <w:tcW w:w="3283" w:type="pct"/>
            <w:tcBorders>
              <w:bottom w:val="single" w:color="auto" w:sz="4" w:space="0"/>
            </w:tcBorders>
            <w:vAlign w:val="center"/>
          </w:tcPr>
          <w:p>
            <w:pPr>
              <w:adjustRightInd w:val="0"/>
              <w:snapToGrid w:val="0"/>
              <w:spacing w:line="360" w:lineRule="auto"/>
              <w:ind w:right="-10"/>
              <w:rPr>
                <w:rFonts w:ascii="Calibri" w:hAnsi="Calibri" w:cs="Times New Roman"/>
                <w:kern w:val="2"/>
                <w:sz w:val="24"/>
                <w:szCs w:val="22"/>
              </w:rPr>
            </w:pPr>
            <w:r>
              <w:rPr>
                <w:rFonts w:hint="eastAsia" w:cs="Times New Roman"/>
                <w:kern w:val="2"/>
                <w:sz w:val="24"/>
                <w:szCs w:val="22"/>
              </w:rPr>
              <w:t>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jc w:val="center"/>
              <w:rPr>
                <w:rFonts w:hint="eastAsia" w:eastAsia="宋体" w:cs="Times New Roman"/>
                <w:kern w:val="2"/>
                <w:sz w:val="24"/>
                <w:lang w:eastAsia="zh-CN"/>
              </w:rPr>
            </w:pPr>
            <w:r>
              <w:rPr>
                <w:rFonts w:hint="eastAsia" w:cs="Times New Roman"/>
                <w:kern w:val="2"/>
                <w:sz w:val="24"/>
                <w:lang w:val="en-US" w:eastAsia="zh-CN"/>
              </w:rPr>
              <w:t>2</w:t>
            </w:r>
          </w:p>
        </w:tc>
        <w:tc>
          <w:tcPr>
            <w:tcW w:w="1304" w:type="pct"/>
            <w:vAlign w:val="center"/>
          </w:tcPr>
          <w:p>
            <w:pPr>
              <w:adjustRightInd w:val="0"/>
              <w:snapToGrid w:val="0"/>
              <w:ind w:right="-10"/>
              <w:jc w:val="left"/>
              <w:rPr>
                <w:rFonts w:cs="Times New Roman"/>
                <w:kern w:val="2"/>
                <w:sz w:val="24"/>
              </w:rPr>
            </w:pPr>
            <w:r>
              <w:rPr>
                <w:rFonts w:hint="eastAsia" w:cs="Times New Roman"/>
                <w:kern w:val="2"/>
                <w:sz w:val="24"/>
              </w:rPr>
              <w:t>投标人业绩</w:t>
            </w:r>
          </w:p>
        </w:tc>
        <w:tc>
          <w:tcPr>
            <w:tcW w:w="3283" w:type="pct"/>
            <w:vAlign w:val="center"/>
          </w:tcPr>
          <w:p>
            <w:pPr>
              <w:spacing w:line="420" w:lineRule="exact"/>
              <w:ind w:right="-11"/>
              <w:rPr>
                <w:rFonts w:cs="Times New Roman"/>
                <w:kern w:val="2"/>
                <w:sz w:val="24"/>
                <w:szCs w:val="24"/>
              </w:rPr>
            </w:pPr>
            <w:r>
              <w:rPr>
                <w:rFonts w:hint="eastAsia" w:cs="Times New Roman"/>
                <w:kern w:val="2"/>
                <w:sz w:val="24"/>
                <w:szCs w:val="22"/>
              </w:rPr>
              <w:t>提供符合谈判公告的投标人业绩。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jc w:val="center"/>
              <w:rPr>
                <w:rFonts w:hint="eastAsia" w:eastAsia="宋体" w:cs="Times New Roman"/>
                <w:kern w:val="2"/>
                <w:sz w:val="24"/>
                <w:lang w:eastAsia="zh-CN"/>
              </w:rPr>
            </w:pPr>
            <w:r>
              <w:rPr>
                <w:rFonts w:hint="eastAsia" w:cs="Times New Roman"/>
                <w:kern w:val="2"/>
                <w:sz w:val="24"/>
                <w:lang w:val="en-US" w:eastAsia="zh-CN"/>
              </w:rPr>
              <w:t>3</w:t>
            </w:r>
          </w:p>
        </w:tc>
        <w:tc>
          <w:tcPr>
            <w:tcW w:w="1304" w:type="pct"/>
            <w:vAlign w:val="center"/>
          </w:tcPr>
          <w:p>
            <w:pPr>
              <w:adjustRightInd w:val="0"/>
              <w:snapToGrid w:val="0"/>
              <w:ind w:right="-10"/>
              <w:jc w:val="left"/>
              <w:rPr>
                <w:rFonts w:cs="Times New Roman"/>
                <w:kern w:val="2"/>
                <w:sz w:val="24"/>
              </w:rPr>
            </w:pPr>
            <w:r>
              <w:rPr>
                <w:rFonts w:hint="eastAsia" w:cs="Times New Roman"/>
                <w:kern w:val="2"/>
                <w:sz w:val="24"/>
              </w:rPr>
              <w:t>投标函</w:t>
            </w:r>
          </w:p>
        </w:tc>
        <w:tc>
          <w:tcPr>
            <w:tcW w:w="3283" w:type="pct"/>
            <w:vAlign w:val="center"/>
          </w:tcPr>
          <w:p>
            <w:pPr>
              <w:adjustRightInd w:val="0"/>
              <w:snapToGrid w:val="0"/>
              <w:spacing w:line="360" w:lineRule="auto"/>
              <w:ind w:right="-10"/>
              <w:rPr>
                <w:rFonts w:ascii="Calibri" w:hAnsi="Calibri" w:cs="Times New Roman"/>
                <w:kern w:val="2"/>
                <w:sz w:val="24"/>
                <w:szCs w:val="22"/>
              </w:rPr>
            </w:pPr>
            <w:r>
              <w:rPr>
                <w:rFonts w:hint="eastAsia" w:cs="Times New Roman"/>
                <w:kern w:val="2"/>
                <w:sz w:val="24"/>
                <w:szCs w:val="22"/>
              </w:rPr>
              <w:t>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jc w:val="center"/>
              <w:rPr>
                <w:rFonts w:hint="eastAsia" w:eastAsia="宋体" w:cs="Times New Roman"/>
                <w:kern w:val="2"/>
                <w:sz w:val="24"/>
                <w:lang w:eastAsia="zh-CN"/>
              </w:rPr>
            </w:pPr>
            <w:r>
              <w:rPr>
                <w:rFonts w:hint="eastAsia" w:cs="Times New Roman"/>
                <w:kern w:val="2"/>
                <w:sz w:val="24"/>
                <w:lang w:val="en-US" w:eastAsia="zh-CN"/>
              </w:rPr>
              <w:t>4</w:t>
            </w:r>
          </w:p>
        </w:tc>
        <w:tc>
          <w:tcPr>
            <w:tcW w:w="1304" w:type="pct"/>
            <w:vAlign w:val="center"/>
          </w:tcPr>
          <w:p>
            <w:pPr>
              <w:adjustRightInd w:val="0"/>
              <w:snapToGrid w:val="0"/>
              <w:ind w:right="-10"/>
              <w:jc w:val="left"/>
              <w:rPr>
                <w:rFonts w:cs="Times New Roman"/>
                <w:kern w:val="2"/>
                <w:sz w:val="24"/>
              </w:rPr>
            </w:pPr>
            <w:r>
              <w:rPr>
                <w:rFonts w:hint="eastAsia" w:cs="Times New Roman"/>
                <w:kern w:val="2"/>
                <w:sz w:val="24"/>
              </w:rPr>
              <w:t>谈判文件获取情况</w:t>
            </w:r>
          </w:p>
        </w:tc>
        <w:tc>
          <w:tcPr>
            <w:tcW w:w="3283" w:type="pct"/>
            <w:vAlign w:val="center"/>
          </w:tcPr>
          <w:p>
            <w:pPr>
              <w:adjustRightInd w:val="0"/>
              <w:snapToGrid w:val="0"/>
              <w:spacing w:line="360" w:lineRule="auto"/>
              <w:ind w:right="-10"/>
              <w:rPr>
                <w:rFonts w:ascii="Calibri" w:hAnsi="Calibri" w:cs="Times New Roman"/>
                <w:kern w:val="2"/>
                <w:sz w:val="24"/>
                <w:szCs w:val="22"/>
              </w:rPr>
            </w:pPr>
            <w:r>
              <w:rPr>
                <w:rFonts w:hint="eastAsia" w:asciiTheme="minorEastAsia" w:hAnsiTheme="minorEastAsia" w:eastAsiaTheme="minorEastAsia"/>
                <w:sz w:val="24"/>
                <w:szCs w:val="28"/>
              </w:rPr>
              <w:t>在谈判文件获取截止时间前完成谈判文件获取</w:t>
            </w:r>
            <w:r>
              <w:rPr>
                <w:rFonts w:hint="eastAsia" w:cs="Times New Roman"/>
                <w:kern w:val="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jc w:val="center"/>
              <w:rPr>
                <w:rFonts w:hint="eastAsia" w:eastAsia="宋体" w:cs="Times New Roman"/>
                <w:kern w:val="2"/>
                <w:sz w:val="24"/>
                <w:lang w:eastAsia="zh-CN"/>
              </w:rPr>
            </w:pPr>
            <w:r>
              <w:rPr>
                <w:rFonts w:hint="eastAsia" w:cs="Times New Roman"/>
                <w:kern w:val="2"/>
                <w:sz w:val="24"/>
                <w:lang w:val="en-US" w:eastAsia="zh-CN"/>
              </w:rPr>
              <w:t>5</w:t>
            </w:r>
          </w:p>
        </w:tc>
        <w:tc>
          <w:tcPr>
            <w:tcW w:w="1304" w:type="pct"/>
            <w:vAlign w:val="center"/>
          </w:tcPr>
          <w:p>
            <w:pPr>
              <w:adjustRightInd w:val="0"/>
              <w:snapToGrid w:val="0"/>
              <w:ind w:right="-10"/>
              <w:jc w:val="left"/>
              <w:rPr>
                <w:rFonts w:cs="Times New Roman"/>
                <w:kern w:val="2"/>
                <w:sz w:val="24"/>
              </w:rPr>
            </w:pPr>
            <w:r>
              <w:rPr>
                <w:rFonts w:hint="eastAsia" w:cs="Times New Roman"/>
                <w:kern w:val="2"/>
                <w:sz w:val="24"/>
              </w:rPr>
              <w:t>授权书</w:t>
            </w:r>
          </w:p>
        </w:tc>
        <w:tc>
          <w:tcPr>
            <w:tcW w:w="3283" w:type="pct"/>
            <w:vAlign w:val="center"/>
          </w:tcPr>
          <w:p>
            <w:pPr>
              <w:adjustRightInd w:val="0"/>
              <w:snapToGrid w:val="0"/>
              <w:spacing w:line="360" w:lineRule="auto"/>
              <w:ind w:right="-10"/>
              <w:rPr>
                <w:rFonts w:ascii="Calibri" w:hAnsi="Calibri" w:cs="Times New Roman"/>
                <w:kern w:val="2"/>
                <w:sz w:val="24"/>
                <w:szCs w:val="22"/>
              </w:rPr>
            </w:pPr>
            <w:r>
              <w:rPr>
                <w:rFonts w:hint="eastAsia" w:cs="Times New Roman"/>
                <w:kern w:val="2"/>
                <w:sz w:val="24"/>
                <w:szCs w:val="22"/>
              </w:rPr>
              <w:t>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jc w:val="center"/>
              <w:rPr>
                <w:rFonts w:hint="eastAsia" w:eastAsia="宋体" w:cs="Times New Roman"/>
                <w:kern w:val="2"/>
                <w:sz w:val="24"/>
                <w:lang w:eastAsia="zh-CN"/>
              </w:rPr>
            </w:pPr>
            <w:r>
              <w:rPr>
                <w:rFonts w:hint="eastAsia" w:cs="Times New Roman"/>
                <w:kern w:val="2"/>
                <w:sz w:val="24"/>
                <w:lang w:val="en-US" w:eastAsia="zh-CN"/>
              </w:rPr>
              <w:t>6</w:t>
            </w:r>
          </w:p>
        </w:tc>
        <w:tc>
          <w:tcPr>
            <w:tcW w:w="1304" w:type="pct"/>
            <w:vAlign w:val="center"/>
          </w:tcPr>
          <w:p>
            <w:pPr>
              <w:adjustRightInd w:val="0"/>
              <w:snapToGrid w:val="0"/>
              <w:ind w:right="-10"/>
              <w:jc w:val="left"/>
              <w:rPr>
                <w:rFonts w:cs="Times New Roman"/>
                <w:kern w:val="2"/>
                <w:sz w:val="24"/>
              </w:rPr>
            </w:pPr>
            <w:r>
              <w:rPr>
                <w:rFonts w:hint="eastAsia" w:cs="Times New Roman"/>
                <w:kern w:val="2"/>
                <w:sz w:val="24"/>
              </w:rPr>
              <w:t>谈判保证金</w:t>
            </w:r>
          </w:p>
        </w:tc>
        <w:tc>
          <w:tcPr>
            <w:tcW w:w="3283" w:type="pct"/>
            <w:vAlign w:val="center"/>
          </w:tcPr>
          <w:p>
            <w:pPr>
              <w:adjustRightInd w:val="0"/>
              <w:snapToGrid w:val="0"/>
              <w:spacing w:line="360" w:lineRule="auto"/>
              <w:ind w:right="-10"/>
              <w:rPr>
                <w:rFonts w:cs="Times New Roman"/>
                <w:kern w:val="2"/>
                <w:sz w:val="24"/>
                <w:szCs w:val="22"/>
              </w:rPr>
            </w:pPr>
            <w:r>
              <w:rPr>
                <w:rFonts w:hint="eastAsia" w:cs="Times New Roman"/>
                <w:kern w:val="2"/>
                <w:sz w:val="24"/>
                <w:szCs w:val="22"/>
              </w:rPr>
              <w:t>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jc w:val="center"/>
              <w:rPr>
                <w:rFonts w:hint="eastAsia" w:eastAsia="宋体" w:cs="Times New Roman"/>
                <w:kern w:val="2"/>
                <w:sz w:val="24"/>
                <w:lang w:eastAsia="zh-CN"/>
              </w:rPr>
            </w:pPr>
            <w:r>
              <w:rPr>
                <w:rFonts w:hint="eastAsia" w:cs="Times New Roman"/>
                <w:kern w:val="2"/>
                <w:sz w:val="24"/>
                <w:lang w:val="en-US" w:eastAsia="zh-CN"/>
              </w:rPr>
              <w:t>7</w:t>
            </w:r>
          </w:p>
        </w:tc>
        <w:tc>
          <w:tcPr>
            <w:tcW w:w="1304" w:type="pct"/>
            <w:vAlign w:val="center"/>
          </w:tcPr>
          <w:p>
            <w:pPr>
              <w:adjustRightInd w:val="0"/>
              <w:snapToGrid w:val="0"/>
              <w:spacing w:line="360" w:lineRule="auto"/>
              <w:ind w:right="-10"/>
              <w:rPr>
                <w:rFonts w:cs="Times New Roman"/>
                <w:kern w:val="2"/>
                <w:sz w:val="24"/>
                <w:szCs w:val="22"/>
              </w:rPr>
            </w:pPr>
            <w:r>
              <w:rPr>
                <w:rFonts w:hint="eastAsia" w:cs="Times New Roman"/>
                <w:kern w:val="2"/>
                <w:sz w:val="24"/>
                <w:szCs w:val="22"/>
              </w:rPr>
              <w:t>谈判报价</w:t>
            </w:r>
          </w:p>
        </w:tc>
        <w:tc>
          <w:tcPr>
            <w:tcW w:w="3283" w:type="pct"/>
            <w:vAlign w:val="center"/>
          </w:tcPr>
          <w:p>
            <w:pPr>
              <w:adjustRightInd w:val="0"/>
              <w:snapToGrid w:val="0"/>
              <w:spacing w:line="360" w:lineRule="auto"/>
              <w:ind w:right="-10"/>
              <w:rPr>
                <w:rFonts w:cs="Times New Roman"/>
                <w:kern w:val="2"/>
                <w:sz w:val="24"/>
                <w:szCs w:val="22"/>
              </w:rPr>
            </w:pPr>
            <w:r>
              <w:rPr>
                <w:rFonts w:hint="eastAsia" w:cs="Times New Roman"/>
                <w:kern w:val="2"/>
                <w:sz w:val="24"/>
                <w:szCs w:val="22"/>
              </w:rPr>
              <w:t>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jc w:val="center"/>
              <w:rPr>
                <w:rFonts w:hint="eastAsia" w:eastAsia="宋体" w:cs="Times New Roman"/>
                <w:kern w:val="2"/>
                <w:sz w:val="24"/>
                <w:lang w:eastAsia="zh-CN"/>
              </w:rPr>
            </w:pPr>
            <w:r>
              <w:rPr>
                <w:rFonts w:hint="eastAsia" w:cs="Times New Roman"/>
                <w:kern w:val="2"/>
                <w:sz w:val="24"/>
                <w:lang w:val="en-US" w:eastAsia="zh-CN"/>
              </w:rPr>
              <w:t>8</w:t>
            </w:r>
          </w:p>
        </w:tc>
        <w:tc>
          <w:tcPr>
            <w:tcW w:w="1304" w:type="pct"/>
            <w:shd w:val="clear" w:color="auto" w:fill="auto"/>
            <w:vAlign w:val="center"/>
          </w:tcPr>
          <w:p>
            <w:pPr>
              <w:adjustRightInd w:val="0"/>
              <w:snapToGrid w:val="0"/>
              <w:spacing w:line="360" w:lineRule="auto"/>
              <w:ind w:right="-10"/>
              <w:rPr>
                <w:rFonts w:cs="Times New Roman"/>
                <w:kern w:val="2"/>
                <w:sz w:val="24"/>
                <w:szCs w:val="22"/>
              </w:rPr>
            </w:pPr>
            <w:r>
              <w:rPr>
                <w:rFonts w:hint="eastAsia" w:cs="Times New Roman"/>
                <w:kern w:val="2"/>
                <w:sz w:val="24"/>
                <w:szCs w:val="22"/>
              </w:rPr>
              <w:t>未出现异常情形</w:t>
            </w:r>
          </w:p>
        </w:tc>
        <w:tc>
          <w:tcPr>
            <w:tcW w:w="3283" w:type="pct"/>
            <w:shd w:val="clear" w:color="auto" w:fill="auto"/>
            <w:vAlign w:val="center"/>
          </w:tcPr>
          <w:p>
            <w:pPr>
              <w:adjustRightInd w:val="0"/>
              <w:snapToGrid w:val="0"/>
              <w:spacing w:line="360" w:lineRule="auto"/>
              <w:ind w:right="-10"/>
              <w:rPr>
                <w:rFonts w:cs="Times New Roman"/>
                <w:kern w:val="2"/>
                <w:sz w:val="24"/>
                <w:szCs w:val="22"/>
              </w:rPr>
            </w:pPr>
            <w:r>
              <w:rPr>
                <w:rFonts w:hint="eastAsia" w:cs="Times New Roman"/>
                <w:kern w:val="2"/>
                <w:sz w:val="24"/>
                <w:szCs w:val="22"/>
              </w:rPr>
              <w:t>不同投标人未出现使用相同的机器识别码进行投标的情形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pPr>
              <w:adjustRightInd w:val="0"/>
              <w:snapToGrid w:val="0"/>
              <w:ind w:right="-10"/>
              <w:jc w:val="center"/>
              <w:rPr>
                <w:rFonts w:hint="eastAsia" w:eastAsia="宋体" w:cs="Times New Roman"/>
                <w:kern w:val="2"/>
                <w:sz w:val="24"/>
                <w:lang w:eastAsia="zh-CN"/>
              </w:rPr>
            </w:pPr>
            <w:r>
              <w:rPr>
                <w:rFonts w:hint="eastAsia" w:cs="Times New Roman"/>
                <w:kern w:val="2"/>
                <w:sz w:val="24"/>
                <w:lang w:val="en-US" w:eastAsia="zh-CN"/>
              </w:rPr>
              <w:t>9</w:t>
            </w:r>
          </w:p>
        </w:tc>
        <w:tc>
          <w:tcPr>
            <w:tcW w:w="1304" w:type="pct"/>
            <w:vAlign w:val="center"/>
          </w:tcPr>
          <w:p>
            <w:pPr>
              <w:adjustRightInd w:val="0"/>
              <w:snapToGrid w:val="0"/>
              <w:ind w:right="-10"/>
              <w:jc w:val="left"/>
              <w:rPr>
                <w:rFonts w:cs="Times New Roman"/>
                <w:kern w:val="2"/>
                <w:sz w:val="24"/>
              </w:rPr>
            </w:pPr>
            <w:bookmarkStart w:id="95" w:name="_GoBack"/>
            <w:r>
              <w:rPr>
                <w:rFonts w:hint="eastAsia" w:cs="Times New Roman"/>
                <w:kern w:val="2"/>
                <w:sz w:val="24"/>
              </w:rPr>
              <w:t>其他要求</w:t>
            </w:r>
            <w:bookmarkEnd w:id="95"/>
          </w:p>
        </w:tc>
        <w:tc>
          <w:tcPr>
            <w:tcW w:w="3283" w:type="pct"/>
            <w:vAlign w:val="center"/>
          </w:tcPr>
          <w:p>
            <w:pPr>
              <w:adjustRightInd w:val="0"/>
              <w:snapToGrid w:val="0"/>
              <w:ind w:right="-10"/>
              <w:rPr>
                <w:rFonts w:hint="default" w:eastAsia="宋体" w:cs="Times New Roman"/>
                <w:kern w:val="2"/>
                <w:sz w:val="24"/>
                <w:lang w:val="en-US" w:eastAsia="zh-CN"/>
              </w:rPr>
            </w:pPr>
            <w:r>
              <w:rPr>
                <w:rFonts w:hint="eastAsia" w:cs="Times New Roman"/>
                <w:kern w:val="2"/>
                <w:sz w:val="24"/>
                <w:lang w:val="en-US" w:eastAsia="zh-CN"/>
              </w:rPr>
              <w:t>符合谈判文件列明的其他要求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4"/>
                <w:szCs w:val="22"/>
              </w:rPr>
            </w:pPr>
            <w:r>
              <w:rPr>
                <w:rFonts w:hint="eastAsia" w:ascii="Calibri" w:hAnsi="Calibri" w:cs="Times New Roman"/>
                <w:kern w:val="2"/>
                <w:sz w:val="24"/>
                <w:szCs w:val="22"/>
              </w:rPr>
              <w:t>评审指标通过标准：投标人必须通过上述全部指标。</w:t>
            </w:r>
          </w:p>
        </w:tc>
      </w:tr>
    </w:tbl>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57" w:name="_Toc27722"/>
      <w:r>
        <w:rPr>
          <w:rFonts w:hint="eastAsia" w:asciiTheme="minorEastAsia" w:hAnsiTheme="minorEastAsia" w:eastAsiaTheme="minorEastAsia"/>
          <w:b/>
          <w:sz w:val="24"/>
        </w:rPr>
        <w:t>三、评审程序</w:t>
      </w:r>
      <w:bookmarkEnd w:id="57"/>
    </w:p>
    <w:p>
      <w:pPr>
        <w:spacing w:line="360" w:lineRule="auto"/>
        <w:ind w:firstLine="435"/>
        <w:rPr>
          <w:rFonts w:asciiTheme="minorEastAsia" w:hAnsiTheme="minorEastAsia" w:eastAsiaTheme="minorEastAsia"/>
          <w:bCs/>
          <w:sz w:val="24"/>
        </w:rPr>
      </w:pPr>
      <w:r>
        <w:rPr>
          <w:rFonts w:hint="eastAsia" w:asciiTheme="minorEastAsia" w:hAnsiTheme="minorEastAsia" w:eastAsiaTheme="minorEastAsia"/>
          <w:bCs/>
          <w:sz w:val="24"/>
        </w:rPr>
        <w:t>1.初审。评审小组对成功解密的投标文件按照初审表进行评审，投标人未实质性响应谈判文件要求导致投标无效的，评审小组将以询标的方式告知有关投标人。</w:t>
      </w:r>
    </w:p>
    <w:p>
      <w:pPr>
        <w:spacing w:line="360" w:lineRule="auto"/>
        <w:ind w:firstLine="435"/>
        <w:rPr>
          <w:rFonts w:asciiTheme="minorEastAsia" w:hAnsiTheme="minorEastAsia" w:eastAsiaTheme="minorEastAsia"/>
          <w:bCs/>
          <w:sz w:val="24"/>
        </w:rPr>
      </w:pPr>
      <w:r>
        <w:rPr>
          <w:rFonts w:hint="eastAsia" w:asciiTheme="minorEastAsia" w:hAnsiTheme="minorEastAsia" w:eastAsiaTheme="minorEastAsia"/>
          <w:bCs/>
          <w:sz w:val="24"/>
        </w:rPr>
        <w:t>2.谈判。初审合格后，本项目谈判条件如有变化，评审小组对初审合格的投标人进行谈判；本项目谈判条件如无变化，直接进入报价环节。</w:t>
      </w:r>
    </w:p>
    <w:p>
      <w:pPr>
        <w:spacing w:line="360" w:lineRule="auto"/>
        <w:ind w:firstLine="435"/>
        <w:rPr>
          <w:rFonts w:asciiTheme="minorEastAsia" w:hAnsiTheme="minorEastAsia" w:eastAsiaTheme="minorEastAsia"/>
          <w:bCs/>
          <w:sz w:val="24"/>
        </w:rPr>
      </w:pPr>
      <w:r>
        <w:rPr>
          <w:rFonts w:hint="eastAsia" w:asciiTheme="minorEastAsia" w:hAnsiTheme="minorEastAsia" w:eastAsiaTheme="minorEastAsia"/>
          <w:bCs/>
          <w:sz w:val="24"/>
        </w:rPr>
        <w:t>3.</w:t>
      </w:r>
      <w:r>
        <w:rPr>
          <w:rFonts w:asciiTheme="minorEastAsia" w:hAnsiTheme="minorEastAsia" w:eastAsiaTheme="minorEastAsia"/>
          <w:bCs/>
          <w:sz w:val="24"/>
        </w:rPr>
        <w:t>报价</w:t>
      </w:r>
      <w:r>
        <w:rPr>
          <w:rFonts w:hint="eastAsia" w:asciiTheme="minorEastAsia" w:hAnsiTheme="minorEastAsia" w:eastAsiaTheme="minorEastAsia"/>
          <w:bCs/>
          <w:sz w:val="24"/>
        </w:rPr>
        <w:t>。谈判</w:t>
      </w:r>
      <w:r>
        <w:rPr>
          <w:rFonts w:asciiTheme="minorEastAsia" w:hAnsiTheme="minorEastAsia" w:eastAsiaTheme="minorEastAsia"/>
          <w:bCs/>
          <w:sz w:val="24"/>
        </w:rPr>
        <w:t>结束后，</w:t>
      </w:r>
      <w:r>
        <w:rPr>
          <w:rFonts w:hint="eastAsia" w:asciiTheme="minorEastAsia" w:hAnsiTheme="minorEastAsia" w:eastAsiaTheme="minorEastAsia"/>
          <w:bCs/>
          <w:sz w:val="24"/>
        </w:rPr>
        <w:t>评审小组</w:t>
      </w:r>
      <w:r>
        <w:rPr>
          <w:rFonts w:asciiTheme="minorEastAsia" w:hAnsiTheme="minorEastAsia" w:eastAsiaTheme="minorEastAsia"/>
          <w:bCs/>
          <w:sz w:val="24"/>
        </w:rPr>
        <w:t>应当要求所有</w:t>
      </w:r>
      <w:r>
        <w:rPr>
          <w:rFonts w:hint="eastAsia" w:asciiTheme="minorEastAsia" w:hAnsiTheme="minorEastAsia" w:eastAsiaTheme="minorEastAsia"/>
          <w:bCs/>
          <w:sz w:val="24"/>
        </w:rPr>
        <w:t>实质性响应</w:t>
      </w:r>
      <w:r>
        <w:rPr>
          <w:rFonts w:asciiTheme="minorEastAsia" w:hAnsiTheme="minorEastAsia" w:eastAsiaTheme="minorEastAsia"/>
          <w:bCs/>
          <w:sz w:val="24"/>
        </w:rPr>
        <w:t>的</w:t>
      </w:r>
      <w:r>
        <w:rPr>
          <w:rFonts w:hint="eastAsia" w:asciiTheme="minorEastAsia" w:hAnsiTheme="minorEastAsia" w:eastAsiaTheme="minorEastAsia"/>
          <w:bCs/>
          <w:sz w:val="24"/>
        </w:rPr>
        <w:t>投标人</w:t>
      </w:r>
      <w:r>
        <w:rPr>
          <w:rFonts w:asciiTheme="minorEastAsia" w:hAnsiTheme="minorEastAsia" w:eastAsiaTheme="minorEastAsia"/>
          <w:bCs/>
          <w:sz w:val="24"/>
        </w:rPr>
        <w:t>在规定时间内提交</w:t>
      </w:r>
      <w:r>
        <w:rPr>
          <w:rFonts w:hint="eastAsia" w:asciiTheme="minorEastAsia" w:hAnsiTheme="minorEastAsia" w:eastAsiaTheme="minorEastAsia"/>
          <w:bCs/>
          <w:sz w:val="24"/>
        </w:rPr>
        <w:t>最终投标报价</w:t>
      </w:r>
      <w:r>
        <w:rPr>
          <w:rFonts w:hint="eastAsia"/>
          <w:bCs/>
          <w:sz w:val="24"/>
        </w:rPr>
        <w:t>。如投标人未</w:t>
      </w:r>
      <w:r>
        <w:rPr>
          <w:rFonts w:asciiTheme="minorEastAsia" w:hAnsiTheme="minorEastAsia" w:eastAsiaTheme="minorEastAsia"/>
          <w:bCs/>
          <w:sz w:val="24"/>
        </w:rPr>
        <w:t>在规定时间内提交</w:t>
      </w:r>
      <w:r>
        <w:rPr>
          <w:rFonts w:hint="eastAsia" w:asciiTheme="minorEastAsia" w:hAnsiTheme="minorEastAsia" w:eastAsiaTheme="minorEastAsia"/>
          <w:bCs/>
          <w:sz w:val="24"/>
        </w:rPr>
        <w:t>对应轮次的报价，则按上一轮次报价为准。</w:t>
      </w:r>
    </w:p>
    <w:p>
      <w:pPr>
        <w:spacing w:line="360" w:lineRule="auto"/>
        <w:ind w:firstLine="435"/>
        <w:outlineLvl w:val="1"/>
        <w:rPr>
          <w:rFonts w:asciiTheme="minorEastAsia" w:hAnsiTheme="minorEastAsia" w:eastAsiaTheme="minorEastAsia"/>
          <w:bCs/>
          <w:sz w:val="24"/>
        </w:rPr>
      </w:pPr>
      <w:bookmarkStart w:id="58" w:name="_Toc19691"/>
      <w:r>
        <w:rPr>
          <w:rFonts w:hint="eastAsia" w:asciiTheme="minorEastAsia" w:hAnsiTheme="minorEastAsia" w:eastAsiaTheme="minorEastAsia"/>
          <w:bCs/>
          <w:sz w:val="24"/>
        </w:rPr>
        <w:t>四、相关说明。</w:t>
      </w:r>
      <w:bookmarkEnd w:id="58"/>
    </w:p>
    <w:p>
      <w:pPr>
        <w:spacing w:line="360" w:lineRule="auto"/>
        <w:ind w:firstLine="435"/>
        <w:rPr>
          <w:rFonts w:asciiTheme="minorEastAsia" w:hAnsiTheme="minorEastAsia" w:eastAsiaTheme="minorEastAsia"/>
          <w:bCs/>
          <w:sz w:val="24"/>
        </w:rPr>
      </w:pPr>
      <w:r>
        <w:rPr>
          <w:rFonts w:hint="eastAsia" w:asciiTheme="minorEastAsia" w:hAnsiTheme="minorEastAsia" w:eastAsiaTheme="minorEastAsia"/>
          <w:bCs/>
          <w:sz w:val="24"/>
        </w:rPr>
        <w:t>1.评审小组</w:t>
      </w:r>
      <w:r>
        <w:rPr>
          <w:rFonts w:asciiTheme="minorEastAsia" w:hAnsiTheme="minorEastAsia" w:eastAsiaTheme="minorEastAsia"/>
          <w:bCs/>
          <w:sz w:val="24"/>
        </w:rPr>
        <w:t>根据与</w:t>
      </w:r>
      <w:r>
        <w:rPr>
          <w:rFonts w:hint="eastAsia" w:asciiTheme="minorEastAsia" w:hAnsiTheme="minorEastAsia" w:eastAsiaTheme="minorEastAsia"/>
          <w:bCs/>
          <w:sz w:val="24"/>
        </w:rPr>
        <w:t>投标人谈判</w:t>
      </w:r>
      <w:r>
        <w:rPr>
          <w:rFonts w:asciiTheme="minorEastAsia" w:hAnsiTheme="minorEastAsia" w:eastAsiaTheme="minorEastAsia"/>
          <w:bCs/>
          <w:sz w:val="24"/>
        </w:rPr>
        <w:t>情况可能实质性变动</w:t>
      </w:r>
      <w:r>
        <w:rPr>
          <w:rFonts w:hint="eastAsia" w:asciiTheme="minorEastAsia" w:hAnsiTheme="minorEastAsia" w:eastAsiaTheme="minorEastAsia"/>
          <w:bCs/>
          <w:sz w:val="24"/>
        </w:rPr>
        <w:t>谈判文件</w:t>
      </w:r>
      <w:r>
        <w:rPr>
          <w:rFonts w:asciiTheme="minorEastAsia" w:hAnsiTheme="minorEastAsia" w:eastAsiaTheme="minorEastAsia"/>
          <w:bCs/>
          <w:sz w:val="24"/>
        </w:rPr>
        <w:t>的内容，包括</w:t>
      </w:r>
      <w:r>
        <w:rPr>
          <w:rFonts w:hint="eastAsia" w:asciiTheme="minorEastAsia" w:hAnsiTheme="minorEastAsia" w:eastAsiaTheme="minorEastAsia"/>
          <w:bCs/>
          <w:sz w:val="24"/>
        </w:rPr>
        <w:t>招标需求</w:t>
      </w:r>
      <w:r>
        <w:rPr>
          <w:rFonts w:asciiTheme="minorEastAsia" w:hAnsiTheme="minorEastAsia" w:eastAsiaTheme="minorEastAsia"/>
          <w:bCs/>
          <w:sz w:val="24"/>
        </w:rPr>
        <w:t>中的技术、服务要求以及合同草案条款。</w:t>
      </w:r>
      <w:r>
        <w:rPr>
          <w:rFonts w:hint="eastAsia" w:asciiTheme="minorEastAsia" w:hAnsiTheme="minorEastAsia" w:eastAsiaTheme="minorEastAsia"/>
          <w:bCs/>
          <w:sz w:val="24"/>
        </w:rPr>
        <w:t>谈判文件</w:t>
      </w:r>
      <w:r>
        <w:rPr>
          <w:rFonts w:asciiTheme="minorEastAsia" w:hAnsiTheme="minorEastAsia" w:eastAsiaTheme="minorEastAsia"/>
          <w:bCs/>
          <w:sz w:val="24"/>
        </w:rPr>
        <w:t>有实质性变动的，</w:t>
      </w:r>
      <w:r>
        <w:rPr>
          <w:rFonts w:hint="eastAsia" w:asciiTheme="minorEastAsia" w:hAnsiTheme="minorEastAsia" w:eastAsiaTheme="minorEastAsia"/>
          <w:bCs/>
          <w:sz w:val="24"/>
        </w:rPr>
        <w:t>经招标人代表确认作为谈判文件的有效组成部分，评审小组</w:t>
      </w:r>
      <w:r>
        <w:rPr>
          <w:rFonts w:asciiTheme="minorEastAsia" w:hAnsiTheme="minorEastAsia" w:eastAsiaTheme="minorEastAsia"/>
          <w:bCs/>
          <w:sz w:val="24"/>
        </w:rPr>
        <w:t>通知所有参加</w:t>
      </w:r>
      <w:r>
        <w:rPr>
          <w:rFonts w:hint="eastAsia" w:asciiTheme="minorEastAsia" w:hAnsiTheme="minorEastAsia" w:eastAsiaTheme="minorEastAsia"/>
          <w:bCs/>
          <w:sz w:val="24"/>
        </w:rPr>
        <w:t>谈判</w:t>
      </w:r>
      <w:r>
        <w:rPr>
          <w:rFonts w:asciiTheme="minorEastAsia" w:hAnsiTheme="minorEastAsia" w:eastAsiaTheme="minorEastAsia"/>
          <w:bCs/>
          <w:sz w:val="24"/>
        </w:rPr>
        <w:t>的</w:t>
      </w:r>
      <w:r>
        <w:rPr>
          <w:rFonts w:hint="eastAsia" w:asciiTheme="minorEastAsia" w:hAnsiTheme="minorEastAsia" w:eastAsiaTheme="minorEastAsia"/>
          <w:bCs/>
          <w:sz w:val="24"/>
        </w:rPr>
        <w:t>投标人</w:t>
      </w:r>
      <w:r>
        <w:rPr>
          <w:rFonts w:asciiTheme="minorEastAsia" w:hAnsiTheme="minorEastAsia" w:eastAsiaTheme="minorEastAsia"/>
          <w:bCs/>
          <w:sz w:val="24"/>
        </w:rPr>
        <w:t>。</w:t>
      </w:r>
    </w:p>
    <w:p>
      <w:pPr>
        <w:spacing w:line="360" w:lineRule="auto"/>
        <w:ind w:firstLine="435"/>
        <w:rPr>
          <w:rFonts w:asciiTheme="minorEastAsia" w:hAnsiTheme="minorEastAsia" w:eastAsiaTheme="minorEastAsia"/>
          <w:bCs/>
          <w:sz w:val="24"/>
        </w:rPr>
      </w:pPr>
      <w:r>
        <w:rPr>
          <w:rFonts w:hint="eastAsia" w:asciiTheme="minorEastAsia" w:hAnsiTheme="minorEastAsia" w:eastAsiaTheme="minorEastAsia"/>
          <w:bCs/>
          <w:sz w:val="24"/>
        </w:rPr>
        <w:t>2.评审小组</w:t>
      </w:r>
      <w:r>
        <w:rPr>
          <w:rFonts w:asciiTheme="minorEastAsia" w:hAnsiTheme="minorEastAsia" w:eastAsiaTheme="minorEastAsia"/>
          <w:bCs/>
          <w:sz w:val="24"/>
        </w:rPr>
        <w:t>发现</w:t>
      </w:r>
      <w:r>
        <w:rPr>
          <w:rFonts w:hint="eastAsia" w:asciiTheme="minorEastAsia" w:hAnsiTheme="minorEastAsia" w:eastAsiaTheme="minorEastAsia"/>
          <w:bCs/>
          <w:sz w:val="24"/>
        </w:rPr>
        <w:t>投标人</w:t>
      </w:r>
      <w:r>
        <w:rPr>
          <w:rFonts w:asciiTheme="minorEastAsia" w:hAnsiTheme="minorEastAsia" w:eastAsiaTheme="minorEastAsia"/>
          <w:bCs/>
          <w:sz w:val="24"/>
        </w:rPr>
        <w:t>的报价或者某些分项报价明显低于其他通过初审的</w:t>
      </w:r>
      <w:r>
        <w:rPr>
          <w:rFonts w:hint="eastAsia" w:asciiTheme="minorEastAsia" w:hAnsiTheme="minorEastAsia" w:eastAsiaTheme="minorEastAsia"/>
          <w:bCs/>
          <w:sz w:val="24"/>
        </w:rPr>
        <w:t>投标人</w:t>
      </w:r>
      <w:r>
        <w:rPr>
          <w:rFonts w:asciiTheme="minorEastAsia" w:hAnsiTheme="minorEastAsia" w:eastAsiaTheme="minorEastAsia"/>
          <w:bCs/>
          <w:sz w:val="24"/>
        </w:rPr>
        <w:t>的报价，有可能影响产品质量和不能诚信履约的，应当要求其在合理的时间内</w:t>
      </w:r>
      <w:r>
        <w:rPr>
          <w:rFonts w:hint="eastAsia" w:asciiTheme="minorEastAsia" w:hAnsiTheme="minorEastAsia" w:eastAsiaTheme="minorEastAsia"/>
          <w:bCs/>
          <w:sz w:val="24"/>
        </w:rPr>
        <w:t>按要求</w:t>
      </w:r>
      <w:r>
        <w:rPr>
          <w:rFonts w:asciiTheme="minorEastAsia" w:hAnsiTheme="minorEastAsia" w:eastAsiaTheme="minorEastAsia"/>
          <w:bCs/>
          <w:sz w:val="24"/>
        </w:rPr>
        <w:t>提供说明，必要时提交相关证明材料；</w:t>
      </w:r>
      <w:r>
        <w:rPr>
          <w:rFonts w:hint="eastAsia" w:asciiTheme="minorEastAsia" w:hAnsiTheme="minorEastAsia" w:eastAsiaTheme="minorEastAsia"/>
          <w:bCs/>
          <w:sz w:val="24"/>
        </w:rPr>
        <w:t>投标人</w:t>
      </w:r>
      <w:r>
        <w:rPr>
          <w:rFonts w:asciiTheme="minorEastAsia" w:hAnsiTheme="minorEastAsia" w:eastAsiaTheme="minorEastAsia"/>
          <w:bCs/>
          <w:sz w:val="24"/>
        </w:rPr>
        <w:t>不能证明其报价合理性的，其</w:t>
      </w:r>
      <w:r>
        <w:rPr>
          <w:rFonts w:hint="eastAsia" w:asciiTheme="minorEastAsia" w:hAnsiTheme="minorEastAsia" w:eastAsiaTheme="minorEastAsia"/>
          <w:bCs/>
          <w:sz w:val="24"/>
        </w:rPr>
        <w:t>投标文件</w:t>
      </w:r>
      <w:r>
        <w:rPr>
          <w:rFonts w:asciiTheme="minorEastAsia" w:hAnsiTheme="minorEastAsia" w:eastAsiaTheme="minorEastAsia"/>
          <w:bCs/>
          <w:sz w:val="24"/>
        </w:rPr>
        <w:t>将被认定为</w:t>
      </w:r>
      <w:r>
        <w:rPr>
          <w:rFonts w:hint="eastAsia" w:asciiTheme="minorEastAsia" w:hAnsiTheme="minorEastAsia" w:eastAsiaTheme="minorEastAsia"/>
          <w:bCs/>
          <w:sz w:val="24"/>
        </w:rPr>
        <w:t>投标无效</w:t>
      </w:r>
      <w:r>
        <w:rPr>
          <w:rFonts w:asciiTheme="minorEastAsia" w:hAnsiTheme="minorEastAsia" w:eastAsiaTheme="minorEastAsia"/>
          <w:bCs/>
          <w:sz w:val="24"/>
        </w:rPr>
        <w:t>。</w:t>
      </w:r>
    </w:p>
    <w:p>
      <w:pPr>
        <w:spacing w:line="360" w:lineRule="auto"/>
        <w:ind w:firstLine="435"/>
        <w:rPr>
          <w:rFonts w:asciiTheme="minorEastAsia" w:hAnsiTheme="minorEastAsia" w:eastAsiaTheme="minorEastAsia"/>
          <w:bCs/>
          <w:sz w:val="24"/>
        </w:rPr>
      </w:pPr>
      <w:r>
        <w:rPr>
          <w:rFonts w:hint="eastAsia" w:asciiTheme="minorEastAsia" w:hAnsiTheme="minorEastAsia" w:eastAsiaTheme="minorEastAsia"/>
          <w:bCs/>
          <w:sz w:val="24"/>
        </w:rPr>
        <w:t>3.</w:t>
      </w:r>
      <w:r>
        <w:rPr>
          <w:rFonts w:asciiTheme="minorEastAsia" w:hAnsiTheme="minorEastAsia" w:eastAsiaTheme="minorEastAsia"/>
          <w:bCs/>
          <w:sz w:val="24"/>
        </w:rPr>
        <w:t>无论何种原因，即使</w:t>
      </w:r>
      <w:r>
        <w:rPr>
          <w:rFonts w:hint="eastAsia" w:asciiTheme="minorEastAsia" w:hAnsiTheme="minorEastAsia" w:eastAsiaTheme="minorEastAsia"/>
          <w:bCs/>
          <w:sz w:val="24"/>
        </w:rPr>
        <w:t>投标人谈判</w:t>
      </w:r>
      <w:r>
        <w:rPr>
          <w:rFonts w:asciiTheme="minorEastAsia" w:hAnsiTheme="minorEastAsia" w:eastAsiaTheme="minorEastAsia"/>
          <w:bCs/>
          <w:sz w:val="24"/>
        </w:rPr>
        <w:t>时携带了证书材料的原件，但</w:t>
      </w:r>
      <w:r>
        <w:rPr>
          <w:rFonts w:hint="eastAsia" w:asciiTheme="minorEastAsia" w:hAnsiTheme="minorEastAsia" w:eastAsiaTheme="minorEastAsia"/>
          <w:bCs/>
          <w:sz w:val="24"/>
        </w:rPr>
        <w:t>投标文件</w:t>
      </w:r>
      <w:r>
        <w:rPr>
          <w:rFonts w:asciiTheme="minorEastAsia" w:hAnsiTheme="minorEastAsia" w:eastAsiaTheme="minorEastAsia"/>
          <w:bCs/>
          <w:sz w:val="24"/>
        </w:rPr>
        <w:t>中未提供与之内容完全一致的</w:t>
      </w:r>
      <w:r>
        <w:rPr>
          <w:rFonts w:hint="eastAsia" w:asciiTheme="minorEastAsia" w:hAnsiTheme="minorEastAsia" w:eastAsiaTheme="minorEastAsia"/>
          <w:bCs/>
          <w:sz w:val="24"/>
        </w:rPr>
        <w:t>扫描件</w:t>
      </w:r>
      <w:r>
        <w:rPr>
          <w:rFonts w:asciiTheme="minorEastAsia" w:hAnsiTheme="minorEastAsia" w:eastAsiaTheme="minorEastAsia"/>
          <w:bCs/>
          <w:sz w:val="24"/>
        </w:rPr>
        <w:t>的，</w:t>
      </w:r>
      <w:r>
        <w:rPr>
          <w:rFonts w:hint="eastAsia" w:asciiTheme="minorEastAsia" w:hAnsiTheme="minorEastAsia" w:eastAsiaTheme="minorEastAsia"/>
          <w:bCs/>
          <w:sz w:val="24"/>
        </w:rPr>
        <w:t>评审小组</w:t>
      </w:r>
      <w:r>
        <w:rPr>
          <w:rFonts w:asciiTheme="minorEastAsia" w:hAnsiTheme="minorEastAsia" w:eastAsiaTheme="minorEastAsia"/>
          <w:bCs/>
          <w:sz w:val="24"/>
        </w:rPr>
        <w:t>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pStyle w:val="3"/>
        <w:numPr>
          <w:ilvl w:val="0"/>
          <w:numId w:val="7"/>
        </w:numPr>
        <w:spacing w:line="500" w:lineRule="exact"/>
        <w:jc w:val="center"/>
        <w:rPr>
          <w:rFonts w:ascii="Times New Roman" w:hAnsi="Times New Roman"/>
        </w:rPr>
      </w:pPr>
      <w:bookmarkStart w:id="59" w:name="_Toc6858"/>
      <w:r>
        <w:rPr>
          <w:rFonts w:ascii="Times New Roman" w:hAnsi="Times New Roman"/>
        </w:rPr>
        <w:t>合同</w:t>
      </w:r>
      <w:bookmarkEnd w:id="59"/>
    </w:p>
    <w:p>
      <w:pPr>
        <w:spacing w:line="360" w:lineRule="auto"/>
        <w:rPr>
          <w:rFonts w:cs="宋体"/>
          <w:sz w:val="24"/>
          <w:szCs w:val="24"/>
          <w:u w:val="single"/>
        </w:rPr>
      </w:pPr>
      <w:r>
        <w:rPr>
          <w:rFonts w:hint="eastAsia" w:cs="宋体"/>
          <w:sz w:val="24"/>
          <w:szCs w:val="24"/>
        </w:rPr>
        <w:t>招标人（甲方）：合肥百货大楼集团股份有限公司滨湖心悦城购物中心</w:t>
      </w:r>
    </w:p>
    <w:p>
      <w:pPr>
        <w:spacing w:line="360" w:lineRule="auto"/>
        <w:rPr>
          <w:rFonts w:cs="宋体"/>
          <w:sz w:val="24"/>
          <w:szCs w:val="24"/>
        </w:rPr>
      </w:pPr>
      <w:r>
        <w:rPr>
          <w:rFonts w:hint="eastAsia" w:cs="宋体"/>
          <w:sz w:val="24"/>
          <w:szCs w:val="24"/>
        </w:rPr>
        <w:t>投标人（乙方）：</w:t>
      </w:r>
    </w:p>
    <w:p>
      <w:pPr>
        <w:spacing w:line="360" w:lineRule="auto"/>
        <w:rPr>
          <w:rFonts w:cs="宋体"/>
          <w:sz w:val="24"/>
          <w:szCs w:val="24"/>
          <w:u w:val="single"/>
        </w:rPr>
      </w:pPr>
      <w:r>
        <w:rPr>
          <w:rFonts w:hint="eastAsia" w:cs="宋体"/>
          <w:sz w:val="24"/>
          <w:szCs w:val="24"/>
        </w:rPr>
        <w:t>签订地点：合肥包河区包河大道与紫云路交口百大心悦城</w:t>
      </w:r>
    </w:p>
    <w:p>
      <w:pPr>
        <w:spacing w:line="360" w:lineRule="auto"/>
        <w:rPr>
          <w:rFonts w:cs="宋体"/>
          <w:sz w:val="24"/>
          <w:szCs w:val="24"/>
          <w:u w:val="single"/>
        </w:rPr>
      </w:pPr>
      <w:r>
        <w:rPr>
          <w:rFonts w:hint="eastAsia" w:cs="宋体"/>
          <w:sz w:val="24"/>
          <w:szCs w:val="24"/>
        </w:rPr>
        <w:t>招标项目名称：</w:t>
      </w:r>
      <w:r>
        <w:rPr>
          <w:rFonts w:hint="eastAsia" w:asciiTheme="majorEastAsia" w:hAnsiTheme="majorEastAsia" w:eastAsiaTheme="majorEastAsia" w:cstheme="majorEastAsia"/>
          <w:sz w:val="24"/>
          <w:szCs w:val="24"/>
        </w:rPr>
        <w:t>百大心悦城商户道具移装项目</w:t>
      </w:r>
    </w:p>
    <w:p>
      <w:pPr>
        <w:spacing w:line="360" w:lineRule="auto"/>
        <w:rPr>
          <w:rFonts w:asciiTheme="majorEastAsia" w:hAnsiTheme="majorEastAsia" w:eastAsiaTheme="majorEastAsia" w:cstheme="majorEastAsia"/>
          <w:sz w:val="24"/>
          <w:szCs w:val="24"/>
        </w:rPr>
      </w:pPr>
      <w:r>
        <w:rPr>
          <w:rFonts w:hint="eastAsia" w:cs="宋体"/>
          <w:sz w:val="24"/>
          <w:szCs w:val="24"/>
        </w:rPr>
        <w:t>招标项目编号：</w:t>
      </w:r>
      <w:r>
        <w:rPr>
          <w:rFonts w:hint="eastAsia" w:asciiTheme="majorEastAsia" w:hAnsiTheme="majorEastAsia" w:eastAsiaTheme="majorEastAsia" w:cstheme="majorEastAsia"/>
          <w:sz w:val="24"/>
          <w:szCs w:val="24"/>
        </w:rPr>
        <w:t>2025HEFQJ00138</w:t>
      </w:r>
    </w:p>
    <w:p>
      <w:pPr>
        <w:spacing w:line="360" w:lineRule="auto"/>
        <w:ind w:firstLine="480" w:firstLineChars="200"/>
        <w:rPr>
          <w:rFonts w:cs="宋体"/>
          <w:sz w:val="24"/>
          <w:szCs w:val="24"/>
        </w:rPr>
      </w:pPr>
      <w:r>
        <w:rPr>
          <w:rFonts w:hint="eastAsia" w:cs="宋体"/>
          <w:sz w:val="24"/>
          <w:szCs w:val="24"/>
        </w:rPr>
        <w:t>经本项目评审小组评审，决定将合同授予乙方。为进一步明确双方的责任，确保合同的顺利履行，根据《中华人民共和国民法典》之规定及安徽公共资源交易集团项目管理有限公司的谈判文件、中标通知书等相关资料的要求，经甲乙双方充分协商，特订立本合同，以便共同遵守。</w:t>
      </w:r>
    </w:p>
    <w:p>
      <w:pPr>
        <w:numPr>
          <w:ilvl w:val="0"/>
          <w:numId w:val="8"/>
        </w:numPr>
        <w:spacing w:line="360" w:lineRule="auto"/>
        <w:rPr>
          <w:rFonts w:cs="宋体"/>
          <w:b/>
          <w:bCs/>
          <w:sz w:val="24"/>
          <w:szCs w:val="24"/>
        </w:rPr>
      </w:pPr>
      <w:r>
        <w:rPr>
          <w:rFonts w:hint="eastAsia" w:cs="宋体"/>
          <w:b/>
          <w:bCs/>
          <w:sz w:val="24"/>
          <w:szCs w:val="24"/>
        </w:rPr>
        <w:t>项目内容</w:t>
      </w:r>
    </w:p>
    <w:tbl>
      <w:tblPr>
        <w:tblStyle w:val="56"/>
        <w:tblW w:w="5000" w:type="pct"/>
        <w:tblInd w:w="0" w:type="dxa"/>
        <w:shd w:val="clear" w:color="auto" w:fill="FFFFFF" w:themeFill="background1"/>
        <w:tblLayout w:type="autofit"/>
        <w:tblCellMar>
          <w:top w:w="0" w:type="dxa"/>
          <w:left w:w="108" w:type="dxa"/>
          <w:bottom w:w="0" w:type="dxa"/>
          <w:right w:w="108" w:type="dxa"/>
        </w:tblCellMar>
      </w:tblPr>
      <w:tblGrid>
        <w:gridCol w:w="417"/>
        <w:gridCol w:w="1488"/>
        <w:gridCol w:w="2717"/>
        <w:gridCol w:w="428"/>
        <w:gridCol w:w="618"/>
        <w:gridCol w:w="2848"/>
      </w:tblGrid>
      <w:tr>
        <w:tblPrEx>
          <w:shd w:val="clear" w:color="auto" w:fill="FFFFFF" w:themeFill="background1"/>
          <w:tblCellMar>
            <w:top w:w="0" w:type="dxa"/>
            <w:left w:w="108" w:type="dxa"/>
            <w:bottom w:w="0" w:type="dxa"/>
            <w:right w:w="108" w:type="dxa"/>
          </w:tblCellMar>
        </w:tblPrEx>
        <w:trPr>
          <w:trHeight w:val="525" w:hRule="atLeast"/>
        </w:trPr>
        <w:tc>
          <w:tcPr>
            <w:tcW w:w="5000" w:type="pct"/>
            <w:gridSpan w:val="6"/>
            <w:tcBorders>
              <w:top w:val="nil"/>
              <w:left w:val="nil"/>
              <w:bottom w:val="nil"/>
              <w:right w:val="nil"/>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3FABC道具移装内容</w:t>
            </w:r>
          </w:p>
        </w:tc>
      </w:tr>
      <w:tr>
        <w:tblPrEx>
          <w:tblCellMar>
            <w:top w:w="0" w:type="dxa"/>
            <w:left w:w="108" w:type="dxa"/>
            <w:bottom w:w="0" w:type="dxa"/>
            <w:right w:w="108" w:type="dxa"/>
          </w:tblCellMar>
        </w:tblPrEx>
        <w:trPr>
          <w:trHeight w:val="462"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462"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shd w:val="clear" w:color="auto" w:fill="FFFFFF" w:themeFill="background1"/>
          <w:tblCellMar>
            <w:top w:w="0" w:type="dxa"/>
            <w:left w:w="108" w:type="dxa"/>
            <w:bottom w:w="0" w:type="dxa"/>
            <w:right w:w="108" w:type="dxa"/>
          </w:tblCellMar>
        </w:tblPrEx>
        <w:trPr>
          <w:trHeight w:val="130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73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99"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99"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919"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8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48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8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8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702"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小耐克右侧墙面美化</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原有墙面耐克字拆掉后，电线孔贴画面美化</w:t>
            </w:r>
          </w:p>
        </w:tc>
      </w:tr>
      <w:tr>
        <w:tblPrEx>
          <w:tblCellMar>
            <w:top w:w="0" w:type="dxa"/>
            <w:left w:w="108" w:type="dxa"/>
            <w:bottom w:w="0" w:type="dxa"/>
            <w:right w:w="108" w:type="dxa"/>
          </w:tblCellMar>
        </w:tblPrEx>
        <w:trPr>
          <w:trHeight w:val="60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门楣新做ABC发光字</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门楣新做ABC发光字</w:t>
            </w:r>
          </w:p>
        </w:tc>
      </w:tr>
      <w:tr>
        <w:tblPrEx>
          <w:tblCellMar>
            <w:top w:w="0" w:type="dxa"/>
            <w:left w:w="108" w:type="dxa"/>
            <w:bottom w:w="0" w:type="dxa"/>
            <w:right w:w="108" w:type="dxa"/>
          </w:tblCellMar>
        </w:tblPrEx>
        <w:trPr>
          <w:trHeight w:val="66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b/>
                <w:bCs/>
              </w:rPr>
            </w:pPr>
          </w:p>
        </w:tc>
      </w:tr>
      <w:tr>
        <w:tblPrEx>
          <w:shd w:val="clear" w:color="auto" w:fill="FFFFFF" w:themeFill="background1"/>
          <w:tblCellMar>
            <w:top w:w="0" w:type="dxa"/>
            <w:left w:w="108" w:type="dxa"/>
            <w:bottom w:w="0" w:type="dxa"/>
            <w:right w:w="108" w:type="dxa"/>
          </w:tblCellMar>
        </w:tblPrEx>
        <w:trPr>
          <w:trHeight w:val="54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道具搬迁+修缮+再次安装+必要基装部分总计：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52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202</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52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2FLagogo女装基装+道具移装内容（搬至3F衣拉拉）</w:t>
            </w:r>
          </w:p>
        </w:tc>
      </w:tr>
      <w:tr>
        <w:tblPrEx>
          <w:tblCellMar>
            <w:top w:w="0" w:type="dxa"/>
            <w:left w:w="108" w:type="dxa"/>
            <w:bottom w:w="0" w:type="dxa"/>
            <w:right w:w="108" w:type="dxa"/>
          </w:tblCellMar>
        </w:tblPrEx>
        <w:trPr>
          <w:trHeight w:val="45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42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tblCellMar>
            <w:top w:w="0" w:type="dxa"/>
            <w:left w:w="108" w:type="dxa"/>
            <w:bottom w:w="0" w:type="dxa"/>
            <w:right w:w="108" w:type="dxa"/>
          </w:tblCellMar>
        </w:tblPrEx>
        <w:trPr>
          <w:trHeight w:val="10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7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shd w:val="clear" w:color="auto" w:fill="FFFFFF" w:themeFill="background1"/>
          <w:tblCellMar>
            <w:top w:w="0" w:type="dxa"/>
            <w:left w:w="108" w:type="dxa"/>
            <w:bottom w:w="0" w:type="dxa"/>
            <w:right w:w="108" w:type="dxa"/>
          </w:tblCellMar>
        </w:tblPrEx>
        <w:trPr>
          <w:trHeight w:val="78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55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76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7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shd w:val="clear" w:color="auto" w:fill="FFFFFF" w:themeFill="background1"/>
          <w:tblCellMar>
            <w:top w:w="0" w:type="dxa"/>
            <w:left w:w="108" w:type="dxa"/>
            <w:bottom w:w="0" w:type="dxa"/>
            <w:right w:w="108" w:type="dxa"/>
          </w:tblCellMar>
        </w:tblPrEx>
        <w:trPr>
          <w:trHeight w:val="52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45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52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陈列墙面+仓库+试衣间隔墙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100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陈列面墙面+仓库+试衣间，轻钢龙骨隔墙，预估100平米</w:t>
            </w: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墙面艺术乳涂料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100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墙面单面分色艺术涂料，试衣间内部墙纸或艺术涂料</w:t>
            </w: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3</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仓库内部墙面乳胶漆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32</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仓库内部整体立邦乳胶漆</w:t>
            </w:r>
          </w:p>
        </w:tc>
      </w:tr>
      <w:tr>
        <w:tblPrEx>
          <w:shd w:val="clear" w:color="auto" w:fill="FFFFFF" w:themeFill="background1"/>
          <w:tblCellMar>
            <w:top w:w="0" w:type="dxa"/>
            <w:left w:w="108" w:type="dxa"/>
            <w:bottom w:w="0" w:type="dxa"/>
            <w:right w:w="108" w:type="dxa"/>
          </w:tblCellMar>
        </w:tblPrEx>
        <w:trPr>
          <w:trHeight w:val="54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b/>
                <w:bCs/>
              </w:rPr>
            </w:pPr>
          </w:p>
        </w:tc>
      </w:tr>
      <w:tr>
        <w:tblPrEx>
          <w:tblCellMar>
            <w:top w:w="0" w:type="dxa"/>
            <w:left w:w="108" w:type="dxa"/>
            <w:bottom w:w="0" w:type="dxa"/>
            <w:right w:w="108" w:type="dxa"/>
          </w:tblCellMar>
        </w:tblPrEx>
        <w:trPr>
          <w:trHeight w:val="57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道具搬迁+修缮+再次安装+必要基装部分总计：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5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119</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6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2F艾蜜雪女装基装+道具移装内容（搬至3F随同编程）</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28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shd w:val="clear" w:color="auto" w:fill="FFFFFF" w:themeFill="background1"/>
          <w:tblCellMar>
            <w:top w:w="0" w:type="dxa"/>
            <w:left w:w="108" w:type="dxa"/>
            <w:bottom w:w="0" w:type="dxa"/>
            <w:right w:w="108" w:type="dxa"/>
          </w:tblCellMar>
        </w:tblPrEx>
        <w:trPr>
          <w:trHeight w:val="66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shd w:val="clear" w:color="auto" w:fill="FFFFFF" w:themeFill="background1"/>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37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8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shd w:val="clear" w:color="auto" w:fill="FFFFFF" w:themeFill="background1"/>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46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陈列墙面+仓库+试衣间隔墙+灰色纹理仿石材墙板</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100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陈列面墙面+仓库+试衣间，轻钢龙骨隔墙，预估100平米</w:t>
            </w:r>
          </w:p>
        </w:tc>
      </w:tr>
      <w:tr>
        <w:tblPrEx>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100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墙面乳胶漆</w:t>
            </w:r>
          </w:p>
        </w:tc>
      </w:tr>
      <w:tr>
        <w:tblPrEx>
          <w:shd w:val="clear" w:color="auto" w:fill="FFFFFF" w:themeFill="background1"/>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3</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隔墙拆除</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365</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原隔墙拆除，垃圾清运</w:t>
            </w:r>
          </w:p>
        </w:tc>
      </w:tr>
      <w:tr>
        <w:tblPrEx>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4</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主电源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重新放电缆（3*6电缆100米）</w:t>
            </w:r>
          </w:p>
        </w:tc>
      </w:tr>
      <w:tr>
        <w:tblPrEx>
          <w:shd w:val="clear" w:color="auto" w:fill="FFFFFF" w:themeFill="background1"/>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5</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灯具、拆座电源恢复</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3*2.5电线约30米</w:t>
            </w:r>
          </w:p>
          <w:p>
            <w:pPr>
              <w:widowControl/>
              <w:jc w:val="left"/>
              <w:textAlignment w:val="center"/>
              <w:rPr>
                <w:rFonts w:cs="宋体"/>
              </w:rPr>
            </w:pPr>
            <w:r>
              <w:rPr>
                <w:rFonts w:hint="eastAsia" w:cs="宋体"/>
              </w:rPr>
              <w:t>3*4电线约50米</w:t>
            </w:r>
          </w:p>
        </w:tc>
      </w:tr>
      <w:tr>
        <w:tblPrEx>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6</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仓库墙面乳胶漆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32</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仓库整体立邦净味120乳胶漆</w:t>
            </w:r>
          </w:p>
        </w:tc>
      </w:tr>
      <w:tr>
        <w:tblPrEx>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道具搬迁+修缮+再次安装+必要基装部分总计：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133</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52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2F虫二女装基装+道具移装内容（搬至3F柒鑫母婴）</w:t>
            </w:r>
          </w:p>
        </w:tc>
      </w:tr>
      <w:tr>
        <w:tblPrEx>
          <w:shd w:val="clear" w:color="auto" w:fill="FFFFFF" w:themeFill="background1"/>
          <w:tblCellMar>
            <w:top w:w="0" w:type="dxa"/>
            <w:left w:w="108" w:type="dxa"/>
            <w:bottom w:w="0" w:type="dxa"/>
            <w:right w:w="108" w:type="dxa"/>
          </w:tblCellMar>
        </w:tblPrEx>
        <w:trPr>
          <w:trHeight w:val="4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28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63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shd w:val="clear" w:color="auto" w:fill="FFFFFF" w:themeFill="background1"/>
          <w:tblCellMar>
            <w:top w:w="0" w:type="dxa"/>
            <w:left w:w="108" w:type="dxa"/>
            <w:bottom w:w="0" w:type="dxa"/>
            <w:right w:w="108" w:type="dxa"/>
          </w:tblCellMar>
        </w:tblPrEx>
        <w:trPr>
          <w:trHeight w:val="49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cs="宋体"/>
              </w:rPr>
            </w:pPr>
          </w:p>
        </w:tc>
      </w:tr>
      <w:tr>
        <w:tblPrEx>
          <w:tblCellMar>
            <w:top w:w="0" w:type="dxa"/>
            <w:left w:w="108" w:type="dxa"/>
            <w:bottom w:w="0" w:type="dxa"/>
            <w:right w:w="108" w:type="dxa"/>
          </w:tblCellMar>
        </w:tblPrEx>
        <w:trPr>
          <w:trHeight w:val="28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6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42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cs="宋体"/>
              </w:rPr>
            </w:pPr>
          </w:p>
        </w:tc>
      </w:tr>
      <w:tr>
        <w:tblPrEx>
          <w:shd w:val="clear" w:color="auto" w:fill="FFFFFF" w:themeFill="background1"/>
          <w:tblCellMar>
            <w:top w:w="0" w:type="dxa"/>
            <w:left w:w="108" w:type="dxa"/>
            <w:bottom w:w="0" w:type="dxa"/>
            <w:right w:w="108" w:type="dxa"/>
          </w:tblCellMar>
        </w:tblPrEx>
        <w:trPr>
          <w:trHeight w:val="42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cs="宋体"/>
              </w:rPr>
            </w:pPr>
          </w:p>
        </w:tc>
      </w:tr>
      <w:tr>
        <w:tblPrEx>
          <w:shd w:val="clear" w:color="auto" w:fill="FFFFFF" w:themeFill="background1"/>
          <w:tblCellMar>
            <w:top w:w="0" w:type="dxa"/>
            <w:left w:w="108" w:type="dxa"/>
            <w:bottom w:w="0" w:type="dxa"/>
            <w:right w:w="108" w:type="dxa"/>
          </w:tblCellMar>
        </w:tblPrEx>
        <w:trPr>
          <w:trHeight w:val="42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cs="宋体"/>
              </w:rPr>
            </w:pPr>
          </w:p>
        </w:tc>
      </w:tr>
      <w:tr>
        <w:tblPrEx>
          <w:shd w:val="clear" w:color="auto" w:fill="FFFFFF" w:themeFill="background1"/>
          <w:tblCellMar>
            <w:top w:w="0" w:type="dxa"/>
            <w:left w:w="108" w:type="dxa"/>
            <w:bottom w:w="0" w:type="dxa"/>
            <w:right w:w="108" w:type="dxa"/>
          </w:tblCellMar>
        </w:tblPrEx>
        <w:trPr>
          <w:trHeight w:val="5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陈列墙面+仓库+试衣间隔墙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100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陈列面墙面+仓库+试衣间，轻钢龙骨隔墙，预估100平米</w:t>
            </w:r>
          </w:p>
        </w:tc>
      </w:tr>
      <w:tr>
        <w:tblPrEx>
          <w:tblCellMar>
            <w:top w:w="0" w:type="dxa"/>
            <w:left w:w="108" w:type="dxa"/>
            <w:bottom w:w="0" w:type="dxa"/>
            <w:right w:w="108" w:type="dxa"/>
          </w:tblCellMar>
        </w:tblPrEx>
        <w:trPr>
          <w:trHeight w:val="5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墙面艺术乳涂料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100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墙面单面艺术涂料</w:t>
            </w:r>
          </w:p>
        </w:tc>
      </w:tr>
      <w:tr>
        <w:tblPrEx>
          <w:tblCellMar>
            <w:top w:w="0" w:type="dxa"/>
            <w:left w:w="108" w:type="dxa"/>
            <w:bottom w:w="0" w:type="dxa"/>
            <w:right w:w="108" w:type="dxa"/>
          </w:tblCellMar>
        </w:tblPrEx>
        <w:trPr>
          <w:trHeight w:val="5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3</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仓库墙面乳胶漆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32</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仓库整体乳胶漆</w:t>
            </w:r>
          </w:p>
        </w:tc>
      </w:tr>
      <w:tr>
        <w:tblPrEx>
          <w:tblCellMar>
            <w:top w:w="0" w:type="dxa"/>
            <w:left w:w="108" w:type="dxa"/>
            <w:bottom w:w="0" w:type="dxa"/>
            <w:right w:w="108" w:type="dxa"/>
          </w:tblCellMar>
        </w:tblPrEx>
        <w:trPr>
          <w:trHeight w:val="5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4</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橱窗搬迁</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玻璃橱窗搬迁+损坏预估</w:t>
            </w:r>
          </w:p>
        </w:tc>
      </w:tr>
      <w:tr>
        <w:tblPrEx>
          <w:shd w:val="clear" w:color="auto" w:fill="FFFFFF" w:themeFill="background1"/>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shd w:val="clear" w:color="auto" w:fill="FFFFFF" w:themeFill="background1"/>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道具搬迁+修缮+再次安装+必要基装部分总计：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110</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52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2F好波基装+道具移装内容（搬至2F爱蜜雪）</w:t>
            </w:r>
          </w:p>
        </w:tc>
      </w:tr>
      <w:tr>
        <w:tblPrEx>
          <w:shd w:val="clear" w:color="auto" w:fill="FFFFFF" w:themeFill="background1"/>
          <w:tblCellMar>
            <w:top w:w="0" w:type="dxa"/>
            <w:left w:w="108" w:type="dxa"/>
            <w:bottom w:w="0" w:type="dxa"/>
            <w:right w:w="108" w:type="dxa"/>
          </w:tblCellMar>
        </w:tblPrEx>
        <w:trPr>
          <w:trHeight w:val="52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52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66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46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76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shd w:val="clear" w:color="auto" w:fill="FFFFFF" w:themeFill="background1"/>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6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58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陈列墙面+仓库+试衣间隔墙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60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陈列面墙面+仓库+试衣间，轻钢龙骨隔墙，预估60平米</w:t>
            </w:r>
          </w:p>
        </w:tc>
      </w:tr>
      <w:tr>
        <w:tblPrEx>
          <w:tblCellMar>
            <w:top w:w="0" w:type="dxa"/>
            <w:left w:w="108" w:type="dxa"/>
            <w:bottom w:w="0" w:type="dxa"/>
            <w:right w:w="108" w:type="dxa"/>
          </w:tblCellMar>
        </w:tblPrEx>
        <w:trPr>
          <w:trHeight w:val="58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60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墙面乳胶漆</w:t>
            </w:r>
          </w:p>
        </w:tc>
      </w:tr>
      <w:tr>
        <w:tblPrEx>
          <w:tblCellMar>
            <w:top w:w="0" w:type="dxa"/>
            <w:left w:w="108" w:type="dxa"/>
            <w:bottom w:w="0" w:type="dxa"/>
            <w:right w:w="108" w:type="dxa"/>
          </w:tblCellMar>
        </w:tblPrEx>
        <w:trPr>
          <w:trHeight w:val="58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3</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仓库墙面乳胶漆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仓库整体立邦乳胶漆</w:t>
            </w:r>
          </w:p>
        </w:tc>
      </w:tr>
      <w:tr>
        <w:tblPrEx>
          <w:tblCellMar>
            <w:top w:w="0" w:type="dxa"/>
            <w:left w:w="108" w:type="dxa"/>
            <w:bottom w:w="0" w:type="dxa"/>
            <w:right w:w="108" w:type="dxa"/>
          </w:tblCellMar>
        </w:tblPrEx>
        <w:trPr>
          <w:trHeight w:val="58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4</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橱窗搬迁</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 xml:space="preserve">玻璃橱窗搬迁+损坏预估 </w:t>
            </w:r>
          </w:p>
        </w:tc>
      </w:tr>
      <w:tr>
        <w:tblPrEx>
          <w:shd w:val="clear" w:color="auto" w:fill="FFFFFF" w:themeFill="background1"/>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shd w:val="clear" w:color="auto" w:fill="FFFFFF" w:themeFill="background1"/>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道具搬迁+修缮+再次安装+基装部分总计：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110</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51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2F洁牌女装基装+道具移装内容（搬至3F-16）</w:t>
            </w:r>
          </w:p>
        </w:tc>
      </w:tr>
      <w:tr>
        <w:tblPrEx>
          <w:shd w:val="clear" w:color="auto" w:fill="FFFFFF" w:themeFill="background1"/>
          <w:tblCellMar>
            <w:top w:w="0" w:type="dxa"/>
            <w:left w:w="108" w:type="dxa"/>
            <w:bottom w:w="0" w:type="dxa"/>
            <w:right w:w="108" w:type="dxa"/>
          </w:tblCellMar>
        </w:tblPrEx>
        <w:trPr>
          <w:trHeight w:val="5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51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shd w:val="clear" w:color="auto" w:fill="FFFFFF" w:themeFill="background1"/>
          <w:tblCellMar>
            <w:top w:w="0" w:type="dxa"/>
            <w:left w:w="108" w:type="dxa"/>
            <w:bottom w:w="0" w:type="dxa"/>
            <w:right w:w="108" w:type="dxa"/>
          </w:tblCellMar>
        </w:tblPrEx>
        <w:trPr>
          <w:trHeight w:val="37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37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73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2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陈列墙面+仓库+试衣间隔墙+圆弧造型隔墙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110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陈列面墙面+仓库+试衣间，轻钢龙骨隔墙，预估110平米</w:t>
            </w:r>
          </w:p>
        </w:tc>
      </w:tr>
      <w:tr>
        <w:tblPrEx>
          <w:tblCellMar>
            <w:top w:w="0" w:type="dxa"/>
            <w:left w:w="108" w:type="dxa"/>
            <w:bottom w:w="0" w:type="dxa"/>
            <w:right w:w="108" w:type="dxa"/>
          </w:tblCellMar>
        </w:tblPrEx>
        <w:trPr>
          <w:trHeight w:val="28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墙面艺术乳涂料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160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墙面单面艺术涂料，试衣间内部墙纸，墙面隔墙基本单面，试衣间双面</w:t>
            </w:r>
          </w:p>
        </w:tc>
      </w:tr>
      <w:tr>
        <w:tblPrEx>
          <w:tblCellMar>
            <w:top w:w="0" w:type="dxa"/>
            <w:left w:w="108" w:type="dxa"/>
            <w:bottom w:w="0" w:type="dxa"/>
            <w:right w:w="108" w:type="dxa"/>
          </w:tblCellMar>
        </w:tblPrEx>
        <w:trPr>
          <w:trHeight w:val="37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3</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仓库墙面乳胶漆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32</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仓库整体立邦乳胶漆</w:t>
            </w:r>
          </w:p>
        </w:tc>
      </w:tr>
      <w:tr>
        <w:tblPrEx>
          <w:shd w:val="clear" w:color="auto" w:fill="FFFFFF" w:themeFill="background1"/>
          <w:tblCellMar>
            <w:top w:w="0" w:type="dxa"/>
            <w:left w:w="108" w:type="dxa"/>
            <w:bottom w:w="0" w:type="dxa"/>
            <w:right w:w="108" w:type="dxa"/>
          </w:tblCellMar>
        </w:tblPrEx>
        <w:trPr>
          <w:trHeight w:val="52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b/>
                <w:bCs/>
              </w:rPr>
            </w:pPr>
          </w:p>
        </w:tc>
      </w:tr>
      <w:tr>
        <w:tblPrEx>
          <w:shd w:val="clear" w:color="auto" w:fill="FFFFFF" w:themeFill="background1"/>
          <w:tblCellMar>
            <w:top w:w="0" w:type="dxa"/>
            <w:left w:w="108" w:type="dxa"/>
            <w:bottom w:w="0" w:type="dxa"/>
            <w:right w:w="108" w:type="dxa"/>
          </w:tblCellMar>
        </w:tblPrEx>
        <w:trPr>
          <w:trHeight w:val="52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道具搬迁+修缮+再次安装+基装部分总计：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114</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49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2F梦丝锦家纺基装+道具移装内容（搬至2F-14好波）</w:t>
            </w:r>
          </w:p>
        </w:tc>
      </w:tr>
      <w:tr>
        <w:tblPrEx>
          <w:tblCellMar>
            <w:top w:w="0" w:type="dxa"/>
            <w:left w:w="108" w:type="dxa"/>
            <w:bottom w:w="0" w:type="dxa"/>
            <w:right w:w="108" w:type="dxa"/>
          </w:tblCellMar>
        </w:tblPrEx>
        <w:trPr>
          <w:trHeight w:val="4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49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shd w:val="clear" w:color="auto" w:fill="FFFFFF" w:themeFill="background1"/>
          <w:tblCellMar>
            <w:top w:w="0" w:type="dxa"/>
            <w:left w:w="108" w:type="dxa"/>
            <w:bottom w:w="0" w:type="dxa"/>
            <w:right w:w="108" w:type="dxa"/>
          </w:tblCellMar>
        </w:tblPrEx>
        <w:trPr>
          <w:trHeight w:val="40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40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134</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5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1F欧泊莱厅房道具移装内容（搬至1F-14-5HR箱包）</w:t>
            </w:r>
          </w:p>
        </w:tc>
      </w:tr>
      <w:tr>
        <w:tblPrEx>
          <w:tblCellMar>
            <w:top w:w="0" w:type="dxa"/>
            <w:left w:w="108" w:type="dxa"/>
            <w:bottom w:w="0" w:type="dxa"/>
            <w:right w:w="108" w:type="dxa"/>
          </w:tblCellMar>
        </w:tblPrEx>
        <w:trPr>
          <w:trHeight w:val="58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58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shd w:val="clear" w:color="auto" w:fill="FFFFFF" w:themeFill="background1"/>
          <w:tblCellMar>
            <w:top w:w="0" w:type="dxa"/>
            <w:left w:w="108" w:type="dxa"/>
            <w:bottom w:w="0" w:type="dxa"/>
            <w:right w:w="108" w:type="dxa"/>
          </w:tblCellMar>
        </w:tblPrEx>
        <w:trPr>
          <w:trHeight w:val="615"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L7880*W6380</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专业道具制作厂家作无损拆除，无法避免损坏部件，需要拉回道具厂恢复原样修复或新制作补上</w:t>
            </w:r>
          </w:p>
        </w:tc>
      </w:tr>
      <w:tr>
        <w:tblPrEx>
          <w:tblCellMar>
            <w:top w:w="0" w:type="dxa"/>
            <w:left w:w="108" w:type="dxa"/>
            <w:bottom w:w="0" w:type="dxa"/>
            <w:right w:w="108" w:type="dxa"/>
          </w:tblCellMar>
        </w:tblPrEx>
        <w:trPr>
          <w:trHeight w:val="61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shd w:val="clear" w:color="auto" w:fill="FFFFFF" w:themeFill="background1"/>
          <w:tblCellMar>
            <w:top w:w="0" w:type="dxa"/>
            <w:left w:w="108" w:type="dxa"/>
            <w:bottom w:w="0" w:type="dxa"/>
            <w:right w:w="108" w:type="dxa"/>
          </w:tblCellMar>
        </w:tblPrEx>
        <w:trPr>
          <w:trHeight w:val="51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16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新做欧泊莱一圈柜楣+外圈灯带</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灯带：L6000+5800+6000+5800=23.6米柜楣：2*4面=8米</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31.6</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按欧泊莱款式1：1新做欧泊莱一圈柜楣+外圈灯带，合计31.6米</w:t>
            </w:r>
          </w:p>
        </w:tc>
      </w:tr>
      <w:tr>
        <w:tblPrEx>
          <w:shd w:val="clear" w:color="auto" w:fill="FFFFFF" w:themeFill="background1"/>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34</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55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2F青俏女装基装+道具移装内容（搬至3F随同编程）</w:t>
            </w:r>
          </w:p>
        </w:tc>
      </w:tr>
      <w:tr>
        <w:tblPrEx>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70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shd w:val="clear" w:color="auto" w:fill="FFFFFF" w:themeFill="background1"/>
          <w:tblCellMar>
            <w:top w:w="0" w:type="dxa"/>
            <w:left w:w="108" w:type="dxa"/>
            <w:bottom w:w="0" w:type="dxa"/>
            <w:right w:w="108" w:type="dxa"/>
          </w:tblCellMar>
        </w:tblPrEx>
        <w:trPr>
          <w:trHeight w:val="42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42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67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67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w:t>
            </w:r>
          </w:p>
        </w:tc>
        <w:tc>
          <w:tcPr>
            <w:tcW w:w="874" w:type="pct"/>
            <w:tcBorders>
              <w:top w:val="single" w:color="000000" w:sz="4" w:space="0"/>
              <w:left w:val="nil"/>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灯具、拆座电源恢复</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3*4电线约50米</w:t>
            </w:r>
          </w:p>
          <w:p>
            <w:pPr>
              <w:widowControl/>
              <w:jc w:val="left"/>
              <w:textAlignment w:val="center"/>
              <w:rPr>
                <w:rFonts w:cs="宋体"/>
              </w:rPr>
            </w:pPr>
            <w:r>
              <w:rPr>
                <w:rFonts w:hint="eastAsia" w:cs="宋体"/>
              </w:rPr>
              <w:t>3*2.5电线约100米</w:t>
            </w:r>
          </w:p>
        </w:tc>
      </w:tr>
      <w:tr>
        <w:tblPrEx>
          <w:tblCellMar>
            <w:top w:w="0" w:type="dxa"/>
            <w:left w:w="108" w:type="dxa"/>
            <w:bottom w:w="0" w:type="dxa"/>
            <w:right w:w="108" w:type="dxa"/>
          </w:tblCellMar>
        </w:tblPrEx>
        <w:trPr>
          <w:trHeight w:val="64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55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158</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51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1F水星家纺基装+道具移装内容（搬至2F-15哦亿）</w:t>
            </w:r>
          </w:p>
        </w:tc>
      </w:tr>
      <w:tr>
        <w:tblPrEx>
          <w:shd w:val="clear" w:color="auto" w:fill="FFFFFF" w:themeFill="background1"/>
          <w:tblCellMar>
            <w:top w:w="0" w:type="dxa"/>
            <w:left w:w="108" w:type="dxa"/>
            <w:bottom w:w="0" w:type="dxa"/>
            <w:right w:w="108" w:type="dxa"/>
          </w:tblCellMar>
        </w:tblPrEx>
        <w:trPr>
          <w:trHeight w:val="5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51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bdr w:val="single" w:color="000000" w:sz="4" w:space="0"/>
              </w:rPr>
              <w:drawing>
                <wp:anchor distT="0" distB="0" distL="114300" distR="114300" simplePos="0" relativeHeight="251662336" behindDoc="0" locked="0" layoutInCell="1" allowOverlap="1">
                  <wp:simplePos x="0" y="0"/>
                  <wp:positionH relativeFrom="column">
                    <wp:posOffset>0</wp:posOffset>
                  </wp:positionH>
                  <wp:positionV relativeFrom="paragraph">
                    <wp:posOffset>390525</wp:posOffset>
                  </wp:positionV>
                  <wp:extent cx="771525" cy="0"/>
                  <wp:effectExtent l="0" t="0" r="0" b="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9"/>
                          <a:stretch>
                            <a:fillRect/>
                          </a:stretch>
                        </pic:blipFill>
                        <pic:spPr>
                          <a:xfrm>
                            <a:off x="0" y="0"/>
                            <a:ext cx="771525" cy="0"/>
                          </a:xfrm>
                          <a:prstGeom prst="rect">
                            <a:avLst/>
                          </a:prstGeom>
                          <a:noFill/>
                          <a:ln>
                            <a:noFill/>
                          </a:ln>
                        </pic:spPr>
                      </pic:pic>
                    </a:graphicData>
                  </a:graphic>
                </wp:anchor>
              </w:drawing>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8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48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82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shd w:val="clear" w:color="auto" w:fill="FFFFFF" w:themeFill="background1"/>
          <w:tblCellMar>
            <w:top w:w="0" w:type="dxa"/>
            <w:left w:w="108" w:type="dxa"/>
            <w:bottom w:w="0" w:type="dxa"/>
            <w:right w:w="108" w:type="dxa"/>
          </w:tblCellMar>
        </w:tblPrEx>
        <w:trPr>
          <w:trHeight w:val="54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54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150</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6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2F熙然女装基装+道具移装内容（搬至3F小阿迪）</w:t>
            </w:r>
          </w:p>
        </w:tc>
      </w:tr>
      <w:tr>
        <w:tblPrEx>
          <w:shd w:val="clear" w:color="auto" w:fill="FFFFFF" w:themeFill="background1"/>
          <w:tblCellMar>
            <w:top w:w="0" w:type="dxa"/>
            <w:left w:w="108" w:type="dxa"/>
            <w:bottom w:w="0" w:type="dxa"/>
            <w:right w:w="108" w:type="dxa"/>
          </w:tblCellMar>
        </w:tblPrEx>
        <w:trPr>
          <w:trHeight w:val="60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60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shd w:val="clear" w:color="auto" w:fill="FFFFFF" w:themeFill="background1"/>
          <w:tblCellMar>
            <w:top w:w="0" w:type="dxa"/>
            <w:left w:w="108" w:type="dxa"/>
            <w:bottom w:w="0" w:type="dxa"/>
            <w:right w:w="108" w:type="dxa"/>
          </w:tblCellMar>
        </w:tblPrEx>
        <w:trPr>
          <w:trHeight w:val="45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45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shd w:val="clear" w:color="auto" w:fill="FFFFFF" w:themeFill="background1"/>
          <w:tblCellMar>
            <w:top w:w="0" w:type="dxa"/>
            <w:left w:w="108" w:type="dxa"/>
            <w:bottom w:w="0" w:type="dxa"/>
            <w:right w:w="108" w:type="dxa"/>
          </w:tblCellMar>
        </w:tblPrEx>
        <w:trPr>
          <w:trHeight w:val="49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9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tblCellMar>
            <w:top w:w="0" w:type="dxa"/>
            <w:left w:w="108" w:type="dxa"/>
            <w:bottom w:w="0" w:type="dxa"/>
            <w:right w:w="108" w:type="dxa"/>
          </w:tblCellMar>
        </w:tblPrEx>
        <w:trPr>
          <w:trHeight w:val="49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必要由道具厂一并施工基装项目</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陈列墙面+仓库+试衣间隔墙+圆弧造型隔墙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120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陈列面墙面+仓库+试衣间，轻钢龙骨隔墙，预估120平米</w:t>
            </w:r>
          </w:p>
        </w:tc>
      </w:tr>
      <w:tr>
        <w:tblPrEx>
          <w:shd w:val="clear" w:color="auto" w:fill="FFFFFF" w:themeFill="background1"/>
          <w:tblCellMar>
            <w:top w:w="0" w:type="dxa"/>
            <w:left w:w="108" w:type="dxa"/>
            <w:bottom w:w="0" w:type="dxa"/>
            <w:right w:w="108" w:type="dxa"/>
          </w:tblCellMar>
        </w:tblPrEx>
        <w:trPr>
          <w:trHeight w:val="28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墙面艺术乳涂料</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200</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墙面单面艺术涂料，试衣间内部墙纸，很多隔墙是双面的面积多算一点</w:t>
            </w:r>
          </w:p>
        </w:tc>
      </w:tr>
      <w:tr>
        <w:tblPrEx>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3</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仓库墙面乳胶漆</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32</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仓库整体立邦净味120乳胶漆</w:t>
            </w:r>
          </w:p>
        </w:tc>
      </w:tr>
      <w:tr>
        <w:tblPrEx>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4</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橱窗搬迁</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玻璃橱窗搬迁+损坏预估</w:t>
            </w:r>
          </w:p>
        </w:tc>
      </w:tr>
      <w:tr>
        <w:tblPrEx>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基装项目部分小计：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shd w:val="clear" w:color="auto" w:fill="FFFFFF" w:themeFill="background1"/>
          <w:tblCellMar>
            <w:top w:w="0" w:type="dxa"/>
            <w:left w:w="108" w:type="dxa"/>
            <w:bottom w:w="0" w:type="dxa"/>
            <w:right w:w="108" w:type="dxa"/>
          </w:tblCellMar>
        </w:tblPrEx>
        <w:trPr>
          <w:trHeight w:val="51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道具搬迁+修缮+再次安装+必要基装部分总计：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159</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5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3F衣拉拉道具移装内容（搬至3F捷米梵）</w:t>
            </w:r>
          </w:p>
        </w:tc>
      </w:tr>
      <w:tr>
        <w:tblPrEx>
          <w:tblCellMar>
            <w:top w:w="0" w:type="dxa"/>
            <w:left w:w="108" w:type="dxa"/>
            <w:bottom w:w="0" w:type="dxa"/>
            <w:right w:w="108" w:type="dxa"/>
          </w:tblCellMar>
        </w:tblPrEx>
        <w:trPr>
          <w:trHeight w:val="46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48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shd w:val="clear" w:color="auto" w:fill="FFFFFF" w:themeFill="background1"/>
          <w:tblCellMar>
            <w:top w:w="0" w:type="dxa"/>
            <w:left w:w="108" w:type="dxa"/>
            <w:bottom w:w="0" w:type="dxa"/>
            <w:right w:w="108" w:type="dxa"/>
          </w:tblCellMar>
        </w:tblPrEx>
        <w:trPr>
          <w:trHeight w:val="28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28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shd w:val="clear" w:color="auto" w:fill="FFFFFF" w:themeFill="background1"/>
          <w:tblCellMar>
            <w:top w:w="0" w:type="dxa"/>
            <w:left w:w="108" w:type="dxa"/>
            <w:bottom w:w="0" w:type="dxa"/>
            <w:right w:w="108" w:type="dxa"/>
          </w:tblCellMar>
        </w:tblPrEx>
        <w:trPr>
          <w:trHeight w:val="46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48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106</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shd w:val="clear" w:color="auto" w:fill="FFFFFF" w:themeFill="background1"/>
          <w:tblCellMar>
            <w:top w:w="0" w:type="dxa"/>
            <w:left w:w="108" w:type="dxa"/>
            <w:bottom w:w="0" w:type="dxa"/>
            <w:right w:w="108" w:type="dxa"/>
          </w:tblCellMar>
        </w:tblPrEx>
        <w:trPr>
          <w:trHeight w:val="6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2F易美内衣家纺基装+道具移装内容（搬至2F-13青俏）</w:t>
            </w:r>
          </w:p>
        </w:tc>
      </w:tr>
      <w:tr>
        <w:tblPrEx>
          <w:shd w:val="clear" w:color="auto" w:fill="FFFFFF" w:themeFill="background1"/>
          <w:tblCellMar>
            <w:top w:w="0" w:type="dxa"/>
            <w:left w:w="108" w:type="dxa"/>
            <w:bottom w:w="0" w:type="dxa"/>
            <w:right w:w="108" w:type="dxa"/>
          </w:tblCellMar>
        </w:tblPrEx>
        <w:trPr>
          <w:trHeight w:val="4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49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sz w:val="21"/>
                <w:szCs w:val="21"/>
              </w:rPr>
            </w:pPr>
          </w:p>
        </w:tc>
      </w:tr>
      <w:tr>
        <w:tblPrEx>
          <w:shd w:val="clear" w:color="auto" w:fill="FFFFFF" w:themeFill="background1"/>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原来位置可利用道具拆除+打包+搬运</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更改修缮道具拉回工厂运费及加工费</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9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第一次拆+修缮道具部分小计：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495"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放在现场可直接利旧道具+修缮后道具二次安装</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平米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尺寸不合适地方新增道具</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shd w:val="clear" w:color="auto" w:fill="FFFFFF" w:themeFill="background1"/>
          <w:tblCellMar>
            <w:top w:w="0" w:type="dxa"/>
            <w:left w:w="108" w:type="dxa"/>
            <w:bottom w:w="0" w:type="dxa"/>
            <w:right w:w="108" w:type="dxa"/>
          </w:tblCellMar>
        </w:tblPrEx>
        <w:trPr>
          <w:trHeight w:val="60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道具二次安装+新增部分小计：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r>
      <w:tr>
        <w:tblPrEx>
          <w:shd w:val="clear" w:color="auto" w:fill="FFFFFF" w:themeFill="background1"/>
          <w:tblCellMar>
            <w:top w:w="0" w:type="dxa"/>
            <w:left w:w="108" w:type="dxa"/>
            <w:bottom w:w="0" w:type="dxa"/>
            <w:right w:w="108" w:type="dxa"/>
          </w:tblCellMar>
        </w:tblPrEx>
        <w:trPr>
          <w:trHeight w:val="285"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道具迁移部分合计：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b/>
                <w:bCs/>
              </w:rPr>
            </w:pPr>
          </w:p>
        </w:tc>
      </w:tr>
      <w:tr>
        <w:tblPrEx>
          <w:shd w:val="clear" w:color="auto" w:fill="FFFFFF" w:themeFill="background1"/>
          <w:tblCellMar>
            <w:top w:w="0" w:type="dxa"/>
            <w:left w:w="108" w:type="dxa"/>
            <w:bottom w:w="0" w:type="dxa"/>
            <w:right w:w="108" w:type="dxa"/>
          </w:tblCellMar>
        </w:tblPrEx>
        <w:trPr>
          <w:trHeight w:val="4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面积</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95</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nil"/>
            </w:tcBorders>
            <w:shd w:val="clear" w:color="auto" w:fill="FFFFFF" w:themeFill="background1"/>
            <w:vAlign w:val="center"/>
          </w:tcPr>
          <w:p>
            <w:pPr>
              <w:widowControl/>
              <w:jc w:val="center"/>
              <w:textAlignment w:val="center"/>
              <w:rPr>
                <w:rFonts w:cs="宋体"/>
              </w:rPr>
            </w:pPr>
            <w:r>
              <w:rPr>
                <w:rFonts w:hint="eastAsia" w:cs="宋体"/>
              </w:rPr>
              <w:t>单平米投入</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 xml:space="preserve">0 </w:t>
            </w:r>
          </w:p>
        </w:tc>
        <w:tc>
          <w:tcPr>
            <w:tcW w:w="1672" w:type="pc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64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总服务台移装内容</w:t>
            </w:r>
          </w:p>
        </w:tc>
      </w:tr>
      <w:tr>
        <w:tblPrEx>
          <w:tblCellMar>
            <w:top w:w="0" w:type="dxa"/>
            <w:left w:w="108" w:type="dxa"/>
            <w:bottom w:w="0" w:type="dxa"/>
            <w:right w:w="108" w:type="dxa"/>
          </w:tblCellMar>
        </w:tblPrEx>
        <w:trPr>
          <w:trHeight w:val="63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shd w:val="clear" w:color="auto" w:fill="FFFFFF" w:themeFill="background1"/>
          <w:tblCellMar>
            <w:top w:w="0" w:type="dxa"/>
            <w:left w:w="108" w:type="dxa"/>
            <w:bottom w:w="0" w:type="dxa"/>
            <w:right w:w="108" w:type="dxa"/>
          </w:tblCellMar>
        </w:tblPrEx>
        <w:trPr>
          <w:trHeight w:val="63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方案一：搬迁</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r>
      <w:tr>
        <w:tblPrEx>
          <w:shd w:val="clear" w:color="auto" w:fill="FFFFFF" w:themeFill="background1"/>
          <w:tblCellMar>
            <w:top w:w="0" w:type="dxa"/>
            <w:left w:w="108" w:type="dxa"/>
            <w:bottom w:w="0" w:type="dxa"/>
            <w:right w:w="108" w:type="dxa"/>
          </w:tblCellMar>
        </w:tblPrEx>
        <w:trPr>
          <w:trHeight w:val="7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整体搬迁费用</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L5550</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整体搬迁，大理石是整体后焊接的，整体尺寸太大了很可能无法搬迁，即使搬迁几乎必然导致大理石损坏</w:t>
            </w:r>
          </w:p>
        </w:tc>
      </w:tr>
      <w:tr>
        <w:tblPrEx>
          <w:shd w:val="clear" w:color="auto" w:fill="FFFFFF" w:themeFill="background1"/>
          <w:tblCellMar>
            <w:top w:w="0" w:type="dxa"/>
            <w:left w:w="108" w:type="dxa"/>
            <w:bottom w:w="0" w:type="dxa"/>
            <w:right w:w="108" w:type="dxa"/>
          </w:tblCellMar>
        </w:tblPrEx>
        <w:trPr>
          <w:trHeight w:val="5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损坏修复</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sz w:val="21"/>
                <w:szCs w:val="21"/>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sz w:val="21"/>
                <w:szCs w:val="21"/>
              </w:rPr>
            </w:pPr>
            <w:r>
              <w:rPr>
                <w:rFonts w:hint="eastAsia" w:cs="宋体"/>
                <w:sz w:val="21"/>
                <w:szCs w:val="21"/>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sz w:val="21"/>
                <w:szCs w:val="21"/>
              </w:rPr>
            </w:pPr>
            <w:r>
              <w:rPr>
                <w:rFonts w:hint="eastAsia" w:cs="宋体"/>
                <w:sz w:val="21"/>
                <w:szCs w:val="21"/>
              </w:rPr>
              <w:t>1</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大理石或台体损坏后修复费用</w:t>
            </w:r>
          </w:p>
        </w:tc>
      </w:tr>
      <w:tr>
        <w:tblPrEx>
          <w:tblCellMar>
            <w:top w:w="0" w:type="dxa"/>
            <w:left w:w="108" w:type="dxa"/>
            <w:bottom w:w="0" w:type="dxa"/>
            <w:right w:w="108" w:type="dxa"/>
          </w:tblCellMar>
        </w:tblPrEx>
        <w:trPr>
          <w:trHeight w:val="540"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小计：</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540" w:hRule="atLeast"/>
        </w:trPr>
        <w:tc>
          <w:tcPr>
            <w:tcW w:w="2965"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方案二 新做</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cs="宋体"/>
              </w:rPr>
            </w:pPr>
          </w:p>
        </w:tc>
      </w:tr>
      <w:tr>
        <w:tblPrEx>
          <w:shd w:val="clear" w:color="auto" w:fill="FFFFFF" w:themeFill="background1"/>
          <w:tblCellMar>
            <w:top w:w="0" w:type="dxa"/>
            <w:left w:w="108" w:type="dxa"/>
            <w:bottom w:w="0" w:type="dxa"/>
            <w:right w:w="108" w:type="dxa"/>
          </w:tblCellMar>
        </w:tblPrEx>
        <w:trPr>
          <w:trHeight w:val="5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新做总服务台</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米</w:t>
            </w: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rPr>
            </w:pPr>
            <w:r>
              <w:rPr>
                <w:rFonts w:hint="eastAsia" w:cs="宋体"/>
              </w:rPr>
              <w:t>5.55</w:t>
            </w: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重新设计制作服务台，木结石材+不锈钢</w:t>
            </w:r>
          </w:p>
        </w:tc>
      </w:tr>
      <w:tr>
        <w:tblPrEx>
          <w:tblCellMar>
            <w:top w:w="0" w:type="dxa"/>
            <w:left w:w="108" w:type="dxa"/>
            <w:bottom w:w="0" w:type="dxa"/>
            <w:right w:w="108" w:type="dxa"/>
          </w:tblCellMar>
        </w:tblPrEx>
        <w:trPr>
          <w:trHeight w:val="5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2</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服务台后背景利旧</w:t>
            </w:r>
          </w:p>
        </w:tc>
        <w:tc>
          <w:tcPr>
            <w:tcW w:w="1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rPr>
            </w:pPr>
            <w:r>
              <w:rPr>
                <w:rFonts w:hint="eastAsia" w:cs="宋体"/>
              </w:rPr>
              <w:t>长5.48*高1.5米</w:t>
            </w:r>
          </w:p>
        </w:tc>
        <w:tc>
          <w:tcPr>
            <w:tcW w:w="2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cs="宋体"/>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cs="宋体"/>
              </w:rPr>
            </w:pPr>
          </w:p>
        </w:tc>
        <w:tc>
          <w:tcPr>
            <w:tcW w:w="167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cs="宋体"/>
              </w:rPr>
            </w:pPr>
            <w:r>
              <w:rPr>
                <w:rFonts w:hint="eastAsia" w:cs="宋体"/>
              </w:rPr>
              <w:t>服务台背景墙，木结构烤漆+发光字</w:t>
            </w:r>
          </w:p>
        </w:tc>
      </w:tr>
    </w:tbl>
    <w:p>
      <w:pPr>
        <w:tabs>
          <w:tab w:val="left" w:pos="2394"/>
        </w:tabs>
        <w:spacing w:line="360" w:lineRule="auto"/>
        <w:rPr>
          <w:rFonts w:cs="宋体"/>
          <w:sz w:val="24"/>
          <w:szCs w:val="24"/>
        </w:rPr>
      </w:pPr>
      <w:r>
        <w:rPr>
          <w:rFonts w:hint="eastAsia" w:cs="宋体"/>
          <w:b/>
          <w:bCs/>
          <w:sz w:val="24"/>
          <w:szCs w:val="24"/>
        </w:rPr>
        <w:t xml:space="preserve">第二条  </w:t>
      </w:r>
      <w:r>
        <w:rPr>
          <w:rFonts w:hint="eastAsia" w:cs="宋体"/>
          <w:sz w:val="24"/>
          <w:szCs w:val="24"/>
        </w:rPr>
        <w:t>合同总价款</w:t>
      </w:r>
    </w:p>
    <w:p>
      <w:pPr>
        <w:tabs>
          <w:tab w:val="left" w:pos="2394"/>
        </w:tabs>
        <w:spacing w:line="360" w:lineRule="auto"/>
        <w:rPr>
          <w:rFonts w:cs="宋体"/>
          <w:sz w:val="24"/>
          <w:szCs w:val="24"/>
        </w:rPr>
      </w:pPr>
      <w:r>
        <w:rPr>
          <w:rFonts w:hint="eastAsia" w:cs="宋体"/>
          <w:sz w:val="24"/>
          <w:szCs w:val="24"/>
        </w:rPr>
        <w:t>1.合同总价：  。</w:t>
      </w:r>
    </w:p>
    <w:p>
      <w:pPr>
        <w:tabs>
          <w:tab w:val="left" w:pos="2394"/>
        </w:tabs>
        <w:spacing w:line="360" w:lineRule="auto"/>
        <w:rPr>
          <w:bCs/>
          <w:snapToGrid w:val="0"/>
          <w:sz w:val="24"/>
          <w:szCs w:val="24"/>
        </w:rPr>
      </w:pPr>
      <w:r>
        <w:rPr>
          <w:rFonts w:hint="eastAsia" w:cs="宋体"/>
          <w:sz w:val="24"/>
          <w:szCs w:val="24"/>
        </w:rPr>
        <w:t>2.</w:t>
      </w:r>
      <w:r>
        <w:rPr>
          <w:rFonts w:hint="eastAsia"/>
          <w:bCs/>
          <w:snapToGrid w:val="0"/>
          <w:sz w:val="24"/>
          <w:szCs w:val="24"/>
        </w:rPr>
        <w:t>本合同总价应包含所投货物的供货、包装运输及保险、安装、调试、考核验收、培训、交付后约定期限内免费维修保养服务、税费、人工费用等所有工作和应有费用。任何因忽视或误解实际情况而导致的费用增加由乙方自行承担。</w:t>
      </w:r>
    </w:p>
    <w:p>
      <w:pPr>
        <w:tabs>
          <w:tab w:val="left" w:pos="2394"/>
        </w:tabs>
        <w:spacing w:line="360" w:lineRule="auto"/>
        <w:rPr>
          <w:bCs/>
          <w:snapToGrid w:val="0"/>
          <w:sz w:val="24"/>
          <w:szCs w:val="24"/>
        </w:rPr>
      </w:pPr>
      <w:r>
        <w:rPr>
          <w:rFonts w:hint="eastAsia"/>
          <w:bCs/>
          <w:snapToGrid w:val="0"/>
          <w:sz w:val="24"/>
          <w:szCs w:val="24"/>
        </w:rPr>
        <w:t>3.除本条第一款约定的合同总价外，甲方在本合同项下不再支付其他任何款项。</w:t>
      </w:r>
    </w:p>
    <w:p>
      <w:pPr>
        <w:tabs>
          <w:tab w:val="left" w:pos="2394"/>
        </w:tabs>
        <w:spacing w:line="360" w:lineRule="auto"/>
        <w:rPr>
          <w:rFonts w:cs="宋体"/>
          <w:sz w:val="24"/>
          <w:szCs w:val="24"/>
        </w:rPr>
      </w:pPr>
      <w:r>
        <w:rPr>
          <w:rFonts w:hint="eastAsia" w:cs="宋体"/>
          <w:b/>
          <w:bCs/>
          <w:sz w:val="24"/>
          <w:szCs w:val="24"/>
        </w:rPr>
        <w:t xml:space="preserve">第三条  </w:t>
      </w:r>
      <w:r>
        <w:rPr>
          <w:rFonts w:hint="eastAsia" w:cs="宋体"/>
          <w:sz w:val="24"/>
          <w:szCs w:val="24"/>
        </w:rPr>
        <w:t>产品的技术标准（包括质量要求），按下列第①②③项的孰高者执行：</w:t>
      </w:r>
    </w:p>
    <w:p>
      <w:pPr>
        <w:tabs>
          <w:tab w:val="left" w:pos="2394"/>
        </w:tabs>
        <w:spacing w:line="360" w:lineRule="auto"/>
        <w:ind w:firstLine="480" w:firstLineChars="200"/>
        <w:rPr>
          <w:rFonts w:cs="宋体"/>
          <w:sz w:val="24"/>
          <w:szCs w:val="24"/>
        </w:rPr>
      </w:pPr>
      <w:r>
        <w:rPr>
          <w:rFonts w:hint="eastAsia" w:cs="宋体"/>
          <w:sz w:val="24"/>
          <w:szCs w:val="24"/>
        </w:rPr>
        <w:t xml:space="preserve">①按国家标准执行；②按部颁标准执行；③行业质量标准； </w:t>
      </w:r>
    </w:p>
    <w:p>
      <w:pPr>
        <w:tabs>
          <w:tab w:val="left" w:pos="2394"/>
        </w:tabs>
        <w:spacing w:line="360" w:lineRule="auto"/>
        <w:ind w:firstLine="480" w:firstLineChars="200"/>
        <w:rPr>
          <w:rFonts w:cs="宋体"/>
          <w:sz w:val="24"/>
          <w:szCs w:val="24"/>
        </w:rPr>
      </w:pPr>
      <w:r>
        <w:rPr>
          <w:rFonts w:hint="eastAsia" w:cs="宋体"/>
          <w:sz w:val="24"/>
          <w:szCs w:val="24"/>
        </w:rPr>
        <w:t>乙方提供和交付的货物技术标准应与竞争性谈判相关文件（以下简称“谈判文件”）规定的技术标准相一致。乙方所提供的货物应是全新、未使用过的，是完全符合以上质量标准的原装正品（含零部件、配件、随机工具等），乙方搬迁的货物应保持原状，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pPr>
        <w:tabs>
          <w:tab w:val="left" w:pos="2394"/>
        </w:tabs>
        <w:spacing w:line="360" w:lineRule="auto"/>
        <w:rPr>
          <w:rFonts w:cs="宋体"/>
          <w:b/>
          <w:sz w:val="24"/>
          <w:szCs w:val="24"/>
        </w:rPr>
      </w:pPr>
      <w:r>
        <w:rPr>
          <w:rFonts w:hint="eastAsia" w:cs="宋体"/>
          <w:b/>
          <w:bCs/>
          <w:sz w:val="24"/>
          <w:szCs w:val="24"/>
        </w:rPr>
        <w:t xml:space="preserve">第四条  </w:t>
      </w:r>
      <w:r>
        <w:rPr>
          <w:rFonts w:hint="eastAsia" w:cs="宋体"/>
          <w:bCs/>
          <w:sz w:val="24"/>
          <w:szCs w:val="24"/>
        </w:rPr>
        <w:t>包装、运输、保险</w:t>
      </w:r>
    </w:p>
    <w:p>
      <w:pPr>
        <w:tabs>
          <w:tab w:val="left" w:pos="2394"/>
        </w:tabs>
        <w:spacing w:line="360" w:lineRule="auto"/>
        <w:ind w:firstLine="480" w:firstLineChars="200"/>
        <w:rPr>
          <w:rFonts w:cs="宋体"/>
          <w:sz w:val="24"/>
          <w:szCs w:val="24"/>
        </w:rPr>
      </w:pPr>
      <w:r>
        <w:rPr>
          <w:rFonts w:hint="eastAsia" w:cs="宋体"/>
          <w:sz w:val="24"/>
          <w:szCs w:val="24"/>
        </w:rPr>
        <w:t>1.乙方所供货物的制造商原装出厂包装箱号与设备出厂批号一致。</w:t>
      </w:r>
    </w:p>
    <w:p>
      <w:pPr>
        <w:tabs>
          <w:tab w:val="left" w:pos="2394"/>
        </w:tabs>
        <w:spacing w:line="360" w:lineRule="auto"/>
        <w:ind w:firstLine="480" w:firstLineChars="200"/>
        <w:rPr>
          <w:rFonts w:cs="宋体"/>
          <w:sz w:val="24"/>
          <w:szCs w:val="24"/>
        </w:rPr>
      </w:pPr>
      <w:r>
        <w:rPr>
          <w:rFonts w:hint="eastAsia" w:cs="宋体"/>
          <w:sz w:val="24"/>
          <w:szCs w:val="24"/>
        </w:rPr>
        <w:t>2.包装必须与货物性质、运输方式相适应，包装方式的确定及包装费用均由乙方负责，由于不适当的包装而造成货物在运输过程中有任何损坏、丢失由乙方负责。</w:t>
      </w:r>
    </w:p>
    <w:p>
      <w:pPr>
        <w:tabs>
          <w:tab w:val="left" w:pos="2394"/>
        </w:tabs>
        <w:spacing w:line="360" w:lineRule="auto"/>
        <w:ind w:firstLine="480" w:firstLineChars="200"/>
        <w:rPr>
          <w:rFonts w:cs="宋体"/>
          <w:sz w:val="24"/>
          <w:szCs w:val="24"/>
        </w:rPr>
      </w:pPr>
      <w:r>
        <w:rPr>
          <w:rFonts w:hint="eastAsia" w:cs="宋体"/>
          <w:sz w:val="24"/>
          <w:szCs w:val="24"/>
        </w:rPr>
        <w:t>3.包装应足以承受整个过程中的运输、转运、贮存等，并考虑合肥地区的气候特点。</w:t>
      </w:r>
    </w:p>
    <w:p>
      <w:pPr>
        <w:tabs>
          <w:tab w:val="left" w:pos="2394"/>
        </w:tabs>
        <w:spacing w:line="360" w:lineRule="auto"/>
        <w:ind w:firstLine="480" w:firstLineChars="200"/>
        <w:rPr>
          <w:rFonts w:cs="宋体"/>
          <w:sz w:val="24"/>
          <w:szCs w:val="24"/>
        </w:rPr>
      </w:pPr>
      <w:r>
        <w:rPr>
          <w:rFonts w:hint="eastAsia" w:cs="宋体"/>
          <w:sz w:val="24"/>
          <w:szCs w:val="24"/>
        </w:rPr>
        <w:t>4.每一包装箱两个侧面用不褪色的容易识别的中文字样作出标记：箱号、装运标志、毛重、净重、到货地址、收货人名称、货物名称等。</w:t>
      </w:r>
    </w:p>
    <w:p>
      <w:pPr>
        <w:tabs>
          <w:tab w:val="left" w:pos="2394"/>
        </w:tabs>
        <w:spacing w:line="360" w:lineRule="auto"/>
        <w:ind w:firstLine="480" w:firstLineChars="200"/>
        <w:rPr>
          <w:rFonts w:cs="宋体"/>
          <w:sz w:val="24"/>
          <w:szCs w:val="24"/>
        </w:rPr>
      </w:pPr>
      <w:r>
        <w:rPr>
          <w:rFonts w:hint="eastAsia" w:cs="宋体"/>
          <w:sz w:val="24"/>
          <w:szCs w:val="24"/>
        </w:rPr>
        <w:t>5.乙方负责搬迁的货物应确保拆除、运输、安装过程的安全，不得损毁。</w:t>
      </w:r>
    </w:p>
    <w:p>
      <w:pPr>
        <w:tabs>
          <w:tab w:val="left" w:pos="2394"/>
        </w:tabs>
        <w:spacing w:line="360" w:lineRule="auto"/>
        <w:ind w:firstLine="480" w:firstLineChars="200"/>
        <w:rPr>
          <w:rFonts w:cs="宋体"/>
          <w:sz w:val="24"/>
          <w:szCs w:val="24"/>
        </w:rPr>
      </w:pPr>
      <w:r>
        <w:rPr>
          <w:rFonts w:hint="eastAsia" w:cs="宋体"/>
          <w:sz w:val="24"/>
          <w:szCs w:val="24"/>
        </w:rPr>
        <w:t>6.货物在验收合格前的保险由乙方负责，并负责其派出的现场服务人员人身意外保险。</w:t>
      </w:r>
    </w:p>
    <w:p>
      <w:pPr>
        <w:tabs>
          <w:tab w:val="left" w:pos="2394"/>
        </w:tabs>
        <w:spacing w:line="360" w:lineRule="auto"/>
        <w:rPr>
          <w:rFonts w:cs="宋体"/>
          <w:sz w:val="24"/>
          <w:szCs w:val="24"/>
        </w:rPr>
      </w:pPr>
      <w:r>
        <w:rPr>
          <w:rFonts w:hint="eastAsia" w:cs="宋体"/>
          <w:sz w:val="24"/>
          <w:szCs w:val="24"/>
        </w:rPr>
        <w:t>【注：合同中约定的包装标准应与乙方在投标文件中承诺的一致，且投标文件应作为合同附件与合同具有同等法律效力。】</w:t>
      </w:r>
    </w:p>
    <w:p>
      <w:pPr>
        <w:tabs>
          <w:tab w:val="left" w:pos="2394"/>
        </w:tabs>
        <w:spacing w:line="360" w:lineRule="auto"/>
        <w:rPr>
          <w:rFonts w:cs="宋体"/>
          <w:sz w:val="24"/>
          <w:szCs w:val="24"/>
        </w:rPr>
      </w:pPr>
      <w:r>
        <w:rPr>
          <w:rFonts w:hint="eastAsia" w:cs="宋体"/>
          <w:b/>
          <w:bCs/>
          <w:sz w:val="24"/>
          <w:szCs w:val="24"/>
        </w:rPr>
        <w:t xml:space="preserve">第五条  </w:t>
      </w:r>
      <w:r>
        <w:rPr>
          <w:rFonts w:hint="eastAsia" w:cs="宋体"/>
          <w:sz w:val="24"/>
          <w:szCs w:val="24"/>
        </w:rPr>
        <w:t>产品的交货方法、到货地点和完工期限</w:t>
      </w:r>
    </w:p>
    <w:p>
      <w:pPr>
        <w:tabs>
          <w:tab w:val="left" w:pos="2394"/>
        </w:tabs>
        <w:spacing w:line="360" w:lineRule="auto"/>
        <w:rPr>
          <w:rFonts w:cs="宋体"/>
          <w:sz w:val="24"/>
          <w:szCs w:val="24"/>
        </w:rPr>
      </w:pPr>
      <w:r>
        <w:rPr>
          <w:rFonts w:hint="eastAsia" w:cs="宋体"/>
          <w:sz w:val="24"/>
          <w:szCs w:val="24"/>
        </w:rPr>
        <w:t>1.交货方法，按下列第（ ①）项执行：</w:t>
      </w:r>
    </w:p>
    <w:p>
      <w:pPr>
        <w:tabs>
          <w:tab w:val="left" w:pos="2394"/>
        </w:tabs>
        <w:spacing w:line="360" w:lineRule="auto"/>
        <w:rPr>
          <w:rFonts w:cs="宋体"/>
          <w:sz w:val="24"/>
          <w:szCs w:val="24"/>
        </w:rPr>
      </w:pPr>
      <w:r>
        <w:rPr>
          <w:rFonts w:hint="eastAsia" w:cs="宋体"/>
          <w:sz w:val="24"/>
          <w:szCs w:val="24"/>
        </w:rPr>
        <w:t>①乙方送货上门并负责卸货（含拆卸原有道具等）及安装；②乙方代运；③甲方自提自运。</w:t>
      </w:r>
    </w:p>
    <w:p>
      <w:pPr>
        <w:tabs>
          <w:tab w:val="left" w:pos="2394"/>
        </w:tabs>
        <w:spacing w:line="360" w:lineRule="auto"/>
        <w:rPr>
          <w:rFonts w:cs="宋体"/>
          <w:sz w:val="24"/>
          <w:szCs w:val="24"/>
        </w:rPr>
      </w:pPr>
      <w:r>
        <w:rPr>
          <w:rFonts w:hint="eastAsia" w:cs="宋体"/>
          <w:sz w:val="24"/>
          <w:szCs w:val="24"/>
        </w:rPr>
        <w:t>2.到货地点：</w:t>
      </w:r>
      <w:r>
        <w:rPr>
          <w:rFonts w:hint="eastAsia" w:cs="宋体"/>
          <w:sz w:val="24"/>
          <w:szCs w:val="24"/>
          <w:u w:val="single"/>
        </w:rPr>
        <w:t>合肥市包河区包河大道与紫云路交口西北角心悦城(</w:t>
      </w:r>
      <w:r>
        <w:rPr>
          <w:rFonts w:hint="eastAsia" w:cs="宋体"/>
          <w:sz w:val="24"/>
          <w:szCs w:val="24"/>
        </w:rPr>
        <w:t>甲方指定的任何地点，供货) 。</w:t>
      </w:r>
    </w:p>
    <w:p>
      <w:pPr>
        <w:tabs>
          <w:tab w:val="left" w:pos="2394"/>
        </w:tabs>
        <w:spacing w:line="360" w:lineRule="auto"/>
        <w:rPr>
          <w:rFonts w:cs="宋体"/>
          <w:sz w:val="24"/>
          <w:szCs w:val="24"/>
        </w:rPr>
      </w:pPr>
      <w:r>
        <w:rPr>
          <w:rFonts w:hint="eastAsia" w:cs="宋体"/>
          <w:sz w:val="24"/>
          <w:szCs w:val="24"/>
        </w:rPr>
        <w:t>3.供货期限：总工期20个日历日。现有道具拆除、移动至招标人指定位置，不得超过5个日历日。拆除道具修复、安装到位，不得超过15个日历日。</w:t>
      </w:r>
    </w:p>
    <w:p>
      <w:pPr>
        <w:tabs>
          <w:tab w:val="left" w:pos="2394"/>
        </w:tabs>
        <w:spacing w:line="360" w:lineRule="auto"/>
        <w:rPr>
          <w:rFonts w:cs="宋体"/>
          <w:sz w:val="24"/>
          <w:szCs w:val="24"/>
        </w:rPr>
      </w:pPr>
      <w:r>
        <w:rPr>
          <w:rFonts w:hint="eastAsia" w:cs="宋体"/>
          <w:b/>
          <w:bCs/>
          <w:sz w:val="24"/>
          <w:szCs w:val="24"/>
        </w:rPr>
        <w:t>第六条</w:t>
      </w:r>
      <w:r>
        <w:rPr>
          <w:rFonts w:hint="eastAsia" w:cs="宋体"/>
          <w:sz w:val="24"/>
          <w:szCs w:val="24"/>
        </w:rPr>
        <w:t xml:space="preserve">  付款条件</w:t>
      </w:r>
    </w:p>
    <w:p>
      <w:pPr>
        <w:tabs>
          <w:tab w:val="left" w:pos="2394"/>
        </w:tabs>
        <w:spacing w:line="360" w:lineRule="auto"/>
        <w:ind w:firstLine="448" w:firstLineChars="187"/>
        <w:rPr>
          <w:rFonts w:cs="宋体"/>
          <w:sz w:val="24"/>
          <w:szCs w:val="24"/>
        </w:rPr>
      </w:pPr>
      <w:r>
        <w:rPr>
          <w:rFonts w:hint="eastAsia" w:cs="宋体"/>
          <w:sz w:val="24"/>
          <w:szCs w:val="24"/>
        </w:rPr>
        <w:t>本合同以人民币付款。</w:t>
      </w:r>
    </w:p>
    <w:p>
      <w:pPr>
        <w:tabs>
          <w:tab w:val="left" w:pos="2394"/>
        </w:tabs>
        <w:spacing w:line="360" w:lineRule="auto"/>
        <w:ind w:firstLine="448" w:firstLineChars="187"/>
        <w:rPr>
          <w:rFonts w:cs="宋体"/>
          <w:sz w:val="24"/>
          <w:szCs w:val="24"/>
        </w:rPr>
      </w:pPr>
      <w:r>
        <w:rPr>
          <w:rFonts w:hint="eastAsia" w:cs="宋体"/>
          <w:sz w:val="24"/>
          <w:szCs w:val="24"/>
        </w:rPr>
        <w:t>具体付款方式：全部项目完工经甲方验收合格，乙方向甲方出具合格的增值税专用发票后15日内，甲方支付乙方已完成工作量合同价款的90%，保修期满后15日内一次性支付剩余10%的合同价款。乙方未出具合格发票的甲方有权拒绝付款且不视为违约。</w:t>
      </w:r>
    </w:p>
    <w:p>
      <w:pPr>
        <w:tabs>
          <w:tab w:val="left" w:pos="2394"/>
        </w:tabs>
        <w:spacing w:line="360" w:lineRule="auto"/>
        <w:rPr>
          <w:rFonts w:cs="宋体"/>
          <w:sz w:val="24"/>
          <w:szCs w:val="24"/>
        </w:rPr>
      </w:pPr>
      <w:r>
        <w:rPr>
          <w:rFonts w:hint="eastAsia" w:cs="宋体"/>
          <w:b/>
          <w:bCs/>
          <w:sz w:val="24"/>
          <w:szCs w:val="24"/>
        </w:rPr>
        <w:t>第七条</w:t>
      </w:r>
      <w:r>
        <w:rPr>
          <w:rFonts w:hint="eastAsia" w:cs="宋体"/>
          <w:sz w:val="24"/>
          <w:szCs w:val="24"/>
        </w:rPr>
        <w:t xml:space="preserve">  验收方法</w:t>
      </w:r>
    </w:p>
    <w:p>
      <w:pPr>
        <w:tabs>
          <w:tab w:val="left" w:pos="2394"/>
        </w:tabs>
        <w:spacing w:line="360" w:lineRule="auto"/>
        <w:ind w:firstLine="480" w:firstLineChars="200"/>
        <w:rPr>
          <w:rFonts w:cs="宋体"/>
          <w:sz w:val="24"/>
          <w:szCs w:val="24"/>
        </w:rPr>
      </w:pPr>
      <w:r>
        <w:rPr>
          <w:rFonts w:hint="eastAsia" w:cs="宋体"/>
          <w:sz w:val="24"/>
          <w:szCs w:val="24"/>
        </w:rPr>
        <w:t>1.乙方供货（含原有道具搬迁等）并按约定完成安装后，在3天内通知甲方组织验收。验收不合格的，乙方应负责重新供货（含原有道具搬迁等）并安装以达到本合同约定的质量要求。</w:t>
      </w:r>
    </w:p>
    <w:p>
      <w:pPr>
        <w:tabs>
          <w:tab w:val="left" w:pos="2394"/>
        </w:tabs>
        <w:spacing w:line="360" w:lineRule="auto"/>
        <w:ind w:firstLine="480" w:firstLineChars="200"/>
        <w:rPr>
          <w:rFonts w:cs="宋体"/>
          <w:sz w:val="24"/>
          <w:szCs w:val="24"/>
        </w:rPr>
      </w:pPr>
      <w:r>
        <w:rPr>
          <w:rFonts w:hint="eastAsia" w:cs="宋体"/>
          <w:sz w:val="24"/>
          <w:szCs w:val="24"/>
        </w:rPr>
        <w:t>2.甲、乙双方应严格履行合同有关条款，如果验收过程中发现乙方在没有征得甲方同意的情况下擅自变更合同标的物，将拒绝通过验收，由此引起的一切后果及损失由乙方承担。</w:t>
      </w:r>
    </w:p>
    <w:p>
      <w:pPr>
        <w:tabs>
          <w:tab w:val="left" w:pos="2394"/>
        </w:tabs>
        <w:spacing w:line="360" w:lineRule="auto"/>
        <w:ind w:firstLine="480" w:firstLineChars="200"/>
        <w:rPr>
          <w:rFonts w:cs="宋体"/>
          <w:sz w:val="24"/>
          <w:szCs w:val="24"/>
        </w:rPr>
      </w:pPr>
      <w:r>
        <w:rPr>
          <w:rFonts w:hint="eastAsia" w:cs="宋体"/>
          <w:sz w:val="24"/>
          <w:szCs w:val="24"/>
        </w:rPr>
        <w:t>3.甲方验收时，应成立三人以上（由甲、乙双方、资产管理人、技术人员、纪检等相关人员组成）验收小组，明确责任，严格依照谈判文件、中标通知书、合同及相关验收规范进行核对、验收，形成验收结论，并出具书面验收报告。验收标准：道具移装满足甲方使用功能，摆设位置符合商场统一要求，重新加工的道具不得有明显的痕迹，高柜、陈列架安装牢固。</w:t>
      </w:r>
    </w:p>
    <w:p>
      <w:pPr>
        <w:tabs>
          <w:tab w:val="left" w:pos="2394"/>
        </w:tabs>
        <w:spacing w:line="360" w:lineRule="auto"/>
        <w:ind w:firstLine="480" w:firstLineChars="200"/>
        <w:rPr>
          <w:rFonts w:cs="宋体"/>
          <w:sz w:val="24"/>
          <w:szCs w:val="24"/>
        </w:rPr>
      </w:pPr>
      <w:r>
        <w:rPr>
          <w:rFonts w:hint="eastAsia" w:cs="宋体"/>
          <w:sz w:val="24"/>
          <w:szCs w:val="24"/>
        </w:rPr>
        <w:t>涉及安全、消防、环保等其他需要由质检或行业主管部门进行验收的项目，必须邀请相关部门或相关专家参与验收。</w:t>
      </w:r>
    </w:p>
    <w:p>
      <w:pPr>
        <w:tabs>
          <w:tab w:val="left" w:pos="2394"/>
        </w:tabs>
        <w:spacing w:line="360" w:lineRule="auto"/>
        <w:ind w:firstLine="480" w:firstLineChars="200"/>
        <w:rPr>
          <w:rFonts w:cs="宋体"/>
          <w:b/>
          <w:bCs/>
          <w:sz w:val="24"/>
          <w:szCs w:val="24"/>
          <w:u w:val="single"/>
        </w:rPr>
      </w:pPr>
      <w:r>
        <w:rPr>
          <w:rFonts w:hint="eastAsia" w:cs="宋体"/>
          <w:sz w:val="24"/>
          <w:szCs w:val="24"/>
        </w:rPr>
        <w:t>检测、验收费用均由乙方承担。</w:t>
      </w:r>
    </w:p>
    <w:p>
      <w:pPr>
        <w:tabs>
          <w:tab w:val="left" w:pos="2394"/>
        </w:tabs>
        <w:spacing w:line="360" w:lineRule="auto"/>
        <w:rPr>
          <w:rFonts w:cs="宋体"/>
          <w:sz w:val="24"/>
          <w:szCs w:val="24"/>
        </w:rPr>
      </w:pPr>
      <w:r>
        <w:rPr>
          <w:rFonts w:hint="eastAsia" w:cs="宋体"/>
          <w:b/>
          <w:bCs/>
          <w:sz w:val="24"/>
          <w:szCs w:val="24"/>
        </w:rPr>
        <w:t>第八条 </w:t>
      </w:r>
      <w:r>
        <w:rPr>
          <w:rFonts w:hint="eastAsia" w:cs="宋体"/>
          <w:sz w:val="24"/>
          <w:szCs w:val="24"/>
        </w:rPr>
        <w:t xml:space="preserve"> 对产品提出异议的时间和办法</w:t>
      </w:r>
    </w:p>
    <w:p>
      <w:pPr>
        <w:tabs>
          <w:tab w:val="left" w:pos="2394"/>
        </w:tabs>
        <w:spacing w:line="360" w:lineRule="auto"/>
        <w:ind w:firstLine="480" w:firstLineChars="200"/>
        <w:rPr>
          <w:rFonts w:cs="宋体"/>
          <w:sz w:val="24"/>
          <w:szCs w:val="24"/>
        </w:rPr>
      </w:pPr>
      <w:r>
        <w:rPr>
          <w:rFonts w:hint="eastAsia" w:cs="宋体"/>
          <w:sz w:val="24"/>
          <w:szCs w:val="24"/>
        </w:rPr>
        <w:t>1.甲方在验收中，如果发现产品不符合合同约定的，应一面妥为保管，一面在工作日内向乙方书面提出异议。具体说明产品不符合规定的内容并附相关验收材料，同时提出不符合规定产品的处理意见。乙方应当在收到书面异议后3日内根据甲方要求及时维修或重作。</w:t>
      </w:r>
    </w:p>
    <w:p>
      <w:pPr>
        <w:tabs>
          <w:tab w:val="left" w:pos="2394"/>
        </w:tabs>
        <w:spacing w:line="360" w:lineRule="auto"/>
        <w:ind w:firstLine="480" w:firstLineChars="200"/>
        <w:rPr>
          <w:rFonts w:cs="宋体"/>
          <w:sz w:val="24"/>
          <w:szCs w:val="24"/>
        </w:rPr>
      </w:pPr>
      <w:r>
        <w:rPr>
          <w:rFonts w:hint="eastAsia" w:cs="宋体"/>
          <w:sz w:val="24"/>
          <w:szCs w:val="24"/>
        </w:rPr>
        <w:t>2.甲方因使用、保管、保养不善等造成产品质量下降的，不得提出异议。</w:t>
      </w:r>
    </w:p>
    <w:p>
      <w:pPr>
        <w:tabs>
          <w:tab w:val="left" w:pos="2394"/>
        </w:tabs>
        <w:spacing w:line="360" w:lineRule="auto"/>
        <w:rPr>
          <w:rFonts w:cs="宋体"/>
          <w:sz w:val="24"/>
          <w:szCs w:val="24"/>
        </w:rPr>
      </w:pPr>
      <w:r>
        <w:rPr>
          <w:rFonts w:hint="eastAsia" w:cs="宋体"/>
          <w:b/>
          <w:bCs/>
          <w:sz w:val="24"/>
          <w:szCs w:val="24"/>
        </w:rPr>
        <w:t>第九条</w:t>
      </w:r>
      <w:r>
        <w:rPr>
          <w:rFonts w:hint="eastAsia" w:cs="宋体"/>
          <w:sz w:val="24"/>
          <w:szCs w:val="24"/>
        </w:rPr>
        <w:t xml:space="preserve">  乙方应提供完善周到的技术支持和售后服务，否则甲方在进行事实调查的基础上，视情节轻重从乙方的履约保证金中扣除部分或全部补偿甲方。</w:t>
      </w:r>
    </w:p>
    <w:p>
      <w:pPr>
        <w:tabs>
          <w:tab w:val="left" w:pos="2394"/>
        </w:tabs>
        <w:spacing w:line="360" w:lineRule="auto"/>
        <w:rPr>
          <w:rFonts w:cs="宋体"/>
          <w:sz w:val="24"/>
          <w:szCs w:val="24"/>
        </w:rPr>
      </w:pPr>
      <w:r>
        <w:rPr>
          <w:rFonts w:hint="eastAsia" w:cs="宋体"/>
          <w:sz w:val="24"/>
          <w:szCs w:val="24"/>
        </w:rPr>
        <w:t>1.保修</w:t>
      </w:r>
    </w:p>
    <w:p>
      <w:pPr>
        <w:tabs>
          <w:tab w:val="left" w:pos="2394"/>
        </w:tabs>
        <w:spacing w:line="360" w:lineRule="auto"/>
        <w:ind w:firstLine="460" w:firstLineChars="192"/>
        <w:rPr>
          <w:rFonts w:cs="宋体"/>
          <w:sz w:val="24"/>
          <w:szCs w:val="24"/>
        </w:rPr>
      </w:pPr>
      <w:r>
        <w:rPr>
          <w:rFonts w:hint="eastAsia" w:cs="宋体"/>
          <w:sz w:val="24"/>
          <w:szCs w:val="24"/>
        </w:rPr>
        <w:t>乙方对其所提供的货物（包括重做、新提供等）免费保修壹年，保修期从验收合格之日开始。乙方应在接到报修通知后1天内上门维修，负责更换有瑕疵的货物、部件或提供相应的质量保证期内的服务。由此造成的损失，乙方应赔偿甲方全部损失。</w:t>
      </w:r>
    </w:p>
    <w:p>
      <w:pPr>
        <w:tabs>
          <w:tab w:val="left" w:pos="2394"/>
        </w:tabs>
        <w:spacing w:line="360" w:lineRule="auto"/>
        <w:ind w:firstLine="460" w:firstLineChars="192"/>
        <w:rPr>
          <w:rFonts w:cs="宋体"/>
          <w:sz w:val="24"/>
          <w:szCs w:val="24"/>
        </w:rPr>
      </w:pPr>
      <w:r>
        <w:rPr>
          <w:rFonts w:hint="eastAsia" w:cs="宋体"/>
          <w:sz w:val="24"/>
          <w:szCs w:val="24"/>
        </w:rPr>
        <w:t>如果乙方在收到报修通知后2天内没有弥补缺陷，甲方可采取必要的补救措施，但费用和风险由乙方全部承担。</w:t>
      </w:r>
    </w:p>
    <w:p>
      <w:pPr>
        <w:tabs>
          <w:tab w:val="left" w:pos="2394"/>
        </w:tabs>
        <w:spacing w:line="360" w:lineRule="auto"/>
        <w:rPr>
          <w:rFonts w:cs="宋体"/>
          <w:sz w:val="24"/>
          <w:szCs w:val="24"/>
        </w:rPr>
      </w:pPr>
      <w:r>
        <w:rPr>
          <w:rFonts w:hint="eastAsia" w:cs="宋体"/>
          <w:sz w:val="24"/>
          <w:szCs w:val="24"/>
        </w:rPr>
        <w:t>2.维修</w:t>
      </w:r>
    </w:p>
    <w:p>
      <w:pPr>
        <w:tabs>
          <w:tab w:val="left" w:pos="2394"/>
        </w:tabs>
        <w:spacing w:line="360" w:lineRule="auto"/>
        <w:ind w:firstLine="525"/>
        <w:rPr>
          <w:rFonts w:cs="宋体"/>
          <w:sz w:val="24"/>
          <w:szCs w:val="24"/>
        </w:rPr>
      </w:pPr>
      <w:r>
        <w:rPr>
          <w:rFonts w:hint="eastAsia" w:cs="宋体"/>
          <w:sz w:val="24"/>
          <w:szCs w:val="24"/>
        </w:rPr>
        <w:t>保修期届满后，乙方应对其提供的货物负有及时维修义务，但所涉及的费用由甲方承担。</w:t>
      </w:r>
    </w:p>
    <w:p>
      <w:pPr>
        <w:tabs>
          <w:tab w:val="left" w:pos="2394"/>
        </w:tabs>
        <w:spacing w:line="360" w:lineRule="auto"/>
        <w:rPr>
          <w:rFonts w:cs="宋体"/>
          <w:sz w:val="24"/>
          <w:szCs w:val="24"/>
        </w:rPr>
      </w:pPr>
      <w:r>
        <w:rPr>
          <w:rFonts w:hint="eastAsia" w:cs="宋体"/>
          <w:b/>
          <w:bCs/>
          <w:sz w:val="24"/>
          <w:szCs w:val="24"/>
        </w:rPr>
        <w:t>第十条</w:t>
      </w:r>
      <w:r>
        <w:rPr>
          <w:rFonts w:hint="eastAsia" w:cs="宋体"/>
          <w:sz w:val="24"/>
          <w:szCs w:val="24"/>
        </w:rPr>
        <w:t>  乙方的违约责任</w:t>
      </w:r>
    </w:p>
    <w:p>
      <w:pPr>
        <w:tabs>
          <w:tab w:val="left" w:pos="2394"/>
        </w:tabs>
        <w:spacing w:line="360" w:lineRule="auto"/>
        <w:ind w:firstLine="480" w:firstLineChars="200"/>
        <w:rPr>
          <w:rFonts w:cs="宋体"/>
          <w:sz w:val="24"/>
          <w:szCs w:val="24"/>
        </w:rPr>
      </w:pPr>
      <w:r>
        <w:rPr>
          <w:rFonts w:hint="eastAsia" w:cs="宋体"/>
          <w:sz w:val="24"/>
          <w:szCs w:val="24"/>
        </w:rPr>
        <w:t>1.乙方不能按合同约定时间供货（含原有道具搬迁等）并完成安装的，应向甲方偿付不能该部分货款的</w:t>
      </w:r>
      <w:r>
        <w:rPr>
          <w:rFonts w:hint="eastAsia" w:cs="宋体"/>
          <w:sz w:val="24"/>
          <w:szCs w:val="24"/>
          <w:u w:val="single"/>
        </w:rPr>
        <w:t>5%</w:t>
      </w:r>
      <w:r>
        <w:rPr>
          <w:rFonts w:hint="eastAsia" w:cs="宋体"/>
          <w:sz w:val="24"/>
          <w:szCs w:val="24"/>
        </w:rPr>
        <w:t>的违约金。乙方逾期5天的，甲方有权解除合同，且履约保证金全部不予退回，影响甲方项目进度造成甲方损失的，乙方还应赔偿甲方全部损失。</w:t>
      </w:r>
    </w:p>
    <w:p>
      <w:pPr>
        <w:tabs>
          <w:tab w:val="left" w:pos="2394"/>
        </w:tabs>
        <w:spacing w:line="360" w:lineRule="auto"/>
        <w:ind w:firstLine="480" w:firstLineChars="200"/>
        <w:rPr>
          <w:rFonts w:cs="宋体"/>
          <w:sz w:val="24"/>
          <w:szCs w:val="24"/>
        </w:rPr>
      </w:pPr>
      <w:r>
        <w:rPr>
          <w:rFonts w:hint="eastAsia" w:cs="宋体"/>
          <w:sz w:val="24"/>
          <w:szCs w:val="24"/>
        </w:rPr>
        <w:t>2.乙方所交产品不符合合同规定的，应根据产品的具体情况，由乙方负责包换或包修，并承担修理、调换或退货而支付的实际费用，同时，乙方应按规定，对更换件相应延长质量保证期，并赔偿甲方全部损失。乙方不能修理或者不能调换的，按不能按合同约定时间供货（含原有道具搬迁等）并完成安装处理。</w:t>
      </w:r>
    </w:p>
    <w:p>
      <w:pPr>
        <w:tabs>
          <w:tab w:val="left" w:pos="2394"/>
        </w:tabs>
        <w:spacing w:line="360" w:lineRule="auto"/>
        <w:ind w:firstLine="480" w:firstLineChars="200"/>
        <w:rPr>
          <w:rFonts w:cs="宋体"/>
          <w:sz w:val="24"/>
          <w:szCs w:val="24"/>
        </w:rPr>
      </w:pPr>
      <w:r>
        <w:rPr>
          <w:rFonts w:hint="eastAsia" w:cs="宋体"/>
          <w:sz w:val="24"/>
          <w:szCs w:val="24"/>
        </w:rPr>
        <w:t>3.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tabs>
          <w:tab w:val="left" w:pos="2394"/>
        </w:tabs>
        <w:spacing w:line="360" w:lineRule="auto"/>
        <w:ind w:firstLine="480" w:firstLineChars="200"/>
        <w:rPr>
          <w:rFonts w:cs="宋体"/>
          <w:sz w:val="24"/>
          <w:szCs w:val="24"/>
        </w:rPr>
      </w:pPr>
      <w:r>
        <w:rPr>
          <w:rFonts w:hint="eastAsia" w:cs="宋体"/>
          <w:sz w:val="24"/>
          <w:szCs w:val="24"/>
        </w:rPr>
        <w:t>4.乙方对原有道具搬迁过程中造成原有道具损坏的，应免费提供新道具替代，并按原有道具货款的5%向甲方支付违约金。</w:t>
      </w:r>
    </w:p>
    <w:p>
      <w:pPr>
        <w:tabs>
          <w:tab w:val="left" w:pos="2394"/>
        </w:tabs>
        <w:spacing w:line="360" w:lineRule="auto"/>
        <w:ind w:firstLine="480" w:firstLineChars="200"/>
        <w:rPr>
          <w:rFonts w:cs="宋体"/>
          <w:sz w:val="24"/>
          <w:szCs w:val="24"/>
        </w:rPr>
      </w:pPr>
      <w:r>
        <w:rPr>
          <w:rFonts w:hint="eastAsia" w:cs="宋体"/>
          <w:sz w:val="24"/>
          <w:szCs w:val="24"/>
        </w:rPr>
        <w:t>5.乙方提前交货的产品、多交的产品和不符合合同规定的产品，甲方在代保管期内实际支付的保管、保养等费用以及非因甲方保管不善而发生的损失，应当由乙方承担。</w:t>
      </w:r>
    </w:p>
    <w:p>
      <w:pPr>
        <w:tabs>
          <w:tab w:val="left" w:pos="2394"/>
        </w:tabs>
        <w:spacing w:line="360" w:lineRule="auto"/>
        <w:ind w:firstLine="480" w:firstLineChars="200"/>
        <w:rPr>
          <w:rFonts w:cs="宋体"/>
          <w:sz w:val="24"/>
          <w:szCs w:val="24"/>
        </w:rPr>
      </w:pPr>
      <w:r>
        <w:rPr>
          <w:rFonts w:hint="eastAsia" w:cs="宋体"/>
          <w:sz w:val="24"/>
          <w:szCs w:val="24"/>
        </w:rPr>
        <w:t>6.乙方应对其所提供的货物承担所有责任，并应保证甲方在中华人民共和国内使用该货物时不侵犯第三人的知识产权。否则乙方应承担由此引起的一切法律责任及费用。</w:t>
      </w:r>
    </w:p>
    <w:p>
      <w:pPr>
        <w:tabs>
          <w:tab w:val="left" w:pos="2394"/>
        </w:tabs>
        <w:spacing w:line="360" w:lineRule="auto"/>
        <w:ind w:firstLine="480" w:firstLineChars="200"/>
        <w:rPr>
          <w:rFonts w:cs="宋体"/>
          <w:sz w:val="24"/>
          <w:szCs w:val="24"/>
        </w:rPr>
      </w:pPr>
      <w:r>
        <w:rPr>
          <w:rFonts w:hint="eastAsia" w:cs="宋体"/>
          <w:sz w:val="24"/>
          <w:szCs w:val="24"/>
        </w:rPr>
        <w:t>7.乙方拆卸、运输、安装道具过程中应履行安全义务，如造成任何人员或财产损害的，由乙方负责处理并承担全部责任，造成甲方损失的还应赔偿甲方全部损失。</w:t>
      </w:r>
    </w:p>
    <w:p>
      <w:pPr>
        <w:tabs>
          <w:tab w:val="left" w:pos="2394"/>
        </w:tabs>
        <w:spacing w:line="360" w:lineRule="auto"/>
        <w:rPr>
          <w:rFonts w:cs="宋体"/>
          <w:sz w:val="24"/>
          <w:szCs w:val="24"/>
        </w:rPr>
      </w:pPr>
      <w:r>
        <w:rPr>
          <w:rFonts w:hint="eastAsia" w:cs="宋体"/>
          <w:b/>
          <w:bCs/>
          <w:sz w:val="24"/>
          <w:szCs w:val="24"/>
        </w:rPr>
        <w:t xml:space="preserve">第十一条  </w:t>
      </w:r>
      <w:r>
        <w:rPr>
          <w:rFonts w:hint="eastAsia" w:cs="宋体"/>
          <w:sz w:val="24"/>
          <w:szCs w:val="24"/>
        </w:rPr>
        <w:t>甲方的违约责任</w:t>
      </w:r>
    </w:p>
    <w:p>
      <w:pPr>
        <w:tabs>
          <w:tab w:val="left" w:pos="2394"/>
        </w:tabs>
        <w:spacing w:line="360" w:lineRule="auto"/>
        <w:ind w:firstLine="480" w:firstLineChars="200"/>
        <w:rPr>
          <w:rFonts w:cs="宋体"/>
          <w:sz w:val="24"/>
          <w:szCs w:val="24"/>
        </w:rPr>
      </w:pPr>
      <w:r>
        <w:rPr>
          <w:rFonts w:hint="eastAsia" w:cs="宋体"/>
          <w:sz w:val="24"/>
          <w:szCs w:val="24"/>
        </w:rPr>
        <w:t>1.甲方无故退货，应向乙方偿付退货部分货款</w:t>
      </w:r>
      <w:r>
        <w:rPr>
          <w:rFonts w:hint="eastAsia" w:cs="宋体"/>
          <w:sz w:val="24"/>
          <w:szCs w:val="24"/>
          <w:u w:val="single"/>
        </w:rPr>
        <w:t>5</w:t>
      </w:r>
      <w:r>
        <w:rPr>
          <w:rFonts w:hint="eastAsia" w:cs="宋体"/>
          <w:sz w:val="24"/>
          <w:szCs w:val="24"/>
        </w:rPr>
        <w:t>%的违约金。</w:t>
      </w:r>
    </w:p>
    <w:p>
      <w:pPr>
        <w:tabs>
          <w:tab w:val="left" w:pos="2394"/>
        </w:tabs>
        <w:spacing w:line="360" w:lineRule="auto"/>
        <w:ind w:firstLine="480" w:firstLineChars="200"/>
        <w:rPr>
          <w:rFonts w:cs="宋体"/>
          <w:sz w:val="24"/>
          <w:szCs w:val="24"/>
        </w:rPr>
      </w:pPr>
      <w:r>
        <w:rPr>
          <w:rFonts w:hint="eastAsia" w:cs="宋体"/>
          <w:sz w:val="24"/>
          <w:szCs w:val="24"/>
        </w:rPr>
        <w:t>2.甲方违反合同规定拒绝接货的，应当承担由此造成的损失。</w:t>
      </w:r>
    </w:p>
    <w:p>
      <w:pPr>
        <w:tabs>
          <w:tab w:val="left" w:pos="2394"/>
        </w:tabs>
        <w:spacing w:line="360" w:lineRule="auto"/>
        <w:rPr>
          <w:rFonts w:cs="宋体"/>
          <w:b/>
          <w:sz w:val="24"/>
          <w:szCs w:val="24"/>
        </w:rPr>
      </w:pPr>
      <w:r>
        <w:rPr>
          <w:rFonts w:hint="eastAsia" w:cs="宋体"/>
          <w:b/>
          <w:bCs/>
          <w:sz w:val="24"/>
          <w:szCs w:val="24"/>
        </w:rPr>
        <w:t xml:space="preserve">第十二条  </w:t>
      </w:r>
      <w:r>
        <w:rPr>
          <w:rFonts w:hint="eastAsia" w:cs="宋体"/>
          <w:sz w:val="24"/>
          <w:szCs w:val="24"/>
        </w:rPr>
        <w:t>不可抗力</w:t>
      </w:r>
    </w:p>
    <w:p>
      <w:pPr>
        <w:tabs>
          <w:tab w:val="left" w:pos="2394"/>
        </w:tabs>
        <w:spacing w:line="360" w:lineRule="auto"/>
        <w:ind w:firstLine="480" w:firstLineChars="200"/>
        <w:rPr>
          <w:rFonts w:cs="宋体"/>
          <w:sz w:val="24"/>
          <w:szCs w:val="24"/>
        </w:rPr>
      </w:pPr>
      <w:r>
        <w:rPr>
          <w:rFonts w:hint="eastAsia" w:cs="宋体"/>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tabs>
          <w:tab w:val="left" w:pos="2394"/>
        </w:tabs>
        <w:spacing w:line="360" w:lineRule="auto"/>
        <w:ind w:firstLine="480" w:firstLineChars="200"/>
        <w:rPr>
          <w:rFonts w:cs="宋体"/>
          <w:sz w:val="24"/>
          <w:szCs w:val="24"/>
        </w:rPr>
      </w:pPr>
      <w:r>
        <w:rPr>
          <w:rFonts w:hint="eastAsia" w:cs="宋体"/>
          <w:sz w:val="24"/>
          <w:szCs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tabs>
          <w:tab w:val="left" w:pos="2394"/>
        </w:tabs>
        <w:spacing w:line="360" w:lineRule="auto"/>
        <w:rPr>
          <w:rFonts w:cs="宋体"/>
          <w:b/>
          <w:bCs/>
          <w:sz w:val="24"/>
          <w:szCs w:val="24"/>
        </w:rPr>
      </w:pPr>
      <w:r>
        <w:rPr>
          <w:rFonts w:hint="eastAsia" w:cs="宋体"/>
          <w:b/>
          <w:bCs/>
          <w:sz w:val="24"/>
          <w:szCs w:val="24"/>
        </w:rPr>
        <w:t xml:space="preserve">第十三条  </w:t>
      </w:r>
      <w:r>
        <w:rPr>
          <w:rFonts w:hint="eastAsia" w:cs="宋体"/>
          <w:sz w:val="24"/>
          <w:szCs w:val="24"/>
        </w:rPr>
        <w:t>履约保证金</w:t>
      </w:r>
    </w:p>
    <w:p>
      <w:pPr>
        <w:tabs>
          <w:tab w:val="left" w:pos="2394"/>
        </w:tabs>
        <w:spacing w:line="360" w:lineRule="auto"/>
        <w:ind w:firstLine="480" w:firstLineChars="200"/>
        <w:rPr>
          <w:rFonts w:cs="宋体"/>
          <w:sz w:val="24"/>
          <w:szCs w:val="24"/>
        </w:rPr>
      </w:pPr>
      <w:r>
        <w:rPr>
          <w:rFonts w:hint="eastAsia" w:cs="宋体"/>
          <w:sz w:val="24"/>
          <w:szCs w:val="24"/>
        </w:rPr>
        <w:t>1.本项目履约保证金为贰万元(人民币)，乙方应当在本合同签订之日起三日内向甲方缴纳，收受人为合肥百货大楼集团股份有限公司滨湖心悦城购物中心，期限至该项目</w:t>
      </w:r>
      <w:r>
        <w:rPr>
          <w:rFonts w:cs="宋体"/>
          <w:sz w:val="24"/>
          <w:szCs w:val="24"/>
        </w:rPr>
        <w:t>竣工验收合格</w:t>
      </w:r>
      <w:r>
        <w:rPr>
          <w:rFonts w:hint="eastAsia" w:cs="宋体"/>
          <w:sz w:val="24"/>
          <w:szCs w:val="24"/>
        </w:rPr>
        <w:t>之日。</w:t>
      </w:r>
    </w:p>
    <w:p>
      <w:pPr>
        <w:tabs>
          <w:tab w:val="left" w:pos="2394"/>
        </w:tabs>
        <w:spacing w:line="360" w:lineRule="auto"/>
        <w:ind w:firstLine="480" w:firstLineChars="200"/>
        <w:rPr>
          <w:rFonts w:cs="宋体"/>
          <w:sz w:val="24"/>
          <w:szCs w:val="24"/>
        </w:rPr>
      </w:pPr>
      <w:r>
        <w:rPr>
          <w:rFonts w:hint="eastAsia" w:cs="宋体"/>
          <w:sz w:val="24"/>
          <w:szCs w:val="24"/>
        </w:rPr>
        <w:t>2.乙方提供的履约保证金按规定格式以银行保函形式提供的，与此有关的费用由乙方承担。应为不可撤销、不可转让的见索即付独立保函。</w:t>
      </w:r>
    </w:p>
    <w:p>
      <w:pPr>
        <w:tabs>
          <w:tab w:val="left" w:pos="2394"/>
        </w:tabs>
        <w:spacing w:line="360" w:lineRule="auto"/>
        <w:ind w:firstLine="480" w:firstLineChars="200"/>
        <w:rPr>
          <w:rFonts w:cs="宋体"/>
          <w:sz w:val="24"/>
          <w:szCs w:val="24"/>
        </w:rPr>
      </w:pPr>
      <w:r>
        <w:rPr>
          <w:rFonts w:hint="eastAsia" w:cs="宋体"/>
          <w:sz w:val="24"/>
          <w:szCs w:val="24"/>
        </w:rPr>
        <w:t>3.如乙方未能履行其合同规定的任何义务，甲方有权从履约保证金中取得补偿。</w:t>
      </w:r>
    </w:p>
    <w:p>
      <w:pPr>
        <w:tabs>
          <w:tab w:val="left" w:pos="2394"/>
        </w:tabs>
        <w:spacing w:line="360" w:lineRule="auto"/>
        <w:rPr>
          <w:rFonts w:cs="宋体"/>
          <w:b/>
          <w:sz w:val="24"/>
          <w:szCs w:val="24"/>
        </w:rPr>
      </w:pPr>
      <w:r>
        <w:rPr>
          <w:rFonts w:hint="eastAsia" w:cs="宋体"/>
          <w:b/>
          <w:bCs/>
          <w:sz w:val="24"/>
          <w:szCs w:val="24"/>
        </w:rPr>
        <w:t xml:space="preserve">第十四条  </w:t>
      </w:r>
      <w:r>
        <w:rPr>
          <w:rFonts w:hint="eastAsia" w:cs="宋体"/>
          <w:bCs/>
          <w:sz w:val="24"/>
          <w:szCs w:val="24"/>
        </w:rPr>
        <w:t>转让与分包</w:t>
      </w:r>
    </w:p>
    <w:p>
      <w:pPr>
        <w:tabs>
          <w:tab w:val="left" w:pos="2394"/>
        </w:tabs>
        <w:spacing w:line="360" w:lineRule="auto"/>
        <w:ind w:firstLine="480" w:firstLineChars="200"/>
        <w:rPr>
          <w:rFonts w:cs="宋体"/>
          <w:sz w:val="24"/>
          <w:szCs w:val="24"/>
        </w:rPr>
      </w:pPr>
      <w:r>
        <w:rPr>
          <w:rFonts w:hint="eastAsia" w:cs="宋体"/>
          <w:sz w:val="24"/>
          <w:szCs w:val="24"/>
        </w:rPr>
        <w:t>1.乙方不得部分转让或全部转让其应履行的合同义务。</w:t>
      </w:r>
    </w:p>
    <w:p>
      <w:pPr>
        <w:tabs>
          <w:tab w:val="left" w:pos="2394"/>
        </w:tabs>
        <w:spacing w:line="360" w:lineRule="auto"/>
        <w:ind w:firstLine="480" w:firstLineChars="200"/>
        <w:rPr>
          <w:rFonts w:cs="宋体"/>
          <w:sz w:val="24"/>
          <w:szCs w:val="24"/>
        </w:rPr>
      </w:pPr>
      <w:r>
        <w:rPr>
          <w:rFonts w:hint="eastAsia" w:cs="宋体"/>
          <w:sz w:val="24"/>
          <w:szCs w:val="24"/>
        </w:rPr>
        <w:t>2.乙方应在谈判文件中或以其他书面形式对甲方确认本合同项下所授予的所有分包合同。但该确认不解除乙方承担的本合同下的任何责任或义务。意即在本合同项下，乙方对甲方负总责。</w:t>
      </w:r>
    </w:p>
    <w:p>
      <w:pPr>
        <w:tabs>
          <w:tab w:val="left" w:pos="2394"/>
        </w:tabs>
        <w:spacing w:line="360" w:lineRule="auto"/>
        <w:rPr>
          <w:rFonts w:cs="宋体"/>
          <w:b/>
          <w:sz w:val="24"/>
          <w:szCs w:val="24"/>
        </w:rPr>
      </w:pPr>
      <w:r>
        <w:rPr>
          <w:rFonts w:hint="eastAsia" w:cs="宋体"/>
          <w:b/>
          <w:bCs/>
          <w:sz w:val="24"/>
          <w:szCs w:val="24"/>
        </w:rPr>
        <w:t xml:space="preserve">第十五条  </w:t>
      </w:r>
      <w:r>
        <w:rPr>
          <w:rFonts w:hint="eastAsia" w:cs="宋体"/>
          <w:bCs/>
          <w:sz w:val="24"/>
          <w:szCs w:val="24"/>
        </w:rPr>
        <w:t>合同文件及资料的使用</w:t>
      </w:r>
    </w:p>
    <w:p>
      <w:pPr>
        <w:tabs>
          <w:tab w:val="left" w:pos="2394"/>
        </w:tabs>
        <w:spacing w:line="360" w:lineRule="auto"/>
        <w:ind w:firstLine="480" w:firstLineChars="200"/>
        <w:rPr>
          <w:rFonts w:cs="宋体"/>
          <w:sz w:val="24"/>
          <w:szCs w:val="24"/>
        </w:rPr>
      </w:pPr>
      <w:r>
        <w:rPr>
          <w:rFonts w:hint="eastAsia" w:cs="宋体"/>
          <w:sz w:val="24"/>
          <w:szCs w:val="24"/>
        </w:rPr>
        <w:t>1.乙方在未经甲方同意的情况下，不得将合同、合同中的规定、有关计划、图纸、样本或甲方为上述内容向乙方提供的资料透露给任何人。</w:t>
      </w:r>
    </w:p>
    <w:p>
      <w:pPr>
        <w:tabs>
          <w:tab w:val="left" w:pos="2394"/>
        </w:tabs>
        <w:spacing w:line="360" w:lineRule="auto"/>
        <w:ind w:firstLine="480" w:firstLineChars="200"/>
        <w:rPr>
          <w:rFonts w:cs="宋体"/>
          <w:sz w:val="24"/>
          <w:szCs w:val="24"/>
        </w:rPr>
      </w:pPr>
      <w:r>
        <w:rPr>
          <w:rFonts w:hint="eastAsia" w:cs="宋体"/>
          <w:sz w:val="24"/>
          <w:szCs w:val="24"/>
        </w:rPr>
        <w:t>2.除非执行合同需要，在事先未得到甲方同意的情况下，乙方不得使用前款所列的任何文件和资料。</w:t>
      </w:r>
    </w:p>
    <w:p>
      <w:pPr>
        <w:tabs>
          <w:tab w:val="left" w:pos="2394"/>
        </w:tabs>
        <w:spacing w:line="360" w:lineRule="auto"/>
        <w:rPr>
          <w:rFonts w:cs="宋体"/>
          <w:sz w:val="24"/>
          <w:szCs w:val="24"/>
        </w:rPr>
      </w:pPr>
      <w:r>
        <w:rPr>
          <w:rFonts w:hint="eastAsia" w:cs="宋体"/>
          <w:b/>
          <w:bCs/>
          <w:sz w:val="24"/>
          <w:szCs w:val="24"/>
        </w:rPr>
        <w:t>第十六条 </w:t>
      </w:r>
      <w:r>
        <w:rPr>
          <w:rFonts w:hint="eastAsia" w:cs="宋体"/>
          <w:sz w:val="24"/>
          <w:szCs w:val="24"/>
        </w:rPr>
        <w:t xml:space="preserve"> 其他</w:t>
      </w:r>
    </w:p>
    <w:p>
      <w:pPr>
        <w:tabs>
          <w:tab w:val="left" w:pos="2394"/>
        </w:tabs>
        <w:spacing w:line="360" w:lineRule="auto"/>
        <w:ind w:firstLine="480" w:firstLineChars="200"/>
        <w:rPr>
          <w:rFonts w:cs="宋体"/>
          <w:sz w:val="24"/>
          <w:szCs w:val="24"/>
        </w:rPr>
      </w:pPr>
      <w:r>
        <w:rPr>
          <w:rFonts w:hint="eastAsia" w:cs="宋体"/>
          <w:sz w:val="24"/>
          <w:szCs w:val="24"/>
        </w:rPr>
        <w:t>1.按本合同规定应该偿付的违约金、赔偿金、保管保养费和各种经济损失，应当在明确责任后10天内，按银行规定的结算办法付清，否则按逾期付款处理。但任何一方不得自行扣发货物来充抵。</w:t>
      </w:r>
    </w:p>
    <w:p>
      <w:pPr>
        <w:tabs>
          <w:tab w:val="left" w:pos="2394"/>
        </w:tabs>
        <w:spacing w:line="360" w:lineRule="auto"/>
        <w:ind w:firstLine="480" w:firstLineChars="200"/>
        <w:rPr>
          <w:rFonts w:cs="宋体"/>
          <w:sz w:val="24"/>
          <w:szCs w:val="24"/>
        </w:rPr>
      </w:pPr>
      <w:r>
        <w:rPr>
          <w:rFonts w:hint="eastAsia" w:cs="宋体"/>
          <w:sz w:val="24"/>
          <w:szCs w:val="24"/>
        </w:rPr>
        <w:t>2.本合同如发生纠纷，当事人双方应当及时协商解决，协商不成时，按以下第（ ②）项方式处理：①根据《中华人民共和国仲裁法》的规定向</w:t>
      </w:r>
      <w:r>
        <w:rPr>
          <w:rFonts w:hint="eastAsia" w:cs="宋体"/>
          <w:sz w:val="24"/>
          <w:szCs w:val="24"/>
          <w:u w:val="single"/>
        </w:rPr>
        <w:t>合肥仲裁委员会</w:t>
      </w:r>
      <w:r>
        <w:rPr>
          <w:rFonts w:hint="eastAsia" w:cs="宋体"/>
          <w:sz w:val="24"/>
          <w:szCs w:val="24"/>
        </w:rPr>
        <w:t>申请仲裁。②向甲方所在地人民法院起诉。</w:t>
      </w:r>
    </w:p>
    <w:p>
      <w:pPr>
        <w:tabs>
          <w:tab w:val="left" w:pos="2394"/>
        </w:tabs>
        <w:spacing w:line="360" w:lineRule="auto"/>
        <w:rPr>
          <w:rFonts w:cs="宋体"/>
          <w:sz w:val="24"/>
          <w:szCs w:val="24"/>
        </w:rPr>
      </w:pPr>
      <w:r>
        <w:rPr>
          <w:rFonts w:hint="eastAsia" w:cs="宋体"/>
          <w:b/>
          <w:bCs/>
          <w:sz w:val="24"/>
          <w:szCs w:val="24"/>
        </w:rPr>
        <w:t xml:space="preserve">第十七条  </w:t>
      </w:r>
      <w:r>
        <w:rPr>
          <w:rFonts w:hint="eastAsia" w:cs="宋体"/>
          <w:sz w:val="24"/>
          <w:szCs w:val="24"/>
        </w:rPr>
        <w:t>下列关于安徽公共资源交易集团项目管理有限公司的谈判文件及有关附件是本合同不可分割的组成部分，与本合同具有同等法律效力，这些文件包括但不限于：①谈判文件；②乙方提供的投标文件；③投标函；④甲乙双方商定的其他文件。以上附件顺序在前的具有优先解释权。</w:t>
      </w:r>
    </w:p>
    <w:p>
      <w:pPr>
        <w:tabs>
          <w:tab w:val="left" w:pos="2394"/>
        </w:tabs>
        <w:spacing w:line="360" w:lineRule="auto"/>
        <w:ind w:firstLine="480"/>
        <w:rPr>
          <w:rFonts w:cs="宋体"/>
          <w:sz w:val="24"/>
          <w:szCs w:val="24"/>
        </w:rPr>
      </w:pPr>
      <w:r>
        <w:rPr>
          <w:rFonts w:hint="eastAsia" w:cs="宋体"/>
          <w:sz w:val="24"/>
          <w:szCs w:val="24"/>
        </w:rPr>
        <w:t>本合同一式份，甲乙双方各执份，安徽公共资源交易集团项目管理有限公司留存</w:t>
      </w:r>
      <w:r>
        <w:rPr>
          <w:rFonts w:hint="eastAsia" w:cs="宋体"/>
          <w:sz w:val="24"/>
          <w:szCs w:val="24"/>
          <w:u w:val="single"/>
        </w:rPr>
        <w:t>壹</w:t>
      </w:r>
      <w:r>
        <w:rPr>
          <w:rFonts w:hint="eastAsia" w:cs="宋体"/>
          <w:sz w:val="24"/>
          <w:szCs w:val="24"/>
        </w:rPr>
        <w:t>份，自双方当事人签字并盖章之日起生效。</w:t>
      </w:r>
    </w:p>
    <w:p>
      <w:pPr>
        <w:tabs>
          <w:tab w:val="left" w:pos="2394"/>
        </w:tabs>
        <w:spacing w:line="360" w:lineRule="auto"/>
        <w:ind w:firstLine="480" w:firstLineChars="200"/>
        <w:rPr>
          <w:rFonts w:cs="宋体"/>
          <w:sz w:val="24"/>
          <w:szCs w:val="24"/>
        </w:rPr>
      </w:pPr>
      <w:r>
        <w:rPr>
          <w:rFonts w:hint="eastAsia" w:cs="宋体"/>
          <w:sz w:val="24"/>
          <w:szCs w:val="24"/>
        </w:rPr>
        <w:t>本合同合计页A4纸张，缺页之合同为无效合同。</w:t>
      </w:r>
    </w:p>
    <w:p>
      <w:pPr>
        <w:tabs>
          <w:tab w:val="left" w:pos="2394"/>
        </w:tabs>
        <w:spacing w:line="360" w:lineRule="auto"/>
        <w:rPr>
          <w:rFonts w:cs="宋体"/>
          <w:sz w:val="24"/>
          <w:szCs w:val="24"/>
        </w:rPr>
      </w:pPr>
      <w:r>
        <w:rPr>
          <w:rFonts w:hint="eastAsia" w:cs="宋体"/>
          <w:sz w:val="24"/>
          <w:szCs w:val="24"/>
        </w:rPr>
        <w:t xml:space="preserve">招标人（甲方）：    （公章）         投标人（乙方）：     （公章）  </w:t>
      </w:r>
    </w:p>
    <w:p>
      <w:pPr>
        <w:tabs>
          <w:tab w:val="left" w:pos="2394"/>
        </w:tabs>
        <w:spacing w:line="360" w:lineRule="auto"/>
        <w:rPr>
          <w:rFonts w:cs="宋体"/>
          <w:sz w:val="24"/>
          <w:szCs w:val="24"/>
        </w:rPr>
      </w:pPr>
      <w:r>
        <w:rPr>
          <w:rFonts w:hint="eastAsia" w:cs="宋体"/>
          <w:sz w:val="24"/>
          <w:szCs w:val="24"/>
        </w:rPr>
        <w:t>地址：                               地址：</w:t>
      </w:r>
    </w:p>
    <w:p>
      <w:pPr>
        <w:tabs>
          <w:tab w:val="left" w:pos="2394"/>
        </w:tabs>
        <w:spacing w:line="360" w:lineRule="auto"/>
        <w:rPr>
          <w:rFonts w:cs="宋体"/>
          <w:sz w:val="24"/>
          <w:szCs w:val="24"/>
        </w:rPr>
      </w:pPr>
      <w:r>
        <w:rPr>
          <w:rFonts w:hint="eastAsia" w:cs="宋体"/>
          <w:sz w:val="24"/>
          <w:szCs w:val="24"/>
        </w:rPr>
        <w:t>法定代表人：                         法定代表人：</w:t>
      </w:r>
    </w:p>
    <w:p>
      <w:pPr>
        <w:tabs>
          <w:tab w:val="left" w:pos="2394"/>
        </w:tabs>
        <w:spacing w:line="360" w:lineRule="auto"/>
        <w:rPr>
          <w:rFonts w:cs="宋体"/>
          <w:sz w:val="24"/>
          <w:szCs w:val="24"/>
          <w:u w:val="single"/>
        </w:rPr>
      </w:pPr>
      <w:r>
        <w:rPr>
          <w:rFonts w:hint="eastAsia" w:cs="宋体"/>
          <w:sz w:val="24"/>
          <w:szCs w:val="24"/>
        </w:rPr>
        <w:t>委托代理人：                         委托代理人：</w:t>
      </w:r>
    </w:p>
    <w:p>
      <w:pPr>
        <w:tabs>
          <w:tab w:val="left" w:pos="2394"/>
        </w:tabs>
        <w:spacing w:line="360" w:lineRule="auto"/>
        <w:rPr>
          <w:rFonts w:cs="宋体"/>
          <w:sz w:val="24"/>
          <w:szCs w:val="24"/>
        </w:rPr>
      </w:pPr>
      <w:r>
        <w:rPr>
          <w:rFonts w:hint="eastAsia" w:cs="宋体"/>
          <w:sz w:val="24"/>
          <w:szCs w:val="24"/>
        </w:rPr>
        <w:t>电话：                               电话：</w:t>
      </w:r>
    </w:p>
    <w:p>
      <w:pPr>
        <w:tabs>
          <w:tab w:val="left" w:pos="2394"/>
        </w:tabs>
        <w:spacing w:line="360" w:lineRule="auto"/>
        <w:rPr>
          <w:rFonts w:cs="宋体"/>
          <w:sz w:val="24"/>
          <w:szCs w:val="24"/>
        </w:rPr>
      </w:pPr>
      <w:r>
        <w:rPr>
          <w:rFonts w:hint="eastAsia" w:cs="宋体"/>
          <w:sz w:val="24"/>
          <w:szCs w:val="24"/>
        </w:rPr>
        <w:t>开户银行：                           开户银行：</w:t>
      </w:r>
    </w:p>
    <w:p>
      <w:pPr>
        <w:tabs>
          <w:tab w:val="left" w:pos="2394"/>
        </w:tabs>
        <w:spacing w:line="360" w:lineRule="auto"/>
        <w:rPr>
          <w:rFonts w:cs="宋体"/>
          <w:sz w:val="24"/>
          <w:szCs w:val="24"/>
        </w:rPr>
      </w:pPr>
      <w:r>
        <w:rPr>
          <w:rFonts w:hint="eastAsia" w:cs="宋体"/>
          <w:sz w:val="24"/>
          <w:szCs w:val="24"/>
        </w:rPr>
        <w:t>账号：                               账号：</w:t>
      </w:r>
    </w:p>
    <w:p>
      <w:pPr>
        <w:spacing w:line="360" w:lineRule="auto"/>
        <w:rPr>
          <w:rFonts w:cs="宋体"/>
          <w:sz w:val="24"/>
          <w:szCs w:val="24"/>
        </w:rPr>
      </w:pPr>
      <w:r>
        <w:rPr>
          <w:rFonts w:hint="eastAsia" w:cs="宋体"/>
          <w:sz w:val="24"/>
          <w:szCs w:val="24"/>
        </w:rPr>
        <w:t>年</w:t>
      </w:r>
      <w:r>
        <w:rPr>
          <w:rFonts w:hint="eastAsia" w:cs="宋体"/>
          <w:sz w:val="24"/>
          <w:szCs w:val="24"/>
          <w:u w:val="single"/>
        </w:rPr>
        <w:t xml:space="preserve">    </w:t>
      </w:r>
      <w:r>
        <w:rPr>
          <w:rFonts w:hint="eastAsia" w:cs="宋体"/>
          <w:sz w:val="24"/>
          <w:szCs w:val="24"/>
        </w:rPr>
        <w:t>月</w:t>
      </w:r>
      <w:r>
        <w:rPr>
          <w:rFonts w:hint="eastAsia" w:cs="宋体"/>
          <w:sz w:val="24"/>
          <w:szCs w:val="24"/>
          <w:u w:val="single"/>
        </w:rPr>
        <w:t xml:space="preserve">    </w:t>
      </w:r>
      <w:r>
        <w:rPr>
          <w:rFonts w:hint="eastAsia" w:cs="宋体"/>
          <w:sz w:val="24"/>
          <w:szCs w:val="24"/>
        </w:rPr>
        <w:t xml:space="preserve">日               </w:t>
      </w:r>
      <w:r>
        <w:rPr>
          <w:rFonts w:hint="eastAsia" w:cs="宋体"/>
          <w:sz w:val="24"/>
          <w:szCs w:val="24"/>
          <w:u w:val="single"/>
        </w:rPr>
        <w:t xml:space="preserve">  </w:t>
      </w:r>
      <w:r>
        <w:rPr>
          <w:rFonts w:hint="eastAsia" w:cs="宋体"/>
          <w:sz w:val="24"/>
          <w:szCs w:val="24"/>
        </w:rPr>
        <w:t>年</w:t>
      </w:r>
      <w:r>
        <w:rPr>
          <w:rFonts w:hint="eastAsia" w:cs="宋体"/>
          <w:sz w:val="24"/>
          <w:szCs w:val="24"/>
          <w:u w:val="single"/>
        </w:rPr>
        <w:t xml:space="preserve">    </w:t>
      </w:r>
      <w:r>
        <w:rPr>
          <w:rFonts w:hint="eastAsia" w:cs="宋体"/>
          <w:sz w:val="24"/>
          <w:szCs w:val="24"/>
        </w:rPr>
        <w:t>月</w:t>
      </w:r>
      <w:r>
        <w:rPr>
          <w:rFonts w:hint="eastAsia" w:cs="宋体"/>
          <w:sz w:val="24"/>
          <w:szCs w:val="24"/>
          <w:u w:val="single"/>
        </w:rPr>
        <w:t xml:space="preserve">    </w:t>
      </w:r>
      <w:r>
        <w:rPr>
          <w:rFonts w:hint="eastAsia" w:cs="宋体"/>
          <w:sz w:val="24"/>
          <w:szCs w:val="24"/>
        </w:rPr>
        <w:t>日</w:t>
      </w:r>
    </w:p>
    <w:p>
      <w:pPr>
        <w:spacing w:beforeLines="50" w:afterLines="30" w:line="360" w:lineRule="auto"/>
        <w:rPr>
          <w:rFonts w:cs="宋体"/>
          <w:sz w:val="24"/>
          <w:szCs w:val="24"/>
        </w:rPr>
      </w:pPr>
    </w:p>
    <w:p>
      <w:pPr>
        <w:spacing w:beforeLines="50" w:afterLines="30" w:line="360" w:lineRule="auto"/>
        <w:rPr>
          <w:rFonts w:cs="宋体"/>
          <w:sz w:val="24"/>
          <w:szCs w:val="24"/>
        </w:rPr>
      </w:pPr>
      <w:r>
        <w:rPr>
          <w:rFonts w:hint="eastAsia" w:cs="宋体"/>
          <w:b/>
          <w:sz w:val="24"/>
          <w:szCs w:val="24"/>
        </w:rPr>
        <w:t>备注：本合同的约定如与本项目谈判文件的投标人须知前附表和招标人要求的约定不一致的地方，以投标人须知前附表和招标人要求的约定为准。</w:t>
      </w:r>
    </w:p>
    <w:p>
      <w:pPr>
        <w:spacing w:line="360" w:lineRule="auto"/>
        <w:rPr>
          <w:rFonts w:asciiTheme="minorEastAsia" w:hAnsiTheme="minorEastAsia" w:eastAsiaTheme="minorEastAsia" w:cstheme="minorEastAsia"/>
          <w:b/>
          <w:kern w:val="2"/>
          <w:sz w:val="24"/>
          <w:szCs w:val="24"/>
        </w:rPr>
      </w:pPr>
    </w:p>
    <w:p>
      <w:pPr>
        <w:spacing w:line="360" w:lineRule="auto"/>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附件：</w:t>
      </w:r>
    </w:p>
    <w:p>
      <w:pPr>
        <w:spacing w:line="360" w:lineRule="auto"/>
        <w:rPr>
          <w:rFonts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 xml:space="preserve">附件1：廉政协议 </w:t>
      </w:r>
    </w:p>
    <w:p>
      <w:pPr>
        <w:spacing w:line="360" w:lineRule="auto"/>
        <w:rPr>
          <w:rFonts w:ascii="仿宋" w:hAnsi="仿宋" w:eastAsia="仿宋" w:cs="仿宋"/>
          <w:b/>
          <w:kern w:val="2"/>
          <w:sz w:val="24"/>
          <w:szCs w:val="24"/>
        </w:rPr>
      </w:pPr>
      <w:r>
        <w:rPr>
          <w:rFonts w:hint="eastAsia" w:asciiTheme="minorEastAsia" w:hAnsiTheme="minorEastAsia" w:eastAsiaTheme="minorEastAsia" w:cstheme="minorEastAsia"/>
          <w:bCs/>
          <w:kern w:val="2"/>
          <w:sz w:val="24"/>
          <w:szCs w:val="24"/>
        </w:rPr>
        <w:t>附件2：履约保证金</w:t>
      </w:r>
      <w:r>
        <w:rPr>
          <w:rFonts w:hint="eastAsia" w:ascii="仿宋" w:hAnsi="仿宋" w:eastAsia="仿宋" w:cs="仿宋"/>
          <w:bCs/>
          <w:kern w:val="2"/>
          <w:sz w:val="24"/>
          <w:szCs w:val="24"/>
        </w:rPr>
        <w:br w:type="page"/>
      </w:r>
    </w:p>
    <w:p>
      <w:pPr>
        <w:spacing w:line="360" w:lineRule="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附件1：廉政协议</w:t>
      </w:r>
    </w:p>
    <w:p>
      <w:pPr>
        <w:widowControl/>
        <w:spacing w:line="360" w:lineRule="auto"/>
        <w:ind w:firstLine="643"/>
        <w:jc w:val="center"/>
        <w:rPr>
          <w:rFonts w:asciiTheme="minorEastAsia" w:hAnsiTheme="minorEastAsia" w:eastAsiaTheme="minorEastAsia" w:cstheme="minorEastAsia"/>
          <w:b/>
          <w:bCs/>
          <w:sz w:val="24"/>
          <w:szCs w:val="24"/>
        </w:rPr>
      </w:pPr>
    </w:p>
    <w:p>
      <w:pPr>
        <w:widowControl/>
        <w:spacing w:line="360" w:lineRule="auto"/>
        <w:ind w:firstLine="643"/>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廉 政 协 议</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cs="宋体"/>
          <w:sz w:val="24"/>
          <w:szCs w:val="24"/>
        </w:rPr>
        <w:t>合肥百货大楼集团股份有限公司滨湖心悦城购物中心</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促进双方诚信经营、廉洁从业，防范商业贿赂，保护国家、集体和当事人的合法权益，根据国家有关法律法规和安徽省、合肥市廉政建设的规定，（以下称甲方）与（以下称乙方），特此订立本协议共同遵照执行。</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甲乙双方的权利和义务</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（二）严格执行的合同要求，自觉履行合同约定的相关义务。</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（三）在业务活动中坚持公开、公正、诚信、透明的原则，不得损害国家、集体利益。</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（四）建立健全廉政制度，开展廉政教育，公布举报电话，监督并认真查处违法违纪行为。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（五）发现对方在业务活动中有违反廉政规定的行为，应及时提醒对方纠正。情节严重的，应向其上级有关部门举报、建议给予处理，并有权要求告知处理结果。</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 甲方的义务</w:t>
      </w:r>
    </w:p>
    <w:p>
      <w:pPr>
        <w:widowControl/>
        <w:spacing w:line="360" w:lineRule="auto"/>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（一）甲方及其工作人员不得索要或接受乙方的礼金、有价证券和贵重物品，不得在乙方报销任何应由甲方单位或个人支付的费用等。</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 甲方及其工作人员不得要求或者接受乙方为其住房装修、婚丧嫁娶活动、配偶子女工作安排以及出国出境、旅游等提供方便等。</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 甲方工作人员不得在乙方有股权关联的企业兼职，不得向乙方介绍家属或者亲友从事与甲方业务有关的经济活动。</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（五）甲方工作人员不得以明显低于市场的价格向乙方购买房屋、汽车等物品；不得以明显高于市场的价格向乙方出售房屋、汽车等物品；不得以其他交易形式非法收受请托人财物。</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（六）甲方工作人员不得利用职务之便收受乙方以回扣、手续费、加班费、咨询费、劳务费、协调费、辛苦费等各种名义给予或赠送的钱物。</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（七）甲方工作人员不得接受乙方给予或赠送的干股或红利。</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（八）甲方任何人不得以个人的名义向乙方推荐设备、部件等供货商以及其他合作单位。</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 乙方的义务</w:t>
      </w:r>
    </w:p>
    <w:p>
      <w:pPr>
        <w:widowControl/>
        <w:spacing w:line="360" w:lineRule="auto"/>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（一）乙方不得以任何理由向甲方及其工作人员行贿或馈赠礼金、有价证券、贵重礼品。</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（二）乙方不得以任何名义为甲方及其工作人员报销应由甲方单位或个人支付的任何费用。</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（三）乙方不得以任何理由安排甲方工作人员参加可能影响相关业务公开、公正、公平性的宴请及娱乐活动。</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（四）乙方不得为甲方单位和个人购置或提供通讯工具和高档办公用品等物品，也不得为甲方提供与工作无关的房屋、汽车等。</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（五）乙方不得与甲方工作人员就合同中的质量、数量、价格、工程量、验收等条款进行私下商谈或者达成默契。</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（六）乙方不得以回扣、手续费、加班费、咨询费、劳务费、协调费、辛苦费等各种名义向甲方工作人员给予或赠送钱物。</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（七）乙方不得向甲方工作人员提供干股或红利。</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（八）乙方须按专项纪检监察工作组（如有）要求开展相关工作。</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违约责任</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甲方投诉联系部门：，联系电话：。</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（二）乙方及其工作人员违反本协议第一、三条规定的，由甲方根据具体情节和造成的后果，对乙方采取以下一种或多种处理办法：</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1.全额收取乙方合同履约保证金不予退还； </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2.追究乙方其他违约责任；</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3.终止或解除双方已签订的包括本合同在内的所有合同；</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甲方作出的处理意见，乙方应无条件接受并承担给甲方造成的损失，全额返还通过不正当手段从甲方获取的非法所得，并承担相应的法律责任。</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第五条 双方约定</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本协议由双方或双方上级单位负责监督。可由甲方或甲方上级单位的纪检监察部门约请乙方或乙方上级单位的纪检监察部门对本协议履行情况进行检查，提出在本协议规定范围内的处理意见。</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第六条  本协议有效期为甲乙双方签署之日起至合同终止。  </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本协议作为合同的附件，与本合同具有同等法律效力。</w:t>
      </w:r>
    </w:p>
    <w:p>
      <w:pPr>
        <w:widowControl/>
        <w:spacing w:line="360" w:lineRule="auto"/>
        <w:ind w:firstLine="480" w:firstLineChars="200"/>
        <w:jc w:val="left"/>
        <w:rPr>
          <w:rFonts w:asciiTheme="minorEastAsia" w:hAnsiTheme="minorEastAsia" w:eastAsiaTheme="minorEastAsia" w:cstheme="minorEastAsia"/>
          <w:sz w:val="24"/>
          <w:szCs w:val="24"/>
        </w:rPr>
      </w:pPr>
    </w:p>
    <w:p>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乙方（盖章）：</w:t>
      </w:r>
    </w:p>
    <w:p>
      <w:pPr>
        <w:widowControl/>
        <w:spacing w:line="360" w:lineRule="auto"/>
        <w:ind w:firstLine="480" w:firstLineChars="200"/>
        <w:jc w:val="left"/>
        <w:rPr>
          <w:rFonts w:asciiTheme="minorEastAsia" w:hAnsiTheme="minorEastAsia" w:eastAsiaTheme="minorEastAsia" w:cstheme="minorEastAsia"/>
          <w:sz w:val="24"/>
          <w:szCs w:val="24"/>
        </w:rPr>
      </w:pPr>
    </w:p>
    <w:p>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                法定代表人或</w:t>
      </w:r>
    </w:p>
    <w:p>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                  授权代表：</w:t>
      </w:r>
    </w:p>
    <w:p>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项目经办人：</w:t>
      </w:r>
    </w:p>
    <w:p>
      <w:pPr>
        <w:pStyle w:val="13"/>
        <w:widowControl/>
        <w:spacing w:line="36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合同经办人：</w:t>
      </w:r>
    </w:p>
    <w:p>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日期：</w:t>
      </w:r>
    </w:p>
    <w:p>
      <w:pPr>
        <w:spacing w:line="360" w:lineRule="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br w:type="page"/>
      </w:r>
    </w:p>
    <w:p>
      <w:pPr>
        <w:pStyle w:val="13"/>
        <w:widowControl/>
        <w:spacing w:line="36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附件2：履约保证金</w:t>
      </w:r>
    </w:p>
    <w:p>
      <w:pPr>
        <w:spacing w:line="360" w:lineRule="auto"/>
        <w:jc w:val="center"/>
        <w:rPr>
          <w:rFonts w:asciiTheme="minorEastAsia" w:hAnsiTheme="minorEastAsia" w:eastAsiaTheme="minorEastAsia" w:cstheme="minorEastAsia"/>
          <w:b/>
          <w:bCs/>
          <w:sz w:val="24"/>
          <w:szCs w:val="24"/>
        </w:rPr>
      </w:pPr>
    </w:p>
    <w:p>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履约保函示范文本</w:t>
      </w:r>
    </w:p>
    <w:p>
      <w:pPr>
        <w:wordWrap w:val="0"/>
        <w:spacing w:line="360" w:lineRule="auto"/>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编号：           </w:t>
      </w:r>
    </w:p>
    <w:p>
      <w:pPr>
        <w:spacing w:line="360" w:lineRule="auto"/>
        <w:rPr>
          <w:rFonts w:asciiTheme="minorEastAsia" w:hAnsiTheme="minorEastAsia" w:eastAsiaTheme="minorEastAsia" w:cstheme="minorEastAsia"/>
          <w:sz w:val="24"/>
          <w:szCs w:val="24"/>
        </w:rPr>
      </w:pP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（受益人名称）：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鉴于（以下简称“受益人”）与（以下简称“申请人”）于年月日就</w:t>
      </w:r>
      <w:r>
        <w:rPr>
          <w:rFonts w:hint="eastAsia" w:asciiTheme="minorEastAsia" w:hAnsiTheme="minorEastAsia" w:eastAsiaTheme="minorEastAsia" w:cstheme="minorEastAsia"/>
          <w:snapToGrid w:val="0"/>
          <w:sz w:val="24"/>
          <w:szCs w:val="24"/>
        </w:rPr>
        <w:t>（标段编号）的（标段名称）</w:t>
      </w:r>
      <w:r>
        <w:rPr>
          <w:rFonts w:hint="eastAsia" w:asciiTheme="minorEastAsia" w:hAnsiTheme="minorEastAsia" w:eastAsiaTheme="minorEastAsia" w:cstheme="minorEastAsia"/>
          <w:sz w:val="24"/>
          <w:szCs w:val="24"/>
        </w:rPr>
        <w:t>有关事项协商一致共同签订</w:t>
      </w:r>
      <w:r>
        <w:rPr>
          <w:rFonts w:hint="eastAsia" w:asciiTheme="minorEastAsia" w:hAnsiTheme="minorEastAsia" w:eastAsiaTheme="minorEastAsia" w:cstheme="minorEastAsia"/>
          <w:sz w:val="24"/>
          <w:szCs w:val="24"/>
          <w:u w:val="single"/>
        </w:rPr>
        <w:t>《</w:t>
      </w:r>
      <w:r>
        <w:rPr>
          <w:rFonts w:hint="eastAsia" w:asciiTheme="majorEastAsia" w:hAnsiTheme="majorEastAsia" w:eastAsiaTheme="majorEastAsia" w:cstheme="majorEastAsia"/>
          <w:sz w:val="24"/>
          <w:szCs w:val="24"/>
          <w:u w:val="single"/>
        </w:rPr>
        <w:t>百大心悦城商户道具移装</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一、本保函担保范围：承包人未按照基础合同的约定履行义务，应当向受益人承担的违约责任和赔偿因此造成的损失、利息、律师费、诉讼费用等实现债权的费用。</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二、本保函担保金额最高不超过人民币（大写伍拾柒万元）（¥</w:t>
      </w:r>
      <w:r>
        <w:rPr>
          <w:rFonts w:hint="eastAsia" w:asciiTheme="majorEastAsia" w:hAnsiTheme="majorEastAsia" w:eastAsiaTheme="majorEastAsia" w:cstheme="majorEastAsia"/>
          <w:sz w:val="24"/>
          <w:szCs w:val="24"/>
        </w:rPr>
        <w:t>57万元</w:t>
      </w:r>
      <w:r>
        <w:rPr>
          <w:rFonts w:hint="eastAsia" w:asciiTheme="minorEastAsia" w:hAnsiTheme="minorEastAsia" w:eastAsiaTheme="minorEastAsia" w:cstheme="minorEastAsia"/>
          <w:sz w:val="24"/>
          <w:szCs w:val="24"/>
        </w:rPr>
        <w:t xml:space="preserve">）。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三、本保函有效期自开立之日起至本项目竣工验收合格之日止。 </w:t>
      </w:r>
    </w:p>
    <w:p>
      <w:pPr>
        <w:spacing w:line="360" w:lineRule="auto"/>
        <w:ind w:firstLine="480"/>
        <w:rPr>
          <w:rFonts w:asciiTheme="minorEastAsia" w:hAnsiTheme="minorEastAsia" w:eastAsiaTheme="minorEastAsia" w:cstheme="minorEastAsia"/>
          <w:sz w:val="24"/>
          <w:szCs w:val="24"/>
        </w:rPr>
      </w:pPr>
      <w:bookmarkStart w:id="60" w:name="_Hlk40302764"/>
      <w:r>
        <w:rPr>
          <w:rFonts w:hint="eastAsia" w:asciiTheme="minorEastAsia" w:hAnsiTheme="minorEastAsia" w:eastAsiaTheme="minorEastAsia" w:cstheme="minorEastAsia"/>
          <w:sz w:val="24"/>
          <w:szCs w:val="24"/>
        </w:rPr>
        <w:t>四、开立人承诺，在收到受益人发来的书面付款通知后的七日内无条件支付，前述书面付款通知即为付款要求之单据，且应满足以下要求：</w:t>
      </w:r>
    </w:p>
    <w:bookmarkEnd w:id="60"/>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（1）付款通知到达的日期在本保函的有效期内；</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（2）载明要求支付的金额；</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（3）载明申请人违反合同义务的条款和内容；</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（4）声明不存在合同文件约定或我国法律规定免除申请人或开立人支付责任的情形；</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（5）付款通知应在本保函有效期内到达的地址是：。</w:t>
      </w:r>
    </w:p>
    <w:p>
      <w:pPr>
        <w:spacing w:line="360" w:lineRule="auto"/>
        <w:rPr>
          <w:rFonts w:asciiTheme="minorEastAsia" w:hAnsiTheme="minorEastAsia" w:eastAsiaTheme="minorEastAsia" w:cstheme="minorEastAsia"/>
          <w:sz w:val="24"/>
          <w:szCs w:val="24"/>
        </w:rPr>
      </w:pPr>
      <w:bookmarkStart w:id="61" w:name="_Hlk40303486"/>
      <w:r>
        <w:rPr>
          <w:rFonts w:hint="eastAsia" w:asciiTheme="minorEastAsia" w:hAnsiTheme="minorEastAsia" w:eastAsiaTheme="minorEastAsia" w:cstheme="minorEastAsia"/>
          <w:sz w:val="24"/>
          <w:szCs w:val="24"/>
        </w:rPr>
        <w:t>受益人发出的书面付款通知应由其法定代表人（负责人）或授权代理人签字并加盖公章。</w:t>
      </w:r>
      <w:bookmarkEnd w:id="61"/>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五、本保函项下的权利不得转让，不得设定担保。受益人未经我方书面同意转 让本保函或其项下任何权利，对我方不发生法律效力。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六、与本保函有关的基础合同不成立、不生效、无效、被撤销、被解除，不影响本保函的独立有效。 </w:t>
      </w:r>
    </w:p>
    <w:p>
      <w:pPr>
        <w:spacing w:line="360" w:lineRule="auto"/>
        <w:ind w:firstLine="480" w:firstLineChars="200"/>
        <w:rPr>
          <w:rFonts w:asciiTheme="minorEastAsia" w:hAnsiTheme="minorEastAsia" w:eastAsiaTheme="minorEastAsia" w:cstheme="minorEastAsia"/>
          <w:sz w:val="24"/>
          <w:szCs w:val="24"/>
        </w:rPr>
      </w:pPr>
      <w:bookmarkStart w:id="62" w:name="_Hlk40303383"/>
      <w:bookmarkStart w:id="63" w:name="_Hlk40354981"/>
      <w:r>
        <w:rPr>
          <w:rFonts w:hint="eastAsia" w:asciiTheme="minorEastAsia" w:hAnsiTheme="minorEastAsia" w:eastAsiaTheme="minorEastAsia" w:cstheme="minorEastAsia"/>
          <w:sz w:val="24"/>
          <w:szCs w:val="24"/>
        </w:rPr>
        <w:t xml:space="preserve">七、本保函项下的义务和责任均在保函有效期到期后自动消灭。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八、本保函适用的法律为中华人民共和国法律，因本保函产生的纠纷案件，</w:t>
      </w:r>
      <w:bookmarkEnd w:id="62"/>
      <w:r>
        <w:rPr>
          <w:rFonts w:hint="eastAsia" w:asciiTheme="minorEastAsia" w:hAnsiTheme="minorEastAsia" w:eastAsiaTheme="minorEastAsia" w:cstheme="minorEastAsia"/>
          <w:sz w:val="24"/>
          <w:szCs w:val="24"/>
        </w:rPr>
        <w:t xml:space="preserve">由受益人所在地人民法院管辖。 </w:t>
      </w:r>
    </w:p>
    <w:bookmarkEnd w:id="63"/>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九、本保函自我方法定代表人或授权代表签字并加盖公章之日起生效。 </w:t>
      </w:r>
    </w:p>
    <w:p>
      <w:pPr>
        <w:spacing w:line="360" w:lineRule="auto"/>
        <w:ind w:firstLine="480" w:firstLineChars="200"/>
        <w:rPr>
          <w:rFonts w:asciiTheme="minorEastAsia" w:hAnsiTheme="minorEastAsia" w:eastAsiaTheme="minorEastAsia" w:cstheme="minorEastAsia"/>
          <w:sz w:val="24"/>
          <w:szCs w:val="24"/>
        </w:rPr>
      </w:pPr>
    </w:p>
    <w:p>
      <w:pPr>
        <w:spacing w:line="360" w:lineRule="auto"/>
        <w:ind w:firstLine="480" w:firstLineChars="200"/>
        <w:rPr>
          <w:rFonts w:asciiTheme="minorEastAsia" w:hAnsiTheme="minorEastAsia" w:eastAsiaTheme="minorEastAsia" w:cstheme="minorEastAsia"/>
          <w:sz w:val="24"/>
          <w:szCs w:val="24"/>
        </w:rPr>
      </w:pPr>
    </w:p>
    <w:p>
      <w:pPr>
        <w:spacing w:line="360" w:lineRule="auto"/>
        <w:ind w:firstLine="480" w:firstLineChars="200"/>
        <w:rPr>
          <w:rFonts w:asciiTheme="minorEastAsia" w:hAnsiTheme="minorEastAsia" w:eastAsiaTheme="minorEastAsia" w:cstheme="minorEastAsia"/>
          <w:sz w:val="24"/>
          <w:szCs w:val="24"/>
        </w:rPr>
      </w:pP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 立 人：（公章）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法定代表人（或授权代表）：（签字）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p>
    <w:p>
      <w:pPr>
        <w:spacing w:line="360" w:lineRule="auto"/>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传    真：</w:t>
      </w:r>
    </w:p>
    <w:p>
      <w:pPr>
        <w:spacing w:line="360" w:lineRule="auto"/>
        <w:ind w:left="1432" w:leftChars="200" w:hanging="1032" w:hangingChars="43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开立时间：年月日</w:t>
      </w:r>
    </w:p>
    <w:p>
      <w:pPr>
        <w:widowControl/>
        <w:spacing w:line="360" w:lineRule="auto"/>
        <w:jc w:val="left"/>
        <w:rPr>
          <w:rFonts w:asciiTheme="minorEastAsia" w:hAnsiTheme="minorEastAsia" w:eastAsiaTheme="minorEastAsia" w:cstheme="minorEastAsia"/>
          <w:b/>
          <w:sz w:val="24"/>
          <w:szCs w:val="24"/>
        </w:rPr>
      </w:pPr>
    </w:p>
    <w:p>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pPr>
        <w:spacing w:line="360" w:lineRule="auto"/>
        <w:jc w:val="center"/>
        <w:outlineLvl w:val="0"/>
        <w:rPr>
          <w:rFonts w:asciiTheme="minorEastAsia" w:hAnsiTheme="minorEastAsia" w:eastAsiaTheme="minorEastAsia"/>
          <w:b/>
          <w:sz w:val="28"/>
        </w:rPr>
      </w:pPr>
      <w:bookmarkStart w:id="64" w:name="_Toc25839"/>
      <w:r>
        <w:rPr>
          <w:rFonts w:hint="eastAsia" w:asciiTheme="minorEastAsia" w:hAnsiTheme="minorEastAsia" w:eastAsiaTheme="minorEastAsia"/>
          <w:b/>
          <w:sz w:val="28"/>
        </w:rPr>
        <w:t>第六章  投标文件格式</w:t>
      </w:r>
      <w:bookmarkEnd w:id="64"/>
    </w:p>
    <w:p>
      <w:pPr>
        <w:spacing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rPr>
        <w:t>百大心悦城商户道具移装项目</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Lines="50" w:line="500" w:lineRule="exact"/>
        <w:jc w:val="center"/>
        <w:rPr>
          <w:rFonts w:asciiTheme="minorEastAsia" w:hAnsiTheme="minorEastAsia" w:eastAsiaTheme="minorEastAsia"/>
          <w:b/>
          <w:sz w:val="28"/>
          <w:szCs w:val="28"/>
        </w:rPr>
      </w:pPr>
    </w:p>
    <w:p>
      <w:pPr>
        <w:spacing w:afterLines="50" w:line="500" w:lineRule="exact"/>
        <w:jc w:val="center"/>
        <w:rPr>
          <w:rFonts w:asciiTheme="minorEastAsia" w:hAnsiTheme="minorEastAsia" w:eastAsiaTheme="minorEastAsia"/>
          <w:b/>
          <w:sz w:val="28"/>
          <w:szCs w:val="28"/>
        </w:rPr>
      </w:pPr>
    </w:p>
    <w:p>
      <w:pPr>
        <w:spacing w:afterLines="50" w:line="500" w:lineRule="exact"/>
        <w:jc w:val="center"/>
        <w:rPr>
          <w:rFonts w:asciiTheme="minorEastAsia" w:hAnsiTheme="minorEastAsia" w:eastAsiaTheme="minorEastAsia"/>
          <w:b/>
          <w:sz w:val="28"/>
          <w:szCs w:val="28"/>
        </w:rPr>
      </w:pPr>
    </w:p>
    <w:p>
      <w:pPr>
        <w:spacing w:afterLines="50" w:line="500" w:lineRule="exact"/>
        <w:jc w:val="center"/>
        <w:rPr>
          <w:rFonts w:asciiTheme="minorEastAsia" w:hAnsiTheme="minorEastAsia" w:eastAsiaTheme="minorEastAsia"/>
          <w:b/>
          <w:sz w:val="72"/>
        </w:rPr>
      </w:pPr>
    </w:p>
    <w:p>
      <w:pPr>
        <w:spacing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bookmarkStart w:id="65" w:name="_Toc17441"/>
    </w:p>
    <w:p>
      <w:pPr>
        <w:spacing w:afterLines="50" w:line="500" w:lineRule="exact"/>
        <w:ind w:firstLine="2891" w:firstLineChars="900"/>
        <w:rPr>
          <w:rFonts w:asciiTheme="minorEastAsia" w:hAnsiTheme="minorEastAsia" w:eastAsiaTheme="minorEastAsia"/>
          <w:b/>
          <w:sz w:val="32"/>
        </w:rPr>
      </w:pPr>
      <w:r>
        <w:rPr>
          <w:rFonts w:hint="eastAsia" w:asciiTheme="minorEastAsia" w:hAnsiTheme="minorEastAsia" w:eastAsiaTheme="minorEastAsia"/>
          <w:b/>
          <w:sz w:val="32"/>
        </w:rPr>
        <w:t>年月日</w:t>
      </w:r>
      <w:bookmarkEnd w:id="65"/>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66" w:name="_Toc461053086"/>
      <w:bookmarkStart w:id="67" w:name="_Toc461056631"/>
      <w:bookmarkStart w:id="68" w:name="_Toc520983587"/>
      <w:bookmarkStart w:id="69" w:name="_Toc17876"/>
      <w:r>
        <w:rPr>
          <w:rFonts w:hint="eastAsia" w:asciiTheme="minorEastAsia" w:hAnsiTheme="minorEastAsia" w:eastAsiaTheme="minorEastAsia"/>
          <w:b/>
          <w:sz w:val="24"/>
        </w:rPr>
        <w:t>一</w:t>
      </w:r>
      <w:bookmarkEnd w:id="66"/>
      <w:bookmarkEnd w:id="67"/>
      <w:r>
        <w:rPr>
          <w:rFonts w:hint="eastAsia" w:asciiTheme="minorEastAsia" w:hAnsiTheme="minorEastAsia" w:eastAsiaTheme="minorEastAsia"/>
          <w:b/>
          <w:sz w:val="24"/>
        </w:rPr>
        <w:t>、报价表格式</w:t>
      </w:r>
      <w:bookmarkEnd w:id="68"/>
      <w:bookmarkEnd w:id="69"/>
    </w:p>
    <w:p>
      <w:pPr>
        <w:spacing w:beforeLines="50" w:afterLines="50" w:line="360" w:lineRule="auto"/>
        <w:jc w:val="left"/>
        <w:outlineLvl w:val="2"/>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百大心悦城商户道具移装项目</w:t>
      </w:r>
    </w:p>
    <w:p>
      <w:pPr>
        <w:snapToGrid w:val="0"/>
        <w:spacing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2025HEFQJ00138</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6"/>
        <w:gridCol w:w="6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vAlign w:val="center"/>
          </w:tcPr>
          <w:p>
            <w:pPr>
              <w:jc w:val="cente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谈判</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rPr>
            </w:pPr>
            <w:r>
              <w:rPr>
                <w:rFonts w:hint="eastAsia" w:cs="宋体" w:asciiTheme="minorEastAsia" w:hAnsiTheme="minorEastAsia" w:eastAsiaTheme="minorEastAsia"/>
                <w:b/>
                <w:kern w:val="2"/>
                <w:sz w:val="24"/>
                <w:szCs w:val="24"/>
              </w:rPr>
              <w:t>供货（安装）周期</w:t>
            </w:r>
          </w:p>
        </w:tc>
        <w:tc>
          <w:tcPr>
            <w:tcW w:w="3557" w:type="pct"/>
            <w:vAlign w:val="center"/>
          </w:tcPr>
          <w:p>
            <w:pPr>
              <w:snapToGrid w:val="0"/>
              <w:rPr>
                <w:rFonts w:cs="宋体" w:asciiTheme="minorEastAsia" w:hAnsiTheme="minorEastAsia" w:eastAsiaTheme="minorEastAsia"/>
                <w:b/>
                <w:strike/>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投标人电子签章或公章：</w:t>
      </w:r>
    </w:p>
    <w:p>
      <w:pPr>
        <w:spacing w:line="440" w:lineRule="exact"/>
        <w:ind w:firstLine="4800" w:firstLineChars="2000"/>
        <w:rPr>
          <w:rFonts w:cs="@仿宋_GB2312"/>
          <w:kern w:val="2"/>
          <w:sz w:val="24"/>
          <w:szCs w:val="24"/>
          <w:u w:val="single"/>
        </w:rPr>
      </w:pPr>
      <w:r>
        <w:rPr>
          <w:rFonts w:hint="eastAsia" w:cs="@仿宋_GB2312"/>
          <w:kern w:val="2"/>
          <w:sz w:val="24"/>
          <w:szCs w:val="24"/>
        </w:rPr>
        <w:t>日      期：</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b/>
          <w:bCs/>
          <w:kern w:val="2"/>
          <w:sz w:val="24"/>
          <w:szCs w:val="24"/>
        </w:rPr>
        <w:t>1.本表内容根据谈判文件要求包括了谈判文件要求提供的全部内容的所有费用。</w:t>
      </w:r>
    </w:p>
    <w:p>
      <w:pPr>
        <w:adjustRightInd w:val="0"/>
        <w:snapToGrid w:val="0"/>
        <w:spacing w:line="360" w:lineRule="auto"/>
        <w:ind w:firstLine="482" w:firstLineChars="200"/>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2.特殊事项在备注</w:t>
      </w:r>
      <w:r>
        <w:rPr>
          <w:rFonts w:hint="eastAsia" w:cs="宋体" w:asciiTheme="minorEastAsia" w:hAnsiTheme="minorEastAsia" w:eastAsiaTheme="minorEastAsia"/>
          <w:b/>
          <w:kern w:val="2"/>
          <w:sz w:val="24"/>
          <w:szCs w:val="24"/>
        </w:rPr>
        <w:t>说明</w:t>
      </w:r>
      <w:r>
        <w:rPr>
          <w:rFonts w:hint="eastAsia" w:cs="宋体" w:asciiTheme="minorEastAsia" w:hAnsiTheme="minorEastAsia" w:eastAsiaTheme="minorEastAsia"/>
          <w:b/>
          <w:bCs/>
          <w:kern w:val="2"/>
          <w:sz w:val="24"/>
          <w:szCs w:val="24"/>
        </w:rPr>
        <w:t>中注明。</w:t>
      </w:r>
    </w:p>
    <w:p>
      <w:pPr>
        <w:spacing w:beforeLines="50" w:afterLines="50" w:line="360" w:lineRule="auto"/>
        <w:jc w:val="left"/>
        <w:outlineLvl w:val="2"/>
        <w:rPr>
          <w:b/>
          <w:sz w:val="24"/>
          <w:szCs w:val="28"/>
        </w:rPr>
      </w:pPr>
    </w:p>
    <w:p>
      <w:pPr>
        <w:spacing w:beforeLines="50" w:afterLines="50" w:line="360" w:lineRule="auto"/>
        <w:jc w:val="left"/>
        <w:outlineLvl w:val="2"/>
        <w:rPr>
          <w:b/>
          <w:sz w:val="24"/>
          <w:szCs w:val="28"/>
        </w:rPr>
      </w:pPr>
    </w:p>
    <w:p>
      <w:pPr>
        <w:spacing w:beforeLines="50" w:afterLines="50" w:line="360" w:lineRule="auto"/>
        <w:jc w:val="left"/>
        <w:outlineLvl w:val="2"/>
        <w:rPr>
          <w:b/>
          <w:sz w:val="24"/>
          <w:szCs w:val="28"/>
        </w:rPr>
      </w:pPr>
    </w:p>
    <w:p>
      <w:pPr>
        <w:spacing w:beforeLines="50" w:afterLines="50" w:line="360" w:lineRule="auto"/>
        <w:jc w:val="left"/>
        <w:outlineLvl w:val="2"/>
        <w:rPr>
          <w:b/>
          <w:sz w:val="24"/>
          <w:szCs w:val="28"/>
        </w:rPr>
      </w:pPr>
    </w:p>
    <w:p>
      <w:pPr>
        <w:spacing w:beforeLines="50" w:afterLines="50" w:line="360" w:lineRule="auto"/>
        <w:jc w:val="left"/>
        <w:outlineLvl w:val="2"/>
        <w:rPr>
          <w:b/>
          <w:sz w:val="24"/>
          <w:szCs w:val="28"/>
        </w:rPr>
      </w:pPr>
      <w:r>
        <w:rPr>
          <w:rFonts w:hint="eastAsia"/>
          <w:b/>
          <w:sz w:val="24"/>
          <w:szCs w:val="28"/>
        </w:rPr>
        <w:t>1-2 分项报价明细表</w:t>
      </w:r>
    </w:p>
    <w:tbl>
      <w:tblPr>
        <w:tblStyle w:val="56"/>
        <w:tblpPr w:leftFromText="180" w:rightFromText="180" w:vertAnchor="text" w:horzAnchor="page" w:tblpX="1638" w:tblpY="597"/>
        <w:tblOverlap w:val="never"/>
        <w:tblW w:w="5000" w:type="pct"/>
        <w:tblInd w:w="0" w:type="dxa"/>
        <w:tblLayout w:type="autofit"/>
        <w:tblCellMar>
          <w:top w:w="0" w:type="dxa"/>
          <w:left w:w="108" w:type="dxa"/>
          <w:bottom w:w="0" w:type="dxa"/>
          <w:right w:w="108" w:type="dxa"/>
        </w:tblCellMar>
      </w:tblPr>
      <w:tblGrid>
        <w:gridCol w:w="417"/>
        <w:gridCol w:w="1621"/>
        <w:gridCol w:w="2716"/>
        <w:gridCol w:w="426"/>
        <w:gridCol w:w="618"/>
        <w:gridCol w:w="618"/>
        <w:gridCol w:w="618"/>
        <w:gridCol w:w="1482"/>
      </w:tblGrid>
      <w:tr>
        <w:tblPrEx>
          <w:tblCellMar>
            <w:top w:w="0" w:type="dxa"/>
            <w:left w:w="108" w:type="dxa"/>
            <w:bottom w:w="0" w:type="dxa"/>
            <w:right w:w="108" w:type="dxa"/>
          </w:tblCellMar>
        </w:tblPrEx>
        <w:trPr>
          <w:trHeight w:val="525" w:hRule="atLeast"/>
        </w:trPr>
        <w:tc>
          <w:tcPr>
            <w:tcW w:w="5000" w:type="pct"/>
            <w:gridSpan w:val="8"/>
            <w:tcBorders>
              <w:top w:val="nil"/>
              <w:left w:val="nil"/>
              <w:bottom w:val="nil"/>
              <w:right w:val="nil"/>
            </w:tcBorders>
            <w:shd w:val="clear" w:color="auto" w:fill="FFFFFF"/>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3FABC道具移装内容（搬至3F耐克小童）</w:t>
            </w:r>
          </w:p>
        </w:tc>
      </w:tr>
      <w:tr>
        <w:tblPrEx>
          <w:tblCellMar>
            <w:top w:w="0" w:type="dxa"/>
            <w:left w:w="108" w:type="dxa"/>
            <w:bottom w:w="0" w:type="dxa"/>
            <w:right w:w="108" w:type="dxa"/>
          </w:tblCellMar>
        </w:tblPrEx>
        <w:trPr>
          <w:trHeight w:val="462" w:hRule="atLeast"/>
        </w:trPr>
        <w:tc>
          <w:tcPr>
            <w:tcW w:w="1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序号</w:t>
            </w:r>
          </w:p>
        </w:tc>
        <w:tc>
          <w:tcPr>
            <w:tcW w:w="117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名称</w:t>
            </w:r>
          </w:p>
        </w:tc>
        <w:tc>
          <w:tcPr>
            <w:tcW w:w="10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规格</w:t>
            </w:r>
          </w:p>
        </w:tc>
        <w:tc>
          <w:tcPr>
            <w:tcW w:w="2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单 位</w:t>
            </w:r>
          </w:p>
        </w:tc>
        <w:tc>
          <w:tcPr>
            <w:tcW w:w="28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单价</w:t>
            </w:r>
          </w:p>
        </w:tc>
        <w:tc>
          <w:tcPr>
            <w:tcW w:w="4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数量</w:t>
            </w:r>
          </w:p>
        </w:tc>
        <w:tc>
          <w:tcPr>
            <w:tcW w:w="22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cs="宋体"/>
                <w:b/>
                <w:bCs/>
              </w:rPr>
            </w:pPr>
            <w:r>
              <w:rPr>
                <w:rFonts w:hint="eastAsia" w:cs="宋体"/>
                <w:b/>
                <w:bCs/>
              </w:rPr>
              <w:t>价格</w:t>
            </w:r>
          </w:p>
        </w:tc>
        <w:tc>
          <w:tcPr>
            <w:tcW w:w="145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462"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r>
      <w:tr>
        <w:tblPrEx>
          <w:tblCellMar>
            <w:top w:w="0" w:type="dxa"/>
            <w:left w:w="108" w:type="dxa"/>
            <w:bottom w:w="0" w:type="dxa"/>
            <w:right w:w="108" w:type="dxa"/>
          </w:tblCellMar>
        </w:tblPrEx>
        <w:trPr>
          <w:trHeight w:val="130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原来位置可利用道具拆除+打包+搬运</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73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更改修缮道具拉回工厂运费及加工费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99"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第一次拆+修缮道具部分小计：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99"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919"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放在现场可直接利旧道具+修缮后道具二次安装</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8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尺寸不合适地方新增道具</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48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8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道具迁移部分合计：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80"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基装项目</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702"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小耐克右侧墙面美化</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原有墙面耐克字拆掉后，电线孔贴画面美化</w:t>
            </w:r>
          </w:p>
        </w:tc>
      </w:tr>
      <w:tr>
        <w:tblPrEx>
          <w:tblCellMar>
            <w:top w:w="0" w:type="dxa"/>
            <w:left w:w="108" w:type="dxa"/>
            <w:bottom w:w="0" w:type="dxa"/>
            <w:right w:w="108" w:type="dxa"/>
          </w:tblCellMar>
        </w:tblPrEx>
        <w:trPr>
          <w:trHeight w:val="6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门楣新做ABC发光字</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门楣新做ABC发光字</w:t>
            </w:r>
          </w:p>
        </w:tc>
      </w:tr>
      <w:tr>
        <w:tblPrEx>
          <w:tblCellMar>
            <w:top w:w="0" w:type="dxa"/>
            <w:left w:w="108" w:type="dxa"/>
            <w:bottom w:w="0" w:type="dxa"/>
            <w:right w:w="108" w:type="dxa"/>
          </w:tblCellMar>
        </w:tblPrEx>
        <w:trPr>
          <w:trHeight w:val="66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基装项目部分小计：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b/>
                <w:bCs/>
              </w:rPr>
            </w:pPr>
          </w:p>
        </w:tc>
      </w:tr>
      <w:tr>
        <w:tblPrEx>
          <w:tblCellMar>
            <w:top w:w="0" w:type="dxa"/>
            <w:left w:w="108" w:type="dxa"/>
            <w:bottom w:w="0" w:type="dxa"/>
            <w:right w:w="108" w:type="dxa"/>
          </w:tblCellMar>
        </w:tblPrEx>
        <w:trPr>
          <w:trHeight w:val="54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道具搬迁+修缮+再次安装+必要基装部分总计：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52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面积</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202</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单平米投入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 xml:space="preserve">0 </w:t>
            </w:r>
          </w:p>
        </w:tc>
        <w:tc>
          <w:tcPr>
            <w:tcW w:w="1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52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2FLagogo女装基装+道具移装内容（搬至3F衣拉拉）</w:t>
            </w:r>
          </w:p>
        </w:tc>
      </w:tr>
      <w:tr>
        <w:tblPrEx>
          <w:tblCellMar>
            <w:top w:w="0" w:type="dxa"/>
            <w:left w:w="108" w:type="dxa"/>
            <w:bottom w:w="0" w:type="dxa"/>
            <w:right w:w="108" w:type="dxa"/>
          </w:tblCellMar>
        </w:tblPrEx>
        <w:trPr>
          <w:trHeight w:val="45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序号</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名称</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规格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单 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单价</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数量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价格</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420"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r>
      <w:tr>
        <w:tblPrEx>
          <w:tblCellMar>
            <w:top w:w="0" w:type="dxa"/>
            <w:left w:w="108" w:type="dxa"/>
            <w:bottom w:w="0" w:type="dxa"/>
            <w:right w:w="108" w:type="dxa"/>
          </w:tblCellMar>
        </w:tblPrEx>
        <w:trPr>
          <w:trHeight w:val="10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原来位置可利用道具拆除+打包+搬运</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79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更改修缮道具拉回工厂运费及加工费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78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第一次拆+修缮道具部分小计：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55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76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放在现场可直接利旧道具+修缮后道具二次安装</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79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尺寸不合适地方新增道具</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52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5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道具迁移部分合计：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52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基装项目</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陈列墙面+仓库+试衣间隔墙</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陈列面墙面+仓库+试衣间，轻钢龙骨隔墙，预估100平米</w:t>
            </w: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墙面艺术乳涂料</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墙面单面分色艺术涂料，试衣间内部墙纸或艺术涂料</w:t>
            </w: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3</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仓库内部墙面乳胶漆</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32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仓库内部整体立邦乳胶漆</w:t>
            </w:r>
          </w:p>
        </w:tc>
      </w:tr>
      <w:tr>
        <w:tblPrEx>
          <w:tblCellMar>
            <w:top w:w="0" w:type="dxa"/>
            <w:left w:w="108" w:type="dxa"/>
            <w:bottom w:w="0" w:type="dxa"/>
            <w:right w:w="108" w:type="dxa"/>
          </w:tblCellMar>
        </w:tblPrEx>
        <w:trPr>
          <w:trHeight w:val="54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基装项目部分小计：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b/>
                <w:bCs/>
              </w:rPr>
            </w:pPr>
          </w:p>
        </w:tc>
      </w:tr>
      <w:tr>
        <w:tblPrEx>
          <w:tblCellMar>
            <w:top w:w="0" w:type="dxa"/>
            <w:left w:w="108" w:type="dxa"/>
            <w:bottom w:w="0" w:type="dxa"/>
            <w:right w:w="108" w:type="dxa"/>
          </w:tblCellMar>
        </w:tblPrEx>
        <w:trPr>
          <w:trHeight w:val="57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道具搬迁+修缮+再次安装+必要基装部分总计：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51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面积</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119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单平米投入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 xml:space="preserve">0 </w:t>
            </w:r>
          </w:p>
        </w:tc>
        <w:tc>
          <w:tcPr>
            <w:tcW w:w="1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2F艾蜜雪女装基装+道具移装内容（搬至3F随同编程）</w:t>
            </w: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序号</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名称</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规格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单 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单价</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数量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价格</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28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原来位置可利用道具拆除+打包+搬运</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 xml:space="preserve">0 </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66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更改修缮道具拉回工厂运费及加工费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 xml:space="preserve">0 </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6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第一次拆+修缮道具部分小计：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 xml:space="preserve">0 </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37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放在现场可直接利旧道具+修缮后道具二次安装</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 xml:space="preserve">0 </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81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尺寸不合适地方新增道具</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 xml:space="preserve">0 </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46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 xml:space="preserve">0 </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6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道具迁移部分合计：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 xml:space="preserve">0 </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6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基装项目</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陈列墙面+仓库+试衣间隔墙+灰色纹理仿石材墙板</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陈列面墙面+仓库+试衣间，轻钢龙骨隔墙，预估100平米</w:t>
            </w:r>
          </w:p>
        </w:tc>
      </w:tr>
      <w:tr>
        <w:tblPrEx>
          <w:tblCellMar>
            <w:top w:w="0" w:type="dxa"/>
            <w:left w:w="108" w:type="dxa"/>
            <w:bottom w:w="0" w:type="dxa"/>
            <w:right w:w="108" w:type="dxa"/>
          </w:tblCellMar>
        </w:tblPrEx>
        <w:trPr>
          <w:trHeight w:val="55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墙面乳胶漆</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墙面乳胶漆</w:t>
            </w:r>
          </w:p>
        </w:tc>
      </w:tr>
      <w:tr>
        <w:tblPrEx>
          <w:tblCellMar>
            <w:top w:w="0" w:type="dxa"/>
            <w:left w:w="108" w:type="dxa"/>
            <w:bottom w:w="0" w:type="dxa"/>
            <w:right w:w="108" w:type="dxa"/>
          </w:tblCellMar>
        </w:tblPrEx>
        <w:trPr>
          <w:trHeight w:val="55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3</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隔墙拆除</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365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原隔墙拆除，垃圾清运</w:t>
            </w:r>
          </w:p>
        </w:tc>
      </w:tr>
      <w:tr>
        <w:tblPrEx>
          <w:tblCellMar>
            <w:top w:w="0" w:type="dxa"/>
            <w:left w:w="108" w:type="dxa"/>
            <w:bottom w:w="0" w:type="dxa"/>
            <w:right w:w="108" w:type="dxa"/>
          </w:tblCellMar>
        </w:tblPrEx>
        <w:trPr>
          <w:trHeight w:val="55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4</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主电源</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重新放电缆（3*6电缆100米）</w:t>
            </w:r>
          </w:p>
        </w:tc>
      </w:tr>
      <w:tr>
        <w:tblPrEx>
          <w:tblCellMar>
            <w:top w:w="0" w:type="dxa"/>
            <w:left w:w="108" w:type="dxa"/>
            <w:bottom w:w="0" w:type="dxa"/>
            <w:right w:w="108" w:type="dxa"/>
          </w:tblCellMar>
        </w:tblPrEx>
        <w:trPr>
          <w:trHeight w:val="55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5</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灯具、拆座电源恢复</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3*2.5电线约30米</w:t>
            </w:r>
          </w:p>
          <w:p>
            <w:pPr>
              <w:widowControl/>
              <w:jc w:val="left"/>
              <w:textAlignment w:val="center"/>
              <w:rPr>
                <w:rFonts w:cs="宋体"/>
              </w:rPr>
            </w:pPr>
            <w:r>
              <w:rPr>
                <w:rFonts w:hint="eastAsia" w:cs="宋体"/>
              </w:rPr>
              <w:t>3*4电线约50米</w:t>
            </w:r>
          </w:p>
        </w:tc>
      </w:tr>
      <w:tr>
        <w:tblPrEx>
          <w:tblCellMar>
            <w:top w:w="0" w:type="dxa"/>
            <w:left w:w="108" w:type="dxa"/>
            <w:bottom w:w="0" w:type="dxa"/>
            <w:right w:w="108" w:type="dxa"/>
          </w:tblCellMar>
        </w:tblPrEx>
        <w:trPr>
          <w:trHeight w:val="55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6</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仓库墙面乳胶漆</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32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仓库整体立邦净味120乳胶漆</w:t>
            </w:r>
          </w:p>
        </w:tc>
      </w:tr>
      <w:tr>
        <w:tblPrEx>
          <w:tblCellMar>
            <w:top w:w="0" w:type="dxa"/>
            <w:left w:w="108" w:type="dxa"/>
            <w:bottom w:w="0" w:type="dxa"/>
            <w:right w:w="108" w:type="dxa"/>
          </w:tblCellMar>
        </w:tblPrEx>
        <w:trPr>
          <w:trHeight w:val="51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基装项目部分小计：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b/>
                <w:bCs/>
              </w:rPr>
            </w:pPr>
          </w:p>
        </w:tc>
      </w:tr>
      <w:tr>
        <w:tblPrEx>
          <w:tblCellMar>
            <w:top w:w="0" w:type="dxa"/>
            <w:left w:w="108" w:type="dxa"/>
            <w:bottom w:w="0" w:type="dxa"/>
            <w:right w:w="108" w:type="dxa"/>
          </w:tblCellMar>
        </w:tblPrEx>
        <w:trPr>
          <w:trHeight w:val="51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道具搬迁+修缮+再次安装+必要基装部分总计：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面积</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133</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单平米投入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 xml:space="preserve">0 </w:t>
            </w:r>
          </w:p>
        </w:tc>
        <w:tc>
          <w:tcPr>
            <w:tcW w:w="1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52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2F虫二女装基装+道具移装内容（搬至3F柒鑫母婴）</w:t>
            </w:r>
          </w:p>
        </w:tc>
      </w:tr>
      <w:tr>
        <w:tblPrEx>
          <w:tblCellMar>
            <w:top w:w="0" w:type="dxa"/>
            <w:left w:w="108" w:type="dxa"/>
            <w:bottom w:w="0" w:type="dxa"/>
            <w:right w:w="108" w:type="dxa"/>
          </w:tblCellMar>
        </w:tblPrEx>
        <w:trPr>
          <w:trHeight w:val="4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序号</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名称</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规格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单 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单价</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数量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价格</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28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原来位置可利用道具拆除+打包+搬运</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63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更改修缮道具拉回工厂运费及加工费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9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第一次拆+修缮道具部分小计：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rPr>
            </w:pPr>
          </w:p>
        </w:tc>
      </w:tr>
      <w:tr>
        <w:tblPrEx>
          <w:tblCellMar>
            <w:top w:w="0" w:type="dxa"/>
            <w:left w:w="108" w:type="dxa"/>
            <w:bottom w:w="0" w:type="dxa"/>
            <w:right w:w="108" w:type="dxa"/>
          </w:tblCellMar>
        </w:tblPrEx>
        <w:trPr>
          <w:trHeight w:val="28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放在现场可直接利旧道具+修缮后道具二次安装</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69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尺寸不合适地方新增道具</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42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rPr>
            </w:pPr>
          </w:p>
        </w:tc>
      </w:tr>
      <w:tr>
        <w:tblPrEx>
          <w:tblCellMar>
            <w:top w:w="0" w:type="dxa"/>
            <w:left w:w="108" w:type="dxa"/>
            <w:bottom w:w="0" w:type="dxa"/>
            <w:right w:w="108" w:type="dxa"/>
          </w:tblCellMar>
        </w:tblPrEx>
        <w:trPr>
          <w:trHeight w:val="42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道具迁移部分合计：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rPr>
            </w:pPr>
          </w:p>
        </w:tc>
      </w:tr>
      <w:tr>
        <w:tblPrEx>
          <w:tblCellMar>
            <w:top w:w="0" w:type="dxa"/>
            <w:left w:w="108" w:type="dxa"/>
            <w:bottom w:w="0" w:type="dxa"/>
            <w:right w:w="108" w:type="dxa"/>
          </w:tblCellMar>
        </w:tblPrEx>
        <w:trPr>
          <w:trHeight w:val="420"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基装项目</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rPr>
            </w:pPr>
          </w:p>
        </w:tc>
      </w:tr>
      <w:tr>
        <w:tblPrEx>
          <w:tblCellMar>
            <w:top w:w="0" w:type="dxa"/>
            <w:left w:w="108" w:type="dxa"/>
            <w:bottom w:w="0" w:type="dxa"/>
            <w:right w:w="108" w:type="dxa"/>
          </w:tblCellMar>
        </w:tblPrEx>
        <w:trPr>
          <w:trHeight w:val="5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陈列墙面+仓库+试衣间隔墙</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陈列面墙面+仓库+试衣间，轻钢龙骨隔墙，预估100平米</w:t>
            </w:r>
          </w:p>
        </w:tc>
      </w:tr>
      <w:tr>
        <w:tblPrEx>
          <w:tblCellMar>
            <w:top w:w="0" w:type="dxa"/>
            <w:left w:w="108" w:type="dxa"/>
            <w:bottom w:w="0" w:type="dxa"/>
            <w:right w:w="108" w:type="dxa"/>
          </w:tblCellMar>
        </w:tblPrEx>
        <w:trPr>
          <w:trHeight w:val="5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墙面艺术乳涂料</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墙面单面艺术涂料</w:t>
            </w:r>
          </w:p>
        </w:tc>
      </w:tr>
      <w:tr>
        <w:tblPrEx>
          <w:tblCellMar>
            <w:top w:w="0" w:type="dxa"/>
            <w:left w:w="108" w:type="dxa"/>
            <w:bottom w:w="0" w:type="dxa"/>
            <w:right w:w="108" w:type="dxa"/>
          </w:tblCellMar>
        </w:tblPrEx>
        <w:trPr>
          <w:trHeight w:val="5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3</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仓库墙面乳胶漆</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32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仓库整体乳胶漆</w:t>
            </w:r>
          </w:p>
        </w:tc>
      </w:tr>
      <w:tr>
        <w:tblPrEx>
          <w:tblCellMar>
            <w:top w:w="0" w:type="dxa"/>
            <w:left w:w="108" w:type="dxa"/>
            <w:bottom w:w="0" w:type="dxa"/>
            <w:right w:w="108" w:type="dxa"/>
          </w:tblCellMar>
        </w:tblPrEx>
        <w:trPr>
          <w:trHeight w:val="5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4</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橱窗搬迁</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玻璃橱窗搬迁+损坏预估</w:t>
            </w:r>
          </w:p>
        </w:tc>
      </w:tr>
      <w:tr>
        <w:tblPrEx>
          <w:tblCellMar>
            <w:top w:w="0" w:type="dxa"/>
            <w:left w:w="108" w:type="dxa"/>
            <w:bottom w:w="0" w:type="dxa"/>
            <w:right w:w="108" w:type="dxa"/>
          </w:tblCellMar>
        </w:tblPrEx>
        <w:trPr>
          <w:trHeight w:val="51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基装项目部分小计：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b/>
                <w:bCs/>
              </w:rPr>
            </w:pPr>
          </w:p>
        </w:tc>
      </w:tr>
      <w:tr>
        <w:tblPrEx>
          <w:tblCellMar>
            <w:top w:w="0" w:type="dxa"/>
            <w:left w:w="108" w:type="dxa"/>
            <w:bottom w:w="0" w:type="dxa"/>
            <w:right w:w="108" w:type="dxa"/>
          </w:tblCellMar>
        </w:tblPrEx>
        <w:trPr>
          <w:trHeight w:val="51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道具搬迁+修缮+再次安装+必要基装部分总计：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面积</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110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单平米投入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 xml:space="preserve">0 </w:t>
            </w:r>
          </w:p>
        </w:tc>
        <w:tc>
          <w:tcPr>
            <w:tcW w:w="1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52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2F好波基装+道具移装内容（搬至2F爱蜜雪）</w:t>
            </w:r>
          </w:p>
        </w:tc>
      </w:tr>
      <w:tr>
        <w:tblPrEx>
          <w:tblCellMar>
            <w:top w:w="0" w:type="dxa"/>
            <w:left w:w="108" w:type="dxa"/>
            <w:bottom w:w="0" w:type="dxa"/>
            <w:right w:w="108" w:type="dxa"/>
          </w:tblCellMar>
        </w:tblPrEx>
        <w:trPr>
          <w:trHeight w:val="52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序号</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名称</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规格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单 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单价</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数量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价格</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52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原来位置可利用道具拆除+打包+搬运</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66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更改修缮道具拉回工厂运费及加工费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6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第一次拆+修缮道具部分小计：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46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放在现场可直接利旧道具+修缮后道具二次安装</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76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尺寸不合适地方新增道具</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46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6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道具迁移部分合计：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6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基装项目</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58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陈列墙面+仓库+试衣间隔墙</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60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陈列面墙面+仓库+试衣间，轻钢龙骨隔墙，预估60平米</w:t>
            </w:r>
          </w:p>
        </w:tc>
      </w:tr>
      <w:tr>
        <w:tblPrEx>
          <w:tblCellMar>
            <w:top w:w="0" w:type="dxa"/>
            <w:left w:w="108" w:type="dxa"/>
            <w:bottom w:w="0" w:type="dxa"/>
            <w:right w:w="108" w:type="dxa"/>
          </w:tblCellMar>
        </w:tblPrEx>
        <w:trPr>
          <w:trHeight w:val="58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墙面乳胶漆</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60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墙面乳胶漆</w:t>
            </w:r>
          </w:p>
        </w:tc>
      </w:tr>
      <w:tr>
        <w:tblPrEx>
          <w:tblCellMar>
            <w:top w:w="0" w:type="dxa"/>
            <w:left w:w="108" w:type="dxa"/>
            <w:bottom w:w="0" w:type="dxa"/>
            <w:right w:w="108" w:type="dxa"/>
          </w:tblCellMar>
        </w:tblPrEx>
        <w:trPr>
          <w:trHeight w:val="58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3</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仓库墙面乳胶漆</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20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仓库整体立邦乳胶漆</w:t>
            </w:r>
          </w:p>
        </w:tc>
      </w:tr>
      <w:tr>
        <w:tblPrEx>
          <w:tblCellMar>
            <w:top w:w="0" w:type="dxa"/>
            <w:left w:w="108" w:type="dxa"/>
            <w:bottom w:w="0" w:type="dxa"/>
            <w:right w:w="108" w:type="dxa"/>
          </w:tblCellMar>
        </w:tblPrEx>
        <w:trPr>
          <w:trHeight w:val="58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4</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橱窗搬迁</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 xml:space="preserve">玻璃橱窗搬迁+损坏预估 </w:t>
            </w:r>
          </w:p>
        </w:tc>
      </w:tr>
      <w:tr>
        <w:tblPrEx>
          <w:tblCellMar>
            <w:top w:w="0" w:type="dxa"/>
            <w:left w:w="108" w:type="dxa"/>
            <w:bottom w:w="0" w:type="dxa"/>
            <w:right w:w="108" w:type="dxa"/>
          </w:tblCellMar>
        </w:tblPrEx>
        <w:trPr>
          <w:trHeight w:val="46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基装项目部分小计：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b/>
                <w:bCs/>
              </w:rPr>
            </w:pPr>
          </w:p>
        </w:tc>
      </w:tr>
      <w:tr>
        <w:tblPrEx>
          <w:tblCellMar>
            <w:top w:w="0" w:type="dxa"/>
            <w:left w:w="108" w:type="dxa"/>
            <w:bottom w:w="0" w:type="dxa"/>
            <w:right w:w="108" w:type="dxa"/>
          </w:tblCellMar>
        </w:tblPrEx>
        <w:trPr>
          <w:trHeight w:val="46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道具搬迁+修缮+再次安装+基装部分总计：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面积</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110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单平米投入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 xml:space="preserve">0 </w:t>
            </w:r>
          </w:p>
        </w:tc>
        <w:tc>
          <w:tcPr>
            <w:tcW w:w="1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51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2F洁牌女装基装+道具移装内容（搬至3F-16）</w:t>
            </w:r>
          </w:p>
        </w:tc>
      </w:tr>
      <w:tr>
        <w:tblPrEx>
          <w:tblCellMar>
            <w:top w:w="0" w:type="dxa"/>
            <w:left w:w="108" w:type="dxa"/>
            <w:bottom w:w="0" w:type="dxa"/>
            <w:right w:w="108" w:type="dxa"/>
          </w:tblCellMar>
        </w:tblPrEx>
        <w:trPr>
          <w:trHeight w:val="51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序号</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名称</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规格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单 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单价</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数量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价格</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510"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原来位置可利用道具拆除+打包+搬运</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更改修缮道具拉回工厂运费及加工费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37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第一次拆+修缮道具部分小计：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37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放在现场可直接利旧道具+修缮后道具二次安装</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73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尺寸不合适地方新增道具</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46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6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道具迁移部分合计：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20"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基装项目</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陈列墙面+仓库+试衣间隔墙+圆弧造型隔墙</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110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陈列面墙面+仓库+试衣间，轻钢龙骨隔墙，预估110平米</w:t>
            </w:r>
          </w:p>
        </w:tc>
      </w:tr>
      <w:tr>
        <w:tblPrEx>
          <w:tblCellMar>
            <w:top w:w="0" w:type="dxa"/>
            <w:left w:w="108" w:type="dxa"/>
            <w:bottom w:w="0" w:type="dxa"/>
            <w:right w:w="108" w:type="dxa"/>
          </w:tblCellMar>
        </w:tblPrEx>
        <w:trPr>
          <w:trHeight w:val="28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墙面艺术乳涂料</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160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墙面单面艺术涂料，试衣间内部墙纸，墙面隔墙基本单面，试衣间双面</w:t>
            </w:r>
          </w:p>
        </w:tc>
      </w:tr>
      <w:tr>
        <w:tblPrEx>
          <w:tblCellMar>
            <w:top w:w="0" w:type="dxa"/>
            <w:left w:w="108" w:type="dxa"/>
            <w:bottom w:w="0" w:type="dxa"/>
            <w:right w:w="108" w:type="dxa"/>
          </w:tblCellMar>
        </w:tblPrEx>
        <w:trPr>
          <w:trHeight w:val="37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3</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仓库墙面乳胶漆</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32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仓库整体立邦乳胶漆</w:t>
            </w:r>
          </w:p>
        </w:tc>
      </w:tr>
      <w:tr>
        <w:tblPrEx>
          <w:tblCellMar>
            <w:top w:w="0" w:type="dxa"/>
            <w:left w:w="108" w:type="dxa"/>
            <w:bottom w:w="0" w:type="dxa"/>
            <w:right w:w="108" w:type="dxa"/>
          </w:tblCellMar>
        </w:tblPrEx>
        <w:trPr>
          <w:trHeight w:val="52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基装项目部分小计：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b/>
                <w:bCs/>
              </w:rPr>
            </w:pPr>
          </w:p>
        </w:tc>
      </w:tr>
      <w:tr>
        <w:tblPrEx>
          <w:tblCellMar>
            <w:top w:w="0" w:type="dxa"/>
            <w:left w:w="108" w:type="dxa"/>
            <w:bottom w:w="0" w:type="dxa"/>
            <w:right w:w="108" w:type="dxa"/>
          </w:tblCellMar>
        </w:tblPrEx>
        <w:trPr>
          <w:trHeight w:val="52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道具搬迁+修缮+再次安装+基装部分总计：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面积</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114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单平米投入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 xml:space="preserve">0 </w:t>
            </w:r>
          </w:p>
        </w:tc>
        <w:tc>
          <w:tcPr>
            <w:tcW w:w="1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49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2F梦丝锦家纺基装+道具移装内容（搬至2F-14好波）</w:t>
            </w:r>
          </w:p>
        </w:tc>
      </w:tr>
      <w:tr>
        <w:tblPrEx>
          <w:tblCellMar>
            <w:top w:w="0" w:type="dxa"/>
            <w:left w:w="108" w:type="dxa"/>
            <w:bottom w:w="0" w:type="dxa"/>
            <w:right w:w="108" w:type="dxa"/>
          </w:tblCellMar>
        </w:tblPrEx>
        <w:trPr>
          <w:trHeight w:val="49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序号</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名称</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规格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单 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单价</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数量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价格</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49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原来位置可利用道具拆除+打包+搬运</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更改修缮道具拉回工厂运费及加工费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0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第一次拆+修缮道具部分小计：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40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放在现场可直接利旧道具+修缮后道具二次安装</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尺寸不合适地方新增道具</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46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6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道具迁移部分合计：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b/>
                <w:bCs/>
              </w:rPr>
            </w:pP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面积</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134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单平米投入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 xml:space="preserve">0 </w:t>
            </w:r>
          </w:p>
        </w:tc>
        <w:tc>
          <w:tcPr>
            <w:tcW w:w="1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5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1F欧泊莱厅房道具移装内容（搬至1F-14-5HR箱包）</w:t>
            </w:r>
          </w:p>
        </w:tc>
      </w:tr>
      <w:tr>
        <w:tblPrEx>
          <w:tblCellMar>
            <w:top w:w="0" w:type="dxa"/>
            <w:left w:w="108" w:type="dxa"/>
            <w:bottom w:w="0" w:type="dxa"/>
            <w:right w:w="108" w:type="dxa"/>
          </w:tblCellMar>
        </w:tblPrEx>
        <w:trPr>
          <w:trHeight w:val="58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序号</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名称</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规格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单 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单价</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数量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价格</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58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r>
      <w:tr>
        <w:tblPrEx>
          <w:tblCellMar>
            <w:top w:w="0" w:type="dxa"/>
            <w:left w:w="108" w:type="dxa"/>
            <w:bottom w:w="0" w:type="dxa"/>
            <w:right w:w="108" w:type="dxa"/>
          </w:tblCellMar>
        </w:tblPrEx>
        <w:trPr>
          <w:trHeight w:val="615" w:hRule="atLeast"/>
        </w:trPr>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原来位置可利用道具拆除+打包+搬运</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L7880*W6380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专业道具制作厂家作无损拆除，无法避免损坏部件，需要拉回道具厂恢复原样修复或新制作补上</w:t>
            </w:r>
          </w:p>
        </w:tc>
      </w:tr>
      <w:tr>
        <w:tblPrEx>
          <w:tblCellMar>
            <w:top w:w="0" w:type="dxa"/>
            <w:left w:w="108" w:type="dxa"/>
            <w:bottom w:w="0" w:type="dxa"/>
            <w:right w:w="108" w:type="dxa"/>
          </w:tblCellMar>
        </w:tblPrEx>
        <w:trPr>
          <w:trHeight w:val="615" w:hRule="atLeast"/>
        </w:trPr>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更改修缮道具拉回工厂运费及加工费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510"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放在现场可直接利旧道具+修缮后道具二次安装</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16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新做欧泊莱一圈柜楣+外圈灯带</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灯带：L6000+5800+6000+5800=23.6米柜楣：2*4面=8米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31.6</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按欧泊莱款式1：1新做欧泊莱一圈柜楣+外圈灯带，合计31.6米</w:t>
            </w:r>
          </w:p>
        </w:tc>
      </w:tr>
      <w:tr>
        <w:tblPrEx>
          <w:tblCellMar>
            <w:top w:w="0" w:type="dxa"/>
            <w:left w:w="108" w:type="dxa"/>
            <w:bottom w:w="0" w:type="dxa"/>
            <w:right w:w="108" w:type="dxa"/>
          </w:tblCellMar>
        </w:tblPrEx>
        <w:trPr>
          <w:trHeight w:val="51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51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道具迁移部分合计：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b/>
                <w:bCs/>
              </w:rPr>
            </w:pP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面积</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34</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单平米投入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 xml:space="preserve">0 </w:t>
            </w:r>
          </w:p>
        </w:tc>
        <w:tc>
          <w:tcPr>
            <w:tcW w:w="1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55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2F青俏女装基装+道具移装内容（搬至3F随同编程）</w:t>
            </w:r>
          </w:p>
        </w:tc>
      </w:tr>
      <w:tr>
        <w:tblPrEx>
          <w:tblCellMar>
            <w:top w:w="0" w:type="dxa"/>
            <w:left w:w="108" w:type="dxa"/>
            <w:bottom w:w="0" w:type="dxa"/>
            <w:right w:w="108" w:type="dxa"/>
          </w:tblCellMar>
        </w:tblPrEx>
        <w:trPr>
          <w:trHeight w:val="55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序号</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名称</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规格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单 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单价</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数量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价格</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原来位置可利用道具拆除+打包+搬运</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70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更改修缮道具拉回工厂运费及加工费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2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第一次拆+修缮道具部分小计：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420"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放在现场可直接利旧道具+修缮后道具二次安装</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67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尺寸不合适地方新增道具</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67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3</w:t>
            </w:r>
          </w:p>
        </w:tc>
        <w:tc>
          <w:tcPr>
            <w:tcW w:w="1176" w:type="pct"/>
            <w:tcBorders>
              <w:top w:val="single" w:color="000000" w:sz="4" w:space="0"/>
              <w:left w:val="nil"/>
              <w:bottom w:val="single" w:color="000000" w:sz="4" w:space="0"/>
              <w:right w:val="nil"/>
            </w:tcBorders>
            <w:shd w:val="clear" w:color="auto" w:fill="auto"/>
            <w:vAlign w:val="center"/>
          </w:tcPr>
          <w:p>
            <w:pPr>
              <w:widowControl/>
              <w:jc w:val="center"/>
              <w:textAlignment w:val="center"/>
              <w:rPr>
                <w:rFonts w:cs="宋体"/>
              </w:rPr>
            </w:pPr>
            <w:r>
              <w:rPr>
                <w:rFonts w:hint="eastAsia" w:cs="宋体"/>
              </w:rPr>
              <w:t>灯具、拆座电源恢复</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3*4电线约50米</w:t>
            </w:r>
          </w:p>
          <w:p>
            <w:pPr>
              <w:widowControl/>
              <w:jc w:val="left"/>
              <w:textAlignment w:val="center"/>
              <w:rPr>
                <w:rFonts w:cs="宋体"/>
              </w:rPr>
            </w:pPr>
            <w:r>
              <w:rPr>
                <w:rFonts w:hint="eastAsia" w:cs="宋体"/>
              </w:rPr>
              <w:t>3*2.5电线约100米</w:t>
            </w:r>
          </w:p>
        </w:tc>
      </w:tr>
      <w:tr>
        <w:tblPrEx>
          <w:tblCellMar>
            <w:top w:w="0" w:type="dxa"/>
            <w:left w:w="108" w:type="dxa"/>
            <w:bottom w:w="0" w:type="dxa"/>
            <w:right w:w="108" w:type="dxa"/>
          </w:tblCellMar>
        </w:tblPrEx>
        <w:trPr>
          <w:trHeight w:val="64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55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道具迁移部分合计：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b/>
                <w:bCs/>
              </w:rPr>
            </w:pP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面积</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158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单平米投入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 xml:space="preserve">0 </w:t>
            </w:r>
          </w:p>
        </w:tc>
        <w:tc>
          <w:tcPr>
            <w:tcW w:w="1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51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1F水星家纺基装+道具移装内容（搬至2F-15哦亿）</w:t>
            </w:r>
          </w:p>
        </w:tc>
      </w:tr>
      <w:tr>
        <w:tblPrEx>
          <w:tblCellMar>
            <w:top w:w="0" w:type="dxa"/>
            <w:left w:w="108" w:type="dxa"/>
            <w:bottom w:w="0" w:type="dxa"/>
            <w:right w:w="108" w:type="dxa"/>
          </w:tblCellMar>
        </w:tblPrEx>
        <w:trPr>
          <w:trHeight w:val="51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序号</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名称</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规格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单 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单价</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数量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价格</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510"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原来位置可利用道具拆除+打包+搬运</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bdr w:val="single" w:color="000000" w:sz="4" w:space="0"/>
              </w:rPr>
              <w:drawing>
                <wp:anchor distT="0" distB="0" distL="114300" distR="114300" simplePos="0" relativeHeight="251661312" behindDoc="0" locked="0" layoutInCell="1" allowOverlap="1">
                  <wp:simplePos x="0" y="0"/>
                  <wp:positionH relativeFrom="column">
                    <wp:posOffset>0</wp:posOffset>
                  </wp:positionH>
                  <wp:positionV relativeFrom="paragraph">
                    <wp:posOffset>390525</wp:posOffset>
                  </wp:positionV>
                  <wp:extent cx="771525" cy="0"/>
                  <wp:effectExtent l="0" t="0" r="0" b="0"/>
                  <wp:wrapNone/>
                  <wp:docPr id="88" name="图片_1"/>
                  <wp:cNvGraphicFramePr/>
                  <a:graphic xmlns:a="http://schemas.openxmlformats.org/drawingml/2006/main">
                    <a:graphicData uri="http://schemas.openxmlformats.org/drawingml/2006/picture">
                      <pic:pic xmlns:pic="http://schemas.openxmlformats.org/drawingml/2006/picture">
                        <pic:nvPicPr>
                          <pic:cNvPr id="88" name="图片_1"/>
                          <pic:cNvPicPr/>
                        </pic:nvPicPr>
                        <pic:blipFill>
                          <a:blip r:embed="rId9"/>
                          <a:stretch>
                            <a:fillRect/>
                          </a:stretch>
                        </pic:blipFill>
                        <pic:spPr>
                          <a:xfrm>
                            <a:off x="0" y="0"/>
                            <a:ext cx="771525" cy="0"/>
                          </a:xfrm>
                          <a:prstGeom prst="rect">
                            <a:avLst/>
                          </a:prstGeom>
                          <a:noFill/>
                          <a:ln>
                            <a:noFill/>
                          </a:ln>
                        </pic:spPr>
                      </pic:pic>
                    </a:graphicData>
                  </a:graphic>
                </wp:anchor>
              </w:drawing>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更改修缮道具拉回工厂运费及加工费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8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第一次拆+修缮道具部分小计：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480"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82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放在现场可直接利旧道具+修缮后道具二次安装</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尺寸不合适地方新增道具</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54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54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道具迁移部分合计：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面积</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150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单平米投入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 xml:space="preserve">0 </w:t>
            </w:r>
          </w:p>
        </w:tc>
        <w:tc>
          <w:tcPr>
            <w:tcW w:w="1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2F熙然女装基装+道具移装内容（搬至3F小阿迪）</w:t>
            </w:r>
          </w:p>
        </w:tc>
      </w:tr>
      <w:tr>
        <w:tblPrEx>
          <w:tblCellMar>
            <w:top w:w="0" w:type="dxa"/>
            <w:left w:w="108" w:type="dxa"/>
            <w:bottom w:w="0" w:type="dxa"/>
            <w:right w:w="108" w:type="dxa"/>
          </w:tblCellMar>
        </w:tblPrEx>
        <w:trPr>
          <w:trHeight w:val="6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序号</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名称</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规格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单 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单价</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数量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价格</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600"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原来位置可利用道具拆除+打包+搬运</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更改修缮道具拉回工厂运费及加工费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5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第一次拆+修缮道具部分小计：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450"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放在现场可直接利旧道具+修缮后道具二次安装</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尺寸不合适地方新增道具</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49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9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道具迁移部分合计：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9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必要由道具厂一并施工基装项目</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陈列墙面+仓库+试衣间隔墙+圆弧造型隔墙</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120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陈列面墙面+仓库+试衣间，轻钢龙骨隔墙，预估120平米</w:t>
            </w:r>
          </w:p>
        </w:tc>
      </w:tr>
      <w:tr>
        <w:tblPrEx>
          <w:tblCellMar>
            <w:top w:w="0" w:type="dxa"/>
            <w:left w:w="108" w:type="dxa"/>
            <w:bottom w:w="0" w:type="dxa"/>
            <w:right w:w="108" w:type="dxa"/>
          </w:tblCellMar>
        </w:tblPrEx>
        <w:trPr>
          <w:trHeight w:val="28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墙面艺术乳涂料</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200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墙面单面艺术涂料，试衣间内部墙纸，很多隔墙是双面的面积多算一点</w:t>
            </w:r>
          </w:p>
        </w:tc>
      </w:tr>
      <w:tr>
        <w:tblPrEx>
          <w:tblCellMar>
            <w:top w:w="0" w:type="dxa"/>
            <w:left w:w="108" w:type="dxa"/>
            <w:bottom w:w="0" w:type="dxa"/>
            <w:right w:w="108" w:type="dxa"/>
          </w:tblCellMar>
        </w:tblPrEx>
        <w:trPr>
          <w:trHeight w:val="55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3</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仓库墙面乳胶漆</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32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仓库整体立邦净味120乳胶漆</w:t>
            </w:r>
          </w:p>
        </w:tc>
      </w:tr>
      <w:tr>
        <w:tblPrEx>
          <w:tblCellMar>
            <w:top w:w="0" w:type="dxa"/>
            <w:left w:w="108" w:type="dxa"/>
            <w:bottom w:w="0" w:type="dxa"/>
            <w:right w:w="108" w:type="dxa"/>
          </w:tblCellMar>
        </w:tblPrEx>
        <w:trPr>
          <w:trHeight w:val="55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4</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橱窗搬迁</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玻璃橱窗搬迁+损坏预估</w:t>
            </w:r>
          </w:p>
        </w:tc>
      </w:tr>
      <w:tr>
        <w:tblPrEx>
          <w:tblCellMar>
            <w:top w:w="0" w:type="dxa"/>
            <w:left w:w="108" w:type="dxa"/>
            <w:bottom w:w="0" w:type="dxa"/>
            <w:right w:w="108" w:type="dxa"/>
          </w:tblCellMar>
        </w:tblPrEx>
        <w:trPr>
          <w:trHeight w:val="51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基装项目部分小计：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b/>
                <w:bCs/>
              </w:rPr>
            </w:pPr>
          </w:p>
        </w:tc>
      </w:tr>
      <w:tr>
        <w:tblPrEx>
          <w:tblCellMar>
            <w:top w:w="0" w:type="dxa"/>
            <w:left w:w="108" w:type="dxa"/>
            <w:bottom w:w="0" w:type="dxa"/>
            <w:right w:w="108" w:type="dxa"/>
          </w:tblCellMar>
        </w:tblPrEx>
        <w:trPr>
          <w:trHeight w:val="51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道具搬迁+修缮+再次安装+必要基装部分总计：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面积</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159</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单平米投入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 xml:space="preserve">0 </w:t>
            </w:r>
          </w:p>
        </w:tc>
        <w:tc>
          <w:tcPr>
            <w:tcW w:w="1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5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3F衣拉拉道具移装内容（搬至3F捷米梵）</w:t>
            </w:r>
          </w:p>
        </w:tc>
      </w:tr>
      <w:tr>
        <w:tblPrEx>
          <w:tblCellMar>
            <w:top w:w="0" w:type="dxa"/>
            <w:left w:w="108" w:type="dxa"/>
            <w:bottom w:w="0" w:type="dxa"/>
            <w:right w:w="108" w:type="dxa"/>
          </w:tblCellMar>
        </w:tblPrEx>
        <w:trPr>
          <w:trHeight w:val="46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序号</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名称</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规格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单 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单价</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数量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价格</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480"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原来位置可利用道具拆除+打包+搬运</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更改修缮道具拉回工厂运费及加工费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28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第一次拆+修缮道具部分小计：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28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放在现场可直接利旧道具+修缮后道具二次安装</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尺寸不合适地方新增道具</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46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48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道具迁移部分合计：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b/>
                <w:bCs/>
              </w:rPr>
            </w:pP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面积</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106</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单平米投入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 xml:space="preserve">0 </w:t>
            </w:r>
          </w:p>
        </w:tc>
        <w:tc>
          <w:tcPr>
            <w:tcW w:w="1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2F易美内衣家纺基装+道具移装内容（搬至2F-13青俏）</w:t>
            </w:r>
          </w:p>
        </w:tc>
      </w:tr>
      <w:tr>
        <w:tblPrEx>
          <w:tblCellMar>
            <w:top w:w="0" w:type="dxa"/>
            <w:left w:w="108" w:type="dxa"/>
            <w:bottom w:w="0" w:type="dxa"/>
            <w:right w:w="108" w:type="dxa"/>
          </w:tblCellMar>
        </w:tblPrEx>
        <w:trPr>
          <w:trHeight w:val="49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序号</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名称</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规格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单 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单价</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数量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价格</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49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第一次拆除+修缮道具部分</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sz w:val="21"/>
                <w:szCs w:val="21"/>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原来位置可利用道具拆除+打包+搬运</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原有厅房内所有可利旧道具组织专业道具厂技术工人无损拆除+打包+搬运到新厅房安全摆放，部分需要修改的道具运回道具厂进行修改/翻新，按道具复杂程度及工程量勘测后测算</w:t>
            </w: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更改修缮道具拉回工厂运费及加工费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更改修缮道具拉回工厂运费及加工费，按道具复杂程度及工程量勘测后估算</w:t>
            </w:r>
          </w:p>
        </w:tc>
      </w:tr>
      <w:tr>
        <w:tblPrEx>
          <w:tblCellMar>
            <w:top w:w="0" w:type="dxa"/>
            <w:left w:w="108" w:type="dxa"/>
            <w:bottom w:w="0" w:type="dxa"/>
            <w:right w:w="108" w:type="dxa"/>
          </w:tblCellMar>
        </w:tblPrEx>
        <w:trPr>
          <w:trHeight w:val="49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第一次拆+修缮道具部分小计：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495"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72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放在现场可直接利旧道具+修缮后道具二次安装</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平米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可利旧道具+工厂修缮后道具再次安装到新位置</w:t>
            </w: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尺寸不合适地方新增道具</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部分尺寸不合适之处，需要新增同老款道具一样的道具，按道具复杂程度及重新布局后工程量测算</w:t>
            </w:r>
          </w:p>
        </w:tc>
      </w:tr>
      <w:tr>
        <w:tblPrEx>
          <w:tblCellMar>
            <w:top w:w="0" w:type="dxa"/>
            <w:left w:w="108" w:type="dxa"/>
            <w:bottom w:w="0" w:type="dxa"/>
            <w:right w:w="108" w:type="dxa"/>
          </w:tblCellMar>
        </w:tblPrEx>
        <w:trPr>
          <w:trHeight w:val="60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道具二次安装+新增部分小计：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285"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道具迁移部分合计：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b/>
                <w:bCs/>
              </w:rPr>
            </w:pPr>
          </w:p>
        </w:tc>
      </w:tr>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面积</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95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单平米投入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 xml:space="preserve">0 </w:t>
            </w:r>
          </w:p>
        </w:tc>
        <w:tc>
          <w:tcPr>
            <w:tcW w:w="1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如品牌位置搬迁后扩大面积，按单平米造价*面积核算</w:t>
            </w:r>
          </w:p>
        </w:tc>
      </w:tr>
      <w:tr>
        <w:tblPrEx>
          <w:tblCellMar>
            <w:top w:w="0" w:type="dxa"/>
            <w:left w:w="108" w:type="dxa"/>
            <w:bottom w:w="0" w:type="dxa"/>
            <w:right w:w="108" w:type="dxa"/>
          </w:tblCellMar>
        </w:tblPrEx>
        <w:trPr>
          <w:trHeight w:val="64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eastAsia="黑体" w:cs="黑体"/>
                <w:sz w:val="24"/>
                <w:szCs w:val="24"/>
              </w:rPr>
            </w:pPr>
            <w:r>
              <w:rPr>
                <w:rFonts w:hint="eastAsia" w:ascii="黑体" w:eastAsia="黑体" w:cs="黑体"/>
                <w:sz w:val="24"/>
                <w:szCs w:val="24"/>
              </w:rPr>
              <w:t>总服务台移装内容</w:t>
            </w:r>
          </w:p>
        </w:tc>
      </w:tr>
      <w:tr>
        <w:tblPrEx>
          <w:tblCellMar>
            <w:top w:w="0" w:type="dxa"/>
            <w:left w:w="108" w:type="dxa"/>
            <w:bottom w:w="0" w:type="dxa"/>
            <w:right w:w="108" w:type="dxa"/>
          </w:tblCellMar>
        </w:tblPrEx>
        <w:trPr>
          <w:trHeight w:val="63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序号</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名称</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规格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单 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单价</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数量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rPr>
            </w:pPr>
            <w:r>
              <w:rPr>
                <w:rFonts w:hint="eastAsia" w:cs="宋体"/>
                <w:b/>
                <w:bCs/>
              </w:rPr>
              <w:t>价格</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rPr>
            </w:pPr>
            <w:r>
              <w:rPr>
                <w:rFonts w:hint="eastAsia" w:cs="宋体"/>
                <w:b/>
                <w:bCs/>
              </w:rPr>
              <w:t>工艺说明</w:t>
            </w:r>
          </w:p>
        </w:tc>
      </w:tr>
      <w:tr>
        <w:tblPrEx>
          <w:tblCellMar>
            <w:top w:w="0" w:type="dxa"/>
            <w:left w:w="108" w:type="dxa"/>
            <w:bottom w:w="0" w:type="dxa"/>
            <w:right w:w="108" w:type="dxa"/>
          </w:tblCellMar>
        </w:tblPrEx>
        <w:trPr>
          <w:trHeight w:val="630"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方案一：搬迁</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r>
      <w:tr>
        <w:tblPrEx>
          <w:tblCellMar>
            <w:top w:w="0" w:type="dxa"/>
            <w:left w:w="108" w:type="dxa"/>
            <w:bottom w:w="0" w:type="dxa"/>
            <w:right w:w="108" w:type="dxa"/>
          </w:tblCellMar>
        </w:tblPrEx>
        <w:trPr>
          <w:trHeight w:val="79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整体搬迁费用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L5550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整体搬迁，大理石是整体后焊接的，整体尺寸太大了很可能无法搬迁，即使搬迁几乎必然导致大理石损坏</w:t>
            </w:r>
          </w:p>
        </w:tc>
      </w:tr>
      <w:tr>
        <w:tblPrEx>
          <w:tblCellMar>
            <w:top w:w="0" w:type="dxa"/>
            <w:left w:w="108" w:type="dxa"/>
            <w:bottom w:w="0" w:type="dxa"/>
            <w:right w:w="108" w:type="dxa"/>
          </w:tblCellMar>
        </w:tblPrEx>
        <w:trPr>
          <w:trHeight w:val="51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损坏修复</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sz w:val="21"/>
                <w:szCs w:val="21"/>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1"/>
                <w:szCs w:val="21"/>
              </w:rPr>
            </w:pPr>
            <w:r>
              <w:rPr>
                <w:rFonts w:hint="eastAsia" w:cs="宋体"/>
                <w:sz w:val="21"/>
                <w:szCs w:val="21"/>
              </w:rPr>
              <w:t>项</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sz w:val="21"/>
                <w:szCs w:val="21"/>
              </w:rPr>
            </w:pPr>
            <w:r>
              <w:rPr>
                <w:rFonts w:hint="eastAsia" w:cs="宋体"/>
                <w:sz w:val="21"/>
                <w:szCs w:val="21"/>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sz w:val="21"/>
                <w:szCs w:val="21"/>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大理石或台体损坏后修复费用</w:t>
            </w:r>
          </w:p>
        </w:tc>
      </w:tr>
      <w:tr>
        <w:tblPrEx>
          <w:tblCellMar>
            <w:top w:w="0" w:type="dxa"/>
            <w:left w:w="108" w:type="dxa"/>
            <w:bottom w:w="0" w:type="dxa"/>
            <w:right w:w="108" w:type="dxa"/>
          </w:tblCellMar>
        </w:tblPrEx>
        <w:trPr>
          <w:trHeight w:val="54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540" w:hRule="atLeast"/>
        </w:trPr>
        <w:tc>
          <w:tcPr>
            <w:tcW w:w="2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方案二 新做</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rPr>
            </w:pPr>
          </w:p>
        </w:tc>
      </w:tr>
      <w:tr>
        <w:tblPrEx>
          <w:tblCellMar>
            <w:top w:w="0" w:type="dxa"/>
            <w:left w:w="108" w:type="dxa"/>
            <w:bottom w:w="0" w:type="dxa"/>
            <w:right w:w="108" w:type="dxa"/>
          </w:tblCellMar>
        </w:tblPrEx>
        <w:trPr>
          <w:trHeight w:val="5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新做总服务台</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rPr>
            </w:pPr>
            <w:r>
              <w:rPr>
                <w:rFonts w:hint="eastAsia" w:cs="宋体"/>
              </w:rPr>
              <w:t>5.55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重新设计制作服务台，木结石材+不锈钢</w:t>
            </w:r>
          </w:p>
        </w:tc>
      </w:tr>
      <w:tr>
        <w:tblPrEx>
          <w:tblCellMar>
            <w:top w:w="0" w:type="dxa"/>
            <w:left w:w="108" w:type="dxa"/>
            <w:bottom w:w="0" w:type="dxa"/>
            <w:right w:w="108" w:type="dxa"/>
          </w:tblCellMar>
        </w:tblPrEx>
        <w:trPr>
          <w:trHeight w:val="54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服务台后背景利旧</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长5.48*高1.5米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rPr>
            </w:pPr>
            <w:r>
              <w:rPr>
                <w:rFonts w:hint="eastAsia" w:cs="宋体"/>
              </w:rPr>
              <w:t>服务台背景墙，木结构烤漆+发光字</w:t>
            </w:r>
          </w:p>
        </w:tc>
      </w:tr>
      <w:tr>
        <w:tblPrEx>
          <w:tblCellMar>
            <w:top w:w="0" w:type="dxa"/>
            <w:left w:w="108" w:type="dxa"/>
            <w:bottom w:w="0" w:type="dxa"/>
            <w:right w:w="108" w:type="dxa"/>
          </w:tblCellMar>
        </w:tblPrEx>
        <w:trPr>
          <w:trHeight w:val="54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小计：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r>
        <w:tblPrEx>
          <w:tblCellMar>
            <w:top w:w="0" w:type="dxa"/>
            <w:left w:w="108" w:type="dxa"/>
            <w:bottom w:w="0" w:type="dxa"/>
            <w:right w:w="108" w:type="dxa"/>
          </w:tblCellMar>
        </w:tblPrEx>
        <w:trPr>
          <w:trHeight w:val="540" w:hRule="atLeast"/>
        </w:trPr>
        <w:tc>
          <w:tcPr>
            <w:tcW w:w="3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rPr>
            </w:pPr>
            <w:r>
              <w:rPr>
                <w:rFonts w:hint="eastAsia" w:cs="宋体"/>
              </w:rPr>
              <w:t>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rPr>
            </w:pPr>
          </w:p>
        </w:tc>
      </w:tr>
    </w:tbl>
    <w:p>
      <w:pPr>
        <w:spacing w:line="440" w:lineRule="exact"/>
        <w:ind w:firstLine="4080" w:firstLineChars="1700"/>
        <w:rPr>
          <w:rFonts w:cs="@仿宋_GB2312"/>
          <w:kern w:val="2"/>
          <w:sz w:val="24"/>
          <w:szCs w:val="24"/>
        </w:rPr>
      </w:pPr>
    </w:p>
    <w:p>
      <w:pPr>
        <w:spacing w:line="440" w:lineRule="exact"/>
        <w:ind w:firstLine="4080" w:firstLineChars="1700"/>
        <w:rPr>
          <w:sz w:val="24"/>
          <w:szCs w:val="24"/>
          <w:u w:val="single"/>
        </w:rPr>
      </w:pPr>
      <w:r>
        <w:rPr>
          <w:rFonts w:hint="eastAsia" w:cs="@仿宋_GB2312"/>
          <w:kern w:val="2"/>
          <w:sz w:val="24"/>
          <w:szCs w:val="24"/>
        </w:rPr>
        <w:t>投标人电子签章或公章：</w:t>
      </w:r>
    </w:p>
    <w:p>
      <w:pPr>
        <w:spacing w:line="440" w:lineRule="exact"/>
        <w:ind w:firstLine="4800" w:firstLineChars="2000"/>
        <w:rPr>
          <w:sz w:val="24"/>
          <w:szCs w:val="24"/>
          <w:u w:val="single"/>
        </w:rPr>
      </w:pPr>
      <w:r>
        <w:rPr>
          <w:rFonts w:hint="eastAsia"/>
          <w:sz w:val="24"/>
          <w:szCs w:val="24"/>
        </w:rPr>
        <w:t>日      期：</w:t>
      </w:r>
    </w:p>
    <w:p>
      <w:pPr>
        <w:pStyle w:val="30"/>
        <w:spacing w:line="360" w:lineRule="auto"/>
        <w:jc w:val="right"/>
        <w:rPr>
          <w:rFonts w:ascii="宋体" w:hAnsi="宋体"/>
          <w:sz w:val="24"/>
        </w:rPr>
      </w:pPr>
    </w:p>
    <w:p>
      <w:pPr>
        <w:adjustRightInd w:val="0"/>
        <w:snapToGrid w:val="0"/>
        <w:spacing w:line="360" w:lineRule="auto"/>
        <w:rPr>
          <w:rFonts w:asciiTheme="minorEastAsia" w:hAnsiTheme="minorEastAsia" w:eastAsiaTheme="minorEastAsia"/>
          <w:sz w:val="24"/>
        </w:rPr>
        <w:sectPr>
          <w:pgSz w:w="11906" w:h="16838"/>
          <w:pgMar w:top="1440" w:right="1803" w:bottom="1440" w:left="1803" w:header="851" w:footer="992" w:gutter="0"/>
          <w:cols w:space="0" w:num="1"/>
          <w:docGrid w:type="lines" w:linePitch="319" w:charSpace="0"/>
        </w:sectPr>
      </w:pPr>
      <w:r>
        <w:rPr>
          <w:rFonts w:hint="eastAsia" w:asciiTheme="minorEastAsia" w:hAnsiTheme="minorEastAsia" w:eastAsiaTheme="minorEastAsia"/>
          <w:b/>
          <w:bCs/>
          <w:sz w:val="24"/>
          <w:szCs w:val="28"/>
        </w:rPr>
        <w:t>备注：</w:t>
      </w:r>
      <w:r>
        <w:rPr>
          <w:rFonts w:hint="eastAsia" w:asciiTheme="minorEastAsia" w:hAnsiTheme="minorEastAsia"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pPr>
        <w:spacing w:line="360" w:lineRule="auto"/>
        <w:jc w:val="center"/>
        <w:outlineLvl w:val="1"/>
        <w:rPr>
          <w:rFonts w:asciiTheme="minorEastAsia" w:hAnsiTheme="minorEastAsia" w:eastAsiaTheme="minorEastAsia"/>
          <w:b/>
          <w:sz w:val="24"/>
        </w:rPr>
      </w:pPr>
      <w:bookmarkStart w:id="70" w:name="_Toc461053087"/>
      <w:bookmarkStart w:id="71" w:name="_Toc461056632"/>
      <w:bookmarkStart w:id="72" w:name="_Toc17621"/>
      <w:bookmarkStart w:id="73" w:name="_Toc520983588"/>
      <w:r>
        <w:rPr>
          <w:rFonts w:hint="eastAsia" w:asciiTheme="minorEastAsia" w:hAnsiTheme="minorEastAsia" w:eastAsiaTheme="minorEastAsia"/>
          <w:b/>
          <w:sz w:val="24"/>
        </w:rPr>
        <w:t>二</w:t>
      </w:r>
      <w:bookmarkEnd w:id="70"/>
      <w:bookmarkEnd w:id="71"/>
      <w:r>
        <w:rPr>
          <w:rFonts w:hint="eastAsia" w:asciiTheme="minorEastAsia" w:hAnsiTheme="minorEastAsia" w:eastAsiaTheme="minorEastAsia"/>
          <w:b/>
          <w:sz w:val="24"/>
        </w:rPr>
        <w:t>、第_____轮报价</w:t>
      </w:r>
      <w:bookmarkEnd w:id="72"/>
      <w:bookmarkEnd w:id="73"/>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百大心悦城商户道具移装项目</w:t>
      </w:r>
    </w:p>
    <w:p>
      <w:pPr>
        <w:snapToGrid w:val="0"/>
        <w:spacing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2025HEFQJ00138</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5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谈判</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pPr>
              <w:spacing w:line="360" w:lineRule="auto"/>
              <w:jc w:val="center"/>
              <w:rPr>
                <w:rFonts w:cs="@仿宋_GB2312"/>
                <w:b/>
                <w:kern w:val="2"/>
                <w:sz w:val="24"/>
              </w:rPr>
            </w:pPr>
            <w:r>
              <w:rPr>
                <w:rFonts w:hint="eastAsia" w:cs="@仿宋_GB2312"/>
                <w:b/>
                <w:bCs/>
                <w:kern w:val="2"/>
                <w:sz w:val="24"/>
                <w:szCs w:val="28"/>
              </w:rPr>
              <w:t>最终投标报价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pPr>
              <w:snapToGrid w:val="0"/>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Cs/>
                <w:kern w:val="2"/>
                <w:sz w:val="24"/>
                <w:szCs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供货（安装）周期</w:t>
            </w:r>
          </w:p>
        </w:tc>
        <w:tc>
          <w:tcPr>
            <w:tcW w:w="3490" w:type="pct"/>
            <w:vAlign w:val="center"/>
          </w:tcPr>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pPr>
              <w:rPr>
                <w:rFonts w:cs="宋体" w:asciiTheme="minorEastAsia" w:hAnsiTheme="minorEastAsia" w:eastAsiaTheme="minorEastAsia"/>
                <w:b/>
                <w:kern w:val="2"/>
                <w:sz w:val="24"/>
                <w:szCs w:val="24"/>
              </w:rPr>
            </w:pPr>
            <w:r>
              <w:rPr>
                <w:rFonts w:hint="eastAsia" w:cs="宋体" w:asciiTheme="minorEastAsia" w:hAnsiTheme="minorEastAsia" w:eastAsiaTheme="minorEastAsia"/>
                <w:b/>
                <w:i/>
                <w:kern w:val="2"/>
                <w:sz w:val="24"/>
                <w:szCs w:val="24"/>
              </w:rPr>
              <w:t>（此处可补充评审小组根据与投标人谈判情况变动的谈判文件的内容，包括招标需求中的技术、服务要求以及合同草案条款。）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pPr>
              <w:rPr>
                <w:rFonts w:cs="宋体" w:asciiTheme="minorEastAsia" w:hAnsiTheme="minorEastAsia" w:eastAsiaTheme="minorEastAsia"/>
                <w:b/>
                <w:kern w:val="2"/>
                <w:sz w:val="24"/>
                <w:szCs w:val="24"/>
              </w:rPr>
            </w:pPr>
          </w:p>
        </w:tc>
      </w:tr>
    </w:tbl>
    <w:p>
      <w:pPr>
        <w:spacing w:line="440" w:lineRule="exact"/>
        <w:ind w:firstLine="3600" w:firstLineChars="1500"/>
        <w:rPr>
          <w:rFonts w:cs="@仿宋_GB2312"/>
          <w:kern w:val="2"/>
          <w:sz w:val="24"/>
          <w:szCs w:val="24"/>
          <w:u w:val="single"/>
        </w:rPr>
      </w:pPr>
      <w:r>
        <w:rPr>
          <w:rFonts w:hint="eastAsia" w:cs="@仿宋_GB2312"/>
          <w:kern w:val="2"/>
          <w:sz w:val="24"/>
          <w:szCs w:val="24"/>
        </w:rPr>
        <w:t>投标人电子签章或公章：</w:t>
      </w:r>
    </w:p>
    <w:p>
      <w:pPr>
        <w:spacing w:line="440" w:lineRule="exact"/>
        <w:ind w:firstLine="3600" w:firstLineChars="1500"/>
        <w:rPr>
          <w:rFonts w:cs="@仿宋_GB2312"/>
          <w:kern w:val="2"/>
          <w:sz w:val="24"/>
          <w:szCs w:val="24"/>
          <w:u w:val="single"/>
        </w:rPr>
      </w:pPr>
      <w:r>
        <w:rPr>
          <w:rFonts w:hint="eastAsia" w:cs="@仿宋_GB2312"/>
          <w:kern w:val="2"/>
          <w:sz w:val="24"/>
          <w:szCs w:val="24"/>
        </w:rPr>
        <w:t>日      期：</w:t>
      </w:r>
    </w:p>
    <w:p>
      <w:pPr>
        <w:spacing w:line="360" w:lineRule="auto"/>
        <w:jc w:val="left"/>
        <w:rPr>
          <w:rFonts w:cs="宋体" w:asciiTheme="minorEastAsia" w:hAnsiTheme="minorEastAsia" w:eastAsiaTheme="minorEastAsia"/>
          <w:b/>
          <w:bCs/>
          <w:kern w:val="2"/>
          <w:sz w:val="24"/>
          <w:szCs w:val="24"/>
        </w:rPr>
      </w:pPr>
    </w:p>
    <w:p>
      <w:pPr>
        <w:spacing w:line="360" w:lineRule="auto"/>
        <w:jc w:val="left"/>
        <w:rPr>
          <w:rFonts w:eastAsiaTheme="minorEastAsia"/>
          <w:bCs/>
          <w:color w:val="0000FF"/>
          <w:sz w:val="24"/>
        </w:rPr>
      </w:pPr>
      <w:r>
        <w:rPr>
          <w:rFonts w:hint="eastAsia" w:cs="宋体" w:asciiTheme="minorEastAsia" w:hAnsiTheme="minorEastAsia" w:eastAsiaTheme="minorEastAsia"/>
          <w:b/>
          <w:bCs/>
          <w:kern w:val="2"/>
          <w:sz w:val="24"/>
          <w:szCs w:val="24"/>
        </w:rPr>
        <w:t>注：</w:t>
      </w:r>
      <w:r>
        <w:rPr>
          <w:rFonts w:hint="eastAsia" w:cs="@仿宋_GB2312"/>
          <w:b/>
          <w:bCs/>
          <w:kern w:val="2"/>
          <w:sz w:val="24"/>
        </w:rPr>
        <w:t>本页报价表由投标人在接到报价通知后依据谈判情况填写，并在规定时间内提交。</w:t>
      </w:r>
    </w:p>
    <w:p>
      <w:pPr>
        <w:widowControl/>
        <w:jc w:val="left"/>
        <w:rPr>
          <w:bCs/>
          <w:sz w:val="24"/>
        </w:rPr>
      </w:pPr>
      <w:r>
        <w:rPr>
          <w:bCs/>
          <w:sz w:val="24"/>
        </w:rPr>
        <w:br w:type="page"/>
      </w:r>
    </w:p>
    <w:p>
      <w:pPr>
        <w:widowControl/>
        <w:jc w:val="left"/>
        <w:rPr>
          <w:rFonts w:asciiTheme="minorEastAsia" w:hAnsiTheme="minorEastAsia" w:eastAsiaTheme="minorEastAsia"/>
          <w:b/>
          <w:sz w:val="24"/>
        </w:rPr>
      </w:pPr>
      <w:bookmarkStart w:id="74" w:name="_Toc520983591"/>
    </w:p>
    <w:p>
      <w:pPr>
        <w:spacing w:line="360" w:lineRule="auto"/>
        <w:jc w:val="center"/>
        <w:outlineLvl w:val="1"/>
        <w:rPr>
          <w:rFonts w:asciiTheme="minorEastAsia" w:hAnsiTheme="minorEastAsia" w:eastAsiaTheme="minorEastAsia"/>
          <w:b/>
          <w:sz w:val="24"/>
        </w:rPr>
      </w:pPr>
      <w:bookmarkStart w:id="75" w:name="_Toc11766"/>
      <w:r>
        <w:rPr>
          <w:rFonts w:hint="eastAsia" w:asciiTheme="minorEastAsia" w:hAnsiTheme="minorEastAsia" w:eastAsiaTheme="minorEastAsia"/>
          <w:b/>
          <w:sz w:val="24"/>
        </w:rPr>
        <w:t>三、</w:t>
      </w:r>
      <w:bookmarkEnd w:id="74"/>
      <w:bookmarkEnd w:id="75"/>
      <w:r>
        <w:rPr>
          <w:rFonts w:hint="eastAsia" w:asciiTheme="minorEastAsia" w:hAnsiTheme="minorEastAsia" w:eastAsiaTheme="minorEastAsia"/>
          <w:b/>
          <w:sz w:val="24"/>
        </w:rPr>
        <w:t>投标函</w:t>
      </w:r>
    </w:p>
    <w:p>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合肥百货大楼集团股份有限公司</w:t>
      </w:r>
    </w:p>
    <w:p>
      <w:pPr>
        <w:spacing w:line="360" w:lineRule="auto"/>
        <w:ind w:firstLine="482" w:firstLineChars="200"/>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u w:val="single"/>
        </w:rPr>
        <w:t>安徽公共资源交易集团项目管理有限公司</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根据贵方的谈判文件，我方承诺如下：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1.经踏勘项目现场和研究上述谈判文件的谈判须知、合同条款、招标人要求及其他有关文件后，我方接受上述文件要求。我方</w:t>
      </w:r>
      <w:r>
        <w:rPr>
          <w:rFonts w:hint="eastAsia" w:cs="宋体" w:asciiTheme="minorEastAsia" w:hAnsiTheme="minorEastAsia" w:eastAsiaTheme="minorEastAsia"/>
          <w:bCs/>
          <w:kern w:val="2"/>
          <w:sz w:val="24"/>
          <w:szCs w:val="24"/>
        </w:rPr>
        <w:t>承诺按本谈判文件、合同条款和招标人要求承担本项目的供货（安装），并承担任何质量缺陷保修责任。</w:t>
      </w:r>
    </w:p>
    <w:p>
      <w:pPr>
        <w:spacing w:line="360" w:lineRule="auto"/>
        <w:ind w:firstLine="480" w:firstLineChars="200"/>
        <w:rPr>
          <w:sz w:val="24"/>
        </w:rPr>
      </w:pPr>
      <w:r>
        <w:rPr>
          <w:rFonts w:hint="eastAsia"/>
          <w:sz w:val="24"/>
        </w:rPr>
        <w:t>2.我方承诺报价低于</w:t>
      </w:r>
      <w:r>
        <w:rPr>
          <w:sz w:val="24"/>
        </w:rPr>
        <w:t>同类</w:t>
      </w:r>
      <w:r>
        <w:rPr>
          <w:rFonts w:hint="eastAsia"/>
          <w:sz w:val="24"/>
        </w:rPr>
        <w:t>货物和</w:t>
      </w:r>
      <w:r>
        <w:rPr>
          <w:sz w:val="24"/>
        </w:rPr>
        <w:t>服务的市场平均价格。</w:t>
      </w:r>
    </w:p>
    <w:p>
      <w:pPr>
        <w:pStyle w:val="4"/>
        <w:rPr>
          <w:kern w:val="2"/>
        </w:rPr>
      </w:pPr>
      <w:r>
        <w:rPr>
          <w:rFonts w:hint="eastAsia"/>
          <w:kern w:val="2"/>
        </w:rPr>
        <w:t>3.我方已详细审核全部谈判文件，包括谈判文件的补疑、澄清、变更或补充（如有），参考资料及有关附件，我方正式认可并遵守本次谈判文件，并对谈判文件各项条款（包括谈判时间）、规定及要求均无异议。且我方自愿放弃针对上述各项条款提出异议的权利。</w:t>
      </w:r>
    </w:p>
    <w:p>
      <w:pPr>
        <w:spacing w:line="360" w:lineRule="auto"/>
        <w:ind w:firstLine="480" w:firstLineChars="200"/>
        <w:rPr>
          <w:sz w:val="24"/>
        </w:rPr>
      </w:pPr>
      <w:r>
        <w:rPr>
          <w:rFonts w:hint="eastAsia"/>
          <w:sz w:val="24"/>
        </w:rPr>
        <w:t>4.如我方中标，我方承诺愿意按谈判文件规定缴纳履约保证金和代理费用。按本次谈判文件规定及最终投标报价承诺供货（安装）。</w:t>
      </w:r>
    </w:p>
    <w:p>
      <w:pPr>
        <w:spacing w:line="360" w:lineRule="auto"/>
        <w:ind w:firstLine="480" w:firstLineChars="200"/>
        <w:rPr>
          <w:sz w:val="24"/>
        </w:rPr>
      </w:pPr>
      <w:r>
        <w:rPr>
          <w:rFonts w:hint="eastAsia"/>
          <w:sz w:val="24"/>
        </w:rPr>
        <w:t>5.我方根据本次谈判文件的规定，严格履行合同的责任和义务</w:t>
      </w:r>
      <w:r>
        <w:rPr>
          <w:sz w:val="24"/>
        </w:rPr>
        <w:t>,</w:t>
      </w:r>
      <w:r>
        <w:rPr>
          <w:rFonts w:hint="eastAsia"/>
          <w:sz w:val="24"/>
        </w:rPr>
        <w:t>并保证于你方要求的日期内完成供货（安装）及服务，并通过你方验收。</w:t>
      </w:r>
    </w:p>
    <w:p>
      <w:pPr>
        <w:spacing w:line="360" w:lineRule="auto"/>
        <w:ind w:firstLine="480" w:firstLineChars="200"/>
        <w:rPr>
          <w:sz w:val="24"/>
        </w:rPr>
      </w:pPr>
      <w:r>
        <w:rPr>
          <w:rFonts w:hint="eastAsia"/>
          <w:sz w:val="24"/>
        </w:rPr>
        <w:t>6.我方同意按你方要求在谈判规定时间内向你方提供与其谈判有关的任何证据或补充资料，否则，我方的投标文件可被你方拒绝。</w:t>
      </w:r>
    </w:p>
    <w:p>
      <w:pPr>
        <w:spacing w:line="360" w:lineRule="auto"/>
        <w:ind w:firstLine="480" w:firstLineChars="200"/>
        <w:rPr>
          <w:sz w:val="24"/>
        </w:rPr>
      </w:pPr>
      <w:r>
        <w:rPr>
          <w:rFonts w:hint="eastAsia"/>
          <w:sz w:val="24"/>
        </w:rPr>
        <w:t>7.我方完全理解你方不一定接受最低报价的谈判。</w:t>
      </w:r>
    </w:p>
    <w:p>
      <w:pPr>
        <w:spacing w:line="360" w:lineRule="auto"/>
        <w:ind w:firstLine="480" w:firstLineChars="200"/>
        <w:rPr>
          <w:sz w:val="24"/>
        </w:rPr>
      </w:pPr>
      <w:r>
        <w:rPr>
          <w:rFonts w:hint="eastAsia"/>
          <w:sz w:val="24"/>
        </w:rPr>
        <w:t>8.我方同意谈判文件规定的付款方式、供货（安装）期限。</w:t>
      </w:r>
    </w:p>
    <w:p>
      <w:pPr>
        <w:spacing w:line="360" w:lineRule="auto"/>
        <w:ind w:firstLine="480" w:firstLineChars="200"/>
        <w:rPr>
          <w:sz w:val="24"/>
        </w:rPr>
      </w:pPr>
      <w:r>
        <w:rPr>
          <w:rFonts w:hint="eastAsia"/>
          <w:sz w:val="24"/>
        </w:rPr>
        <w:t>9.我方对投标文件中所提供资料、文件、证书及证件的真实性和有效性负责。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9.我方同意所提交的投标文件在谈判文件规定的谈判有效期内有效，在此期间内如果中标，我方将受此约束。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10.除非另外达成协议并生效，你方的中标通知书和本投标文件以及谈判文件、谈判文件澄清、修改、补充将成为约束双方的合同文件的组成部分。</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11.我方不存在谈判公告中“投标人资格要求”的“不良信用记录情形”规定的任何一种情形。</w:t>
      </w:r>
    </w:p>
    <w:p>
      <w:pPr>
        <w:spacing w:line="360" w:lineRule="auto"/>
        <w:ind w:firstLine="480" w:firstLineChars="200"/>
        <w:rPr>
          <w:rFonts w:cs="宋体" w:asciiTheme="minorEastAsia" w:hAnsiTheme="minorEastAsia" w:eastAsiaTheme="minorEastAsia"/>
          <w:kern w:val="2"/>
          <w:sz w:val="24"/>
          <w:szCs w:val="24"/>
          <w:highlight w:val="yellow"/>
        </w:rPr>
      </w:pPr>
      <w:r>
        <w:rPr>
          <w:rFonts w:hint="eastAsia" w:cs="宋体" w:asciiTheme="minorEastAsia" w:hAnsiTheme="minorEastAsia" w:eastAsiaTheme="minorEastAsia"/>
          <w:kern w:val="2"/>
          <w:sz w:val="24"/>
          <w:szCs w:val="24"/>
          <w:highlight w:val="yellow"/>
        </w:rPr>
        <w:t>1</w:t>
      </w:r>
      <w:bookmarkStart w:id="76" w:name="OLE_LINK1"/>
      <w:r>
        <w:rPr>
          <w:rFonts w:hint="eastAsia" w:cs="宋体" w:asciiTheme="minorEastAsia" w:hAnsiTheme="minorEastAsia" w:eastAsiaTheme="minorEastAsia"/>
          <w:kern w:val="2"/>
          <w:sz w:val="24"/>
          <w:szCs w:val="24"/>
          <w:highlight w:val="yellow"/>
        </w:rPr>
        <w:t>2.我方声明下述内容真实有效，如有虚假，将依法承担相应责任：</w:t>
      </w:r>
    </w:p>
    <w:p>
      <w:pPr>
        <w:spacing w:line="360" w:lineRule="auto"/>
        <w:ind w:firstLine="480" w:firstLineChars="200"/>
        <w:rPr>
          <w:rFonts w:cs="宋体" w:asciiTheme="minorEastAsia" w:hAnsiTheme="minorEastAsia" w:eastAsiaTheme="minorEastAsia"/>
          <w:kern w:val="2"/>
          <w:sz w:val="24"/>
          <w:szCs w:val="24"/>
          <w:highlight w:val="yellow"/>
        </w:rPr>
      </w:pPr>
      <w:r>
        <w:rPr>
          <w:rFonts w:hint="eastAsia" w:cs="宋体" w:asciiTheme="minorEastAsia" w:hAnsiTheme="minorEastAsia" w:eastAsiaTheme="minorEastAsia"/>
          <w:kern w:val="2"/>
          <w:sz w:val="24"/>
          <w:szCs w:val="24"/>
          <w:highlight w:val="yellow"/>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pPr>
              <w:widowControl/>
              <w:spacing w:beforeLines="50" w:after="10"/>
              <w:jc w:val="center"/>
              <w:rPr>
                <w:rFonts w:cs="宋体"/>
                <w:color w:val="000000"/>
                <w:sz w:val="24"/>
                <w:szCs w:val="24"/>
                <w:highlight w:val="yellow"/>
              </w:rPr>
            </w:pPr>
            <w:r>
              <w:rPr>
                <w:rFonts w:hint="eastAsia" w:cs="宋体"/>
                <w:color w:val="000000"/>
                <w:sz w:val="24"/>
                <w:szCs w:val="24"/>
                <w:highlight w:val="yellow"/>
              </w:rPr>
              <w:t>序号</w:t>
            </w:r>
          </w:p>
        </w:tc>
        <w:tc>
          <w:tcPr>
            <w:tcW w:w="2841" w:type="dxa"/>
            <w:noWrap/>
          </w:tcPr>
          <w:p>
            <w:pPr>
              <w:pStyle w:val="19"/>
              <w:spacing w:beforeLines="50" w:after="10"/>
              <w:jc w:val="center"/>
              <w:rPr>
                <w:rFonts w:ascii="宋体" w:hAnsi="宋体" w:eastAsia="宋体" w:cs="宋体"/>
                <w:color w:val="000000"/>
                <w:sz w:val="24"/>
                <w:highlight w:val="yellow"/>
                <w:lang w:val="en-US"/>
              </w:rPr>
            </w:pPr>
            <w:r>
              <w:rPr>
                <w:rFonts w:hint="eastAsia" w:ascii="宋体" w:hAnsi="宋体" w:eastAsia="宋体" w:cs="宋体"/>
                <w:color w:val="000000"/>
                <w:sz w:val="24"/>
                <w:highlight w:val="yellow"/>
                <w:lang w:val="en-US"/>
              </w:rPr>
              <w:t>单位名称</w:t>
            </w:r>
          </w:p>
        </w:tc>
        <w:tc>
          <w:tcPr>
            <w:tcW w:w="2841" w:type="dxa"/>
            <w:noWrap/>
          </w:tcPr>
          <w:p>
            <w:pPr>
              <w:pStyle w:val="19"/>
              <w:spacing w:beforeLines="50" w:after="10"/>
              <w:jc w:val="center"/>
              <w:rPr>
                <w:rFonts w:ascii="宋体" w:hAnsi="宋体" w:eastAsia="宋体" w:cs="宋体"/>
                <w:color w:val="000000"/>
                <w:sz w:val="24"/>
                <w:highlight w:val="yellow"/>
                <w:lang w:val="en-US"/>
              </w:rPr>
            </w:pPr>
            <w:r>
              <w:rPr>
                <w:rFonts w:hint="eastAsia" w:ascii="宋体" w:hAnsi="宋体" w:eastAsia="宋体" w:cs="宋体"/>
                <w:color w:val="000000"/>
                <w:sz w:val="24"/>
                <w:highlight w:val="yellow"/>
                <w:lang w:val="en-US"/>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pPr>
              <w:pStyle w:val="19"/>
              <w:spacing w:beforeLines="50" w:after="10"/>
              <w:jc w:val="center"/>
              <w:rPr>
                <w:rFonts w:ascii="宋体" w:hAnsi="宋体" w:eastAsia="宋体" w:cs="宋体"/>
                <w:color w:val="000000"/>
                <w:sz w:val="24"/>
                <w:highlight w:val="yellow"/>
                <w:lang w:val="en-US"/>
              </w:rPr>
            </w:pPr>
            <w:r>
              <w:rPr>
                <w:rFonts w:hint="eastAsia" w:ascii="宋体" w:hAnsi="宋体" w:eastAsia="宋体" w:cs="宋体"/>
                <w:color w:val="000000"/>
                <w:sz w:val="24"/>
                <w:highlight w:val="yellow"/>
                <w:lang w:val="en-US"/>
              </w:rPr>
              <w:t>1</w:t>
            </w:r>
          </w:p>
        </w:tc>
        <w:tc>
          <w:tcPr>
            <w:tcW w:w="2841" w:type="dxa"/>
            <w:noWrap/>
          </w:tcPr>
          <w:p>
            <w:pPr>
              <w:pStyle w:val="19"/>
              <w:spacing w:beforeLines="50" w:after="10"/>
              <w:jc w:val="center"/>
              <w:rPr>
                <w:rFonts w:ascii="宋体" w:hAnsi="宋体" w:eastAsia="宋体" w:cs="宋体"/>
                <w:color w:val="000000"/>
                <w:sz w:val="24"/>
                <w:highlight w:val="yellow"/>
                <w:lang w:val="en-US"/>
              </w:rPr>
            </w:pPr>
          </w:p>
        </w:tc>
        <w:tc>
          <w:tcPr>
            <w:tcW w:w="2841" w:type="dxa"/>
            <w:noWrap/>
          </w:tcPr>
          <w:p>
            <w:pPr>
              <w:pStyle w:val="19"/>
              <w:spacing w:beforeLines="50" w:after="10"/>
              <w:jc w:val="center"/>
              <w:rPr>
                <w:rFonts w:ascii="宋体" w:hAnsi="宋体" w:eastAsia="宋体" w:cs="宋体"/>
                <w:color w:val="000000"/>
                <w:sz w:val="24"/>
                <w:highlight w:val="yellow"/>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pPr>
              <w:pStyle w:val="19"/>
              <w:spacing w:beforeLines="50" w:after="10"/>
              <w:jc w:val="center"/>
              <w:rPr>
                <w:rFonts w:ascii="宋体" w:hAnsi="宋体" w:eastAsia="宋体" w:cs="宋体"/>
                <w:color w:val="000000"/>
                <w:sz w:val="24"/>
                <w:highlight w:val="yellow"/>
                <w:lang w:val="en-US"/>
              </w:rPr>
            </w:pPr>
            <w:r>
              <w:rPr>
                <w:rFonts w:hint="eastAsia" w:ascii="宋体" w:hAnsi="宋体" w:eastAsia="宋体" w:cs="宋体"/>
                <w:color w:val="000000"/>
                <w:sz w:val="24"/>
                <w:highlight w:val="yellow"/>
                <w:lang w:val="en-US"/>
              </w:rPr>
              <w:t>2</w:t>
            </w:r>
          </w:p>
        </w:tc>
        <w:tc>
          <w:tcPr>
            <w:tcW w:w="2841" w:type="dxa"/>
            <w:noWrap/>
          </w:tcPr>
          <w:p>
            <w:pPr>
              <w:pStyle w:val="19"/>
              <w:spacing w:beforeLines="50" w:after="10"/>
              <w:jc w:val="center"/>
              <w:rPr>
                <w:rFonts w:ascii="宋体" w:hAnsi="宋体" w:eastAsia="宋体" w:cs="宋体"/>
                <w:color w:val="000000"/>
                <w:sz w:val="24"/>
                <w:highlight w:val="yellow"/>
                <w:lang w:val="en-US"/>
              </w:rPr>
            </w:pPr>
          </w:p>
        </w:tc>
        <w:tc>
          <w:tcPr>
            <w:tcW w:w="2841" w:type="dxa"/>
            <w:noWrap/>
          </w:tcPr>
          <w:p>
            <w:pPr>
              <w:pStyle w:val="19"/>
              <w:spacing w:beforeLines="50" w:after="10"/>
              <w:jc w:val="center"/>
              <w:rPr>
                <w:rFonts w:ascii="宋体" w:hAnsi="宋体" w:eastAsia="宋体" w:cs="宋体"/>
                <w:color w:val="000000"/>
                <w:sz w:val="24"/>
                <w:highlight w:val="yellow"/>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pPr>
              <w:pStyle w:val="19"/>
              <w:spacing w:beforeLines="50" w:after="10"/>
              <w:jc w:val="center"/>
              <w:rPr>
                <w:rFonts w:ascii="宋体" w:hAnsi="宋体" w:eastAsia="宋体" w:cs="宋体"/>
                <w:color w:val="000000"/>
                <w:sz w:val="24"/>
                <w:highlight w:val="yellow"/>
                <w:lang w:val="en-US"/>
              </w:rPr>
            </w:pPr>
            <w:r>
              <w:rPr>
                <w:rFonts w:hint="eastAsia" w:ascii="宋体" w:hAnsi="宋体" w:eastAsia="宋体" w:cs="宋体"/>
                <w:color w:val="000000"/>
                <w:sz w:val="24"/>
                <w:highlight w:val="yellow"/>
                <w:lang w:val="en-US"/>
              </w:rPr>
              <w:t>3</w:t>
            </w:r>
          </w:p>
        </w:tc>
        <w:tc>
          <w:tcPr>
            <w:tcW w:w="2841" w:type="dxa"/>
            <w:noWrap/>
          </w:tcPr>
          <w:p>
            <w:pPr>
              <w:pStyle w:val="19"/>
              <w:spacing w:beforeLines="50" w:after="10"/>
              <w:jc w:val="center"/>
              <w:rPr>
                <w:rFonts w:ascii="宋体" w:hAnsi="宋体" w:eastAsia="宋体" w:cs="宋体"/>
                <w:color w:val="000000"/>
                <w:sz w:val="24"/>
                <w:highlight w:val="yellow"/>
                <w:lang w:val="en-US"/>
              </w:rPr>
            </w:pPr>
          </w:p>
        </w:tc>
        <w:tc>
          <w:tcPr>
            <w:tcW w:w="2841" w:type="dxa"/>
            <w:noWrap/>
          </w:tcPr>
          <w:p>
            <w:pPr>
              <w:pStyle w:val="19"/>
              <w:spacing w:beforeLines="50" w:after="10"/>
              <w:jc w:val="center"/>
              <w:rPr>
                <w:rFonts w:ascii="宋体" w:hAnsi="宋体" w:eastAsia="宋体" w:cs="宋体"/>
                <w:color w:val="000000"/>
                <w:sz w:val="24"/>
                <w:highlight w:val="yellow"/>
                <w:lang w:val="en-US"/>
              </w:rPr>
            </w:pPr>
          </w:p>
        </w:tc>
      </w:tr>
      <w:bookmarkEnd w:id="76"/>
    </w:tbl>
    <w:p>
      <w:pPr>
        <w:spacing w:line="360" w:lineRule="auto"/>
        <w:ind w:firstLine="480" w:firstLineChars="200"/>
        <w:rPr>
          <w:rFonts w:cs="宋体" w:asciiTheme="minorEastAsia" w:hAnsiTheme="minorEastAsia" w:eastAsiaTheme="minorEastAsia"/>
          <w:kern w:val="2"/>
          <w:sz w:val="24"/>
          <w:szCs w:val="24"/>
        </w:rPr>
      </w:pP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3.其他补充说明：</w:t>
      </w:r>
      <w:r>
        <w:rPr>
          <w:rFonts w:hint="eastAsia" w:cs="宋体" w:asciiTheme="minorEastAsia" w:hAnsiTheme="minorEastAsia" w:eastAsiaTheme="minorEastAsia"/>
          <w:kern w:val="2"/>
          <w:sz w:val="24"/>
          <w:szCs w:val="24"/>
          <w:u w:val="single"/>
        </w:rPr>
        <w:t xml:space="preserve">             补充说明事项（如有）       </w:t>
      </w:r>
    </w:p>
    <w:p>
      <w:pPr>
        <w:pStyle w:val="54"/>
        <w:ind w:firstLine="200"/>
      </w:pPr>
    </w:p>
    <w:p>
      <w:pPr>
        <w:spacing w:line="360" w:lineRule="auto"/>
        <w:ind w:firstLine="4800" w:firstLineChars="2000"/>
        <w:rPr>
          <w:rFonts w:cs="@仿宋_GB2312"/>
          <w:kern w:val="2"/>
          <w:sz w:val="24"/>
        </w:rPr>
      </w:pPr>
      <w:r>
        <w:rPr>
          <w:rFonts w:hint="eastAsia" w:cs="@仿宋_GB2312"/>
          <w:kern w:val="2"/>
          <w:sz w:val="24"/>
          <w:szCs w:val="24"/>
        </w:rPr>
        <w:t>投标人电子签章或公章</w:t>
      </w:r>
      <w:r>
        <w:rPr>
          <w:rFonts w:hint="eastAsia" w:cs="@仿宋_GB2312"/>
          <w:kern w:val="2"/>
          <w:sz w:val="24"/>
        </w:rPr>
        <w:t>：</w:t>
      </w:r>
    </w:p>
    <w:p>
      <w:pPr>
        <w:spacing w:line="360" w:lineRule="auto"/>
        <w:ind w:firstLine="4800" w:firstLineChars="2000"/>
        <w:rPr>
          <w:rFonts w:cs="@仿宋_GB2312"/>
          <w:kern w:val="2"/>
          <w:sz w:val="24"/>
          <w:u w:val="single"/>
        </w:rPr>
      </w:pPr>
      <w:r>
        <w:rPr>
          <w:rFonts w:hint="eastAsia" w:cs="@仿宋_GB2312"/>
          <w:kern w:val="2"/>
          <w:sz w:val="24"/>
        </w:rPr>
        <w:t>日          期：</w:t>
      </w:r>
    </w:p>
    <w:p>
      <w:pPr>
        <w:widowControl/>
        <w:jc w:val="left"/>
        <w:rPr>
          <w:sz w:val="24"/>
        </w:rPr>
      </w:pPr>
      <w:r>
        <w:rPr>
          <w:sz w:val="24"/>
        </w:rPr>
        <w:br w:type="page"/>
      </w:r>
    </w:p>
    <w:p>
      <w:pPr>
        <w:widowControl/>
        <w:jc w:val="left"/>
        <w:rPr>
          <w:sz w:val="24"/>
        </w:rPr>
      </w:pPr>
    </w:p>
    <w:p>
      <w:pPr>
        <w:spacing w:line="360" w:lineRule="auto"/>
        <w:jc w:val="center"/>
        <w:outlineLvl w:val="1"/>
        <w:rPr>
          <w:rFonts w:asciiTheme="minorEastAsia" w:hAnsiTheme="minorEastAsia" w:eastAsiaTheme="minorEastAsia"/>
          <w:b/>
          <w:sz w:val="24"/>
        </w:rPr>
      </w:pPr>
      <w:bookmarkStart w:id="77" w:name="_Toc10459"/>
      <w:bookmarkStart w:id="78" w:name="_Toc204594911"/>
      <w:bookmarkStart w:id="79" w:name="_Toc520983594"/>
      <w:bookmarkStart w:id="80" w:name="_Toc121626298"/>
      <w:bookmarkStart w:id="81" w:name="_Toc516969106"/>
      <w:r>
        <w:rPr>
          <w:rFonts w:hint="eastAsia" w:asciiTheme="minorEastAsia" w:hAnsiTheme="minorEastAsia" w:eastAsiaTheme="minorEastAsia"/>
          <w:b/>
          <w:sz w:val="24"/>
        </w:rPr>
        <w:t>四、授权书</w:t>
      </w:r>
      <w:bookmarkEnd w:id="77"/>
      <w:bookmarkEnd w:id="78"/>
      <w:bookmarkEnd w:id="79"/>
      <w:bookmarkEnd w:id="80"/>
      <w:bookmarkEnd w:id="81"/>
    </w:p>
    <w:p>
      <w:pPr>
        <w:spacing w:line="360" w:lineRule="auto"/>
        <w:jc w:val="center"/>
        <w:rPr>
          <w:rFonts w:asciiTheme="minorEastAsia" w:hAnsiTheme="minorEastAsia" w:eastAsiaTheme="minorEastAsia"/>
          <w:b/>
          <w:sz w:val="24"/>
        </w:rPr>
      </w:pPr>
    </w:p>
    <w:p>
      <w:pPr>
        <w:pStyle w:val="28"/>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本授权书声明：（投标人名称）授权（投标人授权代表姓名）代表我方参加本项目</w:t>
      </w:r>
      <w:r>
        <w:rPr>
          <w:rFonts w:hint="eastAsia" w:hAnsi="宋体" w:eastAsia="宋体"/>
          <w:bCs/>
          <w:sz w:val="24"/>
          <w:szCs w:val="28"/>
        </w:rPr>
        <w:t>谈判活动</w:t>
      </w:r>
      <w:r>
        <w:rPr>
          <w:rFonts w:hint="eastAsia" w:hAnsi="宋体" w:eastAsia="宋体"/>
          <w:sz w:val="24"/>
          <w:szCs w:val="28"/>
        </w:rPr>
        <w:t>，全权代表我方处理谈判过程的一切事宜，包括但不限于：提交投标文件、参与谈判、签约等。投标人授权代表在谈判活动过程中所签署的一切文件和处理与之有关的一切事务，本公司均予以认可并对此承担责任。投标人授权代表无转委托权。特此授权。</w:t>
      </w:r>
    </w:p>
    <w:p>
      <w:pPr>
        <w:pStyle w:val="28"/>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8"/>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投标人电子签章或公章</w:t>
      </w:r>
      <w:r>
        <w:rPr>
          <w:rFonts w:hint="eastAsia"/>
          <w:bCs/>
          <w:sz w:val="24"/>
          <w:szCs w:val="28"/>
        </w:rPr>
        <w:t>：</w:t>
      </w:r>
    </w:p>
    <w:p>
      <w:pPr>
        <w:spacing w:line="360" w:lineRule="auto"/>
        <w:rPr>
          <w:sz w:val="24"/>
          <w:szCs w:val="28"/>
        </w:rPr>
      </w:pPr>
      <w:r>
        <w:rPr>
          <w:rFonts w:hint="eastAsia"/>
          <w:sz w:val="24"/>
          <w:szCs w:val="28"/>
        </w:rPr>
        <w:t>日      期：</w:t>
      </w:r>
    </w:p>
    <w:p>
      <w:pPr>
        <w:spacing w:line="360" w:lineRule="auto"/>
        <w:rPr>
          <w:sz w:val="24"/>
          <w:szCs w:val="28"/>
        </w:rPr>
      </w:pPr>
    </w:p>
    <w:p>
      <w:pPr>
        <w:spacing w:line="360" w:lineRule="auto"/>
        <w:rPr>
          <w:sz w:val="24"/>
          <w:szCs w:val="28"/>
        </w:rPr>
      </w:pPr>
    </w:p>
    <w:p>
      <w:pPr>
        <w:pStyle w:val="28"/>
        <w:snapToGrid w:val="0"/>
        <w:spacing w:line="360" w:lineRule="auto"/>
        <w:jc w:val="left"/>
        <w:rPr>
          <w:rFonts w:hAnsi="宋体" w:eastAsia="宋体"/>
          <w:sz w:val="24"/>
          <w:szCs w:val="28"/>
        </w:rPr>
      </w:pPr>
      <w:r>
        <w:rPr>
          <w:rFonts w:hint="eastAsia" w:hAnsi="宋体" w:eastAsia="宋体"/>
          <w:sz w:val="24"/>
          <w:szCs w:val="28"/>
        </w:rPr>
        <w:t>注：</w:t>
      </w:r>
    </w:p>
    <w:p>
      <w:pPr>
        <w:pStyle w:val="28"/>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2.法定代表人参加谈判的无需提供授权书，仅提供法定代表人身份证明书。</w:t>
      </w:r>
    </w:p>
    <w:p>
      <w:pPr>
        <w:widowControl/>
        <w:jc w:val="left"/>
        <w:rPr>
          <w:sz w:val="24"/>
        </w:rPr>
      </w:pPr>
      <w:r>
        <w:rPr>
          <w:sz w:val="24"/>
        </w:rPr>
        <w:br w:type="page"/>
      </w:r>
    </w:p>
    <w:p>
      <w:pPr>
        <w:keepNext/>
        <w:keepLines/>
        <w:spacing w:before="260" w:after="260" w:line="416" w:lineRule="auto"/>
        <w:jc w:val="center"/>
        <w:outlineLvl w:val="1"/>
        <w:rPr>
          <w:rFonts w:cs="@仿宋_GB2312" w:asciiTheme="minorEastAsia" w:hAnsiTheme="minorEastAsia" w:eastAsiaTheme="minorEastAsia"/>
          <w:b/>
          <w:bCs/>
          <w:kern w:val="2"/>
          <w:sz w:val="24"/>
          <w:szCs w:val="24"/>
        </w:rPr>
      </w:pPr>
      <w:bookmarkStart w:id="82" w:name="_Toc6977"/>
      <w:r>
        <w:rPr>
          <w:rFonts w:hint="eastAsia" w:cs="@仿宋_GB2312" w:asciiTheme="minorEastAsia" w:hAnsiTheme="minorEastAsia" w:eastAsiaTheme="minorEastAsia"/>
          <w:b/>
          <w:bCs/>
          <w:kern w:val="2"/>
          <w:sz w:val="24"/>
          <w:szCs w:val="24"/>
        </w:rPr>
        <w:t>五、法定代表人身份证明书</w:t>
      </w:r>
      <w:bookmarkEnd w:id="82"/>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成立时间：年月日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 性  别：</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 职    务：</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 手机号码：</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Lines="20" w:afterLines="20" w:line="540" w:lineRule="exact"/>
        <w:ind w:firstLine="610"/>
        <w:rPr>
          <w:rFonts w:ascii="@仿宋_GB2312" w:hAnsi="Calibri" w:eastAsia="@仿宋_GB2312" w:cs="宋体"/>
          <w:kern w:val="2"/>
          <w:sz w:val="24"/>
          <w:szCs w:val="24"/>
        </w:rPr>
      </w:pPr>
    </w:p>
    <w:p>
      <w:pPr>
        <w:spacing w:beforeLines="20"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Lines="20"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Lines="20"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Lines="20"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投标人电子签章或公章</w:t>
      </w:r>
      <w:r>
        <w:rPr>
          <w:rFonts w:hint="eastAsia" w:cs="宋体"/>
          <w:kern w:val="2"/>
          <w:sz w:val="24"/>
          <w:szCs w:val="24"/>
        </w:rPr>
        <w:t>：</w:t>
      </w:r>
    </w:p>
    <w:p>
      <w:pPr>
        <w:spacing w:line="360" w:lineRule="auto"/>
        <w:ind w:firstLine="3840" w:firstLineChars="1600"/>
        <w:rPr>
          <w:rFonts w:cs="宋体"/>
          <w:kern w:val="2"/>
          <w:sz w:val="24"/>
          <w:szCs w:val="24"/>
        </w:rPr>
      </w:pPr>
      <w:r>
        <w:rPr>
          <w:rFonts w:hint="eastAsia" w:cs="宋体"/>
          <w:kern w:val="2"/>
          <w:sz w:val="24"/>
          <w:szCs w:val="24"/>
        </w:rPr>
        <w:t>日期：</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keepNext/>
        <w:keepLines/>
        <w:spacing w:before="260" w:after="260" w:line="416" w:lineRule="auto"/>
        <w:jc w:val="center"/>
        <w:outlineLvl w:val="1"/>
        <w:rPr>
          <w:rFonts w:cs="@仿宋_GB2312" w:asciiTheme="minorEastAsia" w:hAnsiTheme="minorEastAsia" w:eastAsiaTheme="minorEastAsia"/>
          <w:b/>
          <w:bCs/>
          <w:kern w:val="2"/>
          <w:sz w:val="24"/>
          <w:szCs w:val="24"/>
        </w:rPr>
      </w:pPr>
      <w:bookmarkStart w:id="83" w:name="_Toc18686"/>
      <w:r>
        <w:rPr>
          <w:rFonts w:hint="eastAsia" w:cs="@仿宋_GB2312" w:asciiTheme="minorEastAsia" w:hAnsiTheme="minorEastAsia" w:eastAsiaTheme="minorEastAsia"/>
          <w:b/>
          <w:bCs/>
          <w:kern w:val="2"/>
          <w:sz w:val="24"/>
          <w:szCs w:val="24"/>
        </w:rPr>
        <w:t>六、投标业绩</w:t>
      </w:r>
      <w:bookmarkEnd w:id="83"/>
    </w:p>
    <w:p>
      <w:pPr>
        <w:keepNext/>
        <w:keepLines/>
        <w:numPr>
          <w:ilvl w:val="0"/>
          <w:numId w:val="9"/>
        </w:numPr>
        <w:jc w:val="center"/>
        <w:outlineLvl w:val="2"/>
        <w:rPr>
          <w:sz w:val="24"/>
          <w:szCs w:val="24"/>
        </w:rPr>
      </w:pPr>
      <w:r>
        <w:rPr>
          <w:rFonts w:hint="eastAsia"/>
          <w:sz w:val="24"/>
          <w:szCs w:val="24"/>
        </w:rPr>
        <w:t>业绩表</w:t>
      </w:r>
    </w:p>
    <w:p>
      <w:pPr>
        <w:pStyle w:val="4"/>
      </w:pPr>
      <w:r>
        <w:rPr>
          <w:rFonts w:hint="eastAsia"/>
        </w:rPr>
        <w:t>（格式仅供参考）</w:t>
      </w:r>
    </w:p>
    <w:p>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654"/>
        <w:gridCol w:w="1489"/>
        <w:gridCol w:w="1564"/>
        <w:gridCol w:w="177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5"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货物内容</w:t>
            </w:r>
          </w:p>
        </w:tc>
        <w:tc>
          <w:tcPr>
            <w:tcW w:w="918"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2"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8"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2" w:type="pct"/>
            <w:vAlign w:val="center"/>
          </w:tcPr>
          <w:p>
            <w:pPr>
              <w:spacing w:line="360" w:lineRule="auto"/>
              <w:rPr>
                <w:rFonts w:cs="宋体" w:asciiTheme="minorEastAsia" w:hAnsiTheme="minorEastAsia" w:eastAsiaTheme="minorEastAsia"/>
                <w:bCs/>
                <w:kern w:val="2"/>
                <w:sz w:val="24"/>
                <w:szCs w:val="24"/>
              </w:rPr>
            </w:pPr>
          </w:p>
        </w:tc>
        <w:tc>
          <w:tcPr>
            <w:tcW w:w="638" w:type="pct"/>
            <w:vAlign w:val="center"/>
          </w:tcPr>
          <w:p>
            <w:pPr>
              <w:spacing w:line="360" w:lineRule="auto"/>
              <w:rPr>
                <w:rFonts w:cs="宋体" w:asciiTheme="minorEastAsia" w:hAnsiTheme="minorEastAsia" w:eastAsiaTheme="minorEastAsia"/>
                <w:bCs/>
                <w:kern w:val="2"/>
                <w:sz w:val="24"/>
                <w:szCs w:val="24"/>
              </w:rPr>
            </w:pPr>
          </w:p>
        </w:tc>
      </w:tr>
    </w:tbl>
    <w:p>
      <w:pPr>
        <w:widowControl/>
        <w:jc w:val="left"/>
        <w:rPr>
          <w:rFonts w:asciiTheme="minorEastAsia" w:hAnsiTheme="minorEastAsia" w:eastAsiaTheme="minorEastAsia"/>
          <w:b/>
          <w:sz w:val="24"/>
        </w:rPr>
      </w:pPr>
    </w:p>
    <w:p>
      <w:pPr>
        <w:keepNext/>
        <w:keepLines/>
        <w:rPr>
          <w:sz w:val="24"/>
          <w:szCs w:val="24"/>
        </w:rPr>
      </w:pPr>
    </w:p>
    <w:p>
      <w:pPr>
        <w:keepNext/>
        <w:keepLines/>
        <w:numPr>
          <w:ilvl w:val="0"/>
          <w:numId w:val="9"/>
        </w:numPr>
        <w:spacing w:line="360" w:lineRule="auto"/>
        <w:jc w:val="center"/>
        <w:outlineLvl w:val="2"/>
        <w:rPr>
          <w:sz w:val="24"/>
          <w:szCs w:val="24"/>
        </w:rPr>
      </w:pPr>
      <w:r>
        <w:rPr>
          <w:rFonts w:hint="eastAsia"/>
          <w:sz w:val="24"/>
          <w:szCs w:val="24"/>
        </w:rPr>
        <w:t>业绩证明材料</w:t>
      </w:r>
    </w:p>
    <w:p>
      <w:pPr>
        <w:spacing w:line="360" w:lineRule="auto"/>
        <w:jc w:val="center"/>
        <w:outlineLvl w:val="1"/>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rPr>
      </w:pPr>
      <w:bookmarkStart w:id="84" w:name="_Toc26219"/>
      <w:bookmarkStart w:id="85" w:name="_Toc3201"/>
      <w:r>
        <w:rPr>
          <w:rFonts w:hint="eastAsia" w:asciiTheme="minorEastAsia" w:hAnsiTheme="minorEastAsia" w:eastAsiaTheme="minorEastAsia"/>
          <w:b/>
          <w:sz w:val="24"/>
        </w:rPr>
        <w:t>七、</w:t>
      </w:r>
      <w:bookmarkEnd w:id="84"/>
      <w:bookmarkEnd w:id="85"/>
      <w:r>
        <w:rPr>
          <w:rFonts w:hint="eastAsia" w:asciiTheme="minorEastAsia" w:hAnsiTheme="minorEastAsia" w:eastAsiaTheme="minorEastAsia"/>
          <w:b/>
          <w:sz w:val="24"/>
        </w:rPr>
        <w:t>七、谈判响应表</w:t>
      </w:r>
    </w:p>
    <w:p>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.1</w:t>
      </w:r>
      <w:r>
        <w:rPr>
          <w:rFonts w:hint="eastAsia" w:asciiTheme="minorEastAsia" w:hAnsiTheme="minorEastAsia" w:eastAsiaTheme="minorEastAsia"/>
          <w:b/>
          <w:sz w:val="24"/>
        </w:rPr>
        <w:t>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28"/>
              <w:jc w:val="center"/>
              <w:rPr>
                <w:rFonts w:cs="Wingdings" w:asciiTheme="minorEastAsia" w:hAnsiTheme="minorEastAsia"/>
                <w:b/>
                <w:sz w:val="24"/>
              </w:rPr>
            </w:pPr>
            <w:r>
              <w:rPr>
                <w:rFonts w:hint="eastAsia" w:cs="Wingdings" w:asciiTheme="minorEastAsia" w:hAnsiTheme="minorEastAsia"/>
                <w:b/>
                <w:sz w:val="24"/>
              </w:rPr>
              <w:t>序号</w:t>
            </w:r>
          </w:p>
        </w:tc>
        <w:tc>
          <w:tcPr>
            <w:tcW w:w="2182" w:type="dxa"/>
            <w:vAlign w:val="center"/>
          </w:tcPr>
          <w:p>
            <w:pPr>
              <w:pStyle w:val="28"/>
              <w:jc w:val="center"/>
              <w:rPr>
                <w:rFonts w:cs="Wingdings" w:asciiTheme="minorEastAsia" w:hAnsiTheme="minorEastAsia"/>
                <w:b/>
                <w:sz w:val="24"/>
              </w:rPr>
            </w:pPr>
            <w:r>
              <w:rPr>
                <w:rFonts w:hint="eastAsia" w:asciiTheme="minorEastAsia" w:hAnsiTheme="minorEastAsia"/>
                <w:b/>
                <w:bCs/>
                <w:sz w:val="24"/>
                <w:szCs w:val="24"/>
              </w:rPr>
              <w:t>商务条款</w:t>
            </w:r>
          </w:p>
        </w:tc>
        <w:tc>
          <w:tcPr>
            <w:tcW w:w="2231" w:type="dxa"/>
            <w:vAlign w:val="center"/>
          </w:tcPr>
          <w:p>
            <w:pPr>
              <w:pStyle w:val="28"/>
              <w:jc w:val="center"/>
              <w:rPr>
                <w:rFonts w:cs="Wingdings" w:asciiTheme="minorEastAsia" w:hAnsiTheme="minorEastAsia"/>
                <w:b/>
                <w:sz w:val="24"/>
              </w:rPr>
            </w:pPr>
            <w:r>
              <w:rPr>
                <w:rFonts w:hint="eastAsia" w:cs="Wingdings" w:asciiTheme="minorEastAsia" w:hAnsiTheme="minorEastAsia"/>
                <w:b/>
                <w:sz w:val="24"/>
              </w:rPr>
              <w:t>谈判文件要求</w:t>
            </w:r>
          </w:p>
        </w:tc>
        <w:tc>
          <w:tcPr>
            <w:tcW w:w="2575" w:type="dxa"/>
            <w:vAlign w:val="center"/>
          </w:tcPr>
          <w:p>
            <w:pPr>
              <w:pStyle w:val="28"/>
              <w:jc w:val="center"/>
              <w:rPr>
                <w:rFonts w:cs="Wingdings" w:asciiTheme="minorEastAsia" w:hAnsiTheme="minorEastAsia"/>
                <w:b/>
                <w:sz w:val="24"/>
              </w:rPr>
            </w:pPr>
            <w:r>
              <w:rPr>
                <w:rFonts w:hint="eastAsia" w:cs="Wingdings" w:asciiTheme="minorEastAsia" w:hAnsiTheme="minorEastAsia"/>
                <w:b/>
                <w:sz w:val="24"/>
              </w:rPr>
              <w:t>投标人承诺</w:t>
            </w:r>
          </w:p>
        </w:tc>
        <w:tc>
          <w:tcPr>
            <w:tcW w:w="810" w:type="dxa"/>
            <w:vAlign w:val="center"/>
          </w:tcPr>
          <w:p>
            <w:pPr>
              <w:pStyle w:val="28"/>
              <w:jc w:val="center"/>
              <w:rPr>
                <w:rFonts w:cs="Wingdings" w:asciiTheme="minorEastAsia" w:hAnsiTheme="minorEastAsia"/>
                <w:b/>
                <w:sz w:val="24"/>
              </w:rPr>
            </w:pPr>
            <w:r>
              <w:rPr>
                <w:rFonts w:hint="eastAsia" w:cs="Wingdings" w:asciiTheme="minorEastAsia" w:hAnsiTheme="minorEastAsia"/>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p>
        </w:tc>
        <w:tc>
          <w:tcPr>
            <w:tcW w:w="2182" w:type="dxa"/>
            <w:vAlign w:val="center"/>
          </w:tcPr>
          <w:p>
            <w:pPr>
              <w:jc w:val="center"/>
              <w:rPr>
                <w:sz w:val="24"/>
              </w:rPr>
            </w:pPr>
            <w:r>
              <w:rPr>
                <w:rFonts w:asciiTheme="minorEastAsia" w:hAnsiTheme="minorEastAsia" w:eastAsiaTheme="minorEastAsia"/>
                <w:sz w:val="24"/>
              </w:rPr>
              <w:t>付款方式</w:t>
            </w:r>
          </w:p>
        </w:tc>
        <w:tc>
          <w:tcPr>
            <w:tcW w:w="2231" w:type="dxa"/>
            <w:vAlign w:val="center"/>
          </w:tcPr>
          <w:p>
            <w:pPr>
              <w:jc w:val="center"/>
              <w:rPr>
                <w:rFonts w:asciiTheme="minorEastAsia" w:hAnsiTheme="minorEastAsia" w:eastAsiaTheme="minorEastAsia"/>
                <w:sz w:val="24"/>
              </w:rPr>
            </w:pPr>
          </w:p>
        </w:tc>
        <w:tc>
          <w:tcPr>
            <w:tcW w:w="2575" w:type="dxa"/>
            <w:vAlign w:val="center"/>
          </w:tcPr>
          <w:p>
            <w:pPr>
              <w:jc w:val="center"/>
              <w:rPr>
                <w:rFonts w:asciiTheme="minorEastAsia" w:hAnsiTheme="minorEastAsia" w:eastAsiaTheme="minorEastAsia"/>
                <w:sz w:val="24"/>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182" w:type="dxa"/>
            <w:vAlign w:val="center"/>
          </w:tcPr>
          <w:p>
            <w:pPr>
              <w:jc w:val="center"/>
              <w:rPr>
                <w:sz w:val="24"/>
              </w:rPr>
            </w:pPr>
            <w:r>
              <w:rPr>
                <w:rFonts w:hint="eastAsia"/>
                <w:sz w:val="24"/>
              </w:rPr>
              <w:t>供货（安装）地点</w:t>
            </w:r>
          </w:p>
        </w:tc>
        <w:tc>
          <w:tcPr>
            <w:tcW w:w="2231" w:type="dxa"/>
            <w:vAlign w:val="center"/>
          </w:tcPr>
          <w:p>
            <w:pPr>
              <w:jc w:val="center"/>
              <w:rPr>
                <w:rFonts w:asciiTheme="minorEastAsia" w:hAnsiTheme="minorEastAsia" w:eastAsiaTheme="minorEastAsia"/>
                <w:sz w:val="24"/>
              </w:rPr>
            </w:pPr>
          </w:p>
        </w:tc>
        <w:tc>
          <w:tcPr>
            <w:tcW w:w="2575" w:type="dxa"/>
            <w:vAlign w:val="center"/>
          </w:tcPr>
          <w:p>
            <w:pPr>
              <w:jc w:val="center"/>
              <w:rPr>
                <w:rFonts w:asciiTheme="minorEastAsia" w:hAnsiTheme="minorEastAsia" w:eastAsiaTheme="minorEastAsia"/>
                <w:sz w:val="24"/>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182" w:type="dxa"/>
            <w:vAlign w:val="center"/>
          </w:tcPr>
          <w:p>
            <w:pPr>
              <w:jc w:val="center"/>
              <w:rPr>
                <w:sz w:val="24"/>
              </w:rPr>
            </w:pPr>
            <w:r>
              <w:rPr>
                <w:rFonts w:hint="eastAsia"/>
                <w:sz w:val="24"/>
              </w:rPr>
              <w:t>供货（安装）周期</w:t>
            </w:r>
          </w:p>
        </w:tc>
        <w:tc>
          <w:tcPr>
            <w:tcW w:w="2231" w:type="dxa"/>
            <w:vAlign w:val="center"/>
          </w:tcPr>
          <w:p>
            <w:pPr>
              <w:jc w:val="center"/>
              <w:rPr>
                <w:rFonts w:asciiTheme="minorEastAsia" w:hAnsiTheme="minorEastAsia" w:eastAsiaTheme="minorEastAsia"/>
                <w:sz w:val="24"/>
              </w:rPr>
            </w:pPr>
          </w:p>
        </w:tc>
        <w:tc>
          <w:tcPr>
            <w:tcW w:w="2575" w:type="dxa"/>
            <w:vAlign w:val="center"/>
          </w:tcPr>
          <w:p>
            <w:pPr>
              <w:pStyle w:val="84"/>
              <w:jc w:val="center"/>
              <w:rPr>
                <w:rFonts w:asciiTheme="minorEastAsia" w:hAnsiTheme="minorEastAsia" w:eastAsiaTheme="minorEastAsia"/>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2182" w:type="dxa"/>
            <w:vAlign w:val="center"/>
          </w:tcPr>
          <w:p>
            <w:pPr>
              <w:jc w:val="center"/>
              <w:rPr>
                <w:sz w:val="24"/>
              </w:rPr>
            </w:pPr>
            <w:r>
              <w:rPr>
                <w:rFonts w:hint="eastAsia"/>
                <w:sz w:val="24"/>
              </w:rPr>
              <w:t>免费质保期</w:t>
            </w:r>
          </w:p>
        </w:tc>
        <w:tc>
          <w:tcPr>
            <w:tcW w:w="2231" w:type="dxa"/>
            <w:vAlign w:val="center"/>
          </w:tcPr>
          <w:p>
            <w:pPr>
              <w:jc w:val="center"/>
              <w:rPr>
                <w:rFonts w:asciiTheme="minorEastAsia" w:hAnsiTheme="minorEastAsia" w:eastAsiaTheme="minorEastAsia"/>
                <w:sz w:val="24"/>
              </w:rPr>
            </w:pPr>
          </w:p>
        </w:tc>
        <w:tc>
          <w:tcPr>
            <w:tcW w:w="2575" w:type="dxa"/>
            <w:vAlign w:val="center"/>
          </w:tcPr>
          <w:p>
            <w:pPr>
              <w:jc w:val="center"/>
              <w:rPr>
                <w:rFonts w:asciiTheme="minorEastAsia" w:hAnsiTheme="minorEastAsia" w:eastAsiaTheme="minorEastAsia"/>
                <w:sz w:val="24"/>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182" w:type="dxa"/>
            <w:vAlign w:val="center"/>
          </w:tcPr>
          <w:p>
            <w:pPr>
              <w:jc w:val="center"/>
              <w:rPr>
                <w:sz w:val="24"/>
              </w:rPr>
            </w:pPr>
          </w:p>
        </w:tc>
        <w:tc>
          <w:tcPr>
            <w:tcW w:w="2231" w:type="dxa"/>
            <w:vAlign w:val="center"/>
          </w:tcPr>
          <w:p>
            <w:pPr>
              <w:jc w:val="center"/>
              <w:rPr>
                <w:rFonts w:asciiTheme="minorEastAsia" w:hAnsiTheme="minorEastAsia" w:eastAsiaTheme="minorEastAsia"/>
                <w:sz w:val="24"/>
              </w:rPr>
            </w:pPr>
          </w:p>
        </w:tc>
        <w:tc>
          <w:tcPr>
            <w:tcW w:w="2575" w:type="dxa"/>
            <w:vAlign w:val="center"/>
          </w:tcPr>
          <w:p>
            <w:pPr>
              <w:jc w:val="center"/>
              <w:rPr>
                <w:rFonts w:asciiTheme="minorEastAsia" w:hAnsiTheme="minorEastAsia" w:eastAsiaTheme="minorEastAsia"/>
                <w:sz w:val="24"/>
              </w:rPr>
            </w:pPr>
          </w:p>
        </w:tc>
        <w:tc>
          <w:tcPr>
            <w:tcW w:w="810" w:type="dxa"/>
            <w:vAlign w:val="center"/>
          </w:tcPr>
          <w:p>
            <w:pPr>
              <w:jc w:val="center"/>
              <w:rPr>
                <w:rFonts w:asciiTheme="minorEastAsia" w:hAnsiTheme="minorEastAsia" w:eastAsiaTheme="minorEastAsia"/>
                <w:sz w:val="24"/>
              </w:rPr>
            </w:pPr>
          </w:p>
        </w:tc>
      </w:tr>
    </w:tbl>
    <w:p>
      <w:pPr>
        <w:spacing w:line="360" w:lineRule="auto"/>
        <w:ind w:firstLine="435"/>
        <w:outlineLvl w:val="2"/>
        <w:rPr>
          <w:rFonts w:asciiTheme="minorEastAsia" w:hAnsiTheme="minorEastAsia" w:eastAsiaTheme="minorEastAsia"/>
          <w:b/>
          <w:sz w:val="24"/>
        </w:rPr>
      </w:pPr>
    </w:p>
    <w:p>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.2</w:t>
      </w:r>
      <w:r>
        <w:rPr>
          <w:rFonts w:hint="eastAsia" w:asciiTheme="minorEastAsia" w:hAnsiTheme="minorEastAsia" w:eastAsiaTheme="minorEastAsia"/>
          <w:b/>
          <w:sz w:val="24"/>
        </w:rPr>
        <w:t>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pPr>
              <w:pStyle w:val="28"/>
              <w:jc w:val="center"/>
              <w:rPr>
                <w:rFonts w:cs="Wingdings" w:asciiTheme="minorEastAsia" w:hAnsiTheme="minorEastAsia"/>
                <w:b/>
                <w:sz w:val="24"/>
              </w:rPr>
            </w:pPr>
            <w:r>
              <w:rPr>
                <w:rFonts w:hint="eastAsia" w:cs="Wingdings" w:asciiTheme="minorEastAsia" w:hAnsiTheme="minorEastAsia"/>
                <w:b/>
                <w:sz w:val="24"/>
              </w:rPr>
              <w:t>序号</w:t>
            </w:r>
          </w:p>
        </w:tc>
        <w:tc>
          <w:tcPr>
            <w:tcW w:w="1560" w:type="dxa"/>
            <w:vAlign w:val="center"/>
          </w:tcPr>
          <w:p>
            <w:pPr>
              <w:pStyle w:val="28"/>
              <w:jc w:val="center"/>
              <w:rPr>
                <w:rFonts w:cs="Wingdings" w:asciiTheme="minorEastAsia" w:hAnsiTheme="minorEastAsia"/>
                <w:b/>
                <w:sz w:val="24"/>
              </w:rPr>
            </w:pPr>
            <w:r>
              <w:rPr>
                <w:rFonts w:hint="eastAsia" w:asciiTheme="minorEastAsia" w:hAnsiTheme="minorEastAsia"/>
                <w:b/>
                <w:bCs/>
                <w:sz w:val="24"/>
                <w:szCs w:val="24"/>
              </w:rPr>
              <w:t>货物名称</w:t>
            </w:r>
          </w:p>
        </w:tc>
        <w:tc>
          <w:tcPr>
            <w:tcW w:w="2863" w:type="dxa"/>
            <w:vAlign w:val="center"/>
          </w:tcPr>
          <w:p>
            <w:pPr>
              <w:pStyle w:val="28"/>
              <w:jc w:val="center"/>
              <w:rPr>
                <w:rFonts w:cs="Wingdings" w:asciiTheme="minorEastAsia" w:hAnsiTheme="minorEastAsia"/>
                <w:b/>
                <w:sz w:val="24"/>
              </w:rPr>
            </w:pPr>
            <w:r>
              <w:rPr>
                <w:rFonts w:hint="eastAsia" w:cs="Wingdings" w:asciiTheme="minorEastAsia" w:hAnsiTheme="minorEastAsia"/>
                <w:b/>
                <w:sz w:val="24"/>
              </w:rPr>
              <w:t>谈判文件规定的技术参数要求</w:t>
            </w:r>
          </w:p>
        </w:tc>
        <w:tc>
          <w:tcPr>
            <w:tcW w:w="2482" w:type="dxa"/>
            <w:vAlign w:val="center"/>
          </w:tcPr>
          <w:p>
            <w:pPr>
              <w:pStyle w:val="28"/>
              <w:jc w:val="center"/>
              <w:rPr>
                <w:rFonts w:cs="Wingdings" w:asciiTheme="minorEastAsia" w:hAnsiTheme="minorEastAsia"/>
                <w:b/>
                <w:sz w:val="24"/>
              </w:rPr>
            </w:pPr>
            <w:r>
              <w:rPr>
                <w:rFonts w:hint="eastAsia" w:cs="Wingdings" w:asciiTheme="minorEastAsia" w:hAnsiTheme="minorEastAsia"/>
                <w:b/>
                <w:sz w:val="24"/>
              </w:rPr>
              <w:t>所投产品的品牌、型号及技术参数</w:t>
            </w:r>
          </w:p>
        </w:tc>
        <w:tc>
          <w:tcPr>
            <w:tcW w:w="856" w:type="dxa"/>
            <w:vAlign w:val="center"/>
          </w:tcPr>
          <w:p>
            <w:pPr>
              <w:pStyle w:val="28"/>
              <w:jc w:val="center"/>
              <w:rPr>
                <w:rFonts w:cs="Wingdings" w:asciiTheme="minorEastAsia" w:hAnsiTheme="minorEastAsia"/>
                <w:b/>
                <w:sz w:val="24"/>
              </w:rPr>
            </w:pPr>
            <w:r>
              <w:rPr>
                <w:rFonts w:hint="eastAsia" w:cs="Wingdings" w:asciiTheme="minorEastAsia" w:hAnsiTheme="minorEastAsia"/>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560" w:type="dxa"/>
            <w:vAlign w:val="center"/>
          </w:tcPr>
          <w:p>
            <w:pPr>
              <w:jc w:val="center"/>
              <w:rPr>
                <w:rFonts w:asciiTheme="minorEastAsia" w:hAnsiTheme="minorEastAsia" w:eastAsiaTheme="minorEastAsia"/>
                <w:sz w:val="24"/>
              </w:rPr>
            </w:pPr>
          </w:p>
        </w:tc>
        <w:tc>
          <w:tcPr>
            <w:tcW w:w="2863" w:type="dxa"/>
            <w:vAlign w:val="center"/>
          </w:tcPr>
          <w:p>
            <w:pPr>
              <w:jc w:val="center"/>
              <w:rPr>
                <w:rFonts w:asciiTheme="minorEastAsia" w:hAnsiTheme="minorEastAsia" w:eastAsiaTheme="minorEastAsia"/>
                <w:sz w:val="24"/>
              </w:rPr>
            </w:pPr>
          </w:p>
        </w:tc>
        <w:tc>
          <w:tcPr>
            <w:tcW w:w="2482" w:type="dxa"/>
            <w:vAlign w:val="center"/>
          </w:tcPr>
          <w:p>
            <w:pPr>
              <w:jc w:val="center"/>
              <w:rPr>
                <w:rFonts w:asciiTheme="minorEastAsia" w:hAnsiTheme="minorEastAsia" w:eastAsiaTheme="minorEastAsia"/>
                <w:sz w:val="24"/>
              </w:rPr>
            </w:pPr>
          </w:p>
        </w:tc>
        <w:tc>
          <w:tcPr>
            <w:tcW w:w="856"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560" w:type="dxa"/>
            <w:vAlign w:val="center"/>
          </w:tcPr>
          <w:p>
            <w:pPr>
              <w:jc w:val="center"/>
              <w:rPr>
                <w:rFonts w:asciiTheme="minorEastAsia" w:hAnsiTheme="minorEastAsia" w:eastAsiaTheme="minorEastAsia"/>
                <w:sz w:val="24"/>
              </w:rPr>
            </w:pPr>
          </w:p>
        </w:tc>
        <w:tc>
          <w:tcPr>
            <w:tcW w:w="2863" w:type="dxa"/>
            <w:vAlign w:val="center"/>
          </w:tcPr>
          <w:p>
            <w:pPr>
              <w:jc w:val="center"/>
              <w:rPr>
                <w:rFonts w:asciiTheme="minorEastAsia" w:hAnsiTheme="minorEastAsia" w:eastAsiaTheme="minorEastAsia"/>
                <w:sz w:val="24"/>
              </w:rPr>
            </w:pPr>
          </w:p>
        </w:tc>
        <w:tc>
          <w:tcPr>
            <w:tcW w:w="2482" w:type="dxa"/>
            <w:vAlign w:val="center"/>
          </w:tcPr>
          <w:p>
            <w:pPr>
              <w:jc w:val="center"/>
              <w:rPr>
                <w:rFonts w:asciiTheme="minorEastAsia" w:hAnsiTheme="minorEastAsia" w:eastAsiaTheme="minorEastAsia"/>
                <w:sz w:val="24"/>
              </w:rPr>
            </w:pPr>
          </w:p>
        </w:tc>
        <w:tc>
          <w:tcPr>
            <w:tcW w:w="856"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560" w:type="dxa"/>
            <w:vAlign w:val="center"/>
          </w:tcPr>
          <w:p>
            <w:pPr>
              <w:jc w:val="center"/>
              <w:rPr>
                <w:rFonts w:asciiTheme="minorEastAsia" w:hAnsiTheme="minorEastAsia" w:eastAsiaTheme="minorEastAsia"/>
                <w:sz w:val="24"/>
              </w:rPr>
            </w:pPr>
          </w:p>
        </w:tc>
        <w:tc>
          <w:tcPr>
            <w:tcW w:w="2863" w:type="dxa"/>
            <w:vAlign w:val="center"/>
          </w:tcPr>
          <w:p>
            <w:pPr>
              <w:jc w:val="center"/>
              <w:rPr>
                <w:rFonts w:asciiTheme="minorEastAsia" w:hAnsiTheme="minorEastAsia" w:eastAsiaTheme="minorEastAsia"/>
                <w:sz w:val="24"/>
              </w:rPr>
            </w:pPr>
          </w:p>
        </w:tc>
        <w:tc>
          <w:tcPr>
            <w:tcW w:w="2482" w:type="dxa"/>
            <w:vAlign w:val="center"/>
          </w:tcPr>
          <w:p>
            <w:pPr>
              <w:pStyle w:val="84"/>
              <w:jc w:val="center"/>
              <w:rPr>
                <w:rFonts w:asciiTheme="minorEastAsia" w:hAnsiTheme="minorEastAsia" w:eastAsiaTheme="minorEastAsia"/>
              </w:rPr>
            </w:pPr>
          </w:p>
        </w:tc>
        <w:tc>
          <w:tcPr>
            <w:tcW w:w="856"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560" w:type="dxa"/>
            <w:vAlign w:val="center"/>
          </w:tcPr>
          <w:p>
            <w:pPr>
              <w:jc w:val="center"/>
              <w:rPr>
                <w:rFonts w:asciiTheme="minorEastAsia" w:hAnsiTheme="minorEastAsia" w:eastAsiaTheme="minorEastAsia"/>
                <w:sz w:val="24"/>
              </w:rPr>
            </w:pPr>
          </w:p>
        </w:tc>
        <w:tc>
          <w:tcPr>
            <w:tcW w:w="2863" w:type="dxa"/>
            <w:vAlign w:val="center"/>
          </w:tcPr>
          <w:p>
            <w:pPr>
              <w:jc w:val="center"/>
              <w:rPr>
                <w:rFonts w:asciiTheme="minorEastAsia" w:hAnsiTheme="minorEastAsia" w:eastAsiaTheme="minorEastAsia"/>
                <w:sz w:val="24"/>
              </w:rPr>
            </w:pPr>
          </w:p>
        </w:tc>
        <w:tc>
          <w:tcPr>
            <w:tcW w:w="2482" w:type="dxa"/>
            <w:vAlign w:val="center"/>
          </w:tcPr>
          <w:p>
            <w:pPr>
              <w:pStyle w:val="84"/>
              <w:jc w:val="center"/>
              <w:rPr>
                <w:rFonts w:asciiTheme="minorEastAsia" w:hAnsiTheme="minorEastAsia" w:eastAsiaTheme="minorEastAsia"/>
              </w:rPr>
            </w:pPr>
          </w:p>
        </w:tc>
        <w:tc>
          <w:tcPr>
            <w:tcW w:w="856"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560" w:type="dxa"/>
            <w:vAlign w:val="center"/>
          </w:tcPr>
          <w:p>
            <w:pPr>
              <w:jc w:val="center"/>
              <w:rPr>
                <w:rFonts w:asciiTheme="minorEastAsia" w:hAnsiTheme="minorEastAsia" w:eastAsiaTheme="minorEastAsia"/>
                <w:sz w:val="24"/>
              </w:rPr>
            </w:pPr>
          </w:p>
        </w:tc>
        <w:tc>
          <w:tcPr>
            <w:tcW w:w="2863" w:type="dxa"/>
            <w:vAlign w:val="center"/>
          </w:tcPr>
          <w:p>
            <w:pPr>
              <w:jc w:val="center"/>
              <w:rPr>
                <w:rFonts w:asciiTheme="minorEastAsia" w:hAnsiTheme="minorEastAsia" w:eastAsiaTheme="minorEastAsia"/>
                <w:sz w:val="24"/>
              </w:rPr>
            </w:pPr>
          </w:p>
        </w:tc>
        <w:tc>
          <w:tcPr>
            <w:tcW w:w="2482" w:type="dxa"/>
            <w:vAlign w:val="center"/>
          </w:tcPr>
          <w:p>
            <w:pPr>
              <w:jc w:val="center"/>
              <w:rPr>
                <w:rFonts w:asciiTheme="minorEastAsia" w:hAnsiTheme="minorEastAsia" w:eastAsiaTheme="minorEastAsia"/>
                <w:sz w:val="24"/>
              </w:rPr>
            </w:pPr>
          </w:p>
        </w:tc>
        <w:tc>
          <w:tcPr>
            <w:tcW w:w="856" w:type="dxa"/>
            <w:vAlign w:val="center"/>
          </w:tcPr>
          <w:p>
            <w:pPr>
              <w:jc w:val="center"/>
              <w:rPr>
                <w:rFonts w:asciiTheme="minorEastAsia" w:hAnsiTheme="minorEastAsia" w:eastAsiaTheme="minorEastAsia"/>
                <w:sz w:val="24"/>
              </w:rPr>
            </w:pPr>
          </w:p>
        </w:tc>
      </w:tr>
    </w:tbl>
    <w:p>
      <w:pPr>
        <w:spacing w:line="360" w:lineRule="auto"/>
        <w:rPr>
          <w:sz w:val="24"/>
          <w:szCs w:val="24"/>
        </w:rPr>
      </w:pPr>
    </w:p>
    <w:p>
      <w:pPr>
        <w:spacing w:line="360" w:lineRule="auto"/>
        <w:rPr>
          <w:sz w:val="24"/>
          <w:szCs w:val="24"/>
        </w:rPr>
      </w:pPr>
      <w:r>
        <w:rPr>
          <w:rFonts w:hint="eastAsia"/>
          <w:sz w:val="24"/>
          <w:szCs w:val="24"/>
        </w:rPr>
        <w:t>备注：</w:t>
      </w:r>
    </w:p>
    <w:p>
      <w:pPr>
        <w:numPr>
          <w:ilvl w:val="0"/>
          <w:numId w:val="10"/>
        </w:numPr>
        <w:spacing w:line="360" w:lineRule="auto"/>
        <w:rPr>
          <w:sz w:val="24"/>
          <w:szCs w:val="24"/>
        </w:rPr>
      </w:pPr>
      <w:r>
        <w:rPr>
          <w:rFonts w:hint="eastAsia"/>
          <w:sz w:val="24"/>
          <w:szCs w:val="24"/>
        </w:rPr>
        <w:t>投标人保证：除上表列出的偏差外，投标人响应谈判文件的全部要求。</w:t>
      </w:r>
    </w:p>
    <w:p>
      <w:pPr>
        <w:numPr>
          <w:ilvl w:val="0"/>
          <w:numId w:val="10"/>
        </w:numPr>
        <w:spacing w:line="360" w:lineRule="auto"/>
        <w:rPr>
          <w:sz w:val="24"/>
          <w:szCs w:val="24"/>
        </w:rPr>
      </w:pPr>
      <w:r>
        <w:rPr>
          <w:rFonts w:hint="eastAsia"/>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pPr>
        <w:spacing w:line="360" w:lineRule="auto"/>
        <w:jc w:val="center"/>
        <w:outlineLvl w:val="2"/>
        <w:rPr>
          <w:rFonts w:asciiTheme="minorEastAsia" w:hAnsiTheme="minorEastAsia" w:eastAsiaTheme="minorEastAsia"/>
          <w:sz w:val="24"/>
        </w:rPr>
      </w:pPr>
    </w:p>
    <w:p>
      <w:pPr>
        <w:spacing w:line="360" w:lineRule="auto"/>
        <w:ind w:firstLine="3840" w:firstLineChars="1600"/>
        <w:rPr>
          <w:rFonts w:cs="宋体"/>
          <w:kern w:val="2"/>
          <w:sz w:val="24"/>
          <w:szCs w:val="24"/>
        </w:rPr>
      </w:pPr>
      <w:r>
        <w:rPr>
          <w:rFonts w:hint="eastAsia" w:cs="@仿宋_GB2312"/>
          <w:kern w:val="2"/>
          <w:sz w:val="24"/>
          <w:szCs w:val="24"/>
        </w:rPr>
        <w:t>投标人电子签章或公章</w:t>
      </w:r>
      <w:r>
        <w:rPr>
          <w:rFonts w:hint="eastAsia" w:cs="宋体"/>
          <w:kern w:val="2"/>
          <w:sz w:val="24"/>
          <w:szCs w:val="24"/>
        </w:rPr>
        <w:t>：</w:t>
      </w:r>
    </w:p>
    <w:p>
      <w:pPr>
        <w:spacing w:line="360" w:lineRule="auto"/>
        <w:ind w:firstLine="3840" w:firstLineChars="1600"/>
        <w:rPr>
          <w:rFonts w:cs="宋体"/>
          <w:kern w:val="2"/>
          <w:sz w:val="24"/>
          <w:szCs w:val="24"/>
        </w:rPr>
      </w:pPr>
      <w:r>
        <w:rPr>
          <w:rFonts w:hint="eastAsia" w:cs="宋体"/>
          <w:kern w:val="2"/>
          <w:sz w:val="24"/>
          <w:szCs w:val="24"/>
        </w:rPr>
        <w:t>日期：</w:t>
      </w:r>
    </w:p>
    <w:p>
      <w:pPr>
        <w:spacing w:line="360" w:lineRule="auto"/>
        <w:jc w:val="center"/>
        <w:outlineLvl w:val="2"/>
        <w:rPr>
          <w:rFonts w:asciiTheme="minorEastAsia" w:hAnsiTheme="minorEastAsia" w:eastAsiaTheme="minorEastAsia"/>
          <w:b/>
          <w:sz w:val="24"/>
        </w:rPr>
      </w:pPr>
      <w:r>
        <w:rPr>
          <w:rFonts w:asciiTheme="minorEastAsia" w:hAnsiTheme="minorEastAsia" w:eastAsiaTheme="minorEastAsia"/>
          <w:sz w:val="24"/>
        </w:rPr>
        <w:br w:type="page"/>
      </w:r>
    </w:p>
    <w:p>
      <w:pPr>
        <w:widowControl/>
        <w:jc w:val="center"/>
      </w:pPr>
      <w:bookmarkStart w:id="86" w:name="_Toc14824"/>
      <w:r>
        <w:rPr>
          <w:rFonts w:hint="eastAsia" w:asciiTheme="minorEastAsia" w:hAnsiTheme="minorEastAsia" w:eastAsiaTheme="minorEastAsia"/>
          <w:b/>
          <w:sz w:val="24"/>
        </w:rPr>
        <w:t>八、</w:t>
      </w:r>
      <w:bookmarkEnd w:id="86"/>
      <w:r>
        <w:rPr>
          <w:rFonts w:asciiTheme="minorHAnsi" w:hAnsiTheme="minorHAnsi"/>
          <w:kern w:val="2"/>
          <w:sz w:val="28"/>
          <w:szCs w:val="32"/>
        </w:rPr>
        <w:t>供应商股权结构说明书</w:t>
      </w:r>
    </w:p>
    <w:p>
      <w:pPr>
        <w:widowControl/>
        <w:jc w:val="center"/>
      </w:pPr>
    </w:p>
    <w:p>
      <w:pPr>
        <w:widowControl/>
        <w:jc w:val="center"/>
      </w:pPr>
    </w:p>
    <w:p>
      <w:pPr>
        <w:pStyle w:val="20"/>
        <w:spacing w:after="0"/>
        <w:ind w:left="0" w:leftChars="0"/>
        <w:rPr>
          <w:sz w:val="28"/>
          <w:szCs w:val="32"/>
        </w:rPr>
      </w:pPr>
      <w:r>
        <w:rPr>
          <w:sz w:val="28"/>
          <w:szCs w:val="32"/>
        </w:rPr>
        <w:tab/>
      </w:r>
      <w:r>
        <w:rPr>
          <w:sz w:val="28"/>
          <w:szCs w:val="32"/>
        </w:rPr>
        <w:t>为依照《中华人民共和国公司法》等法律法规成立的（企业性质）</w:t>
      </w:r>
      <w:r>
        <w:rPr>
          <w:sz w:val="28"/>
          <w:szCs w:val="32"/>
          <w:u w:val="single"/>
        </w:rPr>
        <w:tab/>
      </w:r>
      <w:r>
        <w:rPr>
          <w:sz w:val="28"/>
          <w:szCs w:val="32"/>
        </w:rPr>
        <w:t>公司，公司注册资本为 万元，公司股东出资比例和出资额如下：</w:t>
      </w:r>
    </w:p>
    <w:p>
      <w:pPr>
        <w:pStyle w:val="20"/>
        <w:spacing w:after="0"/>
        <w:ind w:left="0" w:leftChars="0"/>
        <w:rPr>
          <w:rFonts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1.股东：，出资比例：%，出资额：万元； </w:t>
      </w:r>
    </w:p>
    <w:p>
      <w:pPr>
        <w:pStyle w:val="20"/>
        <w:spacing w:after="0"/>
        <w:ind w:left="0" w:leftChars="0"/>
        <w:rPr>
          <w:rFonts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2.股东：</w:t>
      </w:r>
      <w:r>
        <w:rPr>
          <w:rFonts w:hint="eastAsia" w:asciiTheme="minorEastAsia" w:hAnsiTheme="minorEastAsia" w:eastAsiaTheme="minorEastAsia" w:cstheme="minorEastAsia"/>
          <w:sz w:val="28"/>
          <w:szCs w:val="32"/>
          <w:u w:val="single"/>
        </w:rPr>
        <w:t xml:space="preserve">    　 </w:t>
      </w:r>
      <w:r>
        <w:rPr>
          <w:rFonts w:hint="eastAsia" w:asciiTheme="minorEastAsia" w:hAnsiTheme="minorEastAsia" w:eastAsiaTheme="minorEastAsia" w:cstheme="minorEastAsia"/>
          <w:sz w:val="28"/>
          <w:szCs w:val="32"/>
        </w:rPr>
        <w:t>，出资比例：%，出资额：万元；</w:t>
      </w:r>
    </w:p>
    <w:p>
      <w:pPr>
        <w:pStyle w:val="20"/>
        <w:spacing w:after="0"/>
        <w:ind w:left="0" w:leftChars="0"/>
        <w:rPr>
          <w:rFonts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3.股东：</w:t>
      </w:r>
      <w:r>
        <w:rPr>
          <w:rFonts w:hint="eastAsia" w:asciiTheme="minorEastAsia" w:hAnsiTheme="minorEastAsia" w:eastAsiaTheme="minorEastAsia" w:cstheme="minorEastAsia"/>
          <w:sz w:val="28"/>
          <w:szCs w:val="32"/>
          <w:u w:val="single"/>
        </w:rPr>
        <w:t xml:space="preserve">      　</w:t>
      </w:r>
      <w:r>
        <w:rPr>
          <w:rFonts w:hint="eastAsia" w:asciiTheme="minorEastAsia" w:hAnsiTheme="minorEastAsia" w:eastAsiaTheme="minorEastAsia" w:cstheme="minorEastAsia"/>
          <w:sz w:val="28"/>
          <w:szCs w:val="32"/>
        </w:rPr>
        <w:t>，出资比例：%，出资额：万元； ……</w:t>
      </w:r>
    </w:p>
    <w:p>
      <w:pPr>
        <w:pStyle w:val="20"/>
        <w:spacing w:after="0"/>
        <w:ind w:left="0" w:leftChars="0"/>
        <w:rPr>
          <w:sz w:val="28"/>
          <w:szCs w:val="32"/>
        </w:rPr>
      </w:pPr>
      <w:r>
        <w:rPr>
          <w:rFonts w:hint="eastAsia" w:asciiTheme="minorEastAsia" w:hAnsiTheme="minorEastAsia" w:eastAsiaTheme="minorEastAsia" w:cstheme="minorEastAsia"/>
          <w:sz w:val="28"/>
          <w:szCs w:val="32"/>
        </w:rPr>
        <w:t>公司总经理（负责人）姓名：；联系电话：</w:t>
      </w:r>
    </w:p>
    <w:p>
      <w:pPr>
        <w:pStyle w:val="20"/>
        <w:spacing w:after="0"/>
        <w:ind w:left="0" w:leftChars="0"/>
        <w:rPr>
          <w:sz w:val="28"/>
          <w:szCs w:val="32"/>
        </w:rPr>
      </w:pPr>
    </w:p>
    <w:p>
      <w:pPr>
        <w:pStyle w:val="20"/>
        <w:spacing w:after="0"/>
        <w:ind w:left="0" w:leftChars="0"/>
        <w:rPr>
          <w:sz w:val="28"/>
          <w:szCs w:val="32"/>
        </w:rPr>
      </w:pPr>
      <w:r>
        <w:rPr>
          <w:sz w:val="28"/>
          <w:szCs w:val="32"/>
        </w:rPr>
        <w:t>本单位对上述说明的真实性负责。如有虚假，将依法承担相应责任。</w:t>
      </w:r>
    </w:p>
    <w:p>
      <w:pPr>
        <w:pStyle w:val="20"/>
        <w:spacing w:after="0"/>
        <w:ind w:left="0" w:leftChars="0"/>
        <w:rPr>
          <w:sz w:val="28"/>
          <w:szCs w:val="32"/>
        </w:rPr>
      </w:pPr>
    </w:p>
    <w:p>
      <w:pPr>
        <w:pStyle w:val="20"/>
        <w:spacing w:after="0"/>
        <w:ind w:left="0" w:leftChars="0"/>
        <w:rPr>
          <w:sz w:val="28"/>
          <w:szCs w:val="32"/>
        </w:rPr>
      </w:pPr>
      <w:r>
        <w:rPr>
          <w:sz w:val="28"/>
          <w:szCs w:val="32"/>
        </w:rPr>
        <w:t>特此说明</w:t>
      </w:r>
    </w:p>
    <w:p/>
    <w:p>
      <w:pPr>
        <w:rPr>
          <w:sz w:val="28"/>
          <w:szCs w:val="28"/>
        </w:rPr>
      </w:pPr>
    </w:p>
    <w:p>
      <w:pPr>
        <w:widowControl/>
        <w:jc w:val="center"/>
        <w:rPr>
          <w:sz w:val="28"/>
          <w:szCs w:val="28"/>
        </w:rPr>
      </w:pPr>
      <w:r>
        <w:rPr>
          <w:sz w:val="28"/>
          <w:szCs w:val="28"/>
        </w:rPr>
        <w:t xml:space="preserve">投标人电子签章或公章：                </w:t>
      </w:r>
    </w:p>
    <w:p>
      <w:pPr>
        <w:widowControl/>
        <w:jc w:val="center"/>
        <w:rPr>
          <w:sz w:val="28"/>
          <w:szCs w:val="28"/>
        </w:rPr>
      </w:pPr>
      <w:r>
        <w:rPr>
          <w:sz w:val="28"/>
          <w:szCs w:val="28"/>
        </w:rPr>
        <w:t xml:space="preserve">日          期 ：                     </w:t>
      </w:r>
    </w:p>
    <w:p>
      <w:pPr>
        <w:widowControl/>
        <w:jc w:val="center"/>
        <w:rPr>
          <w:rFonts w:asciiTheme="minorEastAsia" w:hAnsiTheme="minorEastAsia" w:eastAsiaTheme="minorEastAsia"/>
          <w:b/>
          <w:sz w:val="24"/>
        </w:rPr>
      </w:pP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4"/>
        </w:rPr>
      </w:pPr>
      <w:bookmarkStart w:id="87" w:name="_Toc7446"/>
      <w:r>
        <w:rPr>
          <w:rFonts w:hint="eastAsia" w:asciiTheme="minorEastAsia" w:hAnsiTheme="minorEastAsia" w:eastAsiaTheme="minorEastAsia"/>
          <w:b/>
          <w:sz w:val="24"/>
        </w:rPr>
        <w:t>九、其他相关证明材料</w:t>
      </w:r>
      <w:bookmarkEnd w:id="87"/>
    </w:p>
    <w:p>
      <w:pPr>
        <w:spacing w:line="360" w:lineRule="auto"/>
        <w:jc w:val="center"/>
        <w:outlineLvl w:val="1"/>
        <w:rPr>
          <w:sz w:val="24"/>
          <w:szCs w:val="22"/>
        </w:rPr>
      </w:pPr>
      <w:bookmarkStart w:id="88" w:name="_Toc19685"/>
      <w:bookmarkStart w:id="89" w:name="_Toc30667"/>
      <w:r>
        <w:rPr>
          <w:rFonts w:hint="eastAsia"/>
          <w:sz w:val="24"/>
          <w:szCs w:val="22"/>
        </w:rPr>
        <w:t>投标人按照第四章评审方法和标准放置的其他资料。</w:t>
      </w:r>
      <w:bookmarkEnd w:id="88"/>
      <w:bookmarkEnd w:id="89"/>
    </w:p>
    <w:p>
      <w:pPr>
        <w:rPr>
          <w:sz w:val="24"/>
          <w:szCs w:val="22"/>
        </w:rPr>
      </w:pPr>
      <w:r>
        <w:rPr>
          <w:rFonts w:hint="eastAsia"/>
          <w:sz w:val="24"/>
          <w:szCs w:val="22"/>
        </w:rPr>
        <w:br w:type="page"/>
      </w:r>
    </w:p>
    <w:p>
      <w:pPr>
        <w:spacing w:line="360" w:lineRule="auto"/>
        <w:jc w:val="center"/>
        <w:outlineLvl w:val="1"/>
        <w:rPr>
          <w:rFonts w:asciiTheme="minorEastAsia" w:hAnsiTheme="minorEastAsia" w:eastAsiaTheme="minorEastAsia"/>
          <w:b/>
          <w:sz w:val="28"/>
        </w:rPr>
      </w:pPr>
      <w:bookmarkStart w:id="90" w:name="_Toc17245"/>
      <w:r>
        <w:rPr>
          <w:rFonts w:hint="eastAsia" w:asciiTheme="minorEastAsia" w:hAnsiTheme="minorEastAsia" w:eastAsiaTheme="minorEastAsia"/>
          <w:b/>
          <w:sz w:val="28"/>
        </w:rPr>
        <w:t>第七章  安徽公共资源交易集团电子交易操作规程</w:t>
      </w:r>
      <w:bookmarkEnd w:id="90"/>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第一条</w:t>
      </w:r>
      <w:r>
        <w:rPr>
          <w:rFonts w:asciiTheme="minorEastAsia" w:hAnsiTheme="minorEastAsia" w:eastAsiaTheme="minorEastAsia" w:cstheme="minorEastAsia"/>
          <w:sz w:val="24"/>
          <w:szCs w:val="24"/>
        </w:rPr>
        <w:t>  为进一步规范交易行为，提高交易效率，充分利用信息网络技术，参照《中华人民共和国电子签名法》《电子招标投标办法》等有关规定，结合工作实际，制定本规程。</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第二条</w:t>
      </w:r>
      <w:r>
        <w:rPr>
          <w:rFonts w:asciiTheme="minorEastAsia" w:hAnsiTheme="minorEastAsia" w:eastAsiaTheme="minorEastAsia" w:cstheme="minorEastAsia"/>
          <w:sz w:val="24"/>
          <w:szCs w:val="24"/>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第三条</w:t>
      </w:r>
      <w:r>
        <w:rPr>
          <w:rFonts w:asciiTheme="minorEastAsia" w:hAnsiTheme="minorEastAsia" w:eastAsiaTheme="minorEastAsia" w:cstheme="minorEastAsia"/>
          <w:sz w:val="24"/>
          <w:szCs w:val="24"/>
        </w:rPr>
        <w:t>  本规程所指的电子交易，是指以数据电文形式，依托安徽公共资源交易集团电子交易系统（简称“电子交易系统”）完成的全部或者部分交易活动。</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第四条</w:t>
      </w:r>
      <w:r>
        <w:rPr>
          <w:rFonts w:asciiTheme="minorEastAsia" w:hAnsiTheme="minorEastAsia" w:eastAsiaTheme="minorEastAsia" w:cstheme="minorEastAsia"/>
          <w:sz w:val="24"/>
          <w:szCs w:val="24"/>
        </w:rPr>
        <w:t xml:space="preserve"> 本规程所指的招标文件，是指招标人（采购人）或代理机构采用公开招标、邀请招标、框架协议、比选、直接发包、竞争性谈判、竞争性磋商、询价、单一来源、资格审查等方式，根据交易项目的特点和招标人（采购人）的实际需求制定的规范性文件。</w:t>
      </w:r>
    </w:p>
    <w:p>
      <w:pPr>
        <w:pStyle w:val="277"/>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本规程所指的投标文件，是指投标人（供应商）应招标文件要求编制的响应</w:t>
      </w:r>
      <w:r>
        <w:rPr>
          <w:rFonts w:asciiTheme="minorEastAsia" w:hAnsiTheme="minorEastAsia" w:eastAsiaTheme="minorEastAsia" w:cstheme="minorEastAsia"/>
          <w:color w:val="000000" w:themeColor="text1"/>
          <w:sz w:val="24"/>
          <w:szCs w:val="24"/>
          <w14:textFill>
            <w14:solidFill>
              <w14:schemeClr w14:val="tx1"/>
            </w14:solidFill>
          </w14:textFill>
        </w:rPr>
        <w:t>性</w:t>
      </w:r>
      <w:r>
        <w:rPr>
          <w:rFonts w:asciiTheme="minorEastAsia" w:hAnsiTheme="minorEastAsia" w:eastAsiaTheme="minorEastAsia" w:cstheme="minorEastAsia"/>
          <w:sz w:val="24"/>
          <w:szCs w:val="24"/>
        </w:rPr>
        <w:t>文件。</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第五条</w:t>
      </w:r>
      <w:r>
        <w:rPr>
          <w:rFonts w:asciiTheme="minorEastAsia" w:hAnsiTheme="minorEastAsia" w:eastAsiaTheme="minorEastAsia" w:cstheme="minorEastAsia"/>
          <w:sz w:val="24"/>
          <w:szCs w:val="24"/>
        </w:rPr>
        <w:t>  电子交易系统是交易活动当事人通过数据电文形式完成交易活动的系统。</w:t>
      </w:r>
    </w:p>
    <w:p>
      <w:pPr>
        <w:pStyle w:val="277"/>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电子交易系统具备在线完成交易活动全部</w:t>
      </w:r>
      <w:r>
        <w:rPr>
          <w:rFonts w:asciiTheme="minorEastAsia" w:hAnsiTheme="minorEastAsia" w:eastAsiaTheme="minorEastAsia" w:cstheme="minorEastAsia"/>
          <w:color w:val="000000" w:themeColor="text1"/>
          <w:sz w:val="24"/>
          <w:szCs w:val="24"/>
          <w14:textFill>
            <w14:solidFill>
              <w14:schemeClr w14:val="tx1"/>
            </w14:solidFill>
          </w14:textFill>
        </w:rPr>
        <w:t>或部分</w:t>
      </w:r>
      <w:r>
        <w:rPr>
          <w:rFonts w:asciiTheme="minorEastAsia" w:hAnsiTheme="minorEastAsia" w:eastAsiaTheme="minorEastAsia" w:cstheme="minorEastAsia"/>
          <w:sz w:val="24"/>
          <w:szCs w:val="24"/>
        </w:rPr>
        <w:t>交易过程，</w:t>
      </w:r>
      <w:r>
        <w:rPr>
          <w:rFonts w:asciiTheme="minorEastAsia" w:hAnsiTheme="minorEastAsia" w:eastAsiaTheme="minorEastAsia" w:cstheme="minorEastAsia"/>
          <w:color w:val="000000" w:themeColor="text1"/>
          <w:sz w:val="24"/>
          <w:szCs w:val="24"/>
          <w14:textFill>
            <w14:solidFill>
              <w14:schemeClr w14:val="tx1"/>
            </w14:solidFill>
          </w14:textFill>
        </w:rPr>
        <w:t>具备</w:t>
      </w:r>
      <w:r>
        <w:rPr>
          <w:rFonts w:asciiTheme="minorEastAsia" w:hAnsiTheme="minorEastAsia" w:eastAsiaTheme="minorEastAsia" w:cstheme="minorEastAsia"/>
          <w:sz w:val="24"/>
          <w:szCs w:val="24"/>
        </w:rPr>
        <w:t>编辑、生成、对接、交换和发布有关交易活动数据信息的功能，并为交易活动监督</w:t>
      </w:r>
      <w:r>
        <w:rPr>
          <w:rFonts w:asciiTheme="minorEastAsia" w:hAnsiTheme="minorEastAsia" w:eastAsiaTheme="minorEastAsia" w:cstheme="minorEastAsia"/>
          <w:color w:val="000000" w:themeColor="text1"/>
          <w:sz w:val="24"/>
          <w:szCs w:val="24"/>
          <w14:textFill>
            <w14:solidFill>
              <w14:schemeClr w14:val="tx1"/>
            </w14:solidFill>
          </w14:textFill>
        </w:rPr>
        <w:t>管理部门实施监督管理</w:t>
      </w:r>
      <w:r>
        <w:rPr>
          <w:rFonts w:asciiTheme="minorEastAsia" w:hAnsiTheme="minorEastAsia" w:eastAsiaTheme="minorEastAsia" w:cstheme="minorEastAsia"/>
          <w:sz w:val="24"/>
          <w:szCs w:val="24"/>
        </w:rPr>
        <w:t>提供所需的信息。</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第六条</w:t>
      </w:r>
      <w:r>
        <w:rPr>
          <w:rFonts w:asciiTheme="minorEastAsia" w:hAnsiTheme="minorEastAsia" w:eastAsiaTheme="minorEastAsia" w:cstheme="minorEastAsia"/>
          <w:sz w:val="24"/>
          <w:szCs w:val="24"/>
        </w:rPr>
        <w:t>  招标人（采购人）或代理机构负责电子交易的组织实施，电子交易系统建设单位负责电子交易系统的服务保障。</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第七条</w:t>
      </w:r>
      <w:r>
        <w:rPr>
          <w:rFonts w:asciiTheme="minorEastAsia" w:hAnsiTheme="minorEastAsia" w:eastAsiaTheme="minorEastAsia" w:cstheme="minorEastAsia"/>
          <w:sz w:val="24"/>
          <w:szCs w:val="24"/>
        </w:rPr>
        <w:t>  电子交易各方主体应当按照相关规定</w:t>
      </w:r>
      <w:r>
        <w:rPr>
          <w:rFonts w:asciiTheme="minorEastAsia" w:hAnsiTheme="minorEastAsia" w:eastAsiaTheme="minorEastAsia" w:cstheme="minorEastAsia"/>
          <w:color w:val="000000" w:themeColor="text1"/>
          <w:sz w:val="24"/>
          <w:szCs w:val="24"/>
          <w14:textFill>
            <w14:solidFill>
              <w14:schemeClr w14:val="tx1"/>
            </w14:solidFill>
          </w14:textFill>
        </w:rPr>
        <w:t>合法</w:t>
      </w:r>
      <w:r>
        <w:rPr>
          <w:rFonts w:asciiTheme="minorEastAsia" w:hAnsiTheme="minorEastAsia" w:eastAsiaTheme="minorEastAsia" w:cstheme="minorEastAsia"/>
          <w:sz w:val="24"/>
          <w:szCs w:val="24"/>
        </w:rPr>
        <w:t>取得和使用数字证书及电子签章，通过数字证书登录电子交易系统</w:t>
      </w:r>
      <w:r>
        <w:rPr>
          <w:rFonts w:asciiTheme="minorEastAsia" w:hAnsiTheme="minorEastAsia" w:eastAsiaTheme="minorEastAsia" w:cstheme="minorEastAsia"/>
          <w:color w:val="000000" w:themeColor="text1"/>
          <w:sz w:val="24"/>
          <w:szCs w:val="24"/>
          <w14:textFill>
            <w14:solidFill>
              <w14:schemeClr w14:val="tx1"/>
            </w14:solidFill>
          </w14:textFill>
        </w:rPr>
        <w:t>参与交易活动</w:t>
      </w:r>
      <w:r>
        <w:rPr>
          <w:rFonts w:asciiTheme="minorEastAsia" w:hAnsiTheme="minorEastAsia" w:eastAsiaTheme="minorEastAsia" w:cstheme="minorEastAsia"/>
          <w:sz w:val="24"/>
          <w:szCs w:val="24"/>
        </w:rPr>
        <w:t>。各方主体</w:t>
      </w:r>
      <w:r>
        <w:rPr>
          <w:rFonts w:asciiTheme="minorEastAsia" w:hAnsiTheme="minorEastAsia" w:eastAsiaTheme="minorEastAsia" w:cstheme="minorEastAsia"/>
          <w:color w:val="000000" w:themeColor="text1"/>
          <w:sz w:val="24"/>
          <w:szCs w:val="24"/>
          <w14:textFill>
            <w14:solidFill>
              <w14:schemeClr w14:val="tx1"/>
            </w14:solidFill>
          </w14:textFill>
        </w:rPr>
        <w:t>对其依托电子交易系统开展的所有操作</w:t>
      </w:r>
      <w:r>
        <w:rPr>
          <w:rFonts w:asciiTheme="minorEastAsia" w:hAnsiTheme="minorEastAsia" w:eastAsiaTheme="minorEastAsia" w:cstheme="minorEastAsia"/>
          <w:sz w:val="24"/>
          <w:szCs w:val="24"/>
        </w:rPr>
        <w:t>承担法律责任。</w:t>
      </w:r>
    </w:p>
    <w:p>
      <w:pPr>
        <w:pStyle w:val="277"/>
        <w:ind w:firstLine="480"/>
        <w:rPr>
          <w:rFonts w:hint="default"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sz w:val="24"/>
          <w:szCs w:val="24"/>
        </w:rPr>
        <w:t>投标人（供应商）应妥善保管数字证书，由于数字证书遗失、损坏、更换、续期等情况</w:t>
      </w:r>
      <w:r>
        <w:rPr>
          <w:rFonts w:asciiTheme="minorEastAsia" w:hAnsiTheme="minorEastAsia" w:eastAsiaTheme="minorEastAsia" w:cstheme="minorEastAsia"/>
          <w:color w:val="000000" w:themeColor="text1"/>
          <w:sz w:val="24"/>
          <w:szCs w:val="24"/>
          <w14:textFill>
            <w14:solidFill>
              <w14:schemeClr w14:val="tx1"/>
            </w14:solidFill>
          </w14:textFill>
        </w:rPr>
        <w:t>或其他自身原因</w:t>
      </w:r>
      <w:r>
        <w:rPr>
          <w:rFonts w:asciiTheme="minorEastAsia" w:hAnsiTheme="minorEastAsia" w:eastAsiaTheme="minorEastAsia" w:cstheme="minorEastAsia"/>
          <w:sz w:val="24"/>
          <w:szCs w:val="24"/>
        </w:rPr>
        <w:t>导致投标文件无法</w:t>
      </w:r>
      <w:r>
        <w:rPr>
          <w:rFonts w:asciiTheme="minorEastAsia" w:hAnsiTheme="minorEastAsia" w:eastAsiaTheme="minorEastAsia" w:cstheme="minorEastAsia"/>
          <w:color w:val="000000" w:themeColor="text1"/>
          <w:sz w:val="24"/>
          <w:szCs w:val="24"/>
          <w14:textFill>
            <w14:solidFill>
              <w14:schemeClr w14:val="tx1"/>
            </w14:solidFill>
          </w14:textFill>
        </w:rPr>
        <w:t>加密、上传、解密等，由其自行承担所有责任。</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第八条</w:t>
      </w:r>
      <w:r>
        <w:rPr>
          <w:rFonts w:asciiTheme="minorEastAsia" w:hAnsiTheme="minorEastAsia" w:eastAsiaTheme="minorEastAsia" w:cstheme="minorEastAsia"/>
          <w:sz w:val="24"/>
          <w:szCs w:val="24"/>
        </w:rPr>
        <w:t>  招标人（采购人）或代理机构应在交易公告和招标文件中明确交易项目采取电子交易方式，并按相关流程通过电子交易系统制作招标文件。</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第九条</w:t>
      </w:r>
      <w:r>
        <w:rPr>
          <w:rFonts w:asciiTheme="minorEastAsia" w:hAnsiTheme="minorEastAsia" w:eastAsiaTheme="minorEastAsia" w:cstheme="minorEastAsia"/>
          <w:sz w:val="24"/>
          <w:szCs w:val="24"/>
        </w:rPr>
        <w:t>  交易公告、招标文件应由招标人（采购人）或代理机构通过电子交易系统发出，其中招标文件须加盖电子签章。</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第十条</w:t>
      </w:r>
      <w:r>
        <w:rPr>
          <w:rFonts w:asciiTheme="minorEastAsia" w:hAnsiTheme="minorEastAsia" w:eastAsiaTheme="minorEastAsia" w:cstheme="minorEastAsia"/>
          <w:sz w:val="24"/>
          <w:szCs w:val="24"/>
        </w:rPr>
        <w:t>  投标人（供应商）登录电子交易系统获取招标文件。</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第十一条</w:t>
      </w:r>
      <w:r>
        <w:rPr>
          <w:rFonts w:asciiTheme="minorEastAsia" w:hAnsiTheme="minorEastAsia" w:eastAsiaTheme="minorEastAsia" w:cstheme="minorEastAsia"/>
          <w:sz w:val="24"/>
          <w:szCs w:val="24"/>
        </w:rPr>
        <w:t>  澄清、修改、更正或补疑等文件应由招标人（采购人）或代理机构通过电子交易系统发出，投标人（供应商）应及时查阅相关信息。</w:t>
      </w:r>
    </w:p>
    <w:p>
      <w:pPr>
        <w:pStyle w:val="277"/>
        <w:ind w:firstLine="482"/>
        <w:rPr>
          <w:rFonts w:hint="default" w:asciiTheme="minorEastAsia" w:hAnsiTheme="minorEastAsia" w:eastAsiaTheme="minorEastAsia" w:cstheme="minorEastAsia"/>
          <w:strike/>
          <w:sz w:val="24"/>
          <w:szCs w:val="24"/>
        </w:rPr>
      </w:pPr>
      <w:r>
        <w:rPr>
          <w:rFonts w:asciiTheme="minorEastAsia" w:hAnsiTheme="minorEastAsia" w:eastAsiaTheme="minorEastAsia" w:cstheme="minorEastAsia"/>
          <w:b/>
          <w:bCs/>
          <w:sz w:val="24"/>
          <w:szCs w:val="24"/>
        </w:rPr>
        <w:t>第十二条</w:t>
      </w:r>
      <w:r>
        <w:rPr>
          <w:rFonts w:asciiTheme="minorEastAsia" w:hAnsiTheme="minorEastAsia" w:eastAsiaTheme="minorEastAsia" w:cstheme="minorEastAsia"/>
          <w:sz w:val="24"/>
          <w:szCs w:val="24"/>
        </w:rPr>
        <w:t>  投标人（供应商）应使用电子标书制作软件制作投标文件，电子标书制作软件应允许投标人（供应商）离线制作投标文件，并且具备分段或整体加密、解密功能。</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第十三条</w:t>
      </w:r>
      <w:r>
        <w:rPr>
          <w:rFonts w:asciiTheme="minorEastAsia" w:hAnsiTheme="minorEastAsia" w:eastAsiaTheme="minorEastAsia" w:cstheme="minorEastAsia"/>
          <w:sz w:val="24"/>
          <w:szCs w:val="24"/>
        </w:rPr>
        <w:t>  投标人（供应商）应对投标文件进行电子签章并使用数字证书加密，并于招标文件规定的投标截止时间前通过电子交易系统完成上传。</w:t>
      </w:r>
    </w:p>
    <w:p>
      <w:pPr>
        <w:pStyle w:val="277"/>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投标人（供应商）对加密的投标文件进行撤回的，应通过电子交易系统在投标截止时间前进行撤回操作；投标人（供应商）对加密的投标文件进行修改的，应在投标截止时间前完成上传。</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第十四条</w:t>
      </w:r>
      <w:r>
        <w:rPr>
          <w:rFonts w:asciiTheme="minorEastAsia" w:hAnsiTheme="minorEastAsia" w:eastAsiaTheme="minorEastAsia" w:cstheme="minorEastAsia"/>
          <w:sz w:val="24"/>
          <w:szCs w:val="24"/>
        </w:rPr>
        <w:t>  </w:t>
      </w:r>
      <w:r>
        <w:rPr>
          <w:rFonts w:asciiTheme="minorEastAsia" w:hAnsiTheme="minorEastAsia" w:eastAsiaTheme="minorEastAsia" w:cstheme="minorEastAsia"/>
          <w:color w:val="000000" w:themeColor="text1"/>
          <w:sz w:val="24"/>
          <w:szCs w:val="24"/>
          <w14:textFill>
            <w14:solidFill>
              <w14:schemeClr w14:val="tx1"/>
            </w14:solidFill>
          </w14:textFill>
        </w:rPr>
        <w:t>交易活动涉及的</w:t>
      </w:r>
      <w:r>
        <w:rPr>
          <w:rFonts w:asciiTheme="minorEastAsia" w:hAnsiTheme="minorEastAsia" w:eastAsiaTheme="minorEastAsia" w:cstheme="minorEastAsia"/>
          <w:sz w:val="24"/>
          <w:szCs w:val="24"/>
        </w:rPr>
        <w:t>时间以电子交易系统显示的时间为准。投标人（供应商）须在投标截至时间前完成投标文件上传，逾期系统将自动关闭。</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第十五条</w:t>
      </w:r>
      <w:r>
        <w:rPr>
          <w:rFonts w:asciiTheme="minorEastAsia" w:hAnsiTheme="minorEastAsia" w:eastAsiaTheme="minorEastAsia" w:cstheme="minorEastAsia"/>
          <w:sz w:val="24"/>
          <w:szCs w:val="24"/>
        </w:rPr>
        <w:t>  投标人（供应商）在投标截止时间后按招标文件规定的解密时间完成投标文件解密，加密和解密须用同一数字证书。投标人（供应商）未在招标文件规定的时间内完成解密的视为其放弃交易。</w:t>
      </w:r>
    </w:p>
    <w:p>
      <w:pPr>
        <w:pStyle w:val="277"/>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招标人（采购人）或代理机构完成解密，导入并读取所有成功解密的投标文件。</w:t>
      </w:r>
    </w:p>
    <w:p>
      <w:pPr>
        <w:pStyle w:val="277"/>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招标文件约定须到达指定地点或线上进行演示、答辩、磋商、谈判等情形的，投标人（供应商）应按照招标文件规定的时间到达指定地点或登录电子交易系统保持在线。</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第十六条</w:t>
      </w:r>
      <w:r>
        <w:rPr>
          <w:rFonts w:asciiTheme="minorEastAsia" w:hAnsiTheme="minorEastAsia" w:eastAsiaTheme="minorEastAsia" w:cstheme="minorEastAsia"/>
          <w:sz w:val="24"/>
          <w:szCs w:val="24"/>
        </w:rPr>
        <w:t>  未能成功解密的投标文件，如招标文件中允许使用电子</w:t>
      </w:r>
      <w:r>
        <w:rPr>
          <w:rFonts w:asciiTheme="minorEastAsia" w:hAnsiTheme="minorEastAsia" w:eastAsiaTheme="minorEastAsia" w:cstheme="minorEastAsia"/>
          <w:color w:val="000000" w:themeColor="text1"/>
          <w:sz w:val="24"/>
          <w:szCs w:val="24"/>
          <w14:textFill>
            <w14:solidFill>
              <w14:schemeClr w14:val="tx1"/>
            </w14:solidFill>
          </w14:textFill>
        </w:rPr>
        <w:t>介质</w:t>
      </w:r>
      <w:r>
        <w:rPr>
          <w:rFonts w:asciiTheme="minorEastAsia" w:hAnsiTheme="minorEastAsia" w:eastAsiaTheme="minorEastAsia" w:cstheme="minorEastAsia"/>
          <w:sz w:val="24"/>
          <w:szCs w:val="24"/>
        </w:rPr>
        <w:t>作为投标文件解密失败的补救措施，并且投标人（供应商）在投标截止时间之前到达招标文件指定地点并成功递交，招标人（采购人）或代理机构可导入电子介质中非加密投标文件继续进行。若系统识别出电子</w:t>
      </w:r>
      <w:r>
        <w:rPr>
          <w:rFonts w:asciiTheme="minorEastAsia" w:hAnsiTheme="minorEastAsia" w:eastAsiaTheme="minorEastAsia" w:cstheme="minorEastAsia"/>
          <w:color w:val="000000" w:themeColor="text1"/>
          <w:sz w:val="24"/>
          <w:szCs w:val="24"/>
          <w14:textFill>
            <w14:solidFill>
              <w14:schemeClr w14:val="tx1"/>
            </w14:solidFill>
          </w14:textFill>
        </w:rPr>
        <w:t>介质</w:t>
      </w:r>
      <w:r>
        <w:rPr>
          <w:rFonts w:asciiTheme="minorEastAsia" w:hAnsiTheme="minorEastAsia" w:eastAsiaTheme="minorEastAsia" w:cstheme="minorEastAsia"/>
          <w:sz w:val="24"/>
          <w:szCs w:val="24"/>
        </w:rPr>
        <w:t>中非未加密的投标文件和网上递交的加密投标文件识别码不一致，电子交易系统拒绝导入。</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第十七条</w:t>
      </w:r>
      <w:r>
        <w:rPr>
          <w:rFonts w:asciiTheme="minorEastAsia" w:hAnsiTheme="minorEastAsia" w:eastAsiaTheme="minorEastAsia" w:cstheme="minorEastAsia"/>
          <w:sz w:val="24"/>
          <w:szCs w:val="24"/>
        </w:rPr>
        <w:t>  招标人（采购人）或代理机构组织评审，评审委员会依据招标文件规定的评审办法进行评审，并对评审结果签字或电子签名确认。</w:t>
      </w:r>
    </w:p>
    <w:p>
      <w:pPr>
        <w:pStyle w:val="277"/>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color w:val="000000" w:themeColor="text1"/>
          <w:sz w:val="24"/>
          <w:szCs w:val="24"/>
          <w14:textFill>
            <w14:solidFill>
              <w14:schemeClr w14:val="tx1"/>
            </w14:solidFill>
          </w14:textFill>
        </w:rPr>
        <w:t>需要多轮</w:t>
      </w:r>
      <w:r>
        <w:rPr>
          <w:rFonts w:asciiTheme="minorEastAsia" w:hAnsiTheme="minorEastAsia" w:eastAsiaTheme="minorEastAsia" w:cstheme="minorEastAsia"/>
          <w:sz w:val="24"/>
          <w:szCs w:val="24"/>
        </w:rPr>
        <w:t>报价</w:t>
      </w:r>
      <w:r>
        <w:rPr>
          <w:rFonts w:asciiTheme="minorEastAsia" w:hAnsiTheme="minorEastAsia" w:eastAsiaTheme="minorEastAsia" w:cstheme="minorEastAsia"/>
          <w:color w:val="000000" w:themeColor="text1"/>
          <w:sz w:val="24"/>
          <w:szCs w:val="24"/>
          <w14:textFill>
            <w14:solidFill>
              <w14:schemeClr w14:val="tx1"/>
            </w14:solidFill>
          </w14:textFill>
        </w:rPr>
        <w:t>的，</w:t>
      </w:r>
      <w:r>
        <w:rPr>
          <w:rFonts w:asciiTheme="minorEastAsia" w:hAnsiTheme="minorEastAsia" w:eastAsiaTheme="minorEastAsia" w:cstheme="minorEastAsia"/>
          <w:sz w:val="24"/>
          <w:szCs w:val="24"/>
        </w:rPr>
        <w:t>应按招标文件</w:t>
      </w:r>
      <w:r>
        <w:rPr>
          <w:rFonts w:asciiTheme="minorEastAsia" w:hAnsiTheme="minorEastAsia" w:eastAsiaTheme="minorEastAsia" w:cstheme="minorEastAsia"/>
          <w:color w:val="000000" w:themeColor="text1"/>
          <w:sz w:val="24"/>
          <w:szCs w:val="24"/>
          <w14:textFill>
            <w14:solidFill>
              <w14:schemeClr w14:val="tx1"/>
            </w14:solidFill>
          </w14:textFill>
        </w:rPr>
        <w:t>约定</w:t>
      </w:r>
      <w:r>
        <w:rPr>
          <w:rFonts w:asciiTheme="minorEastAsia" w:hAnsiTheme="minorEastAsia" w:eastAsiaTheme="minorEastAsia" w:cstheme="minorEastAsia"/>
          <w:sz w:val="24"/>
          <w:szCs w:val="24"/>
        </w:rPr>
        <w:t>提交。</w:t>
      </w:r>
    </w:p>
    <w:p>
      <w:pPr>
        <w:pStyle w:val="277"/>
        <w:ind w:firstLine="482"/>
        <w:rPr>
          <w:rFonts w:hint="default" w:asciiTheme="minorEastAsia" w:hAnsiTheme="minorEastAsia" w:eastAsiaTheme="minorEastAsia" w:cstheme="minorEastAsia"/>
          <w:strike/>
          <w:sz w:val="24"/>
          <w:szCs w:val="24"/>
        </w:rPr>
      </w:pPr>
      <w:r>
        <w:rPr>
          <w:rFonts w:asciiTheme="minorEastAsia" w:hAnsiTheme="minorEastAsia" w:eastAsiaTheme="minorEastAsia" w:cstheme="minorEastAsia"/>
          <w:b/>
          <w:bCs/>
          <w:sz w:val="24"/>
          <w:szCs w:val="24"/>
        </w:rPr>
        <w:t>第十八条</w:t>
      </w:r>
      <w:r>
        <w:rPr>
          <w:rFonts w:asciiTheme="minorEastAsia" w:hAnsiTheme="minorEastAsia" w:eastAsiaTheme="minorEastAsia" w:cstheme="minorEastAsia"/>
          <w:sz w:val="24"/>
          <w:szCs w:val="24"/>
        </w:rPr>
        <w:t>  评审委员会评审</w:t>
      </w:r>
      <w:r>
        <w:rPr>
          <w:rFonts w:asciiTheme="minorEastAsia" w:hAnsiTheme="minorEastAsia" w:eastAsiaTheme="minorEastAsia" w:cstheme="minorEastAsia"/>
          <w:color w:val="000000" w:themeColor="text1"/>
          <w:sz w:val="24"/>
          <w:szCs w:val="24"/>
          <w14:textFill>
            <w14:solidFill>
              <w14:schemeClr w14:val="tx1"/>
            </w14:solidFill>
          </w14:textFill>
        </w:rPr>
        <w:t>过程中</w:t>
      </w:r>
      <w:r>
        <w:rPr>
          <w:rFonts w:asciiTheme="minorEastAsia" w:hAnsiTheme="minorEastAsia" w:eastAsiaTheme="minorEastAsia" w:cstheme="minorEastAsia"/>
          <w:sz w:val="24"/>
          <w:szCs w:val="24"/>
        </w:rPr>
        <w:t>需要</w:t>
      </w:r>
      <w:r>
        <w:rPr>
          <w:rFonts w:asciiTheme="minorEastAsia" w:hAnsiTheme="minorEastAsia" w:eastAsiaTheme="minorEastAsia" w:cstheme="minorEastAsia"/>
          <w:color w:val="000000" w:themeColor="text1"/>
          <w:sz w:val="24"/>
          <w:szCs w:val="24"/>
          <w14:textFill>
            <w14:solidFill>
              <w14:schemeClr w14:val="tx1"/>
            </w14:solidFill>
          </w14:textFill>
        </w:rPr>
        <w:t>投标人（供应商）</w:t>
      </w:r>
      <w:r>
        <w:rPr>
          <w:rFonts w:asciiTheme="minorEastAsia" w:hAnsiTheme="minorEastAsia" w:eastAsiaTheme="minorEastAsia" w:cstheme="minorEastAsia"/>
          <w:sz w:val="24"/>
          <w:szCs w:val="24"/>
        </w:rPr>
        <w:t>澄清、说明或补正的</w:t>
      </w:r>
      <w:r>
        <w:rPr>
          <w:rFonts w:asciiTheme="minorEastAsia" w:hAnsiTheme="minorEastAsia" w:eastAsiaTheme="minorEastAsia" w:cstheme="minorEastAsia"/>
          <w:color w:val="000000" w:themeColor="text1"/>
          <w:sz w:val="24"/>
          <w:szCs w:val="24"/>
          <w14:textFill>
            <w14:solidFill>
              <w14:schemeClr w14:val="tx1"/>
            </w14:solidFill>
          </w14:textFill>
        </w:rPr>
        <w:t>，</w:t>
      </w:r>
      <w:r>
        <w:rPr>
          <w:rFonts w:asciiTheme="minorEastAsia" w:hAnsiTheme="minorEastAsia" w:eastAsiaTheme="minorEastAsia" w:cstheme="minorEastAsia"/>
          <w:sz w:val="24"/>
          <w:szCs w:val="24"/>
        </w:rPr>
        <w:t>以询标函</w:t>
      </w:r>
      <w:r>
        <w:rPr>
          <w:rFonts w:asciiTheme="minorEastAsia" w:hAnsiTheme="minorEastAsia" w:eastAsiaTheme="minorEastAsia" w:cstheme="minorEastAsia"/>
          <w:color w:val="000000" w:themeColor="text1"/>
          <w:sz w:val="24"/>
          <w:szCs w:val="24"/>
          <w14:textFill>
            <w14:solidFill>
              <w14:schemeClr w14:val="tx1"/>
            </w14:solidFill>
          </w14:textFill>
        </w:rPr>
        <w:t>（问询函）</w:t>
      </w:r>
      <w:r>
        <w:rPr>
          <w:rFonts w:asciiTheme="minorEastAsia" w:hAnsiTheme="minorEastAsia" w:eastAsiaTheme="minorEastAsia" w:cstheme="minorEastAsia"/>
          <w:sz w:val="24"/>
          <w:szCs w:val="24"/>
        </w:rPr>
        <w:t>的形式</w:t>
      </w:r>
      <w:r>
        <w:rPr>
          <w:rFonts w:asciiTheme="minorEastAsia" w:hAnsiTheme="minorEastAsia" w:eastAsiaTheme="minorEastAsia" w:cstheme="minorEastAsia"/>
          <w:color w:val="000000" w:themeColor="text1"/>
          <w:sz w:val="24"/>
          <w:szCs w:val="24"/>
          <w14:textFill>
            <w14:solidFill>
              <w14:schemeClr w14:val="tx1"/>
            </w14:solidFill>
          </w14:textFill>
        </w:rPr>
        <w:t>通过电子交易系统</w:t>
      </w:r>
      <w:r>
        <w:rPr>
          <w:rFonts w:asciiTheme="minorEastAsia" w:hAnsiTheme="minorEastAsia" w:eastAsiaTheme="minorEastAsia" w:cstheme="minorEastAsia"/>
          <w:sz w:val="24"/>
          <w:szCs w:val="24"/>
        </w:rPr>
        <w:t>发送给投标人（供应商）</w:t>
      </w:r>
      <w:r>
        <w:rPr>
          <w:rFonts w:asciiTheme="minorEastAsia" w:hAnsiTheme="minorEastAsia" w:eastAsiaTheme="minorEastAsia" w:cstheme="minorEastAsia"/>
          <w:color w:val="000000" w:themeColor="text1"/>
          <w:sz w:val="24"/>
          <w:szCs w:val="24"/>
          <w14:textFill>
            <w14:solidFill>
              <w14:schemeClr w14:val="tx1"/>
            </w14:solidFill>
          </w14:textFill>
        </w:rPr>
        <w:t>。</w:t>
      </w:r>
    </w:p>
    <w:p>
      <w:pPr>
        <w:pStyle w:val="277"/>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color w:val="000000" w:themeColor="text1"/>
          <w:sz w:val="24"/>
          <w:szCs w:val="24"/>
          <w14:textFill>
            <w14:solidFill>
              <w14:schemeClr w14:val="tx1"/>
            </w14:solidFill>
          </w14:textFill>
        </w:rPr>
        <w:t>评审结束前，</w:t>
      </w:r>
      <w:r>
        <w:rPr>
          <w:rFonts w:asciiTheme="minorEastAsia" w:hAnsiTheme="minorEastAsia" w:eastAsiaTheme="minorEastAsia" w:cstheme="minorEastAsia"/>
          <w:sz w:val="24"/>
          <w:szCs w:val="24"/>
        </w:rPr>
        <w:t>投标人（供应商）应登录电子交易系统并保持在线状态，以便及时接收评审委员会可能发出的询标函（问询函），并在规定时间内</w:t>
      </w:r>
      <w:r>
        <w:rPr>
          <w:rFonts w:asciiTheme="minorEastAsia" w:hAnsiTheme="minorEastAsia" w:eastAsiaTheme="minorEastAsia" w:cstheme="minorEastAsia"/>
          <w:color w:val="000000" w:themeColor="text1"/>
          <w:sz w:val="24"/>
          <w:szCs w:val="24"/>
          <w14:textFill>
            <w14:solidFill>
              <w14:schemeClr w14:val="tx1"/>
            </w14:solidFill>
          </w14:textFill>
        </w:rPr>
        <w:t>完成</w:t>
      </w:r>
      <w:r>
        <w:rPr>
          <w:rFonts w:asciiTheme="minorEastAsia" w:hAnsiTheme="minorEastAsia" w:eastAsiaTheme="minorEastAsia" w:cstheme="minorEastAsia"/>
          <w:sz w:val="24"/>
          <w:szCs w:val="24"/>
        </w:rPr>
        <w:t>回复，</w:t>
      </w:r>
      <w:r>
        <w:rPr>
          <w:rFonts w:asciiTheme="minorEastAsia" w:hAnsiTheme="minorEastAsia" w:eastAsiaTheme="minorEastAsia" w:cstheme="minorEastAsia"/>
          <w:color w:val="000000" w:themeColor="text1"/>
          <w:sz w:val="24"/>
          <w:szCs w:val="24"/>
          <w14:textFill>
            <w14:solidFill>
              <w14:schemeClr w14:val="tx1"/>
            </w14:solidFill>
          </w14:textFill>
        </w:rPr>
        <w:t>否则</w:t>
      </w:r>
      <w:r>
        <w:rPr>
          <w:rFonts w:asciiTheme="minorEastAsia" w:hAnsiTheme="minorEastAsia" w:eastAsiaTheme="minorEastAsia" w:cstheme="minorEastAsia"/>
          <w:sz w:val="24"/>
          <w:szCs w:val="24"/>
        </w:rPr>
        <w:t>视为放弃澄清、说明或补正。</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第十九条</w:t>
      </w:r>
      <w:r>
        <w:rPr>
          <w:rFonts w:asciiTheme="minorEastAsia" w:hAnsiTheme="minorEastAsia" w:eastAsiaTheme="minorEastAsia" w:cstheme="minorEastAsia"/>
          <w:sz w:val="24"/>
          <w:szCs w:val="24"/>
        </w:rPr>
        <w:t>  招标人（采购人）</w:t>
      </w:r>
      <w:r>
        <w:rPr>
          <w:rFonts w:asciiTheme="minorEastAsia" w:hAnsiTheme="minorEastAsia" w:eastAsiaTheme="minorEastAsia" w:cstheme="minorEastAsia"/>
          <w:color w:val="000000" w:themeColor="text1"/>
          <w:sz w:val="24"/>
          <w:szCs w:val="24"/>
          <w14:textFill>
            <w14:solidFill>
              <w14:schemeClr w14:val="tx1"/>
            </w14:solidFill>
          </w14:textFill>
        </w:rPr>
        <w:t>或代理机构</w:t>
      </w:r>
      <w:r>
        <w:rPr>
          <w:rFonts w:asciiTheme="minorEastAsia" w:hAnsiTheme="minorEastAsia" w:eastAsiaTheme="minorEastAsia" w:cstheme="minorEastAsia"/>
          <w:sz w:val="24"/>
          <w:szCs w:val="24"/>
        </w:rPr>
        <w:t>应通过电子交易系统</w:t>
      </w:r>
      <w:r>
        <w:rPr>
          <w:rFonts w:asciiTheme="minorEastAsia" w:hAnsiTheme="minorEastAsia" w:eastAsiaTheme="minorEastAsia" w:cstheme="minorEastAsia"/>
          <w:color w:val="000000" w:themeColor="text1"/>
          <w:sz w:val="24"/>
          <w:szCs w:val="24"/>
          <w14:textFill>
            <w14:solidFill>
              <w14:schemeClr w14:val="tx1"/>
            </w14:solidFill>
          </w14:textFill>
        </w:rPr>
        <w:t>公示或公布</w:t>
      </w:r>
      <w:r>
        <w:rPr>
          <w:rFonts w:asciiTheme="minorEastAsia" w:hAnsiTheme="minorEastAsia" w:eastAsiaTheme="minorEastAsia" w:cstheme="minorEastAsia"/>
          <w:sz w:val="24"/>
          <w:szCs w:val="24"/>
        </w:rPr>
        <w:t>中标候选人（如有）、中标（成交）结果。</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第二十条</w:t>
      </w:r>
      <w:r>
        <w:rPr>
          <w:rFonts w:asciiTheme="minorEastAsia" w:hAnsiTheme="minorEastAsia" w:eastAsiaTheme="minorEastAsia" w:cstheme="minorEastAsia"/>
          <w:sz w:val="24"/>
          <w:szCs w:val="24"/>
        </w:rPr>
        <w:t>  招标人（采购人）</w:t>
      </w:r>
      <w:r>
        <w:rPr>
          <w:rFonts w:asciiTheme="minorEastAsia" w:hAnsiTheme="minorEastAsia" w:eastAsiaTheme="minorEastAsia" w:cstheme="minorEastAsia"/>
          <w:color w:val="000000" w:themeColor="text1"/>
          <w:sz w:val="24"/>
          <w:szCs w:val="24"/>
          <w14:textFill>
            <w14:solidFill>
              <w14:schemeClr w14:val="tx1"/>
            </w14:solidFill>
          </w14:textFill>
        </w:rPr>
        <w:t>或代理机构</w:t>
      </w:r>
      <w:r>
        <w:rPr>
          <w:rFonts w:asciiTheme="minorEastAsia" w:hAnsiTheme="minorEastAsia" w:eastAsiaTheme="minorEastAsia" w:cstheme="minorEastAsia"/>
          <w:sz w:val="24"/>
          <w:szCs w:val="24"/>
        </w:rPr>
        <w:t>应通过电子交易系统向中标人（成交供应商）发出中标（成交）通知书，中标（成交）通知书发出即视为送达。</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第二十一条</w:t>
      </w:r>
      <w:r>
        <w:rPr>
          <w:rFonts w:asciiTheme="minorEastAsia" w:hAnsiTheme="minorEastAsia" w:eastAsiaTheme="minorEastAsia" w:cstheme="minorEastAsia"/>
          <w:sz w:val="24"/>
          <w:szCs w:val="24"/>
        </w:rPr>
        <w:t>  出现下列情形导致电子交易系统无法正常运行，影响交易活动的公平、公正和信息安全，各方当事人免责：</w:t>
      </w:r>
    </w:p>
    <w:p>
      <w:pPr>
        <w:pStyle w:val="277"/>
        <w:ind w:firstLine="480"/>
        <w:outlineLvl w:val="0"/>
        <w:rPr>
          <w:rFonts w:hint="default" w:asciiTheme="minorEastAsia" w:hAnsiTheme="minorEastAsia" w:eastAsiaTheme="minorEastAsia" w:cstheme="minorEastAsia"/>
          <w:sz w:val="24"/>
          <w:szCs w:val="24"/>
        </w:rPr>
      </w:pPr>
      <w:bookmarkStart w:id="91" w:name="_Toc21571"/>
      <w:r>
        <w:rPr>
          <w:rFonts w:asciiTheme="minorEastAsia" w:hAnsiTheme="minorEastAsia" w:eastAsiaTheme="minorEastAsia" w:cstheme="minorEastAsia"/>
          <w:sz w:val="24"/>
          <w:szCs w:val="24"/>
        </w:rPr>
        <w:t>（一）网络、服务器、数据库发生故障造成无法访问或使用的；</w:t>
      </w:r>
      <w:bookmarkEnd w:id="91"/>
    </w:p>
    <w:p>
      <w:pPr>
        <w:pStyle w:val="277"/>
        <w:ind w:firstLine="480"/>
        <w:outlineLvl w:val="0"/>
        <w:rPr>
          <w:rFonts w:hint="default" w:asciiTheme="minorEastAsia" w:hAnsiTheme="minorEastAsia" w:eastAsiaTheme="minorEastAsia" w:cstheme="minorEastAsia"/>
          <w:sz w:val="24"/>
          <w:szCs w:val="24"/>
        </w:rPr>
      </w:pPr>
      <w:bookmarkStart w:id="92" w:name="_Toc29361"/>
      <w:r>
        <w:rPr>
          <w:rFonts w:asciiTheme="minorEastAsia" w:hAnsiTheme="minorEastAsia" w:eastAsiaTheme="minorEastAsia" w:cstheme="minorEastAsia"/>
          <w:sz w:val="24"/>
          <w:szCs w:val="24"/>
        </w:rPr>
        <w:t>（二）电力系统发生故障导致电子交易系统无法运行的；</w:t>
      </w:r>
      <w:bookmarkEnd w:id="92"/>
    </w:p>
    <w:p>
      <w:pPr>
        <w:pStyle w:val="277"/>
        <w:ind w:firstLine="480"/>
        <w:outlineLvl w:val="0"/>
        <w:rPr>
          <w:rFonts w:hint="default" w:asciiTheme="minorEastAsia" w:hAnsiTheme="minorEastAsia" w:eastAsiaTheme="minorEastAsia" w:cstheme="minorEastAsia"/>
          <w:sz w:val="24"/>
          <w:szCs w:val="24"/>
        </w:rPr>
      </w:pPr>
      <w:bookmarkStart w:id="93" w:name="_Toc24627"/>
      <w:r>
        <w:rPr>
          <w:rFonts w:asciiTheme="minorEastAsia" w:hAnsiTheme="minorEastAsia" w:eastAsiaTheme="minorEastAsia" w:cstheme="minorEastAsia"/>
          <w:sz w:val="24"/>
          <w:szCs w:val="24"/>
        </w:rPr>
        <w:t>（三）出现网络攻击、病毒入侵、电子交易系统软件设计缺陷、功能缺陷以及电子交易系统安全漏洞导致无法正常提供服务的；</w:t>
      </w:r>
      <w:bookmarkEnd w:id="93"/>
    </w:p>
    <w:p>
      <w:pPr>
        <w:pStyle w:val="277"/>
        <w:ind w:firstLine="480"/>
        <w:outlineLvl w:val="0"/>
        <w:rPr>
          <w:rFonts w:hint="default" w:asciiTheme="minorEastAsia" w:hAnsiTheme="minorEastAsia" w:eastAsiaTheme="minorEastAsia" w:cstheme="minorEastAsia"/>
          <w:sz w:val="24"/>
          <w:szCs w:val="24"/>
        </w:rPr>
      </w:pPr>
      <w:bookmarkStart w:id="94" w:name="_Toc18618"/>
      <w:r>
        <w:rPr>
          <w:rFonts w:asciiTheme="minorEastAsia" w:hAnsiTheme="minorEastAsia" w:eastAsiaTheme="minorEastAsia" w:cstheme="minorEastAsia"/>
          <w:sz w:val="24"/>
          <w:szCs w:val="24"/>
        </w:rPr>
        <w:t>（四）其他无法保证交易活动公平、公正和信息安全的情形。</w:t>
      </w:r>
      <w:bookmarkEnd w:id="94"/>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第二十二条</w:t>
      </w:r>
      <w:r>
        <w:rPr>
          <w:rFonts w:asciiTheme="minorEastAsia" w:hAnsiTheme="minorEastAsia" w:eastAsiaTheme="minorEastAsia" w:cstheme="minorEastAsia"/>
          <w:sz w:val="24"/>
          <w:szCs w:val="24"/>
        </w:rPr>
        <w:t>  出现上述情形，系统建设方应及时组织相关方查明原因，排除故障。若能在故障发现后及时恢复系统运行且不影响项目正常交易的，交易程序继续进行；否则，按以下程序操作：</w:t>
      </w:r>
    </w:p>
    <w:p>
      <w:pPr>
        <w:pStyle w:val="277"/>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一）项目中止，中止期限由招标人（采购人）或代理机构根据项目具体情况确定。中止期限届满后中止情形尚未消除的，招标人（采购人）或代理机构可以根据实际情况决定延长中止期限。决定延长中止期限的，应</w:t>
      </w:r>
      <w:r>
        <w:rPr>
          <w:rFonts w:asciiTheme="minorEastAsia" w:hAnsiTheme="minorEastAsia" w:eastAsiaTheme="minorEastAsia" w:cstheme="minorEastAsia"/>
          <w:color w:val="000000" w:themeColor="text1"/>
          <w:sz w:val="24"/>
          <w:szCs w:val="24"/>
          <w14:textFill>
            <w14:solidFill>
              <w14:schemeClr w14:val="tx1"/>
            </w14:solidFill>
          </w14:textFill>
        </w:rPr>
        <w:t>通过电子交易系统向</w:t>
      </w:r>
      <w:r>
        <w:rPr>
          <w:rFonts w:asciiTheme="minorEastAsia" w:hAnsiTheme="minorEastAsia" w:eastAsiaTheme="minorEastAsia" w:cstheme="minorEastAsia"/>
          <w:sz w:val="24"/>
          <w:szCs w:val="24"/>
        </w:rPr>
        <w:t>投标人（供应商）发出延长中止期限</w:t>
      </w:r>
      <w:r>
        <w:rPr>
          <w:rFonts w:asciiTheme="minorEastAsia" w:hAnsiTheme="minorEastAsia" w:eastAsiaTheme="minorEastAsia" w:cstheme="minorEastAsia"/>
          <w:color w:val="000000" w:themeColor="text1"/>
          <w:sz w:val="24"/>
          <w:szCs w:val="24"/>
          <w14:textFill>
            <w14:solidFill>
              <w14:schemeClr w14:val="tx1"/>
            </w14:solidFill>
          </w14:textFill>
        </w:rPr>
        <w:t>的</w:t>
      </w:r>
      <w:r>
        <w:rPr>
          <w:rFonts w:asciiTheme="minorEastAsia" w:hAnsiTheme="minorEastAsia" w:eastAsiaTheme="minorEastAsia" w:cstheme="minorEastAsia"/>
          <w:sz w:val="24"/>
          <w:szCs w:val="24"/>
        </w:rPr>
        <w:t>通知。</w:t>
      </w:r>
    </w:p>
    <w:p>
      <w:pPr>
        <w:pStyle w:val="277"/>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（二）项目恢复，导致项目中止的情形消除后，招标人（采购人）或代理机构应当尽快恢复交易程序，</w:t>
      </w:r>
      <w:r>
        <w:rPr>
          <w:rFonts w:asciiTheme="minorEastAsia" w:hAnsiTheme="minorEastAsia" w:eastAsiaTheme="minorEastAsia" w:cstheme="minorEastAsia"/>
          <w:color w:val="000000" w:themeColor="text1"/>
          <w:sz w:val="24"/>
          <w:szCs w:val="24"/>
          <w14:textFill>
            <w14:solidFill>
              <w14:schemeClr w14:val="tx1"/>
            </w14:solidFill>
          </w14:textFill>
        </w:rPr>
        <w:t>通过电子交易系统</w:t>
      </w:r>
      <w:r>
        <w:rPr>
          <w:rFonts w:asciiTheme="minorEastAsia" w:hAnsiTheme="minorEastAsia" w:eastAsiaTheme="minorEastAsia" w:cstheme="minorEastAsia"/>
          <w:sz w:val="24"/>
          <w:szCs w:val="24"/>
        </w:rPr>
        <w:t>向投标人（供应商）发出恢复交易通知；已发出延长中止期限通知的，按通知执行</w:t>
      </w:r>
      <w:r>
        <w:rPr>
          <w:rFonts w:asciiTheme="minorEastAsia" w:hAnsiTheme="minorEastAsia" w:eastAsiaTheme="minorEastAsia" w:cstheme="minorEastAsia"/>
          <w:color w:val="000000" w:themeColor="text1"/>
          <w:sz w:val="24"/>
          <w:szCs w:val="24"/>
          <w14:textFill>
            <w14:solidFill>
              <w14:schemeClr w14:val="tx1"/>
            </w14:solidFill>
          </w14:textFill>
        </w:rPr>
        <w:t>或根据招标人（采购人）决定另行通知</w:t>
      </w:r>
      <w:r>
        <w:rPr>
          <w:rFonts w:asciiTheme="minorEastAsia" w:hAnsiTheme="minorEastAsia" w:eastAsiaTheme="minorEastAsia" w:cstheme="minorEastAsia"/>
          <w:sz w:val="24"/>
          <w:szCs w:val="24"/>
        </w:rPr>
        <w:t>。</w:t>
      </w:r>
    </w:p>
    <w:p>
      <w:pPr>
        <w:pStyle w:val="277"/>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第二十三条</w:t>
      </w:r>
      <w:r>
        <w:rPr>
          <w:rFonts w:asciiTheme="minorEastAsia" w:hAnsiTheme="minorEastAsia" w:eastAsiaTheme="minorEastAsia" w:cstheme="minorEastAsia"/>
          <w:sz w:val="24"/>
          <w:szCs w:val="24"/>
        </w:rPr>
        <w:t>  在招标文件规定的解密时间内出现第二十一条规定的意外情形时，如部分投标人（供应商）未完成投标文件解密的，系统恢复后，允许投标人（供应商）继续解密，解密时限重新计</w:t>
      </w:r>
      <w:r>
        <w:rPr>
          <w:rFonts w:asciiTheme="minorEastAsia" w:hAnsiTheme="minorEastAsia" w:eastAsiaTheme="minorEastAsia" w:cstheme="minorEastAsia"/>
          <w:color w:val="000000" w:themeColor="text1"/>
          <w:sz w:val="24"/>
          <w:szCs w:val="24"/>
          <w14:textFill>
            <w14:solidFill>
              <w14:schemeClr w14:val="tx1"/>
            </w14:solidFill>
          </w14:textFill>
        </w:rPr>
        <w:t>算</w:t>
      </w:r>
      <w:r>
        <w:rPr>
          <w:rFonts w:asciiTheme="minorEastAsia" w:hAnsiTheme="minorEastAsia" w:eastAsiaTheme="minorEastAsia" w:cstheme="minorEastAsia"/>
          <w:sz w:val="24"/>
          <w:szCs w:val="24"/>
        </w:rPr>
        <w:t>；在规定的解密截止时间</w:t>
      </w:r>
      <w:r>
        <w:rPr>
          <w:rFonts w:asciiTheme="minorEastAsia" w:hAnsiTheme="minorEastAsia" w:eastAsiaTheme="minorEastAsia" w:cstheme="minorEastAsia"/>
          <w:color w:val="000000" w:themeColor="text1"/>
          <w:sz w:val="24"/>
          <w:szCs w:val="24"/>
          <w14:textFill>
            <w14:solidFill>
              <w14:schemeClr w14:val="tx1"/>
            </w14:solidFill>
          </w14:textFill>
        </w:rPr>
        <w:t>后</w:t>
      </w:r>
      <w:r>
        <w:rPr>
          <w:rFonts w:asciiTheme="minorEastAsia" w:hAnsiTheme="minorEastAsia" w:eastAsiaTheme="minorEastAsia" w:cstheme="minorEastAsia"/>
          <w:sz w:val="24"/>
          <w:szCs w:val="24"/>
        </w:rPr>
        <w:t>出现</w:t>
      </w:r>
      <w:r>
        <w:rPr>
          <w:rFonts w:asciiTheme="minorEastAsia" w:hAnsiTheme="minorEastAsia" w:eastAsiaTheme="minorEastAsia" w:cstheme="minorEastAsia"/>
          <w:color w:val="000000" w:themeColor="text1"/>
          <w:sz w:val="24"/>
          <w:szCs w:val="24"/>
          <w14:textFill>
            <w14:solidFill>
              <w14:schemeClr w14:val="tx1"/>
            </w14:solidFill>
          </w14:textFill>
        </w:rPr>
        <w:t>第二十一条规定的意外情形</w:t>
      </w:r>
      <w:r>
        <w:rPr>
          <w:rFonts w:asciiTheme="minorEastAsia" w:hAnsiTheme="minorEastAsia" w:eastAsiaTheme="minorEastAsia" w:cstheme="minorEastAsia"/>
          <w:sz w:val="24"/>
          <w:szCs w:val="24"/>
        </w:rPr>
        <w:t>的，系统恢复后，</w:t>
      </w:r>
      <w:r>
        <w:rPr>
          <w:rFonts w:asciiTheme="minorEastAsia" w:hAnsiTheme="minorEastAsia" w:eastAsiaTheme="minorEastAsia" w:cstheme="minorEastAsia"/>
          <w:color w:val="000000" w:themeColor="text1"/>
          <w:sz w:val="24"/>
          <w:szCs w:val="24"/>
          <w14:textFill>
            <w14:solidFill>
              <w14:schemeClr w14:val="tx1"/>
            </w14:solidFill>
          </w14:textFill>
        </w:rPr>
        <w:t>仅允许原</w:t>
      </w:r>
      <w:r>
        <w:rPr>
          <w:rFonts w:asciiTheme="minorEastAsia" w:hAnsiTheme="minorEastAsia" w:eastAsiaTheme="minorEastAsia" w:cstheme="minorEastAsia"/>
          <w:sz w:val="24"/>
          <w:szCs w:val="24"/>
        </w:rPr>
        <w:t>解密时间内已成功解密但解密文件无法正常使用的投标人（供应商）重新解密。</w:t>
      </w:r>
    </w:p>
    <w:p>
      <w:pPr>
        <w:spacing w:line="360" w:lineRule="auto"/>
        <w:jc w:val="left"/>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第二十四条</w:t>
      </w:r>
      <w:r>
        <w:rPr>
          <w:rFonts w:hint="eastAsia" w:asciiTheme="minorEastAsia" w:hAnsiTheme="minorEastAsia" w:eastAsiaTheme="minorEastAsia" w:cstheme="minorEastAsia"/>
          <w:sz w:val="24"/>
          <w:szCs w:val="24"/>
        </w:rPr>
        <w:t>  本规程由安徽公共资源交易集团负责解释。自发布之日起施行，有效期1年。</w:t>
      </w:r>
    </w:p>
    <w:p/>
    <w:p/>
    <w:p/>
    <w:p/>
    <w:p/>
    <w:p/>
    <w:p/>
    <w:p/>
    <w:p/>
    <w:p/>
    <w:p/>
    <w:p/>
    <w:p/>
    <w:p/>
    <w:p/>
    <w:p/>
    <w:p>
      <w:pPr>
        <w:tabs>
          <w:tab w:val="left" w:pos="6876"/>
        </w:tabs>
        <w:jc w:val="left"/>
      </w:pPr>
      <w:r>
        <w:rPr>
          <w:rFonts w:hint="eastAsia"/>
        </w:rPr>
        <w:tab/>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monospace">
    <w:altName w:val="Noto Sans SC"/>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Symbol">
    <w:panose1 w:val="05000100010000000000"/>
    <w:charset w:val="00"/>
    <w:family w:val="auto"/>
    <w:pitch w:val="default"/>
    <w:sig w:usb0="00000000" w:usb1="00000000" w:usb2="00000000" w:usb3="00000000" w:csb0="80000000" w:csb1="00000000"/>
  </w:font>
  <w:font w:name="@宋体">
    <w:panose1 w:val="02010600030101010101"/>
    <w:charset w:val="86"/>
    <w:family w:val="auto"/>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Noto Sans SC">
    <w:panose1 w:val="020B0500000000000000"/>
    <w:charset w:val="86"/>
    <w:family w:val="auto"/>
    <w:pitch w:val="default"/>
    <w:sig w:usb0="20000083" w:usb1="2ADF3C10" w:usb2="00000016" w:usb3="00000000" w:csb0="60060107"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81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94</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rPr>
        <w:rFonts w:eastAsiaTheme="minorEastAsia"/>
      </w:rPr>
    </w:pPr>
    <w:r>
      <w:rPr>
        <w:rFonts w:hint="eastAsia" w:asciiTheme="minorEastAsia" w:hAnsiTheme="minorEastAsia" w:eastAsiaTheme="minorEastAsia"/>
      </w:rPr>
      <w:t>竞争性谈判文件示范文本—货物  2024.9.23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pPr>
    <w:r>
      <w:rPr>
        <w:rFonts w:hint="eastAsia" w:asciiTheme="minorEastAsia" w:hAnsiTheme="minorEastAsia" w:eastAsiaTheme="minorEastAsia"/>
      </w:rPr>
      <w:t>竞争性谈判文件示范文本—货物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9FAD60D0"/>
    <w:multiLevelType w:val="singleLevel"/>
    <w:tmpl w:val="9FAD60D0"/>
    <w:lvl w:ilvl="0" w:tentative="0">
      <w:start w:val="1"/>
      <w:numFmt w:val="chineseCounting"/>
      <w:suff w:val="space"/>
      <w:lvlText w:val="第%1条"/>
      <w:lvlJc w:val="left"/>
      <w:rPr>
        <w:rFonts w:hint="eastAsia"/>
      </w:rPr>
    </w:lvl>
  </w:abstractNum>
  <w:abstractNum w:abstractNumId="2">
    <w:nsid w:val="A0927FFC"/>
    <w:multiLevelType w:val="singleLevel"/>
    <w:tmpl w:val="A0927FFC"/>
    <w:lvl w:ilvl="0" w:tentative="0">
      <w:start w:val="2"/>
      <w:numFmt w:val="chineseCounting"/>
      <w:suff w:val="nothing"/>
      <w:lvlText w:val="%1、"/>
      <w:lvlJc w:val="left"/>
      <w:rPr>
        <w:rFonts w:hint="eastAsia"/>
      </w:rPr>
    </w:lvl>
  </w:abstractNum>
  <w:abstractNum w:abstractNumId="3">
    <w:nsid w:val="BC5BF4D1"/>
    <w:multiLevelType w:val="singleLevel"/>
    <w:tmpl w:val="BC5BF4D1"/>
    <w:lvl w:ilvl="0" w:tentative="0">
      <w:start w:val="1"/>
      <w:numFmt w:val="chineseCounting"/>
      <w:suff w:val="nothing"/>
      <w:lvlText w:val="（%1）"/>
      <w:lvlJc w:val="left"/>
      <w:rPr>
        <w:rFonts w:hint="eastAsia"/>
      </w:rPr>
    </w:lvl>
  </w:abstractNum>
  <w:abstractNum w:abstractNumId="4">
    <w:nsid w:val="BD704BE9"/>
    <w:multiLevelType w:val="singleLevel"/>
    <w:tmpl w:val="BD704BE9"/>
    <w:lvl w:ilvl="0" w:tentative="0">
      <w:start w:val="2"/>
      <w:numFmt w:val="decimal"/>
      <w:suff w:val="nothing"/>
      <w:lvlText w:val="（%1）"/>
      <w:lvlJc w:val="left"/>
    </w:lvl>
  </w:abstractNum>
  <w:abstractNum w:abstractNumId="5">
    <w:nsid w:val="F71D34CA"/>
    <w:multiLevelType w:val="singleLevel"/>
    <w:tmpl w:val="F71D34CA"/>
    <w:lvl w:ilvl="0" w:tentative="0">
      <w:start w:val="1"/>
      <w:numFmt w:val="chineseCounting"/>
      <w:suff w:val="space"/>
      <w:lvlText w:val="第%1章"/>
      <w:lvlJc w:val="left"/>
      <w:rPr>
        <w:rFonts w:hint="eastAsia"/>
      </w:rPr>
    </w:lvl>
  </w:abstractNum>
  <w:abstractNum w:abstractNumId="6">
    <w:nsid w:val="FD6C99E5"/>
    <w:multiLevelType w:val="singleLevel"/>
    <w:tmpl w:val="FD6C99E5"/>
    <w:lvl w:ilvl="0" w:tentative="0">
      <w:start w:val="1"/>
      <w:numFmt w:val="decimal"/>
      <w:suff w:val="nothing"/>
      <w:lvlText w:val="（%1）"/>
      <w:lvlJc w:val="left"/>
    </w:lvl>
  </w:abstractNum>
  <w:abstractNum w:abstractNumId="7">
    <w:nsid w:val="03A784EA"/>
    <w:multiLevelType w:val="singleLevel"/>
    <w:tmpl w:val="03A784EA"/>
    <w:lvl w:ilvl="0" w:tentative="0">
      <w:start w:val="9"/>
      <w:numFmt w:val="decimal"/>
      <w:lvlText w:val="%1."/>
      <w:lvlJc w:val="left"/>
      <w:pPr>
        <w:tabs>
          <w:tab w:val="left" w:pos="312"/>
        </w:tabs>
      </w:pPr>
    </w:lvl>
  </w:abstractNum>
  <w:abstractNum w:abstractNumId="8">
    <w:nsid w:val="1D8BB891"/>
    <w:multiLevelType w:val="singleLevel"/>
    <w:tmpl w:val="1D8BB891"/>
    <w:lvl w:ilvl="0" w:tentative="0">
      <w:start w:val="1"/>
      <w:numFmt w:val="decimal"/>
      <w:suff w:val="nothing"/>
      <w:lvlText w:val="（%1）"/>
      <w:lvlJc w:val="left"/>
    </w:lvl>
  </w:abstractNum>
  <w:abstractNum w:abstractNumId="9">
    <w:nsid w:val="7F7E5238"/>
    <w:multiLevelType w:val="multilevel"/>
    <w:tmpl w:val="7F7E5238"/>
    <w:lvl w:ilvl="0" w:tentative="0">
      <w:start w:val="1"/>
      <w:numFmt w:val="none"/>
      <w:pStyle w:val="17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0"/>
      <w:lvlText w:val="           "/>
      <w:lvlJc w:val="left"/>
      <w:pPr>
        <w:tabs>
          <w:tab w:val="left" w:pos="1440"/>
        </w:tabs>
        <w:ind w:left="1152" w:hanging="1152"/>
      </w:pPr>
      <w:rPr>
        <w:rFonts w:hint="eastAsia"/>
      </w:rPr>
    </w:lvl>
    <w:lvl w:ilvl="6" w:tentative="0">
      <w:start w:val="1"/>
      <w:numFmt w:val="decimal"/>
      <w:pStyle w:val="182"/>
      <w:lvlText w:val="%1.%2.%3.%4.%5.%6.%7"/>
      <w:lvlJc w:val="left"/>
      <w:pPr>
        <w:tabs>
          <w:tab w:val="left" w:pos="2520"/>
        </w:tabs>
        <w:ind w:left="1296" w:hanging="1296"/>
      </w:pPr>
      <w:rPr>
        <w:rFonts w:hint="eastAsia"/>
      </w:rPr>
    </w:lvl>
    <w:lvl w:ilvl="7" w:tentative="0">
      <w:start w:val="1"/>
      <w:numFmt w:val="decimal"/>
      <w:pStyle w:val="184"/>
      <w:lvlText w:val="%1.%2.%3.%4.%5.%6.%7.%8"/>
      <w:lvlJc w:val="left"/>
      <w:pPr>
        <w:tabs>
          <w:tab w:val="left" w:pos="1440"/>
        </w:tabs>
        <w:ind w:left="1440" w:hanging="1440"/>
      </w:pPr>
      <w:rPr>
        <w:rFonts w:hint="eastAsia"/>
      </w:rPr>
    </w:lvl>
    <w:lvl w:ilvl="8" w:tentative="0">
      <w:start w:val="1"/>
      <w:numFmt w:val="decimal"/>
      <w:pStyle w:val="186"/>
      <w:lvlText w:val="%1.%2.%3.%4.%5.%6.%7.%8.%9"/>
      <w:lvlJc w:val="left"/>
      <w:pPr>
        <w:tabs>
          <w:tab w:val="left" w:pos="1584"/>
        </w:tabs>
        <w:ind w:left="1584" w:hanging="1584"/>
      </w:pPr>
      <w:rPr>
        <w:rFonts w:hint="eastAsia"/>
      </w:rPr>
    </w:lvl>
  </w:abstractNum>
  <w:num w:numId="1">
    <w:abstractNumId w:val="9"/>
  </w:num>
  <w:num w:numId="2">
    <w:abstractNumId w:val="5"/>
  </w:num>
  <w:num w:numId="3">
    <w:abstractNumId w:val="7"/>
  </w:num>
  <w:num w:numId="4">
    <w:abstractNumId w:val="4"/>
  </w:num>
  <w:num w:numId="5">
    <w:abstractNumId w:val="8"/>
  </w:num>
  <w:num w:numId="6">
    <w:abstractNumId w:val="2"/>
  </w:num>
  <w:num w:numId="7">
    <w:abstractNumId w:val="0"/>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ODc1ZWFmNTQ5YWI0NmI4MTM5Zjk1MGI0MGE4M2YifQ=="/>
  </w:docVars>
  <w:rsids>
    <w:rsidRoot w:val="00276BA1"/>
    <w:rsid w:val="0000043F"/>
    <w:rsid w:val="000037F9"/>
    <w:rsid w:val="000049DA"/>
    <w:rsid w:val="000052B0"/>
    <w:rsid w:val="000056B7"/>
    <w:rsid w:val="00005914"/>
    <w:rsid w:val="00006603"/>
    <w:rsid w:val="00007385"/>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1403"/>
    <w:rsid w:val="00054AA3"/>
    <w:rsid w:val="00056ECB"/>
    <w:rsid w:val="00057B40"/>
    <w:rsid w:val="000648D2"/>
    <w:rsid w:val="00066AD7"/>
    <w:rsid w:val="00070E0E"/>
    <w:rsid w:val="0007146E"/>
    <w:rsid w:val="00076DB7"/>
    <w:rsid w:val="00080FEB"/>
    <w:rsid w:val="00084047"/>
    <w:rsid w:val="000850F5"/>
    <w:rsid w:val="00094D41"/>
    <w:rsid w:val="00097CB9"/>
    <w:rsid w:val="000A0161"/>
    <w:rsid w:val="000A10A9"/>
    <w:rsid w:val="000A2DA0"/>
    <w:rsid w:val="000A6693"/>
    <w:rsid w:val="000A7403"/>
    <w:rsid w:val="000A7970"/>
    <w:rsid w:val="000A7D94"/>
    <w:rsid w:val="000B1511"/>
    <w:rsid w:val="000B5C7D"/>
    <w:rsid w:val="000B6249"/>
    <w:rsid w:val="000B6562"/>
    <w:rsid w:val="000C12F8"/>
    <w:rsid w:val="000C1DB1"/>
    <w:rsid w:val="000D3F37"/>
    <w:rsid w:val="000D61CE"/>
    <w:rsid w:val="000D665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048B"/>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1824"/>
    <w:rsid w:val="001844AB"/>
    <w:rsid w:val="001853C7"/>
    <w:rsid w:val="001869E4"/>
    <w:rsid w:val="00192879"/>
    <w:rsid w:val="001944B8"/>
    <w:rsid w:val="001945E0"/>
    <w:rsid w:val="00196DA3"/>
    <w:rsid w:val="001971E5"/>
    <w:rsid w:val="001974FD"/>
    <w:rsid w:val="001A0C0F"/>
    <w:rsid w:val="001A5C2E"/>
    <w:rsid w:val="001A68E5"/>
    <w:rsid w:val="001A6C83"/>
    <w:rsid w:val="001B25BE"/>
    <w:rsid w:val="001B2A54"/>
    <w:rsid w:val="001B2BA4"/>
    <w:rsid w:val="001B5014"/>
    <w:rsid w:val="001B7327"/>
    <w:rsid w:val="001C1E34"/>
    <w:rsid w:val="001D22EA"/>
    <w:rsid w:val="001D503E"/>
    <w:rsid w:val="001D53B4"/>
    <w:rsid w:val="001E1023"/>
    <w:rsid w:val="001E1835"/>
    <w:rsid w:val="001E19E4"/>
    <w:rsid w:val="001E6BA1"/>
    <w:rsid w:val="001E6FB3"/>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5EBC"/>
    <w:rsid w:val="00257ECE"/>
    <w:rsid w:val="00260382"/>
    <w:rsid w:val="00260B94"/>
    <w:rsid w:val="00264F2E"/>
    <w:rsid w:val="00271245"/>
    <w:rsid w:val="00272E45"/>
    <w:rsid w:val="00273F66"/>
    <w:rsid w:val="00274A9E"/>
    <w:rsid w:val="00276BA1"/>
    <w:rsid w:val="00280984"/>
    <w:rsid w:val="002812E8"/>
    <w:rsid w:val="002832CF"/>
    <w:rsid w:val="002835E3"/>
    <w:rsid w:val="00284542"/>
    <w:rsid w:val="002A0EE7"/>
    <w:rsid w:val="002A14D1"/>
    <w:rsid w:val="002A1A1D"/>
    <w:rsid w:val="002A28AD"/>
    <w:rsid w:val="002B04FD"/>
    <w:rsid w:val="002B1D64"/>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2F4E42"/>
    <w:rsid w:val="00305FD7"/>
    <w:rsid w:val="00310070"/>
    <w:rsid w:val="0031081B"/>
    <w:rsid w:val="003110EC"/>
    <w:rsid w:val="00314289"/>
    <w:rsid w:val="00315A67"/>
    <w:rsid w:val="003206A6"/>
    <w:rsid w:val="0032560D"/>
    <w:rsid w:val="00327C92"/>
    <w:rsid w:val="00333292"/>
    <w:rsid w:val="003344E7"/>
    <w:rsid w:val="0033580B"/>
    <w:rsid w:val="003365E7"/>
    <w:rsid w:val="003378D5"/>
    <w:rsid w:val="003473D7"/>
    <w:rsid w:val="00351AC8"/>
    <w:rsid w:val="00353075"/>
    <w:rsid w:val="00363E02"/>
    <w:rsid w:val="00363F8C"/>
    <w:rsid w:val="0036507B"/>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7A2"/>
    <w:rsid w:val="003C7E43"/>
    <w:rsid w:val="003D1D14"/>
    <w:rsid w:val="003D6C7C"/>
    <w:rsid w:val="003D6EFB"/>
    <w:rsid w:val="003D7E52"/>
    <w:rsid w:val="003E259A"/>
    <w:rsid w:val="003E25C6"/>
    <w:rsid w:val="003E46E1"/>
    <w:rsid w:val="003F7528"/>
    <w:rsid w:val="004011AA"/>
    <w:rsid w:val="00401E80"/>
    <w:rsid w:val="0040202C"/>
    <w:rsid w:val="004045E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06F4"/>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26B4"/>
    <w:rsid w:val="005036C6"/>
    <w:rsid w:val="005048FB"/>
    <w:rsid w:val="00510798"/>
    <w:rsid w:val="005119B5"/>
    <w:rsid w:val="005125F1"/>
    <w:rsid w:val="005150CC"/>
    <w:rsid w:val="0051619F"/>
    <w:rsid w:val="00517F92"/>
    <w:rsid w:val="00524A11"/>
    <w:rsid w:val="00527768"/>
    <w:rsid w:val="00530EA4"/>
    <w:rsid w:val="005327FB"/>
    <w:rsid w:val="00533251"/>
    <w:rsid w:val="00533FCA"/>
    <w:rsid w:val="005346EF"/>
    <w:rsid w:val="005369F1"/>
    <w:rsid w:val="005470D4"/>
    <w:rsid w:val="00551327"/>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69E2"/>
    <w:rsid w:val="006B7BC7"/>
    <w:rsid w:val="006B7D9A"/>
    <w:rsid w:val="006C06D9"/>
    <w:rsid w:val="006C3E22"/>
    <w:rsid w:val="006C5716"/>
    <w:rsid w:val="006C64B2"/>
    <w:rsid w:val="006C74A9"/>
    <w:rsid w:val="006D07DE"/>
    <w:rsid w:val="006D361A"/>
    <w:rsid w:val="006D5B6D"/>
    <w:rsid w:val="006D6A81"/>
    <w:rsid w:val="006D7213"/>
    <w:rsid w:val="006E06D9"/>
    <w:rsid w:val="006E0B7C"/>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5618"/>
    <w:rsid w:val="00796E1C"/>
    <w:rsid w:val="00796EDE"/>
    <w:rsid w:val="007A5527"/>
    <w:rsid w:val="007A5A58"/>
    <w:rsid w:val="007B1C56"/>
    <w:rsid w:val="007B29AB"/>
    <w:rsid w:val="007B6904"/>
    <w:rsid w:val="007C1DD7"/>
    <w:rsid w:val="007C35D3"/>
    <w:rsid w:val="007C3CD5"/>
    <w:rsid w:val="007C4756"/>
    <w:rsid w:val="007C5E88"/>
    <w:rsid w:val="007C61EF"/>
    <w:rsid w:val="007D03DE"/>
    <w:rsid w:val="007D1C0D"/>
    <w:rsid w:val="007D2D23"/>
    <w:rsid w:val="007E27D6"/>
    <w:rsid w:val="007E2B06"/>
    <w:rsid w:val="007E3921"/>
    <w:rsid w:val="007F6C07"/>
    <w:rsid w:val="00800EFA"/>
    <w:rsid w:val="00801028"/>
    <w:rsid w:val="00803793"/>
    <w:rsid w:val="00804000"/>
    <w:rsid w:val="00805254"/>
    <w:rsid w:val="008101A2"/>
    <w:rsid w:val="008155DC"/>
    <w:rsid w:val="00817A01"/>
    <w:rsid w:val="00820937"/>
    <w:rsid w:val="00825B36"/>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6C2"/>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82B"/>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2E75"/>
    <w:rsid w:val="00985C4F"/>
    <w:rsid w:val="00986E3C"/>
    <w:rsid w:val="00986F86"/>
    <w:rsid w:val="00991460"/>
    <w:rsid w:val="009932CF"/>
    <w:rsid w:val="009941BF"/>
    <w:rsid w:val="00995BF9"/>
    <w:rsid w:val="00996FE8"/>
    <w:rsid w:val="009975CC"/>
    <w:rsid w:val="009A0CAF"/>
    <w:rsid w:val="009A195B"/>
    <w:rsid w:val="009A2207"/>
    <w:rsid w:val="009A5E4C"/>
    <w:rsid w:val="009B0AC1"/>
    <w:rsid w:val="009B0EDA"/>
    <w:rsid w:val="009B1561"/>
    <w:rsid w:val="009B6A37"/>
    <w:rsid w:val="009B6C42"/>
    <w:rsid w:val="009C0B0B"/>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4A95"/>
    <w:rsid w:val="00A0571E"/>
    <w:rsid w:val="00A13239"/>
    <w:rsid w:val="00A1397D"/>
    <w:rsid w:val="00A13A27"/>
    <w:rsid w:val="00A1499B"/>
    <w:rsid w:val="00A170D8"/>
    <w:rsid w:val="00A25887"/>
    <w:rsid w:val="00A26BC5"/>
    <w:rsid w:val="00A27D73"/>
    <w:rsid w:val="00A30A1B"/>
    <w:rsid w:val="00A314C2"/>
    <w:rsid w:val="00A40B71"/>
    <w:rsid w:val="00A501BF"/>
    <w:rsid w:val="00A519A0"/>
    <w:rsid w:val="00A52079"/>
    <w:rsid w:val="00A6249F"/>
    <w:rsid w:val="00A62A2E"/>
    <w:rsid w:val="00A63E86"/>
    <w:rsid w:val="00A641FB"/>
    <w:rsid w:val="00A75185"/>
    <w:rsid w:val="00A754A0"/>
    <w:rsid w:val="00A757C3"/>
    <w:rsid w:val="00A75E5B"/>
    <w:rsid w:val="00A75F4B"/>
    <w:rsid w:val="00A7684A"/>
    <w:rsid w:val="00A77244"/>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AEA"/>
    <w:rsid w:val="00AC7F9D"/>
    <w:rsid w:val="00AD079A"/>
    <w:rsid w:val="00AD1890"/>
    <w:rsid w:val="00AD6588"/>
    <w:rsid w:val="00AD7CCB"/>
    <w:rsid w:val="00AE2149"/>
    <w:rsid w:val="00AE2BF3"/>
    <w:rsid w:val="00AE33AE"/>
    <w:rsid w:val="00AE3F91"/>
    <w:rsid w:val="00AF0E1B"/>
    <w:rsid w:val="00AF5B63"/>
    <w:rsid w:val="00B0053D"/>
    <w:rsid w:val="00B039E3"/>
    <w:rsid w:val="00B06D36"/>
    <w:rsid w:val="00B07E3E"/>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231D"/>
    <w:rsid w:val="00B64376"/>
    <w:rsid w:val="00B6570C"/>
    <w:rsid w:val="00B70827"/>
    <w:rsid w:val="00B7401F"/>
    <w:rsid w:val="00B748E5"/>
    <w:rsid w:val="00B75B75"/>
    <w:rsid w:val="00B769BE"/>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3EB7"/>
    <w:rsid w:val="00BB7565"/>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2225"/>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4E4"/>
    <w:rsid w:val="00C63FC0"/>
    <w:rsid w:val="00C66392"/>
    <w:rsid w:val="00C67DA6"/>
    <w:rsid w:val="00C71B9E"/>
    <w:rsid w:val="00C73D09"/>
    <w:rsid w:val="00C74C5E"/>
    <w:rsid w:val="00C768B0"/>
    <w:rsid w:val="00C82558"/>
    <w:rsid w:val="00C827A2"/>
    <w:rsid w:val="00C82965"/>
    <w:rsid w:val="00C82B69"/>
    <w:rsid w:val="00C82C8E"/>
    <w:rsid w:val="00C82CB3"/>
    <w:rsid w:val="00C842E7"/>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D52FC"/>
    <w:rsid w:val="00CE1780"/>
    <w:rsid w:val="00CE4913"/>
    <w:rsid w:val="00CE4BB4"/>
    <w:rsid w:val="00CE66BD"/>
    <w:rsid w:val="00CF0671"/>
    <w:rsid w:val="00CF247A"/>
    <w:rsid w:val="00CF44AD"/>
    <w:rsid w:val="00CF4D7C"/>
    <w:rsid w:val="00CF4FC0"/>
    <w:rsid w:val="00CF7486"/>
    <w:rsid w:val="00D1072F"/>
    <w:rsid w:val="00D108A5"/>
    <w:rsid w:val="00D11559"/>
    <w:rsid w:val="00D14585"/>
    <w:rsid w:val="00D153C8"/>
    <w:rsid w:val="00D16611"/>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0C48"/>
    <w:rsid w:val="00EB402C"/>
    <w:rsid w:val="00EB5027"/>
    <w:rsid w:val="00EC1836"/>
    <w:rsid w:val="00EC3990"/>
    <w:rsid w:val="00EC484B"/>
    <w:rsid w:val="00EC7E58"/>
    <w:rsid w:val="00ED15FA"/>
    <w:rsid w:val="00ED5C9F"/>
    <w:rsid w:val="00EE050C"/>
    <w:rsid w:val="00EE2113"/>
    <w:rsid w:val="00EE4A7A"/>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836A7"/>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E6A6F"/>
    <w:rsid w:val="00FF092F"/>
    <w:rsid w:val="00FF0DA7"/>
    <w:rsid w:val="00FF23B5"/>
    <w:rsid w:val="00FF2DF6"/>
    <w:rsid w:val="00FF44E0"/>
    <w:rsid w:val="00FF6C72"/>
    <w:rsid w:val="01127137"/>
    <w:rsid w:val="014976E6"/>
    <w:rsid w:val="01545A05"/>
    <w:rsid w:val="01586CAE"/>
    <w:rsid w:val="01614E24"/>
    <w:rsid w:val="01777BF4"/>
    <w:rsid w:val="01B7102D"/>
    <w:rsid w:val="01CE57B8"/>
    <w:rsid w:val="020C4532"/>
    <w:rsid w:val="021653B1"/>
    <w:rsid w:val="021F4C82"/>
    <w:rsid w:val="02242480"/>
    <w:rsid w:val="023263C4"/>
    <w:rsid w:val="02A816E8"/>
    <w:rsid w:val="02C30CDE"/>
    <w:rsid w:val="030B62A1"/>
    <w:rsid w:val="031C2553"/>
    <w:rsid w:val="032205B8"/>
    <w:rsid w:val="032F04D8"/>
    <w:rsid w:val="035E4919"/>
    <w:rsid w:val="03B51673"/>
    <w:rsid w:val="03C15358"/>
    <w:rsid w:val="03D869D2"/>
    <w:rsid w:val="04054CCC"/>
    <w:rsid w:val="04073FBB"/>
    <w:rsid w:val="041A2F36"/>
    <w:rsid w:val="04336711"/>
    <w:rsid w:val="043D0754"/>
    <w:rsid w:val="046911ED"/>
    <w:rsid w:val="0475016D"/>
    <w:rsid w:val="047714C2"/>
    <w:rsid w:val="04BC3FEE"/>
    <w:rsid w:val="04E60241"/>
    <w:rsid w:val="05031C1C"/>
    <w:rsid w:val="050A3155"/>
    <w:rsid w:val="051A51B8"/>
    <w:rsid w:val="055F0B42"/>
    <w:rsid w:val="0580501B"/>
    <w:rsid w:val="059B1E55"/>
    <w:rsid w:val="05AF5900"/>
    <w:rsid w:val="05B9052D"/>
    <w:rsid w:val="05C05314"/>
    <w:rsid w:val="05CD39D7"/>
    <w:rsid w:val="060528C8"/>
    <w:rsid w:val="061B11E8"/>
    <w:rsid w:val="061D52A4"/>
    <w:rsid w:val="062C51A3"/>
    <w:rsid w:val="0639166E"/>
    <w:rsid w:val="06523F87"/>
    <w:rsid w:val="065B15E4"/>
    <w:rsid w:val="06677A1E"/>
    <w:rsid w:val="06783F44"/>
    <w:rsid w:val="06823015"/>
    <w:rsid w:val="068E0BC9"/>
    <w:rsid w:val="06E67100"/>
    <w:rsid w:val="073C31C4"/>
    <w:rsid w:val="074E7B40"/>
    <w:rsid w:val="078A2181"/>
    <w:rsid w:val="079511E1"/>
    <w:rsid w:val="07A174CB"/>
    <w:rsid w:val="07A8161B"/>
    <w:rsid w:val="07D822F4"/>
    <w:rsid w:val="0808754A"/>
    <w:rsid w:val="08337E2C"/>
    <w:rsid w:val="08636A5A"/>
    <w:rsid w:val="086A0E2C"/>
    <w:rsid w:val="08946CD7"/>
    <w:rsid w:val="08A46BE7"/>
    <w:rsid w:val="08BB1E7B"/>
    <w:rsid w:val="08DA0EE6"/>
    <w:rsid w:val="08DB07BA"/>
    <w:rsid w:val="0946657C"/>
    <w:rsid w:val="09A52083"/>
    <w:rsid w:val="09CF5E40"/>
    <w:rsid w:val="09E33DCA"/>
    <w:rsid w:val="09F9539C"/>
    <w:rsid w:val="0A1A6666"/>
    <w:rsid w:val="0A365FB3"/>
    <w:rsid w:val="0A56459C"/>
    <w:rsid w:val="0A77544C"/>
    <w:rsid w:val="0A8302E9"/>
    <w:rsid w:val="0AA65F45"/>
    <w:rsid w:val="0AC86268"/>
    <w:rsid w:val="0AD656DD"/>
    <w:rsid w:val="0AD825C4"/>
    <w:rsid w:val="0AFA5870"/>
    <w:rsid w:val="0AFE2088"/>
    <w:rsid w:val="0B146AB7"/>
    <w:rsid w:val="0B163D2C"/>
    <w:rsid w:val="0B291CB1"/>
    <w:rsid w:val="0B3644E0"/>
    <w:rsid w:val="0B6E3B68"/>
    <w:rsid w:val="0B93537C"/>
    <w:rsid w:val="0BC528CF"/>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3E7798"/>
    <w:rsid w:val="0D774F56"/>
    <w:rsid w:val="0D957AD2"/>
    <w:rsid w:val="0DB241E0"/>
    <w:rsid w:val="0DE6032D"/>
    <w:rsid w:val="0E175E40"/>
    <w:rsid w:val="0E267FA8"/>
    <w:rsid w:val="0E3E1F17"/>
    <w:rsid w:val="0E52151F"/>
    <w:rsid w:val="0E782F04"/>
    <w:rsid w:val="0E9A5F77"/>
    <w:rsid w:val="0E9E11E9"/>
    <w:rsid w:val="0ECB1AC7"/>
    <w:rsid w:val="0ECF35C4"/>
    <w:rsid w:val="0ED527DB"/>
    <w:rsid w:val="0F01750C"/>
    <w:rsid w:val="0F2F1860"/>
    <w:rsid w:val="0F3330FE"/>
    <w:rsid w:val="0F3F1AA3"/>
    <w:rsid w:val="0F4F5A5E"/>
    <w:rsid w:val="0F5F5CA1"/>
    <w:rsid w:val="0F64775C"/>
    <w:rsid w:val="0F672FE3"/>
    <w:rsid w:val="0F686692"/>
    <w:rsid w:val="0F751969"/>
    <w:rsid w:val="0F802974"/>
    <w:rsid w:val="0FAC687F"/>
    <w:rsid w:val="0FB00BF3"/>
    <w:rsid w:val="0FB06A57"/>
    <w:rsid w:val="0FE60171"/>
    <w:rsid w:val="0FF1293F"/>
    <w:rsid w:val="0FF4402F"/>
    <w:rsid w:val="10305890"/>
    <w:rsid w:val="10463305"/>
    <w:rsid w:val="10615A49"/>
    <w:rsid w:val="10635C65"/>
    <w:rsid w:val="10732D06"/>
    <w:rsid w:val="107F1F1F"/>
    <w:rsid w:val="10B22456"/>
    <w:rsid w:val="10E044A9"/>
    <w:rsid w:val="11031026"/>
    <w:rsid w:val="11254CC9"/>
    <w:rsid w:val="11333889"/>
    <w:rsid w:val="11395C39"/>
    <w:rsid w:val="114710E3"/>
    <w:rsid w:val="118A0FD0"/>
    <w:rsid w:val="11CE1EF4"/>
    <w:rsid w:val="11E06E41"/>
    <w:rsid w:val="11F74B82"/>
    <w:rsid w:val="12135469"/>
    <w:rsid w:val="1232333F"/>
    <w:rsid w:val="12722FED"/>
    <w:rsid w:val="129A3460"/>
    <w:rsid w:val="129B16E6"/>
    <w:rsid w:val="12A07F1A"/>
    <w:rsid w:val="12A14112"/>
    <w:rsid w:val="12C413D6"/>
    <w:rsid w:val="12CD6C86"/>
    <w:rsid w:val="13083E3E"/>
    <w:rsid w:val="13382425"/>
    <w:rsid w:val="13552459"/>
    <w:rsid w:val="138A5F0F"/>
    <w:rsid w:val="139364DD"/>
    <w:rsid w:val="139F6FB4"/>
    <w:rsid w:val="13D03611"/>
    <w:rsid w:val="13DF2611"/>
    <w:rsid w:val="13F50945"/>
    <w:rsid w:val="14225A66"/>
    <w:rsid w:val="147A532B"/>
    <w:rsid w:val="14C412D5"/>
    <w:rsid w:val="14E36BC9"/>
    <w:rsid w:val="14F051F6"/>
    <w:rsid w:val="151E215B"/>
    <w:rsid w:val="15400C78"/>
    <w:rsid w:val="1565422D"/>
    <w:rsid w:val="15916384"/>
    <w:rsid w:val="15A308B2"/>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F10EE"/>
    <w:rsid w:val="17914E66"/>
    <w:rsid w:val="17916813"/>
    <w:rsid w:val="1797470D"/>
    <w:rsid w:val="18015B6E"/>
    <w:rsid w:val="18172587"/>
    <w:rsid w:val="18205A58"/>
    <w:rsid w:val="185403EE"/>
    <w:rsid w:val="18693E47"/>
    <w:rsid w:val="18BD54F4"/>
    <w:rsid w:val="18D94D16"/>
    <w:rsid w:val="18DC0363"/>
    <w:rsid w:val="18DD28F7"/>
    <w:rsid w:val="190B0C48"/>
    <w:rsid w:val="19237362"/>
    <w:rsid w:val="194303E2"/>
    <w:rsid w:val="1979120B"/>
    <w:rsid w:val="1997072D"/>
    <w:rsid w:val="19A312AE"/>
    <w:rsid w:val="19BE5CBA"/>
    <w:rsid w:val="19BF76EB"/>
    <w:rsid w:val="1A085187"/>
    <w:rsid w:val="1A11228E"/>
    <w:rsid w:val="1A136006"/>
    <w:rsid w:val="1A1A7CD9"/>
    <w:rsid w:val="1A4457AE"/>
    <w:rsid w:val="1A4C5D31"/>
    <w:rsid w:val="1A816B2F"/>
    <w:rsid w:val="1A9F3EA8"/>
    <w:rsid w:val="1ABF618E"/>
    <w:rsid w:val="1AC11F06"/>
    <w:rsid w:val="1ACB4B33"/>
    <w:rsid w:val="1AF71484"/>
    <w:rsid w:val="1AF7768B"/>
    <w:rsid w:val="1B30248C"/>
    <w:rsid w:val="1B5468D6"/>
    <w:rsid w:val="1B58423C"/>
    <w:rsid w:val="1B816BC3"/>
    <w:rsid w:val="1B83540D"/>
    <w:rsid w:val="1B90640E"/>
    <w:rsid w:val="1B9C3F21"/>
    <w:rsid w:val="1BAD331F"/>
    <w:rsid w:val="1BFB0379"/>
    <w:rsid w:val="1C0F0A4F"/>
    <w:rsid w:val="1C2C1B1A"/>
    <w:rsid w:val="1C3B7288"/>
    <w:rsid w:val="1C447AB7"/>
    <w:rsid w:val="1C487397"/>
    <w:rsid w:val="1C580BF0"/>
    <w:rsid w:val="1C5C089A"/>
    <w:rsid w:val="1C6D2330"/>
    <w:rsid w:val="1C850D11"/>
    <w:rsid w:val="1C8953EE"/>
    <w:rsid w:val="1C9761E9"/>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74728F"/>
    <w:rsid w:val="1E7E389E"/>
    <w:rsid w:val="1ECF42FE"/>
    <w:rsid w:val="1ECF44C6"/>
    <w:rsid w:val="1F120F76"/>
    <w:rsid w:val="1F2E38E2"/>
    <w:rsid w:val="1F354E12"/>
    <w:rsid w:val="1F35643E"/>
    <w:rsid w:val="1F486477"/>
    <w:rsid w:val="1F6E1A7C"/>
    <w:rsid w:val="1F705CA9"/>
    <w:rsid w:val="1F9B1719"/>
    <w:rsid w:val="1FB5190D"/>
    <w:rsid w:val="1FD27095"/>
    <w:rsid w:val="1FD46CA4"/>
    <w:rsid w:val="1FD65178"/>
    <w:rsid w:val="1FED10A7"/>
    <w:rsid w:val="1FF40688"/>
    <w:rsid w:val="20084133"/>
    <w:rsid w:val="2029238B"/>
    <w:rsid w:val="20432151"/>
    <w:rsid w:val="206436A4"/>
    <w:rsid w:val="207D154D"/>
    <w:rsid w:val="208714FC"/>
    <w:rsid w:val="20895274"/>
    <w:rsid w:val="20980AE0"/>
    <w:rsid w:val="209B4FA7"/>
    <w:rsid w:val="20A2086D"/>
    <w:rsid w:val="20C718F8"/>
    <w:rsid w:val="20D109C9"/>
    <w:rsid w:val="20E45634"/>
    <w:rsid w:val="20FC2382"/>
    <w:rsid w:val="214D1EC4"/>
    <w:rsid w:val="21957C48"/>
    <w:rsid w:val="21BA76AF"/>
    <w:rsid w:val="21BF0821"/>
    <w:rsid w:val="21D266CD"/>
    <w:rsid w:val="21EF1DF1"/>
    <w:rsid w:val="21FD1568"/>
    <w:rsid w:val="220F3557"/>
    <w:rsid w:val="22625D47"/>
    <w:rsid w:val="22665141"/>
    <w:rsid w:val="22731755"/>
    <w:rsid w:val="227B6E3E"/>
    <w:rsid w:val="22864555"/>
    <w:rsid w:val="229323DA"/>
    <w:rsid w:val="22934188"/>
    <w:rsid w:val="22C83D5D"/>
    <w:rsid w:val="22C85680"/>
    <w:rsid w:val="22DE0399"/>
    <w:rsid w:val="23414377"/>
    <w:rsid w:val="23496F3C"/>
    <w:rsid w:val="234E00AF"/>
    <w:rsid w:val="235B6269"/>
    <w:rsid w:val="236271B7"/>
    <w:rsid w:val="238E494F"/>
    <w:rsid w:val="239649A9"/>
    <w:rsid w:val="23BC770E"/>
    <w:rsid w:val="23C465C3"/>
    <w:rsid w:val="23DD4441"/>
    <w:rsid w:val="23EF19B8"/>
    <w:rsid w:val="2401350C"/>
    <w:rsid w:val="240C33A1"/>
    <w:rsid w:val="242765C4"/>
    <w:rsid w:val="244D65B8"/>
    <w:rsid w:val="244F47D6"/>
    <w:rsid w:val="246456B0"/>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C06D8C"/>
    <w:rsid w:val="26E15B99"/>
    <w:rsid w:val="26F61189"/>
    <w:rsid w:val="26F82F41"/>
    <w:rsid w:val="27237F5D"/>
    <w:rsid w:val="273677D8"/>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C51206"/>
    <w:rsid w:val="2B1966E7"/>
    <w:rsid w:val="2B3758CC"/>
    <w:rsid w:val="2B5F745C"/>
    <w:rsid w:val="2B93339A"/>
    <w:rsid w:val="2BD05B4E"/>
    <w:rsid w:val="2BFB18CF"/>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1633EB"/>
    <w:rsid w:val="2D3C366E"/>
    <w:rsid w:val="2D6F134E"/>
    <w:rsid w:val="2D850B71"/>
    <w:rsid w:val="2D9F7C93"/>
    <w:rsid w:val="2DAA4BFF"/>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385F9C"/>
    <w:rsid w:val="323D4B10"/>
    <w:rsid w:val="3263094F"/>
    <w:rsid w:val="327F62D5"/>
    <w:rsid w:val="329A50BF"/>
    <w:rsid w:val="32A001FB"/>
    <w:rsid w:val="32D81743"/>
    <w:rsid w:val="32E12CEE"/>
    <w:rsid w:val="32EA0830"/>
    <w:rsid w:val="32FA6DD7"/>
    <w:rsid w:val="33460DA3"/>
    <w:rsid w:val="335A65FC"/>
    <w:rsid w:val="33637EC3"/>
    <w:rsid w:val="33650106"/>
    <w:rsid w:val="336D4581"/>
    <w:rsid w:val="337C5BFA"/>
    <w:rsid w:val="338B6E1C"/>
    <w:rsid w:val="33AB3DC9"/>
    <w:rsid w:val="33AD0E22"/>
    <w:rsid w:val="33AE43D6"/>
    <w:rsid w:val="33CD2241"/>
    <w:rsid w:val="340D25AE"/>
    <w:rsid w:val="34177C19"/>
    <w:rsid w:val="34256CB2"/>
    <w:rsid w:val="34353186"/>
    <w:rsid w:val="344B7B58"/>
    <w:rsid w:val="3474193F"/>
    <w:rsid w:val="34750EEE"/>
    <w:rsid w:val="349B6ECC"/>
    <w:rsid w:val="34AC732B"/>
    <w:rsid w:val="34E45C10"/>
    <w:rsid w:val="35253045"/>
    <w:rsid w:val="3544274C"/>
    <w:rsid w:val="354B0704"/>
    <w:rsid w:val="354D1DB2"/>
    <w:rsid w:val="356D1E9C"/>
    <w:rsid w:val="357D5D04"/>
    <w:rsid w:val="35A34C73"/>
    <w:rsid w:val="35AB0B07"/>
    <w:rsid w:val="35D83E40"/>
    <w:rsid w:val="35D94150"/>
    <w:rsid w:val="35FE1C9A"/>
    <w:rsid w:val="36182DA6"/>
    <w:rsid w:val="362D7FF8"/>
    <w:rsid w:val="36620601"/>
    <w:rsid w:val="36B50719"/>
    <w:rsid w:val="36B86C0F"/>
    <w:rsid w:val="36C25ED8"/>
    <w:rsid w:val="36D2007E"/>
    <w:rsid w:val="36D36DF1"/>
    <w:rsid w:val="36EB413B"/>
    <w:rsid w:val="37011251"/>
    <w:rsid w:val="371B68A6"/>
    <w:rsid w:val="373830F8"/>
    <w:rsid w:val="3747333B"/>
    <w:rsid w:val="377F356D"/>
    <w:rsid w:val="3794610E"/>
    <w:rsid w:val="379C3687"/>
    <w:rsid w:val="379F0A81"/>
    <w:rsid w:val="37BE184F"/>
    <w:rsid w:val="37DC5DA4"/>
    <w:rsid w:val="37E011CC"/>
    <w:rsid w:val="37EA3F46"/>
    <w:rsid w:val="37FF59C4"/>
    <w:rsid w:val="380729ED"/>
    <w:rsid w:val="38175933"/>
    <w:rsid w:val="38517B27"/>
    <w:rsid w:val="386A7825"/>
    <w:rsid w:val="38733130"/>
    <w:rsid w:val="38767A34"/>
    <w:rsid w:val="38814724"/>
    <w:rsid w:val="38921A31"/>
    <w:rsid w:val="38B247E4"/>
    <w:rsid w:val="38C04D3D"/>
    <w:rsid w:val="38CE6B9E"/>
    <w:rsid w:val="38D66725"/>
    <w:rsid w:val="38F83DFB"/>
    <w:rsid w:val="39123CD2"/>
    <w:rsid w:val="39220493"/>
    <w:rsid w:val="39930ABA"/>
    <w:rsid w:val="3993774F"/>
    <w:rsid w:val="39A2072B"/>
    <w:rsid w:val="39B50DC2"/>
    <w:rsid w:val="39BB6B1C"/>
    <w:rsid w:val="39CD5D7A"/>
    <w:rsid w:val="3A0D43C8"/>
    <w:rsid w:val="3A230C04"/>
    <w:rsid w:val="3A26548A"/>
    <w:rsid w:val="3A502507"/>
    <w:rsid w:val="3A5567DF"/>
    <w:rsid w:val="3A572443"/>
    <w:rsid w:val="3A6316FB"/>
    <w:rsid w:val="3AA56971"/>
    <w:rsid w:val="3AAB3AE0"/>
    <w:rsid w:val="3AB57BE2"/>
    <w:rsid w:val="3ACD3B57"/>
    <w:rsid w:val="3AF15A98"/>
    <w:rsid w:val="3AF561AE"/>
    <w:rsid w:val="3AFA5384"/>
    <w:rsid w:val="3B134F55"/>
    <w:rsid w:val="3B186CC9"/>
    <w:rsid w:val="3B2132F9"/>
    <w:rsid w:val="3B4D0683"/>
    <w:rsid w:val="3B714E2B"/>
    <w:rsid w:val="3B9B5A04"/>
    <w:rsid w:val="3BA725FA"/>
    <w:rsid w:val="3BB0325D"/>
    <w:rsid w:val="3C335C3C"/>
    <w:rsid w:val="3C963645"/>
    <w:rsid w:val="3CA52FDE"/>
    <w:rsid w:val="3CCA2A44"/>
    <w:rsid w:val="3CCC57A3"/>
    <w:rsid w:val="3CF03B2D"/>
    <w:rsid w:val="3D090B7C"/>
    <w:rsid w:val="3D193084"/>
    <w:rsid w:val="3D1F10D0"/>
    <w:rsid w:val="3D264775"/>
    <w:rsid w:val="3D52271E"/>
    <w:rsid w:val="3D536596"/>
    <w:rsid w:val="3D5A0F8B"/>
    <w:rsid w:val="3D89645B"/>
    <w:rsid w:val="3D8C49FE"/>
    <w:rsid w:val="3DAF1EA2"/>
    <w:rsid w:val="3DBD7F55"/>
    <w:rsid w:val="3DD70CF9"/>
    <w:rsid w:val="3DDD315E"/>
    <w:rsid w:val="3E0964E6"/>
    <w:rsid w:val="3E0C196A"/>
    <w:rsid w:val="3E1201FF"/>
    <w:rsid w:val="3E1D0952"/>
    <w:rsid w:val="3E30420A"/>
    <w:rsid w:val="3E3068D7"/>
    <w:rsid w:val="3E3C1720"/>
    <w:rsid w:val="3E5A1BA6"/>
    <w:rsid w:val="3E60015F"/>
    <w:rsid w:val="3EAD5E70"/>
    <w:rsid w:val="3ECF60F0"/>
    <w:rsid w:val="3F087854"/>
    <w:rsid w:val="3F2F6EBF"/>
    <w:rsid w:val="3F5D194E"/>
    <w:rsid w:val="3F7F14E7"/>
    <w:rsid w:val="3F8B1360"/>
    <w:rsid w:val="3F9F14A0"/>
    <w:rsid w:val="3FA37E9F"/>
    <w:rsid w:val="3FEF7356"/>
    <w:rsid w:val="3FF21F94"/>
    <w:rsid w:val="40005166"/>
    <w:rsid w:val="400B4C01"/>
    <w:rsid w:val="40316936"/>
    <w:rsid w:val="40477F08"/>
    <w:rsid w:val="40495478"/>
    <w:rsid w:val="405165FE"/>
    <w:rsid w:val="406867FC"/>
    <w:rsid w:val="40C6735E"/>
    <w:rsid w:val="40D24B9C"/>
    <w:rsid w:val="40DE6ABE"/>
    <w:rsid w:val="410753AA"/>
    <w:rsid w:val="411E335F"/>
    <w:rsid w:val="41303889"/>
    <w:rsid w:val="415052BD"/>
    <w:rsid w:val="41870F04"/>
    <w:rsid w:val="41904D37"/>
    <w:rsid w:val="41A1553C"/>
    <w:rsid w:val="41BB1716"/>
    <w:rsid w:val="41C32C44"/>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30345BA"/>
    <w:rsid w:val="43095B0E"/>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B22FF"/>
    <w:rsid w:val="456D1768"/>
    <w:rsid w:val="45C96E92"/>
    <w:rsid w:val="45CC0C0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226AEB"/>
    <w:rsid w:val="483673CE"/>
    <w:rsid w:val="489A776F"/>
    <w:rsid w:val="489F4D85"/>
    <w:rsid w:val="48BE41E3"/>
    <w:rsid w:val="48C77E38"/>
    <w:rsid w:val="48CB5B7A"/>
    <w:rsid w:val="48D92B4D"/>
    <w:rsid w:val="48FD1AAC"/>
    <w:rsid w:val="490523D5"/>
    <w:rsid w:val="49135467"/>
    <w:rsid w:val="49221812"/>
    <w:rsid w:val="494D67E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9506C1"/>
    <w:rsid w:val="4B9F32EE"/>
    <w:rsid w:val="4BB9449E"/>
    <w:rsid w:val="4BC52D55"/>
    <w:rsid w:val="4BF930BB"/>
    <w:rsid w:val="4C4D4AF8"/>
    <w:rsid w:val="4C6267F5"/>
    <w:rsid w:val="4C831B77"/>
    <w:rsid w:val="4C83676C"/>
    <w:rsid w:val="4C8E5BE5"/>
    <w:rsid w:val="4CB6269D"/>
    <w:rsid w:val="4CC913FA"/>
    <w:rsid w:val="4CEA67EB"/>
    <w:rsid w:val="4CF64CFD"/>
    <w:rsid w:val="4D116B12"/>
    <w:rsid w:val="4D1B6B8F"/>
    <w:rsid w:val="4D3D5FF4"/>
    <w:rsid w:val="4D487C17"/>
    <w:rsid w:val="4D5A72FA"/>
    <w:rsid w:val="4D633A18"/>
    <w:rsid w:val="4DB90697"/>
    <w:rsid w:val="4DC52A56"/>
    <w:rsid w:val="4DE4148C"/>
    <w:rsid w:val="4E0062C6"/>
    <w:rsid w:val="4E0B2970"/>
    <w:rsid w:val="4E1759C1"/>
    <w:rsid w:val="4E3E6DEE"/>
    <w:rsid w:val="4E8862BB"/>
    <w:rsid w:val="4ED8558E"/>
    <w:rsid w:val="4F245FE4"/>
    <w:rsid w:val="4F433169"/>
    <w:rsid w:val="4FC7696F"/>
    <w:rsid w:val="4FD51C85"/>
    <w:rsid w:val="50067498"/>
    <w:rsid w:val="505A492D"/>
    <w:rsid w:val="505B4BCF"/>
    <w:rsid w:val="507C6CD0"/>
    <w:rsid w:val="50967210"/>
    <w:rsid w:val="50A4580C"/>
    <w:rsid w:val="50B75FB1"/>
    <w:rsid w:val="50CC248F"/>
    <w:rsid w:val="50E52F2A"/>
    <w:rsid w:val="50F97A8C"/>
    <w:rsid w:val="51013297"/>
    <w:rsid w:val="5105419D"/>
    <w:rsid w:val="51071719"/>
    <w:rsid w:val="51177359"/>
    <w:rsid w:val="51706AE7"/>
    <w:rsid w:val="517F39A6"/>
    <w:rsid w:val="5221002A"/>
    <w:rsid w:val="52642B9B"/>
    <w:rsid w:val="526F3A1A"/>
    <w:rsid w:val="52816DE8"/>
    <w:rsid w:val="52976ACD"/>
    <w:rsid w:val="529F5982"/>
    <w:rsid w:val="52AF3C79"/>
    <w:rsid w:val="52E617B5"/>
    <w:rsid w:val="52FF78E7"/>
    <w:rsid w:val="53246C5D"/>
    <w:rsid w:val="533D19AF"/>
    <w:rsid w:val="53422EDD"/>
    <w:rsid w:val="53435F37"/>
    <w:rsid w:val="53515F4F"/>
    <w:rsid w:val="537806AC"/>
    <w:rsid w:val="53837B15"/>
    <w:rsid w:val="53983E43"/>
    <w:rsid w:val="539F403D"/>
    <w:rsid w:val="541000EA"/>
    <w:rsid w:val="541008E5"/>
    <w:rsid w:val="54126626"/>
    <w:rsid w:val="54295E4B"/>
    <w:rsid w:val="543640C4"/>
    <w:rsid w:val="5436550B"/>
    <w:rsid w:val="543A5A64"/>
    <w:rsid w:val="54547A6F"/>
    <w:rsid w:val="54547F90"/>
    <w:rsid w:val="545A6D5B"/>
    <w:rsid w:val="547A238D"/>
    <w:rsid w:val="54817A35"/>
    <w:rsid w:val="54A159E1"/>
    <w:rsid w:val="54D209AB"/>
    <w:rsid w:val="54D42ADE"/>
    <w:rsid w:val="55004DFD"/>
    <w:rsid w:val="55175CA3"/>
    <w:rsid w:val="554747DA"/>
    <w:rsid w:val="555D5DAC"/>
    <w:rsid w:val="55651B27"/>
    <w:rsid w:val="556F0C67"/>
    <w:rsid w:val="5573527B"/>
    <w:rsid w:val="55756D9B"/>
    <w:rsid w:val="559B4461"/>
    <w:rsid w:val="55A00722"/>
    <w:rsid w:val="55D106C9"/>
    <w:rsid w:val="55D61DBB"/>
    <w:rsid w:val="55F14746"/>
    <w:rsid w:val="56203C97"/>
    <w:rsid w:val="562541BA"/>
    <w:rsid w:val="562E599A"/>
    <w:rsid w:val="56464A92"/>
    <w:rsid w:val="56521689"/>
    <w:rsid w:val="56574EF1"/>
    <w:rsid w:val="565B5592"/>
    <w:rsid w:val="56921A85"/>
    <w:rsid w:val="56B07F59"/>
    <w:rsid w:val="56B20379"/>
    <w:rsid w:val="56B91708"/>
    <w:rsid w:val="56BD287A"/>
    <w:rsid w:val="56C37E91"/>
    <w:rsid w:val="56D0163C"/>
    <w:rsid w:val="56EC3176"/>
    <w:rsid w:val="57077749"/>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4638F4"/>
    <w:rsid w:val="585130AB"/>
    <w:rsid w:val="58564D34"/>
    <w:rsid w:val="588418A2"/>
    <w:rsid w:val="589715D5"/>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E80ED3"/>
    <w:rsid w:val="59F8270C"/>
    <w:rsid w:val="5A0E1D6B"/>
    <w:rsid w:val="5A184D97"/>
    <w:rsid w:val="5A1E7A92"/>
    <w:rsid w:val="5A3A32AF"/>
    <w:rsid w:val="5A492DA3"/>
    <w:rsid w:val="5A7A7400"/>
    <w:rsid w:val="5AC43F81"/>
    <w:rsid w:val="5AED72F3"/>
    <w:rsid w:val="5AF122EE"/>
    <w:rsid w:val="5B0347A3"/>
    <w:rsid w:val="5B4A6DD2"/>
    <w:rsid w:val="5B653C0C"/>
    <w:rsid w:val="5B765E19"/>
    <w:rsid w:val="5B835E40"/>
    <w:rsid w:val="5BB90522"/>
    <w:rsid w:val="5BC06FFE"/>
    <w:rsid w:val="5BC63C92"/>
    <w:rsid w:val="5BF000ED"/>
    <w:rsid w:val="5BFE5E0F"/>
    <w:rsid w:val="5C052CF9"/>
    <w:rsid w:val="5C1E3DBB"/>
    <w:rsid w:val="5C291C9D"/>
    <w:rsid w:val="5C655B7C"/>
    <w:rsid w:val="5C734107"/>
    <w:rsid w:val="5C7560D1"/>
    <w:rsid w:val="5C7B120D"/>
    <w:rsid w:val="5C9A29DA"/>
    <w:rsid w:val="5CB84210"/>
    <w:rsid w:val="5CEC5C67"/>
    <w:rsid w:val="5CEE456C"/>
    <w:rsid w:val="5D243653"/>
    <w:rsid w:val="5D675EF0"/>
    <w:rsid w:val="5D6A1882"/>
    <w:rsid w:val="5D8E5AFC"/>
    <w:rsid w:val="5D9E3405"/>
    <w:rsid w:val="5DBA0F0B"/>
    <w:rsid w:val="5DCC4B5B"/>
    <w:rsid w:val="5DD352C2"/>
    <w:rsid w:val="5DE0757A"/>
    <w:rsid w:val="5DFD2313"/>
    <w:rsid w:val="5E047173"/>
    <w:rsid w:val="5E4D2736"/>
    <w:rsid w:val="5E543AC4"/>
    <w:rsid w:val="5E565A8E"/>
    <w:rsid w:val="5E714819"/>
    <w:rsid w:val="5E8125D5"/>
    <w:rsid w:val="5E9E6DD0"/>
    <w:rsid w:val="5EAF4B06"/>
    <w:rsid w:val="5EB90E35"/>
    <w:rsid w:val="5EC24ED2"/>
    <w:rsid w:val="5ED6597D"/>
    <w:rsid w:val="5EF37781"/>
    <w:rsid w:val="5EF534F9"/>
    <w:rsid w:val="5EF86B45"/>
    <w:rsid w:val="5F320D14"/>
    <w:rsid w:val="5F516722"/>
    <w:rsid w:val="5F5D0FE7"/>
    <w:rsid w:val="5F68659C"/>
    <w:rsid w:val="5F855F6C"/>
    <w:rsid w:val="5F882D59"/>
    <w:rsid w:val="5F885BBD"/>
    <w:rsid w:val="5F897393"/>
    <w:rsid w:val="5F911445"/>
    <w:rsid w:val="5F9F3465"/>
    <w:rsid w:val="5FA168CF"/>
    <w:rsid w:val="5FCF5AF8"/>
    <w:rsid w:val="600328DF"/>
    <w:rsid w:val="600A6B30"/>
    <w:rsid w:val="600B265B"/>
    <w:rsid w:val="6011528E"/>
    <w:rsid w:val="60336BFF"/>
    <w:rsid w:val="607653E6"/>
    <w:rsid w:val="60805044"/>
    <w:rsid w:val="60932FCA"/>
    <w:rsid w:val="60A70B9F"/>
    <w:rsid w:val="60A70CC1"/>
    <w:rsid w:val="60AC188A"/>
    <w:rsid w:val="60C110C9"/>
    <w:rsid w:val="60CA5E20"/>
    <w:rsid w:val="6102109A"/>
    <w:rsid w:val="61133921"/>
    <w:rsid w:val="613A1697"/>
    <w:rsid w:val="61404968"/>
    <w:rsid w:val="617B2468"/>
    <w:rsid w:val="61B61EA8"/>
    <w:rsid w:val="62086704"/>
    <w:rsid w:val="624731C8"/>
    <w:rsid w:val="6260512D"/>
    <w:rsid w:val="62740392"/>
    <w:rsid w:val="627604AD"/>
    <w:rsid w:val="62815399"/>
    <w:rsid w:val="62AA45FB"/>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C73EA9"/>
    <w:rsid w:val="66DC18E2"/>
    <w:rsid w:val="671E7365"/>
    <w:rsid w:val="674A40AB"/>
    <w:rsid w:val="675668ED"/>
    <w:rsid w:val="67784CC7"/>
    <w:rsid w:val="67BF433B"/>
    <w:rsid w:val="67C972D1"/>
    <w:rsid w:val="67E37916"/>
    <w:rsid w:val="67E46AF1"/>
    <w:rsid w:val="6809591F"/>
    <w:rsid w:val="680D37F8"/>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9EE4B17"/>
    <w:rsid w:val="6A006484"/>
    <w:rsid w:val="6A022F6E"/>
    <w:rsid w:val="6A0B3BD1"/>
    <w:rsid w:val="6A2E1C6B"/>
    <w:rsid w:val="6A3A6264"/>
    <w:rsid w:val="6A424C4E"/>
    <w:rsid w:val="6A5437CA"/>
    <w:rsid w:val="6A7A0D56"/>
    <w:rsid w:val="6A8D1BE6"/>
    <w:rsid w:val="6A9373DA"/>
    <w:rsid w:val="6AA656A7"/>
    <w:rsid w:val="6AA87B5B"/>
    <w:rsid w:val="6AAE27AE"/>
    <w:rsid w:val="6ACB3360"/>
    <w:rsid w:val="6ACB7804"/>
    <w:rsid w:val="6B0E58F8"/>
    <w:rsid w:val="6B1348BC"/>
    <w:rsid w:val="6B281E2F"/>
    <w:rsid w:val="6B2A62D8"/>
    <w:rsid w:val="6B3F17AA"/>
    <w:rsid w:val="6B58791B"/>
    <w:rsid w:val="6B6712DB"/>
    <w:rsid w:val="6B693994"/>
    <w:rsid w:val="6B734BFF"/>
    <w:rsid w:val="6B792DBC"/>
    <w:rsid w:val="6B7A3866"/>
    <w:rsid w:val="6B7B5DD9"/>
    <w:rsid w:val="6BB23B13"/>
    <w:rsid w:val="6BC04E8F"/>
    <w:rsid w:val="6BE84077"/>
    <w:rsid w:val="6BEE7306"/>
    <w:rsid w:val="6C202F44"/>
    <w:rsid w:val="6C354F35"/>
    <w:rsid w:val="6C5264E5"/>
    <w:rsid w:val="6C823F3D"/>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F36D35"/>
    <w:rsid w:val="702941FD"/>
    <w:rsid w:val="702A22EE"/>
    <w:rsid w:val="70532E5D"/>
    <w:rsid w:val="70636AF5"/>
    <w:rsid w:val="706859A2"/>
    <w:rsid w:val="706F1447"/>
    <w:rsid w:val="707906C7"/>
    <w:rsid w:val="708055A9"/>
    <w:rsid w:val="7088613C"/>
    <w:rsid w:val="708D33F6"/>
    <w:rsid w:val="70A9583B"/>
    <w:rsid w:val="70FA6DA8"/>
    <w:rsid w:val="714D223A"/>
    <w:rsid w:val="71BC7EA6"/>
    <w:rsid w:val="71D92806"/>
    <w:rsid w:val="723B3BA8"/>
    <w:rsid w:val="723F4010"/>
    <w:rsid w:val="724C2FD8"/>
    <w:rsid w:val="726A345E"/>
    <w:rsid w:val="728A58AF"/>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B7CE1"/>
    <w:rsid w:val="73F60210"/>
    <w:rsid w:val="74266539"/>
    <w:rsid w:val="7443665D"/>
    <w:rsid w:val="745814C0"/>
    <w:rsid w:val="745E614E"/>
    <w:rsid w:val="746E36DA"/>
    <w:rsid w:val="748F1C7A"/>
    <w:rsid w:val="74B031AD"/>
    <w:rsid w:val="74B221BF"/>
    <w:rsid w:val="74B6388F"/>
    <w:rsid w:val="74CE4179"/>
    <w:rsid w:val="74D52B6F"/>
    <w:rsid w:val="74FA31C0"/>
    <w:rsid w:val="74FC2405"/>
    <w:rsid w:val="75330480"/>
    <w:rsid w:val="754601B3"/>
    <w:rsid w:val="755374DD"/>
    <w:rsid w:val="75797145"/>
    <w:rsid w:val="75812F0D"/>
    <w:rsid w:val="75842A89"/>
    <w:rsid w:val="758E2517"/>
    <w:rsid w:val="75B16FA1"/>
    <w:rsid w:val="75CB06B8"/>
    <w:rsid w:val="75CB690A"/>
    <w:rsid w:val="75E1732A"/>
    <w:rsid w:val="7603347B"/>
    <w:rsid w:val="760360A4"/>
    <w:rsid w:val="760D6DDC"/>
    <w:rsid w:val="76147566"/>
    <w:rsid w:val="7679608D"/>
    <w:rsid w:val="76AC0BFB"/>
    <w:rsid w:val="76B31AD3"/>
    <w:rsid w:val="76D22E4C"/>
    <w:rsid w:val="76D90BB3"/>
    <w:rsid w:val="76D96E05"/>
    <w:rsid w:val="76DA7887"/>
    <w:rsid w:val="771670BC"/>
    <w:rsid w:val="77291523"/>
    <w:rsid w:val="772937FE"/>
    <w:rsid w:val="77400489"/>
    <w:rsid w:val="776B3F01"/>
    <w:rsid w:val="777D1E86"/>
    <w:rsid w:val="77843214"/>
    <w:rsid w:val="77894387"/>
    <w:rsid w:val="77A022D6"/>
    <w:rsid w:val="77A80CB1"/>
    <w:rsid w:val="77D26013"/>
    <w:rsid w:val="78191D9D"/>
    <w:rsid w:val="781A237F"/>
    <w:rsid w:val="78212811"/>
    <w:rsid w:val="782567A5"/>
    <w:rsid w:val="78734760"/>
    <w:rsid w:val="78BD36C3"/>
    <w:rsid w:val="78D45AD6"/>
    <w:rsid w:val="78F07D11"/>
    <w:rsid w:val="7931117A"/>
    <w:rsid w:val="79343A59"/>
    <w:rsid w:val="7940316B"/>
    <w:rsid w:val="79414195"/>
    <w:rsid w:val="794745F4"/>
    <w:rsid w:val="79604D22"/>
    <w:rsid w:val="79832B7B"/>
    <w:rsid w:val="7989351C"/>
    <w:rsid w:val="79915091"/>
    <w:rsid w:val="799B26EC"/>
    <w:rsid w:val="79A731EA"/>
    <w:rsid w:val="79D55FA9"/>
    <w:rsid w:val="7A2B7977"/>
    <w:rsid w:val="7A35180C"/>
    <w:rsid w:val="7A92282C"/>
    <w:rsid w:val="7ACD712C"/>
    <w:rsid w:val="7B24133B"/>
    <w:rsid w:val="7B6E3FBF"/>
    <w:rsid w:val="7B9D48A5"/>
    <w:rsid w:val="7BC576C6"/>
    <w:rsid w:val="7BC9569A"/>
    <w:rsid w:val="7BCC6F38"/>
    <w:rsid w:val="7BF02C26"/>
    <w:rsid w:val="7BF24BEF"/>
    <w:rsid w:val="7C0340C2"/>
    <w:rsid w:val="7C0B6CB7"/>
    <w:rsid w:val="7C122B9D"/>
    <w:rsid w:val="7C183F2B"/>
    <w:rsid w:val="7C342153"/>
    <w:rsid w:val="7C3B5358"/>
    <w:rsid w:val="7C757E9E"/>
    <w:rsid w:val="7C885555"/>
    <w:rsid w:val="7C9F3684"/>
    <w:rsid w:val="7CA801B8"/>
    <w:rsid w:val="7CA95420"/>
    <w:rsid w:val="7CD2131D"/>
    <w:rsid w:val="7CD866E7"/>
    <w:rsid w:val="7D16178D"/>
    <w:rsid w:val="7D1F5429"/>
    <w:rsid w:val="7D290D52"/>
    <w:rsid w:val="7D524231"/>
    <w:rsid w:val="7D531E0F"/>
    <w:rsid w:val="7D570CC2"/>
    <w:rsid w:val="7DC45624"/>
    <w:rsid w:val="7DD277C6"/>
    <w:rsid w:val="7E235535"/>
    <w:rsid w:val="7E3A63DB"/>
    <w:rsid w:val="7E3C67B6"/>
    <w:rsid w:val="7E4B05E8"/>
    <w:rsid w:val="7E4D4360"/>
    <w:rsid w:val="7E9100D2"/>
    <w:rsid w:val="7EC02D84"/>
    <w:rsid w:val="7EDA196C"/>
    <w:rsid w:val="7EF2547B"/>
    <w:rsid w:val="7EFC3D40"/>
    <w:rsid w:val="7EFD1A58"/>
    <w:rsid w:val="7F0864D9"/>
    <w:rsid w:val="7F1A159B"/>
    <w:rsid w:val="7F7E49ED"/>
    <w:rsid w:val="7F8F581D"/>
    <w:rsid w:val="7FB65F35"/>
    <w:rsid w:val="7FC5261C"/>
    <w:rsid w:val="7FDF36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5"/>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94"/>
    <w:autoRedefine/>
    <w:unhideWhenUsed/>
    <w:qFormat/>
    <w:uiPriority w:val="0"/>
    <w:pPr>
      <w:keepNext/>
      <w:keepLines/>
      <w:adjustRightInd w:val="0"/>
      <w:snapToGrid w:val="0"/>
      <w:spacing w:line="360" w:lineRule="auto"/>
      <w:ind w:firstLine="480" w:firstLineChars="200"/>
      <w:outlineLvl w:val="2"/>
    </w:pPr>
    <w:rPr>
      <w:rFonts w:asciiTheme="majorEastAsia" w:hAnsiTheme="majorEastAsia" w:eastAsiaTheme="majorEastAsia" w:cstheme="majorEastAsia"/>
      <w:sz w:val="24"/>
      <w:szCs w:val="24"/>
    </w:rPr>
  </w:style>
  <w:style w:type="paragraph" w:styleId="5">
    <w:name w:val="heading 4"/>
    <w:basedOn w:val="1"/>
    <w:next w:val="1"/>
    <w:link w:val="99"/>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6"/>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7"/>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8"/>
    <w:autoRedefine/>
    <w:qFormat/>
    <w:uiPriority w:val="0"/>
    <w:pPr>
      <w:tabs>
        <w:tab w:val="left" w:pos="1800"/>
        <w:tab w:val="clear" w:pos="1440"/>
      </w:tabs>
      <w:ind w:left="1276" w:hanging="1276"/>
      <w:outlineLvl w:val="6"/>
    </w:pPr>
  </w:style>
  <w:style w:type="paragraph" w:styleId="9">
    <w:name w:val="heading 8"/>
    <w:basedOn w:val="1"/>
    <w:next w:val="1"/>
    <w:link w:val="109"/>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10"/>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55"/>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1"/>
    <w:autoRedefine/>
    <w:qFormat/>
    <w:uiPriority w:val="0"/>
    <w:pPr>
      <w:jc w:val="left"/>
    </w:pPr>
    <w:rPr>
      <w:rFonts w:ascii="Arial" w:hAnsi="Arial" w:eastAsia="黑体" w:cs="Arial"/>
    </w:rPr>
  </w:style>
  <w:style w:type="paragraph" w:styleId="17">
    <w:name w:val="Salutation"/>
    <w:basedOn w:val="1"/>
    <w:next w:val="1"/>
    <w:link w:val="121"/>
    <w:autoRedefine/>
    <w:qFormat/>
    <w:uiPriority w:val="0"/>
    <w:rPr>
      <w:rFonts w:ascii="仿宋_GB2312" w:hAnsi="Times New Roman" w:eastAsia="仿宋_GB2312" w:cs="Times New Roman"/>
      <w:kern w:val="2"/>
      <w:sz w:val="28"/>
      <w:lang w:val="zh-CN"/>
    </w:rPr>
  </w:style>
  <w:style w:type="paragraph" w:styleId="18">
    <w:name w:val="Body Text 3"/>
    <w:basedOn w:val="1"/>
    <w:link w:val="14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100"/>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15"/>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80"/>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7"/>
    <w:autoRedefine/>
    <w:qFormat/>
    <w:uiPriority w:val="0"/>
    <w:rPr>
      <w:rFonts w:ascii="Arial" w:hAnsi="Arial" w:cs="Arial"/>
      <w:b/>
      <w:sz w:val="28"/>
    </w:rPr>
  </w:style>
  <w:style w:type="paragraph" w:styleId="31">
    <w:name w:val="Body Text Indent 2"/>
    <w:basedOn w:val="1"/>
    <w:link w:val="13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4"/>
    <w:autoRedefine/>
    <w:unhideWhenUsed/>
    <w:qFormat/>
    <w:uiPriority w:val="0"/>
    <w:rPr>
      <w:sz w:val="18"/>
      <w:szCs w:val="18"/>
    </w:rPr>
  </w:style>
  <w:style w:type="paragraph" w:styleId="33">
    <w:name w:val="footer"/>
    <w:basedOn w:val="1"/>
    <w:link w:val="79"/>
    <w:autoRedefine/>
    <w:unhideWhenUsed/>
    <w:qFormat/>
    <w:uiPriority w:val="99"/>
    <w:pPr>
      <w:tabs>
        <w:tab w:val="center" w:pos="4153"/>
        <w:tab w:val="right" w:pos="8306"/>
      </w:tabs>
      <w:snapToGrid w:val="0"/>
      <w:jc w:val="left"/>
    </w:pPr>
    <w:rPr>
      <w:sz w:val="18"/>
      <w:szCs w:val="18"/>
    </w:rPr>
  </w:style>
  <w:style w:type="paragraph" w:styleId="34">
    <w:name w:val="header"/>
    <w:basedOn w:val="1"/>
    <w:link w:val="7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7"/>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40"/>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44"/>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102"/>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next w:val="1"/>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TML Definition"/>
    <w:basedOn w:val="58"/>
    <w:autoRedefine/>
    <w:semiHidden/>
    <w:unhideWhenUsed/>
    <w:qFormat/>
    <w:uiPriority w:val="99"/>
  </w:style>
  <w:style w:type="character" w:styleId="64">
    <w:name w:val="HTML Typewriter"/>
    <w:basedOn w:val="58"/>
    <w:autoRedefine/>
    <w:semiHidden/>
    <w:unhideWhenUsed/>
    <w:qFormat/>
    <w:uiPriority w:val="99"/>
    <w:rPr>
      <w:rFonts w:hint="default" w:ascii="monospace" w:hAnsi="monospace" w:eastAsia="monospace" w:cs="monospace"/>
      <w:sz w:val="20"/>
    </w:rPr>
  </w:style>
  <w:style w:type="character" w:styleId="65">
    <w:name w:val="HTML Acronym"/>
    <w:basedOn w:val="58"/>
    <w:autoRedefine/>
    <w:semiHidden/>
    <w:unhideWhenUsed/>
    <w:qFormat/>
    <w:uiPriority w:val="99"/>
  </w:style>
  <w:style w:type="character" w:styleId="66">
    <w:name w:val="HTML Variable"/>
    <w:basedOn w:val="58"/>
    <w:autoRedefine/>
    <w:semiHidden/>
    <w:unhideWhenUsed/>
    <w:qFormat/>
    <w:uiPriority w:val="99"/>
  </w:style>
  <w:style w:type="character" w:styleId="67">
    <w:name w:val="Hyperlink"/>
    <w:basedOn w:val="58"/>
    <w:autoRedefine/>
    <w:unhideWhenUsed/>
    <w:qFormat/>
    <w:uiPriority w:val="99"/>
    <w:rPr>
      <w:color w:val="0000FF" w:themeColor="hyperlink"/>
      <w:u w:val="single"/>
      <w14:textFill>
        <w14:solidFill>
          <w14:schemeClr w14:val="hlink"/>
        </w14:solidFill>
      </w14:textFill>
    </w:rPr>
  </w:style>
  <w:style w:type="character" w:styleId="68">
    <w:name w:val="HTML Code"/>
    <w:basedOn w:val="58"/>
    <w:autoRedefine/>
    <w:semiHidden/>
    <w:unhideWhenUsed/>
    <w:qFormat/>
    <w:uiPriority w:val="99"/>
    <w:rPr>
      <w:rFonts w:hint="default" w:ascii="monospace" w:hAnsi="monospace" w:eastAsia="monospace" w:cs="monospace"/>
      <w:sz w:val="20"/>
      <w:bdr w:val="single" w:color="D6D6D6" w:sz="6" w:space="0"/>
      <w:shd w:val="clear" w:fill="F9F9F9"/>
    </w:rPr>
  </w:style>
  <w:style w:type="character" w:styleId="69">
    <w:name w:val="annotation reference"/>
    <w:basedOn w:val="58"/>
    <w:autoRedefine/>
    <w:unhideWhenUsed/>
    <w:qFormat/>
    <w:uiPriority w:val="0"/>
    <w:rPr>
      <w:sz w:val="21"/>
      <w:szCs w:val="21"/>
    </w:rPr>
  </w:style>
  <w:style w:type="character" w:styleId="70">
    <w:name w:val="HTML Cite"/>
    <w:basedOn w:val="58"/>
    <w:autoRedefine/>
    <w:semiHidden/>
    <w:unhideWhenUsed/>
    <w:qFormat/>
    <w:uiPriority w:val="99"/>
  </w:style>
  <w:style w:type="character" w:styleId="71">
    <w:name w:val="footnote reference"/>
    <w:autoRedefine/>
    <w:unhideWhenUsed/>
    <w:qFormat/>
    <w:uiPriority w:val="0"/>
    <w:rPr>
      <w:vertAlign w:val="superscript"/>
    </w:rPr>
  </w:style>
  <w:style w:type="character" w:styleId="72">
    <w:name w:val="HTML Keyboard"/>
    <w:basedOn w:val="58"/>
    <w:autoRedefine/>
    <w:semiHidden/>
    <w:unhideWhenUsed/>
    <w:qFormat/>
    <w:uiPriority w:val="99"/>
    <w:rPr>
      <w:rFonts w:hint="default"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character" w:customStyle="1" w:styleId="74">
    <w:name w:val="批注框文本 Char"/>
    <w:basedOn w:val="58"/>
    <w:link w:val="32"/>
    <w:autoRedefine/>
    <w:qFormat/>
    <w:uiPriority w:val="0"/>
    <w:rPr>
      <w:rFonts w:ascii="@仿宋_GB2312" w:hAnsi="@仿宋_GB2312" w:eastAsia="@仿宋_GB2312" w:cs="@仿宋_GB2312"/>
      <w:sz w:val="18"/>
      <w:szCs w:val="18"/>
    </w:rPr>
  </w:style>
  <w:style w:type="paragraph" w:customStyle="1" w:styleId="75">
    <w:name w:val="正文（缩进）"/>
    <w:basedOn w:val="1"/>
    <w:autoRedefine/>
    <w:qFormat/>
    <w:uiPriority w:val="0"/>
    <w:pPr>
      <w:widowControl/>
      <w:spacing w:before="156" w:after="156"/>
      <w:ind w:firstLine="480" w:firstLineChars="200"/>
      <w:jc w:val="left"/>
    </w:pPr>
    <w:rPr>
      <w:sz w:val="24"/>
      <w:szCs w:val="24"/>
    </w:rPr>
  </w:style>
  <w:style w:type="paragraph" w:customStyle="1" w:styleId="76">
    <w:name w:val="xl31"/>
    <w:basedOn w:val="1"/>
    <w:autoRedefine/>
    <w:qFormat/>
    <w:uiPriority w:val="0"/>
    <w:pPr>
      <w:spacing w:line="360" w:lineRule="auto"/>
    </w:pPr>
    <w:rPr>
      <w:rFonts w:cs="宋体"/>
      <w:bCs/>
      <w:sz w:val="24"/>
      <w:szCs w:val="24"/>
    </w:rPr>
  </w:style>
  <w:style w:type="paragraph" w:customStyle="1" w:styleId="77">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8">
    <w:name w:val="页眉 Char"/>
    <w:basedOn w:val="58"/>
    <w:link w:val="34"/>
    <w:autoRedefine/>
    <w:qFormat/>
    <w:uiPriority w:val="99"/>
    <w:rPr>
      <w:rFonts w:ascii="@仿宋_GB2312" w:hAnsi="@仿宋_GB2312" w:eastAsia="@仿宋_GB2312" w:cs="@仿宋_GB2312"/>
      <w:sz w:val="18"/>
      <w:szCs w:val="18"/>
    </w:rPr>
  </w:style>
  <w:style w:type="character" w:customStyle="1" w:styleId="79">
    <w:name w:val="页脚 Char"/>
    <w:basedOn w:val="58"/>
    <w:link w:val="33"/>
    <w:autoRedefine/>
    <w:qFormat/>
    <w:uiPriority w:val="99"/>
    <w:rPr>
      <w:rFonts w:ascii="@仿宋_GB2312" w:hAnsi="@仿宋_GB2312" w:eastAsia="@仿宋_GB2312" w:cs="@仿宋_GB2312"/>
      <w:sz w:val="18"/>
      <w:szCs w:val="18"/>
    </w:rPr>
  </w:style>
  <w:style w:type="character" w:customStyle="1" w:styleId="80">
    <w:name w:val="纯文本 Char"/>
    <w:link w:val="28"/>
    <w:autoRedefine/>
    <w:qFormat/>
    <w:uiPriority w:val="0"/>
    <w:rPr>
      <w:rFonts w:ascii="宋体" w:hAnsi="Courier New"/>
    </w:rPr>
  </w:style>
  <w:style w:type="character" w:customStyle="1" w:styleId="81">
    <w:name w:val="纯文本 字符1"/>
    <w:basedOn w:val="58"/>
    <w:autoRedefine/>
    <w:semiHidden/>
    <w:qFormat/>
    <w:uiPriority w:val="99"/>
    <w:rPr>
      <w:rFonts w:hAnsi="Courier New" w:cs="Courier New" w:asciiTheme="minorEastAsia"/>
      <w:szCs w:val="20"/>
    </w:rPr>
  </w:style>
  <w:style w:type="character" w:customStyle="1" w:styleId="82">
    <w:name w:val="未处理的提及1"/>
    <w:basedOn w:val="58"/>
    <w:autoRedefine/>
    <w:semiHidden/>
    <w:unhideWhenUsed/>
    <w:qFormat/>
    <w:uiPriority w:val="99"/>
    <w:rPr>
      <w:color w:val="605E5C"/>
      <w:shd w:val="clear" w:color="auto" w:fill="E1DFDD"/>
    </w:rPr>
  </w:style>
  <w:style w:type="paragraph" w:styleId="83">
    <w:name w:val="List Paragraph"/>
    <w:basedOn w:val="1"/>
    <w:autoRedefine/>
    <w:qFormat/>
    <w:uiPriority w:val="34"/>
    <w:pPr>
      <w:ind w:firstLine="420" w:firstLineChars="200"/>
    </w:pPr>
  </w:style>
  <w:style w:type="paragraph" w:customStyle="1" w:styleId="84">
    <w:name w:val="Char Char Char Char Char Char Char1 Char"/>
    <w:basedOn w:val="1"/>
    <w:autoRedefine/>
    <w:qFormat/>
    <w:uiPriority w:val="0"/>
    <w:rPr>
      <w:rFonts w:ascii="Arial" w:hAnsi="Arial" w:cs="Arial"/>
      <w:sz w:val="24"/>
    </w:rPr>
  </w:style>
  <w:style w:type="table" w:customStyle="1" w:styleId="85">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6">
    <w:name w:val="日期 字符"/>
    <w:basedOn w:val="58"/>
    <w:autoRedefine/>
    <w:semiHidden/>
    <w:qFormat/>
    <w:uiPriority w:val="99"/>
    <w:rPr>
      <w:rFonts w:ascii="@仿宋_GB2312" w:hAnsi="@仿宋_GB2312" w:eastAsia="@仿宋_GB2312" w:cs="@仿宋_GB2312"/>
      <w:szCs w:val="20"/>
    </w:rPr>
  </w:style>
  <w:style w:type="character" w:customStyle="1" w:styleId="87">
    <w:name w:val="日期 Char"/>
    <w:link w:val="30"/>
    <w:autoRedefine/>
    <w:qFormat/>
    <w:uiPriority w:val="0"/>
    <w:rPr>
      <w:rFonts w:ascii="Arial" w:hAnsi="Arial" w:eastAsia="宋体" w:cs="Arial"/>
      <w:b/>
      <w:sz w:val="28"/>
      <w:szCs w:val="20"/>
    </w:rPr>
  </w:style>
  <w:style w:type="character" w:customStyle="1" w:styleId="88">
    <w:name w:val="纯文本 Char1"/>
    <w:link w:val="89"/>
    <w:autoRedefine/>
    <w:qFormat/>
    <w:locked/>
    <w:uiPriority w:val="99"/>
    <w:rPr>
      <w:rFonts w:ascii="Arial" w:hAnsi="Arial" w:eastAsia="Arial"/>
      <w:kern w:val="2"/>
      <w:sz w:val="21"/>
      <w:lang w:val="en-US" w:eastAsia="zh-CN" w:bidi="ar-SA"/>
    </w:rPr>
  </w:style>
  <w:style w:type="paragraph" w:customStyle="1" w:styleId="89">
    <w:name w:val="纯文本1"/>
    <w:basedOn w:val="1"/>
    <w:link w:val="88"/>
    <w:autoRedefine/>
    <w:qFormat/>
    <w:uiPriority w:val="0"/>
    <w:rPr>
      <w:rFonts w:ascii="Arial" w:hAnsi="Arial" w:eastAsia="Arial"/>
    </w:rPr>
  </w:style>
  <w:style w:type="character" w:customStyle="1" w:styleId="90">
    <w:name w:val="批注文字 Char"/>
    <w:basedOn w:val="58"/>
    <w:autoRedefine/>
    <w:qFormat/>
    <w:uiPriority w:val="0"/>
    <w:rPr>
      <w:rFonts w:ascii="@仿宋_GB2312" w:hAnsi="@仿宋_GB2312" w:eastAsia="@仿宋_GB2312" w:cs="@仿宋_GB2312"/>
      <w:szCs w:val="20"/>
    </w:rPr>
  </w:style>
  <w:style w:type="character" w:customStyle="1" w:styleId="91">
    <w:name w:val="批注文字 Char1"/>
    <w:link w:val="16"/>
    <w:autoRedefine/>
    <w:qFormat/>
    <w:uiPriority w:val="0"/>
    <w:rPr>
      <w:rFonts w:ascii="Arial" w:hAnsi="Arial" w:eastAsia="黑体" w:cs="Arial"/>
      <w:szCs w:val="20"/>
    </w:rPr>
  </w:style>
  <w:style w:type="character" w:customStyle="1" w:styleId="92">
    <w:name w:val="标题 1 Char"/>
    <w:basedOn w:val="58"/>
    <w:link w:val="2"/>
    <w:autoRedefine/>
    <w:qFormat/>
    <w:uiPriority w:val="0"/>
    <w:rPr>
      <w:rFonts w:ascii="@仿宋_GB2312" w:hAnsi="@仿宋_GB2312" w:eastAsia="@仿宋_GB2312" w:cs="@仿宋_GB2312"/>
      <w:b/>
      <w:bCs/>
      <w:kern w:val="44"/>
      <w:sz w:val="44"/>
      <w:szCs w:val="44"/>
    </w:rPr>
  </w:style>
  <w:style w:type="paragraph" w:customStyle="1" w:styleId="9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4">
    <w:name w:val="标题 3 Char"/>
    <w:basedOn w:val="58"/>
    <w:link w:val="4"/>
    <w:autoRedefine/>
    <w:qFormat/>
    <w:uiPriority w:val="0"/>
    <w:rPr>
      <w:rFonts w:asciiTheme="majorEastAsia" w:hAnsiTheme="majorEastAsia" w:eastAsiaTheme="majorEastAsia" w:cstheme="majorEastAsia"/>
      <w:sz w:val="24"/>
      <w:szCs w:val="24"/>
    </w:rPr>
  </w:style>
  <w:style w:type="character" w:customStyle="1" w:styleId="95">
    <w:name w:val="fontstyle01"/>
    <w:basedOn w:val="58"/>
    <w:autoRedefine/>
    <w:qFormat/>
    <w:uiPriority w:val="0"/>
    <w:rPr>
      <w:rFonts w:hint="eastAsia" w:ascii="宋体" w:hAnsi="宋体" w:eastAsia="宋体"/>
      <w:color w:val="000000"/>
      <w:sz w:val="22"/>
      <w:szCs w:val="22"/>
    </w:rPr>
  </w:style>
  <w:style w:type="character" w:customStyle="1" w:styleId="96">
    <w:name w:val="fontstyle21"/>
    <w:basedOn w:val="58"/>
    <w:autoRedefine/>
    <w:qFormat/>
    <w:uiPriority w:val="0"/>
    <w:rPr>
      <w:rFonts w:hint="default" w:ascii="TimesNewRomanPSMT" w:hAnsi="TimesNewRomanPSMT"/>
      <w:color w:val="000000"/>
      <w:sz w:val="22"/>
      <w:szCs w:val="22"/>
    </w:rPr>
  </w:style>
  <w:style w:type="character" w:customStyle="1" w:styleId="9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8">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9">
    <w:name w:val="标题 4 Char"/>
    <w:link w:val="5"/>
    <w:autoRedefine/>
    <w:qFormat/>
    <w:uiPriority w:val="0"/>
    <w:rPr>
      <w:rFonts w:ascii="@仿宋_GB2312" w:hAnsi="@仿宋_GB2312" w:eastAsia="@仿宋_GB2312" w:cs="@仿宋_GB2312"/>
      <w:b/>
      <w:bCs/>
      <w:sz w:val="28"/>
      <w:szCs w:val="28"/>
    </w:rPr>
  </w:style>
  <w:style w:type="character" w:customStyle="1" w:styleId="100">
    <w:name w:val="正文文本 Char"/>
    <w:basedOn w:val="58"/>
    <w:link w:val="19"/>
    <w:autoRedefine/>
    <w:qFormat/>
    <w:uiPriority w:val="0"/>
    <w:rPr>
      <w:rFonts w:ascii="@微软简标宋" w:hAnsi="@微软简标宋" w:eastAsia="@微软简标宋" w:cs="@微软简标宋"/>
      <w:szCs w:val="24"/>
      <w:lang w:val="zh-CN" w:eastAsia="zh-CN"/>
    </w:rPr>
  </w:style>
  <w:style w:type="table" w:customStyle="1" w:styleId="101">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批注主题 Char"/>
    <w:basedOn w:val="91"/>
    <w:link w:val="53"/>
    <w:autoRedefine/>
    <w:qFormat/>
    <w:uiPriority w:val="0"/>
    <w:rPr>
      <w:rFonts w:ascii="Arial" w:hAnsi="Arial" w:eastAsia="黑体" w:cs="Arial"/>
      <w:b/>
      <w:bCs/>
      <w:szCs w:val="20"/>
    </w:rPr>
  </w:style>
  <w:style w:type="paragraph" w:customStyle="1" w:styleId="103">
    <w:name w:val="普通 (Web)"/>
    <w:basedOn w:val="1"/>
    <w:autoRedefine/>
    <w:qFormat/>
    <w:uiPriority w:val="0"/>
    <w:pPr>
      <w:widowControl/>
      <w:tabs>
        <w:tab w:val="left" w:pos="1152"/>
      </w:tabs>
      <w:spacing w:line="360" w:lineRule="auto"/>
      <w:jc w:val="left"/>
    </w:pPr>
    <w:rPr>
      <w:rFonts w:cs="宋体"/>
      <w:b/>
      <w:color w:val="FF0000"/>
      <w:sz w:val="24"/>
      <w:szCs w:val="24"/>
    </w:rPr>
  </w:style>
  <w:style w:type="table" w:customStyle="1" w:styleId="104">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5">
    <w:name w:val="标题 2 Char"/>
    <w:basedOn w:val="58"/>
    <w:link w:val="3"/>
    <w:autoRedefine/>
    <w:qFormat/>
    <w:uiPriority w:val="0"/>
    <w:rPr>
      <w:rFonts w:ascii="Cambria" w:hAnsi="Cambria" w:cs="Times New Roman"/>
      <w:b/>
      <w:bCs/>
      <w:kern w:val="2"/>
      <w:sz w:val="32"/>
      <w:szCs w:val="32"/>
      <w:lang w:val="zh-CN" w:eastAsia="zh-CN"/>
    </w:rPr>
  </w:style>
  <w:style w:type="character" w:customStyle="1" w:styleId="106">
    <w:name w:val="标题 5 Char"/>
    <w:basedOn w:val="58"/>
    <w:link w:val="6"/>
    <w:autoRedefine/>
    <w:qFormat/>
    <w:uiPriority w:val="0"/>
    <w:rPr>
      <w:rFonts w:ascii="Calibri" w:hAnsi="Calibri" w:cs="Times New Roman"/>
      <w:b/>
      <w:bCs/>
      <w:kern w:val="2"/>
      <w:sz w:val="28"/>
      <w:szCs w:val="28"/>
      <w:lang w:val="zh-CN" w:eastAsia="zh-CN"/>
    </w:rPr>
  </w:style>
  <w:style w:type="character" w:customStyle="1" w:styleId="107">
    <w:name w:val="标题 6 Char"/>
    <w:basedOn w:val="58"/>
    <w:link w:val="7"/>
    <w:autoRedefine/>
    <w:qFormat/>
    <w:uiPriority w:val="0"/>
    <w:rPr>
      <w:rFonts w:ascii="Times New Roman" w:hAnsi="Times New Roman" w:cs="Times New Roman"/>
      <w:b/>
      <w:bCs/>
      <w:kern w:val="2"/>
      <w:sz w:val="30"/>
      <w:szCs w:val="18"/>
      <w:lang w:val="zh-CN" w:eastAsia="zh-CN"/>
    </w:rPr>
  </w:style>
  <w:style w:type="character" w:customStyle="1" w:styleId="108">
    <w:name w:val="标题 7 Char"/>
    <w:basedOn w:val="58"/>
    <w:link w:val="8"/>
    <w:autoRedefine/>
    <w:qFormat/>
    <w:uiPriority w:val="0"/>
    <w:rPr>
      <w:rFonts w:ascii="Times New Roman" w:hAnsi="Times New Roman" w:cs="Times New Roman"/>
      <w:b/>
      <w:bCs/>
      <w:kern w:val="2"/>
      <w:sz w:val="30"/>
      <w:szCs w:val="18"/>
      <w:lang w:val="zh-CN" w:eastAsia="zh-CN"/>
    </w:rPr>
  </w:style>
  <w:style w:type="character" w:customStyle="1" w:styleId="109">
    <w:name w:val="标题 8 Char"/>
    <w:basedOn w:val="58"/>
    <w:link w:val="9"/>
    <w:autoRedefine/>
    <w:qFormat/>
    <w:uiPriority w:val="0"/>
    <w:rPr>
      <w:rFonts w:eastAsia="黑体" w:cs="Times New Roman"/>
      <w:kern w:val="2"/>
      <w:sz w:val="32"/>
      <w:szCs w:val="32"/>
      <w:lang w:val="zh-CN" w:eastAsia="zh-CN"/>
    </w:rPr>
  </w:style>
  <w:style w:type="character" w:customStyle="1" w:styleId="110">
    <w:name w:val="标题 9 Char"/>
    <w:basedOn w:val="58"/>
    <w:link w:val="10"/>
    <w:autoRedefine/>
    <w:qFormat/>
    <w:uiPriority w:val="0"/>
    <w:rPr>
      <w:rFonts w:ascii="Cambria" w:hAnsi="Cambria" w:cs="Times New Roman"/>
      <w:kern w:val="2"/>
      <w:sz w:val="21"/>
      <w:szCs w:val="21"/>
      <w:lang w:val="zh-CN" w:eastAsia="zh-CN"/>
    </w:rPr>
  </w:style>
  <w:style w:type="character" w:customStyle="1" w:styleId="111">
    <w:name w:val="纯文本 Char2"/>
    <w:autoRedefine/>
    <w:qFormat/>
    <w:uiPriority w:val="0"/>
    <w:rPr>
      <w:rFonts w:ascii="宋体" w:hAnsi="Courier New"/>
    </w:rPr>
  </w:style>
  <w:style w:type="table" w:customStyle="1" w:styleId="112">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正文文本缩进 Char"/>
    <w:basedOn w:val="58"/>
    <w:link w:val="20"/>
    <w:autoRedefine/>
    <w:qFormat/>
    <w:uiPriority w:val="0"/>
    <w:rPr>
      <w:rFonts w:asciiTheme="minorHAnsi" w:hAnsiTheme="minorHAnsi"/>
      <w:kern w:val="2"/>
      <w:sz w:val="21"/>
      <w:szCs w:val="22"/>
    </w:rPr>
  </w:style>
  <w:style w:type="paragraph" w:customStyle="1" w:styleId="116">
    <w:name w:val="Char"/>
    <w:basedOn w:val="1"/>
    <w:autoRedefine/>
    <w:qFormat/>
    <w:uiPriority w:val="0"/>
    <w:rPr>
      <w:rFonts w:ascii="Tahoma" w:hAnsi="Tahoma" w:cs="Times New Roman"/>
      <w:sz w:val="24"/>
    </w:rPr>
  </w:style>
  <w:style w:type="character" w:customStyle="1" w:styleId="117">
    <w:name w:val="脚注文本 Char"/>
    <w:basedOn w:val="58"/>
    <w:link w:val="42"/>
    <w:autoRedefine/>
    <w:qFormat/>
    <w:uiPriority w:val="0"/>
    <w:rPr>
      <w:rFonts w:ascii="Times New Roman" w:hAnsi="Times New Roman" w:cs="Times New Roman"/>
      <w:kern w:val="2"/>
      <w:sz w:val="18"/>
      <w:szCs w:val="18"/>
      <w:lang w:val="zh-CN" w:eastAsia="zh-CN"/>
    </w:rPr>
  </w:style>
  <w:style w:type="paragraph" w:customStyle="1" w:styleId="118">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kern w:val="2"/>
      <w:szCs w:val="20"/>
      <w:lang w:val="zh-CN"/>
    </w:rPr>
  </w:style>
  <w:style w:type="paragraph" w:customStyle="1" w:styleId="11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1">
    <w:name w:val="称呼 Char"/>
    <w:basedOn w:val="58"/>
    <w:link w:val="17"/>
    <w:autoRedefine/>
    <w:qFormat/>
    <w:uiPriority w:val="0"/>
    <w:rPr>
      <w:rFonts w:ascii="仿宋_GB2312" w:hAnsi="Times New Roman" w:eastAsia="仿宋_GB2312" w:cs="Times New Roman"/>
      <w:kern w:val="2"/>
      <w:sz w:val="28"/>
      <w:lang w:val="zh-CN" w:eastAsia="zh-CN"/>
    </w:rPr>
  </w:style>
  <w:style w:type="paragraph" w:customStyle="1" w:styleId="1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8">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autoRedefine/>
    <w:qFormat/>
    <w:uiPriority w:val="0"/>
    <w:rPr>
      <w:rFonts w:ascii="Tahoma" w:hAnsi="Tahoma" w:cs="Times New Roman"/>
      <w:kern w:val="2"/>
      <w:sz w:val="24"/>
    </w:rPr>
  </w:style>
  <w:style w:type="paragraph" w:customStyle="1" w:styleId="130">
    <w:name w:val="Blockquote"/>
    <w:basedOn w:val="1"/>
    <w:link w:val="131"/>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autoRedefine/>
    <w:qFormat/>
    <w:uiPriority w:val="0"/>
    <w:rPr>
      <w:rFonts w:ascii="Times New Roman" w:hAnsi="Times New Roman" w:cs="Times New Roman"/>
      <w:sz w:val="24"/>
      <w:lang w:val="zh-CN" w:eastAsia="zh-CN"/>
    </w:rPr>
  </w:style>
  <w:style w:type="paragraph" w:customStyle="1" w:styleId="13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33">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34">
    <w:name w:val="tdrownotice1"/>
    <w:autoRedefine/>
    <w:qFormat/>
    <w:uiPriority w:val="0"/>
    <w:rPr>
      <w:sz w:val="22"/>
    </w:rPr>
  </w:style>
  <w:style w:type="paragraph" w:customStyle="1" w:styleId="13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6">
    <w:name w:val="正文文本缩进 3 Char"/>
    <w:basedOn w:val="58"/>
    <w:link w:val="44"/>
    <w:autoRedefine/>
    <w:qFormat/>
    <w:uiPriority w:val="0"/>
    <w:rPr>
      <w:rFonts w:hAnsi="MS Sans Serif" w:cs="Times New Roman"/>
      <w:bCs/>
      <w:color w:val="000000"/>
      <w:sz w:val="24"/>
      <w:lang w:val="zh-CN" w:eastAsia="zh-CN"/>
    </w:rPr>
  </w:style>
  <w:style w:type="character" w:customStyle="1" w:styleId="137">
    <w:name w:val="正文文本缩进 2 Char"/>
    <w:basedOn w:val="58"/>
    <w:link w:val="31"/>
    <w:autoRedefine/>
    <w:qFormat/>
    <w:uiPriority w:val="0"/>
    <w:rPr>
      <w:rFonts w:hAnsi="MS Sans Serif" w:cs="Times New Roman"/>
      <w:bCs/>
      <w:spacing w:val="12"/>
      <w:sz w:val="24"/>
      <w:lang w:val="zh-CN" w:eastAsia="zh-CN"/>
    </w:rPr>
  </w:style>
  <w:style w:type="paragraph" w:customStyle="1" w:styleId="138">
    <w:name w:val="目录"/>
    <w:basedOn w:val="1"/>
    <w:autoRedefine/>
    <w:qFormat/>
    <w:uiPriority w:val="0"/>
    <w:pPr>
      <w:widowControl/>
      <w:jc w:val="center"/>
    </w:pPr>
    <w:rPr>
      <w:rFonts w:hAnsi="Calibri" w:cs="Times New Roman"/>
      <w:b/>
      <w:sz w:val="36"/>
    </w:rPr>
  </w:style>
  <w:style w:type="paragraph" w:customStyle="1" w:styleId="139">
    <w:name w:val="目录文字"/>
    <w:basedOn w:val="1"/>
    <w:autoRedefine/>
    <w:qFormat/>
    <w:uiPriority w:val="0"/>
    <w:pPr>
      <w:widowControl/>
      <w:spacing w:line="480" w:lineRule="auto"/>
      <w:jc w:val="left"/>
    </w:pPr>
    <w:rPr>
      <w:rFonts w:cs="Times New Roman"/>
      <w:sz w:val="24"/>
    </w:rPr>
  </w:style>
  <w:style w:type="character" w:customStyle="1" w:styleId="140">
    <w:name w:val="正文文本 2 Char"/>
    <w:basedOn w:val="58"/>
    <w:link w:val="47"/>
    <w:autoRedefine/>
    <w:qFormat/>
    <w:uiPriority w:val="0"/>
    <w:rPr>
      <w:rFonts w:hAnsi="Times New Roman" w:cs="Times New Roman"/>
      <w:spacing w:val="-20"/>
      <w:kern w:val="2"/>
      <w:sz w:val="28"/>
      <w:lang w:val="zh-CN" w:eastAsia="zh-CN"/>
    </w:rPr>
  </w:style>
  <w:style w:type="character" w:customStyle="1" w:styleId="141">
    <w:name w:val="正文文本 3 Char"/>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4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4">
    <w:name w:val="标题 Char"/>
    <w:basedOn w:val="58"/>
    <w:link w:val="52"/>
    <w:autoRedefine/>
    <w:qFormat/>
    <w:uiPriority w:val="0"/>
    <w:rPr>
      <w:rFonts w:eastAsia="黑体" w:cs="Times New Roman"/>
      <w:b/>
      <w:smallCaps/>
      <w:snapToGrid w:val="0"/>
      <w:kern w:val="2"/>
      <w:sz w:val="44"/>
      <w:szCs w:val="24"/>
      <w:lang w:val="zh-CN" w:eastAsia="zh-CN"/>
    </w:rPr>
  </w:style>
  <w:style w:type="paragraph" w:customStyle="1" w:styleId="145">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7">
    <w:name w:val="简单回函地址"/>
    <w:basedOn w:val="1"/>
    <w:autoRedefine/>
    <w:qFormat/>
    <w:uiPriority w:val="0"/>
    <w:rPr>
      <w:rFonts w:ascii="Calibri" w:hAnsi="Calibri" w:cs="Times New Roman"/>
      <w:kern w:val="2"/>
      <w:sz w:val="21"/>
      <w:szCs w:val="22"/>
    </w:rPr>
  </w:style>
  <w:style w:type="paragraph" w:customStyle="1" w:styleId="14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50">
    <w:name w:val="t_tag"/>
    <w:basedOn w:val="58"/>
    <w:autoRedefine/>
    <w:qFormat/>
    <w:uiPriority w:val="0"/>
  </w:style>
  <w:style w:type="table" w:customStyle="1" w:styleId="151">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2">
    <w:name w:val="批注框文本 Char1"/>
    <w:basedOn w:val="58"/>
    <w:autoRedefine/>
    <w:qFormat/>
    <w:uiPriority w:val="0"/>
    <w:rPr>
      <w:rFonts w:ascii="Times New Roman" w:hAnsi="Times New Roman" w:eastAsia="宋体" w:cs="Times New Roman"/>
      <w:sz w:val="18"/>
      <w:szCs w:val="18"/>
    </w:rPr>
  </w:style>
  <w:style w:type="character" w:customStyle="1" w:styleId="153">
    <w:name w:val="批注主题 Char1"/>
    <w:basedOn w:val="91"/>
    <w:autoRedefine/>
    <w:qFormat/>
    <w:uiPriority w:val="0"/>
    <w:rPr>
      <w:rFonts w:ascii="@仿宋_GB2312" w:hAnsi="@仿宋_GB2312" w:eastAsia="@仿宋_GB2312" w:cs="@仿宋_GB2312"/>
      <w:b/>
      <w:bCs/>
      <w:szCs w:val="20"/>
    </w:rPr>
  </w:style>
  <w:style w:type="paragraph" w:customStyle="1" w:styleId="15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5">
    <w:name w:val="文档结构图 Char"/>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6">
    <w:name w:val="标题 1 Char1"/>
    <w:autoRedefine/>
    <w:qFormat/>
    <w:uiPriority w:val="0"/>
    <w:rPr>
      <w:rFonts w:ascii="Calibri" w:hAnsi="Calibri" w:eastAsia="宋体"/>
      <w:b/>
      <w:kern w:val="44"/>
      <w:sz w:val="44"/>
      <w:szCs w:val="44"/>
    </w:rPr>
  </w:style>
  <w:style w:type="character" w:customStyle="1" w:styleId="157">
    <w:name w:val="标题 3 Char1"/>
    <w:autoRedefine/>
    <w:semiHidden/>
    <w:qFormat/>
    <w:uiPriority w:val="0"/>
    <w:rPr>
      <w:rFonts w:ascii="Calibri" w:hAnsi="Calibri" w:eastAsia="宋体"/>
      <w:b/>
      <w:kern w:val="2"/>
      <w:sz w:val="32"/>
    </w:rPr>
  </w:style>
  <w:style w:type="character" w:customStyle="1" w:styleId="158">
    <w:name w:val="标题 4 Char1"/>
    <w:autoRedefine/>
    <w:semiHidden/>
    <w:qFormat/>
    <w:uiPriority w:val="0"/>
    <w:rPr>
      <w:rFonts w:ascii="Cambria" w:hAnsi="Cambria" w:eastAsia="宋体"/>
      <w:b/>
      <w:kern w:val="2"/>
      <w:sz w:val="28"/>
      <w:szCs w:val="28"/>
    </w:rPr>
  </w:style>
  <w:style w:type="character" w:customStyle="1" w:styleId="159">
    <w:name w:val="标题 5 Char1"/>
    <w:autoRedefine/>
    <w:semiHidden/>
    <w:qFormat/>
    <w:uiPriority w:val="0"/>
    <w:rPr>
      <w:rFonts w:ascii="Calibri" w:hAnsi="Calibri" w:eastAsia="宋体"/>
      <w:b/>
      <w:kern w:val="2"/>
      <w:sz w:val="28"/>
      <w:szCs w:val="28"/>
    </w:rPr>
  </w:style>
  <w:style w:type="character" w:customStyle="1" w:styleId="160">
    <w:name w:val="标题 6 Char1"/>
    <w:autoRedefine/>
    <w:semiHidden/>
    <w:qFormat/>
    <w:uiPriority w:val="0"/>
    <w:rPr>
      <w:rFonts w:ascii="Cambria" w:hAnsi="Cambria" w:eastAsia="宋体"/>
      <w:b/>
      <w:kern w:val="2"/>
      <w:sz w:val="24"/>
      <w:szCs w:val="24"/>
    </w:rPr>
  </w:style>
  <w:style w:type="character" w:customStyle="1" w:styleId="161">
    <w:name w:val="标题 7 Char1"/>
    <w:autoRedefine/>
    <w:semiHidden/>
    <w:qFormat/>
    <w:uiPriority w:val="0"/>
    <w:rPr>
      <w:rFonts w:ascii="Calibri" w:hAnsi="Calibri" w:eastAsia="宋体"/>
      <w:b/>
      <w:kern w:val="2"/>
      <w:sz w:val="24"/>
      <w:szCs w:val="24"/>
    </w:rPr>
  </w:style>
  <w:style w:type="character" w:customStyle="1" w:styleId="162">
    <w:name w:val="标题 8 Char1"/>
    <w:autoRedefine/>
    <w:semiHidden/>
    <w:qFormat/>
    <w:uiPriority w:val="0"/>
    <w:rPr>
      <w:rFonts w:ascii="Cambria" w:hAnsi="Cambria" w:eastAsia="宋体"/>
      <w:kern w:val="2"/>
      <w:sz w:val="24"/>
      <w:szCs w:val="24"/>
    </w:rPr>
  </w:style>
  <w:style w:type="character" w:customStyle="1" w:styleId="163">
    <w:name w:val="标题 9 Char1"/>
    <w:autoRedefine/>
    <w:semiHidden/>
    <w:qFormat/>
    <w:uiPriority w:val="0"/>
    <w:rPr>
      <w:rFonts w:ascii="Cambria" w:hAnsi="Cambria" w:eastAsia="宋体"/>
      <w:kern w:val="2"/>
      <w:sz w:val="21"/>
      <w:szCs w:val="21"/>
    </w:rPr>
  </w:style>
  <w:style w:type="paragraph" w:customStyle="1" w:styleId="164">
    <w:name w:val="MsoNormal"/>
    <w:basedOn w:val="165"/>
    <w:autoRedefine/>
    <w:qFormat/>
    <w:uiPriority w:val="0"/>
    <w:rPr>
      <w:rFonts w:ascii="Calibri" w:hAnsi="Calibri" w:eastAsia="Calibri"/>
      <w:sz w:val="21"/>
    </w:rPr>
  </w:style>
  <w:style w:type="paragraph" w:customStyle="1" w:styleId="165">
    <w:name w:val="Normal_0"/>
    <w:autoRedefine/>
    <w:qFormat/>
    <w:uiPriority w:val="0"/>
    <w:rPr>
      <w:rFonts w:ascii="Times New Roman" w:hAnsi="Times New Roman" w:eastAsia="宋体" w:cs="Times New Roman"/>
      <w:sz w:val="24"/>
      <w:szCs w:val="24"/>
      <w:lang w:val="en-US" w:eastAsia="zh-CN" w:bidi="ar-SA"/>
    </w:rPr>
  </w:style>
  <w:style w:type="paragraph" w:customStyle="1" w:styleId="166">
    <w:name w:val="标题 2_0"/>
    <w:basedOn w:val="167"/>
    <w:next w:val="168"/>
    <w:link w:val="16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标题 2 Char_0"/>
    <w:link w:val="166"/>
    <w:autoRedefine/>
    <w:qFormat/>
    <w:uiPriority w:val="0"/>
    <w:rPr>
      <w:rFonts w:ascii="黑体" w:eastAsia="黑体" w:cs="Times New Roman"/>
      <w:b/>
      <w:smallCaps/>
      <w:snapToGrid w:val="0"/>
      <w:sz w:val="36"/>
      <w:szCs w:val="24"/>
      <w:lang w:val="zh-CN" w:eastAsia="zh-CN"/>
    </w:rPr>
  </w:style>
  <w:style w:type="paragraph" w:customStyle="1" w:styleId="170">
    <w:name w:val="纯文本_0"/>
    <w:basedOn w:val="168"/>
    <w:link w:val="171"/>
    <w:autoRedefine/>
    <w:qFormat/>
    <w:uiPriority w:val="99"/>
    <w:rPr>
      <w:rFonts w:ascii="宋体" w:hAnsi="Courier New"/>
      <w:szCs w:val="21"/>
    </w:rPr>
  </w:style>
  <w:style w:type="character" w:customStyle="1" w:styleId="171">
    <w:name w:val="Texte Char1"/>
    <w:link w:val="170"/>
    <w:autoRedefine/>
    <w:qFormat/>
    <w:uiPriority w:val="99"/>
    <w:rPr>
      <w:rFonts w:hAnsi="Courier New" w:cs="Times New Roman"/>
      <w:kern w:val="2"/>
      <w:sz w:val="21"/>
      <w:szCs w:val="21"/>
    </w:rPr>
  </w:style>
  <w:style w:type="paragraph" w:customStyle="1" w:styleId="172">
    <w:name w:val="纯文本_1"/>
    <w:basedOn w:val="173"/>
    <w:link w:val="174"/>
    <w:autoRedefine/>
    <w:qFormat/>
    <w:uiPriority w:val="0"/>
    <w:rPr>
      <w:rFonts w:ascii="宋体" w:hAnsi="Courier New"/>
      <w:szCs w:val="21"/>
      <w:lang w:val="zh-CN"/>
    </w:rPr>
  </w:style>
  <w:style w:type="paragraph" w:customStyle="1" w:styleId="17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4">
    <w:name w:val="纯文本 Char1_0"/>
    <w:link w:val="172"/>
    <w:autoRedefine/>
    <w:qFormat/>
    <w:uiPriority w:val="0"/>
    <w:rPr>
      <w:rFonts w:hAnsi="Courier New" w:cs="Times New Roman"/>
      <w:kern w:val="2"/>
      <w:sz w:val="21"/>
      <w:szCs w:val="21"/>
      <w:lang w:val="zh-CN" w:eastAsia="zh-CN"/>
    </w:rPr>
  </w:style>
  <w:style w:type="paragraph" w:customStyle="1" w:styleId="175">
    <w:name w:val="标题 3_0"/>
    <w:basedOn w:val="176"/>
    <w:next w:val="177"/>
    <w:link w:val="18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缩进_0"/>
    <w:basedOn w:val="176"/>
    <w:autoRedefine/>
    <w:unhideWhenUsed/>
    <w:qFormat/>
    <w:uiPriority w:val="0"/>
    <w:pPr>
      <w:ind w:firstLine="420" w:firstLineChars="200"/>
    </w:pPr>
    <w:rPr>
      <w:rFonts w:ascii="Calibri" w:hAnsi="Calibri"/>
      <w:bCs/>
      <w:szCs w:val="32"/>
    </w:rPr>
  </w:style>
  <w:style w:type="paragraph" w:customStyle="1" w:styleId="178">
    <w:name w:val="标题 1_0"/>
    <w:basedOn w:val="176"/>
    <w:next w:val="176"/>
    <w:link w:val="17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9">
    <w:name w:val="标题 1 Char_0"/>
    <w:link w:val="178"/>
    <w:autoRedefine/>
    <w:qFormat/>
    <w:uiPriority w:val="0"/>
    <w:rPr>
      <w:rFonts w:ascii="黑体" w:hAnsi="Times New Roman" w:eastAsia="黑体" w:cs="Times New Roman"/>
      <w:sz w:val="52"/>
      <w:lang w:val="zh-CN" w:eastAsia="zh-CN"/>
    </w:rPr>
  </w:style>
  <w:style w:type="paragraph" w:customStyle="1" w:styleId="180">
    <w:name w:val="标题 6_0"/>
    <w:basedOn w:val="176"/>
    <w:next w:val="176"/>
    <w:link w:val="18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1">
    <w:name w:val="标题 6 Char_0"/>
    <w:link w:val="180"/>
    <w:autoRedefine/>
    <w:qFormat/>
    <w:uiPriority w:val="0"/>
    <w:rPr>
      <w:rFonts w:ascii="Arial" w:hAnsi="Arial" w:eastAsia="黑体" w:cs="Times New Roman"/>
      <w:b/>
      <w:bCs/>
      <w:sz w:val="24"/>
      <w:szCs w:val="24"/>
      <w:lang w:val="zh-CN" w:eastAsia="zh-CN"/>
    </w:rPr>
  </w:style>
  <w:style w:type="paragraph" w:customStyle="1" w:styleId="182">
    <w:name w:val="标题 7_0"/>
    <w:basedOn w:val="176"/>
    <w:next w:val="176"/>
    <w:link w:val="18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3">
    <w:name w:val="标题 7 Char_0"/>
    <w:link w:val="182"/>
    <w:autoRedefine/>
    <w:qFormat/>
    <w:uiPriority w:val="0"/>
    <w:rPr>
      <w:rFonts w:ascii="Times New Roman" w:hAnsi="Times New Roman" w:cs="Times New Roman"/>
      <w:b/>
      <w:bCs/>
      <w:sz w:val="24"/>
      <w:szCs w:val="24"/>
      <w:lang w:val="zh-CN" w:eastAsia="zh-CN"/>
    </w:rPr>
  </w:style>
  <w:style w:type="paragraph" w:customStyle="1" w:styleId="184">
    <w:name w:val="标题 8_0"/>
    <w:basedOn w:val="176"/>
    <w:next w:val="176"/>
    <w:link w:val="18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5">
    <w:name w:val="标题 8 Char_0"/>
    <w:link w:val="184"/>
    <w:autoRedefine/>
    <w:qFormat/>
    <w:uiPriority w:val="0"/>
    <w:rPr>
      <w:rFonts w:ascii="Arial" w:hAnsi="Arial" w:eastAsia="黑体" w:cs="Times New Roman"/>
      <w:sz w:val="24"/>
      <w:szCs w:val="24"/>
      <w:lang w:val="zh-CN" w:eastAsia="zh-CN"/>
    </w:rPr>
  </w:style>
  <w:style w:type="paragraph" w:customStyle="1" w:styleId="186">
    <w:name w:val="标题 9_0"/>
    <w:basedOn w:val="176"/>
    <w:next w:val="176"/>
    <w:link w:val="18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7">
    <w:name w:val="标题 9 Char_0"/>
    <w:link w:val="186"/>
    <w:autoRedefine/>
    <w:qFormat/>
    <w:uiPriority w:val="0"/>
    <w:rPr>
      <w:rFonts w:ascii="Arial" w:hAnsi="Arial" w:eastAsia="黑体" w:cs="Times New Roman"/>
      <w:sz w:val="21"/>
      <w:szCs w:val="21"/>
      <w:lang w:val="zh-CN" w:eastAsia="zh-CN"/>
    </w:rPr>
  </w:style>
  <w:style w:type="character" w:customStyle="1" w:styleId="188">
    <w:name w:val="标题 3 Char_0"/>
    <w:link w:val="175"/>
    <w:autoRedefine/>
    <w:qFormat/>
    <w:uiPriority w:val="0"/>
    <w:rPr>
      <w:rFonts w:ascii="Times New Roman" w:hAnsi="Times New Roman" w:cs="Times New Roman"/>
      <w:b/>
      <w:sz w:val="32"/>
      <w:lang w:val="zh-CN" w:eastAsia="zh-CN"/>
    </w:rPr>
  </w:style>
  <w:style w:type="paragraph" w:customStyle="1" w:styleId="189">
    <w:name w:val="Blockquote_0"/>
    <w:basedOn w:val="176"/>
    <w:link w:val="19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90">
    <w:name w:val="Blockquote Char_0"/>
    <w:link w:val="189"/>
    <w:autoRedefine/>
    <w:qFormat/>
    <w:locked/>
    <w:uiPriority w:val="0"/>
    <w:rPr>
      <w:rFonts w:ascii="Times New Roman" w:hAnsi="Times New Roman" w:cs="Times New Roman"/>
      <w:sz w:val="24"/>
      <w:lang w:val="zh-CN" w:eastAsia="zh-CN"/>
    </w:rPr>
  </w:style>
  <w:style w:type="paragraph" w:customStyle="1" w:styleId="191">
    <w:name w:val="标题 4_0"/>
    <w:basedOn w:val="176"/>
    <w:next w:val="176"/>
    <w:link w:val="19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2">
    <w:name w:val="标题 4 Char_0"/>
    <w:link w:val="191"/>
    <w:autoRedefine/>
    <w:qFormat/>
    <w:uiPriority w:val="0"/>
    <w:rPr>
      <w:rFonts w:ascii="Arial" w:hAnsi="Arial" w:eastAsia="黑体" w:cs="Times New Roman"/>
      <w:sz w:val="28"/>
      <w:lang w:val="zh-CN" w:eastAsia="zh-CN"/>
    </w:rPr>
  </w:style>
  <w:style w:type="paragraph" w:customStyle="1" w:styleId="193">
    <w:name w:val="纯文本_2"/>
    <w:basedOn w:val="176"/>
    <w:link w:val="194"/>
    <w:autoRedefine/>
    <w:qFormat/>
    <w:uiPriority w:val="0"/>
    <w:rPr>
      <w:rFonts w:ascii="宋体" w:hAnsi="Courier New"/>
      <w:szCs w:val="21"/>
      <w:lang w:val="zh-CN"/>
    </w:rPr>
  </w:style>
  <w:style w:type="character" w:customStyle="1" w:styleId="194">
    <w:name w:val="纯文本 Char1_1"/>
    <w:link w:val="193"/>
    <w:autoRedefine/>
    <w:qFormat/>
    <w:uiPriority w:val="0"/>
    <w:rPr>
      <w:rFonts w:hAnsi="Courier New" w:cs="Times New Roman"/>
      <w:kern w:val="2"/>
      <w:sz w:val="21"/>
      <w:szCs w:val="21"/>
      <w:lang w:val="zh-CN" w:eastAsia="zh-CN"/>
    </w:rPr>
  </w:style>
  <w:style w:type="paragraph" w:customStyle="1" w:styleId="195">
    <w:name w:val="Blockquote_0_1"/>
    <w:basedOn w:val="196"/>
    <w:link w:val="19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7">
    <w:name w:val="Blockquote Char_0_1"/>
    <w:link w:val="195"/>
    <w:autoRedefine/>
    <w:qFormat/>
    <w:locked/>
    <w:uiPriority w:val="0"/>
    <w:rPr>
      <w:rFonts w:ascii="Times New Roman" w:hAnsi="Times New Roman" w:cs="Times New Roman"/>
      <w:sz w:val="24"/>
      <w:lang w:val="zh-CN" w:eastAsia="zh-CN"/>
    </w:rPr>
  </w:style>
  <w:style w:type="paragraph" w:customStyle="1" w:styleId="198">
    <w:name w:val="正文文本_0"/>
    <w:basedOn w:val="176"/>
    <w:link w:val="199"/>
    <w:autoRedefine/>
    <w:qFormat/>
    <w:uiPriority w:val="0"/>
    <w:pPr>
      <w:spacing w:after="120"/>
    </w:pPr>
    <w:rPr>
      <w:lang w:val="zh-CN"/>
    </w:rPr>
  </w:style>
  <w:style w:type="character" w:customStyle="1" w:styleId="199">
    <w:name w:val="正文文本 Char_0"/>
    <w:link w:val="198"/>
    <w:autoRedefine/>
    <w:qFormat/>
    <w:uiPriority w:val="0"/>
    <w:rPr>
      <w:rFonts w:ascii="Times New Roman" w:hAnsi="Times New Roman" w:cs="Times New Roman"/>
      <w:kern w:val="2"/>
      <w:sz w:val="21"/>
      <w:szCs w:val="24"/>
      <w:lang w:val="zh-CN" w:eastAsia="zh-CN"/>
    </w:rPr>
  </w:style>
  <w:style w:type="paragraph" w:customStyle="1" w:styleId="200">
    <w:name w:val="普通(网站)_0"/>
    <w:basedOn w:val="176"/>
    <w:autoRedefine/>
    <w:qFormat/>
    <w:uiPriority w:val="0"/>
    <w:pPr>
      <w:widowControl/>
      <w:spacing w:before="100" w:beforeAutospacing="1" w:after="100" w:afterAutospacing="1"/>
      <w:jc w:val="left"/>
    </w:pPr>
    <w:rPr>
      <w:rFonts w:ascii="宋体" w:hAnsi="宋体"/>
      <w:kern w:val="0"/>
      <w:sz w:val="24"/>
    </w:rPr>
  </w:style>
  <w:style w:type="paragraph" w:customStyle="1" w:styleId="20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脚注文本_0"/>
    <w:basedOn w:val="124"/>
    <w:link w:val="20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4">
    <w:name w:val="脚注文本 Char_0"/>
    <w:link w:val="203"/>
    <w:autoRedefine/>
    <w:qFormat/>
    <w:uiPriority w:val="0"/>
    <w:rPr>
      <w:rFonts w:ascii="Times New Roman" w:hAnsi="Times New Roman" w:cs="Times New Roman"/>
      <w:sz w:val="18"/>
      <w:lang w:val="zh-CN" w:eastAsia="zh-CN"/>
    </w:rPr>
  </w:style>
  <w:style w:type="paragraph" w:customStyle="1" w:styleId="20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1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7">
    <w:name w:val="Char Char Char Char Char"/>
    <w:basedOn w:val="1"/>
    <w:autoRedefine/>
    <w:qFormat/>
    <w:uiPriority w:val="0"/>
    <w:rPr>
      <w:rFonts w:ascii="Tahoma" w:hAnsi="Tahoma" w:cs="Times New Roman"/>
      <w:kern w:val="2"/>
      <w:sz w:val="24"/>
    </w:rPr>
  </w:style>
  <w:style w:type="paragraph" w:customStyle="1" w:styleId="228">
    <w:name w:val="范本目录"/>
    <w:basedOn w:val="1"/>
    <w:autoRedefine/>
    <w:qFormat/>
    <w:uiPriority w:val="0"/>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229">
    <w:name w:val="副标题 Char"/>
    <w:basedOn w:val="58"/>
    <w:link w:val="40"/>
    <w:autoRedefine/>
    <w:qFormat/>
    <w:uiPriority w:val="0"/>
    <w:rPr>
      <w:rFonts w:ascii="Arial" w:hAnsi="Arial" w:cs="Times New Roman"/>
      <w:b/>
      <w:bCs/>
      <w:kern w:val="28"/>
      <w:sz w:val="32"/>
      <w:szCs w:val="32"/>
      <w:lang w:val="zh-CN" w:eastAsia="zh-CN"/>
    </w:rPr>
  </w:style>
  <w:style w:type="character" w:customStyle="1" w:styleId="230">
    <w:name w:val="Char Char"/>
    <w:autoRedefine/>
    <w:qFormat/>
    <w:uiPriority w:val="0"/>
    <w:rPr>
      <w:rFonts w:ascii="宋体" w:hAnsi="Courier New" w:eastAsia="宋体" w:cs="Courier New"/>
      <w:kern w:val="2"/>
      <w:sz w:val="21"/>
      <w:szCs w:val="21"/>
      <w:lang w:val="en-US" w:eastAsia="zh-CN" w:bidi="ar-SA"/>
    </w:rPr>
  </w:style>
  <w:style w:type="character" w:customStyle="1" w:styleId="231">
    <w:name w:val="标题4 Char Char"/>
    <w:link w:val="232"/>
    <w:autoRedefine/>
    <w:qFormat/>
    <w:uiPriority w:val="0"/>
    <w:rPr>
      <w:rFonts w:ascii="Arial" w:hAnsi="Arial"/>
      <w:b/>
      <w:bCs/>
      <w:sz w:val="24"/>
      <w:szCs w:val="32"/>
    </w:rPr>
  </w:style>
  <w:style w:type="paragraph" w:customStyle="1" w:styleId="232">
    <w:name w:val="标题4"/>
    <w:basedOn w:val="3"/>
    <w:next w:val="25"/>
    <w:link w:val="231"/>
    <w:autoRedefine/>
    <w:qFormat/>
    <w:uiPriority w:val="0"/>
    <w:pPr>
      <w:spacing w:before="0" w:after="0" w:line="413" w:lineRule="auto"/>
    </w:pPr>
    <w:rPr>
      <w:rFonts w:ascii="Arial" w:hAnsi="Arial" w:cstheme="minorBidi"/>
      <w:kern w:val="0"/>
      <w:sz w:val="24"/>
      <w:lang w:val="en-US"/>
    </w:rPr>
  </w:style>
  <w:style w:type="character" w:customStyle="1" w:styleId="233">
    <w:name w:val="明显引用 Char"/>
    <w:link w:val="234"/>
    <w:autoRedefine/>
    <w:qFormat/>
    <w:uiPriority w:val="0"/>
    <w:rPr>
      <w:b/>
      <w:bCs/>
      <w:i/>
      <w:iCs/>
      <w:color w:val="4F81BD"/>
    </w:rPr>
  </w:style>
  <w:style w:type="paragraph" w:styleId="234">
    <w:name w:val="Intense Quote"/>
    <w:basedOn w:val="1"/>
    <w:next w:val="1"/>
    <w:link w:val="233"/>
    <w:autoRedefine/>
    <w:qFormat/>
    <w:uiPriority w:val="0"/>
    <w:pPr>
      <w:pBdr>
        <w:bottom w:val="single" w:color="4F81BD" w:themeColor="accent1" w:sz="4" w:space="4"/>
      </w:pBdr>
      <w:spacing w:before="200" w:after="280"/>
      <w:ind w:left="936" w:right="936"/>
    </w:pPr>
    <w:rPr>
      <w:b/>
      <w:bCs/>
      <w:i/>
      <w:iCs/>
      <w:color w:val="4F81BD"/>
    </w:rPr>
  </w:style>
  <w:style w:type="paragraph" w:customStyle="1" w:styleId="23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6">
    <w:name w:val="明显引用 Char1"/>
    <w:basedOn w:val="58"/>
    <w:autoRedefine/>
    <w:qFormat/>
    <w:uiPriority w:val="30"/>
    <w:rPr>
      <w:rFonts w:ascii="Times New Roman" w:hAnsi="Times New Roman" w:eastAsia="宋体" w:cs="Times New Roman"/>
      <w:i/>
      <w:iCs/>
      <w:color w:val="5B9BD5"/>
      <w:szCs w:val="24"/>
    </w:rPr>
  </w:style>
  <w:style w:type="character" w:customStyle="1" w:styleId="237">
    <w:name w:val="标题5 Char Char"/>
    <w:link w:val="238"/>
    <w:autoRedefine/>
    <w:qFormat/>
    <w:uiPriority w:val="0"/>
    <w:rPr>
      <w:rFonts w:ascii="Arial" w:hAnsi="Arial"/>
      <w:b/>
      <w:bCs/>
      <w:sz w:val="24"/>
      <w:szCs w:val="32"/>
    </w:rPr>
  </w:style>
  <w:style w:type="paragraph" w:customStyle="1" w:styleId="238">
    <w:name w:val="标题5"/>
    <w:basedOn w:val="4"/>
    <w:link w:val="237"/>
    <w:autoRedefine/>
    <w:qFormat/>
    <w:uiPriority w:val="0"/>
    <w:pPr>
      <w:spacing w:line="413" w:lineRule="auto"/>
      <w:jc w:val="left"/>
    </w:pPr>
    <w:rPr>
      <w:rFonts w:ascii="Arial" w:hAnsi="Arial"/>
    </w:rPr>
  </w:style>
  <w:style w:type="character" w:customStyle="1" w:styleId="239">
    <w:name w:val="引用 Char"/>
    <w:link w:val="240"/>
    <w:autoRedefine/>
    <w:qFormat/>
    <w:uiPriority w:val="0"/>
    <w:rPr>
      <w:i/>
      <w:iCs/>
      <w:color w:val="000000"/>
    </w:rPr>
  </w:style>
  <w:style w:type="paragraph" w:styleId="240">
    <w:name w:val="Quote"/>
    <w:basedOn w:val="1"/>
    <w:next w:val="1"/>
    <w:link w:val="239"/>
    <w:autoRedefine/>
    <w:qFormat/>
    <w:uiPriority w:val="0"/>
    <w:rPr>
      <w:i/>
      <w:iCs/>
      <w:color w:val="000000"/>
    </w:rPr>
  </w:style>
  <w:style w:type="paragraph" w:customStyle="1" w:styleId="241">
    <w:name w:val="引用1"/>
    <w:basedOn w:val="1"/>
    <w:next w:val="1"/>
    <w:autoRedefine/>
    <w:qFormat/>
    <w:uiPriority w:val="0"/>
    <w:rPr>
      <w:rFonts w:ascii="Calibri" w:hAnsi="Calibri" w:cs="Times New Roman"/>
      <w:i/>
      <w:iCs/>
      <w:color w:val="000000"/>
      <w:kern w:val="2"/>
      <w:sz w:val="21"/>
      <w:szCs w:val="22"/>
    </w:rPr>
  </w:style>
  <w:style w:type="character" w:customStyle="1" w:styleId="242">
    <w:name w:val="引用 Char1"/>
    <w:basedOn w:val="58"/>
    <w:autoRedefine/>
    <w:qFormat/>
    <w:uiPriority w:val="29"/>
    <w:rPr>
      <w:rFonts w:ascii="Times New Roman" w:hAnsi="Times New Roman" w:eastAsia="宋体" w:cs="Times New Roman"/>
      <w:i/>
      <w:iCs/>
      <w:color w:val="404040"/>
      <w:szCs w:val="24"/>
    </w:rPr>
  </w:style>
  <w:style w:type="character" w:customStyle="1" w:styleId="243">
    <w:name w:val="ask-title2"/>
    <w:autoRedefine/>
    <w:qFormat/>
    <w:uiPriority w:val="0"/>
  </w:style>
  <w:style w:type="character" w:customStyle="1" w:styleId="244">
    <w:name w:val="正文文本 Char1"/>
    <w:autoRedefine/>
    <w:qFormat/>
    <w:uiPriority w:val="0"/>
    <w:rPr>
      <w:kern w:val="2"/>
      <w:sz w:val="21"/>
      <w:szCs w:val="22"/>
    </w:rPr>
  </w:style>
  <w:style w:type="character" w:customStyle="1" w:styleId="245">
    <w:name w:val="不明显强调1"/>
    <w:autoRedefine/>
    <w:qFormat/>
    <w:uiPriority w:val="0"/>
    <w:rPr>
      <w:i/>
      <w:iCs/>
      <w:color w:val="808080"/>
    </w:rPr>
  </w:style>
  <w:style w:type="character" w:customStyle="1" w:styleId="246">
    <w:name w:val="明显参考1"/>
    <w:autoRedefine/>
    <w:qFormat/>
    <w:uiPriority w:val="0"/>
    <w:rPr>
      <w:b/>
      <w:bCs/>
      <w:smallCaps/>
      <w:color w:val="C0504D"/>
      <w:spacing w:val="5"/>
      <w:u w:val="single"/>
    </w:rPr>
  </w:style>
  <w:style w:type="character" w:customStyle="1" w:styleId="247">
    <w:name w:val="书籍标题1"/>
    <w:autoRedefine/>
    <w:qFormat/>
    <w:uiPriority w:val="0"/>
    <w:rPr>
      <w:b/>
      <w:bCs/>
      <w:smallCaps/>
      <w:spacing w:val="5"/>
    </w:rPr>
  </w:style>
  <w:style w:type="character" w:customStyle="1" w:styleId="248">
    <w:name w:val="日期 Char1"/>
    <w:autoRedefine/>
    <w:qFormat/>
    <w:uiPriority w:val="0"/>
    <w:rPr>
      <w:kern w:val="2"/>
      <w:sz w:val="21"/>
      <w:szCs w:val="22"/>
    </w:rPr>
  </w:style>
  <w:style w:type="character" w:customStyle="1" w:styleId="249">
    <w:name w:val="明显强调1"/>
    <w:autoRedefine/>
    <w:qFormat/>
    <w:uiPriority w:val="0"/>
    <w:rPr>
      <w:b/>
      <w:bCs/>
      <w:i/>
      <w:iCs/>
      <w:color w:val="4F81BD"/>
    </w:rPr>
  </w:style>
  <w:style w:type="character" w:customStyle="1" w:styleId="250">
    <w:name w:val="textcontents"/>
    <w:autoRedefine/>
    <w:qFormat/>
    <w:uiPriority w:val="0"/>
    <w:rPr>
      <w:rFonts w:cs="Times New Roman"/>
    </w:rPr>
  </w:style>
  <w:style w:type="character" w:customStyle="1" w:styleId="251">
    <w:name w:val="不明显参考1"/>
    <w:autoRedefine/>
    <w:qFormat/>
    <w:uiPriority w:val="0"/>
    <w:rPr>
      <w:smallCaps/>
      <w:color w:val="C0504D"/>
      <w:u w:val="single"/>
    </w:rPr>
  </w:style>
  <w:style w:type="character" w:customStyle="1" w:styleId="252">
    <w:name w:val="批注文字 Char Char"/>
    <w:autoRedefine/>
    <w:qFormat/>
    <w:uiPriority w:val="0"/>
    <w:rPr>
      <w:rFonts w:ascii="宋体" w:hAnsi="Times New Roman" w:eastAsia="宋体" w:cs="Times New Roman"/>
      <w:sz w:val="28"/>
      <w:szCs w:val="20"/>
    </w:rPr>
  </w:style>
  <w:style w:type="character" w:customStyle="1" w:styleId="253">
    <w:name w:val="文档结构图 Char1"/>
    <w:autoRedefine/>
    <w:qFormat/>
    <w:uiPriority w:val="0"/>
    <w:rPr>
      <w:rFonts w:ascii="宋体"/>
      <w:kern w:val="2"/>
      <w:sz w:val="18"/>
      <w:szCs w:val="18"/>
    </w:rPr>
  </w:style>
  <w:style w:type="paragraph" w:customStyle="1" w:styleId="25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5">
    <w:name w:val="页脚 Char1"/>
    <w:autoRedefine/>
    <w:semiHidden/>
    <w:qFormat/>
    <w:uiPriority w:val="99"/>
    <w:rPr>
      <w:kern w:val="2"/>
      <w:sz w:val="18"/>
      <w:szCs w:val="18"/>
    </w:rPr>
  </w:style>
  <w:style w:type="character" w:customStyle="1" w:styleId="256">
    <w:name w:val="批注框文本 Char2"/>
    <w:autoRedefine/>
    <w:semiHidden/>
    <w:qFormat/>
    <w:uiPriority w:val="99"/>
    <w:rPr>
      <w:kern w:val="2"/>
      <w:sz w:val="18"/>
      <w:szCs w:val="18"/>
    </w:rPr>
  </w:style>
  <w:style w:type="character" w:customStyle="1" w:styleId="257">
    <w:name w:val="批注主题 Char2"/>
    <w:autoRedefine/>
    <w:semiHidden/>
    <w:qFormat/>
    <w:uiPriority w:val="99"/>
    <w:rPr>
      <w:b/>
      <w:bCs/>
      <w:kern w:val="2"/>
      <w:sz w:val="21"/>
      <w:szCs w:val="22"/>
    </w:rPr>
  </w:style>
  <w:style w:type="character" w:customStyle="1" w:styleId="258">
    <w:name w:val="文档结构图 Char2"/>
    <w:autoRedefine/>
    <w:semiHidden/>
    <w:qFormat/>
    <w:uiPriority w:val="99"/>
    <w:rPr>
      <w:rFonts w:ascii="宋体"/>
      <w:kern w:val="2"/>
      <w:sz w:val="18"/>
      <w:szCs w:val="18"/>
    </w:rPr>
  </w:style>
  <w:style w:type="character" w:customStyle="1" w:styleId="259">
    <w:name w:val="页眉 Char1"/>
    <w:autoRedefine/>
    <w:semiHidden/>
    <w:qFormat/>
    <w:uiPriority w:val="99"/>
    <w:rPr>
      <w:kern w:val="2"/>
      <w:sz w:val="18"/>
      <w:szCs w:val="18"/>
    </w:rPr>
  </w:style>
  <w:style w:type="character" w:customStyle="1" w:styleId="260">
    <w:name w:val="日期 Char2"/>
    <w:autoRedefine/>
    <w:semiHidden/>
    <w:qFormat/>
    <w:uiPriority w:val="99"/>
    <w:rPr>
      <w:kern w:val="2"/>
      <w:sz w:val="21"/>
      <w:szCs w:val="22"/>
    </w:rPr>
  </w:style>
  <w:style w:type="character" w:customStyle="1" w:styleId="261">
    <w:name w:val="正文文本 Char2"/>
    <w:autoRedefine/>
    <w:semiHidden/>
    <w:qFormat/>
    <w:uiPriority w:val="99"/>
    <w:rPr>
      <w:kern w:val="2"/>
      <w:sz w:val="21"/>
      <w:szCs w:val="22"/>
    </w:rPr>
  </w:style>
  <w:style w:type="character" w:customStyle="1" w:styleId="262">
    <w:name w:val="标题 Char1"/>
    <w:autoRedefine/>
    <w:qFormat/>
    <w:uiPriority w:val="10"/>
    <w:rPr>
      <w:rFonts w:ascii="Cambria" w:hAnsi="Cambria" w:cs="Times New Roman"/>
      <w:b/>
      <w:bCs/>
      <w:kern w:val="2"/>
      <w:sz w:val="32"/>
      <w:szCs w:val="32"/>
    </w:rPr>
  </w:style>
  <w:style w:type="character" w:customStyle="1" w:styleId="263">
    <w:name w:val="副标题 Char1"/>
    <w:autoRedefine/>
    <w:qFormat/>
    <w:uiPriority w:val="11"/>
    <w:rPr>
      <w:rFonts w:ascii="Cambria" w:hAnsi="Cambria" w:cs="Times New Roman"/>
      <w:b/>
      <w:bCs/>
      <w:kern w:val="28"/>
      <w:sz w:val="32"/>
      <w:szCs w:val="32"/>
    </w:rPr>
  </w:style>
  <w:style w:type="paragraph" w:customStyle="1" w:styleId="26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7">
    <w:name w:val="正文2 Char"/>
    <w:link w:val="268"/>
    <w:autoRedefine/>
    <w:qFormat/>
    <w:uiPriority w:val="0"/>
    <w:rPr>
      <w:rFonts w:ascii="楷体" w:eastAsia="楷体"/>
      <w:b/>
      <w:color w:val="0000FF"/>
    </w:rPr>
  </w:style>
  <w:style w:type="paragraph" w:customStyle="1" w:styleId="268">
    <w:name w:val="正文2"/>
    <w:link w:val="26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70">
    <w:name w:val="正文文本 (2)_"/>
    <w:link w:val="271"/>
    <w:autoRedefine/>
    <w:qFormat/>
    <w:locked/>
    <w:uiPriority w:val="99"/>
    <w:rPr>
      <w:rFonts w:ascii="MingLiU" w:eastAsia="MingLiU" w:cs="MingLiU"/>
      <w:spacing w:val="20"/>
      <w:sz w:val="22"/>
      <w:shd w:val="clear" w:color="auto" w:fill="FFFFFF"/>
    </w:rPr>
  </w:style>
  <w:style w:type="paragraph" w:customStyle="1" w:styleId="271">
    <w:name w:val="正文文本 (2)1"/>
    <w:basedOn w:val="1"/>
    <w:link w:val="27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2">
    <w:name w:val="正文文本 (2) + 间距 0 pt5"/>
    <w:autoRedefine/>
    <w:qFormat/>
    <w:uiPriority w:val="99"/>
    <w:rPr>
      <w:rFonts w:ascii="MingLiU" w:eastAsia="MingLiU" w:cs="MingLiU"/>
      <w:spacing w:val="0"/>
      <w:sz w:val="22"/>
      <w:shd w:val="clear" w:color="auto" w:fill="FFFFFF"/>
    </w:rPr>
  </w:style>
  <w:style w:type="character" w:customStyle="1" w:styleId="273">
    <w:name w:val="访问过的超链接1"/>
    <w:basedOn w:val="58"/>
    <w:autoRedefine/>
    <w:semiHidden/>
    <w:unhideWhenUsed/>
    <w:qFormat/>
    <w:uiPriority w:val="99"/>
    <w:rPr>
      <w:color w:val="954F72"/>
      <w:u w:val="single"/>
    </w:rPr>
  </w:style>
  <w:style w:type="character" w:customStyle="1" w:styleId="274">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75">
    <w:name w:val="引用 Char2"/>
    <w:basedOn w:val="58"/>
    <w:autoRedefine/>
    <w:qFormat/>
    <w:uiPriority w:val="29"/>
    <w:rPr>
      <w:i/>
      <w:iCs/>
      <w:color w:val="000000" w:themeColor="text1"/>
      <w14:textFill>
        <w14:solidFill>
          <w14:schemeClr w14:val="tx1"/>
        </w14:solidFill>
      </w14:textFill>
    </w:rPr>
  </w:style>
  <w:style w:type="table" w:customStyle="1" w:styleId="276">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7">
    <w:name w:val="集团正文"/>
    <w:basedOn w:val="1"/>
    <w:autoRedefine/>
    <w:qFormat/>
    <w:uiPriority w:val="0"/>
    <w:pPr>
      <w:spacing w:line="576" w:lineRule="exact"/>
      <w:ind w:firstLine="880" w:firstLineChars="200"/>
    </w:pPr>
    <w:rPr>
      <w:rFonts w:hint="eastAsia" w:ascii="仿宋_GB2312" w:hAnsi="仿宋_GB2312" w:eastAsia="仿宋_GB2312" w:cs="Times New Roman"/>
      <w:sz w:val="32"/>
      <w:szCs w:val="32"/>
    </w:rPr>
  </w:style>
  <w:style w:type="paragraph" w:customStyle="1" w:styleId="278">
    <w:name w:val="xl65"/>
    <w:basedOn w:val="1"/>
    <w:autoRedefine/>
    <w:qFormat/>
    <w:uiPriority w:val="0"/>
    <w:pPr>
      <w:widowControl/>
      <w:spacing w:before="100" w:beforeAutospacing="1" w:after="100" w:afterAutospacing="1"/>
      <w:jc w:val="left"/>
    </w:pPr>
    <w:rPr>
      <w:rFonts w:cs="宋体"/>
      <w:b/>
      <w:bCs/>
      <w:sz w:val="24"/>
      <w:szCs w:val="24"/>
    </w:rPr>
  </w:style>
  <w:style w:type="paragraph" w:customStyle="1" w:styleId="279">
    <w:name w:val="xl66"/>
    <w:basedOn w:val="1"/>
    <w:autoRedefine/>
    <w:qFormat/>
    <w:uiPriority w:val="0"/>
    <w:pPr>
      <w:widowControl/>
      <w:spacing w:before="100" w:beforeAutospacing="1" w:after="100" w:afterAutospacing="1"/>
      <w:jc w:val="center"/>
    </w:pPr>
    <w:rPr>
      <w:rFonts w:cs="宋体"/>
    </w:rPr>
  </w:style>
  <w:style w:type="paragraph" w:customStyle="1" w:styleId="280">
    <w:name w:val="xl67"/>
    <w:basedOn w:val="1"/>
    <w:autoRedefine/>
    <w:qFormat/>
    <w:uiPriority w:val="0"/>
    <w:pPr>
      <w:widowControl/>
      <w:shd w:val="clear" w:color="000000" w:fill="FFFFFF"/>
      <w:spacing w:before="100" w:beforeAutospacing="1" w:after="100" w:afterAutospacing="1"/>
      <w:jc w:val="left"/>
    </w:pPr>
    <w:rPr>
      <w:rFonts w:cs="宋体"/>
    </w:rPr>
  </w:style>
  <w:style w:type="paragraph" w:customStyle="1" w:styleId="281">
    <w:name w:val="xl68"/>
    <w:basedOn w:val="1"/>
    <w:autoRedefine/>
    <w:qFormat/>
    <w:uiPriority w:val="0"/>
    <w:pPr>
      <w:widowControl/>
      <w:spacing w:before="100" w:beforeAutospacing="1" w:after="100" w:afterAutospacing="1"/>
      <w:jc w:val="left"/>
    </w:pPr>
    <w:rPr>
      <w:rFonts w:cs="宋体"/>
    </w:rPr>
  </w:style>
  <w:style w:type="paragraph" w:customStyle="1" w:styleId="282">
    <w:name w:val="xl69"/>
    <w:basedOn w:val="1"/>
    <w:autoRedefine/>
    <w:qFormat/>
    <w:uiPriority w:val="0"/>
    <w:pPr>
      <w:widowControl/>
      <w:spacing w:before="100" w:beforeAutospacing="1" w:after="100" w:afterAutospacing="1"/>
      <w:jc w:val="left"/>
    </w:pPr>
    <w:rPr>
      <w:rFonts w:cs="宋体"/>
    </w:rPr>
  </w:style>
  <w:style w:type="paragraph" w:customStyle="1" w:styleId="283">
    <w:name w:val="xl70"/>
    <w:basedOn w:val="1"/>
    <w:autoRedefine/>
    <w:qFormat/>
    <w:uiPriority w:val="0"/>
    <w:pPr>
      <w:widowControl/>
      <w:spacing w:before="100" w:beforeAutospacing="1" w:after="100" w:afterAutospacing="1"/>
      <w:jc w:val="left"/>
    </w:pPr>
    <w:rPr>
      <w:rFonts w:cs="宋体"/>
      <w:color w:val="FF0000"/>
    </w:rPr>
  </w:style>
  <w:style w:type="paragraph" w:customStyle="1" w:styleId="284">
    <w:name w:val="xl71"/>
    <w:basedOn w:val="1"/>
    <w:autoRedefine/>
    <w:qFormat/>
    <w:uiPriority w:val="0"/>
    <w:pPr>
      <w:widowControl/>
      <w:spacing w:before="100" w:beforeAutospacing="1" w:after="100" w:afterAutospacing="1"/>
      <w:jc w:val="center"/>
    </w:pPr>
    <w:rPr>
      <w:rFonts w:cs="宋体"/>
    </w:rPr>
  </w:style>
  <w:style w:type="paragraph" w:customStyle="1" w:styleId="285">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jc w:val="center"/>
    </w:pPr>
    <w:rPr>
      <w:rFonts w:cs="宋体"/>
      <w:b/>
      <w:bCs/>
      <w:color w:val="FFFFFF"/>
    </w:rPr>
  </w:style>
  <w:style w:type="paragraph" w:customStyle="1" w:styleId="286">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jc w:val="center"/>
    </w:pPr>
    <w:rPr>
      <w:rFonts w:cs="宋体"/>
      <w:b/>
      <w:bCs/>
      <w:color w:val="FFFFFF"/>
    </w:rPr>
  </w:style>
  <w:style w:type="paragraph" w:customStyle="1" w:styleId="287">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jc w:val="center"/>
    </w:pPr>
    <w:rPr>
      <w:rFonts w:cs="宋体"/>
      <w:b/>
      <w:bCs/>
      <w:color w:val="FFFFFF"/>
    </w:rPr>
  </w:style>
  <w:style w:type="paragraph" w:customStyle="1" w:styleId="2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1"/>
      <w:szCs w:val="21"/>
    </w:rPr>
  </w:style>
  <w:style w:type="paragraph" w:customStyle="1" w:styleId="28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1"/>
      <w:szCs w:val="21"/>
    </w:rPr>
  </w:style>
  <w:style w:type="paragraph" w:customStyle="1" w:styleId="29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1"/>
      <w:szCs w:val="21"/>
    </w:rPr>
  </w:style>
  <w:style w:type="paragraph" w:customStyle="1" w:styleId="29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rPr>
  </w:style>
  <w:style w:type="paragraph" w:customStyle="1" w:styleId="2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rPr>
  </w:style>
  <w:style w:type="paragraph" w:customStyle="1" w:styleId="2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rPr>
  </w:style>
  <w:style w:type="paragraph" w:customStyle="1" w:styleId="294">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cs="宋体"/>
    </w:rPr>
  </w:style>
  <w:style w:type="paragraph" w:customStyle="1" w:styleId="295">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cs="宋体"/>
    </w:rPr>
  </w:style>
  <w:style w:type="paragraph" w:customStyle="1" w:styleId="296">
    <w:name w:val="xl83"/>
    <w:basedOn w:val="1"/>
    <w:autoRedefine/>
    <w:qFormat/>
    <w:uiPriority w:val="0"/>
    <w:pPr>
      <w:widowControl/>
      <w:pBdr>
        <w:top w:val="single" w:color="auto" w:sz="4" w:space="0"/>
        <w:bottom w:val="single" w:color="auto" w:sz="4" w:space="0"/>
      </w:pBdr>
      <w:spacing w:before="100" w:beforeAutospacing="1" w:after="100" w:afterAutospacing="1"/>
      <w:jc w:val="center"/>
    </w:pPr>
    <w:rPr>
      <w:rFonts w:cs="宋体"/>
    </w:rPr>
  </w:style>
  <w:style w:type="paragraph" w:customStyle="1" w:styleId="297">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rPr>
  </w:style>
  <w:style w:type="paragraph" w:customStyle="1" w:styleId="298">
    <w:name w:val="xl8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cs="宋体"/>
      <w:color w:val="FF0000"/>
    </w:rPr>
  </w:style>
  <w:style w:type="paragraph" w:customStyle="1" w:styleId="299">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color w:val="FF0000"/>
    </w:rPr>
  </w:style>
  <w:style w:type="paragraph" w:customStyle="1" w:styleId="300">
    <w:name w:val="xl87"/>
    <w:basedOn w:val="1"/>
    <w:autoRedefine/>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cs="宋体"/>
      <w:sz w:val="21"/>
      <w:szCs w:val="21"/>
    </w:rPr>
  </w:style>
  <w:style w:type="paragraph" w:customStyle="1" w:styleId="301">
    <w:name w:val="xl88"/>
    <w:basedOn w:val="1"/>
    <w:autoRedefine/>
    <w:qFormat/>
    <w:uiPriority w:val="0"/>
    <w:pPr>
      <w:widowControl/>
      <w:pBdr>
        <w:top w:val="single" w:color="auto" w:sz="4" w:space="0"/>
        <w:bottom w:val="single" w:color="auto" w:sz="4" w:space="0"/>
      </w:pBdr>
      <w:shd w:val="clear" w:color="000000" w:fill="FFFF00"/>
      <w:spacing w:before="100" w:beforeAutospacing="1" w:after="100" w:afterAutospacing="1"/>
      <w:jc w:val="center"/>
    </w:pPr>
    <w:rPr>
      <w:rFonts w:cs="宋体"/>
      <w:sz w:val="21"/>
      <w:szCs w:val="21"/>
    </w:rPr>
  </w:style>
  <w:style w:type="paragraph" w:customStyle="1" w:styleId="302">
    <w:name w:val="xl89"/>
    <w:basedOn w:val="1"/>
    <w:autoRedefine/>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sz w:val="21"/>
      <w:szCs w:val="21"/>
    </w:rPr>
  </w:style>
  <w:style w:type="paragraph" w:customStyle="1" w:styleId="303">
    <w:name w:val="xl90"/>
    <w:basedOn w:val="1"/>
    <w:autoRedefine/>
    <w:qFormat/>
    <w:uiPriority w:val="0"/>
    <w:pPr>
      <w:widowControl/>
      <w:pBdr>
        <w:top w:val="single" w:color="auto" w:sz="4" w:space="0"/>
        <w:left w:val="single" w:color="auto" w:sz="4" w:space="0"/>
        <w:bottom w:val="single" w:color="auto" w:sz="4" w:space="0"/>
      </w:pBdr>
      <w:shd w:val="clear" w:color="000000" w:fill="92D050"/>
      <w:spacing w:before="100" w:beforeAutospacing="1" w:after="100" w:afterAutospacing="1"/>
      <w:jc w:val="center"/>
    </w:pPr>
    <w:rPr>
      <w:rFonts w:cs="宋体"/>
    </w:rPr>
  </w:style>
  <w:style w:type="paragraph" w:customStyle="1" w:styleId="304">
    <w:name w:val="xl91"/>
    <w:basedOn w:val="1"/>
    <w:autoRedefine/>
    <w:qFormat/>
    <w:uiPriority w:val="0"/>
    <w:pPr>
      <w:widowControl/>
      <w:pBdr>
        <w:top w:val="single" w:color="auto" w:sz="4" w:space="0"/>
        <w:bottom w:val="single" w:color="auto" w:sz="4" w:space="0"/>
      </w:pBdr>
      <w:shd w:val="clear" w:color="000000" w:fill="92D050"/>
      <w:spacing w:before="100" w:beforeAutospacing="1" w:after="100" w:afterAutospacing="1"/>
      <w:jc w:val="center"/>
    </w:pPr>
    <w:rPr>
      <w:rFonts w:cs="宋体"/>
    </w:rPr>
  </w:style>
  <w:style w:type="paragraph" w:customStyle="1" w:styleId="305">
    <w:name w:val="xl92"/>
    <w:basedOn w:val="1"/>
    <w:autoRedefine/>
    <w:qFormat/>
    <w:uiPriority w:val="0"/>
    <w:pPr>
      <w:widowControl/>
      <w:pBdr>
        <w:top w:val="single" w:color="auto" w:sz="4" w:space="0"/>
        <w:bottom w:val="single" w:color="auto" w:sz="4" w:space="0"/>
        <w:right w:val="single" w:color="auto" w:sz="4" w:space="0"/>
      </w:pBdr>
      <w:shd w:val="clear" w:color="000000" w:fill="92D050"/>
      <w:spacing w:before="100" w:beforeAutospacing="1" w:after="100" w:afterAutospacing="1"/>
      <w:jc w:val="center"/>
    </w:pPr>
    <w:rPr>
      <w:rFonts w:cs="宋体"/>
    </w:rPr>
  </w:style>
  <w:style w:type="paragraph" w:customStyle="1" w:styleId="306">
    <w:name w:val="xl93"/>
    <w:basedOn w:val="1"/>
    <w:autoRedefine/>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cs="宋体"/>
    </w:rPr>
  </w:style>
  <w:style w:type="paragraph" w:customStyle="1" w:styleId="307">
    <w:name w:val="xl94"/>
    <w:basedOn w:val="1"/>
    <w:autoRedefine/>
    <w:qFormat/>
    <w:uiPriority w:val="0"/>
    <w:pPr>
      <w:widowControl/>
      <w:pBdr>
        <w:top w:val="single" w:color="auto" w:sz="4" w:space="0"/>
        <w:bottom w:val="single" w:color="auto" w:sz="4" w:space="0"/>
      </w:pBdr>
      <w:shd w:val="clear" w:color="000000" w:fill="FFFF00"/>
      <w:spacing w:before="100" w:beforeAutospacing="1" w:after="100" w:afterAutospacing="1"/>
      <w:jc w:val="center"/>
    </w:pPr>
    <w:rPr>
      <w:rFonts w:cs="宋体"/>
    </w:rPr>
  </w:style>
  <w:style w:type="paragraph" w:customStyle="1" w:styleId="308">
    <w:name w:val="xl95"/>
    <w:basedOn w:val="1"/>
    <w:autoRedefine/>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rPr>
  </w:style>
  <w:style w:type="paragraph" w:customStyle="1" w:styleId="309">
    <w:name w:val="xl9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cs="宋体"/>
    </w:rPr>
  </w:style>
  <w:style w:type="paragraph" w:customStyle="1" w:styleId="310">
    <w:name w:val="xl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cs="宋体"/>
    </w:rPr>
  </w:style>
  <w:style w:type="paragraph" w:customStyle="1" w:styleId="311">
    <w:name w:val="xl98"/>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黑体" w:hAnsi="黑体" w:eastAsia="黑体" w:cs="宋体"/>
      <w:color w:val="7030A0"/>
      <w:sz w:val="24"/>
      <w:szCs w:val="24"/>
    </w:rPr>
  </w:style>
  <w:style w:type="paragraph" w:customStyle="1" w:styleId="312">
    <w:name w:val="xl99"/>
    <w:basedOn w:val="1"/>
    <w:autoRedefine/>
    <w:qFormat/>
    <w:uiPriority w:val="0"/>
    <w:pPr>
      <w:widowControl/>
      <w:pBdr>
        <w:top w:val="single" w:color="auto" w:sz="4" w:space="0"/>
        <w:bottom w:val="single" w:color="auto" w:sz="4" w:space="0"/>
      </w:pBdr>
      <w:spacing w:before="100" w:beforeAutospacing="1" w:after="100" w:afterAutospacing="1"/>
      <w:jc w:val="left"/>
    </w:pPr>
    <w:rPr>
      <w:rFonts w:ascii="黑体" w:hAnsi="黑体" w:eastAsia="黑体" w:cs="宋体"/>
      <w:b/>
      <w:bCs/>
      <w:sz w:val="24"/>
      <w:szCs w:val="24"/>
    </w:rPr>
  </w:style>
  <w:style w:type="paragraph" w:customStyle="1" w:styleId="313">
    <w:name w:val="xl100"/>
    <w:basedOn w:val="1"/>
    <w:autoRedefine/>
    <w:qFormat/>
    <w:uiPriority w:val="0"/>
    <w:pPr>
      <w:widowControl/>
      <w:pBdr>
        <w:top w:val="single" w:color="auto" w:sz="4" w:space="0"/>
        <w:bottom w:val="single" w:color="auto" w:sz="4" w:space="0"/>
      </w:pBdr>
      <w:spacing w:before="100" w:beforeAutospacing="1" w:after="100" w:afterAutospacing="1"/>
      <w:jc w:val="left"/>
    </w:pPr>
    <w:rPr>
      <w:rFonts w:ascii="黑体" w:hAnsi="黑体" w:eastAsia="黑体" w:cs="宋体"/>
      <w:b/>
      <w:bCs/>
      <w:color w:val="FF0000"/>
      <w:sz w:val="24"/>
      <w:szCs w:val="24"/>
    </w:rPr>
  </w:style>
  <w:style w:type="paragraph" w:customStyle="1" w:styleId="314">
    <w:name w:val="xl10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b/>
      <w:bCs/>
      <w:sz w:val="24"/>
      <w:szCs w:val="24"/>
    </w:rPr>
  </w:style>
  <w:style w:type="paragraph" w:customStyle="1" w:styleId="315">
    <w:name w:val="xl102"/>
    <w:basedOn w:val="1"/>
    <w:autoRedefine/>
    <w:qFormat/>
    <w:uiPriority w:val="0"/>
    <w:pPr>
      <w:widowControl/>
      <w:pBdr>
        <w:bottom w:val="single" w:color="auto" w:sz="4" w:space="0"/>
      </w:pBdr>
      <w:shd w:val="clear" w:color="000000" w:fill="FFFFFF"/>
      <w:spacing w:before="100" w:beforeAutospacing="1" w:after="100" w:afterAutospacing="1"/>
      <w:jc w:val="center"/>
    </w:pPr>
    <w:rPr>
      <w:rFonts w:cs="宋体"/>
      <w:sz w:val="32"/>
      <w:szCs w:val="32"/>
    </w:rPr>
  </w:style>
  <w:style w:type="paragraph" w:customStyle="1" w:styleId="316">
    <w:name w:val="xl10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cs="宋体"/>
      <w:sz w:val="24"/>
      <w:szCs w:val="24"/>
    </w:rPr>
  </w:style>
  <w:style w:type="paragraph" w:customStyle="1" w:styleId="317">
    <w:name w:val="xl104"/>
    <w:basedOn w:val="1"/>
    <w:autoRedefine/>
    <w:qFormat/>
    <w:uiPriority w:val="0"/>
    <w:pPr>
      <w:widowControl/>
      <w:pBdr>
        <w:top w:val="single" w:color="auto" w:sz="4" w:space="0"/>
        <w:bottom w:val="single" w:color="auto" w:sz="4" w:space="0"/>
      </w:pBdr>
      <w:spacing w:before="100" w:beforeAutospacing="1" w:after="100" w:afterAutospacing="1"/>
      <w:jc w:val="left"/>
    </w:pPr>
    <w:rPr>
      <w:rFonts w:cs="宋体"/>
      <w:b/>
      <w:bCs/>
      <w:sz w:val="24"/>
      <w:szCs w:val="24"/>
    </w:rPr>
  </w:style>
  <w:style w:type="paragraph" w:customStyle="1" w:styleId="318">
    <w:name w:val="xl105"/>
    <w:basedOn w:val="1"/>
    <w:autoRedefine/>
    <w:qFormat/>
    <w:uiPriority w:val="0"/>
    <w:pPr>
      <w:widowControl/>
      <w:pBdr>
        <w:top w:val="single" w:color="auto" w:sz="4" w:space="0"/>
        <w:bottom w:val="single" w:color="auto" w:sz="4" w:space="0"/>
      </w:pBdr>
      <w:spacing w:before="100" w:beforeAutospacing="1" w:after="100" w:afterAutospacing="1"/>
      <w:jc w:val="center"/>
    </w:pPr>
    <w:rPr>
      <w:rFonts w:cs="宋体"/>
      <w:b/>
      <w:bCs/>
      <w:sz w:val="24"/>
      <w:szCs w:val="24"/>
    </w:rPr>
  </w:style>
  <w:style w:type="paragraph" w:customStyle="1" w:styleId="319">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rPr>
  </w:style>
  <w:style w:type="character" w:customStyle="1" w:styleId="320">
    <w:name w:val="font91"/>
    <w:basedOn w:val="58"/>
    <w:autoRedefine/>
    <w:qFormat/>
    <w:uiPriority w:val="0"/>
    <w:rPr>
      <w:rFonts w:hint="eastAsia" w:ascii="宋体" w:hAnsi="宋体" w:eastAsia="宋体" w:cs="宋体"/>
      <w:color w:val="000000"/>
      <w:sz w:val="21"/>
      <w:szCs w:val="21"/>
      <w:u w:val="none"/>
    </w:rPr>
  </w:style>
  <w:style w:type="character" w:customStyle="1" w:styleId="321">
    <w:name w:val="font11"/>
    <w:basedOn w:val="58"/>
    <w:autoRedefine/>
    <w:qFormat/>
    <w:uiPriority w:val="0"/>
    <w:rPr>
      <w:rFonts w:hint="eastAsia" w:ascii="宋体" w:hAnsi="宋体" w:eastAsia="宋体" w:cs="宋体"/>
      <w:color w:val="000000"/>
      <w:sz w:val="20"/>
      <w:szCs w:val="20"/>
      <w:u w:val="none"/>
    </w:rPr>
  </w:style>
  <w:style w:type="paragraph" w:customStyle="1" w:styleId="322">
    <w:name w:val="修订2"/>
    <w:autoRedefine/>
    <w:hidden/>
    <w:unhideWhenUsed/>
    <w:qFormat/>
    <w:uiPriority w:val="99"/>
    <w:rPr>
      <w:rFonts w:ascii="宋体" w:hAnsi="宋体" w:eastAsia="宋体" w:cstheme="minorBidi"/>
      <w:lang w:val="en-US" w:eastAsia="zh-CN" w:bidi="ar-SA"/>
    </w:rPr>
  </w:style>
  <w:style w:type="paragraph" w:customStyle="1" w:styleId="323">
    <w:name w:val="Revision"/>
    <w:autoRedefine/>
    <w:hidden/>
    <w:unhideWhenUsed/>
    <w:qFormat/>
    <w:uiPriority w:val="99"/>
    <w:rPr>
      <w:rFonts w:ascii="宋体" w:hAnsi="宋体" w:eastAsia="宋体"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39DD3-4632-4D57-8A95-A3C6EA58A9F6}">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96</Pages>
  <Words>7157</Words>
  <Characters>40796</Characters>
  <Lines>339</Lines>
  <Paragraphs>95</Paragraphs>
  <TotalTime>40</TotalTime>
  <ScaleCrop>false</ScaleCrop>
  <LinksUpToDate>false</LinksUpToDate>
  <CharactersWithSpaces>47858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杨成志</cp:lastModifiedBy>
  <cp:lastPrinted>2023-05-30T07:28:00Z</cp:lastPrinted>
  <dcterms:modified xsi:type="dcterms:W3CDTF">2025-03-03T05:17:34Z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6D4B63F7A3CD456BBF21625BB01E0C0A_13</vt:lpwstr>
  </property>
  <property fmtid="{D5CDD505-2E9C-101B-9397-08002B2CF9AE}" pid="4" name="KSOTemplateDocerSaveRecord">
    <vt:lpwstr>eyJoZGlkIjoiZTRkMGVmZGZiYmVjZGRlYWU1OThlZjY3NjMwMWM4NTgiLCJ1c2VySWQiOiIzMDk0MjY4MDQifQ==</vt:lpwstr>
  </property>
</Properties>
</file>