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firstLine="1044"/>
        <w:jc w:val="center"/>
        <w:rPr>
          <w:b/>
          <w:bCs/>
          <w:sz w:val="52"/>
          <w:szCs w:val="52"/>
          <w:vertAlign w:val="superscript"/>
        </w:rPr>
      </w:pPr>
    </w:p>
    <w:p>
      <w:pPr>
        <w:tabs>
          <w:tab w:val="left" w:pos="315"/>
          <w:tab w:val="left" w:pos="8820"/>
        </w:tabs>
        <w:spacing w:before="240" w:beforeLines="100" w:after="120" w:afterLines="50" w:line="500" w:lineRule="exact"/>
        <w:ind w:right="254" w:rightChars="127" w:firstLine="1044"/>
        <w:jc w:val="center"/>
        <w:rPr>
          <w:b/>
          <w:bCs/>
          <w:sz w:val="52"/>
          <w:szCs w:val="52"/>
        </w:rPr>
      </w:pPr>
      <w:bookmarkStart w:id="0" w:name="_Hlk9544796"/>
      <w:r>
        <w:rPr>
          <w:rFonts w:hint="eastAsia"/>
          <w:b/>
          <w:bCs/>
          <w:sz w:val="52"/>
          <w:szCs w:val="52"/>
        </w:rPr>
        <w:t>竞争性磋商文件</w:t>
      </w:r>
    </w:p>
    <w:p>
      <w:pPr>
        <w:pStyle w:val="4"/>
        <w:ind w:firstLine="562"/>
      </w:pPr>
      <w:r>
        <w:rPr>
          <w:rFonts w:hint="eastAsia" w:cs="宋体"/>
          <w:sz w:val="28"/>
        </w:rPr>
        <w:drawing>
          <wp:anchor distT="0" distB="0" distL="114300" distR="114300" simplePos="0" relativeHeight="251659264" behindDoc="1" locked="0" layoutInCell="1" allowOverlap="1">
            <wp:simplePos x="0" y="0"/>
            <wp:positionH relativeFrom="column">
              <wp:posOffset>2026920</wp:posOffset>
            </wp:positionH>
            <wp:positionV relativeFrom="paragraph">
              <wp:posOffset>163195</wp:posOffset>
            </wp:positionV>
            <wp:extent cx="1502410" cy="1511935"/>
            <wp:effectExtent l="0" t="0" r="0" b="0"/>
            <wp:wrapNone/>
            <wp:docPr id="1" name="图片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logo"/>
                    <pic:cNvPicPr>
                      <a:picLocks noChangeAspect="1"/>
                    </pic:cNvPicPr>
                  </pic:nvPicPr>
                  <pic:blipFill>
                    <a:blip r:embed="rId8"/>
                    <a:stretch>
                      <a:fillRect/>
                    </a:stretch>
                  </pic:blipFill>
                  <pic:spPr>
                    <a:xfrm>
                      <a:off x="0" y="0"/>
                      <a:ext cx="1502410" cy="1511935"/>
                    </a:xfrm>
                    <a:prstGeom prst="rect">
                      <a:avLst/>
                    </a:prstGeom>
                    <a:noFill/>
                    <a:ln>
                      <a:noFill/>
                    </a:ln>
                  </pic:spPr>
                </pic:pic>
              </a:graphicData>
            </a:graphic>
          </wp:anchor>
        </w:drawing>
      </w:r>
    </w:p>
    <w:bookmarkEnd w:id="0"/>
    <w:p>
      <w:pPr>
        <w:tabs>
          <w:tab w:val="left" w:pos="315"/>
          <w:tab w:val="left" w:pos="8820"/>
        </w:tabs>
        <w:spacing w:before="240" w:beforeLines="100" w:after="120" w:afterLines="50" w:line="500" w:lineRule="exact"/>
        <w:ind w:right="254" w:rightChars="127" w:firstLine="880"/>
        <w:jc w:val="center"/>
        <w:rPr>
          <w:bCs/>
          <w:sz w:val="44"/>
          <w:szCs w:val="44"/>
        </w:rPr>
      </w:pPr>
    </w:p>
    <w:p>
      <w:pPr>
        <w:tabs>
          <w:tab w:val="left" w:pos="315"/>
          <w:tab w:val="left" w:pos="8820"/>
        </w:tabs>
        <w:spacing w:before="240" w:beforeLines="100" w:after="120" w:afterLines="50" w:line="500" w:lineRule="exact"/>
        <w:ind w:right="254" w:rightChars="127" w:firstLine="883"/>
        <w:jc w:val="center"/>
        <w:rPr>
          <w:b/>
          <w:bCs/>
          <w:sz w:val="44"/>
          <w:szCs w:val="44"/>
        </w:rPr>
      </w:pPr>
    </w:p>
    <w:p>
      <w:pPr>
        <w:tabs>
          <w:tab w:val="left" w:pos="315"/>
          <w:tab w:val="left" w:pos="8820"/>
        </w:tabs>
        <w:spacing w:before="240" w:beforeLines="100" w:after="120" w:afterLines="50" w:line="500" w:lineRule="exact"/>
        <w:ind w:right="254" w:rightChars="127" w:firstLine="883"/>
        <w:jc w:val="center"/>
        <w:rPr>
          <w:b/>
          <w:bCs/>
          <w:sz w:val="44"/>
          <w:szCs w:val="44"/>
        </w:rPr>
      </w:pPr>
    </w:p>
    <w:p>
      <w:pPr>
        <w:tabs>
          <w:tab w:val="left" w:pos="315"/>
          <w:tab w:val="left" w:pos="8820"/>
        </w:tabs>
        <w:spacing w:before="240" w:beforeLines="100" w:after="120" w:afterLines="50" w:line="500" w:lineRule="exact"/>
        <w:ind w:right="254" w:rightChars="127" w:firstLine="883"/>
        <w:jc w:val="center"/>
        <w:rPr>
          <w:b/>
          <w:bCs/>
          <w:sz w:val="44"/>
          <w:szCs w:val="44"/>
        </w:rPr>
      </w:pPr>
    </w:p>
    <w:p>
      <w:pPr>
        <w:tabs>
          <w:tab w:val="left" w:pos="315"/>
          <w:tab w:val="left" w:pos="8820"/>
        </w:tabs>
        <w:spacing w:before="240" w:beforeLines="100" w:after="120" w:afterLines="50" w:line="500" w:lineRule="exact"/>
        <w:ind w:right="254" w:rightChars="127" w:firstLine="883"/>
        <w:jc w:val="center"/>
        <w:rPr>
          <w:b/>
          <w:bCs/>
          <w:sz w:val="44"/>
          <w:szCs w:val="44"/>
        </w:rPr>
      </w:pPr>
    </w:p>
    <w:p>
      <w:pPr>
        <w:tabs>
          <w:tab w:val="left" w:pos="315"/>
          <w:tab w:val="left" w:pos="8820"/>
        </w:tabs>
        <w:spacing w:before="240" w:beforeLines="100" w:after="120" w:afterLines="50" w:line="500" w:lineRule="exact"/>
        <w:ind w:right="254" w:rightChars="127" w:firstLine="883"/>
        <w:jc w:val="center"/>
        <w:rPr>
          <w:b/>
          <w:bCs/>
          <w:sz w:val="44"/>
          <w:szCs w:val="44"/>
        </w:rPr>
      </w:pPr>
    </w:p>
    <w:p>
      <w:pPr>
        <w:tabs>
          <w:tab w:val="left" w:pos="315"/>
          <w:tab w:val="left" w:pos="8820"/>
        </w:tabs>
        <w:spacing w:before="240" w:beforeLines="100" w:after="120" w:afterLines="50" w:line="500" w:lineRule="exact"/>
        <w:ind w:right="254" w:rightChars="127" w:firstLine="883"/>
        <w:jc w:val="center"/>
        <w:rPr>
          <w:b/>
          <w:bCs/>
          <w:sz w:val="44"/>
          <w:szCs w:val="44"/>
        </w:rPr>
      </w:pPr>
    </w:p>
    <w:p>
      <w:pPr>
        <w:tabs>
          <w:tab w:val="left" w:pos="2410"/>
        </w:tabs>
        <w:autoSpaceDE w:val="0"/>
        <w:autoSpaceDN w:val="0"/>
        <w:adjustRightInd w:val="0"/>
        <w:snapToGrid w:val="0"/>
        <w:spacing w:line="360" w:lineRule="auto"/>
        <w:ind w:firstLine="723"/>
        <w:rPr>
          <w:b/>
          <w:spacing w:val="20"/>
          <w:sz w:val="32"/>
          <w:szCs w:val="32"/>
        </w:rPr>
      </w:pPr>
      <w:r>
        <w:rPr>
          <w:rFonts w:hint="eastAsia"/>
          <w:b/>
          <w:spacing w:val="20"/>
          <w:sz w:val="32"/>
          <w:szCs w:val="32"/>
        </w:rPr>
        <w:t>项目名称：百大集团CRM、ERP系统维保服务</w:t>
      </w:r>
    </w:p>
    <w:p>
      <w:pPr>
        <w:tabs>
          <w:tab w:val="left" w:pos="2410"/>
        </w:tabs>
        <w:autoSpaceDE w:val="0"/>
        <w:autoSpaceDN w:val="0"/>
        <w:adjustRightInd w:val="0"/>
        <w:snapToGrid w:val="0"/>
        <w:spacing w:line="360" w:lineRule="auto"/>
        <w:ind w:firstLine="723"/>
        <w:rPr>
          <w:b/>
          <w:spacing w:val="20"/>
          <w:sz w:val="32"/>
          <w:szCs w:val="32"/>
        </w:rPr>
      </w:pPr>
      <w:r>
        <w:rPr>
          <w:rFonts w:hint="eastAsia"/>
          <w:b/>
          <w:spacing w:val="20"/>
          <w:sz w:val="32"/>
          <w:szCs w:val="32"/>
        </w:rPr>
        <w:t>项目编号：2024HAFWN02552</w:t>
      </w:r>
    </w:p>
    <w:p>
      <w:pPr>
        <w:tabs>
          <w:tab w:val="left" w:pos="2410"/>
        </w:tabs>
        <w:autoSpaceDE w:val="0"/>
        <w:autoSpaceDN w:val="0"/>
        <w:adjustRightInd w:val="0"/>
        <w:snapToGrid w:val="0"/>
        <w:spacing w:line="360" w:lineRule="auto"/>
        <w:ind w:firstLine="723"/>
        <w:rPr>
          <w:b/>
          <w:spacing w:val="20"/>
          <w:sz w:val="32"/>
          <w:szCs w:val="32"/>
        </w:rPr>
      </w:pPr>
      <w:r>
        <w:rPr>
          <w:rFonts w:hint="eastAsia"/>
          <w:b/>
          <w:spacing w:val="20"/>
          <w:sz w:val="32"/>
          <w:szCs w:val="32"/>
        </w:rPr>
        <w:t>招 标 人：合肥百货大楼集团股份有限公司</w:t>
      </w:r>
    </w:p>
    <w:p>
      <w:pPr>
        <w:tabs>
          <w:tab w:val="left" w:pos="2410"/>
        </w:tabs>
        <w:autoSpaceDE w:val="0"/>
        <w:autoSpaceDN w:val="0"/>
        <w:adjustRightInd w:val="0"/>
        <w:snapToGrid w:val="0"/>
        <w:spacing w:line="360" w:lineRule="auto"/>
        <w:ind w:firstLine="723"/>
        <w:rPr>
          <w:b/>
          <w:spacing w:val="20"/>
          <w:sz w:val="32"/>
          <w:szCs w:val="32"/>
        </w:rPr>
      </w:pPr>
      <w:r>
        <w:rPr>
          <w:rFonts w:hint="eastAsia"/>
          <w:b/>
          <w:spacing w:val="20"/>
          <w:sz w:val="32"/>
          <w:szCs w:val="32"/>
        </w:rPr>
        <w:t>代理机构：安徽公共资源交易集团项目管理有限公司</w:t>
      </w:r>
    </w:p>
    <w:p>
      <w:pPr>
        <w:tabs>
          <w:tab w:val="left" w:pos="2410"/>
        </w:tabs>
        <w:autoSpaceDE w:val="0"/>
        <w:autoSpaceDN w:val="0"/>
        <w:adjustRightInd w:val="0"/>
        <w:snapToGrid w:val="0"/>
        <w:spacing w:line="360" w:lineRule="auto"/>
        <w:ind w:firstLine="723"/>
        <w:jc w:val="center"/>
        <w:rPr>
          <w:b/>
          <w:sz w:val="36"/>
        </w:rPr>
      </w:pPr>
      <w:r>
        <w:rPr>
          <w:b/>
          <w:sz w:val="36"/>
        </w:rPr>
        <w:br w:type="page"/>
      </w:r>
    </w:p>
    <w:p>
      <w:pPr>
        <w:tabs>
          <w:tab w:val="left" w:pos="2410"/>
        </w:tabs>
        <w:autoSpaceDE w:val="0"/>
        <w:autoSpaceDN w:val="0"/>
        <w:adjustRightInd w:val="0"/>
        <w:snapToGrid w:val="0"/>
        <w:spacing w:line="360" w:lineRule="auto"/>
        <w:ind w:firstLine="562"/>
        <w:jc w:val="center"/>
        <w:rPr>
          <w:b/>
          <w:sz w:val="28"/>
        </w:rPr>
      </w:pPr>
      <w:r>
        <w:rPr>
          <w:rFonts w:hint="eastAsia"/>
          <w:b/>
          <w:sz w:val="28"/>
        </w:rPr>
        <w:t>目  录</w:t>
      </w:r>
    </w:p>
    <w:p>
      <w:pPr>
        <w:tabs>
          <w:tab w:val="left" w:pos="2410"/>
        </w:tabs>
        <w:autoSpaceDE w:val="0"/>
        <w:autoSpaceDN w:val="0"/>
        <w:adjustRightInd w:val="0"/>
        <w:snapToGrid w:val="0"/>
        <w:spacing w:line="360" w:lineRule="auto"/>
        <w:ind w:firstLine="562"/>
        <w:jc w:val="center"/>
        <w:rPr>
          <w:b/>
          <w:sz w:val="28"/>
        </w:rPr>
      </w:pPr>
    </w:p>
    <w:p>
      <w:pPr>
        <w:pStyle w:val="45"/>
        <w:tabs>
          <w:tab w:val="right" w:leader="dot" w:pos="8869"/>
        </w:tabs>
        <w:ind w:firstLine="482"/>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"_Toc25702" </w:instrText>
      </w:r>
      <w:r>
        <w:fldChar w:fldCharType="separate"/>
      </w:r>
      <w:r>
        <w:rPr>
          <w:rFonts w:hint="eastAsia" w:asciiTheme="minorEastAsia" w:hAnsiTheme="minorEastAsia"/>
        </w:rPr>
        <w:t>第一章 磋商公告</w:t>
      </w:r>
      <w:r>
        <w:tab/>
      </w:r>
      <w:r>
        <w:fldChar w:fldCharType="begin"/>
      </w:r>
      <w:r>
        <w:instrText xml:space="preserve"> PAGEREF _Toc25702 \h </w:instrText>
      </w:r>
      <w:r>
        <w:fldChar w:fldCharType="separate"/>
      </w:r>
      <w:r>
        <w:t>1</w:t>
      </w:r>
      <w:r>
        <w:fldChar w:fldCharType="end"/>
      </w:r>
      <w:r>
        <w:fldChar w:fldCharType="end"/>
      </w:r>
    </w:p>
    <w:p>
      <w:pPr>
        <w:pStyle w:val="45"/>
        <w:tabs>
          <w:tab w:val="right" w:leader="dot" w:pos="8869"/>
        </w:tabs>
        <w:ind w:firstLine="440"/>
      </w:pPr>
      <w:r>
        <w:fldChar w:fldCharType="begin"/>
      </w:r>
      <w:r>
        <w:instrText xml:space="preserve"> HYPERLINK \l "_Toc10366" </w:instrText>
      </w:r>
      <w:r>
        <w:fldChar w:fldCharType="separate"/>
      </w:r>
      <w:r>
        <w:rPr>
          <w:rFonts w:hint="eastAsia" w:asciiTheme="minorEastAsia" w:hAnsiTheme="minorEastAsia"/>
        </w:rPr>
        <w:t>第二章</w:t>
      </w:r>
      <w:r>
        <w:rPr>
          <w:rFonts w:asciiTheme="minorEastAsia" w:hAnsiTheme="minorEastAsia"/>
        </w:rPr>
        <w:t xml:space="preserve"> </w:t>
      </w:r>
      <w:r>
        <w:rPr>
          <w:rFonts w:hint="eastAsia" w:asciiTheme="minorEastAsia" w:hAnsiTheme="minorEastAsia"/>
        </w:rPr>
        <w:t xml:space="preserve"> 投标人</w:t>
      </w:r>
      <w:r>
        <w:rPr>
          <w:rFonts w:asciiTheme="minorEastAsia" w:hAnsiTheme="minorEastAsia"/>
        </w:rPr>
        <w:t>须知</w:t>
      </w:r>
      <w:r>
        <w:tab/>
      </w:r>
      <w:r>
        <w:fldChar w:fldCharType="begin"/>
      </w:r>
      <w:r>
        <w:instrText xml:space="preserve"> PAGEREF _Toc10366 \h </w:instrText>
      </w:r>
      <w:r>
        <w:fldChar w:fldCharType="separate"/>
      </w:r>
      <w:r>
        <w:t>5</w:t>
      </w:r>
      <w:r>
        <w:fldChar w:fldCharType="end"/>
      </w:r>
      <w:r>
        <w:fldChar w:fldCharType="end"/>
      </w:r>
    </w:p>
    <w:p>
      <w:pPr>
        <w:pStyle w:val="45"/>
        <w:tabs>
          <w:tab w:val="right" w:leader="dot" w:pos="8869"/>
        </w:tabs>
        <w:ind w:firstLine="440"/>
      </w:pPr>
      <w:r>
        <w:fldChar w:fldCharType="begin"/>
      </w:r>
      <w:r>
        <w:instrText xml:space="preserve"> HYPERLINK \l "_Toc15752" </w:instrText>
      </w:r>
      <w:r>
        <w:fldChar w:fldCharType="separate"/>
      </w:r>
      <w:r>
        <w:rPr>
          <w:rFonts w:hint="eastAsia"/>
        </w:rPr>
        <w:t>第三章 招标人要求</w:t>
      </w:r>
      <w:r>
        <w:tab/>
      </w:r>
      <w:r>
        <w:fldChar w:fldCharType="begin"/>
      </w:r>
      <w:r>
        <w:instrText xml:space="preserve"> PAGEREF _Toc15752 \h </w:instrText>
      </w:r>
      <w:r>
        <w:fldChar w:fldCharType="separate"/>
      </w:r>
      <w:r>
        <w:t>17</w:t>
      </w:r>
      <w:r>
        <w:fldChar w:fldCharType="end"/>
      </w:r>
      <w:r>
        <w:fldChar w:fldCharType="end"/>
      </w:r>
    </w:p>
    <w:p>
      <w:pPr>
        <w:pStyle w:val="45"/>
        <w:tabs>
          <w:tab w:val="right" w:leader="dot" w:pos="8869"/>
        </w:tabs>
        <w:ind w:firstLine="440"/>
      </w:pPr>
      <w:r>
        <w:fldChar w:fldCharType="begin"/>
      </w:r>
      <w:r>
        <w:instrText xml:space="preserve"> HYPERLINK \l "_Toc20751" </w:instrText>
      </w:r>
      <w:r>
        <w:fldChar w:fldCharType="separate"/>
      </w:r>
      <w:r>
        <w:rPr>
          <w:rFonts w:hint="eastAsia" w:asciiTheme="minorEastAsia" w:hAnsiTheme="minorEastAsia"/>
        </w:rPr>
        <w:t>第四章  评审方法和标准</w:t>
      </w:r>
      <w:r>
        <w:tab/>
      </w:r>
      <w:r>
        <w:fldChar w:fldCharType="begin"/>
      </w:r>
      <w:r>
        <w:instrText xml:space="preserve"> PAGEREF _Toc20751 \h </w:instrText>
      </w:r>
      <w:r>
        <w:fldChar w:fldCharType="separate"/>
      </w:r>
      <w:r>
        <w:t>26</w:t>
      </w:r>
      <w:r>
        <w:fldChar w:fldCharType="end"/>
      </w:r>
      <w:r>
        <w:fldChar w:fldCharType="end"/>
      </w:r>
    </w:p>
    <w:p>
      <w:pPr>
        <w:pStyle w:val="45"/>
        <w:tabs>
          <w:tab w:val="right" w:leader="dot" w:pos="8869"/>
        </w:tabs>
        <w:ind w:firstLine="440"/>
      </w:pPr>
      <w:r>
        <w:fldChar w:fldCharType="begin"/>
      </w:r>
      <w:r>
        <w:instrText xml:space="preserve"> HYPERLINK \l "_Toc10562" </w:instrText>
      </w:r>
      <w:r>
        <w:fldChar w:fldCharType="separate"/>
      </w:r>
      <w:r>
        <w:rPr>
          <w:rFonts w:hint="eastAsia" w:ascii="Times New Roman" w:hAnsi="Times New Roman"/>
        </w:rPr>
        <w:t xml:space="preserve">第五章 </w:t>
      </w:r>
      <w:r>
        <w:rPr>
          <w:rFonts w:ascii="Times New Roman" w:hAnsi="Times New Roman" w:eastAsia="宋体"/>
        </w:rPr>
        <w:t>合同</w:t>
      </w:r>
      <w:r>
        <w:tab/>
      </w:r>
      <w:r>
        <w:fldChar w:fldCharType="begin"/>
      </w:r>
      <w:r>
        <w:instrText xml:space="preserve"> PAGEREF _Toc10562 \h </w:instrText>
      </w:r>
      <w:r>
        <w:fldChar w:fldCharType="separate"/>
      </w:r>
      <w:r>
        <w:t>34</w:t>
      </w:r>
      <w:r>
        <w:fldChar w:fldCharType="end"/>
      </w:r>
      <w:r>
        <w:fldChar w:fldCharType="end"/>
      </w:r>
    </w:p>
    <w:p>
      <w:pPr>
        <w:pStyle w:val="45"/>
        <w:tabs>
          <w:tab w:val="right" w:leader="dot" w:pos="8869"/>
        </w:tabs>
        <w:ind w:firstLine="440"/>
      </w:pPr>
      <w:r>
        <w:fldChar w:fldCharType="begin"/>
      </w:r>
      <w:r>
        <w:instrText xml:space="preserve"> HYPERLINK \l "_Toc3758" </w:instrText>
      </w:r>
      <w:r>
        <w:fldChar w:fldCharType="separate"/>
      </w:r>
      <w:r>
        <w:rPr>
          <w:rFonts w:hint="eastAsia" w:asciiTheme="minorEastAsia" w:hAnsiTheme="minorEastAsia"/>
        </w:rPr>
        <w:t>第六章  投标文件格式</w:t>
      </w:r>
      <w:r>
        <w:tab/>
      </w:r>
      <w:r>
        <w:fldChar w:fldCharType="begin"/>
      </w:r>
      <w:r>
        <w:instrText xml:space="preserve"> PAGEREF _Toc3758 \h </w:instrText>
      </w:r>
      <w:r>
        <w:fldChar w:fldCharType="separate"/>
      </w:r>
      <w:r>
        <w:t>45</w:t>
      </w:r>
      <w:r>
        <w:fldChar w:fldCharType="end"/>
      </w:r>
      <w:r>
        <w:fldChar w:fldCharType="end"/>
      </w:r>
    </w:p>
    <w:p>
      <w:pPr>
        <w:pStyle w:val="45"/>
        <w:tabs>
          <w:tab w:val="right" w:leader="dot" w:pos="8869"/>
        </w:tabs>
        <w:ind w:firstLine="440"/>
      </w:pPr>
      <w:r>
        <w:fldChar w:fldCharType="begin"/>
      </w:r>
      <w:r>
        <w:instrText xml:space="preserve"> HYPERLINK \l "_Toc26889" </w:instrText>
      </w:r>
      <w:r>
        <w:fldChar w:fldCharType="separate"/>
      </w:r>
      <w:r>
        <w:rPr>
          <w:rFonts w:hint="eastAsia" w:asciiTheme="minorEastAsia" w:hAnsiTheme="minorEastAsia"/>
        </w:rPr>
        <w:t>第七章  安徽公共资源交易集团电子交易操作规程</w:t>
      </w:r>
      <w:r>
        <w:tab/>
      </w:r>
      <w:r>
        <w:fldChar w:fldCharType="begin"/>
      </w:r>
      <w:r>
        <w:instrText xml:space="preserve"> PAGEREF _Toc26889 \h </w:instrText>
      </w:r>
      <w:r>
        <w:fldChar w:fldCharType="separate"/>
      </w:r>
      <w:r>
        <w:t>55</w:t>
      </w:r>
      <w:r>
        <w:fldChar w:fldCharType="end"/>
      </w:r>
      <w:r>
        <w:fldChar w:fldCharType="end"/>
      </w:r>
    </w:p>
    <w:p>
      <w:pPr>
        <w:pStyle w:val="45"/>
        <w:tabs>
          <w:tab w:val="right" w:leader="dot" w:pos="8296"/>
        </w:tabs>
        <w:ind w:firstLine="440"/>
        <w:rPr>
          <w:rFonts w:asciiTheme="minorEastAsia" w:hAnsiTheme="minorEastAsia"/>
          <w:b/>
          <w:sz w:val="32"/>
        </w:rPr>
      </w:pPr>
      <w:r>
        <w:rPr>
          <w:rFonts w:asciiTheme="minorEastAsia" w:hAnsiTheme="minorEastAsia"/>
          <w:szCs w:val="24"/>
        </w:rPr>
        <w:fldChar w:fldCharType="end"/>
      </w:r>
    </w:p>
    <w:p>
      <w:pPr>
        <w:spacing w:line="360" w:lineRule="auto"/>
        <w:ind w:firstLine="562"/>
        <w:jc w:val="center"/>
        <w:outlineLvl w:val="1"/>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numPr>
          <w:ilvl w:val="0"/>
          <w:numId w:val="2"/>
        </w:numPr>
        <w:spacing w:line="360" w:lineRule="auto"/>
        <w:ind w:firstLine="562"/>
        <w:jc w:val="center"/>
        <w:outlineLvl w:val="1"/>
        <w:rPr>
          <w:rFonts w:asciiTheme="minorEastAsia" w:hAnsiTheme="minorEastAsia" w:eastAsiaTheme="minorEastAsia"/>
          <w:b/>
          <w:sz w:val="28"/>
        </w:rPr>
      </w:pPr>
      <w:r>
        <w:rPr>
          <w:rFonts w:asciiTheme="minorEastAsia" w:hAnsiTheme="minorEastAsia" w:eastAsiaTheme="minorEastAsia"/>
          <w:b/>
          <w:sz w:val="28"/>
        </w:rPr>
        <w:t xml:space="preserve"> </w:t>
      </w:r>
      <w:bookmarkStart w:id="1" w:name="_Toc25702"/>
      <w:r>
        <w:rPr>
          <w:rFonts w:hint="eastAsia" w:asciiTheme="minorEastAsia" w:hAnsiTheme="minorEastAsia" w:eastAsiaTheme="minorEastAsia"/>
          <w:b/>
          <w:sz w:val="28"/>
        </w:rPr>
        <w:t>磋商公告</w:t>
      </w:r>
      <w:bookmarkEnd w:id="1"/>
    </w:p>
    <w:p>
      <w:pPr>
        <w:pStyle w:val="68"/>
        <w:widowControl w:val="0"/>
        <w:autoSpaceDE w:val="0"/>
        <w:autoSpaceDN w:val="0"/>
        <w:adjustRightInd w:val="0"/>
        <w:spacing w:before="0" w:after="0"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kern w:val="2"/>
        </w:rPr>
        <w:t>安徽公共资源交易集团项目管理有限公司受</w:t>
      </w:r>
      <w:r>
        <w:rPr>
          <w:rFonts w:hint="eastAsia" w:asciiTheme="majorEastAsia" w:hAnsiTheme="majorEastAsia" w:eastAsiaTheme="majorEastAsia" w:cstheme="majorEastAsia"/>
        </w:rPr>
        <w:t>合肥百货大楼集团股份有限公司</w:t>
      </w:r>
      <w:r>
        <w:rPr>
          <w:rFonts w:hint="eastAsia" w:asciiTheme="majorEastAsia" w:hAnsiTheme="majorEastAsia" w:eastAsiaTheme="majorEastAsia" w:cstheme="majorEastAsia"/>
          <w:kern w:val="2"/>
        </w:rPr>
        <w:t>委托，现对</w:t>
      </w:r>
      <w:r>
        <w:rPr>
          <w:rFonts w:hint="eastAsia" w:asciiTheme="majorEastAsia" w:hAnsiTheme="majorEastAsia" w:eastAsiaTheme="majorEastAsia" w:cstheme="majorEastAsia"/>
        </w:rPr>
        <w:t>百大集团CRM、ERP系统维保服务</w:t>
      </w:r>
      <w:r>
        <w:rPr>
          <w:rFonts w:hint="eastAsia" w:asciiTheme="majorEastAsia" w:hAnsiTheme="majorEastAsia" w:eastAsiaTheme="majorEastAsia" w:cstheme="majorEastAsia"/>
          <w:kern w:val="2"/>
        </w:rPr>
        <w:t>进行竞争磋商，欢迎具备条件的国内投标人参加磋商。</w:t>
      </w:r>
    </w:p>
    <w:p>
      <w:pPr>
        <w:spacing w:line="360" w:lineRule="auto"/>
        <w:ind w:firstLine="482"/>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1.项目名称及内容</w:t>
      </w:r>
    </w:p>
    <w:p>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 项目编号：2024HAFWN02552</w:t>
      </w:r>
    </w:p>
    <w:p>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 项目名称：百大集团CRM、ERP系统维保服务</w:t>
      </w:r>
    </w:p>
    <w:p>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 项目地点：合肥市黄山路596号</w:t>
      </w:r>
    </w:p>
    <w:p>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 项目单位：合肥百货大楼集团股份有限公司</w:t>
      </w:r>
    </w:p>
    <w:p>
      <w:pPr>
        <w:autoSpaceDE w:val="0"/>
        <w:autoSpaceDN w:val="0"/>
        <w:adjustRightInd w:val="0"/>
        <w:spacing w:line="360" w:lineRule="auto"/>
        <w:ind w:firstLine="436" w:firstLineChars="182"/>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 项目概况：百大集团基础业务应用系统CRM10.0（2021.4上线）及ERP9.0（2018.4上线）自上线开始至今，其软件免基维保期限均已过期，现系统处于软件方无维护状态，系统存在的问题及漏洞无法得到及时处理，与其它系统的对接无法进行，严重影响到一些基础业务及信息数字化进程的开展。为保证软件功能的正确性、完整性、适用性，需购买维保服务以保证系统的可靠稳定运行和业务功能的拓展。</w:t>
      </w:r>
    </w:p>
    <w:p>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1.6 资金来源：自筹</w:t>
      </w:r>
    </w:p>
    <w:p>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 项目预算：42.12万元</w:t>
      </w:r>
    </w:p>
    <w:p>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1.8 项目类别：与工程无关·服务</w:t>
      </w:r>
    </w:p>
    <w:p>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1.9 标段划分：共分</w:t>
      </w:r>
      <w:r>
        <w:rPr>
          <w:rFonts w:hint="eastAsia" w:asciiTheme="majorEastAsia" w:hAnsiTheme="majorEastAsia" w:eastAsiaTheme="majorEastAsia" w:cstheme="majorEastAsia"/>
          <w:sz w:val="24"/>
          <w:szCs w:val="24"/>
          <w:u w:val="single"/>
        </w:rPr>
        <w:t xml:space="preserve"> 1 </w:t>
      </w:r>
      <w:r>
        <w:rPr>
          <w:rFonts w:hint="eastAsia" w:asciiTheme="majorEastAsia" w:hAnsiTheme="majorEastAsia" w:eastAsiaTheme="majorEastAsia" w:cstheme="majorEastAsia"/>
          <w:sz w:val="24"/>
          <w:szCs w:val="24"/>
        </w:rPr>
        <w:t>个标段，本次磋商第</w:t>
      </w:r>
      <w:r>
        <w:rPr>
          <w:rFonts w:hint="eastAsia" w:asciiTheme="majorEastAsia" w:hAnsiTheme="majorEastAsia" w:eastAsiaTheme="majorEastAsia" w:cstheme="majorEastAsia"/>
          <w:sz w:val="24"/>
          <w:szCs w:val="24"/>
          <w:u w:val="single"/>
        </w:rPr>
        <w:t xml:space="preserve"> 1 </w:t>
      </w:r>
      <w:r>
        <w:rPr>
          <w:rFonts w:hint="eastAsia" w:asciiTheme="majorEastAsia" w:hAnsiTheme="majorEastAsia" w:eastAsiaTheme="majorEastAsia" w:cstheme="majorEastAsia"/>
          <w:sz w:val="24"/>
          <w:szCs w:val="24"/>
        </w:rPr>
        <w:t>标段。</w:t>
      </w:r>
    </w:p>
    <w:p>
      <w:pPr>
        <w:spacing w:line="360" w:lineRule="auto"/>
        <w:ind w:firstLine="482"/>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 xml:space="preserve">2.投标人资格要求 </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2.1投标人具有独立承担民事责任的能力；</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2.2投标人资质要求：/</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2.3投标人业绩要求：/</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2.4项目负责人资格要求：/</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2.5本项目不接受联合体投标。</w:t>
      </w:r>
    </w:p>
    <w:p>
      <w:pPr>
        <w:spacing w:line="360" w:lineRule="auto"/>
        <w:ind w:firstLine="480" w:firstLineChars="200"/>
        <w:rPr>
          <w:rFonts w:asciiTheme="majorEastAsia" w:hAnsiTheme="majorEastAsia" w:eastAsiaTheme="majorEastAsia" w:cstheme="majorEastAsia"/>
          <w:b/>
          <w:bCs/>
          <w:i/>
          <w:iCs/>
          <w:sz w:val="24"/>
          <w:szCs w:val="24"/>
        </w:rPr>
      </w:pPr>
      <w:r>
        <w:rPr>
          <w:rFonts w:hint="eastAsia" w:asciiTheme="majorEastAsia" w:hAnsiTheme="majorEastAsia" w:eastAsiaTheme="majorEastAsia" w:cstheme="majorEastAsia"/>
          <w:sz w:val="24"/>
          <w:szCs w:val="24"/>
        </w:rPr>
        <w:t>2.6投标人不得存在以下不良信用记录情形</w:t>
      </w:r>
      <w:r>
        <w:rPr>
          <w:rFonts w:hint="eastAsia" w:asciiTheme="majorEastAsia" w:hAnsiTheme="majorEastAsia" w:eastAsiaTheme="majorEastAsia" w:cstheme="majorEastAsia"/>
          <w:b/>
          <w:bCs/>
          <w:i/>
          <w:iCs/>
          <w:sz w:val="24"/>
          <w:szCs w:val="24"/>
        </w:rPr>
        <w:t>：</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（1）被责令停产停业，暂扣或者吊销许可证，暂扣或者吊销执照；</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（2）进入清算程序，或被宣告破产，或其他丧失履约能力的情形；</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（3）在国家企业信用信息公示系统（http://www.gsxt.gov.cn/）中被列入严重违法失信企业名单；</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（4）在“信用中国”网站（http://www.creditchina.gov.cn/）中被列入失信被执行人名单；</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（5）在“信用中国”网站（http://www.creditchina.gov.cn/）中被列入重大税收违法失信主体名单；</w:t>
      </w:r>
    </w:p>
    <w:p>
      <w:pPr>
        <w:adjustRightInd w:val="0"/>
        <w:snapToGrid w:val="0"/>
        <w:spacing w:line="360" w:lineRule="auto"/>
        <w:ind w:firstLine="480" w:firstLineChars="200"/>
        <w:rPr>
          <w:rFonts w:asciiTheme="majorEastAsia" w:hAnsiTheme="majorEastAsia" w:eastAsiaTheme="majorEastAsia" w:cstheme="majorEastAsia"/>
          <w:b/>
          <w:bCs/>
          <w:i/>
          <w:iCs/>
          <w:color w:val="FF0000"/>
          <w:sz w:val="24"/>
          <w:szCs w:val="24"/>
        </w:rPr>
      </w:pPr>
      <w:r>
        <w:rPr>
          <w:rFonts w:hint="eastAsia" w:asciiTheme="majorEastAsia" w:hAnsiTheme="majorEastAsia" w:eastAsiaTheme="majorEastAsia" w:cstheme="majorEastAsia"/>
          <w:sz w:val="24"/>
          <w:szCs w:val="24"/>
        </w:rPr>
        <w:t>（6）在近三年内投标人或其法定代表人（单位负责人）有行贿犯罪行为的；</w:t>
      </w:r>
    </w:p>
    <w:p>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2.7其他要求： / 。</w:t>
      </w:r>
    </w:p>
    <w:p>
      <w:pPr>
        <w:spacing w:line="360" w:lineRule="auto"/>
        <w:ind w:firstLine="482"/>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3.磋商文件的获取</w:t>
      </w:r>
    </w:p>
    <w:p>
      <w:pPr>
        <w:spacing w:line="360" w:lineRule="auto"/>
        <w:ind w:firstLine="480" w:firstLineChars="200"/>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3.1获取时间：202</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12</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25到投标截止时间。</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3.2获取方式：</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（1）本磋商项目实行全流程电子化交易。</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（2）潜在投标人须登录安徽公共资源交易集团电子交易系统（以下简称“电子交易系统”）查阅磋商文件。</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（3）潜在投标人查阅磋商文件后，如参与投标，则须在规定的磋商文件获取时间内通过安徽公共资源交易集团电子交易系统完成投标信息的填写。</w:t>
      </w:r>
    </w:p>
    <w:p>
      <w:pP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（4）磋商文件获取过程中有任何疑问，请在工作时间（9：00-17：30，节假日休息）拨打技术支持热线（非项目咨询）：0512-58188516。项目咨询请拨打电话：0551-66223831、66223628。</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3.3电子交易服务费用： 200 元整，网上支付。</w:t>
      </w:r>
    </w:p>
    <w:p>
      <w:pPr>
        <w:spacing w:line="360" w:lineRule="auto"/>
        <w:ind w:firstLine="482"/>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4.投标文件提交截止时间</w:t>
      </w:r>
    </w:p>
    <w:p>
      <w:pP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同磋商时间</w:t>
      </w:r>
    </w:p>
    <w:p>
      <w:pPr>
        <w:spacing w:line="360" w:lineRule="auto"/>
        <w:ind w:firstLine="482"/>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5.磋商时间及地点</w:t>
      </w:r>
    </w:p>
    <w:p>
      <w:pPr>
        <w:spacing w:line="360" w:lineRule="auto"/>
        <w:ind w:firstLine="48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5.1磋商时间：2025-01-06 10:00</w:t>
      </w:r>
      <w:r>
        <w:rPr>
          <w:rFonts w:hint="eastAsia" w:asciiTheme="majorEastAsia" w:hAnsiTheme="majorEastAsia" w:eastAsiaTheme="majorEastAsia" w:cstheme="majorEastAsia"/>
          <w:sz w:val="24"/>
          <w:szCs w:val="24"/>
          <w:lang w:eastAsia="zh-CN"/>
        </w:rPr>
        <w:t>。</w:t>
      </w:r>
    </w:p>
    <w:p>
      <w:pPr>
        <w:spacing w:line="360" w:lineRule="auto"/>
        <w:ind w:firstLine="48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5.2磋商地点：合肥市滨湖新区徽州大道4872号金融港中心A9幢安徽公共资源交易集团二楼评标室（六）</w:t>
      </w:r>
      <w:r>
        <w:rPr>
          <w:rFonts w:hint="eastAsia" w:asciiTheme="majorEastAsia" w:hAnsiTheme="majorEastAsia" w:eastAsiaTheme="majorEastAsia" w:cstheme="majorEastAsia"/>
          <w:sz w:val="24"/>
          <w:szCs w:val="24"/>
          <w:lang w:eastAsia="zh-CN"/>
        </w:rPr>
        <w:t>。</w:t>
      </w:r>
    </w:p>
    <w:p>
      <w:pPr>
        <w:spacing w:line="360" w:lineRule="auto"/>
        <w:ind w:firstLine="482"/>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6.发布公告的媒介</w:t>
      </w:r>
    </w:p>
    <w:p>
      <w:pP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本次磋商公告同时在安徽公共资源交易集团网站上发布。</w:t>
      </w:r>
    </w:p>
    <w:p>
      <w:pPr>
        <w:spacing w:line="360" w:lineRule="auto"/>
        <w:ind w:firstLine="482"/>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7.联系方式</w:t>
      </w:r>
    </w:p>
    <w:p>
      <w:pP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7.1招标人</w:t>
      </w:r>
    </w:p>
    <w:p>
      <w:pP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招标人：合肥百货大楼集团股份有限公司</w:t>
      </w:r>
    </w:p>
    <w:p>
      <w:pP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  址：合肥市黄山路596号</w:t>
      </w:r>
    </w:p>
    <w:p>
      <w:pP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联系人：高工</w:t>
      </w:r>
    </w:p>
    <w:p>
      <w:pP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  话：0551-65771083</w:t>
      </w:r>
    </w:p>
    <w:p>
      <w:pPr>
        <w:spacing w:line="360" w:lineRule="auto"/>
        <w:ind w:firstLine="48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7.2代理机构</w:t>
      </w:r>
    </w:p>
    <w:p>
      <w:pP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代理机构：安徽公共资源交易集团项目管理有限公司</w:t>
      </w:r>
    </w:p>
    <w:p>
      <w:pP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  址：合肥市滨湖新区南京路2588号（徽州大道与南京路交口）六楼</w:t>
      </w:r>
    </w:p>
    <w:p>
      <w:pP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联系人：张工</w:t>
      </w:r>
    </w:p>
    <w:p>
      <w:pPr>
        <w:spacing w:line="360" w:lineRule="auto"/>
        <w:ind w:firstLine="48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电  话：0551-66223831，66223628</w:t>
      </w:r>
    </w:p>
    <w:p>
      <w:pP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7.3电子交易系统</w:t>
      </w:r>
    </w:p>
    <w:p>
      <w:pP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名  称：安徽公共资源交易集团电子交易系统</w:t>
      </w:r>
    </w:p>
    <w:p>
      <w:pPr>
        <w:spacing w:line="360" w:lineRule="auto"/>
        <w:ind w:firstLine="480"/>
        <w:rPr>
          <w:rFonts w:asciiTheme="majorEastAsia" w:hAnsiTheme="majorEastAsia" w:eastAsiaTheme="majorEastAsia" w:cstheme="majorEastAsia"/>
          <w:sz w:val="24"/>
          <w:szCs w:val="24"/>
        </w:rPr>
      </w:pPr>
      <w:bookmarkStart w:id="2" w:name="_Hlk38114117"/>
      <w:r>
        <w:rPr>
          <w:rFonts w:hint="eastAsia" w:asciiTheme="majorEastAsia" w:hAnsiTheme="majorEastAsia" w:eastAsiaTheme="majorEastAsia" w:cstheme="majorEastAsia"/>
          <w:sz w:val="24"/>
          <w:szCs w:val="24"/>
        </w:rPr>
        <w:t>电  话：</w:t>
      </w:r>
      <w:bookmarkEnd w:id="2"/>
      <w:r>
        <w:rPr>
          <w:rFonts w:hint="eastAsia" w:asciiTheme="majorEastAsia" w:hAnsiTheme="majorEastAsia" w:eastAsiaTheme="majorEastAsia" w:cstheme="majorEastAsia"/>
          <w:sz w:val="24"/>
          <w:szCs w:val="24"/>
        </w:rPr>
        <w:t>0512-58188516</w:t>
      </w:r>
    </w:p>
    <w:p>
      <w:pPr>
        <w:spacing w:line="360" w:lineRule="auto"/>
        <w:ind w:firstLine="48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7.4监督管理部门</w:t>
      </w:r>
    </w:p>
    <w:p>
      <w:pPr>
        <w:spacing w:line="360" w:lineRule="auto"/>
        <w:ind w:firstLine="48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监督管理部门：合肥百货大楼集团股份有限公司纪委</w:t>
      </w:r>
    </w:p>
    <w:p>
      <w:pPr>
        <w:spacing w:line="36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  址：合肥市黄山路596号</w:t>
      </w:r>
    </w:p>
    <w:p>
      <w:pPr>
        <w:spacing w:line="360" w:lineRule="auto"/>
        <w:ind w:firstLine="48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电  话：0551-65771085</w:t>
      </w:r>
    </w:p>
    <w:p>
      <w:pPr>
        <w:spacing w:line="360" w:lineRule="auto"/>
        <w:ind w:firstLine="482"/>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8.其他事项说明</w:t>
      </w:r>
    </w:p>
    <w:p>
      <w:pPr>
        <w:spacing w:line="360" w:lineRule="auto"/>
        <w:ind w:firstLine="48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8.1投标人应合理安排</w:t>
      </w:r>
      <w:r>
        <w:rPr>
          <w:rFonts w:hint="eastAsia" w:asciiTheme="majorEastAsia" w:hAnsiTheme="majorEastAsia" w:eastAsiaTheme="majorEastAsia" w:cstheme="majorEastAsia"/>
          <w:sz w:val="24"/>
          <w:szCs w:val="24"/>
        </w:rPr>
        <w:t>磋商</w:t>
      </w:r>
      <w:r>
        <w:rPr>
          <w:rFonts w:hint="eastAsia" w:asciiTheme="majorEastAsia" w:hAnsiTheme="majorEastAsia" w:eastAsiaTheme="majorEastAsia" w:cstheme="majorEastAsia"/>
          <w:bCs/>
          <w:sz w:val="24"/>
          <w:szCs w:val="24"/>
        </w:rPr>
        <w:t>文件获取时间，特别是网络速度慢的地区防止在系统关闭前网络拥堵无法操作。如果因计算机及网络故障造成无法完成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sz w:val="24"/>
          <w:szCs w:val="24"/>
        </w:rPr>
        <w:t>磋商</w:t>
      </w:r>
      <w:r>
        <w:rPr>
          <w:rFonts w:hint="eastAsia" w:asciiTheme="majorEastAsia" w:hAnsiTheme="majorEastAsia" w:eastAsiaTheme="majorEastAsia" w:cstheme="majorEastAsia"/>
          <w:bCs/>
          <w:sz w:val="24"/>
          <w:szCs w:val="24"/>
        </w:rPr>
        <w:t>文件获取，责任自负。</w:t>
      </w:r>
    </w:p>
    <w:p>
      <w:pPr>
        <w:spacing w:line="360" w:lineRule="auto"/>
        <w:ind w:firstLine="482"/>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8.2投标人如需开具电子交易服务费用发票，在项目磋商次日后自行登录安徽公共资源交易集团电子交易系统平台打印。</w:t>
      </w:r>
    </w:p>
    <w:p>
      <w:pPr>
        <w:numPr>
          <w:ilvl w:val="0"/>
          <w:numId w:val="3"/>
        </w:numPr>
        <w:spacing w:line="360" w:lineRule="auto"/>
        <w:ind w:firstLine="482"/>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投标保证金账户（如采用银行转账或银行电汇形式递交的，请选择以下任何一家银行递交即可）</w:t>
      </w:r>
    </w:p>
    <w:p>
      <w:pPr>
        <w:numPr>
          <w:ilvl w:val="0"/>
          <w:numId w:val="0"/>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标段简称:1标段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240" w:firstLine="0" w:firstLineChars="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徽商银行合肥蜀山支行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240" w:firstLine="0" w:firstLineChars="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户名：安徽公共资源交易集团项目管理有限公司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240" w:firstLine="0" w:firstLineChars="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账号：1023701021000135582279411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240" w:firstLine="0" w:firstLineChars="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开户银行：徽商银行合肥蜀山支行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240" w:firstLine="0" w:firstLineChars="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光大银行合肥阜南路支行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240" w:firstLine="0" w:firstLineChars="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户名：安徽公共资源交易集团项目管理有限公司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240" w:firstLine="0" w:firstLineChars="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账号：76700188015514541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240" w:firstLine="0" w:firstLineChars="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开户银行：光大银行合肥阜南路支行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240" w:firstLine="0" w:firstLineChars="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建行合肥庐阳支行营业部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240" w:firstLine="0" w:firstLineChars="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户名：安徽公共资源交易集团项目管理有限公司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240" w:firstLine="0" w:firstLineChars="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账号：6232811630000510749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240" w:firstLine="0" w:firstLineChars="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开户银行：建行合肥庐阳支行营业部</w:t>
      </w:r>
      <w:r>
        <w:rPr>
          <w:rFonts w:hint="eastAsia" w:asciiTheme="majorEastAsia" w:hAnsiTheme="majorEastAsia" w:eastAsiaTheme="majorEastAsia" w:cstheme="majorEastAsia"/>
          <w:sz w:val="24"/>
          <w:szCs w:val="24"/>
        </w:rPr>
        <w:br w:type="page"/>
      </w:r>
    </w:p>
    <w:p>
      <w:pPr>
        <w:spacing w:line="360" w:lineRule="auto"/>
        <w:ind w:firstLine="562"/>
        <w:jc w:val="center"/>
        <w:outlineLvl w:val="1"/>
        <w:rPr>
          <w:rFonts w:asciiTheme="minorEastAsia" w:hAnsiTheme="minorEastAsia" w:eastAsiaTheme="minorEastAsia"/>
          <w:b/>
          <w:sz w:val="28"/>
        </w:rPr>
      </w:pPr>
      <w:bookmarkStart w:id="3" w:name="_Toc10366"/>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3"/>
    </w:p>
    <w:p>
      <w:pPr>
        <w:spacing w:line="360" w:lineRule="auto"/>
        <w:ind w:firstLine="482"/>
        <w:jc w:val="center"/>
        <w:outlineLvl w:val="2"/>
        <w:rPr>
          <w:rFonts w:asciiTheme="minorEastAsia" w:hAnsiTheme="minorEastAsia" w:eastAsiaTheme="minorEastAsia"/>
          <w:b/>
          <w:sz w:val="24"/>
        </w:rPr>
      </w:pPr>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395"/>
        <w:gridCol w:w="6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pPr>
              <w:pStyle w:val="69"/>
              <w:widowControl w:val="0"/>
              <w:spacing w:before="0" w:beforeAutospacing="0" w:after="0" w:afterAutospacing="0" w:line="360" w:lineRule="auto"/>
              <w:jc w:val="both"/>
              <w:rPr>
                <w:rFonts w:cs="宋体"/>
                <w:bCs w:val="0"/>
                <w:kern w:val="2"/>
                <w:sz w:val="24"/>
                <w:szCs w:val="24"/>
              </w:rPr>
            </w:pPr>
            <w:r>
              <w:rPr>
                <w:rFonts w:hint="eastAsia" w:cs="宋体"/>
                <w:bCs w:val="0"/>
                <w:kern w:val="2"/>
                <w:sz w:val="24"/>
                <w:szCs w:val="24"/>
              </w:rPr>
              <w:t>条款号</w:t>
            </w:r>
          </w:p>
        </w:tc>
        <w:tc>
          <w:tcPr>
            <w:tcW w:w="818" w:type="pct"/>
            <w:vAlign w:val="center"/>
          </w:tcPr>
          <w:p>
            <w:pPr>
              <w:pStyle w:val="69"/>
              <w:widowControl w:val="0"/>
              <w:spacing w:before="0" w:beforeAutospacing="0" w:after="0" w:afterAutospacing="0" w:line="360" w:lineRule="auto"/>
              <w:jc w:val="both"/>
              <w:rPr>
                <w:rFonts w:cs="宋体"/>
                <w:bCs w:val="0"/>
                <w:kern w:val="2"/>
                <w:sz w:val="24"/>
                <w:szCs w:val="24"/>
              </w:rPr>
            </w:pPr>
            <w:r>
              <w:rPr>
                <w:rFonts w:hint="eastAsia" w:cs="宋体"/>
                <w:bCs w:val="0"/>
                <w:kern w:val="2"/>
                <w:sz w:val="24"/>
                <w:szCs w:val="24"/>
              </w:rPr>
              <w:t>条款名称</w:t>
            </w:r>
          </w:p>
        </w:tc>
        <w:tc>
          <w:tcPr>
            <w:tcW w:w="3621" w:type="pct"/>
            <w:vAlign w:val="center"/>
          </w:tcPr>
          <w:p>
            <w:pPr>
              <w:pStyle w:val="69"/>
              <w:widowControl w:val="0"/>
              <w:spacing w:before="0" w:beforeAutospacing="0" w:after="0" w:afterAutospacing="0" w:line="360" w:lineRule="auto"/>
              <w:ind w:firstLine="482"/>
              <w:rPr>
                <w:rFonts w:cs="宋体"/>
                <w:bCs w:val="0"/>
                <w:kern w:val="2"/>
                <w:sz w:val="24"/>
                <w:szCs w:val="24"/>
              </w:rPr>
            </w:pPr>
            <w:r>
              <w:rPr>
                <w:rFonts w:hint="eastAsia" w:cs="宋体"/>
                <w:bCs w:val="0"/>
                <w:kern w:val="2"/>
                <w:sz w:val="24"/>
                <w:szCs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1</w:t>
            </w:r>
          </w:p>
        </w:tc>
        <w:tc>
          <w:tcPr>
            <w:tcW w:w="818" w:type="pct"/>
            <w:vAlign w:val="center"/>
          </w:tcPr>
          <w:p>
            <w:pPr>
              <w:pStyle w:val="69"/>
              <w:widowControl w:val="0"/>
              <w:spacing w:before="0" w:beforeAutospacing="0" w:after="0" w:afterAutospacing="0" w:line="360" w:lineRule="auto"/>
              <w:rPr>
                <w:rFonts w:cs="宋体"/>
                <w:b w:val="0"/>
                <w:sz w:val="24"/>
                <w:szCs w:val="24"/>
              </w:rPr>
            </w:pPr>
            <w:r>
              <w:rPr>
                <w:rFonts w:hint="eastAsia" w:cs="宋体"/>
                <w:b w:val="0"/>
                <w:sz w:val="24"/>
                <w:szCs w:val="24"/>
              </w:rPr>
              <w:t>服务地点</w:t>
            </w:r>
          </w:p>
        </w:tc>
        <w:tc>
          <w:tcPr>
            <w:tcW w:w="3621" w:type="pct"/>
            <w:vAlign w:val="center"/>
          </w:tcPr>
          <w:p>
            <w:pPr>
              <w:pStyle w:val="69"/>
              <w:widowControl w:val="0"/>
              <w:spacing w:before="0" w:beforeAutospacing="0" w:after="0" w:afterAutospacing="0" w:line="360" w:lineRule="auto"/>
              <w:jc w:val="left"/>
              <w:rPr>
                <w:rFonts w:cs="宋体"/>
                <w:sz w:val="24"/>
                <w:szCs w:val="24"/>
              </w:rPr>
            </w:pPr>
            <w:r>
              <w:rPr>
                <w:rFonts w:cs="宋体"/>
                <w:b w:val="0"/>
                <w:bCs w:val="0"/>
                <w:sz w:val="24"/>
                <w:szCs w:val="24"/>
              </w:rPr>
              <w:t>安徽省合肥市黄山路</w:t>
            </w:r>
            <w:r>
              <w:rPr>
                <w:rFonts w:hint="eastAsia" w:cs="宋体"/>
                <w:b w:val="0"/>
                <w:bCs w:val="0"/>
                <w:sz w:val="24"/>
                <w:szCs w:val="24"/>
              </w:rPr>
              <w:t>596号合肥百大集团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9"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2</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服务期限</w:t>
            </w:r>
          </w:p>
        </w:tc>
        <w:tc>
          <w:tcPr>
            <w:tcW w:w="3621" w:type="pct"/>
            <w:vAlign w:val="center"/>
          </w:tcPr>
          <w:p>
            <w:pPr>
              <w:pStyle w:val="96"/>
            </w:pPr>
            <w:r>
              <w:rPr>
                <w:rFonts w:hint="eastAsia"/>
                <w:b w:val="0"/>
                <w:bCs/>
              </w:rPr>
              <w:t>365日历天（合同到期后双方无异议可续签二年）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3</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现场踏勘</w:t>
            </w:r>
          </w:p>
        </w:tc>
        <w:tc>
          <w:tcPr>
            <w:tcW w:w="3621" w:type="pct"/>
            <w:vAlign w:val="center"/>
          </w:tcPr>
          <w:p>
            <w:pPr>
              <w:jc w:val="left"/>
              <w:rPr>
                <w:rFonts w:cs="宋体"/>
                <w:sz w:val="24"/>
                <w:szCs w:val="24"/>
              </w:rPr>
            </w:pPr>
            <w:r>
              <w:rPr>
                <w:rFonts w:ascii="Segoe UI Symbol" w:hAnsi="Segoe UI Symbol" w:cs="Segoe UI Symbol"/>
                <w:kern w:val="2"/>
                <w:sz w:val="24"/>
                <w:szCs w:val="24"/>
              </w:rPr>
              <w:t>☑</w:t>
            </w:r>
            <w:r>
              <w:rPr>
                <w:rFonts w:hint="eastAsia" w:cs="宋体"/>
                <w:bCs/>
                <w:kern w:val="2"/>
                <w:sz w:val="24"/>
                <w:szCs w:val="24"/>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关于联合体参加磋商的相关约定</w:t>
            </w:r>
          </w:p>
        </w:tc>
        <w:tc>
          <w:tcPr>
            <w:tcW w:w="3621" w:type="pct"/>
            <w:vAlign w:val="center"/>
          </w:tcPr>
          <w:p>
            <w:pPr>
              <w:pStyle w:val="69"/>
              <w:widowControl w:val="0"/>
              <w:spacing w:before="0" w:beforeAutospacing="0" w:after="0" w:afterAutospacing="0" w:line="360" w:lineRule="auto"/>
              <w:jc w:val="left"/>
              <w:rPr>
                <w:rFonts w:cs="宋体"/>
                <w:b w:val="0"/>
                <w:sz w:val="24"/>
                <w:szCs w:val="24"/>
              </w:rPr>
            </w:pPr>
            <w:r>
              <w:rPr>
                <w:rFonts w:hint="eastAsia" w:cs="宋体"/>
                <w:b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初审业绩要求</w:t>
            </w:r>
          </w:p>
        </w:tc>
        <w:tc>
          <w:tcPr>
            <w:tcW w:w="3621" w:type="pct"/>
            <w:vAlign w:val="center"/>
          </w:tcPr>
          <w:p>
            <w:pPr>
              <w:spacing w:line="360" w:lineRule="auto"/>
            </w:pPr>
            <w:r>
              <w:rPr>
                <w:rFonts w:hint="eastAsia" w:cs="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投标人提出疑问截止时间</w:t>
            </w:r>
          </w:p>
        </w:tc>
        <w:tc>
          <w:tcPr>
            <w:tcW w:w="3621" w:type="pct"/>
          </w:tcPr>
          <w:p>
            <w:pPr>
              <w:spacing w:line="440" w:lineRule="exact"/>
              <w:rPr>
                <w:rFonts w:cs="宋体"/>
                <w:sz w:val="24"/>
                <w:szCs w:val="24"/>
              </w:rPr>
            </w:pPr>
            <w:r>
              <w:rPr>
                <w:rFonts w:hint="eastAsia" w:cs="宋体"/>
                <w:sz w:val="24"/>
                <w:szCs w:val="24"/>
              </w:rPr>
              <w:t>（1）时间：</w:t>
            </w:r>
            <w:r>
              <w:rPr>
                <w:rFonts w:hint="eastAsia" w:cs="宋体"/>
                <w:sz w:val="24"/>
                <w:szCs w:val="24"/>
                <w:lang w:val="en-US" w:eastAsia="zh-CN"/>
              </w:rPr>
              <w:t>2024</w:t>
            </w:r>
            <w:r>
              <w:rPr>
                <w:rFonts w:hint="eastAsia" w:cs="宋体"/>
                <w:sz w:val="24"/>
                <w:szCs w:val="24"/>
              </w:rPr>
              <w:t>年</w:t>
            </w:r>
            <w:r>
              <w:rPr>
                <w:rFonts w:hint="eastAsia" w:cs="宋体"/>
                <w:sz w:val="24"/>
                <w:szCs w:val="24"/>
                <w:lang w:val="en-US" w:eastAsia="zh-CN"/>
              </w:rPr>
              <w:t>12</w:t>
            </w:r>
            <w:r>
              <w:rPr>
                <w:rFonts w:hint="eastAsia" w:cs="宋体"/>
                <w:sz w:val="24"/>
                <w:szCs w:val="24"/>
              </w:rPr>
              <w:t>月</w:t>
            </w:r>
            <w:r>
              <w:rPr>
                <w:rFonts w:hint="eastAsia" w:cs="宋体"/>
                <w:sz w:val="24"/>
                <w:szCs w:val="24"/>
                <w:lang w:val="en-US" w:eastAsia="zh-CN"/>
              </w:rPr>
              <w:t>31</w:t>
            </w:r>
            <w:r>
              <w:rPr>
                <w:rFonts w:hint="eastAsia" w:cs="宋体"/>
                <w:sz w:val="24"/>
                <w:szCs w:val="24"/>
              </w:rPr>
              <w:t>日</w:t>
            </w:r>
            <w:r>
              <w:rPr>
                <w:rFonts w:hint="eastAsia" w:cs="宋体"/>
                <w:sz w:val="24"/>
                <w:szCs w:val="24"/>
                <w:lang w:val="en-US" w:eastAsia="zh-CN"/>
              </w:rPr>
              <w:t>17</w:t>
            </w:r>
            <w:r>
              <w:rPr>
                <w:rFonts w:hint="eastAsia" w:cs="宋体"/>
                <w:sz w:val="24"/>
                <w:szCs w:val="24"/>
              </w:rPr>
              <w:t>时</w:t>
            </w:r>
            <w:r>
              <w:rPr>
                <w:rFonts w:hint="eastAsia" w:cs="宋体"/>
                <w:sz w:val="24"/>
                <w:szCs w:val="24"/>
                <w:lang w:val="en-US" w:eastAsia="zh-CN"/>
              </w:rPr>
              <w:t>30</w:t>
            </w:r>
            <w:r>
              <w:rPr>
                <w:rFonts w:hint="eastAsia" w:cs="宋体"/>
                <w:sz w:val="24"/>
                <w:szCs w:val="24"/>
              </w:rPr>
              <w:t>分</w:t>
            </w:r>
          </w:p>
          <w:p>
            <w:pPr>
              <w:spacing w:line="440" w:lineRule="exact"/>
              <w:rPr>
                <w:rFonts w:cs="宋体"/>
                <w:bCs/>
                <w:sz w:val="24"/>
                <w:szCs w:val="24"/>
              </w:rPr>
            </w:pPr>
            <w:r>
              <w:rPr>
                <w:rFonts w:hint="eastAsia" w:cs="宋体"/>
                <w:sz w:val="24"/>
                <w:szCs w:val="24"/>
              </w:rPr>
              <w:t>（2）形式：通过电子交易系统提交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构成磋商的其他材料</w:t>
            </w:r>
          </w:p>
        </w:tc>
        <w:tc>
          <w:tcPr>
            <w:tcW w:w="3621" w:type="pct"/>
            <w:vAlign w:val="center"/>
          </w:tcPr>
          <w:p>
            <w:pPr>
              <w:adjustRightInd w:val="0"/>
              <w:snapToGrid w:val="0"/>
              <w:jc w:val="left"/>
              <w:rPr>
                <w:rFonts w:cs="宋体"/>
                <w:sz w:val="24"/>
                <w:szCs w:val="24"/>
              </w:rPr>
            </w:pPr>
            <w:r>
              <w:rPr>
                <w:rFonts w:hint="eastAsia" w:cs="宋体"/>
                <w:kern w:val="2"/>
                <w:sz w:val="24"/>
                <w:szCs w:val="24"/>
              </w:rPr>
              <w:fldChar w:fldCharType="begin"/>
            </w:r>
            <w:r>
              <w:rPr>
                <w:rFonts w:hint="eastAsia" w:cs="宋体"/>
                <w:kern w:val="2"/>
                <w:sz w:val="24"/>
                <w:szCs w:val="24"/>
              </w:rPr>
              <w:instrText xml:space="preserve"> eq \o\ac(</w:instrText>
            </w:r>
            <w:r>
              <w:rPr>
                <w:rFonts w:hint="eastAsia" w:cs="宋体"/>
                <w:kern w:val="2"/>
                <w:position w:val="-4"/>
                <w:sz w:val="36"/>
                <w:szCs w:val="24"/>
              </w:rPr>
              <w:instrText xml:space="preserve">□</w:instrText>
            </w:r>
            <w:r>
              <w:rPr>
                <w:rFonts w:hint="eastAsia" w:cs="宋体"/>
                <w:kern w:val="2"/>
                <w:sz w:val="24"/>
                <w:szCs w:val="24"/>
              </w:rPr>
              <w:instrText xml:space="preserve">,√)</w:instrText>
            </w:r>
            <w:r>
              <w:rPr>
                <w:rFonts w:hint="eastAsia" w:cs="宋体"/>
                <w:kern w:val="2"/>
                <w:sz w:val="24"/>
                <w:szCs w:val="24"/>
              </w:rPr>
              <w:fldChar w:fldCharType="end"/>
            </w:r>
            <w:r>
              <w:rPr>
                <w:rFonts w:hint="eastAsia" w:asciiTheme="minorEastAsia" w:hAnsiTheme="minorEastAsia" w:eastAsiaTheme="minorEastAsia"/>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8</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磋商保证金</w:t>
            </w:r>
          </w:p>
        </w:tc>
        <w:tc>
          <w:tcPr>
            <w:tcW w:w="3621" w:type="pct"/>
            <w:vAlign w:val="center"/>
          </w:tcPr>
          <w:p>
            <w:pPr>
              <w:snapToGrid w:val="0"/>
              <w:rPr>
                <w:rFonts w:asciiTheme="minorEastAsia" w:hAnsiTheme="minorEastAsia" w:eastAsiaTheme="minorEastAsia" w:cstheme="minorEastAsia"/>
                <w:b/>
                <w:bCs/>
                <w:i/>
                <w:iCs/>
                <w:kern w:val="2"/>
                <w:sz w:val="24"/>
                <w:szCs w:val="24"/>
                <w:shd w:val="clear" w:color="FFFFFF" w:fill="D9D9D9"/>
              </w:rPr>
            </w:pPr>
            <w:r>
              <w:rPr>
                <w:rFonts w:hint="eastAsia" w:cs="宋体"/>
                <w:kern w:val="2"/>
                <w:sz w:val="24"/>
                <w:szCs w:val="24"/>
              </w:rPr>
              <w:t>（1）金额：</w:t>
            </w:r>
            <w:r>
              <w:rPr>
                <w:rFonts w:hint="eastAsia" w:asciiTheme="minorEastAsia" w:hAnsiTheme="minorEastAsia" w:eastAsiaTheme="minorEastAsia" w:cstheme="minorEastAsia"/>
                <w:bCs/>
                <w:sz w:val="24"/>
                <w:szCs w:val="24"/>
                <w:u w:val="single"/>
              </w:rPr>
              <w:t xml:space="preserve">  捌仟元</w:t>
            </w:r>
            <w:r>
              <w:rPr>
                <w:rFonts w:hint="eastAsia" w:asciiTheme="minorEastAsia" w:hAnsiTheme="minorEastAsia" w:eastAsiaTheme="minorEastAsia" w:cstheme="minorEastAsia"/>
                <w:bCs/>
                <w:sz w:val="24"/>
                <w:szCs w:val="24"/>
                <w:u w:val="single"/>
                <w:lang w:val="en-US" w:eastAsia="zh-CN"/>
              </w:rPr>
              <w:t>人民币</w:t>
            </w:r>
            <w:bookmarkStart w:id="59" w:name="_GoBack"/>
            <w:bookmarkEnd w:id="59"/>
            <w:r>
              <w:rPr>
                <w:rFonts w:hint="eastAsia" w:asciiTheme="minorEastAsia" w:hAnsiTheme="minorEastAsia" w:eastAsiaTheme="minorEastAsia" w:cstheme="minorEastAsia"/>
                <w:bCs/>
                <w:sz w:val="24"/>
                <w:szCs w:val="24"/>
                <w:u w:val="single"/>
              </w:rPr>
              <w:t xml:space="preserve">  </w:t>
            </w:r>
          </w:p>
          <w:p>
            <w:pPr>
              <w:snapToGrid w:val="0"/>
              <w:spacing w:line="360" w:lineRule="auto"/>
              <w:rPr>
                <w:rFonts w:cs="宋体"/>
                <w:kern w:val="2"/>
                <w:sz w:val="24"/>
                <w:szCs w:val="24"/>
              </w:rPr>
            </w:pPr>
            <w:r>
              <w:rPr>
                <w:rFonts w:hint="eastAsia" w:cs="宋体"/>
                <w:kern w:val="2"/>
                <w:sz w:val="24"/>
                <w:szCs w:val="24"/>
              </w:rPr>
              <w:t>（2）缴纳形式：</w:t>
            </w:r>
            <w:r>
              <w:rPr>
                <w:rFonts w:hint="eastAsia" w:cs="宋体"/>
                <w:kern w:val="2"/>
                <w:sz w:val="24"/>
                <w:szCs w:val="24"/>
              </w:rPr>
              <w:fldChar w:fldCharType="begin"/>
            </w:r>
            <w:r>
              <w:rPr>
                <w:rFonts w:hint="eastAsia" w:cs="宋体"/>
                <w:kern w:val="2"/>
                <w:sz w:val="24"/>
                <w:szCs w:val="24"/>
              </w:rPr>
              <w:instrText xml:space="preserve"> eq \o\ac(</w:instrText>
            </w:r>
            <w:r>
              <w:rPr>
                <w:rFonts w:hint="eastAsia" w:cs="宋体"/>
                <w:kern w:val="2"/>
                <w:position w:val="-4"/>
                <w:sz w:val="36"/>
                <w:szCs w:val="24"/>
              </w:rPr>
              <w:instrText xml:space="preserve">□</w:instrText>
            </w:r>
            <w:r>
              <w:rPr>
                <w:rFonts w:hint="eastAsia" w:cs="宋体"/>
                <w:kern w:val="2"/>
                <w:sz w:val="24"/>
                <w:szCs w:val="24"/>
              </w:rPr>
              <w:instrText xml:space="preserve">,√)</w:instrText>
            </w:r>
            <w:r>
              <w:rPr>
                <w:rFonts w:hint="eastAsia" w:cs="宋体"/>
                <w:kern w:val="2"/>
                <w:sz w:val="24"/>
                <w:szCs w:val="24"/>
              </w:rPr>
              <w:fldChar w:fldCharType="end"/>
            </w:r>
            <w:r>
              <w:rPr>
                <w:rFonts w:hint="eastAsia" w:cs="宋体"/>
                <w:kern w:val="2"/>
                <w:sz w:val="24"/>
                <w:szCs w:val="24"/>
              </w:rPr>
              <w:t xml:space="preserve">银行转账  </w:t>
            </w:r>
            <w:r>
              <w:rPr>
                <w:rFonts w:hint="eastAsia" w:cs="宋体"/>
                <w:kern w:val="2"/>
                <w:sz w:val="24"/>
                <w:szCs w:val="24"/>
              </w:rPr>
              <w:fldChar w:fldCharType="begin"/>
            </w:r>
            <w:r>
              <w:rPr>
                <w:rFonts w:hint="eastAsia" w:cs="宋体"/>
                <w:kern w:val="2"/>
                <w:sz w:val="24"/>
                <w:szCs w:val="24"/>
              </w:rPr>
              <w:instrText xml:space="preserve"> eq \o\ac(</w:instrText>
            </w:r>
            <w:r>
              <w:rPr>
                <w:rFonts w:hint="eastAsia" w:cs="宋体"/>
                <w:kern w:val="2"/>
                <w:position w:val="-4"/>
                <w:sz w:val="36"/>
                <w:szCs w:val="24"/>
              </w:rPr>
              <w:instrText xml:space="preserve">□</w:instrText>
            </w:r>
            <w:r>
              <w:rPr>
                <w:rFonts w:hint="eastAsia" w:cs="宋体"/>
                <w:kern w:val="2"/>
                <w:sz w:val="24"/>
                <w:szCs w:val="24"/>
              </w:rPr>
              <w:instrText xml:space="preserve">,√)</w:instrText>
            </w:r>
            <w:r>
              <w:rPr>
                <w:rFonts w:hint="eastAsia" w:cs="宋体"/>
                <w:kern w:val="2"/>
                <w:sz w:val="24"/>
                <w:szCs w:val="24"/>
              </w:rPr>
              <w:fldChar w:fldCharType="end"/>
            </w:r>
            <w:r>
              <w:rPr>
                <w:rFonts w:hint="eastAsia" w:cs="宋体"/>
                <w:kern w:val="2"/>
                <w:sz w:val="24"/>
                <w:szCs w:val="24"/>
              </w:rPr>
              <w:t xml:space="preserve">银行电汇  </w:t>
            </w:r>
            <w:r>
              <w:rPr>
                <w:rFonts w:hint="eastAsia" w:cs="宋体"/>
                <w:kern w:val="2"/>
                <w:sz w:val="24"/>
                <w:szCs w:val="24"/>
              </w:rPr>
              <w:fldChar w:fldCharType="begin"/>
            </w:r>
            <w:r>
              <w:rPr>
                <w:rFonts w:hint="eastAsia" w:cs="宋体"/>
                <w:kern w:val="2"/>
                <w:sz w:val="24"/>
                <w:szCs w:val="24"/>
              </w:rPr>
              <w:instrText xml:space="preserve"> eq \o\ac(</w:instrText>
            </w:r>
            <w:r>
              <w:rPr>
                <w:rFonts w:hint="eastAsia" w:cs="宋体"/>
                <w:kern w:val="2"/>
                <w:position w:val="-4"/>
                <w:sz w:val="36"/>
                <w:szCs w:val="24"/>
              </w:rPr>
              <w:instrText xml:space="preserve">□,</w:instrText>
            </w:r>
            <w:r>
              <w:rPr>
                <w:rFonts w:hint="eastAsia" w:cs="宋体"/>
                <w:kern w:val="2"/>
                <w:sz w:val="25"/>
                <w:szCs w:val="24"/>
              </w:rPr>
              <w:instrText xml:space="preserve">√</w:instrText>
            </w:r>
            <w:r>
              <w:rPr>
                <w:rFonts w:hint="eastAsia" w:cs="宋体"/>
                <w:kern w:val="2"/>
                <w:sz w:val="24"/>
                <w:szCs w:val="24"/>
              </w:rPr>
              <w:instrText xml:space="preserve">)</w:instrText>
            </w:r>
            <w:r>
              <w:rPr>
                <w:rFonts w:hint="eastAsia" w:cs="宋体"/>
                <w:kern w:val="2"/>
                <w:sz w:val="24"/>
                <w:szCs w:val="24"/>
              </w:rPr>
              <w:fldChar w:fldCharType="end"/>
            </w:r>
            <w:r>
              <w:rPr>
                <w:rFonts w:hint="eastAsia" w:cs="宋体"/>
                <w:kern w:val="2"/>
                <w:sz w:val="24"/>
                <w:szCs w:val="24"/>
              </w:rPr>
              <w:t xml:space="preserve">银行保函 </w:t>
            </w:r>
          </w:p>
          <w:p>
            <w:pPr>
              <w:snapToGrid w:val="0"/>
              <w:spacing w:line="360" w:lineRule="auto"/>
              <w:rPr>
                <w:rFonts w:cs="宋体"/>
                <w:kern w:val="2"/>
                <w:sz w:val="24"/>
                <w:szCs w:val="24"/>
              </w:rPr>
            </w:pPr>
            <w:r>
              <w:rPr>
                <w:rFonts w:hint="eastAsia" w:cs="宋体"/>
                <w:kern w:val="2"/>
                <w:sz w:val="24"/>
                <w:szCs w:val="24"/>
              </w:rPr>
              <w:t>（3）递交要求：</w:t>
            </w:r>
          </w:p>
          <w:p>
            <w:pPr>
              <w:snapToGrid w:val="0"/>
              <w:spacing w:line="360" w:lineRule="auto"/>
              <w:ind w:firstLine="120" w:firstLineChars="50"/>
              <w:rPr>
                <w:rFonts w:cs="宋体"/>
                <w:kern w:val="2"/>
                <w:sz w:val="24"/>
                <w:szCs w:val="24"/>
              </w:rPr>
            </w:pPr>
            <w:r>
              <w:rPr>
                <w:rFonts w:hint="eastAsia" w:cs="宋体"/>
                <w:kern w:val="2"/>
                <w:sz w:val="24"/>
                <w:szCs w:val="24"/>
              </w:rPr>
              <w:t>①磋商保证金的到账截止时间：磋商截止时间。</w:t>
            </w:r>
          </w:p>
          <w:p>
            <w:pPr>
              <w:snapToGrid w:val="0"/>
              <w:spacing w:line="360" w:lineRule="auto"/>
              <w:ind w:firstLine="120" w:firstLineChars="50"/>
              <w:rPr>
                <w:rFonts w:cs="宋体"/>
                <w:kern w:val="2"/>
                <w:sz w:val="24"/>
                <w:szCs w:val="24"/>
              </w:rPr>
            </w:pPr>
            <w:r>
              <w:rPr>
                <w:rFonts w:hint="eastAsia" w:cs="宋体"/>
                <w:kern w:val="2"/>
                <w:sz w:val="24"/>
                <w:szCs w:val="24"/>
              </w:rPr>
              <w:t>②转入的开户银行及账号见本项目招标公告所示。</w:t>
            </w:r>
          </w:p>
          <w:p>
            <w:pPr>
              <w:snapToGrid w:val="0"/>
              <w:spacing w:line="360" w:lineRule="auto"/>
              <w:ind w:firstLine="120" w:firstLineChars="50"/>
              <w:rPr>
                <w:rFonts w:cs="宋体"/>
                <w:kern w:val="2"/>
                <w:sz w:val="24"/>
                <w:szCs w:val="24"/>
              </w:rPr>
            </w:pPr>
            <w:r>
              <w:rPr>
                <w:rFonts w:hint="eastAsia" w:cs="宋体"/>
                <w:kern w:val="2"/>
                <w:sz w:val="24"/>
                <w:szCs w:val="24"/>
              </w:rPr>
              <w:t>③采用银行保函，应为投标人基本账户开户行出具的见索即付无条件银行保函；投标人必须提供明确有效的查询途径（网址链接及查询方式），否则该银行保函无效。评审时评审小组保留现场核查权利。</w:t>
            </w:r>
          </w:p>
          <w:p>
            <w:pPr>
              <w:snapToGrid w:val="0"/>
              <w:spacing w:line="360" w:lineRule="auto"/>
              <w:ind w:firstLine="120" w:firstLineChars="50"/>
              <w:rPr>
                <w:rFonts w:cs="宋体"/>
                <w:kern w:val="2"/>
                <w:sz w:val="24"/>
                <w:szCs w:val="24"/>
              </w:rPr>
            </w:pPr>
            <w:r>
              <w:rPr>
                <w:rFonts w:hint="eastAsia" w:cs="宋体"/>
                <w:kern w:val="2"/>
                <w:sz w:val="24"/>
                <w:szCs w:val="24"/>
              </w:rPr>
              <w:t>④中标人须在中标通知书发布前将其开具至本项目的银行保函原件提交招标人（或代理机构），且原件须与投标文件中提供的扫描件一致，如存在未按规定提交或提交内容不一致，或发现弄虚作假的，报监管部门处理。</w:t>
            </w:r>
          </w:p>
          <w:p>
            <w:pPr>
              <w:snapToGrid w:val="0"/>
              <w:spacing w:line="360" w:lineRule="auto"/>
              <w:ind w:firstLine="120" w:firstLineChars="50"/>
              <w:rPr>
                <w:rFonts w:cs="宋体"/>
                <w:kern w:val="2"/>
                <w:sz w:val="24"/>
                <w:szCs w:val="24"/>
              </w:rPr>
            </w:pPr>
            <w:r>
              <w:rPr>
                <w:rFonts w:hint="eastAsia" w:cs="宋体"/>
                <w:kern w:val="2"/>
                <w:sz w:val="24"/>
                <w:szCs w:val="24"/>
              </w:rPr>
              <w:t>（4）注意事项：</w:t>
            </w:r>
          </w:p>
          <w:p>
            <w:pPr>
              <w:snapToGrid w:val="0"/>
              <w:spacing w:line="360" w:lineRule="auto"/>
              <w:ind w:firstLine="120" w:firstLineChars="50"/>
              <w:rPr>
                <w:rFonts w:cs="宋体"/>
                <w:kern w:val="2"/>
                <w:sz w:val="24"/>
                <w:szCs w:val="24"/>
              </w:rPr>
            </w:pPr>
            <w:r>
              <w:rPr>
                <w:rFonts w:hint="eastAsia" w:cs="宋体"/>
                <w:kern w:val="2"/>
                <w:sz w:val="24"/>
                <w:szCs w:val="24"/>
              </w:rPr>
              <w:t>①磋商保证金交纳账号采用动态虚拟账号，项目招标失败后，磋商保证金交纳账号将会发生变化，请投标人参与后续招标时，注意勿将磋商保证金错交至其他项目虚拟账号或前次公告账号。</w:t>
            </w:r>
          </w:p>
          <w:p>
            <w:pPr>
              <w:snapToGrid w:val="0"/>
              <w:spacing w:line="360" w:lineRule="auto"/>
              <w:ind w:firstLine="120" w:firstLineChars="50"/>
              <w:rPr>
                <w:rFonts w:cs="宋体"/>
                <w:kern w:val="2"/>
                <w:sz w:val="24"/>
                <w:szCs w:val="24"/>
              </w:rPr>
            </w:pPr>
            <w:r>
              <w:rPr>
                <w:rFonts w:hint="eastAsia" w:cs="宋体"/>
                <w:kern w:val="2"/>
                <w:sz w:val="24"/>
                <w:szCs w:val="24"/>
              </w:rPr>
              <w:t>②如本项目前次招标失败，招标人退还投标人的磋商保证金。投标人参与本次磋商，须向本项目本次公告公布的磋商保证金账号重新交纳磋商保证金。</w:t>
            </w:r>
          </w:p>
          <w:p>
            <w:pPr>
              <w:snapToGrid w:val="0"/>
              <w:spacing w:line="360" w:lineRule="auto"/>
              <w:ind w:firstLine="120" w:firstLineChars="50"/>
              <w:rPr>
                <w:rFonts w:cs="宋体"/>
                <w:kern w:val="2"/>
                <w:sz w:val="24"/>
                <w:szCs w:val="24"/>
              </w:rPr>
            </w:pPr>
            <w:r>
              <w:rPr>
                <w:rFonts w:hint="eastAsia" w:cs="宋体"/>
                <w:kern w:val="2"/>
                <w:sz w:val="24"/>
                <w:szCs w:val="24"/>
              </w:rPr>
              <w:t>③凡转账到其他项目虚拟账户或本项目前次公告账户的，磋商保证金无效。</w:t>
            </w:r>
          </w:p>
          <w:p>
            <w:pPr>
              <w:snapToGrid w:val="0"/>
              <w:spacing w:line="360" w:lineRule="auto"/>
              <w:ind w:firstLine="120" w:firstLineChars="50"/>
              <w:rPr>
                <w:rFonts w:cs="宋体"/>
                <w:kern w:val="2"/>
                <w:sz w:val="24"/>
                <w:szCs w:val="24"/>
              </w:rPr>
            </w:pPr>
            <w:r>
              <w:rPr>
                <w:rFonts w:hint="eastAsia" w:cs="宋体"/>
                <w:kern w:val="2"/>
                <w:sz w:val="24"/>
                <w:szCs w:val="24"/>
              </w:rPr>
              <w:t>④投标人参与本项目多个标段投标的（如分多标段的），应该按标段分别递交磋商保证金。未递交磋商保证金的标段，其投标无效。</w:t>
            </w:r>
          </w:p>
          <w:p>
            <w:pPr>
              <w:snapToGrid w:val="0"/>
              <w:spacing w:line="360" w:lineRule="auto"/>
              <w:ind w:firstLine="120" w:firstLineChars="50"/>
              <w:rPr>
                <w:rFonts w:cs="宋体"/>
                <w:sz w:val="24"/>
                <w:szCs w:val="24"/>
              </w:rPr>
            </w:pPr>
            <w:r>
              <w:rPr>
                <w:rFonts w:hint="eastAsia" w:cs="宋体"/>
                <w:kern w:val="2"/>
                <w:sz w:val="24"/>
                <w:szCs w:val="24"/>
              </w:rPr>
              <w:t>⑤</w:t>
            </w:r>
            <w:r>
              <w:rPr>
                <w:rFonts w:hint="eastAsia" w:cs="宋体"/>
                <w:kern w:val="2"/>
                <w:sz w:val="24"/>
                <w:szCs w:val="24"/>
                <w:lang w:val="zh-CN"/>
              </w:rPr>
              <w:t>以上</w:t>
            </w:r>
            <w:r>
              <w:rPr>
                <w:rFonts w:hint="eastAsia" w:cs="宋体"/>
                <w:kern w:val="2"/>
                <w:sz w:val="24"/>
                <w:szCs w:val="24"/>
              </w:rPr>
              <w:t>银行保函</w:t>
            </w:r>
            <w:r>
              <w:rPr>
                <w:rFonts w:hint="eastAsia" w:cs="宋体"/>
                <w:kern w:val="2"/>
                <w:sz w:val="24"/>
                <w:szCs w:val="24"/>
                <w:lang w:val="zh-CN"/>
              </w:rPr>
              <w:t>承担责任的方式须满足无条件见索即付条件。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9</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不予退还磋商保证金的情形</w:t>
            </w:r>
          </w:p>
        </w:tc>
        <w:tc>
          <w:tcPr>
            <w:tcW w:w="3621" w:type="pct"/>
            <w:vAlign w:val="center"/>
          </w:tcPr>
          <w:p>
            <w:pPr>
              <w:snapToGrid w:val="0"/>
              <w:spacing w:line="360" w:lineRule="auto"/>
              <w:rPr>
                <w:rFonts w:cs="宋体"/>
                <w:kern w:val="2"/>
                <w:sz w:val="24"/>
                <w:szCs w:val="24"/>
              </w:rPr>
            </w:pPr>
            <w:r>
              <w:rPr>
                <w:rFonts w:hint="eastAsia" w:cs="宋体"/>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10</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磋商现场提交的其他材料要求</w:t>
            </w:r>
          </w:p>
        </w:tc>
        <w:tc>
          <w:tcPr>
            <w:tcW w:w="3621" w:type="pct"/>
            <w:vAlign w:val="center"/>
          </w:tcPr>
          <w:p>
            <w:pPr>
              <w:pStyle w:val="69"/>
              <w:widowControl w:val="0"/>
              <w:spacing w:before="0" w:beforeAutospacing="0" w:after="0" w:afterAutospacing="0" w:line="360" w:lineRule="auto"/>
              <w:jc w:val="both"/>
              <w:rPr>
                <w:rFonts w:cs="宋体"/>
                <w:b w:val="0"/>
                <w:color w:val="FF0000"/>
                <w:sz w:val="24"/>
                <w:szCs w:val="24"/>
                <w:u w:val="single"/>
              </w:rPr>
            </w:pPr>
            <w:r>
              <w:rPr>
                <w:rFonts w:hint="eastAsia" w:cs="宋体"/>
                <w:b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11</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投标文件解密时间</w:t>
            </w:r>
          </w:p>
        </w:tc>
        <w:tc>
          <w:tcPr>
            <w:tcW w:w="3621" w:type="pct"/>
            <w:vAlign w:val="center"/>
          </w:tcPr>
          <w:p>
            <w:pPr>
              <w:pStyle w:val="69"/>
              <w:widowControl w:val="0"/>
              <w:spacing w:before="0" w:beforeAutospacing="0" w:after="0" w:afterAutospacing="0" w:line="360" w:lineRule="auto"/>
              <w:jc w:val="both"/>
              <w:rPr>
                <w:rFonts w:cs="宋体"/>
                <w:b w:val="0"/>
                <w:sz w:val="24"/>
                <w:szCs w:val="24"/>
              </w:rPr>
            </w:pPr>
            <w:r>
              <w:rPr>
                <w:rFonts w:hint="eastAsia" w:cs="宋体"/>
                <w:b w:val="0"/>
                <w:sz w:val="24"/>
                <w:szCs w:val="24"/>
              </w:rPr>
              <w:t>投标文件提交截止时间后30分钟内（以电子交易系统解密倒计时为准）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Merge w:val="restar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12</w:t>
            </w:r>
          </w:p>
        </w:tc>
        <w:tc>
          <w:tcPr>
            <w:tcW w:w="818" w:type="pct"/>
            <w:vMerge w:val="restar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确定中标候选人和中标人</w:t>
            </w:r>
          </w:p>
        </w:tc>
        <w:tc>
          <w:tcPr>
            <w:tcW w:w="3621" w:type="pct"/>
            <w:vAlign w:val="center"/>
          </w:tcPr>
          <w:p>
            <w:pPr>
              <w:pStyle w:val="69"/>
              <w:widowControl w:val="0"/>
              <w:spacing w:before="0" w:beforeAutospacing="0" w:after="0" w:afterAutospacing="0" w:line="360" w:lineRule="auto"/>
              <w:jc w:val="both"/>
              <w:rPr>
                <w:rFonts w:cs="宋体"/>
                <w:b w:val="0"/>
                <w:sz w:val="24"/>
                <w:szCs w:val="24"/>
                <w:u w:val="single"/>
              </w:rPr>
            </w:pPr>
            <w:r>
              <w:rPr>
                <w:rFonts w:hint="eastAsia" w:cs="宋体"/>
                <w:b w:val="0"/>
                <w:sz w:val="24"/>
                <w:szCs w:val="24"/>
              </w:rPr>
              <w:t>评审小组推荐中标候选人的数量：</w:t>
            </w:r>
            <w:r>
              <w:rPr>
                <w:rFonts w:cs="宋体"/>
                <w:b w:val="0"/>
                <w:sz w:val="24"/>
                <w:szCs w:val="24"/>
                <w:u w:val="single"/>
              </w:rPr>
              <w:t>1</w:t>
            </w:r>
            <w:r>
              <w:rPr>
                <w:rFonts w:hint="eastAsia" w:cs="宋体"/>
                <w:b w:val="0"/>
                <w:sz w:val="24"/>
                <w:szCs w:val="24"/>
                <w:u w:val="single"/>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Merge w:val="continue"/>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p>
        </w:tc>
        <w:tc>
          <w:tcPr>
            <w:tcW w:w="818" w:type="pct"/>
            <w:vMerge w:val="continue"/>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p>
        </w:tc>
        <w:tc>
          <w:tcPr>
            <w:tcW w:w="3621" w:type="pct"/>
            <w:vAlign w:val="center"/>
          </w:tcPr>
          <w:p>
            <w:pPr>
              <w:pStyle w:val="69"/>
              <w:widowControl w:val="0"/>
              <w:spacing w:before="0" w:beforeAutospacing="0" w:after="0" w:afterAutospacing="0" w:line="360" w:lineRule="auto"/>
              <w:jc w:val="both"/>
              <w:rPr>
                <w:rFonts w:cs="宋体"/>
                <w:b w:val="0"/>
                <w:sz w:val="24"/>
                <w:szCs w:val="24"/>
              </w:rPr>
            </w:pPr>
            <w:r>
              <w:rPr>
                <w:rFonts w:hint="eastAsia" w:cs="宋体"/>
                <w:b w:val="0"/>
                <w:sz w:val="24"/>
                <w:szCs w:val="24"/>
              </w:rPr>
              <w:t>确定中标人：</w:t>
            </w:r>
          </w:p>
          <w:p>
            <w:pPr>
              <w:pStyle w:val="69"/>
              <w:widowControl w:val="0"/>
              <w:spacing w:before="0" w:beforeAutospacing="0" w:after="0" w:afterAutospacing="0" w:line="360" w:lineRule="auto"/>
              <w:jc w:val="both"/>
              <w:rPr>
                <w:rFonts w:cs="宋体"/>
                <w:b w:val="0"/>
                <w:sz w:val="24"/>
                <w:szCs w:val="24"/>
              </w:rPr>
            </w:pPr>
            <w:r>
              <w:rPr>
                <w:rFonts w:hint="eastAsia" w:cs="宋体"/>
                <w:b w:val="0"/>
                <w:sz w:val="24"/>
                <w:szCs w:val="24"/>
              </w:rPr>
              <w:sym w:font="Wingdings 2" w:char="0052"/>
            </w:r>
            <w:r>
              <w:rPr>
                <w:rFonts w:hint="eastAsia" w:cs="宋体"/>
                <w:b w:val="0"/>
                <w:sz w:val="24"/>
                <w:szCs w:val="24"/>
              </w:rPr>
              <w:t xml:space="preserve">招标人委托评审小组确定     </w:t>
            </w:r>
          </w:p>
          <w:p>
            <w:pPr>
              <w:pStyle w:val="69"/>
              <w:widowControl w:val="0"/>
              <w:spacing w:before="0" w:beforeAutospacing="0" w:after="0" w:afterAutospacing="0" w:line="360" w:lineRule="auto"/>
              <w:jc w:val="both"/>
              <w:rPr>
                <w:rFonts w:cs="宋体"/>
                <w:b w:val="0"/>
                <w:sz w:val="24"/>
                <w:szCs w:val="24"/>
              </w:rPr>
            </w:pPr>
            <w:r>
              <w:rPr>
                <w:rFonts w:hint="eastAsia" w:cs="宋体"/>
                <w:b w:val="0"/>
                <w:sz w:val="24"/>
                <w:szCs w:val="24"/>
              </w:rPr>
              <w:sym w:font="Wingdings 2" w:char="00A3"/>
            </w:r>
            <w:r>
              <w:rPr>
                <w:rFonts w:hint="eastAsia" w:cs="宋体"/>
                <w:b w:val="0"/>
                <w:sz w:val="24"/>
                <w:szCs w:val="24"/>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13</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中标通知书发出的形式</w:t>
            </w:r>
          </w:p>
        </w:tc>
        <w:tc>
          <w:tcPr>
            <w:tcW w:w="3621" w:type="pct"/>
            <w:vAlign w:val="center"/>
          </w:tcPr>
          <w:p>
            <w:pPr>
              <w:pStyle w:val="69"/>
              <w:widowControl w:val="0"/>
              <w:spacing w:before="0" w:beforeAutospacing="0" w:after="0" w:afterAutospacing="0" w:line="360" w:lineRule="auto"/>
              <w:jc w:val="both"/>
              <w:rPr>
                <w:rFonts w:cs="宋体"/>
                <w:b w:val="0"/>
                <w:sz w:val="24"/>
                <w:szCs w:val="24"/>
              </w:rPr>
            </w:pPr>
            <w:r>
              <w:rPr>
                <w:rFonts w:hint="eastAsia" w:cs="宋体"/>
                <w:b w:val="0"/>
                <w:sz w:val="24"/>
                <w:szCs w:val="24"/>
              </w:rPr>
              <w:t xml:space="preserve">□书面     </w:t>
            </w:r>
            <w:r>
              <w:rPr>
                <w:rFonts w:hint="eastAsia" w:cs="宋体"/>
                <w:b w:val="0"/>
                <w:sz w:val="24"/>
                <w:szCs w:val="24"/>
              </w:rPr>
              <w:sym w:font="Wingdings" w:char="F0FE"/>
            </w:r>
            <w:r>
              <w:rPr>
                <w:rFonts w:hint="eastAsia" w:cs="宋体"/>
                <w:b w:val="0"/>
                <w:sz w:val="24"/>
                <w:szCs w:val="24"/>
              </w:rPr>
              <w:t>数据电文</w:t>
            </w:r>
          </w:p>
          <w:p>
            <w:pPr>
              <w:pStyle w:val="69"/>
              <w:widowControl w:val="0"/>
              <w:spacing w:before="0" w:beforeAutospacing="0" w:after="0" w:afterAutospacing="0" w:line="360" w:lineRule="auto"/>
              <w:jc w:val="both"/>
              <w:rPr>
                <w:rFonts w:cs="宋体"/>
                <w:b w:val="0"/>
                <w:sz w:val="24"/>
                <w:szCs w:val="24"/>
              </w:rPr>
            </w:pPr>
            <w:r>
              <w:rPr>
                <w:rFonts w:hint="eastAsia" w:cs="宋体"/>
                <w:b w:val="0"/>
                <w:sz w:val="24"/>
                <w:szCs w:val="24"/>
              </w:rPr>
              <w:t>特别提醒：本项目发布中标结果公告的同时，通过电子交易系统向中标人发出中标通知书。中标通知书发出视为已送达，投标人应主动登录电子交易系统查询，代理机构不承担投标人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14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告知磋商结果的形式</w:t>
            </w:r>
          </w:p>
        </w:tc>
        <w:tc>
          <w:tcPr>
            <w:tcW w:w="3621" w:type="pct"/>
            <w:vAlign w:val="center"/>
          </w:tcPr>
          <w:p>
            <w:pPr>
              <w:pStyle w:val="69"/>
              <w:widowControl w:val="0"/>
              <w:spacing w:before="0" w:beforeAutospacing="0" w:after="0" w:afterAutospacing="0" w:line="360" w:lineRule="auto"/>
              <w:jc w:val="both"/>
              <w:rPr>
                <w:rFonts w:cs="宋体"/>
                <w:b w:val="0"/>
                <w:bCs w:val="0"/>
                <w:sz w:val="24"/>
                <w:szCs w:val="24"/>
              </w:rPr>
            </w:pPr>
            <w:r>
              <w:rPr>
                <w:rFonts w:hint="eastAsia" w:cs="宋体"/>
                <w:b w:val="0"/>
                <w:sz w:val="24"/>
                <w:szCs w:val="24"/>
              </w:rPr>
              <w:sym w:font="Wingdings" w:char="F0FE"/>
            </w:r>
            <w:r>
              <w:rPr>
                <w:rFonts w:hint="eastAsia" w:cs="宋体"/>
                <w:b w:val="0"/>
                <w:bCs w:val="0"/>
                <w:sz w:val="24"/>
                <w:szCs w:val="24"/>
              </w:rPr>
              <w:t>投标人自行登录电子交易系统查看</w:t>
            </w:r>
          </w:p>
          <w:p>
            <w:pPr>
              <w:pStyle w:val="69"/>
              <w:widowControl w:val="0"/>
              <w:spacing w:before="0" w:beforeAutospacing="0" w:after="0" w:afterAutospacing="0" w:line="360" w:lineRule="auto"/>
              <w:jc w:val="both"/>
              <w:rPr>
                <w:rFonts w:cs="宋体"/>
                <w:b w:val="0"/>
                <w:bCs w:val="0"/>
                <w:sz w:val="24"/>
                <w:szCs w:val="24"/>
              </w:rPr>
            </w:pPr>
            <w:r>
              <w:rPr>
                <w:rFonts w:hint="eastAsia" w:cs="宋体"/>
                <w:b w:val="0"/>
                <w:sz w:val="24"/>
                <w:szCs w:val="24"/>
              </w:rPr>
              <w:t>□磋商现场告知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15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履约保证金</w:t>
            </w:r>
          </w:p>
        </w:tc>
        <w:tc>
          <w:tcPr>
            <w:tcW w:w="3621" w:type="pct"/>
          </w:tcPr>
          <w:p>
            <w:pPr>
              <w:snapToGrid w:val="0"/>
              <w:spacing w:line="360" w:lineRule="auto"/>
              <w:rPr>
                <w:rFonts w:cs="宋体"/>
                <w:bCs/>
                <w:snapToGrid w:val="0"/>
                <w:sz w:val="24"/>
                <w:szCs w:val="24"/>
              </w:rPr>
            </w:pPr>
            <w:r>
              <w:rPr>
                <w:rFonts w:hint="eastAsia" w:cs="宋体"/>
                <w:bCs/>
                <w:snapToGrid w:val="0"/>
                <w:sz w:val="24"/>
                <w:szCs w:val="24"/>
              </w:rPr>
              <w:t>（1）金额：</w:t>
            </w:r>
            <w:r>
              <w:rPr>
                <w:rFonts w:hint="eastAsia" w:cs="宋体"/>
                <w:bCs/>
                <w:snapToGrid w:val="0"/>
                <w:sz w:val="24"/>
                <w:szCs w:val="24"/>
                <w:u w:val="single"/>
              </w:rPr>
              <w:t xml:space="preserve">  </w:t>
            </w:r>
            <w:r>
              <w:rPr>
                <w:rFonts w:cs="宋体"/>
                <w:bCs/>
                <w:snapToGrid w:val="0"/>
                <w:sz w:val="24"/>
                <w:szCs w:val="24"/>
                <w:u w:val="single"/>
              </w:rPr>
              <w:t>8400.00</w:t>
            </w:r>
            <w:r>
              <w:rPr>
                <w:rFonts w:hint="eastAsia" w:cs="宋体"/>
                <w:bCs/>
                <w:snapToGrid w:val="0"/>
                <w:sz w:val="24"/>
                <w:szCs w:val="24"/>
                <w:u w:val="single"/>
              </w:rPr>
              <w:t xml:space="preserve">元  </w:t>
            </w:r>
          </w:p>
          <w:p>
            <w:pPr>
              <w:snapToGrid w:val="0"/>
              <w:spacing w:line="360" w:lineRule="auto"/>
              <w:rPr>
                <w:rFonts w:cs="宋体"/>
                <w:sz w:val="24"/>
                <w:szCs w:val="24"/>
              </w:rPr>
            </w:pPr>
            <w:r>
              <w:rPr>
                <w:rFonts w:hint="eastAsia" w:cs="宋体"/>
                <w:bCs/>
                <w:snapToGrid w:val="0"/>
                <w:sz w:val="24"/>
                <w:szCs w:val="24"/>
              </w:rPr>
              <w:t>（2）缴纳形式</w:t>
            </w:r>
            <w:r>
              <w:rPr>
                <w:rFonts w:hint="eastAsia" w:cs="宋体"/>
                <w:sz w:val="24"/>
                <w:szCs w:val="24"/>
              </w:rPr>
              <w:t>：</w:t>
            </w:r>
            <w:r>
              <w:rPr>
                <w:rFonts w:hint="eastAsia" w:cs="宋体"/>
                <w:kern w:val="2"/>
                <w:sz w:val="24"/>
                <w:szCs w:val="24"/>
              </w:rPr>
              <w:fldChar w:fldCharType="begin"/>
            </w:r>
            <w:r>
              <w:rPr>
                <w:rFonts w:hint="eastAsia" w:cs="宋体"/>
                <w:kern w:val="2"/>
                <w:sz w:val="24"/>
                <w:szCs w:val="24"/>
              </w:rPr>
              <w:instrText xml:space="preserve"> eq \o\ac(</w:instrText>
            </w:r>
            <w:r>
              <w:rPr>
                <w:rFonts w:hint="eastAsia" w:cs="宋体"/>
                <w:kern w:val="2"/>
                <w:position w:val="-4"/>
                <w:sz w:val="36"/>
                <w:szCs w:val="24"/>
              </w:rPr>
              <w:instrText xml:space="preserve">□</w:instrText>
            </w:r>
            <w:r>
              <w:rPr>
                <w:rFonts w:hint="eastAsia" w:cs="宋体"/>
                <w:kern w:val="2"/>
                <w:sz w:val="24"/>
                <w:szCs w:val="24"/>
              </w:rPr>
              <w:instrText xml:space="preserve">,√)</w:instrText>
            </w:r>
            <w:r>
              <w:rPr>
                <w:rFonts w:hint="eastAsia" w:cs="宋体"/>
                <w:kern w:val="2"/>
                <w:sz w:val="24"/>
                <w:szCs w:val="24"/>
              </w:rPr>
              <w:fldChar w:fldCharType="end"/>
            </w:r>
            <w:r>
              <w:rPr>
                <w:rFonts w:hint="eastAsia" w:cs="宋体"/>
                <w:sz w:val="24"/>
                <w:szCs w:val="24"/>
              </w:rPr>
              <w:t xml:space="preserve">银行转账  </w:t>
            </w:r>
            <w:r>
              <w:rPr>
                <w:rFonts w:hint="eastAsia" w:cs="宋体"/>
                <w:kern w:val="2"/>
                <w:sz w:val="24"/>
                <w:szCs w:val="24"/>
              </w:rPr>
              <w:fldChar w:fldCharType="begin"/>
            </w:r>
            <w:r>
              <w:rPr>
                <w:rFonts w:hint="eastAsia" w:cs="宋体"/>
                <w:kern w:val="2"/>
                <w:sz w:val="24"/>
                <w:szCs w:val="24"/>
              </w:rPr>
              <w:instrText xml:space="preserve"> eq \o\ac(</w:instrText>
            </w:r>
            <w:r>
              <w:rPr>
                <w:rFonts w:hint="eastAsia" w:cs="宋体"/>
                <w:kern w:val="2"/>
                <w:position w:val="-4"/>
                <w:sz w:val="36"/>
                <w:szCs w:val="24"/>
              </w:rPr>
              <w:instrText xml:space="preserve">□</w:instrText>
            </w:r>
            <w:r>
              <w:rPr>
                <w:rFonts w:hint="eastAsia" w:cs="宋体"/>
                <w:kern w:val="2"/>
                <w:sz w:val="24"/>
                <w:szCs w:val="24"/>
              </w:rPr>
              <w:instrText xml:space="preserve">,√)</w:instrText>
            </w:r>
            <w:r>
              <w:rPr>
                <w:rFonts w:hint="eastAsia" w:cs="宋体"/>
                <w:kern w:val="2"/>
                <w:sz w:val="24"/>
                <w:szCs w:val="24"/>
              </w:rPr>
              <w:fldChar w:fldCharType="end"/>
            </w:r>
            <w:r>
              <w:rPr>
                <w:rFonts w:hint="eastAsia" w:cs="宋体"/>
                <w:sz w:val="24"/>
                <w:szCs w:val="24"/>
              </w:rPr>
              <w:t xml:space="preserve">银行电汇  </w:t>
            </w:r>
            <w:r>
              <w:rPr>
                <w:rFonts w:hint="eastAsia" w:cs="宋体"/>
                <w:sz w:val="24"/>
                <w:szCs w:val="24"/>
              </w:rPr>
              <w:sym w:font="Wingdings 2" w:char="00A3"/>
            </w:r>
            <w:r>
              <w:rPr>
                <w:rFonts w:hint="eastAsia" w:cs="宋体"/>
                <w:sz w:val="24"/>
                <w:szCs w:val="24"/>
              </w:rPr>
              <w:t>银行保函</w:t>
            </w:r>
          </w:p>
          <w:p>
            <w:pPr>
              <w:snapToGrid w:val="0"/>
              <w:spacing w:line="360" w:lineRule="auto"/>
              <w:rPr>
                <w:rFonts w:cs="宋体"/>
                <w:b/>
                <w:bCs/>
                <w:snapToGrid w:val="0"/>
                <w:sz w:val="24"/>
                <w:szCs w:val="24"/>
              </w:rPr>
            </w:pPr>
            <w:r>
              <w:rPr>
                <w:rFonts w:hint="eastAsia" w:cs="宋体"/>
                <w:sz w:val="24"/>
                <w:szCs w:val="24"/>
              </w:rPr>
              <w:t>（3）具体要求：采用银行保函的，应为不可撤销、不可转让的见索即付独立保函。</w:t>
            </w:r>
          </w:p>
          <w:p>
            <w:pPr>
              <w:pStyle w:val="69"/>
              <w:widowControl w:val="0"/>
              <w:spacing w:before="0" w:beforeAutospacing="0" w:after="0" w:afterAutospacing="0" w:line="360" w:lineRule="auto"/>
              <w:jc w:val="both"/>
              <w:rPr>
                <w:rFonts w:cs="宋体"/>
                <w:b w:val="0"/>
                <w:sz w:val="24"/>
                <w:szCs w:val="24"/>
              </w:rPr>
            </w:pPr>
            <w:r>
              <w:rPr>
                <w:rFonts w:hint="eastAsia" w:cs="宋体"/>
                <w:b w:val="0"/>
                <w:bCs w:val="0"/>
                <w:sz w:val="24"/>
                <w:szCs w:val="24"/>
              </w:rPr>
              <w:t>（4）其他要求：</w:t>
            </w:r>
            <w:r>
              <w:rPr>
                <w:rFonts w:hint="eastAsia" w:cs="宋体"/>
                <w:b w:val="0"/>
                <w:bCs w:val="0"/>
                <w:sz w:val="24"/>
                <w:szCs w:val="24"/>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16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招标代理服务费</w:t>
            </w:r>
          </w:p>
        </w:tc>
        <w:tc>
          <w:tcPr>
            <w:tcW w:w="3621" w:type="pct"/>
            <w:vAlign w:val="center"/>
          </w:tcPr>
          <w:p>
            <w:pPr>
              <w:spacing w:line="360" w:lineRule="auto"/>
              <w:rPr>
                <w:rFonts w:cs="楷体"/>
                <w:bCs/>
                <w:snapToGrid w:val="0"/>
                <w:sz w:val="24"/>
                <w:szCs w:val="24"/>
              </w:rPr>
            </w:pPr>
            <w:r>
              <w:rPr>
                <w:rFonts w:hint="eastAsia" w:cs="楷体"/>
                <w:bCs/>
                <w:snapToGrid w:val="0"/>
                <w:sz w:val="24"/>
                <w:szCs w:val="24"/>
              </w:rPr>
              <w:t>（1）招标代理服务费：中标人在领取中标通知书前须向招标代理机构缴纳招标代理服务费，可以银行转账、银行电汇方式。</w:t>
            </w:r>
          </w:p>
          <w:p>
            <w:pPr>
              <w:spacing w:line="360" w:lineRule="auto"/>
              <w:rPr>
                <w:rFonts w:cs="楷体"/>
                <w:bCs/>
                <w:snapToGrid w:val="0"/>
                <w:sz w:val="24"/>
                <w:szCs w:val="24"/>
              </w:rPr>
            </w:pPr>
            <w:r>
              <w:rPr>
                <w:rFonts w:hint="eastAsia" w:cs="楷体"/>
                <w:bCs/>
                <w:snapToGrid w:val="0"/>
                <w:sz w:val="24"/>
                <w:szCs w:val="24"/>
              </w:rPr>
              <w:t>招标代理服务费：以每标段的中标价为计算基数，具体收取金额为附件1对应表格相应招标类别收费标准的80%，每标段收取金额不足4000元的按照4000元最低标准收取。</w:t>
            </w:r>
          </w:p>
          <w:p>
            <w:pPr>
              <w:spacing w:line="360" w:lineRule="auto"/>
              <w:rPr>
                <w:rFonts w:cs="宋体"/>
                <w:b/>
                <w:bCs/>
                <w:i/>
                <w:iCs/>
                <w:color w:val="FF0000"/>
                <w:sz w:val="24"/>
                <w:szCs w:val="24"/>
              </w:rPr>
            </w:pPr>
            <w:r>
              <w:rPr>
                <w:rFonts w:hint="eastAsia" w:cs="楷体"/>
                <w:bCs/>
                <w:snapToGrid w:val="0"/>
                <w:sz w:val="24"/>
                <w:szCs w:val="24"/>
              </w:rPr>
              <w:t>备注：以上相关费用，投标人在报价单中不单列，包含在投标总价中，招标人不再单独计量支付。</w:t>
            </w:r>
          </w:p>
          <w:p>
            <w:pPr>
              <w:spacing w:line="360" w:lineRule="auto"/>
              <w:rPr>
                <w:rFonts w:cs="宋体"/>
                <w:sz w:val="24"/>
                <w:szCs w:val="24"/>
              </w:rPr>
            </w:pPr>
            <w:r>
              <w:rPr>
                <w:rFonts w:hint="eastAsia" w:cs="宋体"/>
                <w:bCs/>
                <w:sz w:val="24"/>
                <w:szCs w:val="24"/>
              </w:rPr>
              <w:t>（2）以上费用</w:t>
            </w:r>
            <w:r>
              <w:rPr>
                <w:rFonts w:hint="eastAsia" w:cs="宋体"/>
                <w:sz w:val="24"/>
                <w:szCs w:val="24"/>
              </w:rPr>
              <w:t>代理机构有权从磋商保证金中优先扣除。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17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补充约定</w:t>
            </w:r>
          </w:p>
        </w:tc>
        <w:tc>
          <w:tcPr>
            <w:tcW w:w="3621" w:type="pct"/>
            <w:vAlign w:val="center"/>
          </w:tcPr>
          <w:p>
            <w:pPr>
              <w:numPr>
                <w:ilvl w:val="255"/>
                <w:numId w:val="0"/>
              </w:numPr>
              <w:rPr>
                <w:rFonts w:cs="宋体"/>
                <w:sz w:val="24"/>
                <w:szCs w:val="24"/>
              </w:rPr>
            </w:pPr>
            <w:r>
              <w:rPr>
                <w:rFonts w:hint="eastAsia" w:cs="宋体"/>
                <w:sz w:val="24"/>
                <w:szCs w:val="24"/>
              </w:rPr>
              <w:t>通过初审的投标人为2家及以上的，按磋商文件约定进行评审并确定结果；</w:t>
            </w:r>
          </w:p>
          <w:p>
            <w:pPr>
              <w:numPr>
                <w:ilvl w:val="255"/>
                <w:numId w:val="0"/>
              </w:numPr>
              <w:rPr>
                <w:rFonts w:cs="宋体"/>
                <w:sz w:val="24"/>
                <w:szCs w:val="24"/>
              </w:rPr>
            </w:pPr>
            <w:r>
              <w:rPr>
                <w:rFonts w:hint="eastAsia" w:cs="宋体"/>
                <w:sz w:val="24"/>
                <w:szCs w:val="24"/>
              </w:rPr>
              <w:t>通过初审的投标人为1家的，且评审小组认为具有竞争性的，继续评审（不进行第四章“2.2综合评分”评审程序）并确定结果。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18</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报价须知</w:t>
            </w:r>
          </w:p>
        </w:tc>
        <w:tc>
          <w:tcPr>
            <w:tcW w:w="3621" w:type="pct"/>
            <w:vAlign w:val="center"/>
          </w:tcPr>
          <w:p>
            <w:pPr>
              <w:spacing w:line="360" w:lineRule="auto"/>
              <w:rPr>
                <w:rFonts w:cs="宋体"/>
                <w:bCs/>
                <w:kern w:val="2"/>
                <w:sz w:val="24"/>
                <w:szCs w:val="24"/>
              </w:rPr>
            </w:pPr>
            <w:r>
              <w:rPr>
                <w:rFonts w:hint="eastAsia" w:cs="宋体"/>
                <w:bCs/>
                <w:kern w:val="2"/>
                <w:sz w:val="24"/>
                <w:szCs w:val="24"/>
              </w:rPr>
              <w:t>（1）投标人最终投标报价不得高于磋商文件（公告）列明的项目预算、最高投标限价，否则其投标文件将被否决。</w:t>
            </w:r>
          </w:p>
          <w:p>
            <w:pPr>
              <w:spacing w:line="360" w:lineRule="auto"/>
              <w:rPr>
                <w:rFonts w:cs="宋体"/>
                <w:sz w:val="24"/>
                <w:szCs w:val="24"/>
              </w:rPr>
            </w:pPr>
            <w:r>
              <w:rPr>
                <w:rFonts w:hint="eastAsia" w:cs="宋体"/>
                <w:kern w:val="2"/>
                <w:sz w:val="24"/>
                <w:szCs w:val="24"/>
              </w:rPr>
              <w:t>（2）在项目磋商过程中，投标人最终投标报价与公布的最高投标限价或项目</w:t>
            </w:r>
            <w:r>
              <w:rPr>
                <w:rFonts w:hint="eastAsia" w:cs="宋体"/>
                <w:sz w:val="24"/>
                <w:szCs w:val="24"/>
              </w:rPr>
              <w:t>预算</w:t>
            </w:r>
            <w:r>
              <w:rPr>
                <w:rFonts w:hint="eastAsia" w:cs="宋体"/>
                <w:kern w:val="2"/>
                <w:sz w:val="24"/>
                <w:szCs w:val="24"/>
              </w:rPr>
              <w:t>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19</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重要说明</w:t>
            </w:r>
          </w:p>
        </w:tc>
        <w:tc>
          <w:tcPr>
            <w:tcW w:w="3621" w:type="pct"/>
            <w:vAlign w:val="center"/>
          </w:tcPr>
          <w:p>
            <w:pPr>
              <w:spacing w:line="360" w:lineRule="auto"/>
              <w:rPr>
                <w:rFonts w:cs="宋体"/>
                <w:sz w:val="24"/>
                <w:szCs w:val="24"/>
              </w:rPr>
            </w:pPr>
            <w:r>
              <w:rPr>
                <w:rFonts w:hint="eastAsia" w:cs="宋体"/>
                <w:sz w:val="24"/>
                <w:szCs w:val="24"/>
              </w:rPr>
              <w:t>（1）中标人应在规定期限内提交履约保证金并与招标人签订合同，若中标人未能在规定期限内提交履约保证金或签订合同，招标人有权取消中标人中标资格；</w:t>
            </w:r>
          </w:p>
          <w:p>
            <w:pPr>
              <w:spacing w:line="360" w:lineRule="auto"/>
              <w:rPr>
                <w:rFonts w:cs="宋体"/>
                <w:sz w:val="24"/>
                <w:szCs w:val="24"/>
              </w:rPr>
            </w:pPr>
            <w:r>
              <w:rPr>
                <w:rFonts w:hint="eastAsia" w:cs="宋体"/>
                <w:sz w:val="24"/>
                <w:szCs w:val="24"/>
              </w:rPr>
              <w:t>（2）合同签订后，中标人存在规定时间内不组织人员进场开工，不履行合同义务等情况，招标人有权解除合同，并追究违约责任；</w:t>
            </w:r>
          </w:p>
          <w:p>
            <w:pPr>
              <w:spacing w:line="360" w:lineRule="auto"/>
              <w:rPr>
                <w:rFonts w:cs="宋体"/>
                <w:sz w:val="24"/>
                <w:szCs w:val="24"/>
              </w:rPr>
            </w:pPr>
            <w:r>
              <w:rPr>
                <w:rFonts w:hint="eastAsia" w:cs="宋体"/>
                <w:sz w:val="24"/>
                <w:szCs w:val="24"/>
              </w:rPr>
              <w:t>（3）中标人在中标项目发生投诉、信访举报案件、履约存在争议时，拒绝协助配合有关部门调查案件的，招标人可以取消其中标资格或解除合同，并追究其违约责任。</w:t>
            </w:r>
          </w:p>
          <w:p>
            <w:pPr>
              <w:pStyle w:val="4"/>
              <w:spacing w:before="0" w:after="0" w:line="360" w:lineRule="auto"/>
              <w:rPr>
                <w:rFonts w:cs="宋体"/>
                <w:b w:val="0"/>
                <w:bCs w:val="0"/>
                <w:sz w:val="24"/>
                <w:szCs w:val="24"/>
              </w:rPr>
            </w:pPr>
            <w:r>
              <w:rPr>
                <w:rFonts w:hint="eastAsia" w:cs="宋体"/>
                <w:b w:val="0"/>
                <w:bCs w:val="0"/>
                <w:sz w:val="24"/>
                <w:szCs w:val="24"/>
              </w:rPr>
              <w:t>（4）投标人参与磋商，应当诚信守法、公平竞争。如有以提供虚假材料（包括但不限于虚假技术参数响应、虚假业绩、虚假证书、虚假检测报告等）、串通磋商、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20</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电子招标</w:t>
            </w:r>
          </w:p>
        </w:tc>
        <w:tc>
          <w:tcPr>
            <w:tcW w:w="3621" w:type="pct"/>
            <w:vAlign w:val="center"/>
          </w:tcPr>
          <w:p>
            <w:pPr>
              <w:widowControl/>
              <w:snapToGrid w:val="0"/>
              <w:spacing w:line="360" w:lineRule="auto"/>
              <w:jc w:val="left"/>
              <w:rPr>
                <w:rFonts w:cs="宋体"/>
                <w:bCs/>
                <w:sz w:val="24"/>
                <w:szCs w:val="24"/>
              </w:rPr>
            </w:pPr>
            <w:r>
              <w:rPr>
                <w:rFonts w:hint="eastAsia" w:cs="宋体"/>
                <w:bCs/>
                <w:sz w:val="24"/>
                <w:szCs w:val="24"/>
              </w:rPr>
              <w:t>本磋商项目实行全流程电子化交易，除磋商文件另有规定外，电子招标投标操作要求见本章附件《安徽公共资源交易集团电子交易操作规程》。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21</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解释权</w:t>
            </w:r>
          </w:p>
        </w:tc>
        <w:tc>
          <w:tcPr>
            <w:tcW w:w="3621" w:type="pct"/>
            <w:vAlign w:val="center"/>
          </w:tcPr>
          <w:p>
            <w:pPr>
              <w:spacing w:line="360" w:lineRule="auto"/>
              <w:rPr>
                <w:rFonts w:cs="宋体"/>
                <w:bCs/>
                <w:sz w:val="24"/>
                <w:szCs w:val="24"/>
              </w:rPr>
            </w:pPr>
            <w:r>
              <w:rPr>
                <w:rFonts w:hint="eastAsia" w:cs="宋体"/>
                <w:bCs/>
                <w:sz w:val="24"/>
                <w:szCs w:val="24"/>
              </w:rPr>
              <w:t>（1）构成本磋商文件的各个组成文件应互为解释，互为说明；</w:t>
            </w:r>
          </w:p>
          <w:p>
            <w:pPr>
              <w:spacing w:line="360" w:lineRule="auto"/>
              <w:rPr>
                <w:rFonts w:cs="宋体"/>
                <w:bCs/>
                <w:sz w:val="24"/>
                <w:szCs w:val="24"/>
              </w:rPr>
            </w:pPr>
            <w:r>
              <w:rPr>
                <w:rFonts w:hint="eastAsia" w:cs="宋体"/>
                <w:bCs/>
                <w:sz w:val="24"/>
                <w:szCs w:val="24"/>
              </w:rPr>
              <w:t>（2）同一组成文件中就同一事项的规定或约定不一致的，以编排顺序在后者为准；</w:t>
            </w:r>
          </w:p>
          <w:p>
            <w:pPr>
              <w:spacing w:line="360" w:lineRule="auto"/>
              <w:rPr>
                <w:rFonts w:cs="宋体"/>
                <w:bCs/>
                <w:sz w:val="24"/>
                <w:szCs w:val="24"/>
              </w:rPr>
            </w:pPr>
            <w:r>
              <w:rPr>
                <w:rFonts w:hint="eastAsia" w:cs="宋体"/>
                <w:bCs/>
                <w:sz w:val="24"/>
                <w:szCs w:val="24"/>
              </w:rPr>
              <w:t>（3）如有不明确或不一致，构成合同文件组成内容的，以合同文件约定内容为准，且以专用合同条款约定的合同文件优先顺序解释；</w:t>
            </w:r>
          </w:p>
          <w:p>
            <w:pPr>
              <w:spacing w:line="360" w:lineRule="auto"/>
              <w:rPr>
                <w:rFonts w:cs="宋体"/>
                <w:bCs/>
                <w:sz w:val="24"/>
                <w:szCs w:val="24"/>
              </w:rPr>
            </w:pPr>
            <w:r>
              <w:rPr>
                <w:rFonts w:hint="eastAsia" w:cs="宋体"/>
                <w:bCs/>
                <w:sz w:val="24"/>
                <w:szCs w:val="24"/>
              </w:rPr>
              <w:t>（4）除磋商文件中有特别规定外，仅适用于磋商及投标文件提交阶段的规定，按磋商公告、投标人须知前附表、投标人须知正文、评审方法和标准、投标文件格式的先后顺序解释；</w:t>
            </w:r>
          </w:p>
          <w:p>
            <w:pPr>
              <w:spacing w:line="360" w:lineRule="auto"/>
              <w:rPr>
                <w:rFonts w:cs="宋体"/>
                <w:sz w:val="24"/>
                <w:szCs w:val="24"/>
              </w:rPr>
            </w:pPr>
            <w:r>
              <w:rPr>
                <w:rFonts w:hint="eastAsia" w:cs="宋体"/>
                <w:bCs/>
                <w:sz w:val="24"/>
                <w:szCs w:val="24"/>
              </w:rPr>
              <w:t>（5）</w:t>
            </w:r>
            <w:r>
              <w:rPr>
                <w:rFonts w:hint="eastAsia" w:cs="宋体"/>
                <w:sz w:val="24"/>
                <w:szCs w:val="24"/>
              </w:rPr>
              <w:t>有澄清的部分以最终的澄清更正内容为准；</w:t>
            </w:r>
          </w:p>
          <w:p>
            <w:pPr>
              <w:pStyle w:val="69"/>
              <w:widowControl w:val="0"/>
              <w:spacing w:before="0" w:beforeAutospacing="0" w:after="0" w:afterAutospacing="0" w:line="360" w:lineRule="auto"/>
              <w:jc w:val="both"/>
              <w:rPr>
                <w:rFonts w:cs="宋体"/>
                <w:b w:val="0"/>
                <w:sz w:val="24"/>
                <w:szCs w:val="24"/>
              </w:rPr>
            </w:pPr>
            <w:r>
              <w:rPr>
                <w:rFonts w:hint="eastAsia" w:cs="宋体"/>
                <w:b w:val="0"/>
                <w:sz w:val="24"/>
                <w:szCs w:val="24"/>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22</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其他补充</w:t>
            </w:r>
          </w:p>
          <w:p>
            <w:pPr>
              <w:pStyle w:val="70"/>
              <w:pBdr>
                <w:bottom w:val="none" w:color="auto" w:sz="0" w:space="0"/>
              </w:pBdr>
              <w:tabs>
                <w:tab w:val="clear" w:pos="4153"/>
                <w:tab w:val="clear" w:pos="8306"/>
              </w:tabs>
              <w:adjustRightInd/>
              <w:spacing w:line="360" w:lineRule="auto"/>
              <w:textAlignment w:val="auto"/>
              <w:rPr>
                <w:rFonts w:cs="宋体"/>
                <w:bCs/>
                <w:kern w:val="2"/>
                <w:szCs w:val="24"/>
              </w:rPr>
            </w:pPr>
            <w:r>
              <w:rPr>
                <w:rFonts w:hint="eastAsia" w:cs="宋体"/>
                <w:bCs/>
                <w:kern w:val="2"/>
                <w:szCs w:val="24"/>
              </w:rPr>
              <w:t>说明</w:t>
            </w:r>
          </w:p>
        </w:tc>
        <w:tc>
          <w:tcPr>
            <w:tcW w:w="3621" w:type="pct"/>
            <w:vAlign w:val="center"/>
          </w:tcPr>
          <w:p>
            <w:pPr>
              <w:pStyle w:val="69"/>
              <w:widowControl w:val="0"/>
              <w:spacing w:before="0" w:beforeAutospacing="0" w:after="0" w:afterAutospacing="0" w:line="360" w:lineRule="auto"/>
              <w:jc w:val="both"/>
              <w:rPr>
                <w:rFonts w:cs="宋体"/>
                <w:b w:val="0"/>
                <w:sz w:val="24"/>
                <w:szCs w:val="24"/>
              </w:rPr>
            </w:pPr>
            <w:r>
              <w:rPr>
                <w:rFonts w:hint="eastAsia" w:cs="宋体"/>
                <w:b w:val="0"/>
                <w:sz w:val="24"/>
                <w:szCs w:val="24"/>
              </w:rPr>
              <w:t>投标人不得与</w:t>
            </w:r>
            <w:r>
              <w:rPr>
                <w:rFonts w:hint="eastAsia" w:cs="宋体"/>
                <w:b w:val="0"/>
                <w:sz w:val="24"/>
                <w:szCs w:val="24"/>
                <w:lang w:val="zh-CN"/>
              </w:rPr>
              <w:t>本标段的其他投标人存在</w:t>
            </w:r>
            <w:r>
              <w:rPr>
                <w:rFonts w:hint="eastAsia" w:cs="宋体"/>
                <w:b w:val="0"/>
                <w:sz w:val="24"/>
                <w:szCs w:val="24"/>
              </w:rPr>
              <w:t>单位负责人为同一人或者存在直接控股、管理关系的情形</w:t>
            </w:r>
            <w:r>
              <w:rPr>
                <w:rFonts w:hint="eastAsia" w:cs="宋体"/>
                <w:b w:val="0"/>
                <w:sz w:val="24"/>
                <w:szCs w:val="24"/>
                <w:lang w:val="zh-CN"/>
              </w:rPr>
              <w:t>。</w:t>
            </w:r>
          </w:p>
        </w:tc>
      </w:tr>
    </w:tbl>
    <w:p>
      <w:pPr>
        <w:pStyle w:val="117"/>
        <w:adjustRightInd w:val="0"/>
        <w:snapToGrid w:val="0"/>
        <w:spacing w:line="360" w:lineRule="auto"/>
        <w:outlineLvl w:val="1"/>
        <w:rPr>
          <w:rFonts w:ascii="宋体" w:hAnsi="宋体"/>
          <w:b/>
          <w:sz w:val="24"/>
          <w:szCs w:val="24"/>
        </w:rPr>
      </w:pPr>
      <w:bookmarkStart w:id="4" w:name="_Toc4558"/>
    </w:p>
    <w:p>
      <w:pPr>
        <w:ind w:firstLine="480"/>
        <w:rPr>
          <w:ins w:id="0" w:author="admin" w:date="2024-11-29T14:24:00Z"/>
          <w:rFonts w:asciiTheme="minorEastAsia" w:hAnsiTheme="minorEastAsia" w:eastAsiaTheme="minorEastAsia" w:cstheme="minorEastAsia"/>
          <w:color w:val="000000"/>
          <w:sz w:val="24"/>
          <w:szCs w:val="24"/>
        </w:rPr>
      </w:pPr>
      <w:ins w:id="1" w:author="admin" w:date="2024-11-29T14:24:00Z">
        <w:bookmarkStart w:id="5" w:name="_Toc14925"/>
        <w:r>
          <w:rPr>
            <w:rFonts w:hint="eastAsia" w:asciiTheme="minorEastAsia" w:hAnsiTheme="minorEastAsia" w:eastAsiaTheme="minorEastAsia" w:cstheme="minorEastAsia"/>
            <w:color w:val="000000"/>
            <w:sz w:val="24"/>
            <w:szCs w:val="24"/>
          </w:rPr>
          <w:br w:type="page"/>
        </w:r>
      </w:ins>
    </w:p>
    <w:p>
      <w:pPr>
        <w:pStyle w:val="3"/>
        <w:spacing w:before="312" w:beforeLines="100" w:after="312" w:afterLines="100" w:line="240" w:lineRule="auto"/>
        <w:ind w:firstLine="480"/>
        <w:jc w:val="center"/>
        <w:rPr>
          <w:rFonts w:asciiTheme="minorEastAsia" w:hAnsiTheme="minorEastAsia" w:eastAsiaTheme="minorEastAsia" w:cstheme="minorEastAsia"/>
          <w:snapToGrid w:val="0"/>
          <w:sz w:val="24"/>
          <w:szCs w:val="24"/>
          <w:lang w:val="en-US"/>
        </w:rPr>
      </w:pPr>
      <w:r>
        <w:rPr>
          <w:rFonts w:hint="eastAsia" w:asciiTheme="minorEastAsia" w:hAnsiTheme="minorEastAsia" w:eastAsiaTheme="minorEastAsia" w:cstheme="minorEastAsia"/>
          <w:b w:val="0"/>
          <w:bCs w:val="0"/>
          <w:color w:val="000000"/>
          <w:sz w:val="24"/>
          <w:szCs w:val="24"/>
          <w:lang w:val="en-US"/>
        </w:rPr>
        <w:t>附件1</w:t>
      </w:r>
      <w:r>
        <w:rPr>
          <w:rFonts w:hint="eastAsia" w:asciiTheme="minorEastAsia" w:hAnsiTheme="minorEastAsia" w:eastAsiaTheme="minorEastAsia" w:cstheme="minorEastAsia"/>
          <w:snapToGrid w:val="0"/>
          <w:sz w:val="24"/>
          <w:szCs w:val="24"/>
        </w:rPr>
        <w:t>招标代理服务费</w:t>
      </w:r>
      <w:bookmarkEnd w:id="5"/>
      <w:r>
        <w:rPr>
          <w:rFonts w:hint="eastAsia" w:asciiTheme="minorEastAsia" w:hAnsiTheme="minorEastAsia" w:eastAsiaTheme="minorEastAsia" w:cstheme="minorEastAsia"/>
          <w:snapToGrid w:val="0"/>
          <w:sz w:val="24"/>
          <w:szCs w:val="24"/>
          <w:lang w:val="en-US"/>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招标代理服务费收费标准 </w:t>
            </w: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1843"/>
              <w:gridCol w:w="1843"/>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pPr>
                    <w:spacing w:line="4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中标金额（万元）</w:t>
                  </w:r>
                </w:p>
              </w:tc>
              <w:tc>
                <w:tcPr>
                  <w:tcW w:w="1843" w:type="dxa"/>
                  <w:vAlign w:val="center"/>
                </w:tcPr>
                <w:p>
                  <w:pPr>
                    <w:spacing w:line="4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货物招标</w:t>
                  </w:r>
                </w:p>
              </w:tc>
              <w:tc>
                <w:tcPr>
                  <w:tcW w:w="1843" w:type="dxa"/>
                  <w:vAlign w:val="center"/>
                </w:tcPr>
                <w:p>
                  <w:pPr>
                    <w:spacing w:line="4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服务招标</w:t>
                  </w:r>
                </w:p>
              </w:tc>
              <w:tc>
                <w:tcPr>
                  <w:tcW w:w="1856" w:type="dxa"/>
                  <w:vAlign w:val="center"/>
                </w:tcPr>
                <w:p>
                  <w:pPr>
                    <w:spacing w:line="4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工程施工/      工程总承包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100以下</w:t>
                  </w:r>
                </w:p>
              </w:tc>
              <w:tc>
                <w:tcPr>
                  <w:tcW w:w="1843"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w:t>
                  </w:r>
                </w:p>
              </w:tc>
              <w:tc>
                <w:tcPr>
                  <w:tcW w:w="1843"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w:t>
                  </w:r>
                </w:p>
              </w:tc>
              <w:tc>
                <w:tcPr>
                  <w:tcW w:w="1856"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100-500</w:t>
                  </w:r>
                </w:p>
              </w:tc>
              <w:tc>
                <w:tcPr>
                  <w:tcW w:w="1843"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w:t>
                  </w:r>
                </w:p>
              </w:tc>
              <w:tc>
                <w:tcPr>
                  <w:tcW w:w="1843"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0.8%</w:t>
                  </w:r>
                </w:p>
              </w:tc>
              <w:tc>
                <w:tcPr>
                  <w:tcW w:w="1856"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500-1000</w:t>
                  </w:r>
                </w:p>
              </w:tc>
              <w:tc>
                <w:tcPr>
                  <w:tcW w:w="1843"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0.8%</w:t>
                  </w:r>
                </w:p>
              </w:tc>
              <w:tc>
                <w:tcPr>
                  <w:tcW w:w="1843"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0.45%</w:t>
                  </w:r>
                </w:p>
              </w:tc>
              <w:tc>
                <w:tcPr>
                  <w:tcW w:w="1856"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1000-5000</w:t>
                  </w:r>
                </w:p>
              </w:tc>
              <w:tc>
                <w:tcPr>
                  <w:tcW w:w="1843"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0.5%</w:t>
                  </w:r>
                </w:p>
              </w:tc>
              <w:tc>
                <w:tcPr>
                  <w:tcW w:w="1843"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0.25%</w:t>
                  </w:r>
                </w:p>
              </w:tc>
              <w:tc>
                <w:tcPr>
                  <w:tcW w:w="1856"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5000-10000</w:t>
                  </w:r>
                </w:p>
              </w:tc>
              <w:tc>
                <w:tcPr>
                  <w:tcW w:w="1843"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0.25%</w:t>
                  </w:r>
                </w:p>
              </w:tc>
              <w:tc>
                <w:tcPr>
                  <w:tcW w:w="1843"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0.1%</w:t>
                  </w:r>
                </w:p>
              </w:tc>
              <w:tc>
                <w:tcPr>
                  <w:tcW w:w="1856"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10000-100000</w:t>
                  </w:r>
                </w:p>
              </w:tc>
              <w:tc>
                <w:tcPr>
                  <w:tcW w:w="1843"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0.05%</w:t>
                  </w:r>
                </w:p>
              </w:tc>
              <w:tc>
                <w:tcPr>
                  <w:tcW w:w="1843"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0.05%</w:t>
                  </w:r>
                </w:p>
              </w:tc>
              <w:tc>
                <w:tcPr>
                  <w:tcW w:w="1856"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100000以上</w:t>
                  </w:r>
                </w:p>
              </w:tc>
              <w:tc>
                <w:tcPr>
                  <w:tcW w:w="1843"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0.01%</w:t>
                  </w:r>
                </w:p>
              </w:tc>
              <w:tc>
                <w:tcPr>
                  <w:tcW w:w="1843"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0.01%</w:t>
                  </w:r>
                </w:p>
              </w:tc>
              <w:tc>
                <w:tcPr>
                  <w:tcW w:w="1856" w:type="dxa"/>
                  <w:vAlign w:val="center"/>
                </w:tcPr>
                <w:p>
                  <w:pPr>
                    <w:spacing w:line="460" w:lineRule="exact"/>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0.01%</w:t>
                  </w:r>
                </w:p>
              </w:tc>
            </w:tr>
          </w:tbl>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注：招标代理服务收费按差额定率累进法计算，中标金额含本数。例如：某服务招标代理业务中标金额为6000万元，</w:t>
            </w:r>
            <w:r>
              <w:rPr>
                <w:rFonts w:hint="eastAsia" w:asciiTheme="minorEastAsia" w:hAnsiTheme="minorEastAsia" w:eastAsiaTheme="minorEastAsia" w:cstheme="minorEastAsia"/>
                <w:bCs/>
                <w:sz w:val="24"/>
                <w:szCs w:val="24"/>
              </w:rPr>
              <w:t>具体收取金额为上表（招标代理服务费收费标准）相应招标类别收费标准*80%，</w:t>
            </w:r>
            <w:r>
              <w:rPr>
                <w:rFonts w:hint="eastAsia" w:asciiTheme="minorEastAsia" w:hAnsiTheme="minorEastAsia" w:eastAsiaTheme="minorEastAsia" w:cstheme="minorEastAsia"/>
                <w:color w:val="000000"/>
                <w:sz w:val="24"/>
                <w:szCs w:val="24"/>
              </w:rPr>
              <w:t>计算招标代理服务费收取金额如下：</w:t>
            </w:r>
          </w:p>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100万元×1.5％×80%＝1.2万元</w:t>
            </w:r>
          </w:p>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（500－100）万元×0.8％×80%＝2.56万元</w:t>
            </w:r>
          </w:p>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（1000－500）万元×0.45％×80%＝1.8万元</w:t>
            </w:r>
          </w:p>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（5000－1000）万元×0.25％×80%＝8万元</w:t>
            </w:r>
          </w:p>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（6000－5000）万元×0.1％×80%＝0.8万元</w:t>
            </w:r>
          </w:p>
          <w:p>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合计收费＝1.2＋2.56＋1.8＋8＋0.8＝14.36(万元)</w:t>
            </w:r>
          </w:p>
          <w:p>
            <w:pPr>
              <w:pStyle w:val="117"/>
              <w:adjustRightInd w:val="0"/>
              <w:snapToGrid w:val="0"/>
              <w:rPr>
                <w:rFonts w:asciiTheme="minorEastAsia" w:hAnsiTheme="minorEastAsia" w:eastAsiaTheme="minorEastAsia" w:cstheme="minorEastAsia"/>
                <w:sz w:val="24"/>
                <w:szCs w:val="24"/>
              </w:rPr>
            </w:pPr>
          </w:p>
        </w:tc>
      </w:tr>
    </w:tbl>
    <w:p>
      <w:pPr>
        <w:ind w:firstLine="482"/>
        <w:jc w:val="center"/>
        <w:rPr>
          <w:rFonts w:asciiTheme="minorEastAsia" w:hAnsiTheme="minorEastAsia" w:eastAsiaTheme="minorEastAsia"/>
          <w:b/>
          <w:sz w:val="24"/>
        </w:rPr>
      </w:pPr>
      <w:r>
        <w:rPr>
          <w:rFonts w:hint="eastAsia"/>
          <w:b/>
          <w:sz w:val="24"/>
          <w:szCs w:val="24"/>
        </w:rPr>
        <w:br w:type="page"/>
      </w:r>
      <w:bookmarkEnd w:id="4"/>
      <w:r>
        <w:rPr>
          <w:rFonts w:hint="eastAsia" w:asciiTheme="minorEastAsia" w:hAnsiTheme="minorEastAsia" w:eastAsiaTheme="minorEastAsia"/>
          <w:b/>
          <w:sz w:val="24"/>
        </w:rPr>
        <w:t>投标人</w:t>
      </w:r>
      <w:r>
        <w:rPr>
          <w:rFonts w:asciiTheme="minorEastAsia" w:hAnsiTheme="minorEastAsia" w:eastAsiaTheme="minorEastAsia"/>
          <w:b/>
          <w:sz w:val="24"/>
        </w:rPr>
        <w:t>须知</w:t>
      </w:r>
      <w:r>
        <w:rPr>
          <w:rFonts w:hint="eastAsia" w:asciiTheme="minorEastAsia" w:hAnsiTheme="minorEastAsia" w:eastAsiaTheme="minorEastAsia"/>
          <w:b/>
          <w:sz w:val="24"/>
        </w:rPr>
        <w:t>正文</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1.有关定义</w:t>
      </w:r>
    </w:p>
    <w:p>
      <w:pPr>
        <w:spacing w:line="360" w:lineRule="auto"/>
        <w:ind w:firstLine="480"/>
        <w:outlineLvl w:val="3"/>
        <w:rPr>
          <w:rFonts w:asciiTheme="minorEastAsia" w:hAnsiTheme="minorEastAsia" w:eastAsiaTheme="minorEastAsia" w:cstheme="minorEastAsia"/>
          <w:bCs/>
          <w:sz w:val="24"/>
          <w:szCs w:val="22"/>
        </w:rPr>
      </w:pPr>
      <w:r>
        <w:rPr>
          <w:rFonts w:hint="eastAsia" w:asciiTheme="minorEastAsia" w:hAnsiTheme="minorEastAsia" w:eastAsiaTheme="minorEastAsia" w:cstheme="minorEastAsia"/>
          <w:bCs/>
          <w:sz w:val="24"/>
          <w:szCs w:val="22"/>
        </w:rPr>
        <w:t>本项目的交易方式为竞争性磋商，招标人为项目实施建设的发包人，投标人为参与竞争性磋商的主体，中标人为参与竞争性磋商，并获得项目实施的承包人。</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2.资金来源</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本项目的招标人已获得足以支付本次磋商后所签订的合同项下的资金。</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3.磋商费用</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不论磋商的结果如何，投标人应承担其所有与准备和参加磋商有关的费用。</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4.磋商文件的澄清与修改</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4.1投标人如对磋商文件内容有疑问，按投标人须知前附表规定提出。</w:t>
      </w:r>
    </w:p>
    <w:p>
      <w:pPr>
        <w:pStyle w:val="16"/>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招标人可主动或在解答投标人提出的问题时对磋商文件进行澄清或者修改。代理机构将在安徽公共资源交易集团网站澄清或修改磋商文件，投标人应主动上网查询。代理机构和招标人不承担投标人未及时关注相关信息引发的相关责任。</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4.3任何人或任何组织向投标人提供的任何书面或口头资料，未经代理机构在网上发布或书面通知，均作无效处理，不得作为磋商文件的组成部分。代理机构对投标人由此而做出的推论、理解和结论概不负责。</w:t>
      </w:r>
    </w:p>
    <w:p>
      <w:pPr>
        <w:spacing w:line="360" w:lineRule="auto"/>
        <w:ind w:firstLine="480"/>
        <w:rPr>
          <w:rFonts w:asciiTheme="minorEastAsia" w:hAnsiTheme="minorEastAsia" w:eastAsiaTheme="minorEastAsia" w:cstheme="minorEastAsia"/>
          <w:iCs/>
          <w:sz w:val="24"/>
        </w:rPr>
      </w:pPr>
      <w:r>
        <w:rPr>
          <w:rFonts w:hint="eastAsia" w:asciiTheme="minorEastAsia" w:hAnsiTheme="minorEastAsia" w:eastAsiaTheme="minorEastAsia" w:cstheme="minorEastAsia"/>
          <w:sz w:val="24"/>
        </w:rPr>
        <w:t>4.4对于没有提出疑问又参与了本项目磋商的投标人将被视为完全认同本磋商文件（含澄清、修改等内容）</w:t>
      </w:r>
      <w:r>
        <w:rPr>
          <w:rFonts w:hint="eastAsia" w:asciiTheme="minorEastAsia" w:hAnsiTheme="minorEastAsia" w:eastAsiaTheme="minorEastAsia" w:cstheme="minorEastAsia"/>
          <w:iCs/>
          <w:sz w:val="24"/>
        </w:rPr>
        <w:t>。</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5.磋商范围及投标文件中标准和计量单位的使用</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5.1无论磋商文件中是否要求，投标人所承担项目及伴随的货物和服务均应符合国家强制性标准。</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投标人与代理机构之间与磋商有关的所有往来通知、函件和投标文件均用中文表述。投标人随投标文件提供的证明文件和资料可以为其他语言，但必须附中文译文。翻译的中文资料与外文资料如果出现差异时，以中文为准。</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5.3除磋商文件中有特殊要求外，投标文件中所使用的计量单位，应采用中华人民共和国法定计量单位。</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6.投标文件构成</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6.1投标人应完整地按磋商文件提供的投标文件格式及磋商文件评审要求编写投标文件，具体内容详见第六章投标文件格式的相关内容。</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6.2上述文件应按照磋商文件规定的格式填写、签署和盖章。</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7.报价</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7.1投标人的报价应当包括满足本次磋商全部内容，所有报价均应以人民币报价。</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7.2投标人应在分项报价表上标明磋商项目的单价（如适用）和总价，未标明的视同包含在磋商报价中。</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8.磋商有效期</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8.1磋商有效期为从投标文件提交截止之日算起的日历天数，磋商有效期为120日历天。招标人或代理机构可根据实际情况，在原磋商有效期截止之前，要求投标人延长磋商有效期。接受该要求的投标人将不会被要求和允许修正其投标文件。投标人可以拒绝延长磋商有效期的要求，且不承担任何责任。上述要求和答复都应以书面形式提交。</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8.2在磋商有效期内，投标人的磋商保持有效，投标人不得要求撤销或修改其投标文件。</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9.投标文件的制作</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9.1本项目要求提供加密电子投标文件，投标文件的制作应满足以下规定：</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文件由投标人使用电子交易系统提供的“投标文件制作工具”制作生成。“投标文件制作工具”可以通过电子交易系统中下载。投标人应当在互联网络通畅状态下启用最新版投标文件制作工具制作投标文件。</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（2）在第六章“投标文件格式”中要求加盖</w:t>
      </w:r>
      <w:r>
        <w:rPr>
          <w:rFonts w:hint="eastAsia" w:cs="@仿宋_GB2312"/>
          <w:kern w:val="2"/>
          <w:sz w:val="24"/>
          <w:szCs w:val="24"/>
        </w:rPr>
        <w:t>投标人电子签章或公章处</w:t>
      </w:r>
      <w:r>
        <w:rPr>
          <w:rFonts w:hint="eastAsia" w:asciiTheme="minorEastAsia" w:hAnsiTheme="minorEastAsia" w:eastAsiaTheme="minorEastAsia" w:cstheme="minorEastAsia"/>
          <w:sz w:val="24"/>
        </w:rPr>
        <w:t>，投标人均应加盖投标人电子签章或公章。联合体参加磋商的，除联合协议及磋商文件规定须联合体各成员单位各自盖章的证明材料外，投标文件由联合体牵头人按上述规定加盖联合体牵头人单位电子签章或公章。</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9.2因投标人自身原因而导致投标文件无法导入电子交易系统电子开标、评标系统的，该投标文件视为无效投标文件，投标人自行承担由此导致的全部责任。（该投标文件是指解密后的投标文件）。</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10.投标文件提交截止时间</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10.1投标人应在第一章“磋商公告”规定</w:t>
      </w:r>
      <w:r>
        <w:rPr>
          <w:rFonts w:hint="eastAsia" w:asciiTheme="minorEastAsia" w:hAnsiTheme="minorEastAsia" w:eastAsiaTheme="minorEastAsia" w:cstheme="minorEastAsia"/>
          <w:sz w:val="24"/>
          <w:szCs w:val="22"/>
        </w:rPr>
        <w:t>的</w:t>
      </w:r>
      <w:r>
        <w:rPr>
          <w:rFonts w:hint="eastAsia" w:asciiTheme="minorEastAsia" w:hAnsiTheme="minorEastAsia" w:eastAsiaTheme="minorEastAsia" w:cstheme="minorEastAsia"/>
          <w:sz w:val="24"/>
        </w:rPr>
        <w:t>投标文件提交截止时间前，在网上提交加密电子投标文件（如磋商延期，按最新发布磋商时间执行）。</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10.2投标人在磋商文件规定的投标文件提交截止时间前上传了网上加密电子投标文件，但未在规定时间内进行解密的，投标无效。</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10.3招标人和代理机构延迟投标文件提交截止时间的。招标人、代理机构和投标人受投标文件提交截止时间制约的所有权利和义务均应延长至新的截止时间。</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11.投标文件的提交、修改与撤回</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11.1投标人应当在第一章“磋商公告”规定的投标文件提交截止时间前，将加密的投标文件在电子交易系统上传（如磋商延期，按最新发布磋商时间执行）。</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投标人应当在投标文件提交截止时间前完成投标文件的传输提交（以接收到电子签收凭证为准），并可以补充、修改或者撤回投标文件。投标文件提交截止时间前未完成投标文件传输的，视为撤回投标文件。未按规定加密或投标文件提交截止时间后送达的投标文件，电子交易系统应当拒收。</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11.3投标人应在投标人须知前附表规定的解密时间前（以电子交易系统解密倒计时为准）对本单位的投标文件进行解密。</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12.评审小组</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12.1由招标人委派或招标人委托代理机构抽取经济技术专家等方式组建的评审小组，负责本项目评审工作。评审小组成员由3人以上单数组成，评审小组及其成员应当依照有关规定履行相关职责和义务。</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12.2评审小组根据磋商文件规定的评审方法和标准对投标人提交的投标文件进行评审，从质量和服务均能满足磋商文件实质性响应要求的投标人中推荐中标候选人，并编写评审报告。</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13.终止竞争性磋商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出现下列情况之一时，招标人和代理机构有权宣布终止竞争性磋商采购，并将理由通知所有投标人：</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cs="@仿宋_GB2312" w:asciiTheme="minorEastAsia" w:hAnsiTheme="minorEastAsia" w:eastAsiaTheme="minorEastAsia"/>
          <w:kern w:val="2"/>
          <w:sz w:val="24"/>
          <w:szCs w:val="24"/>
        </w:rPr>
        <w:t>通过初审的投标人</w:t>
      </w:r>
      <w:r>
        <w:rPr>
          <w:rFonts w:hint="eastAsia" w:asciiTheme="minorEastAsia" w:hAnsiTheme="minorEastAsia" w:eastAsiaTheme="minorEastAsia" w:cstheme="minorEastAsia"/>
          <w:sz w:val="24"/>
        </w:rPr>
        <w:t>不足规定数量，导致本次磋商缺乏竞争的；</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（2）出现影响公正的违法、违规行为的；</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（3）因重大变故，招标任务取消的；</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（4）磋商文件有重大漏洞，导致无法继续评审的；</w:t>
      </w:r>
    </w:p>
    <w:p>
      <w:pPr>
        <w:spacing w:line="360" w:lineRule="auto"/>
        <w:ind w:firstLine="480"/>
      </w:pPr>
      <w:r>
        <w:rPr>
          <w:rFonts w:hint="eastAsia" w:asciiTheme="minorEastAsia" w:hAnsiTheme="minorEastAsia" w:eastAsiaTheme="minorEastAsia" w:cstheme="minorEastAsia"/>
          <w:sz w:val="24"/>
        </w:rPr>
        <w:t>（5）法律法规规定的其他情形。</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14.投标文件的澄清、说明或更正</w:t>
      </w:r>
    </w:p>
    <w:p>
      <w:pPr>
        <w:spacing w:line="360" w:lineRule="auto"/>
        <w:ind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14.2评审小组要求投标人澄清、说明或者更正投标文件应当以书面形式（即网上询标）作出。投标人的澄清、说明或者更正应当加盖投标人电子签章或公章。</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14.3如有询标，投标人通过远程登录的方式接受网上询标。投标人应登录电子交易系统并保持在线状态，以便及时接收评审小组可能发出的询标函，并在规定时间内回复，因授权代表联系不上、没有及时登录系统等情形而无法接受评审小组询标的，投标人自行承担相关风险。</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15.最终投标报价</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15.1磋商并不限定只进行二轮报价，如果评审小组认为有必要，可以要求投标人进行多轮报价。</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15.2在磋商内容不做实质性变更或重大调整的前提下，投标人下轮报价不得高于上一轮报价。</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15.3最终投标报价是投标人投标文件的有效组成部分，最终投标报价也是签订合同的依据。</w:t>
      </w:r>
    </w:p>
    <w:p>
      <w:pPr>
        <w:spacing w:line="360" w:lineRule="auto"/>
        <w:ind w:firstLine="480"/>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15.4本项目的服务地点为本须知前附表所述，投标人可到项目现场踏勘以充分了解项目位置、情况及任何其他足以影响磋商报价的情况，任何因忽视或误解项目场地情况而导致的索赔或服务期限延长申请将不被批准。对于受项目现场场地限制，如需要另外寻找场地解决临时住宿，由此所产生的费用应包含在磋商报价范围内，招标人不再承担该费用。</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kern w:val="2"/>
          <w:sz w:val="24"/>
        </w:rPr>
        <w:t>15.5本项目不接受恶意不平衡报价，不保证最低价中标。</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16.中标候选人的推荐原则</w:t>
      </w:r>
    </w:p>
    <w:p>
      <w:pPr>
        <w:spacing w:line="360" w:lineRule="auto"/>
        <w:ind w:firstLine="480"/>
        <w:outlineLvl w:val="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评审小组依据本项目磋商文件所约定的评审方法和标准，按照有效投标人综合总得分由高到低依次推荐中标候选人。评审得分相同的，由评审小组根据投标文件投票，按少数服从多数的原则确定中标候选人顺序。</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17.确定中标人</w:t>
      </w:r>
    </w:p>
    <w:p>
      <w:pPr>
        <w:spacing w:line="360" w:lineRule="auto"/>
        <w:ind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招标人委托评审小组确定中标人的，排名第一的中标候选人即为中标人，由代理机构在指定媒体上予以公告；招标人确定中标人的，由招标人函告代理机构后，由代理机构在指定媒体上予以公告。</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18.编写评审报告</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19.保密要求</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19.1评审将在严格保密的情况下进行。</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19.2有关人员应当遵守评审工作纪律，不得泄露评审文件、评审情况和评审中获悉的国家秘密、商业秘密等。</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20.中标结果公告</w:t>
      </w:r>
    </w:p>
    <w:p>
      <w:pPr>
        <w:spacing w:line="360" w:lineRule="auto"/>
        <w:ind w:firstLine="480"/>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20.1中标人确定后，代理机构将在安徽公共资源交易集团网站（http://www.ahggzyjt.com）发布中标结果公告。</w:t>
      </w:r>
    </w:p>
    <w:p>
      <w:pPr>
        <w:spacing w:line="360" w:lineRule="auto"/>
        <w:ind w:firstLine="480"/>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20.2中标结果公告内容应当包括招标人及其委托的代理机构的名称、项目名称、项目编号、中标人名称、中标金额。</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21.磋商结果的异议、投诉</w:t>
      </w:r>
    </w:p>
    <w:p>
      <w:pPr>
        <w:spacing w:line="360" w:lineRule="auto"/>
        <w:ind w:firstLine="480" w:firstLineChars="200"/>
        <w:rPr>
          <w:rFonts w:cs="@仿宋_GB2312" w:asciiTheme="minorHAnsi" w:hAnsiTheme="minorHAnsi" w:eastAsiaTheme="minorEastAsia"/>
          <w:kern w:val="2"/>
          <w:sz w:val="24"/>
          <w:szCs w:val="24"/>
        </w:rPr>
      </w:pPr>
      <w:r>
        <w:rPr>
          <w:rFonts w:hint="eastAsia" w:cs="@仿宋_GB2312" w:asciiTheme="minorHAnsi" w:hAnsiTheme="minorHAnsi" w:eastAsiaTheme="minorEastAsia"/>
          <w:kern w:val="2"/>
          <w:sz w:val="24"/>
          <w:szCs w:val="24"/>
        </w:rPr>
        <w:t>21.1对于磋商结果有异议的，应在中标结果公告规定的时间内向招标人或代理机构提出。</w:t>
      </w:r>
    </w:p>
    <w:p>
      <w:pPr>
        <w:spacing w:line="360" w:lineRule="auto"/>
        <w:ind w:firstLine="480" w:firstLineChars="200"/>
      </w:pPr>
      <w:r>
        <w:rPr>
          <w:rFonts w:hint="eastAsia" w:cs="@仿宋_GB2312" w:asciiTheme="minorHAnsi" w:hAnsiTheme="minorHAnsi" w:eastAsiaTheme="minorEastAsia"/>
          <w:kern w:val="2"/>
          <w:sz w:val="24"/>
          <w:szCs w:val="24"/>
        </w:rPr>
        <w:t>21.2对于异议答复不满意的，应在收到异议答复之日起3日内向磋商公告载明的监督管理部门提出。</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22.中标通知书</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22.1代理机构发布中标结果公告的同时以投标人须知前附表规定的形式向中标人发出中标通知书。</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22.2中标通知书对招标人和中标人具有同等法律效力。中标通知书发出以后，招标人改变中标结果或者中标人放弃中标资格，应当承担相应的法律责任。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22.3中标通知书是合同的组成部分。</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23.告知磋商结果</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23.1中标结果公告发布后，投标人自行登录电子交易系统查询结果信息。</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23.2代理机构对未中标的投标人不做未中标原因的解释。</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24.履约保证金</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如果中标人没有按照投标人须知前附表中履约保证金的规定执行，将视为放弃中标资格。在此情况下，招标人可确定下一中标候选人为中标人，也可以重新开展磋商。</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25.代理费用</w:t>
      </w:r>
    </w:p>
    <w:p>
      <w:pPr>
        <w:spacing w:line="360" w:lineRule="auto"/>
        <w:ind w:firstLine="480"/>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中标人放弃中标资格的，</w:t>
      </w:r>
      <w:r>
        <w:rPr>
          <w:rFonts w:hint="eastAsia" w:asciiTheme="minorEastAsia" w:hAnsiTheme="minorEastAsia" w:eastAsiaTheme="minorEastAsia" w:cstheme="minorEastAsia"/>
          <w:sz w:val="24"/>
        </w:rPr>
        <w:t>本磋商项目应收取的</w:t>
      </w:r>
      <w:r>
        <w:rPr>
          <w:rFonts w:hint="eastAsia"/>
          <w:sz w:val="24"/>
          <w:szCs w:val="24"/>
        </w:rPr>
        <w:t>招标代理服务费</w:t>
      </w:r>
      <w:r>
        <w:rPr>
          <w:rFonts w:hint="eastAsia" w:asciiTheme="minorEastAsia" w:hAnsiTheme="minorEastAsia" w:eastAsiaTheme="minorEastAsia" w:cstheme="minorEastAsia"/>
          <w:kern w:val="2"/>
          <w:sz w:val="24"/>
        </w:rPr>
        <w:t>由其承担。</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26.签订合同</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26.1招标人与中标人应当在中标通知书发出后及时签订合同。</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26.2磋商文件、中标人的投标文件及其澄清文件等，均为签订合同的依据。</w:t>
      </w:r>
    </w:p>
    <w:p>
      <w:pPr>
        <w:spacing w:line="360" w:lineRule="auto"/>
        <w:ind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中标人拒绝与招标人签订合同的，招标人可以按照评审报告推荐的中标候选人名单排序，确定下一中标候选人为中标人，也可以重新开展磋商活动。中标人拒绝签订合同的不得参加对该项目重新开展的磋商活动。</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27.廉洁自律规定</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27.1代理机构工作人员不得以不正当手段获取招标代理业务，不得与招标人、投标人恶意串通。</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27.2代理机构工作人员不得接受招标人或者投标人组织的宴请、旅游、娱乐，不得收受礼品、现金、有价证券等，不得向招标人或者投标人报销应当由个人承担的费用。</w:t>
      </w:r>
    </w:p>
    <w:p>
      <w:pPr>
        <w:spacing w:line="360" w:lineRule="auto"/>
        <w:ind w:firstLine="482"/>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28.需要补充的其他内容</w:t>
      </w:r>
    </w:p>
    <w:p>
      <w:pPr>
        <w:spacing w:line="360" w:lineRule="auto"/>
        <w:ind w:firstLine="480"/>
        <w:rPr>
          <w:sz w:val="24"/>
        </w:rPr>
      </w:pPr>
      <w:r>
        <w:rPr>
          <w:rFonts w:hint="eastAsia" w:asciiTheme="minorEastAsia" w:hAnsiTheme="minorEastAsia" w:eastAsiaTheme="minorEastAsia" w:cstheme="minorEastAsia"/>
          <w:sz w:val="24"/>
        </w:rPr>
        <w:t>需要补充的其他内容，见投标人须知前附表</w:t>
      </w:r>
      <w:r>
        <w:rPr>
          <w:rFonts w:hint="eastAsia"/>
          <w:sz w:val="24"/>
        </w:rPr>
        <w:t>。</w:t>
      </w:r>
      <w:r>
        <w:rPr>
          <w:rFonts w:asciiTheme="minorEastAsia" w:hAnsiTheme="minorEastAsia" w:eastAsiaTheme="minorEastAsia"/>
          <w:sz w:val="24"/>
        </w:rPr>
        <w:br w:type="page"/>
      </w:r>
    </w:p>
    <w:p>
      <w:pPr>
        <w:pStyle w:val="3"/>
        <w:ind w:firstLine="643"/>
        <w:jc w:val="center"/>
        <w:rPr>
          <w:lang w:val="en-US"/>
        </w:rPr>
      </w:pPr>
      <w:bookmarkStart w:id="6" w:name="_Toc15752"/>
      <w:r>
        <w:rPr>
          <w:rFonts w:hint="eastAsia"/>
          <w:lang w:val="en-US"/>
        </w:rPr>
        <w:t>第三章 招标人要求</w:t>
      </w:r>
      <w:bookmarkEnd w:id="6"/>
    </w:p>
    <w:p>
      <w:pPr>
        <w:spacing w:line="360" w:lineRule="auto"/>
        <w:ind w:firstLine="482"/>
        <w:rPr>
          <w:rFonts w:ascii="Times New Roman" w:hAnsi="Times New Roman"/>
          <w:b/>
          <w:sz w:val="24"/>
          <w:szCs w:val="24"/>
        </w:rPr>
      </w:pPr>
      <w:bookmarkStart w:id="7" w:name="_Toc482188637"/>
      <w:r>
        <w:rPr>
          <w:rFonts w:ascii="Times New Roman" w:hAnsi="Times New Roman"/>
          <w:b/>
          <w:sz w:val="24"/>
          <w:szCs w:val="24"/>
        </w:rPr>
        <w:t>一、</w:t>
      </w:r>
      <w:bookmarkEnd w:id="7"/>
      <w:r>
        <w:rPr>
          <w:rFonts w:hint="eastAsia" w:ascii="Times New Roman" w:hAnsi="Times New Roman"/>
          <w:b/>
          <w:sz w:val="24"/>
          <w:szCs w:val="24"/>
        </w:rPr>
        <w:t>项目概况</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合肥百货大楼集团股份有限公司现用的商友客户关系管理系统（以下简称CRM10.0</w:t>
      </w:r>
      <w:r>
        <w:rPr>
          <w:rFonts w:ascii="Times New Roman" w:hAnsi="Times New Roman"/>
          <w:sz w:val="24"/>
          <w:szCs w:val="24"/>
        </w:rPr>
        <w:t>系统</w:t>
      </w:r>
      <w:r>
        <w:rPr>
          <w:rFonts w:hint="eastAsia" w:ascii="Times New Roman" w:hAnsi="Times New Roman"/>
          <w:sz w:val="24"/>
          <w:szCs w:val="24"/>
        </w:rPr>
        <w:t>）为北京长京益康信息科技有限公司（以下简称长益）开发的商友V10.0，是一个满足多业态、多门店、跨区域、全渠道的信息平台。于2</w:t>
      </w:r>
      <w:r>
        <w:rPr>
          <w:rFonts w:ascii="Times New Roman" w:hAnsi="Times New Roman"/>
          <w:sz w:val="24"/>
          <w:szCs w:val="24"/>
        </w:rPr>
        <w:t>0</w:t>
      </w:r>
      <w:r>
        <w:rPr>
          <w:rFonts w:hint="eastAsia" w:ascii="Times New Roman" w:hAnsi="Times New Roman"/>
          <w:sz w:val="24"/>
          <w:szCs w:val="24"/>
        </w:rPr>
        <w:t>21年4月正式上线使用，用于对会员卡、储值卡从建卡、使用到终止全过程进行管理；对会员消费行为进行建模分析，了解会员行为偏好，为会员营销活动提供支撑；对会员、储值卡消费进行管理，并对会员开展促销活动进行管理；兼具积分、卡券及储值结算功能；同时提供多平台对接接口，以实现与各业态各系统进行灵活对接。</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合肥百大集团商友商业信息管理系统V9.0（以下简称ERP9.0）于2017年10月与长益签订软件购买合同，以实现对百货业态商品、合同、供应商、物价、进货、库存、销售及结算进行管理的ERP信息系统，提供经代联租四种经营模式共十二种结算方法，对合同进行管理；支持一品多供；进货批次管控；采用先进先出销售模式，同时支持后进先出进货模式；库存预警，单据审批提醒；店间批发销售；茅台总部统配，箱码管理；业务流程对接办公软件，自动流转；对接结算平台，实现支付结算付款一体化。2018年12月底完成全部百货23家门店升级切换，2019年7月验收合格使用至今。</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现商友ERP9.0系统、商友CRM10.0系统均已过了合同约定的一年免费维保期限，为保证软件功能的正确性、完整性、适用性，需购买维保服务以保证系统的可靠稳定运行和持续功能优化。</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注：合肥百大集团仅购买了软件使用权，长益拥有商友ERP9.0和商友CRM10.0两系统的自主知识产权，拥有底层架构、源代码及业务逻辑的所有权及专利权。维护中涉及到的知识产权及源代码等产生的费用将由投标人自行承担。</w:t>
      </w:r>
    </w:p>
    <w:p>
      <w:pPr>
        <w:spacing w:line="360" w:lineRule="auto"/>
        <w:ind w:firstLine="482"/>
        <w:rPr>
          <w:rFonts w:ascii="Times New Roman" w:hAnsi="Times New Roman"/>
          <w:b/>
          <w:sz w:val="24"/>
          <w:szCs w:val="24"/>
        </w:rPr>
      </w:pPr>
      <w:bookmarkStart w:id="8" w:name="_Toc482188638"/>
      <w:r>
        <w:rPr>
          <w:rFonts w:ascii="Times New Roman" w:hAnsi="Times New Roman"/>
          <w:b/>
          <w:sz w:val="24"/>
          <w:szCs w:val="24"/>
        </w:rPr>
        <w:t>二、</w:t>
      </w:r>
      <w:bookmarkEnd w:id="8"/>
      <w:r>
        <w:rPr>
          <w:rFonts w:hint="eastAsia" w:ascii="Times New Roman" w:hAnsi="Times New Roman"/>
          <w:b/>
          <w:sz w:val="24"/>
          <w:szCs w:val="24"/>
        </w:rPr>
        <w:t>服务内容及要求</w:t>
      </w:r>
    </w:p>
    <w:p>
      <w:pPr>
        <w:spacing w:line="360" w:lineRule="auto"/>
        <w:ind w:firstLine="480" w:firstLineChars="200"/>
        <w:rPr>
          <w:rFonts w:ascii="Times New Roman" w:hAnsi="Times New Roman"/>
          <w:sz w:val="24"/>
          <w:szCs w:val="24"/>
        </w:rPr>
      </w:pPr>
      <w:bookmarkStart w:id="9" w:name="_Toc482188639"/>
      <w:r>
        <w:rPr>
          <w:rFonts w:hint="eastAsia" w:ascii="Times New Roman" w:hAnsi="Times New Roman"/>
          <w:sz w:val="24"/>
          <w:szCs w:val="24"/>
        </w:rPr>
        <w:t>保障CRM10.0系统、ERP9.0系统现有模块和业务流程正常运转及功能实现，纠正系统运行中存在的错误，处理系统运行BUG；改进系统性能，提高系统兼容性，以适应计算机软硬件及系统的快速发展；优化系统业务流程及功能实现，及适应新的业务需求；提供定期的系统安全检查及数据备份，预防事故发生；提供系统接口对接功能，以适应公司业务发展需要。</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（一）主要维保内容</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1.ERP系统维保内容</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协助百货新开门店，并对ERP9.0系统及与之有关的POS系统环境运行进行搭建，如新开门店的服务器、数据库、传输、前置服务及业务运行环搭建，并对新开门店开展人员培训，以帮助其熟悉业务流程及系统应用。</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处理ERP9.0在系统使用时，功能应用及数据处理出现的报错及错误实现，对系统在后续软件修改后产生的新的报错和问题实现，予以处理和修正，保障系统功能菜单及业务流程正常准确稳定运行。对现有功能输入输出、计算方法、计算方法的修改和变更。</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（3）针对ERP9.0及POS收银程序在经营过程中，因业务需求的改变导致的处理规则变动及优化，给予程序或流程修改，数据库优化，存储过程变更，表结构、视图、字段增加、变更及优化，以适应新业务需要。</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（4）针对ERP9.0和POS收银系统在日常经营中和接口对接后出现的业务数据错记、漏记，及时查找问题原因，给予修正和更新，修复问题产生因素，避免问题再次发生；</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（5）提供有关ERP9.0系统和POS收银系统业务咨询，针对系统使用和业务流程实现的咨询，给出切实可行的意见和建议。</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（6）处理ERP9.0系统及POS库日处理报错，对日结过程中产生的各种错误进行处理并对处理的结果进行说明。及时排错，保证日处理及日常销售数据的准确性和及时性。</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（7）保证ERP9.0数据库和POS数据库之间资料，数据，销售信息关联一致性。保证对接ERP9.0或POS系统的第三方销售平台，其销售数据记录的完整性和正确性。</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8）提供技术支持，保障ERP9.0系统和POS收银系统提供的外部对接接口，其接口服务功能正常运行，针对已经存在接口，免费进行移植及接口服务、运行环境搭建，协助对接方排错、上线及优化。处理接口使用中出现的异常及报错，及时升级接口服务以适应新的应用。</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（9）针对操作系统变更、硬件升级导致的ERP9.0系统和POS收银系统其安装及使用等适应性报错，给予系统适配及性能升级处理，保证系统使用不受软硬件变动影响。</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（10）随着系统使用，数据库记录数据量的增加，导致数据的使用或查询变慢，优化数据结构及表字段关联，保证数据读取的速度和准确性。</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11）每年至少进行一次对ERP系统和POS收银系统的运行环境进行检查和维护，确保系统功能和运行环境的正常，以保证系统软件的正常稳定运行。针对系统存在漏洞，做到及时发现，及时修复，针对系统适应性升级维护，提前告知，并及时升级，提高系统性能，增加系统的稳定性、可靠性。</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（12）定期对ERP9.0系统数据库的资料和数据进行备份，并确保备份数据的可靠性和可用性，在遇到数据丢失或损坏时，协助进行数据恢复，确保数据的安全性完整性。</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（13）定期对ERP系统开展安全检查，发现并修复潜在的安全隐患，如漏洞、弱密码等。</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（14）提供应急响应服务，在遇到突发事件时，如灾难恢复，系统故障等，快速响应，协助恢复系统正常运行，减少损失。</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（15）对系统进行监控并定期开展性能测试，及时发现系统性能瓶颈，提出相应优化方案，以提高系统的相应速度和稳定性。</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（16）随着业务的变化和需求的增加，对系统功能进行升级和迭代，以满足新需求和业务要求</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（17）针对ERP9.0系统输出格式进行变更；针对软件中各输出报表、查询结果和单据的打印格式根据需要作相应的修改，并根据需要增加输出相关统计汇总报表。</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（18）能够根据需要对ERP9.0应用软件系统计算方法进行修改；针对应用软件中已不适合当前使用的项目的计算公式，在以不改变原有业务与财务核算原则为前提，根据需要进行修改。</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（19）对ERP9.0应用软件系统使用故障进行处理；针对应用软件的功能模块使用方法进行指导，针对功能不了解、不明确提供咨询培训，对使用不当进行更正；</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20）对ERP9.0应用软件系统和POS收银系统输入界面提供修改；并对应用中的各单据和信息录入、数据采集界面进行修改或增加。针对ERP9.0系统功能菜单的查询和操作界面，根据业务需要进行修改，并根据需要对查询结果及展示字段进行增减，提高软件的适用性。</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（21）提供ERP9.0应用软件系统客户化需求开发，基于当前应用系统模块增加功能。基于现有数据、结构和逻辑，可增加字段或对象。但是开发测试天数不会超过4</w:t>
      </w:r>
      <w:r>
        <w:rPr>
          <w:rFonts w:ascii="Times New Roman" w:hAnsi="Times New Roman"/>
          <w:sz w:val="24"/>
          <w:szCs w:val="24"/>
        </w:rPr>
        <w:t>0</w:t>
      </w:r>
      <w:r>
        <w:rPr>
          <w:rFonts w:hint="eastAsia" w:ascii="Times New Roman" w:hAnsi="Times New Roman"/>
          <w:sz w:val="24"/>
          <w:szCs w:val="24"/>
        </w:rPr>
        <w:t>人天，如有超出部分可另行收费。若是由于软件开发本身缺陷导致的乙方维护修改工作量及产生的费用（包括但不限于人工开发费，人员往来食宿差旅费等），不在此范围内。</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（22）提供ERP9.0系统数据库的结构详细说明文档：包含各个表、视图、存储过程、触发器的结构说明，各个表之间的关联关系以及与业务流程之间的对应关系。</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2.CRM10.0系统维保内容</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处理CRM10.0在系统使用时，功能应用及数据处理出现的报错及错误实现，对系统在后续软件修改后产生的新的报错和问题实现，予以处理和修正，保障系统功能菜单及业务流程正常准确稳定运行。对现有功能输入输出、计算方法、计算方法的修改和变更。</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（2）针对CRM10.0在经营过程中，因业务需求的改变导致的处理规则变动及优化，给予程序或流程修改，数据库优化，处理过程变更，表结构、视图、字段增加、变更及优化，以适应新业务需要。</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（3）针对CRM10.0在日常经营中或接口对接后出现的业务数据错记、漏记，及时查找问题原因，给予修正和更新，修复问题产生因素，避免问题再次发生；</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（4）提供有关CRM10.0系统业务及促销实现咨询，针对系统使用和业务实现的咨询，给出切实可行的意见和建议。</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（5）及时处理CRM10.0日处理报错，对日结过程中产生的各种错误进行处理并对处理的结果进行说明。及时排错，保证会员数据、储值卡报表数据、茅台预约数据的的准确性和及时性。</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（6）保证CRM10.0系统会员卡库CRMHYK和储值卡库CRMCZK与查询数据库CRMCX之间数据资料的同步性及一致性，保证CRM10.0与ERP系统传输的畅通性，保证CRM10.0销售数据和POS库交易数据的关联一致性。</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7）提供技术支持，保障CRM10.0系统提供的外部对接接口，其接口服务功能正常运行，针对已经存在接口，免费进行移植及接口服务、运行环境搭建，协助对接方排错、上线及优化。处理接口使用中出现的异常及报错，及时升级接口服务以适应新的应用。</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（8）针对操作系统、硬件升级导致的CRM10.0系统功能及操作等适应性报错，给予系统适配及性能升级处理，保证系统使用不受软硬件变动影响。</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（9）随着系统使用，数据库记录数据量的增加，导致数据的使用或查询变慢，优化数据结构及表字段关联，保证数据读取的速度和准确性。</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10）每年对CRM系统其运行环境进行定期检查和维护，确保系统功能和运行环境的正常，以保证系统软件的正常稳定运行。针对系统存在漏洞，做到及时发现，及时修复，针对系统适应性升级维护，提前告知，并及时升级，提高系统性能，增加系统的稳定性、可靠性。</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（11）定期对CRM10.0系统的数据进行备份和优化，并确保备份数据的可靠性和可用性，在遇到数据丢失或损坏时，协助进行数据恢复，确保数据的安全性完整性。</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（12）定期对CRM系统进行安全检查，发现并修复潜在的安全隐患，如漏洞、弱密码等。提供应急响应服务，在遇到突发事件时，如灾难恢复，系统故障等，快速响应，协助恢复系统正常运行，减少损失。</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（13）对系统进行监控并定期开展性能测试，及时发现系统性能瓶颈，提出相应优化方案，以提高系统的相应速度和稳定性。</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（14）随着业务的变化和需求的增加，对系统功能进行升级和迭代，以满足新需求和业务要求</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（15）针对CRM10.0系统输出格式进行变更；对应用软件中各输出报表、查询结果和单据的打印格式根据需要作相应的修改，并根据需要增加输出相关统计汇总报表。</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（16）能够根据需要对CRM10.0应用软件系统计算方法进行修改；针对应用软件中已不适合当前使用的项目的计算公式，在以不改变原有业务与财务核算原则为前提，根据需要进行修改。</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（17）对CRM10.0应用软件系统使用故障进行处理；针对应用软件的功能模块使用方法进行指导，针对功能不了解、不明确提供咨询培训，对使用不当进行更正；</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18）提供CRM10.0应用软件系统输入界面的修改；对应用软件中的各单据和信息录入、数据采集界面进行修改和增加。针对CRM10.0系统功能菜单的查询和操作界面，根据业务需要进行修改，并根据需要对查询结果及展示字段进行增减，提高软件的适用性。</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（19）CRM10.0应用软件系统软件功能修改，现有功能输入输出、计算方法的修改。仅对当前已有应用软件的输入输出功能、计算公式或方法进行变更，不涉及数据结构和逻辑变更。</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20）提供CRM10.0应用软件系统客户化需求开发，基于当前应用系统模块增加功能。基于现有数据、结构和逻辑，可增加字段或对象。但是开发测试天数不会超过40人天，超出部分可另行收费。若是由于软件开发本身缺陷导致的乙方维护修改工作量及产生的费用（包括但不限于人工开发费，人员往来食宿差旅费等），不在此范围内。</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（21）提供CRM10.0系统数据库的结构详细说明文档：包含各个表、视图、存储过程、触发器的结构说明，各个表之间的关联关系以及与业务流程之间的对应关系。</w:t>
      </w:r>
    </w:p>
    <w:p>
      <w:pPr>
        <w:spacing w:line="500" w:lineRule="exact"/>
        <w:ind w:firstLine="480" w:firstLineChars="200"/>
        <w:outlineLvl w:val="0"/>
        <w:rPr>
          <w:rFonts w:cs="Times New Roman"/>
          <w:sz w:val="24"/>
          <w:szCs w:val="24"/>
        </w:rPr>
      </w:pPr>
      <w:r>
        <w:rPr>
          <w:rFonts w:hint="eastAsia" w:cs="Times New Roman"/>
          <w:sz w:val="24"/>
          <w:szCs w:val="24"/>
        </w:rPr>
        <w:t>（二）维护范围：商友客户关系管理系统CRM10.0、百货商友商业信息管理系统ERP9.0（包括总部及下属现有26家门店以及后期新增门店）及针对与CRM10.0和ERP9.0对接提供的接口服务。</w:t>
      </w:r>
    </w:p>
    <w:p>
      <w:pPr>
        <w:spacing w:line="500" w:lineRule="exact"/>
        <w:ind w:firstLine="480" w:firstLineChars="200"/>
        <w:outlineLvl w:val="0"/>
        <w:rPr>
          <w:rFonts w:cs="Times New Roman"/>
          <w:sz w:val="24"/>
          <w:szCs w:val="24"/>
        </w:rPr>
      </w:pPr>
      <w:r>
        <w:rPr>
          <w:rFonts w:hint="eastAsia" w:cs="Times New Roman"/>
          <w:sz w:val="24"/>
          <w:szCs w:val="24"/>
        </w:rPr>
        <w:t>（三）维护过程包含：</w:t>
      </w:r>
      <w:r>
        <w:rPr>
          <w:rFonts w:hint="eastAsia" w:ascii="Times New Roman" w:hAnsi="Times New Roman" w:cs="Times New Roman"/>
          <w:sz w:val="24"/>
          <w:szCs w:val="24"/>
        </w:rPr>
        <w:t>为招标人诊断故障并提供处理建议，保障招标人系统正常使用，</w:t>
      </w:r>
      <w:r>
        <w:rPr>
          <w:rFonts w:hint="eastAsia" w:cs="Times New Roman"/>
          <w:sz w:val="24"/>
          <w:szCs w:val="24"/>
        </w:rPr>
        <w:t>员工数据问题处理、系统报错问题处理。及时解决招标人在系统使用中所发现的各种BUG。帮助解决招标人及软件所服务单位提出的CRM10.0系统和ERP9.0系统的各种业务和技术问题，包括技术咨询、指导和信息提供等。</w:t>
      </w:r>
    </w:p>
    <w:p>
      <w:pPr>
        <w:spacing w:line="500" w:lineRule="exact"/>
        <w:ind w:firstLine="480" w:firstLineChars="200"/>
        <w:rPr>
          <w:rFonts w:cs="Times New Roman"/>
          <w:sz w:val="24"/>
          <w:szCs w:val="24"/>
        </w:rPr>
      </w:pPr>
      <w:r>
        <w:rPr>
          <w:rFonts w:hint="eastAsia" w:cs="Times New Roman"/>
          <w:sz w:val="24"/>
          <w:szCs w:val="24"/>
        </w:rPr>
        <w:t>（四）维护方式：通过电话、微信、QQ、远程VPN方式进行问题处理，如通过远程未能解决，则进行现场服务。具体要求如下：</w:t>
      </w:r>
    </w:p>
    <w:p>
      <w:pPr>
        <w:spacing w:line="500" w:lineRule="exact"/>
        <w:ind w:firstLine="480" w:firstLineChars="200"/>
        <w:rPr>
          <w:rFonts w:cs="Times New Roman"/>
          <w:sz w:val="24"/>
          <w:szCs w:val="24"/>
        </w:rPr>
      </w:pPr>
      <w:r>
        <w:rPr>
          <w:rFonts w:hint="eastAsia" w:cs="Times New Roman"/>
          <w:sz w:val="24"/>
          <w:szCs w:val="24"/>
        </w:rPr>
        <w:t>1.如果招标人业务应用系统在维护期内，出现一些投标人可以通过电话电话、微信、</w:t>
      </w:r>
      <w:r>
        <w:rPr>
          <w:rFonts w:cs="Times New Roman"/>
          <w:sz w:val="24"/>
          <w:szCs w:val="24"/>
        </w:rPr>
        <w:t>QQ、远程VPN</w:t>
      </w:r>
      <w:r>
        <w:rPr>
          <w:rFonts w:hint="eastAsia" w:cs="Times New Roman"/>
          <w:sz w:val="24"/>
          <w:szCs w:val="24"/>
        </w:rPr>
        <w:t>排除的故障，投标人的技术服务人员在接到故障信息后应立即响应，进行支持，协助招标人解决所出现的系统故障。</w:t>
      </w:r>
    </w:p>
    <w:p>
      <w:pPr>
        <w:spacing w:line="500" w:lineRule="exact"/>
        <w:ind w:firstLine="480" w:firstLineChars="200"/>
        <w:rPr>
          <w:rFonts w:cs="Times New Roman"/>
          <w:sz w:val="24"/>
          <w:szCs w:val="24"/>
        </w:rPr>
      </w:pPr>
      <w:r>
        <w:rPr>
          <w:rFonts w:hint="eastAsia" w:cs="Times New Roman"/>
          <w:sz w:val="24"/>
          <w:szCs w:val="24"/>
        </w:rPr>
        <w:t>2.日处理问题应及时响应并在二十四小时内解决。如果在此时间内投标人进行远程上网处理不能解决的，投标人人员必须及时到招标人现场处理，由于环境、人为等原因，造成系统瘫痪或反应速度超过系统设计的指标等通过电话、微信、</w:t>
      </w:r>
      <w:r>
        <w:rPr>
          <w:rFonts w:cs="Times New Roman"/>
          <w:sz w:val="24"/>
          <w:szCs w:val="24"/>
        </w:rPr>
        <w:t>QQ、远程VPN</w:t>
      </w:r>
      <w:r>
        <w:rPr>
          <w:rFonts w:hint="eastAsia" w:cs="Times New Roman"/>
          <w:sz w:val="24"/>
          <w:szCs w:val="24"/>
        </w:rPr>
        <w:t>无法排除的严重故障时，投标人应在招标人发出故障信息通知后</w:t>
      </w:r>
      <w:r>
        <w:rPr>
          <w:rFonts w:cs="Times New Roman"/>
          <w:sz w:val="24"/>
          <w:szCs w:val="24"/>
        </w:rPr>
        <w:t>24</w:t>
      </w:r>
      <w:r>
        <w:rPr>
          <w:rFonts w:hint="eastAsia" w:cs="Times New Roman"/>
          <w:sz w:val="24"/>
          <w:szCs w:val="24"/>
        </w:rPr>
        <w:t>小时内派遣工程师到达现场，协助招标人恢复系统的运行，并在排除故障后1日内将故障原因，解决办法，处理结果上报给招标人。</w:t>
      </w:r>
    </w:p>
    <w:p>
      <w:pPr>
        <w:spacing w:line="500" w:lineRule="exact"/>
        <w:ind w:firstLine="480" w:firstLineChars="200"/>
        <w:rPr>
          <w:rFonts w:cs="Times New Roman"/>
          <w:sz w:val="24"/>
          <w:szCs w:val="24"/>
        </w:rPr>
      </w:pPr>
      <w:r>
        <w:rPr>
          <w:rFonts w:hint="eastAsia" w:cs="Times New Roman"/>
          <w:sz w:val="24"/>
          <w:szCs w:val="24"/>
        </w:rPr>
        <w:t>（五）功能升级和完善</w:t>
      </w:r>
    </w:p>
    <w:p>
      <w:pPr>
        <w:spacing w:line="500" w:lineRule="exact"/>
        <w:ind w:firstLine="480" w:firstLineChars="200"/>
        <w:rPr>
          <w:rFonts w:cs="Times New Roman"/>
          <w:sz w:val="24"/>
          <w:szCs w:val="24"/>
        </w:rPr>
      </w:pPr>
      <w:r>
        <w:rPr>
          <w:rFonts w:hint="eastAsia" w:cs="Times New Roman"/>
          <w:sz w:val="24"/>
          <w:szCs w:val="24"/>
        </w:rPr>
        <w:t>一般情况的应用软件修改，在一周内给予解决答复；对于不是很急需的应用软件修改，修改时间不能超过一个月。除紧急问题（指由于软件原因使得正常业务不能进行及相关数据异常的问题）外，修改需求提出时间范围为合同执行期间，具体由双方临时约定，需求依据投标人提供的应用软件修改表格填写并传真或电邮等方式至投标人售后服务部，由投标人售后客户经理跟踪修改进度和响应客户问题及其处理情况，根据修改内容以5至7个工作日为一个周期向招标人提供修改后的结果。</w:t>
      </w:r>
    </w:p>
    <w:p>
      <w:pPr>
        <w:spacing w:line="500" w:lineRule="exact"/>
        <w:ind w:firstLine="480" w:firstLineChars="200"/>
        <w:rPr>
          <w:rFonts w:cs="Times New Roman"/>
          <w:sz w:val="24"/>
          <w:szCs w:val="24"/>
        </w:rPr>
      </w:pPr>
      <w:r>
        <w:rPr>
          <w:rFonts w:hint="eastAsia" w:cs="Times New Roman"/>
          <w:sz w:val="24"/>
          <w:szCs w:val="24"/>
        </w:rPr>
        <w:t>（六）维护服务标准</w:t>
      </w:r>
    </w:p>
    <w:p>
      <w:pPr>
        <w:spacing w:line="500" w:lineRule="exact"/>
        <w:ind w:firstLine="480" w:firstLineChars="200"/>
        <w:rPr>
          <w:rFonts w:cs="Times New Roman"/>
          <w:sz w:val="24"/>
          <w:szCs w:val="24"/>
        </w:rPr>
      </w:pPr>
      <w:r>
        <w:rPr>
          <w:rFonts w:hint="eastAsia" w:cs="Times New Roman"/>
          <w:sz w:val="24"/>
          <w:szCs w:val="24"/>
        </w:rPr>
        <w:t>1.投标人应当成立由有经验、负责任、懂业务的系统工程师组成的开发维护工作组，负责完成维护工作。</w:t>
      </w:r>
    </w:p>
    <w:p>
      <w:pPr>
        <w:spacing w:line="500" w:lineRule="exact"/>
        <w:ind w:firstLine="480" w:firstLineChars="200"/>
        <w:rPr>
          <w:rFonts w:cs="Times New Roman"/>
          <w:sz w:val="24"/>
          <w:szCs w:val="24"/>
        </w:rPr>
      </w:pPr>
      <w:r>
        <w:rPr>
          <w:rFonts w:hint="eastAsia" w:cs="Times New Roman"/>
          <w:sz w:val="24"/>
          <w:szCs w:val="24"/>
        </w:rPr>
        <w:t>2.投标人的技术服务人员在接到故障信息后，于2小时内形成解决方案。需要到现场服务时，应</w:t>
      </w:r>
      <w:r>
        <w:rPr>
          <w:rFonts w:cs="Times New Roman"/>
          <w:sz w:val="24"/>
          <w:szCs w:val="24"/>
        </w:rPr>
        <w:t>24</w:t>
      </w:r>
      <w:r>
        <w:rPr>
          <w:rFonts w:hint="eastAsia" w:cs="Times New Roman"/>
          <w:sz w:val="24"/>
          <w:szCs w:val="24"/>
        </w:rPr>
        <w:t>小时内派工程师到达现场。投标人提供的维护服务响应时间，属于全系统业务中断的，响应用户的服务请求的时间为每周7天×</w:t>
      </w:r>
      <w:r>
        <w:rPr>
          <w:rFonts w:cs="Times New Roman"/>
          <w:sz w:val="24"/>
          <w:szCs w:val="24"/>
        </w:rPr>
        <w:t>12</w:t>
      </w:r>
      <w:r>
        <w:rPr>
          <w:rFonts w:hint="eastAsia" w:cs="Times New Roman"/>
          <w:sz w:val="24"/>
          <w:szCs w:val="24"/>
        </w:rPr>
        <w:t>小时，属于非全系统业务中断的，响应用户的服务请求的时间为每周5天×8小时。</w:t>
      </w:r>
    </w:p>
    <w:p>
      <w:pPr>
        <w:spacing w:line="500" w:lineRule="exact"/>
        <w:ind w:firstLine="480" w:firstLineChars="200"/>
        <w:rPr>
          <w:rFonts w:cs="Times New Roman"/>
          <w:sz w:val="24"/>
          <w:szCs w:val="24"/>
        </w:rPr>
      </w:pPr>
      <w:r>
        <w:rPr>
          <w:rFonts w:hint="eastAsia" w:cs="Times New Roman"/>
          <w:sz w:val="24"/>
          <w:szCs w:val="24"/>
        </w:rPr>
        <w:t>（七）定期巡检</w:t>
      </w:r>
    </w:p>
    <w:p>
      <w:pPr>
        <w:spacing w:line="500" w:lineRule="exact"/>
        <w:ind w:firstLine="480" w:firstLineChars="200"/>
        <w:rPr>
          <w:rFonts w:cs="Times New Roman"/>
          <w:sz w:val="24"/>
          <w:szCs w:val="24"/>
        </w:rPr>
      </w:pPr>
      <w:r>
        <w:rPr>
          <w:rFonts w:hint="eastAsia" w:cs="Times New Roman"/>
          <w:sz w:val="24"/>
          <w:szCs w:val="24"/>
        </w:rPr>
        <w:t>投标人应每半年例行检查招标人</w:t>
      </w:r>
      <w:r>
        <w:rPr>
          <w:rFonts w:cs="Times New Roman"/>
          <w:sz w:val="24"/>
          <w:szCs w:val="24"/>
        </w:rPr>
        <w:t>应用系统涉及的软硬件一般性检查</w:t>
      </w:r>
      <w:r>
        <w:rPr>
          <w:rFonts w:hint="eastAsia" w:cs="Times New Roman"/>
          <w:sz w:val="24"/>
          <w:szCs w:val="24"/>
        </w:rPr>
        <w:t>，并根据检查结果形成《巡检报告》提交招标人。对系统提示的各类错误警告及时上报给招标人，同时要及时提出解决方法。日常巡检内容如下：</w:t>
      </w:r>
    </w:p>
    <w:p>
      <w:pPr>
        <w:spacing w:line="500" w:lineRule="exact"/>
        <w:ind w:firstLine="480" w:firstLineChars="200"/>
        <w:rPr>
          <w:rFonts w:cs="Times New Roman"/>
          <w:sz w:val="24"/>
          <w:szCs w:val="24"/>
        </w:rPr>
      </w:pPr>
      <w:r>
        <w:rPr>
          <w:rFonts w:hint="eastAsia" w:cs="Times New Roman"/>
          <w:sz w:val="24"/>
          <w:szCs w:val="24"/>
        </w:rPr>
        <w:t>1.招标人管理系统数据库</w:t>
      </w:r>
      <w:r>
        <w:rPr>
          <w:rFonts w:cs="Times New Roman"/>
          <w:sz w:val="24"/>
          <w:szCs w:val="24"/>
        </w:rPr>
        <w:t>备份</w:t>
      </w:r>
      <w:r>
        <w:rPr>
          <w:rFonts w:hint="eastAsia" w:cs="Times New Roman"/>
          <w:sz w:val="24"/>
          <w:szCs w:val="24"/>
        </w:rPr>
        <w:t>、</w:t>
      </w:r>
      <w:r>
        <w:rPr>
          <w:rFonts w:cs="Times New Roman"/>
          <w:sz w:val="24"/>
          <w:szCs w:val="24"/>
        </w:rPr>
        <w:t>日志</w:t>
      </w:r>
      <w:r>
        <w:rPr>
          <w:rFonts w:hint="eastAsia" w:cs="Times New Roman"/>
          <w:sz w:val="24"/>
          <w:szCs w:val="24"/>
        </w:rPr>
        <w:t>、</w:t>
      </w:r>
      <w:r>
        <w:rPr>
          <w:rFonts w:cs="Times New Roman"/>
          <w:sz w:val="24"/>
          <w:szCs w:val="24"/>
        </w:rPr>
        <w:t>空间</w:t>
      </w:r>
      <w:r>
        <w:rPr>
          <w:rFonts w:hint="eastAsia" w:cs="Times New Roman"/>
          <w:sz w:val="24"/>
          <w:szCs w:val="24"/>
        </w:rPr>
        <w:t>、</w:t>
      </w:r>
      <w:r>
        <w:rPr>
          <w:rFonts w:cs="Times New Roman"/>
          <w:sz w:val="24"/>
          <w:szCs w:val="24"/>
        </w:rPr>
        <w:t>数据库对象</w:t>
      </w:r>
      <w:r>
        <w:rPr>
          <w:rFonts w:hint="eastAsia" w:cs="Times New Roman"/>
          <w:sz w:val="24"/>
          <w:szCs w:val="24"/>
        </w:rPr>
        <w:t>和性能等；</w:t>
      </w:r>
    </w:p>
    <w:p>
      <w:pPr>
        <w:spacing w:line="500" w:lineRule="exact"/>
        <w:ind w:firstLine="480" w:firstLineChars="200"/>
        <w:rPr>
          <w:rFonts w:cs="Times New Roman"/>
          <w:sz w:val="24"/>
          <w:szCs w:val="24"/>
        </w:rPr>
      </w:pPr>
      <w:r>
        <w:rPr>
          <w:rFonts w:hint="eastAsia" w:cs="Times New Roman"/>
          <w:sz w:val="24"/>
          <w:szCs w:val="24"/>
        </w:rPr>
        <w:t>2.数据一致性检查，在客户巡检时由投标人现场服务工程师执行例行检查和指导用户定期检查，处理检查发生的问题；</w:t>
      </w:r>
    </w:p>
    <w:p>
      <w:pPr>
        <w:spacing w:line="500" w:lineRule="exact"/>
        <w:ind w:firstLine="480" w:firstLineChars="200"/>
        <w:rPr>
          <w:rFonts w:cs="Times New Roman"/>
          <w:sz w:val="24"/>
          <w:szCs w:val="24"/>
        </w:rPr>
      </w:pPr>
      <w:r>
        <w:rPr>
          <w:rFonts w:hint="eastAsia" w:cs="Times New Roman"/>
          <w:sz w:val="24"/>
          <w:szCs w:val="24"/>
        </w:rPr>
        <w:t>3.应用数据的拆分和迁移；</w:t>
      </w:r>
    </w:p>
    <w:p>
      <w:pPr>
        <w:spacing w:line="360" w:lineRule="auto"/>
        <w:ind w:firstLine="482"/>
        <w:rPr>
          <w:rFonts w:ascii="Times New Roman" w:hAnsi="Times New Roman"/>
          <w:b/>
          <w:sz w:val="24"/>
          <w:szCs w:val="24"/>
        </w:rPr>
      </w:pPr>
      <w:r>
        <w:rPr>
          <w:rFonts w:hint="eastAsia" w:ascii="Times New Roman" w:hAnsi="Times New Roman"/>
          <w:b/>
          <w:sz w:val="24"/>
          <w:szCs w:val="24"/>
        </w:rPr>
        <w:t>三、服务履约要求（承诺函需在投标文件中提供）</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由于该服务项目为软件系统维保服务，涉及到源代码及接口维护，特此要求投标人在投标文件中出具承诺函，承诺于</w:t>
      </w:r>
      <w:r>
        <w:rPr>
          <w:rFonts w:hint="eastAsia" w:ascii="Times New Roman" w:hAnsi="Times New Roman"/>
          <w:sz w:val="24"/>
          <w:szCs w:val="24"/>
          <w:lang w:val="en-US" w:eastAsia="zh-CN"/>
        </w:rPr>
        <w:t>合同签订前</w:t>
      </w:r>
      <w:r>
        <w:rPr>
          <w:rFonts w:ascii="Times New Roman" w:hAnsi="Times New Roman"/>
          <w:sz w:val="24"/>
          <w:szCs w:val="24"/>
        </w:rPr>
        <w:t>提供相关维护系统软件“北京长</w:t>
      </w:r>
      <w:r>
        <w:rPr>
          <w:rFonts w:hint="eastAsia" w:ascii="Times New Roman" w:hAnsi="Times New Roman"/>
          <w:sz w:val="24"/>
          <w:szCs w:val="24"/>
        </w:rPr>
        <w:t>京益康信息科技有限公司商友商业信息管理系统V9.0”和“</w:t>
      </w:r>
      <w:r>
        <w:rPr>
          <w:rFonts w:ascii="Times New Roman" w:hAnsi="Times New Roman"/>
          <w:sz w:val="24"/>
          <w:szCs w:val="24"/>
        </w:rPr>
        <w:t>北京长</w:t>
      </w:r>
      <w:r>
        <w:rPr>
          <w:rFonts w:hint="eastAsia" w:ascii="Times New Roman" w:hAnsi="Times New Roman"/>
          <w:sz w:val="24"/>
          <w:szCs w:val="24"/>
        </w:rPr>
        <w:t>京益康信息科技有限公司商友客户关系管理系统V10.0”北京长京益康信息科技有限公司软著</w:t>
      </w:r>
      <w:r>
        <w:rPr>
          <w:rFonts w:ascii="Times New Roman" w:hAnsi="Times New Roman"/>
          <w:sz w:val="24"/>
          <w:szCs w:val="24"/>
        </w:rPr>
        <w:t>授权书，附</w:t>
      </w:r>
      <w:r>
        <w:rPr>
          <w:rFonts w:hint="eastAsia" w:ascii="Times New Roman" w:hAnsi="Times New Roman"/>
          <w:sz w:val="24"/>
          <w:szCs w:val="24"/>
        </w:rPr>
        <w:t>《北京长京益康信息科技有限公司商友客户关系管理系统V10.0中华人民共和国国家版权局计算机软件著作权登记证书》及《北京长京益康信息科技有限公司商友商业信息管理系统V9.0中华人民共和国国家版权局计算机软件著作权登记证书》复印件并加盖原厂章。</w:t>
      </w:r>
      <w:r>
        <w:rPr>
          <w:rFonts w:ascii="Times New Roman" w:hAnsi="Times New Roman"/>
          <w:sz w:val="24"/>
          <w:szCs w:val="24"/>
        </w:rPr>
        <w:t>规定时间内无法取得授权，默认违约，招标方有权取消中标人中标资格，终止合同签订，并追究中标人违约资格。承诺函样式</w:t>
      </w:r>
      <w:r>
        <w:rPr>
          <w:rFonts w:ascii="Segoe UI Symbol" w:hAnsi="Segoe UI Symbol" w:cs="Segoe UI Symbol"/>
          <w:sz w:val="24"/>
          <w:szCs w:val="24"/>
        </w:rPr>
        <w:t>见</w:t>
      </w:r>
      <w:r>
        <w:rPr>
          <w:rFonts w:ascii="Times New Roman" w:hAnsi="Times New Roman"/>
          <w:sz w:val="24"/>
          <w:szCs w:val="24"/>
        </w:rPr>
        <w:t>附件</w:t>
      </w:r>
      <w:r>
        <w:rPr>
          <w:rFonts w:hint="eastAsia" w:ascii="Times New Roman" w:hAnsi="Times New Roman"/>
          <w:sz w:val="24"/>
          <w:szCs w:val="24"/>
        </w:rPr>
        <w:t>1</w:t>
      </w:r>
      <w:r>
        <w:rPr>
          <w:rFonts w:ascii="Times New Roman" w:hAnsi="Times New Roman"/>
          <w:sz w:val="24"/>
          <w:szCs w:val="24"/>
        </w:rPr>
        <w:t>。</w:t>
      </w:r>
    </w:p>
    <w:p>
      <w:pPr>
        <w:spacing w:line="360" w:lineRule="auto"/>
        <w:ind w:firstLine="482"/>
        <w:rPr>
          <w:rFonts w:ascii="Times New Roman" w:hAnsi="Times New Roman"/>
          <w:b/>
          <w:sz w:val="24"/>
          <w:szCs w:val="24"/>
        </w:rPr>
      </w:pPr>
      <w:r>
        <w:rPr>
          <w:rFonts w:hint="eastAsia" w:ascii="Times New Roman" w:hAnsi="Times New Roman"/>
          <w:b/>
          <w:sz w:val="24"/>
          <w:szCs w:val="24"/>
        </w:rPr>
        <w:t>四</w:t>
      </w:r>
      <w:r>
        <w:rPr>
          <w:rFonts w:ascii="Times New Roman" w:hAnsi="Times New Roman"/>
          <w:b/>
          <w:sz w:val="24"/>
          <w:szCs w:val="24"/>
        </w:rPr>
        <w:t>、</w:t>
      </w:r>
      <w:bookmarkEnd w:id="9"/>
      <w:r>
        <w:rPr>
          <w:rFonts w:hint="eastAsia" w:ascii="Times New Roman" w:hAnsi="Times New Roman"/>
          <w:b/>
          <w:sz w:val="24"/>
          <w:szCs w:val="24"/>
        </w:rPr>
        <w:t>人员要求（非初步评审内容）</w:t>
      </w:r>
    </w:p>
    <w:p>
      <w:pPr>
        <w:spacing w:line="500" w:lineRule="exact"/>
        <w:ind w:firstLine="480" w:firstLineChars="200"/>
        <w:rPr>
          <w:rFonts w:cs="Times New Roman"/>
          <w:sz w:val="24"/>
          <w:szCs w:val="24"/>
        </w:rPr>
      </w:pPr>
      <w:r>
        <w:rPr>
          <w:rFonts w:hint="eastAsia" w:cs="Times New Roman"/>
          <w:sz w:val="24"/>
          <w:szCs w:val="24"/>
        </w:rPr>
        <w:t>提供一名固定运维服务人员作为联系人，该人员需具备一年以上运维工作经验，且具有统一运维管理能力；能时刻保持可联通状态。成立由有经验、负责任、懂业务的系统工程师组成的开发维护工作组，负责完成维护工作。以保证在系统出现异常、故障等情况时，能实时处理问题，排除故障。要求严格遵守保密相关要求，针对系统运行数据要严格保密，如发生泄密事件，将依法追究运维单位责任。</w:t>
      </w:r>
    </w:p>
    <w:p>
      <w:pPr>
        <w:spacing w:line="360" w:lineRule="auto"/>
        <w:ind w:firstLine="482"/>
        <w:rPr>
          <w:rFonts w:ascii="Times New Roman" w:hAnsi="Times New Roman"/>
          <w:b/>
          <w:sz w:val="24"/>
          <w:szCs w:val="24"/>
        </w:rPr>
      </w:pPr>
      <w:bookmarkStart w:id="10" w:name="_Toc482188644"/>
      <w:r>
        <w:rPr>
          <w:rFonts w:hint="eastAsia" w:ascii="Times New Roman" w:hAnsi="Times New Roman"/>
          <w:b/>
          <w:sz w:val="24"/>
          <w:szCs w:val="24"/>
        </w:rPr>
        <w:t>五</w:t>
      </w:r>
      <w:r>
        <w:rPr>
          <w:rFonts w:ascii="Times New Roman" w:hAnsi="Times New Roman"/>
          <w:b/>
          <w:sz w:val="24"/>
          <w:szCs w:val="24"/>
        </w:rPr>
        <w:t>、</w:t>
      </w:r>
      <w:bookmarkEnd w:id="10"/>
      <w:r>
        <w:rPr>
          <w:rFonts w:hint="eastAsia" w:ascii="Times New Roman" w:hAnsi="Times New Roman"/>
          <w:b/>
          <w:sz w:val="24"/>
          <w:szCs w:val="24"/>
        </w:rPr>
        <w:t>报价要求</w:t>
      </w:r>
    </w:p>
    <w:p>
      <w:pPr>
        <w:spacing w:line="500" w:lineRule="exact"/>
        <w:ind w:firstLine="480" w:firstLineChars="200"/>
        <w:rPr>
          <w:rFonts w:cs="Times New Roman"/>
          <w:sz w:val="24"/>
          <w:szCs w:val="24"/>
        </w:rPr>
      </w:pPr>
      <w:bookmarkStart w:id="11" w:name="_Toc482188645"/>
      <w:r>
        <w:rPr>
          <w:rFonts w:cs="Times New Roman"/>
          <w:sz w:val="24"/>
          <w:szCs w:val="24"/>
        </w:rPr>
        <w:t>1.</w:t>
      </w:r>
      <w:r>
        <w:rPr>
          <w:rFonts w:hint="eastAsia" w:cs="Times New Roman"/>
          <w:sz w:val="24"/>
          <w:szCs w:val="24"/>
        </w:rPr>
        <w:t>投标人依据项目主要内容及需求情况进行报价。</w:t>
      </w:r>
    </w:p>
    <w:p>
      <w:pPr>
        <w:spacing w:line="500" w:lineRule="exact"/>
        <w:ind w:firstLine="480" w:firstLineChars="200"/>
        <w:rPr>
          <w:rFonts w:cs="Times New Roman"/>
          <w:sz w:val="24"/>
          <w:szCs w:val="24"/>
        </w:rPr>
      </w:pPr>
      <w:r>
        <w:rPr>
          <w:rFonts w:hint="eastAsia" w:cs="Times New Roman"/>
          <w:sz w:val="24"/>
          <w:szCs w:val="24"/>
        </w:rPr>
        <w:t>投标人自行对现场进行踏勘</w:t>
      </w:r>
      <w:r>
        <w:rPr>
          <w:rFonts w:cs="Times New Roman"/>
          <w:sz w:val="24"/>
          <w:szCs w:val="24"/>
        </w:rPr>
        <w:t>,</w:t>
      </w:r>
      <w:r>
        <w:rPr>
          <w:rFonts w:hint="eastAsia" w:cs="Times New Roman"/>
          <w:sz w:val="24"/>
          <w:szCs w:val="24"/>
        </w:rPr>
        <w:t>投标人对现场踏勘时，为完成本项目工作内容所需发生的全部工作项，投标人需自行对招标需求进行复核并考虑在投标总价内，如未进行踏勘，由此造成的一切后果由投标人自行承担。</w:t>
      </w:r>
    </w:p>
    <w:p>
      <w:pPr>
        <w:spacing w:line="500" w:lineRule="exact"/>
        <w:ind w:firstLine="480" w:firstLineChars="200"/>
        <w:rPr>
          <w:rFonts w:cs="Times New Roman"/>
          <w:sz w:val="24"/>
          <w:szCs w:val="24"/>
        </w:rPr>
      </w:pPr>
      <w:r>
        <w:rPr>
          <w:rFonts w:cs="Times New Roman"/>
          <w:sz w:val="24"/>
          <w:szCs w:val="24"/>
        </w:rPr>
        <w:t>2.</w:t>
      </w:r>
      <w:r>
        <w:rPr>
          <w:rFonts w:hint="eastAsia" w:cs="Times New Roman"/>
          <w:sz w:val="24"/>
          <w:szCs w:val="24"/>
        </w:rPr>
        <w:t>报价方式：</w:t>
      </w:r>
      <w:r>
        <w:rPr>
          <w:rFonts w:cs="宋体"/>
          <w:sz w:val="24"/>
          <w:szCs w:val="24"/>
        </w:rPr>
        <w:t>本项目采用总价包死，此报价包含所投服务、设备费、人工费（含所用人工工资、福利、社保等）、误餐费、加班费、办公费、交通费、通讯费、培训费、税金、利润、劳动服务费、税费、验收等工作所发生的一切应有费用</w:t>
      </w:r>
      <w:r>
        <w:rPr>
          <w:rFonts w:hint="eastAsia" w:cs="Times New Roman"/>
          <w:sz w:val="24"/>
          <w:szCs w:val="24"/>
        </w:rPr>
        <w:t>。结算时不因任何因素而调整，投标人的报价应含本项目所涉及到的一切费用，投标人应充分勘察现场，相关费用均应考虑在投标报价中。中标后不得以对现场情况不明为理由提出任何增加项目费用的索赔。</w:t>
      </w:r>
    </w:p>
    <w:p>
      <w:pPr>
        <w:spacing w:line="500" w:lineRule="exact"/>
        <w:ind w:firstLine="480" w:firstLineChars="200"/>
        <w:rPr>
          <w:rFonts w:cs="Times New Roman"/>
          <w:sz w:val="24"/>
          <w:szCs w:val="24"/>
        </w:rPr>
      </w:pPr>
      <w:r>
        <w:rPr>
          <w:rFonts w:cs="Times New Roman"/>
          <w:sz w:val="24"/>
          <w:szCs w:val="24"/>
        </w:rPr>
        <w:t>3.</w:t>
      </w:r>
      <w:r>
        <w:rPr>
          <w:rFonts w:hint="eastAsia" w:cs="Times New Roman"/>
          <w:sz w:val="24"/>
          <w:szCs w:val="24"/>
        </w:rPr>
        <w:t>本项目在实施过程中，招标人对于招标文件中的所有维保需求项不再增加任何费用，中标价格即为总包价。</w:t>
      </w:r>
      <w:bookmarkEnd w:id="11"/>
    </w:p>
    <w:p>
      <w:pPr>
        <w:spacing w:line="360" w:lineRule="auto"/>
        <w:ind w:firstLine="482"/>
        <w:rPr>
          <w:rFonts w:ascii="Times New Roman" w:hAnsi="Times New Roman"/>
          <w:b/>
          <w:sz w:val="24"/>
          <w:szCs w:val="24"/>
        </w:rPr>
      </w:pPr>
      <w:r>
        <w:rPr>
          <w:rFonts w:hint="eastAsia" w:ascii="Times New Roman" w:hAnsi="Times New Roman"/>
          <w:b/>
          <w:sz w:val="24"/>
          <w:szCs w:val="24"/>
        </w:rPr>
        <w:t>六、履约要求及违约处理</w:t>
      </w:r>
    </w:p>
    <w:p>
      <w:pPr>
        <w:spacing w:line="500" w:lineRule="exact"/>
        <w:ind w:firstLine="480" w:firstLineChars="200"/>
        <w:rPr>
          <w:rFonts w:cs="Times New Roman"/>
          <w:sz w:val="24"/>
          <w:szCs w:val="24"/>
        </w:rPr>
      </w:pPr>
      <w:r>
        <w:rPr>
          <w:rFonts w:hint="eastAsia" w:cs="Times New Roman"/>
          <w:sz w:val="24"/>
          <w:szCs w:val="24"/>
        </w:rPr>
        <w:t>本项目在实施过程中，中标人需在约定时间内向中标人提供电话、远程或现场技术支持并排除软件系统故障的；若不能按约定提供技术支持，中标人每次按合同总金额百分之十的违约金偿付招标人。若年度累计出现</w:t>
      </w:r>
      <w:r>
        <w:rPr>
          <w:rFonts w:cs="Times New Roman"/>
          <w:sz w:val="24"/>
          <w:szCs w:val="24"/>
        </w:rPr>
        <w:t>2</w:t>
      </w:r>
      <w:r>
        <w:rPr>
          <w:rFonts w:hint="eastAsia" w:cs="Times New Roman"/>
          <w:sz w:val="24"/>
          <w:szCs w:val="24"/>
        </w:rPr>
        <w:t>次以上</w:t>
      </w:r>
      <w:r>
        <w:rPr>
          <w:rFonts w:hint="eastAsia" w:cs="Times New Roman"/>
          <w:sz w:val="24"/>
          <w:szCs w:val="24"/>
          <w:lang w:eastAsia="zh-CN"/>
        </w:rPr>
        <w:t>（</w:t>
      </w:r>
      <w:r>
        <w:rPr>
          <w:rFonts w:hint="eastAsia" w:cs="Times New Roman"/>
          <w:sz w:val="24"/>
          <w:szCs w:val="24"/>
        </w:rPr>
        <w:t>包括</w:t>
      </w:r>
      <w:r>
        <w:rPr>
          <w:rFonts w:cs="Times New Roman"/>
          <w:sz w:val="24"/>
          <w:szCs w:val="24"/>
        </w:rPr>
        <w:t>2</w:t>
      </w:r>
      <w:r>
        <w:rPr>
          <w:rFonts w:hint="eastAsia" w:cs="Times New Roman"/>
          <w:sz w:val="24"/>
          <w:szCs w:val="24"/>
        </w:rPr>
        <w:t>次</w:t>
      </w:r>
      <w:r>
        <w:rPr>
          <w:rFonts w:hint="eastAsia" w:cs="Times New Roman"/>
          <w:sz w:val="24"/>
          <w:szCs w:val="24"/>
          <w:lang w:eastAsia="zh-CN"/>
        </w:rPr>
        <w:t>）</w:t>
      </w:r>
      <w:r>
        <w:rPr>
          <w:rFonts w:hint="eastAsia" w:cs="Times New Roman"/>
          <w:sz w:val="24"/>
          <w:szCs w:val="24"/>
        </w:rPr>
        <w:t>不能按约定提供技术支持，招标人除可扣取违约金外，还有权解除本合同。如合同约定的赔偿金不足以弥补中标人违约给招标人造成的实际损失，招标人有权要求中标人继续赔偿损失。因中标人原因解除合同的，招标人有权扣除全部履约保证金。</w:t>
      </w:r>
    </w:p>
    <w:p>
      <w:pPr>
        <w:spacing w:line="360" w:lineRule="auto"/>
        <w:ind w:firstLine="482"/>
        <w:rPr>
          <w:rFonts w:ascii="Times New Roman" w:hAnsi="Times New Roman"/>
          <w:b/>
          <w:sz w:val="24"/>
          <w:szCs w:val="24"/>
        </w:rPr>
      </w:pPr>
      <w:r>
        <w:rPr>
          <w:rFonts w:hint="eastAsia" w:ascii="Times New Roman" w:hAnsi="Times New Roman"/>
          <w:b/>
          <w:sz w:val="24"/>
          <w:szCs w:val="24"/>
        </w:rPr>
        <w:t>七、其他要求</w:t>
      </w:r>
    </w:p>
    <w:p>
      <w:pPr>
        <w:spacing w:line="500" w:lineRule="exact"/>
        <w:ind w:firstLine="480" w:firstLineChars="200"/>
        <w:rPr>
          <w:rFonts w:asciiTheme="minorEastAsia" w:hAnsiTheme="minorEastAsia" w:eastAsiaTheme="minorEastAsia"/>
          <w:b/>
          <w:sz w:val="28"/>
        </w:rPr>
      </w:pPr>
      <w:r>
        <w:rPr>
          <w:rFonts w:hint="eastAsia" w:cs="Times New Roman"/>
          <w:sz w:val="24"/>
          <w:szCs w:val="24"/>
        </w:rPr>
        <w:t>投标人在维护期内的一切工作必须按招标人信息安全管理要求为原则处理问题。</w:t>
      </w:r>
      <w:r>
        <w:rPr>
          <w:rFonts w:hint="eastAsia" w:asciiTheme="minorEastAsia" w:hAnsiTheme="minorEastAsia" w:eastAsiaTheme="minorEastAsia"/>
          <w:b/>
          <w:sz w:val="28"/>
        </w:rPr>
        <w:br w:type="page"/>
      </w:r>
      <w:r>
        <w:rPr>
          <w:rFonts w:ascii="Times New Roman" w:hAnsi="Times New Roman"/>
          <w:sz w:val="28"/>
          <w:szCs w:val="28"/>
        </w:rPr>
        <w:t>附件</w:t>
      </w:r>
      <w:r>
        <w:rPr>
          <w:rFonts w:hint="eastAsia" w:ascii="Times New Roman" w:hAnsi="Times New Roman"/>
          <w:sz w:val="28"/>
          <w:szCs w:val="28"/>
        </w:rPr>
        <w:t>1</w:t>
      </w:r>
      <w:bookmarkStart w:id="12" w:name="_Toc20751"/>
      <w:r>
        <w:rPr>
          <w:rFonts w:hint="eastAsia" w:ascii="Times New Roman" w:hAnsi="Times New Roman"/>
          <w:b/>
          <w:sz w:val="28"/>
          <w:szCs w:val="28"/>
        </w:rPr>
        <w:t>承诺函</w:t>
      </w:r>
    </w:p>
    <w:p>
      <w:pPr>
        <w:spacing w:line="500" w:lineRule="exact"/>
        <w:jc w:val="center"/>
        <w:rPr>
          <w:rFonts w:asciiTheme="minorEastAsia" w:hAnsiTheme="minorEastAsia" w:eastAsiaTheme="minorEastAsia"/>
          <w:b/>
          <w:sz w:val="44"/>
          <w:szCs w:val="44"/>
        </w:rPr>
      </w:pPr>
      <w:r>
        <w:rPr>
          <w:rFonts w:asciiTheme="minorEastAsia" w:hAnsiTheme="minorEastAsia"/>
          <w:b/>
          <w:sz w:val="44"/>
          <w:szCs w:val="44"/>
        </w:rPr>
        <w:t>承诺函</w:t>
      </w:r>
    </w:p>
    <w:p>
      <w:pPr>
        <w:spacing w:before="312" w:beforeLines="100" w:line="560" w:lineRule="exact"/>
        <w:rPr>
          <w:rFonts w:asciiTheme="minorEastAsia" w:hAnsiTheme="minorEastAsia" w:eastAsiaTheme="minorEastAsia"/>
          <w:sz w:val="24"/>
          <w:szCs w:val="24"/>
        </w:rPr>
      </w:pPr>
      <w:r>
        <w:rPr>
          <w:rFonts w:asciiTheme="minorEastAsia" w:hAnsiTheme="minorEastAsia" w:eastAsiaTheme="minorEastAsia"/>
          <w:sz w:val="24"/>
          <w:szCs w:val="24"/>
        </w:rPr>
        <w:t>合肥百货大楼集团股份有限公司</w:t>
      </w:r>
    </w:p>
    <w:p>
      <w:pPr>
        <w:spacing w:before="312" w:beforeLines="100" w:line="560" w:lineRule="exact"/>
        <w:ind w:firstLine="560" w:firstLineChars="200"/>
        <w:rPr>
          <w:rFonts w:asciiTheme="minorEastAsia" w:hAnsiTheme="minorEastAsia" w:eastAsiaTheme="minorEastAsia"/>
          <w:spacing w:val="20"/>
          <w:sz w:val="24"/>
          <w:szCs w:val="24"/>
        </w:rPr>
      </w:pPr>
      <w:r>
        <w:rPr>
          <w:rFonts w:asciiTheme="minorEastAsia" w:hAnsiTheme="minorEastAsia" w:eastAsiaTheme="minorEastAsia"/>
          <w:spacing w:val="20"/>
          <w:sz w:val="24"/>
          <w:szCs w:val="24"/>
        </w:rPr>
        <w:t>我方参加了</w:t>
      </w:r>
      <w:r>
        <w:rPr>
          <w:rFonts w:asciiTheme="minorEastAsia" w:hAnsiTheme="minorEastAsia"/>
          <w:spacing w:val="20"/>
          <w:sz w:val="24"/>
          <w:szCs w:val="24"/>
        </w:rPr>
        <w:t>“</w:t>
      </w:r>
      <w:r>
        <w:rPr>
          <w:rFonts w:hint="eastAsia" w:asciiTheme="minorEastAsia" w:hAnsiTheme="minorEastAsia" w:eastAsiaTheme="minorEastAsia"/>
          <w:spacing w:val="20"/>
          <w:sz w:val="24"/>
          <w:szCs w:val="24"/>
        </w:rPr>
        <w:t>百大集团CRM、ERP系统维保服务</w:t>
      </w:r>
      <w:r>
        <w:rPr>
          <w:rFonts w:hint="eastAsia" w:asciiTheme="minorEastAsia" w:hAnsiTheme="minorEastAsia"/>
          <w:spacing w:val="20"/>
          <w:sz w:val="24"/>
          <w:szCs w:val="24"/>
        </w:rPr>
        <w:t>”</w:t>
      </w:r>
      <w:r>
        <w:rPr>
          <w:rFonts w:hint="eastAsia" w:asciiTheme="minorEastAsia" w:hAnsiTheme="minorEastAsia" w:eastAsiaTheme="minorEastAsia"/>
          <w:spacing w:val="20"/>
          <w:sz w:val="24"/>
          <w:szCs w:val="24"/>
        </w:rPr>
        <w:t>投标，若我方中标，我方在此承诺：</w:t>
      </w:r>
    </w:p>
    <w:p>
      <w:pPr>
        <w:spacing w:before="312" w:beforeLines="100" w:line="560" w:lineRule="exact"/>
        <w:ind w:firstLine="560" w:firstLineChars="200"/>
        <w:rPr>
          <w:rFonts w:asciiTheme="minorEastAsia" w:hAnsiTheme="minorEastAsia" w:eastAsiaTheme="minorEastAsia"/>
          <w:sz w:val="24"/>
          <w:szCs w:val="24"/>
        </w:rPr>
      </w:pPr>
      <w:r>
        <w:rPr>
          <w:rFonts w:asciiTheme="minorEastAsia" w:hAnsiTheme="minorEastAsia" w:eastAsiaTheme="minorEastAsia"/>
          <w:spacing w:val="20"/>
          <w:sz w:val="24"/>
          <w:szCs w:val="24"/>
        </w:rPr>
        <w:t>在</w:t>
      </w:r>
      <w:r>
        <w:rPr>
          <w:rFonts w:hint="eastAsia" w:asciiTheme="minorEastAsia" w:hAnsiTheme="minorEastAsia" w:eastAsiaTheme="minorEastAsia"/>
          <w:spacing w:val="20"/>
          <w:sz w:val="24"/>
          <w:szCs w:val="24"/>
        </w:rPr>
        <w:t>合同签订前，我方将按照招标要求提供招标</w:t>
      </w:r>
      <w:r>
        <w:rPr>
          <w:rFonts w:hint="eastAsia" w:asciiTheme="minorEastAsia" w:hAnsiTheme="minorEastAsia" w:eastAsiaTheme="minorEastAsia"/>
          <w:sz w:val="24"/>
          <w:szCs w:val="24"/>
        </w:rPr>
        <w:t>软件产品</w:t>
      </w:r>
      <w:r>
        <w:rPr>
          <w:rFonts w:asciiTheme="minorEastAsia" w:hAnsiTheme="minorEastAsia" w:eastAsiaTheme="minorEastAsia"/>
          <w:sz w:val="24"/>
          <w:szCs w:val="24"/>
        </w:rPr>
        <w:t>“北京长</w:t>
      </w:r>
      <w:r>
        <w:rPr>
          <w:rFonts w:hint="eastAsia" w:asciiTheme="minorEastAsia" w:hAnsiTheme="minorEastAsia" w:eastAsiaTheme="minorEastAsia"/>
          <w:sz w:val="24"/>
          <w:szCs w:val="24"/>
        </w:rPr>
        <w:t>京益康信息科技有限公司商友商业信息管理系统V9.0”和“</w:t>
      </w:r>
      <w:r>
        <w:rPr>
          <w:rFonts w:cs="宋体" w:asciiTheme="minorEastAsia" w:hAnsiTheme="minorEastAsia" w:eastAsiaTheme="minorEastAsia"/>
          <w:sz w:val="24"/>
          <w:szCs w:val="24"/>
        </w:rPr>
        <w:t>北京长</w:t>
      </w:r>
      <w:r>
        <w:rPr>
          <w:rFonts w:hint="eastAsia" w:cs="宋体" w:asciiTheme="minorEastAsia" w:hAnsiTheme="minorEastAsia" w:eastAsiaTheme="minorEastAsia"/>
          <w:sz w:val="24"/>
          <w:szCs w:val="24"/>
        </w:rPr>
        <w:t>京益康信息科技有限公司商友客户关系管理系统V10.0”</w:t>
      </w:r>
      <w:r>
        <w:rPr>
          <w:rFonts w:hint="eastAsia" w:asciiTheme="minorEastAsia" w:hAnsiTheme="minorEastAsia" w:eastAsiaTheme="minorEastAsia"/>
          <w:sz w:val="24"/>
          <w:szCs w:val="24"/>
        </w:rPr>
        <w:t>北京长京益康信息科技有限公司软著</w:t>
      </w:r>
      <w:r>
        <w:rPr>
          <w:rFonts w:asciiTheme="minorEastAsia" w:hAnsiTheme="minorEastAsia" w:eastAsiaTheme="minorEastAsia"/>
          <w:sz w:val="24"/>
          <w:szCs w:val="24"/>
        </w:rPr>
        <w:t>授权书，并附</w:t>
      </w:r>
      <w:r>
        <w:rPr>
          <w:rFonts w:hint="eastAsia" w:cs="宋体" w:asciiTheme="minorEastAsia" w:hAnsiTheme="minorEastAsia" w:eastAsiaTheme="minorEastAsia"/>
          <w:sz w:val="24"/>
          <w:szCs w:val="24"/>
        </w:rPr>
        <w:t>《</w:t>
      </w:r>
      <w:r>
        <w:rPr>
          <w:rFonts w:asciiTheme="minorEastAsia" w:hAnsiTheme="minorEastAsia" w:eastAsiaTheme="minorEastAsia"/>
          <w:sz w:val="24"/>
          <w:szCs w:val="24"/>
        </w:rPr>
        <w:t>北京长</w:t>
      </w:r>
      <w:r>
        <w:rPr>
          <w:rFonts w:hint="eastAsia" w:asciiTheme="minorEastAsia" w:hAnsiTheme="minorEastAsia" w:eastAsiaTheme="minorEastAsia"/>
          <w:sz w:val="24"/>
          <w:szCs w:val="24"/>
        </w:rPr>
        <w:t>京益康信息科技有限公司商友客户关系管理系统V10.0中华人民共和国国家版权局计算机软件著作权登记证书》及《</w:t>
      </w:r>
      <w:r>
        <w:rPr>
          <w:rFonts w:asciiTheme="minorEastAsia" w:hAnsiTheme="minorEastAsia" w:eastAsiaTheme="minorEastAsia"/>
          <w:sz w:val="24"/>
          <w:szCs w:val="24"/>
        </w:rPr>
        <w:t>北京长</w:t>
      </w:r>
      <w:r>
        <w:rPr>
          <w:rFonts w:hint="eastAsia" w:asciiTheme="minorEastAsia" w:hAnsiTheme="minorEastAsia" w:eastAsiaTheme="minorEastAsia"/>
          <w:sz w:val="24"/>
          <w:szCs w:val="24"/>
        </w:rPr>
        <w:t>京益康信息科技有限公司商友商业信息管理系统V9.0中华人民共和国国家版权局计算机软件著作权登记证书》复印件并加盖原厂章。</w:t>
      </w:r>
    </w:p>
    <w:p>
      <w:pPr>
        <w:spacing w:before="312" w:beforeLines="100" w:line="5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sz w:val="24"/>
          <w:szCs w:val="24"/>
        </w:rPr>
        <w:t xml:space="preserve">  </w:t>
      </w:r>
      <w:r>
        <w:rPr>
          <w:rFonts w:hint="eastAsia" w:asciiTheme="minorEastAsia" w:hAnsiTheme="minorEastAsia" w:eastAsiaTheme="minorEastAsia"/>
          <w:sz w:val="24"/>
          <w:szCs w:val="24"/>
        </w:rPr>
        <w:t xml:space="preserve"> 若我方违背了上述承诺，本项目招标人有权取消我方的中标资格，并追究我方违约责任，并将我方列为其投标禁止人。</w:t>
      </w:r>
    </w:p>
    <w:p>
      <w:pPr>
        <w:spacing w:before="312" w:beforeLines="100" w:line="560" w:lineRule="exact"/>
        <w:ind w:right="560"/>
        <w:jc w:val="right"/>
        <w:rPr>
          <w:rFonts w:asciiTheme="minorEastAsia" w:hAnsiTheme="minorEastAsia" w:eastAsiaTheme="minorEastAsia"/>
          <w:sz w:val="24"/>
          <w:szCs w:val="24"/>
        </w:rPr>
      </w:pPr>
    </w:p>
    <w:p>
      <w:pPr>
        <w:spacing w:before="312" w:beforeLines="100" w:line="560" w:lineRule="exact"/>
        <w:ind w:right="560"/>
        <w:jc w:val="right"/>
        <w:rPr>
          <w:rFonts w:asciiTheme="minorEastAsia" w:hAnsiTheme="minorEastAsia" w:eastAsiaTheme="minorEastAsia"/>
          <w:sz w:val="24"/>
          <w:szCs w:val="24"/>
        </w:rPr>
      </w:pPr>
      <w:r>
        <w:rPr>
          <w:rFonts w:asciiTheme="minorEastAsia" w:hAnsiTheme="minorEastAsia" w:eastAsiaTheme="minorEastAsia"/>
          <w:sz w:val="24"/>
          <w:szCs w:val="24"/>
        </w:rPr>
        <w:t>投标人：____________(盖单位章)</w:t>
      </w:r>
    </w:p>
    <w:p>
      <w:pPr>
        <w:spacing w:before="312" w:beforeLines="100" w:line="560" w:lineRule="exact"/>
        <w:jc w:val="right"/>
        <w:rPr>
          <w:rFonts w:asciiTheme="minorEastAsia" w:hAnsiTheme="minorEastAsia" w:eastAsiaTheme="minorEastAsia"/>
          <w:sz w:val="24"/>
          <w:szCs w:val="24"/>
        </w:rPr>
      </w:pPr>
      <w:r>
        <w:rPr>
          <w:rFonts w:hint="eastAsia" w:asciiTheme="minorEastAsia" w:hAnsiTheme="minorEastAsia"/>
          <w:sz w:val="24"/>
          <w:szCs w:val="24"/>
        </w:rPr>
        <w:t xml:space="preserve"> </w:t>
      </w: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w:t>
      </w:r>
      <w:r>
        <w:rPr>
          <w:rFonts w:asciiTheme="minorEastAsia" w:hAnsiTheme="minorEastAsia" w:eastAsiaTheme="minorEastAsia"/>
          <w:sz w:val="24"/>
          <w:szCs w:val="24"/>
        </w:rPr>
        <w:t>签字</w:t>
      </w:r>
      <w:r>
        <w:rPr>
          <w:rFonts w:hint="eastAsia" w:asciiTheme="minorEastAsia" w:hAnsiTheme="minorEastAsia" w:eastAsiaTheme="minorEastAsia"/>
          <w:sz w:val="24"/>
          <w:szCs w:val="24"/>
        </w:rPr>
        <w:t>)</w:t>
      </w:r>
    </w:p>
    <w:p>
      <w:pPr>
        <w:spacing w:before="312" w:beforeLines="100" w:line="560" w:lineRule="exact"/>
        <w:jc w:val="right"/>
        <w:rPr>
          <w:rFonts w:asciiTheme="minorEastAsia" w:hAnsiTheme="minorEastAsia" w:eastAsiaTheme="minorEastAsia"/>
          <w:sz w:val="24"/>
          <w:szCs w:val="24"/>
        </w:rPr>
      </w:pPr>
      <w:r>
        <w:rPr>
          <w:rFonts w:asciiTheme="minorEastAsia" w:hAnsiTheme="minorEastAsia" w:eastAsiaTheme="minorEastAsia"/>
          <w:sz w:val="24"/>
          <w:szCs w:val="24"/>
        </w:rPr>
        <w:t>______年______月______日</w:t>
      </w:r>
    </w:p>
    <w:p>
      <w:pPr>
        <w:spacing w:line="560" w:lineRule="exact"/>
        <w:jc w:val="right"/>
        <w:rPr>
          <w:rFonts w:asciiTheme="minorEastAsia" w:hAnsiTheme="minorEastAsia" w:eastAsiaTheme="minorEastAsia"/>
          <w:sz w:val="28"/>
          <w:szCs w:val="28"/>
        </w:rPr>
      </w:pPr>
    </w:p>
    <w:p>
      <w:pPr>
        <w:spacing w:line="560" w:lineRule="exact"/>
        <w:jc w:val="right"/>
        <w:rPr>
          <w:rFonts w:asciiTheme="minorEastAsia" w:hAnsiTheme="minorEastAsia" w:eastAsiaTheme="minorEastAsia"/>
          <w:sz w:val="28"/>
          <w:szCs w:val="28"/>
        </w:rPr>
      </w:pPr>
    </w:p>
    <w:p>
      <w:pPr>
        <w:spacing w:line="560" w:lineRule="exact"/>
        <w:jc w:val="right"/>
        <w:rPr>
          <w:rFonts w:asciiTheme="minorEastAsia" w:hAnsiTheme="minorEastAsia" w:eastAsiaTheme="minorEastAsia"/>
          <w:sz w:val="28"/>
          <w:szCs w:val="28"/>
        </w:rPr>
      </w:pPr>
    </w:p>
    <w:p>
      <w:pPr>
        <w:spacing w:line="360" w:lineRule="auto"/>
        <w:ind w:firstLine="562"/>
        <w:jc w:val="center"/>
        <w:outlineLvl w:val="1"/>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12"/>
    </w:p>
    <w:p>
      <w:pPr>
        <w:spacing w:line="360" w:lineRule="auto"/>
        <w:ind w:firstLine="482"/>
        <w:outlineLvl w:val="2"/>
        <w:rPr>
          <w:rFonts w:asciiTheme="minorEastAsia" w:hAnsiTheme="minorEastAsia" w:eastAsiaTheme="minorEastAsia"/>
          <w:b/>
          <w:sz w:val="24"/>
        </w:rPr>
      </w:pPr>
      <w:r>
        <w:rPr>
          <w:rFonts w:hint="eastAsia" w:asciiTheme="minorEastAsia" w:hAnsiTheme="minorEastAsia" w:eastAsiaTheme="minorEastAsia"/>
          <w:b/>
          <w:sz w:val="24"/>
        </w:rPr>
        <w:t>一、总则</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本项目采用综合评分法评审，投标文件满足磋商文件全部实质性要求且按评审因素的量化指标评审得分最高的投标人为中标候选人的评审方法。</w:t>
      </w:r>
    </w:p>
    <w:p>
      <w:pPr>
        <w:spacing w:line="360" w:lineRule="auto"/>
        <w:ind w:firstLine="482"/>
        <w:outlineLvl w:val="2"/>
        <w:rPr>
          <w:rFonts w:asciiTheme="minorEastAsia" w:hAnsiTheme="minorEastAsia" w:eastAsiaTheme="minorEastAsia"/>
          <w:b/>
          <w:sz w:val="24"/>
        </w:rPr>
      </w:pPr>
      <w:r>
        <w:rPr>
          <w:rFonts w:hint="eastAsia" w:asciiTheme="minorEastAsia" w:hAnsiTheme="minorEastAsia" w:eastAsiaTheme="minorEastAsia"/>
          <w:b/>
          <w:sz w:val="24"/>
        </w:rPr>
        <w:t>二、评审方法</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2.1初审</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评审小组对投标人的投标文件进行初审，以确定其是否满足磋商文件的实质性要求。初审表如下：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108"/>
        <w:gridCol w:w="5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firstLine="482"/>
              <w:jc w:val="center"/>
              <w:rPr>
                <w:rFonts w:ascii="Calibri" w:hAnsi="Calibri" w:cs="Times New Roman"/>
                <w:b/>
                <w:kern w:val="2"/>
                <w:sz w:val="24"/>
                <w:szCs w:val="22"/>
              </w:rPr>
            </w:pPr>
            <w:r>
              <w:rPr>
                <w:rFonts w:hint="eastAsia" w:ascii="Calibri" w:hAnsi="Calibri" w:cs="Times New Roman"/>
                <w:b/>
                <w:kern w:val="2"/>
                <w:sz w:val="24"/>
                <w:szCs w:val="22"/>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45" w:type="pct"/>
            <w:tcBorders>
              <w:bottom w:val="single" w:color="auto" w:sz="4" w:space="0"/>
            </w:tcBorders>
            <w:vAlign w:val="center"/>
          </w:tcPr>
          <w:p>
            <w:pPr>
              <w:adjustRightInd w:val="0"/>
              <w:snapToGrid w:val="0"/>
              <w:ind w:right="-10"/>
              <w:jc w:val="center"/>
              <w:rPr>
                <w:rFonts w:ascii="Calibri" w:hAnsi="Calibri" w:cs="Times New Roman"/>
                <w:b/>
                <w:kern w:val="2"/>
                <w:sz w:val="24"/>
                <w:szCs w:val="22"/>
              </w:rPr>
            </w:pPr>
            <w:r>
              <w:rPr>
                <w:rFonts w:hint="eastAsia" w:ascii="Calibri" w:hAnsi="Calibri" w:cs="Times New Roman"/>
                <w:b/>
                <w:kern w:val="2"/>
                <w:sz w:val="24"/>
                <w:szCs w:val="22"/>
              </w:rPr>
              <w:t>序号</w:t>
            </w:r>
          </w:p>
        </w:tc>
        <w:tc>
          <w:tcPr>
            <w:tcW w:w="1237" w:type="pct"/>
            <w:tcBorders>
              <w:bottom w:val="single" w:color="auto" w:sz="4" w:space="0"/>
            </w:tcBorders>
            <w:vAlign w:val="center"/>
          </w:tcPr>
          <w:p>
            <w:pPr>
              <w:adjustRightInd w:val="0"/>
              <w:snapToGrid w:val="0"/>
              <w:ind w:right="-10" w:firstLine="482"/>
              <w:rPr>
                <w:rFonts w:ascii="Calibri" w:hAnsi="Calibri" w:cs="Times New Roman"/>
                <w:b/>
                <w:kern w:val="2"/>
                <w:sz w:val="24"/>
                <w:szCs w:val="24"/>
              </w:rPr>
            </w:pPr>
            <w:r>
              <w:rPr>
                <w:rFonts w:hint="eastAsia" w:ascii="Calibri" w:hAnsi="Calibri" w:cs="Times New Roman"/>
                <w:b/>
                <w:kern w:val="2"/>
                <w:sz w:val="24"/>
                <w:szCs w:val="24"/>
              </w:rPr>
              <w:t>评审指标</w:t>
            </w:r>
          </w:p>
        </w:tc>
        <w:tc>
          <w:tcPr>
            <w:tcW w:w="3217" w:type="pct"/>
            <w:tcBorders>
              <w:bottom w:val="single" w:color="auto" w:sz="4" w:space="0"/>
            </w:tcBorders>
            <w:vAlign w:val="center"/>
          </w:tcPr>
          <w:p>
            <w:pPr>
              <w:adjustRightInd w:val="0"/>
              <w:snapToGrid w:val="0"/>
              <w:ind w:right="-10" w:firstLine="482"/>
              <w:jc w:val="center"/>
              <w:rPr>
                <w:rFonts w:ascii="Calibri" w:hAnsi="Calibri" w:cs="Times New Roman"/>
                <w:b/>
                <w:kern w:val="2"/>
                <w:sz w:val="24"/>
                <w:szCs w:val="22"/>
              </w:rPr>
            </w:pPr>
            <w:r>
              <w:rPr>
                <w:rFonts w:hint="eastAsia" w:ascii="Calibri" w:hAnsi="Calibri" w:cs="Times New Roman"/>
                <w:b/>
                <w:kern w:val="2"/>
                <w:sz w:val="24"/>
                <w:szCs w:val="22"/>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pct"/>
            <w:tcBorders>
              <w:bottom w:val="single" w:color="auto" w:sz="4" w:space="0"/>
            </w:tcBorders>
            <w:vAlign w:val="center"/>
          </w:tcPr>
          <w:p>
            <w:pPr>
              <w:adjustRightInd w:val="0"/>
              <w:snapToGrid w:val="0"/>
              <w:ind w:right="-10"/>
              <w:jc w:val="center"/>
              <w:rPr>
                <w:rFonts w:ascii="Calibri" w:hAnsi="Calibri" w:cs="Times New Roman"/>
                <w:kern w:val="2"/>
                <w:sz w:val="24"/>
                <w:szCs w:val="22"/>
              </w:rPr>
            </w:pPr>
            <w:r>
              <w:rPr>
                <w:rFonts w:hint="eastAsia" w:cs="Times New Roman"/>
                <w:kern w:val="2"/>
                <w:sz w:val="24"/>
              </w:rPr>
              <w:t>1</w:t>
            </w:r>
          </w:p>
        </w:tc>
        <w:tc>
          <w:tcPr>
            <w:tcW w:w="1237" w:type="pct"/>
            <w:tcBorders>
              <w:bottom w:val="single" w:color="auto" w:sz="4" w:space="0"/>
            </w:tcBorders>
            <w:vAlign w:val="center"/>
          </w:tcPr>
          <w:p>
            <w:pPr>
              <w:adjustRightInd w:val="0"/>
              <w:snapToGrid w:val="0"/>
              <w:ind w:right="-10" w:firstLine="480"/>
              <w:jc w:val="left"/>
              <w:rPr>
                <w:rFonts w:cs="Times New Roman"/>
                <w:kern w:val="2"/>
                <w:sz w:val="24"/>
              </w:rPr>
            </w:pPr>
            <w:r>
              <w:rPr>
                <w:rFonts w:hint="eastAsia" w:cs="Times New Roman"/>
                <w:kern w:val="2"/>
                <w:sz w:val="24"/>
              </w:rPr>
              <w:t>营业执照</w:t>
            </w:r>
          </w:p>
        </w:tc>
        <w:tc>
          <w:tcPr>
            <w:tcW w:w="3217" w:type="pct"/>
            <w:tcBorders>
              <w:bottom w:val="single" w:color="auto" w:sz="4" w:space="0"/>
            </w:tcBorders>
            <w:vAlign w:val="center"/>
          </w:tcPr>
          <w:p>
            <w:pPr>
              <w:adjustRightInd w:val="0"/>
              <w:snapToGrid w:val="0"/>
              <w:spacing w:line="360" w:lineRule="auto"/>
              <w:ind w:right="-10"/>
              <w:rPr>
                <w:rFonts w:ascii="Calibri" w:hAnsi="Calibri" w:cs="Times New Roman"/>
                <w:kern w:val="2"/>
                <w:sz w:val="24"/>
                <w:szCs w:val="22"/>
              </w:rPr>
            </w:pPr>
            <w:r>
              <w:rPr>
                <w:rFonts w:hint="eastAsia" w:cs="Times New Roman"/>
                <w:kern w:val="2"/>
                <w:sz w:val="24"/>
                <w:szCs w:val="22"/>
              </w:rPr>
              <w:t>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pct"/>
            <w:vAlign w:val="center"/>
          </w:tcPr>
          <w:p>
            <w:pPr>
              <w:adjustRightInd w:val="0"/>
              <w:snapToGrid w:val="0"/>
              <w:ind w:right="-10"/>
              <w:jc w:val="center"/>
              <w:rPr>
                <w:rFonts w:cs="Times New Roman"/>
                <w:kern w:val="2"/>
                <w:sz w:val="24"/>
              </w:rPr>
            </w:pPr>
            <w:r>
              <w:rPr>
                <w:rFonts w:hint="eastAsia" w:cs="Times New Roman"/>
                <w:kern w:val="2"/>
                <w:sz w:val="24"/>
              </w:rPr>
              <w:t>2</w:t>
            </w:r>
          </w:p>
        </w:tc>
        <w:tc>
          <w:tcPr>
            <w:tcW w:w="1237" w:type="pct"/>
            <w:vAlign w:val="center"/>
          </w:tcPr>
          <w:p>
            <w:pPr>
              <w:adjustRightInd w:val="0"/>
              <w:snapToGrid w:val="0"/>
              <w:ind w:right="-10"/>
              <w:jc w:val="center"/>
              <w:rPr>
                <w:rFonts w:cs="Times New Roman"/>
                <w:kern w:val="2"/>
                <w:sz w:val="24"/>
              </w:rPr>
            </w:pPr>
            <w:r>
              <w:rPr>
                <w:rFonts w:hint="eastAsia" w:cs="Times New Roman"/>
                <w:kern w:val="2"/>
                <w:sz w:val="24"/>
              </w:rPr>
              <w:t>投标函</w:t>
            </w:r>
          </w:p>
        </w:tc>
        <w:tc>
          <w:tcPr>
            <w:tcW w:w="3217" w:type="pct"/>
            <w:vAlign w:val="center"/>
          </w:tcPr>
          <w:p>
            <w:pPr>
              <w:adjustRightInd w:val="0"/>
              <w:snapToGrid w:val="0"/>
              <w:spacing w:line="360" w:lineRule="auto"/>
              <w:ind w:right="-10"/>
              <w:rPr>
                <w:rFonts w:ascii="Calibri" w:hAnsi="Calibri" w:cs="Times New Roman"/>
                <w:kern w:val="2"/>
                <w:sz w:val="24"/>
                <w:szCs w:val="22"/>
              </w:rPr>
            </w:pPr>
            <w:r>
              <w:rPr>
                <w:rFonts w:hint="eastAsia" w:cs="Times New Roman"/>
                <w:kern w:val="2"/>
                <w:sz w:val="24"/>
                <w:szCs w:val="22"/>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pct"/>
            <w:vAlign w:val="center"/>
          </w:tcPr>
          <w:p>
            <w:pPr>
              <w:adjustRightInd w:val="0"/>
              <w:snapToGrid w:val="0"/>
              <w:ind w:right="-10"/>
              <w:jc w:val="center"/>
              <w:rPr>
                <w:rFonts w:cs="Times New Roman"/>
                <w:kern w:val="2"/>
                <w:sz w:val="24"/>
              </w:rPr>
            </w:pPr>
            <w:r>
              <w:rPr>
                <w:rFonts w:hint="eastAsia" w:cs="Times New Roman"/>
                <w:kern w:val="2"/>
                <w:sz w:val="24"/>
              </w:rPr>
              <w:t>3</w:t>
            </w:r>
          </w:p>
        </w:tc>
        <w:tc>
          <w:tcPr>
            <w:tcW w:w="1237" w:type="pct"/>
            <w:vAlign w:val="center"/>
          </w:tcPr>
          <w:p>
            <w:pPr>
              <w:adjustRightInd w:val="0"/>
              <w:snapToGrid w:val="0"/>
              <w:ind w:right="-10"/>
              <w:jc w:val="center"/>
              <w:rPr>
                <w:rFonts w:cs="Times New Roman"/>
                <w:kern w:val="2"/>
                <w:sz w:val="24"/>
              </w:rPr>
            </w:pPr>
            <w:r>
              <w:rPr>
                <w:rFonts w:hint="eastAsia" w:cs="Times New Roman"/>
                <w:kern w:val="2"/>
                <w:sz w:val="24"/>
              </w:rPr>
              <w:t>磋商文件获取情况</w:t>
            </w:r>
          </w:p>
        </w:tc>
        <w:tc>
          <w:tcPr>
            <w:tcW w:w="3217" w:type="pct"/>
            <w:vAlign w:val="center"/>
          </w:tcPr>
          <w:p>
            <w:pPr>
              <w:adjustRightInd w:val="0"/>
              <w:snapToGrid w:val="0"/>
              <w:spacing w:line="360" w:lineRule="auto"/>
              <w:ind w:right="-10"/>
              <w:rPr>
                <w:rFonts w:ascii="Calibri" w:hAnsi="Calibri" w:cs="Times New Roman"/>
                <w:kern w:val="2"/>
                <w:sz w:val="24"/>
                <w:szCs w:val="22"/>
              </w:rPr>
            </w:pPr>
            <w:r>
              <w:rPr>
                <w:rFonts w:hint="eastAsia" w:asciiTheme="minorEastAsia" w:hAnsiTheme="minorEastAsia" w:eastAsiaTheme="minorEastAsia"/>
                <w:sz w:val="24"/>
                <w:szCs w:val="28"/>
              </w:rPr>
              <w:t>在磋商文件获取截止时间前完成磋商文件获取</w:t>
            </w:r>
            <w:r>
              <w:rPr>
                <w:rFonts w:hint="eastAsia" w:cs="Times New Roman"/>
                <w:kern w:val="2"/>
                <w:sz w:val="24"/>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pct"/>
            <w:vAlign w:val="center"/>
          </w:tcPr>
          <w:p>
            <w:pPr>
              <w:adjustRightInd w:val="0"/>
              <w:snapToGrid w:val="0"/>
              <w:ind w:right="-10"/>
              <w:jc w:val="center"/>
              <w:rPr>
                <w:rFonts w:cs="Times New Roman"/>
                <w:kern w:val="2"/>
                <w:sz w:val="24"/>
              </w:rPr>
            </w:pPr>
            <w:r>
              <w:rPr>
                <w:rFonts w:hint="eastAsia" w:cs="Times New Roman"/>
                <w:kern w:val="2"/>
                <w:sz w:val="24"/>
              </w:rPr>
              <w:t>4</w:t>
            </w:r>
          </w:p>
        </w:tc>
        <w:tc>
          <w:tcPr>
            <w:tcW w:w="1237" w:type="pct"/>
            <w:vAlign w:val="center"/>
          </w:tcPr>
          <w:p>
            <w:pPr>
              <w:adjustRightInd w:val="0"/>
              <w:snapToGrid w:val="0"/>
              <w:ind w:right="-10"/>
              <w:jc w:val="center"/>
              <w:rPr>
                <w:rFonts w:cs="Times New Roman"/>
                <w:kern w:val="2"/>
                <w:sz w:val="24"/>
              </w:rPr>
            </w:pPr>
            <w:r>
              <w:rPr>
                <w:rFonts w:hint="eastAsia" w:cs="Times New Roman"/>
                <w:kern w:val="2"/>
                <w:sz w:val="24"/>
              </w:rPr>
              <w:t>授权书</w:t>
            </w:r>
          </w:p>
        </w:tc>
        <w:tc>
          <w:tcPr>
            <w:tcW w:w="3217" w:type="pct"/>
            <w:vAlign w:val="center"/>
          </w:tcPr>
          <w:p>
            <w:pPr>
              <w:adjustRightInd w:val="0"/>
              <w:snapToGrid w:val="0"/>
              <w:spacing w:line="360" w:lineRule="auto"/>
              <w:ind w:right="-10"/>
              <w:rPr>
                <w:rFonts w:ascii="Calibri" w:hAnsi="Calibri" w:cs="Times New Roman"/>
                <w:kern w:val="2"/>
                <w:sz w:val="24"/>
                <w:szCs w:val="22"/>
              </w:rPr>
            </w:pPr>
            <w:r>
              <w:rPr>
                <w:rFonts w:hint="eastAsia" w:cs="Times New Roman"/>
                <w:kern w:val="2"/>
                <w:sz w:val="24"/>
                <w:szCs w:val="22"/>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pct"/>
            <w:vAlign w:val="center"/>
          </w:tcPr>
          <w:p>
            <w:pPr>
              <w:adjustRightInd w:val="0"/>
              <w:snapToGrid w:val="0"/>
              <w:ind w:right="-10"/>
              <w:jc w:val="center"/>
              <w:rPr>
                <w:rFonts w:cs="Times New Roman"/>
                <w:kern w:val="2"/>
                <w:sz w:val="24"/>
              </w:rPr>
            </w:pPr>
            <w:r>
              <w:rPr>
                <w:rFonts w:hint="eastAsia" w:cs="Times New Roman"/>
                <w:kern w:val="2"/>
                <w:sz w:val="24"/>
              </w:rPr>
              <w:t>5</w:t>
            </w:r>
          </w:p>
        </w:tc>
        <w:tc>
          <w:tcPr>
            <w:tcW w:w="1237" w:type="pct"/>
            <w:vAlign w:val="center"/>
          </w:tcPr>
          <w:p>
            <w:pPr>
              <w:adjustRightInd w:val="0"/>
              <w:snapToGrid w:val="0"/>
              <w:ind w:right="-10"/>
              <w:jc w:val="center"/>
              <w:rPr>
                <w:rFonts w:cs="Times New Roman"/>
                <w:kern w:val="2"/>
                <w:sz w:val="24"/>
              </w:rPr>
            </w:pPr>
            <w:r>
              <w:rPr>
                <w:rFonts w:hint="eastAsia" w:cs="Times New Roman"/>
                <w:kern w:val="2"/>
                <w:sz w:val="24"/>
              </w:rPr>
              <w:t>磋商保证金</w:t>
            </w:r>
          </w:p>
        </w:tc>
        <w:tc>
          <w:tcPr>
            <w:tcW w:w="3217" w:type="pct"/>
            <w:vAlign w:val="center"/>
          </w:tcPr>
          <w:p>
            <w:pPr>
              <w:adjustRightInd w:val="0"/>
              <w:snapToGrid w:val="0"/>
              <w:spacing w:line="360" w:lineRule="auto"/>
              <w:ind w:right="-10"/>
              <w:rPr>
                <w:rFonts w:cs="Times New Roman"/>
                <w:kern w:val="2"/>
                <w:sz w:val="24"/>
                <w:szCs w:val="22"/>
              </w:rPr>
            </w:pPr>
            <w:r>
              <w:rPr>
                <w:rFonts w:hint="eastAsia" w:cs="Times New Roman"/>
                <w:kern w:val="2"/>
                <w:sz w:val="24"/>
                <w:szCs w:val="22"/>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pct"/>
            <w:vAlign w:val="center"/>
          </w:tcPr>
          <w:p>
            <w:pPr>
              <w:adjustRightInd w:val="0"/>
              <w:snapToGrid w:val="0"/>
              <w:ind w:right="-10"/>
              <w:jc w:val="center"/>
              <w:rPr>
                <w:rFonts w:cs="Times New Roman"/>
                <w:kern w:val="2"/>
                <w:sz w:val="24"/>
              </w:rPr>
            </w:pPr>
            <w:r>
              <w:rPr>
                <w:rFonts w:hint="eastAsia" w:cs="Times New Roman"/>
                <w:kern w:val="2"/>
                <w:sz w:val="24"/>
              </w:rPr>
              <w:t>6</w:t>
            </w:r>
          </w:p>
        </w:tc>
        <w:tc>
          <w:tcPr>
            <w:tcW w:w="1237" w:type="pct"/>
            <w:vAlign w:val="center"/>
          </w:tcPr>
          <w:p>
            <w:pPr>
              <w:adjustRightInd w:val="0"/>
              <w:snapToGrid w:val="0"/>
              <w:ind w:right="-10"/>
              <w:jc w:val="center"/>
              <w:rPr>
                <w:rFonts w:cs="Times New Roman"/>
                <w:kern w:val="2"/>
                <w:sz w:val="24"/>
              </w:rPr>
            </w:pPr>
            <w:r>
              <w:rPr>
                <w:rFonts w:hint="eastAsia" w:cs="Times New Roman"/>
                <w:kern w:val="2"/>
                <w:sz w:val="24"/>
              </w:rPr>
              <w:t>磋商报价</w:t>
            </w:r>
          </w:p>
        </w:tc>
        <w:tc>
          <w:tcPr>
            <w:tcW w:w="3217" w:type="pct"/>
            <w:vAlign w:val="center"/>
          </w:tcPr>
          <w:p>
            <w:pPr>
              <w:adjustRightInd w:val="0"/>
              <w:snapToGrid w:val="0"/>
              <w:spacing w:line="360" w:lineRule="auto"/>
              <w:ind w:right="-10"/>
              <w:rPr>
                <w:rFonts w:ascii="Calibri" w:hAnsi="Calibri" w:cs="Times New Roman"/>
                <w:kern w:val="2"/>
                <w:sz w:val="24"/>
                <w:szCs w:val="22"/>
              </w:rPr>
            </w:pPr>
            <w:r>
              <w:rPr>
                <w:rFonts w:hint="eastAsia" w:cs="Times New Roman"/>
                <w:kern w:val="2"/>
                <w:sz w:val="24"/>
                <w:szCs w:val="22"/>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pct"/>
            <w:vAlign w:val="center"/>
          </w:tcPr>
          <w:p>
            <w:pPr>
              <w:adjustRightInd w:val="0"/>
              <w:snapToGrid w:val="0"/>
              <w:ind w:right="-10"/>
              <w:jc w:val="center"/>
              <w:rPr>
                <w:rFonts w:cs="Times New Roman"/>
                <w:kern w:val="2"/>
                <w:sz w:val="24"/>
              </w:rPr>
            </w:pPr>
            <w:r>
              <w:rPr>
                <w:rFonts w:hint="eastAsia" w:cs="Times New Roman"/>
                <w:kern w:val="2"/>
                <w:sz w:val="24"/>
              </w:rPr>
              <w:t>7</w:t>
            </w:r>
          </w:p>
        </w:tc>
        <w:tc>
          <w:tcPr>
            <w:tcW w:w="1237" w:type="pct"/>
            <w:vAlign w:val="center"/>
          </w:tcPr>
          <w:p>
            <w:pPr>
              <w:adjustRightInd w:val="0"/>
              <w:snapToGrid w:val="0"/>
              <w:ind w:right="-10"/>
              <w:jc w:val="center"/>
              <w:rPr>
                <w:rFonts w:cs="Times New Roman"/>
                <w:kern w:val="2"/>
                <w:sz w:val="24"/>
              </w:rPr>
            </w:pPr>
            <w:r>
              <w:rPr>
                <w:rFonts w:hint="eastAsia" w:cs="Times New Roman"/>
                <w:kern w:val="2"/>
                <w:sz w:val="24"/>
              </w:rPr>
              <w:t>履约服务承诺函</w:t>
            </w:r>
          </w:p>
        </w:tc>
        <w:tc>
          <w:tcPr>
            <w:tcW w:w="3217" w:type="pct"/>
            <w:vAlign w:val="center"/>
          </w:tcPr>
          <w:p>
            <w:pPr>
              <w:adjustRightInd w:val="0"/>
              <w:snapToGrid w:val="0"/>
              <w:spacing w:line="360" w:lineRule="auto"/>
              <w:ind w:right="-10"/>
              <w:rPr>
                <w:rFonts w:cs="Times New Roman"/>
                <w:kern w:val="2"/>
                <w:sz w:val="24"/>
                <w:szCs w:val="22"/>
              </w:rPr>
            </w:pPr>
            <w:r>
              <w:rPr>
                <w:rFonts w:hint="eastAsia" w:cs="Times New Roman"/>
                <w:kern w:val="2"/>
                <w:sz w:val="24"/>
              </w:rPr>
              <w:t>符合招标文件第三章“三、服务履约要求（承诺函需在投标文件中提供）</w:t>
            </w:r>
            <w:r>
              <w:rPr>
                <w:rFonts w:hint="eastAsia"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45" w:type="pct"/>
            <w:vAlign w:val="center"/>
          </w:tcPr>
          <w:p>
            <w:pPr>
              <w:adjustRightInd w:val="0"/>
              <w:snapToGrid w:val="0"/>
              <w:ind w:right="-10"/>
              <w:jc w:val="center"/>
              <w:rPr>
                <w:rFonts w:cs="Times New Roman"/>
                <w:kern w:val="2"/>
                <w:sz w:val="24"/>
              </w:rPr>
            </w:pPr>
            <w:r>
              <w:rPr>
                <w:rFonts w:hint="eastAsia" w:cs="Times New Roman"/>
                <w:kern w:val="2"/>
                <w:sz w:val="24"/>
              </w:rPr>
              <w:t>8</w:t>
            </w:r>
          </w:p>
        </w:tc>
        <w:tc>
          <w:tcPr>
            <w:tcW w:w="2035" w:type="dxa"/>
            <w:vAlign w:val="center"/>
          </w:tcPr>
          <w:p>
            <w:pPr>
              <w:adjustRightInd w:val="0"/>
              <w:snapToGrid w:val="0"/>
              <w:ind w:right="-10"/>
              <w:jc w:val="center"/>
              <w:rPr>
                <w:rFonts w:cs="Times New Roman"/>
                <w:kern w:val="2"/>
                <w:sz w:val="24"/>
              </w:rPr>
            </w:pPr>
            <w:r>
              <w:rPr>
                <w:rFonts w:hint="eastAsia" w:cs="Times New Roman"/>
                <w:kern w:val="2"/>
                <w:sz w:val="24"/>
              </w:rPr>
              <w:t>未出现异常情形</w:t>
            </w:r>
          </w:p>
        </w:tc>
        <w:tc>
          <w:tcPr>
            <w:tcW w:w="5322" w:type="dxa"/>
            <w:vAlign w:val="center"/>
          </w:tcPr>
          <w:p>
            <w:pPr>
              <w:spacing w:line="500" w:lineRule="exact"/>
              <w:rPr>
                <w:rFonts w:cs="Times New Roman"/>
                <w:kern w:val="2"/>
                <w:sz w:val="24"/>
              </w:rPr>
            </w:pPr>
            <w:r>
              <w:rPr>
                <w:rFonts w:hint="eastAsia" w:cs="Times New Roman"/>
                <w:kern w:val="2"/>
                <w:sz w:val="24"/>
                <w:szCs w:val="22"/>
              </w:rPr>
              <w:t>不同投标人未出现使用相同的机器识别码进行投标的情形。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5" w:type="pct"/>
            <w:vAlign w:val="center"/>
          </w:tcPr>
          <w:p>
            <w:pPr>
              <w:adjustRightInd w:val="0"/>
              <w:snapToGrid w:val="0"/>
              <w:ind w:right="-10"/>
              <w:jc w:val="center"/>
              <w:rPr>
                <w:rFonts w:cs="Times New Roman"/>
                <w:kern w:val="2"/>
                <w:sz w:val="24"/>
              </w:rPr>
            </w:pPr>
            <w:r>
              <w:rPr>
                <w:rFonts w:hint="eastAsia" w:cs="Times New Roman"/>
                <w:kern w:val="2"/>
                <w:sz w:val="24"/>
              </w:rPr>
              <w:t>9</w:t>
            </w:r>
          </w:p>
        </w:tc>
        <w:tc>
          <w:tcPr>
            <w:tcW w:w="1237" w:type="pct"/>
            <w:vAlign w:val="center"/>
          </w:tcPr>
          <w:p>
            <w:pPr>
              <w:adjustRightInd w:val="0"/>
              <w:snapToGrid w:val="0"/>
              <w:ind w:right="-10"/>
              <w:jc w:val="center"/>
              <w:rPr>
                <w:rFonts w:cs="Times New Roman"/>
                <w:kern w:val="2"/>
                <w:sz w:val="24"/>
              </w:rPr>
            </w:pPr>
            <w:r>
              <w:rPr>
                <w:rFonts w:hint="eastAsia" w:cs="Times New Roman"/>
                <w:kern w:val="2"/>
                <w:sz w:val="24"/>
              </w:rPr>
              <w:t>其他要求</w:t>
            </w:r>
          </w:p>
        </w:tc>
        <w:tc>
          <w:tcPr>
            <w:tcW w:w="3217" w:type="pct"/>
            <w:vAlign w:val="center"/>
          </w:tcPr>
          <w:p>
            <w:pPr>
              <w:adjustRightInd w:val="0"/>
              <w:snapToGrid w:val="0"/>
              <w:ind w:right="-10"/>
              <w:rPr>
                <w:rFonts w:cs="Times New Roman"/>
                <w:kern w:val="2"/>
                <w:sz w:val="24"/>
              </w:rPr>
            </w:pPr>
            <w:r>
              <w:rPr>
                <w:rFonts w:hint="eastAsia" w:cs="Times New Roman"/>
                <w:kern w:val="2"/>
                <w:sz w:val="24"/>
              </w:rPr>
              <w:t>符合磋商文件列明的其他要求。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firstLine="480"/>
              <w:jc w:val="left"/>
              <w:rPr>
                <w:rFonts w:ascii="Calibri" w:hAnsi="Calibri" w:cs="Times New Roman"/>
                <w:kern w:val="2"/>
                <w:sz w:val="24"/>
                <w:szCs w:val="22"/>
              </w:rPr>
            </w:pPr>
            <w:r>
              <w:rPr>
                <w:rFonts w:hint="eastAsia" w:ascii="Calibri" w:hAnsi="Calibri" w:cs="Times New Roman"/>
                <w:kern w:val="2"/>
                <w:sz w:val="24"/>
                <w:szCs w:val="22"/>
              </w:rPr>
              <w:t>评审指标通过标准：投标人必须通过上述全部指标。</w:t>
            </w:r>
          </w:p>
        </w:tc>
      </w:tr>
    </w:tbl>
    <w:p>
      <w:pPr>
        <w:spacing w:line="360" w:lineRule="auto"/>
        <w:ind w:firstLine="482"/>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投标人必须通过初审表中的全部评审指标。</w:t>
      </w:r>
    </w:p>
    <w:p>
      <w:pPr>
        <w:spacing w:line="360" w:lineRule="auto"/>
        <w:ind w:firstLine="482"/>
        <w:rPr>
          <w:rFonts w:asciiTheme="minorEastAsia" w:hAnsiTheme="minorEastAsia" w:eastAsiaTheme="minorEastAsia"/>
          <w:b/>
          <w:sz w:val="24"/>
        </w:rPr>
      </w:pPr>
      <w:r>
        <w:rPr>
          <w:rFonts w:hint="eastAsia" w:asciiTheme="minorEastAsia" w:hAnsiTheme="minorEastAsia" w:eastAsiaTheme="minorEastAsia"/>
          <w:b/>
          <w:sz w:val="24"/>
        </w:rPr>
        <w:t>2.2综合评分</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评审小组按照下表对</w:t>
      </w:r>
      <w:r>
        <w:rPr>
          <w:rFonts w:hint="eastAsia"/>
          <w:sz w:val="24"/>
        </w:rPr>
        <w:t>进入综合评分的所有投标人的</w:t>
      </w:r>
      <w:r>
        <w:rPr>
          <w:rFonts w:hint="eastAsia" w:asciiTheme="minorEastAsia" w:hAnsiTheme="minorEastAsia" w:eastAsiaTheme="minorEastAsia"/>
          <w:sz w:val="24"/>
        </w:rPr>
        <w:t>投标文件进行综合评分。</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w:t>
      </w:r>
      <w:bookmarkStart w:id="13" w:name="OLE_LINK1"/>
      <w:r>
        <w:rPr>
          <w:rFonts w:hint="eastAsia" w:asciiTheme="minorEastAsia" w:hAnsiTheme="minorEastAsia" w:eastAsiaTheme="minorEastAsia"/>
          <w:sz w:val="24"/>
        </w:rPr>
        <w:t>技术资信分</w:t>
      </w:r>
      <w:bookmarkEnd w:id="13"/>
      <w:r>
        <w:rPr>
          <w:rFonts w:hint="eastAsia" w:asciiTheme="minorEastAsia" w:hAnsiTheme="minorEastAsia" w:eastAsiaTheme="minorEastAsia"/>
          <w:sz w:val="24"/>
        </w:rPr>
        <w:t>值占总分值的权重为</w:t>
      </w:r>
      <w:r>
        <w:rPr>
          <w:rFonts w:hint="eastAsia" w:asciiTheme="minorEastAsia" w:hAnsiTheme="minorEastAsia" w:eastAsiaTheme="minorEastAsia"/>
          <w:sz w:val="24"/>
          <w:u w:val="single"/>
        </w:rPr>
        <w:t xml:space="preserve"> 74 </w:t>
      </w:r>
      <w:r>
        <w:rPr>
          <w:rFonts w:asciiTheme="minorEastAsia" w:hAnsiTheme="minorEastAsia" w:eastAsiaTheme="minorEastAsia"/>
          <w:sz w:val="24"/>
        </w:rPr>
        <w:t>%，</w:t>
      </w:r>
      <w:r>
        <w:rPr>
          <w:rFonts w:hint="eastAsia" w:asciiTheme="minorEastAsia" w:hAnsiTheme="minorEastAsia" w:eastAsiaTheme="minorEastAsia"/>
          <w:sz w:val="24"/>
        </w:rPr>
        <w:t>投标报价</w:t>
      </w:r>
      <w:r>
        <w:rPr>
          <w:rFonts w:asciiTheme="minorEastAsia" w:hAnsiTheme="minorEastAsia" w:eastAsiaTheme="minorEastAsia"/>
          <w:sz w:val="24"/>
        </w:rPr>
        <w:t>分值占总分值的权重为</w:t>
      </w:r>
      <w:r>
        <w:rPr>
          <w:rFonts w:hint="eastAsia" w:asciiTheme="minorEastAsia" w:hAnsiTheme="minorEastAsia" w:eastAsiaTheme="minorEastAsia"/>
          <w:sz w:val="24"/>
          <w:u w:val="single"/>
        </w:rPr>
        <w:t xml:space="preserve"> 26 </w:t>
      </w:r>
      <w:r>
        <w:rPr>
          <w:rFonts w:asciiTheme="minorEastAsia" w:hAnsiTheme="minorEastAsia" w:eastAsiaTheme="minorEastAsia"/>
          <w:sz w:val="24"/>
        </w:rPr>
        <w:t>%。具体评分细则如下：</w:t>
      </w:r>
    </w:p>
    <w:tbl>
      <w:tblPr>
        <w:tblStyle w:val="56"/>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0"/>
        <w:gridCol w:w="1717"/>
        <w:gridCol w:w="3746"/>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类别</w:t>
            </w:r>
          </w:p>
        </w:tc>
        <w:tc>
          <w:tcPr>
            <w:tcW w:w="100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评分标准</w:t>
            </w:r>
          </w:p>
        </w:tc>
        <w:tc>
          <w:tcPr>
            <w:tcW w:w="92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8" w:type="pct"/>
            <w:vMerge w:val="restart"/>
            <w:tcBorders>
              <w:top w:val="single" w:color="auto" w:sz="4" w:space="0"/>
              <w:left w:val="single" w:color="auto" w:sz="4" w:space="0"/>
              <w:right w:val="single" w:color="auto" w:sz="4" w:space="0"/>
            </w:tcBorders>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技术资信分</w:t>
            </w:r>
          </w:p>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rPr>
              <w:t>（74分）</w:t>
            </w:r>
          </w:p>
        </w:tc>
        <w:tc>
          <w:tcPr>
            <w:tcW w:w="10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b/>
                <w:bCs/>
                <w:sz w:val="24"/>
              </w:rPr>
            </w:pPr>
            <w:r>
              <w:rPr>
                <w:rFonts w:hint="eastAsia" w:hAnsi="Times New Roman" w:cs="宋体"/>
                <w:sz w:val="24"/>
                <w:szCs w:val="24"/>
              </w:rPr>
              <w:t>投标人业绩</w:t>
            </w:r>
          </w:p>
        </w:tc>
        <w:tc>
          <w:tcPr>
            <w:tcW w:w="2197"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sz w:val="24"/>
                <w:szCs w:val="24"/>
              </w:rPr>
            </w:pPr>
            <w:r>
              <w:rPr>
                <w:rFonts w:hint="eastAsia" w:cs="宋体"/>
                <w:sz w:val="24"/>
                <w:szCs w:val="24"/>
              </w:rPr>
              <w:t>2018年1月1日（以合同签订时间为准）以来，投标人具有CRM或ERP系统同类型系统维护业绩的，每个得3分，最多得12分。</w:t>
            </w:r>
          </w:p>
          <w:p>
            <w:pPr>
              <w:spacing w:line="360" w:lineRule="auto"/>
              <w:jc w:val="left"/>
              <w:rPr>
                <w:rFonts w:cs="宋体"/>
                <w:sz w:val="24"/>
                <w:szCs w:val="24"/>
              </w:rPr>
            </w:pPr>
            <w:r>
              <w:rPr>
                <w:rFonts w:hint="eastAsia" w:cs="宋体"/>
                <w:sz w:val="24"/>
                <w:szCs w:val="24"/>
              </w:rPr>
              <w:t>注：</w:t>
            </w:r>
          </w:p>
          <w:p>
            <w:pPr>
              <w:spacing w:line="360" w:lineRule="auto"/>
              <w:jc w:val="left"/>
              <w:rPr>
                <w:rFonts w:cs="宋体"/>
                <w:sz w:val="24"/>
                <w:szCs w:val="24"/>
              </w:rPr>
            </w:pPr>
            <w:r>
              <w:rPr>
                <w:rFonts w:hint="eastAsia" w:cs="宋体"/>
                <w:sz w:val="24"/>
                <w:szCs w:val="24"/>
              </w:rPr>
              <w:t>1.投标文件中须同时提供以下业绩证明材料：</w:t>
            </w:r>
          </w:p>
          <w:p>
            <w:pPr>
              <w:spacing w:line="360" w:lineRule="auto"/>
              <w:jc w:val="left"/>
              <w:rPr>
                <w:rFonts w:cs="宋体"/>
                <w:sz w:val="24"/>
                <w:szCs w:val="24"/>
              </w:rPr>
            </w:pPr>
            <w:r>
              <w:rPr>
                <w:rFonts w:hint="eastAsia" w:cs="宋体"/>
                <w:sz w:val="24"/>
                <w:szCs w:val="24"/>
              </w:rPr>
              <w:t>（1）业绩合同扫描件；</w:t>
            </w:r>
          </w:p>
          <w:p>
            <w:pPr>
              <w:spacing w:line="360" w:lineRule="auto"/>
              <w:jc w:val="left"/>
              <w:rPr>
                <w:rFonts w:cs="宋体"/>
                <w:sz w:val="24"/>
                <w:szCs w:val="24"/>
              </w:rPr>
            </w:pPr>
            <w:r>
              <w:rPr>
                <w:rFonts w:hint="eastAsia" w:cs="宋体"/>
                <w:sz w:val="24"/>
                <w:szCs w:val="24"/>
              </w:rPr>
              <w:t>（2）与该业绩对应的项目正在履约或已完成的证明材料（如验收报告或业主（或合同甲方）证明）；</w:t>
            </w:r>
          </w:p>
          <w:p>
            <w:pPr>
              <w:spacing w:line="360" w:lineRule="auto"/>
              <w:jc w:val="left"/>
              <w:rPr>
                <w:rFonts w:cs="宋体"/>
                <w:sz w:val="24"/>
                <w:szCs w:val="24"/>
              </w:rPr>
            </w:pPr>
            <w:r>
              <w:rPr>
                <w:rFonts w:hint="eastAsia" w:cs="宋体"/>
                <w:sz w:val="24"/>
                <w:szCs w:val="24"/>
              </w:rPr>
              <w:t>（3）已完成的证明材料须加盖项目业主单位或合同甲方公章(证明材料已有项目业主单位或合同甲方公章的除外)，否则评标委员会不予认可。</w:t>
            </w:r>
          </w:p>
          <w:p>
            <w:pPr>
              <w:spacing w:line="360" w:lineRule="auto"/>
              <w:jc w:val="left"/>
              <w:rPr>
                <w:rFonts w:cs="宋体"/>
                <w:sz w:val="24"/>
                <w:szCs w:val="24"/>
              </w:rPr>
            </w:pPr>
            <w:r>
              <w:rPr>
                <w:rFonts w:hint="eastAsia" w:cs="宋体"/>
                <w:sz w:val="24"/>
                <w:szCs w:val="24"/>
              </w:rPr>
              <w:t>2.以上涉及到的证明资料信息应完整或能充分反映评审因素。如未能明确反映评审因素的（如服务内容等），评标委员会不予认可。</w:t>
            </w:r>
          </w:p>
          <w:p>
            <w:pPr>
              <w:spacing w:line="360" w:lineRule="auto"/>
              <w:jc w:val="left"/>
              <w:rPr>
                <w:rFonts w:asciiTheme="minorEastAsia" w:hAnsiTheme="minorEastAsia" w:eastAsiaTheme="minorEastAsia"/>
                <w:b/>
                <w:bCs/>
                <w:sz w:val="24"/>
              </w:rPr>
            </w:pPr>
            <w:r>
              <w:rPr>
                <w:rFonts w:hint="eastAsia" w:cs="宋体"/>
                <w:sz w:val="24"/>
                <w:szCs w:val="24"/>
              </w:rPr>
              <w:t>3.已签订合同正在实施或尚未实施的业绩不予认可。</w:t>
            </w:r>
          </w:p>
        </w:tc>
        <w:tc>
          <w:tcPr>
            <w:tcW w:w="92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b/>
                <w:bCs/>
                <w:sz w:val="24"/>
              </w:rPr>
            </w:pPr>
            <w:r>
              <w:rPr>
                <w:rFonts w:hint="eastAsia"/>
                <w:sz w:val="24"/>
                <w:szCs w:val="24"/>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8" w:type="pct"/>
            <w:vMerge w:val="continue"/>
            <w:tcBorders>
              <w:left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p>
        </w:tc>
        <w:tc>
          <w:tcPr>
            <w:tcW w:w="10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szCs w:val="24"/>
              </w:rPr>
              <w:t>投标人能力</w:t>
            </w:r>
          </w:p>
        </w:tc>
        <w:tc>
          <w:tcPr>
            <w:tcW w:w="2197" w:type="pct"/>
            <w:tcBorders>
              <w:top w:val="single" w:color="auto" w:sz="4" w:space="0"/>
              <w:left w:val="single" w:color="auto" w:sz="4" w:space="0"/>
              <w:bottom w:val="single" w:color="auto" w:sz="4" w:space="0"/>
              <w:right w:val="single" w:color="auto" w:sz="4" w:space="0"/>
            </w:tcBorders>
            <w:vAlign w:val="center"/>
          </w:tcPr>
          <w:p>
            <w:pPr>
              <w:pStyle w:val="272"/>
              <w:spacing w:before="48" w:line="289" w:lineRule="auto"/>
              <w:ind w:right="146"/>
              <w:rPr>
                <w:rFonts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lang w:eastAsia="zh-CN"/>
              </w:rPr>
              <w:t>投标人同时具有以下证书的，得</w:t>
            </w:r>
            <w:r>
              <w:rPr>
                <w:rFonts w:asciiTheme="minorEastAsia" w:hAnsiTheme="minorEastAsia" w:eastAsiaTheme="minorEastAsia"/>
                <w:kern w:val="0"/>
                <w:sz w:val="24"/>
                <w:szCs w:val="24"/>
                <w:lang w:eastAsia="zh-CN"/>
              </w:rPr>
              <w:t>2</w:t>
            </w:r>
            <w:r>
              <w:rPr>
                <w:rFonts w:hint="eastAsia" w:asciiTheme="minorEastAsia" w:hAnsiTheme="minorEastAsia" w:eastAsiaTheme="minorEastAsia"/>
                <w:kern w:val="0"/>
                <w:sz w:val="24"/>
                <w:szCs w:val="24"/>
                <w:lang w:eastAsia="zh-CN"/>
              </w:rPr>
              <w:t>分，缺项者不得分：</w:t>
            </w:r>
          </w:p>
          <w:p>
            <w:pPr>
              <w:pStyle w:val="272"/>
              <w:spacing w:before="48" w:line="289" w:lineRule="auto"/>
              <w:ind w:right="146"/>
              <w:rPr>
                <w:rFonts w:asciiTheme="minorEastAsia" w:hAnsiTheme="minorEastAsia" w:eastAsiaTheme="minorEastAsia"/>
                <w:kern w:val="0"/>
                <w:sz w:val="24"/>
                <w:szCs w:val="24"/>
                <w:lang w:eastAsia="zh-CN"/>
              </w:rPr>
            </w:pPr>
            <w:r>
              <w:rPr>
                <w:rFonts w:asciiTheme="minorEastAsia" w:hAnsiTheme="minorEastAsia" w:eastAsiaTheme="minorEastAsia"/>
                <w:kern w:val="0"/>
                <w:sz w:val="24"/>
                <w:szCs w:val="24"/>
                <w:lang w:eastAsia="zh-CN"/>
              </w:rPr>
              <w:t>1.</w:t>
            </w:r>
            <w:r>
              <w:rPr>
                <w:rFonts w:hint="eastAsia" w:asciiTheme="minorEastAsia" w:hAnsiTheme="minorEastAsia" w:eastAsiaTheme="minorEastAsia"/>
                <w:kern w:val="0"/>
                <w:sz w:val="24"/>
                <w:szCs w:val="24"/>
                <w:lang w:eastAsia="zh-CN"/>
              </w:rPr>
              <w:t>高新技术企业认定证书；</w:t>
            </w:r>
          </w:p>
          <w:p>
            <w:pPr>
              <w:pStyle w:val="272"/>
              <w:spacing w:before="48" w:line="289" w:lineRule="auto"/>
              <w:ind w:right="146"/>
              <w:rPr>
                <w:rFonts w:asciiTheme="minorEastAsia" w:hAnsiTheme="minorEastAsia" w:eastAsiaTheme="minorEastAsia"/>
                <w:kern w:val="0"/>
                <w:sz w:val="24"/>
                <w:szCs w:val="24"/>
                <w:lang w:eastAsia="zh-CN"/>
              </w:rPr>
            </w:pPr>
            <w:r>
              <w:rPr>
                <w:rFonts w:asciiTheme="minorEastAsia" w:hAnsiTheme="minorEastAsia" w:eastAsiaTheme="minorEastAsia"/>
                <w:kern w:val="0"/>
                <w:sz w:val="24"/>
                <w:szCs w:val="24"/>
                <w:lang w:eastAsia="zh-CN"/>
              </w:rPr>
              <w:t>2.</w:t>
            </w:r>
            <w:r>
              <w:rPr>
                <w:rFonts w:hint="eastAsia" w:asciiTheme="minorEastAsia" w:hAnsiTheme="minorEastAsia" w:eastAsiaTheme="minorEastAsia"/>
                <w:kern w:val="0"/>
                <w:sz w:val="24"/>
                <w:szCs w:val="24"/>
                <w:lang w:eastAsia="zh-CN"/>
              </w:rPr>
              <w:t>软件企业认定证书；</w:t>
            </w:r>
          </w:p>
          <w:p>
            <w:pPr>
              <w:pStyle w:val="272"/>
              <w:spacing w:before="48" w:line="289" w:lineRule="auto"/>
              <w:ind w:right="146"/>
              <w:rPr>
                <w:rFonts w:asciiTheme="minorEastAsia" w:hAnsiTheme="minorEastAsia" w:eastAsiaTheme="minorEastAsia"/>
                <w:b/>
                <w:bCs/>
                <w:sz w:val="24"/>
                <w:lang w:eastAsia="zh-CN"/>
              </w:rPr>
            </w:pPr>
            <w:r>
              <w:rPr>
                <w:rFonts w:hint="eastAsia" w:asciiTheme="minorEastAsia" w:hAnsiTheme="minorEastAsia" w:eastAsiaTheme="minorEastAsia"/>
                <w:kern w:val="0"/>
                <w:sz w:val="24"/>
                <w:szCs w:val="24"/>
                <w:lang w:eastAsia="zh-CN"/>
              </w:rPr>
              <w:t>注：投标文件中提供证书扫描件作为评审依据。</w:t>
            </w:r>
          </w:p>
        </w:tc>
        <w:tc>
          <w:tcPr>
            <w:tcW w:w="92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b/>
                <w:bCs/>
                <w:sz w:val="24"/>
              </w:rPr>
            </w:pPr>
            <w:r>
              <w:rPr>
                <w:sz w:val="24"/>
                <w:szCs w:val="24"/>
              </w:rPr>
              <w:t>2</w:t>
            </w:r>
            <w:r>
              <w:rPr>
                <w:rFonts w:hint="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8" w:type="pct"/>
            <w:vMerge w:val="continue"/>
            <w:tcBorders>
              <w:left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p>
        </w:tc>
        <w:tc>
          <w:tcPr>
            <w:tcW w:w="100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hAnsi="Times New Roman" w:cs="宋体"/>
                <w:sz w:val="24"/>
                <w:szCs w:val="24"/>
              </w:rPr>
              <w:t>技术架构</w:t>
            </w:r>
          </w:p>
        </w:tc>
        <w:tc>
          <w:tcPr>
            <w:tcW w:w="2197"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sz w:val="24"/>
                <w:szCs w:val="24"/>
              </w:rPr>
            </w:pPr>
            <w:r>
              <w:rPr>
                <w:rFonts w:hint="eastAsia" w:cs="宋体"/>
                <w:sz w:val="24"/>
                <w:szCs w:val="24"/>
              </w:rPr>
              <w:t>评委根据投标人对本项目涉及的ERP、CRM系统以及其硬件、接口、网络及数据现状是否了解透彻，熟悉项目服务要求,了解项目架构结构及运行环境，进行综合打分。</w:t>
            </w:r>
          </w:p>
          <w:p>
            <w:pPr>
              <w:spacing w:line="360" w:lineRule="auto"/>
              <w:jc w:val="left"/>
              <w:rPr>
                <w:rFonts w:cs="宋体"/>
                <w:sz w:val="24"/>
                <w:szCs w:val="24"/>
              </w:rPr>
            </w:pPr>
            <w:r>
              <w:rPr>
                <w:rFonts w:hint="eastAsia" w:cs="宋体"/>
                <w:sz w:val="24"/>
                <w:szCs w:val="24"/>
              </w:rPr>
              <w:t>注：</w:t>
            </w:r>
          </w:p>
          <w:p>
            <w:pPr>
              <w:spacing w:line="360" w:lineRule="auto"/>
              <w:jc w:val="left"/>
              <w:rPr>
                <w:rFonts w:cs="宋体"/>
                <w:sz w:val="24"/>
                <w:szCs w:val="24"/>
              </w:rPr>
            </w:pPr>
            <w:r>
              <w:rPr>
                <w:rFonts w:hint="eastAsia" w:cs="宋体"/>
                <w:sz w:val="24"/>
                <w:szCs w:val="24"/>
              </w:rPr>
              <w:t>1、清楚描述</w:t>
            </w:r>
            <w:r>
              <w:rPr>
                <w:rFonts w:cs="宋体"/>
                <w:sz w:val="24"/>
                <w:szCs w:val="24"/>
              </w:rPr>
              <w:t>该次维保</w:t>
            </w:r>
            <w:r>
              <w:rPr>
                <w:rFonts w:hint="eastAsia" w:cs="宋体"/>
                <w:sz w:val="24"/>
                <w:szCs w:val="24"/>
              </w:rPr>
              <w:t>ERP系统、</w:t>
            </w:r>
            <w:r>
              <w:rPr>
                <w:rFonts w:cs="宋体"/>
                <w:sz w:val="24"/>
                <w:szCs w:val="24"/>
              </w:rPr>
              <w:t>CRM系统</w:t>
            </w:r>
            <w:r>
              <w:rPr>
                <w:rFonts w:hint="eastAsia" w:cs="宋体"/>
                <w:sz w:val="24"/>
                <w:szCs w:val="24"/>
              </w:rPr>
              <w:t>采用的系统架构模式及硬件要求得0＜F≤1分；</w:t>
            </w:r>
          </w:p>
          <w:p>
            <w:pPr>
              <w:spacing w:line="360" w:lineRule="auto"/>
              <w:jc w:val="left"/>
              <w:rPr>
                <w:rFonts w:cs="宋体"/>
                <w:sz w:val="24"/>
                <w:szCs w:val="24"/>
              </w:rPr>
            </w:pPr>
            <w:r>
              <w:rPr>
                <w:rFonts w:cs="宋体"/>
                <w:sz w:val="24"/>
                <w:szCs w:val="24"/>
              </w:rPr>
              <w:t>2、清楚</w:t>
            </w:r>
            <w:r>
              <w:rPr>
                <w:rFonts w:hint="eastAsia" w:cs="宋体"/>
                <w:sz w:val="24"/>
                <w:szCs w:val="24"/>
              </w:rPr>
              <w:t>描述</w:t>
            </w:r>
            <w:r>
              <w:rPr>
                <w:rFonts w:cs="宋体"/>
                <w:sz w:val="24"/>
                <w:szCs w:val="24"/>
              </w:rPr>
              <w:t>该次维保</w:t>
            </w:r>
            <w:r>
              <w:rPr>
                <w:rFonts w:hint="eastAsia" w:cs="宋体"/>
                <w:sz w:val="24"/>
                <w:szCs w:val="24"/>
              </w:rPr>
              <w:t>ERP系统、</w:t>
            </w:r>
            <w:r>
              <w:rPr>
                <w:rFonts w:cs="宋体"/>
                <w:sz w:val="24"/>
                <w:szCs w:val="24"/>
              </w:rPr>
              <w:t>CRM系统使用的存储数据库的类型及版本得</w:t>
            </w:r>
            <w:r>
              <w:rPr>
                <w:rFonts w:hint="eastAsia" w:cs="宋体"/>
                <w:sz w:val="24"/>
                <w:szCs w:val="24"/>
              </w:rPr>
              <w:t>0＜F≤1分；</w:t>
            </w:r>
          </w:p>
          <w:p>
            <w:pPr>
              <w:spacing w:line="360" w:lineRule="auto"/>
              <w:jc w:val="left"/>
              <w:rPr>
                <w:rFonts w:cs="宋体"/>
                <w:sz w:val="24"/>
                <w:szCs w:val="24"/>
              </w:rPr>
            </w:pPr>
            <w:r>
              <w:rPr>
                <w:rFonts w:hint="eastAsia" w:cs="宋体"/>
                <w:sz w:val="24"/>
                <w:szCs w:val="24"/>
              </w:rPr>
              <w:t>3、能详细描述与CRM存在对接的系统，说出</w:t>
            </w:r>
            <w:r>
              <w:rPr>
                <w:rFonts w:cs="宋体"/>
                <w:sz w:val="24"/>
                <w:szCs w:val="24"/>
              </w:rPr>
              <w:t>0-3</w:t>
            </w:r>
            <w:r>
              <w:rPr>
                <w:rFonts w:hint="eastAsia" w:cs="宋体"/>
                <w:sz w:val="24"/>
                <w:szCs w:val="24"/>
              </w:rPr>
              <w:t>个不得分，说出</w:t>
            </w:r>
            <w:r>
              <w:rPr>
                <w:rFonts w:cs="宋体"/>
                <w:sz w:val="24"/>
                <w:szCs w:val="24"/>
              </w:rPr>
              <w:t>4-8</w:t>
            </w:r>
            <w:r>
              <w:rPr>
                <w:rFonts w:hint="eastAsia" w:cs="宋体"/>
                <w:sz w:val="24"/>
                <w:szCs w:val="24"/>
              </w:rPr>
              <w:t>个得0＜F≤1分，说出</w:t>
            </w:r>
            <w:r>
              <w:rPr>
                <w:rFonts w:cs="宋体"/>
                <w:sz w:val="24"/>
                <w:szCs w:val="24"/>
              </w:rPr>
              <w:t>9个及以上得</w:t>
            </w:r>
            <w:r>
              <w:rPr>
                <w:rFonts w:hint="eastAsia" w:cs="宋体"/>
                <w:sz w:val="24"/>
                <w:szCs w:val="24"/>
              </w:rPr>
              <w:t>1＜F≤3分；</w:t>
            </w:r>
          </w:p>
          <w:p>
            <w:pPr>
              <w:spacing w:line="360" w:lineRule="auto"/>
              <w:jc w:val="left"/>
              <w:rPr>
                <w:rFonts w:cs="宋体"/>
                <w:sz w:val="24"/>
                <w:szCs w:val="24"/>
              </w:rPr>
            </w:pPr>
            <w:r>
              <w:rPr>
                <w:rFonts w:hint="eastAsia" w:cs="宋体"/>
                <w:sz w:val="24"/>
                <w:szCs w:val="24"/>
              </w:rPr>
              <w:t>4、能详细描述ERP</w:t>
            </w:r>
            <w:r>
              <w:rPr>
                <w:rFonts w:cs="宋体"/>
                <w:sz w:val="24"/>
                <w:szCs w:val="24"/>
              </w:rPr>
              <w:t>系统现有茅台业务流程管理及入库模式得</w:t>
            </w:r>
            <w:r>
              <w:rPr>
                <w:rFonts w:hint="eastAsia" w:cs="宋体"/>
                <w:sz w:val="24"/>
                <w:szCs w:val="24"/>
              </w:rPr>
              <w:t>0＜F≤3分；</w:t>
            </w:r>
          </w:p>
          <w:p>
            <w:pPr>
              <w:spacing w:line="360" w:lineRule="auto"/>
              <w:jc w:val="left"/>
              <w:rPr>
                <w:rFonts w:asciiTheme="minorEastAsia" w:hAnsiTheme="minorEastAsia"/>
                <w:b/>
                <w:bCs/>
                <w:sz w:val="24"/>
              </w:rPr>
            </w:pPr>
            <w:r>
              <w:rPr>
                <w:rFonts w:hint="eastAsia" w:cs="宋体"/>
                <w:sz w:val="24"/>
                <w:szCs w:val="24"/>
              </w:rPr>
              <w:t>5、能详尽描述ERP、</w:t>
            </w:r>
            <w:r>
              <w:rPr>
                <w:rFonts w:cs="宋体"/>
                <w:sz w:val="24"/>
                <w:szCs w:val="24"/>
              </w:rPr>
              <w:t>CRM业务流程及系统功能实现得</w:t>
            </w:r>
            <w:r>
              <w:rPr>
                <w:rFonts w:hint="eastAsia" w:cs="宋体"/>
                <w:sz w:val="24"/>
                <w:szCs w:val="24"/>
              </w:rPr>
              <w:t>0＜F≤2分。</w:t>
            </w:r>
          </w:p>
        </w:tc>
        <w:tc>
          <w:tcPr>
            <w:tcW w:w="92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asciiTheme="minorEastAsia" w:hAnsiTheme="minorEastAsia" w:eastAsiaTheme="minorEastAsia"/>
                <w:sz w:val="24"/>
              </w:rPr>
              <w:t>0-10</w:t>
            </w:r>
            <w:r>
              <w:rPr>
                <w:rFonts w:hint="eastAsia" w:asciiTheme="minorEastAsia" w:hAnsiTheme="minorEastAsia" w:eastAsiaTheme="minorEastAsia"/>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8" w:type="pct"/>
            <w:vMerge w:val="continue"/>
            <w:tcBorders>
              <w:left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p>
        </w:tc>
        <w:tc>
          <w:tcPr>
            <w:tcW w:w="100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asciiTheme="minorEastAsia" w:hAnsiTheme="minorEastAsia" w:eastAsiaTheme="minorEastAsia"/>
                <w:sz w:val="24"/>
              </w:rPr>
              <w:t>服务承诺</w:t>
            </w:r>
          </w:p>
        </w:tc>
        <w:tc>
          <w:tcPr>
            <w:tcW w:w="2197"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sz w:val="24"/>
                <w:szCs w:val="24"/>
              </w:rPr>
            </w:pPr>
            <w:r>
              <w:rPr>
                <w:rFonts w:hint="eastAsia" w:cs="宋体"/>
                <w:sz w:val="24"/>
                <w:szCs w:val="24"/>
              </w:rPr>
              <w:t>评委根据投标人提供的服务承诺，包括承诺中标后提供7*24小时的技术服务热线且能有效接通，并立即安排工程师投入服务，报修问题和BUG属于紧急或导致业务中断的报修：</w:t>
            </w:r>
          </w:p>
          <w:p>
            <w:pPr>
              <w:spacing w:line="360" w:lineRule="auto"/>
              <w:jc w:val="left"/>
              <w:rPr>
                <w:rFonts w:cs="宋体"/>
                <w:sz w:val="24"/>
                <w:szCs w:val="24"/>
              </w:rPr>
            </w:pPr>
            <w:r>
              <w:rPr>
                <w:rFonts w:hint="eastAsia" w:cs="宋体"/>
                <w:sz w:val="24"/>
                <w:szCs w:val="24"/>
              </w:rPr>
              <w:t>承诺于报修开始算起20分钟内恢复业务的得10分；</w:t>
            </w:r>
          </w:p>
          <w:p>
            <w:pPr>
              <w:spacing w:line="360" w:lineRule="auto"/>
              <w:jc w:val="left"/>
              <w:rPr>
                <w:rFonts w:cs="宋体"/>
                <w:sz w:val="24"/>
                <w:szCs w:val="24"/>
              </w:rPr>
            </w:pPr>
            <w:r>
              <w:rPr>
                <w:rFonts w:hint="eastAsia" w:cs="宋体"/>
                <w:sz w:val="24"/>
                <w:szCs w:val="24"/>
              </w:rPr>
              <w:t>承诺于报修开始算起40分钟内恢复业务的得6分；</w:t>
            </w:r>
          </w:p>
          <w:p>
            <w:pPr>
              <w:spacing w:line="360" w:lineRule="auto"/>
              <w:jc w:val="left"/>
              <w:rPr>
                <w:rFonts w:asciiTheme="minorEastAsia" w:hAnsiTheme="minorEastAsia"/>
                <w:b/>
                <w:bCs/>
                <w:sz w:val="24"/>
              </w:rPr>
            </w:pPr>
            <w:r>
              <w:rPr>
                <w:rFonts w:hint="eastAsia" w:cs="宋体"/>
                <w:sz w:val="24"/>
                <w:szCs w:val="24"/>
              </w:rPr>
              <w:t>承诺于报修开始算起60分钟内恢复业务的得3分。</w:t>
            </w:r>
          </w:p>
        </w:tc>
        <w:tc>
          <w:tcPr>
            <w:tcW w:w="92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asciiTheme="minorEastAsia" w:hAnsiTheme="minorEastAsia" w:eastAsiaTheme="minorEastAsia"/>
                <w:sz w:val="24"/>
              </w:rPr>
              <w:t>0-10</w:t>
            </w:r>
            <w:r>
              <w:rPr>
                <w:rFonts w:hint="eastAsia" w:asciiTheme="minorEastAsia" w:hAnsiTheme="minorEastAsia" w:eastAsiaTheme="minorEastAsia"/>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8" w:type="pct"/>
            <w:vMerge w:val="continue"/>
            <w:tcBorders>
              <w:left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p>
        </w:tc>
        <w:tc>
          <w:tcPr>
            <w:tcW w:w="10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heme="minorEastAsia" w:hAnsiTheme="minorEastAsia" w:eastAsiaTheme="minorEastAsia"/>
                <w:b/>
                <w:bCs/>
                <w:sz w:val="24"/>
              </w:rPr>
            </w:pPr>
            <w:r>
              <w:rPr>
                <w:rFonts w:hint="eastAsia" w:cs="宋体"/>
                <w:sz w:val="24"/>
                <w:szCs w:val="24"/>
              </w:rPr>
              <w:t>客户管理系统接口维护能力</w:t>
            </w:r>
          </w:p>
        </w:tc>
        <w:tc>
          <w:tcPr>
            <w:tcW w:w="2197" w:type="pct"/>
            <w:tcBorders>
              <w:top w:val="single" w:color="auto" w:sz="4" w:space="0"/>
              <w:left w:val="single" w:color="auto" w:sz="4" w:space="0"/>
              <w:bottom w:val="single" w:color="auto" w:sz="4" w:space="0"/>
              <w:right w:val="single" w:color="auto" w:sz="4" w:space="0"/>
            </w:tcBorders>
            <w:vAlign w:val="center"/>
          </w:tcPr>
          <w:p>
            <w:pPr>
              <w:spacing w:line="360" w:lineRule="auto"/>
              <w:rPr>
                <w:rFonts w:cs="宋体"/>
                <w:sz w:val="24"/>
                <w:szCs w:val="24"/>
              </w:rPr>
            </w:pPr>
            <w:r>
              <w:rPr>
                <w:rFonts w:hint="eastAsia" w:cs="宋体"/>
                <w:sz w:val="24"/>
                <w:szCs w:val="24"/>
              </w:rPr>
              <w:t>投标人具有与本次招标内容类似的</w:t>
            </w:r>
            <w:r>
              <w:rPr>
                <w:rFonts w:cs="宋体"/>
                <w:sz w:val="24"/>
                <w:szCs w:val="24"/>
              </w:rPr>
              <w:t>与多系统对接</w:t>
            </w:r>
            <w:r>
              <w:rPr>
                <w:rFonts w:hint="eastAsia" w:cs="宋体"/>
                <w:sz w:val="24"/>
                <w:szCs w:val="24"/>
                <w:lang w:eastAsia="zh-CN"/>
              </w:rPr>
              <w:t>、</w:t>
            </w:r>
            <w:r>
              <w:rPr>
                <w:rFonts w:cs="宋体"/>
                <w:sz w:val="24"/>
                <w:szCs w:val="24"/>
              </w:rPr>
              <w:t>实现业务互通</w:t>
            </w:r>
            <w:r>
              <w:rPr>
                <w:rFonts w:hint="eastAsia" w:cs="宋体"/>
                <w:sz w:val="24"/>
                <w:szCs w:val="24"/>
              </w:rPr>
              <w:t>的客户管理系统接口维护经历得10分。</w:t>
            </w:r>
          </w:p>
          <w:p>
            <w:pPr>
              <w:spacing w:line="360" w:lineRule="auto"/>
              <w:rPr>
                <w:rFonts w:asciiTheme="minorEastAsia" w:hAnsiTheme="minorEastAsia" w:eastAsiaTheme="minorEastAsia"/>
                <w:b/>
                <w:bCs/>
                <w:sz w:val="24"/>
              </w:rPr>
            </w:pPr>
            <w:r>
              <w:rPr>
                <w:rFonts w:hint="eastAsia" w:cs="宋体"/>
                <w:sz w:val="24"/>
                <w:szCs w:val="24"/>
              </w:rPr>
              <w:t>注：投标文件中提供接口验收报告并附接口文档（验收报告及接口文档须具有项目甲方公章）。</w:t>
            </w:r>
          </w:p>
        </w:tc>
        <w:tc>
          <w:tcPr>
            <w:tcW w:w="92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8" w:type="pct"/>
            <w:vMerge w:val="continue"/>
            <w:tcBorders>
              <w:left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p>
        </w:tc>
        <w:tc>
          <w:tcPr>
            <w:tcW w:w="10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heme="minorEastAsia" w:hAnsiTheme="minorEastAsia" w:eastAsiaTheme="minorEastAsia"/>
                <w:b/>
                <w:bCs/>
                <w:sz w:val="24"/>
              </w:rPr>
            </w:pPr>
            <w:r>
              <w:rPr>
                <w:rFonts w:hint="eastAsia" w:asciiTheme="minorEastAsia" w:hAnsiTheme="minorEastAsia" w:eastAsiaTheme="minorEastAsia"/>
                <w:sz w:val="24"/>
                <w:szCs w:val="24"/>
              </w:rPr>
              <w:t>商业信息管理系统接口维护能力</w:t>
            </w:r>
          </w:p>
        </w:tc>
        <w:tc>
          <w:tcPr>
            <w:tcW w:w="2197" w:type="pct"/>
            <w:tcBorders>
              <w:top w:val="single" w:color="auto" w:sz="4" w:space="0"/>
              <w:left w:val="single" w:color="auto" w:sz="4" w:space="0"/>
              <w:bottom w:val="single" w:color="auto" w:sz="4" w:space="0"/>
              <w:right w:val="single" w:color="auto" w:sz="4" w:space="0"/>
            </w:tcBorders>
            <w:vAlign w:val="center"/>
          </w:tcPr>
          <w:p>
            <w:pPr>
              <w:spacing w:line="360" w:lineRule="auto"/>
              <w:rPr>
                <w:rFonts w:cs="宋体"/>
                <w:sz w:val="24"/>
                <w:szCs w:val="24"/>
              </w:rPr>
            </w:pPr>
            <w:r>
              <w:rPr>
                <w:rFonts w:hint="eastAsia" w:cs="宋体"/>
                <w:sz w:val="24"/>
                <w:szCs w:val="24"/>
              </w:rPr>
              <w:t>投标人具有与本次招标内容类似的</w:t>
            </w:r>
            <w:r>
              <w:rPr>
                <w:rFonts w:cs="宋体"/>
                <w:sz w:val="24"/>
                <w:szCs w:val="24"/>
              </w:rPr>
              <w:t>与多系统对接</w:t>
            </w:r>
            <w:r>
              <w:rPr>
                <w:rFonts w:hint="eastAsia" w:cs="宋体"/>
                <w:sz w:val="24"/>
                <w:szCs w:val="24"/>
                <w:lang w:eastAsia="zh-CN"/>
              </w:rPr>
              <w:t>、</w:t>
            </w:r>
            <w:r>
              <w:rPr>
                <w:rFonts w:cs="宋体"/>
                <w:sz w:val="24"/>
                <w:szCs w:val="24"/>
              </w:rPr>
              <w:t>实现业务互通</w:t>
            </w:r>
            <w:r>
              <w:rPr>
                <w:rFonts w:hint="eastAsia" w:cs="宋体"/>
                <w:sz w:val="24"/>
                <w:szCs w:val="24"/>
              </w:rPr>
              <w:t>的商业管理系统接口维护经历得10分。</w:t>
            </w:r>
          </w:p>
          <w:p>
            <w:pPr>
              <w:spacing w:line="360" w:lineRule="auto"/>
              <w:rPr>
                <w:rFonts w:asciiTheme="minorEastAsia" w:hAnsiTheme="minorEastAsia"/>
                <w:b/>
                <w:bCs/>
                <w:sz w:val="24"/>
              </w:rPr>
            </w:pPr>
            <w:r>
              <w:rPr>
                <w:rFonts w:hint="eastAsia" w:cs="宋体"/>
                <w:sz w:val="24"/>
                <w:szCs w:val="24"/>
              </w:rPr>
              <w:t>注：投标文件中提供接口验收报告并附接口文档（验收报告及接口文档须具有项目甲方公章）。</w:t>
            </w:r>
          </w:p>
        </w:tc>
        <w:tc>
          <w:tcPr>
            <w:tcW w:w="92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8" w:type="pct"/>
            <w:vMerge w:val="continue"/>
            <w:tcBorders>
              <w:left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p>
        </w:tc>
        <w:tc>
          <w:tcPr>
            <w:tcW w:w="100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asciiTheme="minorEastAsia" w:hAnsiTheme="minorEastAsia" w:eastAsiaTheme="minorEastAsia"/>
                <w:sz w:val="24"/>
              </w:rPr>
              <w:t>应急预案</w:t>
            </w:r>
          </w:p>
        </w:tc>
        <w:tc>
          <w:tcPr>
            <w:tcW w:w="2197"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sz w:val="24"/>
                <w:szCs w:val="24"/>
              </w:rPr>
            </w:pPr>
            <w:r>
              <w:rPr>
                <w:rFonts w:hint="eastAsia" w:cs="宋体"/>
                <w:sz w:val="24"/>
                <w:szCs w:val="24"/>
              </w:rPr>
              <w:t>评委依据投标人提供的应急预案进行综合评审，包括应急预案的合理性、针对性、可行性等。</w:t>
            </w:r>
          </w:p>
          <w:p>
            <w:pPr>
              <w:spacing w:line="360" w:lineRule="auto"/>
              <w:jc w:val="left"/>
              <w:rPr>
                <w:rFonts w:cs="宋体"/>
                <w:sz w:val="24"/>
                <w:szCs w:val="24"/>
              </w:rPr>
            </w:pPr>
            <w:r>
              <w:rPr>
                <w:rFonts w:hint="eastAsia" w:cs="宋体"/>
                <w:sz w:val="24"/>
                <w:szCs w:val="24"/>
              </w:rPr>
              <w:t>优秀的得6＜F≤10分；</w:t>
            </w:r>
          </w:p>
          <w:p>
            <w:pPr>
              <w:spacing w:line="360" w:lineRule="auto"/>
              <w:jc w:val="left"/>
              <w:rPr>
                <w:rFonts w:cs="宋体"/>
                <w:sz w:val="24"/>
                <w:szCs w:val="24"/>
              </w:rPr>
            </w:pPr>
            <w:r>
              <w:rPr>
                <w:rFonts w:hint="eastAsia" w:cs="宋体"/>
                <w:sz w:val="24"/>
                <w:szCs w:val="24"/>
              </w:rPr>
              <w:t>良好的得3＜F≤6分；</w:t>
            </w:r>
          </w:p>
          <w:p>
            <w:pPr>
              <w:spacing w:line="360" w:lineRule="auto"/>
              <w:jc w:val="left"/>
              <w:rPr>
                <w:rFonts w:cs="宋体"/>
                <w:sz w:val="24"/>
                <w:szCs w:val="24"/>
              </w:rPr>
            </w:pPr>
            <w:r>
              <w:rPr>
                <w:rFonts w:hint="eastAsia" w:cs="宋体"/>
                <w:sz w:val="24"/>
                <w:szCs w:val="24"/>
              </w:rPr>
              <w:t>一般的得1≤F≤3分；</w:t>
            </w:r>
          </w:p>
          <w:p>
            <w:pPr>
              <w:spacing w:line="360" w:lineRule="auto"/>
              <w:jc w:val="left"/>
              <w:rPr>
                <w:rFonts w:asciiTheme="minorEastAsia" w:hAnsiTheme="minorEastAsia"/>
                <w:b/>
                <w:bCs/>
                <w:sz w:val="24"/>
              </w:rPr>
            </w:pPr>
            <w:r>
              <w:rPr>
                <w:rFonts w:hint="eastAsia" w:cs="宋体"/>
                <w:sz w:val="24"/>
                <w:szCs w:val="24"/>
              </w:rPr>
              <w:t>未提供的不得分。</w:t>
            </w:r>
          </w:p>
        </w:tc>
        <w:tc>
          <w:tcPr>
            <w:tcW w:w="92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asciiTheme="minorEastAsia" w:hAnsiTheme="minorEastAsia" w:eastAsiaTheme="minorEastAsia"/>
                <w:sz w:val="24"/>
              </w:rPr>
              <w:t>0-10</w:t>
            </w:r>
            <w:r>
              <w:rPr>
                <w:rFonts w:hint="eastAsia" w:asciiTheme="minorEastAsia" w:hAnsiTheme="minorEastAsia" w:eastAsiaTheme="minorEastAsia"/>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8" w:type="pct"/>
            <w:vMerge w:val="continue"/>
            <w:tcBorders>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p>
        </w:tc>
        <w:tc>
          <w:tcPr>
            <w:tcW w:w="10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heme="minorEastAsia" w:hAnsiTheme="minorEastAsia" w:eastAsiaTheme="minorEastAsia"/>
                <w:b/>
                <w:bCs/>
                <w:sz w:val="24"/>
              </w:rPr>
            </w:pPr>
            <w:r>
              <w:rPr>
                <w:rFonts w:hint="eastAsia" w:hAnsi="Times New Roman" w:cs="宋体"/>
                <w:sz w:val="24"/>
                <w:szCs w:val="24"/>
              </w:rPr>
              <w:t>售后服务方案</w:t>
            </w:r>
          </w:p>
        </w:tc>
        <w:tc>
          <w:tcPr>
            <w:tcW w:w="2197"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sz w:val="24"/>
                <w:szCs w:val="24"/>
              </w:rPr>
            </w:pPr>
            <w:r>
              <w:rPr>
                <w:rFonts w:hint="eastAsia" w:cs="宋体"/>
                <w:sz w:val="24"/>
                <w:szCs w:val="24"/>
              </w:rPr>
              <w:t>评委根据投标人提供的详尽可行的售后服务方案，包括服务团队及服务人员的技术能力、服务时间、服务地点、服务内容、响应时间、保障措施等，进行综合打分：</w:t>
            </w:r>
          </w:p>
          <w:p>
            <w:pPr>
              <w:spacing w:line="360" w:lineRule="auto"/>
              <w:jc w:val="left"/>
              <w:rPr>
                <w:rFonts w:cs="宋体"/>
                <w:sz w:val="24"/>
                <w:szCs w:val="24"/>
              </w:rPr>
            </w:pPr>
            <w:r>
              <w:rPr>
                <w:rFonts w:hint="eastAsia" w:cs="宋体"/>
                <w:sz w:val="24"/>
                <w:szCs w:val="24"/>
              </w:rPr>
              <w:t>优秀的得6＜F≤10分；</w:t>
            </w:r>
          </w:p>
          <w:p>
            <w:pPr>
              <w:spacing w:line="360" w:lineRule="auto"/>
              <w:jc w:val="left"/>
              <w:rPr>
                <w:rFonts w:cs="宋体"/>
                <w:sz w:val="24"/>
                <w:szCs w:val="24"/>
              </w:rPr>
            </w:pPr>
            <w:r>
              <w:rPr>
                <w:rFonts w:hint="eastAsia" w:cs="宋体"/>
                <w:sz w:val="24"/>
                <w:szCs w:val="24"/>
              </w:rPr>
              <w:t>良好的得3＜F≤6分；</w:t>
            </w:r>
          </w:p>
          <w:p>
            <w:pPr>
              <w:spacing w:line="360" w:lineRule="auto"/>
              <w:jc w:val="left"/>
              <w:rPr>
                <w:rFonts w:cs="宋体"/>
                <w:sz w:val="24"/>
                <w:szCs w:val="24"/>
              </w:rPr>
            </w:pPr>
            <w:r>
              <w:rPr>
                <w:rFonts w:hint="eastAsia" w:cs="宋体"/>
                <w:sz w:val="24"/>
                <w:szCs w:val="24"/>
              </w:rPr>
              <w:t>一般的得1≤F≤3分；</w:t>
            </w:r>
          </w:p>
          <w:p>
            <w:pPr>
              <w:spacing w:line="360" w:lineRule="auto"/>
              <w:jc w:val="left"/>
              <w:rPr>
                <w:rFonts w:asciiTheme="minorEastAsia" w:hAnsiTheme="minorEastAsia"/>
                <w:b/>
                <w:bCs/>
                <w:sz w:val="24"/>
              </w:rPr>
            </w:pPr>
            <w:r>
              <w:rPr>
                <w:rFonts w:hint="eastAsia" w:cs="宋体"/>
                <w:sz w:val="24"/>
                <w:szCs w:val="24"/>
              </w:rPr>
              <w:t>未提供的不得分。</w:t>
            </w:r>
          </w:p>
        </w:tc>
        <w:tc>
          <w:tcPr>
            <w:tcW w:w="92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8" w:type="pct"/>
            <w:vMerge w:val="restart"/>
            <w:tcBorders>
              <w:top w:val="single" w:color="auto" w:sz="4" w:space="0"/>
              <w:left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投标报价评分标准</w:t>
            </w:r>
          </w:p>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rPr>
              <w:t>（26分）</w:t>
            </w:r>
          </w:p>
        </w:tc>
        <w:tc>
          <w:tcPr>
            <w:tcW w:w="10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b/>
                <w:bCs/>
                <w:sz w:val="24"/>
              </w:rPr>
            </w:pPr>
            <w:r>
              <w:rPr>
                <w:rFonts w:hint="eastAsia"/>
                <w:sz w:val="24"/>
                <w:szCs w:val="24"/>
              </w:rPr>
              <w:t>报价得分</w:t>
            </w:r>
          </w:p>
        </w:tc>
        <w:tc>
          <w:tcPr>
            <w:tcW w:w="2197"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sz w:val="24"/>
                <w:szCs w:val="24"/>
              </w:rPr>
            </w:pPr>
            <w:r>
              <w:rPr>
                <w:rFonts w:hint="eastAsia" w:cs="宋体"/>
                <w:sz w:val="24"/>
                <w:szCs w:val="24"/>
              </w:rPr>
              <w:t>1.确定评标价</w:t>
            </w:r>
          </w:p>
          <w:p>
            <w:pPr>
              <w:spacing w:line="360" w:lineRule="auto"/>
              <w:jc w:val="left"/>
              <w:rPr>
                <w:rFonts w:cs="宋体"/>
                <w:sz w:val="24"/>
                <w:szCs w:val="24"/>
              </w:rPr>
            </w:pPr>
            <w:r>
              <w:rPr>
                <w:rFonts w:hint="eastAsia" w:cs="宋体"/>
                <w:sz w:val="24"/>
                <w:szCs w:val="24"/>
              </w:rPr>
              <w:t>评标价=最终投标报价</w:t>
            </w:r>
          </w:p>
          <w:p>
            <w:pPr>
              <w:spacing w:line="360" w:lineRule="auto"/>
              <w:jc w:val="left"/>
              <w:rPr>
                <w:rFonts w:cs="宋体"/>
                <w:sz w:val="24"/>
                <w:szCs w:val="24"/>
              </w:rPr>
            </w:pPr>
            <w:r>
              <w:rPr>
                <w:rFonts w:hint="eastAsia" w:cs="宋体"/>
                <w:sz w:val="24"/>
                <w:szCs w:val="24"/>
              </w:rPr>
              <w:t>2.确定评标基准价</w:t>
            </w:r>
          </w:p>
          <w:p>
            <w:pPr>
              <w:spacing w:line="360" w:lineRule="auto"/>
              <w:jc w:val="left"/>
              <w:rPr>
                <w:rFonts w:cs="宋体"/>
                <w:sz w:val="24"/>
                <w:szCs w:val="24"/>
              </w:rPr>
            </w:pPr>
            <w:r>
              <w:rPr>
                <w:rFonts w:hint="eastAsia" w:cs="宋体"/>
                <w:sz w:val="24"/>
                <w:szCs w:val="24"/>
              </w:rPr>
              <w:t>以通过初审的投标文件的最低评标价作为评标基准价</w:t>
            </w:r>
          </w:p>
          <w:p>
            <w:pPr>
              <w:spacing w:line="360" w:lineRule="auto"/>
              <w:jc w:val="left"/>
              <w:rPr>
                <w:rFonts w:cs="宋体"/>
                <w:sz w:val="24"/>
                <w:szCs w:val="24"/>
              </w:rPr>
            </w:pPr>
            <w:r>
              <w:rPr>
                <w:rFonts w:hint="eastAsia" w:cs="宋体"/>
                <w:sz w:val="24"/>
                <w:szCs w:val="24"/>
              </w:rPr>
              <w:t>3.评标价得分计算</w:t>
            </w:r>
          </w:p>
          <w:p>
            <w:pPr>
              <w:spacing w:line="360" w:lineRule="auto"/>
              <w:jc w:val="left"/>
              <w:rPr>
                <w:rFonts w:cs="宋体"/>
                <w:sz w:val="24"/>
                <w:szCs w:val="24"/>
              </w:rPr>
            </w:pPr>
            <w:r>
              <w:rPr>
                <w:rFonts w:hint="eastAsia" w:cs="宋体"/>
                <w:sz w:val="24"/>
                <w:szCs w:val="24"/>
              </w:rPr>
              <w:t>评标价得分按照下列公式计算：</w:t>
            </w:r>
          </w:p>
          <w:p>
            <w:pPr>
              <w:spacing w:line="360" w:lineRule="auto"/>
              <w:jc w:val="left"/>
              <w:rPr>
                <w:rFonts w:asciiTheme="minorEastAsia" w:hAnsiTheme="minorEastAsia" w:eastAsiaTheme="minorEastAsia"/>
                <w:b/>
                <w:bCs/>
                <w:sz w:val="24"/>
              </w:rPr>
            </w:pPr>
            <w:r>
              <w:rPr>
                <w:rFonts w:hint="eastAsia" w:cs="宋体"/>
                <w:sz w:val="24"/>
                <w:szCs w:val="24"/>
              </w:rPr>
              <w:t>评标价得分＝（评标基准价/评标价）*20。</w:t>
            </w:r>
          </w:p>
        </w:tc>
        <w:tc>
          <w:tcPr>
            <w:tcW w:w="92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b/>
                <w:bCs/>
                <w:sz w:val="24"/>
              </w:rPr>
            </w:pPr>
            <w:r>
              <w:rPr>
                <w:rFonts w:hint="eastAsia"/>
                <w:sz w:val="24"/>
                <w:szCs w:val="24"/>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8" w:type="pct"/>
            <w:vMerge w:val="continue"/>
            <w:tcBorders>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p>
        </w:tc>
        <w:tc>
          <w:tcPr>
            <w:tcW w:w="10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b/>
                <w:bCs/>
                <w:sz w:val="24"/>
              </w:rPr>
            </w:pPr>
            <w:r>
              <w:rPr>
                <w:rFonts w:hint="eastAsia"/>
                <w:sz w:val="24"/>
                <w:szCs w:val="24"/>
              </w:rPr>
              <w:t>报价合理性得分</w:t>
            </w:r>
          </w:p>
        </w:tc>
        <w:tc>
          <w:tcPr>
            <w:tcW w:w="2197"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sz w:val="24"/>
                <w:szCs w:val="24"/>
              </w:rPr>
            </w:pPr>
            <w:r>
              <w:rPr>
                <w:rFonts w:hint="eastAsia" w:cs="宋体"/>
                <w:sz w:val="24"/>
                <w:szCs w:val="24"/>
              </w:rPr>
              <w:t>1.确定评标价平均值</w:t>
            </w:r>
          </w:p>
          <w:p>
            <w:pPr>
              <w:spacing w:line="360" w:lineRule="auto"/>
              <w:jc w:val="left"/>
              <w:rPr>
                <w:rFonts w:cs="宋体"/>
                <w:sz w:val="24"/>
                <w:szCs w:val="24"/>
              </w:rPr>
            </w:pPr>
            <w:r>
              <w:rPr>
                <w:rFonts w:hint="eastAsia" w:cs="宋体"/>
                <w:sz w:val="24"/>
                <w:szCs w:val="24"/>
              </w:rPr>
              <w:t>当有效投标人数量不少于5家时，则去掉一个最高价和一个最低价，取其他最终投标报价进行算术平均得出平均值；</w:t>
            </w:r>
          </w:p>
          <w:p>
            <w:pPr>
              <w:spacing w:line="360" w:lineRule="auto"/>
              <w:jc w:val="left"/>
              <w:rPr>
                <w:rFonts w:cs="宋体"/>
                <w:sz w:val="24"/>
                <w:szCs w:val="24"/>
              </w:rPr>
            </w:pPr>
            <w:r>
              <w:rPr>
                <w:rFonts w:hint="eastAsia" w:cs="宋体"/>
                <w:sz w:val="24"/>
                <w:szCs w:val="24"/>
              </w:rPr>
              <w:t>当有效投标人数量不足5家时，则直接取全部最终投标报价进行算术平均得出平均值。</w:t>
            </w:r>
          </w:p>
          <w:p>
            <w:pPr>
              <w:spacing w:line="360" w:lineRule="auto"/>
              <w:jc w:val="left"/>
              <w:rPr>
                <w:rFonts w:cs="宋体"/>
                <w:sz w:val="24"/>
                <w:szCs w:val="24"/>
              </w:rPr>
            </w:pPr>
            <w:r>
              <w:rPr>
                <w:rFonts w:hint="eastAsia" w:cs="宋体"/>
                <w:sz w:val="24"/>
                <w:szCs w:val="24"/>
              </w:rPr>
              <w:t>当投标人只有一家时则该投标人投标报价即为评标价平均值。</w:t>
            </w:r>
          </w:p>
          <w:p>
            <w:pPr>
              <w:spacing w:line="360" w:lineRule="auto"/>
              <w:jc w:val="left"/>
              <w:rPr>
                <w:rFonts w:cs="宋体"/>
                <w:sz w:val="24"/>
                <w:szCs w:val="24"/>
              </w:rPr>
            </w:pPr>
            <w:r>
              <w:rPr>
                <w:rFonts w:hint="eastAsia" w:cs="宋体"/>
                <w:sz w:val="24"/>
                <w:szCs w:val="24"/>
              </w:rPr>
              <w:t>2.确定评标基准价</w:t>
            </w:r>
          </w:p>
          <w:p>
            <w:pPr>
              <w:spacing w:line="360" w:lineRule="auto"/>
              <w:jc w:val="left"/>
              <w:rPr>
                <w:rFonts w:cs="宋体"/>
                <w:sz w:val="24"/>
                <w:szCs w:val="24"/>
              </w:rPr>
            </w:pPr>
            <w:r>
              <w:rPr>
                <w:rFonts w:hint="eastAsia" w:cs="宋体"/>
                <w:sz w:val="24"/>
                <w:szCs w:val="24"/>
              </w:rPr>
              <w:t>评标基准价=评标价平均值</w:t>
            </w:r>
          </w:p>
          <w:p>
            <w:pPr>
              <w:spacing w:line="360" w:lineRule="auto"/>
              <w:jc w:val="left"/>
              <w:rPr>
                <w:rFonts w:cs="宋体"/>
                <w:sz w:val="24"/>
                <w:szCs w:val="24"/>
              </w:rPr>
            </w:pPr>
            <w:r>
              <w:rPr>
                <w:rFonts w:hint="eastAsia" w:cs="宋体"/>
                <w:sz w:val="24"/>
                <w:szCs w:val="24"/>
              </w:rPr>
              <w:t>评标基准价除存在计算错误之外，不随任何因素发生变化。</w:t>
            </w:r>
          </w:p>
          <w:p>
            <w:pPr>
              <w:spacing w:line="360" w:lineRule="auto"/>
              <w:jc w:val="left"/>
              <w:rPr>
                <w:rFonts w:cs="宋体"/>
                <w:sz w:val="24"/>
                <w:szCs w:val="24"/>
              </w:rPr>
            </w:pPr>
            <w:r>
              <w:rPr>
                <w:rFonts w:hint="eastAsia" w:cs="宋体"/>
                <w:sz w:val="24"/>
                <w:szCs w:val="24"/>
              </w:rPr>
              <w:t>3.评标价的偏差率计算</w:t>
            </w:r>
          </w:p>
          <w:p>
            <w:pPr>
              <w:spacing w:line="360" w:lineRule="auto"/>
              <w:jc w:val="left"/>
              <w:rPr>
                <w:rFonts w:cs="宋体"/>
                <w:sz w:val="24"/>
                <w:szCs w:val="24"/>
              </w:rPr>
            </w:pPr>
            <w:r>
              <w:rPr>
                <w:rFonts w:hint="eastAsia" w:cs="宋体"/>
                <w:sz w:val="24"/>
                <w:szCs w:val="24"/>
              </w:rPr>
              <w:t>偏差率=100%×（投标人评标价-评标基准价）/评标基准价</w:t>
            </w:r>
          </w:p>
          <w:p>
            <w:pPr>
              <w:spacing w:line="360" w:lineRule="auto"/>
              <w:jc w:val="left"/>
              <w:rPr>
                <w:rFonts w:cs="宋体"/>
                <w:sz w:val="24"/>
                <w:szCs w:val="24"/>
              </w:rPr>
            </w:pPr>
            <w:r>
              <w:rPr>
                <w:rFonts w:hint="eastAsia" w:cs="宋体"/>
                <w:sz w:val="24"/>
                <w:szCs w:val="24"/>
              </w:rPr>
              <w:t>偏差率保留两位小数（小数点后第三位“四舍五入”），即为*.**%。</w:t>
            </w:r>
          </w:p>
          <w:p>
            <w:pPr>
              <w:spacing w:line="360" w:lineRule="auto"/>
              <w:jc w:val="left"/>
              <w:rPr>
                <w:rFonts w:cs="宋体"/>
                <w:sz w:val="24"/>
                <w:szCs w:val="24"/>
              </w:rPr>
            </w:pPr>
            <w:r>
              <w:rPr>
                <w:rFonts w:hint="eastAsia" w:cs="宋体"/>
                <w:sz w:val="24"/>
                <w:szCs w:val="24"/>
              </w:rPr>
              <w:t>4.报价合理性得分计算</w:t>
            </w:r>
          </w:p>
          <w:p>
            <w:pPr>
              <w:spacing w:line="360" w:lineRule="auto"/>
              <w:jc w:val="left"/>
              <w:rPr>
                <w:rFonts w:cs="宋体"/>
                <w:sz w:val="24"/>
                <w:szCs w:val="24"/>
              </w:rPr>
            </w:pPr>
            <w:r>
              <w:rPr>
                <w:rFonts w:hint="eastAsia" w:cs="宋体"/>
                <w:sz w:val="24"/>
                <w:szCs w:val="24"/>
              </w:rPr>
              <w:t>a.当投标人评标价＞评标基准价，评标价得分=6-偏差率*100*0.4</w:t>
            </w:r>
          </w:p>
          <w:p>
            <w:pPr>
              <w:spacing w:line="360" w:lineRule="auto"/>
              <w:jc w:val="left"/>
              <w:rPr>
                <w:rFonts w:cs="宋体"/>
                <w:sz w:val="24"/>
                <w:szCs w:val="24"/>
              </w:rPr>
            </w:pPr>
            <w:r>
              <w:rPr>
                <w:rFonts w:hint="eastAsia" w:cs="宋体"/>
                <w:sz w:val="24"/>
                <w:szCs w:val="24"/>
              </w:rPr>
              <w:t>b.当投标人评标价≤评标基准价，评标价得分=6+偏差率*100*0.3</w:t>
            </w:r>
          </w:p>
          <w:p>
            <w:pPr>
              <w:spacing w:line="360" w:lineRule="auto"/>
              <w:jc w:val="left"/>
              <w:rPr>
                <w:rFonts w:asciiTheme="minorEastAsia" w:hAnsiTheme="minorEastAsia" w:eastAsiaTheme="minorEastAsia"/>
                <w:b/>
                <w:bCs/>
                <w:sz w:val="24"/>
              </w:rPr>
            </w:pPr>
            <w:r>
              <w:rPr>
                <w:rFonts w:hint="eastAsia" w:cs="宋体"/>
                <w:sz w:val="24"/>
                <w:szCs w:val="24"/>
              </w:rPr>
              <w:t>当评标价得分为负时，均按0分计算。</w:t>
            </w:r>
          </w:p>
        </w:tc>
        <w:tc>
          <w:tcPr>
            <w:tcW w:w="92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b/>
                <w:bCs/>
                <w:sz w:val="24"/>
              </w:rPr>
            </w:pPr>
            <w:r>
              <w:rPr>
                <w:rFonts w:hint="eastAsia"/>
                <w:sz w:val="24"/>
                <w:szCs w:val="24"/>
              </w:rPr>
              <w:t>0-6分</w:t>
            </w:r>
          </w:p>
        </w:tc>
      </w:tr>
    </w:tbl>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分值汇总</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评审小组</w:t>
      </w:r>
      <w:r>
        <w:rPr>
          <w:rFonts w:asciiTheme="minorEastAsia" w:hAnsiTheme="minorEastAsia" w:eastAsiaTheme="minorEastAsia"/>
          <w:sz w:val="24"/>
        </w:rPr>
        <w:t>各成员应当独立对每个有效响应的文件进行评价、打分，然后汇总每个</w:t>
      </w:r>
      <w:r>
        <w:rPr>
          <w:rFonts w:hint="eastAsia" w:asciiTheme="minorEastAsia" w:hAnsiTheme="minorEastAsia" w:eastAsiaTheme="minorEastAsia"/>
          <w:sz w:val="24"/>
        </w:rPr>
        <w:t>投标人</w:t>
      </w:r>
      <w:r>
        <w:rPr>
          <w:rFonts w:asciiTheme="minorEastAsia" w:hAnsiTheme="minorEastAsia" w:eastAsiaTheme="minorEastAsia"/>
          <w:sz w:val="24"/>
        </w:rPr>
        <w:t>每项评分因素的得分，再取各位评委评分之平均值，四舍五入保留至小数点后两位数，得到该</w:t>
      </w:r>
      <w:r>
        <w:rPr>
          <w:rFonts w:hint="eastAsia" w:asciiTheme="minorEastAsia" w:hAnsiTheme="minorEastAsia" w:eastAsiaTheme="minorEastAsia"/>
          <w:sz w:val="24"/>
        </w:rPr>
        <w:t>投标人</w:t>
      </w:r>
      <w:r>
        <w:rPr>
          <w:rFonts w:asciiTheme="minorEastAsia" w:hAnsiTheme="minorEastAsia" w:eastAsiaTheme="minorEastAsia"/>
          <w:sz w:val="24"/>
        </w:rPr>
        <w:t>的技术资信分。</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2）将每个</w:t>
      </w:r>
      <w:r>
        <w:rPr>
          <w:rFonts w:hint="eastAsia" w:asciiTheme="minorEastAsia" w:hAnsiTheme="minorEastAsia" w:eastAsiaTheme="minorEastAsia"/>
          <w:sz w:val="24"/>
        </w:rPr>
        <w:t>投标人</w:t>
      </w:r>
      <w:r>
        <w:rPr>
          <w:rFonts w:asciiTheme="minorEastAsia" w:hAnsiTheme="minorEastAsia" w:eastAsiaTheme="minorEastAsia"/>
          <w:sz w:val="24"/>
        </w:rPr>
        <w:t>的技术资信分加上根据上述标准计算出的价格分，即为该</w:t>
      </w:r>
      <w:r>
        <w:rPr>
          <w:rFonts w:hint="eastAsia" w:asciiTheme="minorEastAsia" w:hAnsiTheme="minorEastAsia" w:eastAsiaTheme="minorEastAsia"/>
          <w:sz w:val="24"/>
        </w:rPr>
        <w:t>投标人</w:t>
      </w:r>
      <w:r>
        <w:rPr>
          <w:rFonts w:asciiTheme="minorEastAsia" w:hAnsiTheme="minorEastAsia" w:eastAsiaTheme="minorEastAsia"/>
          <w:sz w:val="24"/>
        </w:rPr>
        <w:t>的综合总得分。</w:t>
      </w:r>
    </w:p>
    <w:p>
      <w:pPr>
        <w:spacing w:line="360" w:lineRule="auto"/>
        <w:ind w:firstLine="482"/>
        <w:outlineLvl w:val="2"/>
        <w:rPr>
          <w:rFonts w:asciiTheme="minorEastAsia" w:hAnsiTheme="minorEastAsia" w:eastAsiaTheme="minorEastAsia"/>
          <w:b/>
          <w:sz w:val="24"/>
        </w:rPr>
      </w:pPr>
      <w:r>
        <w:rPr>
          <w:rFonts w:hint="eastAsia" w:asciiTheme="minorEastAsia" w:hAnsiTheme="minorEastAsia" w:eastAsiaTheme="minorEastAsia"/>
          <w:b/>
          <w:sz w:val="24"/>
        </w:rPr>
        <w:t>三、评审程序</w:t>
      </w:r>
    </w:p>
    <w:p>
      <w:pPr>
        <w:spacing w:line="360" w:lineRule="auto"/>
        <w:ind w:firstLine="480"/>
        <w:rPr>
          <w:rFonts w:asciiTheme="minorEastAsia" w:hAnsiTheme="minorEastAsia" w:eastAsiaTheme="minorEastAsia"/>
          <w:bCs/>
          <w:sz w:val="24"/>
        </w:rPr>
      </w:pPr>
      <w:r>
        <w:rPr>
          <w:rFonts w:hint="eastAsia" w:asciiTheme="minorEastAsia" w:hAnsiTheme="minorEastAsia" w:eastAsiaTheme="minorEastAsia"/>
          <w:bCs/>
          <w:sz w:val="24"/>
        </w:rPr>
        <w:t>1.初审。评审小组对成功解密的投标文件按照初审表进行评审，投标人未实质性响应磋商文件要求导致投标无效的，评审小组将以询标的方式告知有关投标人。</w:t>
      </w:r>
    </w:p>
    <w:p>
      <w:pPr>
        <w:spacing w:line="360" w:lineRule="auto"/>
        <w:ind w:firstLine="480"/>
        <w:rPr>
          <w:rFonts w:asciiTheme="minorEastAsia" w:hAnsiTheme="minorEastAsia" w:eastAsiaTheme="minorEastAsia"/>
          <w:bCs/>
          <w:sz w:val="24"/>
        </w:rPr>
      </w:pPr>
      <w:r>
        <w:rPr>
          <w:rFonts w:hint="eastAsia" w:asciiTheme="minorEastAsia" w:hAnsiTheme="minorEastAsia" w:eastAsiaTheme="minorEastAsia"/>
          <w:bCs/>
          <w:sz w:val="24"/>
        </w:rPr>
        <w:t>2.磋商。初审合格后，本项目磋商条件如有变化，评审小组对初审合格的投标人进行磋商；本项目磋商条件如无变化，直接进入报价环节。</w:t>
      </w:r>
    </w:p>
    <w:p>
      <w:pPr>
        <w:spacing w:line="360" w:lineRule="auto"/>
        <w:ind w:firstLine="480"/>
        <w:rPr>
          <w:rFonts w:asciiTheme="minorEastAsia" w:hAnsiTheme="minorEastAsia" w:eastAsiaTheme="minorEastAsia"/>
          <w:bCs/>
          <w:sz w:val="24"/>
        </w:rPr>
      </w:pPr>
      <w:r>
        <w:rPr>
          <w:rFonts w:hint="eastAsia" w:asciiTheme="minorEastAsia" w:hAnsiTheme="minorEastAsia" w:eastAsiaTheme="minorEastAsia"/>
          <w:bCs/>
          <w:sz w:val="24"/>
        </w:rPr>
        <w:t>3.</w:t>
      </w:r>
      <w:r>
        <w:rPr>
          <w:rFonts w:asciiTheme="minorEastAsia" w:hAnsiTheme="minorEastAsia" w:eastAsiaTheme="minorEastAsia"/>
          <w:bCs/>
          <w:sz w:val="24"/>
        </w:rPr>
        <w:t>报价</w:t>
      </w:r>
      <w:r>
        <w:rPr>
          <w:rFonts w:hint="eastAsia" w:asciiTheme="minorEastAsia" w:hAnsiTheme="minorEastAsia" w:eastAsiaTheme="minorEastAsia"/>
          <w:bCs/>
          <w:sz w:val="24"/>
        </w:rPr>
        <w:t>。</w:t>
      </w:r>
      <w:r>
        <w:rPr>
          <w:rFonts w:asciiTheme="minorEastAsia" w:hAnsiTheme="minorEastAsia" w:eastAsiaTheme="minorEastAsia"/>
          <w:bCs/>
          <w:sz w:val="24"/>
        </w:rPr>
        <w:t>磋商结束后，</w:t>
      </w:r>
      <w:r>
        <w:rPr>
          <w:rFonts w:hint="eastAsia" w:asciiTheme="minorEastAsia" w:hAnsiTheme="minorEastAsia" w:eastAsiaTheme="minorEastAsia"/>
          <w:bCs/>
          <w:sz w:val="24"/>
        </w:rPr>
        <w:t>评审小组</w:t>
      </w:r>
      <w:r>
        <w:rPr>
          <w:rFonts w:asciiTheme="minorEastAsia" w:hAnsiTheme="minorEastAsia" w:eastAsiaTheme="minorEastAsia"/>
          <w:bCs/>
          <w:sz w:val="24"/>
        </w:rPr>
        <w:t>应当要求所有</w:t>
      </w:r>
      <w:r>
        <w:rPr>
          <w:rFonts w:hint="eastAsia" w:asciiTheme="minorEastAsia" w:hAnsiTheme="minorEastAsia" w:eastAsiaTheme="minorEastAsia"/>
          <w:bCs/>
          <w:sz w:val="24"/>
        </w:rPr>
        <w:t>实质性响应</w:t>
      </w:r>
      <w:r>
        <w:rPr>
          <w:rFonts w:asciiTheme="minorEastAsia" w:hAnsiTheme="minorEastAsia" w:eastAsiaTheme="minorEastAsia"/>
          <w:bCs/>
          <w:sz w:val="24"/>
        </w:rPr>
        <w:t>的</w:t>
      </w:r>
      <w:r>
        <w:rPr>
          <w:rFonts w:hint="eastAsia" w:asciiTheme="minorEastAsia" w:hAnsiTheme="minorEastAsia" w:eastAsiaTheme="minorEastAsia"/>
          <w:bCs/>
          <w:sz w:val="24"/>
        </w:rPr>
        <w:t>投标人</w:t>
      </w:r>
      <w:r>
        <w:rPr>
          <w:rFonts w:asciiTheme="minorEastAsia" w:hAnsiTheme="minorEastAsia" w:eastAsiaTheme="minorEastAsia"/>
          <w:bCs/>
          <w:sz w:val="24"/>
        </w:rPr>
        <w:t>在规定时间内提交</w:t>
      </w:r>
      <w:r>
        <w:rPr>
          <w:rFonts w:hint="eastAsia" w:asciiTheme="minorEastAsia" w:hAnsiTheme="minorEastAsia" w:eastAsiaTheme="minorEastAsia"/>
          <w:bCs/>
          <w:sz w:val="24"/>
        </w:rPr>
        <w:t>最终投标报价</w:t>
      </w:r>
      <w:r>
        <w:rPr>
          <w:rFonts w:hint="eastAsia"/>
          <w:bCs/>
          <w:sz w:val="24"/>
        </w:rPr>
        <w:t>。如投标人未</w:t>
      </w:r>
      <w:r>
        <w:rPr>
          <w:rFonts w:asciiTheme="minorEastAsia" w:hAnsiTheme="minorEastAsia" w:eastAsiaTheme="minorEastAsia"/>
          <w:bCs/>
          <w:sz w:val="24"/>
        </w:rPr>
        <w:t>在规定时间内提交</w:t>
      </w:r>
      <w:r>
        <w:rPr>
          <w:rFonts w:hint="eastAsia" w:asciiTheme="minorEastAsia" w:hAnsiTheme="minorEastAsia" w:eastAsiaTheme="minorEastAsia"/>
          <w:bCs/>
          <w:sz w:val="24"/>
        </w:rPr>
        <w:t>对应轮次的报价，则按上一轮次报价为准。</w:t>
      </w:r>
    </w:p>
    <w:p>
      <w:pPr>
        <w:spacing w:line="360" w:lineRule="auto"/>
        <w:ind w:firstLine="480"/>
        <w:rPr>
          <w:rFonts w:asciiTheme="minorEastAsia" w:hAnsiTheme="minorEastAsia" w:eastAsiaTheme="minorEastAsia"/>
          <w:bCs/>
          <w:sz w:val="24"/>
        </w:rPr>
      </w:pPr>
      <w:r>
        <w:rPr>
          <w:rFonts w:hint="eastAsia" w:asciiTheme="minorEastAsia" w:hAnsiTheme="minorEastAsia" w:eastAsiaTheme="minorEastAsia"/>
          <w:bCs/>
          <w:sz w:val="24"/>
        </w:rPr>
        <w:t>4.综合评分。评审小组只对通过初审，实质上响应磋商文件要求的投标文件进行综合评分。经磋商确定最终招标需求和提交最终投标报价的投标人后，由评审小组采用综合评分法对初审通过的投标人的投标文件和最终投标报价进行综合评分。</w:t>
      </w:r>
    </w:p>
    <w:p>
      <w:pPr>
        <w:spacing w:line="360" w:lineRule="auto"/>
        <w:ind w:firstLine="480"/>
        <w:rPr>
          <w:rFonts w:asciiTheme="minorEastAsia" w:hAnsiTheme="minorEastAsia" w:eastAsiaTheme="minorEastAsia"/>
          <w:bCs/>
          <w:sz w:val="24"/>
        </w:rPr>
      </w:pPr>
      <w:r>
        <w:rPr>
          <w:rFonts w:hint="eastAsia" w:asciiTheme="minorEastAsia" w:hAnsiTheme="minorEastAsia" w:eastAsiaTheme="minorEastAsia"/>
          <w:bCs/>
          <w:sz w:val="24"/>
        </w:rPr>
        <w:t>四、相关说明。</w:t>
      </w:r>
    </w:p>
    <w:p>
      <w:pPr>
        <w:spacing w:line="360" w:lineRule="auto"/>
        <w:ind w:firstLine="480"/>
        <w:rPr>
          <w:rFonts w:asciiTheme="minorEastAsia" w:hAnsiTheme="minorEastAsia" w:eastAsiaTheme="minorEastAsia"/>
          <w:bCs/>
          <w:sz w:val="24"/>
        </w:rPr>
      </w:pPr>
      <w:r>
        <w:rPr>
          <w:rFonts w:hint="eastAsia" w:asciiTheme="minorEastAsia" w:hAnsiTheme="minorEastAsia" w:eastAsiaTheme="minorEastAsia"/>
          <w:bCs/>
          <w:sz w:val="24"/>
        </w:rPr>
        <w:t>1.评审小组</w:t>
      </w:r>
      <w:r>
        <w:rPr>
          <w:rFonts w:asciiTheme="minorEastAsia" w:hAnsiTheme="minorEastAsia" w:eastAsiaTheme="minorEastAsia"/>
          <w:bCs/>
          <w:sz w:val="24"/>
        </w:rPr>
        <w:t>根据与</w:t>
      </w:r>
      <w:r>
        <w:rPr>
          <w:rFonts w:hint="eastAsia" w:asciiTheme="minorEastAsia" w:hAnsiTheme="minorEastAsia" w:eastAsiaTheme="minorEastAsia"/>
          <w:bCs/>
          <w:sz w:val="24"/>
        </w:rPr>
        <w:t>投标人</w:t>
      </w:r>
      <w:r>
        <w:rPr>
          <w:rFonts w:asciiTheme="minorEastAsia" w:hAnsiTheme="minorEastAsia" w:eastAsiaTheme="minorEastAsia"/>
          <w:bCs/>
          <w:sz w:val="24"/>
        </w:rPr>
        <w:t>磋商情况可能实质性变动</w:t>
      </w:r>
      <w:r>
        <w:rPr>
          <w:rFonts w:hint="eastAsia" w:asciiTheme="minorEastAsia" w:hAnsiTheme="minorEastAsia" w:eastAsiaTheme="minorEastAsia"/>
          <w:bCs/>
          <w:sz w:val="24"/>
        </w:rPr>
        <w:t>磋商文件</w:t>
      </w:r>
      <w:r>
        <w:rPr>
          <w:rFonts w:asciiTheme="minorEastAsia" w:hAnsiTheme="minorEastAsia" w:eastAsiaTheme="minorEastAsia"/>
          <w:bCs/>
          <w:sz w:val="24"/>
        </w:rPr>
        <w:t>的内容，包括</w:t>
      </w:r>
      <w:r>
        <w:rPr>
          <w:rFonts w:hint="eastAsia" w:asciiTheme="minorEastAsia" w:hAnsiTheme="minorEastAsia" w:eastAsiaTheme="minorEastAsia"/>
          <w:bCs/>
          <w:sz w:val="24"/>
        </w:rPr>
        <w:t>招标需求</w:t>
      </w:r>
      <w:r>
        <w:rPr>
          <w:rFonts w:asciiTheme="minorEastAsia" w:hAnsiTheme="minorEastAsia" w:eastAsiaTheme="minorEastAsia"/>
          <w:bCs/>
          <w:sz w:val="24"/>
        </w:rPr>
        <w:t>中的技术、服务要求以及合同草案条款。磋商文件有实质性变动的，</w:t>
      </w:r>
      <w:r>
        <w:rPr>
          <w:rFonts w:hint="eastAsia" w:asciiTheme="minorEastAsia" w:hAnsiTheme="minorEastAsia" w:eastAsiaTheme="minorEastAsia"/>
          <w:bCs/>
          <w:sz w:val="24"/>
        </w:rPr>
        <w:t>经招标人代表确认作为磋商文件的有效组成部分，评审小组</w:t>
      </w:r>
      <w:r>
        <w:rPr>
          <w:rFonts w:asciiTheme="minorEastAsia" w:hAnsiTheme="minorEastAsia" w:eastAsiaTheme="minorEastAsia"/>
          <w:bCs/>
          <w:sz w:val="24"/>
        </w:rPr>
        <w:t>通知所有参加磋商的</w:t>
      </w:r>
      <w:r>
        <w:rPr>
          <w:rFonts w:hint="eastAsia" w:asciiTheme="minorEastAsia" w:hAnsiTheme="minorEastAsia" w:eastAsiaTheme="minorEastAsia"/>
          <w:bCs/>
          <w:sz w:val="24"/>
        </w:rPr>
        <w:t>投标人</w:t>
      </w:r>
      <w:r>
        <w:rPr>
          <w:rFonts w:asciiTheme="minorEastAsia" w:hAnsiTheme="minorEastAsia" w:eastAsiaTheme="minorEastAsia"/>
          <w:bCs/>
          <w:sz w:val="24"/>
        </w:rPr>
        <w:t>。</w:t>
      </w:r>
    </w:p>
    <w:p>
      <w:pPr>
        <w:spacing w:line="360" w:lineRule="auto"/>
        <w:ind w:firstLine="480"/>
        <w:rPr>
          <w:rFonts w:asciiTheme="minorEastAsia" w:hAnsiTheme="minorEastAsia" w:eastAsiaTheme="minorEastAsia"/>
          <w:bCs/>
          <w:sz w:val="24"/>
        </w:rPr>
      </w:pPr>
      <w:r>
        <w:rPr>
          <w:rFonts w:hint="eastAsia" w:asciiTheme="minorEastAsia" w:hAnsiTheme="minorEastAsia" w:eastAsiaTheme="minorEastAsia"/>
          <w:bCs/>
          <w:sz w:val="24"/>
        </w:rPr>
        <w:t>2.评审小组</w:t>
      </w:r>
      <w:r>
        <w:rPr>
          <w:rFonts w:asciiTheme="minorEastAsia" w:hAnsiTheme="minorEastAsia" w:eastAsiaTheme="minorEastAsia"/>
          <w:bCs/>
          <w:sz w:val="24"/>
        </w:rPr>
        <w:t>发现</w:t>
      </w:r>
      <w:r>
        <w:rPr>
          <w:rFonts w:hint="eastAsia" w:asciiTheme="minorEastAsia" w:hAnsiTheme="minorEastAsia" w:eastAsiaTheme="minorEastAsia"/>
          <w:bCs/>
          <w:sz w:val="24"/>
        </w:rPr>
        <w:t>投标人</w:t>
      </w:r>
      <w:r>
        <w:rPr>
          <w:rFonts w:asciiTheme="minorEastAsia" w:hAnsiTheme="minorEastAsia" w:eastAsiaTheme="minorEastAsia"/>
          <w:bCs/>
          <w:sz w:val="24"/>
        </w:rPr>
        <w:t>的报价或者某些分项报价明显低于其他通过初审的</w:t>
      </w:r>
      <w:r>
        <w:rPr>
          <w:rFonts w:hint="eastAsia" w:asciiTheme="minorEastAsia" w:hAnsiTheme="minorEastAsia" w:eastAsiaTheme="minorEastAsia"/>
          <w:bCs/>
          <w:sz w:val="24"/>
        </w:rPr>
        <w:t>投标人</w:t>
      </w:r>
      <w:r>
        <w:rPr>
          <w:rFonts w:asciiTheme="minorEastAsia" w:hAnsiTheme="minorEastAsia" w:eastAsiaTheme="minorEastAsia"/>
          <w:bCs/>
          <w:sz w:val="24"/>
        </w:rPr>
        <w:t>的报价，有可能影响产品质量和不能诚信履约的，应当要求其在合理的时间内</w:t>
      </w:r>
      <w:r>
        <w:rPr>
          <w:rFonts w:hint="eastAsia" w:asciiTheme="minorEastAsia" w:hAnsiTheme="minorEastAsia" w:eastAsiaTheme="minorEastAsia"/>
          <w:bCs/>
          <w:sz w:val="24"/>
        </w:rPr>
        <w:t>按要求</w:t>
      </w:r>
      <w:r>
        <w:rPr>
          <w:rFonts w:asciiTheme="minorEastAsia" w:hAnsiTheme="minorEastAsia" w:eastAsiaTheme="minorEastAsia"/>
          <w:bCs/>
          <w:sz w:val="24"/>
        </w:rPr>
        <w:t>提供说明，必要时提交相关证明材料；</w:t>
      </w:r>
      <w:r>
        <w:rPr>
          <w:rFonts w:hint="eastAsia" w:asciiTheme="minorEastAsia" w:hAnsiTheme="minorEastAsia" w:eastAsiaTheme="minorEastAsia"/>
          <w:bCs/>
          <w:sz w:val="24"/>
        </w:rPr>
        <w:t>投标人</w:t>
      </w:r>
      <w:r>
        <w:rPr>
          <w:rFonts w:asciiTheme="minorEastAsia" w:hAnsiTheme="minorEastAsia" w:eastAsiaTheme="minorEastAsia"/>
          <w:bCs/>
          <w:sz w:val="24"/>
        </w:rPr>
        <w:t>不能证明其报价合理性的，其</w:t>
      </w:r>
      <w:r>
        <w:rPr>
          <w:rFonts w:hint="eastAsia" w:asciiTheme="minorEastAsia" w:hAnsiTheme="minorEastAsia" w:eastAsiaTheme="minorEastAsia"/>
          <w:bCs/>
          <w:sz w:val="24"/>
        </w:rPr>
        <w:t>投标文件</w:t>
      </w:r>
      <w:r>
        <w:rPr>
          <w:rFonts w:asciiTheme="minorEastAsia" w:hAnsiTheme="minorEastAsia" w:eastAsiaTheme="minorEastAsia"/>
          <w:bCs/>
          <w:sz w:val="24"/>
        </w:rPr>
        <w:t>将被认定为</w:t>
      </w:r>
      <w:r>
        <w:rPr>
          <w:rFonts w:hint="eastAsia" w:asciiTheme="minorEastAsia" w:hAnsiTheme="minorEastAsia" w:eastAsiaTheme="minorEastAsia"/>
          <w:bCs/>
          <w:sz w:val="24"/>
        </w:rPr>
        <w:t>投标无效</w:t>
      </w:r>
      <w:r>
        <w:rPr>
          <w:rFonts w:asciiTheme="minorEastAsia" w:hAnsiTheme="minorEastAsia" w:eastAsiaTheme="minorEastAsia"/>
          <w:bCs/>
          <w:sz w:val="24"/>
        </w:rPr>
        <w:t>。</w:t>
      </w:r>
    </w:p>
    <w:p>
      <w:pPr>
        <w:spacing w:line="360" w:lineRule="auto"/>
        <w:ind w:firstLine="480"/>
      </w:pPr>
      <w:r>
        <w:rPr>
          <w:rFonts w:hint="eastAsia" w:asciiTheme="minorEastAsia" w:hAnsiTheme="minorEastAsia" w:eastAsiaTheme="minorEastAsia"/>
          <w:bCs/>
          <w:sz w:val="24"/>
        </w:rPr>
        <w:t>3.</w:t>
      </w:r>
      <w:r>
        <w:rPr>
          <w:rFonts w:asciiTheme="minorEastAsia" w:hAnsiTheme="minorEastAsia" w:eastAsiaTheme="minorEastAsia"/>
          <w:bCs/>
          <w:sz w:val="24"/>
        </w:rPr>
        <w:t>无论何种原因，即使</w:t>
      </w:r>
      <w:r>
        <w:rPr>
          <w:rFonts w:hint="eastAsia" w:asciiTheme="minorEastAsia" w:hAnsiTheme="minorEastAsia" w:eastAsiaTheme="minorEastAsia"/>
          <w:bCs/>
          <w:sz w:val="24"/>
        </w:rPr>
        <w:t>投标人磋商</w:t>
      </w:r>
      <w:r>
        <w:rPr>
          <w:rFonts w:asciiTheme="minorEastAsia" w:hAnsiTheme="minorEastAsia" w:eastAsiaTheme="minorEastAsia"/>
          <w:bCs/>
          <w:sz w:val="24"/>
        </w:rPr>
        <w:t>时携带了证书材料的原件，但</w:t>
      </w:r>
      <w:r>
        <w:rPr>
          <w:rFonts w:hint="eastAsia" w:asciiTheme="minorEastAsia" w:hAnsiTheme="minorEastAsia" w:eastAsiaTheme="minorEastAsia"/>
          <w:bCs/>
          <w:sz w:val="24"/>
        </w:rPr>
        <w:t>投标文件</w:t>
      </w:r>
      <w:r>
        <w:rPr>
          <w:rFonts w:asciiTheme="minorEastAsia" w:hAnsiTheme="minorEastAsia" w:eastAsiaTheme="minorEastAsia"/>
          <w:bCs/>
          <w:sz w:val="24"/>
        </w:rPr>
        <w:t>中未提供与之内容完全一致的</w:t>
      </w:r>
      <w:r>
        <w:rPr>
          <w:rFonts w:hint="eastAsia" w:asciiTheme="minorEastAsia" w:hAnsiTheme="minorEastAsia" w:eastAsiaTheme="minorEastAsia"/>
          <w:bCs/>
          <w:sz w:val="24"/>
        </w:rPr>
        <w:t>扫描件</w:t>
      </w:r>
      <w:r>
        <w:rPr>
          <w:rFonts w:asciiTheme="minorEastAsia" w:hAnsiTheme="minorEastAsia" w:eastAsiaTheme="minorEastAsia"/>
          <w:bCs/>
          <w:sz w:val="24"/>
        </w:rPr>
        <w:t>的，</w:t>
      </w:r>
      <w:r>
        <w:rPr>
          <w:rFonts w:hint="eastAsia" w:asciiTheme="minorEastAsia" w:hAnsiTheme="minorEastAsia" w:eastAsiaTheme="minorEastAsia"/>
          <w:bCs/>
          <w:sz w:val="24"/>
        </w:rPr>
        <w:t>评审小组</w:t>
      </w:r>
      <w:r>
        <w:rPr>
          <w:rFonts w:asciiTheme="minorEastAsia" w:hAnsiTheme="minorEastAsia" w:eastAsiaTheme="minorEastAsia"/>
          <w:bCs/>
          <w:sz w:val="24"/>
        </w:rPr>
        <w:t>可以视同其未提供。</w:t>
      </w:r>
    </w:p>
    <w:p>
      <w:pPr>
        <w:widowControl/>
        <w:ind w:firstLine="480"/>
        <w:jc w:val="left"/>
        <w:rPr>
          <w:rFonts w:asciiTheme="minorEastAsia" w:hAnsiTheme="minorEastAsia" w:eastAsiaTheme="minorEastAsia"/>
          <w:sz w:val="24"/>
        </w:rPr>
      </w:pPr>
      <w:r>
        <w:rPr>
          <w:rFonts w:asciiTheme="minorEastAsia" w:hAnsiTheme="minorEastAsia" w:eastAsiaTheme="minorEastAsia"/>
          <w:sz w:val="24"/>
        </w:rPr>
        <w:br w:type="page"/>
      </w:r>
    </w:p>
    <w:p>
      <w:pPr>
        <w:pStyle w:val="3"/>
        <w:numPr>
          <w:ilvl w:val="0"/>
          <w:numId w:val="4"/>
        </w:numPr>
        <w:spacing w:line="500" w:lineRule="exact"/>
        <w:ind w:firstLine="562"/>
        <w:jc w:val="center"/>
        <w:rPr>
          <w:rFonts w:ascii="Times New Roman" w:hAnsi="Times New Roman"/>
        </w:rPr>
      </w:pPr>
      <w:r>
        <w:rPr>
          <w:rFonts w:hint="eastAsia" w:ascii="Times New Roman" w:hAnsi="Times New Roman"/>
        </w:rPr>
        <w:t>服务</w:t>
      </w:r>
      <w:bookmarkStart w:id="14" w:name="_Toc10562"/>
      <w:r>
        <w:rPr>
          <w:rFonts w:ascii="Times New Roman" w:hAnsi="Times New Roman"/>
        </w:rPr>
        <w:t>合同</w:t>
      </w:r>
      <w:bookmarkEnd w:id="14"/>
    </w:p>
    <w:p>
      <w:pPr>
        <w:spacing w:line="360" w:lineRule="auto"/>
        <w:ind w:firstLine="480"/>
        <w:rPr>
          <w:rFonts w:cs="宋体"/>
          <w:sz w:val="24"/>
          <w:szCs w:val="24"/>
          <w:u w:val="single"/>
        </w:rPr>
      </w:pPr>
      <w:r>
        <w:rPr>
          <w:rFonts w:hint="eastAsia" w:cs="宋体"/>
          <w:sz w:val="24"/>
          <w:szCs w:val="24"/>
        </w:rPr>
        <w:t>招标人（甲方）：</w:t>
      </w:r>
      <w:r>
        <w:rPr>
          <w:rFonts w:hint="eastAsia" w:cs="宋体"/>
          <w:sz w:val="24"/>
          <w:szCs w:val="24"/>
          <w:u w:val="single"/>
        </w:rPr>
        <w:t xml:space="preserve">  合肥百货大楼集团股份有限公司  </w:t>
      </w:r>
    </w:p>
    <w:p>
      <w:pPr>
        <w:spacing w:line="360" w:lineRule="auto"/>
        <w:ind w:firstLine="480"/>
        <w:rPr>
          <w:rFonts w:cs="宋体"/>
          <w:sz w:val="24"/>
          <w:szCs w:val="24"/>
        </w:rPr>
      </w:pPr>
      <w:r>
        <w:rPr>
          <w:rFonts w:hint="eastAsia" w:cs="宋体"/>
          <w:sz w:val="24"/>
          <w:szCs w:val="24"/>
        </w:rPr>
        <w:t>投标人（乙方）：</w:t>
      </w:r>
      <w:r>
        <w:rPr>
          <w:rFonts w:hint="eastAsia" w:cs="宋体"/>
          <w:sz w:val="24"/>
          <w:szCs w:val="24"/>
          <w:u w:val="single"/>
        </w:rPr>
        <w:t xml:space="preserve">                                </w:t>
      </w:r>
    </w:p>
    <w:p>
      <w:pPr>
        <w:spacing w:line="360" w:lineRule="auto"/>
        <w:ind w:firstLine="480"/>
        <w:rPr>
          <w:rFonts w:cs="宋体"/>
          <w:sz w:val="24"/>
          <w:szCs w:val="24"/>
          <w:u w:val="single"/>
        </w:rPr>
      </w:pPr>
      <w:r>
        <w:rPr>
          <w:rFonts w:hint="eastAsia" w:cs="宋体"/>
          <w:sz w:val="24"/>
          <w:szCs w:val="24"/>
        </w:rPr>
        <w:t>签订地点：</w:t>
      </w:r>
      <w:r>
        <w:rPr>
          <w:rFonts w:hint="eastAsia" w:cs="宋体"/>
          <w:sz w:val="24"/>
          <w:szCs w:val="24"/>
          <w:u w:val="single"/>
        </w:rPr>
        <w:t xml:space="preserve">                      </w:t>
      </w:r>
    </w:p>
    <w:p>
      <w:pPr>
        <w:spacing w:line="360" w:lineRule="auto"/>
        <w:ind w:firstLine="480"/>
        <w:rPr>
          <w:rFonts w:cs="宋体"/>
          <w:sz w:val="24"/>
          <w:szCs w:val="24"/>
          <w:u w:val="single"/>
        </w:rPr>
      </w:pPr>
      <w:r>
        <w:rPr>
          <w:rFonts w:hint="eastAsia" w:cs="宋体"/>
          <w:sz w:val="24"/>
          <w:szCs w:val="24"/>
        </w:rPr>
        <w:t>招标项目名称：</w:t>
      </w:r>
      <w:r>
        <w:rPr>
          <w:rFonts w:hint="eastAsia" w:cs="宋体"/>
          <w:sz w:val="24"/>
          <w:szCs w:val="24"/>
          <w:u w:val="single"/>
        </w:rPr>
        <w:t xml:space="preserve">   百大集团CRM、ERP系统维保服务   </w:t>
      </w:r>
    </w:p>
    <w:p>
      <w:pPr>
        <w:spacing w:line="360" w:lineRule="auto"/>
        <w:ind w:firstLine="480"/>
        <w:rPr>
          <w:rFonts w:cs="宋体"/>
          <w:sz w:val="24"/>
          <w:szCs w:val="24"/>
          <w:u w:val="single"/>
        </w:rPr>
      </w:pPr>
      <w:r>
        <w:rPr>
          <w:rFonts w:hint="eastAsia" w:cs="宋体"/>
          <w:sz w:val="24"/>
          <w:szCs w:val="24"/>
        </w:rPr>
        <w:t>招标项目编号：</w:t>
      </w:r>
      <w:r>
        <w:rPr>
          <w:rFonts w:hint="eastAsia" w:cs="宋体"/>
          <w:sz w:val="24"/>
          <w:szCs w:val="24"/>
          <w:u w:val="single"/>
        </w:rPr>
        <w:t xml:space="preserve">   2024HAFWN02552                  </w:t>
      </w:r>
    </w:p>
    <w:p>
      <w:pPr>
        <w:tabs>
          <w:tab w:val="left" w:pos="2394"/>
        </w:tabs>
        <w:spacing w:line="360" w:lineRule="auto"/>
        <w:ind w:firstLine="480" w:firstLineChars="200"/>
        <w:rPr>
          <w:rFonts w:cs="宋体"/>
          <w:sz w:val="24"/>
          <w:szCs w:val="24"/>
        </w:rPr>
      </w:pPr>
      <w:r>
        <w:rPr>
          <w:rFonts w:hint="eastAsia" w:cs="宋体"/>
          <w:sz w:val="24"/>
          <w:szCs w:val="24"/>
        </w:rPr>
        <w:t>经本项目评审小组评审，决定将合同授予乙方。为进一步明确双方的责任，确保合同的顺利履行，根据《中华人民共和国民法典》之规定及安徽公共资源交易集团项目管理有限公司的磋商文件、中标通知书等相关资料的要求，经甲乙双方充分协商，特订立本合同，以便共同遵守。</w:t>
      </w:r>
    </w:p>
    <w:p>
      <w:pPr>
        <w:spacing w:line="360" w:lineRule="auto"/>
        <w:ind w:firstLine="482"/>
        <w:outlineLvl w:val="2"/>
        <w:rPr>
          <w:b/>
          <w:bCs/>
          <w:sz w:val="24"/>
          <w:lang w:val="zh-CN"/>
        </w:rPr>
      </w:pPr>
      <w:bookmarkStart w:id="15" w:name="_Toc24059"/>
      <w:bookmarkStart w:id="16" w:name="_Toc2232"/>
      <w:bookmarkStart w:id="17" w:name="_Toc3029"/>
      <w:r>
        <w:rPr>
          <w:rFonts w:hint="eastAsia"/>
          <w:b/>
          <w:bCs/>
          <w:sz w:val="24"/>
        </w:rPr>
        <w:t>1.</w:t>
      </w:r>
      <w:r>
        <w:rPr>
          <w:rFonts w:hint="eastAsia"/>
          <w:b/>
          <w:bCs/>
          <w:sz w:val="24"/>
          <w:lang w:val="zh-CN"/>
        </w:rPr>
        <w:t>合同组成部分</w:t>
      </w:r>
      <w:bookmarkEnd w:id="15"/>
      <w:bookmarkEnd w:id="16"/>
      <w:bookmarkEnd w:id="17"/>
    </w:p>
    <w:p>
      <w:pPr>
        <w:spacing w:line="360" w:lineRule="auto"/>
        <w:ind w:firstLine="480"/>
        <w:rPr>
          <w:sz w:val="24"/>
          <w:lang w:val="zh-CN"/>
        </w:rPr>
      </w:pPr>
      <w:r>
        <w:rPr>
          <w:rFonts w:hint="eastAsia"/>
          <w:sz w:val="24"/>
          <w:lang w:val="zh-CN"/>
        </w:rPr>
        <w:t>下列文件为本合同的组成部分，并构成一个整体，需综合解释、相互补充。如果下列文件内容出现不一致的情形，</w:t>
      </w:r>
      <w:r>
        <w:rPr>
          <w:rFonts w:hint="eastAsia"/>
          <w:sz w:val="24"/>
        </w:rPr>
        <w:t>那么</w:t>
      </w:r>
      <w:r>
        <w:rPr>
          <w:rFonts w:hint="eastAsia"/>
          <w:sz w:val="24"/>
          <w:lang w:val="zh-CN"/>
        </w:rPr>
        <w:t>在保证按照</w:t>
      </w:r>
      <w:r>
        <w:rPr>
          <w:rFonts w:hint="eastAsia"/>
          <w:sz w:val="24"/>
        </w:rPr>
        <w:t>磋商</w:t>
      </w:r>
      <w:r>
        <w:rPr>
          <w:rFonts w:hint="eastAsia"/>
          <w:sz w:val="24"/>
          <w:lang w:val="zh-CN"/>
        </w:rPr>
        <w:t>文件确定的事项前提下，组成本合同的多个文件的优先适用顺序如下：</w:t>
      </w:r>
    </w:p>
    <w:p>
      <w:pPr>
        <w:spacing w:line="360" w:lineRule="auto"/>
        <w:ind w:firstLine="480"/>
        <w:rPr>
          <w:sz w:val="24"/>
          <w:lang w:val="zh-CN"/>
        </w:rPr>
      </w:pPr>
      <w:r>
        <w:rPr>
          <w:rFonts w:hint="eastAsia"/>
          <w:sz w:val="24"/>
        </w:rPr>
        <w:t>1.1</w:t>
      </w:r>
      <w:r>
        <w:rPr>
          <w:rFonts w:hint="eastAsia"/>
          <w:sz w:val="24"/>
          <w:lang w:val="zh-CN"/>
        </w:rPr>
        <w:t>本合同及其补充合同、变更协议；</w:t>
      </w:r>
    </w:p>
    <w:p>
      <w:pPr>
        <w:spacing w:line="360" w:lineRule="auto"/>
        <w:ind w:firstLine="480"/>
        <w:rPr>
          <w:sz w:val="24"/>
          <w:lang w:val="zh-CN"/>
        </w:rPr>
      </w:pPr>
      <w:r>
        <w:rPr>
          <w:rFonts w:hint="eastAsia"/>
          <w:sz w:val="24"/>
          <w:lang w:val="zh-CN"/>
        </w:rPr>
        <w:t>1</w:t>
      </w:r>
      <w:r>
        <w:rPr>
          <w:rFonts w:hint="eastAsia"/>
          <w:sz w:val="24"/>
        </w:rPr>
        <w:t>.2中标</w:t>
      </w:r>
      <w:r>
        <w:rPr>
          <w:rFonts w:hint="eastAsia"/>
          <w:sz w:val="24"/>
          <w:lang w:val="zh-CN"/>
        </w:rPr>
        <w:t>通知书；</w:t>
      </w:r>
    </w:p>
    <w:p>
      <w:pPr>
        <w:spacing w:line="360" w:lineRule="auto"/>
        <w:ind w:firstLine="480"/>
        <w:rPr>
          <w:sz w:val="24"/>
          <w:lang w:val="zh-CN"/>
        </w:rPr>
      </w:pPr>
      <w:r>
        <w:rPr>
          <w:rFonts w:hint="eastAsia"/>
          <w:sz w:val="24"/>
        </w:rPr>
        <w:t>1.3投标</w:t>
      </w:r>
      <w:r>
        <w:rPr>
          <w:rFonts w:hint="eastAsia"/>
          <w:sz w:val="24"/>
          <w:lang w:val="zh-CN"/>
        </w:rPr>
        <w:t>文件（含澄清或者说明文件）；</w:t>
      </w:r>
    </w:p>
    <w:p>
      <w:pPr>
        <w:spacing w:line="360" w:lineRule="auto"/>
        <w:ind w:firstLine="480"/>
        <w:rPr>
          <w:sz w:val="24"/>
          <w:lang w:val="zh-CN"/>
        </w:rPr>
      </w:pPr>
      <w:r>
        <w:rPr>
          <w:rFonts w:hint="eastAsia"/>
          <w:sz w:val="24"/>
        </w:rPr>
        <w:t>1.4</w:t>
      </w:r>
      <w:r>
        <w:rPr>
          <w:rFonts w:hint="eastAsia"/>
          <w:sz w:val="24"/>
          <w:lang w:val="zh-CN"/>
        </w:rPr>
        <w:t>磋商文件（含澄清或者修改文件）；</w:t>
      </w:r>
    </w:p>
    <w:p>
      <w:pPr>
        <w:spacing w:line="360" w:lineRule="auto"/>
        <w:ind w:firstLine="480"/>
        <w:rPr>
          <w:sz w:val="24"/>
          <w:lang w:val="zh-CN"/>
        </w:rPr>
      </w:pPr>
      <w:r>
        <w:rPr>
          <w:rFonts w:hint="eastAsia"/>
          <w:sz w:val="24"/>
        </w:rPr>
        <w:t>1.5</w:t>
      </w:r>
      <w:r>
        <w:rPr>
          <w:rFonts w:hint="eastAsia"/>
          <w:sz w:val="24"/>
          <w:lang w:val="zh-CN"/>
        </w:rPr>
        <w:t>其他相关文件。</w:t>
      </w:r>
    </w:p>
    <w:p>
      <w:pPr>
        <w:spacing w:line="360" w:lineRule="auto"/>
        <w:ind w:firstLine="482"/>
        <w:outlineLvl w:val="2"/>
        <w:rPr>
          <w:b/>
          <w:bCs/>
          <w:sz w:val="24"/>
          <w:lang w:val="zh-CN"/>
        </w:rPr>
      </w:pPr>
      <w:r>
        <w:rPr>
          <w:rFonts w:hint="eastAsia"/>
          <w:b/>
          <w:bCs/>
          <w:sz w:val="24"/>
        </w:rPr>
        <w:t>2.</w:t>
      </w:r>
      <w:r>
        <w:rPr>
          <w:rFonts w:hint="eastAsia"/>
          <w:b/>
          <w:bCs/>
          <w:sz w:val="24"/>
          <w:lang w:val="zh-CN"/>
        </w:rPr>
        <w:t>服务</w:t>
      </w:r>
    </w:p>
    <w:p>
      <w:pPr>
        <w:spacing w:line="360" w:lineRule="auto"/>
        <w:ind w:firstLine="480"/>
        <w:rPr>
          <w:sz w:val="24"/>
          <w:szCs w:val="24"/>
          <w:u w:val="single"/>
        </w:rPr>
      </w:pPr>
      <w:r>
        <w:rPr>
          <w:rFonts w:hint="eastAsia"/>
          <w:sz w:val="24"/>
        </w:rPr>
        <w:t>2.1服务</w:t>
      </w:r>
      <w:r>
        <w:rPr>
          <w:sz w:val="24"/>
        </w:rPr>
        <w:t>名称：</w:t>
      </w:r>
      <w:r>
        <w:rPr>
          <w:rFonts w:hint="eastAsia"/>
          <w:sz w:val="24"/>
          <w:szCs w:val="24"/>
        </w:rPr>
        <w:t>百大集团CRM、ERP系统维保服务；</w:t>
      </w:r>
    </w:p>
    <w:p>
      <w:pPr>
        <w:spacing w:line="360" w:lineRule="auto"/>
        <w:ind w:firstLine="480" w:firstLineChars="200"/>
        <w:rPr>
          <w:sz w:val="24"/>
          <w:lang w:val="zh-CN"/>
        </w:rPr>
      </w:pPr>
      <w:r>
        <w:rPr>
          <w:rFonts w:hint="eastAsia"/>
          <w:sz w:val="24"/>
        </w:rPr>
        <w:t>2.2服务内容</w:t>
      </w:r>
      <w:r>
        <w:rPr>
          <w:sz w:val="24"/>
        </w:rPr>
        <w:t>：</w:t>
      </w:r>
      <w:r>
        <w:rPr>
          <w:rFonts w:hint="eastAsia"/>
          <w:color w:val="000000" w:themeColor="text1"/>
          <w:sz w:val="24"/>
          <w:szCs w:val="24"/>
          <w14:textFill>
            <w14:solidFill>
              <w14:schemeClr w14:val="tx1"/>
            </w14:solidFill>
          </w14:textFill>
        </w:rPr>
        <w:t>保障百大集团CRM10.0系统、ERP9.0系统现有模块和业务流</w:t>
      </w:r>
      <w:r>
        <w:rPr>
          <w:rFonts w:hint="eastAsia"/>
          <w:sz w:val="24"/>
          <w:lang w:val="zh-CN"/>
        </w:rPr>
        <w:t>程正常运转及功能实现，纠正系统运行中存在的错误，处理系统运行BUG；改进系统性能，提高系统兼容性，以适应计算机软硬件及系统的快速发展；优化系统业务流程及功能实现，及适应新的业务需求；提供定期的系统安全检查及数据备份，预防事故发生；提供系统接口对接移植功能，以适应公司业务发展需要；</w:t>
      </w:r>
    </w:p>
    <w:p>
      <w:pPr>
        <w:spacing w:line="500" w:lineRule="exact"/>
        <w:ind w:firstLine="480" w:firstLineChars="200"/>
        <w:rPr>
          <w:rFonts w:cs="Times New Roman"/>
          <w:sz w:val="24"/>
          <w:szCs w:val="24"/>
        </w:rPr>
      </w:pPr>
      <w:r>
        <w:rPr>
          <w:rFonts w:hint="eastAsia"/>
          <w:sz w:val="24"/>
        </w:rPr>
        <w:t>2.3服务质量：</w:t>
      </w:r>
      <w:r>
        <w:rPr>
          <w:rFonts w:hint="eastAsia" w:cs="Times New Roman"/>
        </w:rPr>
        <w:t>（</w:t>
      </w:r>
      <w:r>
        <w:rPr>
          <w:rFonts w:hint="eastAsia" w:cs="Times New Roman"/>
          <w:sz w:val="24"/>
          <w:szCs w:val="24"/>
        </w:rPr>
        <w:t>1）乙方应当成立由有经验、负责任、懂业务的系统工程师组成的开发维护工作组，负责完成维护工作。</w:t>
      </w:r>
    </w:p>
    <w:p>
      <w:pPr>
        <w:spacing w:line="500" w:lineRule="exact"/>
        <w:ind w:firstLine="480" w:firstLineChars="200"/>
        <w:rPr>
          <w:sz w:val="24"/>
        </w:rPr>
      </w:pPr>
      <w:r>
        <w:rPr>
          <w:rFonts w:hint="eastAsia" w:cs="Times New Roman"/>
          <w:sz w:val="24"/>
          <w:szCs w:val="24"/>
        </w:rPr>
        <w:t>（2）乙方的技术服务人员在接到故障信息后，于2小时内形成解决方案。需要到现场服务时，应</w:t>
      </w:r>
      <w:r>
        <w:rPr>
          <w:rFonts w:cs="Times New Roman"/>
          <w:sz w:val="24"/>
          <w:szCs w:val="24"/>
        </w:rPr>
        <w:t>24</w:t>
      </w:r>
      <w:r>
        <w:rPr>
          <w:rFonts w:hint="eastAsia" w:cs="Times New Roman"/>
          <w:sz w:val="24"/>
          <w:szCs w:val="24"/>
        </w:rPr>
        <w:t>小时内派工程师到达现场。乙方提供的维护服务响应时间，属于全系统业务中断的，响应用户的服务请求的时间为每周7天×</w:t>
      </w:r>
      <w:r>
        <w:rPr>
          <w:rFonts w:cs="Times New Roman"/>
          <w:sz w:val="24"/>
          <w:szCs w:val="24"/>
        </w:rPr>
        <w:t>12</w:t>
      </w:r>
      <w:r>
        <w:rPr>
          <w:rFonts w:hint="eastAsia" w:cs="Times New Roman"/>
          <w:sz w:val="24"/>
          <w:szCs w:val="24"/>
        </w:rPr>
        <w:t>小时，属于非全系统业务中断的，响应用户的服务请求的时间为每周5天×8小时。</w:t>
      </w:r>
    </w:p>
    <w:p>
      <w:pPr>
        <w:spacing w:line="360" w:lineRule="auto"/>
        <w:ind w:firstLine="482"/>
        <w:outlineLvl w:val="2"/>
        <w:rPr>
          <w:b/>
          <w:bCs/>
          <w:sz w:val="24"/>
          <w:lang w:val="zh-CN"/>
        </w:rPr>
      </w:pPr>
      <w:bookmarkStart w:id="18" w:name="_Toc23292"/>
      <w:bookmarkStart w:id="19" w:name="_Toc21551"/>
      <w:bookmarkStart w:id="20" w:name="_Toc21631"/>
      <w:r>
        <w:rPr>
          <w:rFonts w:hint="eastAsia"/>
          <w:b/>
          <w:bCs/>
          <w:sz w:val="24"/>
        </w:rPr>
        <w:t>3.</w:t>
      </w:r>
      <w:r>
        <w:rPr>
          <w:rFonts w:hint="eastAsia"/>
          <w:b/>
          <w:bCs/>
          <w:sz w:val="24"/>
          <w:lang w:val="zh-CN"/>
        </w:rPr>
        <w:t>价款</w:t>
      </w:r>
      <w:bookmarkEnd w:id="18"/>
      <w:bookmarkEnd w:id="19"/>
      <w:bookmarkEnd w:id="20"/>
    </w:p>
    <w:p>
      <w:pPr>
        <w:spacing w:line="360" w:lineRule="auto"/>
        <w:ind w:left="480" w:leftChars="240" w:firstLine="40" w:firstLineChars="17"/>
        <w:outlineLvl w:val="2"/>
        <w:rPr>
          <w:b/>
          <w:bCs/>
          <w:sz w:val="24"/>
          <w:lang w:val="zh-CN"/>
        </w:rPr>
      </w:pPr>
      <w:r>
        <w:rPr>
          <w:sz w:val="24"/>
        </w:rPr>
        <w:t>本合同总价为</w:t>
      </w:r>
      <w:r>
        <w:rPr>
          <w:rFonts w:hint="eastAsia"/>
          <w:sz w:val="24"/>
        </w:rPr>
        <w:t>：￥</w:t>
      </w:r>
      <w:r>
        <w:rPr>
          <w:rFonts w:hint="eastAsia"/>
          <w:sz w:val="24"/>
          <w:u w:val="single"/>
        </w:rPr>
        <w:t xml:space="preserve">           </w:t>
      </w:r>
      <w:r>
        <w:rPr>
          <w:sz w:val="24"/>
        </w:rPr>
        <w:t>元</w:t>
      </w:r>
      <w:r>
        <w:rPr>
          <w:rFonts w:hint="eastAsia"/>
          <w:sz w:val="24"/>
        </w:rPr>
        <w:t>（大写：人民币</w:t>
      </w:r>
      <w:r>
        <w:rPr>
          <w:rFonts w:hint="eastAsia"/>
          <w:sz w:val="24"/>
          <w:u w:val="single"/>
        </w:rPr>
        <w:t xml:space="preserve">                 </w:t>
      </w:r>
      <w:r>
        <w:rPr>
          <w:rFonts w:hint="eastAsia"/>
          <w:sz w:val="24"/>
        </w:rPr>
        <w:t>元）</w:t>
      </w:r>
      <w:r>
        <w:rPr>
          <w:sz w:val="24"/>
        </w:rPr>
        <w:t>。</w:t>
      </w:r>
      <w:bookmarkStart w:id="21" w:name="_Toc22618"/>
      <w:bookmarkStart w:id="22" w:name="_Toc10340"/>
      <w:bookmarkStart w:id="23" w:name="_Toc1814"/>
      <w:r>
        <w:rPr>
          <w:rFonts w:hint="eastAsia"/>
          <w:b/>
          <w:bCs/>
          <w:sz w:val="24"/>
        </w:rPr>
        <w:t>4.</w:t>
      </w:r>
      <w:r>
        <w:rPr>
          <w:b/>
          <w:bCs/>
          <w:sz w:val="24"/>
          <w:lang w:val="zh-CN"/>
        </w:rPr>
        <w:t>付款方式和发票开具方式</w:t>
      </w:r>
      <w:bookmarkEnd w:id="21"/>
      <w:bookmarkEnd w:id="22"/>
      <w:bookmarkEnd w:id="23"/>
    </w:p>
    <w:p>
      <w:pPr>
        <w:spacing w:line="360" w:lineRule="auto"/>
        <w:ind w:firstLine="480" w:firstLineChars="200"/>
        <w:rPr>
          <w:sz w:val="24"/>
        </w:rPr>
      </w:pPr>
      <w:r>
        <w:rPr>
          <w:rFonts w:hint="eastAsia"/>
          <w:sz w:val="24"/>
        </w:rPr>
        <w:t>4.1</w:t>
      </w:r>
      <w:r>
        <w:rPr>
          <w:sz w:val="24"/>
        </w:rPr>
        <w:t>付款方式：</w:t>
      </w:r>
      <w:r>
        <w:rPr>
          <w:rFonts w:hint="eastAsia"/>
          <w:sz w:val="24"/>
          <w:szCs w:val="24"/>
        </w:rPr>
        <w:t>合同签订后，乙方向甲方提出付款申请，并开具符合国家规定的相应数额的增值税专用发票后十个工作日内，甲方向乙方支付合同总费用</w:t>
      </w:r>
      <w:r>
        <w:rPr>
          <w:sz w:val="24"/>
          <w:szCs w:val="24"/>
        </w:rPr>
        <w:softHyphen/>
      </w:r>
      <w:r>
        <w:rPr>
          <w:sz w:val="24"/>
          <w:szCs w:val="24"/>
        </w:rPr>
        <w:softHyphen/>
      </w:r>
      <w:r>
        <w:rPr>
          <w:sz w:val="24"/>
          <w:szCs w:val="24"/>
        </w:rPr>
        <w:t>50</w:t>
      </w:r>
      <w:r>
        <w:rPr>
          <w:rFonts w:hint="eastAsia"/>
          <w:sz w:val="24"/>
          <w:szCs w:val="24"/>
        </w:rPr>
        <w:t>%价款，同理，服务到期前</w:t>
      </w:r>
      <w:r>
        <w:rPr>
          <w:sz w:val="24"/>
          <w:szCs w:val="24"/>
        </w:rPr>
        <w:t>十五</w:t>
      </w:r>
      <w:r>
        <w:rPr>
          <w:rFonts w:hint="eastAsia"/>
          <w:sz w:val="24"/>
          <w:szCs w:val="24"/>
        </w:rPr>
        <w:t>个工作日内，乙方向甲方提出付款申请，并开具符合国家规定的相应数额的增值税专用发票后，甲方付清剩余</w:t>
      </w:r>
      <w:r>
        <w:rPr>
          <w:sz w:val="24"/>
          <w:szCs w:val="24"/>
        </w:rPr>
        <w:t>50</w:t>
      </w:r>
      <w:r>
        <w:rPr>
          <w:rFonts w:hint="eastAsia"/>
          <w:sz w:val="24"/>
          <w:szCs w:val="24"/>
        </w:rPr>
        <w:t>%价款</w:t>
      </w:r>
      <w:r>
        <w:rPr>
          <w:rFonts w:hint="eastAsia"/>
          <w:sz w:val="24"/>
        </w:rPr>
        <w:t>；</w:t>
      </w:r>
    </w:p>
    <w:p>
      <w:pPr>
        <w:spacing w:line="360" w:lineRule="auto"/>
        <w:ind w:firstLine="480" w:firstLineChars="200"/>
        <w:rPr>
          <w:sz w:val="24"/>
        </w:rPr>
      </w:pPr>
      <w:r>
        <w:rPr>
          <w:rFonts w:hint="eastAsia"/>
          <w:sz w:val="24"/>
        </w:rPr>
        <w:t>4.2发票开具方式：甲方收到乙方开具相应金额的增值税【专用】发票后，甲方支付对应的款项。乙方提供的“增值税发票”的税率，以“开票日”国家规定的“适用税率”为准。本合同约定的“价税合计(总价)金额不变”。</w:t>
      </w:r>
    </w:p>
    <w:p>
      <w:pPr>
        <w:spacing w:line="360" w:lineRule="auto"/>
        <w:ind w:firstLine="482"/>
        <w:outlineLvl w:val="2"/>
        <w:rPr>
          <w:b/>
          <w:bCs/>
          <w:sz w:val="24"/>
          <w:lang w:val="zh-CN"/>
        </w:rPr>
      </w:pPr>
      <w:bookmarkStart w:id="24" w:name="_Toc2846"/>
      <w:bookmarkStart w:id="25" w:name="_Toc32071"/>
      <w:bookmarkStart w:id="26" w:name="_Toc19304"/>
      <w:r>
        <w:rPr>
          <w:b/>
          <w:bCs/>
          <w:sz w:val="24"/>
          <w:lang w:val="zh-CN"/>
        </w:rPr>
        <w:t>5</w:t>
      </w:r>
      <w:r>
        <w:rPr>
          <w:rFonts w:hint="eastAsia"/>
          <w:b/>
          <w:bCs/>
          <w:sz w:val="24"/>
          <w:lang w:val="zh-CN"/>
        </w:rPr>
        <w:t>.服务</w:t>
      </w:r>
      <w:r>
        <w:rPr>
          <w:b/>
          <w:bCs/>
          <w:sz w:val="24"/>
          <w:lang w:val="zh-CN"/>
        </w:rPr>
        <w:t>期限</w:t>
      </w:r>
      <w:r>
        <w:rPr>
          <w:rFonts w:hint="eastAsia"/>
          <w:b/>
          <w:bCs/>
          <w:sz w:val="24"/>
          <w:lang w:val="zh-CN"/>
        </w:rPr>
        <w:t>、地点和方式</w:t>
      </w:r>
      <w:bookmarkEnd w:id="24"/>
      <w:bookmarkEnd w:id="25"/>
      <w:bookmarkEnd w:id="26"/>
    </w:p>
    <w:p>
      <w:pPr>
        <w:ind w:firstLine="480" w:firstLineChars="200"/>
        <w:rPr>
          <w:rFonts w:asciiTheme="minorEastAsia" w:hAnsiTheme="minorEastAsia" w:eastAsiaTheme="minorEastAsia"/>
          <w:sz w:val="24"/>
          <w:szCs w:val="24"/>
        </w:rPr>
      </w:pPr>
      <w:r>
        <w:rPr>
          <w:rFonts w:hint="eastAsia"/>
          <w:sz w:val="24"/>
        </w:rPr>
        <w:t>5.1服务期限</w:t>
      </w:r>
      <w:r>
        <w:rPr>
          <w:sz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本合同服务期限为 12 个月，自______年____月___日至______年___月_</w:t>
      </w:r>
      <w:r>
        <w:rPr>
          <w:rFonts w:asciiTheme="minorEastAsia" w:hAnsiTheme="minorEastAsia" w:eastAsiaTheme="minorEastAsia"/>
          <w:sz w:val="24"/>
          <w:szCs w:val="24"/>
        </w:rPr>
        <w:t>_</w:t>
      </w:r>
      <w:r>
        <w:rPr>
          <w:rFonts w:hint="eastAsia" w:asciiTheme="minorEastAsia" w:hAnsiTheme="minorEastAsia" w:eastAsiaTheme="minorEastAsia"/>
          <w:sz w:val="24"/>
          <w:szCs w:val="24"/>
        </w:rPr>
        <w:t>_日。</w:t>
      </w:r>
    </w:p>
    <w:p>
      <w:pPr>
        <w:pStyle w:val="271"/>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如甲方在本合同服务期限届满后不再续约，应在本合同服务期限届满前30个自然日书面通知乙方。甲方未在期限内书面通知乙方的，视为甲方仍需乙方提供后续维护服务。甲方与乙方可按一年为期限续签维护服务合同（最多支持续签两次），续签开始时间为本合同服务期限届满之次日。续签维护服务合同的服务价款不得高于本合同费用标准。</w:t>
      </w:r>
    </w:p>
    <w:p>
      <w:pPr>
        <w:ind w:firstLine="480" w:firstLineChars="200"/>
        <w:rPr>
          <w:sz w:val="24"/>
        </w:rPr>
      </w:pPr>
      <w:r>
        <w:rPr>
          <w:rFonts w:hint="eastAsia"/>
          <w:sz w:val="24"/>
        </w:rPr>
        <w:t>5.2服务地点</w:t>
      </w:r>
      <w:r>
        <w:rPr>
          <w:sz w:val="24"/>
        </w:rPr>
        <w:t>：</w:t>
      </w:r>
      <w:r>
        <w:rPr>
          <w:rFonts w:hint="eastAsia"/>
          <w:sz w:val="24"/>
          <w:u w:val="single"/>
        </w:rPr>
        <w:t xml:space="preserve">  安徽省合肥市黄山路596号合肥百大集团</w:t>
      </w:r>
      <w:r>
        <w:rPr>
          <w:sz w:val="24"/>
          <w:u w:val="single"/>
        </w:rPr>
        <w:t xml:space="preserve"> </w:t>
      </w:r>
      <w:r>
        <w:rPr>
          <w:rFonts w:hint="eastAsia"/>
          <w:sz w:val="24"/>
          <w:u w:val="single"/>
        </w:rPr>
        <w:t xml:space="preserve"> </w:t>
      </w:r>
      <w:r>
        <w:rPr>
          <w:rFonts w:hint="eastAsia"/>
          <w:sz w:val="24"/>
        </w:rPr>
        <w:t>；</w:t>
      </w:r>
    </w:p>
    <w:p>
      <w:pPr>
        <w:spacing w:line="360" w:lineRule="auto"/>
        <w:ind w:firstLine="480" w:firstLineChars="200"/>
        <w:rPr>
          <w:rFonts w:asciiTheme="minorEastAsia" w:hAnsiTheme="minorEastAsia" w:eastAsiaTheme="minorEastAsia"/>
          <w:sz w:val="24"/>
          <w:szCs w:val="24"/>
        </w:rPr>
      </w:pPr>
      <w:r>
        <w:rPr>
          <w:rFonts w:hint="eastAsia"/>
          <w:sz w:val="24"/>
        </w:rPr>
        <w:t>5.3服务方式：</w:t>
      </w:r>
      <w:r>
        <w:rPr>
          <w:rFonts w:hint="eastAsia" w:asciiTheme="minorEastAsia" w:hAnsiTheme="minorEastAsia" w:eastAsiaTheme="minorEastAsia"/>
          <w:sz w:val="24"/>
          <w:szCs w:val="24"/>
        </w:rPr>
        <w:t>（1）在服务交付的过程中乙方通过电话支持、电子邮件支持和远程联机支持作为交付的主要手段。服务交付的完成以乙方保留的电话或者服务系统中服务记录和远程联机支持服务记录为准。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（2）在服务过程中，乙方通过电话支持、电子邮件支持和远程联机支持均无法满足甲方业务需求时，需乙方提供现场服务。服务的交付以甲方确认的乙方服务工作记录为准。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（3）乙方应按本招标项目服务需求内容提供服务。</w:t>
      </w:r>
      <w:r>
        <w:rPr>
          <w:rFonts w:asciiTheme="minorEastAsia" w:hAnsiTheme="minorEastAsia" w:eastAsiaTheme="minorEastAsia"/>
          <w:sz w:val="24"/>
          <w:szCs w:val="24"/>
        </w:rPr>
        <w:t xml:space="preserve"> </w:t>
      </w:r>
    </w:p>
    <w:p>
      <w:pPr>
        <w:spacing w:line="360" w:lineRule="auto"/>
        <w:ind w:firstLine="482"/>
        <w:outlineLvl w:val="2"/>
        <w:rPr>
          <w:b/>
          <w:bCs/>
          <w:sz w:val="24"/>
          <w:lang w:val="zh-CN"/>
        </w:rPr>
      </w:pPr>
      <w:bookmarkStart w:id="27" w:name="_Toc21423"/>
      <w:bookmarkStart w:id="28" w:name="_Toc27250"/>
      <w:bookmarkStart w:id="29" w:name="_Toc19554"/>
      <w:r>
        <w:rPr>
          <w:rFonts w:hint="eastAsia"/>
          <w:b/>
          <w:bCs/>
          <w:sz w:val="24"/>
          <w:lang w:val="zh-CN"/>
        </w:rPr>
        <w:t>6.违约责任</w:t>
      </w:r>
      <w:bookmarkEnd w:id="27"/>
      <w:bookmarkEnd w:id="28"/>
      <w:bookmarkEnd w:id="29"/>
    </w:p>
    <w:p>
      <w:pPr>
        <w:spacing w:line="360" w:lineRule="auto"/>
        <w:ind w:firstLine="480" w:firstLineChars="200"/>
        <w:rPr>
          <w:rFonts w:asciiTheme="minorEastAsia" w:hAnsiTheme="minorEastAsia" w:eastAsiaTheme="minorEastAsia"/>
          <w:sz w:val="24"/>
          <w:szCs w:val="24"/>
        </w:rPr>
      </w:pPr>
      <w:bookmarkStart w:id="30" w:name="_Toc28375"/>
      <w:bookmarkStart w:id="31" w:name="_Toc15583"/>
      <w:bookmarkStart w:id="32" w:name="_Toc16021"/>
      <w:r>
        <w:rPr>
          <w:rFonts w:hint="eastAsia" w:asciiTheme="minorEastAsia" w:hAnsiTheme="minorEastAsia" w:eastAsiaTheme="minorEastAsia"/>
          <w:sz w:val="24"/>
          <w:szCs w:val="24"/>
        </w:rPr>
        <w:t>6.1</w:t>
      </w:r>
      <w:r>
        <w:rPr>
          <w:rFonts w:asciiTheme="minorEastAsia" w:hAnsiTheme="minorEastAsia" w:eastAsiaTheme="minorEastAsia"/>
          <w:sz w:val="24"/>
          <w:szCs w:val="24"/>
        </w:rPr>
        <w:t>除不可抗力外，如果乙方没有按照本合同约定的期限</w:t>
      </w:r>
      <w:r>
        <w:rPr>
          <w:rFonts w:hint="eastAsia" w:asciiTheme="minorEastAsia" w:hAnsiTheme="minorEastAsia" w:eastAsiaTheme="minorEastAsia"/>
          <w:sz w:val="24"/>
          <w:szCs w:val="24"/>
        </w:rPr>
        <w:t>、</w:t>
      </w:r>
      <w:r>
        <w:rPr>
          <w:rFonts w:asciiTheme="minorEastAsia" w:hAnsiTheme="minorEastAsia" w:eastAsiaTheme="minorEastAsia"/>
          <w:sz w:val="24"/>
          <w:szCs w:val="24"/>
        </w:rPr>
        <w:t>地点和方式</w:t>
      </w:r>
      <w:r>
        <w:rPr>
          <w:rFonts w:hint="eastAsia" w:asciiTheme="minorEastAsia" w:hAnsiTheme="minorEastAsia" w:eastAsiaTheme="minorEastAsia"/>
          <w:sz w:val="24"/>
          <w:szCs w:val="24"/>
        </w:rPr>
        <w:t>履行</w:t>
      </w:r>
      <w:r>
        <w:rPr>
          <w:rFonts w:asciiTheme="minorEastAsia" w:hAnsiTheme="minorEastAsia" w:eastAsiaTheme="minorEastAsia"/>
          <w:sz w:val="24"/>
          <w:szCs w:val="24"/>
        </w:rPr>
        <w:t>，那么甲方可要求乙方支付违约金</w:t>
      </w:r>
      <w:r>
        <w:rPr>
          <w:rFonts w:hint="eastAsia" w:asciiTheme="minorEastAsia" w:hAnsiTheme="minorEastAsia" w:eastAsiaTheme="minorEastAsia"/>
          <w:sz w:val="24"/>
          <w:szCs w:val="24"/>
        </w:rPr>
        <w:t>，</w:t>
      </w:r>
      <w:r>
        <w:rPr>
          <w:rFonts w:asciiTheme="minorEastAsia" w:hAnsiTheme="minorEastAsia" w:eastAsiaTheme="minorEastAsia"/>
          <w:sz w:val="24"/>
          <w:szCs w:val="24"/>
        </w:rPr>
        <w:t>违约金按每迟延</w:t>
      </w:r>
      <w:r>
        <w:rPr>
          <w:rFonts w:hint="eastAsia" w:asciiTheme="minorEastAsia" w:hAnsiTheme="minorEastAsia" w:eastAsiaTheme="minorEastAsia"/>
          <w:sz w:val="24"/>
          <w:szCs w:val="24"/>
        </w:rPr>
        <w:t>履行</w:t>
      </w:r>
      <w:r>
        <w:rPr>
          <w:rFonts w:asciiTheme="minorEastAsia" w:hAnsiTheme="minorEastAsia" w:eastAsiaTheme="minorEastAsia"/>
          <w:sz w:val="24"/>
          <w:szCs w:val="24"/>
        </w:rPr>
        <w:t>一日的应提供而未</w:t>
      </w:r>
      <w:r>
        <w:rPr>
          <w:rFonts w:hint="eastAsia" w:asciiTheme="minorEastAsia" w:hAnsiTheme="minorEastAsia" w:eastAsiaTheme="minorEastAsia"/>
          <w:sz w:val="24"/>
          <w:szCs w:val="24"/>
        </w:rPr>
        <w:t>提供</w:t>
      </w:r>
      <w:r>
        <w:rPr>
          <w:rFonts w:asciiTheme="minorEastAsia" w:hAnsiTheme="minorEastAsia" w:eastAsiaTheme="minorEastAsia"/>
          <w:sz w:val="24"/>
          <w:szCs w:val="24"/>
        </w:rPr>
        <w:t>服务价格的</w:t>
      </w:r>
      <w:r>
        <w:rPr>
          <w:rFonts w:asciiTheme="minorEastAsia" w:hAnsiTheme="minorEastAsia" w:eastAsiaTheme="minorEastAsia"/>
          <w:sz w:val="24"/>
          <w:szCs w:val="24"/>
          <w:u w:val="single"/>
        </w:rPr>
        <w:t xml:space="preserve"> 1</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%计算</w:t>
      </w:r>
      <w:r>
        <w:rPr>
          <w:rFonts w:hint="eastAsia" w:asciiTheme="minorEastAsia" w:hAnsiTheme="minorEastAsia" w:eastAsiaTheme="minorEastAsia"/>
          <w:sz w:val="24"/>
          <w:szCs w:val="24"/>
        </w:rPr>
        <w:t>，</w:t>
      </w:r>
      <w:r>
        <w:rPr>
          <w:rFonts w:asciiTheme="minorEastAsia" w:hAnsiTheme="minorEastAsia" w:eastAsiaTheme="minorEastAsia"/>
          <w:sz w:val="24"/>
          <w:szCs w:val="24"/>
        </w:rPr>
        <w:t>最高限额为</w:t>
      </w:r>
      <w:r>
        <w:rPr>
          <w:rFonts w:hint="eastAsia" w:asciiTheme="minorEastAsia" w:hAnsiTheme="minorEastAsia" w:eastAsiaTheme="minorEastAsia"/>
          <w:sz w:val="24"/>
          <w:szCs w:val="24"/>
        </w:rPr>
        <w:t>本</w:t>
      </w:r>
      <w:r>
        <w:rPr>
          <w:rFonts w:asciiTheme="minorEastAsia" w:hAnsiTheme="minorEastAsia" w:eastAsiaTheme="minorEastAsia"/>
          <w:sz w:val="24"/>
          <w:szCs w:val="24"/>
        </w:rPr>
        <w:t>合同总价的</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30</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迟延</w:t>
      </w:r>
      <w:r>
        <w:rPr>
          <w:rFonts w:hint="eastAsia" w:asciiTheme="minorEastAsia" w:hAnsiTheme="minorEastAsia" w:eastAsiaTheme="minorEastAsia"/>
          <w:sz w:val="24"/>
          <w:szCs w:val="24"/>
        </w:rPr>
        <w:t>履行</w:t>
      </w:r>
      <w:r>
        <w:rPr>
          <w:rFonts w:asciiTheme="minorEastAsia" w:hAnsiTheme="minorEastAsia" w:eastAsiaTheme="minorEastAsia"/>
          <w:sz w:val="24"/>
          <w:szCs w:val="24"/>
        </w:rPr>
        <w:t>的违约金计算数额达到前述最高限额之日起</w:t>
      </w:r>
      <w:r>
        <w:rPr>
          <w:rFonts w:hint="eastAsia" w:asciiTheme="minorEastAsia" w:hAnsiTheme="minorEastAsia" w:eastAsiaTheme="minorEastAsia"/>
          <w:sz w:val="24"/>
          <w:szCs w:val="24"/>
        </w:rPr>
        <w:t>，</w:t>
      </w:r>
      <w:r>
        <w:rPr>
          <w:rFonts w:asciiTheme="minorEastAsia" w:hAnsiTheme="minorEastAsia" w:eastAsiaTheme="minorEastAsia"/>
          <w:sz w:val="24"/>
          <w:szCs w:val="24"/>
        </w:rPr>
        <w:t>甲方还有权解除本合同</w:t>
      </w:r>
      <w:r>
        <w:rPr>
          <w:rFonts w:hint="eastAsia"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6.2</w:t>
      </w:r>
      <w:r>
        <w:rPr>
          <w:rFonts w:asciiTheme="minorEastAsia" w:hAnsiTheme="minorEastAsia" w:eastAsiaTheme="minorEastAsia"/>
          <w:sz w:val="24"/>
          <w:szCs w:val="24"/>
        </w:rPr>
        <w:t>除不可抗力外，如果甲方没有按照本合同约定的付款方式付款，那么乙方可要求甲方支付违约金</w:t>
      </w:r>
      <w:r>
        <w:rPr>
          <w:rFonts w:hint="eastAsia" w:asciiTheme="minorEastAsia" w:hAnsiTheme="minorEastAsia" w:eastAsiaTheme="minorEastAsia"/>
          <w:sz w:val="24"/>
          <w:szCs w:val="24"/>
        </w:rPr>
        <w:t>，</w:t>
      </w:r>
      <w:r>
        <w:rPr>
          <w:rFonts w:asciiTheme="minorEastAsia" w:hAnsiTheme="minorEastAsia" w:eastAsiaTheme="minorEastAsia"/>
          <w:sz w:val="24"/>
          <w:szCs w:val="24"/>
        </w:rPr>
        <w:t>违约金按每迟延</w:t>
      </w:r>
      <w:r>
        <w:rPr>
          <w:rFonts w:hint="eastAsia" w:asciiTheme="minorEastAsia" w:hAnsiTheme="minorEastAsia" w:eastAsiaTheme="minorEastAsia"/>
          <w:sz w:val="24"/>
          <w:szCs w:val="24"/>
        </w:rPr>
        <w:t>付款</w:t>
      </w:r>
      <w:r>
        <w:rPr>
          <w:rFonts w:asciiTheme="minorEastAsia" w:hAnsiTheme="minorEastAsia" w:eastAsiaTheme="minorEastAsia"/>
          <w:sz w:val="24"/>
          <w:szCs w:val="24"/>
        </w:rPr>
        <w:t>一日的应付而未付款的</w:t>
      </w:r>
      <w:r>
        <w:rPr>
          <w:rFonts w:hint="eastAsia" w:asciiTheme="minorEastAsia" w:hAnsiTheme="minorEastAsia" w:eastAsiaTheme="minorEastAsia"/>
          <w:sz w:val="24"/>
          <w:szCs w:val="24"/>
          <w:u w:val="single"/>
        </w:rPr>
        <w:t xml:space="preserve"> 0.</w:t>
      </w:r>
      <w:r>
        <w:rPr>
          <w:rFonts w:asciiTheme="minorEastAsia" w:hAnsiTheme="minorEastAsia" w:eastAsiaTheme="minorEastAsia"/>
          <w:sz w:val="24"/>
          <w:szCs w:val="24"/>
          <w:u w:val="single"/>
        </w:rPr>
        <w:t>5</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%计算</w:t>
      </w:r>
      <w:r>
        <w:rPr>
          <w:rFonts w:hint="eastAsia" w:asciiTheme="minorEastAsia" w:hAnsiTheme="minorEastAsia" w:eastAsiaTheme="minorEastAsia"/>
          <w:sz w:val="24"/>
          <w:szCs w:val="24"/>
        </w:rPr>
        <w:t>，</w:t>
      </w:r>
      <w:r>
        <w:rPr>
          <w:rFonts w:asciiTheme="minorEastAsia" w:hAnsiTheme="minorEastAsia" w:eastAsiaTheme="minorEastAsia"/>
          <w:sz w:val="24"/>
          <w:szCs w:val="24"/>
        </w:rPr>
        <w:t>最高限额为</w:t>
      </w:r>
      <w:r>
        <w:rPr>
          <w:rFonts w:hint="eastAsia" w:asciiTheme="minorEastAsia" w:hAnsiTheme="minorEastAsia" w:eastAsiaTheme="minorEastAsia"/>
          <w:sz w:val="24"/>
          <w:szCs w:val="24"/>
        </w:rPr>
        <w:t>本</w:t>
      </w:r>
      <w:r>
        <w:rPr>
          <w:rFonts w:asciiTheme="minorEastAsia" w:hAnsiTheme="minorEastAsia" w:eastAsiaTheme="minorEastAsia"/>
          <w:sz w:val="24"/>
          <w:szCs w:val="24"/>
        </w:rPr>
        <w:t>合同总价的</w:t>
      </w:r>
      <w:r>
        <w:rPr>
          <w:rFonts w:hint="eastAsia" w:asciiTheme="minorEastAsia" w:hAnsiTheme="minorEastAsia" w:eastAsiaTheme="minorEastAsia"/>
          <w:sz w:val="24"/>
          <w:szCs w:val="24"/>
          <w:u w:val="single"/>
        </w:rPr>
        <w:t xml:space="preserve"> 5</w:t>
      </w:r>
      <w:r>
        <w:rPr>
          <w:rFonts w:asciiTheme="minorEastAsia" w:hAnsiTheme="minorEastAsia" w:eastAsiaTheme="minorEastAsia"/>
          <w:sz w:val="24"/>
          <w:szCs w:val="24"/>
          <w:u w:val="single"/>
        </w:rPr>
        <w:t>0</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迟延</w:t>
      </w:r>
      <w:r>
        <w:rPr>
          <w:rFonts w:hint="eastAsia" w:asciiTheme="minorEastAsia" w:hAnsiTheme="minorEastAsia" w:eastAsiaTheme="minorEastAsia"/>
          <w:sz w:val="24"/>
          <w:szCs w:val="24"/>
        </w:rPr>
        <w:t>付款</w:t>
      </w:r>
      <w:r>
        <w:rPr>
          <w:rFonts w:asciiTheme="minorEastAsia" w:hAnsiTheme="minorEastAsia" w:eastAsiaTheme="minorEastAsia"/>
          <w:sz w:val="24"/>
          <w:szCs w:val="24"/>
        </w:rPr>
        <w:t>的违约金计算数额达到前述最高限额之日起</w:t>
      </w:r>
      <w:r>
        <w:rPr>
          <w:rFonts w:hint="eastAsia" w:asciiTheme="minorEastAsia" w:hAnsiTheme="minorEastAsia" w:eastAsiaTheme="minorEastAsia"/>
          <w:sz w:val="24"/>
          <w:szCs w:val="24"/>
        </w:rPr>
        <w:t>，乙</w:t>
      </w:r>
      <w:r>
        <w:rPr>
          <w:rFonts w:asciiTheme="minorEastAsia" w:hAnsiTheme="minorEastAsia" w:eastAsiaTheme="minorEastAsia"/>
          <w:sz w:val="24"/>
          <w:szCs w:val="24"/>
        </w:rPr>
        <w:t>方有权在要求甲方支付违约金的同时</w:t>
      </w:r>
      <w:r>
        <w:rPr>
          <w:rFonts w:hint="eastAsia" w:asciiTheme="minorEastAsia" w:hAnsiTheme="minorEastAsia" w:eastAsiaTheme="minorEastAsia"/>
          <w:sz w:val="24"/>
          <w:szCs w:val="24"/>
        </w:rPr>
        <w:t>，书面通知甲方</w:t>
      </w:r>
      <w:r>
        <w:rPr>
          <w:rFonts w:asciiTheme="minorEastAsia" w:hAnsiTheme="minorEastAsia" w:eastAsiaTheme="minorEastAsia"/>
          <w:sz w:val="24"/>
          <w:szCs w:val="24"/>
        </w:rPr>
        <w:t>解除本合同</w:t>
      </w:r>
      <w:r>
        <w:rPr>
          <w:rFonts w:hint="eastAsia"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6.3在甲方履行本合同约定的义务后，乙方无故不按本合同约定履行服务，直接导致甲方大面积系统无法正常运行，如“无法收银”或“无法月结”等重大事故，每发生一次，乙方应退还甲方已支付当年维护服务费的</w:t>
      </w:r>
      <w:r>
        <w:rPr>
          <w:rFonts w:asciiTheme="minorEastAsia" w:hAnsiTheme="minorEastAsia" w:eastAsiaTheme="minorEastAsia"/>
          <w:sz w:val="24"/>
          <w:szCs w:val="24"/>
        </w:rPr>
        <w:t>6</w:t>
      </w:r>
      <w:r>
        <w:rPr>
          <w:rFonts w:hint="eastAsia" w:asciiTheme="minorEastAsia" w:hAnsiTheme="minorEastAsia" w:eastAsiaTheme="minorEastAsia"/>
          <w:sz w:val="24"/>
          <w:szCs w:val="24"/>
        </w:rPr>
        <w:t>%作为违约赔偿，并对甲方的损失（包括但不限于经营损失等）进行赔偿,乙方认可甲方的损失计算金额乙方应就双方协商一致的损失进行赔偿，如双方不能就赔偿金额达成一致，双方均有权聘请有资质的评估机构的对损失进行评估。</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4</w:t>
      </w:r>
      <w:r>
        <w:rPr>
          <w:rFonts w:hint="eastAsia" w:asciiTheme="minorEastAsia" w:hAnsiTheme="minorEastAsia" w:eastAsiaTheme="minorEastAsia"/>
          <w:sz w:val="24"/>
          <w:szCs w:val="24"/>
        </w:rPr>
        <w:t>除不可抗力外，任何一方未能履行本合同约定的其他主要义务，经催告后在合理期限内仍未履行的，或者任何一方有其他违约行为致使不能实现合同目的的，对方当事人可以书面通知违约方解除本合同；</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6.6如果出现监督管理部门在处理投诉事项期间，书面通知甲方暂停采购活动的情形，或者询问或质疑事项可能影响成交结果的，导致甲方中止履行合同的情形，均不视为甲方违约。</w:t>
      </w:r>
    </w:p>
    <w:p>
      <w:pPr>
        <w:spacing w:line="360" w:lineRule="auto"/>
        <w:ind w:firstLine="482"/>
        <w:outlineLvl w:val="2"/>
        <w:rPr>
          <w:b/>
          <w:bCs/>
          <w:sz w:val="24"/>
          <w:lang w:val="zh-CN"/>
        </w:rPr>
      </w:pPr>
      <w:r>
        <w:rPr>
          <w:rFonts w:hint="eastAsia"/>
          <w:b/>
          <w:bCs/>
          <w:sz w:val="24"/>
          <w:lang w:val="zh-CN"/>
        </w:rPr>
        <w:t>7．反猎取条款</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未经乙方书面许可，在本合同履行期间以及本合同因各种原因终止后的五年内，甲方及甲方关联公司不得以任何方式与乙方的在职工作人员或从乙方离职未满两年的工作人员建立劳动/劳务关系。如甲方违反本条项下的义务，应向乙方赔偿相当于该工作人员离职前一年度平均工资为标准的两年工资的违约金。</w:t>
      </w:r>
    </w:p>
    <w:p>
      <w:pPr>
        <w:spacing w:line="360" w:lineRule="auto"/>
        <w:ind w:firstLine="482"/>
        <w:outlineLvl w:val="2"/>
        <w:rPr>
          <w:b/>
          <w:bCs/>
          <w:sz w:val="24"/>
          <w:lang w:val="zh-CN"/>
        </w:rPr>
      </w:pPr>
      <w:r>
        <w:rPr>
          <w:rFonts w:hint="eastAsia"/>
          <w:b/>
          <w:bCs/>
          <w:sz w:val="24"/>
          <w:lang w:val="zh-CN"/>
        </w:rPr>
        <w:t>8. 反商业贿赂条款</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双方承诺禁止本方人员向对方工作人员（包括其亲友）索要、收受、提供、给予合同规定外的任何利益，包括但不限于明扣、暗扣、好处费、现金、有价证券、购物卡、实物、礼品及非物质性利益等。</w:t>
      </w:r>
    </w:p>
    <w:p>
      <w:pPr>
        <w:spacing w:line="360" w:lineRule="auto"/>
        <w:ind w:firstLine="482"/>
        <w:outlineLvl w:val="2"/>
        <w:rPr>
          <w:b/>
          <w:bCs/>
          <w:sz w:val="24"/>
          <w:lang w:val="zh-CN"/>
        </w:rPr>
      </w:pPr>
      <w:r>
        <w:rPr>
          <w:rFonts w:hint="eastAsia"/>
          <w:b/>
          <w:bCs/>
          <w:sz w:val="24"/>
          <w:lang w:val="zh-CN"/>
        </w:rPr>
        <w:t>9.不可抗力</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9.1本合同项下的不可抗力事件包括地震、塌方、地陷、洪水、台风等自然灾害和非因甲方或乙方原因而发生的火灾、爆炸以及战争、社会动乱或动荡，和因法律的变化而导致的合同双方均无法逆转的障碍。</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9.2如果发生不可抗力事件，致使一方不能履行合同时，遇有不可抗力的一方，应立即通知对方，并应在十五日内，提供不可抗力详情，并附不能履行合同的证明文件（该文件应由不可抗力发生地的公证机关出具），否则应就扩大的损失向另一方承担赔偿责任。</w:t>
      </w:r>
    </w:p>
    <w:p>
      <w:pPr>
        <w:spacing w:line="360" w:lineRule="auto"/>
        <w:ind w:firstLine="482"/>
        <w:outlineLvl w:val="2"/>
        <w:rPr>
          <w:b/>
          <w:bCs/>
          <w:sz w:val="24"/>
          <w:lang w:val="zh-CN"/>
        </w:rPr>
      </w:pPr>
      <w:r>
        <w:rPr>
          <w:rFonts w:hint="eastAsia"/>
          <w:b/>
          <w:bCs/>
          <w:sz w:val="24"/>
          <w:lang w:val="zh-CN"/>
        </w:rPr>
        <w:t>1</w:t>
      </w:r>
      <w:r>
        <w:rPr>
          <w:b/>
          <w:bCs/>
          <w:sz w:val="24"/>
          <w:lang w:val="zh-CN"/>
        </w:rPr>
        <w:t>0</w:t>
      </w:r>
      <w:r>
        <w:rPr>
          <w:rFonts w:hint="eastAsia"/>
          <w:b/>
          <w:bCs/>
          <w:sz w:val="24"/>
          <w:lang w:val="zh-CN"/>
        </w:rPr>
        <w:t>．保密条款</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10.1甲、乙双方应对在本合同履行过程中所获悉的有关对方的商业秘密、专有信息特别是与合作项目、产品和服务有关的包括但不限于合同、方案、报价、业务资料、文档等进行严格保密，若因任何原因引起以上信息流失到第三方，则对方有权追究责任。</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10.2除经对方书面同意或根据有关法律、法规规定必须向第三方披露的信息外，接收保密信息的一方不得向其他任何第三方披露保密信息或其中的任何部分。除为本合同履行之目的外，接收方亦不得使用或间接使用保密信息或其中的任何部分。乙方参与支持甲方的工作人员之间工作中的信息交流不视作违反保密条款。</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10.3以下信息不属于保密信息：</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（1）有书面证据表明接收方先前已知悉的任何信息。</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（2）非因接收方的过错而进入公共领域或因其他原因为公众所知晓的信息。</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（3）接收方其后从其他途径合法获得的信息。</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10.4本条所述的保密条款，有效期为本合同合作期间及本合同终止后三年。</w:t>
      </w:r>
    </w:p>
    <w:p>
      <w:pPr>
        <w:spacing w:line="360" w:lineRule="auto"/>
        <w:ind w:firstLine="482"/>
        <w:outlineLvl w:val="2"/>
        <w:rPr>
          <w:b/>
          <w:bCs/>
          <w:sz w:val="24"/>
          <w:lang w:val="zh-CN"/>
        </w:rPr>
      </w:pPr>
      <w:r>
        <w:rPr>
          <w:rFonts w:hint="eastAsia"/>
          <w:b/>
          <w:bCs/>
          <w:sz w:val="24"/>
          <w:lang w:val="zh-CN"/>
        </w:rPr>
        <w:t>1</w:t>
      </w:r>
      <w:r>
        <w:rPr>
          <w:b/>
          <w:bCs/>
          <w:sz w:val="24"/>
          <w:lang w:val="zh-CN"/>
        </w:rPr>
        <w:t>1.</w:t>
      </w:r>
      <w:r>
        <w:rPr>
          <w:rFonts w:hint="eastAsia"/>
          <w:b/>
          <w:bCs/>
          <w:sz w:val="24"/>
          <w:lang w:val="zh-CN"/>
        </w:rPr>
        <w:t>附则</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11.1本合同受中华人民共和国法律管辖。</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11.2本合同中甲、乙双方的权利、责任和义务仅在中华人民共和国范围内有效。</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11.3本合同的所有修改和变更需要通过双方共同签署的表示双方同意修改的书面文件才生效。</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11.4合同主体及其附件为本合同的有效组成部分，具有同等效力。如合同主体与附件发生冲突，以合同主体为准。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11.5本合同一方向另一方发送涉及本合同项下权利或义务的主张、放弃或变更等重要事宜时，必须采用书面通知。</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11.6在本合同的履行过程中需要书面通知对方当事人的，可以采取电子邮件、快递方式，电子邮件送达以邮件向本合同联系人邮箱发送成功视为送达；快递送达以快递送达至本合同首页所列地址视为送达，只要按前述任意方式送达，就视为通知方已履行了通知义务，且该通知内容已为被通知方知晓。如一方变更通讯地址，应及时通知相对方，否则由此产生的后果均由变更方承担。</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11.7如果本合同任何规定被认定为无效或不具法律效力，本合同其余部分仍将继续执行且不受影响。</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11.8任何一方没有行使或迟延行使其在本合同项下的权利，不构成或不意味着其放弃或丧失该权利。</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9</w:t>
      </w:r>
      <w:r>
        <w:rPr>
          <w:rFonts w:hint="eastAsia" w:asciiTheme="minorEastAsia" w:hAnsiTheme="minorEastAsia" w:eastAsiaTheme="minorEastAsia"/>
          <w:sz w:val="24"/>
          <w:szCs w:val="24"/>
        </w:rPr>
        <w:t>本合同被认定为无效或提前终止等情形发生时，不影响应继续存在的条款。这些条款包括但不局限于保密条款、知识产权、有限责任、法律和管辖地条款等。</w:t>
      </w:r>
    </w:p>
    <w:p>
      <w:pPr>
        <w:spacing w:line="360" w:lineRule="auto"/>
        <w:ind w:firstLine="482"/>
        <w:outlineLvl w:val="2"/>
        <w:rPr>
          <w:b/>
          <w:bCs/>
          <w:sz w:val="24"/>
          <w:lang w:val="zh-CN"/>
        </w:rPr>
      </w:pPr>
      <w:r>
        <w:rPr>
          <w:b/>
          <w:bCs/>
          <w:sz w:val="24"/>
          <w:lang w:val="zh-CN"/>
        </w:rPr>
        <w:t>12</w:t>
      </w:r>
      <w:r>
        <w:rPr>
          <w:rFonts w:hint="eastAsia"/>
          <w:b/>
          <w:bCs/>
          <w:sz w:val="24"/>
          <w:lang w:val="zh-CN"/>
        </w:rPr>
        <w:t>.合同</w:t>
      </w:r>
      <w:r>
        <w:rPr>
          <w:b/>
          <w:bCs/>
          <w:sz w:val="24"/>
          <w:lang w:val="zh-CN"/>
        </w:rPr>
        <w:t>争议的解决</w:t>
      </w:r>
      <w:bookmarkEnd w:id="30"/>
      <w:bookmarkEnd w:id="31"/>
      <w:bookmarkEnd w:id="32"/>
    </w:p>
    <w:p>
      <w:pPr>
        <w:spacing w:line="360" w:lineRule="auto"/>
        <w:ind w:firstLine="480" w:firstLineChars="200"/>
        <w:rPr>
          <w:sz w:val="24"/>
        </w:rPr>
      </w:pPr>
      <w:r>
        <w:rPr>
          <w:rFonts w:hint="eastAsia" w:asciiTheme="minorEastAsia" w:hAnsiTheme="minorEastAsia" w:eastAsiaTheme="minorEastAsia"/>
          <w:sz w:val="24"/>
          <w:szCs w:val="24"/>
        </w:rPr>
        <w:t>在执行本合同过程中如发生纠纷，双方应协商解决。协商不成的，由甲方所在地有管辖权的人民法院诉讼解决。</w:t>
      </w:r>
    </w:p>
    <w:p>
      <w:pPr>
        <w:spacing w:line="360" w:lineRule="auto"/>
        <w:ind w:firstLine="482"/>
        <w:outlineLvl w:val="2"/>
        <w:rPr>
          <w:b/>
          <w:bCs/>
          <w:sz w:val="24"/>
          <w:lang w:val="zh-CN"/>
        </w:rPr>
      </w:pPr>
      <w:bookmarkStart w:id="33" w:name="_Toc11173"/>
      <w:bookmarkStart w:id="34" w:name="_Toc7245"/>
      <w:bookmarkStart w:id="35" w:name="_Toc15322"/>
      <w:r>
        <w:rPr>
          <w:b/>
          <w:bCs/>
          <w:sz w:val="24"/>
          <w:lang w:val="zh-CN"/>
        </w:rPr>
        <w:t>13</w:t>
      </w:r>
      <w:r>
        <w:rPr>
          <w:rFonts w:hint="eastAsia"/>
          <w:b/>
          <w:bCs/>
          <w:sz w:val="24"/>
          <w:lang w:val="zh-CN"/>
        </w:rPr>
        <w:t>.本项目的需求文件作为合同附件，为合同重要组成部分。</w:t>
      </w:r>
    </w:p>
    <w:p>
      <w:pPr>
        <w:spacing w:line="360" w:lineRule="auto"/>
        <w:ind w:firstLine="482"/>
        <w:outlineLvl w:val="2"/>
        <w:rPr>
          <w:b/>
          <w:bCs/>
          <w:sz w:val="24"/>
          <w:lang w:val="zh-CN"/>
        </w:rPr>
      </w:pPr>
      <w:r>
        <w:rPr>
          <w:b/>
          <w:bCs/>
          <w:sz w:val="24"/>
          <w:lang w:val="zh-CN"/>
        </w:rPr>
        <w:t>14.合同生效</w:t>
      </w:r>
      <w:bookmarkEnd w:id="33"/>
      <w:bookmarkEnd w:id="34"/>
      <w:bookmarkEnd w:id="35"/>
    </w:p>
    <w:p>
      <w:pPr>
        <w:pStyle w:val="4"/>
        <w:ind w:firstLine="482"/>
      </w:pPr>
      <w:r>
        <w:rPr>
          <w:sz w:val="24"/>
        </w:rPr>
        <w:t>本合同自</w:t>
      </w:r>
      <w:r>
        <w:rPr>
          <w:rFonts w:hint="eastAsia"/>
          <w:sz w:val="24"/>
        </w:rPr>
        <w:t>双方当事人盖章时</w:t>
      </w:r>
      <w:r>
        <w:rPr>
          <w:sz w:val="24"/>
        </w:rPr>
        <w:t>生效。</w:t>
      </w:r>
    </w:p>
    <w:p>
      <w:pPr>
        <w:tabs>
          <w:tab w:val="left" w:pos="2394"/>
        </w:tabs>
        <w:spacing w:line="360" w:lineRule="auto"/>
        <w:ind w:firstLine="480"/>
        <w:rPr>
          <w:rFonts w:cs="宋体"/>
          <w:sz w:val="24"/>
          <w:szCs w:val="24"/>
        </w:rPr>
      </w:pPr>
      <w:r>
        <w:rPr>
          <w:rFonts w:hint="eastAsia" w:cs="宋体"/>
          <w:sz w:val="24"/>
          <w:szCs w:val="24"/>
        </w:rPr>
        <w:t xml:space="preserve">招标人（甲方）：    （公章）         投标人（乙方）：     （公章）  </w:t>
      </w:r>
    </w:p>
    <w:p>
      <w:pPr>
        <w:tabs>
          <w:tab w:val="left" w:pos="2394"/>
        </w:tabs>
        <w:spacing w:line="360" w:lineRule="auto"/>
        <w:ind w:firstLine="480"/>
        <w:rPr>
          <w:rFonts w:cs="宋体"/>
          <w:sz w:val="24"/>
          <w:szCs w:val="24"/>
        </w:rPr>
      </w:pPr>
      <w:r>
        <w:rPr>
          <w:rFonts w:hint="eastAsia" w:cs="宋体"/>
          <w:sz w:val="24"/>
          <w:szCs w:val="24"/>
        </w:rPr>
        <w:t>地址：                               地址：</w:t>
      </w:r>
    </w:p>
    <w:p>
      <w:pPr>
        <w:tabs>
          <w:tab w:val="left" w:pos="2394"/>
        </w:tabs>
        <w:spacing w:line="360" w:lineRule="auto"/>
        <w:ind w:firstLine="480"/>
        <w:rPr>
          <w:rFonts w:cs="宋体"/>
          <w:sz w:val="24"/>
          <w:szCs w:val="24"/>
        </w:rPr>
      </w:pPr>
      <w:r>
        <w:rPr>
          <w:rFonts w:hint="eastAsia" w:cs="宋体"/>
          <w:sz w:val="24"/>
          <w:szCs w:val="24"/>
        </w:rPr>
        <w:t>法定代表人：                         法定代表人：</w:t>
      </w:r>
    </w:p>
    <w:p>
      <w:pPr>
        <w:tabs>
          <w:tab w:val="left" w:pos="2394"/>
        </w:tabs>
        <w:spacing w:line="360" w:lineRule="auto"/>
        <w:ind w:firstLine="480"/>
        <w:rPr>
          <w:rFonts w:cs="宋体"/>
          <w:sz w:val="24"/>
          <w:szCs w:val="24"/>
          <w:u w:val="single"/>
        </w:rPr>
      </w:pPr>
      <w:r>
        <w:rPr>
          <w:rFonts w:hint="eastAsia" w:cs="宋体"/>
          <w:sz w:val="24"/>
          <w:szCs w:val="24"/>
        </w:rPr>
        <w:t>委托代理人：                         委托代理人：</w:t>
      </w:r>
    </w:p>
    <w:p>
      <w:pPr>
        <w:tabs>
          <w:tab w:val="left" w:pos="2394"/>
        </w:tabs>
        <w:spacing w:line="360" w:lineRule="auto"/>
        <w:ind w:firstLine="480"/>
        <w:rPr>
          <w:rFonts w:cs="宋体"/>
          <w:sz w:val="24"/>
          <w:szCs w:val="24"/>
        </w:rPr>
      </w:pPr>
      <w:r>
        <w:rPr>
          <w:rFonts w:hint="eastAsia" w:cs="宋体"/>
          <w:sz w:val="24"/>
          <w:szCs w:val="24"/>
        </w:rPr>
        <w:t>电话：                               电话：</w:t>
      </w:r>
    </w:p>
    <w:p>
      <w:pPr>
        <w:tabs>
          <w:tab w:val="left" w:pos="2394"/>
        </w:tabs>
        <w:spacing w:line="360" w:lineRule="auto"/>
        <w:ind w:firstLine="480"/>
        <w:rPr>
          <w:rFonts w:cs="宋体"/>
          <w:sz w:val="24"/>
          <w:szCs w:val="24"/>
        </w:rPr>
      </w:pPr>
      <w:r>
        <w:rPr>
          <w:rFonts w:hint="eastAsia" w:cs="宋体"/>
          <w:sz w:val="24"/>
          <w:szCs w:val="24"/>
        </w:rPr>
        <w:t>开户银行：                           开户银行：</w:t>
      </w:r>
    </w:p>
    <w:p>
      <w:pPr>
        <w:tabs>
          <w:tab w:val="left" w:pos="2394"/>
        </w:tabs>
        <w:spacing w:line="360" w:lineRule="auto"/>
        <w:ind w:firstLine="480"/>
        <w:rPr>
          <w:rFonts w:cs="宋体"/>
          <w:sz w:val="24"/>
          <w:szCs w:val="24"/>
        </w:rPr>
      </w:pPr>
      <w:r>
        <w:rPr>
          <w:rFonts w:hint="eastAsia" w:cs="宋体"/>
          <w:sz w:val="24"/>
          <w:szCs w:val="24"/>
        </w:rPr>
        <w:t>账号：                               账号：</w:t>
      </w:r>
    </w:p>
    <w:p>
      <w:pPr>
        <w:spacing w:line="360" w:lineRule="auto"/>
        <w:ind w:firstLine="480"/>
        <w:rPr>
          <w:rFonts w:cs="宋体"/>
          <w:sz w:val="24"/>
          <w:szCs w:val="24"/>
        </w:rPr>
      </w:pPr>
      <w:r>
        <w:rPr>
          <w:rFonts w:hint="eastAsia" w:cs="宋体"/>
          <w:sz w:val="24"/>
          <w:szCs w:val="24"/>
          <w:u w:val="single"/>
        </w:rPr>
        <w:t xml:space="preserve">        </w:t>
      </w:r>
      <w:r>
        <w:rPr>
          <w:rFonts w:hint="eastAsia" w:cs="宋体"/>
          <w:sz w:val="24"/>
          <w:szCs w:val="24"/>
        </w:rPr>
        <w:t>年</w:t>
      </w:r>
      <w:r>
        <w:rPr>
          <w:rFonts w:hint="eastAsia" w:cs="宋体"/>
          <w:sz w:val="24"/>
          <w:szCs w:val="24"/>
          <w:u w:val="single"/>
        </w:rPr>
        <w:t>  </w:t>
      </w:r>
      <w:r>
        <w:rPr>
          <w:rFonts w:hint="eastAsia" w:cs="宋体"/>
          <w:sz w:val="24"/>
          <w:szCs w:val="24"/>
        </w:rPr>
        <w:t>月</w:t>
      </w:r>
      <w:r>
        <w:rPr>
          <w:rFonts w:hint="eastAsia" w:cs="宋体"/>
          <w:sz w:val="24"/>
          <w:szCs w:val="24"/>
          <w:u w:val="single"/>
        </w:rPr>
        <w:t>  </w:t>
      </w:r>
      <w:r>
        <w:rPr>
          <w:rFonts w:hint="eastAsia" w:cs="宋体"/>
          <w:sz w:val="24"/>
          <w:szCs w:val="24"/>
        </w:rPr>
        <w:t xml:space="preserve">日               </w:t>
      </w:r>
      <w:r>
        <w:rPr>
          <w:rFonts w:hint="eastAsia" w:cs="宋体"/>
          <w:sz w:val="24"/>
          <w:szCs w:val="24"/>
          <w:u w:val="single"/>
        </w:rPr>
        <w:t xml:space="preserve">      </w:t>
      </w:r>
      <w:r>
        <w:rPr>
          <w:rFonts w:hint="eastAsia" w:cs="宋体"/>
          <w:sz w:val="24"/>
          <w:szCs w:val="24"/>
        </w:rPr>
        <w:t>年</w:t>
      </w:r>
      <w:r>
        <w:rPr>
          <w:rFonts w:hint="eastAsia" w:cs="宋体"/>
          <w:sz w:val="24"/>
          <w:szCs w:val="24"/>
          <w:u w:val="single"/>
        </w:rPr>
        <w:t>  </w:t>
      </w:r>
      <w:r>
        <w:rPr>
          <w:rFonts w:hint="eastAsia" w:cs="宋体"/>
          <w:sz w:val="24"/>
          <w:szCs w:val="24"/>
        </w:rPr>
        <w:t>月</w:t>
      </w:r>
      <w:r>
        <w:rPr>
          <w:rFonts w:hint="eastAsia" w:cs="宋体"/>
          <w:sz w:val="24"/>
          <w:szCs w:val="24"/>
          <w:u w:val="single"/>
        </w:rPr>
        <w:t>  </w:t>
      </w:r>
      <w:r>
        <w:rPr>
          <w:rFonts w:hint="eastAsia" w:cs="宋体"/>
          <w:sz w:val="24"/>
          <w:szCs w:val="24"/>
        </w:rPr>
        <w:t>日</w:t>
      </w:r>
    </w:p>
    <w:p>
      <w:pPr>
        <w:spacing w:before="156" w:beforeLines="50" w:after="93" w:afterLines="30" w:line="360" w:lineRule="auto"/>
        <w:ind w:firstLine="482"/>
        <w:rPr>
          <w:rFonts w:cs="宋体"/>
          <w:sz w:val="24"/>
          <w:szCs w:val="24"/>
        </w:rPr>
      </w:pPr>
      <w:r>
        <w:rPr>
          <w:rFonts w:hint="eastAsia" w:cs="宋体"/>
          <w:b/>
          <w:sz w:val="24"/>
          <w:szCs w:val="24"/>
        </w:rPr>
        <w:t>备注：本合同的约定如与本项目磋商文件的投标人须知前附表和招标人要求的约定有冲突时，以投标人须知前附表和招标人要求的约定为准。</w:t>
      </w:r>
    </w:p>
    <w:p>
      <w:pPr>
        <w:spacing w:line="360" w:lineRule="auto"/>
        <w:ind w:firstLine="482"/>
        <w:rPr>
          <w:rFonts w:asciiTheme="minorEastAsia" w:hAnsiTheme="minorEastAsia" w:eastAsiaTheme="minorEastAsia" w:cstheme="minorEastAsia"/>
          <w:b/>
          <w:kern w:val="2"/>
          <w:sz w:val="24"/>
          <w:szCs w:val="24"/>
          <w:lang w:bidi="ar"/>
        </w:rPr>
      </w:pPr>
      <w:r>
        <w:rPr>
          <w:rFonts w:hint="eastAsia" w:asciiTheme="minorEastAsia" w:hAnsiTheme="minorEastAsia" w:eastAsiaTheme="minorEastAsia" w:cstheme="minorEastAsia"/>
          <w:b/>
          <w:kern w:val="2"/>
          <w:sz w:val="24"/>
          <w:szCs w:val="24"/>
          <w:lang w:bidi="ar"/>
        </w:rPr>
        <w:t>附件：</w:t>
      </w:r>
    </w:p>
    <w:p>
      <w:pPr>
        <w:spacing w:line="360" w:lineRule="auto"/>
        <w:ind w:firstLine="480"/>
        <w:rPr>
          <w:rFonts w:asciiTheme="minorEastAsia" w:hAnsiTheme="minorEastAsia" w:eastAsiaTheme="minorEastAsia" w:cstheme="minorEastAsia"/>
          <w:bCs/>
          <w:kern w:val="2"/>
          <w:sz w:val="24"/>
          <w:szCs w:val="24"/>
          <w:lang w:bidi="ar"/>
        </w:rPr>
      </w:pPr>
      <w:r>
        <w:rPr>
          <w:rFonts w:hint="eastAsia" w:asciiTheme="minorEastAsia" w:hAnsiTheme="minorEastAsia" w:eastAsiaTheme="minorEastAsia" w:cstheme="minorEastAsia"/>
          <w:bCs/>
          <w:kern w:val="2"/>
          <w:sz w:val="24"/>
          <w:szCs w:val="24"/>
          <w:lang w:bidi="ar"/>
        </w:rPr>
        <w:t xml:space="preserve">附件1：廉政协议 </w:t>
      </w:r>
    </w:p>
    <w:p>
      <w:pPr>
        <w:spacing w:line="360" w:lineRule="auto"/>
        <w:ind w:firstLine="480"/>
        <w:rPr>
          <w:rFonts w:ascii="仿宋" w:hAnsi="仿宋" w:eastAsia="仿宋" w:cs="仿宋"/>
          <w:b/>
          <w:kern w:val="2"/>
          <w:sz w:val="24"/>
          <w:szCs w:val="24"/>
        </w:rPr>
      </w:pPr>
      <w:r>
        <w:rPr>
          <w:rFonts w:hint="eastAsia" w:asciiTheme="minorEastAsia" w:hAnsiTheme="minorEastAsia" w:eastAsiaTheme="minorEastAsia" w:cstheme="minorEastAsia"/>
          <w:bCs/>
          <w:kern w:val="2"/>
          <w:sz w:val="24"/>
          <w:szCs w:val="24"/>
          <w:lang w:bidi="ar"/>
        </w:rPr>
        <w:t>附件2：履约保证金</w:t>
      </w:r>
      <w:r>
        <w:rPr>
          <w:rFonts w:hint="eastAsia" w:ascii="仿宋" w:hAnsi="仿宋" w:eastAsia="仿宋" w:cs="仿宋"/>
          <w:bCs/>
          <w:kern w:val="2"/>
          <w:sz w:val="24"/>
          <w:szCs w:val="24"/>
          <w:lang w:bidi="ar"/>
        </w:rPr>
        <w:br w:type="page"/>
      </w:r>
    </w:p>
    <w:p>
      <w:pPr>
        <w:spacing w:line="360" w:lineRule="auto"/>
        <w:ind w:firstLine="48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bidi="ar"/>
        </w:rPr>
        <w:t>附件1：廉政协议</w:t>
      </w:r>
    </w:p>
    <w:p>
      <w:pPr>
        <w:widowControl/>
        <w:spacing w:line="360" w:lineRule="auto"/>
        <w:ind w:firstLine="482"/>
        <w:jc w:val="center"/>
        <w:rPr>
          <w:rFonts w:asciiTheme="minorEastAsia" w:hAnsiTheme="minorEastAsia" w:eastAsiaTheme="minorEastAsia" w:cstheme="minorEastAsia"/>
          <w:b/>
          <w:bCs/>
          <w:sz w:val="24"/>
          <w:szCs w:val="24"/>
          <w:lang w:bidi="ar"/>
        </w:rPr>
      </w:pPr>
    </w:p>
    <w:p>
      <w:pPr>
        <w:widowControl/>
        <w:spacing w:line="360" w:lineRule="auto"/>
        <w:ind w:firstLine="482"/>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bidi="ar"/>
        </w:rPr>
        <w:t>廉 政 协 议</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甲方：</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乙方：</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为促进双方诚信经营、廉洁从业，防范商业贿赂，保护国家、集体和当事人的合法权益，根据国家有关法律法规和廉政建设的规定，（以下称甲方）与（以下称乙方），特此订立本协议共同遵照执行。</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第一条 甲乙双方的权利和义务</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（二）严格执行的合同要求，自觉履行合同约定的相关义务。</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（三）在业务活动中坚持公开、公正、诚信、透明的原则，不得损害国家、集体利益。</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（四）建立健全廉政制度，开展廉政教育，公布举报电话，监督并认真查处违法违纪行为。</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（五）发现对方在业务活动中有违反廉政规定的行为，应及时提醒对方纠正。情节严重的，应向其上级有关部门举报、建议给予处理，并有权要求告知处理结果。</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第二条 甲方的义务</w:t>
      </w:r>
    </w:p>
    <w:p>
      <w:pPr>
        <w:widowControl/>
        <w:spacing w:line="360" w:lineRule="auto"/>
        <w:ind w:firstLine="600" w:firstLineChars="2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（一）甲方及其工作人员不得索要或接受乙方的礼金、有价证券和贵重物品，不得在乙方报销任何应由甲方单位或个人支付的费用等。</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（三） 甲方及其工作人员不得要求或者接受乙方为其住房装修、婚丧嫁娶活动、配偶子女工作安排以及出国出境、旅游等提供方便等。</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（四） 甲方工作人员不得在乙方有股权关联的企业兼职，不得向乙方介绍家属或者亲友从事与甲方业务有关的经济活动。</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（五）甲方工作人员不得以明显低于市场的价格向乙方购买房屋、汽车等物品；不得以明显高于市场的价格向乙方出售房屋、汽车等物品；不得以其他交易形式非法收受请托人财物。</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（六）甲方工作人员不得利用职务之便收受乙方以回扣、手续费、加班费、咨询费、劳务费、协调费、辛苦费等各种名义给予或赠送的钱物。</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（七）甲方工作人员不得接受乙方给予或赠送的干股或红利。</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（八）甲方任何人不得以个人的名义向乙方推荐设备、部件等供货商以及其他合作单位。</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第三条 乙方的义务</w:t>
      </w:r>
    </w:p>
    <w:p>
      <w:pPr>
        <w:widowControl/>
        <w:spacing w:line="360" w:lineRule="auto"/>
        <w:ind w:firstLine="600" w:firstLineChars="2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（一）乙方不得以任何理由向甲方及其工作人员行贿或馈赠礼金、有价证券、贵重礼品。</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（二）乙方不得以任何名义为甲方及其工作人员报销应由甲方单位或个人支付的任何费用。</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（三）乙方不得以任何理由安排甲方工作人员参加可能影响相关业务公开、公正、公平性的宴请及娱乐活动。</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（四）乙方不得为甲方单位和个人购置或提供通讯工具和高档办公用品等物品，也不得为甲方提供与工作无关的房屋、汽车等。</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（五）乙方不得与甲方工作人员就合同中的质量、数量、价格、工程量、验收等条款进行私下商谈或者达成默契。</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（六）乙方不得以回扣、手续费、加班费、咨询费、劳务费、协调费、辛苦费等各种名义向甲方工作人员给予或赠送钱物。</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（七）乙方不得向甲方工作人员提供干股或红利。</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（八）乙方须按专项纪检监察工作组（如有）要求开展相关工作。</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第四条 违约责任</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甲方投诉联系部门：    ，联系电话：    。</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（二）乙方及其工作人员违反本协议第一、三条规定的，由甲方根据具体情节和造成的后果，对乙方采取以下一种或多种处理办法：</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 xml:space="preserve">1.全额收取乙方合同履约保证金不予退还； </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2.追究乙方其他违约责任；</w:t>
      </w:r>
    </w:p>
    <w:p>
      <w:pPr>
        <w:widowControl/>
        <w:spacing w:line="360" w:lineRule="auto"/>
        <w:ind w:firstLine="480" w:firstLineChars="200"/>
        <w:jc w:val="left"/>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lang w:bidi="ar"/>
        </w:rPr>
        <w:t>3.终止或解除双方已签订的包括本合同在内的所有合同；</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甲方作出的处理意见，乙方应无条件接受并承担给甲方造成的损失，全额返还通过不正当手段从甲方获取的非法所得，并承担相应的法律责任。</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第五条 双方约定</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本协议由双方或双方上级单位负责监督。可由甲方或甲方上级单位的纪检监察部门约请乙方或乙方上级单位的纪检监察部门对本协议履行情况进行检查，提出在本协议规定范围内的处理意见。</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 xml:space="preserve">第六条  本协议有效期为甲乙双方签署之日起至合同终止。  </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第七条  本协议作为合同的附件，与本合同具有同等法律效力。</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 xml:space="preserve"> </w:t>
      </w:r>
    </w:p>
    <w:p>
      <w:pPr>
        <w:widowControl/>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甲方（盖章）：              乙方（盖章）：</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 xml:space="preserve"> </w:t>
      </w:r>
    </w:p>
    <w:p>
      <w:pPr>
        <w:widowControl/>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法定代表人或                法定代表人或</w:t>
      </w:r>
    </w:p>
    <w:p>
      <w:pPr>
        <w:widowControl/>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授权代表：                  授权代表：</w:t>
      </w:r>
    </w:p>
    <w:p>
      <w:pPr>
        <w:widowControl/>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项目经办人：</w:t>
      </w:r>
    </w:p>
    <w:p>
      <w:pPr>
        <w:pStyle w:val="13"/>
        <w:widowControl/>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合同经办人：</w:t>
      </w:r>
    </w:p>
    <w:p>
      <w:pPr>
        <w:widowControl/>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日期：                        日期：</w:t>
      </w:r>
    </w:p>
    <w:p>
      <w:pPr>
        <w:spacing w:line="360" w:lineRule="auto"/>
        <w:ind w:firstLine="48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bidi="ar"/>
        </w:rPr>
        <w:br w:type="page"/>
      </w:r>
    </w:p>
    <w:p>
      <w:pPr>
        <w:pStyle w:val="13"/>
        <w:widowControl/>
        <w:spacing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附件2：履约保证金</w:t>
      </w:r>
    </w:p>
    <w:p>
      <w:pPr>
        <w:spacing w:line="360" w:lineRule="auto"/>
        <w:ind w:firstLine="482"/>
        <w:jc w:val="center"/>
        <w:rPr>
          <w:rFonts w:asciiTheme="minorEastAsia" w:hAnsiTheme="minorEastAsia" w:eastAsiaTheme="minorEastAsia" w:cstheme="minorEastAsia"/>
          <w:b/>
          <w:bCs/>
          <w:sz w:val="24"/>
          <w:szCs w:val="24"/>
        </w:rPr>
      </w:pPr>
    </w:p>
    <w:p>
      <w:pPr>
        <w:spacing w:line="360" w:lineRule="auto"/>
        <w:ind w:firstLine="482"/>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履约保函示范文本</w:t>
      </w:r>
    </w:p>
    <w:p>
      <w:pPr>
        <w:wordWrap w:val="0"/>
        <w:spacing w:line="360" w:lineRule="auto"/>
        <w:ind w:firstLine="48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编号：           </w:t>
      </w:r>
    </w:p>
    <w:p>
      <w:pPr>
        <w:spacing w:line="360" w:lineRule="auto"/>
        <w:ind w:firstLine="480"/>
        <w:rPr>
          <w:rFonts w:asciiTheme="minorEastAsia" w:hAnsiTheme="minorEastAsia" w:eastAsiaTheme="minorEastAsia" w:cstheme="minorEastAsia"/>
          <w:sz w:val="24"/>
          <w:szCs w:val="24"/>
        </w:rPr>
      </w:pP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（受益人名称）：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鉴于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（以下简称“受益人”）与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（以下简称“申请人”）于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日就</w:t>
      </w:r>
      <w:r>
        <w:rPr>
          <w:rFonts w:hint="eastAsia" w:asciiTheme="minorEastAsia" w:hAnsiTheme="minorEastAsia" w:eastAsiaTheme="minorEastAsia" w:cstheme="minorEastAsia"/>
          <w:snapToGrid w:val="0"/>
          <w:sz w:val="24"/>
          <w:szCs w:val="24"/>
          <w:u w:val="single"/>
        </w:rPr>
        <w:t xml:space="preserve">        </w:t>
      </w:r>
      <w:r>
        <w:rPr>
          <w:rFonts w:hint="eastAsia" w:asciiTheme="minorEastAsia" w:hAnsiTheme="minorEastAsia" w:eastAsiaTheme="minorEastAsia" w:cstheme="minorEastAsia"/>
          <w:snapToGrid w:val="0"/>
          <w:sz w:val="24"/>
          <w:szCs w:val="24"/>
        </w:rPr>
        <w:t>（标段编号）的</w:t>
      </w:r>
      <w:r>
        <w:rPr>
          <w:rFonts w:hint="eastAsia" w:asciiTheme="minorEastAsia" w:hAnsiTheme="minorEastAsia" w:eastAsiaTheme="minorEastAsia" w:cstheme="minorEastAsia"/>
          <w:snapToGrid w:val="0"/>
          <w:sz w:val="24"/>
          <w:szCs w:val="24"/>
          <w:u w:val="single"/>
        </w:rPr>
        <w:t xml:space="preserve">         </w:t>
      </w:r>
      <w:r>
        <w:rPr>
          <w:rFonts w:hint="eastAsia" w:asciiTheme="minorEastAsia" w:hAnsiTheme="minorEastAsia" w:eastAsiaTheme="minorEastAsia" w:cstheme="minorEastAsia"/>
          <w:snapToGrid w:val="0"/>
          <w:sz w:val="24"/>
          <w:szCs w:val="24"/>
        </w:rPr>
        <w:t>（标段名称）</w:t>
      </w:r>
      <w:r>
        <w:rPr>
          <w:rFonts w:hint="eastAsia" w:asciiTheme="minorEastAsia" w:hAnsiTheme="minorEastAsia" w:eastAsiaTheme="minorEastAsia" w:cstheme="minorEastAsia"/>
          <w:sz w:val="24"/>
          <w:szCs w:val="24"/>
        </w:rPr>
        <w:t>有关事项协商一致共同签订</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一、本保函担保范围：承包人未按照基础合同的约定履行义务，应当向受益人承担的违约责任和赔偿因此造成的损失、利息、律师费、诉讼费用等实现债权的费用。</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二、本保函担保金额最高不超过人民币（大写）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三、本保函有效期自开立之日起至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之日止。 </w:t>
      </w:r>
    </w:p>
    <w:p>
      <w:pPr>
        <w:spacing w:line="360" w:lineRule="auto"/>
        <w:ind w:firstLine="480"/>
        <w:rPr>
          <w:rFonts w:asciiTheme="minorEastAsia" w:hAnsiTheme="minorEastAsia" w:eastAsiaTheme="minorEastAsia" w:cstheme="minorEastAsia"/>
          <w:sz w:val="24"/>
          <w:szCs w:val="24"/>
        </w:rPr>
      </w:pPr>
      <w:bookmarkStart w:id="36" w:name="_Hlk40302764"/>
      <w:r>
        <w:rPr>
          <w:rFonts w:hint="eastAsia" w:asciiTheme="minorEastAsia" w:hAnsiTheme="minorEastAsia" w:eastAsiaTheme="minorEastAsia" w:cstheme="minorEastAsia"/>
          <w:sz w:val="24"/>
          <w:szCs w:val="24"/>
        </w:rPr>
        <w:t>四、开立人承诺，在收到受益人发来的书面付款通知后的七日内无条件支付，前述书面付款通知即为付款要求之单据，且应满足以下要求：</w:t>
      </w:r>
    </w:p>
    <w:bookmarkEnd w:id="36"/>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（1）付款通知到达的日期在本保函的有效期内；</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（2）载明要求支付的金额；</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（3）载明申请人违反合同义务的条款和内容；</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（4）声明不存在合同文件约定或我国法律规定免除申请人或开立人支付责任的情形；</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（5）付款通知应在本保函有效期内到达的地址是：</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bookmarkStart w:id="37" w:name="_Hlk40303486"/>
      <w:r>
        <w:rPr>
          <w:rFonts w:hint="eastAsia" w:asciiTheme="minorEastAsia" w:hAnsiTheme="minorEastAsia" w:eastAsiaTheme="minorEastAsia" w:cstheme="minorEastAsia"/>
          <w:sz w:val="24"/>
          <w:szCs w:val="24"/>
        </w:rPr>
        <w:t>受益人发出的书面付款通知应由其法定代表人（负责人）或授权代理人签字并加盖公章。</w:t>
      </w:r>
      <w:bookmarkEnd w:id="37"/>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五、本保函项下的权利不得转让，不得设定担保。受益人未经我方书面同意转 让本保函或其项下任何权利，对我方不发生法律效力。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六、与本保函有关的基础合同不成立、不生效、无效、被撤销、被解除，不影响本保函的独立有效。 </w:t>
      </w:r>
    </w:p>
    <w:p>
      <w:pPr>
        <w:spacing w:line="360" w:lineRule="auto"/>
        <w:ind w:firstLine="480" w:firstLineChars="200"/>
        <w:rPr>
          <w:rFonts w:asciiTheme="minorEastAsia" w:hAnsiTheme="minorEastAsia" w:eastAsiaTheme="minorEastAsia" w:cstheme="minorEastAsia"/>
          <w:sz w:val="24"/>
          <w:szCs w:val="24"/>
        </w:rPr>
      </w:pPr>
      <w:bookmarkStart w:id="38" w:name="_Hlk40303383"/>
      <w:bookmarkStart w:id="39" w:name="_Hlk40354981"/>
      <w:r>
        <w:rPr>
          <w:rFonts w:hint="eastAsia" w:asciiTheme="minorEastAsia" w:hAnsiTheme="minorEastAsia" w:eastAsiaTheme="minorEastAsia" w:cstheme="minorEastAsia"/>
          <w:sz w:val="24"/>
          <w:szCs w:val="24"/>
        </w:rPr>
        <w:t xml:space="preserve">七、本保函项下的义务和责任均在保函有效期到期后自动消灭。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八、本保函适用的法律为中华人民共和国法律，因本保函产生的纠纷案件，</w:t>
      </w:r>
      <w:bookmarkEnd w:id="38"/>
      <w:r>
        <w:rPr>
          <w:rFonts w:hint="eastAsia" w:asciiTheme="minorEastAsia" w:hAnsiTheme="minorEastAsia" w:eastAsiaTheme="minorEastAsia" w:cstheme="minorEastAsia"/>
          <w:sz w:val="24"/>
          <w:szCs w:val="24"/>
        </w:rPr>
        <w:t xml:space="preserve">由受益人所在地人民法院管辖。 </w:t>
      </w:r>
    </w:p>
    <w:bookmarkEnd w:id="39"/>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九、本保函自我方法定代表人或授权代表签字并加盖公章之日起生效。 </w:t>
      </w:r>
    </w:p>
    <w:p>
      <w:pPr>
        <w:spacing w:line="360" w:lineRule="auto"/>
        <w:ind w:firstLine="480" w:firstLineChars="200"/>
        <w:rPr>
          <w:rFonts w:asciiTheme="minorEastAsia" w:hAnsiTheme="minorEastAsia" w:eastAsiaTheme="minorEastAsia" w:cstheme="minorEastAsia"/>
          <w:sz w:val="24"/>
          <w:szCs w:val="24"/>
        </w:rPr>
      </w:pPr>
    </w:p>
    <w:p>
      <w:pPr>
        <w:spacing w:line="360" w:lineRule="auto"/>
        <w:ind w:firstLine="480" w:firstLineChars="200"/>
        <w:rPr>
          <w:rFonts w:asciiTheme="minorEastAsia" w:hAnsiTheme="minorEastAsia" w:eastAsiaTheme="minorEastAsia" w:cstheme="minorEastAsia"/>
          <w:sz w:val="24"/>
          <w:szCs w:val="24"/>
        </w:rPr>
      </w:pPr>
    </w:p>
    <w:p>
      <w:pPr>
        <w:spacing w:line="360" w:lineRule="auto"/>
        <w:ind w:firstLine="480" w:firstLineChars="200"/>
        <w:rPr>
          <w:rFonts w:asciiTheme="minorEastAsia" w:hAnsiTheme="minorEastAsia" w:eastAsiaTheme="minorEastAsia" w:cstheme="minorEastAsia"/>
          <w:sz w:val="24"/>
          <w:szCs w:val="24"/>
        </w:rPr>
      </w:pP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 立 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（公章）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（签字）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xml:space="preserve">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r>
        <w:rPr>
          <w:rFonts w:hint="eastAsia" w:asciiTheme="minorEastAsia" w:hAnsiTheme="minorEastAsia" w:eastAsiaTheme="minorEastAsia" w:cstheme="minorEastAsia"/>
          <w:sz w:val="24"/>
          <w:szCs w:val="24"/>
          <w:u w:val="single"/>
        </w:rPr>
        <w:t xml:space="preserve">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 xml:space="preserve">                 </w:t>
      </w:r>
    </w:p>
    <w:p>
      <w:pPr>
        <w:spacing w:line="360" w:lineRule="auto"/>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传    真：</w:t>
      </w:r>
      <w:r>
        <w:rPr>
          <w:rFonts w:hint="eastAsia" w:asciiTheme="minorEastAsia" w:hAnsiTheme="minorEastAsia" w:eastAsiaTheme="minorEastAsia" w:cstheme="minorEastAsia"/>
          <w:sz w:val="24"/>
          <w:szCs w:val="24"/>
          <w:u w:val="single"/>
        </w:rPr>
        <w:t xml:space="preserve">                 </w:t>
      </w:r>
    </w:p>
    <w:p>
      <w:pPr>
        <w:spacing w:line="360" w:lineRule="auto"/>
        <w:ind w:left="1432" w:leftChars="200" w:hanging="1032" w:hangingChars="43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开立时间：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widowControl/>
        <w:spacing w:line="360" w:lineRule="auto"/>
        <w:ind w:firstLine="482"/>
        <w:jc w:val="left"/>
        <w:rPr>
          <w:rFonts w:asciiTheme="minorEastAsia" w:hAnsiTheme="minorEastAsia" w:eastAsiaTheme="minorEastAsia" w:cstheme="minorEastAsia"/>
          <w:b/>
          <w:sz w:val="24"/>
          <w:szCs w:val="24"/>
        </w:rPr>
      </w:pPr>
    </w:p>
    <w:p>
      <w:pPr>
        <w:spacing w:line="360" w:lineRule="auto"/>
        <w:ind w:firstLine="482"/>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pPr>
        <w:spacing w:line="360" w:lineRule="auto"/>
        <w:ind w:firstLine="562"/>
        <w:jc w:val="center"/>
        <w:outlineLvl w:val="1"/>
        <w:rPr>
          <w:rFonts w:asciiTheme="minorEastAsia" w:hAnsiTheme="minorEastAsia" w:eastAsiaTheme="minorEastAsia"/>
          <w:b/>
          <w:sz w:val="28"/>
        </w:rPr>
      </w:pPr>
      <w:bookmarkStart w:id="40" w:name="_Toc3758"/>
      <w:r>
        <w:rPr>
          <w:rFonts w:hint="eastAsia" w:asciiTheme="minorEastAsia" w:hAnsiTheme="minorEastAsia" w:eastAsiaTheme="minorEastAsia"/>
          <w:b/>
          <w:sz w:val="28"/>
        </w:rPr>
        <w:t>第六章  投标文件格式</w:t>
      </w:r>
      <w:bookmarkEnd w:id="40"/>
    </w:p>
    <w:p>
      <w:pPr>
        <w:spacing w:line="500" w:lineRule="exact"/>
        <w:ind w:firstLine="643"/>
        <w:jc w:val="center"/>
        <w:rPr>
          <w:rFonts w:asciiTheme="minorEastAsia" w:hAnsiTheme="minorEastAsia" w:eastAsiaTheme="minorEastAsia"/>
          <w:b/>
          <w:sz w:val="32"/>
        </w:rPr>
      </w:pPr>
      <w:r>
        <w:rPr>
          <w:rFonts w:hint="eastAsia" w:asciiTheme="minorEastAsia" w:hAnsiTheme="minorEastAsia" w:eastAsiaTheme="minorEastAsia"/>
          <w:b/>
          <w:sz w:val="32"/>
        </w:rPr>
        <w:t>百大集团CRM、ERP系统维保服务</w:t>
      </w:r>
    </w:p>
    <w:p>
      <w:pPr>
        <w:spacing w:line="900" w:lineRule="exact"/>
        <w:ind w:firstLine="1446"/>
        <w:jc w:val="center"/>
        <w:rPr>
          <w:rFonts w:asciiTheme="minorEastAsia" w:hAnsiTheme="minorEastAsia" w:eastAsiaTheme="minorEastAsia"/>
          <w:b/>
          <w:sz w:val="72"/>
        </w:rPr>
      </w:pPr>
    </w:p>
    <w:p>
      <w:pPr>
        <w:spacing w:line="900" w:lineRule="exact"/>
        <w:ind w:firstLine="1446"/>
        <w:jc w:val="center"/>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ind w:firstLine="1446"/>
        <w:jc w:val="center"/>
        <w:rPr>
          <w:rFonts w:asciiTheme="minorEastAsia" w:hAnsiTheme="minorEastAsia" w:eastAsiaTheme="minorEastAsia"/>
          <w:b/>
          <w:sz w:val="72"/>
        </w:rPr>
      </w:pPr>
    </w:p>
    <w:p>
      <w:pPr>
        <w:spacing w:line="900" w:lineRule="exact"/>
        <w:ind w:firstLine="1446"/>
        <w:jc w:val="center"/>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ind w:firstLine="1446"/>
        <w:jc w:val="center"/>
        <w:rPr>
          <w:rFonts w:asciiTheme="minorEastAsia" w:hAnsiTheme="minorEastAsia" w:eastAsiaTheme="minorEastAsia"/>
          <w:b/>
          <w:sz w:val="72"/>
        </w:rPr>
      </w:pPr>
    </w:p>
    <w:p>
      <w:pPr>
        <w:spacing w:line="900" w:lineRule="exact"/>
        <w:ind w:firstLine="1446"/>
        <w:jc w:val="center"/>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ind w:firstLine="1446"/>
        <w:jc w:val="center"/>
        <w:rPr>
          <w:rFonts w:asciiTheme="minorEastAsia" w:hAnsiTheme="minorEastAsia" w:eastAsiaTheme="minorEastAsia"/>
          <w:b/>
          <w:sz w:val="72"/>
        </w:rPr>
      </w:pPr>
    </w:p>
    <w:p>
      <w:pPr>
        <w:ind w:firstLine="1446"/>
        <w:jc w:val="center"/>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ind w:firstLine="1446"/>
        <w:jc w:val="center"/>
        <w:rPr>
          <w:rFonts w:asciiTheme="minorEastAsia" w:hAnsiTheme="minorEastAsia" w:eastAsiaTheme="minorEastAsia"/>
          <w:b/>
          <w:sz w:val="72"/>
        </w:rPr>
      </w:pPr>
    </w:p>
    <w:p>
      <w:pPr>
        <w:spacing w:before="156" w:beforeLines="50" w:after="156" w:afterLines="50"/>
        <w:ind w:firstLine="643"/>
        <w:jc w:val="center"/>
        <w:rPr>
          <w:rFonts w:asciiTheme="minorEastAsia" w:hAnsiTheme="minorEastAsia" w:eastAsiaTheme="minorEastAsia"/>
          <w:b/>
          <w:sz w:val="32"/>
          <w:szCs w:val="32"/>
        </w:rPr>
      </w:pPr>
    </w:p>
    <w:p>
      <w:pPr>
        <w:spacing w:after="156" w:afterLines="50" w:line="500" w:lineRule="exact"/>
        <w:ind w:firstLine="562"/>
        <w:jc w:val="center"/>
        <w:rPr>
          <w:rFonts w:asciiTheme="minorEastAsia" w:hAnsiTheme="minorEastAsia" w:eastAsiaTheme="minorEastAsia"/>
          <w:b/>
          <w:sz w:val="28"/>
          <w:szCs w:val="28"/>
        </w:rPr>
      </w:pPr>
    </w:p>
    <w:p>
      <w:pPr>
        <w:spacing w:after="156" w:afterLines="50" w:line="500" w:lineRule="exact"/>
        <w:ind w:firstLine="1446"/>
        <w:jc w:val="center"/>
        <w:rPr>
          <w:rFonts w:asciiTheme="minorEastAsia" w:hAnsiTheme="minorEastAsia" w:eastAsiaTheme="minorEastAsia"/>
          <w:b/>
          <w:sz w:val="72"/>
        </w:rPr>
      </w:pPr>
    </w:p>
    <w:p>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ind w:firstLine="643"/>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ind w:firstLine="562"/>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ind w:firstLine="482"/>
        <w:jc w:val="center"/>
        <w:outlineLvl w:val="2"/>
        <w:rPr>
          <w:rFonts w:asciiTheme="minorEastAsia" w:hAnsiTheme="minorEastAsia" w:eastAsiaTheme="minorEastAsia"/>
          <w:b/>
          <w:sz w:val="24"/>
        </w:rPr>
      </w:pPr>
      <w:bookmarkStart w:id="41" w:name="_Toc461056631"/>
      <w:bookmarkStart w:id="42" w:name="_Toc461053086"/>
      <w:bookmarkStart w:id="43" w:name="_Toc520983587"/>
      <w:r>
        <w:rPr>
          <w:rFonts w:hint="eastAsia" w:asciiTheme="minorEastAsia" w:hAnsiTheme="minorEastAsia" w:eastAsiaTheme="minorEastAsia"/>
          <w:b/>
          <w:sz w:val="24"/>
        </w:rPr>
        <w:t>一</w:t>
      </w:r>
      <w:bookmarkEnd w:id="41"/>
      <w:bookmarkEnd w:id="42"/>
      <w:r>
        <w:rPr>
          <w:rFonts w:hint="eastAsia" w:asciiTheme="minorEastAsia" w:hAnsiTheme="minorEastAsia" w:eastAsiaTheme="minorEastAsia"/>
          <w:b/>
          <w:sz w:val="24"/>
        </w:rPr>
        <w:t>、报价表格式</w:t>
      </w:r>
      <w:bookmarkEnd w:id="43"/>
    </w:p>
    <w:p>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第一轮报价</w:t>
      </w:r>
    </w:p>
    <w:p>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百大集团CRM、ERP系统维保服务  </w:t>
      </w:r>
    </w:p>
    <w:p>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2024HAFWN02552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投标人名称</w:t>
            </w:r>
          </w:p>
        </w:tc>
        <w:tc>
          <w:tcPr>
            <w:tcW w:w="3557"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磋商</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cs="@仿宋_GB2312"/>
                <w:b/>
                <w:kern w:val="2"/>
                <w:sz w:val="24"/>
              </w:rPr>
            </w:pPr>
            <w:r>
              <w:rPr>
                <w:rFonts w:hint="eastAsia" w:cs="@仿宋_GB2312"/>
                <w:b/>
                <w:kern w:val="2"/>
                <w:sz w:val="24"/>
              </w:rPr>
              <w:t>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pPr>
              <w:snapToGrid w:val="0"/>
              <w:ind w:firstLine="480"/>
              <w:rPr>
                <w:rFonts w:cs="宋体" w:asciiTheme="minorEastAsia" w:hAnsiTheme="minorEastAsia" w:eastAsiaTheme="minorEastAsia"/>
                <w:kern w:val="2"/>
                <w:sz w:val="24"/>
                <w:szCs w:val="24"/>
              </w:rPr>
            </w:pPr>
          </w:p>
          <w:p>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pPr>
              <w:snapToGrid w:val="0"/>
              <w:ind w:firstLine="482"/>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cs="宋体" w:asciiTheme="minorEastAsia" w:hAnsiTheme="minorEastAsia" w:eastAsiaTheme="minorEastAsia"/>
                <w:b/>
                <w:strike/>
                <w:kern w:val="2"/>
                <w:sz w:val="24"/>
                <w:szCs w:val="24"/>
              </w:rPr>
            </w:pPr>
            <w:r>
              <w:rPr>
                <w:rFonts w:hint="eastAsia" w:cs="宋体" w:asciiTheme="minorEastAsia" w:hAnsiTheme="minorEastAsia" w:eastAsiaTheme="minorEastAsia"/>
                <w:b/>
                <w:kern w:val="2"/>
                <w:sz w:val="24"/>
                <w:szCs w:val="24"/>
              </w:rPr>
              <w:t>服务期限</w:t>
            </w:r>
          </w:p>
        </w:tc>
        <w:tc>
          <w:tcPr>
            <w:tcW w:w="3557" w:type="pct"/>
            <w:vAlign w:val="center"/>
          </w:tcPr>
          <w:p>
            <w:pPr>
              <w:snapToGrid w:val="0"/>
              <w:rPr>
                <w:rFonts w:cs="宋体" w:asciiTheme="minorEastAsia" w:hAnsiTheme="minorEastAsia" w:eastAsiaTheme="minorEastAsia"/>
                <w:b/>
                <w:strike/>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pPr>
              <w:rPr>
                <w:rFonts w:cs="宋体" w:asciiTheme="minorEastAsia" w:hAnsiTheme="minorEastAsia" w:eastAsiaTheme="minorEastAsia"/>
                <w:b/>
                <w:kern w:val="2"/>
                <w:sz w:val="24"/>
                <w:szCs w:val="24"/>
              </w:rPr>
            </w:pPr>
          </w:p>
        </w:tc>
      </w:tr>
    </w:tbl>
    <w:p>
      <w:pPr>
        <w:spacing w:line="440" w:lineRule="exact"/>
        <w:ind w:firstLine="4800" w:firstLineChars="2000"/>
        <w:rPr>
          <w:rFonts w:cs="@仿宋_GB2312"/>
          <w:kern w:val="2"/>
          <w:sz w:val="24"/>
          <w:szCs w:val="24"/>
          <w:u w:val="single"/>
        </w:rPr>
      </w:pPr>
      <w:r>
        <w:rPr>
          <w:rFonts w:hint="eastAsia" w:cs="@仿宋_GB2312"/>
          <w:kern w:val="2"/>
          <w:sz w:val="24"/>
          <w:szCs w:val="24"/>
        </w:rPr>
        <w:t>投标人电子签章或公章：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pPr>
        <w:adjustRightInd w:val="0"/>
        <w:snapToGrid w:val="0"/>
        <w:spacing w:line="360" w:lineRule="auto"/>
        <w:ind w:firstLine="482"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b/>
          <w:bCs/>
          <w:kern w:val="2"/>
          <w:sz w:val="24"/>
          <w:szCs w:val="24"/>
        </w:rPr>
        <w:t>1.本表内容根据磋商文件要求包括了磋商文件要求提供的全部内容的所有费用。</w:t>
      </w:r>
    </w:p>
    <w:p>
      <w:pPr>
        <w:adjustRightInd w:val="0"/>
        <w:snapToGrid w:val="0"/>
        <w:spacing w:line="360" w:lineRule="auto"/>
        <w:ind w:firstLine="482" w:firstLineChars="200"/>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2.特殊事项在备注</w:t>
      </w:r>
      <w:r>
        <w:rPr>
          <w:rFonts w:hint="eastAsia" w:cs="宋体" w:asciiTheme="minorEastAsia" w:hAnsiTheme="minorEastAsia" w:eastAsiaTheme="minorEastAsia"/>
          <w:b/>
          <w:kern w:val="2"/>
          <w:sz w:val="24"/>
          <w:szCs w:val="24"/>
        </w:rPr>
        <w:t>说明</w:t>
      </w:r>
      <w:r>
        <w:rPr>
          <w:rFonts w:hint="eastAsia" w:cs="宋体" w:asciiTheme="minorEastAsia" w:hAnsiTheme="minorEastAsia" w:eastAsiaTheme="minorEastAsia"/>
          <w:b/>
          <w:bCs/>
          <w:kern w:val="2"/>
          <w:sz w:val="24"/>
          <w:szCs w:val="24"/>
        </w:rPr>
        <w:t>中注明。</w:t>
      </w:r>
    </w:p>
    <w:p>
      <w:pPr>
        <w:adjustRightInd w:val="0"/>
        <w:snapToGrid w:val="0"/>
        <w:spacing w:line="360" w:lineRule="auto"/>
        <w:ind w:firstLine="482"/>
        <w:rPr>
          <w:b/>
          <w:sz w:val="24"/>
          <w:szCs w:val="28"/>
        </w:rPr>
      </w:pPr>
      <w:r>
        <w:rPr>
          <w:rFonts w:hint="eastAsia"/>
          <w:b/>
          <w:sz w:val="24"/>
          <w:szCs w:val="28"/>
        </w:rPr>
        <w:br w:type="page"/>
      </w:r>
    </w:p>
    <w:p>
      <w:pPr>
        <w:spacing w:line="360" w:lineRule="auto"/>
        <w:ind w:firstLine="482"/>
        <w:jc w:val="center"/>
        <w:outlineLvl w:val="2"/>
        <w:rPr>
          <w:rFonts w:asciiTheme="minorEastAsia" w:hAnsiTheme="minorEastAsia" w:eastAsiaTheme="minorEastAsia"/>
          <w:b/>
          <w:sz w:val="24"/>
        </w:rPr>
      </w:pPr>
      <w:bookmarkStart w:id="44" w:name="_Toc461053087"/>
      <w:bookmarkStart w:id="45" w:name="_Toc461056632"/>
      <w:bookmarkStart w:id="46" w:name="_Toc520983588"/>
      <w:r>
        <w:rPr>
          <w:rFonts w:hint="eastAsia" w:asciiTheme="minorEastAsia" w:hAnsiTheme="minorEastAsia" w:eastAsiaTheme="minorEastAsia"/>
          <w:b/>
          <w:sz w:val="24"/>
        </w:rPr>
        <w:t>二</w:t>
      </w:r>
      <w:bookmarkEnd w:id="44"/>
      <w:bookmarkEnd w:id="45"/>
      <w:r>
        <w:rPr>
          <w:rFonts w:hint="eastAsia" w:asciiTheme="minorEastAsia" w:hAnsiTheme="minorEastAsia" w:eastAsiaTheme="minorEastAsia"/>
          <w:b/>
          <w:sz w:val="24"/>
        </w:rPr>
        <w:t>、第_____轮报价</w:t>
      </w:r>
      <w:bookmarkEnd w:id="46"/>
    </w:p>
    <w:p>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百大集团CRM、ERP系统维保服务  </w:t>
      </w:r>
    </w:p>
    <w:p>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2024HAFWN02552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490"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磋商</w:t>
            </w:r>
            <w:r>
              <w:rPr>
                <w:rFonts w:hint="eastAsia" w:cs="宋体" w:asciiTheme="minorEastAsia" w:hAnsiTheme="minorEastAsia" w:eastAsiaTheme="minorEastAsia"/>
                <w:b/>
                <w:kern w:val="2"/>
                <w:sz w:val="24"/>
                <w:szCs w:val="24"/>
              </w:rPr>
              <w:t>范围</w:t>
            </w:r>
          </w:p>
        </w:tc>
        <w:tc>
          <w:tcPr>
            <w:tcW w:w="3490"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pPr>
              <w:spacing w:line="360" w:lineRule="auto"/>
              <w:jc w:val="center"/>
              <w:rPr>
                <w:rFonts w:cs="@仿宋_GB2312"/>
                <w:b/>
                <w:bCs/>
                <w:kern w:val="2"/>
                <w:sz w:val="24"/>
                <w:szCs w:val="28"/>
              </w:rPr>
            </w:pPr>
            <w:r>
              <w:rPr>
                <w:rFonts w:hint="eastAsia" w:cs="@仿宋_GB2312"/>
                <w:b/>
                <w:bCs/>
                <w:kern w:val="2"/>
                <w:sz w:val="24"/>
                <w:szCs w:val="28"/>
              </w:rPr>
              <w:t>最终投标报价</w:t>
            </w:r>
          </w:p>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0" w:type="pct"/>
            <w:vAlign w:val="center"/>
          </w:tcPr>
          <w:p>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服务期限</w:t>
            </w:r>
          </w:p>
        </w:tc>
        <w:tc>
          <w:tcPr>
            <w:tcW w:w="3490" w:type="pct"/>
            <w:vAlign w:val="center"/>
          </w:tcPr>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0" w:type="pct"/>
          </w:tcPr>
          <w:p>
            <w:pPr>
              <w:rPr>
                <w:rFonts w:cs="宋体" w:asciiTheme="minorEastAsia" w:hAnsiTheme="minorEastAsia" w:eastAsiaTheme="minorEastAsia"/>
                <w:b/>
                <w:kern w:val="2"/>
                <w:sz w:val="24"/>
                <w:szCs w:val="24"/>
              </w:rPr>
            </w:pPr>
            <w:r>
              <w:rPr>
                <w:rFonts w:hint="eastAsia" w:cs="宋体" w:asciiTheme="minorEastAsia" w:hAnsiTheme="minorEastAsia" w:eastAsiaTheme="minorEastAsia"/>
                <w:b/>
                <w:i/>
                <w:kern w:val="2"/>
                <w:sz w:val="24"/>
                <w:szCs w:val="24"/>
              </w:rPr>
              <w:t>（此处可补充评审小组根据与投标人磋商情况变动的磋商文件的内容，包括招标需求中的技术、服务要求以及合同草案条款。）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评审小组签字</w:t>
            </w:r>
          </w:p>
        </w:tc>
        <w:tc>
          <w:tcPr>
            <w:tcW w:w="3490" w:type="pct"/>
          </w:tcPr>
          <w:p>
            <w:pPr>
              <w:rPr>
                <w:rFonts w:cs="宋体" w:asciiTheme="minorEastAsia" w:hAnsiTheme="minorEastAsia" w:eastAsiaTheme="minorEastAsia"/>
                <w:b/>
                <w:kern w:val="2"/>
                <w:sz w:val="24"/>
                <w:szCs w:val="24"/>
              </w:rPr>
            </w:pPr>
          </w:p>
        </w:tc>
      </w:tr>
    </w:tbl>
    <w:p>
      <w:pPr>
        <w:spacing w:line="440" w:lineRule="exact"/>
        <w:ind w:firstLine="3600" w:firstLineChars="1500"/>
        <w:rPr>
          <w:rFonts w:cs="@仿宋_GB2312"/>
          <w:kern w:val="2"/>
          <w:sz w:val="24"/>
          <w:szCs w:val="24"/>
          <w:u w:val="single"/>
        </w:rPr>
      </w:pPr>
      <w:r>
        <w:rPr>
          <w:rFonts w:hint="eastAsia" w:cs="@仿宋_GB2312"/>
          <w:kern w:val="2"/>
          <w:sz w:val="24"/>
          <w:szCs w:val="24"/>
        </w:rPr>
        <w:t>投标人电子签章或公章：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pPr>
        <w:spacing w:line="440" w:lineRule="exact"/>
        <w:ind w:firstLine="3600" w:firstLineChars="15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pPr>
        <w:spacing w:line="360" w:lineRule="auto"/>
        <w:ind w:firstLine="482"/>
        <w:jc w:val="left"/>
        <w:rPr>
          <w:rFonts w:cs="宋体" w:asciiTheme="minorEastAsia" w:hAnsiTheme="minorEastAsia" w:eastAsiaTheme="minorEastAsia"/>
          <w:b/>
          <w:bCs/>
          <w:kern w:val="2"/>
          <w:sz w:val="24"/>
          <w:szCs w:val="24"/>
        </w:rPr>
      </w:pPr>
    </w:p>
    <w:p>
      <w:pPr>
        <w:spacing w:line="360" w:lineRule="auto"/>
        <w:jc w:val="left"/>
        <w:rPr>
          <w:rFonts w:eastAsiaTheme="minorEastAsia"/>
          <w:bCs/>
          <w:color w:val="0000FF"/>
          <w:sz w:val="24"/>
        </w:rPr>
      </w:pPr>
      <w:r>
        <w:rPr>
          <w:rFonts w:hint="eastAsia" w:cs="宋体" w:asciiTheme="minorEastAsia" w:hAnsiTheme="minorEastAsia" w:eastAsiaTheme="minorEastAsia"/>
          <w:b/>
          <w:bCs/>
          <w:kern w:val="2"/>
          <w:sz w:val="24"/>
          <w:szCs w:val="24"/>
        </w:rPr>
        <w:t>注：</w:t>
      </w:r>
      <w:r>
        <w:rPr>
          <w:rFonts w:hint="eastAsia" w:cs="@仿宋_GB2312"/>
          <w:b/>
          <w:bCs/>
          <w:kern w:val="2"/>
          <w:sz w:val="24"/>
        </w:rPr>
        <w:t>本页报价表由投标人在接到报价通知后依据磋商情况填写，并在规定时间内提交。</w:t>
      </w:r>
    </w:p>
    <w:p>
      <w:pPr>
        <w:widowControl/>
        <w:ind w:firstLine="480"/>
        <w:jc w:val="left"/>
        <w:rPr>
          <w:bCs/>
          <w:sz w:val="24"/>
        </w:rPr>
      </w:pPr>
      <w:r>
        <w:rPr>
          <w:bCs/>
          <w:sz w:val="24"/>
        </w:rPr>
        <w:br w:type="page"/>
      </w:r>
    </w:p>
    <w:p>
      <w:pPr>
        <w:widowControl/>
        <w:ind w:firstLine="482"/>
        <w:jc w:val="left"/>
        <w:rPr>
          <w:rFonts w:asciiTheme="minorEastAsia" w:hAnsiTheme="minorEastAsia" w:eastAsiaTheme="minorEastAsia"/>
          <w:b/>
          <w:sz w:val="24"/>
        </w:rPr>
      </w:pPr>
      <w:bookmarkStart w:id="47" w:name="_Toc520983591"/>
    </w:p>
    <w:p>
      <w:pPr>
        <w:spacing w:line="360" w:lineRule="auto"/>
        <w:ind w:firstLine="482"/>
        <w:jc w:val="center"/>
        <w:outlineLvl w:val="2"/>
        <w:rPr>
          <w:rFonts w:asciiTheme="minorEastAsia" w:hAnsiTheme="minorEastAsia" w:eastAsiaTheme="minorEastAsia"/>
          <w:b/>
          <w:sz w:val="24"/>
        </w:rPr>
      </w:pPr>
      <w:r>
        <w:rPr>
          <w:rFonts w:hint="eastAsia" w:asciiTheme="minorEastAsia" w:hAnsiTheme="minorEastAsia" w:eastAsiaTheme="minorEastAsia"/>
          <w:b/>
          <w:sz w:val="24"/>
        </w:rPr>
        <w:t>三、投标函</w:t>
      </w:r>
      <w:bookmarkEnd w:id="47"/>
    </w:p>
    <w:p>
      <w:pPr>
        <w:spacing w:line="360" w:lineRule="auto"/>
        <w:rPr>
          <w:rFonts w:cs="宋体" w:asciiTheme="minorEastAsia" w:hAnsiTheme="minorEastAsia" w:eastAsiaTheme="minorEastAsia"/>
          <w:b/>
          <w:kern w:val="2"/>
          <w:sz w:val="24"/>
          <w:szCs w:val="24"/>
          <w:u w:val="single"/>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rPr>
        <w:t>某单位</w:t>
      </w:r>
    </w:p>
    <w:p>
      <w:pPr>
        <w:spacing w:line="360" w:lineRule="auto"/>
        <w:ind w:firstLine="482" w:firstLineChars="200"/>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u w:val="single"/>
        </w:rPr>
        <w:t>安徽公共资源交易集团项目管理有限公司</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根据贵方的磋商文件，我方承诺如下：</w:t>
      </w:r>
    </w:p>
    <w:p>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1.经踏勘项目现场和研究上述磋商文件的磋商须知、合同条款、招标人要求及其他有关文件后，我方接受上述文件要求。我方</w:t>
      </w:r>
      <w:r>
        <w:rPr>
          <w:rFonts w:hint="eastAsia" w:cs="宋体" w:asciiTheme="minorEastAsia" w:hAnsiTheme="minorEastAsia" w:eastAsiaTheme="minorEastAsia"/>
          <w:bCs/>
          <w:kern w:val="2"/>
          <w:sz w:val="24"/>
          <w:szCs w:val="24"/>
        </w:rPr>
        <w:t>承诺按本磋商文件、合同条款和招标人要求承担上述项目的全部内容。</w:t>
      </w:r>
    </w:p>
    <w:p>
      <w:pPr>
        <w:pStyle w:val="4"/>
        <w:spacing w:before="0" w:after="0" w:line="360" w:lineRule="auto"/>
        <w:ind w:firstLine="480" w:firstLineChars="200"/>
        <w:rPr>
          <w:rFonts w:cs="宋体" w:asciiTheme="minorEastAsia" w:hAnsiTheme="minorEastAsia" w:eastAsiaTheme="minorEastAsia"/>
          <w:b w:val="0"/>
          <w:bCs w:val="0"/>
          <w:kern w:val="2"/>
          <w:sz w:val="24"/>
          <w:szCs w:val="24"/>
        </w:rPr>
      </w:pPr>
      <w:r>
        <w:rPr>
          <w:rFonts w:hint="eastAsia" w:cs="宋体" w:asciiTheme="minorEastAsia" w:hAnsiTheme="minorEastAsia" w:eastAsiaTheme="minorEastAsia"/>
          <w:b w:val="0"/>
          <w:bCs w:val="0"/>
          <w:kern w:val="2"/>
          <w:sz w:val="24"/>
          <w:szCs w:val="24"/>
        </w:rPr>
        <w:t>2.我方已详细审核全部磋商文件，包括磋商文件的补疑、澄清、变更或补充（如有），参考资料及有关附件，我方正式认可并遵守本次磋商文件，并对磋商文件各项条款（包括磋商时间）、规定及要求均无异议。且我方自愿放弃针对上述各项条款提出异议的权利。</w:t>
      </w:r>
    </w:p>
    <w:p>
      <w:pPr>
        <w:spacing w:line="360" w:lineRule="auto"/>
        <w:ind w:firstLine="480" w:firstLineChars="200"/>
        <w:rPr>
          <w:sz w:val="24"/>
        </w:rPr>
      </w:pPr>
      <w:r>
        <w:rPr>
          <w:rFonts w:hint="eastAsia"/>
          <w:sz w:val="24"/>
        </w:rPr>
        <w:t>3.如我方中标，我方承诺愿意按磋商文件规定缴纳履约保证金和代理费用。按本次磋商文件规定及</w:t>
      </w:r>
      <w:r>
        <w:rPr>
          <w:rFonts w:cs="宋体"/>
          <w:sz w:val="24"/>
          <w:szCs w:val="24"/>
        </w:rPr>
        <w:t>最终投标报价</w:t>
      </w:r>
      <w:r>
        <w:rPr>
          <w:rFonts w:hint="eastAsia"/>
          <w:sz w:val="24"/>
        </w:rPr>
        <w:t>承诺提供服务。</w:t>
      </w:r>
    </w:p>
    <w:p>
      <w:pPr>
        <w:spacing w:line="360" w:lineRule="auto"/>
        <w:ind w:firstLine="480" w:firstLineChars="200"/>
        <w:rPr>
          <w:sz w:val="24"/>
        </w:rPr>
      </w:pPr>
      <w:r>
        <w:rPr>
          <w:rFonts w:hint="eastAsia"/>
          <w:sz w:val="24"/>
        </w:rPr>
        <w:t>4.我方根据本次磋商文件的规定，严格履行合同的责任和义务</w:t>
      </w:r>
      <w:r>
        <w:rPr>
          <w:sz w:val="24"/>
        </w:rPr>
        <w:t>,</w:t>
      </w:r>
      <w:r>
        <w:rPr>
          <w:rFonts w:hint="eastAsia"/>
          <w:sz w:val="24"/>
        </w:rPr>
        <w:t>并保证于你方要求的日期内完成合同规定的全部义务。</w:t>
      </w:r>
    </w:p>
    <w:p>
      <w:pPr>
        <w:spacing w:line="360" w:lineRule="auto"/>
        <w:ind w:firstLine="480" w:firstLineChars="200"/>
        <w:rPr>
          <w:sz w:val="24"/>
        </w:rPr>
      </w:pPr>
      <w:r>
        <w:rPr>
          <w:rFonts w:hint="eastAsia"/>
          <w:sz w:val="24"/>
        </w:rPr>
        <w:t>5.我方同意按你方要求在磋商规定时间内向你方提供与其磋商有关的任何证据或补充资料，否则，我方的投标文件可被你方拒绝。</w:t>
      </w:r>
    </w:p>
    <w:p>
      <w:pPr>
        <w:spacing w:line="360" w:lineRule="auto"/>
        <w:ind w:firstLine="480" w:firstLineChars="200"/>
        <w:rPr>
          <w:sz w:val="24"/>
        </w:rPr>
      </w:pPr>
      <w:r>
        <w:rPr>
          <w:rFonts w:hint="eastAsia"/>
          <w:sz w:val="24"/>
        </w:rPr>
        <w:t>6.我方完全理解你方不一定接受最低报价的磋商。</w:t>
      </w:r>
    </w:p>
    <w:p>
      <w:pPr>
        <w:spacing w:line="360" w:lineRule="auto"/>
        <w:ind w:firstLine="480" w:firstLineChars="200"/>
        <w:rPr>
          <w:sz w:val="24"/>
        </w:rPr>
      </w:pPr>
      <w:r>
        <w:rPr>
          <w:rFonts w:hint="eastAsia"/>
          <w:sz w:val="24"/>
        </w:rPr>
        <w:t>7.我方同意磋商文件规定的付款方式、服务期限。</w:t>
      </w:r>
    </w:p>
    <w:p>
      <w:pPr>
        <w:spacing w:line="360" w:lineRule="auto"/>
        <w:ind w:firstLine="480" w:firstLineChars="200"/>
        <w:rPr>
          <w:sz w:val="24"/>
        </w:rPr>
      </w:pPr>
      <w:r>
        <w:rPr>
          <w:rFonts w:hint="eastAsia"/>
          <w:sz w:val="24"/>
        </w:rPr>
        <w:t>8.我方对投标文件中所提供资料、文件、证书及证件的真实性和有效性负责。</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9.我方同意所提交的投标文件在磋商文件规定的磋商有效期内有效，在此期间内如果中标，我方将受此约束。</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10.除非另外达成协议并生效，你方的中标通知书和本投标文件以及磋商文件、磋商文件澄清、修改、补充将成为约束双方的合同文件的组成部分。</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11.我方不存在磋商公告中“投标人资格要求”的“不良信用记录情形”规定的任何一种情形。</w:t>
      </w:r>
    </w:p>
    <w:p>
      <w:pPr>
        <w:spacing w:line="360" w:lineRule="auto"/>
        <w:ind w:firstLine="482" w:firstLineChars="200"/>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12.我方声明下述内容真实有效，如有虚假，将依法承担相应责任：</w:t>
      </w:r>
    </w:p>
    <w:p>
      <w:pPr>
        <w:spacing w:line="360" w:lineRule="auto"/>
        <w:ind w:firstLine="482" w:firstLineChars="200"/>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与我单位存在单位负责人为同一人或者存在直接控股、管理关系的其他法人单位信息如下：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widowControl/>
              <w:spacing w:before="156" w:beforeLines="50" w:after="10"/>
              <w:ind w:firstLine="480"/>
              <w:jc w:val="center"/>
              <w:rPr>
                <w:rFonts w:cs="宋体"/>
                <w:sz w:val="24"/>
                <w:szCs w:val="24"/>
                <w:lang w:bidi="ar"/>
              </w:rPr>
            </w:pPr>
            <w:r>
              <w:rPr>
                <w:rFonts w:hint="eastAsia" w:cs="宋体"/>
                <w:sz w:val="24"/>
                <w:szCs w:val="24"/>
                <w:lang w:bidi="ar"/>
              </w:rPr>
              <w:t>序号</w:t>
            </w:r>
          </w:p>
        </w:tc>
        <w:tc>
          <w:tcPr>
            <w:tcW w:w="2841" w:type="dxa"/>
          </w:tcPr>
          <w:p>
            <w:pPr>
              <w:pStyle w:val="19"/>
              <w:spacing w:before="156" w:beforeLines="50" w:after="10"/>
              <w:ind w:firstLine="480"/>
              <w:jc w:val="center"/>
              <w:rPr>
                <w:rFonts w:ascii="宋体" w:hAnsi="宋体" w:eastAsia="宋体" w:cs="宋体"/>
                <w:sz w:val="24"/>
                <w:lang w:val="en-US" w:bidi="ar"/>
              </w:rPr>
            </w:pPr>
            <w:r>
              <w:rPr>
                <w:rFonts w:hint="eastAsia" w:ascii="宋体" w:hAnsi="宋体" w:eastAsia="宋体" w:cs="宋体"/>
                <w:sz w:val="24"/>
                <w:lang w:val="en-US" w:bidi="ar"/>
              </w:rPr>
              <w:t>单位名称</w:t>
            </w:r>
          </w:p>
        </w:tc>
        <w:tc>
          <w:tcPr>
            <w:tcW w:w="2841" w:type="dxa"/>
          </w:tcPr>
          <w:p>
            <w:pPr>
              <w:pStyle w:val="19"/>
              <w:spacing w:before="156" w:beforeLines="50" w:after="10"/>
              <w:ind w:firstLine="480"/>
              <w:jc w:val="center"/>
              <w:rPr>
                <w:rFonts w:ascii="宋体" w:hAnsi="宋体" w:eastAsia="宋体" w:cs="宋体"/>
                <w:sz w:val="24"/>
                <w:lang w:val="en-US" w:bidi="ar"/>
              </w:rPr>
            </w:pPr>
            <w:r>
              <w:rPr>
                <w:rFonts w:hint="eastAsia" w:ascii="宋体" w:hAnsi="宋体" w:eastAsia="宋体" w:cs="宋体"/>
                <w:sz w:val="24"/>
                <w:lang w:val="en-US"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19"/>
              <w:spacing w:before="156" w:beforeLines="50" w:after="10"/>
              <w:ind w:firstLine="480"/>
              <w:jc w:val="center"/>
              <w:rPr>
                <w:rFonts w:ascii="宋体" w:hAnsi="宋体" w:eastAsia="宋体" w:cs="宋体"/>
                <w:sz w:val="24"/>
                <w:lang w:val="en-US" w:bidi="ar"/>
              </w:rPr>
            </w:pPr>
            <w:r>
              <w:rPr>
                <w:rFonts w:hint="eastAsia" w:ascii="宋体" w:hAnsi="宋体" w:eastAsia="宋体" w:cs="宋体"/>
                <w:sz w:val="24"/>
                <w:lang w:val="en-US" w:bidi="ar"/>
              </w:rPr>
              <w:t>1</w:t>
            </w:r>
          </w:p>
        </w:tc>
        <w:tc>
          <w:tcPr>
            <w:tcW w:w="2841" w:type="dxa"/>
          </w:tcPr>
          <w:p>
            <w:pPr>
              <w:pStyle w:val="19"/>
              <w:spacing w:before="156" w:beforeLines="50" w:after="10"/>
              <w:ind w:firstLine="480"/>
              <w:jc w:val="center"/>
              <w:rPr>
                <w:rFonts w:ascii="宋体" w:hAnsi="宋体" w:eastAsia="宋体" w:cs="宋体"/>
                <w:sz w:val="24"/>
                <w:lang w:val="en-US" w:bidi="ar"/>
              </w:rPr>
            </w:pPr>
          </w:p>
        </w:tc>
        <w:tc>
          <w:tcPr>
            <w:tcW w:w="2841" w:type="dxa"/>
          </w:tcPr>
          <w:p>
            <w:pPr>
              <w:pStyle w:val="19"/>
              <w:spacing w:before="156" w:beforeLines="50" w:after="10"/>
              <w:ind w:firstLine="480"/>
              <w:jc w:val="center"/>
              <w:rPr>
                <w:rFonts w:ascii="宋体" w:hAnsi="宋体" w:eastAsia="宋体" w:cs="宋体"/>
                <w:sz w:val="24"/>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19"/>
              <w:spacing w:before="156" w:beforeLines="50" w:after="10"/>
              <w:ind w:firstLine="480"/>
              <w:jc w:val="center"/>
              <w:rPr>
                <w:rFonts w:ascii="宋体" w:hAnsi="宋体" w:eastAsia="宋体" w:cs="宋体"/>
                <w:sz w:val="24"/>
                <w:lang w:val="en-US" w:bidi="ar"/>
              </w:rPr>
            </w:pPr>
            <w:r>
              <w:rPr>
                <w:rFonts w:hint="eastAsia" w:ascii="宋体" w:hAnsi="宋体" w:eastAsia="宋体" w:cs="宋体"/>
                <w:sz w:val="24"/>
                <w:lang w:val="en-US" w:bidi="ar"/>
              </w:rPr>
              <w:t>2</w:t>
            </w:r>
          </w:p>
        </w:tc>
        <w:tc>
          <w:tcPr>
            <w:tcW w:w="2841" w:type="dxa"/>
          </w:tcPr>
          <w:p>
            <w:pPr>
              <w:pStyle w:val="19"/>
              <w:spacing w:before="156" w:beforeLines="50" w:after="10"/>
              <w:ind w:firstLine="480"/>
              <w:jc w:val="center"/>
              <w:rPr>
                <w:rFonts w:ascii="宋体" w:hAnsi="宋体" w:eastAsia="宋体" w:cs="宋体"/>
                <w:sz w:val="24"/>
                <w:lang w:val="en-US" w:bidi="ar"/>
              </w:rPr>
            </w:pPr>
          </w:p>
        </w:tc>
        <w:tc>
          <w:tcPr>
            <w:tcW w:w="2841" w:type="dxa"/>
          </w:tcPr>
          <w:p>
            <w:pPr>
              <w:pStyle w:val="19"/>
              <w:spacing w:before="156" w:beforeLines="50" w:after="10"/>
              <w:ind w:firstLine="480"/>
              <w:jc w:val="center"/>
              <w:rPr>
                <w:rFonts w:ascii="宋体" w:hAnsi="宋体" w:eastAsia="宋体" w:cs="宋体"/>
                <w:sz w:val="24"/>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19"/>
              <w:spacing w:before="156" w:beforeLines="50" w:after="10"/>
              <w:ind w:firstLine="480"/>
              <w:jc w:val="center"/>
              <w:rPr>
                <w:rFonts w:ascii="宋体" w:hAnsi="宋体" w:eastAsia="宋体" w:cs="宋体"/>
                <w:color w:val="000000"/>
                <w:sz w:val="24"/>
                <w:highlight w:val="yellow"/>
                <w:lang w:val="en-US" w:bidi="ar"/>
              </w:rPr>
            </w:pPr>
          </w:p>
        </w:tc>
        <w:tc>
          <w:tcPr>
            <w:tcW w:w="2841" w:type="dxa"/>
          </w:tcPr>
          <w:p>
            <w:pPr>
              <w:pStyle w:val="19"/>
              <w:spacing w:before="156" w:beforeLines="50" w:after="10"/>
              <w:ind w:firstLine="480"/>
              <w:jc w:val="center"/>
              <w:rPr>
                <w:rFonts w:ascii="宋体" w:hAnsi="宋体" w:eastAsia="宋体" w:cs="宋体"/>
                <w:color w:val="000000"/>
                <w:sz w:val="24"/>
                <w:highlight w:val="yellow"/>
                <w:lang w:val="en-US" w:bidi="ar"/>
              </w:rPr>
            </w:pPr>
          </w:p>
        </w:tc>
        <w:tc>
          <w:tcPr>
            <w:tcW w:w="2841" w:type="dxa"/>
          </w:tcPr>
          <w:p>
            <w:pPr>
              <w:pStyle w:val="19"/>
              <w:spacing w:before="156" w:beforeLines="50" w:after="10"/>
              <w:ind w:firstLine="480"/>
              <w:jc w:val="center"/>
              <w:rPr>
                <w:rFonts w:ascii="宋体" w:hAnsi="宋体" w:eastAsia="宋体" w:cs="宋体"/>
                <w:color w:val="000000"/>
                <w:sz w:val="24"/>
                <w:highlight w:val="yellow"/>
                <w:lang w:val="en-US" w:bidi="ar"/>
              </w:rPr>
            </w:pPr>
          </w:p>
        </w:tc>
      </w:tr>
    </w:tbl>
    <w:p>
      <w:pPr>
        <w:spacing w:line="360" w:lineRule="auto"/>
        <w:ind w:firstLine="480" w:firstLineChars="200"/>
        <w:rPr>
          <w:rFonts w:cs="宋体" w:asciiTheme="minorEastAsia" w:hAnsiTheme="minorEastAsia" w:eastAsiaTheme="minorEastAsia"/>
          <w:kern w:val="2"/>
          <w:sz w:val="24"/>
          <w:szCs w:val="24"/>
        </w:rPr>
      </w:pPr>
    </w:p>
    <w:p>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3.其他补充说明：</w:t>
      </w:r>
      <w:r>
        <w:rPr>
          <w:rFonts w:hint="eastAsia" w:cs="宋体" w:asciiTheme="minorEastAsia" w:hAnsiTheme="minorEastAsia" w:eastAsiaTheme="minorEastAsia"/>
          <w:kern w:val="2"/>
          <w:sz w:val="24"/>
          <w:szCs w:val="24"/>
          <w:u w:val="single"/>
        </w:rPr>
        <w:t xml:space="preserve">             补充说明事项（如有）       </w:t>
      </w:r>
    </w:p>
    <w:p>
      <w:pPr>
        <w:pStyle w:val="54"/>
        <w:ind w:firstLine="200"/>
      </w:pPr>
    </w:p>
    <w:p>
      <w:pPr>
        <w:spacing w:line="360" w:lineRule="auto"/>
        <w:ind w:firstLine="4800" w:firstLineChars="2000"/>
        <w:rPr>
          <w:rFonts w:cs="@仿宋_GB2312"/>
          <w:kern w:val="2"/>
          <w:sz w:val="24"/>
        </w:rPr>
      </w:pPr>
      <w:r>
        <w:rPr>
          <w:rFonts w:hint="eastAsia" w:cs="@仿宋_GB2312"/>
          <w:kern w:val="2"/>
          <w:sz w:val="24"/>
          <w:szCs w:val="24"/>
        </w:rPr>
        <w:t>投标人电子签章或公章</w:t>
      </w:r>
      <w:r>
        <w:rPr>
          <w:rFonts w:hint="eastAsia" w:cs="@仿宋_GB2312"/>
          <w:kern w:val="2"/>
          <w:sz w:val="24"/>
        </w:rPr>
        <w:t>：</w:t>
      </w:r>
      <w:r>
        <w:rPr>
          <w:rFonts w:hint="eastAsia" w:cs="@仿宋_GB2312"/>
          <w:kern w:val="2"/>
          <w:sz w:val="24"/>
          <w:u w:val="single"/>
        </w:rPr>
        <w:t xml:space="preserve">             </w:t>
      </w:r>
    </w:p>
    <w:p>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pPr>
        <w:widowControl/>
        <w:ind w:firstLine="480"/>
        <w:jc w:val="left"/>
        <w:rPr>
          <w:sz w:val="24"/>
        </w:rPr>
      </w:pPr>
      <w:r>
        <w:rPr>
          <w:sz w:val="24"/>
        </w:rPr>
        <w:br w:type="page"/>
      </w:r>
    </w:p>
    <w:p>
      <w:pPr>
        <w:widowControl/>
        <w:ind w:firstLine="480"/>
        <w:jc w:val="left"/>
        <w:rPr>
          <w:sz w:val="24"/>
        </w:rPr>
      </w:pPr>
    </w:p>
    <w:p>
      <w:pPr>
        <w:spacing w:line="360" w:lineRule="auto"/>
        <w:ind w:firstLine="482"/>
        <w:jc w:val="center"/>
        <w:outlineLvl w:val="2"/>
        <w:rPr>
          <w:rFonts w:asciiTheme="minorEastAsia" w:hAnsiTheme="minorEastAsia" w:eastAsiaTheme="minorEastAsia"/>
          <w:b/>
          <w:sz w:val="24"/>
        </w:rPr>
      </w:pPr>
      <w:bookmarkStart w:id="48" w:name="_Toc121626298"/>
      <w:bookmarkStart w:id="49" w:name="_Toc516969106"/>
      <w:bookmarkStart w:id="50" w:name="_Toc520983594"/>
      <w:bookmarkStart w:id="51" w:name="_Toc204594911"/>
      <w:r>
        <w:rPr>
          <w:rFonts w:hint="eastAsia" w:asciiTheme="minorEastAsia" w:hAnsiTheme="minorEastAsia" w:eastAsiaTheme="minorEastAsia"/>
          <w:b/>
          <w:sz w:val="24"/>
        </w:rPr>
        <w:t>四、授权书</w:t>
      </w:r>
      <w:bookmarkEnd w:id="48"/>
      <w:bookmarkEnd w:id="49"/>
      <w:bookmarkEnd w:id="50"/>
      <w:bookmarkEnd w:id="51"/>
    </w:p>
    <w:p>
      <w:pPr>
        <w:spacing w:line="360" w:lineRule="auto"/>
        <w:ind w:firstLine="482"/>
        <w:jc w:val="center"/>
        <w:rPr>
          <w:rFonts w:asciiTheme="minorEastAsia" w:hAnsiTheme="minorEastAsia" w:eastAsiaTheme="minorEastAsia"/>
          <w:b/>
          <w:sz w:val="24"/>
        </w:rPr>
      </w:pPr>
    </w:p>
    <w:p>
      <w:pPr>
        <w:pStyle w:val="28"/>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（投标人授权代表姓名）代表我方参加本项目</w:t>
      </w:r>
      <w:r>
        <w:rPr>
          <w:rFonts w:hint="eastAsia" w:hAnsi="宋体" w:eastAsia="宋体"/>
          <w:bCs/>
          <w:sz w:val="24"/>
          <w:szCs w:val="28"/>
        </w:rPr>
        <w:t>磋商活动</w:t>
      </w:r>
      <w:r>
        <w:rPr>
          <w:rFonts w:hint="eastAsia" w:hAnsi="宋体" w:eastAsia="宋体"/>
          <w:sz w:val="24"/>
          <w:szCs w:val="28"/>
        </w:rPr>
        <w:t>，全权代表我方处理磋商过程的一切事宜，包括但不限于：提交投标文件、参与磋商、签约等。投标人授权代表在磋商活动过程中所签署的一切文件和处理与之有关的一切事务，本公司均予以认可并对此承担责任。投标人授权代表无转委托权。特此授权。</w:t>
      </w:r>
    </w:p>
    <w:p>
      <w:pPr>
        <w:pStyle w:val="28"/>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pPr>
        <w:pStyle w:val="28"/>
        <w:snapToGrid w:val="0"/>
        <w:spacing w:line="360" w:lineRule="auto"/>
        <w:ind w:firstLine="480" w:firstLineChars="200"/>
        <w:jc w:val="left"/>
        <w:rPr>
          <w:rFonts w:hAnsi="宋体" w:eastAsia="宋体"/>
          <w:sz w:val="24"/>
        </w:rPr>
      </w:pPr>
    </w:p>
    <w:p>
      <w:pPr>
        <w:pStyle w:val="28"/>
        <w:snapToGrid w:val="0"/>
        <w:spacing w:line="360" w:lineRule="auto"/>
        <w:ind w:firstLine="480" w:firstLineChars="200"/>
        <w:jc w:val="left"/>
        <w:rPr>
          <w:rFonts w:hAnsi="宋体" w:eastAsia="宋体"/>
          <w:sz w:val="24"/>
        </w:rPr>
      </w:pPr>
    </w:p>
    <w:p>
      <w:pPr>
        <w:pStyle w:val="28"/>
        <w:snapToGrid w:val="0"/>
        <w:spacing w:line="360" w:lineRule="auto"/>
        <w:ind w:firstLine="480" w:firstLineChars="200"/>
        <w:jc w:val="left"/>
        <w:rPr>
          <w:rFonts w:hAnsi="宋体" w:eastAsia="宋体"/>
          <w:sz w:val="24"/>
        </w:rPr>
      </w:pPr>
    </w:p>
    <w:p>
      <w:pPr>
        <w:pStyle w:val="28"/>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28"/>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ind w:firstLine="480"/>
        <w:rPr>
          <w:sz w:val="24"/>
          <w:szCs w:val="28"/>
        </w:rPr>
      </w:pPr>
    </w:p>
    <w:p>
      <w:pPr>
        <w:spacing w:line="360" w:lineRule="auto"/>
        <w:rPr>
          <w:bCs/>
          <w:sz w:val="24"/>
          <w:szCs w:val="28"/>
        </w:rPr>
      </w:pPr>
      <w:r>
        <w:rPr>
          <w:rFonts w:hint="eastAsia" w:cs="@仿宋_GB2312"/>
          <w:kern w:val="2"/>
          <w:sz w:val="24"/>
          <w:szCs w:val="24"/>
        </w:rPr>
        <w:t>投标人电子签章或公章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ind w:firstLine="480"/>
        <w:rPr>
          <w:sz w:val="24"/>
          <w:szCs w:val="28"/>
        </w:rPr>
      </w:pPr>
    </w:p>
    <w:p>
      <w:pPr>
        <w:spacing w:line="360" w:lineRule="auto"/>
        <w:ind w:firstLine="480"/>
        <w:rPr>
          <w:sz w:val="24"/>
          <w:szCs w:val="28"/>
        </w:rPr>
      </w:pPr>
    </w:p>
    <w:p>
      <w:pPr>
        <w:pStyle w:val="28"/>
        <w:snapToGrid w:val="0"/>
        <w:spacing w:line="360" w:lineRule="auto"/>
        <w:jc w:val="left"/>
        <w:rPr>
          <w:rFonts w:hAnsi="宋体" w:eastAsia="宋体"/>
          <w:sz w:val="24"/>
          <w:szCs w:val="28"/>
        </w:rPr>
      </w:pPr>
      <w:r>
        <w:rPr>
          <w:rFonts w:hint="eastAsia" w:hAnsi="宋体" w:eastAsia="宋体"/>
          <w:sz w:val="24"/>
          <w:szCs w:val="28"/>
        </w:rPr>
        <w:t>注：</w:t>
      </w:r>
    </w:p>
    <w:p>
      <w:pPr>
        <w:pStyle w:val="28"/>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2.法定代表人参加磋商的无需提供授权书，仅提供法定代表人身份证明书。</w:t>
      </w:r>
    </w:p>
    <w:p>
      <w:pPr>
        <w:widowControl/>
        <w:ind w:firstLine="480"/>
        <w:jc w:val="left"/>
        <w:rPr>
          <w:sz w:val="24"/>
        </w:rPr>
      </w:pPr>
      <w:r>
        <w:rPr>
          <w:sz w:val="24"/>
        </w:rPr>
        <w:br w:type="page"/>
      </w:r>
    </w:p>
    <w:p>
      <w:pPr>
        <w:keepNext/>
        <w:keepLines/>
        <w:spacing w:before="260" w:after="260" w:line="416" w:lineRule="auto"/>
        <w:ind w:firstLine="482"/>
        <w:jc w:val="center"/>
        <w:outlineLvl w:val="2"/>
        <w:rPr>
          <w:rFonts w:cs="@仿宋_GB2312" w:asciiTheme="minorEastAsia" w:hAnsiTheme="minorEastAsia" w:eastAsiaTheme="minorEastAsia"/>
          <w:b/>
          <w:bCs/>
          <w:kern w:val="2"/>
          <w:sz w:val="24"/>
          <w:szCs w:val="24"/>
        </w:rPr>
      </w:pPr>
      <w:r>
        <w:rPr>
          <w:rFonts w:hint="eastAsia" w:cs="@仿宋_GB2312" w:asciiTheme="minorEastAsia" w:hAnsiTheme="minorEastAsia" w:eastAsiaTheme="minorEastAsia"/>
          <w:b/>
          <w:bCs/>
          <w:kern w:val="2"/>
          <w:sz w:val="24"/>
          <w:szCs w:val="24"/>
        </w:rPr>
        <w:t>五、法定代表人身份证明书</w:t>
      </w:r>
    </w:p>
    <w:p>
      <w:pPr>
        <w:autoSpaceDE w:val="0"/>
        <w:autoSpaceDN w:val="0"/>
        <w:adjustRightInd w:val="0"/>
        <w:spacing w:line="360" w:lineRule="auto"/>
        <w:ind w:firstLine="413"/>
        <w:jc w:val="center"/>
        <w:rPr>
          <w:rFonts w:ascii="@仿宋_GB2312" w:eastAsia="@仿宋_GB2312" w:cs="宋体"/>
          <w:b/>
          <w:kern w:val="2"/>
          <w:sz w:val="21"/>
          <w:szCs w:val="24"/>
          <w:lang w:val="zh-CN"/>
        </w:rPr>
      </w:pP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pPr>
        <w:spacing w:before="62" w:beforeLines="20" w:after="62" w:afterLines="20" w:line="540" w:lineRule="exact"/>
        <w:ind w:firstLine="480"/>
        <w:rPr>
          <w:rFonts w:ascii="@仿宋_GB2312" w:hAnsi="Calibri" w:eastAsia="@仿宋_GB2312" w:cs="宋体"/>
          <w:kern w:val="2"/>
          <w:sz w:val="24"/>
          <w:szCs w:val="24"/>
        </w:rPr>
      </w:pPr>
    </w:p>
    <w:p>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pPr>
        <w:spacing w:line="360" w:lineRule="auto"/>
        <w:ind w:firstLine="3840" w:firstLineChars="1600"/>
        <w:rPr>
          <w:rFonts w:cs="宋体"/>
          <w:kern w:val="2"/>
          <w:sz w:val="24"/>
          <w:szCs w:val="24"/>
        </w:rPr>
      </w:pPr>
      <w:r>
        <w:rPr>
          <w:rFonts w:hint="eastAsia" w:cs="@仿宋_GB2312"/>
          <w:kern w:val="2"/>
          <w:sz w:val="24"/>
          <w:szCs w:val="24"/>
        </w:rPr>
        <w:t>投标人电子签章或公章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w:t>
      </w:r>
      <w:r>
        <w:rPr>
          <w:rFonts w:cs="宋体"/>
          <w:kern w:val="2"/>
          <w:sz w:val="24"/>
          <w:szCs w:val="24"/>
        </w:rPr>
        <w:t xml:space="preserve">   </w:t>
      </w:r>
      <w:r>
        <w:rPr>
          <w:rFonts w:hint="eastAsia" w:cs="宋体"/>
          <w:kern w:val="2"/>
          <w:sz w:val="24"/>
          <w:szCs w:val="24"/>
        </w:rPr>
        <w:t>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widowControl/>
        <w:ind w:firstLine="480"/>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pPr>
        <w:keepNext/>
        <w:keepLines/>
        <w:spacing w:before="260" w:after="260" w:line="416" w:lineRule="auto"/>
        <w:ind w:firstLine="482"/>
        <w:jc w:val="center"/>
        <w:outlineLvl w:val="2"/>
        <w:rPr>
          <w:rFonts w:cs="@仿宋_GB2312" w:asciiTheme="minorEastAsia" w:hAnsiTheme="minorEastAsia" w:eastAsiaTheme="minorEastAsia"/>
          <w:b/>
          <w:bCs/>
          <w:kern w:val="2"/>
          <w:sz w:val="24"/>
          <w:szCs w:val="24"/>
        </w:rPr>
      </w:pPr>
      <w:r>
        <w:rPr>
          <w:rFonts w:hint="eastAsia" w:cs="@仿宋_GB2312" w:asciiTheme="minorEastAsia" w:hAnsiTheme="minorEastAsia" w:eastAsiaTheme="minorEastAsia"/>
          <w:b/>
          <w:bCs/>
          <w:kern w:val="2"/>
          <w:sz w:val="24"/>
          <w:szCs w:val="24"/>
        </w:rPr>
        <w:t>六、投标业绩</w:t>
      </w:r>
    </w:p>
    <w:p>
      <w:pPr>
        <w:keepNext/>
        <w:keepLines/>
        <w:numPr>
          <w:ilvl w:val="0"/>
          <w:numId w:val="5"/>
        </w:numPr>
        <w:ind w:firstLine="480"/>
        <w:jc w:val="center"/>
        <w:rPr>
          <w:sz w:val="24"/>
          <w:szCs w:val="24"/>
        </w:rPr>
      </w:pPr>
      <w:r>
        <w:rPr>
          <w:rFonts w:hint="eastAsia"/>
          <w:sz w:val="24"/>
          <w:szCs w:val="24"/>
        </w:rPr>
        <w:t>业绩表</w:t>
      </w:r>
    </w:p>
    <w:p>
      <w:pPr>
        <w:pStyle w:val="4"/>
        <w:spacing w:line="240" w:lineRule="auto"/>
        <w:ind w:firstLine="480"/>
        <w:jc w:val="center"/>
        <w:rPr>
          <w:b w:val="0"/>
          <w:bCs w:val="0"/>
          <w:sz w:val="24"/>
          <w:szCs w:val="24"/>
        </w:rPr>
      </w:pPr>
      <w:r>
        <w:rPr>
          <w:rFonts w:hint="eastAsia"/>
          <w:b w:val="0"/>
          <w:bCs w:val="0"/>
          <w:sz w:val="24"/>
          <w:szCs w:val="24"/>
        </w:rPr>
        <w:t>（格式仅供参考）</w:t>
      </w:r>
    </w:p>
    <w:p>
      <w:pPr>
        <w:ind w:firstLine="420"/>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655"/>
        <w:gridCol w:w="1490"/>
        <w:gridCol w:w="1565"/>
        <w:gridCol w:w="1778"/>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5"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项目内容</w:t>
            </w:r>
          </w:p>
        </w:tc>
        <w:tc>
          <w:tcPr>
            <w:tcW w:w="918"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360" w:lineRule="auto"/>
              <w:ind w:firstLine="480"/>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投标人评审业绩（打分业绩）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2</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bl>
    <w:p>
      <w:pPr>
        <w:widowControl/>
        <w:ind w:firstLine="482"/>
        <w:jc w:val="left"/>
        <w:rPr>
          <w:rFonts w:asciiTheme="minorEastAsia" w:hAnsiTheme="minorEastAsia" w:eastAsiaTheme="minorEastAsia"/>
          <w:b/>
          <w:sz w:val="24"/>
        </w:rPr>
      </w:pPr>
    </w:p>
    <w:p>
      <w:pPr>
        <w:keepNext/>
        <w:keepLines/>
        <w:ind w:firstLine="480"/>
        <w:rPr>
          <w:sz w:val="24"/>
          <w:szCs w:val="24"/>
        </w:rPr>
      </w:pPr>
    </w:p>
    <w:p>
      <w:pPr>
        <w:keepNext/>
        <w:keepLines/>
        <w:numPr>
          <w:ilvl w:val="0"/>
          <w:numId w:val="5"/>
        </w:numPr>
        <w:spacing w:line="360" w:lineRule="auto"/>
        <w:ind w:firstLine="480"/>
        <w:jc w:val="center"/>
        <w:rPr>
          <w:sz w:val="24"/>
          <w:szCs w:val="24"/>
        </w:rPr>
      </w:pPr>
      <w:r>
        <w:rPr>
          <w:rFonts w:hint="eastAsia"/>
          <w:sz w:val="24"/>
          <w:szCs w:val="24"/>
        </w:rPr>
        <w:t>业绩证明材料</w:t>
      </w:r>
    </w:p>
    <w:p>
      <w:pPr>
        <w:keepNext/>
        <w:keepLines/>
        <w:spacing w:line="360" w:lineRule="auto"/>
        <w:ind w:firstLine="480"/>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pPr>
        <w:spacing w:line="360" w:lineRule="auto"/>
        <w:ind w:firstLine="482"/>
        <w:jc w:val="center"/>
        <w:outlineLvl w:val="2"/>
        <w:rPr>
          <w:rFonts w:asciiTheme="minorEastAsia" w:hAnsiTheme="minorEastAsia" w:eastAsiaTheme="minorEastAsia"/>
          <w:b/>
          <w:sz w:val="24"/>
        </w:rPr>
      </w:pPr>
    </w:p>
    <w:p>
      <w:pPr>
        <w:widowControl/>
        <w:ind w:firstLine="480"/>
        <w:jc w:val="left"/>
        <w:rPr>
          <w:rFonts w:asciiTheme="minorEastAsia" w:hAnsiTheme="minorEastAsia" w:eastAsiaTheme="minorEastAsia"/>
          <w:sz w:val="24"/>
        </w:rPr>
      </w:pPr>
    </w:p>
    <w:p>
      <w:pPr>
        <w:jc w:val="center"/>
        <w:rPr>
          <w:rFonts w:cs="@仿宋_GB2312"/>
          <w:b/>
          <w:sz w:val="28"/>
          <w:szCs w:val="28"/>
          <w:u w:val="single"/>
        </w:rPr>
      </w:pPr>
      <w:r>
        <w:rPr>
          <w:rFonts w:hint="eastAsia" w:asciiTheme="minorEastAsia" w:hAnsiTheme="minorEastAsia" w:eastAsiaTheme="minorEastAsia"/>
          <w:b/>
          <w:sz w:val="24"/>
        </w:rPr>
        <w:t>七、</w:t>
      </w:r>
      <w:r>
        <w:rPr>
          <w:rFonts w:hint="eastAsia" w:cs="@仿宋_GB2312"/>
          <w:b/>
          <w:sz w:val="24"/>
          <w:u w:val="single"/>
        </w:rPr>
        <w:t>供应商股权结构说明书</w:t>
      </w:r>
    </w:p>
    <w:p>
      <w:pPr>
        <w:ind w:firstLine="105"/>
        <w:rPr>
          <w:rFonts w:cs="@仿宋_GB2312"/>
        </w:rPr>
      </w:pPr>
    </w:p>
    <w:p>
      <w:pPr>
        <w:spacing w:line="720" w:lineRule="exact"/>
        <w:ind w:firstLine="480" w:firstLineChars="200"/>
        <w:rPr>
          <w:rFonts w:cs="@仿宋_GB2312"/>
          <w:sz w:val="24"/>
        </w:rPr>
      </w:pPr>
      <w:r>
        <w:rPr>
          <w:rFonts w:hint="eastAsia" w:cs="@仿宋_GB2312"/>
          <w:sz w:val="24"/>
        </w:rPr>
        <w:t>为依照《中华人民共和国公司法》等法律法规成立的</w:t>
      </w:r>
      <w:r>
        <w:rPr>
          <w:rFonts w:hint="eastAsia" w:cs="@仿宋_GB2312"/>
          <w:sz w:val="24"/>
          <w:u w:val="single"/>
        </w:rPr>
        <w:t>　       　</w:t>
      </w:r>
      <w:r>
        <w:rPr>
          <w:rFonts w:hint="eastAsia" w:cs="@仿宋_GB2312"/>
          <w:sz w:val="24"/>
        </w:rPr>
        <w:t>（企业性质）公司，公司注册资本为</w:t>
      </w:r>
      <w:r>
        <w:rPr>
          <w:rFonts w:hint="eastAsia" w:cs="@仿宋_GB2312"/>
          <w:sz w:val="24"/>
          <w:u w:val="single"/>
        </w:rPr>
        <w:t>　  　</w:t>
      </w:r>
      <w:r>
        <w:rPr>
          <w:rFonts w:hint="eastAsia" w:cs="@仿宋_GB2312"/>
          <w:sz w:val="24"/>
        </w:rPr>
        <w:t>万元，公司股东出资比例和出资额如下：</w:t>
      </w:r>
    </w:p>
    <w:p>
      <w:pPr>
        <w:spacing w:line="720" w:lineRule="exact"/>
        <w:rPr>
          <w:rFonts w:cs="@仿宋_GB2312"/>
          <w:sz w:val="24"/>
        </w:rPr>
      </w:pPr>
      <w:r>
        <w:rPr>
          <w:rFonts w:hint="eastAsia" w:cs="@仿宋_GB2312"/>
          <w:sz w:val="24"/>
        </w:rPr>
        <w:t xml:space="preserve">    1.股东：，出资比例：</w:t>
      </w:r>
      <w:r>
        <w:rPr>
          <w:rFonts w:hint="eastAsia" w:cs="@仿宋_GB2312"/>
          <w:sz w:val="24"/>
          <w:u w:val="single"/>
        </w:rPr>
        <w:t>　　</w:t>
      </w:r>
      <w:r>
        <w:rPr>
          <w:rFonts w:hint="eastAsia" w:cs="@仿宋_GB2312"/>
          <w:sz w:val="24"/>
        </w:rPr>
        <w:t>%，出资额：</w:t>
      </w:r>
      <w:r>
        <w:rPr>
          <w:rFonts w:hint="eastAsia" w:cs="@仿宋_GB2312"/>
          <w:sz w:val="24"/>
          <w:u w:val="single"/>
        </w:rPr>
        <w:t>　　</w:t>
      </w:r>
      <w:r>
        <w:rPr>
          <w:rFonts w:hint="eastAsia" w:cs="@仿宋_GB2312"/>
          <w:sz w:val="24"/>
        </w:rPr>
        <w:t>万元；</w:t>
      </w:r>
    </w:p>
    <w:p>
      <w:pPr>
        <w:spacing w:line="720" w:lineRule="exact"/>
        <w:rPr>
          <w:rFonts w:cs="@仿宋_GB2312"/>
          <w:sz w:val="24"/>
        </w:rPr>
      </w:pPr>
      <w:r>
        <w:rPr>
          <w:rFonts w:hint="eastAsia" w:cs="@仿宋_GB2312"/>
          <w:sz w:val="24"/>
        </w:rPr>
        <w:t xml:space="preserve">    2.股东：，出资比例：</w:t>
      </w:r>
      <w:r>
        <w:rPr>
          <w:rFonts w:hint="eastAsia" w:cs="@仿宋_GB2312"/>
          <w:sz w:val="24"/>
          <w:u w:val="single"/>
        </w:rPr>
        <w:t>　　</w:t>
      </w:r>
      <w:r>
        <w:rPr>
          <w:rFonts w:hint="eastAsia" w:cs="@仿宋_GB2312"/>
          <w:sz w:val="24"/>
        </w:rPr>
        <w:t>%，出资额：</w:t>
      </w:r>
      <w:r>
        <w:rPr>
          <w:rFonts w:hint="eastAsia" w:cs="@仿宋_GB2312"/>
          <w:sz w:val="24"/>
          <w:u w:val="single"/>
        </w:rPr>
        <w:t>　　</w:t>
      </w:r>
      <w:r>
        <w:rPr>
          <w:rFonts w:hint="eastAsia" w:cs="@仿宋_GB2312"/>
          <w:sz w:val="24"/>
        </w:rPr>
        <w:t>万元；</w:t>
      </w:r>
    </w:p>
    <w:p>
      <w:pPr>
        <w:spacing w:line="720" w:lineRule="exact"/>
        <w:rPr>
          <w:rFonts w:cs="@仿宋_GB2312"/>
          <w:sz w:val="24"/>
        </w:rPr>
      </w:pPr>
      <w:r>
        <w:rPr>
          <w:rFonts w:hint="eastAsia" w:cs="@仿宋_GB2312"/>
          <w:sz w:val="24"/>
        </w:rPr>
        <w:t xml:space="preserve">    3.股东：，出资比例：</w:t>
      </w:r>
      <w:r>
        <w:rPr>
          <w:rFonts w:hint="eastAsia" w:cs="@仿宋_GB2312"/>
          <w:sz w:val="24"/>
          <w:u w:val="single"/>
        </w:rPr>
        <w:t>　　</w:t>
      </w:r>
      <w:r>
        <w:rPr>
          <w:rFonts w:hint="eastAsia" w:cs="@仿宋_GB2312"/>
          <w:sz w:val="24"/>
        </w:rPr>
        <w:t>%，出资额：</w:t>
      </w:r>
      <w:r>
        <w:rPr>
          <w:rFonts w:hint="eastAsia" w:cs="@仿宋_GB2312"/>
          <w:sz w:val="24"/>
          <w:u w:val="single"/>
        </w:rPr>
        <w:t>　　</w:t>
      </w:r>
      <w:r>
        <w:rPr>
          <w:rFonts w:hint="eastAsia" w:cs="@仿宋_GB2312"/>
          <w:sz w:val="24"/>
        </w:rPr>
        <w:t>万元；</w:t>
      </w:r>
    </w:p>
    <w:p>
      <w:pPr>
        <w:spacing w:line="720" w:lineRule="exact"/>
        <w:rPr>
          <w:rFonts w:cs="@仿宋_GB2312"/>
          <w:sz w:val="24"/>
        </w:rPr>
      </w:pPr>
      <w:r>
        <w:rPr>
          <w:rFonts w:hint="eastAsia" w:cs="@仿宋_GB2312"/>
          <w:sz w:val="24"/>
        </w:rPr>
        <w:t xml:space="preserve">    ……</w:t>
      </w:r>
    </w:p>
    <w:p>
      <w:pPr>
        <w:spacing w:line="720" w:lineRule="exact"/>
        <w:rPr>
          <w:rFonts w:cs="@仿宋_GB2312"/>
          <w:sz w:val="24"/>
          <w:u w:val="single"/>
        </w:rPr>
      </w:pPr>
      <w:r>
        <w:rPr>
          <w:rFonts w:hint="eastAsia" w:cs="@仿宋_GB2312"/>
          <w:sz w:val="24"/>
        </w:rPr>
        <w:t xml:space="preserve">    公司总经理（负责人）姓名：；联系电话：</w:t>
      </w:r>
    </w:p>
    <w:p>
      <w:pPr>
        <w:spacing w:line="600" w:lineRule="exact"/>
        <w:ind w:firstLine="120"/>
        <w:rPr>
          <w:rFonts w:cs="@仿宋_GB2312"/>
          <w:b/>
          <w:sz w:val="24"/>
        </w:rPr>
      </w:pPr>
      <w:r>
        <w:rPr>
          <w:rFonts w:hint="eastAsia" w:cs="@仿宋_GB2312"/>
          <w:b/>
          <w:sz w:val="24"/>
        </w:rPr>
        <w:t>本单位对上述说明的真实性负责。如有虚假，将依法承担相应责任。</w:t>
      </w:r>
    </w:p>
    <w:p>
      <w:pPr>
        <w:spacing w:line="720" w:lineRule="exact"/>
        <w:rPr>
          <w:rFonts w:cs="@仿宋_GB2312"/>
          <w:sz w:val="24"/>
        </w:rPr>
      </w:pPr>
      <w:r>
        <w:rPr>
          <w:rFonts w:hint="eastAsia" w:cs="@仿宋_GB2312"/>
          <w:sz w:val="24"/>
        </w:rPr>
        <w:t xml:space="preserve">    特此说明</w:t>
      </w:r>
    </w:p>
    <w:p>
      <w:pPr>
        <w:spacing w:line="720" w:lineRule="exact"/>
        <w:rPr>
          <w:rFonts w:cs="@仿宋_GB2312"/>
          <w:sz w:val="24"/>
        </w:rPr>
      </w:pPr>
    </w:p>
    <w:p>
      <w:pPr>
        <w:spacing w:line="360" w:lineRule="auto"/>
        <w:ind w:firstLine="3840" w:firstLineChars="1600"/>
        <w:rPr>
          <w:rFonts w:cs="宋体"/>
          <w:kern w:val="2"/>
          <w:sz w:val="24"/>
          <w:szCs w:val="24"/>
        </w:rPr>
      </w:pPr>
      <w:r>
        <w:rPr>
          <w:rFonts w:hint="eastAsia" w:cs="@仿宋_GB2312"/>
          <w:kern w:val="2"/>
          <w:sz w:val="24"/>
          <w:szCs w:val="24"/>
        </w:rPr>
        <w:t>投标人电子签章或公章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ind w:firstLine="482"/>
        <w:jc w:val="center"/>
        <w:outlineLvl w:val="2"/>
        <w:rPr>
          <w:rFonts w:cs="宋体"/>
          <w:kern w:val="2"/>
          <w:sz w:val="24"/>
          <w:szCs w:val="24"/>
          <w:u w:val="single"/>
        </w:rPr>
      </w:pPr>
      <w:r>
        <w:rPr>
          <w:rFonts w:hint="eastAsia" w:cs="宋体"/>
          <w:kern w:val="2"/>
          <w:sz w:val="24"/>
          <w:szCs w:val="24"/>
        </w:rPr>
        <w:t>　　　　日</w:t>
      </w:r>
      <w:r>
        <w:rPr>
          <w:rFonts w:cs="宋体"/>
          <w:kern w:val="2"/>
          <w:sz w:val="24"/>
          <w:szCs w:val="24"/>
        </w:rPr>
        <w:t xml:space="preserve">   </w:t>
      </w:r>
      <w:r>
        <w:rPr>
          <w:rFonts w:hint="eastAsia" w:cs="宋体"/>
          <w:kern w:val="2"/>
          <w:sz w:val="24"/>
          <w:szCs w:val="24"/>
        </w:rPr>
        <w:t xml:space="preserve">    </w:t>
      </w:r>
      <w:r>
        <w:rPr>
          <w:rFonts w:cs="宋体"/>
          <w:kern w:val="2"/>
          <w:sz w:val="24"/>
          <w:szCs w:val="24"/>
        </w:rPr>
        <w:t xml:space="preserve">   </w:t>
      </w:r>
      <w:r>
        <w:rPr>
          <w:rFonts w:hint="eastAsia" w:cs="宋体"/>
          <w:kern w:val="2"/>
          <w:sz w:val="24"/>
          <w:szCs w:val="24"/>
        </w:rPr>
        <w:t>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p>
    <w:p>
      <w:pPr>
        <w:spacing w:line="360" w:lineRule="auto"/>
        <w:ind w:firstLine="482"/>
        <w:jc w:val="center"/>
        <w:outlineLvl w:val="2"/>
        <w:rPr>
          <w:rFonts w:asciiTheme="minorEastAsia" w:hAnsiTheme="minorEastAsia" w:eastAsiaTheme="minorEastAsia"/>
          <w:b/>
          <w:sz w:val="24"/>
        </w:rPr>
      </w:pPr>
    </w:p>
    <w:p>
      <w:pPr>
        <w:spacing w:line="360" w:lineRule="auto"/>
        <w:ind w:firstLine="482"/>
        <w:jc w:val="center"/>
        <w:outlineLvl w:val="2"/>
        <w:rPr>
          <w:rFonts w:asciiTheme="minorEastAsia" w:hAnsiTheme="minorEastAsia" w:eastAsiaTheme="minorEastAsia"/>
          <w:b/>
          <w:sz w:val="24"/>
        </w:rPr>
      </w:pPr>
    </w:p>
    <w:p>
      <w:pPr>
        <w:spacing w:line="360" w:lineRule="auto"/>
        <w:ind w:firstLine="482"/>
        <w:jc w:val="center"/>
        <w:outlineLvl w:val="2"/>
        <w:rPr>
          <w:rFonts w:asciiTheme="minorEastAsia" w:hAnsiTheme="minorEastAsia" w:eastAsiaTheme="minorEastAsia"/>
          <w:b/>
          <w:sz w:val="24"/>
        </w:rPr>
      </w:pPr>
    </w:p>
    <w:p>
      <w:pPr>
        <w:spacing w:line="360" w:lineRule="auto"/>
        <w:ind w:firstLine="482"/>
        <w:jc w:val="center"/>
        <w:outlineLvl w:val="2"/>
        <w:rPr>
          <w:rFonts w:asciiTheme="minorEastAsia" w:hAnsiTheme="minorEastAsia" w:eastAsiaTheme="minorEastAsia"/>
          <w:b/>
          <w:sz w:val="24"/>
        </w:rPr>
      </w:pPr>
    </w:p>
    <w:p>
      <w:pPr>
        <w:spacing w:line="360" w:lineRule="auto"/>
        <w:ind w:firstLine="482"/>
        <w:jc w:val="center"/>
        <w:outlineLvl w:val="2"/>
        <w:rPr>
          <w:rFonts w:asciiTheme="minorEastAsia" w:hAnsiTheme="minorEastAsia" w:eastAsiaTheme="minorEastAsia"/>
          <w:b/>
          <w:sz w:val="24"/>
        </w:rPr>
      </w:pPr>
    </w:p>
    <w:p>
      <w:pPr>
        <w:spacing w:line="360" w:lineRule="auto"/>
        <w:ind w:firstLine="482"/>
        <w:jc w:val="center"/>
        <w:outlineLvl w:val="2"/>
        <w:rPr>
          <w:rFonts w:asciiTheme="minorEastAsia" w:hAnsiTheme="minorEastAsia" w:eastAsiaTheme="minorEastAsia"/>
          <w:b/>
          <w:sz w:val="24"/>
        </w:rPr>
      </w:pPr>
    </w:p>
    <w:p>
      <w:pPr>
        <w:spacing w:line="360" w:lineRule="auto"/>
        <w:ind w:firstLine="482"/>
        <w:jc w:val="center"/>
        <w:outlineLvl w:val="2"/>
        <w:rPr>
          <w:rFonts w:asciiTheme="minorEastAsia" w:hAnsiTheme="minorEastAsia" w:eastAsiaTheme="minorEastAsia"/>
          <w:b/>
          <w:sz w:val="24"/>
        </w:rPr>
      </w:pPr>
    </w:p>
    <w:p>
      <w:pPr>
        <w:spacing w:line="360" w:lineRule="auto"/>
        <w:ind w:firstLine="482"/>
        <w:jc w:val="center"/>
        <w:outlineLvl w:val="2"/>
        <w:rPr>
          <w:rFonts w:asciiTheme="minorEastAsia" w:hAnsiTheme="minorEastAsia" w:eastAsiaTheme="minorEastAsia"/>
          <w:b/>
          <w:sz w:val="24"/>
        </w:rPr>
      </w:pPr>
    </w:p>
    <w:p>
      <w:pPr>
        <w:spacing w:line="360" w:lineRule="auto"/>
        <w:ind w:firstLine="482"/>
        <w:jc w:val="center"/>
        <w:outlineLvl w:val="2"/>
        <w:rPr>
          <w:rFonts w:asciiTheme="minorEastAsia" w:hAnsiTheme="minorEastAsia" w:eastAsiaTheme="minorEastAsia"/>
          <w:b/>
          <w:sz w:val="24"/>
        </w:rPr>
      </w:pPr>
    </w:p>
    <w:p>
      <w:pPr>
        <w:spacing w:line="360" w:lineRule="auto"/>
        <w:ind w:firstLine="482"/>
        <w:jc w:val="center"/>
        <w:outlineLvl w:val="2"/>
        <w:rPr>
          <w:rFonts w:asciiTheme="minorEastAsia" w:hAnsiTheme="minorEastAsia" w:eastAsiaTheme="minorEastAsia"/>
          <w:b/>
          <w:sz w:val="24"/>
        </w:rPr>
      </w:pPr>
      <w:r>
        <w:rPr>
          <w:rFonts w:hint="eastAsia" w:asciiTheme="minorEastAsia" w:hAnsiTheme="minorEastAsia" w:eastAsiaTheme="minorEastAsia"/>
          <w:b/>
          <w:sz w:val="24"/>
        </w:rPr>
        <w:t>八、其他相关证明材料</w:t>
      </w:r>
    </w:p>
    <w:p>
      <w:pPr>
        <w:spacing w:line="360" w:lineRule="auto"/>
        <w:ind w:firstLine="1536" w:firstLineChars="640"/>
        <w:outlineLvl w:val="1"/>
        <w:rPr>
          <w:sz w:val="24"/>
          <w:szCs w:val="22"/>
        </w:rPr>
      </w:pPr>
      <w:bookmarkStart w:id="52" w:name="_Toc29973"/>
      <w:bookmarkStart w:id="53" w:name="_Toc19685"/>
      <w:r>
        <w:rPr>
          <w:rFonts w:hint="eastAsia"/>
          <w:sz w:val="24"/>
          <w:szCs w:val="22"/>
        </w:rPr>
        <w:t>投标人按照第四章评审方法和标准放置的其他资料。</w:t>
      </w:r>
      <w:bookmarkEnd w:id="52"/>
      <w:bookmarkEnd w:id="53"/>
    </w:p>
    <w:p>
      <w:pPr>
        <w:ind w:firstLine="480"/>
        <w:rPr>
          <w:sz w:val="24"/>
          <w:szCs w:val="22"/>
        </w:rPr>
      </w:pPr>
      <w:r>
        <w:rPr>
          <w:rFonts w:hint="eastAsia"/>
          <w:sz w:val="24"/>
          <w:szCs w:val="22"/>
        </w:rPr>
        <w:br w:type="page"/>
      </w:r>
    </w:p>
    <w:p>
      <w:pPr>
        <w:spacing w:line="360" w:lineRule="auto"/>
        <w:ind w:firstLine="562"/>
        <w:jc w:val="center"/>
        <w:outlineLvl w:val="1"/>
        <w:rPr>
          <w:rFonts w:asciiTheme="minorEastAsia" w:hAnsiTheme="minorEastAsia" w:eastAsiaTheme="minorEastAsia"/>
          <w:b/>
          <w:sz w:val="28"/>
        </w:rPr>
      </w:pPr>
      <w:bookmarkStart w:id="54" w:name="_Toc26889"/>
      <w:r>
        <w:rPr>
          <w:rFonts w:hint="eastAsia" w:asciiTheme="minorEastAsia" w:hAnsiTheme="minorEastAsia" w:eastAsiaTheme="minorEastAsia"/>
          <w:b/>
          <w:sz w:val="28"/>
        </w:rPr>
        <w:t>第七章  安徽公共资源交易集团电子交易操作规程</w:t>
      </w:r>
      <w:bookmarkEnd w:id="54"/>
    </w:p>
    <w:p>
      <w:pPr>
        <w:pStyle w:val="270"/>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第一条</w:t>
      </w:r>
      <w:r>
        <w:rPr>
          <w:rFonts w:asciiTheme="minorEastAsia" w:hAnsiTheme="minorEastAsia" w:eastAsiaTheme="minorEastAsia" w:cstheme="minorEastAsia"/>
          <w:sz w:val="24"/>
          <w:szCs w:val="24"/>
        </w:rPr>
        <w:t>  为进一步规范交易行为，提高交易效率，充分利用信息网络技术，参照《中华人民共和国电子签名法》《电子招标投标办法》等有关规定，结合工作实际，制定本规程。</w:t>
      </w:r>
    </w:p>
    <w:p>
      <w:pPr>
        <w:pStyle w:val="270"/>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第二条</w:t>
      </w:r>
      <w:r>
        <w:rPr>
          <w:rFonts w:asciiTheme="minorEastAsia" w:hAnsiTheme="minorEastAsia" w:eastAsiaTheme="minorEastAsia" w:cstheme="minorEastAsia"/>
          <w:sz w:val="24"/>
          <w:szCs w:val="24"/>
        </w:rPr>
        <w:t>  本规程适用于委托安徽公共资源交易集团有限公司及其下属子公司在自主交易平台采用公开招标、邀请招标、框架协议、比选、直接发包、竞争性谈判、竞争性磋商、询价、单一来源、资格审查等方式代理的交易项目，采用竞价方式交易的项目另行规定。</w:t>
      </w:r>
    </w:p>
    <w:p>
      <w:pPr>
        <w:pStyle w:val="270"/>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第三条</w:t>
      </w:r>
      <w:r>
        <w:rPr>
          <w:rFonts w:asciiTheme="minorEastAsia" w:hAnsiTheme="minorEastAsia" w:eastAsiaTheme="minorEastAsia" w:cstheme="minorEastAsia"/>
          <w:sz w:val="24"/>
          <w:szCs w:val="24"/>
        </w:rPr>
        <w:t>  本规程所指的电子交易，是指以数据电文形式，依托安徽公共资源交易集团电子交易系统（简称“电子交易系统”）完成的全部或者部分交易活动。</w:t>
      </w:r>
    </w:p>
    <w:p>
      <w:pPr>
        <w:pStyle w:val="270"/>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第四条</w:t>
      </w:r>
      <w:r>
        <w:rPr>
          <w:rFonts w:asciiTheme="minorEastAsia" w:hAnsiTheme="minorEastAsia" w:eastAsiaTheme="minorEastAsia" w:cstheme="minorEastAsia"/>
          <w:sz w:val="24"/>
          <w:szCs w:val="24"/>
        </w:rPr>
        <w:t xml:space="preserve"> 本规程所指的招标文件，是指招标人（采购人）或代理机构采用公开招标、邀请招标、框架协议、比选、直接发包、竞争性谈判、竞争性磋商、询价、单一来源、资格审查等方式，根据交易项目的特点和招标人（采购人）的实际需求制定的规范性文件。</w:t>
      </w:r>
    </w:p>
    <w:p>
      <w:pPr>
        <w:pStyle w:val="270"/>
        <w:ind w:firstLine="48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本规程所指的投标文件，是指投标人（供应商）应招标文件要求编制的响应</w:t>
      </w:r>
      <w:r>
        <w:rPr>
          <w:rFonts w:asciiTheme="minorEastAsia" w:hAnsiTheme="minorEastAsia" w:eastAsiaTheme="minorEastAsia" w:cstheme="minorEastAsia"/>
          <w:color w:val="000000" w:themeColor="text1"/>
          <w:sz w:val="24"/>
          <w:szCs w:val="24"/>
          <w14:textFill>
            <w14:solidFill>
              <w14:schemeClr w14:val="tx1"/>
            </w14:solidFill>
          </w14:textFill>
        </w:rPr>
        <w:t>性</w:t>
      </w:r>
      <w:r>
        <w:rPr>
          <w:rFonts w:asciiTheme="minorEastAsia" w:hAnsiTheme="minorEastAsia" w:eastAsiaTheme="minorEastAsia" w:cstheme="minorEastAsia"/>
          <w:sz w:val="24"/>
          <w:szCs w:val="24"/>
        </w:rPr>
        <w:t>文件。</w:t>
      </w:r>
    </w:p>
    <w:p>
      <w:pPr>
        <w:pStyle w:val="270"/>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第五条</w:t>
      </w:r>
      <w:r>
        <w:rPr>
          <w:rFonts w:asciiTheme="minorEastAsia" w:hAnsiTheme="minorEastAsia" w:eastAsiaTheme="minorEastAsia" w:cstheme="minorEastAsia"/>
          <w:sz w:val="24"/>
          <w:szCs w:val="24"/>
        </w:rPr>
        <w:t>  电子交易系统是交易活动当事人通过数据电文形式完成交易活动的系统。</w:t>
      </w:r>
    </w:p>
    <w:p>
      <w:pPr>
        <w:pStyle w:val="270"/>
        <w:ind w:firstLine="48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电子交易系统具备在线完成交易活动全部</w:t>
      </w:r>
      <w:r>
        <w:rPr>
          <w:rFonts w:asciiTheme="minorEastAsia" w:hAnsiTheme="minorEastAsia" w:eastAsiaTheme="minorEastAsia" w:cstheme="minorEastAsia"/>
          <w:color w:val="000000" w:themeColor="text1"/>
          <w:sz w:val="24"/>
          <w:szCs w:val="24"/>
          <w14:textFill>
            <w14:solidFill>
              <w14:schemeClr w14:val="tx1"/>
            </w14:solidFill>
          </w14:textFill>
        </w:rPr>
        <w:t>或部分</w:t>
      </w:r>
      <w:r>
        <w:rPr>
          <w:rFonts w:asciiTheme="minorEastAsia" w:hAnsiTheme="minorEastAsia" w:eastAsiaTheme="minorEastAsia" w:cstheme="minorEastAsia"/>
          <w:sz w:val="24"/>
          <w:szCs w:val="24"/>
        </w:rPr>
        <w:t>交易过程，</w:t>
      </w:r>
      <w:r>
        <w:rPr>
          <w:rFonts w:asciiTheme="minorEastAsia" w:hAnsiTheme="minorEastAsia" w:eastAsiaTheme="minorEastAsia" w:cstheme="minorEastAsia"/>
          <w:color w:val="000000" w:themeColor="text1"/>
          <w:sz w:val="24"/>
          <w:szCs w:val="24"/>
          <w14:textFill>
            <w14:solidFill>
              <w14:schemeClr w14:val="tx1"/>
            </w14:solidFill>
          </w14:textFill>
        </w:rPr>
        <w:t>具备</w:t>
      </w:r>
      <w:r>
        <w:rPr>
          <w:rFonts w:asciiTheme="minorEastAsia" w:hAnsiTheme="minorEastAsia" w:eastAsiaTheme="minorEastAsia" w:cstheme="minorEastAsia"/>
          <w:sz w:val="24"/>
          <w:szCs w:val="24"/>
        </w:rPr>
        <w:t>编辑、生成、对接、交换和发布有关交易活动数据信息的功能，并为交易活动监督</w:t>
      </w:r>
      <w:r>
        <w:rPr>
          <w:rFonts w:asciiTheme="minorEastAsia" w:hAnsiTheme="minorEastAsia" w:eastAsiaTheme="minorEastAsia" w:cstheme="minorEastAsia"/>
          <w:color w:val="000000" w:themeColor="text1"/>
          <w:sz w:val="24"/>
          <w:szCs w:val="24"/>
          <w14:textFill>
            <w14:solidFill>
              <w14:schemeClr w14:val="tx1"/>
            </w14:solidFill>
          </w14:textFill>
        </w:rPr>
        <w:t>管理部门实施监督管理</w:t>
      </w:r>
      <w:r>
        <w:rPr>
          <w:rFonts w:asciiTheme="minorEastAsia" w:hAnsiTheme="minorEastAsia" w:eastAsiaTheme="minorEastAsia" w:cstheme="minorEastAsia"/>
          <w:sz w:val="24"/>
          <w:szCs w:val="24"/>
        </w:rPr>
        <w:t>提供所需的信息。</w:t>
      </w:r>
    </w:p>
    <w:p>
      <w:pPr>
        <w:pStyle w:val="270"/>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第六条</w:t>
      </w:r>
      <w:r>
        <w:rPr>
          <w:rFonts w:asciiTheme="minorEastAsia" w:hAnsiTheme="minorEastAsia" w:eastAsiaTheme="minorEastAsia" w:cstheme="minorEastAsia"/>
          <w:sz w:val="24"/>
          <w:szCs w:val="24"/>
        </w:rPr>
        <w:t>  招标人（采购人）或代理机构负责电子交易的组织实施，电子交易系统建设单位负责电子交易系统的服务保障。</w:t>
      </w:r>
    </w:p>
    <w:p>
      <w:pPr>
        <w:pStyle w:val="270"/>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第七条</w:t>
      </w:r>
      <w:r>
        <w:rPr>
          <w:rFonts w:asciiTheme="minorEastAsia" w:hAnsiTheme="minorEastAsia" w:eastAsiaTheme="minorEastAsia" w:cstheme="minorEastAsia"/>
          <w:sz w:val="24"/>
          <w:szCs w:val="24"/>
        </w:rPr>
        <w:t>  电子交易各方主体应当按照相关规定</w:t>
      </w:r>
      <w:r>
        <w:rPr>
          <w:rFonts w:asciiTheme="minorEastAsia" w:hAnsiTheme="minorEastAsia" w:eastAsiaTheme="minorEastAsia" w:cstheme="minorEastAsia"/>
          <w:color w:val="000000" w:themeColor="text1"/>
          <w:sz w:val="24"/>
          <w:szCs w:val="24"/>
          <w14:textFill>
            <w14:solidFill>
              <w14:schemeClr w14:val="tx1"/>
            </w14:solidFill>
          </w14:textFill>
        </w:rPr>
        <w:t>合法</w:t>
      </w:r>
      <w:r>
        <w:rPr>
          <w:rFonts w:asciiTheme="minorEastAsia" w:hAnsiTheme="minorEastAsia" w:eastAsiaTheme="minorEastAsia" w:cstheme="minorEastAsia"/>
          <w:sz w:val="24"/>
          <w:szCs w:val="24"/>
        </w:rPr>
        <w:t>取得和使用数字证书及电子签章，通过数字证书登录电子交易系统</w:t>
      </w:r>
      <w:r>
        <w:rPr>
          <w:rFonts w:asciiTheme="minorEastAsia" w:hAnsiTheme="minorEastAsia" w:eastAsiaTheme="minorEastAsia" w:cstheme="minorEastAsia"/>
          <w:color w:val="000000" w:themeColor="text1"/>
          <w:sz w:val="24"/>
          <w:szCs w:val="24"/>
          <w14:textFill>
            <w14:solidFill>
              <w14:schemeClr w14:val="tx1"/>
            </w14:solidFill>
          </w14:textFill>
        </w:rPr>
        <w:t>参与交易活动</w:t>
      </w:r>
      <w:r>
        <w:rPr>
          <w:rFonts w:asciiTheme="minorEastAsia" w:hAnsiTheme="minorEastAsia" w:eastAsiaTheme="minorEastAsia" w:cstheme="minorEastAsia"/>
          <w:sz w:val="24"/>
          <w:szCs w:val="24"/>
        </w:rPr>
        <w:t>。各方主体</w:t>
      </w:r>
      <w:r>
        <w:rPr>
          <w:rFonts w:asciiTheme="minorEastAsia" w:hAnsiTheme="minorEastAsia" w:eastAsiaTheme="minorEastAsia" w:cstheme="minorEastAsia"/>
          <w:color w:val="000000" w:themeColor="text1"/>
          <w:sz w:val="24"/>
          <w:szCs w:val="24"/>
          <w14:textFill>
            <w14:solidFill>
              <w14:schemeClr w14:val="tx1"/>
            </w14:solidFill>
          </w14:textFill>
        </w:rPr>
        <w:t>对其依托电子交易系统开展的所有操作</w:t>
      </w:r>
      <w:r>
        <w:rPr>
          <w:rFonts w:asciiTheme="minorEastAsia" w:hAnsiTheme="minorEastAsia" w:eastAsiaTheme="minorEastAsia" w:cstheme="minorEastAsia"/>
          <w:sz w:val="24"/>
          <w:szCs w:val="24"/>
        </w:rPr>
        <w:t>承担法律责任。</w:t>
      </w:r>
    </w:p>
    <w:p>
      <w:pPr>
        <w:pStyle w:val="270"/>
        <w:ind w:firstLine="480"/>
        <w:rPr>
          <w:rFonts w:hint="default"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sz w:val="24"/>
          <w:szCs w:val="24"/>
        </w:rPr>
        <w:t>投标人（供应商）应妥善保管数字证书，由于数字证书遗失、损坏、更换、续期等情况</w:t>
      </w:r>
      <w:r>
        <w:rPr>
          <w:rFonts w:asciiTheme="minorEastAsia" w:hAnsiTheme="minorEastAsia" w:eastAsiaTheme="minorEastAsia" w:cstheme="minorEastAsia"/>
          <w:color w:val="000000" w:themeColor="text1"/>
          <w:sz w:val="24"/>
          <w:szCs w:val="24"/>
          <w14:textFill>
            <w14:solidFill>
              <w14:schemeClr w14:val="tx1"/>
            </w14:solidFill>
          </w14:textFill>
        </w:rPr>
        <w:t>或其他自身原因</w:t>
      </w:r>
      <w:r>
        <w:rPr>
          <w:rFonts w:asciiTheme="minorEastAsia" w:hAnsiTheme="minorEastAsia" w:eastAsiaTheme="minorEastAsia" w:cstheme="minorEastAsia"/>
          <w:sz w:val="24"/>
          <w:szCs w:val="24"/>
        </w:rPr>
        <w:t>导致投标文件无法</w:t>
      </w:r>
      <w:r>
        <w:rPr>
          <w:rFonts w:asciiTheme="minorEastAsia" w:hAnsiTheme="minorEastAsia" w:eastAsiaTheme="minorEastAsia" w:cstheme="minorEastAsia"/>
          <w:color w:val="000000" w:themeColor="text1"/>
          <w:sz w:val="24"/>
          <w:szCs w:val="24"/>
          <w14:textFill>
            <w14:solidFill>
              <w14:schemeClr w14:val="tx1"/>
            </w14:solidFill>
          </w14:textFill>
        </w:rPr>
        <w:t>加密、上传、解密等，由其自行承担所有责任。</w:t>
      </w:r>
    </w:p>
    <w:p>
      <w:pPr>
        <w:pStyle w:val="270"/>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第八条</w:t>
      </w:r>
      <w:r>
        <w:rPr>
          <w:rFonts w:asciiTheme="minorEastAsia" w:hAnsiTheme="minorEastAsia" w:eastAsiaTheme="minorEastAsia" w:cstheme="minorEastAsia"/>
          <w:sz w:val="24"/>
          <w:szCs w:val="24"/>
        </w:rPr>
        <w:t>  招标人（采购人）或代理机构应在交易公告和招标文件中明确交易项目采取电子交易方式，并按相关流程通过电子交易系统制作招标文件。</w:t>
      </w:r>
    </w:p>
    <w:p>
      <w:pPr>
        <w:pStyle w:val="270"/>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第九条</w:t>
      </w:r>
      <w:r>
        <w:rPr>
          <w:rFonts w:asciiTheme="minorEastAsia" w:hAnsiTheme="minorEastAsia" w:eastAsiaTheme="minorEastAsia" w:cstheme="minorEastAsia"/>
          <w:sz w:val="24"/>
          <w:szCs w:val="24"/>
        </w:rPr>
        <w:t>  交易公告、招标文件应由招标人（采购人）或代理机构通过电子交易系统发出，其中招标文件须加盖电子签章。</w:t>
      </w:r>
    </w:p>
    <w:p>
      <w:pPr>
        <w:pStyle w:val="270"/>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第十条</w:t>
      </w:r>
      <w:r>
        <w:rPr>
          <w:rFonts w:asciiTheme="minorEastAsia" w:hAnsiTheme="minorEastAsia" w:eastAsiaTheme="minorEastAsia" w:cstheme="minorEastAsia"/>
          <w:sz w:val="24"/>
          <w:szCs w:val="24"/>
        </w:rPr>
        <w:t>  投标人（供应商）登录电子交易系统获取招标文件。</w:t>
      </w:r>
    </w:p>
    <w:p>
      <w:pPr>
        <w:pStyle w:val="270"/>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第十一条</w:t>
      </w:r>
      <w:r>
        <w:rPr>
          <w:rFonts w:asciiTheme="minorEastAsia" w:hAnsiTheme="minorEastAsia" w:eastAsiaTheme="minorEastAsia" w:cstheme="minorEastAsia"/>
          <w:sz w:val="24"/>
          <w:szCs w:val="24"/>
        </w:rPr>
        <w:t>  澄清、修改、更正或补疑等文件应由招标人（采购人）或代理机构通过电子交易系统发出，投标人（供应商）应及时查阅相关信息。</w:t>
      </w:r>
    </w:p>
    <w:p>
      <w:pPr>
        <w:pStyle w:val="270"/>
        <w:ind w:firstLine="482"/>
        <w:rPr>
          <w:rFonts w:hint="default" w:asciiTheme="minorEastAsia" w:hAnsiTheme="minorEastAsia" w:eastAsiaTheme="minorEastAsia" w:cstheme="minorEastAsia"/>
          <w:strike/>
          <w:sz w:val="24"/>
          <w:szCs w:val="24"/>
        </w:rPr>
      </w:pPr>
      <w:r>
        <w:rPr>
          <w:rFonts w:asciiTheme="minorEastAsia" w:hAnsiTheme="minorEastAsia" w:eastAsiaTheme="minorEastAsia" w:cstheme="minorEastAsia"/>
          <w:b/>
          <w:bCs/>
          <w:sz w:val="24"/>
          <w:szCs w:val="24"/>
        </w:rPr>
        <w:t>第十二条</w:t>
      </w:r>
      <w:r>
        <w:rPr>
          <w:rFonts w:asciiTheme="minorEastAsia" w:hAnsiTheme="minorEastAsia" w:eastAsiaTheme="minorEastAsia" w:cstheme="minorEastAsia"/>
          <w:sz w:val="24"/>
          <w:szCs w:val="24"/>
        </w:rPr>
        <w:t>  投标人（供应商）应使用电子标书制作软件制作投标文件，电子标书制作软件应允许投标人（供应商）离线制作投标文件，并且具备分段或整体加密、解密功能。</w:t>
      </w:r>
    </w:p>
    <w:p>
      <w:pPr>
        <w:pStyle w:val="270"/>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第十三条</w:t>
      </w:r>
      <w:r>
        <w:rPr>
          <w:rFonts w:asciiTheme="minorEastAsia" w:hAnsiTheme="minorEastAsia" w:eastAsiaTheme="minorEastAsia" w:cstheme="minorEastAsia"/>
          <w:sz w:val="24"/>
          <w:szCs w:val="24"/>
        </w:rPr>
        <w:t>  投标人（供应商）应对投标文件进行电子签章并使用数字证书加密，并于招标文件规定的投标截止时间前通过电子交易系统完成上传。</w:t>
      </w:r>
    </w:p>
    <w:p>
      <w:pPr>
        <w:pStyle w:val="270"/>
        <w:ind w:firstLine="48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投标人（供应商）对加密的投标文件进行撤回的，应通过电子交易系统在投标截止时间前进行撤回操作；投标人（供应商）对加密的投标文件进行修改的，应在投标截止时间前完成上传。</w:t>
      </w:r>
    </w:p>
    <w:p>
      <w:pPr>
        <w:pStyle w:val="270"/>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第十四条</w:t>
      </w:r>
      <w:r>
        <w:rPr>
          <w:rFonts w:asciiTheme="minorEastAsia" w:hAnsiTheme="minorEastAsia" w:eastAsiaTheme="minorEastAsia" w:cstheme="minorEastAsia"/>
          <w:sz w:val="24"/>
          <w:szCs w:val="24"/>
        </w:rPr>
        <w:t>  </w:t>
      </w:r>
      <w:r>
        <w:rPr>
          <w:rFonts w:asciiTheme="minorEastAsia" w:hAnsiTheme="minorEastAsia" w:eastAsiaTheme="minorEastAsia" w:cstheme="minorEastAsia"/>
          <w:color w:val="000000" w:themeColor="text1"/>
          <w:sz w:val="24"/>
          <w:szCs w:val="24"/>
          <w14:textFill>
            <w14:solidFill>
              <w14:schemeClr w14:val="tx1"/>
            </w14:solidFill>
          </w14:textFill>
        </w:rPr>
        <w:t>交易活动涉及的</w:t>
      </w:r>
      <w:r>
        <w:rPr>
          <w:rFonts w:asciiTheme="minorEastAsia" w:hAnsiTheme="minorEastAsia" w:eastAsiaTheme="minorEastAsia" w:cstheme="minorEastAsia"/>
          <w:sz w:val="24"/>
          <w:szCs w:val="24"/>
        </w:rPr>
        <w:t>时间以电子交易系统显示的时间为准。投标人（供应商）须在投标截至时间前完成投标文件上传，逾期系统将自动关闭。</w:t>
      </w:r>
    </w:p>
    <w:p>
      <w:pPr>
        <w:pStyle w:val="270"/>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第十五条</w:t>
      </w:r>
      <w:r>
        <w:rPr>
          <w:rFonts w:asciiTheme="minorEastAsia" w:hAnsiTheme="minorEastAsia" w:eastAsiaTheme="minorEastAsia" w:cstheme="minorEastAsia"/>
          <w:sz w:val="24"/>
          <w:szCs w:val="24"/>
        </w:rPr>
        <w:t>  投标人（供应商）在投标截止时间后按招标文件规定的解密时间完成投标文件解密，加密和解密须用同一数字证书。投标人（供应商）未在招标文件规定的时间内完成解密的视为其放弃交易。</w:t>
      </w:r>
    </w:p>
    <w:p>
      <w:pPr>
        <w:pStyle w:val="270"/>
        <w:ind w:firstLine="48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招标人（采购人）或代理机构完成解密，导入并读取所有成功解密的投标文件。</w:t>
      </w:r>
    </w:p>
    <w:p>
      <w:pPr>
        <w:pStyle w:val="270"/>
        <w:ind w:firstLine="48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招标文件约定须到达指定地点或线上进行演示、答辩、磋商、谈判等情形的，投标人（供应商）应按照招标文件规定的时间到达指定地点或登录电子交易系统保持在线。</w:t>
      </w:r>
    </w:p>
    <w:p>
      <w:pPr>
        <w:pStyle w:val="270"/>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第十六条</w:t>
      </w:r>
      <w:r>
        <w:rPr>
          <w:rFonts w:asciiTheme="minorEastAsia" w:hAnsiTheme="minorEastAsia" w:eastAsiaTheme="minorEastAsia" w:cstheme="minorEastAsia"/>
          <w:sz w:val="24"/>
          <w:szCs w:val="24"/>
        </w:rPr>
        <w:t>  未能成功解密的投标文件，如招标文件中允许使用电子</w:t>
      </w:r>
      <w:r>
        <w:rPr>
          <w:rFonts w:asciiTheme="minorEastAsia" w:hAnsiTheme="minorEastAsia" w:eastAsiaTheme="minorEastAsia" w:cstheme="minorEastAsia"/>
          <w:color w:val="000000" w:themeColor="text1"/>
          <w:sz w:val="24"/>
          <w:szCs w:val="24"/>
          <w14:textFill>
            <w14:solidFill>
              <w14:schemeClr w14:val="tx1"/>
            </w14:solidFill>
          </w14:textFill>
        </w:rPr>
        <w:t>介质</w:t>
      </w:r>
      <w:r>
        <w:rPr>
          <w:rFonts w:asciiTheme="minorEastAsia" w:hAnsiTheme="minorEastAsia" w:eastAsiaTheme="minorEastAsia" w:cstheme="minorEastAsia"/>
          <w:sz w:val="24"/>
          <w:szCs w:val="24"/>
        </w:rPr>
        <w:t>作为投标文件解密失败的补救措施，并且投标人（供应商）在投标截止时间之前到达招标文件指定地点并成功递交，招标人（采购人）或代理机构可导入电子介质中非加密投标文件继续进行。若系统识别出电子</w:t>
      </w:r>
      <w:r>
        <w:rPr>
          <w:rFonts w:asciiTheme="minorEastAsia" w:hAnsiTheme="minorEastAsia" w:eastAsiaTheme="minorEastAsia" w:cstheme="minorEastAsia"/>
          <w:color w:val="000000" w:themeColor="text1"/>
          <w:sz w:val="24"/>
          <w:szCs w:val="24"/>
          <w14:textFill>
            <w14:solidFill>
              <w14:schemeClr w14:val="tx1"/>
            </w14:solidFill>
          </w14:textFill>
        </w:rPr>
        <w:t>介质</w:t>
      </w:r>
      <w:r>
        <w:rPr>
          <w:rFonts w:asciiTheme="minorEastAsia" w:hAnsiTheme="minorEastAsia" w:eastAsiaTheme="minorEastAsia" w:cstheme="minorEastAsia"/>
          <w:sz w:val="24"/>
          <w:szCs w:val="24"/>
        </w:rPr>
        <w:t>中非未加密的投标文件和网上递交的加密投标文件识别码不一致，电子交易系统拒绝导入。</w:t>
      </w:r>
    </w:p>
    <w:p>
      <w:pPr>
        <w:pStyle w:val="270"/>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第十七条</w:t>
      </w:r>
      <w:r>
        <w:rPr>
          <w:rFonts w:asciiTheme="minorEastAsia" w:hAnsiTheme="minorEastAsia" w:eastAsiaTheme="minorEastAsia" w:cstheme="minorEastAsia"/>
          <w:sz w:val="24"/>
          <w:szCs w:val="24"/>
        </w:rPr>
        <w:t>  招标人（采购人）或代理机构组织评审，评审委员会依据招标文件规定的评审办法进行评审，并对评审结果签字或电子签名确认。</w:t>
      </w:r>
    </w:p>
    <w:p>
      <w:pPr>
        <w:pStyle w:val="270"/>
        <w:ind w:firstLine="480"/>
        <w:rPr>
          <w:rFonts w:hint="default" w:asciiTheme="minorEastAsia" w:hAnsiTheme="minorEastAsia" w:eastAsiaTheme="minorEastAsia" w:cstheme="minorEastAsia"/>
          <w:sz w:val="24"/>
          <w:szCs w:val="24"/>
        </w:rPr>
      </w:pPr>
      <w:r>
        <w:rPr>
          <w:rFonts w:asciiTheme="minorEastAsia" w:hAnsiTheme="minorEastAsia" w:eastAsiaTheme="minorEastAsia" w:cstheme="minorEastAsia"/>
          <w:color w:val="000000" w:themeColor="text1"/>
          <w:sz w:val="24"/>
          <w:szCs w:val="24"/>
          <w14:textFill>
            <w14:solidFill>
              <w14:schemeClr w14:val="tx1"/>
            </w14:solidFill>
          </w14:textFill>
        </w:rPr>
        <w:t>需要多轮</w:t>
      </w:r>
      <w:r>
        <w:rPr>
          <w:rFonts w:asciiTheme="minorEastAsia" w:hAnsiTheme="minorEastAsia" w:eastAsiaTheme="minorEastAsia" w:cstheme="minorEastAsia"/>
          <w:sz w:val="24"/>
          <w:szCs w:val="24"/>
        </w:rPr>
        <w:t>报价</w:t>
      </w:r>
      <w:r>
        <w:rPr>
          <w:rFonts w:asciiTheme="minorEastAsia" w:hAnsiTheme="minorEastAsia" w:eastAsiaTheme="minorEastAsia" w:cstheme="minorEastAsia"/>
          <w:color w:val="000000" w:themeColor="text1"/>
          <w:sz w:val="24"/>
          <w:szCs w:val="24"/>
          <w14:textFill>
            <w14:solidFill>
              <w14:schemeClr w14:val="tx1"/>
            </w14:solidFill>
          </w14:textFill>
        </w:rPr>
        <w:t>的，</w:t>
      </w:r>
      <w:r>
        <w:rPr>
          <w:rFonts w:asciiTheme="minorEastAsia" w:hAnsiTheme="minorEastAsia" w:eastAsiaTheme="minorEastAsia" w:cstheme="minorEastAsia"/>
          <w:sz w:val="24"/>
          <w:szCs w:val="24"/>
        </w:rPr>
        <w:t>应按招标文件</w:t>
      </w:r>
      <w:r>
        <w:rPr>
          <w:rFonts w:asciiTheme="minorEastAsia" w:hAnsiTheme="minorEastAsia" w:eastAsiaTheme="minorEastAsia" w:cstheme="minorEastAsia"/>
          <w:color w:val="000000" w:themeColor="text1"/>
          <w:sz w:val="24"/>
          <w:szCs w:val="24"/>
          <w14:textFill>
            <w14:solidFill>
              <w14:schemeClr w14:val="tx1"/>
            </w14:solidFill>
          </w14:textFill>
        </w:rPr>
        <w:t>约定</w:t>
      </w:r>
      <w:r>
        <w:rPr>
          <w:rFonts w:asciiTheme="minorEastAsia" w:hAnsiTheme="minorEastAsia" w:eastAsiaTheme="minorEastAsia" w:cstheme="minorEastAsia"/>
          <w:sz w:val="24"/>
          <w:szCs w:val="24"/>
        </w:rPr>
        <w:t>提交。</w:t>
      </w:r>
    </w:p>
    <w:p>
      <w:pPr>
        <w:pStyle w:val="270"/>
        <w:ind w:firstLine="482"/>
        <w:rPr>
          <w:rFonts w:hint="default" w:asciiTheme="minorEastAsia" w:hAnsiTheme="minorEastAsia" w:eastAsiaTheme="minorEastAsia" w:cstheme="minorEastAsia"/>
          <w:strike/>
          <w:sz w:val="24"/>
          <w:szCs w:val="24"/>
        </w:rPr>
      </w:pPr>
      <w:r>
        <w:rPr>
          <w:rFonts w:asciiTheme="minorEastAsia" w:hAnsiTheme="minorEastAsia" w:eastAsiaTheme="minorEastAsia" w:cstheme="minorEastAsia"/>
          <w:b/>
          <w:bCs/>
          <w:sz w:val="24"/>
          <w:szCs w:val="24"/>
        </w:rPr>
        <w:t>第十八条</w:t>
      </w:r>
      <w:r>
        <w:rPr>
          <w:rFonts w:asciiTheme="minorEastAsia" w:hAnsiTheme="minorEastAsia" w:eastAsiaTheme="minorEastAsia" w:cstheme="minorEastAsia"/>
          <w:sz w:val="24"/>
          <w:szCs w:val="24"/>
        </w:rPr>
        <w:t>  评审委员会评审</w:t>
      </w:r>
      <w:r>
        <w:rPr>
          <w:rFonts w:asciiTheme="minorEastAsia" w:hAnsiTheme="minorEastAsia" w:eastAsiaTheme="minorEastAsia" w:cstheme="minorEastAsia"/>
          <w:color w:val="000000" w:themeColor="text1"/>
          <w:sz w:val="24"/>
          <w:szCs w:val="24"/>
          <w14:textFill>
            <w14:solidFill>
              <w14:schemeClr w14:val="tx1"/>
            </w14:solidFill>
          </w14:textFill>
        </w:rPr>
        <w:t>过程中</w:t>
      </w:r>
      <w:r>
        <w:rPr>
          <w:rFonts w:asciiTheme="minorEastAsia" w:hAnsiTheme="minorEastAsia" w:eastAsiaTheme="minorEastAsia" w:cstheme="minorEastAsia"/>
          <w:sz w:val="24"/>
          <w:szCs w:val="24"/>
        </w:rPr>
        <w:t>需要</w:t>
      </w:r>
      <w:r>
        <w:rPr>
          <w:rFonts w:asciiTheme="minorEastAsia" w:hAnsiTheme="minorEastAsia" w:eastAsiaTheme="minorEastAsia" w:cstheme="minorEastAsia"/>
          <w:color w:val="000000" w:themeColor="text1"/>
          <w:sz w:val="24"/>
          <w:szCs w:val="24"/>
          <w14:textFill>
            <w14:solidFill>
              <w14:schemeClr w14:val="tx1"/>
            </w14:solidFill>
          </w14:textFill>
        </w:rPr>
        <w:t>投标人（供应商）</w:t>
      </w:r>
      <w:r>
        <w:rPr>
          <w:rFonts w:asciiTheme="minorEastAsia" w:hAnsiTheme="minorEastAsia" w:eastAsiaTheme="minorEastAsia" w:cstheme="minorEastAsia"/>
          <w:sz w:val="24"/>
          <w:szCs w:val="24"/>
        </w:rPr>
        <w:t>澄清、说明或补正的</w:t>
      </w:r>
      <w:r>
        <w:rPr>
          <w:rFonts w:asciiTheme="minorEastAsia" w:hAnsiTheme="minorEastAsia" w:eastAsiaTheme="minorEastAsia" w:cstheme="minorEastAsia"/>
          <w:color w:val="000000" w:themeColor="text1"/>
          <w:sz w:val="24"/>
          <w:szCs w:val="24"/>
          <w14:textFill>
            <w14:solidFill>
              <w14:schemeClr w14:val="tx1"/>
            </w14:solidFill>
          </w14:textFill>
        </w:rPr>
        <w:t>，</w:t>
      </w:r>
      <w:r>
        <w:rPr>
          <w:rFonts w:asciiTheme="minorEastAsia" w:hAnsiTheme="minorEastAsia" w:eastAsiaTheme="minorEastAsia" w:cstheme="minorEastAsia"/>
          <w:sz w:val="24"/>
          <w:szCs w:val="24"/>
        </w:rPr>
        <w:t>以询标函</w:t>
      </w:r>
      <w:r>
        <w:rPr>
          <w:rFonts w:asciiTheme="minorEastAsia" w:hAnsiTheme="minorEastAsia" w:eastAsiaTheme="minorEastAsia" w:cstheme="minorEastAsia"/>
          <w:color w:val="000000" w:themeColor="text1"/>
          <w:sz w:val="24"/>
          <w:szCs w:val="24"/>
          <w14:textFill>
            <w14:solidFill>
              <w14:schemeClr w14:val="tx1"/>
            </w14:solidFill>
          </w14:textFill>
        </w:rPr>
        <w:t>（问询函）</w:t>
      </w:r>
      <w:r>
        <w:rPr>
          <w:rFonts w:asciiTheme="minorEastAsia" w:hAnsiTheme="minorEastAsia" w:eastAsiaTheme="minorEastAsia" w:cstheme="minorEastAsia"/>
          <w:sz w:val="24"/>
          <w:szCs w:val="24"/>
        </w:rPr>
        <w:t>的形式</w:t>
      </w:r>
      <w:r>
        <w:rPr>
          <w:rFonts w:asciiTheme="minorEastAsia" w:hAnsiTheme="minorEastAsia" w:eastAsiaTheme="minorEastAsia" w:cstheme="minorEastAsia"/>
          <w:color w:val="000000" w:themeColor="text1"/>
          <w:sz w:val="24"/>
          <w:szCs w:val="24"/>
          <w14:textFill>
            <w14:solidFill>
              <w14:schemeClr w14:val="tx1"/>
            </w14:solidFill>
          </w14:textFill>
        </w:rPr>
        <w:t>通过电子交易系统</w:t>
      </w:r>
      <w:r>
        <w:rPr>
          <w:rFonts w:asciiTheme="minorEastAsia" w:hAnsiTheme="minorEastAsia" w:eastAsiaTheme="minorEastAsia" w:cstheme="minorEastAsia"/>
          <w:sz w:val="24"/>
          <w:szCs w:val="24"/>
        </w:rPr>
        <w:t>发送给投标人（供应商）</w:t>
      </w:r>
      <w:r>
        <w:rPr>
          <w:rFonts w:asciiTheme="minorEastAsia" w:hAnsiTheme="minorEastAsia" w:eastAsiaTheme="minorEastAsia" w:cstheme="minorEastAsia"/>
          <w:color w:val="000000" w:themeColor="text1"/>
          <w:sz w:val="24"/>
          <w:szCs w:val="24"/>
          <w14:textFill>
            <w14:solidFill>
              <w14:schemeClr w14:val="tx1"/>
            </w14:solidFill>
          </w14:textFill>
        </w:rPr>
        <w:t>。</w:t>
      </w:r>
    </w:p>
    <w:p>
      <w:pPr>
        <w:pStyle w:val="270"/>
        <w:ind w:firstLine="480"/>
        <w:rPr>
          <w:rFonts w:hint="default" w:asciiTheme="minorEastAsia" w:hAnsiTheme="minorEastAsia" w:eastAsiaTheme="minorEastAsia" w:cstheme="minorEastAsia"/>
          <w:sz w:val="24"/>
          <w:szCs w:val="24"/>
        </w:rPr>
      </w:pPr>
      <w:r>
        <w:rPr>
          <w:rFonts w:asciiTheme="minorEastAsia" w:hAnsiTheme="minorEastAsia" w:eastAsiaTheme="minorEastAsia" w:cstheme="minorEastAsia"/>
          <w:color w:val="000000" w:themeColor="text1"/>
          <w:sz w:val="24"/>
          <w:szCs w:val="24"/>
          <w14:textFill>
            <w14:solidFill>
              <w14:schemeClr w14:val="tx1"/>
            </w14:solidFill>
          </w14:textFill>
        </w:rPr>
        <w:t>评审结束前，</w:t>
      </w:r>
      <w:r>
        <w:rPr>
          <w:rFonts w:asciiTheme="minorEastAsia" w:hAnsiTheme="minorEastAsia" w:eastAsiaTheme="minorEastAsia" w:cstheme="minorEastAsia"/>
          <w:sz w:val="24"/>
          <w:szCs w:val="24"/>
        </w:rPr>
        <w:t>投标人（供应商）应登录电子交易系统并保持在线状态，以便及时接收评审委员会可能发出的询标函（问询函），并在规定时间内</w:t>
      </w:r>
      <w:r>
        <w:rPr>
          <w:rFonts w:asciiTheme="minorEastAsia" w:hAnsiTheme="minorEastAsia" w:eastAsiaTheme="minorEastAsia" w:cstheme="minorEastAsia"/>
          <w:color w:val="000000" w:themeColor="text1"/>
          <w:sz w:val="24"/>
          <w:szCs w:val="24"/>
          <w14:textFill>
            <w14:solidFill>
              <w14:schemeClr w14:val="tx1"/>
            </w14:solidFill>
          </w14:textFill>
        </w:rPr>
        <w:t>完成</w:t>
      </w:r>
      <w:r>
        <w:rPr>
          <w:rFonts w:asciiTheme="minorEastAsia" w:hAnsiTheme="minorEastAsia" w:eastAsiaTheme="minorEastAsia" w:cstheme="minorEastAsia"/>
          <w:sz w:val="24"/>
          <w:szCs w:val="24"/>
        </w:rPr>
        <w:t>回复，</w:t>
      </w:r>
      <w:r>
        <w:rPr>
          <w:rFonts w:asciiTheme="minorEastAsia" w:hAnsiTheme="minorEastAsia" w:eastAsiaTheme="minorEastAsia" w:cstheme="minorEastAsia"/>
          <w:color w:val="000000" w:themeColor="text1"/>
          <w:sz w:val="24"/>
          <w:szCs w:val="24"/>
          <w14:textFill>
            <w14:solidFill>
              <w14:schemeClr w14:val="tx1"/>
            </w14:solidFill>
          </w14:textFill>
        </w:rPr>
        <w:t>否则</w:t>
      </w:r>
      <w:r>
        <w:rPr>
          <w:rFonts w:asciiTheme="minorEastAsia" w:hAnsiTheme="minorEastAsia" w:eastAsiaTheme="minorEastAsia" w:cstheme="minorEastAsia"/>
          <w:sz w:val="24"/>
          <w:szCs w:val="24"/>
        </w:rPr>
        <w:t>视为放弃澄清、说明或补正。</w:t>
      </w:r>
    </w:p>
    <w:p>
      <w:pPr>
        <w:pStyle w:val="270"/>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第十九条</w:t>
      </w:r>
      <w:r>
        <w:rPr>
          <w:rFonts w:asciiTheme="minorEastAsia" w:hAnsiTheme="minorEastAsia" w:eastAsiaTheme="minorEastAsia" w:cstheme="minorEastAsia"/>
          <w:sz w:val="24"/>
          <w:szCs w:val="24"/>
        </w:rPr>
        <w:t>  招标人（采购人）</w:t>
      </w:r>
      <w:r>
        <w:rPr>
          <w:rFonts w:asciiTheme="minorEastAsia" w:hAnsiTheme="minorEastAsia" w:eastAsiaTheme="minorEastAsia" w:cstheme="minorEastAsia"/>
          <w:color w:val="000000" w:themeColor="text1"/>
          <w:sz w:val="24"/>
          <w:szCs w:val="24"/>
          <w14:textFill>
            <w14:solidFill>
              <w14:schemeClr w14:val="tx1"/>
            </w14:solidFill>
          </w14:textFill>
        </w:rPr>
        <w:t>或代理机构</w:t>
      </w:r>
      <w:r>
        <w:rPr>
          <w:rFonts w:asciiTheme="minorEastAsia" w:hAnsiTheme="minorEastAsia" w:eastAsiaTheme="minorEastAsia" w:cstheme="minorEastAsia"/>
          <w:sz w:val="24"/>
          <w:szCs w:val="24"/>
        </w:rPr>
        <w:t>应通过电子交易系统</w:t>
      </w:r>
      <w:r>
        <w:rPr>
          <w:rFonts w:asciiTheme="minorEastAsia" w:hAnsiTheme="minorEastAsia" w:eastAsiaTheme="minorEastAsia" w:cstheme="minorEastAsia"/>
          <w:color w:val="000000" w:themeColor="text1"/>
          <w:sz w:val="24"/>
          <w:szCs w:val="24"/>
          <w14:textFill>
            <w14:solidFill>
              <w14:schemeClr w14:val="tx1"/>
            </w14:solidFill>
          </w14:textFill>
        </w:rPr>
        <w:t>公示或公布</w:t>
      </w:r>
      <w:r>
        <w:rPr>
          <w:rFonts w:asciiTheme="minorEastAsia" w:hAnsiTheme="minorEastAsia" w:eastAsiaTheme="minorEastAsia" w:cstheme="minorEastAsia"/>
          <w:sz w:val="24"/>
          <w:szCs w:val="24"/>
        </w:rPr>
        <w:t>中标候选人（如有）、中标（成交）结果。</w:t>
      </w:r>
    </w:p>
    <w:p>
      <w:pPr>
        <w:pStyle w:val="270"/>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第二十条</w:t>
      </w:r>
      <w:r>
        <w:rPr>
          <w:rFonts w:asciiTheme="minorEastAsia" w:hAnsiTheme="minorEastAsia" w:eastAsiaTheme="minorEastAsia" w:cstheme="minorEastAsia"/>
          <w:sz w:val="24"/>
          <w:szCs w:val="24"/>
        </w:rPr>
        <w:t>  招标人（采购人）</w:t>
      </w:r>
      <w:r>
        <w:rPr>
          <w:rFonts w:asciiTheme="minorEastAsia" w:hAnsiTheme="minorEastAsia" w:eastAsiaTheme="minorEastAsia" w:cstheme="minorEastAsia"/>
          <w:color w:val="000000" w:themeColor="text1"/>
          <w:sz w:val="24"/>
          <w:szCs w:val="24"/>
          <w14:textFill>
            <w14:solidFill>
              <w14:schemeClr w14:val="tx1"/>
            </w14:solidFill>
          </w14:textFill>
        </w:rPr>
        <w:t>或代理机构</w:t>
      </w:r>
      <w:r>
        <w:rPr>
          <w:rFonts w:asciiTheme="minorEastAsia" w:hAnsiTheme="minorEastAsia" w:eastAsiaTheme="minorEastAsia" w:cstheme="minorEastAsia"/>
          <w:sz w:val="24"/>
          <w:szCs w:val="24"/>
        </w:rPr>
        <w:t>应通过电子交易系统向中标人（成交供应商）发出中标（成交）通知书，中标（成交）通知书发出即视为送达。</w:t>
      </w:r>
    </w:p>
    <w:p>
      <w:pPr>
        <w:pStyle w:val="270"/>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第二十一条</w:t>
      </w:r>
      <w:r>
        <w:rPr>
          <w:rFonts w:asciiTheme="minorEastAsia" w:hAnsiTheme="minorEastAsia" w:eastAsiaTheme="minorEastAsia" w:cstheme="minorEastAsia"/>
          <w:sz w:val="24"/>
          <w:szCs w:val="24"/>
        </w:rPr>
        <w:t>  出现下列情形导致电子交易系统无法正常运行，影响交易活动的公平、公正和信息安全，各方当事人免责：</w:t>
      </w:r>
    </w:p>
    <w:p>
      <w:pPr>
        <w:pStyle w:val="270"/>
        <w:ind w:firstLine="480"/>
        <w:outlineLvl w:val="0"/>
        <w:rPr>
          <w:rFonts w:hint="default" w:asciiTheme="minorEastAsia" w:hAnsiTheme="minorEastAsia" w:eastAsiaTheme="minorEastAsia" w:cstheme="minorEastAsia"/>
          <w:sz w:val="24"/>
          <w:szCs w:val="24"/>
        </w:rPr>
      </w:pPr>
      <w:bookmarkStart w:id="55" w:name="_Toc20320"/>
      <w:r>
        <w:rPr>
          <w:rFonts w:asciiTheme="minorEastAsia" w:hAnsiTheme="minorEastAsia" w:eastAsiaTheme="minorEastAsia" w:cstheme="minorEastAsia"/>
          <w:sz w:val="24"/>
          <w:szCs w:val="24"/>
        </w:rPr>
        <w:t>（一）网络、服务器、数据库发生故障造成无法访问或使用的；</w:t>
      </w:r>
      <w:bookmarkEnd w:id="55"/>
    </w:p>
    <w:p>
      <w:pPr>
        <w:pStyle w:val="270"/>
        <w:ind w:firstLine="480"/>
        <w:outlineLvl w:val="0"/>
        <w:rPr>
          <w:rFonts w:hint="default" w:asciiTheme="minorEastAsia" w:hAnsiTheme="minorEastAsia" w:eastAsiaTheme="minorEastAsia" w:cstheme="minorEastAsia"/>
          <w:sz w:val="24"/>
          <w:szCs w:val="24"/>
        </w:rPr>
      </w:pPr>
      <w:bookmarkStart w:id="56" w:name="_Toc28343"/>
      <w:r>
        <w:rPr>
          <w:rFonts w:asciiTheme="minorEastAsia" w:hAnsiTheme="minorEastAsia" w:eastAsiaTheme="minorEastAsia" w:cstheme="minorEastAsia"/>
          <w:sz w:val="24"/>
          <w:szCs w:val="24"/>
        </w:rPr>
        <w:t>（二）电力系统发生故障导致电子交易系统无法运行的；</w:t>
      </w:r>
      <w:bookmarkEnd w:id="56"/>
    </w:p>
    <w:p>
      <w:pPr>
        <w:pStyle w:val="270"/>
        <w:ind w:firstLine="480"/>
        <w:outlineLvl w:val="0"/>
        <w:rPr>
          <w:rFonts w:hint="default" w:asciiTheme="minorEastAsia" w:hAnsiTheme="minorEastAsia" w:eastAsiaTheme="minorEastAsia" w:cstheme="minorEastAsia"/>
          <w:sz w:val="24"/>
          <w:szCs w:val="24"/>
        </w:rPr>
      </w:pPr>
      <w:bookmarkStart w:id="57" w:name="_Toc3792"/>
      <w:r>
        <w:rPr>
          <w:rFonts w:asciiTheme="minorEastAsia" w:hAnsiTheme="minorEastAsia" w:eastAsiaTheme="minorEastAsia" w:cstheme="minorEastAsia"/>
          <w:sz w:val="24"/>
          <w:szCs w:val="24"/>
        </w:rPr>
        <w:t>（三）出现网络攻击、病毒入侵、电子交易系统软件设计缺陷、功能缺陷以及电子交易系统安全漏洞导致无法正常提供服务的；</w:t>
      </w:r>
      <w:bookmarkEnd w:id="57"/>
    </w:p>
    <w:p>
      <w:pPr>
        <w:pStyle w:val="270"/>
        <w:ind w:firstLine="480"/>
        <w:outlineLvl w:val="0"/>
        <w:rPr>
          <w:rFonts w:hint="default" w:asciiTheme="minorEastAsia" w:hAnsiTheme="minorEastAsia" w:eastAsiaTheme="minorEastAsia" w:cstheme="minorEastAsia"/>
          <w:sz w:val="24"/>
          <w:szCs w:val="24"/>
        </w:rPr>
      </w:pPr>
      <w:bookmarkStart w:id="58" w:name="_Toc5277"/>
      <w:r>
        <w:rPr>
          <w:rFonts w:asciiTheme="minorEastAsia" w:hAnsiTheme="minorEastAsia" w:eastAsiaTheme="minorEastAsia" w:cstheme="minorEastAsia"/>
          <w:sz w:val="24"/>
          <w:szCs w:val="24"/>
        </w:rPr>
        <w:t>（四）其他无法保证交易活动公平、公正和信息安全的情形。</w:t>
      </w:r>
      <w:bookmarkEnd w:id="58"/>
    </w:p>
    <w:p>
      <w:pPr>
        <w:pStyle w:val="270"/>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第二十二条</w:t>
      </w:r>
      <w:r>
        <w:rPr>
          <w:rFonts w:asciiTheme="minorEastAsia" w:hAnsiTheme="minorEastAsia" w:eastAsiaTheme="minorEastAsia" w:cstheme="minorEastAsia"/>
          <w:sz w:val="24"/>
          <w:szCs w:val="24"/>
        </w:rPr>
        <w:t>  出现上述情形，系统建设方应及时组织相关方查明原因，排除故障。若能在故障发现后及时恢复系统运行且不影响项目正常交易的，交易程序继续进行；否则，按以下程序操作：</w:t>
      </w:r>
    </w:p>
    <w:p>
      <w:pPr>
        <w:pStyle w:val="270"/>
        <w:ind w:firstLine="48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一）项目中止，中止期限由招标人（采购人）或代理机构根据项目具体情况确定。中止期限届满后中止情形尚未消除的，招标人（采购人）或代理机构可以根据实际情况决定延长中止期限。决定延长中止期限的，应</w:t>
      </w:r>
      <w:r>
        <w:rPr>
          <w:rFonts w:asciiTheme="minorEastAsia" w:hAnsiTheme="minorEastAsia" w:eastAsiaTheme="minorEastAsia" w:cstheme="minorEastAsia"/>
          <w:color w:val="000000" w:themeColor="text1"/>
          <w:sz w:val="24"/>
          <w:szCs w:val="24"/>
          <w14:textFill>
            <w14:solidFill>
              <w14:schemeClr w14:val="tx1"/>
            </w14:solidFill>
          </w14:textFill>
        </w:rPr>
        <w:t>通过电子交易系统向</w:t>
      </w:r>
      <w:r>
        <w:rPr>
          <w:rFonts w:asciiTheme="minorEastAsia" w:hAnsiTheme="minorEastAsia" w:eastAsiaTheme="minorEastAsia" w:cstheme="minorEastAsia"/>
          <w:sz w:val="24"/>
          <w:szCs w:val="24"/>
        </w:rPr>
        <w:t>投标人（供应商）发出延长中止期限</w:t>
      </w:r>
      <w:r>
        <w:rPr>
          <w:rFonts w:asciiTheme="minorEastAsia" w:hAnsiTheme="minorEastAsia" w:eastAsiaTheme="minorEastAsia" w:cstheme="minorEastAsia"/>
          <w:color w:val="000000" w:themeColor="text1"/>
          <w:sz w:val="24"/>
          <w:szCs w:val="24"/>
          <w14:textFill>
            <w14:solidFill>
              <w14:schemeClr w14:val="tx1"/>
            </w14:solidFill>
          </w14:textFill>
        </w:rPr>
        <w:t>的</w:t>
      </w:r>
      <w:r>
        <w:rPr>
          <w:rFonts w:asciiTheme="minorEastAsia" w:hAnsiTheme="minorEastAsia" w:eastAsiaTheme="minorEastAsia" w:cstheme="minorEastAsia"/>
          <w:sz w:val="24"/>
          <w:szCs w:val="24"/>
        </w:rPr>
        <w:t>通知。</w:t>
      </w:r>
    </w:p>
    <w:p>
      <w:pPr>
        <w:pStyle w:val="270"/>
        <w:ind w:firstLine="48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（二）项目恢复，导致项目中止的情形消除后，招标人（采购人）或代理机构应当尽快恢复交易程序，</w:t>
      </w:r>
      <w:r>
        <w:rPr>
          <w:rFonts w:asciiTheme="minorEastAsia" w:hAnsiTheme="minorEastAsia" w:eastAsiaTheme="minorEastAsia" w:cstheme="minorEastAsia"/>
          <w:color w:val="000000" w:themeColor="text1"/>
          <w:sz w:val="24"/>
          <w:szCs w:val="24"/>
          <w14:textFill>
            <w14:solidFill>
              <w14:schemeClr w14:val="tx1"/>
            </w14:solidFill>
          </w14:textFill>
        </w:rPr>
        <w:t>通过电子交易系统</w:t>
      </w:r>
      <w:r>
        <w:rPr>
          <w:rFonts w:asciiTheme="minorEastAsia" w:hAnsiTheme="minorEastAsia" w:eastAsiaTheme="minorEastAsia" w:cstheme="minorEastAsia"/>
          <w:sz w:val="24"/>
          <w:szCs w:val="24"/>
        </w:rPr>
        <w:t>向投标人（供应商）发出恢复交易通知；已发出延长中止期限通知的，按通知执行</w:t>
      </w:r>
      <w:r>
        <w:rPr>
          <w:rFonts w:asciiTheme="minorEastAsia" w:hAnsiTheme="minorEastAsia" w:eastAsiaTheme="minorEastAsia" w:cstheme="minorEastAsia"/>
          <w:color w:val="000000" w:themeColor="text1"/>
          <w:sz w:val="24"/>
          <w:szCs w:val="24"/>
          <w14:textFill>
            <w14:solidFill>
              <w14:schemeClr w14:val="tx1"/>
            </w14:solidFill>
          </w14:textFill>
        </w:rPr>
        <w:t>或根据招标人（采购人）决定另行通知</w:t>
      </w:r>
      <w:r>
        <w:rPr>
          <w:rFonts w:asciiTheme="minorEastAsia" w:hAnsiTheme="minorEastAsia" w:eastAsiaTheme="minorEastAsia" w:cstheme="minorEastAsia"/>
          <w:sz w:val="24"/>
          <w:szCs w:val="24"/>
        </w:rPr>
        <w:t>。</w:t>
      </w:r>
    </w:p>
    <w:p>
      <w:pPr>
        <w:pStyle w:val="270"/>
        <w:ind w:firstLine="482"/>
        <w:rPr>
          <w:rFonts w:hint="default" w:asciiTheme="minorEastAsia" w:hAnsiTheme="minorEastAsia" w:eastAsiaTheme="minorEastAsia" w:cstheme="minorEastAsia"/>
          <w:sz w:val="24"/>
          <w:szCs w:val="24"/>
        </w:rPr>
      </w:pPr>
      <w:r>
        <w:rPr>
          <w:rFonts w:asciiTheme="minorEastAsia" w:hAnsiTheme="minorEastAsia" w:eastAsiaTheme="minorEastAsia" w:cstheme="minorEastAsia"/>
          <w:b/>
          <w:bCs/>
          <w:sz w:val="24"/>
          <w:szCs w:val="24"/>
        </w:rPr>
        <w:t>第二十三条</w:t>
      </w:r>
      <w:r>
        <w:rPr>
          <w:rFonts w:asciiTheme="minorEastAsia" w:hAnsiTheme="minorEastAsia" w:eastAsiaTheme="minorEastAsia" w:cstheme="minorEastAsia"/>
          <w:sz w:val="24"/>
          <w:szCs w:val="24"/>
        </w:rPr>
        <w:t>  在招标文件规定的解密时间内出现第二十一条规定的意外情形时，如部分投标人（供应商）未完成投标文件解密的，系统恢复后，允许投标人（供应商）继续解密，解密时限重新计</w:t>
      </w:r>
      <w:r>
        <w:rPr>
          <w:rFonts w:asciiTheme="minorEastAsia" w:hAnsiTheme="minorEastAsia" w:eastAsiaTheme="minorEastAsia" w:cstheme="minorEastAsia"/>
          <w:color w:val="000000" w:themeColor="text1"/>
          <w:sz w:val="24"/>
          <w:szCs w:val="24"/>
          <w14:textFill>
            <w14:solidFill>
              <w14:schemeClr w14:val="tx1"/>
            </w14:solidFill>
          </w14:textFill>
        </w:rPr>
        <w:t>算</w:t>
      </w:r>
      <w:r>
        <w:rPr>
          <w:rFonts w:asciiTheme="minorEastAsia" w:hAnsiTheme="minorEastAsia" w:eastAsiaTheme="minorEastAsia" w:cstheme="minorEastAsia"/>
          <w:sz w:val="24"/>
          <w:szCs w:val="24"/>
        </w:rPr>
        <w:t>；在规定的解密截止时间</w:t>
      </w:r>
      <w:r>
        <w:rPr>
          <w:rFonts w:asciiTheme="minorEastAsia" w:hAnsiTheme="minorEastAsia" w:eastAsiaTheme="minorEastAsia" w:cstheme="minorEastAsia"/>
          <w:color w:val="000000" w:themeColor="text1"/>
          <w:sz w:val="24"/>
          <w:szCs w:val="24"/>
          <w14:textFill>
            <w14:solidFill>
              <w14:schemeClr w14:val="tx1"/>
            </w14:solidFill>
          </w14:textFill>
        </w:rPr>
        <w:t>后</w:t>
      </w:r>
      <w:r>
        <w:rPr>
          <w:rFonts w:asciiTheme="minorEastAsia" w:hAnsiTheme="minorEastAsia" w:eastAsiaTheme="minorEastAsia" w:cstheme="minorEastAsia"/>
          <w:sz w:val="24"/>
          <w:szCs w:val="24"/>
        </w:rPr>
        <w:t>出现</w:t>
      </w:r>
      <w:r>
        <w:rPr>
          <w:rFonts w:asciiTheme="minorEastAsia" w:hAnsiTheme="minorEastAsia" w:eastAsiaTheme="minorEastAsia" w:cstheme="minorEastAsia"/>
          <w:color w:val="000000" w:themeColor="text1"/>
          <w:sz w:val="24"/>
          <w:szCs w:val="24"/>
          <w14:textFill>
            <w14:solidFill>
              <w14:schemeClr w14:val="tx1"/>
            </w14:solidFill>
          </w14:textFill>
        </w:rPr>
        <w:t>第二十一条规定的意外情形</w:t>
      </w:r>
      <w:r>
        <w:rPr>
          <w:rFonts w:asciiTheme="minorEastAsia" w:hAnsiTheme="minorEastAsia" w:eastAsiaTheme="minorEastAsia" w:cstheme="minorEastAsia"/>
          <w:sz w:val="24"/>
          <w:szCs w:val="24"/>
        </w:rPr>
        <w:t>的，系统恢复后，</w:t>
      </w:r>
      <w:r>
        <w:rPr>
          <w:rFonts w:asciiTheme="minorEastAsia" w:hAnsiTheme="minorEastAsia" w:eastAsiaTheme="minorEastAsia" w:cstheme="minorEastAsia"/>
          <w:color w:val="000000" w:themeColor="text1"/>
          <w:sz w:val="24"/>
          <w:szCs w:val="24"/>
          <w14:textFill>
            <w14:solidFill>
              <w14:schemeClr w14:val="tx1"/>
            </w14:solidFill>
          </w14:textFill>
        </w:rPr>
        <w:t>仅允许原</w:t>
      </w:r>
      <w:r>
        <w:rPr>
          <w:rFonts w:asciiTheme="minorEastAsia" w:hAnsiTheme="minorEastAsia" w:eastAsiaTheme="minorEastAsia" w:cstheme="minorEastAsia"/>
          <w:sz w:val="24"/>
          <w:szCs w:val="24"/>
        </w:rPr>
        <w:t>解密时间内已成功解密但解密文件无法正常使用的投标人（供应商）重新解密。</w:t>
      </w:r>
    </w:p>
    <w:p>
      <w:pPr>
        <w:spacing w:line="576" w:lineRule="exact"/>
        <w:ind w:firstLine="472" w:firstLineChars="19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第二十四条</w:t>
      </w:r>
      <w:r>
        <w:rPr>
          <w:rFonts w:hint="eastAsia" w:asciiTheme="minorEastAsia" w:hAnsiTheme="minorEastAsia" w:eastAsiaTheme="minorEastAsia" w:cstheme="minorEastAsia"/>
          <w:sz w:val="24"/>
          <w:szCs w:val="24"/>
        </w:rPr>
        <w:t>  本规程由安徽公共资源交易集团负责解释。自发布之日起施行，有效期1年。</w:t>
      </w:r>
    </w:p>
    <w:p>
      <w:pPr>
        <w:tabs>
          <w:tab w:val="left" w:pos="6876"/>
        </w:tabs>
        <w:ind w:firstLine="880"/>
        <w:jc w:val="left"/>
      </w:pPr>
      <w:r>
        <w:rPr>
          <w:rFonts w:hint="eastAsia"/>
        </w:rPr>
        <w:tab/>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10" w:usb3="00000000" w:csb0="0004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Symbol">
    <w:panose1 w:val="05000100010000000000"/>
    <w:charset w:val="00"/>
    <w:family w:val="auto"/>
    <w:pitch w:val="default"/>
    <w:sig w:usb0="00000000" w:usb1="00000000" w:usb2="00000000" w:usb3="00000000" w:csb0="80000000"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3"/>
              <w:ind w:firstLine="36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44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60</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58</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rPr>
        <w:rFonts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jc w:val="left"/>
      <w:rPr>
        <w:rFonts w:eastAsia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F71D34CA"/>
    <w:multiLevelType w:val="singleLevel"/>
    <w:tmpl w:val="F71D34CA"/>
    <w:lvl w:ilvl="0" w:tentative="0">
      <w:start w:val="1"/>
      <w:numFmt w:val="chineseCounting"/>
      <w:suff w:val="space"/>
      <w:lvlText w:val="第%1章"/>
      <w:lvlJc w:val="left"/>
      <w:rPr>
        <w:rFonts w:hint="eastAsia"/>
      </w:rPr>
    </w:lvl>
  </w:abstractNum>
  <w:abstractNum w:abstractNumId="3">
    <w:nsid w:val="6E312FB6"/>
    <w:multiLevelType w:val="singleLevel"/>
    <w:tmpl w:val="6E312FB6"/>
    <w:lvl w:ilvl="0" w:tentative="0">
      <w:start w:val="9"/>
      <w:numFmt w:val="decimal"/>
      <w:lvlText w:val="%1."/>
      <w:lvlJc w:val="left"/>
      <w:pPr>
        <w:tabs>
          <w:tab w:val="left" w:pos="312"/>
        </w:tabs>
      </w:pPr>
    </w:lvl>
  </w:abstractNum>
  <w:abstractNum w:abstractNumId="4">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hODc1ZWFmNTQ5YWI0NmI4MTM5Zjk1MGI0MGE4M2Y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46D39"/>
    <w:rsid w:val="0005061B"/>
    <w:rsid w:val="00050A3F"/>
    <w:rsid w:val="00054AA3"/>
    <w:rsid w:val="000560B2"/>
    <w:rsid w:val="00056ECB"/>
    <w:rsid w:val="00057B40"/>
    <w:rsid w:val="00062BD9"/>
    <w:rsid w:val="000648D2"/>
    <w:rsid w:val="00066AD7"/>
    <w:rsid w:val="00070E0E"/>
    <w:rsid w:val="0007146E"/>
    <w:rsid w:val="00076DB7"/>
    <w:rsid w:val="00080B32"/>
    <w:rsid w:val="00080FEB"/>
    <w:rsid w:val="00084047"/>
    <w:rsid w:val="00087ACD"/>
    <w:rsid w:val="00094D41"/>
    <w:rsid w:val="00097CB9"/>
    <w:rsid w:val="000A0161"/>
    <w:rsid w:val="000A10A9"/>
    <w:rsid w:val="000A2DA0"/>
    <w:rsid w:val="000A6693"/>
    <w:rsid w:val="000A7403"/>
    <w:rsid w:val="000A7970"/>
    <w:rsid w:val="000A7D94"/>
    <w:rsid w:val="000B0C47"/>
    <w:rsid w:val="000B1511"/>
    <w:rsid w:val="000B6249"/>
    <w:rsid w:val="000B6562"/>
    <w:rsid w:val="000C12F8"/>
    <w:rsid w:val="000C1DB1"/>
    <w:rsid w:val="000D2C7D"/>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59F1"/>
    <w:rsid w:val="0012674F"/>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4FBC"/>
    <w:rsid w:val="00175D36"/>
    <w:rsid w:val="0018119B"/>
    <w:rsid w:val="001818E6"/>
    <w:rsid w:val="001844AB"/>
    <w:rsid w:val="001853C7"/>
    <w:rsid w:val="001869E4"/>
    <w:rsid w:val="00192879"/>
    <w:rsid w:val="001944B8"/>
    <w:rsid w:val="00196DA3"/>
    <w:rsid w:val="001971E5"/>
    <w:rsid w:val="001974FD"/>
    <w:rsid w:val="001A0C0F"/>
    <w:rsid w:val="001A2A6A"/>
    <w:rsid w:val="001A5C2E"/>
    <w:rsid w:val="001A68E5"/>
    <w:rsid w:val="001B25BE"/>
    <w:rsid w:val="001B2A54"/>
    <w:rsid w:val="001B2BA4"/>
    <w:rsid w:val="001B5014"/>
    <w:rsid w:val="001B7327"/>
    <w:rsid w:val="001C1E34"/>
    <w:rsid w:val="001D22EA"/>
    <w:rsid w:val="001D2A5D"/>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27F7C"/>
    <w:rsid w:val="00231187"/>
    <w:rsid w:val="002329EB"/>
    <w:rsid w:val="0023407E"/>
    <w:rsid w:val="0023486E"/>
    <w:rsid w:val="00240B40"/>
    <w:rsid w:val="00244182"/>
    <w:rsid w:val="00253D31"/>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3F6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59C0"/>
    <w:rsid w:val="002E7FC4"/>
    <w:rsid w:val="002F52C8"/>
    <w:rsid w:val="002F7D91"/>
    <w:rsid w:val="00305FD7"/>
    <w:rsid w:val="00310070"/>
    <w:rsid w:val="0031081B"/>
    <w:rsid w:val="003110EC"/>
    <w:rsid w:val="00314289"/>
    <w:rsid w:val="003206A6"/>
    <w:rsid w:val="0032560D"/>
    <w:rsid w:val="00327C92"/>
    <w:rsid w:val="0033161D"/>
    <w:rsid w:val="00333292"/>
    <w:rsid w:val="003344E7"/>
    <w:rsid w:val="0033580B"/>
    <w:rsid w:val="003365E7"/>
    <w:rsid w:val="003378D5"/>
    <w:rsid w:val="003473D7"/>
    <w:rsid w:val="0035133F"/>
    <w:rsid w:val="00351AC8"/>
    <w:rsid w:val="00353075"/>
    <w:rsid w:val="00356BA9"/>
    <w:rsid w:val="003617B9"/>
    <w:rsid w:val="00363E02"/>
    <w:rsid w:val="00363F8C"/>
    <w:rsid w:val="00370201"/>
    <w:rsid w:val="003731BB"/>
    <w:rsid w:val="00373A37"/>
    <w:rsid w:val="00373A96"/>
    <w:rsid w:val="00377BE4"/>
    <w:rsid w:val="00381934"/>
    <w:rsid w:val="003826C2"/>
    <w:rsid w:val="00383728"/>
    <w:rsid w:val="00384E57"/>
    <w:rsid w:val="003903BB"/>
    <w:rsid w:val="0039195E"/>
    <w:rsid w:val="00392627"/>
    <w:rsid w:val="00394128"/>
    <w:rsid w:val="00394ADC"/>
    <w:rsid w:val="00395235"/>
    <w:rsid w:val="0039561A"/>
    <w:rsid w:val="00397C7D"/>
    <w:rsid w:val="003A004F"/>
    <w:rsid w:val="003A2158"/>
    <w:rsid w:val="003A2BD5"/>
    <w:rsid w:val="003A3AC4"/>
    <w:rsid w:val="003A5521"/>
    <w:rsid w:val="003A7268"/>
    <w:rsid w:val="003B25A5"/>
    <w:rsid w:val="003B4130"/>
    <w:rsid w:val="003B715B"/>
    <w:rsid w:val="003C2000"/>
    <w:rsid w:val="003C2C62"/>
    <w:rsid w:val="003C5566"/>
    <w:rsid w:val="003C577A"/>
    <w:rsid w:val="003C5F9A"/>
    <w:rsid w:val="003C674F"/>
    <w:rsid w:val="003C76C1"/>
    <w:rsid w:val="003C7E43"/>
    <w:rsid w:val="003D1D14"/>
    <w:rsid w:val="003D6C7C"/>
    <w:rsid w:val="003D6EFB"/>
    <w:rsid w:val="003D7E52"/>
    <w:rsid w:val="003E259A"/>
    <w:rsid w:val="003E25C6"/>
    <w:rsid w:val="003E46E1"/>
    <w:rsid w:val="003F7528"/>
    <w:rsid w:val="004011AA"/>
    <w:rsid w:val="00401E80"/>
    <w:rsid w:val="0040202C"/>
    <w:rsid w:val="0040237B"/>
    <w:rsid w:val="00404A8F"/>
    <w:rsid w:val="00406508"/>
    <w:rsid w:val="004110F6"/>
    <w:rsid w:val="00412755"/>
    <w:rsid w:val="0041456E"/>
    <w:rsid w:val="004148E3"/>
    <w:rsid w:val="00414F7E"/>
    <w:rsid w:val="004164F8"/>
    <w:rsid w:val="00421164"/>
    <w:rsid w:val="00425C69"/>
    <w:rsid w:val="00426F05"/>
    <w:rsid w:val="00432755"/>
    <w:rsid w:val="004328E1"/>
    <w:rsid w:val="004427B7"/>
    <w:rsid w:val="0044349F"/>
    <w:rsid w:val="00443AB7"/>
    <w:rsid w:val="0044541D"/>
    <w:rsid w:val="00445F1F"/>
    <w:rsid w:val="00447862"/>
    <w:rsid w:val="00447CD7"/>
    <w:rsid w:val="00451F60"/>
    <w:rsid w:val="00452BB2"/>
    <w:rsid w:val="00453018"/>
    <w:rsid w:val="0045326D"/>
    <w:rsid w:val="0045452E"/>
    <w:rsid w:val="00456054"/>
    <w:rsid w:val="0045656D"/>
    <w:rsid w:val="00460C1A"/>
    <w:rsid w:val="00462D98"/>
    <w:rsid w:val="00463E7D"/>
    <w:rsid w:val="00472498"/>
    <w:rsid w:val="00472A44"/>
    <w:rsid w:val="00473A89"/>
    <w:rsid w:val="00475899"/>
    <w:rsid w:val="00480720"/>
    <w:rsid w:val="00482C78"/>
    <w:rsid w:val="00483ABC"/>
    <w:rsid w:val="0048634A"/>
    <w:rsid w:val="004874AE"/>
    <w:rsid w:val="0049056F"/>
    <w:rsid w:val="0049106C"/>
    <w:rsid w:val="004916E7"/>
    <w:rsid w:val="00491FF7"/>
    <w:rsid w:val="00492217"/>
    <w:rsid w:val="004948F2"/>
    <w:rsid w:val="00494A16"/>
    <w:rsid w:val="00494D24"/>
    <w:rsid w:val="004951D1"/>
    <w:rsid w:val="004960BB"/>
    <w:rsid w:val="004975E1"/>
    <w:rsid w:val="004A1BA3"/>
    <w:rsid w:val="004A27D0"/>
    <w:rsid w:val="004A4D67"/>
    <w:rsid w:val="004B45E6"/>
    <w:rsid w:val="004B7E79"/>
    <w:rsid w:val="004C13CB"/>
    <w:rsid w:val="004C5B90"/>
    <w:rsid w:val="004D3D4B"/>
    <w:rsid w:val="004D4557"/>
    <w:rsid w:val="004D5498"/>
    <w:rsid w:val="004D66A5"/>
    <w:rsid w:val="004D6B00"/>
    <w:rsid w:val="004E1D50"/>
    <w:rsid w:val="004E3266"/>
    <w:rsid w:val="004E38BA"/>
    <w:rsid w:val="004E3EB6"/>
    <w:rsid w:val="004E4880"/>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37735"/>
    <w:rsid w:val="005437B0"/>
    <w:rsid w:val="005470D4"/>
    <w:rsid w:val="0055037C"/>
    <w:rsid w:val="0055705E"/>
    <w:rsid w:val="005616B5"/>
    <w:rsid w:val="00566690"/>
    <w:rsid w:val="005679A4"/>
    <w:rsid w:val="0057149F"/>
    <w:rsid w:val="00574CE6"/>
    <w:rsid w:val="00577A3C"/>
    <w:rsid w:val="00584FCB"/>
    <w:rsid w:val="0059223D"/>
    <w:rsid w:val="005925BF"/>
    <w:rsid w:val="0059365B"/>
    <w:rsid w:val="00593ABC"/>
    <w:rsid w:val="00596B82"/>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56A4"/>
    <w:rsid w:val="00607471"/>
    <w:rsid w:val="00610A66"/>
    <w:rsid w:val="006119B8"/>
    <w:rsid w:val="00613177"/>
    <w:rsid w:val="00613F7C"/>
    <w:rsid w:val="00614BF2"/>
    <w:rsid w:val="0061557C"/>
    <w:rsid w:val="00623DE2"/>
    <w:rsid w:val="00627601"/>
    <w:rsid w:val="006300D0"/>
    <w:rsid w:val="006316AC"/>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5F04"/>
    <w:rsid w:val="006572DE"/>
    <w:rsid w:val="00662DCD"/>
    <w:rsid w:val="00662EE8"/>
    <w:rsid w:val="00663813"/>
    <w:rsid w:val="00664AFD"/>
    <w:rsid w:val="006665DC"/>
    <w:rsid w:val="00667567"/>
    <w:rsid w:val="006703C0"/>
    <w:rsid w:val="0067391A"/>
    <w:rsid w:val="00674173"/>
    <w:rsid w:val="0067534F"/>
    <w:rsid w:val="00676A33"/>
    <w:rsid w:val="0067717E"/>
    <w:rsid w:val="00677D87"/>
    <w:rsid w:val="00690458"/>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34A7"/>
    <w:rsid w:val="006E4DA7"/>
    <w:rsid w:val="006E5059"/>
    <w:rsid w:val="006E6810"/>
    <w:rsid w:val="006F33D8"/>
    <w:rsid w:val="006F4C5B"/>
    <w:rsid w:val="006F59B4"/>
    <w:rsid w:val="006F5F03"/>
    <w:rsid w:val="006F5FFF"/>
    <w:rsid w:val="006F7F4C"/>
    <w:rsid w:val="00701431"/>
    <w:rsid w:val="00702959"/>
    <w:rsid w:val="00710804"/>
    <w:rsid w:val="00711FC6"/>
    <w:rsid w:val="00712952"/>
    <w:rsid w:val="007130B1"/>
    <w:rsid w:val="00713487"/>
    <w:rsid w:val="00713C0C"/>
    <w:rsid w:val="00715071"/>
    <w:rsid w:val="007231E9"/>
    <w:rsid w:val="00723731"/>
    <w:rsid w:val="00724F0E"/>
    <w:rsid w:val="007270A6"/>
    <w:rsid w:val="00727C59"/>
    <w:rsid w:val="007328C6"/>
    <w:rsid w:val="00733730"/>
    <w:rsid w:val="00734E5D"/>
    <w:rsid w:val="0073514E"/>
    <w:rsid w:val="00735886"/>
    <w:rsid w:val="00736013"/>
    <w:rsid w:val="00737BF8"/>
    <w:rsid w:val="0074339B"/>
    <w:rsid w:val="00750B60"/>
    <w:rsid w:val="007516BD"/>
    <w:rsid w:val="00756245"/>
    <w:rsid w:val="00761662"/>
    <w:rsid w:val="00764043"/>
    <w:rsid w:val="00766A36"/>
    <w:rsid w:val="00770C1D"/>
    <w:rsid w:val="007757CF"/>
    <w:rsid w:val="007769F6"/>
    <w:rsid w:val="00780F9D"/>
    <w:rsid w:val="0078128F"/>
    <w:rsid w:val="007819D9"/>
    <w:rsid w:val="007835E0"/>
    <w:rsid w:val="0078642F"/>
    <w:rsid w:val="0078683C"/>
    <w:rsid w:val="00790EDB"/>
    <w:rsid w:val="00791538"/>
    <w:rsid w:val="0079326E"/>
    <w:rsid w:val="00796E1C"/>
    <w:rsid w:val="00796EDE"/>
    <w:rsid w:val="007A05AD"/>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7E4403"/>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518C"/>
    <w:rsid w:val="00857633"/>
    <w:rsid w:val="00863FC4"/>
    <w:rsid w:val="0086440C"/>
    <w:rsid w:val="008674ED"/>
    <w:rsid w:val="00874EE6"/>
    <w:rsid w:val="00876659"/>
    <w:rsid w:val="0087734C"/>
    <w:rsid w:val="00882141"/>
    <w:rsid w:val="00884582"/>
    <w:rsid w:val="00886BD4"/>
    <w:rsid w:val="00886CA2"/>
    <w:rsid w:val="008876EC"/>
    <w:rsid w:val="00891ADD"/>
    <w:rsid w:val="008922A8"/>
    <w:rsid w:val="00892949"/>
    <w:rsid w:val="00893C40"/>
    <w:rsid w:val="00895BD5"/>
    <w:rsid w:val="008A16C4"/>
    <w:rsid w:val="008A4A27"/>
    <w:rsid w:val="008A649F"/>
    <w:rsid w:val="008A6FED"/>
    <w:rsid w:val="008B0945"/>
    <w:rsid w:val="008B108C"/>
    <w:rsid w:val="008B39C5"/>
    <w:rsid w:val="008B3BB4"/>
    <w:rsid w:val="008B51AA"/>
    <w:rsid w:val="008B5614"/>
    <w:rsid w:val="008C477B"/>
    <w:rsid w:val="008C67F2"/>
    <w:rsid w:val="008C7E63"/>
    <w:rsid w:val="008D064A"/>
    <w:rsid w:val="008D1C28"/>
    <w:rsid w:val="008D2537"/>
    <w:rsid w:val="008D2B0F"/>
    <w:rsid w:val="008D4709"/>
    <w:rsid w:val="008D566B"/>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4F8E"/>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A744E"/>
    <w:rsid w:val="009B0AC1"/>
    <w:rsid w:val="009B0EDA"/>
    <w:rsid w:val="009B1561"/>
    <w:rsid w:val="009B6A37"/>
    <w:rsid w:val="009B6C42"/>
    <w:rsid w:val="009C12E1"/>
    <w:rsid w:val="009C3F38"/>
    <w:rsid w:val="009D2998"/>
    <w:rsid w:val="009D31F7"/>
    <w:rsid w:val="009D32C2"/>
    <w:rsid w:val="009D50DB"/>
    <w:rsid w:val="009D7D17"/>
    <w:rsid w:val="009E2932"/>
    <w:rsid w:val="009E2D44"/>
    <w:rsid w:val="009E2DFA"/>
    <w:rsid w:val="009E3A0A"/>
    <w:rsid w:val="009F1936"/>
    <w:rsid w:val="009F3505"/>
    <w:rsid w:val="009F3E91"/>
    <w:rsid w:val="009F4E0E"/>
    <w:rsid w:val="00A008DA"/>
    <w:rsid w:val="00A00C93"/>
    <w:rsid w:val="00A0571E"/>
    <w:rsid w:val="00A13881"/>
    <w:rsid w:val="00A1397D"/>
    <w:rsid w:val="00A13A27"/>
    <w:rsid w:val="00A1499B"/>
    <w:rsid w:val="00A170D8"/>
    <w:rsid w:val="00A26BC5"/>
    <w:rsid w:val="00A27D73"/>
    <w:rsid w:val="00A30A1B"/>
    <w:rsid w:val="00A314C2"/>
    <w:rsid w:val="00A40B71"/>
    <w:rsid w:val="00A42897"/>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0C1E"/>
    <w:rsid w:val="00A91CA2"/>
    <w:rsid w:val="00A9220A"/>
    <w:rsid w:val="00A92FB8"/>
    <w:rsid w:val="00A948F1"/>
    <w:rsid w:val="00A97763"/>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DB4"/>
    <w:rsid w:val="00AE3F91"/>
    <w:rsid w:val="00AF5B63"/>
    <w:rsid w:val="00B0053D"/>
    <w:rsid w:val="00B039E3"/>
    <w:rsid w:val="00B06D36"/>
    <w:rsid w:val="00B12BC4"/>
    <w:rsid w:val="00B13A3D"/>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565"/>
    <w:rsid w:val="00B806C3"/>
    <w:rsid w:val="00B80D6F"/>
    <w:rsid w:val="00B84FCA"/>
    <w:rsid w:val="00B9089F"/>
    <w:rsid w:val="00B91826"/>
    <w:rsid w:val="00B91AEE"/>
    <w:rsid w:val="00B93568"/>
    <w:rsid w:val="00B95C9A"/>
    <w:rsid w:val="00B95F5A"/>
    <w:rsid w:val="00B96EAD"/>
    <w:rsid w:val="00BA1E27"/>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3CE5"/>
    <w:rsid w:val="00C44682"/>
    <w:rsid w:val="00C46A36"/>
    <w:rsid w:val="00C47037"/>
    <w:rsid w:val="00C509E3"/>
    <w:rsid w:val="00C50EFF"/>
    <w:rsid w:val="00C53625"/>
    <w:rsid w:val="00C548BA"/>
    <w:rsid w:val="00C5679D"/>
    <w:rsid w:val="00C57784"/>
    <w:rsid w:val="00C57F87"/>
    <w:rsid w:val="00C602C1"/>
    <w:rsid w:val="00C63FC0"/>
    <w:rsid w:val="00C66392"/>
    <w:rsid w:val="00C6670A"/>
    <w:rsid w:val="00C70C10"/>
    <w:rsid w:val="00C719AA"/>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1D17"/>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1D5F"/>
    <w:rsid w:val="00D14585"/>
    <w:rsid w:val="00D153C8"/>
    <w:rsid w:val="00D169F2"/>
    <w:rsid w:val="00D20EFF"/>
    <w:rsid w:val="00D21075"/>
    <w:rsid w:val="00D23167"/>
    <w:rsid w:val="00D236BB"/>
    <w:rsid w:val="00D26845"/>
    <w:rsid w:val="00D3019D"/>
    <w:rsid w:val="00D31324"/>
    <w:rsid w:val="00D35198"/>
    <w:rsid w:val="00D4221B"/>
    <w:rsid w:val="00D4386E"/>
    <w:rsid w:val="00D43DE5"/>
    <w:rsid w:val="00D475D2"/>
    <w:rsid w:val="00D51432"/>
    <w:rsid w:val="00D53ED8"/>
    <w:rsid w:val="00D54187"/>
    <w:rsid w:val="00D541A0"/>
    <w:rsid w:val="00D5697F"/>
    <w:rsid w:val="00D57B2F"/>
    <w:rsid w:val="00D60FF9"/>
    <w:rsid w:val="00D64857"/>
    <w:rsid w:val="00D6493A"/>
    <w:rsid w:val="00D649A5"/>
    <w:rsid w:val="00D660EA"/>
    <w:rsid w:val="00D66833"/>
    <w:rsid w:val="00D66B12"/>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6C9D"/>
    <w:rsid w:val="00DC74DA"/>
    <w:rsid w:val="00DC76F2"/>
    <w:rsid w:val="00DD149F"/>
    <w:rsid w:val="00DD39D1"/>
    <w:rsid w:val="00DD43F0"/>
    <w:rsid w:val="00DD44DE"/>
    <w:rsid w:val="00DE09AB"/>
    <w:rsid w:val="00DE0FD2"/>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86F6C"/>
    <w:rsid w:val="00E92962"/>
    <w:rsid w:val="00E94E10"/>
    <w:rsid w:val="00E96743"/>
    <w:rsid w:val="00E96A42"/>
    <w:rsid w:val="00E97497"/>
    <w:rsid w:val="00EA046F"/>
    <w:rsid w:val="00EA3EC1"/>
    <w:rsid w:val="00EA49C5"/>
    <w:rsid w:val="00EA5406"/>
    <w:rsid w:val="00EA5FD8"/>
    <w:rsid w:val="00EA6279"/>
    <w:rsid w:val="00EB402C"/>
    <w:rsid w:val="00EB5027"/>
    <w:rsid w:val="00EC07D4"/>
    <w:rsid w:val="00EC1836"/>
    <w:rsid w:val="00EC3990"/>
    <w:rsid w:val="00EC484B"/>
    <w:rsid w:val="00EC7E58"/>
    <w:rsid w:val="00ED15FA"/>
    <w:rsid w:val="00ED5C9F"/>
    <w:rsid w:val="00ED693D"/>
    <w:rsid w:val="00ED7D5E"/>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5D7A"/>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3A61"/>
    <w:rsid w:val="00F659DA"/>
    <w:rsid w:val="00F671CE"/>
    <w:rsid w:val="00F674DA"/>
    <w:rsid w:val="00F70658"/>
    <w:rsid w:val="00F74B50"/>
    <w:rsid w:val="00F75B81"/>
    <w:rsid w:val="00F761CA"/>
    <w:rsid w:val="00F779FC"/>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21A1"/>
    <w:rsid w:val="00FC3F65"/>
    <w:rsid w:val="00FC5007"/>
    <w:rsid w:val="00FC724B"/>
    <w:rsid w:val="00FC7910"/>
    <w:rsid w:val="00FD01E0"/>
    <w:rsid w:val="00FD50FC"/>
    <w:rsid w:val="00FD5613"/>
    <w:rsid w:val="00FE1627"/>
    <w:rsid w:val="00FE17C9"/>
    <w:rsid w:val="00FE2D4E"/>
    <w:rsid w:val="00FF0112"/>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977E2B"/>
    <w:rsid w:val="03B51673"/>
    <w:rsid w:val="03C15358"/>
    <w:rsid w:val="03D869D2"/>
    <w:rsid w:val="03E21CD5"/>
    <w:rsid w:val="04054CCC"/>
    <w:rsid w:val="04073FBB"/>
    <w:rsid w:val="041A2F36"/>
    <w:rsid w:val="04336711"/>
    <w:rsid w:val="043D0754"/>
    <w:rsid w:val="0475016D"/>
    <w:rsid w:val="047714C2"/>
    <w:rsid w:val="04BC3FEE"/>
    <w:rsid w:val="04E60241"/>
    <w:rsid w:val="04E92909"/>
    <w:rsid w:val="05031C1C"/>
    <w:rsid w:val="05092444"/>
    <w:rsid w:val="050A3155"/>
    <w:rsid w:val="055F0B42"/>
    <w:rsid w:val="0580501B"/>
    <w:rsid w:val="059B1E55"/>
    <w:rsid w:val="05AF5900"/>
    <w:rsid w:val="05AF67D0"/>
    <w:rsid w:val="05B9052D"/>
    <w:rsid w:val="05C05314"/>
    <w:rsid w:val="05CD39D7"/>
    <w:rsid w:val="05EC34F6"/>
    <w:rsid w:val="060528C8"/>
    <w:rsid w:val="061B11E8"/>
    <w:rsid w:val="061D52A4"/>
    <w:rsid w:val="062C51A3"/>
    <w:rsid w:val="0639166E"/>
    <w:rsid w:val="06523F87"/>
    <w:rsid w:val="065B15E4"/>
    <w:rsid w:val="06677A1E"/>
    <w:rsid w:val="06783F44"/>
    <w:rsid w:val="06823015"/>
    <w:rsid w:val="068E0BC9"/>
    <w:rsid w:val="06BC3117"/>
    <w:rsid w:val="06E67100"/>
    <w:rsid w:val="073C31C4"/>
    <w:rsid w:val="074E7B40"/>
    <w:rsid w:val="078A2181"/>
    <w:rsid w:val="079511E1"/>
    <w:rsid w:val="07A174CB"/>
    <w:rsid w:val="07D822F4"/>
    <w:rsid w:val="0808754A"/>
    <w:rsid w:val="082020F7"/>
    <w:rsid w:val="08337E2C"/>
    <w:rsid w:val="08636A5A"/>
    <w:rsid w:val="086A0E2C"/>
    <w:rsid w:val="08946CD7"/>
    <w:rsid w:val="08A46BE7"/>
    <w:rsid w:val="08BB1E7B"/>
    <w:rsid w:val="08DA0EE6"/>
    <w:rsid w:val="08DB07BA"/>
    <w:rsid w:val="093A0988"/>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9F0171"/>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E60171"/>
    <w:rsid w:val="0FF1293F"/>
    <w:rsid w:val="0FF4402F"/>
    <w:rsid w:val="10305890"/>
    <w:rsid w:val="103C7133"/>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E5621C"/>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A85B09"/>
    <w:rsid w:val="18BD54F4"/>
    <w:rsid w:val="18D94D16"/>
    <w:rsid w:val="18DC0363"/>
    <w:rsid w:val="18DD28F7"/>
    <w:rsid w:val="18E37943"/>
    <w:rsid w:val="19016E21"/>
    <w:rsid w:val="190B0C48"/>
    <w:rsid w:val="19237362"/>
    <w:rsid w:val="194303E2"/>
    <w:rsid w:val="19706CFD"/>
    <w:rsid w:val="1978240B"/>
    <w:rsid w:val="1979120B"/>
    <w:rsid w:val="1997072D"/>
    <w:rsid w:val="19A312AE"/>
    <w:rsid w:val="19BE5CBA"/>
    <w:rsid w:val="19BF76EB"/>
    <w:rsid w:val="1A085187"/>
    <w:rsid w:val="1A11228E"/>
    <w:rsid w:val="1A136006"/>
    <w:rsid w:val="1A1A7CD9"/>
    <w:rsid w:val="1A4457AE"/>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B36C4B"/>
    <w:rsid w:val="1BFB0379"/>
    <w:rsid w:val="1C0F0A4F"/>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352252"/>
    <w:rsid w:val="1D8B7972"/>
    <w:rsid w:val="1DB05F30"/>
    <w:rsid w:val="1DC6406D"/>
    <w:rsid w:val="1DC934B1"/>
    <w:rsid w:val="1DCB4477"/>
    <w:rsid w:val="1DCD6CA7"/>
    <w:rsid w:val="1DE2702B"/>
    <w:rsid w:val="1DEB2FC8"/>
    <w:rsid w:val="1DF0665E"/>
    <w:rsid w:val="1DF5319D"/>
    <w:rsid w:val="1E095FF1"/>
    <w:rsid w:val="1E150A33"/>
    <w:rsid w:val="1E182176"/>
    <w:rsid w:val="1E373F96"/>
    <w:rsid w:val="1E3D139F"/>
    <w:rsid w:val="1E4A39BB"/>
    <w:rsid w:val="1E5310C7"/>
    <w:rsid w:val="1E74728F"/>
    <w:rsid w:val="1E7E389E"/>
    <w:rsid w:val="1E7F06F4"/>
    <w:rsid w:val="1ECF42FE"/>
    <w:rsid w:val="1ECF44C6"/>
    <w:rsid w:val="1F120F76"/>
    <w:rsid w:val="1F2E38E2"/>
    <w:rsid w:val="1F354E12"/>
    <w:rsid w:val="1F35643E"/>
    <w:rsid w:val="1F3A2287"/>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93F18"/>
    <w:rsid w:val="209B4FA7"/>
    <w:rsid w:val="20A2086D"/>
    <w:rsid w:val="20C718F8"/>
    <w:rsid w:val="20D109C9"/>
    <w:rsid w:val="20E45634"/>
    <w:rsid w:val="20FC2382"/>
    <w:rsid w:val="214D1EC4"/>
    <w:rsid w:val="2185070D"/>
    <w:rsid w:val="21957C48"/>
    <w:rsid w:val="21BA76AF"/>
    <w:rsid w:val="21BF0821"/>
    <w:rsid w:val="21CC6CDD"/>
    <w:rsid w:val="21D266CD"/>
    <w:rsid w:val="21DC5877"/>
    <w:rsid w:val="21EF1DF1"/>
    <w:rsid w:val="21FD1568"/>
    <w:rsid w:val="220F3557"/>
    <w:rsid w:val="22625D47"/>
    <w:rsid w:val="22665141"/>
    <w:rsid w:val="22731755"/>
    <w:rsid w:val="227B6E3E"/>
    <w:rsid w:val="229323DA"/>
    <w:rsid w:val="22934188"/>
    <w:rsid w:val="22AF4936"/>
    <w:rsid w:val="22C83D5D"/>
    <w:rsid w:val="22C85680"/>
    <w:rsid w:val="22DE0399"/>
    <w:rsid w:val="22F570D1"/>
    <w:rsid w:val="23214077"/>
    <w:rsid w:val="232B7B53"/>
    <w:rsid w:val="23496F3C"/>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32140"/>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3F49"/>
    <w:rsid w:val="29F647AE"/>
    <w:rsid w:val="2A09328E"/>
    <w:rsid w:val="2A1A444E"/>
    <w:rsid w:val="2A222F93"/>
    <w:rsid w:val="2A3D2C2B"/>
    <w:rsid w:val="2A7523C5"/>
    <w:rsid w:val="2A8645D2"/>
    <w:rsid w:val="2A97058D"/>
    <w:rsid w:val="2AC51206"/>
    <w:rsid w:val="2B1966E7"/>
    <w:rsid w:val="2B3758CC"/>
    <w:rsid w:val="2B5F745C"/>
    <w:rsid w:val="2BAA0134"/>
    <w:rsid w:val="2BD05B4E"/>
    <w:rsid w:val="2BFC771C"/>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F7C93"/>
    <w:rsid w:val="2DA80A8D"/>
    <w:rsid w:val="2DAA4BFF"/>
    <w:rsid w:val="2DE51610"/>
    <w:rsid w:val="2DE97352"/>
    <w:rsid w:val="2E067D4C"/>
    <w:rsid w:val="2E0D7FA5"/>
    <w:rsid w:val="2E1D349F"/>
    <w:rsid w:val="2E4A51C1"/>
    <w:rsid w:val="2E607436"/>
    <w:rsid w:val="2E615CCD"/>
    <w:rsid w:val="2E6C1899"/>
    <w:rsid w:val="2E810DE7"/>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85DC8"/>
    <w:rsid w:val="327B69E7"/>
    <w:rsid w:val="327D17AF"/>
    <w:rsid w:val="327F62D5"/>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8338B6"/>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56AF0"/>
    <w:rsid w:val="3A572443"/>
    <w:rsid w:val="3A6316FB"/>
    <w:rsid w:val="3AAB3AE0"/>
    <w:rsid w:val="3AB57BE2"/>
    <w:rsid w:val="3ACD3B57"/>
    <w:rsid w:val="3AF15A98"/>
    <w:rsid w:val="3AF561AE"/>
    <w:rsid w:val="3AFA5384"/>
    <w:rsid w:val="3B027CA5"/>
    <w:rsid w:val="3B134F55"/>
    <w:rsid w:val="3B186CC9"/>
    <w:rsid w:val="3B2132F9"/>
    <w:rsid w:val="3B2B252A"/>
    <w:rsid w:val="3B4D0683"/>
    <w:rsid w:val="3B714E2B"/>
    <w:rsid w:val="3B9B5A04"/>
    <w:rsid w:val="3BA725FA"/>
    <w:rsid w:val="3BB0325D"/>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F087854"/>
    <w:rsid w:val="3F2F6EBF"/>
    <w:rsid w:val="3F5D194E"/>
    <w:rsid w:val="3F7F14E7"/>
    <w:rsid w:val="3F8B1360"/>
    <w:rsid w:val="3F9F14A0"/>
    <w:rsid w:val="3FA37E9F"/>
    <w:rsid w:val="3FEF7356"/>
    <w:rsid w:val="3FF21F94"/>
    <w:rsid w:val="40005166"/>
    <w:rsid w:val="400B4C01"/>
    <w:rsid w:val="400D44B9"/>
    <w:rsid w:val="40302BBE"/>
    <w:rsid w:val="40316936"/>
    <w:rsid w:val="40477F08"/>
    <w:rsid w:val="405165FE"/>
    <w:rsid w:val="406867FC"/>
    <w:rsid w:val="408C6DF2"/>
    <w:rsid w:val="40C6735E"/>
    <w:rsid w:val="40D24B9C"/>
    <w:rsid w:val="40DE6ABE"/>
    <w:rsid w:val="410753AA"/>
    <w:rsid w:val="411E335F"/>
    <w:rsid w:val="41303889"/>
    <w:rsid w:val="415052BD"/>
    <w:rsid w:val="41870F04"/>
    <w:rsid w:val="41904D37"/>
    <w:rsid w:val="41A1553C"/>
    <w:rsid w:val="41BB1716"/>
    <w:rsid w:val="41C32C44"/>
    <w:rsid w:val="41D979E0"/>
    <w:rsid w:val="41DE0A1F"/>
    <w:rsid w:val="41E73751"/>
    <w:rsid w:val="41FD3C44"/>
    <w:rsid w:val="4207478C"/>
    <w:rsid w:val="422A409B"/>
    <w:rsid w:val="422E75D1"/>
    <w:rsid w:val="42373D37"/>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7C6146"/>
    <w:rsid w:val="468974CC"/>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B7EAA"/>
    <w:rsid w:val="489A776F"/>
    <w:rsid w:val="489F4D85"/>
    <w:rsid w:val="48B672D9"/>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B41774"/>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91458"/>
    <w:rsid w:val="4D1B6B8F"/>
    <w:rsid w:val="4D1F6494"/>
    <w:rsid w:val="4D3D5FF4"/>
    <w:rsid w:val="4D487C17"/>
    <w:rsid w:val="4D5A72FA"/>
    <w:rsid w:val="4D633A18"/>
    <w:rsid w:val="4D99487C"/>
    <w:rsid w:val="4DB90697"/>
    <w:rsid w:val="4DC52A56"/>
    <w:rsid w:val="4DDB0C4B"/>
    <w:rsid w:val="4DE4148C"/>
    <w:rsid w:val="4E0062C6"/>
    <w:rsid w:val="4E0B2970"/>
    <w:rsid w:val="4E1759C1"/>
    <w:rsid w:val="4E3E6DEE"/>
    <w:rsid w:val="4E8862BB"/>
    <w:rsid w:val="4ED8558E"/>
    <w:rsid w:val="4F245FE4"/>
    <w:rsid w:val="4F433169"/>
    <w:rsid w:val="4FC7696F"/>
    <w:rsid w:val="4FD51C85"/>
    <w:rsid w:val="4FF54478"/>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8E63E9"/>
    <w:rsid w:val="51C455C5"/>
    <w:rsid w:val="51DC38A0"/>
    <w:rsid w:val="5221002A"/>
    <w:rsid w:val="52324E4E"/>
    <w:rsid w:val="52642B9B"/>
    <w:rsid w:val="526F3A1A"/>
    <w:rsid w:val="52816DE8"/>
    <w:rsid w:val="52976ACD"/>
    <w:rsid w:val="529F5982"/>
    <w:rsid w:val="52AF3C79"/>
    <w:rsid w:val="52E617B5"/>
    <w:rsid w:val="52F85E4C"/>
    <w:rsid w:val="52FF78E7"/>
    <w:rsid w:val="533D19AF"/>
    <w:rsid w:val="53435F37"/>
    <w:rsid w:val="53515F4F"/>
    <w:rsid w:val="537806AC"/>
    <w:rsid w:val="53837B15"/>
    <w:rsid w:val="53983E43"/>
    <w:rsid w:val="539F403D"/>
    <w:rsid w:val="54052793"/>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9C74CE3"/>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677510"/>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4731C8"/>
    <w:rsid w:val="6260512D"/>
    <w:rsid w:val="6270048D"/>
    <w:rsid w:val="62740392"/>
    <w:rsid w:val="627604AD"/>
    <w:rsid w:val="62815399"/>
    <w:rsid w:val="62AA45FB"/>
    <w:rsid w:val="62E94778"/>
    <w:rsid w:val="62F615EE"/>
    <w:rsid w:val="62F85366"/>
    <w:rsid w:val="631B1054"/>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855479"/>
    <w:rsid w:val="699C67E2"/>
    <w:rsid w:val="69D34437"/>
    <w:rsid w:val="69D514B6"/>
    <w:rsid w:val="69E119FE"/>
    <w:rsid w:val="69EB3B79"/>
    <w:rsid w:val="6A006484"/>
    <w:rsid w:val="6A022F6E"/>
    <w:rsid w:val="6A0B3BD1"/>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C74A15"/>
    <w:rsid w:val="6DD42C17"/>
    <w:rsid w:val="6E0472B5"/>
    <w:rsid w:val="6E164774"/>
    <w:rsid w:val="6E1F7D5F"/>
    <w:rsid w:val="6E5666E4"/>
    <w:rsid w:val="6E5D423C"/>
    <w:rsid w:val="6E62222D"/>
    <w:rsid w:val="6E8977BA"/>
    <w:rsid w:val="6EAE0FCF"/>
    <w:rsid w:val="6EC4452A"/>
    <w:rsid w:val="6EC9320D"/>
    <w:rsid w:val="6ED00F45"/>
    <w:rsid w:val="6ED22024"/>
    <w:rsid w:val="6ED35A4F"/>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BB77A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172AA"/>
    <w:rsid w:val="70FA6DA8"/>
    <w:rsid w:val="714D223A"/>
    <w:rsid w:val="71AB7A47"/>
    <w:rsid w:val="71BC7EA6"/>
    <w:rsid w:val="71D92806"/>
    <w:rsid w:val="723B3BA8"/>
    <w:rsid w:val="723F4010"/>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A600D"/>
    <w:rsid w:val="760D6DDC"/>
    <w:rsid w:val="76147566"/>
    <w:rsid w:val="7679608D"/>
    <w:rsid w:val="76AC0BFB"/>
    <w:rsid w:val="76B31AD3"/>
    <w:rsid w:val="76D22E4C"/>
    <w:rsid w:val="76D90BB3"/>
    <w:rsid w:val="76D96E05"/>
    <w:rsid w:val="76DA7887"/>
    <w:rsid w:val="771542E1"/>
    <w:rsid w:val="771670BC"/>
    <w:rsid w:val="77291523"/>
    <w:rsid w:val="772937FE"/>
    <w:rsid w:val="77400489"/>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9409E0"/>
    <w:rsid w:val="78BD36C3"/>
    <w:rsid w:val="78D45AD6"/>
    <w:rsid w:val="78E81581"/>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381408"/>
    <w:rsid w:val="7A660CD8"/>
    <w:rsid w:val="7A92282C"/>
    <w:rsid w:val="7ACD712C"/>
    <w:rsid w:val="7AE30252"/>
    <w:rsid w:val="7B24133B"/>
    <w:rsid w:val="7B4D3D08"/>
    <w:rsid w:val="7B6E3FBF"/>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376633"/>
    <w:rsid w:val="7D524231"/>
    <w:rsid w:val="7D531E0F"/>
    <w:rsid w:val="7D570CC2"/>
    <w:rsid w:val="7D6E02A7"/>
    <w:rsid w:val="7DAC10F9"/>
    <w:rsid w:val="7DC45624"/>
    <w:rsid w:val="7DD277C6"/>
    <w:rsid w:val="7E235535"/>
    <w:rsid w:val="7E3A63DB"/>
    <w:rsid w:val="7E3C67B6"/>
    <w:rsid w:val="7E3E47E3"/>
    <w:rsid w:val="7E4B05E8"/>
    <w:rsid w:val="7E4D4360"/>
    <w:rsid w:val="7E9100D2"/>
    <w:rsid w:val="7EB0785F"/>
    <w:rsid w:val="7EBC3294"/>
    <w:rsid w:val="7EC02D84"/>
    <w:rsid w:val="7EDA196C"/>
    <w:rsid w:val="7EF2547B"/>
    <w:rsid w:val="7EFC3D40"/>
    <w:rsid w:val="7EFD1A58"/>
    <w:rsid w:val="7F0864D9"/>
    <w:rsid w:val="7F1A159B"/>
    <w:rsid w:val="7F7E49ED"/>
    <w:rsid w:val="7F8F581D"/>
    <w:rsid w:val="7FB65F35"/>
    <w:rsid w:val="7FC5261C"/>
    <w:rsid w:val="7FDF36FC"/>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8"/>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3"/>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0"/>
    <w:autoRedefine/>
    <w:qFormat/>
    <w:uiPriority w:val="0"/>
    <w:rPr>
      <w:rFonts w:ascii="Arial" w:hAnsi="Arial" w:cs="Arial"/>
      <w:b/>
      <w:sz w:val="28"/>
    </w:rPr>
  </w:style>
  <w:style w:type="paragraph" w:styleId="31">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7"/>
    <w:autoRedefine/>
    <w:unhideWhenUsed/>
    <w:qFormat/>
    <w:uiPriority w:val="0"/>
    <w:rPr>
      <w:sz w:val="18"/>
      <w:szCs w:val="18"/>
    </w:rPr>
  </w:style>
  <w:style w:type="paragraph" w:styleId="33">
    <w:name w:val="footer"/>
    <w:basedOn w:val="1"/>
    <w:link w:val="72"/>
    <w:autoRedefine/>
    <w:unhideWhenUsed/>
    <w:qFormat/>
    <w:uiPriority w:val="99"/>
    <w:pPr>
      <w:tabs>
        <w:tab w:val="center" w:pos="4153"/>
        <w:tab w:val="right" w:pos="8306"/>
      </w:tabs>
      <w:snapToGrid w:val="0"/>
      <w:jc w:val="left"/>
    </w:pPr>
    <w:rPr>
      <w:sz w:val="18"/>
      <w:szCs w:val="18"/>
    </w:rPr>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next w:val="1"/>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Char"/>
    <w:basedOn w:val="58"/>
    <w:link w:val="32"/>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Char"/>
    <w:basedOn w:val="58"/>
    <w:link w:val="34"/>
    <w:autoRedefine/>
    <w:qFormat/>
    <w:uiPriority w:val="99"/>
    <w:rPr>
      <w:rFonts w:ascii="@仿宋_GB2312" w:hAnsi="@仿宋_GB2312" w:eastAsia="@仿宋_GB2312" w:cs="@仿宋_GB2312"/>
      <w:sz w:val="18"/>
      <w:szCs w:val="18"/>
    </w:rPr>
  </w:style>
  <w:style w:type="character" w:customStyle="1" w:styleId="72">
    <w:name w:val="页脚 Char"/>
    <w:basedOn w:val="58"/>
    <w:link w:val="33"/>
    <w:autoRedefine/>
    <w:qFormat/>
    <w:uiPriority w:val="99"/>
    <w:rPr>
      <w:rFonts w:ascii="@仿宋_GB2312" w:hAnsi="@仿宋_GB2312" w:eastAsia="@仿宋_GB2312" w:cs="@仿宋_GB2312"/>
      <w:sz w:val="18"/>
      <w:szCs w:val="18"/>
    </w:rPr>
  </w:style>
  <w:style w:type="character" w:customStyle="1" w:styleId="73">
    <w:name w:val="纯文本 Char"/>
    <w:link w:val="28"/>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Char"/>
    <w:link w:val="30"/>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Char1"/>
    <w:link w:val="16"/>
    <w:autoRedefine/>
    <w:qFormat/>
    <w:uiPriority w:val="0"/>
    <w:rPr>
      <w:rFonts w:ascii="Arial" w:hAnsi="Arial" w:eastAsia="黑体" w:cs="Arial"/>
      <w:szCs w:val="20"/>
    </w:rPr>
  </w:style>
  <w:style w:type="character" w:customStyle="1" w:styleId="85">
    <w:name w:val="标题 1 Char"/>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Char"/>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Char"/>
    <w:link w:val="5"/>
    <w:autoRedefine/>
    <w:qFormat/>
    <w:uiPriority w:val="0"/>
    <w:rPr>
      <w:rFonts w:ascii="@仿宋_GB2312" w:hAnsi="@仿宋_GB2312" w:eastAsia="@仿宋_GB2312" w:cs="@仿宋_GB2312"/>
      <w:b/>
      <w:bCs/>
      <w:sz w:val="28"/>
      <w:szCs w:val="28"/>
    </w:rPr>
  </w:style>
  <w:style w:type="character" w:customStyle="1" w:styleId="93">
    <w:name w:val="正文文本 Char"/>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5">
    <w:name w:val="批注主题 Char"/>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tabs>
        <w:tab w:val="left" w:pos="1152"/>
      </w:tabs>
      <w:spacing w:line="360" w:lineRule="auto"/>
      <w:jc w:val="left"/>
    </w:pPr>
    <w:rPr>
      <w:rFonts w:cs="宋体"/>
      <w:b/>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8">
    <w:name w:val="标题 2 Char"/>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Char"/>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Char"/>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Char"/>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Char"/>
    <w:basedOn w:val="58"/>
    <w:link w:val="9"/>
    <w:autoRedefine/>
    <w:qFormat/>
    <w:uiPriority w:val="0"/>
    <w:rPr>
      <w:rFonts w:eastAsia="黑体" w:cs="Times New Roman"/>
      <w:kern w:val="2"/>
      <w:sz w:val="32"/>
      <w:szCs w:val="32"/>
      <w:lang w:val="zh-CN" w:eastAsia="zh-CN"/>
    </w:rPr>
  </w:style>
  <w:style w:type="character" w:customStyle="1" w:styleId="103">
    <w:name w:val="标题 9 Char"/>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Char"/>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Char"/>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Char"/>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Char"/>
    <w:basedOn w:val="58"/>
    <w:link w:val="44"/>
    <w:autoRedefine/>
    <w:qFormat/>
    <w:uiPriority w:val="0"/>
    <w:rPr>
      <w:rFonts w:hAnsi="MS Sans Serif" w:cs="Times New Roman"/>
      <w:bCs/>
      <w:color w:val="000000"/>
      <w:sz w:val="24"/>
      <w:lang w:val="zh-CN" w:eastAsia="zh-CN"/>
    </w:rPr>
  </w:style>
  <w:style w:type="character" w:customStyle="1" w:styleId="130">
    <w:name w:val="正文文本缩进 2 Char"/>
    <w:basedOn w:val="58"/>
    <w:link w:val="31"/>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Char"/>
    <w:basedOn w:val="58"/>
    <w:link w:val="47"/>
    <w:autoRedefine/>
    <w:qFormat/>
    <w:uiPriority w:val="0"/>
    <w:rPr>
      <w:rFonts w:hAnsi="Times New Roman" w:cs="Times New Roman"/>
      <w:spacing w:val="-20"/>
      <w:kern w:val="2"/>
      <w:sz w:val="28"/>
      <w:lang w:val="zh-CN" w:eastAsia="zh-CN"/>
    </w:rPr>
  </w:style>
  <w:style w:type="character" w:customStyle="1" w:styleId="134">
    <w:name w:val="正文文本 3 Char"/>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Char"/>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Char"/>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Char"/>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5"/>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Char"/>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Char"/>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0">
    <w:name w:val="集团正文"/>
    <w:basedOn w:val="1"/>
    <w:autoRedefine/>
    <w:qFormat/>
    <w:uiPriority w:val="0"/>
    <w:pPr>
      <w:spacing w:line="576" w:lineRule="exact"/>
      <w:ind w:firstLine="880" w:firstLineChars="200"/>
    </w:pPr>
    <w:rPr>
      <w:rFonts w:hint="eastAsia" w:ascii="仿宋_GB2312" w:hAnsi="仿宋_GB2312" w:eastAsia="仿宋_GB2312" w:cs="Times New Roman"/>
      <w:sz w:val="32"/>
      <w:szCs w:val="32"/>
    </w:rPr>
  </w:style>
  <w:style w:type="paragraph" w:customStyle="1" w:styleId="271">
    <w:name w:val="列出段落1"/>
    <w:basedOn w:val="1"/>
    <w:autoRedefine/>
    <w:qFormat/>
    <w:uiPriority w:val="0"/>
    <w:pPr>
      <w:spacing w:line="360" w:lineRule="auto"/>
      <w:ind w:firstLine="420" w:firstLineChars="200"/>
    </w:pPr>
    <w:rPr>
      <w:rFonts w:ascii="Calibri" w:hAnsi="Calibri" w:cs="Times New Roman"/>
      <w:kern w:val="2"/>
      <w:sz w:val="21"/>
      <w:szCs w:val="22"/>
    </w:rPr>
  </w:style>
  <w:style w:type="paragraph" w:customStyle="1" w:styleId="272">
    <w:name w:val="Table Text"/>
    <w:basedOn w:val="1"/>
    <w:autoRedefine/>
    <w:semiHidden/>
    <w:qFormat/>
    <w:uiPriority w:val="0"/>
    <w:rPr>
      <w:rFonts w:cs="宋体"/>
      <w:kern w:val="2"/>
      <w:sz w:val="15"/>
      <w:szCs w:val="15"/>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akoosky</Company>
  <Pages>61</Pages>
  <Words>29041</Words>
  <Characters>30739</Characters>
  <Lines>239</Lines>
  <Paragraphs>67</Paragraphs>
  <TotalTime>56</TotalTime>
  <ScaleCrop>false</ScaleCrop>
  <LinksUpToDate>false</LinksUpToDate>
  <CharactersWithSpaces>32473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2024-12-23T01:43:00Z</dcterms:created>
  <dc:creator>Anakin</dc:creator>
  <cp:lastModifiedBy>杨成志</cp:lastModifiedBy>
  <cp:lastPrinted>2024-12-18T06:56:00Z</cp:lastPrinted>
  <dcterms:modified xsi:type="dcterms:W3CDTF">2024-12-24T08:22:02Z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53D35813598048F1A64D19405860DA35_13</vt:lpwstr>
  </property>
</Properties>
</file>