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27B03">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02C7EE01">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竞争性磋商文件</w:t>
      </w:r>
    </w:p>
    <w:p w14:paraId="28AF08F9">
      <w:pPr>
        <w:pStyle w:val="4"/>
        <w:rPr>
          <w:color w:val="000000" w:themeColor="text1"/>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4395768F">
      <w:pPr>
        <w:tabs>
          <w:tab w:val="left" w:pos="315"/>
          <w:tab w:val="left" w:pos="8820"/>
        </w:tabs>
        <w:spacing w:before="240" w:beforeLines="100" w:after="120" w:afterLines="50" w:line="500" w:lineRule="exact"/>
        <w:ind w:right="254" w:rightChars="127"/>
        <w:jc w:val="center"/>
        <w:rPr>
          <w:bCs/>
          <w:color w:val="000000" w:themeColor="text1"/>
          <w:sz w:val="44"/>
          <w:szCs w:val="44"/>
          <w:highlight w:val="none"/>
          <w14:textFill>
            <w14:solidFill>
              <w14:schemeClr w14:val="tx1"/>
            </w14:solidFill>
          </w14:textFill>
        </w:rPr>
      </w:pPr>
    </w:p>
    <w:p w14:paraId="68122796">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78403614">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3C40B5F">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296DD86E">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2B07E361">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1B86C36A">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00B78CF4">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宿州百大停车场管理系统升级改造项目</w:t>
      </w:r>
    </w:p>
    <w:p w14:paraId="1C4ED6C9">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lang w:eastAsia="zh-CN"/>
          <w14:textFill>
            <w14:solidFill>
              <w14:schemeClr w14:val="tx1"/>
            </w14:solidFill>
          </w14:textFill>
        </w:rPr>
        <w:t>2024HAFGN01941</w:t>
      </w:r>
    </w:p>
    <w:p w14:paraId="258ACC10">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lang w:val="en-US" w:eastAsia="zh-CN"/>
          <w14:textFill>
            <w14:solidFill>
              <w14:schemeClr w14:val="tx1"/>
            </w14:solidFill>
          </w14:textFill>
        </w:rPr>
        <w:t>招</w:t>
      </w:r>
      <w:r>
        <w:rPr>
          <w:rFonts w:hint="eastAsia"/>
          <w:b/>
          <w:color w:val="000000" w:themeColor="text1"/>
          <w:spacing w:val="20"/>
          <w:sz w:val="32"/>
          <w:szCs w:val="32"/>
          <w:highlight w:val="none"/>
          <w14:textFill>
            <w14:solidFill>
              <w14:schemeClr w14:val="tx1"/>
            </w14:solidFill>
          </w14:textFill>
        </w:rPr>
        <w:t xml:space="preserve"> </w:t>
      </w:r>
      <w:r>
        <w:rPr>
          <w:rFonts w:hint="eastAsia"/>
          <w:b/>
          <w:color w:val="000000" w:themeColor="text1"/>
          <w:spacing w:val="20"/>
          <w:sz w:val="32"/>
          <w:szCs w:val="32"/>
          <w:highlight w:val="none"/>
          <w:lang w:val="en-US" w:eastAsia="zh-CN"/>
          <w14:textFill>
            <w14:solidFill>
              <w14:schemeClr w14:val="tx1"/>
            </w14:solidFill>
          </w14:textFill>
        </w:rPr>
        <w:t>标</w:t>
      </w:r>
      <w:r>
        <w:rPr>
          <w:rFonts w:hint="eastAsia"/>
          <w:b/>
          <w:color w:val="000000" w:themeColor="text1"/>
          <w:spacing w:val="20"/>
          <w:sz w:val="32"/>
          <w:szCs w:val="32"/>
          <w:highlight w:val="none"/>
          <w14:textFill>
            <w14:solidFill>
              <w14:schemeClr w14:val="tx1"/>
            </w14:solidFill>
          </w14:textFill>
        </w:rPr>
        <w:t xml:space="preserve"> 人：</w:t>
      </w:r>
      <w:r>
        <w:rPr>
          <w:rFonts w:hint="eastAsia"/>
          <w:b/>
          <w:color w:val="000000" w:themeColor="text1"/>
          <w:spacing w:val="20"/>
          <w:sz w:val="32"/>
          <w:szCs w:val="32"/>
          <w:highlight w:val="none"/>
          <w:u w:val="single"/>
          <w:lang w:eastAsia="zh-CN"/>
          <w14:textFill>
            <w14:solidFill>
              <w14:schemeClr w14:val="tx1"/>
            </w14:solidFill>
          </w14:textFill>
        </w:rPr>
        <w:t>宿州百大农产品物流有限责任公司</w:t>
      </w:r>
    </w:p>
    <w:p w14:paraId="701A758A">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lang w:eastAsia="zh-CN"/>
          <w14:textFill>
            <w14:solidFill>
              <w14:schemeClr w14:val="tx1"/>
            </w14:solidFill>
          </w14:textFill>
        </w:rPr>
        <w:t>代理机构</w:t>
      </w:r>
      <w:r>
        <w:rPr>
          <w:rFonts w:hint="eastAsia"/>
          <w:b/>
          <w:color w:val="000000" w:themeColor="text1"/>
          <w:spacing w:val="20"/>
          <w:sz w:val="32"/>
          <w:szCs w:val="32"/>
          <w:highlight w:val="none"/>
          <w14:textFill>
            <w14:solidFill>
              <w14:schemeClr w14:val="tx1"/>
            </w14:solidFill>
          </w14:textFill>
        </w:rPr>
        <w:t>：</w:t>
      </w:r>
      <w:r>
        <w:rPr>
          <w:rFonts w:hint="eastAsia"/>
          <w:b/>
          <w:color w:val="000000" w:themeColor="text1"/>
          <w:spacing w:val="20"/>
          <w:sz w:val="32"/>
          <w:szCs w:val="32"/>
          <w:highlight w:val="none"/>
          <w:u w:val="single"/>
          <w14:textFill>
            <w14:solidFill>
              <w14:schemeClr w14:val="tx1"/>
            </w14:solidFill>
          </w14:textFill>
        </w:rPr>
        <w:t>安徽公共资源交易集团项目管理有限公司</w:t>
      </w:r>
    </w:p>
    <w:p w14:paraId="18A1092A">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28E34F59">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br w:type="page"/>
      </w:r>
    </w:p>
    <w:p w14:paraId="1C045102">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5C7AA772">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2254E41A">
      <w:pPr>
        <w:pStyle w:val="45"/>
        <w:tabs>
          <w:tab w:val="right" w:leader="dot" w:pos="886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_Toc27366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hint="eastAsia" w:asciiTheme="minorEastAsia" w:hAnsiTheme="minorEastAsia" w:eastAsiaTheme="minorEastAsia"/>
          <w:color w:val="000000" w:themeColor="text1"/>
          <w:highlight w:val="none"/>
          <w:lang w:val="en-US" w:eastAsia="zh-CN"/>
          <w14:textFill>
            <w14:solidFill>
              <w14:schemeClr w14:val="tx1"/>
            </w14:solidFill>
          </w14:textFill>
        </w:rPr>
        <w:t>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609213A">
      <w:pPr>
        <w:pStyle w:val="4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_Toc29795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投标人</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6601C029">
      <w:pPr>
        <w:pStyle w:val="4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_Toc30867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第三章 招标人要求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16690FD2">
      <w:pPr>
        <w:pStyle w:val="4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_Toc23594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4806D5BC">
      <w:pPr>
        <w:pStyle w:val="4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_Toc25523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imes New Roman" w:hAnsi="Times New Roman"/>
          <w:caps w:val="0"/>
          <w:smallCaps w:val="0"/>
          <w:color w:val="000000" w:themeColor="text1"/>
          <w:highlight w:val="none"/>
          <w:lang w:eastAsia="zh-CN"/>
          <w14:textFill>
            <w14:solidFill>
              <w14:schemeClr w14:val="tx1"/>
            </w14:solidFill>
          </w14:textFill>
        </w:rPr>
        <w:t xml:space="preserve">第五章 </w:t>
      </w:r>
      <w:r>
        <w:rPr>
          <w:rFonts w:ascii="Times New Roman" w:hAnsi="Times New Roman" w:eastAsia="宋体"/>
          <w:caps w:val="0"/>
          <w:smallCaps w:val="0"/>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1073FB8C">
      <w:pPr>
        <w:pStyle w:val="4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_Toc28981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第六章  </w:t>
      </w:r>
      <w:r>
        <w:rPr>
          <w:rFonts w:hint="eastAsia" w:asciiTheme="minorEastAsia" w:hAnsiTheme="minorEastAsia" w:eastAsiaTheme="minorEastAsia"/>
          <w:color w:val="000000" w:themeColor="text1"/>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9FCA6B2">
      <w:pPr>
        <w:pStyle w:val="4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_Toc31778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w:t>
      </w:r>
      <w:r>
        <w:rPr>
          <w:rFonts w:hint="eastAsia" w:asciiTheme="minorEastAsia" w:hAnsiTheme="minorEastAsia" w:eastAsiaTheme="minorEastAsia"/>
          <w:color w:val="000000" w:themeColor="text1"/>
          <w:highlight w:val="none"/>
          <w:lang w:eastAsia="zh-CN"/>
          <w14:textFill>
            <w14:solidFill>
              <w14:schemeClr w14:val="tx1"/>
            </w14:solidFill>
          </w14:textFill>
        </w:rPr>
        <w:t>七</w:t>
      </w:r>
      <w:r>
        <w:rPr>
          <w:rFonts w:hint="eastAsia" w:asciiTheme="minorEastAsia" w:hAnsiTheme="minorEastAsia" w:eastAsiaTheme="minorEastAsia"/>
          <w:color w:val="000000" w:themeColor="text1"/>
          <w:highlight w:val="none"/>
          <w14:textFill>
            <w14:solidFill>
              <w14:schemeClr w14:val="tx1"/>
            </w14:solidFill>
          </w14:textFill>
        </w:rPr>
        <w:t>章 安徽公共资源交易集团电子交易操作规程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33B0548A">
      <w:pPr>
        <w:pStyle w:val="45"/>
        <w:tabs>
          <w:tab w:val="right" w:leader="dot" w:pos="8296"/>
        </w:tabs>
        <w:rPr>
          <w:rFonts w:asciiTheme="minorEastAsia" w:hAnsiTheme="minorEastAsia"/>
          <w:b/>
          <w:color w:val="000000" w:themeColor="text1"/>
          <w:sz w:val="32"/>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5662036A">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sectPr>
          <w:headerReference r:id="rId3" w:type="default"/>
          <w:footerReference r:id="rId4" w:type="default"/>
          <w:pgSz w:w="11907" w:h="16840"/>
          <w:pgMar w:top="1440" w:right="1519" w:bottom="1440" w:left="1519" w:header="851" w:footer="992" w:gutter="0"/>
          <w:cols w:space="720" w:num="1"/>
          <w:docGrid w:linePitch="462" w:charSpace="0"/>
        </w:sectPr>
      </w:pPr>
    </w:p>
    <w:p w14:paraId="70084083">
      <w:pPr>
        <w:numPr>
          <w:ilvl w:val="0"/>
          <w:numId w:val="2"/>
        </w:numPr>
        <w:spacing w:line="360" w:lineRule="auto"/>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27366"/>
      <w:r>
        <w:rPr>
          <w:rFonts w:hint="eastAsia" w:asciiTheme="minorEastAsia" w:hAnsiTheme="minorEastAsia" w:eastAsiaTheme="minorEastAsia"/>
          <w:b/>
          <w:color w:val="000000" w:themeColor="text1"/>
          <w:sz w:val="28"/>
          <w:highlight w:val="none"/>
          <w:lang w:val="en-US" w:eastAsia="zh-CN"/>
          <w14:textFill>
            <w14:solidFill>
              <w14:schemeClr w14:val="tx1"/>
            </w14:solidFill>
          </w14:textFill>
        </w:rPr>
        <w:t>磋商公告</w:t>
      </w:r>
      <w:bookmarkEnd w:id="1"/>
    </w:p>
    <w:p w14:paraId="71DCBBEB">
      <w:pPr>
        <w:pStyle w:val="75"/>
        <w:widowControl w:val="0"/>
        <w:autoSpaceDE w:val="0"/>
        <w:autoSpaceDN w:val="0"/>
        <w:adjustRightInd w:val="0"/>
        <w:spacing w:before="0" w:after="0" w:line="360" w:lineRule="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安徽公共资源交易集团项目管理有限公司受</w:t>
      </w:r>
      <w:r>
        <w:rPr>
          <w:rFonts w:hint="eastAsia" w:asciiTheme="majorEastAsia" w:hAnsiTheme="majorEastAsia" w:eastAsiaTheme="majorEastAsia" w:cstheme="majorEastAsia"/>
          <w:caps w:val="0"/>
          <w:smallCaps w:val="0"/>
          <w:color w:val="000000" w:themeColor="text1"/>
          <w:kern w:val="2"/>
          <w:sz w:val="24"/>
          <w:szCs w:val="24"/>
          <w:highlight w:val="none"/>
          <w:u w:val="single"/>
          <w:lang w:val="en-US" w:eastAsia="zh-CN"/>
          <w14:textFill>
            <w14:solidFill>
              <w14:schemeClr w14:val="tx1"/>
            </w14:solidFill>
          </w14:textFill>
        </w:rPr>
        <w:t>宿州百大农产品物流有限责任公司</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委托，现对</w:t>
      </w:r>
      <w:r>
        <w:rPr>
          <w:rFonts w:hint="eastAsia" w:asciiTheme="majorEastAsia" w:hAnsiTheme="majorEastAsia" w:eastAsiaTheme="majorEastAsia" w:cstheme="majorEastAsia"/>
          <w:caps w:val="0"/>
          <w:smallCaps w:val="0"/>
          <w:color w:val="000000" w:themeColor="text1"/>
          <w:kern w:val="2"/>
          <w:sz w:val="24"/>
          <w:szCs w:val="24"/>
          <w:highlight w:val="none"/>
          <w:u w:val="single"/>
          <w:lang w:val="en-US" w:eastAsia="zh-CN"/>
          <w14:textFill>
            <w14:solidFill>
              <w14:schemeClr w14:val="tx1"/>
            </w14:solidFill>
          </w14:textFill>
        </w:rPr>
        <w:t>宿州百大停车场管理系统升级改造项目</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进行竞争磋商，欢迎具备条件的国内</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参加磋商。</w:t>
      </w:r>
    </w:p>
    <w:p w14:paraId="70DBBAE4">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项目名称及内容</w:t>
      </w:r>
    </w:p>
    <w:p w14:paraId="147107D1">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1.1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项目编号：</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2024HAFGN01941</w:t>
      </w:r>
    </w:p>
    <w:p w14:paraId="3F00B83F">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1.2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项目名称：</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宿州百大停车场管理系统升级改造项目</w:t>
      </w:r>
    </w:p>
    <w:p w14:paraId="101264AA">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1.3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项目地点：宿州市经济开发区南二环路88号</w:t>
      </w:r>
    </w:p>
    <w:p w14:paraId="7EE1E264">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1.4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项目单位：</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宿州百大农产品物流有限责任公司</w:t>
      </w:r>
    </w:p>
    <w:p w14:paraId="397E3CF7">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1.5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项目概况：宿州百大现阶段所使用的科拓停车场管理系统，由于硬件设备老旧且故障率高、软件兼容性较差、车牌识别算法较为落后，逐渐无法满足后期阶段信息化发展需要，现对宿州百大停车场系统升级改造。</w:t>
      </w:r>
    </w:p>
    <w:p w14:paraId="45224FE5">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1.6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资金来源：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自筹</w:t>
      </w:r>
    </w:p>
    <w:p w14:paraId="7368E111">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1.7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项目预算：19.276</w:t>
      </w:r>
      <w:bookmarkStart w:id="52" w:name="_GoBack"/>
      <w:bookmarkEnd w:id="52"/>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万元</w:t>
      </w:r>
    </w:p>
    <w:p w14:paraId="7846B154">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1.8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项目类别：</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工程货物</w:t>
      </w:r>
    </w:p>
    <w:p w14:paraId="1E6B7DF2">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1.9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标段划分：共分1个标段，本次磋商第1标段。</w:t>
      </w:r>
    </w:p>
    <w:p w14:paraId="03283C93">
      <w:pPr>
        <w:spacing w:line="360" w:lineRule="auto"/>
        <w:ind w:firstLine="435"/>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资格</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要求</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 xml:space="preserve"> </w:t>
      </w:r>
    </w:p>
    <w:p w14:paraId="16E96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投标人具有独立承担民事责任的能力；</w:t>
      </w:r>
    </w:p>
    <w:p w14:paraId="5CC5C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000000" w:themeColor="text1"/>
          <w:kern w:val="2"/>
          <w:sz w:val="24"/>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投标人资质要求：</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p>
    <w:p w14:paraId="1ABEEA18">
      <w:pPr>
        <w:spacing w:line="360" w:lineRule="auto"/>
        <w:ind w:firstLine="480" w:firstLineChars="200"/>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投标人业绩要求：自202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年1月1日以来（以合同签订时间为准），投标人具有单个合同总金额不少于10万元的停车场</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或门禁系统</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智能化项目业绩。</w:t>
      </w:r>
    </w:p>
    <w:p w14:paraId="002DE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b w:val="0"/>
          <w:bCs w:val="0"/>
          <w:color w:val="000000" w:themeColor="text1"/>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bidi="ar-SA"/>
          <w14:textFill>
            <w14:solidFill>
              <w14:schemeClr w14:val="tx1"/>
            </w14:solidFill>
          </w14:textFill>
        </w:rPr>
        <w:t>2.4项目负责人资格要求：/</w:t>
      </w:r>
    </w:p>
    <w:p w14:paraId="0C6CF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2.5</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本项目不接受联合体投标。</w:t>
      </w:r>
    </w:p>
    <w:p w14:paraId="17E75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2.6</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投标人</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不得</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存在以下不良信用记录情形</w:t>
      </w:r>
      <w:r>
        <w:rPr>
          <w:rFonts w:hint="eastAsia" w:asciiTheme="majorEastAsia" w:hAnsiTheme="majorEastAsia" w:eastAsiaTheme="majorEastAsia" w:cstheme="majorEastAsia"/>
          <w:b/>
          <w:bCs/>
          <w:i/>
          <w:iCs/>
          <w:strike w:val="0"/>
          <w:dstrike w:val="0"/>
          <w:color w:val="000000" w:themeColor="text1"/>
          <w:sz w:val="24"/>
          <w:szCs w:val="24"/>
          <w:highlight w:val="none"/>
          <w14:textFill>
            <w14:solidFill>
              <w14:schemeClr w14:val="tx1"/>
            </w14:solidFill>
          </w14:textFill>
        </w:rPr>
        <w:t>：</w:t>
      </w:r>
    </w:p>
    <w:p w14:paraId="17D0C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（1）被责令停产停业，暂扣或者吊销许可证，暂扣或者吊销执照；</w:t>
      </w:r>
    </w:p>
    <w:p w14:paraId="1F7FB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（2）进入清算程序，或被宣告破产，或其他丧失履约能力的情形；</w:t>
      </w:r>
    </w:p>
    <w:p w14:paraId="381F4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）在国家企业信用信息公示系统（http://www.gsxt.gov.cn/）中被列入严重违法失信企业名单；</w:t>
      </w:r>
    </w:p>
    <w:p w14:paraId="422B4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）在“信用中国”网站（http://www.creditchina.gov.cn/）中被列入失信被执行人名单；</w:t>
      </w:r>
    </w:p>
    <w:p w14:paraId="642B8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）在“信用中国”网站（http://www.creditchina.gov.cn/）中被列入重大税收违法</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失信主体</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名单；</w:t>
      </w:r>
    </w:p>
    <w:p w14:paraId="2FCE1A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）在近三年内投标人或其法定代表人（单位负责人）有行贿犯罪行为的；</w:t>
      </w:r>
    </w:p>
    <w:p w14:paraId="1778C36B">
      <w:pPr>
        <w:pStyle w:val="4"/>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heme="majorEastAsia" w:hAnsiTheme="majorEastAsia" w:eastAsiaTheme="majorEastAsia" w:cstheme="majorEastAsia"/>
          <w:b w:val="0"/>
          <w:bCs w:val="0"/>
          <w:strike w:val="0"/>
          <w:dstrike w:val="0"/>
          <w:color w:val="000000" w:themeColor="text1"/>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strike w:val="0"/>
          <w:dstrike w:val="0"/>
          <w:color w:val="000000" w:themeColor="text1"/>
          <w:sz w:val="24"/>
          <w:szCs w:val="24"/>
          <w:highlight w:val="none"/>
          <w:lang w:val="en-US" w:eastAsia="zh-CN" w:bidi="ar-SA"/>
          <w14:textFill>
            <w14:solidFill>
              <w14:schemeClr w14:val="tx1"/>
            </w14:solidFill>
          </w14:textFill>
        </w:rPr>
        <w:t>2.7其他要求：</w:t>
      </w:r>
      <w:r>
        <w:rPr>
          <w:rFonts w:hint="eastAsia" w:asciiTheme="majorEastAsia" w:hAnsiTheme="majorEastAsia" w:eastAsiaTheme="majorEastAsia" w:cstheme="majorEastAsia"/>
          <w:b w:val="0"/>
          <w:bCs w:val="0"/>
          <w:strike w:val="0"/>
          <w:dstrike w:val="0"/>
          <w:color w:val="000000" w:themeColor="text1"/>
          <w:sz w:val="24"/>
          <w:szCs w:val="24"/>
          <w:highlight w:val="none"/>
          <w:u w:val="single"/>
          <w:lang w:val="en-US" w:eastAsia="zh-CN" w:bidi="ar-SA"/>
          <w14:textFill>
            <w14:solidFill>
              <w14:schemeClr w14:val="tx1"/>
            </w14:solidFill>
          </w14:textFill>
        </w:rPr>
        <w:t xml:space="preserve">   /   </w:t>
      </w:r>
      <w:r>
        <w:rPr>
          <w:rFonts w:hint="eastAsia" w:asciiTheme="majorEastAsia" w:hAnsiTheme="majorEastAsia" w:eastAsiaTheme="majorEastAsia" w:cstheme="majorEastAsia"/>
          <w:b w:val="0"/>
          <w:bCs w:val="0"/>
          <w:strike w:val="0"/>
          <w:dstrike w:val="0"/>
          <w:color w:val="000000" w:themeColor="text1"/>
          <w:sz w:val="24"/>
          <w:szCs w:val="24"/>
          <w:highlight w:val="none"/>
          <w:lang w:val="en-US" w:eastAsia="zh-CN" w:bidi="ar-SA"/>
          <w14:textFill>
            <w14:solidFill>
              <w14:schemeClr w14:val="tx1"/>
            </w14:solidFill>
          </w14:textFill>
        </w:rPr>
        <w:t xml:space="preserve"> 。</w:t>
      </w:r>
    </w:p>
    <w:p w14:paraId="326E8483">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磋商文件的获取</w:t>
      </w:r>
    </w:p>
    <w:p w14:paraId="75697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获取时间：2024-</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27到投标截止时间</w:t>
      </w:r>
    </w:p>
    <w:p w14:paraId="1276A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获取方式：</w:t>
      </w:r>
    </w:p>
    <w:p w14:paraId="5C807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（1）本磋商项目实行全流程电子化交易。</w:t>
      </w:r>
    </w:p>
    <w:p w14:paraId="3EF303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（2）潜在投标人须登录安徽公共资源交易集团电子交易</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系统（以下简称“电子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交易</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系统”）查阅磋商文件。</w:t>
      </w:r>
    </w:p>
    <w:p w14:paraId="24C28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）潜在投标人查阅</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文件后，如参与投标，则须</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规定的磋商文件获取时间内通过安徽公共资源交易集团电子交易系统完成投标信息的填写。</w:t>
      </w:r>
    </w:p>
    <w:p w14:paraId="332506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）磋商文件获取过程中有任何疑问，请在工作时间（9：00-17：30，节假日休息）拨打技术支持热线（非项目咨询）：4009980000。项目咨询请拨打电话：0551-66223267、66223831。</w:t>
      </w:r>
    </w:p>
    <w:p w14:paraId="57C03B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3.3电子交易服务费用</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200</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元整，网上支付</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p w14:paraId="7A9F69A0">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投标文件</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提交截止时间</w:t>
      </w:r>
    </w:p>
    <w:p w14:paraId="48EBD18F">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同磋商时间</w:t>
      </w:r>
    </w:p>
    <w:p w14:paraId="0994AD1C">
      <w:pPr>
        <w:spacing w:line="360" w:lineRule="auto"/>
        <w:ind w:firstLine="435"/>
        <w:rPr>
          <w:rFonts w:hint="default" w:asciiTheme="majorEastAsia" w:hAnsiTheme="majorEastAsia" w:eastAsiaTheme="majorEastAsia" w:cstheme="majorEastAsia"/>
          <w:b/>
          <w:bCs/>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5.磋商时间及地点</w:t>
      </w:r>
    </w:p>
    <w:p w14:paraId="4728B88A">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磋商时间：2024-10-12 10:00</w:t>
      </w:r>
    </w:p>
    <w:p w14:paraId="3852DA95">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磋商地点：合肥市滨湖新区徽州大道4872号金融港中心A9幢安徽公共资源交易集团二楼评标室（八）</w:t>
      </w:r>
    </w:p>
    <w:p w14:paraId="62A7F524">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6.发布公告的媒介</w:t>
      </w:r>
    </w:p>
    <w:p w14:paraId="4C585059">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磋商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公告同时在安徽公共资源交易集团网站上发布。</w:t>
      </w:r>
    </w:p>
    <w:p w14:paraId="2DD3FE8E">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7.</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联系方式</w:t>
      </w:r>
    </w:p>
    <w:p w14:paraId="1881AE24">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招标人</w:t>
      </w:r>
    </w:p>
    <w:p w14:paraId="77B76862">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招标人：宿州百大农产品物流有限责任公司</w:t>
      </w:r>
    </w:p>
    <w:p w14:paraId="329DBF2C">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址：宿州市经济开发区南二环路88号</w:t>
      </w:r>
    </w:p>
    <w:p w14:paraId="5184C6C7">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联系人：汪主任</w:t>
      </w:r>
    </w:p>
    <w:p w14:paraId="4E6BB00C">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话：0557-3097166</w:t>
      </w:r>
    </w:p>
    <w:p w14:paraId="38525DDE">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p>
    <w:p w14:paraId="46394B0B">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7F6B0458">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2A2DDF48">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2D6A3ED7">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0551-66223267，66223831</w:t>
      </w:r>
    </w:p>
    <w:p w14:paraId="2260CDD3">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电子交易系统</w:t>
      </w:r>
    </w:p>
    <w:p w14:paraId="08FD3939">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1F6D981B">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400 998 0000</w:t>
      </w:r>
    </w:p>
    <w:bookmarkEnd w:id="2"/>
    <w:p w14:paraId="10D39049">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p>
    <w:p w14:paraId="142F24F1">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宿州百大农产品物流有限责任公司</w:t>
      </w:r>
    </w:p>
    <w:p w14:paraId="46B9F1A9">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址：宿州市经济开发区南二环路88号</w:t>
      </w:r>
    </w:p>
    <w:p w14:paraId="4B5B02EA">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05573097166</w:t>
      </w:r>
    </w:p>
    <w:p w14:paraId="5F2DFE95">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其他事项说明</w:t>
      </w:r>
    </w:p>
    <w:p w14:paraId="4F6F49D7">
      <w:pPr>
        <w:spacing w:line="360" w:lineRule="auto"/>
        <w:ind w:firstLine="435"/>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8.1</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应合理安排</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磋商</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磋商</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文件获取，责任自负。</w:t>
      </w:r>
    </w:p>
    <w:p w14:paraId="77376C5E">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8.2投标人如需开具电子交易服务费用发票，在项目磋商次日后自行登录安徽公共资源交易集团电子交易系统平台打印。</w:t>
      </w:r>
    </w:p>
    <w:p w14:paraId="1055FA9E">
      <w:pPr>
        <w:numPr>
          <w:ilvl w:val="0"/>
          <w:numId w:val="3"/>
        </w:num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投标保证金账户（如采用银行转账或银行电汇形式递交的，请选择以下任何一家银行递交即可）</w:t>
      </w:r>
    </w:p>
    <w:p w14:paraId="7B993482">
      <w:pPr>
        <w:spacing w:line="360" w:lineRule="auto"/>
        <w:ind w:firstLine="960" w:firstLineChars="400"/>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标段简称:1标段</w:t>
      </w:r>
    </w:p>
    <w:p w14:paraId="67890F51">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光大银行合肥阜南路支行</w:t>
      </w:r>
    </w:p>
    <w:p w14:paraId="6E12AAD9">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户名：安徽公共资源交易集团项目管理有限公司</w:t>
      </w:r>
    </w:p>
    <w:p w14:paraId="7CE4CC85">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账号：76700188015252835</w:t>
      </w:r>
    </w:p>
    <w:p w14:paraId="7D32F64B">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开户银行：光大银行合肥阜南路支行</w:t>
      </w:r>
    </w:p>
    <w:p w14:paraId="2F38C691">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建行合肥庐阳支行营业部</w:t>
      </w:r>
    </w:p>
    <w:p w14:paraId="15007889">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户名：安徽公共资源交易集团项目管理有限公司</w:t>
      </w:r>
    </w:p>
    <w:p w14:paraId="5B179B3F">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账号：6232811630000474615</w:t>
      </w:r>
    </w:p>
    <w:p w14:paraId="224C9179">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开户银行：建行合肥庐阳支行营业部</w:t>
      </w:r>
    </w:p>
    <w:p w14:paraId="08ECF0E8">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徽商银行合肥蜀山支行</w:t>
      </w:r>
    </w:p>
    <w:p w14:paraId="5AA979E5">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户名：安徽公共资源交易集团项目管理有限公司</w:t>
      </w:r>
    </w:p>
    <w:p w14:paraId="1EE674EB">
      <w:pPr>
        <w:spacing w:line="360" w:lineRule="auto"/>
        <w:ind w:firstLine="435"/>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账号：1023701021000135582277167</w:t>
      </w:r>
    </w:p>
    <w:p w14:paraId="1D115FEF">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 xml:space="preserve">    开户银行：徽商银行合肥蜀山支行</w:t>
      </w:r>
    </w:p>
    <w:p w14:paraId="1BF0B05D">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br w:type="page"/>
      </w:r>
    </w:p>
    <w:p w14:paraId="58B054DC">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3" w:name="_Toc29795"/>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投标人</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045DAB08">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432"/>
        <w:gridCol w:w="6337"/>
      </w:tblGrid>
      <w:tr w14:paraId="17F1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26AE5E9B">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条款号</w:t>
            </w:r>
          </w:p>
        </w:tc>
        <w:tc>
          <w:tcPr>
            <w:tcW w:w="818" w:type="pct"/>
            <w:vAlign w:val="center"/>
          </w:tcPr>
          <w:p w14:paraId="18FF4D13">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条款名称</w:t>
            </w:r>
          </w:p>
        </w:tc>
        <w:tc>
          <w:tcPr>
            <w:tcW w:w="3621" w:type="pct"/>
            <w:vAlign w:val="center"/>
          </w:tcPr>
          <w:p w14:paraId="0A4D3B60">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内容、说明与要求</w:t>
            </w:r>
          </w:p>
        </w:tc>
      </w:tr>
      <w:tr w14:paraId="0F7D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1BC15E6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t>1</w:t>
            </w:r>
          </w:p>
        </w:tc>
        <w:tc>
          <w:tcPr>
            <w:tcW w:w="818" w:type="pct"/>
            <w:vAlign w:val="center"/>
          </w:tcPr>
          <w:p w14:paraId="238A8665">
            <w:pPr>
              <w:pStyle w:val="76"/>
              <w:widowControl w:val="0"/>
              <w:spacing w:before="0" w:beforeAutospacing="0" w:after="0" w:afterAutospacing="0" w:line="360" w:lineRule="auto"/>
              <w:jc w:val="both"/>
              <w:rPr>
                <w:rFonts w:hint="default"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strike w:val="0"/>
                <w:dstrike w:val="0"/>
                <w:color w:val="000000" w:themeColor="text1"/>
                <w:sz w:val="24"/>
                <w:szCs w:val="24"/>
                <w:highlight w:val="none"/>
                <w:lang w:val="en-US" w:eastAsia="zh-CN"/>
                <w14:textFill>
                  <w14:solidFill>
                    <w14:schemeClr w14:val="tx1"/>
                  </w14:solidFill>
                </w14:textFill>
              </w:rPr>
              <w:t>供货（安装）地点</w:t>
            </w:r>
          </w:p>
        </w:tc>
        <w:tc>
          <w:tcPr>
            <w:tcW w:w="3621" w:type="pct"/>
            <w:vAlign w:val="center"/>
          </w:tcPr>
          <w:p w14:paraId="0D745C3D">
            <w:pPr>
              <w:pStyle w:val="76"/>
              <w:widowControl w:val="0"/>
              <w:spacing w:before="0" w:beforeAutospacing="0" w:after="0" w:afterAutospacing="0" w:line="360" w:lineRule="auto"/>
              <w:jc w:val="both"/>
              <w:rPr>
                <w:rFonts w:hint="eastAsia" w:ascii="宋体" w:hAnsi="宋体" w:eastAsia="宋体" w:cs="宋体"/>
                <w:b w:val="0"/>
                <w:bCs/>
                <w:strike/>
                <w:dstrike w:val="0"/>
                <w:color w:val="000000" w:themeColor="text1"/>
                <w:sz w:val="24"/>
                <w:szCs w:val="24"/>
                <w:highlight w:val="none"/>
                <w:lang w:val="en-US" w:eastAsia="zh-CN" w:bidi="ar-SA"/>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宿州市经济开发区南二环路88号百大农产品批发市场</w:t>
            </w:r>
          </w:p>
        </w:tc>
      </w:tr>
      <w:tr w14:paraId="3D4A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14:paraId="7E58314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t>2</w:t>
            </w:r>
          </w:p>
        </w:tc>
        <w:tc>
          <w:tcPr>
            <w:tcW w:w="818" w:type="pct"/>
            <w:vAlign w:val="center"/>
          </w:tcPr>
          <w:p w14:paraId="63211180">
            <w:pPr>
              <w:pStyle w:val="76"/>
              <w:widowControl w:val="0"/>
              <w:spacing w:before="0" w:beforeAutospacing="0" w:after="0" w:afterAutospacing="0" w:line="360" w:lineRule="auto"/>
              <w:jc w:val="both"/>
              <w:rPr>
                <w:rFonts w:hint="default"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strike w:val="0"/>
                <w:dstrike w:val="0"/>
                <w:color w:val="000000" w:themeColor="text1"/>
                <w:sz w:val="24"/>
                <w:szCs w:val="24"/>
                <w:highlight w:val="none"/>
                <w:lang w:val="en-US" w:eastAsia="zh-CN"/>
                <w14:textFill>
                  <w14:solidFill>
                    <w14:schemeClr w14:val="tx1"/>
                  </w14:solidFill>
                </w14:textFill>
              </w:rPr>
              <w:t>供货（安装）周期</w:t>
            </w:r>
          </w:p>
        </w:tc>
        <w:tc>
          <w:tcPr>
            <w:tcW w:w="3621" w:type="pct"/>
            <w:vAlign w:val="center"/>
          </w:tcPr>
          <w:p w14:paraId="3544BFF9">
            <w:pPr>
              <w:pStyle w:val="103"/>
              <w:tabs>
                <w:tab w:val="left" w:pos="1152"/>
              </w:tabs>
              <w:spacing w:before="0" w:beforeAutospacing="0" w:after="0" w:afterAutospacing="0" w:line="360" w:lineRule="auto"/>
              <w:rPr>
                <w:rFonts w:hint="eastAsia" w:ascii="宋体" w:hAnsi="宋体" w:eastAsia="宋体" w:cs="宋体"/>
                <w:b/>
                <w:strike/>
                <w:dstrike w:val="0"/>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合同签订</w:t>
            </w:r>
            <w:r>
              <w:rPr>
                <w:rFonts w:hint="eastAsia"/>
                <w:color w:val="000000" w:themeColor="text1"/>
                <w:highlight w:val="none"/>
                <w:lang w:val="en-US" w:eastAsia="zh-CN"/>
                <w14:textFill>
                  <w14:solidFill>
                    <w14:schemeClr w14:val="tx1"/>
                  </w14:solidFill>
                </w14:textFill>
              </w:rPr>
              <w:t>之日起</w:t>
            </w:r>
            <w:r>
              <w:rPr>
                <w:rFonts w:hint="eastAsia"/>
                <w:color w:val="000000" w:themeColor="text1"/>
                <w:highlight w:val="none"/>
                <w14:textFill>
                  <w14:solidFill>
                    <w14:schemeClr w14:val="tx1"/>
                  </w14:solidFill>
                </w14:textFill>
              </w:rPr>
              <w:t>40天</w:t>
            </w:r>
            <w:r>
              <w:rPr>
                <w:rFonts w:hint="eastAsia"/>
                <w:color w:val="000000" w:themeColor="text1"/>
                <w:highlight w:val="none"/>
                <w:lang w:val="en-US" w:eastAsia="zh-CN"/>
                <w14:textFill>
                  <w14:solidFill>
                    <w14:schemeClr w14:val="tx1"/>
                  </w14:solidFill>
                </w14:textFill>
              </w:rPr>
              <w:t>内</w:t>
            </w:r>
          </w:p>
        </w:tc>
      </w:tr>
      <w:tr w14:paraId="5DEE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60" w:type="pct"/>
            <w:vAlign w:val="center"/>
          </w:tcPr>
          <w:p w14:paraId="6AAF480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2E0EA294">
            <w:pPr>
              <w:pStyle w:val="76"/>
              <w:widowControl w:val="0"/>
              <w:spacing w:before="0" w:beforeAutospacing="0" w:after="0" w:afterAutospacing="0" w:line="360" w:lineRule="auto"/>
              <w:jc w:val="left"/>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现场踏勘</w:t>
            </w:r>
          </w:p>
        </w:tc>
        <w:tc>
          <w:tcPr>
            <w:tcW w:w="3621" w:type="pct"/>
            <w:vAlign w:val="center"/>
          </w:tcPr>
          <w:p w14:paraId="51597479">
            <w:pPr>
              <w:spacing w:line="360" w:lineRule="auto"/>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14:textFill>
                  <w14:solidFill>
                    <w14:schemeClr w14:val="tx1"/>
                  </w14:solidFill>
                </w14:textFill>
              </w:rPr>
              <w:t>自行踏勘</w:t>
            </w:r>
          </w:p>
          <w:p w14:paraId="6020BD57">
            <w:pPr>
              <w:spacing w:line="360" w:lineRule="auto"/>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bCs/>
                <w:color w:val="000000" w:themeColor="text1"/>
                <w:kern w:val="2"/>
                <w:sz w:val="24"/>
                <w:szCs w:val="24"/>
                <w:highlight w:val="none"/>
                <w14:textFill>
                  <w14:solidFill>
                    <w14:schemeClr w14:val="tx1"/>
                  </w14:solidFill>
                </w14:textFill>
              </w:rPr>
              <w:t>集中组织</w:t>
            </w:r>
          </w:p>
          <w:p w14:paraId="6C29DEE5">
            <w:pPr>
              <w:spacing w:line="360" w:lineRule="auto"/>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月</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日</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时</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分</w:t>
            </w:r>
          </w:p>
          <w:p w14:paraId="2EFEB282">
            <w:pPr>
              <w:spacing w:line="360" w:lineRule="auto"/>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现场踏勘联系人及联系电话：</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p>
          <w:p w14:paraId="715073CE">
            <w:pPr>
              <w:pStyle w:val="76"/>
              <w:widowControl w:val="0"/>
              <w:spacing w:before="0" w:beforeAutospacing="0" w:after="0" w:afterAutospacing="0" w:line="360" w:lineRule="auto"/>
              <w:jc w:val="both"/>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备注：如</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投标人</w:t>
            </w:r>
            <w:r>
              <w:rPr>
                <w:rFonts w:hint="eastAsia" w:ascii="宋体" w:hAnsi="宋体" w:eastAsia="宋体" w:cs="宋体"/>
                <w:bCs w:val="0"/>
                <w:color w:val="000000" w:themeColor="text1"/>
                <w:kern w:val="2"/>
                <w:sz w:val="24"/>
                <w:szCs w:val="24"/>
                <w:highlight w:val="none"/>
                <w14:textFill>
                  <w14:solidFill>
                    <w14:schemeClr w14:val="tx1"/>
                  </w14:solidFill>
                </w14:textFill>
              </w:rPr>
              <w:t>未参加</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招标人</w:t>
            </w:r>
            <w:r>
              <w:rPr>
                <w:rFonts w:hint="eastAsia" w:ascii="宋体" w:hAnsi="宋体" w:eastAsia="宋体" w:cs="宋体"/>
                <w:bCs w:val="0"/>
                <w:color w:val="000000" w:themeColor="text1"/>
                <w:kern w:val="2"/>
                <w:sz w:val="24"/>
                <w:szCs w:val="24"/>
                <w:highlight w:val="none"/>
                <w14:textFill>
                  <w14:solidFill>
                    <w14:schemeClr w14:val="tx1"/>
                  </w14:solidFill>
                </w14:textFill>
              </w:rPr>
              <w:t>统一组织的现场踏勘，视同放弃现场踏勘，由此引起的一切责任由</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投标人</w:t>
            </w:r>
            <w:r>
              <w:rPr>
                <w:rFonts w:hint="eastAsia" w:ascii="宋体" w:hAnsi="宋体" w:eastAsia="宋体" w:cs="宋体"/>
                <w:bCs w:val="0"/>
                <w:color w:val="000000" w:themeColor="text1"/>
                <w:kern w:val="2"/>
                <w:sz w:val="24"/>
                <w:szCs w:val="24"/>
                <w:highlight w:val="none"/>
                <w14:textFill>
                  <w14:solidFill>
                    <w14:schemeClr w14:val="tx1"/>
                  </w14:solidFill>
                </w14:textFill>
              </w:rPr>
              <w:t>自行承担。</w:t>
            </w:r>
          </w:p>
        </w:tc>
      </w:tr>
      <w:tr w14:paraId="4791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60" w:type="pct"/>
            <w:vAlign w:val="center"/>
          </w:tcPr>
          <w:p w14:paraId="01D938E3">
            <w:pPr>
              <w:pStyle w:val="77"/>
              <w:pBdr>
                <w:bottom w:val="none" w:color="auto" w:sz="0" w:space="0"/>
              </w:pBdr>
              <w:tabs>
                <w:tab w:val="clear" w:pos="4153"/>
                <w:tab w:val="clear" w:pos="8306"/>
              </w:tabs>
              <w:adjustRightInd/>
              <w:spacing w:line="360" w:lineRule="auto"/>
              <w:textAlignment w:val="auto"/>
              <w:rPr>
                <w:rFonts w:hint="default"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cs="宋体"/>
                <w:bCs/>
                <w:strike w:val="0"/>
                <w:dstrike w:val="0"/>
                <w:color w:val="000000" w:themeColor="text1"/>
                <w:kern w:val="2"/>
                <w:sz w:val="24"/>
                <w:szCs w:val="24"/>
                <w:highlight w:val="none"/>
                <w:lang w:val="en-US" w:eastAsia="zh-CN" w:bidi="ar-SA"/>
                <w14:textFill>
                  <w14:solidFill>
                    <w14:schemeClr w14:val="tx1"/>
                  </w14:solidFill>
                </w14:textFill>
              </w:rPr>
              <w:t>4</w:t>
            </w:r>
          </w:p>
        </w:tc>
        <w:tc>
          <w:tcPr>
            <w:tcW w:w="818" w:type="pct"/>
            <w:vAlign w:val="center"/>
          </w:tcPr>
          <w:p w14:paraId="22738495">
            <w:pPr>
              <w:widowControl/>
              <w:snapToGrid w:val="0"/>
              <w:spacing w:line="360" w:lineRule="auto"/>
              <w:jc w:val="center"/>
              <w:rPr>
                <w:rFonts w:hint="eastAsia" w:ascii="宋体" w:hAnsi="宋体" w:eastAsia="楷体" w:cstheme="minorBidi"/>
                <w:bCs/>
                <w:snapToGrid w:val="0"/>
                <w:color w:val="000000" w:themeColor="text1"/>
                <w:kern w:val="0"/>
                <w:sz w:val="24"/>
                <w:szCs w:val="24"/>
                <w:highlight w:val="none"/>
                <w:lang w:val="en-US" w:eastAsia="zh-CN" w:bidi="ar-SA"/>
                <w14:textFill>
                  <w14:solidFill>
                    <w14:schemeClr w14:val="tx1"/>
                  </w14:solidFill>
                </w14:textFill>
              </w:rPr>
            </w:pPr>
            <w:r>
              <w:rPr>
                <w:rFonts w:hint="eastAsia"/>
                <w:bCs/>
                <w:snapToGrid w:val="0"/>
                <w:color w:val="000000" w:themeColor="text1"/>
                <w:kern w:val="0"/>
                <w:sz w:val="24"/>
                <w:szCs w:val="24"/>
                <w:highlight w:val="none"/>
                <w:lang w:val="en-US" w:eastAsia="zh-CN"/>
                <w14:textFill>
                  <w14:solidFill>
                    <w14:schemeClr w14:val="tx1"/>
                  </w14:solidFill>
                </w14:textFill>
              </w:rPr>
              <w:t>便利化</w:t>
            </w:r>
            <w:r>
              <w:rPr>
                <w:rFonts w:hint="eastAsia"/>
                <w:bCs/>
                <w:snapToGrid w:val="0"/>
                <w:color w:val="000000" w:themeColor="text1"/>
                <w:kern w:val="0"/>
                <w:sz w:val="24"/>
                <w:szCs w:val="24"/>
                <w:highlight w:val="none"/>
                <w14:textFill>
                  <w14:solidFill>
                    <w14:schemeClr w14:val="tx1"/>
                  </w14:solidFill>
                </w14:textFill>
              </w:rPr>
              <w:t>服务</w:t>
            </w:r>
          </w:p>
        </w:tc>
        <w:tc>
          <w:tcPr>
            <w:tcW w:w="3621" w:type="pct"/>
            <w:vAlign w:val="center"/>
          </w:tcPr>
          <w:p w14:paraId="078CA74E">
            <w:pPr>
              <w:widowControl/>
              <w:snapToGrid w:val="0"/>
              <w:spacing w:line="360" w:lineRule="auto"/>
              <w:jc w:val="left"/>
              <w:rPr>
                <w:rFonts w:hint="eastAsia" w:ascii="宋体" w:hAnsi="宋体" w:eastAsia="宋体" w:cstheme="minorBidi"/>
                <w:bCs/>
                <w:snapToGrid w:val="0"/>
                <w:color w:val="000000" w:themeColor="text1"/>
                <w:kern w:val="0"/>
                <w:sz w:val="24"/>
                <w:szCs w:val="24"/>
                <w:highlight w:val="none"/>
                <w:lang w:val="en-US" w:eastAsia="zh-CN" w:bidi="ar-SA"/>
                <w14:textFill>
                  <w14:solidFill>
                    <w14:schemeClr w14:val="tx1"/>
                  </w14:solidFill>
                </w14:textFill>
              </w:rPr>
            </w:pPr>
            <w:r>
              <w:rPr>
                <w:rFonts w:hint="eastAsia" w:cs="宋体"/>
                <w:b w:val="0"/>
                <w:bCs/>
                <w:i w:val="0"/>
                <w:iCs w:val="0"/>
                <w:color w:val="000000" w:themeColor="text1"/>
                <w:sz w:val="24"/>
                <w:szCs w:val="24"/>
                <w:highlight w:val="none"/>
                <w:lang w:val="en-US" w:eastAsia="zh-CN" w:bidi="ar-SA"/>
                <w14:textFill>
                  <w14:solidFill>
                    <w14:schemeClr w14:val="tx1"/>
                  </w14:solidFill>
                </w14:textFill>
              </w:rPr>
              <w:t>/</w:t>
            </w:r>
          </w:p>
        </w:tc>
      </w:tr>
      <w:tr w14:paraId="4B40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5E87D1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5</w:t>
            </w:r>
          </w:p>
        </w:tc>
        <w:tc>
          <w:tcPr>
            <w:tcW w:w="818" w:type="pct"/>
            <w:vAlign w:val="center"/>
          </w:tcPr>
          <w:p w14:paraId="3C26B32B">
            <w:pPr>
              <w:pStyle w:val="76"/>
              <w:widowControl w:val="0"/>
              <w:spacing w:before="0" w:beforeAutospacing="0" w:after="0" w:afterAutospacing="0" w:line="360" w:lineRule="auto"/>
              <w:jc w:val="both"/>
              <w:rPr>
                <w:rFonts w:hint="eastAsia" w:ascii="宋体" w:hAnsi="宋体" w:eastAsia="宋体" w:cs="宋体"/>
                <w:b w:val="0"/>
                <w:bCs/>
                <w:i w:val="0"/>
                <w:i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i w:val="0"/>
                <w:iCs w:val="0"/>
                <w:color w:val="000000" w:themeColor="text1"/>
                <w:sz w:val="24"/>
                <w:szCs w:val="24"/>
                <w:highlight w:val="none"/>
                <w14:textFill>
                  <w14:solidFill>
                    <w14:schemeClr w14:val="tx1"/>
                  </w14:solidFill>
                </w14:textFill>
              </w:rPr>
              <w:t>关于联合体参加磋商的相关约定</w:t>
            </w:r>
          </w:p>
        </w:tc>
        <w:tc>
          <w:tcPr>
            <w:tcW w:w="3621" w:type="pct"/>
            <w:vAlign w:val="center"/>
          </w:tcPr>
          <w:p w14:paraId="75D746BE">
            <w:pPr>
              <w:pStyle w:val="76"/>
              <w:widowControl w:val="0"/>
              <w:spacing w:before="0" w:beforeAutospacing="0" w:after="0" w:afterAutospacing="0" w:line="360" w:lineRule="auto"/>
              <w:jc w:val="both"/>
              <w:rPr>
                <w:rFonts w:hint="default" w:ascii="宋体" w:hAnsi="宋体" w:eastAsia="宋体" w:cs="宋体"/>
                <w:b w:val="0"/>
                <w:bCs/>
                <w:i w:val="0"/>
                <w:iCs w:val="0"/>
                <w:color w:val="000000" w:themeColor="text1"/>
                <w:sz w:val="24"/>
                <w:szCs w:val="24"/>
                <w:highlight w:val="none"/>
                <w:lang w:val="en-US" w:eastAsia="zh-CN" w:bidi="ar-SA"/>
                <w14:textFill>
                  <w14:solidFill>
                    <w14:schemeClr w14:val="tx1"/>
                  </w14:solidFill>
                </w14:textFill>
              </w:rPr>
            </w:pPr>
            <w:r>
              <w:rPr>
                <w:rFonts w:hint="eastAsia" w:cs="宋体"/>
                <w:b w:val="0"/>
                <w:bCs/>
                <w:i w:val="0"/>
                <w:iCs w:val="0"/>
                <w:color w:val="000000" w:themeColor="text1"/>
                <w:sz w:val="24"/>
                <w:szCs w:val="24"/>
                <w:highlight w:val="none"/>
                <w:lang w:val="en-US" w:eastAsia="zh-CN" w:bidi="ar-SA"/>
                <w14:textFill>
                  <w14:solidFill>
                    <w14:schemeClr w14:val="tx1"/>
                  </w14:solidFill>
                </w14:textFill>
              </w:rPr>
              <w:t>/</w:t>
            </w:r>
          </w:p>
        </w:tc>
      </w:tr>
      <w:tr w14:paraId="0B38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60" w:type="pct"/>
            <w:vAlign w:val="center"/>
          </w:tcPr>
          <w:p w14:paraId="381438C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6</w:t>
            </w:r>
          </w:p>
        </w:tc>
        <w:tc>
          <w:tcPr>
            <w:tcW w:w="818" w:type="pct"/>
            <w:vAlign w:val="center"/>
          </w:tcPr>
          <w:p w14:paraId="1927FB96">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初审</w:t>
            </w:r>
            <w:r>
              <w:rPr>
                <w:rFonts w:hint="eastAsia" w:ascii="宋体" w:hAnsi="宋体" w:eastAsia="宋体" w:cs="宋体"/>
                <w:b w:val="0"/>
                <w:color w:val="000000" w:themeColor="text1"/>
                <w:sz w:val="24"/>
                <w:szCs w:val="24"/>
                <w:highlight w:val="none"/>
                <w14:textFill>
                  <w14:solidFill>
                    <w14:schemeClr w14:val="tx1"/>
                  </w14:solidFill>
                </w14:textFill>
              </w:rPr>
              <w:t>业绩</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要求（如有）</w:t>
            </w:r>
          </w:p>
        </w:tc>
        <w:tc>
          <w:tcPr>
            <w:tcW w:w="3621" w:type="pct"/>
            <w:vAlign w:val="center"/>
          </w:tcPr>
          <w:p w14:paraId="47E82080">
            <w:pPr>
              <w:numPr>
                <w:ilvl w:val="0"/>
                <w:numId w:val="0"/>
              </w:numPr>
              <w:spacing w:line="360" w:lineRule="auto"/>
              <w:ind w:leftChars="0"/>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投标人应按下列规定提供业绩证明资料：</w:t>
            </w:r>
          </w:p>
          <w:p w14:paraId="62E1E464">
            <w:pPr>
              <w:spacing w:line="360" w:lineRule="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（1）合同</w:t>
            </w:r>
            <w:r>
              <w:rPr>
                <w:rFonts w:hint="eastAsia"/>
                <w:color w:val="000000" w:themeColor="text1"/>
                <w:sz w:val="24"/>
                <w:szCs w:val="24"/>
                <w:highlight w:val="none"/>
                <w:lang w:eastAsia="zh-CN"/>
                <w14:textFill>
                  <w14:solidFill>
                    <w14:schemeClr w14:val="tx1"/>
                  </w14:solidFill>
                </w14:textFill>
              </w:rPr>
              <w:t>；</w:t>
            </w:r>
          </w:p>
          <w:p w14:paraId="5E87CC18">
            <w:pPr>
              <w:spacing w:line="360" w:lineRule="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）供货安装完毕并验收合格的相关证明文件（如验收证书或买方开具的证明等）；</w:t>
            </w:r>
          </w:p>
          <w:p w14:paraId="6117EAE1">
            <w:pPr>
              <w:spacing w:line="360" w:lineRule="auto"/>
              <w:rPr>
                <w:rFonts w:hint="eastAsia"/>
                <w:bCs/>
                <w:snapToGrid w:val="0"/>
                <w:color w:val="000000" w:themeColor="text1"/>
                <w:kern w:val="0"/>
                <w:sz w:val="24"/>
                <w:szCs w:val="24"/>
                <w:highlight w:val="none"/>
                <w:lang w:val="en-US" w:eastAsia="zh-CN"/>
                <w14:textFill>
                  <w14:solidFill>
                    <w14:schemeClr w14:val="tx1"/>
                  </w14:solidFill>
                </w14:textFill>
              </w:rPr>
            </w:pPr>
            <w:r>
              <w:rPr>
                <w:rFonts w:hint="eastAsia"/>
                <w:bCs/>
                <w:snapToGrid w:val="0"/>
                <w:color w:val="000000" w:themeColor="text1"/>
                <w:kern w:val="0"/>
                <w:sz w:val="24"/>
                <w:szCs w:val="24"/>
                <w:highlight w:val="none"/>
                <w:lang w:val="en-US" w:eastAsia="zh-CN"/>
                <w14:textFill>
                  <w14:solidFill>
                    <w14:schemeClr w14:val="tx1"/>
                  </w14:solidFill>
                </w14:textFill>
              </w:rPr>
              <w:t>备注：</w:t>
            </w:r>
          </w:p>
          <w:p w14:paraId="18063A60">
            <w:pPr>
              <w:spacing w:line="360" w:lineRule="auto"/>
              <w:rPr>
                <w:rFonts w:hint="eastAsia"/>
                <w:bCs/>
                <w:snapToGrid w:val="0"/>
                <w:color w:val="000000" w:themeColor="text1"/>
                <w:kern w:val="0"/>
                <w:sz w:val="24"/>
                <w:szCs w:val="24"/>
                <w:highlight w:val="none"/>
                <w14:textFill>
                  <w14:solidFill>
                    <w14:schemeClr w14:val="tx1"/>
                  </w14:solidFill>
                </w14:textFill>
              </w:rPr>
            </w:pPr>
            <w:r>
              <w:rPr>
                <w:rFonts w:hint="eastAsia"/>
                <w:bCs/>
                <w:snapToGrid w:val="0"/>
                <w:color w:val="000000" w:themeColor="text1"/>
                <w:kern w:val="0"/>
                <w:sz w:val="24"/>
                <w:szCs w:val="24"/>
                <w:highlight w:val="none"/>
                <w:lang w:val="en-US" w:eastAsia="zh-CN"/>
                <w14:textFill>
                  <w14:solidFill>
                    <w14:schemeClr w14:val="tx1"/>
                  </w14:solidFill>
                </w14:textFill>
              </w:rPr>
              <w:t>（1）</w:t>
            </w:r>
            <w:r>
              <w:rPr>
                <w:rFonts w:hint="eastAsia"/>
                <w:bCs/>
                <w:snapToGrid w:val="0"/>
                <w:color w:val="000000" w:themeColor="text1"/>
                <w:kern w:val="0"/>
                <w:sz w:val="24"/>
                <w:szCs w:val="24"/>
                <w:highlight w:val="none"/>
                <w14:textFill>
                  <w14:solidFill>
                    <w14:schemeClr w14:val="tx1"/>
                  </w14:solidFill>
                </w14:textFill>
              </w:rPr>
              <w:t>业绩合同可提供包含甲乙方、项目名称、合同总金额、合同签订时间、合同供货范围、合同签字盖章页等关键内容的关键页的扫描件；</w:t>
            </w:r>
          </w:p>
          <w:p w14:paraId="2840F3E0">
            <w:pPr>
              <w:numPr>
                <w:ilvl w:val="0"/>
                <w:numId w:val="4"/>
              </w:numPr>
              <w:spacing w:line="360" w:lineRule="auto"/>
              <w:rPr>
                <w:rFonts w:hint="eastAsia"/>
                <w:color w:val="000000" w:themeColor="text1"/>
                <w:highlight w:val="none"/>
                <w:lang w:val="en-US" w:eastAsia="zh-CN"/>
                <w14:textFill>
                  <w14:solidFill>
                    <w14:schemeClr w14:val="tx1"/>
                  </w14:solidFill>
                </w14:textFill>
              </w:rPr>
            </w:pPr>
            <w:r>
              <w:rPr>
                <w:rFonts w:hint="eastAsia"/>
                <w:bCs/>
                <w:snapToGrid w:val="0"/>
                <w:color w:val="000000" w:themeColor="text1"/>
                <w:kern w:val="0"/>
                <w:sz w:val="24"/>
                <w:szCs w:val="24"/>
                <w:highlight w:val="none"/>
                <w14:textFill>
                  <w14:solidFill>
                    <w14:schemeClr w14:val="tx1"/>
                  </w14:solidFill>
                </w14:textFill>
              </w:rPr>
              <w:t>以上涉及到的材料扫描件信息应完整或能充分反映评审因素。如均未能明确反映出</w:t>
            </w:r>
            <w:r>
              <w:rPr>
                <w:rFonts w:hint="eastAsia"/>
                <w:bCs/>
                <w:snapToGrid w:val="0"/>
                <w:color w:val="000000" w:themeColor="text1"/>
                <w:kern w:val="0"/>
                <w:sz w:val="24"/>
                <w:szCs w:val="24"/>
                <w:highlight w:val="none"/>
                <w:lang w:eastAsia="zh-CN"/>
                <w14:textFill>
                  <w14:solidFill>
                    <w14:schemeClr w14:val="tx1"/>
                  </w14:solidFill>
                </w14:textFill>
              </w:rPr>
              <w:t>磋商文件</w:t>
            </w:r>
            <w:r>
              <w:rPr>
                <w:rFonts w:hint="eastAsia"/>
                <w:bCs/>
                <w:snapToGrid w:val="0"/>
                <w:color w:val="000000" w:themeColor="text1"/>
                <w:kern w:val="0"/>
                <w:sz w:val="24"/>
                <w:szCs w:val="24"/>
                <w:highlight w:val="none"/>
                <w14:textFill>
                  <w14:solidFill>
                    <w14:schemeClr w14:val="tx1"/>
                  </w14:solidFill>
                </w14:textFill>
              </w:rPr>
              <w:t>所要求的内容的（如合同总金额、项目负责人名称等），应另附买方（或合同甲方）出具的证明资料予以明确说明。</w:t>
            </w:r>
          </w:p>
        </w:tc>
      </w:tr>
      <w:tr w14:paraId="6788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4BA0339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7</w:t>
            </w:r>
          </w:p>
        </w:tc>
        <w:tc>
          <w:tcPr>
            <w:tcW w:w="818" w:type="pct"/>
            <w:vAlign w:val="center"/>
          </w:tcPr>
          <w:p w14:paraId="7488F225">
            <w:pPr>
              <w:spacing w:line="440" w:lineRule="exact"/>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投标人提出疑问</w:t>
            </w:r>
            <w:r>
              <w:rPr>
                <w:rFonts w:hint="eastAsia" w:ascii="宋体" w:hAnsi="宋体" w:eastAsia="宋体" w:cs="宋体"/>
                <w:bCs/>
                <w:color w:val="000000" w:themeColor="text1"/>
                <w:kern w:val="0"/>
                <w:sz w:val="24"/>
                <w:szCs w:val="24"/>
                <w:highlight w:val="none"/>
                <w14:textFill>
                  <w14:solidFill>
                    <w14:schemeClr w14:val="tx1"/>
                  </w14:solidFill>
                </w14:textFill>
              </w:rPr>
              <w:t>截止时间</w:t>
            </w:r>
          </w:p>
        </w:tc>
        <w:tc>
          <w:tcPr>
            <w:tcW w:w="3621" w:type="pct"/>
            <w:vAlign w:val="top"/>
          </w:tcPr>
          <w:p w14:paraId="578120B1">
            <w:pPr>
              <w:spacing w:line="440" w:lineRule="exac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时间：</w:t>
            </w:r>
            <w:r>
              <w:rPr>
                <w:rFonts w:hint="eastAsia" w:cs="宋体"/>
                <w:bCs/>
                <w:color w:val="000000" w:themeColor="text1"/>
                <w:kern w:val="2"/>
                <w:sz w:val="24"/>
                <w:szCs w:val="24"/>
                <w:highlight w:val="none"/>
                <w:u w:val="single"/>
                <w:lang w:val="en-US" w:eastAsia="zh-CN"/>
                <w14:textFill>
                  <w14:solidFill>
                    <w14:schemeClr w14:val="tx1"/>
                  </w14:solidFill>
                </w14:textFill>
              </w:rPr>
              <w:t>2024</w:t>
            </w:r>
            <w:r>
              <w:rPr>
                <w:rFonts w:hint="eastAsia" w:ascii="宋体" w:hAnsi="宋体" w:eastAsia="宋体" w:cs="宋体"/>
                <w:bCs/>
                <w:color w:val="000000" w:themeColor="text1"/>
                <w:kern w:val="2"/>
                <w:sz w:val="24"/>
                <w:szCs w:val="24"/>
                <w:highlight w:val="none"/>
                <w14:textFill>
                  <w14:solidFill>
                    <w14:schemeClr w14:val="tx1"/>
                  </w14:solidFill>
                </w14:textFill>
              </w:rPr>
              <w:t>年</w:t>
            </w:r>
            <w:r>
              <w:rPr>
                <w:rFonts w:hint="eastAsia" w:cs="宋体"/>
                <w:bCs/>
                <w:color w:val="000000" w:themeColor="text1"/>
                <w:kern w:val="2"/>
                <w:sz w:val="24"/>
                <w:szCs w:val="24"/>
                <w:highlight w:val="none"/>
                <w:u w:val="single"/>
                <w:lang w:val="en-US" w:eastAsia="zh-CN"/>
                <w14:textFill>
                  <w14:solidFill>
                    <w14:schemeClr w14:val="tx1"/>
                  </w14:solidFill>
                </w14:textFill>
              </w:rPr>
              <w:t>10</w:t>
            </w:r>
            <w:r>
              <w:rPr>
                <w:rFonts w:hint="eastAsia" w:ascii="宋体" w:hAnsi="宋体" w:eastAsia="宋体" w:cs="宋体"/>
                <w:bCs/>
                <w:color w:val="000000" w:themeColor="text1"/>
                <w:kern w:val="2"/>
                <w:sz w:val="24"/>
                <w:szCs w:val="24"/>
                <w:highlight w:val="none"/>
                <w14:textFill>
                  <w14:solidFill>
                    <w14:schemeClr w14:val="tx1"/>
                  </w14:solidFill>
                </w14:textFill>
              </w:rPr>
              <w:t>月</w:t>
            </w:r>
            <w:r>
              <w:rPr>
                <w:rFonts w:hint="eastAsia" w:cs="宋体"/>
                <w:bCs/>
                <w:color w:val="000000" w:themeColor="text1"/>
                <w:kern w:val="2"/>
                <w:sz w:val="24"/>
                <w:szCs w:val="24"/>
                <w:highlight w:val="none"/>
                <w:u w:val="single"/>
                <w:lang w:val="en-US" w:eastAsia="zh-CN"/>
                <w14:textFill>
                  <w14:solidFill>
                    <w14:schemeClr w14:val="tx1"/>
                  </w14:solidFill>
                </w14:textFill>
              </w:rPr>
              <w:t>07</w:t>
            </w:r>
            <w:r>
              <w:rPr>
                <w:rFonts w:hint="eastAsia" w:ascii="宋体" w:hAnsi="宋体" w:eastAsia="宋体" w:cs="宋体"/>
                <w:bCs/>
                <w:color w:val="000000" w:themeColor="text1"/>
                <w:kern w:val="2"/>
                <w:sz w:val="24"/>
                <w:szCs w:val="24"/>
                <w:highlight w:val="none"/>
                <w14:textFill>
                  <w14:solidFill>
                    <w14:schemeClr w14:val="tx1"/>
                  </w14:solidFill>
                </w14:textFill>
              </w:rPr>
              <w:t>日</w:t>
            </w:r>
            <w:r>
              <w:rPr>
                <w:rFonts w:hint="eastAsia" w:cs="宋体"/>
                <w:bCs/>
                <w:color w:val="000000" w:themeColor="text1"/>
                <w:kern w:val="2"/>
                <w:sz w:val="24"/>
                <w:szCs w:val="24"/>
                <w:highlight w:val="none"/>
                <w:u w:val="single"/>
                <w:lang w:val="en-US" w:eastAsia="zh-CN"/>
                <w14:textFill>
                  <w14:solidFill>
                    <w14:schemeClr w14:val="tx1"/>
                  </w14:solidFill>
                </w14:textFill>
              </w:rPr>
              <w:t>17</w:t>
            </w:r>
            <w:r>
              <w:rPr>
                <w:rFonts w:hint="eastAsia" w:ascii="宋体" w:hAnsi="宋体" w:eastAsia="宋体" w:cs="宋体"/>
                <w:bCs/>
                <w:color w:val="000000" w:themeColor="text1"/>
                <w:kern w:val="2"/>
                <w:sz w:val="24"/>
                <w:szCs w:val="24"/>
                <w:highlight w:val="none"/>
                <w14:textFill>
                  <w14:solidFill>
                    <w14:schemeClr w14:val="tx1"/>
                  </w14:solidFill>
                </w14:textFill>
              </w:rPr>
              <w:t>时</w:t>
            </w:r>
            <w:r>
              <w:rPr>
                <w:rFonts w:hint="eastAsia" w:cs="宋体"/>
                <w:bCs/>
                <w:color w:val="000000" w:themeColor="text1"/>
                <w:kern w:val="2"/>
                <w:sz w:val="24"/>
                <w:szCs w:val="24"/>
                <w:highlight w:val="none"/>
                <w:u w:val="single"/>
                <w:lang w:val="en-US" w:eastAsia="zh-CN"/>
                <w14:textFill>
                  <w14:solidFill>
                    <w14:schemeClr w14:val="tx1"/>
                  </w14:solidFill>
                </w14:textFill>
              </w:rPr>
              <w:t>30</w:t>
            </w:r>
            <w:r>
              <w:rPr>
                <w:rFonts w:hint="eastAsia" w:ascii="宋体" w:hAnsi="宋体" w:eastAsia="宋体" w:cs="宋体"/>
                <w:bCs/>
                <w:color w:val="000000" w:themeColor="text1"/>
                <w:kern w:val="2"/>
                <w:sz w:val="24"/>
                <w:szCs w:val="24"/>
                <w:highlight w:val="none"/>
                <w14:textFill>
                  <w14:solidFill>
                    <w14:schemeClr w14:val="tx1"/>
                  </w14:solidFill>
                </w14:textFill>
              </w:rPr>
              <w:t>分</w:t>
            </w:r>
          </w:p>
          <w:p w14:paraId="1C862B90">
            <w:pPr>
              <w:spacing w:line="440" w:lineRule="exact"/>
              <w:rPr>
                <w:rFonts w:hint="eastAsia" w:ascii="宋体" w:hAnsi="宋体" w:eastAsia="宋体" w:cs="宋体"/>
                <w:bCs/>
                <w:color w:val="000000" w:themeColor="text1"/>
                <w:kern w:val="0"/>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0"/>
                <w:sz w:val="24"/>
                <w:szCs w:val="24"/>
                <w:highlight w:val="none"/>
                <w14:textFill>
                  <w14:solidFill>
                    <w14:schemeClr w14:val="tx1"/>
                  </w14:solidFill>
                </w14:textFill>
              </w:rPr>
              <w:t>形式：通过电子交易系统提交</w:t>
            </w:r>
          </w:p>
        </w:tc>
      </w:tr>
      <w:tr w14:paraId="7134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2162A382">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8</w:t>
            </w:r>
          </w:p>
        </w:tc>
        <w:tc>
          <w:tcPr>
            <w:tcW w:w="818" w:type="pct"/>
            <w:vAlign w:val="center"/>
          </w:tcPr>
          <w:p w14:paraId="41BC6A0D">
            <w:pPr>
              <w:pStyle w:val="76"/>
              <w:widowControl w:val="0"/>
              <w:spacing w:before="0" w:beforeAutospacing="0" w:after="0" w:afterAutospacing="0" w:line="360" w:lineRule="auto"/>
              <w:jc w:val="both"/>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t>构成磋商的其他材料</w:t>
            </w:r>
          </w:p>
        </w:tc>
        <w:tc>
          <w:tcPr>
            <w:tcW w:w="3621" w:type="pct"/>
            <w:vAlign w:val="center"/>
          </w:tcPr>
          <w:p w14:paraId="0E261420">
            <w:pPr>
              <w:pStyle w:val="76"/>
              <w:widowControl w:val="0"/>
              <w:spacing w:before="0" w:beforeAutospacing="0" w:after="0" w:afterAutospacing="0" w:line="360" w:lineRule="auto"/>
              <w:jc w:val="both"/>
              <w:rPr>
                <w:rFonts w:hint="default"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cs="宋体"/>
                <w:b w:val="0"/>
                <w:bCs/>
                <w:color w:val="000000" w:themeColor="text1"/>
                <w:sz w:val="24"/>
                <w:szCs w:val="24"/>
                <w:highlight w:val="none"/>
                <w:lang w:val="en-US" w:eastAsia="zh-CN" w:bidi="ar-SA"/>
                <w14:textFill>
                  <w14:solidFill>
                    <w14:schemeClr w14:val="tx1"/>
                  </w14:solidFill>
                </w14:textFill>
              </w:rPr>
              <w:t>/</w:t>
            </w:r>
          </w:p>
        </w:tc>
      </w:tr>
      <w:tr w14:paraId="25BF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14:paraId="64787E07">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9</w:t>
            </w:r>
          </w:p>
        </w:tc>
        <w:tc>
          <w:tcPr>
            <w:tcW w:w="818" w:type="pct"/>
            <w:vAlign w:val="center"/>
          </w:tcPr>
          <w:p w14:paraId="01780DA5">
            <w:pPr>
              <w:pStyle w:val="76"/>
              <w:widowControl w:val="0"/>
              <w:spacing w:before="0" w:beforeAutospacing="0" w:after="0" w:afterAutospacing="0" w:line="360" w:lineRule="auto"/>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磋商保证金</w:t>
            </w:r>
          </w:p>
        </w:tc>
        <w:tc>
          <w:tcPr>
            <w:tcW w:w="3621" w:type="pct"/>
            <w:vAlign w:val="center"/>
          </w:tcPr>
          <w:p w14:paraId="0F79DBBF">
            <w:pPr>
              <w:snapToGrid w:val="0"/>
              <w:rPr>
                <w:rFonts w:hint="eastAsia"/>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（1）金额：</w:t>
            </w:r>
            <w:r>
              <w:rPr>
                <w:rFonts w:hint="eastAsia" w:ascii="Times New Roman" w:cs="宋体"/>
                <w:bCs/>
                <w:color w:val="000000" w:themeColor="text1"/>
                <w:sz w:val="24"/>
                <w:szCs w:val="24"/>
                <w:highlight w:val="none"/>
                <w:u w:val="single"/>
                <w14:textFill>
                  <w14:solidFill>
                    <w14:schemeClr w14:val="tx1"/>
                  </w14:solidFill>
                </w14:textFill>
              </w:rPr>
              <w:t xml:space="preserve"> </w:t>
            </w:r>
            <w:r>
              <w:rPr>
                <w:rFonts w:hint="eastAsia" w:ascii="Times New Roman" w:cs="宋体"/>
                <w:bCs/>
                <w:color w:val="000000" w:themeColor="text1"/>
                <w:sz w:val="24"/>
                <w:szCs w:val="24"/>
                <w:highlight w:val="none"/>
                <w:u w:val="single"/>
                <w:lang w:val="en-US" w:eastAsia="zh-CN"/>
                <w14:textFill>
                  <w14:solidFill>
                    <w14:schemeClr w14:val="tx1"/>
                  </w14:solidFill>
                </w14:textFill>
              </w:rPr>
              <w:t>3000元人民币。</w:t>
            </w:r>
          </w:p>
          <w:p w14:paraId="1D556C80">
            <w:pPr>
              <w:snapToGrid w:val="0"/>
              <w:spacing w:line="360" w:lineRule="auto"/>
              <w:ind w:firstLine="120" w:firstLineChars="50"/>
              <w:rPr>
                <w:rFonts w:hint="default"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（2）缴纳形式：</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 xml:space="preserve">银行转账  </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 xml:space="preserve">银行电汇  </w:t>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strike w:val="0"/>
                <w:dstrike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cs="宋体"/>
                <w:b w:val="0"/>
                <w:bCs w:val="0"/>
                <w:caps w:val="0"/>
                <w:smallCaps w:val="0"/>
                <w:strike w:val="0"/>
                <w:dstrike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cs="宋体"/>
                <w:b w:val="0"/>
                <w:bCs w:val="0"/>
                <w:caps w:val="0"/>
                <w:smallCaps w:val="0"/>
                <w:strike w:val="0"/>
                <w:dstrike w:val="0"/>
                <w:color w:val="000000" w:themeColor="text1"/>
                <w:kern w:val="2"/>
                <w:position w:val="0"/>
                <w:sz w:val="25"/>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strike w:val="0"/>
                <w:dstrike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t xml:space="preserve">银行保函 </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保证保险</w:t>
            </w:r>
          </w:p>
          <w:p w14:paraId="001FAC49">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（3）递交要求：</w:t>
            </w:r>
          </w:p>
          <w:p w14:paraId="5C38848D">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①磋商保证金的到账截止时间：磋商截止时间。</w:t>
            </w:r>
          </w:p>
          <w:p w14:paraId="3D5F356D">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②转入的开户银行及账号见本项目招标公告所示。</w:t>
            </w:r>
          </w:p>
          <w:p w14:paraId="3D92D075">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③采用银行保函，应为投标人基本账户开户行出具的见索即付无条件银行保函；投标人必须提供明确有效的查询途径（网址链接及查询方式），否则该银行保函无效。评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审</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时</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评审小组</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保留现场核查权利。</w:t>
            </w:r>
          </w:p>
          <w:p w14:paraId="7C1EE425">
            <w:pPr>
              <w:snapToGrid w:val="0"/>
              <w:spacing w:line="360" w:lineRule="auto"/>
              <w:ind w:firstLine="120" w:firstLineChars="5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4F15AC65">
            <w:pPr>
              <w:snapToGrid w:val="0"/>
              <w:spacing w:line="360" w:lineRule="auto"/>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（4）注意事项：</w:t>
            </w:r>
          </w:p>
          <w:p w14:paraId="0448DEC4">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①磋商保证金交纳账号采用动态虚拟账号，项目招标失败后，磋商保证金交纳账号将会发生变化，请投标人参与后续招标时，注意勿将磋商保证金错交至其他项目虚拟账号或前次公告账号。</w:t>
            </w:r>
          </w:p>
          <w:p w14:paraId="5B73D20F">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②如本项目前次招标失败，招标人退还投标人的磋商保证金。投标人参与本次磋商，须向本项目本次公告公布的磋商保证金账号重新交纳磋商保证金。</w:t>
            </w:r>
          </w:p>
          <w:p w14:paraId="294960F7">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③凡转账到其他项目虚拟账户或本项目前次公告账户的，磋商保证金无效。</w:t>
            </w:r>
          </w:p>
          <w:p w14:paraId="4B785FF4">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④投标人参与本项目多个标段投标的（如分多标段的），应该按标段分别递交磋商保证金。未递交磋商保证金的标段，其投标无效。</w:t>
            </w:r>
          </w:p>
          <w:p w14:paraId="385D514A">
            <w:pPr>
              <w:snapToGrid w:val="0"/>
              <w:spacing w:line="360" w:lineRule="auto"/>
              <w:ind w:firstLine="120" w:firstLineChars="50"/>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⑤</w:t>
            </w:r>
            <w:r>
              <w:rPr>
                <w:rFonts w:hint="eastAsia" w:ascii="宋体" w:hAnsi="宋体" w:eastAsia="宋体" w:cs="宋体"/>
                <w:b w:val="0"/>
                <w:bCs w:val="0"/>
                <w:caps w:val="0"/>
                <w:smallCaps w:val="0"/>
                <w:color w:val="000000" w:themeColor="text1"/>
                <w:kern w:val="2"/>
                <w:sz w:val="24"/>
                <w:szCs w:val="24"/>
                <w:highlight w:val="none"/>
                <w:lang w:val="zh-CN" w:eastAsia="zh-CN" w:bidi="ar-SA"/>
                <w14:textFill>
                  <w14:solidFill>
                    <w14:schemeClr w14:val="tx1"/>
                  </w14:solidFill>
                </w14:textFill>
              </w:rPr>
              <w:t>以上</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银行保函</w:t>
            </w:r>
            <w:r>
              <w:rPr>
                <w:rFonts w:hint="eastAsia" w:ascii="宋体" w:hAnsi="宋体" w:eastAsia="宋体" w:cs="宋体"/>
                <w:b w:val="0"/>
                <w:bCs w:val="0"/>
                <w:caps w:val="0"/>
                <w:smallCaps w:val="0"/>
                <w:color w:val="000000" w:themeColor="text1"/>
                <w:kern w:val="2"/>
                <w:sz w:val="24"/>
                <w:szCs w:val="24"/>
                <w:highlight w:val="none"/>
                <w:lang w:val="zh-CN" w:eastAsia="zh-CN" w:bidi="ar-SA"/>
                <w14:textFill>
                  <w14:solidFill>
                    <w14:schemeClr w14:val="tx1"/>
                  </w14:solidFill>
                </w14:textFill>
              </w:rPr>
              <w:t>承担责任的方式须满足无条件见索即付条件。</w:t>
            </w:r>
          </w:p>
        </w:tc>
      </w:tr>
      <w:tr w14:paraId="1A59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60" w:type="pct"/>
            <w:vAlign w:val="center"/>
          </w:tcPr>
          <w:p w14:paraId="3D8D6FB4">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10</w:t>
            </w:r>
          </w:p>
        </w:tc>
        <w:tc>
          <w:tcPr>
            <w:tcW w:w="818" w:type="pct"/>
            <w:vAlign w:val="center"/>
          </w:tcPr>
          <w:p w14:paraId="34E63CBD">
            <w:pPr>
              <w:pStyle w:val="76"/>
              <w:widowControl w:val="0"/>
              <w:spacing w:before="0" w:beforeAutospacing="0" w:after="0" w:afterAutospacing="0" w:line="360" w:lineRule="auto"/>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不予退还磋商保证金的情形</w:t>
            </w:r>
          </w:p>
        </w:tc>
        <w:tc>
          <w:tcPr>
            <w:tcW w:w="3621" w:type="pct"/>
            <w:vAlign w:val="center"/>
          </w:tcPr>
          <w:p w14:paraId="071E31DA">
            <w:pPr>
              <w:snapToGrid w:val="0"/>
              <w:spacing w:line="360" w:lineRule="auto"/>
              <w:ind w:firstLine="120" w:firstLineChars="50"/>
              <w:rPr>
                <w:rFonts w:hint="eastAsia" w:ascii="宋体" w:hAnsi="宋体" w:eastAsia="宋体" w:cs="宋体"/>
                <w:b w:val="0"/>
                <w:color w:val="000000" w:themeColor="text1"/>
                <w:sz w:val="24"/>
                <w:szCs w:val="24"/>
                <w:highlight w:val="none"/>
                <w:u w:val="none"/>
                <w:lang w:eastAsia="zh-CN"/>
                <w14:textFill>
                  <w14:solidFill>
                    <w14:schemeClr w14:val="tx1"/>
                  </w14:solidFill>
                </w14:textFill>
              </w:rPr>
            </w:pPr>
            <w:r>
              <w:rPr>
                <w:rFonts w:hint="eastAsia" w:cs="宋体"/>
                <w:caps w:val="0"/>
                <w:smallCaps w:val="0"/>
                <w:color w:val="000000" w:themeColor="text1"/>
                <w:kern w:val="2"/>
                <w:sz w:val="24"/>
                <w:szCs w:val="24"/>
                <w:highlight w:val="none"/>
                <w:lang w:val="en-US" w:eastAsia="zh-CN" w:bidi="ar-SA"/>
                <w14:textFill>
                  <w14:solidFill>
                    <w14:schemeClr w14:val="tx1"/>
                  </w14:solidFill>
                </w14:textFill>
              </w:rPr>
              <w:t>/</w:t>
            </w:r>
          </w:p>
        </w:tc>
      </w:tr>
      <w:tr w14:paraId="443E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2DF5B8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1</w:t>
            </w:r>
          </w:p>
        </w:tc>
        <w:tc>
          <w:tcPr>
            <w:tcW w:w="818" w:type="pct"/>
            <w:vAlign w:val="center"/>
          </w:tcPr>
          <w:p w14:paraId="792FDACD">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磋商现场提交的其他材料要求</w:t>
            </w:r>
          </w:p>
        </w:tc>
        <w:tc>
          <w:tcPr>
            <w:tcW w:w="3621" w:type="pct"/>
            <w:vAlign w:val="center"/>
          </w:tcPr>
          <w:p w14:paraId="279119E0">
            <w:pPr>
              <w:pStyle w:val="76"/>
              <w:widowControl w:val="0"/>
              <w:spacing w:before="0" w:beforeAutospacing="0" w:after="0" w:afterAutospacing="0" w:line="360" w:lineRule="auto"/>
              <w:jc w:val="both"/>
              <w:rPr>
                <w:rFonts w:hint="default"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u w:val="single"/>
                <w:lang w:val="en-US" w:eastAsia="zh-CN"/>
                <w14:textFill>
                  <w14:solidFill>
                    <w14:schemeClr w14:val="tx1"/>
                  </w14:solidFill>
                </w14:textFill>
              </w:rPr>
              <w:t>/</w:t>
            </w:r>
          </w:p>
        </w:tc>
      </w:tr>
      <w:tr w14:paraId="255C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5C09DE2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2</w:t>
            </w:r>
          </w:p>
        </w:tc>
        <w:tc>
          <w:tcPr>
            <w:tcW w:w="818" w:type="pct"/>
            <w:vAlign w:val="center"/>
          </w:tcPr>
          <w:p w14:paraId="11D4DB8A">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 w:val="0"/>
                <w:color w:val="000000" w:themeColor="text1"/>
                <w:sz w:val="24"/>
                <w:szCs w:val="24"/>
                <w:highlight w:val="none"/>
                <w14:textFill>
                  <w14:solidFill>
                    <w14:schemeClr w14:val="tx1"/>
                  </w14:solidFill>
                </w14:textFill>
              </w:rPr>
              <w:t>解密时间</w:t>
            </w:r>
          </w:p>
        </w:tc>
        <w:tc>
          <w:tcPr>
            <w:tcW w:w="3621" w:type="pct"/>
            <w:vAlign w:val="center"/>
          </w:tcPr>
          <w:p w14:paraId="0B2E853D">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none"/>
                <w14:textFill>
                  <w14:solidFill>
                    <w14:schemeClr w14:val="tx1"/>
                  </w14:solidFill>
                </w14:textFill>
              </w:rPr>
            </w:pPr>
            <w:r>
              <w:rPr>
                <w:rFonts w:hint="eastAsia" w:ascii="宋体" w:hAnsi="宋体" w:eastAsia="宋体" w:cs="宋体"/>
                <w:b w:val="0"/>
                <w:color w:val="000000" w:themeColor="text1"/>
                <w:sz w:val="24"/>
                <w:szCs w:val="24"/>
                <w:highlight w:val="none"/>
                <w:u w:val="none"/>
                <w:lang w:eastAsia="zh-CN"/>
                <w14:textFill>
                  <w14:solidFill>
                    <w14:schemeClr w14:val="tx1"/>
                  </w14:solidFill>
                </w14:textFill>
              </w:rPr>
              <w:t>投标文件</w:t>
            </w:r>
            <w:r>
              <w:rPr>
                <w:rFonts w:hint="eastAsia" w:ascii="宋体" w:hAnsi="宋体" w:eastAsia="宋体" w:cs="宋体"/>
                <w:b w:val="0"/>
                <w:color w:val="000000" w:themeColor="text1"/>
                <w:sz w:val="24"/>
                <w:szCs w:val="24"/>
                <w:highlight w:val="none"/>
                <w:u w:val="none"/>
                <w14:textFill>
                  <w14:solidFill>
                    <w14:schemeClr w14:val="tx1"/>
                  </w14:solidFill>
                </w14:textFill>
              </w:rPr>
              <w:t>提交截止时间后30分钟内（以电子交易系统解密倒计时为准）</w:t>
            </w:r>
          </w:p>
        </w:tc>
      </w:tr>
      <w:tr w14:paraId="1E6E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60" w:type="pct"/>
            <w:vMerge w:val="restart"/>
            <w:vAlign w:val="center"/>
          </w:tcPr>
          <w:p w14:paraId="1D0239B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3</w:t>
            </w:r>
          </w:p>
        </w:tc>
        <w:tc>
          <w:tcPr>
            <w:tcW w:w="818" w:type="pct"/>
            <w:vMerge w:val="restart"/>
            <w:vAlign w:val="center"/>
          </w:tcPr>
          <w:p w14:paraId="3D7F1086">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确定</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中标候选人</w:t>
            </w:r>
            <w:r>
              <w:rPr>
                <w:rFonts w:hint="eastAsia" w:ascii="宋体" w:hAnsi="宋体" w:eastAsia="宋体" w:cs="宋体"/>
                <w:b w:val="0"/>
                <w:color w:val="000000" w:themeColor="text1"/>
                <w:sz w:val="24"/>
                <w:szCs w:val="24"/>
                <w:highlight w:val="none"/>
                <w14:textFill>
                  <w14:solidFill>
                    <w14:schemeClr w14:val="tx1"/>
                  </w14:solidFill>
                </w14:textFill>
              </w:rPr>
              <w:t>和</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p>
        </w:tc>
        <w:tc>
          <w:tcPr>
            <w:tcW w:w="3621" w:type="pct"/>
            <w:vAlign w:val="center"/>
          </w:tcPr>
          <w:p w14:paraId="2420EC62">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val="0"/>
                <w:color w:val="000000" w:themeColor="text1"/>
                <w:sz w:val="24"/>
                <w:szCs w:val="24"/>
                <w:highlight w:val="none"/>
                <w14:textFill>
                  <w14:solidFill>
                    <w14:schemeClr w14:val="tx1"/>
                  </w14:solidFill>
                </w14:textFill>
              </w:rPr>
              <w:t>推荐</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中标候选人</w:t>
            </w:r>
            <w:r>
              <w:rPr>
                <w:rFonts w:hint="eastAsia" w:ascii="宋体" w:hAnsi="宋体" w:eastAsia="宋体" w:cs="宋体"/>
                <w:b w:val="0"/>
                <w:color w:val="000000" w:themeColor="text1"/>
                <w:sz w:val="24"/>
                <w:szCs w:val="24"/>
                <w:highlight w:val="none"/>
                <w14:textFill>
                  <w14:solidFill>
                    <w14:schemeClr w14:val="tx1"/>
                  </w14:solidFill>
                </w14:textFill>
              </w:rPr>
              <w:t>的数量：</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不多于2家</w:t>
            </w:r>
          </w:p>
        </w:tc>
      </w:tr>
      <w:tr w14:paraId="6CC2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Merge w:val="continue"/>
            <w:vAlign w:val="center"/>
          </w:tcPr>
          <w:p w14:paraId="205BDB6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14:textFill>
                  <w14:solidFill>
                    <w14:schemeClr w14:val="tx1"/>
                  </w14:solidFill>
                </w14:textFill>
              </w:rPr>
            </w:pPr>
          </w:p>
        </w:tc>
        <w:tc>
          <w:tcPr>
            <w:tcW w:w="818" w:type="pct"/>
            <w:vMerge w:val="continue"/>
            <w:vAlign w:val="center"/>
          </w:tcPr>
          <w:p w14:paraId="3DF898CB">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p>
        </w:tc>
        <w:tc>
          <w:tcPr>
            <w:tcW w:w="3621" w:type="pct"/>
            <w:vAlign w:val="center"/>
          </w:tcPr>
          <w:p w14:paraId="615BE3C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确定</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color w:val="000000" w:themeColor="text1"/>
                <w:sz w:val="24"/>
                <w:szCs w:val="24"/>
                <w:highlight w:val="none"/>
                <w14:textFill>
                  <w14:solidFill>
                    <w14:schemeClr w14:val="tx1"/>
                  </w14:solidFill>
                </w14:textFill>
              </w:rPr>
              <w:t>：</w:t>
            </w:r>
          </w:p>
          <w:p w14:paraId="1105D58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2" w:char="0052"/>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委托</w:t>
            </w:r>
            <w:r>
              <w:rPr>
                <w:rFonts w:hint="eastAsia" w:cs="宋体"/>
                <w:b w:val="0"/>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val="0"/>
                <w:color w:val="000000" w:themeColor="text1"/>
                <w:sz w:val="24"/>
                <w:szCs w:val="24"/>
                <w:highlight w:val="none"/>
                <w14:textFill>
                  <w14:solidFill>
                    <w14:schemeClr w14:val="tx1"/>
                  </w14:solidFill>
                </w14:textFill>
              </w:rPr>
              <w:t xml:space="preserve">确定     </w:t>
            </w:r>
          </w:p>
          <w:p w14:paraId="4D880EB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2" w:char="00A3"/>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确定</w:t>
            </w:r>
          </w:p>
        </w:tc>
      </w:tr>
      <w:tr w14:paraId="1312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C95B97A">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4</w:t>
            </w:r>
          </w:p>
        </w:tc>
        <w:tc>
          <w:tcPr>
            <w:tcW w:w="818" w:type="pct"/>
            <w:vAlign w:val="center"/>
          </w:tcPr>
          <w:p w14:paraId="075B9CB2">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发出的形式</w:t>
            </w:r>
          </w:p>
        </w:tc>
        <w:tc>
          <w:tcPr>
            <w:tcW w:w="3621" w:type="pct"/>
            <w:vAlign w:val="center"/>
          </w:tcPr>
          <w:p w14:paraId="75FF5CCB">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□书面     </w:t>
            </w:r>
            <w:r>
              <w:rPr>
                <w:rFonts w:hint="eastAsia" w:ascii="宋体" w:hAnsi="宋体" w:eastAsia="宋体" w:cs="宋体"/>
                <w:b w:val="0"/>
                <w:color w:val="000000" w:themeColor="text1"/>
                <w:sz w:val="24"/>
                <w:szCs w:val="24"/>
                <w:highlight w:val="none"/>
                <w14:textFill>
                  <w14:solidFill>
                    <w14:schemeClr w14:val="tx1"/>
                  </w14:solidFill>
                </w14:textFill>
              </w:rPr>
              <w:sym w:font="Wingdings" w:char="F0FE"/>
            </w:r>
            <w:r>
              <w:rPr>
                <w:rFonts w:hint="eastAsia" w:ascii="宋体" w:hAnsi="宋体" w:eastAsia="宋体" w:cs="宋体"/>
                <w:b w:val="0"/>
                <w:color w:val="000000" w:themeColor="text1"/>
                <w:sz w:val="24"/>
                <w:szCs w:val="24"/>
                <w:highlight w:val="none"/>
                <w14:textFill>
                  <w14:solidFill>
                    <w14:schemeClr w14:val="tx1"/>
                  </w14:solidFill>
                </w14:textFill>
              </w:rPr>
              <w:t>数据电文</w:t>
            </w:r>
          </w:p>
          <w:p w14:paraId="106C72AB">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特别提醒：本项目发布</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中标结果公告</w:t>
            </w:r>
            <w:r>
              <w:rPr>
                <w:rFonts w:hint="eastAsia" w:ascii="宋体" w:hAnsi="宋体" w:eastAsia="宋体" w:cs="宋体"/>
                <w:b w:val="0"/>
                <w:color w:val="000000" w:themeColor="text1"/>
                <w:sz w:val="24"/>
                <w:szCs w:val="24"/>
                <w:highlight w:val="none"/>
                <w14:textFill>
                  <w14:solidFill>
                    <w14:schemeClr w14:val="tx1"/>
                  </w14:solidFill>
                </w14:textFill>
              </w:rPr>
              <w:t>的同时，通过电子交易系统向</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color w:val="000000" w:themeColor="text1"/>
                <w:sz w:val="24"/>
                <w:szCs w:val="24"/>
                <w:highlight w:val="none"/>
                <w14:textFill>
                  <w14:solidFill>
                    <w14:schemeClr w14:val="tx1"/>
                  </w14:solidFill>
                </w14:textFill>
              </w:rPr>
              <w:t>发出</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发出视为已送达，</w:t>
            </w:r>
            <w:r>
              <w:rPr>
                <w:rFonts w:hint="eastAsia" w:ascii="宋体" w:hAnsi="宋体" w:eastAsia="宋体" w:cs="宋体"/>
                <w:b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color w:val="000000" w:themeColor="text1"/>
                <w:sz w:val="24"/>
                <w:szCs w:val="24"/>
                <w:highlight w:val="none"/>
                <w14:textFill>
                  <w14:solidFill>
                    <w14:schemeClr w14:val="tx1"/>
                  </w14:solidFill>
                </w14:textFill>
              </w:rPr>
              <w:t>应主动登录电子交易系统查询，</w:t>
            </w:r>
            <w:r>
              <w:rPr>
                <w:rFonts w:hint="eastAsia" w:ascii="宋体" w:hAnsi="宋体" w:eastAsia="宋体" w:cs="宋体"/>
                <w:b w:val="0"/>
                <w:color w:val="000000" w:themeColor="text1"/>
                <w:sz w:val="24"/>
                <w:szCs w:val="24"/>
                <w:highlight w:val="none"/>
                <w:lang w:eastAsia="zh-CN"/>
                <w14:textFill>
                  <w14:solidFill>
                    <w14:schemeClr w14:val="tx1"/>
                  </w14:solidFill>
                </w14:textFill>
              </w:rPr>
              <w:t>代理机构</w:t>
            </w:r>
            <w:r>
              <w:rPr>
                <w:rFonts w:hint="eastAsia" w:ascii="宋体" w:hAnsi="宋体" w:eastAsia="宋体" w:cs="宋体"/>
                <w:b w:val="0"/>
                <w:color w:val="000000" w:themeColor="text1"/>
                <w:sz w:val="24"/>
                <w:szCs w:val="24"/>
                <w:highlight w:val="none"/>
                <w14:textFill>
                  <w14:solidFill>
                    <w14:schemeClr w14:val="tx1"/>
                  </w14:solidFill>
                </w14:textFill>
              </w:rPr>
              <w:t>不承担</w:t>
            </w:r>
            <w:r>
              <w:rPr>
                <w:rFonts w:hint="eastAsia" w:ascii="宋体" w:hAnsi="宋体" w:eastAsia="宋体" w:cs="宋体"/>
                <w:b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color w:val="000000" w:themeColor="text1"/>
                <w:sz w:val="24"/>
                <w:szCs w:val="24"/>
                <w:highlight w:val="none"/>
                <w14:textFill>
                  <w14:solidFill>
                    <w14:schemeClr w14:val="tx1"/>
                  </w14:solidFill>
                </w14:textFill>
              </w:rPr>
              <w:t>未及时关注相关信息引发的相关责任。</w:t>
            </w:r>
          </w:p>
        </w:tc>
      </w:tr>
      <w:tr w14:paraId="72B3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088C392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5</w:t>
            </w:r>
          </w:p>
        </w:tc>
        <w:tc>
          <w:tcPr>
            <w:tcW w:w="818" w:type="pct"/>
            <w:vAlign w:val="center"/>
          </w:tcPr>
          <w:p w14:paraId="62E04D7C">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告知磋商结果的形式</w:t>
            </w:r>
          </w:p>
        </w:tc>
        <w:tc>
          <w:tcPr>
            <w:tcW w:w="3621" w:type="pct"/>
            <w:vAlign w:val="center"/>
          </w:tcPr>
          <w:p w14:paraId="4316AF87">
            <w:pPr>
              <w:pStyle w:val="76"/>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w:char="F0FE"/>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自行登录电子</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交易</w:t>
            </w:r>
            <w:r>
              <w:rPr>
                <w:rFonts w:hint="eastAsia" w:ascii="宋体" w:hAnsi="宋体" w:eastAsia="宋体" w:cs="宋体"/>
                <w:b w:val="0"/>
                <w:bCs w:val="0"/>
                <w:color w:val="000000" w:themeColor="text1"/>
                <w:sz w:val="24"/>
                <w:szCs w:val="24"/>
                <w:highlight w:val="none"/>
                <w14:textFill>
                  <w14:solidFill>
                    <w14:schemeClr w14:val="tx1"/>
                  </w14:solidFill>
                </w14:textFill>
              </w:rPr>
              <w:t>系统查看</w:t>
            </w:r>
          </w:p>
          <w:p w14:paraId="64BC71F1">
            <w:pPr>
              <w:pStyle w:val="76"/>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□磋商现场告知</w:t>
            </w:r>
          </w:p>
        </w:tc>
      </w:tr>
      <w:tr w14:paraId="21AD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0BF2E97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6</w:t>
            </w:r>
          </w:p>
        </w:tc>
        <w:tc>
          <w:tcPr>
            <w:tcW w:w="818" w:type="pct"/>
            <w:vAlign w:val="center"/>
          </w:tcPr>
          <w:p w14:paraId="6E7DE0D0">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履约保证金</w:t>
            </w:r>
          </w:p>
        </w:tc>
        <w:tc>
          <w:tcPr>
            <w:tcW w:w="3621" w:type="pct"/>
          </w:tcPr>
          <w:p w14:paraId="20B7D231">
            <w:pPr>
              <w:snapToGrid w:val="0"/>
              <w:spacing w:line="360" w:lineRule="auto"/>
              <w:rPr>
                <w:rFonts w:hint="default" w:ascii="宋体" w:hAnsi="宋体" w:eastAsia="宋体" w:cs="宋体"/>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（1）金额：</w:t>
            </w:r>
            <w:r>
              <w:rPr>
                <w:rFonts w:hint="eastAsia" w:cs="宋体"/>
                <w:bCs/>
                <w:snapToGrid w:val="0"/>
                <w:color w:val="000000" w:themeColor="text1"/>
                <w:sz w:val="24"/>
                <w:szCs w:val="24"/>
                <w:highlight w:val="none"/>
                <w:u w:val="single"/>
                <w:lang w:val="en-US" w:eastAsia="zh-CN"/>
                <w14:textFill>
                  <w14:solidFill>
                    <w14:schemeClr w14:val="tx1"/>
                  </w14:solidFill>
                </w14:textFill>
              </w:rPr>
              <w:t>15000元人民币</w:t>
            </w:r>
          </w:p>
          <w:p w14:paraId="4E9CACCA">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w:t>
            </w:r>
            <w:r>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t>缴纳</w:t>
            </w:r>
            <w:r>
              <w:rPr>
                <w:rFonts w:hint="eastAsia" w:ascii="宋体" w:hAnsi="宋体" w:eastAsia="宋体" w:cs="宋体"/>
                <w:bCs/>
                <w:snapToGrid w:val="0"/>
                <w:color w:val="000000" w:themeColor="text1"/>
                <w:sz w:val="24"/>
                <w:szCs w:val="24"/>
                <w:highlight w:val="none"/>
                <w14:textFill>
                  <w14:solidFill>
                    <w14:schemeClr w14:val="tx1"/>
                  </w14:solidFill>
                </w14:textFill>
              </w:rPr>
              <w:t>形式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银行电汇</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银行保函</w:t>
            </w:r>
          </w:p>
          <w:p w14:paraId="78C7D471">
            <w:pPr>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cs="宋体"/>
                <w:color w:val="000000" w:themeColor="text1"/>
                <w:sz w:val="24"/>
                <w:szCs w:val="24"/>
                <w:highlight w:val="none"/>
                <w:lang w:val="en-US" w:eastAsia="zh-CN"/>
                <w14:textFill>
                  <w14:solidFill>
                    <w14:schemeClr w14:val="tx1"/>
                  </w14:solidFill>
                </w14:textFill>
              </w:rPr>
              <w:t>保证保险</w:t>
            </w:r>
          </w:p>
          <w:p w14:paraId="39D32FFB">
            <w:pPr>
              <w:snapToGrid w:val="0"/>
              <w:spacing w:line="360" w:lineRule="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（3）具体要求：采用银行保函的，应为不可撤销、不可转让的见索即付独立保函。</w:t>
            </w:r>
          </w:p>
          <w:p w14:paraId="619EABB1">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）其他要求：</w:t>
            </w:r>
            <w:r>
              <w:rPr>
                <w:rFonts w:hint="eastAsia" w:cs="宋体"/>
                <w:b w:val="0"/>
                <w:bCs w:val="0"/>
                <w:color w:val="000000" w:themeColor="text1"/>
                <w:sz w:val="24"/>
                <w:szCs w:val="24"/>
                <w:highlight w:val="none"/>
                <w:u w:val="single"/>
                <w:lang w:val="en-US" w:eastAsia="zh-CN"/>
                <w14:textFill>
                  <w14:solidFill>
                    <w14:schemeClr w14:val="tx1"/>
                  </w14:solidFill>
                </w14:textFill>
              </w:rPr>
              <w:t>/</w:t>
            </w:r>
          </w:p>
        </w:tc>
      </w:tr>
      <w:tr w14:paraId="0471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5C87BDB9">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7</w:t>
            </w:r>
          </w:p>
        </w:tc>
        <w:tc>
          <w:tcPr>
            <w:tcW w:w="818" w:type="pct"/>
            <w:vAlign w:val="center"/>
          </w:tcPr>
          <w:p w14:paraId="10AF85D0">
            <w:pPr>
              <w:snapToGrid w:val="0"/>
              <w:spacing w:line="360" w:lineRule="auto"/>
              <w:jc w:val="center"/>
              <w:rPr>
                <w:rFonts w:hint="eastAsia" w:ascii="宋体" w:hAnsi="Times New Roman" w:eastAsia="宋体" w:cs="楷体"/>
                <w:bCs/>
                <w:snapToGrid w:val="0"/>
                <w:color w:val="000000" w:themeColor="text1"/>
                <w:sz w:val="24"/>
                <w:szCs w:val="24"/>
                <w:highlight w:val="none"/>
                <w:lang w:val="en-US" w:eastAsia="zh-CN" w:bidi="ar-SA"/>
                <w14:textFill>
                  <w14:solidFill>
                    <w14:schemeClr w14:val="tx1"/>
                  </w14:solidFill>
                </w14:textFill>
              </w:rPr>
            </w:pPr>
            <w:r>
              <w:rPr>
                <w:rFonts w:hint="eastAsia" w:ascii="Times New Roman" w:cs="宋体"/>
                <w:bCs/>
                <w:snapToGrid w:val="0"/>
                <w:color w:val="000000" w:themeColor="text1"/>
                <w:sz w:val="24"/>
                <w:szCs w:val="24"/>
                <w:highlight w:val="none"/>
                <w14:textFill>
                  <w14:solidFill>
                    <w14:schemeClr w14:val="tx1"/>
                  </w14:solidFill>
                </w14:textFill>
              </w:rPr>
              <w:t>招标代理服务费及</w:t>
            </w:r>
            <w:r>
              <w:rPr>
                <w:rFonts w:hint="eastAsia" w:ascii="Times New Roman" w:hAnsi="Times New Roman" w:eastAsia="宋体" w:cs="宋体"/>
                <w:bCs/>
                <w:color w:val="000000" w:themeColor="text1"/>
                <w:sz w:val="24"/>
                <w:szCs w:val="24"/>
                <w:highlight w:val="none"/>
                <w:lang w:val="en-US" w:eastAsia="zh-CN"/>
                <w14:textFill>
                  <w14:solidFill>
                    <w14:schemeClr w14:val="tx1"/>
                  </w14:solidFill>
                </w14:textFill>
              </w:rPr>
              <w:t>造价咨询工作服务费</w:t>
            </w:r>
          </w:p>
        </w:tc>
        <w:tc>
          <w:tcPr>
            <w:tcW w:w="3621" w:type="pct"/>
            <w:vAlign w:val="center"/>
          </w:tcPr>
          <w:p w14:paraId="07BEB4C8">
            <w:pPr>
              <w:widowControl/>
              <w:numPr>
                <w:ilvl w:val="0"/>
                <w:numId w:val="5"/>
              </w:numPr>
              <w:snapToGrid w:val="0"/>
              <w:spacing w:line="360" w:lineRule="auto"/>
              <w:ind w:leftChars="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招标代理服务费：中标人在领取中标通知书前须向招标代理机构缴纳招标代理服务费，可以银行转账、银行电汇 方式。 招标代理服务费：以每标段的中标价为计算基数，具体收取 金额为附件 1 对应表格相应招标类别收费标准的 80%，每 标段收取金额不足 4000 元的按照 4000 元最低标准收取。 </w:t>
            </w:r>
          </w:p>
          <w:p w14:paraId="6440D5A0">
            <w:pPr>
              <w:widowControl/>
              <w:numPr>
                <w:ilvl w:val="0"/>
                <w:numId w:val="5"/>
              </w:numPr>
              <w:snapToGrid w:val="0"/>
              <w:spacing w:line="360" w:lineRule="auto"/>
              <w:ind w:left="0" w:leftChars="0" w:firstLine="0" w:firstLineChars="0"/>
              <w:jc w:val="left"/>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以上相关费用，投标人在报价单中不单列，包含在投 标总价中，招标人不再单独计量支付。 </w:t>
            </w:r>
          </w:p>
          <w:p w14:paraId="0042C4CA">
            <w:pPr>
              <w:widowControl/>
              <w:numPr>
                <w:ilvl w:val="0"/>
                <w:numId w:val="0"/>
              </w:numPr>
              <w:snapToGrid w:val="0"/>
              <w:spacing w:line="360" w:lineRule="auto"/>
              <w:ind w:leftChars="0"/>
              <w:jc w:val="left"/>
              <w:rPr>
                <w:rFonts w:hint="eastAsia"/>
                <w:color w:val="000000" w:themeColor="text1"/>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（3）以上费用代理机构有权从磋商保证金中优先扣除。</w:t>
            </w:r>
          </w:p>
        </w:tc>
      </w:tr>
      <w:tr w14:paraId="4CB9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66D2F078">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18</w:t>
            </w:r>
          </w:p>
        </w:tc>
        <w:tc>
          <w:tcPr>
            <w:tcW w:w="818" w:type="pct"/>
            <w:vAlign w:val="center"/>
          </w:tcPr>
          <w:p w14:paraId="633CB52C">
            <w:pPr>
              <w:pStyle w:val="76"/>
              <w:widowControl w:val="0"/>
              <w:spacing w:before="0" w:beforeAutospacing="0" w:after="0" w:afterAutospacing="0" w:line="360" w:lineRule="auto"/>
              <w:jc w:val="both"/>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补充约定</w:t>
            </w:r>
          </w:p>
        </w:tc>
        <w:tc>
          <w:tcPr>
            <w:tcW w:w="3621" w:type="pct"/>
            <w:vAlign w:val="center"/>
          </w:tcPr>
          <w:p w14:paraId="3B28A36F">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通过初审的</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14:textFill>
                  <w14:solidFill>
                    <w14:schemeClr w14:val="tx1"/>
                  </w14:solidFill>
                </w14:textFill>
              </w:rPr>
              <w:t>2家</w:t>
            </w:r>
            <w:r>
              <w:rPr>
                <w:rFonts w:hint="eastAsia" w:ascii="宋体" w:hAnsi="宋体" w:eastAsia="宋体" w:cs="宋体"/>
                <w:color w:val="000000" w:themeColor="text1"/>
                <w:sz w:val="24"/>
                <w:szCs w:val="24"/>
                <w:highlight w:val="none"/>
                <w:lang w:val="en-US" w:eastAsia="zh-CN"/>
                <w14:textFill>
                  <w14:solidFill>
                    <w14:schemeClr w14:val="tx1"/>
                  </w14:solidFill>
                </w14:textFill>
              </w:rPr>
              <w:t>及以上的</w:t>
            </w:r>
            <w:r>
              <w:rPr>
                <w:rFonts w:hint="eastAsia" w:ascii="宋体" w:hAnsi="宋体" w:eastAsia="宋体" w:cs="宋体"/>
                <w:color w:val="000000" w:themeColor="text1"/>
                <w:sz w:val="24"/>
                <w:szCs w:val="24"/>
                <w:highlight w:val="none"/>
                <w:lang w:eastAsia="zh-CN"/>
                <w14:textFill>
                  <w14:solidFill>
                    <w14:schemeClr w14:val="tx1"/>
                  </w14:solidFill>
                </w14:textFill>
              </w:rPr>
              <w:t>，按</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lang w:eastAsia="zh-CN"/>
                <w14:textFill>
                  <w14:solidFill>
                    <w14:schemeClr w14:val="tx1"/>
                  </w14:solidFill>
                </w14:textFill>
              </w:rPr>
              <w:t>文件约定进行评审并确定结果</w:t>
            </w:r>
            <w:r>
              <w:rPr>
                <w:rFonts w:hint="eastAsia" w:ascii="宋体" w:hAnsi="宋体" w:eastAsia="宋体" w:cs="宋体"/>
                <w:color w:val="000000" w:themeColor="text1"/>
                <w:sz w:val="24"/>
                <w:szCs w:val="24"/>
                <w:highlight w:val="none"/>
                <w14:textFill>
                  <w14:solidFill>
                    <w14:schemeClr w14:val="tx1"/>
                  </w14:solidFill>
                </w14:textFill>
              </w:rPr>
              <w:t>；</w:t>
            </w:r>
          </w:p>
          <w:p w14:paraId="64814FC5">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通过初审的</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14:textFill>
                  <w14:solidFill>
                    <w14:schemeClr w14:val="tx1"/>
                  </w14:solidFill>
                </w14:textFill>
              </w:rPr>
              <w:t>1家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且</w:t>
            </w:r>
            <w:r>
              <w:rPr>
                <w:rFonts w:hint="eastAsia" w:cs="宋体"/>
                <w:color w:val="000000" w:themeColor="text1"/>
                <w:sz w:val="24"/>
                <w:szCs w:val="24"/>
                <w:highlight w:val="none"/>
                <w:lang w:val="en-US" w:eastAsia="zh-CN"/>
                <w14:textFill>
                  <w14:solidFill>
                    <w14:schemeClr w14:val="tx1"/>
                  </w14:solidFill>
                </w14:textFill>
              </w:rPr>
              <w:t>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认为具有竞争性的，继续评审（不进行第四章“</w:t>
            </w:r>
            <w:r>
              <w:rPr>
                <w:rFonts w:hint="eastAsia" w:ascii="宋体" w:hAnsi="宋体" w:eastAsia="宋体" w:cs="宋体"/>
                <w:color w:val="000000" w:themeColor="text1"/>
                <w:sz w:val="24"/>
                <w:szCs w:val="24"/>
                <w:highlight w:val="none"/>
                <w14:textFill>
                  <w14:solidFill>
                    <w14:schemeClr w14:val="tx1"/>
                  </w14:solidFill>
                </w14:textFill>
              </w:rPr>
              <w:t>2.2综合评分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评审程序）并确定结果。</w:t>
            </w:r>
          </w:p>
        </w:tc>
      </w:tr>
      <w:tr w14:paraId="00DB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0DE9CA55">
            <w:pPr>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cs="宋体"/>
                <w:color w:val="000000" w:themeColor="text1"/>
                <w:kern w:val="2"/>
                <w:sz w:val="24"/>
                <w:szCs w:val="24"/>
                <w:highlight w:val="none"/>
                <w:lang w:val="en-US" w:eastAsia="zh-CN" w:bidi="ar-SA"/>
                <w14:textFill>
                  <w14:solidFill>
                    <w14:schemeClr w14:val="tx1"/>
                  </w14:solidFill>
                </w14:textFill>
              </w:rPr>
              <w:t>19</w:t>
            </w:r>
          </w:p>
        </w:tc>
        <w:tc>
          <w:tcPr>
            <w:tcW w:w="818" w:type="pct"/>
            <w:vAlign w:val="center"/>
          </w:tcPr>
          <w:p w14:paraId="4FEC48FA">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报价须知</w:t>
            </w:r>
          </w:p>
        </w:tc>
        <w:tc>
          <w:tcPr>
            <w:tcW w:w="3621" w:type="pct"/>
            <w:vAlign w:val="center"/>
          </w:tcPr>
          <w:p w14:paraId="71C2EBDE">
            <w:pPr>
              <w:numPr>
                <w:ilvl w:val="0"/>
                <w:numId w:val="0"/>
              </w:numPr>
              <w:spacing w:line="360" w:lineRule="auto"/>
              <w:rPr>
                <w:rFonts w:hint="eastAsia" w:ascii="宋体" w:hAnsi="宋体" w:eastAsia="宋体" w:cs="宋体"/>
                <w:bCs/>
                <w:color w:val="000000" w:themeColor="text1"/>
                <w:kern w:val="2"/>
                <w:sz w:val="24"/>
                <w:szCs w:val="24"/>
                <w:highlight w:val="none"/>
                <w:lang w:eastAsia="zh-CN"/>
                <w14:textFill>
                  <w14:solidFill>
                    <w14:schemeClr w14:val="tx1"/>
                  </w14:solidFill>
                </w14:textFill>
              </w:rPr>
            </w:pPr>
            <w:r>
              <w:rPr>
                <w:rFonts w:hint="eastAsia"/>
                <w:bCs/>
                <w:snapToGrid w:val="0"/>
                <w:color w:val="000000" w:themeColor="text1"/>
                <w:kern w:val="0"/>
                <w:sz w:val="24"/>
                <w:szCs w:val="24"/>
                <w:highlight w:val="none"/>
                <w:lang w:eastAsia="zh-CN"/>
                <w14:textFill>
                  <w14:solidFill>
                    <w14:schemeClr w14:val="tx1"/>
                  </w14:solidFill>
                </w14:textFill>
              </w:rPr>
              <w:t>（</w:t>
            </w:r>
            <w:r>
              <w:rPr>
                <w:rFonts w:hint="eastAsia"/>
                <w:bCs/>
                <w:snapToGrid w:val="0"/>
                <w:color w:val="000000" w:themeColor="text1"/>
                <w:kern w:val="0"/>
                <w:sz w:val="24"/>
                <w:szCs w:val="24"/>
                <w:highlight w:val="none"/>
                <w:lang w:val="en-US" w:eastAsia="zh-CN"/>
                <w14:textFill>
                  <w14:solidFill>
                    <w14:schemeClr w14:val="tx1"/>
                  </w14:solidFill>
                </w14:textFill>
              </w:rPr>
              <w:t>1</w:t>
            </w:r>
            <w:r>
              <w:rPr>
                <w:rFonts w:hint="eastAsia"/>
                <w:bCs/>
                <w:snapToGrid w:val="0"/>
                <w:color w:val="000000" w:themeColor="text1"/>
                <w:kern w:val="0"/>
                <w:sz w:val="24"/>
                <w:szCs w:val="24"/>
                <w:highlight w:val="none"/>
                <w:lang w:eastAsia="zh-CN"/>
                <w14:textFill>
                  <w14:solidFill>
                    <w14:schemeClr w14:val="tx1"/>
                  </w14:solidFill>
                </w14:textFill>
              </w:rPr>
              <w:t>）</w:t>
            </w:r>
            <w:r>
              <w:rPr>
                <w:rFonts w:hint="eastAsia"/>
                <w:bCs/>
                <w:snapToGrid w:val="0"/>
                <w:color w:val="000000" w:themeColor="text1"/>
                <w:kern w:val="0"/>
                <w:sz w:val="24"/>
                <w:szCs w:val="24"/>
                <w:highlight w:val="none"/>
                <w14:textFill>
                  <w14:solidFill>
                    <w14:schemeClr w14:val="tx1"/>
                  </w14:solidFill>
                </w14:textFill>
              </w:rPr>
              <w:t>投标人的报价应包含所投货物的供货、包装运输及保险、安装、调试、考核验收、培训、交付后约定期限内免费维修保养服务、税费等所有工作和应有费用。</w:t>
            </w:r>
          </w:p>
          <w:p w14:paraId="057B0EC9">
            <w:pPr>
              <w:numPr>
                <w:ilvl w:val="0"/>
                <w:numId w:val="0"/>
              </w:numPr>
              <w:spacing w:line="360" w:lineRule="auto"/>
              <w:rPr>
                <w:rFonts w:hint="eastAsia" w:ascii="宋体" w:hAnsi="宋体" w:eastAsia="宋体" w:cs="宋体"/>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w:t>
            </w:r>
            <w:r>
              <w:rPr>
                <w:rFonts w:hint="eastAsia" w:cs="宋体"/>
                <w:bCs/>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）投标人最终投标报价不得高于磋商文件（公告）列明的项目预算、最高投标限价，否则其投标文件将被否决。</w:t>
            </w:r>
          </w:p>
          <w:p w14:paraId="24AAFC4C">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在项目磋商过程中，</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投标人最终投标报价</w:t>
            </w:r>
            <w:r>
              <w:rPr>
                <w:rFonts w:hint="eastAsia" w:ascii="宋体" w:hAnsi="宋体" w:eastAsia="宋体" w:cs="宋体"/>
                <w:color w:val="000000" w:themeColor="text1"/>
                <w:kern w:val="2"/>
                <w:sz w:val="24"/>
                <w:szCs w:val="24"/>
                <w:highlight w:val="none"/>
                <w14:textFill>
                  <w14:solidFill>
                    <w14:schemeClr w14:val="tx1"/>
                  </w14:solidFill>
                </w14:textFill>
              </w:rPr>
              <w:t>与公布的最高投标限价或项目</w:t>
            </w:r>
            <w:r>
              <w:rPr>
                <w:rFonts w:hint="eastAsia" w:ascii="宋体" w:hAnsi="宋体" w:eastAsia="宋体" w:cs="宋体"/>
                <w:color w:val="000000" w:themeColor="text1"/>
                <w:sz w:val="24"/>
                <w:szCs w:val="24"/>
                <w:highlight w:val="none"/>
                <w14:textFill>
                  <w14:solidFill>
                    <w14:schemeClr w14:val="tx1"/>
                  </w14:solidFill>
                </w14:textFill>
              </w:rPr>
              <w:t>预算</w:t>
            </w:r>
            <w:r>
              <w:rPr>
                <w:rFonts w:hint="eastAsia" w:ascii="宋体" w:hAnsi="宋体" w:eastAsia="宋体" w:cs="宋体"/>
                <w:color w:val="000000" w:themeColor="text1"/>
                <w:kern w:val="2"/>
                <w:sz w:val="24"/>
                <w:szCs w:val="24"/>
                <w:highlight w:val="none"/>
                <w14:textFill>
                  <w14:solidFill>
                    <w14:schemeClr w14:val="tx1"/>
                  </w14:solidFill>
                </w14:textFill>
              </w:rPr>
              <w:t>相比降幅过小，或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投标人最终投标报价</w:t>
            </w:r>
            <w:r>
              <w:rPr>
                <w:rFonts w:hint="eastAsia" w:ascii="宋体" w:hAnsi="宋体" w:eastAsia="宋体" w:cs="宋体"/>
                <w:color w:val="000000" w:themeColor="text1"/>
                <w:kern w:val="2"/>
                <w:sz w:val="24"/>
                <w:szCs w:val="24"/>
                <w:highlight w:val="none"/>
                <w14:textFill>
                  <w14:solidFill>
                    <w14:schemeClr w14:val="tx1"/>
                  </w14:solidFill>
                </w14:textFill>
              </w:rPr>
              <w:t>明显缺乏竞争性的，</w:t>
            </w:r>
            <w:r>
              <w:rPr>
                <w:rFonts w:hint="eastAsia" w:cs="宋体"/>
                <w:color w:val="000000" w:themeColor="text1"/>
                <w:kern w:val="2"/>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2"/>
                <w:sz w:val="24"/>
                <w:szCs w:val="24"/>
                <w:highlight w:val="none"/>
                <w14:textFill>
                  <w14:solidFill>
                    <w14:schemeClr w14:val="tx1"/>
                  </w14:solidFill>
                </w14:textFill>
              </w:rPr>
              <w:t>可以否决其</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42B2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63BCC83A">
            <w:pPr>
              <w:spacing w:line="360"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2</w:t>
            </w:r>
            <w:r>
              <w:rPr>
                <w:rFonts w:hint="eastAsia" w:cs="宋体"/>
                <w:color w:val="000000" w:themeColor="text1"/>
                <w:kern w:val="2"/>
                <w:sz w:val="24"/>
                <w:szCs w:val="24"/>
                <w:highlight w:val="none"/>
                <w:lang w:val="en-US" w:eastAsia="zh-CN"/>
                <w14:textFill>
                  <w14:solidFill>
                    <w14:schemeClr w14:val="tx1"/>
                  </w14:solidFill>
                </w14:textFill>
              </w:rPr>
              <w:t>0</w:t>
            </w:r>
          </w:p>
        </w:tc>
        <w:tc>
          <w:tcPr>
            <w:tcW w:w="818" w:type="pct"/>
            <w:vAlign w:val="center"/>
          </w:tcPr>
          <w:p w14:paraId="6744534F">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重要说明</w:t>
            </w:r>
          </w:p>
        </w:tc>
        <w:tc>
          <w:tcPr>
            <w:tcW w:w="3621" w:type="pct"/>
            <w:vAlign w:val="center"/>
          </w:tcPr>
          <w:p w14:paraId="059B70DB">
            <w:pPr>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4"/>
                <w:szCs w:val="24"/>
                <w:highlight w:val="none"/>
                <w14:textFill>
                  <w14:solidFill>
                    <w14:schemeClr w14:val="tx1"/>
                  </w14:solidFill>
                </w14:textFill>
              </w:rPr>
              <w:t>应在规定期限内提交履约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color w:val="000000" w:themeColor="text1"/>
                <w:sz w:val="24"/>
                <w:szCs w:val="24"/>
                <w:highlight w:val="none"/>
                <w14:textFill>
                  <w14:solidFill>
                    <w14:schemeClr w14:val="tx1"/>
                  </w14:solidFill>
                </w14:textFill>
              </w:rPr>
              <w:t>并与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签订合同，若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4"/>
                <w:szCs w:val="24"/>
                <w:highlight w:val="none"/>
                <w14:textFill>
                  <w14:solidFill>
                    <w14:schemeClr w14:val="tx1"/>
                  </w14:solidFill>
                </w14:textFill>
              </w:rPr>
              <w:t>未能在规定期限内提交履约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color w:val="000000" w:themeColor="text1"/>
                <w:sz w:val="24"/>
                <w:szCs w:val="24"/>
                <w:highlight w:val="none"/>
                <w14:textFill>
                  <w14:solidFill>
                    <w14:schemeClr w14:val="tx1"/>
                  </w14:solidFill>
                </w14:textFill>
              </w:rPr>
              <w:t>或签订合同，</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有权取消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中标人中标资格</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3A54509C">
            <w:pPr>
              <w:spacing w:line="36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）合同签订后，中标人存在规定时间内不组织人员进场开工，不履行合同义务等情况，招标人有权解除合同，并追究违约责任；</w:t>
            </w:r>
          </w:p>
          <w:p w14:paraId="1FE0A15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）中标人在中标项目发生投诉、信访举报案件、履约存在争议时，拒绝协助配合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有关</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部门调查案件的，招标人可以取消其中标资格或解除合同，并追究其违约责任。</w:t>
            </w:r>
          </w:p>
          <w:p w14:paraId="16764F63">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参与磋商，应当诚信守法、公平竞争。如有以提供虚假材料（包括但不限于虚假技术参数响应、虚假业绩、虚假证书、虚假检测报告等）、串通磋商、隐瞒失信信息等谋取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w:t>
            </w:r>
            <w:r>
              <w:rPr>
                <w:rFonts w:hint="eastAsia" w:ascii="宋体" w:hAnsi="宋体" w:eastAsia="宋体" w:cs="宋体"/>
                <w:b w:val="0"/>
                <w:bCs w:val="0"/>
                <w:color w:val="000000" w:themeColor="text1"/>
                <w:sz w:val="24"/>
                <w:szCs w:val="24"/>
                <w:highlight w:val="none"/>
                <w14:textFill>
                  <w14:solidFill>
                    <w14:schemeClr w14:val="tx1"/>
                  </w14:solidFill>
                </w14:textFill>
              </w:rPr>
              <w:t>的行为，一经发现，招标人可以取消其中标资格或解除合同，并追究其违约责任。</w:t>
            </w:r>
          </w:p>
        </w:tc>
      </w:tr>
      <w:tr w14:paraId="3184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60" w:type="pct"/>
            <w:vAlign w:val="center"/>
          </w:tcPr>
          <w:p w14:paraId="32EDFF8D">
            <w:pPr>
              <w:snapToGrid w:val="0"/>
              <w:spacing w:line="360" w:lineRule="auto"/>
              <w:jc w:val="cente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t>2</w:t>
            </w:r>
            <w:r>
              <w:rPr>
                <w:rFonts w:hint="eastAsia" w:cs="宋体"/>
                <w:bCs/>
                <w:color w:val="000000" w:themeColor="text1"/>
                <w:sz w:val="24"/>
                <w:szCs w:val="24"/>
                <w:highlight w:val="none"/>
                <w:lang w:val="en-US" w:eastAsia="zh-CN" w:bidi="ar-SA"/>
                <w14:textFill>
                  <w14:solidFill>
                    <w14:schemeClr w14:val="tx1"/>
                  </w14:solidFill>
                </w14:textFill>
              </w:rPr>
              <w:t>1</w:t>
            </w:r>
          </w:p>
        </w:tc>
        <w:tc>
          <w:tcPr>
            <w:tcW w:w="818" w:type="pct"/>
            <w:vAlign w:val="center"/>
          </w:tcPr>
          <w:p w14:paraId="05F76A0F">
            <w:pPr>
              <w:snapToGrid w:val="0"/>
              <w:spacing w:line="360" w:lineRule="auto"/>
              <w:jc w:val="center"/>
              <w:rPr>
                <w:rFonts w:hint="eastAsia" w:ascii="宋体" w:hAnsi="宋体" w:eastAsia="宋体" w:cs="宋体"/>
                <w:bCs/>
                <w:snapToGrid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电子招标</w:t>
            </w:r>
          </w:p>
        </w:tc>
        <w:tc>
          <w:tcPr>
            <w:tcW w:w="3621" w:type="pct"/>
            <w:vAlign w:val="center"/>
          </w:tcPr>
          <w:p w14:paraId="12CBCA0A">
            <w:pPr>
              <w:widowControl/>
              <w:snapToGrid w:val="0"/>
              <w:spacing w:line="360" w:lineRule="auto"/>
              <w:jc w:val="left"/>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w:t>
            </w:r>
            <w:r>
              <w:rPr>
                <w:rFonts w:hint="eastAsia" w:ascii="宋体" w:hAnsi="宋体" w:eastAsia="宋体" w:cs="宋体"/>
                <w:bCs/>
                <w:color w:val="000000" w:themeColor="text1"/>
                <w:sz w:val="24"/>
                <w:szCs w:val="24"/>
                <w:highlight w:val="none"/>
                <w:lang w:eastAsia="zh-CN"/>
                <w14:textFill>
                  <w14:solidFill>
                    <w14:schemeClr w14:val="tx1"/>
                  </w14:solidFill>
                </w14:textFill>
              </w:rPr>
              <w:t>磋商项目</w:t>
            </w:r>
            <w:r>
              <w:rPr>
                <w:rFonts w:hint="eastAsia" w:ascii="宋体" w:hAnsi="宋体" w:eastAsia="宋体" w:cs="宋体"/>
                <w:bCs/>
                <w:color w:val="000000" w:themeColor="text1"/>
                <w:sz w:val="24"/>
                <w:szCs w:val="24"/>
                <w:highlight w:val="none"/>
                <w14:textFill>
                  <w14:solidFill>
                    <w14:schemeClr w14:val="tx1"/>
                  </w14:solidFill>
                </w14:textFill>
              </w:rPr>
              <w:t>实行全流程电子化交易，除</w:t>
            </w:r>
            <w:r>
              <w:rPr>
                <w:rFonts w:hint="eastAsia" w:cs="宋体"/>
                <w:bCs/>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Cs/>
                <w:color w:val="000000" w:themeColor="text1"/>
                <w:sz w:val="24"/>
                <w:szCs w:val="24"/>
                <w:highlight w:val="none"/>
                <w14:textFill>
                  <w14:solidFill>
                    <w14:schemeClr w14:val="tx1"/>
                  </w14:solidFill>
                </w14:textFill>
              </w:rPr>
              <w:t>另有规定外，电子招标投标操作要求见本章附件</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安徽公共资源交易集团电子交易操作规程</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tc>
      </w:tr>
      <w:tr w14:paraId="4658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66A4AD6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2</w:t>
            </w:r>
            <w:r>
              <w:rPr>
                <w:rFonts w:hint="eastAsia" w:cs="宋体"/>
                <w:bCs/>
                <w:color w:val="000000" w:themeColor="text1"/>
                <w:kern w:val="2"/>
                <w:sz w:val="24"/>
                <w:szCs w:val="24"/>
                <w:highlight w:val="none"/>
                <w:lang w:val="en-US" w:eastAsia="zh-CN"/>
                <w14:textFill>
                  <w14:solidFill>
                    <w14:schemeClr w14:val="tx1"/>
                  </w14:solidFill>
                </w14:textFill>
              </w:rPr>
              <w:t>2</w:t>
            </w:r>
          </w:p>
        </w:tc>
        <w:tc>
          <w:tcPr>
            <w:tcW w:w="818" w:type="pct"/>
            <w:vAlign w:val="center"/>
          </w:tcPr>
          <w:p w14:paraId="347A5D03">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解释权</w:t>
            </w:r>
          </w:p>
        </w:tc>
        <w:tc>
          <w:tcPr>
            <w:tcW w:w="3621" w:type="pct"/>
            <w:vAlign w:val="center"/>
          </w:tcPr>
          <w:p w14:paraId="632540F3">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（1）构成本磋商文件的各个组成文件应互为解释，互为说明；</w:t>
            </w:r>
          </w:p>
          <w:p w14:paraId="1146BED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610B1B30">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128B66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（4）除磋商文件中有特别规定外，仅适用于磋商及</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提交阶段的规定，按</w:t>
            </w:r>
            <w:r>
              <w:rPr>
                <w:rFonts w:hint="eastAsia" w:ascii="宋体" w:hAnsi="宋体" w:eastAsia="宋体" w:cs="宋体"/>
                <w:bCs/>
                <w:color w:val="000000" w:themeColor="text1"/>
                <w:sz w:val="24"/>
                <w:szCs w:val="24"/>
                <w:highlight w:val="none"/>
                <w:lang w:eastAsia="zh-CN"/>
                <w14:textFill>
                  <w14:solidFill>
                    <w14:schemeClr w14:val="tx1"/>
                  </w14:solidFill>
                </w14:textFill>
              </w:rPr>
              <w:t>磋商公告</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Cs/>
                <w:color w:val="000000" w:themeColor="text1"/>
                <w:sz w:val="24"/>
                <w:szCs w:val="24"/>
                <w:highlight w:val="none"/>
                <w14:textFill>
                  <w14:solidFill>
                    <w14:schemeClr w14:val="tx1"/>
                  </w14:solidFill>
                </w14:textFill>
              </w:rPr>
              <w:t>须知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前附表</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投标人须知正文、</w:t>
            </w:r>
            <w:r>
              <w:rPr>
                <w:rFonts w:hint="eastAsia" w:ascii="宋体" w:hAnsi="宋体" w:eastAsia="宋体" w:cs="宋体"/>
                <w:bCs/>
                <w:color w:val="000000" w:themeColor="text1"/>
                <w:sz w:val="24"/>
                <w:szCs w:val="24"/>
                <w:highlight w:val="none"/>
                <w14:textFill>
                  <w14:solidFill>
                    <w14:schemeClr w14:val="tx1"/>
                  </w14:solidFill>
                </w14:textFill>
              </w:rPr>
              <w:t>评审方法和标准、</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格式的先后顺序解释；</w:t>
            </w:r>
          </w:p>
          <w:p w14:paraId="0556C4BF">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有澄清的部分以最终的澄清更正内容为准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89A824D">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）按本款前述规定仍不能形成结论的，由</w:t>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负责解释。</w:t>
            </w:r>
          </w:p>
        </w:tc>
      </w:tr>
      <w:tr w14:paraId="609C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0" w:type="pct"/>
            <w:vAlign w:val="center"/>
          </w:tcPr>
          <w:p w14:paraId="3AEF1DF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2</w:t>
            </w:r>
            <w:r>
              <w:rPr>
                <w:rFonts w:hint="eastAsia"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7E755D90">
            <w:pPr>
              <w:pStyle w:val="76"/>
              <w:widowControl w:val="0"/>
              <w:spacing w:before="0" w:beforeAutospacing="0" w:after="0" w:afterAutospacing="0" w:line="360" w:lineRule="auto"/>
              <w:jc w:val="center"/>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其他补充</w:t>
            </w:r>
          </w:p>
          <w:p w14:paraId="1D6593EC">
            <w:pPr>
              <w:pStyle w:val="76"/>
              <w:widowControl w:val="0"/>
              <w:spacing w:before="0" w:beforeAutospacing="0" w:after="0" w:afterAutospacing="0" w:line="360" w:lineRule="auto"/>
              <w:jc w:val="center"/>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说明</w:t>
            </w:r>
          </w:p>
        </w:tc>
        <w:tc>
          <w:tcPr>
            <w:tcW w:w="3621" w:type="pct"/>
            <w:vAlign w:val="center"/>
          </w:tcPr>
          <w:p w14:paraId="6F892954">
            <w:pPr>
              <w:pStyle w:val="76"/>
              <w:widowControl w:val="0"/>
              <w:numPr>
                <w:ilvl w:val="0"/>
                <w:numId w:val="6"/>
              </w:numPr>
              <w:spacing w:before="0" w:beforeAutospacing="0" w:after="0" w:afterAutospacing="0" w:line="360" w:lineRule="auto"/>
              <w:jc w:val="both"/>
              <w:rPr>
                <w:rFonts w:hint="eastAsia" w:cs="宋体"/>
                <w:b w:val="0"/>
                <w:color w:val="000000" w:themeColor="text1"/>
                <w:sz w:val="24"/>
                <w:szCs w:val="24"/>
                <w:highlight w:val="none"/>
                <w:lang w:eastAsia="zh-CN"/>
                <w14:textFill>
                  <w14:solidFill>
                    <w14:schemeClr w14:val="tx1"/>
                  </w14:solidFill>
                </w14:textFill>
              </w:rPr>
            </w:pPr>
            <w:r>
              <w:rPr>
                <w:rFonts w:hint="eastAsia" w:cs="宋体"/>
                <w:b w:val="0"/>
                <w:color w:val="000000" w:themeColor="text1"/>
                <w:sz w:val="24"/>
                <w:szCs w:val="24"/>
                <w:highlight w:val="none"/>
                <w:lang w:eastAsia="zh-CN"/>
                <w14:textFill>
                  <w14:solidFill>
                    <w14:schemeClr w14:val="tx1"/>
                  </w14:solidFill>
                </w14:textFill>
              </w:rPr>
              <w:t>为有助于投标人选择投标产品，如</w:t>
            </w:r>
            <w:r>
              <w:rPr>
                <w:rFonts w:hint="eastAsia" w:cs="宋体"/>
                <w:b w:val="0"/>
                <w:color w:val="000000" w:themeColor="text1"/>
                <w:sz w:val="24"/>
                <w:szCs w:val="24"/>
                <w:highlight w:val="none"/>
                <w:lang w:val="en-US" w:eastAsia="zh-CN"/>
                <w14:textFill>
                  <w14:solidFill>
                    <w14:schemeClr w14:val="tx1"/>
                  </w14:solidFill>
                </w14:textFill>
              </w:rPr>
              <w:t>招标人</w:t>
            </w:r>
            <w:r>
              <w:rPr>
                <w:rFonts w:hint="eastAsia" w:cs="宋体"/>
                <w:b w:val="0"/>
                <w:color w:val="000000" w:themeColor="text1"/>
                <w:sz w:val="24"/>
                <w:szCs w:val="24"/>
                <w:highlight w:val="none"/>
                <w:lang w:eastAsia="zh-CN"/>
                <w14:textFill>
                  <w14:solidFill>
                    <w14:schemeClr w14:val="tx1"/>
                  </w14:solidFill>
                </w14:textFill>
              </w:rPr>
              <w:t>要求中提供了推荐品牌（或型号）、参考品牌（或型号）等，上述品牌（或型号）仅供参考，并无限制性，投标人可以选择性能不低于推荐（或参考）的品牌（或型号）的其他品牌产品；采用其他品牌（或型号）的应在投标文件中《磋商响应表》中注明并提供有关技术性能指标证明资料等供评审小组评审，未在《磋商响应表》中注明且未提供有关技术性能指标证明资料，或经评审小组评审未通过的，中标后只能从招标人推荐（或参考）品牌中进行选择，合同价格不予调整。</w:t>
            </w:r>
          </w:p>
          <w:p w14:paraId="3FE9635A">
            <w:pPr>
              <w:pStyle w:val="76"/>
              <w:widowControl w:val="0"/>
              <w:numPr>
                <w:ilvl w:val="0"/>
                <w:numId w:val="6"/>
              </w:numPr>
              <w:spacing w:before="0" w:beforeAutospacing="0" w:after="0" w:afterAutospacing="0" w:line="360" w:lineRule="auto"/>
              <w:jc w:val="both"/>
              <w:rPr>
                <w:rFonts w:hint="eastAsia" w:cs="宋体"/>
                <w:b w:val="0"/>
                <w:color w:val="000000" w:themeColor="text1"/>
                <w:sz w:val="24"/>
                <w:szCs w:val="24"/>
                <w:highlight w:val="none"/>
                <w:lang w:eastAsia="zh-CN"/>
                <w14:textFill>
                  <w14:solidFill>
                    <w14:schemeClr w14:val="tx1"/>
                  </w14:solidFill>
                </w14:textFill>
              </w:rPr>
            </w:pPr>
            <w:r>
              <w:rPr>
                <w:rFonts w:hint="eastAsia" w:cs="宋体"/>
                <w:b w:val="0"/>
                <w:bCs/>
                <w:color w:val="000000" w:themeColor="text1"/>
                <w:sz w:val="24"/>
                <w:szCs w:val="24"/>
                <w:highlight w:val="none"/>
                <w:lang w:val="en-US" w:eastAsia="zh-CN"/>
                <w14:textFill>
                  <w14:solidFill>
                    <w14:schemeClr w14:val="tx1"/>
                  </w14:solidFill>
                </w14:textFill>
              </w:rPr>
              <w:t>投标人不得与</w:t>
            </w:r>
            <w:r>
              <w:rPr>
                <w:rFonts w:hint="eastAsia" w:cs="宋体"/>
                <w:b w:val="0"/>
                <w:bCs/>
                <w:color w:val="000000" w:themeColor="text1"/>
                <w:sz w:val="24"/>
                <w:szCs w:val="24"/>
                <w:highlight w:val="none"/>
                <w:lang w:val="zh-CN" w:eastAsia="zh-CN"/>
                <w14:textFill>
                  <w14:solidFill>
                    <w14:schemeClr w14:val="tx1"/>
                  </w14:solidFill>
                </w14:textFill>
              </w:rPr>
              <w:t>本标段的其他投标人存在</w:t>
            </w:r>
            <w:r>
              <w:rPr>
                <w:rFonts w:hint="eastAsia" w:cs="宋体"/>
                <w:b w:val="0"/>
                <w:bCs/>
                <w:color w:val="000000" w:themeColor="text1"/>
                <w:sz w:val="24"/>
                <w:szCs w:val="24"/>
                <w:highlight w:val="none"/>
                <w:lang w:val="en-US" w:eastAsia="zh-CN"/>
                <w14:textFill>
                  <w14:solidFill>
                    <w14:schemeClr w14:val="tx1"/>
                  </w14:solidFill>
                </w14:textFill>
              </w:rPr>
              <w:t>单位负责人为同一人或者存在直接控股、管理关系的情形</w:t>
            </w:r>
            <w:r>
              <w:rPr>
                <w:rFonts w:hint="eastAsia" w:cs="宋体"/>
                <w:b w:val="0"/>
                <w:bCs/>
                <w:color w:val="000000" w:themeColor="text1"/>
                <w:sz w:val="24"/>
                <w:szCs w:val="24"/>
                <w:highlight w:val="none"/>
                <w:lang w:val="zh-CN" w:eastAsia="zh-CN"/>
                <w14:textFill>
                  <w14:solidFill>
                    <w14:schemeClr w14:val="tx1"/>
                  </w14:solidFill>
                </w14:textFill>
              </w:rPr>
              <w:t>。</w:t>
            </w:r>
          </w:p>
        </w:tc>
      </w:tr>
    </w:tbl>
    <w:p w14:paraId="6A267543">
      <w:pPr>
        <w:pStyle w:val="124"/>
        <w:adjustRightInd w:val="0"/>
        <w:snapToGrid w:val="0"/>
        <w:spacing w:line="360" w:lineRule="auto"/>
        <w:outlineLvl w:val="1"/>
        <w:rPr>
          <w:rFonts w:hint="eastAsia" w:ascii="宋体" w:hAnsi="宋体"/>
          <w:b/>
          <w:color w:val="000000" w:themeColor="text1"/>
          <w:sz w:val="24"/>
          <w:szCs w:val="24"/>
          <w:highlight w:val="none"/>
          <w14:textFill>
            <w14:solidFill>
              <w14:schemeClr w14:val="tx1"/>
            </w14:solidFill>
          </w14:textFill>
        </w:rPr>
      </w:pPr>
      <w:bookmarkStart w:id="4" w:name="_Toc4558"/>
    </w:p>
    <w:p w14:paraId="250E56C3">
      <w:pPr>
        <w:pStyle w:val="3"/>
        <w:spacing w:before="240" w:beforeLines="100" w:after="240" w:afterLines="100" w:line="240" w:lineRule="auto"/>
        <w:jc w:val="center"/>
        <w:rPr>
          <w:rFonts w:hint="eastAsia" w:ascii="Times New Roman" w:eastAsia="宋体" w:cs="宋体"/>
          <w:b/>
          <w:bCs/>
          <w:snapToGrid w:val="0"/>
          <w:color w:val="000000" w:themeColor="text1"/>
          <w:szCs w:val="24"/>
          <w:highlight w:val="none"/>
          <w:lang w:val="en-US" w:eastAsia="zh-CN"/>
          <w14:textFill>
            <w14:solidFill>
              <w14:schemeClr w14:val="tx1"/>
            </w14:solidFill>
          </w14:textFill>
        </w:rPr>
      </w:pPr>
      <w:bookmarkStart w:id="5" w:name="_Toc24604"/>
      <w:r>
        <w:rPr>
          <w:rFonts w:hint="eastAsia" w:ascii="Times New Roman" w:hAnsi="Times New Roman" w:eastAsia="黑体"/>
          <w:b w:val="0"/>
          <w:bCs w:val="0"/>
          <w:color w:val="000000" w:themeColor="text1"/>
          <w:highlight w:val="none"/>
          <w:lang w:val="en-US" w:eastAsia="zh-CN"/>
          <w14:textFill>
            <w14:solidFill>
              <w14:schemeClr w14:val="tx1"/>
            </w14:solidFill>
          </w14:textFill>
        </w:rPr>
        <w:t>附件1</w:t>
      </w:r>
      <w:r>
        <w:rPr>
          <w:rFonts w:hint="eastAsia" w:ascii="Times New Roman" w:cs="宋体"/>
          <w:bCs/>
          <w:snapToGrid w:val="0"/>
          <w:color w:val="000000" w:themeColor="text1"/>
          <w:szCs w:val="24"/>
          <w:highlight w:val="none"/>
          <w14:textFill>
            <w14:solidFill>
              <w14:schemeClr w14:val="tx1"/>
            </w14:solidFill>
          </w14:textFill>
        </w:rPr>
        <w:t>招标代理服务费及</w:t>
      </w:r>
      <w:r>
        <w:rPr>
          <w:rFonts w:hint="eastAsia" w:ascii="Times New Roman" w:eastAsia="宋体" w:cs="宋体"/>
          <w:b/>
          <w:bCs/>
          <w:snapToGrid w:val="0"/>
          <w:color w:val="000000" w:themeColor="text1"/>
          <w:szCs w:val="24"/>
          <w:highlight w:val="none"/>
          <w:lang w:val="en-US" w:eastAsia="zh-CN"/>
          <w14:textFill>
            <w14:solidFill>
              <w14:schemeClr w14:val="tx1"/>
            </w14:solidFill>
          </w14:textFill>
        </w:rPr>
        <w:t>工程量清单和造价咨询工作服务费</w:t>
      </w:r>
      <w:bookmarkEnd w:id="5"/>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F3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615EA20">
            <w:pPr>
              <w:spacing w:line="46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1.招标代理服务费收费标准</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1CF8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0B684E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中标金额（万元）</w:t>
                  </w:r>
                </w:p>
              </w:tc>
              <w:tc>
                <w:tcPr>
                  <w:tcW w:w="1843" w:type="dxa"/>
                  <w:noWrap w:val="0"/>
                  <w:vAlign w:val="center"/>
                </w:tcPr>
                <w:p w14:paraId="70F97923">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货物招标</w:t>
                  </w:r>
                </w:p>
              </w:tc>
              <w:tc>
                <w:tcPr>
                  <w:tcW w:w="1843" w:type="dxa"/>
                  <w:noWrap w:val="0"/>
                  <w:vAlign w:val="center"/>
                </w:tcPr>
                <w:p w14:paraId="306E2DC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服务招标</w:t>
                  </w:r>
                </w:p>
              </w:tc>
              <w:tc>
                <w:tcPr>
                  <w:tcW w:w="1856" w:type="dxa"/>
                  <w:noWrap w:val="0"/>
                  <w:vAlign w:val="center"/>
                </w:tcPr>
                <w:p w14:paraId="160B1AC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工程施工/      工程总承包</w:t>
                  </w:r>
                </w:p>
              </w:tc>
            </w:tr>
            <w:tr w14:paraId="1EE3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3468D100">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100以下</w:t>
                  </w:r>
                </w:p>
              </w:tc>
              <w:tc>
                <w:tcPr>
                  <w:tcW w:w="1843" w:type="dxa"/>
                  <w:noWrap w:val="0"/>
                  <w:vAlign w:val="center"/>
                </w:tcPr>
                <w:p w14:paraId="688140F0">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843" w:type="dxa"/>
                  <w:noWrap w:val="0"/>
                  <w:vAlign w:val="center"/>
                </w:tcPr>
                <w:p w14:paraId="6FF06FE8">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856" w:type="dxa"/>
                  <w:noWrap w:val="0"/>
                  <w:vAlign w:val="center"/>
                </w:tcPr>
                <w:p w14:paraId="7A69573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r>
            <w:tr w14:paraId="2D7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8E8B2E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100-500</w:t>
                  </w:r>
                </w:p>
              </w:tc>
              <w:tc>
                <w:tcPr>
                  <w:tcW w:w="1843" w:type="dxa"/>
                  <w:noWrap w:val="0"/>
                  <w:vAlign w:val="center"/>
                </w:tcPr>
                <w:p w14:paraId="0513AF3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p>
              </w:tc>
              <w:tc>
                <w:tcPr>
                  <w:tcW w:w="1843" w:type="dxa"/>
                  <w:noWrap w:val="0"/>
                  <w:vAlign w:val="center"/>
                </w:tcPr>
                <w:p w14:paraId="45D3468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p>
              </w:tc>
              <w:tc>
                <w:tcPr>
                  <w:tcW w:w="1856" w:type="dxa"/>
                  <w:noWrap w:val="0"/>
                  <w:vAlign w:val="center"/>
                </w:tcPr>
                <w:p w14:paraId="250733E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0.7%</w:t>
                  </w:r>
                </w:p>
              </w:tc>
            </w:tr>
            <w:tr w14:paraId="1F35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5FFE202C">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500-1000</w:t>
                  </w:r>
                </w:p>
              </w:tc>
              <w:tc>
                <w:tcPr>
                  <w:tcW w:w="1843" w:type="dxa"/>
                  <w:noWrap w:val="0"/>
                  <w:vAlign w:val="center"/>
                </w:tcPr>
                <w:p w14:paraId="4A910A5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p>
              </w:tc>
              <w:tc>
                <w:tcPr>
                  <w:tcW w:w="1843" w:type="dxa"/>
                  <w:noWrap w:val="0"/>
                  <w:vAlign w:val="center"/>
                </w:tcPr>
                <w:p w14:paraId="62329CF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0.45%</w:t>
                  </w:r>
                </w:p>
              </w:tc>
              <w:tc>
                <w:tcPr>
                  <w:tcW w:w="1856" w:type="dxa"/>
                  <w:noWrap w:val="0"/>
                  <w:vAlign w:val="center"/>
                </w:tcPr>
                <w:p w14:paraId="6E00522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0.55%</w:t>
                  </w:r>
                </w:p>
              </w:tc>
            </w:tr>
            <w:tr w14:paraId="3EC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D92DB8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1000-5000</w:t>
                  </w:r>
                </w:p>
              </w:tc>
              <w:tc>
                <w:tcPr>
                  <w:tcW w:w="1843" w:type="dxa"/>
                  <w:noWrap w:val="0"/>
                  <w:vAlign w:val="center"/>
                </w:tcPr>
                <w:p w14:paraId="7C1B326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w:t>
                  </w:r>
                </w:p>
              </w:tc>
              <w:tc>
                <w:tcPr>
                  <w:tcW w:w="1843" w:type="dxa"/>
                  <w:noWrap w:val="0"/>
                  <w:vAlign w:val="center"/>
                </w:tcPr>
                <w:p w14:paraId="27EFB04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0.25%</w:t>
                  </w:r>
                </w:p>
              </w:tc>
              <w:tc>
                <w:tcPr>
                  <w:tcW w:w="1856" w:type="dxa"/>
                  <w:noWrap w:val="0"/>
                  <w:vAlign w:val="center"/>
                </w:tcPr>
                <w:p w14:paraId="58677893">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0.35%</w:t>
                  </w:r>
                </w:p>
              </w:tc>
            </w:tr>
            <w:tr w14:paraId="445F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5671646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5000-10000</w:t>
                  </w:r>
                </w:p>
              </w:tc>
              <w:tc>
                <w:tcPr>
                  <w:tcW w:w="1843" w:type="dxa"/>
                  <w:noWrap w:val="0"/>
                  <w:vAlign w:val="center"/>
                </w:tcPr>
                <w:p w14:paraId="0C6BFE5C">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0.25%</w:t>
                  </w:r>
                </w:p>
              </w:tc>
              <w:tc>
                <w:tcPr>
                  <w:tcW w:w="1843" w:type="dxa"/>
                  <w:noWrap w:val="0"/>
                  <w:vAlign w:val="center"/>
                </w:tcPr>
                <w:p w14:paraId="731E97C8">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w:t>
                  </w:r>
                </w:p>
              </w:tc>
              <w:tc>
                <w:tcPr>
                  <w:tcW w:w="1856" w:type="dxa"/>
                  <w:noWrap w:val="0"/>
                  <w:vAlign w:val="center"/>
                </w:tcPr>
                <w:p w14:paraId="78237B4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w:t>
                  </w:r>
                </w:p>
              </w:tc>
            </w:tr>
            <w:tr w14:paraId="04C1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2B9E45B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10000-100000</w:t>
                  </w:r>
                </w:p>
              </w:tc>
              <w:tc>
                <w:tcPr>
                  <w:tcW w:w="1843" w:type="dxa"/>
                  <w:noWrap w:val="0"/>
                  <w:vAlign w:val="center"/>
                </w:tcPr>
                <w:p w14:paraId="0C62347E">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c>
                <w:tcPr>
                  <w:tcW w:w="1843" w:type="dxa"/>
                  <w:noWrap w:val="0"/>
                  <w:vAlign w:val="center"/>
                </w:tcPr>
                <w:p w14:paraId="02D801C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c>
                <w:tcPr>
                  <w:tcW w:w="1856" w:type="dxa"/>
                  <w:noWrap w:val="0"/>
                  <w:vAlign w:val="center"/>
                </w:tcPr>
                <w:p w14:paraId="363E3E40">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r>
            <w:tr w14:paraId="15AD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E20F108">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100000以上</w:t>
                  </w:r>
                </w:p>
              </w:tc>
              <w:tc>
                <w:tcPr>
                  <w:tcW w:w="1843" w:type="dxa"/>
                  <w:noWrap w:val="0"/>
                  <w:vAlign w:val="center"/>
                </w:tcPr>
                <w:p w14:paraId="7857B28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c>
                <w:tcPr>
                  <w:tcW w:w="1843" w:type="dxa"/>
                  <w:noWrap w:val="0"/>
                  <w:vAlign w:val="center"/>
                </w:tcPr>
                <w:p w14:paraId="4CA808B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c>
                <w:tcPr>
                  <w:tcW w:w="1856" w:type="dxa"/>
                  <w:noWrap w:val="0"/>
                  <w:vAlign w:val="center"/>
                </w:tcPr>
                <w:p w14:paraId="454BFC4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r>
          </w:tbl>
          <w:p w14:paraId="0EFABD70">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具体收取金额为上表（招标代理服务费收费标准）相应招标类别收费标准*80%，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计算招标代理服务费收取金额如下：</w:t>
            </w:r>
          </w:p>
          <w:p w14:paraId="09B8FE6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100万元×1.5％×80%＝1.2万元</w:t>
            </w:r>
          </w:p>
          <w:p w14:paraId="04E60B1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（500－100）万元×0.8％×80%＝2.56万元</w:t>
            </w:r>
          </w:p>
          <w:p w14:paraId="1155C5C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（1000－500）万元×0.45％×80%＝1.8万元</w:t>
            </w:r>
          </w:p>
          <w:p w14:paraId="1AED783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（5000－1000）万元×0.25％×80%＝8万元</w:t>
            </w:r>
          </w:p>
          <w:p w14:paraId="78B2104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（6000－5000）万元×0.1％×80%＝0.8万元</w:t>
            </w:r>
          </w:p>
          <w:p w14:paraId="07F45E5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合计收费＝1.2＋2.56＋1.8＋8＋0.8＝14.36(万元)</w:t>
            </w:r>
          </w:p>
          <w:p w14:paraId="537D3D50">
            <w:pPr>
              <w:pStyle w:val="124"/>
              <w:adjustRightInd w:val="0"/>
              <w:snapToGrid w:val="0"/>
              <w:jc w:val="both"/>
              <w:rPr>
                <w:rFonts w:hint="default" w:ascii="仿宋_GB2312" w:hAnsi="仿宋" w:eastAsia="仿宋_GB2312" w:cs="Times New Roman"/>
                <w:b w:val="0"/>
                <w:bCs w:val="0"/>
                <w:color w:val="000000" w:themeColor="text1"/>
                <w:kern w:val="2"/>
                <w:sz w:val="28"/>
                <w:szCs w:val="28"/>
                <w:highlight w:val="none"/>
                <w:lang w:val="en-US" w:eastAsia="zh-CN" w:bidi="ar-SA"/>
                <w14:textFill>
                  <w14:solidFill>
                    <w14:schemeClr w14:val="tx1"/>
                  </w14:solidFill>
                </w14:textFill>
              </w:rPr>
            </w:pPr>
          </w:p>
        </w:tc>
      </w:tr>
    </w:tbl>
    <w:p w14:paraId="262E25D8">
      <w:pPr>
        <w:pStyle w:val="3"/>
        <w:spacing w:before="240" w:beforeLines="100" w:after="240" w:afterLines="100" w:line="240" w:lineRule="auto"/>
        <w:jc w:val="both"/>
        <w:rPr>
          <w:rFonts w:ascii="Times New Roman" w:hAnsi="Times New Roman" w:eastAsia="黑体"/>
          <w:color w:val="000000" w:themeColor="text1"/>
          <w:sz w:val="28"/>
          <w:szCs w:val="28"/>
          <w:highlight w:val="none"/>
          <w14:textFill>
            <w14:solidFill>
              <w14:schemeClr w14:val="tx1"/>
            </w14:solidFill>
          </w14:textFill>
        </w:rPr>
      </w:pPr>
    </w:p>
    <w:p w14:paraId="761DE91B">
      <w:pPr>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br w:type="page"/>
      </w:r>
      <w:bookmarkEnd w:id="4"/>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p>
    <w:p w14:paraId="6B952BA5">
      <w:pPr>
        <w:spacing w:line="360" w:lineRule="auto"/>
        <w:ind w:firstLine="437"/>
        <w:outlineLvl w:val="3"/>
        <w:rPr>
          <w:rFonts w:hint="default"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t>1.有关定义</w:t>
      </w:r>
    </w:p>
    <w:p w14:paraId="457E93E9">
      <w:pPr>
        <w:spacing w:line="360" w:lineRule="auto"/>
        <w:ind w:firstLine="437"/>
        <w:outlineLvl w:val="3"/>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本项目的交易方式为竞争性磋商，招标人为项目实施建设的发包人（甲方），投标人为参与竞争性磋商的主体，中标人为参与竞争性磋商，并获得项目实施的</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承包人（</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乙方</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w:t>
      </w:r>
    </w:p>
    <w:p w14:paraId="0C7AB218">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.资金来源</w:t>
      </w:r>
    </w:p>
    <w:p w14:paraId="483BFE02">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已获得足以支付本次磋商后所签订的合同项下的资金。</w:t>
      </w:r>
    </w:p>
    <w:p w14:paraId="144E8150">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.磋商费用</w:t>
      </w:r>
    </w:p>
    <w:p w14:paraId="4CEB0144">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不论磋商的结果如何，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应承担其所有与准备和参加磋商有关的费用。</w:t>
      </w:r>
    </w:p>
    <w:p w14:paraId="2C64BE62">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.磋商文件的澄清与修改</w:t>
      </w:r>
    </w:p>
    <w:p w14:paraId="07763E6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如对磋商文</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件内容有疑问，</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按</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须知前附表规定</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提出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w:t>
      </w:r>
    </w:p>
    <w:p w14:paraId="4A1421DB">
      <w:pPr>
        <w:pStyle w:val="1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可主动或在解答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提出的问题时对磋商文件进行澄清或者修改。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将在安徽公共资源交易集团网站澄清或修改磋商文件，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应主动上网查询。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和招标人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未及时关注相关信息引发的相关责任。</w:t>
      </w:r>
    </w:p>
    <w:p w14:paraId="616BCEA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.3任何人或任何组织向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提供的任何书面或口头资料，未经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在网上发布或书面通知，均作无效处理，不得作为磋商文件的组成部分。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由此而做出的推论、理解和结论概不负责。</w:t>
      </w:r>
    </w:p>
    <w:p w14:paraId="4DE67A13">
      <w:pPr>
        <w:spacing w:line="360" w:lineRule="auto"/>
        <w:ind w:firstLine="435"/>
        <w:rPr>
          <w:rFonts w:hint="eastAsia" w:asciiTheme="minorEastAsia" w:hAnsiTheme="minorEastAsia" w:eastAsiaTheme="minorEastAsia" w:cs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.4对于没有提出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疑问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又参与了本项目磋商的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将被视为完全认同本磋商文件（含澄清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修改等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stheme="minorEastAsia"/>
          <w:i w:val="0"/>
          <w:iCs/>
          <w:color w:val="000000" w:themeColor="text1"/>
          <w:sz w:val="24"/>
          <w:highlight w:val="none"/>
          <w14:textFill>
            <w14:solidFill>
              <w14:schemeClr w14:val="tx1"/>
            </w14:solidFill>
          </w14:textFill>
        </w:rPr>
        <w:t>。</w:t>
      </w:r>
    </w:p>
    <w:p w14:paraId="7DAEC691">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.磋商范围及</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中标准和计量单位的使用</w:t>
      </w:r>
    </w:p>
    <w:p w14:paraId="3C847D0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无论磋商文件中是否要求，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所承担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及伴随的货物和服务均应符合国家强制性标准。</w:t>
      </w:r>
    </w:p>
    <w:p w14:paraId="30476A3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之间与磋商有关的所有往来通知、函件和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均用中文表述。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提供的证明文件和资料可以为其他语言，但必须附中文译文。翻译的中文资料与外文资料如果出现差异时，以中文为准。</w:t>
      </w:r>
    </w:p>
    <w:p w14:paraId="6458722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除磋商文件中有特殊要求外，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中所使用的计量单位，应采用中华人民共和国法定计量单位。</w:t>
      </w:r>
    </w:p>
    <w:p w14:paraId="04F4325B">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构成</w:t>
      </w:r>
    </w:p>
    <w:p w14:paraId="22952400">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应完整地按磋商文件提供的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格式及磋商文件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要求编写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，具体内容详见第六章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格式的相关内容。</w:t>
      </w:r>
    </w:p>
    <w:p w14:paraId="166B3375">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.2上述文件应按照磋商文件规定的格式填写、签署和盖章。</w:t>
      </w:r>
    </w:p>
    <w:p w14:paraId="081CF68A">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.报价</w:t>
      </w:r>
    </w:p>
    <w:p w14:paraId="049BDB9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的报价应当包括满足本次磋商全部内容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所有报价均应以人民币报价。</w:t>
      </w:r>
    </w:p>
    <w:p w14:paraId="3646DC9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应在分项报价表上标明磋商</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的单价（如适用）和总价，未标明的视同包含在磋商报价中。</w:t>
      </w:r>
    </w:p>
    <w:p w14:paraId="39D591B6">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.磋商有效期</w:t>
      </w:r>
    </w:p>
    <w:p w14:paraId="22ED11D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.1磋商有效期为从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提交截止之日算起的日历天数，磋商有效期</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为120日历天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可根据实际情况，在原磋商有效期截止之前，要求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延长磋商有效期。接受该要求的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将不会被要求和允许修正其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可以拒绝延长磋商有效期的要求，且不承担任何责任。上述要求和答复都应以书面形式提交。</w:t>
      </w:r>
    </w:p>
    <w:p w14:paraId="033C937D">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.2在磋商有效期内，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的磋商保持有效，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不得要求撤销或修改其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8402EE6">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的制作</w:t>
      </w:r>
    </w:p>
    <w:p w14:paraId="0F12359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.1本项目要求提供加密电子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的制作应满足以下规定：</w:t>
      </w:r>
    </w:p>
    <w:p w14:paraId="21118543">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应当在互联网络通畅状态下启用最新版投标文件制作工具制作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FDC238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（2）在第六章“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格式”中要求加盖</w:t>
      </w: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均应加盖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电子签章或公章。联合体参加磋商的，除联合协议及磋商文件规定须联合体各成员单位各自盖章的证明材料外，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由联合体牵头人按上述规定加盖联合体牵头人单位电子签章或公章。</w:t>
      </w:r>
    </w:p>
    <w:p w14:paraId="1FDB748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制作完成后，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进行文件加密，形成加密的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。采用数字证书加密的，加密时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的所有内容均只能使用同一把数字证书进行加密，否则引起的解密失败责任由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14:paraId="3FB97F2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自身原因而导致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无法导入电子交易系统电子开标、评标系统的，该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视为无效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自行承担由此导致的全部责任。（该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是指解密后的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35AD7D6">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提交截止时间</w:t>
      </w:r>
    </w:p>
    <w:p w14:paraId="4D7FAEC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应在第一章“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2"/>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提交截止时间前，在网上提交加密电子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投标文件（如磋商延期，按最新发布磋商时间执行）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FFCA9BE">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在磋商文件规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定的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提交截止时间前上传了网上加密电子</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，但未在规定时间内进行解密的，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投标无效</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595340B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延迟</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提交截止时间制约的所有权利和义务均应延长至新的截止时间。</w:t>
      </w:r>
    </w:p>
    <w:p w14:paraId="3AD9A318">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的提交、修改与撤回</w:t>
      </w:r>
    </w:p>
    <w:p w14:paraId="7C249C6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应当在第一章“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提交截止时间前，将加密的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在电子交易系统上传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（如磋商延期，按最新发布磋商时间执行）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D894FD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提交截止时间前完成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的传输提交（以接收到电子签收凭证为准），并可以补充、修改或者撤回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提交截止时间前未完成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传输的，视为撤回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。未按规定加密或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提交截止时间后送达的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，电子交易系统应当拒收。</w:t>
      </w:r>
    </w:p>
    <w:p w14:paraId="2C8954A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规定的解密时间前（以电子交易系统解密倒计时为准）对本单位的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进行解密。</w:t>
      </w:r>
    </w:p>
    <w:p w14:paraId="0C7B5FB5">
      <w:pPr>
        <w:spacing w:line="360" w:lineRule="auto"/>
        <w:ind w:firstLine="437"/>
        <w:outlineLvl w:val="3"/>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评审小组</w:t>
      </w:r>
    </w:p>
    <w:p w14:paraId="7D470868">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委派或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抽取经济技术专家等方式组建的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，负责本项目评审工作。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成员由3人以上单数组成，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及其成员应当依照有关规定履行相关职责和义务。</w:t>
      </w:r>
    </w:p>
    <w:p w14:paraId="4E8439A8">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根据磋商文件规定的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评审方法和标准对投标人提交的投标文件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从质量和服务均能满足磋商文件实质性响应要求的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中推荐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，并编写评审报告。</w:t>
      </w:r>
    </w:p>
    <w:p w14:paraId="4CC4124A">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.终止竞争性磋商</w:t>
      </w:r>
    </w:p>
    <w:p w14:paraId="158A3591">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出现下列情况之一时，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有权宣布终止竞争性磋商采购，并将理由通知所有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E47FC1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通过初审的</w:t>
      </w:r>
      <w:r>
        <w:rPr>
          <w:rFonts w:hint="eastAsia" w:cs="@仿宋_GB2312" w:asciiTheme="minorEastAsia" w:hAnsiTheme="minorEastAsia" w:eastAsiaTheme="minorEastAsia"/>
          <w:color w:val="000000" w:themeColor="text1"/>
          <w:kern w:val="2"/>
          <w:sz w:val="24"/>
          <w:szCs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不足规定数量，导致本次磋商缺乏竞争的；</w:t>
      </w:r>
    </w:p>
    <w:p w14:paraId="4DE9AF93">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（2）出现影响公正的违法、违规行为的；</w:t>
      </w:r>
    </w:p>
    <w:p w14:paraId="3CD27E74">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（3）因重大变故，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任务取消的；</w:t>
      </w:r>
    </w:p>
    <w:p w14:paraId="1431F5E7">
      <w:pPr>
        <w:spacing w:line="360" w:lineRule="auto"/>
        <w:ind w:firstLine="435"/>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磋商文件有重大漏洞，导致无法继续评审的；</w:t>
      </w:r>
    </w:p>
    <w:p w14:paraId="00FEDC11">
      <w:pPr>
        <w:spacing w:line="360" w:lineRule="auto"/>
        <w:ind w:firstLine="435"/>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）法律法规规定的其他情形。</w:t>
      </w:r>
    </w:p>
    <w:p w14:paraId="1DDA0A04">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的澄清、说明或更正</w:t>
      </w:r>
    </w:p>
    <w:p w14:paraId="184B8A68">
      <w:pPr>
        <w:spacing w:line="360" w:lineRule="auto"/>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的有效性、完整性和响应程度进行审查，审查时可以要求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的澄清、说明或者更正不得超出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的范围或者改变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的实质性内容。对不同文字文本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的解释发生异议的，以中文文本为准。</w:t>
      </w:r>
    </w:p>
    <w:p w14:paraId="7E5107E9">
      <w:pPr>
        <w:spacing w:line="360" w:lineRule="auto"/>
        <w:ind w:firstLine="470" w:firstLineChars="196"/>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澄清、说明或者更正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应当以书面形式（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即网上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询标）作出。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的澄清、说明或者更正应当</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加盖投标人电子签章或公章</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19341D2D">
      <w:pPr>
        <w:spacing w:line="360" w:lineRule="auto"/>
        <w:ind w:firstLine="435"/>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14.3</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如有询标，</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评审小组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询标的，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自行承担相关风险。</w:t>
      </w:r>
    </w:p>
    <w:p w14:paraId="2BF14E38">
      <w:pPr>
        <w:spacing w:line="360" w:lineRule="auto"/>
        <w:ind w:firstLine="437"/>
        <w:outlineLvl w:val="3"/>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最终投标报价</w:t>
      </w:r>
    </w:p>
    <w:p w14:paraId="30ABBE1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.1磋商并不限定只进行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轮报价，如果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认为有必要，可以要求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进行多轮报价。</w:t>
      </w:r>
    </w:p>
    <w:p w14:paraId="660EED93">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.2在磋商内容不做实质性变更或重大调整的前提下，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下轮报价不得高于上一轮报价。</w:t>
      </w:r>
    </w:p>
    <w:p w14:paraId="58C46B5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的有效组成部分，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也是签订合同的依据。</w:t>
      </w:r>
    </w:p>
    <w:p w14:paraId="4EFFA8CA">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2"/>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szCs w:val="2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szCs w:val="22"/>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除非</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对磋商文件予以澄清、修改，否则</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应按</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提供的</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清单中列出的项目和工程量逐项填报综合单价和合价。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不得在</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清单中任意增删、修改清单项目与工程量及项目排列顺序。</w:t>
      </w:r>
    </w:p>
    <w:p w14:paraId="4E12B5B6">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供货（安装）</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地点为本须知前附表所述，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可到</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现场踏勘以充分了解</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位置、情况、道路、储存空间、装卸限制及任何</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足以影响磋商报价的情况，任何因忽视或误解</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场地情况而导致的索赔或</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供货（安装）周期</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延长申请将不被批准。对于受</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现场场地限制，如需要另外寻找场地解决临时住宿、材料及设备堆放，由此所产生的费用应包含在磋商报价范围内，</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不再承担该费用。</w:t>
      </w:r>
    </w:p>
    <w:p w14:paraId="1FA24F3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本</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不接受恶意不平衡报价，不保证最低价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p>
    <w:p w14:paraId="31C1EDEC">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的推荐原则</w:t>
      </w:r>
    </w:p>
    <w:p w14:paraId="226D6294">
      <w:pPr>
        <w:spacing w:line="360" w:lineRule="auto"/>
        <w:ind w:firstLine="437"/>
        <w:outlineLvl w:val="3"/>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依据本项目磋商文件所约定的评审方法和标准，按照有效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综合总得分由高到低依次推荐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。评审得分相同的，</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评审小组</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根据投标文件投票，按少数服从多数的原则确定中标候选人顺序。</w:t>
      </w:r>
    </w:p>
    <w:p w14:paraId="7F9548D3">
      <w:pPr>
        <w:spacing w:line="360" w:lineRule="auto"/>
        <w:ind w:firstLine="437"/>
        <w:outlineLvl w:val="3"/>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.确定</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中标人</w:t>
      </w:r>
    </w:p>
    <w:p w14:paraId="57D706E4">
      <w:pPr>
        <w:spacing w:line="360" w:lineRule="auto"/>
        <w:ind w:firstLine="470" w:firstLineChars="196"/>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b w:val="0"/>
          <w:color w:val="000000" w:themeColor="text1"/>
          <w:sz w:val="24"/>
          <w:highlight w:val="none"/>
          <w14:textFill>
            <w14:solidFill>
              <w14:schemeClr w14:val="tx1"/>
            </w14:solidFill>
          </w14:textFill>
        </w:rPr>
        <w:t>委托</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确定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，排名第一的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即为中标人，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在指定媒体上予以公告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招标人确定中标人的，由招标人函告代理机构后，由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在指定媒体上予以公告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34CDB6E9">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.编写评审报告</w:t>
      </w:r>
    </w:p>
    <w:p w14:paraId="76C676AE">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评审报告是根据全体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成员签字的原始评审记录和评审结果编写的报告，评审报告由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全体成员签字。对评审结论持有异议的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成员可以阐述其不同意见和理由。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成员拒绝在评审报告上签字且不陈述其不同意见和理由的，视为同意评审结论。</w:t>
      </w:r>
    </w:p>
    <w:p w14:paraId="438CCCA7">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.保密要求</w:t>
      </w:r>
    </w:p>
    <w:p w14:paraId="0C1BF67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.1评审将在严格保密的情况下进行。</w:t>
      </w:r>
    </w:p>
    <w:p w14:paraId="1A3EA17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.2有关人员应当遵守评审工作纪律，不得泄露评审文件、评审情况和评审中获悉的国家秘密、商业秘密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AED8A1E">
      <w:pPr>
        <w:spacing w:line="360" w:lineRule="auto"/>
        <w:ind w:firstLine="437"/>
        <w:outlineLvl w:val="3"/>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中标结果公告</w:t>
      </w:r>
    </w:p>
    <w:p w14:paraId="5BB7691C">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确定后，</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将在安徽公共资源交易集团网站（http://www.ahggzyjt.com）发布</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p>
    <w:p w14:paraId="5F67DDB0">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内容应当包括</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及其委托的</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的名称、项目名称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金额。</w:t>
      </w:r>
    </w:p>
    <w:p w14:paraId="5B1A13A1">
      <w:pPr>
        <w:spacing w:line="360" w:lineRule="auto"/>
        <w:ind w:firstLine="437"/>
        <w:outlineLvl w:val="3"/>
        <w:rPr>
          <w:rFonts w:hint="default" w:asciiTheme="minorEastAsia" w:hAnsiTheme="minorEastAsia" w:eastAsiaTheme="minorEastAsia" w:cs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21.磋商结果的异议、投诉</w:t>
      </w:r>
    </w:p>
    <w:p w14:paraId="484345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21.1对于磋商结果有异议的，应在中标结果公告规定的时间内向招标人或代理机构提出。</w:t>
      </w:r>
    </w:p>
    <w:p w14:paraId="376B7E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21.2对于异议答复不满意的，应在收到异议答复之日起3日内向磋商公告载明的监督管理部门提出。</w:t>
      </w:r>
    </w:p>
    <w:p w14:paraId="45C3417D">
      <w:pPr>
        <w:spacing w:line="360" w:lineRule="auto"/>
        <w:ind w:firstLine="437"/>
        <w:outlineLvl w:val="3"/>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中标通知书</w:t>
      </w:r>
    </w:p>
    <w:p w14:paraId="7DA6BA23">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的同时</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以</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须知前附表规定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的形式向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D807CD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具有同等法律效力。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发出以后，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改变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结果或者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放弃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，应当承担相应的法律责任。</w:t>
      </w:r>
    </w:p>
    <w:p w14:paraId="0A7E57D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是合同的组成部分。</w:t>
      </w:r>
    </w:p>
    <w:p w14:paraId="7FF7BA76">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.告知磋商结果</w:t>
      </w:r>
    </w:p>
    <w:p w14:paraId="2A7A206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发布后，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自行登录电子交易系统查询结果信息。</w:t>
      </w:r>
    </w:p>
    <w:p w14:paraId="3BB1FDA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不做未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原因的解释。</w:t>
      </w:r>
    </w:p>
    <w:p w14:paraId="418412E4">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.履约保证金</w:t>
      </w:r>
    </w:p>
    <w:p w14:paraId="6AA8973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没有按照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履约保证金的规定执行，将视为放弃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。在此情况下，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可确定下一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，也可以重新开展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822D588">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.代理费用</w:t>
      </w:r>
    </w:p>
    <w:p w14:paraId="34E85348">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放弃</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本磋商项目应收取的</w:t>
      </w:r>
      <w:r>
        <w:rPr>
          <w:rFonts w:hint="eastAsia" w:ascii="宋体" w:hAnsi="宋体" w:eastAsia="宋体"/>
          <w:b w:val="0"/>
          <w:color w:val="000000" w:themeColor="text1"/>
          <w:sz w:val="24"/>
          <w:szCs w:val="24"/>
          <w:highlight w:val="none"/>
          <w14:textFill>
            <w14:solidFill>
              <w14:schemeClr w14:val="tx1"/>
            </w14:solidFill>
          </w14:textFill>
        </w:rPr>
        <w:t>招标代理</w:t>
      </w:r>
      <w:r>
        <w:rPr>
          <w:rFonts w:hint="eastAsia"/>
          <w:b w:val="0"/>
          <w:color w:val="000000" w:themeColor="text1"/>
          <w:sz w:val="24"/>
          <w:szCs w:val="24"/>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w:t>
      </w:r>
      <w:r>
        <w:rPr>
          <w:rFonts w:hint="eastAsia" w:ascii="宋体" w:hAnsi="宋体" w:eastAsia="宋体"/>
          <w:b w:val="0"/>
          <w:color w:val="000000" w:themeColor="text1"/>
          <w:sz w:val="24"/>
          <w:szCs w:val="24"/>
          <w:highlight w:val="none"/>
          <w14:textFill>
            <w14:solidFill>
              <w14:schemeClr w14:val="tx1"/>
            </w14:solidFill>
          </w14:textFill>
        </w:rPr>
        <w:t>工程量清单和最高投标限价</w:t>
      </w:r>
      <w:r>
        <w:rPr>
          <w:rFonts w:hint="eastAsia"/>
          <w:b w:val="0"/>
          <w:color w:val="000000" w:themeColor="text1"/>
          <w:sz w:val="24"/>
          <w:szCs w:val="24"/>
          <w:highlight w:val="none"/>
          <w:lang w:eastAsia="zh-CN"/>
          <w14:textFill>
            <w14:solidFill>
              <w14:schemeClr w14:val="tx1"/>
            </w14:solidFill>
          </w14:textFill>
        </w:rPr>
        <w:t>编制费用</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由其承担。</w:t>
      </w:r>
    </w:p>
    <w:p w14:paraId="6D462206">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.签订合同</w:t>
      </w:r>
    </w:p>
    <w:p w14:paraId="4035F348">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应当在中标通知书发出后及时签订合同。</w:t>
      </w:r>
    </w:p>
    <w:p w14:paraId="322E068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.2磋商文件、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及其澄清文件等，均为签订合同的依据。</w:t>
      </w:r>
    </w:p>
    <w:p w14:paraId="7136747D">
      <w:pPr>
        <w:spacing w:line="360" w:lineRule="auto"/>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拒绝与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签订合同的，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可以按照评审报告推荐的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名单排序，确定下一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，也可以重新开展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磋商活动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拒绝签订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的不得参加对该项目重新开展的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磋商活动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FFD3541">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.廉洁自律规定</w:t>
      </w:r>
    </w:p>
    <w:p w14:paraId="250B62D2">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工作人员不得以不正当手段获取</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代理业务，不得与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恶意串通。</w:t>
      </w:r>
    </w:p>
    <w:p w14:paraId="701B30F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工作人员不得接受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组织的宴请、旅游、娱乐，不得收受礼品、现金、有价证券等，不得向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报销应当由个人承担的费用。</w:t>
      </w:r>
    </w:p>
    <w:p w14:paraId="3A61FE2B">
      <w:pPr>
        <w:spacing w:line="360" w:lineRule="auto"/>
        <w:ind w:firstLine="437"/>
        <w:outlineLvl w:val="3"/>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.需要补充的其他内容</w:t>
      </w:r>
    </w:p>
    <w:p w14:paraId="080B7CCD">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需要补充的其他内容，见</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w:t>
      </w:r>
      <w:r>
        <w:rPr>
          <w:rFonts w:hint="eastAsia"/>
          <w:color w:val="000000" w:themeColor="text1"/>
          <w:sz w:val="24"/>
          <w:highlight w:val="none"/>
          <w:u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page"/>
      </w:r>
    </w:p>
    <w:p w14:paraId="1B2F44C2">
      <w:pPr>
        <w:pStyle w:val="3"/>
        <w:bidi w:val="0"/>
        <w:jc w:val="center"/>
        <w:rPr>
          <w:rFonts w:hint="default"/>
          <w:color w:val="000000" w:themeColor="text1"/>
          <w:highlight w:val="none"/>
          <w:lang w:val="en-US" w:eastAsia="zh-CN"/>
          <w14:textFill>
            <w14:solidFill>
              <w14:schemeClr w14:val="tx1"/>
            </w14:solidFill>
          </w14:textFill>
        </w:rPr>
      </w:pPr>
      <w:bookmarkStart w:id="6" w:name="_Toc30867"/>
      <w:r>
        <w:rPr>
          <w:rFonts w:hint="eastAsia"/>
          <w:color w:val="000000" w:themeColor="text1"/>
          <w:highlight w:val="none"/>
          <w:lang w:val="en-US" w:eastAsia="zh-CN"/>
          <w14:textFill>
            <w14:solidFill>
              <w14:schemeClr w14:val="tx1"/>
            </w14:solidFill>
          </w14:textFill>
        </w:rPr>
        <w:t>第三章 招标人要求</w:t>
      </w:r>
      <w:bookmarkEnd w:id="6"/>
    </w:p>
    <w:p w14:paraId="36FC0314">
      <w:pPr>
        <w:spacing w:line="360" w:lineRule="auto"/>
        <w:ind w:firstLine="437"/>
        <w:outlineLvl w:val="2"/>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bookmarkStart w:id="7" w:name="_Toc23594"/>
      <w:r>
        <w:rPr>
          <w:rFonts w:hint="eastAsia" w:asciiTheme="minorEastAsia" w:hAnsiTheme="minorEastAsia" w:eastAsiaTheme="minorEastAsia"/>
          <w:b/>
          <w:color w:val="000000" w:themeColor="text1"/>
          <w:sz w:val="24"/>
          <w:highlight w:val="none"/>
          <w14:textFill>
            <w14:solidFill>
              <w14:schemeClr w14:val="tx1"/>
            </w14:solidFill>
          </w14:textFill>
        </w:rPr>
        <w:t>一、车辆进出场管理系统</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需求</w:t>
      </w:r>
    </w:p>
    <w:p w14:paraId="40924FA4">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1、管理方式：电脑、平板、手机均可管理</w:t>
      </w:r>
    </w:p>
    <w:p w14:paraId="6C33BB5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2、运营报告：云平台自动生成清晰财务数据报表</w:t>
      </w:r>
    </w:p>
    <w:p w14:paraId="47A1DFC7">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3、云端值守：可实现后台远程控制道闸开启或关闭</w:t>
      </w:r>
    </w:p>
    <w:p w14:paraId="5D66024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4、数据端口开放：便于后期对接进场预登记系统上线。</w:t>
      </w:r>
    </w:p>
    <w:p w14:paraId="6039B69E">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5、业务管理及查询：业务数据增、删、改、查 </w:t>
      </w:r>
    </w:p>
    <w:p w14:paraId="6A6230E2">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6、管理权限指派：自定义管理员、财务、值班员权限</w:t>
      </w:r>
    </w:p>
    <w:p w14:paraId="00B77B59">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7、云端远程运维：云端升级，通用功能免费升级享用</w:t>
      </w:r>
    </w:p>
    <w:p w14:paraId="4AA1F806">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8、硬件配备：13台停车收费一体机、12台直杆道闸，电磁线圈，感应雷达等实现本项目功能的全部配套设施设备。</w:t>
      </w:r>
    </w:p>
    <w:p w14:paraId="74690C6F">
      <w:pPr>
        <w:spacing w:line="360" w:lineRule="auto"/>
        <w:ind w:firstLine="437"/>
        <w:outlineLvl w:val="2"/>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二、存储方式</w:t>
      </w:r>
    </w:p>
    <w:p w14:paraId="0C0A7D4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为保证信息数据安全性，服务器采用云平台方式布署，将数据部署到云端，减少本地部署及后期维护成本的同时，并提高了数据存储的安全性。</w:t>
      </w:r>
    </w:p>
    <w:p w14:paraId="7BFCB8B1">
      <w:pPr>
        <w:spacing w:line="500" w:lineRule="exact"/>
        <w:ind w:firstLine="482" w:firstLineChars="200"/>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三、改造预期成效</w:t>
      </w:r>
    </w:p>
    <w:p w14:paraId="466A796C">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1.提升客户使用体验，增强客户满意度。显著提升车牌识别准确率、受环境因素影响减少。更新算法后，针对于进场新能源汽车牌照识别率提升，减少高峰期车辆等待时间。让进场客户更加便捷。</w:t>
      </w:r>
    </w:p>
    <w:p w14:paraId="7BC8CD5F">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2.实现数据联通，减少管理漏洞。数据端口开放，为后期数字化进场收费做好前置。</w:t>
      </w:r>
    </w:p>
    <w:p w14:paraId="18681509">
      <w:pPr>
        <w:spacing w:line="360" w:lineRule="auto"/>
        <w:ind w:firstLine="437"/>
        <w:outlineLvl w:val="2"/>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四、设备清单及参数要求</w:t>
      </w:r>
    </w:p>
    <w:tbl>
      <w:tblPr>
        <w:tblStyle w:val="56"/>
        <w:tblW w:w="8281" w:type="dxa"/>
        <w:tblInd w:w="93" w:type="dxa"/>
        <w:tblLayout w:type="fixed"/>
        <w:tblCellMar>
          <w:top w:w="0" w:type="dxa"/>
          <w:left w:w="108" w:type="dxa"/>
          <w:bottom w:w="0" w:type="dxa"/>
          <w:right w:w="108" w:type="dxa"/>
        </w:tblCellMar>
      </w:tblPr>
      <w:tblGrid>
        <w:gridCol w:w="477"/>
        <w:gridCol w:w="1120"/>
        <w:gridCol w:w="759"/>
        <w:gridCol w:w="4968"/>
        <w:gridCol w:w="402"/>
        <w:gridCol w:w="555"/>
      </w:tblGrid>
      <w:tr w14:paraId="073AE8B9">
        <w:tblPrEx>
          <w:tblCellMar>
            <w:top w:w="0" w:type="dxa"/>
            <w:left w:w="108" w:type="dxa"/>
            <w:bottom w:w="0" w:type="dxa"/>
            <w:right w:w="108" w:type="dxa"/>
          </w:tblCellMar>
        </w:tblPrEx>
        <w:trPr>
          <w:trHeight w:val="103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14:paraId="5B1408E8">
            <w:pPr>
              <w:widowControl/>
              <w:jc w:val="center"/>
              <w:rPr>
                <w:rFonts w:ascii="等线" w:hAnsi="等线" w:eastAsia="等线" w:cs="宋体"/>
                <w:b/>
                <w:bCs/>
                <w:color w:val="000000" w:themeColor="text1"/>
                <w:sz w:val="22"/>
                <w:szCs w:val="22"/>
                <w:highlight w:val="none"/>
                <w14:textFill>
                  <w14:solidFill>
                    <w14:schemeClr w14:val="tx1"/>
                  </w14:solidFill>
                </w14:textFill>
              </w:rPr>
            </w:pPr>
            <w:r>
              <w:rPr>
                <w:rFonts w:hint="eastAsia" w:ascii="等线" w:hAnsi="等线" w:eastAsia="等线" w:cs="宋体"/>
                <w:b/>
                <w:bCs/>
                <w:color w:val="000000" w:themeColor="text1"/>
                <w:sz w:val="22"/>
                <w:szCs w:val="22"/>
                <w:highlight w:val="none"/>
                <w14:textFill>
                  <w14:solidFill>
                    <w14:schemeClr w14:val="tx1"/>
                  </w14:solidFill>
                </w14:textFill>
              </w:rPr>
              <w:t>序号</w:t>
            </w:r>
          </w:p>
        </w:tc>
        <w:tc>
          <w:tcPr>
            <w:tcW w:w="1120" w:type="dxa"/>
            <w:tcBorders>
              <w:top w:val="single" w:color="auto" w:sz="4" w:space="0"/>
              <w:left w:val="nil"/>
              <w:bottom w:val="single" w:color="auto" w:sz="4" w:space="0"/>
              <w:right w:val="single" w:color="auto" w:sz="4" w:space="0"/>
            </w:tcBorders>
            <w:shd w:val="clear" w:color="auto" w:fill="auto"/>
            <w:vAlign w:val="center"/>
          </w:tcPr>
          <w:p w14:paraId="7C8DAA5B">
            <w:pPr>
              <w:widowControl/>
              <w:jc w:val="center"/>
              <w:rPr>
                <w:rFonts w:ascii="等线" w:hAnsi="等线" w:eastAsia="等线" w:cs="宋体"/>
                <w:b/>
                <w:bCs/>
                <w:color w:val="000000" w:themeColor="text1"/>
                <w:sz w:val="22"/>
                <w:szCs w:val="22"/>
                <w:highlight w:val="none"/>
                <w14:textFill>
                  <w14:solidFill>
                    <w14:schemeClr w14:val="tx1"/>
                  </w14:solidFill>
                </w14:textFill>
              </w:rPr>
            </w:pPr>
            <w:r>
              <w:rPr>
                <w:rFonts w:hint="eastAsia" w:ascii="等线" w:hAnsi="等线" w:eastAsia="等线" w:cs="宋体"/>
                <w:b/>
                <w:bCs/>
                <w:color w:val="000000" w:themeColor="text1"/>
                <w:sz w:val="22"/>
                <w:szCs w:val="22"/>
                <w:highlight w:val="none"/>
                <w14:textFill>
                  <w14:solidFill>
                    <w14:schemeClr w14:val="tx1"/>
                  </w14:solidFill>
                </w14:textFill>
              </w:rPr>
              <w:t>设备（项目）名称</w:t>
            </w:r>
          </w:p>
        </w:tc>
        <w:tc>
          <w:tcPr>
            <w:tcW w:w="759" w:type="dxa"/>
            <w:tcBorders>
              <w:top w:val="single" w:color="auto" w:sz="4" w:space="0"/>
              <w:left w:val="nil"/>
              <w:bottom w:val="single" w:color="auto" w:sz="4" w:space="0"/>
              <w:right w:val="single" w:color="auto" w:sz="4" w:space="0"/>
            </w:tcBorders>
            <w:shd w:val="clear" w:color="auto" w:fill="auto"/>
            <w:vAlign w:val="center"/>
          </w:tcPr>
          <w:p w14:paraId="1A2B51C8">
            <w:pPr>
              <w:widowControl/>
              <w:jc w:val="center"/>
              <w:rPr>
                <w:rFonts w:ascii="等线" w:hAnsi="等线" w:eastAsia="等线" w:cs="宋体"/>
                <w:b/>
                <w:bCs/>
                <w:color w:val="000000" w:themeColor="text1"/>
                <w:sz w:val="22"/>
                <w:szCs w:val="22"/>
                <w:highlight w:val="none"/>
                <w14:textFill>
                  <w14:solidFill>
                    <w14:schemeClr w14:val="tx1"/>
                  </w14:solidFill>
                </w14:textFill>
              </w:rPr>
            </w:pPr>
            <w:r>
              <w:rPr>
                <w:rFonts w:hint="eastAsia" w:ascii="等线" w:hAnsi="等线" w:eastAsia="等线" w:cs="宋体"/>
                <w:b/>
                <w:bCs/>
                <w:color w:val="000000" w:themeColor="text1"/>
                <w:sz w:val="22"/>
                <w:szCs w:val="22"/>
                <w:highlight w:val="none"/>
                <w14:textFill>
                  <w14:solidFill>
                    <w14:schemeClr w14:val="tx1"/>
                  </w14:solidFill>
                </w14:textFill>
              </w:rPr>
              <w:t>品牌型号</w:t>
            </w:r>
          </w:p>
        </w:tc>
        <w:tc>
          <w:tcPr>
            <w:tcW w:w="4968" w:type="dxa"/>
            <w:tcBorders>
              <w:top w:val="single" w:color="auto" w:sz="4" w:space="0"/>
              <w:left w:val="nil"/>
              <w:bottom w:val="single" w:color="auto" w:sz="4" w:space="0"/>
              <w:right w:val="single" w:color="auto" w:sz="4" w:space="0"/>
            </w:tcBorders>
            <w:shd w:val="clear" w:color="auto" w:fill="auto"/>
            <w:vAlign w:val="center"/>
          </w:tcPr>
          <w:p w14:paraId="1A7B60D5">
            <w:pPr>
              <w:widowControl/>
              <w:jc w:val="center"/>
              <w:rPr>
                <w:rFonts w:ascii="等线" w:hAnsi="等线" w:eastAsia="等线" w:cs="宋体"/>
                <w:b/>
                <w:bCs/>
                <w:color w:val="000000" w:themeColor="text1"/>
                <w:sz w:val="22"/>
                <w:szCs w:val="22"/>
                <w:highlight w:val="none"/>
                <w14:textFill>
                  <w14:solidFill>
                    <w14:schemeClr w14:val="tx1"/>
                  </w14:solidFill>
                </w14:textFill>
              </w:rPr>
            </w:pPr>
            <w:r>
              <w:rPr>
                <w:rFonts w:hint="eastAsia" w:ascii="等线" w:hAnsi="等线" w:eastAsia="等线" w:cs="宋体"/>
                <w:b/>
                <w:bCs/>
                <w:color w:val="000000" w:themeColor="text1"/>
                <w:sz w:val="22"/>
                <w:szCs w:val="22"/>
                <w:highlight w:val="none"/>
                <w14:textFill>
                  <w14:solidFill>
                    <w14:schemeClr w14:val="tx1"/>
                  </w14:solidFill>
                </w14:textFill>
              </w:rPr>
              <w:t>主要技术参数</w:t>
            </w:r>
          </w:p>
        </w:tc>
        <w:tc>
          <w:tcPr>
            <w:tcW w:w="402" w:type="dxa"/>
            <w:tcBorders>
              <w:top w:val="single" w:color="auto" w:sz="4" w:space="0"/>
              <w:left w:val="nil"/>
              <w:bottom w:val="single" w:color="auto" w:sz="4" w:space="0"/>
              <w:right w:val="single" w:color="auto" w:sz="4" w:space="0"/>
            </w:tcBorders>
            <w:shd w:val="clear" w:color="auto" w:fill="auto"/>
            <w:vAlign w:val="center"/>
          </w:tcPr>
          <w:p w14:paraId="6029389D">
            <w:pPr>
              <w:widowControl/>
              <w:jc w:val="center"/>
              <w:rPr>
                <w:rFonts w:ascii="等线" w:hAnsi="等线" w:eastAsia="等线" w:cs="宋体"/>
                <w:b/>
                <w:bCs/>
                <w:color w:val="000000" w:themeColor="text1"/>
                <w:sz w:val="22"/>
                <w:szCs w:val="22"/>
                <w:highlight w:val="none"/>
                <w14:textFill>
                  <w14:solidFill>
                    <w14:schemeClr w14:val="tx1"/>
                  </w14:solidFill>
                </w14:textFill>
              </w:rPr>
            </w:pPr>
            <w:r>
              <w:rPr>
                <w:rFonts w:hint="eastAsia" w:ascii="等线" w:hAnsi="等线" w:eastAsia="等线" w:cs="宋体"/>
                <w:b/>
                <w:bCs/>
                <w:color w:val="000000" w:themeColor="text1"/>
                <w:sz w:val="22"/>
                <w:szCs w:val="22"/>
                <w:highlight w:val="none"/>
                <w14:textFill>
                  <w14:solidFill>
                    <w14:schemeClr w14:val="tx1"/>
                  </w14:solidFill>
                </w14:textFill>
              </w:rPr>
              <w:t>单位</w:t>
            </w:r>
          </w:p>
        </w:tc>
        <w:tc>
          <w:tcPr>
            <w:tcW w:w="555" w:type="dxa"/>
            <w:tcBorders>
              <w:top w:val="single" w:color="auto" w:sz="4" w:space="0"/>
              <w:left w:val="nil"/>
              <w:bottom w:val="single" w:color="auto" w:sz="4" w:space="0"/>
              <w:right w:val="single" w:color="auto" w:sz="4" w:space="0"/>
            </w:tcBorders>
            <w:shd w:val="clear" w:color="auto" w:fill="auto"/>
            <w:vAlign w:val="center"/>
          </w:tcPr>
          <w:p w14:paraId="230FD25A">
            <w:pPr>
              <w:widowControl/>
              <w:jc w:val="center"/>
              <w:rPr>
                <w:rFonts w:ascii="等线" w:hAnsi="等线" w:eastAsia="等线" w:cs="宋体"/>
                <w:b/>
                <w:bCs/>
                <w:color w:val="000000" w:themeColor="text1"/>
                <w:sz w:val="22"/>
                <w:szCs w:val="22"/>
                <w:highlight w:val="none"/>
                <w14:textFill>
                  <w14:solidFill>
                    <w14:schemeClr w14:val="tx1"/>
                  </w14:solidFill>
                </w14:textFill>
              </w:rPr>
            </w:pPr>
            <w:r>
              <w:rPr>
                <w:rFonts w:hint="eastAsia" w:ascii="等线" w:hAnsi="等线" w:eastAsia="等线" w:cs="宋体"/>
                <w:b/>
                <w:bCs/>
                <w:color w:val="000000" w:themeColor="text1"/>
                <w:sz w:val="22"/>
                <w:szCs w:val="22"/>
                <w:highlight w:val="none"/>
                <w14:textFill>
                  <w14:solidFill>
                    <w14:schemeClr w14:val="tx1"/>
                  </w14:solidFill>
                </w14:textFill>
              </w:rPr>
              <w:t>数量</w:t>
            </w:r>
          </w:p>
        </w:tc>
      </w:tr>
      <w:tr w14:paraId="29343C6A">
        <w:tblPrEx>
          <w:tblCellMar>
            <w:top w:w="0" w:type="dxa"/>
            <w:left w:w="108" w:type="dxa"/>
            <w:bottom w:w="0" w:type="dxa"/>
            <w:right w:w="108" w:type="dxa"/>
          </w:tblCellMar>
        </w:tblPrEx>
        <w:trPr>
          <w:trHeight w:val="674"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7E093A4E">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1</w:t>
            </w:r>
          </w:p>
        </w:tc>
        <w:tc>
          <w:tcPr>
            <w:tcW w:w="1120" w:type="dxa"/>
            <w:tcBorders>
              <w:top w:val="nil"/>
              <w:left w:val="nil"/>
              <w:bottom w:val="single" w:color="auto" w:sz="4" w:space="0"/>
              <w:right w:val="single" w:color="auto" w:sz="4" w:space="0"/>
            </w:tcBorders>
            <w:shd w:val="clear" w:color="auto" w:fill="auto"/>
            <w:vAlign w:val="center"/>
          </w:tcPr>
          <w:p w14:paraId="0AC15F39">
            <w:pPr>
              <w:widowControl/>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停车收费一体机</w:t>
            </w:r>
          </w:p>
        </w:tc>
        <w:tc>
          <w:tcPr>
            <w:tcW w:w="759" w:type="dxa"/>
            <w:tcBorders>
              <w:top w:val="nil"/>
              <w:left w:val="nil"/>
              <w:bottom w:val="single" w:color="auto" w:sz="4" w:space="0"/>
              <w:right w:val="single" w:color="auto" w:sz="4" w:space="0"/>
            </w:tcBorders>
            <w:shd w:val="clear" w:color="auto" w:fill="auto"/>
            <w:vAlign w:val="center"/>
          </w:tcPr>
          <w:p w14:paraId="04134723">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　</w:t>
            </w:r>
          </w:p>
        </w:tc>
        <w:tc>
          <w:tcPr>
            <w:tcW w:w="4968" w:type="dxa"/>
            <w:tcBorders>
              <w:top w:val="nil"/>
              <w:left w:val="nil"/>
              <w:bottom w:val="single" w:color="auto" w:sz="4" w:space="0"/>
              <w:right w:val="single" w:color="auto" w:sz="4" w:space="0"/>
            </w:tcBorders>
            <w:shd w:val="clear" w:color="auto" w:fill="auto"/>
            <w:vAlign w:val="center"/>
          </w:tcPr>
          <w:p w14:paraId="6096FD29">
            <w:pPr>
              <w:numPr>
                <w:ilvl w:val="0"/>
                <w:numId w:val="7"/>
              </w:numPr>
              <w:adjustRightInd w:val="0"/>
              <w:snapToGrid w:val="0"/>
              <w:spacing w:line="360" w:lineRule="auto"/>
              <w:ind w:right="-10"/>
              <w:rPr>
                <w:rFonts w:hint="eastAsia" w:ascii="宋体" w:hAnsi="宋体" w:eastAsia="宋体" w:cs="Times New Roman"/>
                <w:color w:val="000000" w:themeColor="text1"/>
                <w:kern w:val="2"/>
                <w:sz w:val="24"/>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车辆捕获率：≥99%（包含无牌车）</w:t>
            </w:r>
          </w:p>
          <w:p w14:paraId="03675731">
            <w:pPr>
              <w:numPr>
                <w:ilvl w:val="0"/>
                <w:numId w:val="7"/>
              </w:numPr>
              <w:adjustRightInd w:val="0"/>
              <w:snapToGrid w:val="0"/>
              <w:spacing w:line="360" w:lineRule="auto"/>
              <w:ind w:right="-10"/>
              <w:rPr>
                <w:rFonts w:hint="default" w:ascii="宋体" w:hAnsi="宋体" w:eastAsia="宋体" w:cs="Times New Roman"/>
                <w:color w:val="000000" w:themeColor="text1"/>
                <w:kern w:val="2"/>
                <w:sz w:val="24"/>
                <w:szCs w:val="22"/>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多检率：≤1%，车牌正确识别率：≥99%</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3、适应车速：0-50</w:t>
            </w:r>
            <w:r>
              <w:rPr>
                <w:rFonts w:hint="eastAsia" w:cs="Times New Roman"/>
                <w:color w:val="000000" w:themeColor="text1"/>
                <w:kern w:val="2"/>
                <w:sz w:val="24"/>
                <w:szCs w:val="22"/>
                <w:highlight w:val="none"/>
                <w:lang w:val="en-US" w:eastAsia="zh-CN"/>
                <w14:textFill>
                  <w14:solidFill>
                    <w14:schemeClr w14:val="tx1"/>
                  </w14:solidFill>
                </w14:textFill>
              </w:rPr>
              <w:t>km</w:t>
            </w:r>
            <w:r>
              <w:rPr>
                <w:rFonts w:hint="eastAsia" w:ascii="宋体" w:hAnsi="宋体" w:eastAsia="宋体" w:cs="Times New Roman"/>
                <w:color w:val="000000" w:themeColor="text1"/>
                <w:kern w:val="2"/>
                <w:sz w:val="24"/>
                <w:szCs w:val="22"/>
                <w:highlight w:val="none"/>
                <w14:textFill>
                  <w14:solidFill>
                    <w14:schemeClr w14:val="tx1"/>
                  </w14:solidFill>
                </w14:textFill>
              </w:rPr>
              <w:t>/小时</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4、数据接口方式：10/100M 以太网TCP/IP</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5、图像传感器：1/2.8"CMOS</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6、有效像素：720P</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7、最低照度：0.1 Lux（标准）</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8、信噪比：&gt;50db</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9、电子快门：1/1至1/10000秒，22档</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10、最佳拍摄范围：3-10米</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11、光源发光频率：50Hz</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12、防护等级：IP66</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13、工作温度：-25℃~70℃</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14、工作湿度：≤ 90%</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15、电源电压：直流7-24V，纹波&lt;200mV</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16、整机功耗：7W</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17、存贮温度：-50℃~120℃</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18、传感器类型：≥500万像素1/2.8" CMOS</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    抓拍图像分辨率：≥2592×1944（须提供第三方检测机构出具的具有 CMA(或CNAS)标识的所投产品型号的检测或检验报告）</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    快门：自动/手动，7µs～40ms，步进7µs</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19、显示屏幕类型：LCD</w:t>
            </w:r>
            <w:r>
              <w:rPr>
                <w:rFonts w:hint="eastAsia" w:cs="Times New Roman"/>
                <w:color w:val="000000" w:themeColor="text1"/>
                <w:kern w:val="2"/>
                <w:sz w:val="24"/>
                <w:szCs w:val="22"/>
                <w:highlight w:val="none"/>
                <w14:textFill>
                  <w14:solidFill>
                    <w14:schemeClr w14:val="tx1"/>
                  </w14:solidFill>
                </w14:textFill>
              </w:rPr>
              <w:t>/LED</w:t>
            </w:r>
            <w:r>
              <w:rPr>
                <w:rFonts w:hint="eastAsia" w:ascii="宋体" w:hAnsi="宋体" w:eastAsia="宋体" w:cs="Times New Roman"/>
                <w:color w:val="000000" w:themeColor="text1"/>
                <w:kern w:val="2"/>
                <w:sz w:val="24"/>
                <w:szCs w:val="22"/>
                <w:highlight w:val="none"/>
                <w14:textFill>
                  <w14:solidFill>
                    <w14:schemeClr w14:val="tx1"/>
                  </w14:solidFill>
                </w14:textFill>
              </w:rPr>
              <w:t>显示屏</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具备图片播放功能，可在液晶显示屏上播放图片。（须提供第三方检测机构出具的具有 CMA(或CNAS)标识的所投产品型号的检测或检验报告）</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具备在线/离线指示功能，可在液晶显示屏上给出在线、离线的指示。（须提供第三方检测机构出具的具有 CMA(或CNAS)标识的所投产品型号的检测或检验报告）</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具备计费信息显示播报功能，可通过液晶屏和扬声器显示和播放计费信息。（须提供第三方检测机构出具的具有 CMA(或CNAS)标识的所投产品型号的检测或检验报告）</w:t>
            </w:r>
          </w:p>
        </w:tc>
        <w:tc>
          <w:tcPr>
            <w:tcW w:w="402" w:type="dxa"/>
            <w:tcBorders>
              <w:top w:val="nil"/>
              <w:left w:val="nil"/>
              <w:bottom w:val="single" w:color="auto" w:sz="4" w:space="0"/>
              <w:right w:val="single" w:color="auto" w:sz="4" w:space="0"/>
            </w:tcBorders>
            <w:shd w:val="clear" w:color="auto" w:fill="auto"/>
            <w:noWrap/>
            <w:vAlign w:val="center"/>
          </w:tcPr>
          <w:p w14:paraId="792371C8">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台</w:t>
            </w:r>
          </w:p>
        </w:tc>
        <w:tc>
          <w:tcPr>
            <w:tcW w:w="555" w:type="dxa"/>
            <w:tcBorders>
              <w:top w:val="nil"/>
              <w:left w:val="nil"/>
              <w:bottom w:val="single" w:color="auto" w:sz="4" w:space="0"/>
              <w:right w:val="single" w:color="auto" w:sz="4" w:space="0"/>
            </w:tcBorders>
            <w:shd w:val="clear" w:color="auto" w:fill="auto"/>
            <w:noWrap/>
            <w:vAlign w:val="center"/>
          </w:tcPr>
          <w:p w14:paraId="7B1F1808">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13</w:t>
            </w:r>
          </w:p>
        </w:tc>
      </w:tr>
      <w:tr w14:paraId="7639C04C">
        <w:tblPrEx>
          <w:tblCellMar>
            <w:top w:w="0" w:type="dxa"/>
            <w:left w:w="108" w:type="dxa"/>
            <w:bottom w:w="0" w:type="dxa"/>
            <w:right w:w="108" w:type="dxa"/>
          </w:tblCellMar>
        </w:tblPrEx>
        <w:trPr>
          <w:trHeight w:val="2903"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0981D07D">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2</w:t>
            </w:r>
          </w:p>
        </w:tc>
        <w:tc>
          <w:tcPr>
            <w:tcW w:w="1120" w:type="dxa"/>
            <w:tcBorders>
              <w:top w:val="nil"/>
              <w:left w:val="nil"/>
              <w:bottom w:val="single" w:color="auto" w:sz="4" w:space="0"/>
              <w:right w:val="single" w:color="auto" w:sz="4" w:space="0"/>
            </w:tcBorders>
            <w:shd w:val="clear" w:color="auto" w:fill="auto"/>
            <w:vAlign w:val="center"/>
          </w:tcPr>
          <w:p w14:paraId="67B52495">
            <w:pPr>
              <w:widowControl/>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直杆道闸</w:t>
            </w:r>
          </w:p>
        </w:tc>
        <w:tc>
          <w:tcPr>
            <w:tcW w:w="759" w:type="dxa"/>
            <w:tcBorders>
              <w:top w:val="nil"/>
              <w:left w:val="nil"/>
              <w:bottom w:val="single" w:color="auto" w:sz="4" w:space="0"/>
              <w:right w:val="single" w:color="auto" w:sz="4" w:space="0"/>
            </w:tcBorders>
            <w:shd w:val="clear" w:color="auto" w:fill="auto"/>
            <w:vAlign w:val="center"/>
          </w:tcPr>
          <w:p w14:paraId="4766475D">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　</w:t>
            </w:r>
          </w:p>
        </w:tc>
        <w:tc>
          <w:tcPr>
            <w:tcW w:w="4968" w:type="dxa"/>
            <w:tcBorders>
              <w:top w:val="nil"/>
              <w:left w:val="nil"/>
              <w:bottom w:val="single" w:color="auto" w:sz="4" w:space="0"/>
              <w:right w:val="single" w:color="auto" w:sz="4" w:space="0"/>
            </w:tcBorders>
            <w:shd w:val="clear" w:color="auto" w:fill="auto"/>
            <w:vAlign w:val="center"/>
          </w:tcPr>
          <w:p w14:paraId="4AB370DB">
            <w:pPr>
              <w:adjustRightInd w:val="0"/>
              <w:snapToGrid w:val="0"/>
              <w:spacing w:line="360" w:lineRule="auto"/>
              <w:ind w:right="-10"/>
              <w:rPr>
                <w:rFonts w:hint="eastAsia" w:ascii="宋体" w:hAnsi="宋体" w:eastAsia="宋体" w:cs="Times New Roman"/>
                <w:color w:val="000000" w:themeColor="text1"/>
                <w:kern w:val="2"/>
                <w:sz w:val="24"/>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1、防护等级:IP54</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2、防砸功能:支持线圈防砸、红外防砸、雷达防砸</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3、远程遥控:支持遥控器远程开关</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4、支持:遇阻反弹、 技术模式、 断电手摇</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5、外部接口: I/0接口</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6、开关闸速度:1.2-3.5s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7、杆长：3-6米</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8、杆直径：60-150毫米</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9、电机功率：0.3</w:t>
            </w:r>
            <w:r>
              <w:rPr>
                <w:rFonts w:hint="eastAsia" w:cs="Times New Roman"/>
                <w:color w:val="000000" w:themeColor="text1"/>
                <w:kern w:val="2"/>
                <w:sz w:val="24"/>
                <w:szCs w:val="22"/>
                <w:highlight w:val="none"/>
                <w:lang w:val="en-US" w:eastAsia="zh-CN"/>
                <w14:textFill>
                  <w14:solidFill>
                    <w14:schemeClr w14:val="tx1"/>
                  </w14:solidFill>
                </w14:textFill>
              </w:rPr>
              <w:t>kW</w:t>
            </w:r>
            <w:r>
              <w:rPr>
                <w:rFonts w:hint="eastAsia" w:ascii="宋体" w:hAnsi="宋体" w:eastAsia="宋体" w:cs="Times New Roman"/>
                <w:color w:val="000000" w:themeColor="text1"/>
                <w:kern w:val="2"/>
                <w:sz w:val="24"/>
                <w:szCs w:val="22"/>
                <w:highlight w:val="none"/>
                <w14:textFill>
                  <w14:solidFill>
                    <w14:schemeClr w14:val="tx1"/>
                  </w14:solidFill>
                </w14:textFill>
              </w:rPr>
              <w:t>-0.75</w:t>
            </w:r>
            <w:r>
              <w:rPr>
                <w:rFonts w:hint="eastAsia" w:cs="Times New Roman"/>
                <w:color w:val="000000" w:themeColor="text1"/>
                <w:kern w:val="2"/>
                <w:sz w:val="24"/>
                <w:szCs w:val="22"/>
                <w:highlight w:val="none"/>
                <w:lang w:val="en-US" w:eastAsia="zh-CN"/>
                <w14:textFill>
                  <w14:solidFill>
                    <w14:schemeClr w14:val="tx1"/>
                  </w14:solidFill>
                </w14:textFill>
              </w:rPr>
              <w:t>kW</w:t>
            </w:r>
          </w:p>
        </w:tc>
        <w:tc>
          <w:tcPr>
            <w:tcW w:w="402" w:type="dxa"/>
            <w:tcBorders>
              <w:top w:val="nil"/>
              <w:left w:val="nil"/>
              <w:bottom w:val="single" w:color="auto" w:sz="4" w:space="0"/>
              <w:right w:val="single" w:color="auto" w:sz="4" w:space="0"/>
            </w:tcBorders>
            <w:shd w:val="clear" w:color="auto" w:fill="auto"/>
            <w:noWrap/>
            <w:vAlign w:val="center"/>
          </w:tcPr>
          <w:p w14:paraId="15622DC8">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台</w:t>
            </w:r>
          </w:p>
        </w:tc>
        <w:tc>
          <w:tcPr>
            <w:tcW w:w="555" w:type="dxa"/>
            <w:tcBorders>
              <w:top w:val="nil"/>
              <w:left w:val="nil"/>
              <w:bottom w:val="single" w:color="auto" w:sz="4" w:space="0"/>
              <w:right w:val="single" w:color="auto" w:sz="4" w:space="0"/>
            </w:tcBorders>
            <w:shd w:val="clear" w:color="auto" w:fill="auto"/>
            <w:noWrap/>
            <w:vAlign w:val="center"/>
          </w:tcPr>
          <w:p w14:paraId="3B27A4F9">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12</w:t>
            </w:r>
          </w:p>
        </w:tc>
      </w:tr>
      <w:tr w14:paraId="015CCC6B">
        <w:tblPrEx>
          <w:tblCellMar>
            <w:top w:w="0" w:type="dxa"/>
            <w:left w:w="108" w:type="dxa"/>
            <w:bottom w:w="0" w:type="dxa"/>
            <w:right w:w="108" w:type="dxa"/>
          </w:tblCellMar>
        </w:tblPrEx>
        <w:trPr>
          <w:trHeight w:val="129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3B20931D">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3</w:t>
            </w:r>
          </w:p>
        </w:tc>
        <w:tc>
          <w:tcPr>
            <w:tcW w:w="1120" w:type="dxa"/>
            <w:tcBorders>
              <w:top w:val="nil"/>
              <w:left w:val="nil"/>
              <w:bottom w:val="single" w:color="auto" w:sz="4" w:space="0"/>
              <w:right w:val="single" w:color="auto" w:sz="4" w:space="0"/>
            </w:tcBorders>
            <w:shd w:val="clear" w:color="auto" w:fill="auto"/>
            <w:vAlign w:val="center"/>
          </w:tcPr>
          <w:p w14:paraId="63F9CDA5">
            <w:pPr>
              <w:widowControl/>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感应雷达</w:t>
            </w:r>
          </w:p>
        </w:tc>
        <w:tc>
          <w:tcPr>
            <w:tcW w:w="759" w:type="dxa"/>
            <w:tcBorders>
              <w:top w:val="nil"/>
              <w:left w:val="nil"/>
              <w:bottom w:val="single" w:color="auto" w:sz="4" w:space="0"/>
              <w:right w:val="single" w:color="auto" w:sz="4" w:space="0"/>
            </w:tcBorders>
            <w:shd w:val="clear" w:color="auto" w:fill="auto"/>
            <w:vAlign w:val="center"/>
          </w:tcPr>
          <w:p w14:paraId="2E7EC2D3">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　</w:t>
            </w:r>
          </w:p>
        </w:tc>
        <w:tc>
          <w:tcPr>
            <w:tcW w:w="4968" w:type="dxa"/>
            <w:tcBorders>
              <w:top w:val="nil"/>
              <w:left w:val="nil"/>
              <w:bottom w:val="single" w:color="auto" w:sz="4" w:space="0"/>
              <w:right w:val="single" w:color="auto" w:sz="4" w:space="0"/>
            </w:tcBorders>
            <w:shd w:val="clear" w:color="auto" w:fill="auto"/>
            <w:vAlign w:val="center"/>
          </w:tcPr>
          <w:p w14:paraId="7690DE8A">
            <w:pPr>
              <w:adjustRightInd w:val="0"/>
              <w:snapToGrid w:val="0"/>
              <w:spacing w:line="360" w:lineRule="auto"/>
              <w:ind w:right="-10"/>
              <w:rPr>
                <w:rFonts w:hint="eastAsia" w:ascii="宋体" w:hAnsi="宋体" w:eastAsia="宋体" w:cs="Times New Roman"/>
                <w:color w:val="000000" w:themeColor="text1"/>
                <w:kern w:val="2"/>
                <w:sz w:val="24"/>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1、工作温度： -40℃~85℃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2、防水等级： IP65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3、通信接口 ：RS485或蓝牙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4、适用类型：直杆道闸</w:t>
            </w:r>
          </w:p>
        </w:tc>
        <w:tc>
          <w:tcPr>
            <w:tcW w:w="402" w:type="dxa"/>
            <w:tcBorders>
              <w:top w:val="nil"/>
              <w:left w:val="nil"/>
              <w:bottom w:val="single" w:color="auto" w:sz="4" w:space="0"/>
              <w:right w:val="single" w:color="auto" w:sz="4" w:space="0"/>
            </w:tcBorders>
            <w:shd w:val="clear" w:color="auto" w:fill="auto"/>
            <w:noWrap/>
            <w:vAlign w:val="center"/>
          </w:tcPr>
          <w:p w14:paraId="2C088F55">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个</w:t>
            </w:r>
          </w:p>
        </w:tc>
        <w:tc>
          <w:tcPr>
            <w:tcW w:w="555" w:type="dxa"/>
            <w:tcBorders>
              <w:top w:val="nil"/>
              <w:left w:val="nil"/>
              <w:bottom w:val="single" w:color="auto" w:sz="4" w:space="0"/>
              <w:right w:val="single" w:color="auto" w:sz="4" w:space="0"/>
            </w:tcBorders>
            <w:shd w:val="clear" w:color="auto" w:fill="auto"/>
            <w:noWrap/>
            <w:vAlign w:val="center"/>
          </w:tcPr>
          <w:p w14:paraId="3E1BD5E0">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自行配置</w:t>
            </w:r>
            <w:r>
              <w:rPr>
                <w:rFonts w:hint="eastAsia" w:cs="宋体"/>
                <w:color w:val="000000" w:themeColor="text1"/>
                <w:sz w:val="24"/>
                <w:szCs w:val="24"/>
                <w:highlight w:val="none"/>
                <w14:textFill>
                  <w14:solidFill>
                    <w14:schemeClr w14:val="tx1"/>
                  </w14:solidFill>
                </w14:textFill>
              </w:rPr>
              <w:t>　</w:t>
            </w:r>
          </w:p>
        </w:tc>
      </w:tr>
      <w:tr w14:paraId="3F9E3C4A">
        <w:tblPrEx>
          <w:tblCellMar>
            <w:top w:w="0" w:type="dxa"/>
            <w:left w:w="108" w:type="dxa"/>
            <w:bottom w:w="0" w:type="dxa"/>
            <w:right w:w="108" w:type="dxa"/>
          </w:tblCellMar>
        </w:tblPrEx>
        <w:trPr>
          <w:trHeight w:val="2581"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2D9DA1F8">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4</w:t>
            </w:r>
          </w:p>
        </w:tc>
        <w:tc>
          <w:tcPr>
            <w:tcW w:w="1120" w:type="dxa"/>
            <w:tcBorders>
              <w:top w:val="nil"/>
              <w:left w:val="nil"/>
              <w:bottom w:val="single" w:color="auto" w:sz="4" w:space="0"/>
              <w:right w:val="single" w:color="auto" w:sz="4" w:space="0"/>
            </w:tcBorders>
            <w:shd w:val="clear" w:color="auto" w:fill="auto"/>
            <w:vAlign w:val="center"/>
          </w:tcPr>
          <w:p w14:paraId="6FD07C67">
            <w:pPr>
              <w:widowControl/>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地感处理器</w:t>
            </w:r>
          </w:p>
        </w:tc>
        <w:tc>
          <w:tcPr>
            <w:tcW w:w="759" w:type="dxa"/>
            <w:tcBorders>
              <w:top w:val="nil"/>
              <w:left w:val="nil"/>
              <w:bottom w:val="single" w:color="auto" w:sz="4" w:space="0"/>
              <w:right w:val="single" w:color="auto" w:sz="4" w:space="0"/>
            </w:tcBorders>
            <w:shd w:val="clear" w:color="auto" w:fill="auto"/>
            <w:vAlign w:val="center"/>
          </w:tcPr>
          <w:p w14:paraId="24737F97">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　</w:t>
            </w:r>
          </w:p>
        </w:tc>
        <w:tc>
          <w:tcPr>
            <w:tcW w:w="4968" w:type="dxa"/>
            <w:tcBorders>
              <w:top w:val="nil"/>
              <w:left w:val="nil"/>
              <w:bottom w:val="single" w:color="auto" w:sz="4" w:space="0"/>
              <w:right w:val="single" w:color="auto" w:sz="4" w:space="0"/>
            </w:tcBorders>
            <w:shd w:val="clear" w:color="auto" w:fill="auto"/>
            <w:vAlign w:val="center"/>
          </w:tcPr>
          <w:p w14:paraId="20C65FA2">
            <w:pPr>
              <w:widowControl/>
              <w:jc w:val="left"/>
              <w:rPr>
                <w:rFonts w:ascii="Times New Roman" w:hAnsi="Times New Roman" w:eastAsia="等线"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设备名称：双线圈地感处理器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线圈数量：1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输出接口：4个继电器</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输出信号：存在、脉冲</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频率调节：4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灵敏度级数：10</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输出延时：0~4.5S，可调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工作电压：AC/220V</w:t>
            </w:r>
          </w:p>
        </w:tc>
        <w:tc>
          <w:tcPr>
            <w:tcW w:w="402" w:type="dxa"/>
            <w:tcBorders>
              <w:top w:val="nil"/>
              <w:left w:val="nil"/>
              <w:bottom w:val="single" w:color="auto" w:sz="4" w:space="0"/>
              <w:right w:val="single" w:color="auto" w:sz="4" w:space="0"/>
            </w:tcBorders>
            <w:shd w:val="clear" w:color="auto" w:fill="auto"/>
            <w:noWrap/>
            <w:vAlign w:val="center"/>
          </w:tcPr>
          <w:p w14:paraId="1D34CD2E">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个</w:t>
            </w:r>
          </w:p>
        </w:tc>
        <w:tc>
          <w:tcPr>
            <w:tcW w:w="555" w:type="dxa"/>
            <w:tcBorders>
              <w:top w:val="nil"/>
              <w:left w:val="nil"/>
              <w:bottom w:val="single" w:color="auto" w:sz="4" w:space="0"/>
              <w:right w:val="single" w:color="auto" w:sz="4" w:space="0"/>
            </w:tcBorders>
            <w:shd w:val="clear" w:color="auto" w:fill="auto"/>
            <w:noWrap/>
            <w:vAlign w:val="center"/>
          </w:tcPr>
          <w:p w14:paraId="337E23FE">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自行配置</w:t>
            </w:r>
            <w:r>
              <w:rPr>
                <w:rFonts w:hint="eastAsia" w:cs="宋体"/>
                <w:color w:val="000000" w:themeColor="text1"/>
                <w:sz w:val="24"/>
                <w:szCs w:val="24"/>
                <w:highlight w:val="none"/>
                <w14:textFill>
                  <w14:solidFill>
                    <w14:schemeClr w14:val="tx1"/>
                  </w14:solidFill>
                </w14:textFill>
              </w:rPr>
              <w:t>　</w:t>
            </w:r>
          </w:p>
        </w:tc>
      </w:tr>
      <w:tr w14:paraId="42559DE2">
        <w:tblPrEx>
          <w:tblCellMar>
            <w:top w:w="0" w:type="dxa"/>
            <w:left w:w="108" w:type="dxa"/>
            <w:bottom w:w="0" w:type="dxa"/>
            <w:right w:w="108" w:type="dxa"/>
          </w:tblCellMar>
        </w:tblPrEx>
        <w:trPr>
          <w:trHeight w:val="829"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1F45DBE9">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5</w:t>
            </w:r>
          </w:p>
        </w:tc>
        <w:tc>
          <w:tcPr>
            <w:tcW w:w="1120" w:type="dxa"/>
            <w:tcBorders>
              <w:top w:val="nil"/>
              <w:left w:val="nil"/>
              <w:bottom w:val="single" w:color="auto" w:sz="4" w:space="0"/>
              <w:right w:val="single" w:color="auto" w:sz="4" w:space="0"/>
            </w:tcBorders>
            <w:shd w:val="clear" w:color="auto" w:fill="auto"/>
            <w:vAlign w:val="center"/>
          </w:tcPr>
          <w:p w14:paraId="3F4D59D0">
            <w:pPr>
              <w:widowControl/>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地感线圈</w:t>
            </w:r>
          </w:p>
        </w:tc>
        <w:tc>
          <w:tcPr>
            <w:tcW w:w="759" w:type="dxa"/>
            <w:tcBorders>
              <w:top w:val="nil"/>
              <w:left w:val="nil"/>
              <w:bottom w:val="single" w:color="auto" w:sz="4" w:space="0"/>
              <w:right w:val="single" w:color="auto" w:sz="4" w:space="0"/>
            </w:tcBorders>
            <w:shd w:val="clear" w:color="auto" w:fill="auto"/>
            <w:vAlign w:val="center"/>
          </w:tcPr>
          <w:p w14:paraId="028038B3">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　</w:t>
            </w:r>
          </w:p>
        </w:tc>
        <w:tc>
          <w:tcPr>
            <w:tcW w:w="4968" w:type="dxa"/>
            <w:tcBorders>
              <w:top w:val="nil"/>
              <w:left w:val="nil"/>
              <w:bottom w:val="single" w:color="auto" w:sz="4" w:space="0"/>
              <w:right w:val="single" w:color="auto" w:sz="4" w:space="0"/>
            </w:tcBorders>
            <w:shd w:val="clear" w:color="auto" w:fill="auto"/>
            <w:vAlign w:val="center"/>
          </w:tcPr>
          <w:p w14:paraId="44652501">
            <w:pPr>
              <w:widowControl/>
              <w:jc w:val="left"/>
              <w:rPr>
                <w:rFonts w:ascii="Times New Roman" w:hAnsi="Times New Roman" w:eastAsia="等线"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RV0.75</w:t>
            </w:r>
          </w:p>
        </w:tc>
        <w:tc>
          <w:tcPr>
            <w:tcW w:w="402" w:type="dxa"/>
            <w:tcBorders>
              <w:top w:val="nil"/>
              <w:left w:val="nil"/>
              <w:bottom w:val="single" w:color="auto" w:sz="4" w:space="0"/>
              <w:right w:val="single" w:color="auto" w:sz="4" w:space="0"/>
            </w:tcBorders>
            <w:shd w:val="clear" w:color="auto" w:fill="auto"/>
            <w:noWrap/>
            <w:vAlign w:val="center"/>
          </w:tcPr>
          <w:p w14:paraId="75262118">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个</w:t>
            </w:r>
          </w:p>
        </w:tc>
        <w:tc>
          <w:tcPr>
            <w:tcW w:w="555" w:type="dxa"/>
            <w:tcBorders>
              <w:top w:val="nil"/>
              <w:left w:val="nil"/>
              <w:bottom w:val="single" w:color="auto" w:sz="4" w:space="0"/>
              <w:right w:val="single" w:color="auto" w:sz="4" w:space="0"/>
            </w:tcBorders>
            <w:shd w:val="clear" w:color="auto" w:fill="auto"/>
            <w:noWrap/>
            <w:vAlign w:val="center"/>
          </w:tcPr>
          <w:p w14:paraId="76800226">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自行配置</w:t>
            </w:r>
            <w:r>
              <w:rPr>
                <w:rFonts w:hint="eastAsia" w:cs="宋体"/>
                <w:color w:val="000000" w:themeColor="text1"/>
                <w:sz w:val="24"/>
                <w:szCs w:val="24"/>
                <w:highlight w:val="none"/>
                <w14:textFill>
                  <w14:solidFill>
                    <w14:schemeClr w14:val="tx1"/>
                  </w14:solidFill>
                </w14:textFill>
              </w:rPr>
              <w:t>　</w:t>
            </w:r>
          </w:p>
        </w:tc>
      </w:tr>
      <w:tr w14:paraId="2D67369F">
        <w:tblPrEx>
          <w:tblCellMar>
            <w:top w:w="0" w:type="dxa"/>
            <w:left w:w="108" w:type="dxa"/>
            <w:bottom w:w="0" w:type="dxa"/>
            <w:right w:w="108" w:type="dxa"/>
          </w:tblCellMar>
        </w:tblPrEx>
        <w:trPr>
          <w:trHeight w:val="2622"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785AE7B">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6</w:t>
            </w:r>
          </w:p>
        </w:tc>
        <w:tc>
          <w:tcPr>
            <w:tcW w:w="1120" w:type="dxa"/>
            <w:tcBorders>
              <w:top w:val="nil"/>
              <w:left w:val="nil"/>
              <w:bottom w:val="single" w:color="auto" w:sz="4" w:space="0"/>
              <w:right w:val="single" w:color="auto" w:sz="4" w:space="0"/>
            </w:tcBorders>
            <w:shd w:val="clear" w:color="auto" w:fill="auto"/>
            <w:vAlign w:val="center"/>
          </w:tcPr>
          <w:p w14:paraId="4D42E88B">
            <w:pPr>
              <w:widowControl/>
              <w:jc w:val="center"/>
              <w:rPr>
                <w:rFonts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交换机</w:t>
            </w:r>
          </w:p>
        </w:tc>
        <w:tc>
          <w:tcPr>
            <w:tcW w:w="759" w:type="dxa"/>
            <w:tcBorders>
              <w:top w:val="nil"/>
              <w:left w:val="nil"/>
              <w:bottom w:val="single" w:color="auto" w:sz="4" w:space="0"/>
              <w:right w:val="single" w:color="auto" w:sz="4" w:space="0"/>
            </w:tcBorders>
            <w:shd w:val="clear" w:color="auto" w:fill="auto"/>
            <w:vAlign w:val="center"/>
          </w:tcPr>
          <w:p w14:paraId="68727726">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　</w:t>
            </w:r>
          </w:p>
        </w:tc>
        <w:tc>
          <w:tcPr>
            <w:tcW w:w="4968" w:type="dxa"/>
            <w:tcBorders>
              <w:top w:val="nil"/>
              <w:left w:val="nil"/>
              <w:bottom w:val="single" w:color="auto" w:sz="4" w:space="0"/>
              <w:right w:val="single" w:color="auto" w:sz="4" w:space="0"/>
            </w:tcBorders>
            <w:shd w:val="clear" w:color="auto" w:fill="auto"/>
            <w:vAlign w:val="center"/>
          </w:tcPr>
          <w:p w14:paraId="065E3638">
            <w:pPr>
              <w:widowControl/>
              <w:jc w:val="left"/>
              <w:rPr>
                <w:rFonts w:ascii="Times New Roman" w:hAnsi="Times New Roman" w:eastAsia="等线"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散热方式 自然散热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适用场景 接入交换机</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端口数量 8口</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下行端口速率 干兆</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机云管理交换  不支持云管理</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上行端口速率 干兆</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网管类型 非网管</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端口供电功非POE供电</w:t>
            </w:r>
          </w:p>
        </w:tc>
        <w:tc>
          <w:tcPr>
            <w:tcW w:w="402" w:type="dxa"/>
            <w:tcBorders>
              <w:top w:val="nil"/>
              <w:left w:val="nil"/>
              <w:bottom w:val="single" w:color="auto" w:sz="4" w:space="0"/>
              <w:right w:val="single" w:color="auto" w:sz="4" w:space="0"/>
            </w:tcBorders>
            <w:shd w:val="clear" w:color="auto" w:fill="auto"/>
            <w:noWrap/>
            <w:vAlign w:val="center"/>
          </w:tcPr>
          <w:p w14:paraId="27D5B53D">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台</w:t>
            </w:r>
          </w:p>
        </w:tc>
        <w:tc>
          <w:tcPr>
            <w:tcW w:w="555" w:type="dxa"/>
            <w:tcBorders>
              <w:top w:val="nil"/>
              <w:left w:val="nil"/>
              <w:bottom w:val="single" w:color="auto" w:sz="4" w:space="0"/>
              <w:right w:val="single" w:color="auto" w:sz="4" w:space="0"/>
            </w:tcBorders>
            <w:shd w:val="clear" w:color="auto" w:fill="auto"/>
            <w:noWrap/>
            <w:vAlign w:val="center"/>
          </w:tcPr>
          <w:p w14:paraId="1CE2A465">
            <w:pPr>
              <w:widowControl/>
              <w:jc w:val="center"/>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自行配置</w:t>
            </w:r>
            <w:r>
              <w:rPr>
                <w:rFonts w:hint="eastAsia" w:cs="宋体"/>
                <w:color w:val="000000" w:themeColor="text1"/>
                <w:sz w:val="24"/>
                <w:szCs w:val="24"/>
                <w:highlight w:val="none"/>
                <w14:textFill>
                  <w14:solidFill>
                    <w14:schemeClr w14:val="tx1"/>
                  </w14:solidFill>
                </w14:textFill>
              </w:rPr>
              <w:t>　</w:t>
            </w:r>
          </w:p>
        </w:tc>
      </w:tr>
      <w:tr w14:paraId="6299FEE9">
        <w:tblPrEx>
          <w:tblCellMar>
            <w:top w:w="0" w:type="dxa"/>
            <w:left w:w="108" w:type="dxa"/>
            <w:bottom w:w="0" w:type="dxa"/>
            <w:right w:w="108" w:type="dxa"/>
          </w:tblCellMar>
        </w:tblPrEx>
        <w:trPr>
          <w:trHeight w:val="2581"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BE90C80">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7</w:t>
            </w:r>
          </w:p>
        </w:tc>
        <w:tc>
          <w:tcPr>
            <w:tcW w:w="1120" w:type="dxa"/>
            <w:tcBorders>
              <w:top w:val="nil"/>
              <w:left w:val="nil"/>
              <w:bottom w:val="single" w:color="auto" w:sz="4" w:space="0"/>
              <w:right w:val="single" w:color="auto" w:sz="4" w:space="0"/>
            </w:tcBorders>
            <w:shd w:val="clear" w:color="auto" w:fill="auto"/>
            <w:vAlign w:val="center"/>
          </w:tcPr>
          <w:p w14:paraId="7B6ED2CE">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云服务平台</w:t>
            </w:r>
          </w:p>
        </w:tc>
        <w:tc>
          <w:tcPr>
            <w:tcW w:w="759" w:type="dxa"/>
            <w:tcBorders>
              <w:top w:val="nil"/>
              <w:left w:val="nil"/>
              <w:bottom w:val="single" w:color="auto" w:sz="4" w:space="0"/>
              <w:right w:val="single" w:color="auto" w:sz="4" w:space="0"/>
            </w:tcBorders>
            <w:shd w:val="clear" w:color="auto" w:fill="auto"/>
            <w:vAlign w:val="center"/>
          </w:tcPr>
          <w:p w14:paraId="43A95511">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定制</w:t>
            </w:r>
          </w:p>
        </w:tc>
        <w:tc>
          <w:tcPr>
            <w:tcW w:w="4968" w:type="dxa"/>
            <w:tcBorders>
              <w:top w:val="nil"/>
              <w:left w:val="nil"/>
              <w:bottom w:val="single" w:color="auto" w:sz="4" w:space="0"/>
              <w:right w:val="single" w:color="auto" w:sz="4" w:space="0"/>
            </w:tcBorders>
            <w:shd w:val="clear" w:color="auto" w:fill="auto"/>
            <w:vAlign w:val="center"/>
          </w:tcPr>
          <w:p w14:paraId="7B22A37C">
            <w:pPr>
              <w:widowControl/>
              <w:numPr>
                <w:ilvl w:val="0"/>
                <w:numId w:val="8"/>
              </w:numPr>
              <w:jc w:val="left"/>
              <w:rPr>
                <w:rFonts w:hint="eastAsia" w:ascii="宋体" w:hAnsi="宋体" w:eastAsia="宋体" w:cs="Times New Roman"/>
                <w:color w:val="000000" w:themeColor="text1"/>
                <w:kern w:val="2"/>
                <w:sz w:val="24"/>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管理方式：电脑、平板、手机均可管理</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2、运营报告：云平台自动生成清晰财务数据报表</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3、云端值守：可实现后台远程控制道闸开启或关闭</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4、数据端口开放：便于后期对接进场预登记系统上线。</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 xml:space="preserve">5、业务管理及查询：业务数据增、删、改、查 </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6、管理权限指派：自定义管理员、财务、值班员权限</w:t>
            </w:r>
            <w:r>
              <w:rPr>
                <w:rFonts w:hint="eastAsia" w:ascii="宋体" w:hAnsi="宋体" w:eastAsia="宋体" w:cs="Times New Roman"/>
                <w:color w:val="000000" w:themeColor="text1"/>
                <w:kern w:val="2"/>
                <w:sz w:val="24"/>
                <w:szCs w:val="22"/>
                <w:highlight w:val="none"/>
                <w14:textFill>
                  <w14:solidFill>
                    <w14:schemeClr w14:val="tx1"/>
                  </w14:solidFill>
                </w14:textFill>
              </w:rPr>
              <w:br w:type="textWrapping"/>
            </w:r>
            <w:r>
              <w:rPr>
                <w:rFonts w:hint="eastAsia" w:ascii="宋体" w:hAnsi="宋体" w:eastAsia="宋体" w:cs="Times New Roman"/>
                <w:color w:val="000000" w:themeColor="text1"/>
                <w:kern w:val="2"/>
                <w:sz w:val="24"/>
                <w:szCs w:val="22"/>
                <w:highlight w:val="none"/>
                <w14:textFill>
                  <w14:solidFill>
                    <w14:schemeClr w14:val="tx1"/>
                  </w14:solidFill>
                </w14:textFill>
              </w:rPr>
              <w:t>7、云端远程运维：云端升级，通用功能免费升级享用</w:t>
            </w:r>
          </w:p>
          <w:p w14:paraId="55160665">
            <w:pPr>
              <w:widowControl/>
              <w:numPr>
                <w:ilvl w:val="0"/>
                <w:numId w:val="0"/>
              </w:numPr>
              <w:jc w:val="left"/>
              <w:rPr>
                <w:rFonts w:hint="eastAsia" w:ascii="宋体" w:hAnsi="宋体" w:eastAsia="宋体" w:cs="Times New Roman"/>
                <w:color w:val="000000" w:themeColor="text1"/>
                <w:kern w:val="2"/>
                <w:sz w:val="24"/>
                <w:szCs w:val="22"/>
                <w:highlight w:val="none"/>
                <w14:textFill>
                  <w14:solidFill>
                    <w14:schemeClr w14:val="tx1"/>
                  </w14:solidFill>
                </w14:textFill>
              </w:rPr>
            </w:pPr>
            <w:r>
              <w:rPr>
                <w:rFonts w:hint="eastAsia" w:cs="Times New Roman"/>
                <w:b/>
                <w:bCs/>
                <w:color w:val="000000" w:themeColor="text1"/>
                <w:kern w:val="2"/>
                <w:sz w:val="24"/>
                <w:szCs w:val="22"/>
                <w:highlight w:val="none"/>
                <w14:textFill>
                  <w14:solidFill>
                    <w14:schemeClr w14:val="tx1"/>
                  </w14:solidFill>
                </w14:textFill>
              </w:rPr>
              <w:t>软件部分须符合招标功能，并满足招标人个性化需求。软件终身免费使用，不需要向任何主体缴纳任何费用，终身免费升级服务。</w:t>
            </w:r>
          </w:p>
        </w:tc>
        <w:tc>
          <w:tcPr>
            <w:tcW w:w="402" w:type="dxa"/>
            <w:tcBorders>
              <w:top w:val="nil"/>
              <w:left w:val="nil"/>
              <w:bottom w:val="single" w:color="auto" w:sz="4" w:space="0"/>
              <w:right w:val="single" w:color="auto" w:sz="4" w:space="0"/>
            </w:tcBorders>
            <w:shd w:val="clear" w:color="auto" w:fill="auto"/>
            <w:vAlign w:val="center"/>
          </w:tcPr>
          <w:p w14:paraId="7F94643B">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套</w:t>
            </w:r>
          </w:p>
        </w:tc>
        <w:tc>
          <w:tcPr>
            <w:tcW w:w="555" w:type="dxa"/>
            <w:tcBorders>
              <w:top w:val="nil"/>
              <w:left w:val="nil"/>
              <w:bottom w:val="single" w:color="auto" w:sz="4" w:space="0"/>
              <w:right w:val="single" w:color="auto" w:sz="4" w:space="0"/>
            </w:tcBorders>
            <w:shd w:val="clear" w:color="auto" w:fill="auto"/>
            <w:vAlign w:val="center"/>
          </w:tcPr>
          <w:p w14:paraId="47216FEA">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1</w:t>
            </w:r>
          </w:p>
        </w:tc>
      </w:tr>
      <w:tr w14:paraId="27ACED2F">
        <w:tblPrEx>
          <w:tblCellMar>
            <w:top w:w="0" w:type="dxa"/>
            <w:left w:w="108" w:type="dxa"/>
            <w:bottom w:w="0" w:type="dxa"/>
            <w:right w:w="108" w:type="dxa"/>
          </w:tblCellMar>
        </w:tblPrEx>
        <w:trPr>
          <w:trHeight w:val="73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584C885">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8</w:t>
            </w:r>
          </w:p>
        </w:tc>
        <w:tc>
          <w:tcPr>
            <w:tcW w:w="1120" w:type="dxa"/>
            <w:tcBorders>
              <w:top w:val="nil"/>
              <w:left w:val="nil"/>
              <w:bottom w:val="single" w:color="auto" w:sz="4" w:space="0"/>
              <w:right w:val="single" w:color="auto" w:sz="4" w:space="0"/>
            </w:tcBorders>
            <w:shd w:val="clear" w:color="auto" w:fill="auto"/>
            <w:vAlign w:val="center"/>
          </w:tcPr>
          <w:p w14:paraId="6DAB344D">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私有化部署</w:t>
            </w:r>
          </w:p>
        </w:tc>
        <w:tc>
          <w:tcPr>
            <w:tcW w:w="759" w:type="dxa"/>
            <w:tcBorders>
              <w:top w:val="nil"/>
              <w:left w:val="nil"/>
              <w:bottom w:val="single" w:color="auto" w:sz="4" w:space="0"/>
              <w:right w:val="single" w:color="auto" w:sz="4" w:space="0"/>
            </w:tcBorders>
            <w:shd w:val="clear" w:color="auto" w:fill="auto"/>
            <w:vAlign w:val="center"/>
          </w:tcPr>
          <w:p w14:paraId="48277411">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定制</w:t>
            </w:r>
          </w:p>
        </w:tc>
        <w:tc>
          <w:tcPr>
            <w:tcW w:w="4968" w:type="dxa"/>
            <w:tcBorders>
              <w:top w:val="nil"/>
              <w:left w:val="nil"/>
              <w:bottom w:val="single" w:color="auto" w:sz="4" w:space="0"/>
              <w:right w:val="single" w:color="auto" w:sz="4" w:space="0"/>
            </w:tcBorders>
            <w:shd w:val="clear" w:color="auto" w:fill="auto"/>
            <w:vAlign w:val="center"/>
          </w:tcPr>
          <w:p w14:paraId="2041EE3D">
            <w:pPr>
              <w:widowControl/>
              <w:jc w:val="left"/>
              <w:rPr>
                <w:rFonts w:ascii="Times New Roman" w:hAnsi="Times New Roman" w:eastAsia="等线" w:cs="Times New Roman"/>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私有化服务器部署服务，提供安装部署，集群搭建，系统培训工作与系统维护</w:t>
            </w:r>
          </w:p>
        </w:tc>
        <w:tc>
          <w:tcPr>
            <w:tcW w:w="402" w:type="dxa"/>
            <w:tcBorders>
              <w:top w:val="nil"/>
              <w:left w:val="nil"/>
              <w:bottom w:val="single" w:color="auto" w:sz="4" w:space="0"/>
              <w:right w:val="single" w:color="auto" w:sz="4" w:space="0"/>
            </w:tcBorders>
            <w:shd w:val="clear" w:color="auto" w:fill="auto"/>
            <w:vAlign w:val="center"/>
          </w:tcPr>
          <w:p w14:paraId="5196CCA0">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项</w:t>
            </w:r>
          </w:p>
        </w:tc>
        <w:tc>
          <w:tcPr>
            <w:tcW w:w="555" w:type="dxa"/>
            <w:tcBorders>
              <w:top w:val="nil"/>
              <w:left w:val="nil"/>
              <w:bottom w:val="single" w:color="auto" w:sz="4" w:space="0"/>
              <w:right w:val="single" w:color="auto" w:sz="4" w:space="0"/>
            </w:tcBorders>
            <w:shd w:val="clear" w:color="auto" w:fill="auto"/>
            <w:vAlign w:val="center"/>
          </w:tcPr>
          <w:p w14:paraId="310F4944">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1</w:t>
            </w:r>
          </w:p>
        </w:tc>
      </w:tr>
      <w:tr w14:paraId="7150BFAD">
        <w:tblPrEx>
          <w:tblCellMar>
            <w:top w:w="0" w:type="dxa"/>
            <w:left w:w="108" w:type="dxa"/>
            <w:bottom w:w="0" w:type="dxa"/>
            <w:right w:w="108" w:type="dxa"/>
          </w:tblCellMar>
        </w:tblPrEx>
        <w:trPr>
          <w:trHeight w:val="752"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030486AF">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9</w:t>
            </w:r>
          </w:p>
        </w:tc>
        <w:tc>
          <w:tcPr>
            <w:tcW w:w="1120" w:type="dxa"/>
            <w:tcBorders>
              <w:top w:val="nil"/>
              <w:left w:val="nil"/>
              <w:bottom w:val="single" w:color="auto" w:sz="4" w:space="0"/>
              <w:right w:val="single" w:color="auto" w:sz="4" w:space="0"/>
            </w:tcBorders>
            <w:shd w:val="clear" w:color="auto" w:fill="auto"/>
            <w:vAlign w:val="center"/>
          </w:tcPr>
          <w:p w14:paraId="54050556">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实施安装</w:t>
            </w:r>
          </w:p>
        </w:tc>
        <w:tc>
          <w:tcPr>
            <w:tcW w:w="759" w:type="dxa"/>
            <w:tcBorders>
              <w:top w:val="nil"/>
              <w:left w:val="nil"/>
              <w:bottom w:val="single" w:color="auto" w:sz="4" w:space="0"/>
              <w:right w:val="single" w:color="auto" w:sz="4" w:space="0"/>
            </w:tcBorders>
            <w:shd w:val="clear" w:color="auto" w:fill="auto"/>
            <w:vAlign w:val="center"/>
          </w:tcPr>
          <w:p w14:paraId="3F71E4DE">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定制</w:t>
            </w:r>
          </w:p>
        </w:tc>
        <w:tc>
          <w:tcPr>
            <w:tcW w:w="4968" w:type="dxa"/>
            <w:tcBorders>
              <w:top w:val="nil"/>
              <w:left w:val="nil"/>
              <w:bottom w:val="single" w:color="auto" w:sz="4" w:space="0"/>
              <w:right w:val="single" w:color="auto" w:sz="4" w:space="0"/>
            </w:tcBorders>
            <w:shd w:val="clear" w:color="auto" w:fill="auto"/>
            <w:vAlign w:val="center"/>
          </w:tcPr>
          <w:p w14:paraId="0C7529CE">
            <w:pPr>
              <w:widowControl/>
              <w:jc w:val="left"/>
              <w:rPr>
                <w:rFonts w:cs="宋体"/>
                <w:color w:val="000000" w:themeColor="text1"/>
                <w:sz w:val="22"/>
                <w:szCs w:val="22"/>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包括安装，旧设备拆除，调试，电源线、网线、及辅材等</w:t>
            </w:r>
          </w:p>
        </w:tc>
        <w:tc>
          <w:tcPr>
            <w:tcW w:w="402" w:type="dxa"/>
            <w:tcBorders>
              <w:top w:val="nil"/>
              <w:left w:val="nil"/>
              <w:bottom w:val="single" w:color="auto" w:sz="4" w:space="0"/>
              <w:right w:val="single" w:color="auto" w:sz="4" w:space="0"/>
            </w:tcBorders>
            <w:shd w:val="clear" w:color="auto" w:fill="auto"/>
            <w:vAlign w:val="center"/>
          </w:tcPr>
          <w:p w14:paraId="1C283DBB">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项</w:t>
            </w:r>
          </w:p>
        </w:tc>
        <w:tc>
          <w:tcPr>
            <w:tcW w:w="555" w:type="dxa"/>
            <w:tcBorders>
              <w:top w:val="nil"/>
              <w:left w:val="nil"/>
              <w:bottom w:val="single" w:color="auto" w:sz="4" w:space="0"/>
              <w:right w:val="single" w:color="auto" w:sz="4" w:space="0"/>
            </w:tcBorders>
            <w:shd w:val="clear" w:color="auto" w:fill="auto"/>
            <w:vAlign w:val="center"/>
          </w:tcPr>
          <w:p w14:paraId="5C037811">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1</w:t>
            </w:r>
          </w:p>
        </w:tc>
      </w:tr>
      <w:tr w14:paraId="0ADBA6C2">
        <w:tblPrEx>
          <w:tblCellMar>
            <w:top w:w="0" w:type="dxa"/>
            <w:left w:w="108" w:type="dxa"/>
            <w:bottom w:w="0" w:type="dxa"/>
            <w:right w:w="108" w:type="dxa"/>
          </w:tblCellMar>
        </w:tblPrEx>
        <w:trPr>
          <w:trHeight w:val="71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84294A7">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10</w:t>
            </w:r>
          </w:p>
        </w:tc>
        <w:tc>
          <w:tcPr>
            <w:tcW w:w="1120" w:type="dxa"/>
            <w:tcBorders>
              <w:top w:val="nil"/>
              <w:left w:val="nil"/>
              <w:bottom w:val="single" w:color="auto" w:sz="4" w:space="0"/>
              <w:right w:val="single" w:color="auto" w:sz="4" w:space="0"/>
            </w:tcBorders>
            <w:shd w:val="clear" w:color="auto" w:fill="auto"/>
            <w:vAlign w:val="center"/>
          </w:tcPr>
          <w:p w14:paraId="7D657C3F">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售后服务</w:t>
            </w:r>
          </w:p>
        </w:tc>
        <w:tc>
          <w:tcPr>
            <w:tcW w:w="759" w:type="dxa"/>
            <w:tcBorders>
              <w:top w:val="nil"/>
              <w:left w:val="nil"/>
              <w:bottom w:val="single" w:color="auto" w:sz="4" w:space="0"/>
              <w:right w:val="single" w:color="auto" w:sz="4" w:space="0"/>
            </w:tcBorders>
            <w:shd w:val="clear" w:color="auto" w:fill="auto"/>
            <w:vAlign w:val="center"/>
          </w:tcPr>
          <w:p w14:paraId="57FCFF20">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定制</w:t>
            </w:r>
          </w:p>
        </w:tc>
        <w:tc>
          <w:tcPr>
            <w:tcW w:w="4968" w:type="dxa"/>
            <w:tcBorders>
              <w:top w:val="nil"/>
              <w:left w:val="nil"/>
              <w:bottom w:val="single" w:color="auto" w:sz="4" w:space="0"/>
              <w:right w:val="single" w:color="auto" w:sz="4" w:space="0"/>
            </w:tcBorders>
            <w:shd w:val="clear" w:color="auto" w:fill="auto"/>
            <w:vAlign w:val="center"/>
          </w:tcPr>
          <w:p w14:paraId="480A069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2"/>
                <w:highlight w:val="none"/>
                <w14:textFill>
                  <w14:solidFill>
                    <w14:schemeClr w14:val="tx1"/>
                  </w14:solidFill>
                </w14:textFill>
              </w:rPr>
              <w:t>包括但不限于软硬件设备维保费用，免费维保期限及后期续保费用。提供全天候24小时即时响应服务，并指派1名技术人员</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负责对接，</w:t>
            </w:r>
            <w:r>
              <w:rPr>
                <w:rFonts w:hint="eastAsia" w:ascii="宋体" w:hAnsi="宋体" w:eastAsia="宋体" w:cs="Times New Roman"/>
                <w:color w:val="000000" w:themeColor="text1"/>
                <w:kern w:val="2"/>
                <w:sz w:val="24"/>
                <w:szCs w:val="22"/>
                <w:highlight w:val="none"/>
                <w14:textFill>
                  <w14:solidFill>
                    <w14:schemeClr w14:val="tx1"/>
                  </w14:solidFill>
                </w14:textFill>
              </w:rPr>
              <w:t>保证</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门禁</w:t>
            </w:r>
            <w:r>
              <w:rPr>
                <w:rFonts w:hint="eastAsia" w:ascii="宋体" w:hAnsi="宋体" w:eastAsia="宋体" w:cs="Times New Roman"/>
                <w:color w:val="000000" w:themeColor="text1"/>
                <w:kern w:val="2"/>
                <w:sz w:val="24"/>
                <w:szCs w:val="22"/>
                <w:highlight w:val="none"/>
                <w14:textFill>
                  <w14:solidFill>
                    <w14:schemeClr w14:val="tx1"/>
                  </w14:solidFill>
                </w14:textFill>
              </w:rPr>
              <w:t>连续正常运行。乙方在接到故障</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报修</w:t>
            </w:r>
            <w:r>
              <w:rPr>
                <w:rFonts w:hint="eastAsia" w:ascii="宋体" w:hAnsi="宋体" w:eastAsia="宋体" w:cs="Times New Roman"/>
                <w:color w:val="000000" w:themeColor="text1"/>
                <w:kern w:val="2"/>
                <w:sz w:val="24"/>
                <w:szCs w:val="22"/>
                <w:highlight w:val="none"/>
                <w14:textFill>
                  <w14:solidFill>
                    <w14:schemeClr w14:val="tx1"/>
                  </w14:solidFill>
                </w14:textFill>
              </w:rPr>
              <w:t>后，应在</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2</w:t>
            </w:r>
            <w:r>
              <w:rPr>
                <w:rFonts w:hint="eastAsia" w:ascii="宋体" w:hAnsi="宋体" w:eastAsia="宋体" w:cs="Times New Roman"/>
                <w:color w:val="000000" w:themeColor="text1"/>
                <w:kern w:val="2"/>
                <w:sz w:val="24"/>
                <w:szCs w:val="22"/>
                <w:highlight w:val="none"/>
                <w14:textFill>
                  <w14:solidFill>
                    <w14:schemeClr w14:val="tx1"/>
                  </w14:solidFill>
                </w14:textFill>
              </w:rPr>
              <w:t>小时内到现场</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处理，</w:t>
            </w:r>
            <w:r>
              <w:rPr>
                <w:rFonts w:hint="eastAsia" w:ascii="宋体" w:hAnsi="宋体" w:eastAsia="宋体" w:cs="Times New Roman"/>
                <w:color w:val="000000" w:themeColor="text1"/>
                <w:kern w:val="2"/>
                <w:sz w:val="24"/>
                <w:szCs w:val="22"/>
                <w:highlight w:val="none"/>
                <w14:textFill>
                  <w14:solidFill>
                    <w14:schemeClr w14:val="tx1"/>
                  </w14:solidFill>
                </w14:textFill>
              </w:rPr>
              <w:t>如不能按时到场的，每发生一次</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扣除</w:t>
            </w:r>
            <w:r>
              <w:rPr>
                <w:rFonts w:hint="eastAsia" w:ascii="宋体" w:hAnsi="宋体" w:eastAsia="宋体" w:cs="Times New Roman"/>
                <w:color w:val="000000" w:themeColor="text1"/>
                <w:kern w:val="2"/>
                <w:sz w:val="24"/>
                <w:szCs w:val="22"/>
                <w:highlight w:val="none"/>
                <w14:textFill>
                  <w14:solidFill>
                    <w14:schemeClr w14:val="tx1"/>
                  </w14:solidFill>
                </w14:textFill>
              </w:rPr>
              <w:t>承担违约金</w:t>
            </w:r>
            <w:r>
              <w:rPr>
                <w:rFonts w:hint="eastAsia" w:ascii="宋体" w:hAnsi="宋体" w:eastAsia="宋体" w:cs="Times New Roman"/>
                <w:color w:val="000000" w:themeColor="text1"/>
                <w:kern w:val="2"/>
                <w:sz w:val="24"/>
                <w:szCs w:val="22"/>
                <w:highlight w:val="none"/>
                <w:lang w:val="en-US" w:eastAsia="zh-CN"/>
                <w14:textFill>
                  <w14:solidFill>
                    <w14:schemeClr w14:val="tx1"/>
                  </w14:solidFill>
                </w14:textFill>
              </w:rPr>
              <w:t>2</w:t>
            </w:r>
            <w:r>
              <w:rPr>
                <w:rFonts w:hint="eastAsia" w:ascii="宋体" w:hAnsi="宋体" w:eastAsia="宋体" w:cs="Times New Roman"/>
                <w:color w:val="000000" w:themeColor="text1"/>
                <w:kern w:val="2"/>
                <w:sz w:val="24"/>
                <w:szCs w:val="22"/>
                <w:highlight w:val="none"/>
                <w14:textFill>
                  <w14:solidFill>
                    <w14:schemeClr w14:val="tx1"/>
                  </w14:solidFill>
                </w14:textFill>
              </w:rPr>
              <w:t>000元。</w:t>
            </w:r>
          </w:p>
          <w:p w14:paraId="6F66591F">
            <w:pPr>
              <w:widowControl/>
              <w:jc w:val="left"/>
              <w:rPr>
                <w:rFonts w:cs="宋体"/>
                <w:color w:val="000000" w:themeColor="text1"/>
                <w:sz w:val="22"/>
                <w:szCs w:val="22"/>
                <w:highlight w:val="none"/>
                <w14:textFill>
                  <w14:solidFill>
                    <w14:schemeClr w14:val="tx1"/>
                  </w14:solidFill>
                </w14:textFill>
              </w:rPr>
            </w:pPr>
          </w:p>
        </w:tc>
        <w:tc>
          <w:tcPr>
            <w:tcW w:w="402" w:type="dxa"/>
            <w:tcBorders>
              <w:top w:val="nil"/>
              <w:left w:val="nil"/>
              <w:bottom w:val="single" w:color="auto" w:sz="4" w:space="0"/>
              <w:right w:val="single" w:color="auto" w:sz="4" w:space="0"/>
            </w:tcBorders>
            <w:shd w:val="clear" w:color="auto" w:fill="auto"/>
            <w:vAlign w:val="center"/>
          </w:tcPr>
          <w:p w14:paraId="15304EAD">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项</w:t>
            </w:r>
          </w:p>
        </w:tc>
        <w:tc>
          <w:tcPr>
            <w:tcW w:w="555" w:type="dxa"/>
            <w:tcBorders>
              <w:top w:val="nil"/>
              <w:left w:val="nil"/>
              <w:bottom w:val="single" w:color="auto" w:sz="4" w:space="0"/>
              <w:right w:val="single" w:color="auto" w:sz="4" w:space="0"/>
            </w:tcBorders>
            <w:shd w:val="clear" w:color="auto" w:fill="auto"/>
            <w:vAlign w:val="center"/>
          </w:tcPr>
          <w:p w14:paraId="4AD9759F">
            <w:pPr>
              <w:widowControl/>
              <w:jc w:val="center"/>
              <w:rPr>
                <w:rFonts w:ascii="等线" w:hAnsi="等线" w:eastAsia="等线" w:cs="宋体"/>
                <w:color w:val="000000" w:themeColor="text1"/>
                <w:sz w:val="22"/>
                <w:szCs w:val="22"/>
                <w:highlight w:val="none"/>
                <w14:textFill>
                  <w14:solidFill>
                    <w14:schemeClr w14:val="tx1"/>
                  </w14:solidFill>
                </w14:textFill>
              </w:rPr>
            </w:pPr>
            <w:r>
              <w:rPr>
                <w:rFonts w:hint="eastAsia" w:ascii="等线" w:hAnsi="等线" w:eastAsia="等线" w:cs="宋体"/>
                <w:color w:val="000000" w:themeColor="text1"/>
                <w:sz w:val="22"/>
                <w:szCs w:val="22"/>
                <w:highlight w:val="none"/>
                <w14:textFill>
                  <w14:solidFill>
                    <w14:schemeClr w14:val="tx1"/>
                  </w14:solidFill>
                </w14:textFill>
              </w:rPr>
              <w:t>1</w:t>
            </w:r>
          </w:p>
        </w:tc>
      </w:tr>
      <w:tr w14:paraId="03438F0B">
        <w:tblPrEx>
          <w:tblCellMar>
            <w:top w:w="0" w:type="dxa"/>
            <w:left w:w="108" w:type="dxa"/>
            <w:bottom w:w="0" w:type="dxa"/>
            <w:right w:w="108" w:type="dxa"/>
          </w:tblCellMar>
        </w:tblPrEx>
        <w:trPr>
          <w:trHeight w:val="71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49160A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等线" w:hAnsi="等线" w:eastAsia="等线" w:cs="宋体"/>
                <w:color w:val="000000" w:themeColor="text1"/>
                <w:sz w:val="21"/>
                <w:szCs w:val="21"/>
                <w:highlight w:val="none"/>
                <w:lang w:val="en-US" w:eastAsia="zh-CN" w:bidi="ar-SA"/>
                <w14:textFill>
                  <w14:solidFill>
                    <w14:schemeClr w14:val="tx1"/>
                  </w14:solidFill>
                </w14:textFill>
              </w:rPr>
            </w:pPr>
            <w:r>
              <w:rPr>
                <w:rFonts w:hint="eastAsia" w:ascii="等线" w:hAnsi="等线" w:eastAsia="等线" w:cs="宋体"/>
                <w:color w:val="000000" w:themeColor="text1"/>
                <w:sz w:val="21"/>
                <w:szCs w:val="21"/>
                <w:highlight w:val="none"/>
                <w:lang w:val="en-US" w:eastAsia="zh-CN"/>
                <w14:textFill>
                  <w14:solidFill>
                    <w14:schemeClr w14:val="tx1"/>
                  </w14:solidFill>
                </w14:textFill>
              </w:rPr>
              <w:t>11</w:t>
            </w:r>
          </w:p>
        </w:tc>
        <w:tc>
          <w:tcPr>
            <w:tcW w:w="1120" w:type="dxa"/>
            <w:tcBorders>
              <w:top w:val="nil"/>
              <w:left w:val="nil"/>
              <w:bottom w:val="single" w:color="auto" w:sz="4" w:space="0"/>
              <w:right w:val="single" w:color="auto" w:sz="4" w:space="0"/>
            </w:tcBorders>
            <w:shd w:val="clear" w:color="auto" w:fill="auto"/>
            <w:vAlign w:val="center"/>
          </w:tcPr>
          <w:p w14:paraId="090CCB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等线" w:hAnsi="等线" w:eastAsia="等线"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2"/>
                <w:szCs w:val="22"/>
                <w:highlight w:val="none"/>
                <w14:textFill>
                  <w14:solidFill>
                    <w14:schemeClr w14:val="tx1"/>
                  </w14:solidFill>
                </w14:textFill>
              </w:rPr>
              <w:t>云服务平台</w:t>
            </w:r>
            <w:r>
              <w:rPr>
                <w:rFonts w:hint="eastAsia" w:cs="宋体"/>
                <w:color w:val="000000" w:themeColor="text1"/>
                <w:sz w:val="22"/>
                <w:szCs w:val="22"/>
                <w:highlight w:val="none"/>
                <w:lang w:val="en-US" w:eastAsia="zh-CN"/>
                <w14:textFill>
                  <w14:solidFill>
                    <w14:schemeClr w14:val="tx1"/>
                  </w14:solidFill>
                </w14:textFill>
              </w:rPr>
              <w:t>费用</w:t>
            </w:r>
          </w:p>
        </w:tc>
        <w:tc>
          <w:tcPr>
            <w:tcW w:w="759" w:type="dxa"/>
            <w:tcBorders>
              <w:top w:val="nil"/>
              <w:left w:val="nil"/>
              <w:bottom w:val="single" w:color="auto" w:sz="4" w:space="0"/>
              <w:right w:val="single" w:color="auto" w:sz="4" w:space="0"/>
            </w:tcBorders>
            <w:shd w:val="clear" w:color="auto" w:fill="auto"/>
            <w:vAlign w:val="center"/>
          </w:tcPr>
          <w:p w14:paraId="215C61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等线" w:hAnsi="等线" w:eastAsia="等线" w:cs="宋体"/>
                <w:color w:val="000000" w:themeColor="text1"/>
                <w:sz w:val="21"/>
                <w:szCs w:val="21"/>
                <w:highlight w:val="none"/>
                <w:lang w:val="en-US" w:eastAsia="zh-CN" w:bidi="ar-SA"/>
                <w14:textFill>
                  <w14:solidFill>
                    <w14:schemeClr w14:val="tx1"/>
                  </w14:solidFill>
                </w14:textFill>
              </w:rPr>
            </w:pPr>
          </w:p>
        </w:tc>
        <w:tc>
          <w:tcPr>
            <w:tcW w:w="4968" w:type="dxa"/>
            <w:tcBorders>
              <w:top w:val="nil"/>
              <w:left w:val="nil"/>
              <w:bottom w:val="single" w:color="auto" w:sz="4" w:space="0"/>
              <w:right w:val="single" w:color="auto" w:sz="4" w:space="0"/>
            </w:tcBorders>
            <w:shd w:val="clear" w:color="auto" w:fill="auto"/>
            <w:vAlign w:val="center"/>
          </w:tcPr>
          <w:p w14:paraId="392354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本次招标报价含云服务平台使用费，以及后期更新、升级等全部费用（自行考虑综合报价）</w:t>
            </w:r>
          </w:p>
        </w:tc>
        <w:tc>
          <w:tcPr>
            <w:tcW w:w="402" w:type="dxa"/>
            <w:tcBorders>
              <w:top w:val="nil"/>
              <w:left w:val="nil"/>
              <w:bottom w:val="single" w:color="auto" w:sz="4" w:space="0"/>
              <w:right w:val="single" w:color="auto" w:sz="4" w:space="0"/>
            </w:tcBorders>
            <w:shd w:val="clear" w:color="auto" w:fill="auto"/>
            <w:vAlign w:val="center"/>
          </w:tcPr>
          <w:p w14:paraId="0952BE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等线" w:hAnsi="等线" w:eastAsia="等线" w:cs="宋体"/>
                <w:color w:val="000000" w:themeColor="text1"/>
                <w:sz w:val="21"/>
                <w:szCs w:val="21"/>
                <w:highlight w:val="none"/>
                <w:lang w:val="en-US" w:eastAsia="zh-CN" w:bidi="ar-SA"/>
                <w14:textFill>
                  <w14:solidFill>
                    <w14:schemeClr w14:val="tx1"/>
                  </w14:solidFill>
                </w14:textFill>
              </w:rPr>
            </w:pPr>
            <w:r>
              <w:rPr>
                <w:rFonts w:hint="eastAsia" w:ascii="等线" w:hAnsi="等线" w:eastAsia="等线" w:cs="宋体"/>
                <w:color w:val="000000" w:themeColor="text1"/>
                <w:sz w:val="21"/>
                <w:szCs w:val="21"/>
                <w:highlight w:val="none"/>
                <w:lang w:val="en-US" w:eastAsia="zh-CN"/>
                <w14:textFill>
                  <w14:solidFill>
                    <w14:schemeClr w14:val="tx1"/>
                  </w14:solidFill>
                </w14:textFill>
              </w:rPr>
              <w:t>项</w:t>
            </w:r>
          </w:p>
        </w:tc>
        <w:tc>
          <w:tcPr>
            <w:tcW w:w="555" w:type="dxa"/>
            <w:tcBorders>
              <w:top w:val="nil"/>
              <w:left w:val="nil"/>
              <w:bottom w:val="single" w:color="auto" w:sz="4" w:space="0"/>
              <w:right w:val="single" w:color="auto" w:sz="4" w:space="0"/>
            </w:tcBorders>
            <w:shd w:val="clear" w:color="auto" w:fill="auto"/>
            <w:vAlign w:val="center"/>
          </w:tcPr>
          <w:p w14:paraId="78AB1A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等线" w:hAnsi="等线" w:eastAsia="等线" w:cs="宋体"/>
                <w:color w:val="000000" w:themeColor="text1"/>
                <w:sz w:val="21"/>
                <w:szCs w:val="21"/>
                <w:highlight w:val="none"/>
                <w:lang w:val="en-US" w:eastAsia="zh-CN" w:bidi="ar-SA"/>
                <w14:textFill>
                  <w14:solidFill>
                    <w14:schemeClr w14:val="tx1"/>
                  </w14:solidFill>
                </w14:textFill>
              </w:rPr>
            </w:pPr>
            <w:r>
              <w:rPr>
                <w:rFonts w:hint="eastAsia" w:ascii="等线" w:hAnsi="等线" w:eastAsia="等线" w:cs="宋体"/>
                <w:color w:val="000000" w:themeColor="text1"/>
                <w:sz w:val="21"/>
                <w:szCs w:val="21"/>
                <w:highlight w:val="none"/>
                <w:lang w:val="en-US" w:eastAsia="zh-CN"/>
                <w14:textFill>
                  <w14:solidFill>
                    <w14:schemeClr w14:val="tx1"/>
                  </w14:solidFill>
                </w14:textFill>
              </w:rPr>
              <w:t>1</w:t>
            </w:r>
          </w:p>
        </w:tc>
      </w:tr>
      <w:tr w14:paraId="4113F63A">
        <w:tblPrEx>
          <w:tblCellMar>
            <w:top w:w="0" w:type="dxa"/>
            <w:left w:w="108" w:type="dxa"/>
            <w:bottom w:w="0" w:type="dxa"/>
            <w:right w:w="108" w:type="dxa"/>
          </w:tblCellMar>
        </w:tblPrEx>
        <w:trPr>
          <w:trHeight w:val="716"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14:paraId="4E236A6B">
            <w:pPr>
              <w:widowControl/>
              <w:jc w:val="center"/>
              <w:rPr>
                <w:rFonts w:hint="default" w:ascii="等线" w:hAnsi="等线" w:eastAsia="等线" w:cs="宋体"/>
                <w:color w:val="000000" w:themeColor="text1"/>
                <w:sz w:val="22"/>
                <w:szCs w:val="22"/>
                <w:highlight w:val="none"/>
                <w:lang w:val="en-US" w:eastAsia="zh-CN"/>
                <w14:textFill>
                  <w14:solidFill>
                    <w14:schemeClr w14:val="tx1"/>
                  </w14:solidFill>
                </w14:textFill>
              </w:rPr>
            </w:pPr>
            <w:r>
              <w:rPr>
                <w:rFonts w:hint="eastAsia" w:ascii="等线" w:hAnsi="等线" w:eastAsia="等线" w:cs="宋体"/>
                <w:color w:val="000000" w:themeColor="text1"/>
                <w:sz w:val="22"/>
                <w:szCs w:val="22"/>
                <w:highlight w:val="none"/>
                <w:lang w:val="en-US" w:eastAsia="zh-CN"/>
                <w14:textFill>
                  <w14:solidFill>
                    <w14:schemeClr w14:val="tx1"/>
                  </w14:solidFill>
                </w14:textFill>
              </w:rPr>
              <w:t>12</w:t>
            </w:r>
          </w:p>
        </w:tc>
        <w:tc>
          <w:tcPr>
            <w:tcW w:w="1120" w:type="dxa"/>
            <w:tcBorders>
              <w:top w:val="single" w:color="auto" w:sz="4" w:space="0"/>
              <w:left w:val="nil"/>
              <w:bottom w:val="single" w:color="auto" w:sz="4" w:space="0"/>
              <w:right w:val="single" w:color="auto" w:sz="4" w:space="0"/>
            </w:tcBorders>
            <w:shd w:val="clear" w:color="auto" w:fill="auto"/>
            <w:vAlign w:val="center"/>
          </w:tcPr>
          <w:p w14:paraId="2C9C5339">
            <w:pPr>
              <w:widowControl/>
              <w:jc w:val="center"/>
              <w:rPr>
                <w:rFonts w:hint="eastAsia" w:ascii="等线" w:hAnsi="等线" w:eastAsia="等线" w:cs="宋体"/>
                <w:color w:val="000000" w:themeColor="text1"/>
                <w:sz w:val="22"/>
                <w:szCs w:val="22"/>
                <w:highlight w:val="none"/>
                <w:lang w:val="en-US" w:eastAsia="zh-CN"/>
                <w14:textFill>
                  <w14:solidFill>
                    <w14:schemeClr w14:val="tx1"/>
                  </w14:solidFill>
                </w14:textFill>
              </w:rPr>
            </w:pPr>
            <w:r>
              <w:rPr>
                <w:rFonts w:hint="eastAsia" w:cs="宋体"/>
                <w:color w:val="000000" w:themeColor="text1"/>
                <w:sz w:val="22"/>
                <w:szCs w:val="22"/>
                <w:highlight w:val="none"/>
                <w:lang w:val="en-US" w:eastAsia="zh-CN"/>
                <w14:textFill>
                  <w14:solidFill>
                    <w14:schemeClr w14:val="tx1"/>
                  </w14:solidFill>
                </w14:textFill>
              </w:rPr>
              <w:t>质保期</w:t>
            </w:r>
          </w:p>
        </w:tc>
        <w:tc>
          <w:tcPr>
            <w:tcW w:w="759" w:type="dxa"/>
            <w:tcBorders>
              <w:top w:val="single" w:color="auto" w:sz="4" w:space="0"/>
              <w:left w:val="nil"/>
              <w:bottom w:val="single" w:color="auto" w:sz="4" w:space="0"/>
              <w:right w:val="single" w:color="auto" w:sz="4" w:space="0"/>
            </w:tcBorders>
            <w:shd w:val="clear" w:color="auto" w:fill="auto"/>
            <w:vAlign w:val="center"/>
          </w:tcPr>
          <w:p w14:paraId="121635B2">
            <w:pPr>
              <w:widowControl/>
              <w:jc w:val="center"/>
              <w:rPr>
                <w:rFonts w:hint="eastAsia" w:ascii="等线" w:hAnsi="等线" w:eastAsia="等线" w:cs="宋体"/>
                <w:color w:val="000000" w:themeColor="text1"/>
                <w:sz w:val="22"/>
                <w:szCs w:val="22"/>
                <w:highlight w:val="none"/>
                <w14:textFill>
                  <w14:solidFill>
                    <w14:schemeClr w14:val="tx1"/>
                  </w14:solidFill>
                </w14:textFill>
              </w:rPr>
            </w:pPr>
          </w:p>
        </w:tc>
        <w:tc>
          <w:tcPr>
            <w:tcW w:w="4968" w:type="dxa"/>
            <w:tcBorders>
              <w:top w:val="single" w:color="auto" w:sz="4" w:space="0"/>
              <w:left w:val="nil"/>
              <w:bottom w:val="single" w:color="auto" w:sz="4" w:space="0"/>
              <w:right w:val="single" w:color="auto" w:sz="4" w:space="0"/>
            </w:tcBorders>
            <w:shd w:val="clear" w:color="auto" w:fill="auto"/>
            <w:vAlign w:val="center"/>
          </w:tcPr>
          <w:p w14:paraId="37CECFF5">
            <w:pPr>
              <w:widowControl/>
              <w:jc w:val="left"/>
              <w:rPr>
                <w:rFonts w:hint="eastAsia" w:eastAsia="宋体" w:cs="宋体"/>
                <w:color w:val="000000" w:themeColor="text1"/>
                <w:sz w:val="22"/>
                <w:szCs w:val="22"/>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一年</w:t>
            </w:r>
          </w:p>
        </w:tc>
        <w:tc>
          <w:tcPr>
            <w:tcW w:w="402" w:type="dxa"/>
            <w:tcBorders>
              <w:top w:val="single" w:color="auto" w:sz="4" w:space="0"/>
              <w:left w:val="nil"/>
              <w:bottom w:val="single" w:color="auto" w:sz="4" w:space="0"/>
              <w:right w:val="single" w:color="auto" w:sz="4" w:space="0"/>
            </w:tcBorders>
            <w:shd w:val="clear" w:color="auto" w:fill="auto"/>
            <w:vAlign w:val="center"/>
          </w:tcPr>
          <w:p w14:paraId="491E7CE0">
            <w:pPr>
              <w:widowControl/>
              <w:jc w:val="center"/>
              <w:rPr>
                <w:rFonts w:hint="eastAsia" w:ascii="等线" w:hAnsi="等线" w:eastAsia="等线" w:cs="宋体"/>
                <w:color w:val="000000" w:themeColor="text1"/>
                <w:sz w:val="22"/>
                <w:szCs w:val="22"/>
                <w:highlight w:val="none"/>
                <w14:textFill>
                  <w14:solidFill>
                    <w14:schemeClr w14:val="tx1"/>
                  </w14:solidFill>
                </w14:textFill>
              </w:rPr>
            </w:pPr>
          </w:p>
        </w:tc>
        <w:tc>
          <w:tcPr>
            <w:tcW w:w="555" w:type="dxa"/>
            <w:tcBorders>
              <w:top w:val="single" w:color="auto" w:sz="4" w:space="0"/>
              <w:left w:val="nil"/>
              <w:bottom w:val="single" w:color="auto" w:sz="4" w:space="0"/>
              <w:right w:val="single" w:color="auto" w:sz="4" w:space="0"/>
            </w:tcBorders>
            <w:shd w:val="clear" w:color="auto" w:fill="auto"/>
            <w:vAlign w:val="center"/>
          </w:tcPr>
          <w:p w14:paraId="5ACB7EF5">
            <w:pPr>
              <w:widowControl/>
              <w:jc w:val="center"/>
              <w:rPr>
                <w:rFonts w:hint="eastAsia" w:ascii="等线" w:hAnsi="等线" w:eastAsia="等线" w:cs="宋体"/>
                <w:color w:val="000000" w:themeColor="text1"/>
                <w:sz w:val="22"/>
                <w:szCs w:val="22"/>
                <w:highlight w:val="none"/>
                <w14:textFill>
                  <w14:solidFill>
                    <w14:schemeClr w14:val="tx1"/>
                  </w14:solidFill>
                </w14:textFill>
              </w:rPr>
            </w:pPr>
          </w:p>
        </w:tc>
      </w:tr>
    </w:tbl>
    <w:p w14:paraId="3172A4DE">
      <w:pPr>
        <w:spacing w:line="360" w:lineRule="auto"/>
        <w:jc w:val="left"/>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cs="Times New Roman"/>
          <w:b/>
          <w:bCs/>
          <w:color w:val="000000" w:themeColor="text1"/>
          <w:kern w:val="2"/>
          <w:sz w:val="24"/>
          <w:szCs w:val="22"/>
          <w:highlight w:val="none"/>
          <w:lang w:val="en-US" w:eastAsia="zh-CN"/>
          <w14:textFill>
            <w14:solidFill>
              <w14:schemeClr w14:val="tx1"/>
            </w14:solidFill>
          </w14:textFill>
        </w:rPr>
        <w:t>注：</w:t>
      </w:r>
      <w:r>
        <w:rPr>
          <w:rFonts w:hint="eastAsia" w:ascii="宋体" w:hAnsi="宋体" w:eastAsia="宋体" w:cs="Times New Roman"/>
          <w:b/>
          <w:bCs/>
          <w:color w:val="000000" w:themeColor="text1"/>
          <w:kern w:val="2"/>
          <w:sz w:val="24"/>
          <w:szCs w:val="22"/>
          <w:highlight w:val="none"/>
          <w14:textFill>
            <w14:solidFill>
              <w14:schemeClr w14:val="tx1"/>
            </w14:solidFill>
          </w14:textFill>
        </w:rPr>
        <w:t>CMA标志</w:t>
      </w:r>
      <w:r>
        <w:rPr>
          <w:rFonts w:hint="eastAsia" w:cs="Times New Roman"/>
          <w:b/>
          <w:bCs/>
          <w:color w:val="000000" w:themeColor="text1"/>
          <w:kern w:val="2"/>
          <w:sz w:val="24"/>
          <w:szCs w:val="22"/>
          <w:highlight w:val="none"/>
          <w:lang w:val="en-US" w:eastAsia="zh-CN"/>
          <w14:textFill>
            <w14:solidFill>
              <w14:schemeClr w14:val="tx1"/>
            </w14:solidFill>
          </w14:textFill>
        </w:rPr>
        <w:t>的检验报告的证明材料在投标函中承诺即可，无需提供扫描件，待中标后须提供第三方检测机构出具的具有CMA(或CNAS)标识的所投产品型号的检测或检验报告。</w:t>
      </w:r>
    </w:p>
    <w:p w14:paraId="5B725B87">
      <w:pPr>
        <w:spacing w:line="360" w:lineRule="auto"/>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p>
    <w:p w14:paraId="3587431B">
      <w:pPr>
        <w:spacing w:line="360" w:lineRule="auto"/>
        <w:jc w:val="both"/>
        <w:outlineLvl w:val="1"/>
        <w:rPr>
          <w:rFonts w:hint="eastAsia" w:asciiTheme="minorEastAsia" w:hAnsiTheme="minorEastAsia" w:eastAsiaTheme="minorEastAsia"/>
          <w:b/>
          <w:color w:val="000000" w:themeColor="text1"/>
          <w:sz w:val="28"/>
          <w:highlight w:val="none"/>
          <w14:textFill>
            <w14:solidFill>
              <w14:schemeClr w14:val="tx1"/>
            </w14:solidFill>
          </w14:textFill>
        </w:rPr>
      </w:pPr>
    </w:p>
    <w:p w14:paraId="5AC8E8D8">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7"/>
    </w:p>
    <w:p w14:paraId="6DF9C0DD">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一、总则</w:t>
      </w:r>
    </w:p>
    <w:p w14:paraId="3947D425">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采用综合评分法评审</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满足磋商文件全部实质性要求且按评审因素的量化指标评审得分最高的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olor w:val="000000" w:themeColor="text1"/>
          <w:sz w:val="24"/>
          <w:highlight w:val="none"/>
          <w14:textFill>
            <w14:solidFill>
              <w14:schemeClr w14:val="tx1"/>
            </w14:solidFill>
          </w14:textFill>
        </w:rPr>
        <w:t>的评审方法。</w:t>
      </w:r>
    </w:p>
    <w:p w14:paraId="5E055632">
      <w:pPr>
        <w:spacing w:line="360" w:lineRule="auto"/>
        <w:ind w:firstLine="437"/>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p>
    <w:p w14:paraId="25FE8E1F">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2.1初审</w:t>
      </w:r>
    </w:p>
    <w:p w14:paraId="51C9B45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进行初审，以确定其是否满足磋商文件的实质性要求。初审表如下：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14:paraId="4256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DDD6877">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0856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14:paraId="3FD67FE9">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序号</w:t>
            </w:r>
          </w:p>
        </w:tc>
        <w:tc>
          <w:tcPr>
            <w:tcW w:w="1304" w:type="pct"/>
            <w:tcBorders>
              <w:bottom w:val="single" w:color="auto" w:sz="4" w:space="0"/>
            </w:tcBorders>
            <w:vAlign w:val="center"/>
          </w:tcPr>
          <w:p w14:paraId="010FF32C">
            <w:pPr>
              <w:adjustRightInd w:val="0"/>
              <w:snapToGrid w:val="0"/>
              <w:ind w:right="-10"/>
              <w:jc w:val="center"/>
              <w:rPr>
                <w:rFonts w:ascii="Calibri" w:hAnsi="Calibri" w:cs="Times New Roman"/>
                <w:b/>
                <w:color w:val="000000" w:themeColor="text1"/>
                <w:kern w:val="2"/>
                <w:sz w:val="24"/>
                <w:szCs w:val="24"/>
                <w:highlight w:val="none"/>
                <w14:textFill>
                  <w14:solidFill>
                    <w14:schemeClr w14:val="tx1"/>
                  </w14:solidFill>
                </w14:textFill>
              </w:rPr>
            </w:pPr>
            <w:r>
              <w:rPr>
                <w:rFonts w:hint="eastAsia" w:ascii="Calibri" w:hAnsi="Calibri" w:cs="Times New Roman"/>
                <w:b/>
                <w:color w:val="000000" w:themeColor="text1"/>
                <w:kern w:val="2"/>
                <w:sz w:val="24"/>
                <w:szCs w:val="24"/>
                <w:highlight w:val="none"/>
                <w14:textFill>
                  <w14:solidFill>
                    <w14:schemeClr w14:val="tx1"/>
                  </w14:solidFill>
                </w14:textFill>
              </w:rPr>
              <w:t>评审指标</w:t>
            </w:r>
          </w:p>
        </w:tc>
        <w:tc>
          <w:tcPr>
            <w:tcW w:w="3285" w:type="pct"/>
            <w:tcBorders>
              <w:bottom w:val="single" w:color="auto" w:sz="4" w:space="0"/>
            </w:tcBorders>
            <w:vAlign w:val="center"/>
          </w:tcPr>
          <w:p w14:paraId="1E5599D4">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合格条件</w:t>
            </w:r>
          </w:p>
        </w:tc>
      </w:tr>
      <w:tr w14:paraId="4405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4329CFB">
            <w:pPr>
              <w:adjustRightInd w:val="0"/>
              <w:snapToGrid w:val="0"/>
              <w:ind w:right="-10"/>
              <w:jc w:val="center"/>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1</w:t>
            </w:r>
          </w:p>
        </w:tc>
        <w:tc>
          <w:tcPr>
            <w:tcW w:w="1304" w:type="pct"/>
            <w:tcBorders>
              <w:bottom w:val="single" w:color="auto" w:sz="4" w:space="0"/>
            </w:tcBorders>
            <w:vAlign w:val="center"/>
          </w:tcPr>
          <w:p w14:paraId="7285237F">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营业执照</w:t>
            </w:r>
          </w:p>
        </w:tc>
        <w:tc>
          <w:tcPr>
            <w:tcW w:w="3285" w:type="pct"/>
            <w:tcBorders>
              <w:bottom w:val="single" w:color="auto" w:sz="4" w:space="0"/>
            </w:tcBorders>
            <w:vAlign w:val="center"/>
          </w:tcPr>
          <w:p w14:paraId="0304C224">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提供有效的营业执照扫描件，应完整</w:t>
            </w:r>
            <w:r>
              <w:rPr>
                <w:rFonts w:hint="eastAsia" w:cs="Times New Roman"/>
                <w:color w:val="000000" w:themeColor="text1"/>
                <w:kern w:val="2"/>
                <w:sz w:val="24"/>
                <w:szCs w:val="22"/>
                <w:highlight w:val="none"/>
                <w:lang w:eastAsia="zh-CN"/>
                <w14:textFill>
                  <w14:solidFill>
                    <w14:schemeClr w14:val="tx1"/>
                  </w14:solidFill>
                </w14:textFill>
              </w:rPr>
              <w:t>地</w:t>
            </w:r>
            <w:r>
              <w:rPr>
                <w:rFonts w:hint="eastAsia" w:cs="Times New Roman"/>
                <w:color w:val="000000" w:themeColor="text1"/>
                <w:kern w:val="2"/>
                <w:sz w:val="24"/>
                <w:szCs w:val="22"/>
                <w:highlight w:val="none"/>
                <w14:textFill>
                  <w14:solidFill>
                    <w14:schemeClr w14:val="tx1"/>
                  </w14:solidFill>
                </w14:textFill>
              </w:rPr>
              <w:t>体现出营业执照的全部内容。联合体磋商的联合体各方均须提供。</w:t>
            </w:r>
          </w:p>
        </w:tc>
      </w:tr>
      <w:tr w14:paraId="3A8E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FC10A2">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2</w:t>
            </w:r>
          </w:p>
        </w:tc>
        <w:tc>
          <w:tcPr>
            <w:tcW w:w="1304" w:type="pct"/>
            <w:vAlign w:val="center"/>
          </w:tcPr>
          <w:p w14:paraId="1CEABA4C">
            <w:pPr>
              <w:adjustRightInd w:val="0"/>
              <w:snapToGrid w:val="0"/>
              <w:ind w:right="-10"/>
              <w:jc w:val="left"/>
              <w:rPr>
                <w:rFonts w:hint="eastAsia"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投标人</w:t>
            </w:r>
            <w:r>
              <w:rPr>
                <w:rFonts w:hint="eastAsia" w:cs="Times New Roman"/>
                <w:color w:val="000000" w:themeColor="text1"/>
                <w:kern w:val="2"/>
                <w:sz w:val="24"/>
                <w:highlight w:val="none"/>
                <w14:textFill>
                  <w14:solidFill>
                    <w14:schemeClr w14:val="tx1"/>
                  </w14:solidFill>
                </w14:textFill>
              </w:rPr>
              <w:t>业绩</w:t>
            </w:r>
          </w:p>
        </w:tc>
        <w:tc>
          <w:tcPr>
            <w:tcW w:w="3285" w:type="pct"/>
            <w:vAlign w:val="center"/>
          </w:tcPr>
          <w:p w14:paraId="5ED75E20">
            <w:pPr>
              <w:spacing w:line="420" w:lineRule="exact"/>
              <w:ind w:right="-11" w:rightChars="0" w:firstLine="0" w:firstLineChars="0"/>
              <w:jc w:val="both"/>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提供</w:t>
            </w:r>
            <w:r>
              <w:rPr>
                <w:rFonts w:hint="eastAsia" w:cs="Times New Roman"/>
                <w:color w:val="000000" w:themeColor="text1"/>
                <w:kern w:val="2"/>
                <w:sz w:val="24"/>
                <w:szCs w:val="22"/>
                <w:highlight w:val="none"/>
                <w:lang w:val="en-US" w:eastAsia="zh-CN"/>
                <w14:textFill>
                  <w14:solidFill>
                    <w14:schemeClr w14:val="tx1"/>
                  </w14:solidFill>
                </w14:textFill>
              </w:rPr>
              <w:t>符合磋商公告</w:t>
            </w:r>
            <w:r>
              <w:rPr>
                <w:rFonts w:hint="eastAsia" w:cs="Times New Roman"/>
                <w:color w:val="000000" w:themeColor="text1"/>
                <w:kern w:val="2"/>
                <w:sz w:val="24"/>
                <w:szCs w:val="22"/>
                <w:highlight w:val="none"/>
                <w14:textFill>
                  <w14:solidFill>
                    <w14:schemeClr w14:val="tx1"/>
                  </w14:solidFill>
                </w14:textFill>
              </w:rPr>
              <w:t>的</w:t>
            </w:r>
            <w:r>
              <w:rPr>
                <w:rFonts w:hint="eastAsia" w:cs="Times New Roman"/>
                <w:color w:val="000000" w:themeColor="text1"/>
                <w:kern w:val="2"/>
                <w:sz w:val="24"/>
                <w:szCs w:val="22"/>
                <w:highlight w:val="none"/>
                <w:lang w:val="en-US" w:eastAsia="zh-CN"/>
                <w14:textFill>
                  <w14:solidFill>
                    <w14:schemeClr w14:val="tx1"/>
                  </w14:solidFill>
                </w14:textFill>
              </w:rPr>
              <w:t>投标人业绩。</w:t>
            </w:r>
          </w:p>
        </w:tc>
      </w:tr>
      <w:tr w14:paraId="6343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6FDF7A6">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3</w:t>
            </w:r>
          </w:p>
        </w:tc>
        <w:tc>
          <w:tcPr>
            <w:tcW w:w="1304" w:type="pct"/>
            <w:vAlign w:val="center"/>
          </w:tcPr>
          <w:p w14:paraId="6EE362CC">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投标</w:t>
            </w:r>
            <w:r>
              <w:rPr>
                <w:rFonts w:hint="eastAsia" w:cs="Times New Roman"/>
                <w:color w:val="000000" w:themeColor="text1"/>
                <w:kern w:val="2"/>
                <w:sz w:val="24"/>
                <w:highlight w:val="none"/>
                <w14:textFill>
                  <w14:solidFill>
                    <w14:schemeClr w14:val="tx1"/>
                  </w14:solidFill>
                </w14:textFill>
              </w:rPr>
              <w:t>函</w:t>
            </w:r>
          </w:p>
        </w:tc>
        <w:tc>
          <w:tcPr>
            <w:tcW w:w="3285" w:type="pct"/>
            <w:vAlign w:val="center"/>
          </w:tcPr>
          <w:p w14:paraId="0FB1FC41">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r>
      <w:tr w14:paraId="2E0E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751D441">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4</w:t>
            </w:r>
          </w:p>
        </w:tc>
        <w:tc>
          <w:tcPr>
            <w:tcW w:w="1304" w:type="pct"/>
            <w:vAlign w:val="center"/>
          </w:tcPr>
          <w:p w14:paraId="289F781E">
            <w:pPr>
              <w:adjustRightInd w:val="0"/>
              <w:snapToGrid w:val="0"/>
              <w:ind w:right="-10"/>
              <w:jc w:val="left"/>
              <w:rPr>
                <w:rFonts w:hint="eastAsia" w:cs="Times New Roman"/>
                <w:color w:val="000000" w:themeColor="text1"/>
                <w:kern w:val="2"/>
                <w:sz w:val="24"/>
                <w:highlight w:val="none"/>
                <w:lang w:val="en-US"/>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磋商文件</w:t>
            </w:r>
            <w:r>
              <w:rPr>
                <w:rFonts w:hint="eastAsia" w:cs="Times New Roman"/>
                <w:color w:val="000000" w:themeColor="text1"/>
                <w:kern w:val="2"/>
                <w:sz w:val="24"/>
                <w:highlight w:val="none"/>
                <w14:textFill>
                  <w14:solidFill>
                    <w14:schemeClr w14:val="tx1"/>
                  </w14:solidFill>
                </w14:textFill>
              </w:rPr>
              <w:t>获取情况</w:t>
            </w:r>
          </w:p>
        </w:tc>
        <w:tc>
          <w:tcPr>
            <w:tcW w:w="3285" w:type="pct"/>
            <w:vAlign w:val="center"/>
          </w:tcPr>
          <w:p w14:paraId="1C172567">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在</w:t>
            </w:r>
            <w:r>
              <w:rPr>
                <w:rFonts w:hint="eastAsia" w:asciiTheme="minorEastAsia" w:hAnsiTheme="minorEastAsia" w:eastAsiaTheme="minorEastAsia"/>
                <w:color w:val="000000" w:themeColor="text1"/>
                <w:sz w:val="24"/>
                <w:szCs w:val="28"/>
                <w:highlight w:val="none"/>
                <w:lang w:eastAsia="zh-CN"/>
                <w14:textFill>
                  <w14:solidFill>
                    <w14:schemeClr w14:val="tx1"/>
                  </w14:solidFill>
                </w14:textFill>
              </w:rPr>
              <w:t>磋商文件</w:t>
            </w:r>
            <w:r>
              <w:rPr>
                <w:rFonts w:hint="eastAsia" w:asciiTheme="minorEastAsia" w:hAnsiTheme="minorEastAsia" w:eastAsiaTheme="minorEastAsia"/>
                <w:color w:val="000000" w:themeColor="text1"/>
                <w:sz w:val="24"/>
                <w:szCs w:val="28"/>
                <w:highlight w:val="none"/>
                <w14:textFill>
                  <w14:solidFill>
                    <w14:schemeClr w14:val="tx1"/>
                  </w14:solidFill>
                </w14:textFill>
              </w:rPr>
              <w:t>获取截止时间前完成</w:t>
            </w:r>
            <w:r>
              <w:rPr>
                <w:rFonts w:hint="eastAsia" w:asciiTheme="minorEastAsia" w:hAnsiTheme="minorEastAsia" w:eastAsiaTheme="minorEastAsia"/>
                <w:color w:val="000000" w:themeColor="text1"/>
                <w:sz w:val="24"/>
                <w:szCs w:val="28"/>
                <w:highlight w:val="none"/>
                <w:lang w:eastAsia="zh-CN"/>
                <w14:textFill>
                  <w14:solidFill>
                    <w14:schemeClr w14:val="tx1"/>
                  </w14:solidFill>
                </w14:textFill>
              </w:rPr>
              <w:t>磋商文件</w:t>
            </w:r>
            <w:r>
              <w:rPr>
                <w:rFonts w:hint="eastAsia" w:asciiTheme="minorEastAsia" w:hAnsiTheme="minorEastAsia" w:eastAsiaTheme="minorEastAsia"/>
                <w:color w:val="000000" w:themeColor="text1"/>
                <w:sz w:val="24"/>
                <w:szCs w:val="28"/>
                <w:highlight w:val="none"/>
                <w14:textFill>
                  <w14:solidFill>
                    <w14:schemeClr w14:val="tx1"/>
                  </w14:solidFill>
                </w14:textFill>
              </w:rPr>
              <w:t>获取</w:t>
            </w:r>
            <w:r>
              <w:rPr>
                <w:rFonts w:hint="eastAsia" w:cs="Times New Roman"/>
                <w:color w:val="000000" w:themeColor="text1"/>
                <w:kern w:val="2"/>
                <w:sz w:val="24"/>
                <w:szCs w:val="22"/>
                <w:highlight w:val="none"/>
                <w14:textFill>
                  <w14:solidFill>
                    <w14:schemeClr w14:val="tx1"/>
                  </w14:solidFill>
                </w14:textFill>
              </w:rPr>
              <w:t>。</w:t>
            </w:r>
          </w:p>
        </w:tc>
      </w:tr>
      <w:tr w14:paraId="6247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D79760F">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5</w:t>
            </w:r>
          </w:p>
        </w:tc>
        <w:tc>
          <w:tcPr>
            <w:tcW w:w="1304" w:type="pct"/>
            <w:vAlign w:val="center"/>
          </w:tcPr>
          <w:p w14:paraId="6B6EAF51">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3285" w:type="pct"/>
            <w:vAlign w:val="center"/>
          </w:tcPr>
          <w:p w14:paraId="50CE2D3A">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r>
      <w:tr w14:paraId="2A7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D6232AB">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6</w:t>
            </w:r>
          </w:p>
        </w:tc>
        <w:tc>
          <w:tcPr>
            <w:tcW w:w="1304" w:type="pct"/>
            <w:vAlign w:val="center"/>
          </w:tcPr>
          <w:p w14:paraId="2249AEB2">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磋商保证金</w:t>
            </w:r>
          </w:p>
        </w:tc>
        <w:tc>
          <w:tcPr>
            <w:tcW w:w="3285" w:type="pct"/>
            <w:vAlign w:val="center"/>
          </w:tcPr>
          <w:p w14:paraId="053A2DC6">
            <w:pPr>
              <w:adjustRightInd w:val="0"/>
              <w:snapToGrid w:val="0"/>
              <w:spacing w:line="360" w:lineRule="auto"/>
              <w:ind w:right="-10"/>
              <w:rPr>
                <w:rFonts w:hint="eastAsia" w:eastAsia="宋体"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r>
              <w:rPr>
                <w:rFonts w:hint="eastAsia" w:cs="Times New Roman"/>
                <w:color w:val="000000" w:themeColor="text1"/>
                <w:kern w:val="2"/>
                <w:sz w:val="24"/>
                <w:szCs w:val="22"/>
                <w:highlight w:val="none"/>
                <w:lang w:eastAsia="zh-CN"/>
                <w14:textFill>
                  <w14:solidFill>
                    <w14:schemeClr w14:val="tx1"/>
                  </w14:solidFill>
                </w14:textFill>
              </w:rPr>
              <w:t>。</w:t>
            </w:r>
          </w:p>
        </w:tc>
      </w:tr>
      <w:tr w14:paraId="7515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DF13030">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7</w:t>
            </w:r>
          </w:p>
        </w:tc>
        <w:tc>
          <w:tcPr>
            <w:tcW w:w="1304" w:type="pct"/>
            <w:vAlign w:val="center"/>
          </w:tcPr>
          <w:p w14:paraId="5C2F9F80">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磋商报价</w:t>
            </w:r>
          </w:p>
        </w:tc>
        <w:tc>
          <w:tcPr>
            <w:tcW w:w="3285" w:type="pct"/>
            <w:vAlign w:val="center"/>
          </w:tcPr>
          <w:p w14:paraId="698C25F6">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符合磋商文件要求。</w:t>
            </w:r>
          </w:p>
        </w:tc>
      </w:tr>
      <w:tr w14:paraId="1EF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DD2073B">
            <w:pPr>
              <w:adjustRightInd w:val="0"/>
              <w:snapToGrid w:val="0"/>
              <w:ind w:right="-10"/>
              <w:jc w:val="center"/>
              <w:rPr>
                <w:rFonts w:hint="default"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8</w:t>
            </w:r>
          </w:p>
        </w:tc>
        <w:tc>
          <w:tcPr>
            <w:tcW w:w="1304" w:type="pct"/>
            <w:vAlign w:val="center"/>
          </w:tcPr>
          <w:p w14:paraId="3AE505D4">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未出现异常情形</w:t>
            </w:r>
          </w:p>
        </w:tc>
        <w:tc>
          <w:tcPr>
            <w:tcW w:w="3285" w:type="pct"/>
            <w:vAlign w:val="center"/>
          </w:tcPr>
          <w:p w14:paraId="3A71E289">
            <w:pPr>
              <w:adjustRightInd w:val="0"/>
              <w:snapToGrid w:val="0"/>
              <w:spacing w:line="360" w:lineRule="auto"/>
              <w:ind w:right="-10"/>
              <w:rPr>
                <w:rFonts w:hint="eastAsia"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不同投标人未出现使用相同的机器识别码进行投标的情</w:t>
            </w:r>
            <w:r>
              <w:rPr>
                <w:rFonts w:hint="eastAsia" w:cs="Times New Roman"/>
                <w:color w:val="000000" w:themeColor="text1"/>
                <w:kern w:val="2"/>
                <w:sz w:val="24"/>
                <w:szCs w:val="22"/>
                <w:highlight w:val="none"/>
                <w:lang w:val="en-US" w:eastAsia="zh-CN"/>
                <w14:textFill>
                  <w14:solidFill>
                    <w14:schemeClr w14:val="tx1"/>
                  </w14:solidFill>
                </w14:textFill>
              </w:rPr>
              <w:t>形</w:t>
            </w:r>
          </w:p>
        </w:tc>
      </w:tr>
      <w:tr w14:paraId="5183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14:paraId="4CF70DC1">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9</w:t>
            </w:r>
          </w:p>
        </w:tc>
        <w:tc>
          <w:tcPr>
            <w:tcW w:w="1304" w:type="pct"/>
            <w:vAlign w:val="center"/>
          </w:tcPr>
          <w:p w14:paraId="55B0CAA0">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其他要求</w:t>
            </w:r>
          </w:p>
        </w:tc>
        <w:tc>
          <w:tcPr>
            <w:tcW w:w="3285" w:type="pct"/>
            <w:vAlign w:val="center"/>
          </w:tcPr>
          <w:p w14:paraId="25184C12">
            <w:pPr>
              <w:adjustRightInd w:val="0"/>
              <w:snapToGrid w:val="0"/>
              <w:ind w:right="-10"/>
              <w:jc w:val="both"/>
              <w:rPr>
                <w:rFonts w:hint="eastAsia"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符合磋商文件</w:t>
            </w:r>
            <w:r>
              <w:rPr>
                <w:rFonts w:hint="eastAsia" w:cs="Times New Roman"/>
                <w:color w:val="000000" w:themeColor="text1"/>
                <w:kern w:val="2"/>
                <w:sz w:val="24"/>
                <w:szCs w:val="22"/>
                <w:highlight w:val="none"/>
                <w:lang w:val="en-US" w:eastAsia="zh-CN"/>
                <w14:textFill>
                  <w14:solidFill>
                    <w14:schemeClr w14:val="tx1"/>
                  </w14:solidFill>
                </w14:textFill>
              </w:rPr>
              <w:t>其他</w:t>
            </w:r>
            <w:r>
              <w:rPr>
                <w:rFonts w:hint="eastAsia" w:cs="Times New Roman"/>
                <w:color w:val="000000" w:themeColor="text1"/>
                <w:kern w:val="2"/>
                <w:sz w:val="24"/>
                <w:szCs w:val="22"/>
                <w:highlight w:val="none"/>
                <w14:textFill>
                  <w14:solidFill>
                    <w14:schemeClr w14:val="tx1"/>
                  </w14:solidFill>
                </w14:textFill>
              </w:rPr>
              <w:t>要求。</w:t>
            </w:r>
          </w:p>
        </w:tc>
      </w:tr>
      <w:tr w14:paraId="4F57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848D6BA">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w:t>
            </w:r>
            <w:r>
              <w:rPr>
                <w:rFonts w:hint="eastAsia" w:ascii="Calibri" w:hAnsi="Calibri" w:cs="Times New Roman"/>
                <w:color w:val="000000" w:themeColor="text1"/>
                <w:kern w:val="2"/>
                <w:sz w:val="24"/>
                <w:szCs w:val="22"/>
                <w:highlight w:val="none"/>
                <w:lang w:eastAsia="zh-CN"/>
                <w14:textFill>
                  <w14:solidFill>
                    <w14:schemeClr w14:val="tx1"/>
                  </w14:solidFill>
                </w14:textFill>
              </w:rPr>
              <w:t>投标人</w:t>
            </w:r>
            <w:r>
              <w:rPr>
                <w:rFonts w:hint="eastAsia" w:ascii="Calibri" w:hAnsi="Calibri" w:cs="Times New Roman"/>
                <w:color w:val="000000" w:themeColor="text1"/>
                <w:kern w:val="2"/>
                <w:sz w:val="24"/>
                <w:szCs w:val="22"/>
                <w:highlight w:val="none"/>
                <w14:textFill>
                  <w14:solidFill>
                    <w14:schemeClr w14:val="tx1"/>
                  </w14:solidFill>
                </w14:textFill>
              </w:rPr>
              <w:t>必须通过上述全部指标。</w:t>
            </w:r>
          </w:p>
        </w:tc>
      </w:tr>
    </w:tbl>
    <w:p w14:paraId="450EB7C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必须通过初审表中的全部评审指标。</w:t>
      </w:r>
    </w:p>
    <w:p w14:paraId="5099B444">
      <w:pPr>
        <w:spacing w:line="360" w:lineRule="auto"/>
        <w:ind w:firstLine="435"/>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2.2综合评分</w:t>
      </w:r>
    </w:p>
    <w:p w14:paraId="1C639EC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olor w:val="000000" w:themeColor="text1"/>
          <w:sz w:val="24"/>
          <w:highlight w:val="none"/>
          <w14:textFill>
            <w14:solidFill>
              <w14:schemeClr w14:val="tx1"/>
            </w14:solidFill>
          </w14:textFill>
        </w:rPr>
        <w:t>按照下表对</w:t>
      </w:r>
      <w:r>
        <w:rPr>
          <w:rFonts w:hint="eastAsia"/>
          <w:color w:val="000000" w:themeColor="text1"/>
          <w:sz w:val="24"/>
          <w:highlight w:val="none"/>
          <w14:textFill>
            <w14:solidFill>
              <w14:schemeClr w14:val="tx1"/>
            </w14:solidFill>
          </w14:textFill>
        </w:rPr>
        <w:t>进入综合评分的所有</w:t>
      </w:r>
      <w:r>
        <w:rPr>
          <w:rFonts w:hint="eastAsia"/>
          <w:color w:val="000000" w:themeColor="text1"/>
          <w:sz w:val="24"/>
          <w:highlight w:val="none"/>
          <w:lang w:eastAsia="zh-CN"/>
          <w14:textFill>
            <w14:solidFill>
              <w14:schemeClr w14:val="tx1"/>
            </w14:solidFill>
          </w14:textFill>
        </w:rPr>
        <w:t>投标人</w:t>
      </w:r>
      <w:r>
        <w:rPr>
          <w:rFonts w:hint="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进行综合评分。</w:t>
      </w:r>
    </w:p>
    <w:p w14:paraId="0D87B40E">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本项目综合评分满分为1</w:t>
      </w:r>
      <w:r>
        <w:rPr>
          <w:rFonts w:asciiTheme="minorEastAsia" w:hAnsiTheme="minorEastAsia" w:eastAsiaTheme="minorEastAsia"/>
          <w:color w:val="000000" w:themeColor="text1"/>
          <w:sz w:val="24"/>
          <w:highlight w:val="none"/>
          <w14:textFill>
            <w14:solidFill>
              <w14:schemeClr w14:val="tx1"/>
            </w14:solidFill>
          </w14:textFill>
        </w:rPr>
        <w:t>00</w:t>
      </w:r>
      <w:r>
        <w:rPr>
          <w:rFonts w:hint="eastAsia" w:asciiTheme="minorEastAsia" w:hAnsiTheme="minorEastAsia" w:eastAsiaTheme="minorEastAsia"/>
          <w:color w:val="000000" w:themeColor="text1"/>
          <w:sz w:val="24"/>
          <w:highlight w:val="none"/>
          <w14:textFill>
            <w14:solidFill>
              <w14:schemeClr w14:val="tx1"/>
            </w14:solidFill>
          </w14:textFill>
        </w:rPr>
        <w:t>分，其中：技术资信分值占总分值的权重为</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10</w:t>
      </w:r>
      <w:r>
        <w:rPr>
          <w:rFonts w:asciiTheme="minorEastAsia" w:hAnsiTheme="minorEastAsia" w:eastAsiaTheme="minorEastAsia"/>
          <w:color w:val="000000" w:themeColor="text1"/>
          <w:sz w:val="24"/>
          <w:highlight w:val="none"/>
          <w:u w:val="singl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，价格分值占总分值的权重为</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90</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%。具体评分细则如下：</w:t>
      </w:r>
    </w:p>
    <w:p w14:paraId="6565606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p w14:paraId="0210F08D">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3F17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EE6CE5B">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023FDBC">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1C0404F0">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评分标准</w:t>
            </w:r>
          </w:p>
        </w:tc>
        <w:tc>
          <w:tcPr>
            <w:tcW w:w="925" w:type="pct"/>
            <w:tcBorders>
              <w:top w:val="single" w:color="auto" w:sz="4" w:space="0"/>
              <w:left w:val="single" w:color="auto" w:sz="4" w:space="0"/>
              <w:bottom w:val="single" w:color="auto" w:sz="4" w:space="0"/>
              <w:right w:val="single" w:color="auto" w:sz="4" w:space="0"/>
            </w:tcBorders>
            <w:vAlign w:val="center"/>
          </w:tcPr>
          <w:p w14:paraId="531D3D8B">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分值范围</w:t>
            </w:r>
          </w:p>
        </w:tc>
      </w:tr>
      <w:tr w14:paraId="5D31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5D419A2">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技术资信分</w:t>
            </w:r>
          </w:p>
          <w:p w14:paraId="4C9D810F">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2740F3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投标人业绩</w:t>
            </w:r>
          </w:p>
          <w:p w14:paraId="514C71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p>
        </w:tc>
        <w:tc>
          <w:tcPr>
            <w:tcW w:w="2197" w:type="pct"/>
            <w:tcBorders>
              <w:top w:val="single" w:color="auto" w:sz="4" w:space="0"/>
              <w:left w:val="single" w:color="auto" w:sz="4" w:space="0"/>
              <w:bottom w:val="single" w:color="auto" w:sz="4" w:space="0"/>
              <w:right w:val="single" w:color="auto" w:sz="4" w:space="0"/>
            </w:tcBorders>
            <w:vAlign w:val="center"/>
          </w:tcPr>
          <w:p w14:paraId="3CC7FF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202</w:t>
            </w:r>
            <w:r>
              <w:rPr>
                <w:rFonts w:hint="eastAsia"/>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年1月1日以来（以合同签订时间为准），投标人具有单个合同总金额不少于10万元的</w:t>
            </w:r>
            <w:r>
              <w:rPr>
                <w:rFonts w:hint="eastAsia"/>
                <w:color w:val="000000" w:themeColor="text1"/>
                <w:sz w:val="24"/>
                <w:szCs w:val="24"/>
                <w:highlight w:val="none"/>
                <w:lang w:val="en-US" w:eastAsia="zh-CN"/>
                <w14:textFill>
                  <w14:solidFill>
                    <w14:schemeClr w14:val="tx1"/>
                  </w14:solidFill>
                </w14:textFill>
              </w:rPr>
              <w:t>停车场或门禁系统智能化</w:t>
            </w:r>
            <w:r>
              <w:rPr>
                <w:rFonts w:hint="eastAsia" w:ascii="宋体" w:hAnsi="宋体" w:eastAsia="宋体"/>
                <w:color w:val="000000" w:themeColor="text1"/>
                <w:sz w:val="24"/>
                <w:szCs w:val="24"/>
                <w:highlight w:val="none"/>
                <w:lang w:val="en-US" w:eastAsia="zh-CN"/>
                <w14:textFill>
                  <w14:solidFill>
                    <w14:schemeClr w14:val="tx1"/>
                  </w14:solidFill>
                </w14:textFill>
              </w:rPr>
              <w:t>项目业绩。每个得1分，最多得2分。</w:t>
            </w:r>
          </w:p>
          <w:p w14:paraId="506BC5E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注：1）</w:t>
            </w:r>
            <w:r>
              <w:rPr>
                <w:rFonts w:hint="eastAsia"/>
                <w:color w:val="000000" w:themeColor="text1"/>
                <w:sz w:val="24"/>
                <w:szCs w:val="24"/>
                <w:highlight w:val="none"/>
                <w:lang w:val="en-US" w:eastAsia="zh-CN"/>
                <w14:textFill>
                  <w14:solidFill>
                    <w14:schemeClr w14:val="tx1"/>
                  </w14:solidFill>
                </w14:textFill>
              </w:rPr>
              <w:t>经评审通过的</w:t>
            </w:r>
            <w:r>
              <w:rPr>
                <w:rFonts w:hint="eastAsia" w:ascii="宋体" w:hAnsi="宋体" w:eastAsia="宋体"/>
                <w:color w:val="000000" w:themeColor="text1"/>
                <w:sz w:val="24"/>
                <w:szCs w:val="24"/>
                <w:highlight w:val="none"/>
                <w:lang w:val="en-US" w:eastAsia="zh-CN"/>
                <w14:textFill>
                  <w14:solidFill>
                    <w14:schemeClr w14:val="tx1"/>
                  </w14:solidFill>
                </w14:textFill>
              </w:rPr>
              <w:t>初审业绩不重复计分</w:t>
            </w:r>
          </w:p>
          <w:p w14:paraId="519769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2）本项满分2分，同一业绩不重复计分；</w:t>
            </w:r>
          </w:p>
          <w:p w14:paraId="4FB420DD">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3）业绩证明材料见投标人须知前附表内容。</w:t>
            </w:r>
          </w:p>
        </w:tc>
        <w:tc>
          <w:tcPr>
            <w:tcW w:w="925" w:type="pct"/>
            <w:tcBorders>
              <w:top w:val="single" w:color="auto" w:sz="4" w:space="0"/>
              <w:left w:val="single" w:color="auto" w:sz="4" w:space="0"/>
              <w:bottom w:val="single" w:color="auto" w:sz="4" w:space="0"/>
              <w:right w:val="single" w:color="auto" w:sz="4" w:space="0"/>
            </w:tcBorders>
            <w:vAlign w:val="center"/>
          </w:tcPr>
          <w:p w14:paraId="2ADD3F7F">
            <w:pPr>
              <w:spacing w:line="360" w:lineRule="auto"/>
              <w:jc w:val="cente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2</w:t>
            </w:r>
          </w:p>
        </w:tc>
      </w:tr>
      <w:tr w14:paraId="0262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2715C94">
            <w:pPr>
              <w:spacing w:line="360" w:lineRule="auto"/>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vAlign w:val="center"/>
          </w:tcPr>
          <w:p w14:paraId="0D28D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整体质保期</w:t>
            </w:r>
          </w:p>
        </w:tc>
        <w:tc>
          <w:tcPr>
            <w:tcW w:w="2197" w:type="pct"/>
            <w:tcBorders>
              <w:top w:val="single" w:color="auto" w:sz="4" w:space="0"/>
              <w:left w:val="single" w:color="auto" w:sz="4" w:space="0"/>
              <w:bottom w:val="single" w:color="auto" w:sz="4" w:space="0"/>
              <w:right w:val="single" w:color="auto" w:sz="4" w:space="0"/>
            </w:tcBorders>
            <w:vAlign w:val="center"/>
          </w:tcPr>
          <w:p w14:paraId="0BEF55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投标人承诺，在满足招标文件免费质保期的基础上，为本项目提供的所有设备及配件整体增加质保期，每增加一年，得1分，最多得</w:t>
            </w:r>
            <w:r>
              <w:rPr>
                <w:rFonts w:hint="eastAsia"/>
                <w:color w:val="000000" w:themeColor="text1"/>
                <w:sz w:val="24"/>
                <w:szCs w:val="24"/>
                <w:highlight w:val="none"/>
                <w:lang w:val="en-US" w:eastAsia="zh-CN"/>
                <w14:textFill>
                  <w14:solidFill>
                    <w14:schemeClr w14:val="tx1"/>
                  </w14:solidFill>
                </w14:textFill>
              </w:rPr>
              <w:t>4</w:t>
            </w:r>
            <w:r>
              <w:rPr>
                <w:rFonts w:hint="eastAsia" w:ascii="宋体" w:hAnsi="宋体" w:eastAsia="宋体"/>
                <w:color w:val="000000" w:themeColor="text1"/>
                <w:sz w:val="24"/>
                <w:szCs w:val="24"/>
                <w:highlight w:val="none"/>
                <w:lang w:val="en-US" w:eastAsia="zh-CN"/>
                <w14:textFill>
                  <w14:solidFill>
                    <w14:schemeClr w14:val="tx1"/>
                  </w14:solidFill>
                </w14:textFill>
              </w:rPr>
              <w:t>分。</w:t>
            </w:r>
          </w:p>
          <w:p w14:paraId="6FBD9D9B">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注：</w:t>
            </w:r>
            <w:r>
              <w:rPr>
                <w:rFonts w:hint="eastAsia"/>
                <w:b/>
                <w:bCs/>
                <w:color w:val="000000" w:themeColor="text1"/>
                <w:sz w:val="24"/>
                <w:szCs w:val="24"/>
                <w:highlight w:val="none"/>
                <w:lang w:val="en-US" w:eastAsia="zh-CN"/>
                <w14:textFill>
                  <w14:solidFill>
                    <w14:schemeClr w14:val="tx1"/>
                  </w14:solidFill>
                </w14:textFill>
              </w:rPr>
              <w:t>在投标函中承诺即可</w:t>
            </w:r>
            <w:r>
              <w:rPr>
                <w:rFonts w:hint="eastAsia" w:ascii="宋体" w:hAnsi="宋体" w:eastAsia="宋体"/>
                <w:color w:val="000000" w:themeColor="text1"/>
                <w:sz w:val="24"/>
                <w:szCs w:val="24"/>
                <w:highlight w:val="none"/>
                <w:lang w:val="en-US" w:eastAsia="zh-CN"/>
                <w14:textFill>
                  <w14:solidFill>
                    <w14:schemeClr w14:val="tx1"/>
                  </w14:solidFill>
                </w14:textFill>
              </w:rPr>
              <w:t>，否则不予得分。不足一年或未提供或提供不符合要求的不得分。</w:t>
            </w:r>
          </w:p>
        </w:tc>
        <w:tc>
          <w:tcPr>
            <w:tcW w:w="925" w:type="pct"/>
            <w:tcBorders>
              <w:top w:val="single" w:color="auto" w:sz="4" w:space="0"/>
              <w:left w:val="single" w:color="auto" w:sz="4" w:space="0"/>
              <w:bottom w:val="single" w:color="auto" w:sz="4" w:space="0"/>
              <w:right w:val="single" w:color="auto" w:sz="4" w:space="0"/>
            </w:tcBorders>
            <w:vAlign w:val="center"/>
          </w:tcPr>
          <w:p w14:paraId="3DA78338">
            <w:pPr>
              <w:spacing w:line="360" w:lineRule="auto"/>
              <w:jc w:val="cente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4</w:t>
            </w:r>
          </w:p>
        </w:tc>
      </w:tr>
      <w:tr w14:paraId="61C4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7C89CBD">
            <w:pPr>
              <w:spacing w:line="360" w:lineRule="auto"/>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vAlign w:val="center"/>
          </w:tcPr>
          <w:p w14:paraId="26220E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售后服务方案</w:t>
            </w:r>
          </w:p>
        </w:tc>
        <w:tc>
          <w:tcPr>
            <w:tcW w:w="2197" w:type="pct"/>
            <w:tcBorders>
              <w:top w:val="single" w:color="auto" w:sz="4" w:space="0"/>
              <w:left w:val="single" w:color="auto" w:sz="4" w:space="0"/>
              <w:bottom w:val="single" w:color="auto" w:sz="4" w:space="0"/>
              <w:right w:val="single" w:color="auto" w:sz="4" w:space="0"/>
            </w:tcBorders>
            <w:vAlign w:val="center"/>
          </w:tcPr>
          <w:p w14:paraId="3B79B4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评标委员会根据投标人为本项目编制的</w:t>
            </w:r>
            <w:r>
              <w:rPr>
                <w:rFonts w:hint="eastAsia"/>
                <w:color w:val="000000" w:themeColor="text1"/>
                <w:sz w:val="24"/>
                <w:szCs w:val="24"/>
                <w:highlight w:val="none"/>
                <w:lang w:val="en-US" w:eastAsia="zh-CN"/>
                <w14:textFill>
                  <w14:solidFill>
                    <w14:schemeClr w14:val="tx1"/>
                  </w14:solidFill>
                </w14:textFill>
              </w:rPr>
              <w:t>化</w:t>
            </w:r>
            <w:r>
              <w:rPr>
                <w:rFonts w:hint="eastAsia" w:ascii="宋体" w:hAnsi="宋体" w:eastAsia="宋体"/>
                <w:color w:val="000000" w:themeColor="text1"/>
                <w:sz w:val="24"/>
                <w:szCs w:val="24"/>
                <w:highlight w:val="none"/>
                <w:lang w:val="en-US" w:eastAsia="zh-CN"/>
                <w14:textFill>
                  <w14:solidFill>
                    <w14:schemeClr w14:val="tx1"/>
                  </w14:solidFill>
                </w14:textFill>
              </w:rPr>
              <w:t>售后服务方案、故障响应修复时间及保障措施、保修承诺、零配件的库存等内容描述的完整性、科学合理性进行综合打分。 优得</w:t>
            </w:r>
            <w:r>
              <w:rPr>
                <w:rFonts w:hint="eastAsia"/>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＜F≤</w:t>
            </w:r>
            <w:r>
              <w:rPr>
                <w:rFonts w:hint="eastAsia"/>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lang w:val="en-US" w:eastAsia="zh-CN"/>
                <w14:textFill>
                  <w14:solidFill>
                    <w14:schemeClr w14:val="tx1"/>
                  </w14:solidFill>
                </w14:textFill>
              </w:rPr>
              <w:t>分，较好得</w:t>
            </w:r>
            <w:r>
              <w:rPr>
                <w:rFonts w:hint="eastAsia"/>
                <w:color w:val="000000" w:themeColor="text1"/>
                <w:sz w:val="24"/>
                <w:szCs w:val="24"/>
                <w:highlight w:val="none"/>
                <w:lang w:val="en-US" w:eastAsia="zh-CN"/>
                <w14:textFill>
                  <w14:solidFill>
                    <w14:schemeClr w14:val="tx1"/>
                  </w14:solidFill>
                </w14:textFill>
              </w:rPr>
              <w:t>0.5</w:t>
            </w:r>
            <w:r>
              <w:rPr>
                <w:rFonts w:hint="eastAsia" w:ascii="宋体" w:hAnsi="宋体" w:eastAsia="宋体"/>
                <w:color w:val="000000" w:themeColor="text1"/>
                <w:sz w:val="24"/>
                <w:szCs w:val="24"/>
                <w:highlight w:val="none"/>
                <w:lang w:val="en-US" w:eastAsia="zh-CN"/>
                <w14:textFill>
                  <w14:solidFill>
                    <w14:schemeClr w14:val="tx1"/>
                  </w14:solidFill>
                </w14:textFill>
              </w:rPr>
              <w:t>＜F≤</w:t>
            </w:r>
            <w:r>
              <w:rPr>
                <w:rFonts w:hint="eastAsia"/>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lang w:val="en-US" w:eastAsia="zh-CN"/>
                <w14:textFill>
                  <w14:solidFill>
                    <w14:schemeClr w14:val="tx1"/>
                  </w14:solidFill>
                </w14:textFill>
              </w:rPr>
              <w:t>分，一般 得0＜F≤</w:t>
            </w:r>
            <w:r>
              <w:rPr>
                <w:rFonts w:hint="eastAsia"/>
                <w:color w:val="000000" w:themeColor="text1"/>
                <w:sz w:val="24"/>
                <w:szCs w:val="24"/>
                <w:highlight w:val="none"/>
                <w:lang w:val="en-US" w:eastAsia="zh-CN"/>
                <w14:textFill>
                  <w14:solidFill>
                    <w14:schemeClr w14:val="tx1"/>
                  </w14:solidFill>
                </w14:textFill>
              </w:rPr>
              <w:t>0.5</w:t>
            </w:r>
            <w:r>
              <w:rPr>
                <w:rFonts w:hint="eastAsia" w:ascii="宋体" w:hAnsi="宋体" w:eastAsia="宋体"/>
                <w:color w:val="000000" w:themeColor="text1"/>
                <w:sz w:val="24"/>
                <w:szCs w:val="24"/>
                <w:highlight w:val="none"/>
                <w:lang w:val="en-US" w:eastAsia="zh-CN"/>
                <w14:textFill>
                  <w14:solidFill>
                    <w14:schemeClr w14:val="tx1"/>
                  </w14:solidFill>
                </w14:textFill>
              </w:rPr>
              <w:t>分，未提供方案的不得分。</w:t>
            </w:r>
          </w:p>
        </w:tc>
        <w:tc>
          <w:tcPr>
            <w:tcW w:w="925" w:type="pct"/>
            <w:tcBorders>
              <w:top w:val="single" w:color="auto" w:sz="4" w:space="0"/>
              <w:left w:val="single" w:color="auto" w:sz="4" w:space="0"/>
              <w:bottom w:val="single" w:color="auto" w:sz="4" w:space="0"/>
              <w:right w:val="single" w:color="auto" w:sz="4" w:space="0"/>
            </w:tcBorders>
            <w:vAlign w:val="center"/>
          </w:tcPr>
          <w:p w14:paraId="7CAC404A">
            <w:pPr>
              <w:spacing w:line="360" w:lineRule="auto"/>
              <w:jc w:val="cente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b/>
                <w:bCs/>
                <w:color w:val="000000" w:themeColor="text1"/>
                <w:sz w:val="24"/>
                <w:highlight w:val="none"/>
                <w14:textFill>
                  <w14:solidFill>
                    <w14:schemeClr w14:val="tx1"/>
                  </w14:solidFill>
                </w14:textFill>
              </w:rPr>
              <w:t>-</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2</w:t>
            </w:r>
          </w:p>
        </w:tc>
      </w:tr>
      <w:tr w14:paraId="689C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15CD120">
            <w:pPr>
              <w:spacing w:line="360" w:lineRule="auto"/>
              <w:ind w:firstLine="435"/>
              <w:jc w:val="center"/>
              <w:rPr>
                <w:rFonts w:asciiTheme="minorEastAsia" w:hAnsiTheme="minorEastAsia" w:eastAsiaTheme="minorEastAsia"/>
                <w:b/>
                <w:bCs/>
                <w:color w:val="000000" w:themeColor="text1"/>
                <w:sz w:val="24"/>
                <w:highlight w:val="none"/>
                <w14:textFill>
                  <w14:solidFill>
                    <w14:schemeClr w14:val="tx1"/>
                  </w14:solidFill>
                </w14:textFill>
              </w:rPr>
            </w:pPr>
          </w:p>
        </w:tc>
        <w:tc>
          <w:tcPr>
            <w:tcW w:w="1009" w:type="pct"/>
            <w:tcBorders>
              <w:top w:val="single" w:color="auto" w:sz="4" w:space="0"/>
              <w:left w:val="single" w:color="auto" w:sz="4" w:space="0"/>
              <w:bottom w:val="single" w:color="auto" w:sz="4" w:space="0"/>
              <w:right w:val="single" w:color="auto" w:sz="4" w:space="0"/>
            </w:tcBorders>
            <w:vAlign w:val="center"/>
          </w:tcPr>
          <w:p w14:paraId="597F6DF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本地化服务</w:t>
            </w:r>
          </w:p>
        </w:tc>
        <w:tc>
          <w:tcPr>
            <w:tcW w:w="2197" w:type="pct"/>
            <w:tcBorders>
              <w:top w:val="single" w:color="auto" w:sz="4" w:space="0"/>
              <w:left w:val="single" w:color="auto" w:sz="4" w:space="0"/>
              <w:bottom w:val="single" w:color="auto" w:sz="4" w:space="0"/>
              <w:right w:val="single" w:color="auto" w:sz="4" w:space="0"/>
            </w:tcBorders>
            <w:vAlign w:val="center"/>
          </w:tcPr>
          <w:p w14:paraId="7A0F575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投标人承诺按以下时间提供系统维护服务响应措施，30分钟内响应，并能在1小时内能到达现场的，得2分；1小时内响应，并能在2小时内到达现场的，得1分；</w:t>
            </w:r>
            <w:r>
              <w:rPr>
                <w:rFonts w:hint="eastAsia"/>
                <w:b/>
                <w:bCs/>
                <w:color w:val="000000" w:themeColor="text1"/>
                <w:sz w:val="24"/>
                <w:szCs w:val="24"/>
                <w:highlight w:val="none"/>
                <w:lang w:val="en-US" w:eastAsia="zh-CN"/>
                <w14:textFill>
                  <w14:solidFill>
                    <w14:schemeClr w14:val="tx1"/>
                  </w14:solidFill>
                </w14:textFill>
              </w:rPr>
              <w:t>在投标函中承诺即可</w:t>
            </w:r>
            <w:r>
              <w:rPr>
                <w:rFonts w:hint="eastAsia"/>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未承诺的不得分。</w:t>
            </w:r>
          </w:p>
        </w:tc>
        <w:tc>
          <w:tcPr>
            <w:tcW w:w="925" w:type="pct"/>
            <w:tcBorders>
              <w:top w:val="single" w:color="auto" w:sz="4" w:space="0"/>
              <w:left w:val="single" w:color="auto" w:sz="4" w:space="0"/>
              <w:bottom w:val="single" w:color="auto" w:sz="4" w:space="0"/>
              <w:right w:val="single" w:color="auto" w:sz="4" w:space="0"/>
            </w:tcBorders>
            <w:vAlign w:val="center"/>
          </w:tcPr>
          <w:p w14:paraId="4711322A">
            <w:pPr>
              <w:spacing w:line="360" w:lineRule="auto"/>
              <w:jc w:val="center"/>
              <w:rPr>
                <w:rFonts w:hint="default" w:asciiTheme="minorEastAsia" w:hAnsiTheme="minorEastAsia" w:eastAsia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0-2</w:t>
            </w:r>
          </w:p>
        </w:tc>
      </w:tr>
      <w:tr w14:paraId="62BA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6C12138C">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价格分</w:t>
            </w:r>
          </w:p>
          <w:p w14:paraId="14F26819">
            <w:pPr>
              <w:spacing w:line="360" w:lineRule="auto"/>
              <w:jc w:val="center"/>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90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32F99A5E">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价格分统一采用低价优先法，即满足磋商文件要求且最终投标报价最低的投标人的价格为磋商基准价，其价格分为满分</w:t>
            </w:r>
            <w:r>
              <w:rPr>
                <w:rFonts w:hint="eastAsia"/>
                <w:color w:val="000000" w:themeColor="text1"/>
                <w:sz w:val="24"/>
                <w:szCs w:val="24"/>
                <w:highlight w:val="none"/>
                <w:lang w:val="en-US" w:eastAsia="zh-CN"/>
                <w14:textFill>
                  <w14:solidFill>
                    <w14:schemeClr w14:val="tx1"/>
                  </w14:solidFill>
                </w14:textFill>
              </w:rPr>
              <w:t>90</w:t>
            </w:r>
            <w:r>
              <w:rPr>
                <w:rFonts w:hint="eastAsia"/>
                <w:color w:val="000000" w:themeColor="text1"/>
                <w:sz w:val="24"/>
                <w:szCs w:val="24"/>
                <w:highlight w:val="none"/>
                <w14:textFill>
                  <w14:solidFill>
                    <w14:schemeClr w14:val="tx1"/>
                  </w14:solidFill>
                </w14:textFill>
              </w:rPr>
              <w:t>分。其他投标人的价格分统一按照下列公式计算：</w:t>
            </w:r>
          </w:p>
          <w:p w14:paraId="3A43A0F7">
            <w:pPr>
              <w:adjustRightInd w:val="0"/>
              <w:snapToGrid w:val="0"/>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磋商报价得分＝（磋商基准价/</w:t>
            </w:r>
            <w:r>
              <w:rPr>
                <w:rFonts w:cs="宋体"/>
                <w:color w:val="000000" w:themeColor="text1"/>
                <w:sz w:val="24"/>
                <w:szCs w:val="24"/>
                <w:highlight w:val="none"/>
                <w14:textFill>
                  <w14:solidFill>
                    <w14:schemeClr w14:val="tx1"/>
                  </w14:solidFill>
                </w14:textFill>
              </w:rPr>
              <w:t>最终投标报价</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90</w:t>
            </w:r>
            <w:r>
              <w:rPr>
                <w:rFonts w:hint="eastAsia"/>
                <w:color w:val="000000" w:themeColor="text1"/>
                <w:sz w:val="24"/>
                <w:szCs w:val="24"/>
                <w:highlight w:val="none"/>
                <w14:textFill>
                  <w14:solidFill>
                    <w14:schemeClr w14:val="tx1"/>
                  </w14:solidFill>
                </w14:textFill>
              </w:rPr>
              <w:t>％×100</w:t>
            </w:r>
          </w:p>
          <w:p w14:paraId="69C6B0F8">
            <w:pPr>
              <w:pStyle w:val="4"/>
              <w:adjustRightInd w:val="0"/>
              <w:snapToGrid w:val="0"/>
              <w:spacing w:before="0" w:after="0" w:line="360" w:lineRule="auto"/>
              <w:rPr>
                <w:rFonts w:eastAsiaTheme="minorEastAsia"/>
                <w:color w:val="000000" w:themeColor="text1"/>
                <w:highlight w:val="none"/>
                <w14:textFill>
                  <w14:solidFill>
                    <w14:schemeClr w14:val="tx1"/>
                  </w14:solidFill>
                </w14:textFill>
              </w:rPr>
            </w:pPr>
          </w:p>
        </w:tc>
      </w:tr>
    </w:tbl>
    <w:p w14:paraId="43AED30C">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分值汇总</w:t>
      </w:r>
    </w:p>
    <w:p w14:paraId="642D81FA">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color w:val="000000" w:themeColor="text1"/>
          <w:sz w:val="24"/>
          <w:highlight w:val="none"/>
          <w14:textFill>
            <w14:solidFill>
              <w14:schemeClr w14:val="tx1"/>
            </w14:solidFill>
          </w14:textFill>
        </w:rPr>
        <w:t>各成员应当独立对每个有效响应的文件进行评价、打分，然后汇总每个</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每项评分因素的得分，再取各位评委评分之平均值，四舍五入保留至小数点后两位数，得到该</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的技术资信分。</w:t>
      </w:r>
    </w:p>
    <w:p w14:paraId="5C107DA4">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2）将每个</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的技术资信分加上根据上述标准计算出的价格分，即为该</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asciiTheme="minorEastAsia" w:hAnsiTheme="minorEastAsia" w:eastAsiaTheme="minorEastAsia"/>
          <w:color w:val="000000" w:themeColor="text1"/>
          <w:sz w:val="24"/>
          <w:highlight w:val="none"/>
          <w14:textFill>
            <w14:solidFill>
              <w14:schemeClr w14:val="tx1"/>
            </w14:solidFill>
          </w14:textFill>
        </w:rPr>
        <w:t>的综合总得分。</w:t>
      </w:r>
    </w:p>
    <w:p w14:paraId="02C8A479">
      <w:pPr>
        <w:spacing w:line="360" w:lineRule="auto"/>
        <w:ind w:firstLine="437"/>
        <w:outlineLvl w:val="2"/>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三、评审程序</w:t>
      </w:r>
    </w:p>
    <w:p w14:paraId="4AF74151">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对成功解密的投标文件按照</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初审表</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进行评审，</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未实质性响应磋商文件要求导致</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投标无效</w:t>
      </w:r>
      <w:r>
        <w:rPr>
          <w:rFonts w:hint="eastAsia"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14:textFill>
            <w14:solidFill>
              <w14:schemeClr w14:val="tx1"/>
            </w14:solidFill>
          </w14:textFill>
        </w:rPr>
        <w:t>将以询标的方式告知有关</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w:t>
      </w:r>
    </w:p>
    <w:p w14:paraId="26757574">
      <w:pPr>
        <w:spacing w:line="360" w:lineRule="auto"/>
        <w:ind w:firstLine="435"/>
        <w:rPr>
          <w:rFonts w:hint="default"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val="0"/>
          <w:bCs/>
          <w:color w:val="000000" w:themeColor="text1"/>
          <w:sz w:val="24"/>
          <w:highlight w:val="none"/>
          <w14:textFill>
            <w14:solidFill>
              <w14:schemeClr w14:val="tx1"/>
            </w14:solidFill>
          </w14:textFill>
        </w:rPr>
        <w:t>磋商。初审合格后，</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本项目磋商条件如有变化，</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对初审合格的投标人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进行磋商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本项目磋商条件如无变化</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直接进入报价环节。</w:t>
      </w:r>
    </w:p>
    <w:p w14:paraId="19FB852D">
      <w:pPr>
        <w:spacing w:line="360" w:lineRule="auto"/>
        <w:ind w:firstLine="435"/>
        <w:rPr>
          <w:rFonts w:hint="default"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val="0"/>
          <w:bCs/>
          <w:color w:val="000000" w:themeColor="text1"/>
          <w:sz w:val="24"/>
          <w:highlight w:val="none"/>
          <w14:textFill>
            <w14:solidFill>
              <w14:schemeClr w14:val="tx1"/>
            </w14:solidFill>
          </w14:textFill>
        </w:rPr>
        <w:t>报价</w:t>
      </w:r>
      <w:r>
        <w:rPr>
          <w:rFonts w:hint="eastAsia" w:asciiTheme="minorEastAsia" w:hAnsiTheme="minorEastAsia" w:eastAsiaTheme="minorEastAsia"/>
          <w:b w:val="0"/>
          <w:bCs/>
          <w:color w:val="000000" w:themeColor="text1"/>
          <w:sz w:val="24"/>
          <w:highlight w:val="none"/>
          <w14:textFill>
            <w14:solidFill>
              <w14:schemeClr w14:val="tx1"/>
            </w14:solidFill>
          </w14:textFill>
        </w:rPr>
        <w:t>。</w:t>
      </w:r>
      <w:r>
        <w:rPr>
          <w:rFonts w:asciiTheme="minorEastAsia" w:hAnsiTheme="minorEastAsia" w:eastAsiaTheme="minorEastAsia"/>
          <w:b w:val="0"/>
          <w:bCs/>
          <w:color w:val="000000" w:themeColor="text1"/>
          <w:sz w:val="24"/>
          <w:highlight w:val="none"/>
          <w14:textFill>
            <w14:solidFill>
              <w14:schemeClr w14:val="tx1"/>
            </w14:solidFill>
          </w14:textFill>
        </w:rPr>
        <w:t>磋商结束后，</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应当要求所有</w:t>
      </w:r>
      <w:r>
        <w:rPr>
          <w:rFonts w:hint="eastAsia" w:asciiTheme="minorEastAsia" w:hAnsiTheme="minorEastAsia" w:eastAsiaTheme="minorEastAsia"/>
          <w:b w:val="0"/>
          <w:bCs/>
          <w:color w:val="000000" w:themeColor="text1"/>
          <w:sz w:val="24"/>
          <w:highlight w:val="none"/>
          <w14:textFill>
            <w14:solidFill>
              <w14:schemeClr w14:val="tx1"/>
            </w14:solidFill>
          </w14:textFill>
        </w:rPr>
        <w:t>实质性响应</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b w:val="0"/>
          <w:bCs/>
          <w:color w:val="000000" w:themeColor="text1"/>
          <w:sz w:val="24"/>
          <w:highlight w:val="none"/>
          <w14:textFill>
            <w14:solidFill>
              <w14:schemeClr w14:val="tx1"/>
            </w14:solidFill>
          </w14:textFill>
        </w:rPr>
        <w:t>。</w:t>
      </w:r>
      <w:r>
        <w:rPr>
          <w:rFonts w:hint="eastAsia"/>
          <w:b w:val="0"/>
          <w:bCs/>
          <w:color w:val="000000" w:themeColor="text1"/>
          <w:sz w:val="24"/>
          <w:highlight w:val="none"/>
          <w:lang w:val="en-US" w:eastAsia="zh-CN"/>
          <w14:textFill>
            <w14:solidFill>
              <w14:schemeClr w14:val="tx1"/>
            </w14:solidFill>
          </w14:textFill>
        </w:rPr>
        <w:t>如投标人未</w:t>
      </w:r>
      <w:r>
        <w:rPr>
          <w:rFonts w:asciiTheme="minorEastAsia" w:hAnsiTheme="minorEastAsia" w:eastAsiaTheme="minorEastAsia"/>
          <w:b w:val="0"/>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对应轮次的报价</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则按上一轮次报价为准。</w:t>
      </w:r>
    </w:p>
    <w:p w14:paraId="2CDB347F">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b w:val="0"/>
          <w:bCs/>
          <w:color w:val="000000" w:themeColor="text1"/>
          <w:sz w:val="24"/>
          <w:highlight w:val="none"/>
          <w14:textFill>
            <w14:solidFill>
              <w14:schemeClr w14:val="tx1"/>
            </w14:solidFill>
          </w14:textFill>
        </w:rPr>
        <w:t>综合评分。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14:textFill>
            <w14:solidFill>
              <w14:schemeClr w14:val="tx1"/>
            </w14:solidFill>
          </w14:textFill>
        </w:rPr>
        <w:t>只对通过初审，实质上响应磋商文件要求的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b w:val="0"/>
          <w:bCs/>
          <w:color w:val="000000" w:themeColor="text1"/>
          <w:sz w:val="24"/>
          <w:highlight w:val="none"/>
          <w14:textFill>
            <w14:solidFill>
              <w14:schemeClr w14:val="tx1"/>
            </w14:solidFill>
          </w14:textFill>
        </w:rPr>
        <w:t>进行综合评分。经磋商确定最终</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招标需求</w:t>
      </w:r>
      <w:r>
        <w:rPr>
          <w:rFonts w:hint="eastAsia" w:asciiTheme="minorEastAsia" w:hAnsiTheme="minorEastAsia" w:eastAsiaTheme="minorEastAsia"/>
          <w:b w:val="0"/>
          <w:bCs/>
          <w:color w:val="000000" w:themeColor="text1"/>
          <w:sz w:val="24"/>
          <w:highlight w:val="none"/>
          <w14:textFill>
            <w14:solidFill>
              <w14:schemeClr w14:val="tx1"/>
            </w14:solidFill>
          </w14:textFill>
        </w:rPr>
        <w:t>和提交</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后，由</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14:textFill>
            <w14:solidFill>
              <w14:schemeClr w14:val="tx1"/>
            </w14:solidFill>
          </w14:textFill>
        </w:rPr>
        <w:t>采用综合评分法对</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初审通过</w:t>
      </w:r>
      <w:r>
        <w:rPr>
          <w:rFonts w:hint="eastAsia"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b w:val="0"/>
          <w:bCs/>
          <w:color w:val="000000" w:themeColor="text1"/>
          <w:sz w:val="24"/>
          <w:highlight w:val="none"/>
          <w14:textFill>
            <w14:solidFill>
              <w14:schemeClr w14:val="tx1"/>
            </w14:solidFill>
          </w14:textFill>
        </w:rPr>
        <w:t>和</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b w:val="0"/>
          <w:bCs/>
          <w:color w:val="000000" w:themeColor="text1"/>
          <w:sz w:val="24"/>
          <w:highlight w:val="none"/>
          <w14:textFill>
            <w14:solidFill>
              <w14:schemeClr w14:val="tx1"/>
            </w14:solidFill>
          </w14:textFill>
        </w:rPr>
        <w:t>进行综合评分。</w:t>
      </w:r>
    </w:p>
    <w:p w14:paraId="7B3DAF6B">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b w:val="0"/>
          <w:bCs/>
          <w:color w:val="000000" w:themeColor="text1"/>
          <w:sz w:val="24"/>
          <w:highlight w:val="none"/>
          <w14:textFill>
            <w14:solidFill>
              <w14:schemeClr w14:val="tx1"/>
            </w14:solidFill>
          </w14:textFill>
        </w:rPr>
        <w:t>相关说明。</w:t>
      </w:r>
    </w:p>
    <w:p w14:paraId="41E31558">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根据与</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磋商情况可能实质性变动</w:t>
      </w:r>
      <w:r>
        <w:rPr>
          <w:rFonts w:hint="eastAsia" w:asciiTheme="minorEastAsia" w:hAnsiTheme="minorEastAsia" w:eastAsiaTheme="minorEastAsia"/>
          <w:b w:val="0"/>
          <w:bCs/>
          <w:color w:val="000000" w:themeColor="text1"/>
          <w:sz w:val="24"/>
          <w:highlight w:val="none"/>
          <w14:textFill>
            <w14:solidFill>
              <w14:schemeClr w14:val="tx1"/>
            </w14:solidFill>
          </w14:textFill>
        </w:rPr>
        <w:t>磋商文件</w:t>
      </w:r>
      <w:r>
        <w:rPr>
          <w:rFonts w:asciiTheme="minorEastAsia" w:hAnsiTheme="minorEastAsia" w:eastAsiaTheme="minorEastAsia"/>
          <w:b w:val="0"/>
          <w:bCs/>
          <w:color w:val="000000" w:themeColor="text1"/>
          <w:sz w:val="24"/>
          <w:highlight w:val="none"/>
          <w14:textFill>
            <w14:solidFill>
              <w14:schemeClr w14:val="tx1"/>
            </w14:solidFill>
          </w14:textFill>
        </w:rPr>
        <w:t>的内容，包括</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招标需求</w:t>
      </w:r>
      <w:r>
        <w:rPr>
          <w:rFonts w:asciiTheme="minorEastAsia" w:hAnsiTheme="minorEastAsia" w:eastAsiaTheme="minorEastAsia"/>
          <w:b w:val="0"/>
          <w:bCs/>
          <w:color w:val="000000" w:themeColor="text1"/>
          <w:sz w:val="24"/>
          <w:highlight w:val="none"/>
          <w14:textFill>
            <w14:solidFill>
              <w14:schemeClr w14:val="tx1"/>
            </w14:solidFill>
          </w14:textFill>
        </w:rPr>
        <w:t>中的技术、服务要求以及合同草案条款。磋商文件有实质性变动的，</w:t>
      </w:r>
      <w:r>
        <w:rPr>
          <w:rFonts w:hint="eastAsia" w:asciiTheme="minorEastAsia" w:hAnsiTheme="minorEastAsia" w:eastAsiaTheme="minorEastAsia"/>
          <w:b w:val="0"/>
          <w:bCs/>
          <w:color w:val="000000" w:themeColor="text1"/>
          <w:sz w:val="24"/>
          <w:highlight w:val="none"/>
          <w14:textFill>
            <w14:solidFill>
              <w14:schemeClr w14:val="tx1"/>
            </w14:solidFill>
          </w14:textFill>
        </w:rPr>
        <w:t>经</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代表确认作为磋商文件的有效组成部分，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通知所有参加磋商的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w:t>
      </w:r>
    </w:p>
    <w:p w14:paraId="60E6E5D7">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发现</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的报价或者某些分项报价明显低于其他通过初审的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的报价，有可能影响产品质量和不能诚信履约的，应当要求其在合理的时间内</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按要求</w:t>
      </w:r>
      <w:r>
        <w:rPr>
          <w:rFonts w:asciiTheme="minorEastAsia" w:hAnsiTheme="minorEastAsia" w:eastAsiaTheme="minorEastAsia"/>
          <w:b w:val="0"/>
          <w:bCs/>
          <w:color w:val="000000" w:themeColor="text1"/>
          <w:sz w:val="24"/>
          <w:highlight w:val="none"/>
          <w14:textFill>
            <w14:solidFill>
              <w14:schemeClr w14:val="tx1"/>
            </w14:solidFill>
          </w14:textFill>
        </w:rPr>
        <w:t>提供说明，必要时提交相关证明材料；</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不能证明其报价合理性的，其</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asciiTheme="minorEastAsia" w:hAnsiTheme="minorEastAsia" w:eastAsiaTheme="minorEastAsia"/>
          <w:b w:val="0"/>
          <w:bCs/>
          <w:color w:val="000000" w:themeColor="text1"/>
          <w:sz w:val="24"/>
          <w:highlight w:val="none"/>
          <w14:textFill>
            <w14:solidFill>
              <w14:schemeClr w14:val="tx1"/>
            </w14:solidFill>
          </w14:textFill>
        </w:rPr>
        <w:t>将被认定为</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投标无效</w:t>
      </w:r>
      <w:r>
        <w:rPr>
          <w:rFonts w:asciiTheme="minorEastAsia" w:hAnsiTheme="minorEastAsia" w:eastAsiaTheme="minorEastAsia"/>
          <w:b w:val="0"/>
          <w:bCs/>
          <w:color w:val="000000" w:themeColor="text1"/>
          <w:sz w:val="24"/>
          <w:highlight w:val="none"/>
          <w14:textFill>
            <w14:solidFill>
              <w14:schemeClr w14:val="tx1"/>
            </w14:solidFill>
          </w14:textFill>
        </w:rPr>
        <w:t>。</w:t>
      </w:r>
    </w:p>
    <w:p w14:paraId="23BF57D5">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val="0"/>
          <w:bCs/>
          <w:color w:val="000000" w:themeColor="text1"/>
          <w:sz w:val="24"/>
          <w:highlight w:val="none"/>
          <w14:textFill>
            <w14:solidFill>
              <w14:schemeClr w14:val="tx1"/>
            </w14:solidFill>
          </w14:textFill>
        </w:rPr>
        <w:t>无论何种原因，即使</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磋商</w:t>
      </w:r>
      <w:r>
        <w:rPr>
          <w:rFonts w:asciiTheme="minorEastAsia" w:hAnsiTheme="minorEastAsia" w:eastAsiaTheme="minorEastAsia"/>
          <w:b w:val="0"/>
          <w:bCs/>
          <w:color w:val="000000" w:themeColor="text1"/>
          <w:sz w:val="24"/>
          <w:highlight w:val="none"/>
          <w14:textFill>
            <w14:solidFill>
              <w14:schemeClr w14:val="tx1"/>
            </w14:solidFill>
          </w14:textFill>
        </w:rPr>
        <w:t>时携带了证书材料的原件，但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asciiTheme="minorEastAsia" w:hAnsiTheme="minorEastAsia" w:eastAsiaTheme="minorEastAsia"/>
          <w:b w:val="0"/>
          <w:bCs/>
          <w:color w:val="000000" w:themeColor="text1"/>
          <w:sz w:val="24"/>
          <w:highlight w:val="none"/>
          <w14:textFill>
            <w14:solidFill>
              <w14:schemeClr w14:val="tx1"/>
            </w14:solidFill>
          </w14:textFill>
        </w:rPr>
        <w:t>中未提供与之内容完全一致的</w:t>
      </w:r>
      <w:r>
        <w:rPr>
          <w:rFonts w:hint="eastAsia" w:asciiTheme="minorEastAsia" w:hAnsiTheme="minorEastAsia" w:eastAsiaTheme="minorEastAsia"/>
          <w:b w:val="0"/>
          <w:bCs/>
          <w:color w:val="000000" w:themeColor="text1"/>
          <w:sz w:val="24"/>
          <w:highlight w:val="none"/>
          <w14:textFill>
            <w14:solidFill>
              <w14:schemeClr w14:val="tx1"/>
            </w14:solidFill>
          </w14:textFill>
        </w:rPr>
        <w:t>扫描件</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可以视同其未提供。</w:t>
      </w:r>
    </w:p>
    <w:p w14:paraId="1F319EEC">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7C0D65D1">
      <w:pPr>
        <w:pStyle w:val="3"/>
        <w:numPr>
          <w:ilvl w:val="0"/>
          <w:numId w:val="9"/>
        </w:numPr>
        <w:spacing w:line="500" w:lineRule="exact"/>
        <w:ind w:left="0" w:leftChars="0" w:firstLine="0" w:firstLineChars="0"/>
        <w:jc w:val="center"/>
        <w:outlineLvl w:val="0"/>
        <w:rPr>
          <w:rFonts w:hint="eastAsia" w:ascii="Times New Roman" w:hAnsi="Times New Roman"/>
          <w:caps w:val="0"/>
          <w:smallCaps w:val="0"/>
          <w:color w:val="000000" w:themeColor="text1"/>
          <w:highlight w:val="none"/>
          <w:lang w:eastAsia="zh-CN"/>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8" w:name="_Toc25523"/>
      <w:r>
        <w:rPr>
          <w:rFonts w:ascii="Times New Roman" w:hAnsi="Times New Roman" w:eastAsia="宋体"/>
          <w:caps w:val="0"/>
          <w:smallCaps w:val="0"/>
          <w:color w:val="000000" w:themeColor="text1"/>
          <w:highlight w:val="none"/>
          <w14:textFill>
            <w14:solidFill>
              <w14:schemeClr w14:val="tx1"/>
            </w14:solidFill>
          </w14:textFill>
        </w:rPr>
        <w:t>合同</w:t>
      </w:r>
      <w:bookmarkEnd w:id="8"/>
    </w:p>
    <w:p w14:paraId="1FBC4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招标人（甲方）：</w:t>
      </w:r>
      <w:r>
        <w:rPr>
          <w:rFonts w:hint="eastAsia"/>
          <w:b/>
          <w:color w:val="000000" w:themeColor="text1"/>
          <w:sz w:val="24"/>
          <w:szCs w:val="20"/>
          <w:highlight w:val="none"/>
          <w:u w:val="single"/>
          <w14:textFill>
            <w14:solidFill>
              <w14:schemeClr w14:val="tx1"/>
            </w14:solidFill>
          </w14:textFill>
        </w:rPr>
        <w:t>宿州百大农产品物流有限责任公司</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C018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352E2E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签订地点：</w:t>
      </w:r>
      <w:r>
        <w:rPr>
          <w:rFonts w:hint="eastAsia" w:ascii="宋体" w:hAnsi="宋体"/>
          <w:color w:val="000000" w:themeColor="text1"/>
          <w:sz w:val="24"/>
          <w:highlight w:val="none"/>
          <w14:textFill>
            <w14:solidFill>
              <w14:schemeClr w14:val="tx1"/>
            </w14:solidFill>
          </w14:textFill>
        </w:rPr>
        <w:t>宿州</w:t>
      </w:r>
      <w:r>
        <w:rPr>
          <w:rFonts w:hint="eastAsia" w:cs="宋体"/>
          <w:color w:val="000000" w:themeColor="text1"/>
          <w:sz w:val="24"/>
          <w:szCs w:val="24"/>
          <w:highlight w:val="none"/>
          <w:lang w:val="en-US" w:eastAsia="zh-CN"/>
          <w14:textFill>
            <w14:solidFill>
              <w14:schemeClr w14:val="tx1"/>
            </w14:solidFill>
          </w14:textFill>
        </w:rPr>
        <w:t xml:space="preserve">  </w:t>
      </w:r>
    </w:p>
    <w:p w14:paraId="6207DD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宿州百大停车场系统升级改造项目</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9BB5B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cs="宋体"/>
          <w:b/>
          <w:bCs/>
          <w:color w:val="000000" w:themeColor="text1"/>
          <w:sz w:val="24"/>
          <w:szCs w:val="24"/>
          <w:highlight w:val="none"/>
          <w:u w:val="single"/>
          <w14:textFill>
            <w14:solidFill>
              <w14:schemeClr w14:val="tx1"/>
            </w14:solidFill>
          </w14:textFill>
        </w:rPr>
        <w:t>2024HAFGN01941</w:t>
      </w:r>
    </w:p>
    <w:p w14:paraId="18C209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经本项目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sz w:val="24"/>
          <w:szCs w:val="24"/>
          <w:highlight w:val="none"/>
          <w14:textFill>
            <w14:solidFill>
              <w14:schemeClr w14:val="tx1"/>
            </w14:solidFill>
          </w14:textFill>
        </w:rPr>
        <w:t>评审，决定将合同授予乙方。为进一步明确双方的责任，确保合同的顺利履行，根据《中华人民共和国民法典》之规定及安徽公共资源交易集团项目管理有限公司的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文件、中标通知书等相关资料的要求，经甲乙双方充分协商，特订立本合同，以便共同遵守。</w:t>
      </w:r>
    </w:p>
    <w:p w14:paraId="56F1975F">
      <w:pPr>
        <w:spacing w:line="360" w:lineRule="auto"/>
        <w:rPr>
          <w:rFonts w:cs="宋体"/>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第一条  货物名称、品牌、型号、规格、制造商、数量</w:t>
      </w:r>
    </w:p>
    <w:p w14:paraId="6DD979FF">
      <w:pPr>
        <w:spacing w:line="360" w:lineRule="auto"/>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详见</w:t>
      </w:r>
      <w:r>
        <w:rPr>
          <w:rFonts w:hint="eastAsia"/>
          <w:b/>
          <w:color w:val="000000" w:themeColor="text1"/>
          <w:sz w:val="24"/>
          <w:szCs w:val="28"/>
          <w:highlight w:val="none"/>
          <w14:textFill>
            <w14:solidFill>
              <w14:schemeClr w14:val="tx1"/>
            </w14:solidFill>
          </w14:textFill>
        </w:rPr>
        <w:t>分项报价明细表</w:t>
      </w:r>
    </w:p>
    <w:p w14:paraId="3CCA5BA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第二条  </w:t>
      </w:r>
      <w:r>
        <w:rPr>
          <w:rFonts w:hint="eastAsia" w:ascii="宋体" w:hAnsi="宋体" w:eastAsia="宋体" w:cs="宋体"/>
          <w:color w:val="000000" w:themeColor="text1"/>
          <w:sz w:val="24"/>
          <w:szCs w:val="24"/>
          <w:highlight w:val="none"/>
          <w14:textFill>
            <w14:solidFill>
              <w14:schemeClr w14:val="tx1"/>
            </w14:solidFill>
          </w14:textFill>
        </w:rPr>
        <w:t>合同总价款</w:t>
      </w:r>
    </w:p>
    <w:p w14:paraId="0435AE4D">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w:t>
      </w:r>
      <w:r>
        <w:rPr>
          <w:rFonts w:hint="eastAsia" w:cs="宋体"/>
          <w:color w:val="000000" w:themeColor="text1"/>
          <w:sz w:val="24"/>
          <w:szCs w:val="24"/>
          <w:highlight w:val="none"/>
          <w:lang w:val="en-US" w:eastAsia="zh-CN"/>
          <w14:textFill>
            <w14:solidFill>
              <w14:schemeClr w14:val="tx1"/>
            </w14:solidFill>
          </w14:textFill>
        </w:rPr>
        <w:t>总价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72D132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bCs/>
          <w:snapToGrid w:val="0"/>
          <w:color w:val="000000" w:themeColor="text1"/>
          <w:sz w:val="24"/>
          <w:szCs w:val="24"/>
          <w:highlight w:val="none"/>
          <w14:textFill>
            <w14:solidFill>
              <w14:schemeClr w14:val="tx1"/>
            </w14:solidFill>
          </w14:textFill>
        </w:rPr>
        <w:t>本合同总价应包含所投货物及其配套设施设备、软件等的供货、包装运输及保险、安装、个性化编程、调试、考核验收、培训、升级、交付后约定期限内免费维修保养服务、税费，场地平整准备、地基、道路绿化</w:t>
      </w:r>
      <w:r>
        <w:rPr>
          <w:rFonts w:hint="eastAsia"/>
          <w:bCs/>
          <w:snapToGrid w:val="0"/>
          <w:color w:val="000000" w:themeColor="text1"/>
          <w:sz w:val="24"/>
          <w:szCs w:val="24"/>
          <w:highlight w:val="none"/>
          <w:lang w:val="en-US" w:eastAsia="zh-CN"/>
          <w14:textFill>
            <w14:solidFill>
              <w14:schemeClr w14:val="tx1"/>
            </w14:solidFill>
          </w14:textFill>
        </w:rPr>
        <w:t>管</w:t>
      </w:r>
      <w:r>
        <w:rPr>
          <w:rFonts w:hint="eastAsia"/>
          <w:bCs/>
          <w:snapToGrid w:val="0"/>
          <w:color w:val="000000" w:themeColor="text1"/>
          <w:sz w:val="24"/>
          <w:szCs w:val="24"/>
          <w:highlight w:val="none"/>
          <w14:textFill>
            <w14:solidFill>
              <w14:schemeClr w14:val="tx1"/>
            </w14:solidFill>
          </w14:textFill>
        </w:rPr>
        <w:t>网恢复美化（如有）等所有工作和应有费用。</w:t>
      </w:r>
    </w:p>
    <w:p w14:paraId="7743C9E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第三条  </w:t>
      </w:r>
      <w:r>
        <w:rPr>
          <w:rFonts w:hint="eastAsia" w:ascii="宋体" w:hAnsi="宋体" w:eastAsia="宋体" w:cs="宋体"/>
          <w:color w:val="000000" w:themeColor="text1"/>
          <w:sz w:val="24"/>
          <w:szCs w:val="24"/>
          <w:highlight w:val="none"/>
          <w14:textFill>
            <w14:solidFill>
              <w14:schemeClr w14:val="tx1"/>
            </w14:solidFill>
          </w14:textFill>
        </w:rPr>
        <w:t>产品的技术标准（包括质量要求），按下列第（</w:t>
      </w:r>
      <w:r>
        <w:rPr>
          <w:rFonts w:hint="eastAsia" w:cs="宋体"/>
          <w:color w:val="000000" w:themeColor="text1"/>
          <w:sz w:val="24"/>
          <w:szCs w:val="24"/>
          <w:highlight w:val="none"/>
          <w14:textFill>
            <w14:solidFill>
              <w14:schemeClr w14:val="tx1"/>
            </w14:solidFill>
          </w14:textFill>
        </w:rPr>
        <w:t>①④</w:t>
      </w:r>
      <w:r>
        <w:rPr>
          <w:rFonts w:hint="eastAsia" w:ascii="宋体" w:hAnsi="宋体" w:eastAsia="宋体" w:cs="宋体"/>
          <w:color w:val="000000" w:themeColor="text1"/>
          <w:sz w:val="24"/>
          <w:szCs w:val="24"/>
          <w:highlight w:val="none"/>
          <w14:textFill>
            <w14:solidFill>
              <w14:schemeClr w14:val="tx1"/>
            </w14:solidFill>
          </w14:textFill>
        </w:rPr>
        <w:t>）项执行：</w:t>
      </w:r>
    </w:p>
    <w:p w14:paraId="1926739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①按国家标准执行；②按部颁标准执行；③若无以上标准，则应不低于同行业质量标准；④有特殊要求的，按甲乙双方在合同中商定的技术条件、样品或补充的技术要求执行；</w:t>
      </w:r>
    </w:p>
    <w:p w14:paraId="678A4ACA">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48" w:firstLineChars="187"/>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乙方提供和交付的货物技术标准应与</w:t>
      </w:r>
      <w:r>
        <w:rPr>
          <w:rFonts w:hint="eastAsia"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规定的技术标准相一致。若技术标准中无相应规定，所投货物应符合相应的国际标准或原产地国家有关部门最新颁布的相应的正式标准。</w:t>
      </w:r>
    </w:p>
    <w:p w14:paraId="1E2631B8">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产品的质量标准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5EB0029A">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14:paraId="0DE0193A">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第四条  </w:t>
      </w:r>
      <w:r>
        <w:rPr>
          <w:rFonts w:hint="eastAsia" w:ascii="宋体" w:hAnsi="宋体" w:eastAsia="宋体" w:cs="宋体"/>
          <w:bCs/>
          <w:color w:val="000000" w:themeColor="text1"/>
          <w:sz w:val="24"/>
          <w:szCs w:val="24"/>
          <w:highlight w:val="none"/>
          <w14:textFill>
            <w14:solidFill>
              <w14:schemeClr w14:val="tx1"/>
            </w14:solidFill>
          </w14:textFill>
        </w:rPr>
        <w:t>包装、运输、保险</w:t>
      </w:r>
    </w:p>
    <w:p w14:paraId="07377C36">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1.乙方所供货物的制造商原装出厂包装箱号与设备出厂批号一致。</w:t>
      </w:r>
    </w:p>
    <w:p w14:paraId="19F637C9">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2.包装必须与运输方式相适应，包装方式的确定及包装费用均由乙方负责，由于不适当的包装而造成货物在运输过程中有任何损坏、丢失由乙方负责。</w:t>
      </w:r>
    </w:p>
    <w:p w14:paraId="0DDD81E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3.包装应足以承受整个过程中的运输、转运、贮存等，并考虑</w:t>
      </w:r>
      <w:r>
        <w:rPr>
          <w:rFonts w:hint="eastAsia" w:cs="宋体"/>
          <w:color w:val="000000" w:themeColor="text1"/>
          <w:sz w:val="24"/>
          <w:szCs w:val="24"/>
          <w:highlight w:val="none"/>
          <w:lang w:val="en-US" w:eastAsia="zh-CN"/>
          <w14:textFill>
            <w14:solidFill>
              <w14:schemeClr w14:val="tx1"/>
            </w14:solidFill>
          </w14:textFill>
        </w:rPr>
        <w:t>项目所在地</w:t>
      </w:r>
      <w:r>
        <w:rPr>
          <w:rFonts w:hint="eastAsia" w:ascii="宋体" w:hAnsi="宋体" w:eastAsia="宋体" w:cs="宋体"/>
          <w:color w:val="000000" w:themeColor="text1"/>
          <w:sz w:val="24"/>
          <w:szCs w:val="24"/>
          <w:highlight w:val="none"/>
          <w14:textFill>
            <w14:solidFill>
              <w14:schemeClr w14:val="tx1"/>
            </w14:solidFill>
          </w14:textFill>
        </w:rPr>
        <w:t>地区的气候特点。</w:t>
      </w:r>
    </w:p>
    <w:p w14:paraId="45AB0BD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4.每一包装箱两个侧面用不褪色的容易识别的中文字样作出标记：箱号、装运标志、毛重、净重、到货地址、收货人名称、货物名称等。</w:t>
      </w:r>
    </w:p>
    <w:p w14:paraId="50042B3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货物在项目验收合格并由招标方签字接收前的保管责任、损坏灭失风险和保险由乙方负责。乙方承担其作业过程中造成任何事故或的损害的全部责任，负责其派出的现场服务人员人身意外保险。</w:t>
      </w:r>
    </w:p>
    <w:p w14:paraId="5B521D8D">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【注：合同中约定的包装标准应与乙方在</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文件中承诺的一致，且</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文件应作为合同附件与合同具有同等法律效力。】</w:t>
      </w:r>
    </w:p>
    <w:p w14:paraId="4D81682F">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第五条  </w:t>
      </w:r>
      <w:r>
        <w:rPr>
          <w:rFonts w:hint="eastAsia" w:ascii="宋体" w:hAnsi="宋体" w:eastAsia="宋体" w:cs="宋体"/>
          <w:color w:val="000000" w:themeColor="text1"/>
          <w:sz w:val="24"/>
          <w:szCs w:val="24"/>
          <w:highlight w:val="none"/>
          <w14:textFill>
            <w14:solidFill>
              <w14:schemeClr w14:val="tx1"/>
            </w14:solidFill>
          </w14:textFill>
        </w:rPr>
        <w:t>产品的交货方法、到货地点和完工期限</w:t>
      </w:r>
    </w:p>
    <w:p w14:paraId="5F8DC1F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1.交货方法，按下列第（</w:t>
      </w:r>
      <w:r>
        <w:rPr>
          <w:rFonts w:hint="eastAsia" w:cs="宋体"/>
          <w:color w:val="000000" w:themeColor="text1"/>
          <w:sz w:val="24"/>
          <w:szCs w:val="24"/>
          <w:highlight w:val="none"/>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）项执行：</w:t>
      </w:r>
    </w:p>
    <w:p w14:paraId="4A3904EF">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①乙方送货上门；②乙方代运；③甲方自提自运。</w:t>
      </w:r>
    </w:p>
    <w:p w14:paraId="6B44135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2.到货地点：</w:t>
      </w:r>
      <w:r>
        <w:rPr>
          <w:rFonts w:hint="eastAsia" w:asciiTheme="minorEastAsia" w:hAnsiTheme="minorEastAsia" w:eastAsiaTheme="minorEastAsia" w:cstheme="minorEastAsia"/>
          <w:b/>
          <w:color w:val="000000" w:themeColor="text1"/>
          <w:sz w:val="24"/>
          <w:highlight w:val="none"/>
          <w:u w:val="single"/>
          <w14:textFill>
            <w14:solidFill>
              <w14:schemeClr w14:val="tx1"/>
            </w14:solidFill>
          </w14:textFill>
        </w:rPr>
        <w:t>宿州市经济开发区南外环路88号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安装并调试。)</w:t>
      </w:r>
    </w:p>
    <w:p w14:paraId="26916F38">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3.供货期限 </w:t>
      </w:r>
      <w:r>
        <w:rPr>
          <w:rFonts w:hint="eastAsia" w:ascii="宋体" w:hAnsi="宋体"/>
          <w:b/>
          <w:color w:val="000000" w:themeColor="text1"/>
          <w:sz w:val="24"/>
          <w:highlight w:val="none"/>
          <w:u w:val="single"/>
          <w14:textFill>
            <w14:solidFill>
              <w14:schemeClr w14:val="tx1"/>
            </w14:solidFill>
          </w14:textFill>
        </w:rPr>
        <w:t>合同签订后</w:t>
      </w:r>
      <w:r>
        <w:rPr>
          <w:rFonts w:hint="eastAsia"/>
          <w:b/>
          <w:color w:val="000000" w:themeColor="text1"/>
          <w:sz w:val="24"/>
          <w:highlight w:val="none"/>
          <w:u w:val="single"/>
          <w:lang w:val="en-US" w:eastAsia="zh-CN"/>
          <w14:textFill>
            <w14:solidFill>
              <w14:schemeClr w14:val="tx1"/>
            </w14:solidFill>
          </w14:textFill>
        </w:rPr>
        <w:t>40</w:t>
      </w:r>
      <w:r>
        <w:rPr>
          <w:rFonts w:hint="eastAsia" w:ascii="宋体" w:hAnsi="宋体"/>
          <w:b/>
          <w:color w:val="000000" w:themeColor="text1"/>
          <w:sz w:val="24"/>
          <w:highlight w:val="none"/>
          <w:u w:val="single"/>
          <w14:textFill>
            <w14:solidFill>
              <w14:schemeClr w14:val="tx1"/>
            </w14:solidFill>
          </w14:textFill>
        </w:rPr>
        <w:t>个日历天</w:t>
      </w:r>
      <w:r>
        <w:rPr>
          <w:rFonts w:hint="eastAsia" w:ascii="宋体" w:hAnsi="宋体" w:eastAsia="宋体" w:cs="宋体"/>
          <w:color w:val="000000" w:themeColor="text1"/>
          <w:sz w:val="24"/>
          <w:szCs w:val="24"/>
          <w:highlight w:val="none"/>
          <w14:textFill>
            <w14:solidFill>
              <w14:schemeClr w14:val="tx1"/>
            </w14:solidFill>
          </w14:textFill>
        </w:rPr>
        <w:t>。</w:t>
      </w:r>
    </w:p>
    <w:p w14:paraId="43060DC7">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安装调试并验收合格期限</w:t>
      </w:r>
      <w:r>
        <w:rPr>
          <w:rFonts w:hint="eastAsia" w:ascii="宋体" w:hAnsi="宋体"/>
          <w:color w:val="000000" w:themeColor="text1"/>
          <w:sz w:val="24"/>
          <w:highlight w:val="none"/>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合同签订后</w:t>
      </w:r>
      <w:r>
        <w:rPr>
          <w:rFonts w:hint="eastAsia"/>
          <w:b/>
          <w:color w:val="000000" w:themeColor="text1"/>
          <w:sz w:val="24"/>
          <w:highlight w:val="none"/>
          <w:u w:val="single"/>
          <w:lang w:val="en-US" w:eastAsia="zh-CN"/>
          <w14:textFill>
            <w14:solidFill>
              <w14:schemeClr w14:val="tx1"/>
            </w14:solidFill>
          </w14:textFill>
        </w:rPr>
        <w:t>40</w:t>
      </w:r>
      <w:r>
        <w:rPr>
          <w:rFonts w:hint="eastAsia" w:ascii="宋体" w:hAnsi="宋体"/>
          <w:b/>
          <w:color w:val="000000" w:themeColor="text1"/>
          <w:sz w:val="24"/>
          <w:highlight w:val="none"/>
          <w:u w:val="single"/>
          <w14:textFill>
            <w14:solidFill>
              <w14:schemeClr w14:val="tx1"/>
            </w14:solidFill>
          </w14:textFill>
        </w:rPr>
        <w:t>个日历天</w:t>
      </w:r>
      <w:r>
        <w:rPr>
          <w:rFonts w:ascii="宋体" w:hAnsi="宋体"/>
          <w:color w:val="000000" w:themeColor="text1"/>
          <w:sz w:val="24"/>
          <w:highlight w:val="none"/>
          <w14:textFill>
            <w14:solidFill>
              <w14:schemeClr w14:val="tx1"/>
            </w14:solidFill>
          </w14:textFill>
        </w:rPr>
        <w:t>。</w:t>
      </w:r>
    </w:p>
    <w:p w14:paraId="4E06411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第六条</w:t>
      </w:r>
      <w:r>
        <w:rPr>
          <w:rFonts w:hint="eastAsia" w:ascii="宋体" w:hAnsi="宋体" w:eastAsia="宋体" w:cs="宋体"/>
          <w:color w:val="000000" w:themeColor="text1"/>
          <w:sz w:val="24"/>
          <w:szCs w:val="24"/>
          <w:highlight w:val="none"/>
          <w14:textFill>
            <w14:solidFill>
              <w14:schemeClr w14:val="tx1"/>
            </w14:solidFill>
          </w14:textFill>
        </w:rPr>
        <w:t xml:space="preserve">  付款条件</w:t>
      </w:r>
    </w:p>
    <w:p w14:paraId="7BA66322">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48" w:firstLineChars="187"/>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本合同以人民币付款。</w:t>
      </w:r>
    </w:p>
    <w:p w14:paraId="59F2A91A">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48" w:firstLineChars="187"/>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具体付款方式：</w:t>
      </w:r>
      <w:r>
        <w:rPr>
          <w:rFonts w:hint="eastAsia" w:cs="宋体"/>
          <w:color w:val="000000" w:themeColor="text1"/>
          <w:sz w:val="24"/>
          <w:szCs w:val="24"/>
          <w:highlight w:val="none"/>
          <w:u w:val="single"/>
          <w14:textFill>
            <w14:solidFill>
              <w14:schemeClr w14:val="tx1"/>
            </w14:solidFill>
          </w14:textFill>
        </w:rPr>
        <w:t>按合同要求完成供货、安装、调试，经综合验收合格后支付合同价款的80%，运行满</w:t>
      </w:r>
      <w:r>
        <w:rPr>
          <w:rFonts w:hint="eastAsia" w:cs="宋体"/>
          <w:color w:val="000000" w:themeColor="text1"/>
          <w:sz w:val="24"/>
          <w:szCs w:val="24"/>
          <w:highlight w:val="none"/>
          <w:u w:val="single"/>
          <w:lang w:val="en-US" w:eastAsia="zh-CN"/>
          <w14:textFill>
            <w14:solidFill>
              <w14:schemeClr w14:val="tx1"/>
            </w14:solidFill>
          </w14:textFill>
        </w:rPr>
        <w:t>30</w:t>
      </w:r>
      <w:r>
        <w:rPr>
          <w:rFonts w:hint="eastAsia" w:cs="宋体"/>
          <w:color w:val="000000" w:themeColor="text1"/>
          <w:sz w:val="24"/>
          <w:szCs w:val="24"/>
          <w:highlight w:val="none"/>
          <w:u w:val="single"/>
          <w14:textFill>
            <w14:solidFill>
              <w14:schemeClr w14:val="tx1"/>
            </w14:solidFill>
          </w14:textFill>
        </w:rPr>
        <w:t>日且无质量问题后支付</w:t>
      </w:r>
      <w:r>
        <w:rPr>
          <w:rFonts w:hint="eastAsia" w:cs="宋体"/>
          <w:color w:val="000000" w:themeColor="text1"/>
          <w:sz w:val="24"/>
          <w:szCs w:val="24"/>
          <w:highlight w:val="none"/>
          <w:u w:val="single"/>
          <w:lang w:val="en-US" w:eastAsia="zh-CN"/>
          <w14:textFill>
            <w14:solidFill>
              <w14:schemeClr w14:val="tx1"/>
            </w14:solidFill>
          </w14:textFill>
        </w:rPr>
        <w:t>至</w:t>
      </w:r>
      <w:r>
        <w:rPr>
          <w:rFonts w:hint="eastAsia" w:cs="宋体"/>
          <w:color w:val="000000" w:themeColor="text1"/>
          <w:sz w:val="24"/>
          <w:szCs w:val="24"/>
          <w:highlight w:val="none"/>
          <w:u w:val="single"/>
          <w14:textFill>
            <w14:solidFill>
              <w14:schemeClr w14:val="tx1"/>
            </w14:solidFill>
          </w14:textFill>
        </w:rPr>
        <w:t>合同价款的</w:t>
      </w:r>
      <w:r>
        <w:rPr>
          <w:rFonts w:hint="eastAsia" w:cs="宋体"/>
          <w:color w:val="000000" w:themeColor="text1"/>
          <w:sz w:val="24"/>
          <w:szCs w:val="24"/>
          <w:highlight w:val="none"/>
          <w:u w:val="single"/>
          <w:lang w:val="en-US" w:eastAsia="zh-CN"/>
          <w14:textFill>
            <w14:solidFill>
              <w14:schemeClr w14:val="tx1"/>
            </w14:solidFill>
          </w14:textFill>
        </w:rPr>
        <w:t>9</w:t>
      </w:r>
      <w:r>
        <w:rPr>
          <w:rFonts w:hint="eastAsia" w:cs="宋体"/>
          <w:color w:val="000000" w:themeColor="text1"/>
          <w:sz w:val="24"/>
          <w:szCs w:val="24"/>
          <w:highlight w:val="none"/>
          <w:u w:val="single"/>
          <w14:textFill>
            <w14:solidFill>
              <w14:schemeClr w14:val="tx1"/>
            </w14:solidFill>
          </w14:textFill>
        </w:rPr>
        <w:t>7%，剩余3%作为质量保证金，质保期满1年无质量问题一次性付清（如投标人承诺整体质保期延长的，以延长保修年限为准）。甲方每次付款前，乙方应向甲方开具并交付   %增值税专用发票，否则甲方有权拒绝付款且不视为违约。</w:t>
      </w:r>
    </w:p>
    <w:p w14:paraId="136801B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第七条</w:t>
      </w:r>
      <w:r>
        <w:rPr>
          <w:rFonts w:hint="eastAsia" w:ascii="宋体" w:hAnsi="宋体" w:eastAsia="宋体" w:cs="宋体"/>
          <w:color w:val="000000" w:themeColor="text1"/>
          <w:sz w:val="24"/>
          <w:szCs w:val="24"/>
          <w:highlight w:val="none"/>
          <w14:textFill>
            <w14:solidFill>
              <w14:schemeClr w14:val="tx1"/>
            </w14:solidFill>
          </w14:textFill>
        </w:rPr>
        <w:t xml:space="preserve">  验收方法</w:t>
      </w:r>
    </w:p>
    <w:p w14:paraId="4BFC4C5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1.乙方供货后，在</w:t>
      </w:r>
      <w:r>
        <w:rPr>
          <w:rFonts w:hint="eastAsia" w:cs="宋体"/>
          <w:color w:val="000000" w:themeColor="text1"/>
          <w:sz w:val="24"/>
          <w:szCs w:val="24"/>
          <w:highlight w:val="none"/>
          <w:u w:val="single"/>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天内通知甲方组织验收。验收不合格的，乙方应负责重新提供达到本合同约定的质量要求的产品。</w:t>
      </w:r>
    </w:p>
    <w:p w14:paraId="170444A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2.甲、乙双方应严格履行合同有关条款，如果验收过程中发现乙方在没有征得甲方同意的情况下擅自变更合同标的物，</w:t>
      </w:r>
      <w:r>
        <w:rPr>
          <w:rFonts w:hint="eastAsia" w:cs="宋体"/>
          <w:color w:val="000000" w:themeColor="text1"/>
          <w:sz w:val="24"/>
          <w:szCs w:val="24"/>
          <w:highlight w:val="none"/>
          <w14:textFill>
            <w14:solidFill>
              <w14:schemeClr w14:val="tx1"/>
            </w14:solidFill>
          </w14:textFill>
        </w:rPr>
        <w:t>或软硬件系统达不到甲方要求，</w:t>
      </w:r>
      <w:r>
        <w:rPr>
          <w:rFonts w:hint="eastAsia" w:ascii="宋体" w:hAnsi="宋体" w:eastAsia="宋体" w:cs="宋体"/>
          <w:color w:val="000000" w:themeColor="text1"/>
          <w:sz w:val="24"/>
          <w:szCs w:val="24"/>
          <w:highlight w:val="none"/>
          <w14:textFill>
            <w14:solidFill>
              <w14:schemeClr w14:val="tx1"/>
            </w14:solidFill>
          </w14:textFill>
        </w:rPr>
        <w:t>将拒绝通过验收，由此引起的一切后果及损失由乙方承担。</w:t>
      </w:r>
    </w:p>
    <w:p w14:paraId="613BCCE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3.甲方验收时，应成立三人以上（由甲、乙双方、资产管理人、技术人员、纪检等相关人员组成）验收小组，明确责任，严格依照</w:t>
      </w:r>
      <w:r>
        <w:rPr>
          <w:rFonts w:hint="eastAsia"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、中标通知书、合同及相关验收规范进行核对、验收，形成验收结论，并出具书面验收报告。</w:t>
      </w:r>
    </w:p>
    <w:p w14:paraId="41B9E41D">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涉及安全、消防、环保等其他需要由质检或行业主管部门进行验收的项目，必须邀请相关部门或相关专家参与验收。</w:t>
      </w:r>
    </w:p>
    <w:p w14:paraId="4A8C7AFA">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检测、验收费用均由乙方承担。</w:t>
      </w:r>
    </w:p>
    <w:p w14:paraId="6426EF3A">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第八条</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对产品提出异议的时间和办法</w:t>
      </w:r>
    </w:p>
    <w:p w14:paraId="78A289A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甲方在交货并安装调试完成后验收中，如果发现产品及软硬件系统不符合合同约定的</w:t>
      </w:r>
      <w:r>
        <w:rPr>
          <w:rFonts w:hint="eastAsia" w:ascii="宋体" w:hAnsi="宋体" w:eastAsia="宋体" w:cs="宋体"/>
          <w:color w:val="000000" w:themeColor="text1"/>
          <w:sz w:val="24"/>
          <w:szCs w:val="24"/>
          <w:highlight w:val="none"/>
          <w14:textFill>
            <w14:solidFill>
              <w14:schemeClr w14:val="tx1"/>
            </w14:solidFill>
          </w14:textFill>
        </w:rPr>
        <w:t>，应一面妥为保管，一面在</w:t>
      </w:r>
      <w:r>
        <w:rPr>
          <w:rFonts w:hint="eastAsia" w:cs="宋体"/>
          <w:color w:val="000000" w:themeColor="text1"/>
          <w:sz w:val="24"/>
          <w:szCs w:val="24"/>
          <w:highlight w:val="none"/>
          <w:u w:val="single"/>
          <w:lang w:val="en-US" w:eastAsia="zh-CN"/>
          <w14:textFill>
            <w14:solidFill>
              <w14:schemeClr w14:val="tx1"/>
            </w14:solidFill>
          </w14:textFill>
        </w:rPr>
        <w:t>10个</w:t>
      </w:r>
      <w:r>
        <w:rPr>
          <w:rFonts w:hint="eastAsia" w:ascii="宋体" w:hAnsi="宋体" w:eastAsia="宋体" w:cs="宋体"/>
          <w:color w:val="000000" w:themeColor="text1"/>
          <w:sz w:val="24"/>
          <w:szCs w:val="24"/>
          <w:highlight w:val="none"/>
          <w14:textFill>
            <w14:solidFill>
              <w14:schemeClr w14:val="tx1"/>
            </w14:solidFill>
          </w14:textFill>
        </w:rPr>
        <w:t>工作日内向乙方书面提出异议。具体说明产品不符合规定的内容并附相关验收材料，同时提出不符合规定产品的处理意见。</w:t>
      </w:r>
    </w:p>
    <w:p w14:paraId="0A48083D">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验收合格并签字接收后因甲方使用、保管、保养不善造成产品质量下降的，不得提出异议。</w:t>
      </w:r>
    </w:p>
    <w:p w14:paraId="0A9212AD">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3.乙方在接到甲方异议后，应在 </w:t>
      </w:r>
      <w:r>
        <w:rPr>
          <w:rFonts w:hint="eastAsia" w:cs="宋体"/>
          <w:color w:val="000000" w:themeColor="text1"/>
          <w:sz w:val="24"/>
          <w:szCs w:val="24"/>
          <w:highlight w:val="none"/>
          <w:u w:val="single"/>
          <w14:textFill>
            <w14:solidFill>
              <w14:schemeClr w14:val="tx1"/>
            </w14:solidFill>
          </w14:textFill>
        </w:rPr>
        <w:t>7</w:t>
      </w:r>
      <w:r>
        <w:rPr>
          <w:rFonts w:hint="eastAsia" w:cs="宋体"/>
          <w:color w:val="000000" w:themeColor="text1"/>
          <w:sz w:val="24"/>
          <w:szCs w:val="24"/>
          <w:highlight w:val="none"/>
          <w:u w:val="single"/>
          <w:lang w:val="en-US" w:eastAsia="zh-CN"/>
          <w14:textFill>
            <w14:solidFill>
              <w14:schemeClr w14:val="tx1"/>
            </w14:solidFill>
          </w14:textFill>
        </w:rPr>
        <w:t>个</w:t>
      </w:r>
      <w:r>
        <w:rPr>
          <w:rFonts w:hint="eastAsia" w:ascii="宋体" w:hAnsi="宋体" w:eastAsia="宋体" w:cs="宋体"/>
          <w:color w:val="000000" w:themeColor="text1"/>
          <w:sz w:val="24"/>
          <w:szCs w:val="24"/>
          <w:highlight w:val="none"/>
          <w14:textFill>
            <w14:solidFill>
              <w14:schemeClr w14:val="tx1"/>
            </w14:solidFill>
          </w14:textFill>
        </w:rPr>
        <w:t xml:space="preserve"> 工作日内负责处理，否则，即视为默认甲方提出的异议和处理意见。</w:t>
      </w:r>
    </w:p>
    <w:p w14:paraId="415CB85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第九条</w:t>
      </w:r>
      <w:r>
        <w:rPr>
          <w:rFonts w:hint="eastAsia" w:ascii="宋体" w:hAnsi="宋体" w:eastAsia="宋体" w:cs="宋体"/>
          <w:color w:val="000000" w:themeColor="text1"/>
          <w:sz w:val="24"/>
          <w:szCs w:val="24"/>
          <w:highlight w:val="none"/>
          <w14:textFill>
            <w14:solidFill>
              <w14:schemeClr w14:val="tx1"/>
            </w14:solidFill>
          </w14:textFill>
        </w:rPr>
        <w:t xml:space="preserve">  乙方应提供完善周到的技术支持和售后服务，否则甲方在进行事实调查的基础上，视情节轻重从乙方的履约保证金中扣除部分或全部补偿甲方。</w:t>
      </w:r>
    </w:p>
    <w:p w14:paraId="468B7BF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1.保修</w:t>
      </w:r>
    </w:p>
    <w:p w14:paraId="1B6A75BB">
      <w:pPr>
        <w:tabs>
          <w:tab w:val="left" w:pos="2394"/>
        </w:tabs>
        <w:spacing w:line="360" w:lineRule="auto"/>
        <w:ind w:firstLine="460" w:firstLineChars="192"/>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乙方对其所提供的货物及软硬件配套免费保修壹年（如投</w:t>
      </w:r>
      <w:r>
        <w:rPr>
          <w:rFonts w:hint="eastAsia" w:cs="宋体"/>
          <w:color w:val="000000" w:themeColor="text1"/>
          <w:sz w:val="24"/>
          <w:szCs w:val="24"/>
          <w:highlight w:val="none"/>
          <w:lang w:val="en-US" w:eastAsia="zh-CN"/>
          <w14:textFill>
            <w14:solidFill>
              <w14:schemeClr w14:val="tx1"/>
            </w14:solidFill>
          </w14:textFill>
        </w:rPr>
        <w:t>标</w:t>
      </w:r>
      <w:r>
        <w:rPr>
          <w:rFonts w:hint="eastAsia" w:cs="宋体"/>
          <w:color w:val="000000" w:themeColor="text1"/>
          <w:sz w:val="24"/>
          <w:szCs w:val="24"/>
          <w:highlight w:val="none"/>
          <w14:textFill>
            <w14:solidFill>
              <w14:schemeClr w14:val="tx1"/>
            </w14:solidFill>
          </w14:textFill>
        </w:rPr>
        <w:t>人承诺</w:t>
      </w:r>
      <w:r>
        <w:rPr>
          <w:rFonts w:hint="eastAsia"/>
          <w:color w:val="000000" w:themeColor="text1"/>
          <w:sz w:val="24"/>
          <w:szCs w:val="24"/>
          <w:highlight w:val="none"/>
          <w14:textFill>
            <w14:solidFill>
              <w14:schemeClr w14:val="tx1"/>
            </w14:solidFill>
          </w14:textFill>
        </w:rPr>
        <w:t>整体质保期延长的</w:t>
      </w:r>
      <w:r>
        <w:rPr>
          <w:rFonts w:hint="eastAsia" w:cs="宋体"/>
          <w:color w:val="000000" w:themeColor="text1"/>
          <w:sz w:val="24"/>
          <w:szCs w:val="24"/>
          <w:highlight w:val="none"/>
          <w14:textFill>
            <w14:solidFill>
              <w14:schemeClr w14:val="tx1"/>
            </w14:solidFill>
          </w14:textFill>
        </w:rPr>
        <w:t>，以延长保修年限为准），保修期从竣工验收合格之日开始起算。乙方应在接到报修通知后 2 小时内上门维修，负责更换有瑕疵的货物、部件或提供相应的质量保证期内的服务。由此造成的损失，甲方保留索赔的权利。如不能按时到场维修的，每发生一次扣除承担违约金2000元。</w:t>
      </w:r>
    </w:p>
    <w:p w14:paraId="3DC5347C">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60" w:firstLineChars="19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如果乙方在收到报修通知后24小时内没有弥补缺陷，甲方可采取必要的补救措施，但费用和风险由乙方承担。</w:t>
      </w:r>
    </w:p>
    <w:p w14:paraId="5CF47EF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2.维修</w:t>
      </w:r>
    </w:p>
    <w:p w14:paraId="432E5DEC">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52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保修期届满后，乙方应对其提供的货物负有维修义务，但所涉及的费用由甲方承担。</w:t>
      </w:r>
    </w:p>
    <w:p w14:paraId="179C070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第十条</w:t>
      </w:r>
      <w:r>
        <w:rPr>
          <w:rFonts w:hint="eastAsia"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乙方的违约责任</w:t>
      </w:r>
    </w:p>
    <w:p w14:paraId="01A5F4C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乙方不能交货或不能履行合同主要义务的，甲方有权解除合同，乙方承担项目总价款20%的违约金，并赔偿因此给甲方造成的全部损失。</w:t>
      </w:r>
    </w:p>
    <w:p w14:paraId="647C7B05">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乙方所提供产品、软硬件系统或服务不符合合同规定的，应根据具体情况</w:t>
      </w:r>
      <w:r>
        <w:rPr>
          <w:rFonts w:hint="eastAsia" w:ascii="宋体" w:hAnsi="宋体" w:eastAsia="宋体" w:cs="宋体"/>
          <w:color w:val="000000" w:themeColor="text1"/>
          <w:sz w:val="24"/>
          <w:szCs w:val="24"/>
          <w:highlight w:val="none"/>
          <w14:textFill>
            <w14:solidFill>
              <w14:schemeClr w14:val="tx1"/>
            </w14:solidFill>
          </w14:textFill>
        </w:rPr>
        <w:t>，由乙方负责包换或包修，并承担修理、调换或退货而支付的实际费用，同时，乙方应按规定，对更换件相应延长质量保证期，并赔偿甲方损失。乙方不能修理或者不能调换的，按不能交货处理。</w:t>
      </w:r>
    </w:p>
    <w:p w14:paraId="284AEDD8">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w:t>
      </w:r>
    </w:p>
    <w:p w14:paraId="3676AD6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果乙方没有按照规定的时间交货、完成货物供货和提供服务，应向甲方支付违约金，违约金从货款中扣除，按每周迟交货物或未提供服务交货价的0.5%计收。但违约金的最高限额为迟交货物或提供服务合同价的5%。一周按7天计算，不足7天按一周计算。</w:t>
      </w:r>
      <w:r>
        <w:rPr>
          <w:rFonts w:hint="eastAsia" w:cs="宋体"/>
          <w:color w:val="000000" w:themeColor="text1"/>
          <w:sz w:val="24"/>
          <w:szCs w:val="24"/>
          <w:highlight w:val="none"/>
          <w14:textFill>
            <w14:solidFill>
              <w14:schemeClr w14:val="tx1"/>
            </w14:solidFill>
          </w14:textFill>
        </w:rPr>
        <w:t>如果达到最高限额，甲方有权解除合同，乙方承担合同总价款5%的违约金，由此给甲方造成的损失由乙方额外承担。</w:t>
      </w:r>
    </w:p>
    <w:p w14:paraId="3110EE9C">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乙方提前到货的产品、多交的产品和不符合合同规定的产品，均由乙方自行保管。如由甲方代管的，甲方在代保管期内实际支付的保管、保养等费用以及货物损毁灭失风险，均由乙方承担。</w:t>
      </w:r>
    </w:p>
    <w:p w14:paraId="17B6C28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乙方保证对其所提供的货物和系统拥有所有权和对应知识产权，并应保证甲方在中华人民共和国内使用该货物时不侵犯第三人的知识产权和其他权利。否则乙方应承担由此引起的一切法律责任及费用。</w:t>
      </w:r>
    </w:p>
    <w:p w14:paraId="740F4905">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7.任何一方未经对方同意而单方面解除合同的，应向对方赔偿相当于本合同总价款</w:t>
      </w:r>
      <w:r>
        <w:rPr>
          <w:rFonts w:hint="eastAsia" w:cs="宋体"/>
          <w:color w:val="000000" w:themeColor="text1"/>
          <w:sz w:val="24"/>
          <w:szCs w:val="24"/>
          <w:highlight w:val="none"/>
          <w:u w:val="single"/>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违约金。</w:t>
      </w:r>
    </w:p>
    <w:p w14:paraId="7A3271C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第十一条  </w:t>
      </w:r>
      <w:r>
        <w:rPr>
          <w:rFonts w:hint="eastAsia" w:ascii="宋体" w:hAnsi="宋体" w:eastAsia="宋体" w:cs="宋体"/>
          <w:color w:val="000000" w:themeColor="text1"/>
          <w:sz w:val="24"/>
          <w:szCs w:val="24"/>
          <w:highlight w:val="none"/>
          <w14:textFill>
            <w14:solidFill>
              <w14:schemeClr w14:val="tx1"/>
            </w14:solidFill>
          </w14:textFill>
        </w:rPr>
        <w:t>甲方的违约责任</w:t>
      </w:r>
    </w:p>
    <w:p w14:paraId="33A5D0E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1.甲方中途</w:t>
      </w:r>
      <w:r>
        <w:rPr>
          <w:rFonts w:hint="eastAsia" w:cs="宋体"/>
          <w:color w:val="000000" w:themeColor="text1"/>
          <w:sz w:val="24"/>
          <w:szCs w:val="24"/>
          <w:highlight w:val="none"/>
          <w14:textFill>
            <w14:solidFill>
              <w14:schemeClr w14:val="tx1"/>
            </w14:solidFill>
          </w14:textFill>
        </w:rPr>
        <w:t>无理由</w:t>
      </w:r>
      <w:r>
        <w:rPr>
          <w:rFonts w:hint="eastAsia" w:ascii="宋体" w:hAnsi="宋体" w:eastAsia="宋体" w:cs="宋体"/>
          <w:color w:val="000000" w:themeColor="text1"/>
          <w:sz w:val="24"/>
          <w:szCs w:val="24"/>
          <w:highlight w:val="none"/>
          <w14:textFill>
            <w14:solidFill>
              <w14:schemeClr w14:val="tx1"/>
            </w14:solidFill>
          </w14:textFill>
        </w:rPr>
        <w:t>退货，应向乙方偿付退货部分货款</w:t>
      </w:r>
      <w:r>
        <w:rPr>
          <w:rFonts w:hint="eastAsia" w:cs="宋体"/>
          <w:color w:val="000000" w:themeColor="text1"/>
          <w:sz w:val="24"/>
          <w:szCs w:val="24"/>
          <w:highlight w:val="none"/>
          <w:u w:val="singl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%的违约金。</w:t>
      </w:r>
    </w:p>
    <w:p w14:paraId="157722CA">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2.甲方违反合同规定拒绝接货的，应当承担由此造成的损失。</w:t>
      </w:r>
    </w:p>
    <w:p w14:paraId="30CBA415">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第十二条  </w:t>
      </w:r>
      <w:r>
        <w:rPr>
          <w:rFonts w:hint="eastAsia" w:ascii="宋体" w:hAnsi="宋体" w:eastAsia="宋体" w:cs="宋体"/>
          <w:color w:val="000000" w:themeColor="text1"/>
          <w:sz w:val="24"/>
          <w:szCs w:val="24"/>
          <w:highlight w:val="none"/>
          <w14:textFill>
            <w14:solidFill>
              <w14:schemeClr w14:val="tx1"/>
            </w14:solidFill>
          </w14:textFill>
        </w:rPr>
        <w:t>不可抗力</w:t>
      </w:r>
    </w:p>
    <w:p w14:paraId="03444CB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595CF4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A944918">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第十三条  </w:t>
      </w:r>
      <w:r>
        <w:rPr>
          <w:rFonts w:hint="eastAsia" w:ascii="宋体" w:hAnsi="宋体" w:eastAsia="宋体" w:cs="宋体"/>
          <w:color w:val="000000" w:themeColor="text1"/>
          <w:sz w:val="24"/>
          <w:szCs w:val="24"/>
          <w:highlight w:val="none"/>
          <w14:textFill>
            <w14:solidFill>
              <w14:schemeClr w14:val="tx1"/>
            </w14:solidFill>
          </w14:textFill>
        </w:rPr>
        <w:t>履约保证金</w:t>
      </w:r>
    </w:p>
    <w:p w14:paraId="0E280AF6">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本项目履约保证金为</w:t>
      </w:r>
      <w:r>
        <w:rPr>
          <w:rFonts w:hint="eastAsia" w:cs="宋体"/>
          <w:color w:val="000000" w:themeColor="text1"/>
          <w:sz w:val="24"/>
          <w:szCs w:val="24"/>
          <w:highlight w:val="none"/>
          <w:u w:val="single"/>
          <w14:textFill>
            <w14:solidFill>
              <w14:schemeClr w14:val="tx1"/>
            </w14:solidFill>
          </w14:textFill>
        </w:rPr>
        <w:t xml:space="preserve">   15000.00元   </w:t>
      </w:r>
      <w:r>
        <w:rPr>
          <w:rFonts w:hint="eastAsia" w:cs="宋体"/>
          <w:color w:val="000000" w:themeColor="text1"/>
          <w:sz w:val="24"/>
          <w:szCs w:val="24"/>
          <w:highlight w:val="none"/>
          <w14:textFill>
            <w14:solidFill>
              <w14:schemeClr w14:val="tx1"/>
            </w14:solidFill>
          </w14:textFill>
        </w:rPr>
        <w:t>(人民币)，收受人为</w:t>
      </w:r>
      <w:r>
        <w:rPr>
          <w:rFonts w:hint="eastAsia" w:cs="宋体"/>
          <w:color w:val="000000" w:themeColor="text1"/>
          <w:sz w:val="24"/>
          <w:szCs w:val="24"/>
          <w:highlight w:val="none"/>
          <w:u w:val="single"/>
          <w14:textFill>
            <w14:solidFill>
              <w14:schemeClr w14:val="tx1"/>
            </w14:solidFill>
          </w14:textFill>
        </w:rPr>
        <w:t xml:space="preserve"> 宿州百大农产品物流有限责任公司 </w:t>
      </w:r>
      <w:r>
        <w:rPr>
          <w:rFonts w:hint="eastAsia" w:cs="宋体"/>
          <w:color w:val="000000" w:themeColor="text1"/>
          <w:sz w:val="24"/>
          <w:szCs w:val="24"/>
          <w:highlight w:val="none"/>
          <w14:textFill>
            <w14:solidFill>
              <w14:schemeClr w14:val="tx1"/>
            </w14:solidFill>
          </w14:textFill>
        </w:rPr>
        <w:t>，期限至</w:t>
      </w:r>
      <w:r>
        <w:rPr>
          <w:rFonts w:hint="eastAsia"/>
          <w:b/>
          <w:color w:val="000000" w:themeColor="text1"/>
          <w:sz w:val="24"/>
          <w:highlight w:val="none"/>
          <w:u w:val="single"/>
          <w14:textFill>
            <w14:solidFill>
              <w14:schemeClr w14:val="tx1"/>
            </w14:solidFill>
          </w14:textFill>
        </w:rPr>
        <w:t>验收合格后7个日历天</w:t>
      </w:r>
      <w:r>
        <w:rPr>
          <w:rFonts w:hint="eastAsia" w:ascii="宋体" w:hAnsi="宋体" w:eastAsia="宋体" w:cs="宋体"/>
          <w:color w:val="000000" w:themeColor="text1"/>
          <w:sz w:val="24"/>
          <w:szCs w:val="24"/>
          <w:highlight w:val="none"/>
          <w14:textFill>
            <w14:solidFill>
              <w14:schemeClr w14:val="tx1"/>
            </w14:solidFill>
          </w14:textFill>
        </w:rPr>
        <w:t>。</w:t>
      </w:r>
    </w:p>
    <w:p w14:paraId="645EA62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2.乙方提供的履约保证金按规定格式以银行保函形式提供的，与此有关的费用由乙方承担。</w:t>
      </w:r>
    </w:p>
    <w:p w14:paraId="3B4E755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3.如乙方未能履行其合同规定的任何义务，甲方有权从履约保证金中取得补偿。</w:t>
      </w:r>
    </w:p>
    <w:p w14:paraId="5F72925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第十四条  </w:t>
      </w:r>
      <w:r>
        <w:rPr>
          <w:rFonts w:hint="eastAsia" w:ascii="宋体" w:hAnsi="宋体" w:eastAsia="宋体" w:cs="宋体"/>
          <w:bCs/>
          <w:color w:val="000000" w:themeColor="text1"/>
          <w:sz w:val="24"/>
          <w:szCs w:val="24"/>
          <w:highlight w:val="none"/>
          <w14:textFill>
            <w14:solidFill>
              <w14:schemeClr w14:val="tx1"/>
            </w14:solidFill>
          </w14:textFill>
        </w:rPr>
        <w:t>转让与分包</w:t>
      </w:r>
    </w:p>
    <w:p w14:paraId="79ECF8C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1.乙方不得部分转让或全部转让其应履行的合同义务。</w:t>
      </w:r>
    </w:p>
    <w:p w14:paraId="42E3E89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乙方如有对外分包的，应在磋商文件中或在招标评审前以其他书面形式确认拟分包内容，本合同项下内容的所有分包合同均须经甲方书面确认。但该确认不解除乙方承担的本合同下的任何责任或义务。意即在本合同项下，乙方对甲方负总责。</w:t>
      </w:r>
    </w:p>
    <w:p w14:paraId="795D85B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第十五条  </w:t>
      </w:r>
      <w:r>
        <w:rPr>
          <w:rFonts w:hint="eastAsia" w:ascii="宋体" w:hAnsi="宋体" w:eastAsia="宋体" w:cs="宋体"/>
          <w:bCs/>
          <w:color w:val="000000" w:themeColor="text1"/>
          <w:sz w:val="24"/>
          <w:szCs w:val="24"/>
          <w:highlight w:val="none"/>
          <w14:textFill>
            <w14:solidFill>
              <w14:schemeClr w14:val="tx1"/>
            </w14:solidFill>
          </w14:textFill>
        </w:rPr>
        <w:t>合同文件及资料的使用</w:t>
      </w:r>
    </w:p>
    <w:p w14:paraId="5DF951AF">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1.乙方在未经甲方同意的情况下，不得将合同、合同中的规定、有关计划、图纸、样本或甲方为上述内容向乙方提供的资料透露给任何人。</w:t>
      </w:r>
    </w:p>
    <w:p w14:paraId="3AED2CD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2.除非执行合同需要，在事先未得到甲方同意的情况下，乙方不得使用前款所列的任何文件和资料。</w:t>
      </w:r>
    </w:p>
    <w:p w14:paraId="11B84019">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第十六条 </w:t>
      </w:r>
      <w:r>
        <w:rPr>
          <w:rFonts w:hint="eastAsia" w:ascii="宋体" w:hAnsi="宋体" w:eastAsia="宋体" w:cs="宋体"/>
          <w:color w:val="000000" w:themeColor="text1"/>
          <w:sz w:val="24"/>
          <w:szCs w:val="24"/>
          <w:highlight w:val="none"/>
          <w14:textFill>
            <w14:solidFill>
              <w14:schemeClr w14:val="tx1"/>
            </w14:solidFill>
          </w14:textFill>
        </w:rPr>
        <w:t xml:space="preserve"> 其他</w:t>
      </w:r>
    </w:p>
    <w:p w14:paraId="65BC2FE9">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1.按本合同规定应该偿付的违约金、赔偿金、保管保养费和各种经济损失，应当在明确责任后10天内，按银行规定的结算办法付清，否则按逾期付款处理。但任何一方不得自行扣发货物或扣付货款来充抵。</w:t>
      </w:r>
    </w:p>
    <w:p w14:paraId="76B4EDE5">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2.本合同如发生纠纷，当事人双方应当及时协商解决，协商不成时，按以下第（</w:t>
      </w:r>
      <w:r>
        <w:rPr>
          <w:rFonts w:hint="eastAsia"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）项方式处理：①根据《中华人民共和国仲裁法》的规定向</w:t>
      </w:r>
      <w:r>
        <w:rPr>
          <w:rFonts w:hint="eastAsia" w:cs="宋体"/>
          <w:color w:val="000000" w:themeColor="text1"/>
          <w:sz w:val="24"/>
          <w:szCs w:val="24"/>
          <w:highlight w:val="none"/>
          <w:lang w:val="en-US" w:eastAsia="zh-CN"/>
          <w14:textFill>
            <w14:solidFill>
              <w14:schemeClr w14:val="tx1"/>
            </w14:solidFill>
          </w14:textFill>
        </w:rPr>
        <w:t>__________</w:t>
      </w:r>
      <w:r>
        <w:rPr>
          <w:rFonts w:hint="eastAsia" w:ascii="宋体" w:hAnsi="宋体" w:eastAsia="宋体" w:cs="宋体"/>
          <w:color w:val="000000" w:themeColor="text1"/>
          <w:sz w:val="24"/>
          <w:szCs w:val="24"/>
          <w:highlight w:val="none"/>
          <w14:textFill>
            <w14:solidFill>
              <w14:schemeClr w14:val="tx1"/>
            </w14:solidFill>
          </w14:textFill>
        </w:rPr>
        <w:t>申请仲裁。②向合同签订地有级别管辖权的人民法院起诉。</w:t>
      </w:r>
    </w:p>
    <w:p w14:paraId="174AC53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第十七条  </w:t>
      </w:r>
      <w:r>
        <w:rPr>
          <w:rFonts w:hint="eastAsia" w:ascii="宋体" w:hAnsi="宋体" w:eastAsia="宋体" w:cs="宋体"/>
          <w:color w:val="000000" w:themeColor="text1"/>
          <w:sz w:val="24"/>
          <w:szCs w:val="24"/>
          <w:highlight w:val="none"/>
          <w14:textFill>
            <w14:solidFill>
              <w14:schemeClr w14:val="tx1"/>
            </w14:solidFill>
          </w14:textFill>
        </w:rPr>
        <w:t>下列关于安徽公共资源交易集团项目管理有限公司的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文件及有关附件是本合同不可分割的组成部分，与本合同具有同等法律效力，这些文件包括但不限于：①</w:t>
      </w:r>
      <w:r>
        <w:rPr>
          <w:rFonts w:hint="eastAsia" w:ascii="宋体" w:hAnsi="宋体" w:eastAsia="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文件；②乙方提供的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文件；③</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投标函</w:t>
      </w:r>
      <w:r>
        <w:rPr>
          <w:rFonts w:hint="eastAsia" w:ascii="宋体" w:hAnsi="宋体" w:eastAsia="宋体" w:cs="宋体"/>
          <w:color w:val="000000" w:themeColor="text1"/>
          <w:sz w:val="24"/>
          <w:szCs w:val="24"/>
          <w:highlight w:val="none"/>
          <w14:textFill>
            <w14:solidFill>
              <w14:schemeClr w14:val="tx1"/>
            </w14:solidFill>
          </w14:textFill>
        </w:rPr>
        <w:t>；④甲乙双方商定的其他文件。以上附件顺序在前的具有优先解释权。</w:t>
      </w:r>
    </w:p>
    <w:p w14:paraId="49399C15">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本合同一式陆</w:t>
      </w:r>
      <w:r>
        <w:rPr>
          <w:rFonts w:hint="eastAsia"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份，甲乙双方各执</w:t>
      </w:r>
      <w:r>
        <w:rPr>
          <w:rFonts w:hint="eastAsia" w:cs="宋体"/>
          <w:color w:val="000000" w:themeColor="text1"/>
          <w:sz w:val="24"/>
          <w:szCs w:val="24"/>
          <w:highlight w:val="none"/>
          <w:u w:val="single"/>
          <w14:textFill>
            <w14:solidFill>
              <w14:schemeClr w14:val="tx1"/>
            </w14:solidFill>
          </w14:textFill>
        </w:rPr>
        <w:t xml:space="preserve"> 叁 </w:t>
      </w:r>
      <w:r>
        <w:rPr>
          <w:rFonts w:hint="eastAsia" w:cs="宋体"/>
          <w:color w:val="000000" w:themeColor="text1"/>
          <w:sz w:val="24"/>
          <w:szCs w:val="24"/>
          <w:highlight w:val="none"/>
          <w14:textFill>
            <w14:solidFill>
              <w14:schemeClr w14:val="tx1"/>
            </w14:solidFill>
          </w14:textFill>
        </w:rPr>
        <w:t>份，安徽公共资源交易集团项目管理有限公司留存</w:t>
      </w:r>
      <w:r>
        <w:rPr>
          <w:rFonts w:hint="eastAsia" w:cs="宋体"/>
          <w:color w:val="000000" w:themeColor="text1"/>
          <w:sz w:val="24"/>
          <w:szCs w:val="24"/>
          <w:highlight w:val="none"/>
          <w:u w:val="single"/>
          <w14:textFill>
            <w14:solidFill>
              <w14:schemeClr w14:val="tx1"/>
            </w14:solidFill>
          </w14:textFill>
        </w:rPr>
        <w:t>壹</w:t>
      </w:r>
      <w:r>
        <w:rPr>
          <w:rFonts w:hint="eastAsia" w:cs="宋体"/>
          <w:color w:val="000000" w:themeColor="text1"/>
          <w:sz w:val="24"/>
          <w:szCs w:val="24"/>
          <w:highlight w:val="none"/>
          <w14:textFill>
            <w14:solidFill>
              <w14:schemeClr w14:val="tx1"/>
            </w14:solidFill>
          </w14:textFill>
        </w:rPr>
        <w:t>份，自双方当事人签字盖章之日起生效。</w:t>
      </w:r>
    </w:p>
    <w:p w14:paraId="47B8E4F6">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本合同合计</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页A4纸张，缺页之合同为无效合同。</w:t>
      </w:r>
    </w:p>
    <w:p w14:paraId="20970B96">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招标人（甲方）：    （公章）         </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 xml:space="preserve">（乙方）：     （公章）  </w:t>
      </w:r>
    </w:p>
    <w:p w14:paraId="543EF20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14:paraId="23BB8041">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14:paraId="28E8EC28">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委托代理人：                         委托代理人：</w:t>
      </w:r>
    </w:p>
    <w:p w14:paraId="3CFA2524">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                               电话：</w:t>
      </w:r>
    </w:p>
    <w:p w14:paraId="088FAB3D">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开户银行：</w:t>
      </w:r>
    </w:p>
    <w:p w14:paraId="216CEB8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账号：                               账号：</w:t>
      </w:r>
    </w:p>
    <w:p w14:paraId="21F76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1CC92F3B">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7BCF090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备注：本合同的约定如与本项目磋商文件的</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szCs w:val="24"/>
          <w:highlight w:val="none"/>
          <w14:textFill>
            <w14:solidFill>
              <w14:schemeClr w14:val="tx1"/>
            </w14:solidFill>
          </w14:textFill>
        </w:rPr>
        <w:t>须知前附表和</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招标人要求</w:t>
      </w:r>
      <w:r>
        <w:rPr>
          <w:rFonts w:hint="eastAsia" w:ascii="宋体" w:hAnsi="宋体" w:eastAsia="宋体" w:cs="宋体"/>
          <w:b/>
          <w:color w:val="000000" w:themeColor="text1"/>
          <w:kern w:val="0"/>
          <w:sz w:val="24"/>
          <w:szCs w:val="24"/>
          <w:highlight w:val="none"/>
          <w14:textFill>
            <w14:solidFill>
              <w14:schemeClr w14:val="tx1"/>
            </w14:solidFill>
          </w14:textFill>
        </w:rPr>
        <w:t>的约定</w:t>
      </w:r>
      <w:r>
        <w:rPr>
          <w:rFonts w:hint="eastAsia" w:cs="宋体"/>
          <w:b/>
          <w:color w:val="000000" w:themeColor="text1"/>
          <w:kern w:val="0"/>
          <w:sz w:val="24"/>
          <w:szCs w:val="24"/>
          <w:highlight w:val="none"/>
          <w:lang w:val="en-US" w:eastAsia="zh-CN"/>
          <w14:textFill>
            <w14:solidFill>
              <w14:schemeClr w14:val="tx1"/>
            </w14:solidFill>
          </w14:textFill>
        </w:rPr>
        <w:t>有冲突的</w:t>
      </w:r>
      <w:r>
        <w:rPr>
          <w:rFonts w:hint="eastAsia" w:ascii="宋体" w:hAnsi="宋体" w:eastAsia="宋体" w:cs="宋体"/>
          <w:b/>
          <w:color w:val="000000" w:themeColor="text1"/>
          <w:kern w:val="0"/>
          <w:sz w:val="24"/>
          <w:szCs w:val="24"/>
          <w:highlight w:val="none"/>
          <w14:textFill>
            <w14:solidFill>
              <w14:schemeClr w14:val="tx1"/>
            </w14:solidFill>
          </w14:textFill>
        </w:rPr>
        <w:t>，以</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szCs w:val="24"/>
          <w:highlight w:val="none"/>
          <w14:textFill>
            <w14:solidFill>
              <w14:schemeClr w14:val="tx1"/>
            </w14:solidFill>
          </w14:textFill>
        </w:rPr>
        <w:t>须知前附表和</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招标人要求</w:t>
      </w:r>
      <w:r>
        <w:rPr>
          <w:rFonts w:hint="eastAsia" w:ascii="宋体" w:hAnsi="宋体" w:eastAsia="宋体" w:cs="宋体"/>
          <w:b/>
          <w:color w:val="000000" w:themeColor="text1"/>
          <w:kern w:val="0"/>
          <w:sz w:val="24"/>
          <w:szCs w:val="24"/>
          <w:highlight w:val="none"/>
          <w14:textFill>
            <w14:solidFill>
              <w14:schemeClr w14:val="tx1"/>
            </w14:solidFill>
          </w14:textFill>
        </w:rPr>
        <w:t>的约定为准。</w:t>
      </w:r>
    </w:p>
    <w:p w14:paraId="7D590706">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p>
    <w:p w14:paraId="6B99CCA6">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t>附件：</w:t>
      </w:r>
    </w:p>
    <w:p w14:paraId="3A64158E">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bidi="ar"/>
          <w14:textFill>
            <w14:solidFill>
              <w14:schemeClr w14:val="tx1"/>
            </w14:solidFill>
          </w14:textFill>
        </w:rPr>
        <w:t>附件1：工程质量保修书</w:t>
      </w:r>
    </w:p>
    <w:p w14:paraId="6B57A708">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t xml:space="preserve">附件2：廉政协议 </w:t>
      </w:r>
    </w:p>
    <w:p w14:paraId="2514A817">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t>附件3：履约保证金</w:t>
      </w:r>
    </w:p>
    <w:p w14:paraId="17ACDD37">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附件1：工程质量保修书    </w:t>
      </w:r>
    </w:p>
    <w:p w14:paraId="094208AD">
      <w:pPr>
        <w:spacing w:beforeLines="50" w:afterLines="50" w:line="360" w:lineRule="auto"/>
        <w:jc w:val="center"/>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工程质量保修书</w:t>
      </w:r>
    </w:p>
    <w:p w14:paraId="5E62E067">
      <w:pPr>
        <w:spacing w:line="360" w:lineRule="auto"/>
        <w:ind w:firstLine="480" w:firstLineChars="20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发包人（全称）：</w:t>
      </w:r>
    </w:p>
    <w:p w14:paraId="3F1FABA6">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承包人（全称）：</w:t>
      </w:r>
    </w:p>
    <w:p w14:paraId="38BFF0B1">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p>
    <w:p w14:paraId="0B99CDE9">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发包人和承包人根据《中华人民共和国建筑法》和《建设工程质量管理条例》，经协商一致就 签订工程质量保修书。</w:t>
      </w:r>
    </w:p>
    <w:p w14:paraId="27274C3C">
      <w:pPr>
        <w:spacing w:line="360" w:lineRule="auto"/>
        <w:ind w:firstLine="480" w:firstLineChars="200"/>
        <w:outlineLvl w:val="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9" w:name="_Toc5983"/>
      <w:bookmarkStart w:id="10" w:name="_Toc9059"/>
      <w:bookmarkStart w:id="11" w:name="_Toc17177"/>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一、工程质量保修范围和内容</w:t>
      </w:r>
      <w:bookmarkEnd w:id="9"/>
      <w:bookmarkEnd w:id="10"/>
      <w:bookmarkEnd w:id="11"/>
    </w:p>
    <w:p w14:paraId="196B0033">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承包人在质量保修期内，按照有关法律规定和合同约定，承担工程质量保修责任。</w:t>
      </w:r>
    </w:p>
    <w:p w14:paraId="41FCDADB">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质量保修范围包括电气管线、设备安装和</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软件等</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工程，以及双方约定的其他项目。</w:t>
      </w:r>
    </w:p>
    <w:p w14:paraId="120F0EEA">
      <w:pPr>
        <w:spacing w:line="360" w:lineRule="auto"/>
        <w:ind w:firstLine="480" w:firstLineChars="200"/>
        <w:outlineLvl w:val="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12" w:name="_Toc2399"/>
      <w:bookmarkStart w:id="13" w:name="_Toc3864"/>
      <w:bookmarkStart w:id="14" w:name="_Toc7367"/>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二、质量保修期</w:t>
      </w:r>
      <w:bookmarkEnd w:id="12"/>
      <w:bookmarkEnd w:id="13"/>
      <w:bookmarkEnd w:id="14"/>
    </w:p>
    <w:p w14:paraId="12862892">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本项目的质量保修期为</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年。质量保修期自工程竣工验收合格之日起计算。</w:t>
      </w:r>
    </w:p>
    <w:p w14:paraId="479B1715">
      <w:pPr>
        <w:spacing w:line="360" w:lineRule="auto"/>
        <w:ind w:firstLine="480" w:firstLineChars="200"/>
        <w:outlineLvl w:val="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15" w:name="_Toc30807"/>
      <w:bookmarkStart w:id="16" w:name="_Toc27153"/>
      <w:bookmarkStart w:id="17" w:name="_Toc16858"/>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三、缺陷责任期</w:t>
      </w:r>
      <w:bookmarkEnd w:id="15"/>
      <w:bookmarkEnd w:id="16"/>
      <w:bookmarkEnd w:id="17"/>
    </w:p>
    <w:p w14:paraId="2F9CCC44">
      <w:pPr>
        <w:spacing w:line="360" w:lineRule="auto"/>
        <w:ind w:firstLine="480" w:firstLineChars="20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工程缺陷责任期为个</w:t>
      </w:r>
      <w:r>
        <w:rPr>
          <w:rFonts w:hint="eastAsia" w:asciiTheme="minorEastAsia" w:hAnsiTheme="minorEastAsia" w:eastAsiaTheme="minorEastAsia" w:cstheme="minorEastAsia"/>
          <w:color w:val="000000" w:themeColor="text1"/>
          <w:kern w:val="2"/>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月，缺陷责任期自工程通过竣工验收之日起计算。单位工程先于全部工程进行验收，单位工程缺陷责任期自单位工程验收合格之日起算。</w:t>
      </w:r>
    </w:p>
    <w:p w14:paraId="410811B5">
      <w:pPr>
        <w:spacing w:line="360" w:lineRule="auto"/>
        <w:ind w:firstLine="480" w:firstLineChars="20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缺陷责任期满且承包人已经及时全面履行维修义务后，发包人应退还剩余的质量保证金。</w:t>
      </w:r>
    </w:p>
    <w:p w14:paraId="5AD8F819">
      <w:pPr>
        <w:spacing w:line="360" w:lineRule="auto"/>
        <w:ind w:firstLine="480" w:firstLineChars="200"/>
        <w:outlineLvl w:val="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18" w:name="_Toc17062"/>
      <w:bookmarkStart w:id="19" w:name="_Toc14232"/>
      <w:bookmarkStart w:id="20" w:name="_Toc3724"/>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四、质量保修责任</w:t>
      </w:r>
      <w:bookmarkEnd w:id="18"/>
      <w:bookmarkEnd w:id="19"/>
      <w:bookmarkEnd w:id="20"/>
    </w:p>
    <w:p w14:paraId="6BB4ED4C">
      <w:pPr>
        <w:tabs>
          <w:tab w:val="left" w:pos="2394"/>
        </w:tabs>
        <w:spacing w:line="360" w:lineRule="auto"/>
        <w:ind w:firstLine="460" w:firstLineChars="192"/>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1、承包人</w:t>
      </w:r>
      <w:r>
        <w:rPr>
          <w:rFonts w:hint="eastAsia" w:cs="宋体"/>
          <w:color w:val="000000" w:themeColor="text1"/>
          <w:sz w:val="24"/>
          <w:szCs w:val="24"/>
          <w:highlight w:val="none"/>
          <w14:textFill>
            <w14:solidFill>
              <w14:schemeClr w14:val="tx1"/>
            </w14:solidFill>
          </w14:textFill>
        </w:rPr>
        <w:t>对其所提供的货物及软硬件配套免费保修</w:t>
      </w:r>
      <w:r>
        <w:rPr>
          <w:rFonts w:hint="eastAsia"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14:textFill>
            <w14:solidFill>
              <w14:schemeClr w14:val="tx1"/>
            </w14:solidFill>
          </w14:textFill>
        </w:rPr>
        <w:t>年（如投</w:t>
      </w:r>
      <w:r>
        <w:rPr>
          <w:rFonts w:hint="eastAsia" w:cs="宋体"/>
          <w:color w:val="000000" w:themeColor="text1"/>
          <w:sz w:val="24"/>
          <w:szCs w:val="24"/>
          <w:highlight w:val="none"/>
          <w:lang w:val="en-US" w:eastAsia="zh-CN"/>
          <w14:textFill>
            <w14:solidFill>
              <w14:schemeClr w14:val="tx1"/>
            </w14:solidFill>
          </w14:textFill>
        </w:rPr>
        <w:t>标</w:t>
      </w:r>
      <w:r>
        <w:rPr>
          <w:rFonts w:hint="eastAsia" w:cs="宋体"/>
          <w:color w:val="000000" w:themeColor="text1"/>
          <w:sz w:val="24"/>
          <w:szCs w:val="24"/>
          <w:highlight w:val="none"/>
          <w14:textFill>
            <w14:solidFill>
              <w14:schemeClr w14:val="tx1"/>
            </w14:solidFill>
          </w14:textFill>
        </w:rPr>
        <w:t>人承诺</w:t>
      </w:r>
      <w:r>
        <w:rPr>
          <w:rFonts w:hint="eastAsia"/>
          <w:color w:val="000000" w:themeColor="text1"/>
          <w:sz w:val="24"/>
          <w:szCs w:val="24"/>
          <w:highlight w:val="none"/>
          <w14:textFill>
            <w14:solidFill>
              <w14:schemeClr w14:val="tx1"/>
            </w14:solidFill>
          </w14:textFill>
        </w:rPr>
        <w:t>整体质保期延长的</w:t>
      </w:r>
      <w:r>
        <w:rPr>
          <w:rFonts w:hint="eastAsia" w:cs="宋体"/>
          <w:color w:val="000000" w:themeColor="text1"/>
          <w:sz w:val="24"/>
          <w:szCs w:val="24"/>
          <w:highlight w:val="none"/>
          <w14:textFill>
            <w14:solidFill>
              <w14:schemeClr w14:val="tx1"/>
            </w14:solidFill>
          </w14:textFill>
        </w:rPr>
        <w:t>，以延长保修年限为准），保修期从竣工验收合格之日开始起算。</w:t>
      </w:r>
      <w:r>
        <w:rPr>
          <w:rFonts w:hint="eastAsia" w:cs="宋体"/>
          <w:color w:val="000000" w:themeColor="text1"/>
          <w:sz w:val="24"/>
          <w:szCs w:val="24"/>
          <w:highlight w:val="none"/>
          <w:lang w:val="en-US" w:eastAsia="zh-CN"/>
          <w14:textFill>
            <w14:solidFill>
              <w14:schemeClr w14:val="tx1"/>
            </w14:solidFill>
          </w14:textFill>
        </w:rPr>
        <w:t>承包人</w:t>
      </w:r>
      <w:r>
        <w:rPr>
          <w:rFonts w:hint="eastAsia" w:cs="宋体"/>
          <w:color w:val="000000" w:themeColor="text1"/>
          <w:sz w:val="24"/>
          <w:szCs w:val="24"/>
          <w:highlight w:val="none"/>
          <w14:textFill>
            <w14:solidFill>
              <w14:schemeClr w14:val="tx1"/>
            </w14:solidFill>
          </w14:textFill>
        </w:rPr>
        <w:t>应在接到报修通知后 2 小时内上门维修，负责更换有瑕疵的货物、部件或提供相应的质量保证期内的服务。由此造成的损失，</w:t>
      </w:r>
      <w:r>
        <w:rPr>
          <w:rFonts w:hint="eastAsia" w:cs="宋体"/>
          <w:color w:val="000000" w:themeColor="text1"/>
          <w:sz w:val="24"/>
          <w:szCs w:val="24"/>
          <w:highlight w:val="none"/>
          <w:lang w:val="en-US" w:eastAsia="zh-CN"/>
          <w14:textFill>
            <w14:solidFill>
              <w14:schemeClr w14:val="tx1"/>
            </w14:solidFill>
          </w14:textFill>
        </w:rPr>
        <w:t>发包人</w:t>
      </w:r>
      <w:r>
        <w:rPr>
          <w:rFonts w:hint="eastAsia" w:cs="宋体"/>
          <w:color w:val="000000" w:themeColor="text1"/>
          <w:sz w:val="24"/>
          <w:szCs w:val="24"/>
          <w:highlight w:val="none"/>
          <w14:textFill>
            <w14:solidFill>
              <w14:schemeClr w14:val="tx1"/>
            </w14:solidFill>
          </w14:textFill>
        </w:rPr>
        <w:t>保留索赔的权利。如</w:t>
      </w:r>
      <w:r>
        <w:rPr>
          <w:rFonts w:hint="eastAsia" w:cs="宋体"/>
          <w:color w:val="000000" w:themeColor="text1"/>
          <w:sz w:val="24"/>
          <w:szCs w:val="24"/>
          <w:highlight w:val="none"/>
          <w:lang w:val="en-US" w:eastAsia="zh-CN"/>
          <w14:textFill>
            <w14:solidFill>
              <w14:schemeClr w14:val="tx1"/>
            </w14:solidFill>
          </w14:textFill>
        </w:rPr>
        <w:t>承包人</w:t>
      </w:r>
      <w:r>
        <w:rPr>
          <w:rFonts w:hint="eastAsia" w:cs="宋体"/>
          <w:color w:val="000000" w:themeColor="text1"/>
          <w:sz w:val="24"/>
          <w:szCs w:val="24"/>
          <w:highlight w:val="none"/>
          <w14:textFill>
            <w14:solidFill>
              <w14:schemeClr w14:val="tx1"/>
            </w14:solidFill>
          </w14:textFill>
        </w:rPr>
        <w:t>不能按时到场维修的，每发生一次扣除承担违约金2000元。</w:t>
      </w:r>
    </w:p>
    <w:p w14:paraId="1E4F08D6">
      <w:pPr>
        <w:tabs>
          <w:tab w:val="left" w:pos="2394"/>
        </w:tabs>
        <w:spacing w:line="360" w:lineRule="auto"/>
        <w:ind w:firstLine="460" w:firstLineChars="192"/>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如果</w:t>
      </w:r>
      <w:r>
        <w:rPr>
          <w:rFonts w:hint="eastAsia" w:cs="宋体"/>
          <w:color w:val="000000" w:themeColor="text1"/>
          <w:sz w:val="24"/>
          <w:szCs w:val="24"/>
          <w:highlight w:val="none"/>
          <w:lang w:val="en-US" w:eastAsia="zh-CN"/>
          <w14:textFill>
            <w14:solidFill>
              <w14:schemeClr w14:val="tx1"/>
            </w14:solidFill>
          </w14:textFill>
        </w:rPr>
        <w:t>承包人</w:t>
      </w:r>
      <w:r>
        <w:rPr>
          <w:rFonts w:hint="eastAsia" w:cs="宋体"/>
          <w:color w:val="000000" w:themeColor="text1"/>
          <w:sz w:val="24"/>
          <w:szCs w:val="24"/>
          <w:highlight w:val="none"/>
          <w14:textFill>
            <w14:solidFill>
              <w14:schemeClr w14:val="tx1"/>
            </w14:solidFill>
          </w14:textFill>
        </w:rPr>
        <w:t>在收到报修通知后24小时内没有弥补缺陷，</w:t>
      </w:r>
      <w:r>
        <w:rPr>
          <w:rFonts w:hint="eastAsia" w:cs="宋体"/>
          <w:color w:val="000000" w:themeColor="text1"/>
          <w:sz w:val="24"/>
          <w:szCs w:val="24"/>
          <w:highlight w:val="none"/>
          <w:lang w:val="en-US" w:eastAsia="zh-CN"/>
          <w14:textFill>
            <w14:solidFill>
              <w14:schemeClr w14:val="tx1"/>
            </w14:solidFill>
          </w14:textFill>
        </w:rPr>
        <w:t>发包人</w:t>
      </w:r>
      <w:r>
        <w:rPr>
          <w:rFonts w:hint="eastAsia" w:cs="宋体"/>
          <w:color w:val="000000" w:themeColor="text1"/>
          <w:sz w:val="24"/>
          <w:szCs w:val="24"/>
          <w:highlight w:val="none"/>
          <w14:textFill>
            <w14:solidFill>
              <w14:schemeClr w14:val="tx1"/>
            </w14:solidFill>
          </w14:textFill>
        </w:rPr>
        <w:t>可采取必要的补救措施，但费用和风险由</w:t>
      </w:r>
      <w:r>
        <w:rPr>
          <w:rFonts w:hint="eastAsia" w:cs="宋体"/>
          <w:color w:val="000000" w:themeColor="text1"/>
          <w:sz w:val="24"/>
          <w:szCs w:val="24"/>
          <w:highlight w:val="none"/>
          <w:lang w:val="en-US" w:eastAsia="zh-CN"/>
          <w14:textFill>
            <w14:solidFill>
              <w14:schemeClr w14:val="tx1"/>
            </w14:solidFill>
          </w14:textFill>
        </w:rPr>
        <w:t>承包人</w:t>
      </w:r>
      <w:r>
        <w:rPr>
          <w:rFonts w:hint="eastAsia" w:cs="宋体"/>
          <w:color w:val="000000" w:themeColor="text1"/>
          <w:sz w:val="24"/>
          <w:szCs w:val="24"/>
          <w:highlight w:val="none"/>
          <w14:textFill>
            <w14:solidFill>
              <w14:schemeClr w14:val="tx1"/>
            </w14:solidFill>
          </w14:textFill>
        </w:rPr>
        <w:t>承担。</w:t>
      </w:r>
    </w:p>
    <w:p w14:paraId="6B94793A">
      <w:pPr>
        <w:tabs>
          <w:tab w:val="left" w:pos="2394"/>
        </w:tabs>
        <w:spacing w:line="360" w:lineRule="auto"/>
        <w:ind w:firstLine="525"/>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保修期届满后，</w:t>
      </w:r>
      <w:r>
        <w:rPr>
          <w:rFonts w:hint="eastAsia" w:cs="宋体"/>
          <w:color w:val="000000" w:themeColor="text1"/>
          <w:sz w:val="24"/>
          <w:szCs w:val="24"/>
          <w:highlight w:val="none"/>
          <w:lang w:val="en-US" w:eastAsia="zh-CN"/>
          <w14:textFill>
            <w14:solidFill>
              <w14:schemeClr w14:val="tx1"/>
            </w14:solidFill>
          </w14:textFill>
        </w:rPr>
        <w:t>承包人</w:t>
      </w:r>
      <w:r>
        <w:rPr>
          <w:rFonts w:hint="eastAsia" w:cs="宋体"/>
          <w:color w:val="000000" w:themeColor="text1"/>
          <w:sz w:val="24"/>
          <w:szCs w:val="24"/>
          <w:highlight w:val="none"/>
          <w14:textFill>
            <w14:solidFill>
              <w14:schemeClr w14:val="tx1"/>
            </w14:solidFill>
          </w14:textFill>
        </w:rPr>
        <w:t>应对其提供的货物负有维修义务，但所涉及的费用由</w:t>
      </w:r>
      <w:r>
        <w:rPr>
          <w:rFonts w:hint="eastAsia" w:cs="宋体"/>
          <w:color w:val="000000" w:themeColor="text1"/>
          <w:sz w:val="24"/>
          <w:szCs w:val="24"/>
          <w:highlight w:val="none"/>
          <w:lang w:val="en-US" w:eastAsia="zh-CN"/>
          <w14:textFill>
            <w14:solidFill>
              <w14:schemeClr w14:val="tx1"/>
            </w14:solidFill>
          </w14:textFill>
        </w:rPr>
        <w:t>承包人</w:t>
      </w:r>
      <w:r>
        <w:rPr>
          <w:rFonts w:hint="eastAsia" w:cs="宋体"/>
          <w:color w:val="000000" w:themeColor="text1"/>
          <w:sz w:val="24"/>
          <w:szCs w:val="24"/>
          <w:highlight w:val="none"/>
          <w14:textFill>
            <w14:solidFill>
              <w14:schemeClr w14:val="tx1"/>
            </w14:solidFill>
          </w14:textFill>
        </w:rPr>
        <w:t>承担。</w:t>
      </w:r>
    </w:p>
    <w:p w14:paraId="3D365EF7">
      <w:pPr>
        <w:spacing w:line="360" w:lineRule="auto"/>
        <w:ind w:left="0" w:leftChars="0" w:firstLine="480" w:firstLineChars="20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4．质量保修完成后，由发包人组织验收。</w:t>
      </w:r>
    </w:p>
    <w:p w14:paraId="15DE38CE">
      <w:pPr>
        <w:spacing w:line="360" w:lineRule="auto"/>
        <w:ind w:firstLine="480" w:firstLineChars="200"/>
        <w:outlineLvl w:val="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21" w:name="_Toc26926"/>
      <w:bookmarkStart w:id="22" w:name="_Toc17656"/>
      <w:bookmarkStart w:id="23" w:name="_Toc1310"/>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五、保修费用</w:t>
      </w:r>
      <w:bookmarkEnd w:id="21"/>
      <w:bookmarkEnd w:id="22"/>
      <w:bookmarkEnd w:id="23"/>
    </w:p>
    <w:p w14:paraId="2624981C">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保修期内，维修费用由承包方承担；保修期外，维修费用由造成质量缺陷的责任方承担。</w:t>
      </w:r>
    </w:p>
    <w:p w14:paraId="5F6A4635">
      <w:pPr>
        <w:spacing w:line="360" w:lineRule="auto"/>
        <w:ind w:firstLine="600"/>
        <w:jc w:val="left"/>
        <w:outlineLvl w:val="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24" w:name="_Toc11116"/>
      <w:bookmarkStart w:id="25" w:name="_Toc31160"/>
      <w:bookmarkStart w:id="26" w:name="_Toc16"/>
      <w:r>
        <w:rPr>
          <w:rFonts w:hint="eastAsia" w:asciiTheme="minorEastAsia" w:hAnsiTheme="minorEastAsia" w:eastAsiaTheme="minorEastAsia" w:cstheme="minorEastAsia"/>
          <w:b/>
          <w:color w:val="000000" w:themeColor="text1"/>
          <w:kern w:val="2"/>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、双方约定的其他工程质量保修事项：</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w:t>
      </w:r>
      <w:bookmarkEnd w:id="24"/>
      <w:bookmarkEnd w:id="25"/>
      <w:bookmarkEnd w:id="26"/>
    </w:p>
    <w:p w14:paraId="0885BBC6">
      <w:pPr>
        <w:spacing w:line="360" w:lineRule="auto"/>
        <w:ind w:firstLine="456" w:firstLineChars="190"/>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工程质量保修书由发包人、承包人在工程竣工验收前共同签署，作为施工合同附件，其有效期限至保修期满。</w:t>
      </w:r>
    </w:p>
    <w:p w14:paraId="24B0489B">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发包人（公章）：</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承包人（公章）：</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w:t>
      </w:r>
    </w:p>
    <w:p w14:paraId="43D47A88">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地  址：</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w:t>
      </w:r>
    </w:p>
    <w:p w14:paraId="4BCEBF9B">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法定代表人（签字）：</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法定代表人（签字）：</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p>
    <w:p w14:paraId="1862EAF3">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委托代理人（签字）：</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委托代理人（签字）：</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p>
    <w:p w14:paraId="115F5CCC">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电  话：</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p>
    <w:p w14:paraId="68EA2D28">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传  真：</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w:t>
      </w:r>
    </w:p>
    <w:p w14:paraId="5A894C40">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开户银行：</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开户银行：</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p>
    <w:p w14:paraId="75C28A1B">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账  号：</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账  号：</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p>
    <w:p w14:paraId="278A1F35">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 xml:space="preserve"> 邮政编码：</w:t>
      </w:r>
      <w:r>
        <w:rPr>
          <w:rFonts w:hint="eastAsia" w:asciiTheme="minorEastAsia" w:hAnsiTheme="minorEastAsia" w:eastAsiaTheme="minorEastAsia" w:cstheme="minorEastAsia"/>
          <w:color w:val="000000" w:themeColor="text1"/>
          <w:kern w:val="2"/>
          <w:sz w:val="24"/>
          <w:szCs w:val="24"/>
          <w:highlight w:val="none"/>
          <w:u w:val="single"/>
          <w14:textFill>
            <w14:solidFill>
              <w14:schemeClr w14:val="tx1"/>
            </w14:solidFill>
          </w14:textFill>
        </w:rPr>
        <w:t xml:space="preserve">   </w:t>
      </w: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br w:type="page"/>
      </w:r>
    </w:p>
    <w:p w14:paraId="5854883C">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
          <w14:textFill>
            <w14:solidFill>
              <w14:schemeClr w14:val="tx1"/>
            </w14:solidFill>
          </w14:textFill>
        </w:rPr>
        <w:t>附件2：廉政协议</w:t>
      </w:r>
    </w:p>
    <w:p w14:paraId="3D27AAB3">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p>
    <w:p w14:paraId="43C4A089">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廉 政 协 议</w:t>
      </w:r>
    </w:p>
    <w:p w14:paraId="2449CE6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w:t>
      </w:r>
    </w:p>
    <w:p w14:paraId="59D4944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乙方：</w:t>
      </w:r>
    </w:p>
    <w:p w14:paraId="257993C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为促进双方诚信经营、廉洁从业，防范商业贿赂，保护国家、集体和当事人的合法权益，根据国家有关法律法规和廉政建设的规定，（以下称甲方）与（以下称乙方），特此订立本协议共同遵照执行。</w:t>
      </w:r>
    </w:p>
    <w:p w14:paraId="249FC5F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第一条 甲乙双方的权利和义务</w:t>
      </w:r>
    </w:p>
    <w:p w14:paraId="1C48E5A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3663D5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（二）严格执行的合同要求，自觉履行合同约定的相关义务。</w:t>
      </w:r>
    </w:p>
    <w:p w14:paraId="11B1237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（三）在业务活动中坚持公开、公正、诚信、透明的原则，不得损害国家、集体利益。</w:t>
      </w:r>
    </w:p>
    <w:p w14:paraId="4FAFD79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（四）建立健全廉政制度，开展廉政教育，公布举报电话，监督并认真查处违法违纪行为。</w:t>
      </w:r>
    </w:p>
    <w:p w14:paraId="6C6E144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4D64599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第二条 甲方的义务</w:t>
      </w:r>
    </w:p>
    <w:p w14:paraId="5A675E30">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（一）甲方及其工作人员不得索要或接受乙方的礼金、有价证券和贵重物品，不得在乙方报销任何应由甲方单位或个人支付的费用等。</w:t>
      </w:r>
    </w:p>
    <w:p w14:paraId="7CCDDBE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22C06B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 甲方及其工作人员不得要求或者接受乙方为其住房装修、婚丧嫁娶活动、配偶子女工作安排以及出国出境、旅游等提供方便等。</w:t>
      </w:r>
    </w:p>
    <w:p w14:paraId="3E2387C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 甲方工作人员不得在乙方有股权关联的企业兼职，不得向乙方介绍家属或者亲友从事与甲方业务有关的经济活动。</w:t>
      </w:r>
    </w:p>
    <w:p w14:paraId="3EA49EA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0829456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（六）甲方工作人员不得利用职务之便收受乙方以回扣、手续费、加班费、咨询费、劳务费、协调费、辛苦费等各种名义给予或赠送的钱物。</w:t>
      </w:r>
    </w:p>
    <w:p w14:paraId="2CD5B82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（七）甲方工作人员不得接受乙方给予或赠送的干股或红利。</w:t>
      </w:r>
    </w:p>
    <w:p w14:paraId="43802A2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（八）甲方任何人不得以个人的名义向乙方推荐设备、部件等供货商以及其他合作单位。</w:t>
      </w:r>
    </w:p>
    <w:p w14:paraId="0A9421C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第三条 乙方的义务</w:t>
      </w:r>
    </w:p>
    <w:p w14:paraId="20D1C90D">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（一）乙方不得以任何理由向甲方及其工作人员行贿或馈赠礼金、有价证券、贵重礼品。</w:t>
      </w:r>
    </w:p>
    <w:p w14:paraId="5D7A0A3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（二）乙方不得以任何名义为甲方及其工作人员报销应由甲方单位或个人支付的任何费用。</w:t>
      </w:r>
    </w:p>
    <w:p w14:paraId="3B06448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（三）乙方不得以任何理由安排甲方工作人员参加可能影响相关业务公开、公正、公平性的宴请及娱乐活动。</w:t>
      </w:r>
    </w:p>
    <w:p w14:paraId="635EFA9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（四）乙方不得为甲方单位和个人购置或提供通讯工具和高档办公用品等物品，也不得为甲方提供与工作无关的房屋、汽车等。</w:t>
      </w:r>
    </w:p>
    <w:p w14:paraId="10F356A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（五）乙方不得与甲方工作人员就合同中的质量、数量、价格、工程量、验收等条款进行私下商谈或者达成默契。</w:t>
      </w:r>
    </w:p>
    <w:p w14:paraId="3B5EE9B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（六）乙方不得以回扣、手续费、加班费、咨询费、劳务费、协调费、辛苦费等各种名义向甲方工作人员给予或赠送钱物。</w:t>
      </w:r>
    </w:p>
    <w:p w14:paraId="146AF68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（七）乙方不得向甲方工作人员提供干股或红利。</w:t>
      </w:r>
    </w:p>
    <w:p w14:paraId="23256B7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（八）乙方须按专项纪检监察工作组（如有）要求开展相关工作。</w:t>
      </w:r>
    </w:p>
    <w:p w14:paraId="715DA27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第四条 违约责任</w:t>
      </w:r>
    </w:p>
    <w:p w14:paraId="394EBEC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60DAC18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甲方投诉联系部门：，联系电话：。</w:t>
      </w:r>
    </w:p>
    <w:p w14:paraId="56FA1C5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（二）乙方及其工作人员违反本协议第一、三条规定的，由甲方根据具体情节和造成的后果，对乙方采取以下一种或多种处理办法：</w:t>
      </w:r>
    </w:p>
    <w:p w14:paraId="5190544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1.全额收取乙方合同履约保证金不予退还； </w:t>
      </w:r>
    </w:p>
    <w:p w14:paraId="273B32B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2.追究乙方其他违约责任；</w:t>
      </w:r>
    </w:p>
    <w:p w14:paraId="70FC216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3.终止或解除双方已签订的包括本合同在内的所有合同；</w:t>
      </w:r>
    </w:p>
    <w:p w14:paraId="2FF2646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甲方作出的处理意见，乙方应无条件接受并承担给甲方造成的损失，全额返还通过不正当手段从甲方获取的非法所得，并承担相应的法律责任。</w:t>
      </w:r>
    </w:p>
    <w:p w14:paraId="5E55F81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第五条 双方约定</w:t>
      </w:r>
    </w:p>
    <w:p w14:paraId="5BE2AA1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本协议由双方或双方上级单位负责监督。可由甲方或甲方上级单位的纪检监察部门约请乙方或乙方上级单位的纪检监察部门对本协议履行情况进行检查，提出在本协议规定范围内的处理意见。</w:t>
      </w:r>
    </w:p>
    <w:p w14:paraId="2BED5EF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第六条  本协议有效期为甲乙双方签署之日起至合同终止。  </w:t>
      </w:r>
    </w:p>
    <w:p w14:paraId="12E3A04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第七条  本协议作为合同的附件，与本合同具有同等法律效力。</w:t>
      </w:r>
    </w:p>
    <w:p w14:paraId="4795C54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27B869C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甲方（盖章）：              乙方（盖章）：</w:t>
      </w:r>
    </w:p>
    <w:p w14:paraId="5A9050B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5DBD0801">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法定代表人或                法定代表人或</w:t>
      </w:r>
    </w:p>
    <w:p w14:paraId="4D968AE6">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授权代表：                  授权代表：</w:t>
      </w:r>
    </w:p>
    <w:p w14:paraId="4F7C672E">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项目经办人：</w:t>
      </w:r>
    </w:p>
    <w:p w14:paraId="0D6EE999">
      <w:pPr>
        <w:pStyle w:val="13"/>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合同经办人：</w:t>
      </w:r>
    </w:p>
    <w:p w14:paraId="7B960859">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日期：                        日期：</w:t>
      </w:r>
    </w:p>
    <w:p w14:paraId="503FF663">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
          <w14:textFill>
            <w14:solidFill>
              <w14:schemeClr w14:val="tx1"/>
            </w14:solidFill>
          </w14:textFill>
        </w:rPr>
        <w:br w:type="page"/>
      </w:r>
    </w:p>
    <w:p w14:paraId="377634FD">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附件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：履约保证金</w:t>
      </w:r>
    </w:p>
    <w:p w14:paraId="6DC11581">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4348F588">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履约保函示范文本</w:t>
      </w:r>
    </w:p>
    <w:p w14:paraId="05A994E7">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编号：           </w:t>
      </w:r>
    </w:p>
    <w:p w14:paraId="14957B1C">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7B371F9D">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（受益人名称）： </w:t>
      </w:r>
    </w:p>
    <w:p w14:paraId="2F25375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日就</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（标段编号）的</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有关事项协商一致共同签订</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3FD0D15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一、本保函担保范围：承包人未按照基础合同的约定履行义务，应当向受益人承担的违约责任和赔偿因此造成的损失、利息、律师费、诉讼费用等实现债权的费用。</w:t>
      </w:r>
    </w:p>
    <w:p w14:paraId="460EE16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6F318E2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三、本保函有效期自开立之日起至</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之日止。 </w:t>
      </w:r>
    </w:p>
    <w:p w14:paraId="5C44F071">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7" w:name="_Hlk4030276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27"/>
    <w:p w14:paraId="2365D66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（1）付款通知到达的日期在本保函的有效期内；</w:t>
      </w:r>
    </w:p>
    <w:p w14:paraId="119F61D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（2）载明要求支付的金额；</w:t>
      </w:r>
    </w:p>
    <w:p w14:paraId="512AB79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（3）载明申请人违反合同义务的条款和内容；</w:t>
      </w:r>
    </w:p>
    <w:p w14:paraId="0B1AD18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6343DF2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EEFBD4B">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28" w:name="_Hlk4030348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28"/>
    </w:p>
    <w:p w14:paraId="096FD06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06292C1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629A4F7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9" w:name="_Hlk40303383"/>
      <w:bookmarkStart w:id="30" w:name="_Hlk4035498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七、本保函项下的义务和责任均在保函有效期到期后自动消灭。 </w:t>
      </w:r>
    </w:p>
    <w:p w14:paraId="5775B68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八、本保函适用的法律为中华人民共和国法律，因本保函产生的纠纷案件，</w:t>
      </w:r>
      <w:bookmarkEnd w:id="2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由受益人所在地人民法院管辖。 </w:t>
      </w:r>
    </w:p>
    <w:bookmarkEnd w:id="30"/>
    <w:p w14:paraId="612D176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4AE0E2E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52DE5B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D40E41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6CE18A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 立 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（公章） </w:t>
      </w:r>
    </w:p>
    <w:p w14:paraId="3CB0343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法定代表人（或授权代表）：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（签字） </w:t>
      </w:r>
    </w:p>
    <w:p w14:paraId="7167CB3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1D0382B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C4C4EE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056254A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CF5A407">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开立时间：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14:paraId="51080C2D">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161239B">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033C1501">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31" w:name="_Toc28981"/>
      <w:r>
        <w:rPr>
          <w:rFonts w:hint="eastAsia" w:asciiTheme="minorEastAsia" w:hAnsiTheme="minorEastAsia" w:eastAsiaTheme="minorEastAsia"/>
          <w:b/>
          <w:color w:val="000000" w:themeColor="text1"/>
          <w:sz w:val="28"/>
          <w:highlight w:val="none"/>
          <w14:textFill>
            <w14:solidFill>
              <w14:schemeClr w14:val="tx1"/>
            </w14:solidFill>
          </w14:textFill>
        </w:rPr>
        <w:t xml:space="preserve">第六章  </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投标文件</w:t>
      </w:r>
      <w:r>
        <w:rPr>
          <w:rFonts w:hint="eastAsia" w:asciiTheme="minorEastAsia" w:hAnsiTheme="minorEastAsia" w:eastAsiaTheme="minorEastAsia"/>
          <w:b/>
          <w:color w:val="000000" w:themeColor="text1"/>
          <w:sz w:val="28"/>
          <w:highlight w:val="none"/>
          <w14:textFill>
            <w14:solidFill>
              <w14:schemeClr w14:val="tx1"/>
            </w14:solidFill>
          </w14:textFill>
        </w:rPr>
        <w:t>格式</w:t>
      </w:r>
      <w:bookmarkEnd w:id="31"/>
    </w:p>
    <w:p w14:paraId="62D9D088">
      <w:pPr>
        <w:spacing w:line="500" w:lineRule="exact"/>
        <w:jc w:val="center"/>
        <w:rPr>
          <w:rFonts w:hint="eastAsia" w:asciiTheme="minorEastAsia" w:hAnsiTheme="minorEastAsia" w:eastAsiaTheme="minorEastAsia"/>
          <w:b/>
          <w:color w:val="000000" w:themeColor="text1"/>
          <w:sz w:val="32"/>
          <w:highlight w:val="none"/>
          <w:lang w:eastAsia="zh-CN"/>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宿州百大停车场管理系统升级改造项目</w:t>
      </w:r>
    </w:p>
    <w:p w14:paraId="0C2E03F0">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7269878">
      <w:pPr>
        <w:spacing w:line="900" w:lineRule="exact"/>
        <w:jc w:val="cente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t>投</w:t>
      </w:r>
    </w:p>
    <w:p w14:paraId="6CA5D2EB">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68828F99">
      <w:pPr>
        <w:spacing w:line="900" w:lineRule="exact"/>
        <w:jc w:val="cente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t>标</w:t>
      </w:r>
    </w:p>
    <w:p w14:paraId="6B3A2B64">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6315009">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6C81A8F0">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79184B90">
      <w:pPr>
        <w:jc w:val="center"/>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205EC581">
      <w:pPr>
        <w:spacing w:after="156"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547CDDDE">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53559CCB">
      <w:pPr>
        <w:spacing w:after="156" w:afterLines="50" w:line="5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40CB448B">
      <w:pPr>
        <w:spacing w:after="156"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投标人</w:t>
      </w:r>
      <w:r>
        <w:rPr>
          <w:rFonts w:hint="eastAsia"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4190B4E">
      <w:pPr>
        <w:spacing w:after="156" w:afterLines="50" w:line="500" w:lineRule="exact"/>
        <w:jc w:val="center"/>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7944A211">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0E7F8082">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32" w:name="_Toc461056631"/>
      <w:bookmarkStart w:id="33" w:name="_Toc461053086"/>
      <w:bookmarkStart w:id="34" w:name="_Toc520983587"/>
      <w:r>
        <w:rPr>
          <w:rFonts w:hint="eastAsia" w:asciiTheme="minorEastAsia" w:hAnsiTheme="minorEastAsia" w:eastAsiaTheme="minorEastAsia"/>
          <w:b/>
          <w:color w:val="000000" w:themeColor="text1"/>
          <w:sz w:val="24"/>
          <w:highlight w:val="none"/>
          <w14:textFill>
            <w14:solidFill>
              <w14:schemeClr w14:val="tx1"/>
            </w14:solidFill>
          </w14:textFill>
        </w:rPr>
        <w:t>一</w:t>
      </w:r>
      <w:bookmarkEnd w:id="32"/>
      <w:bookmarkEnd w:id="33"/>
      <w:r>
        <w:rPr>
          <w:rFonts w:hint="eastAsia" w:asciiTheme="minorEastAsia" w:hAnsiTheme="minorEastAsia" w:eastAsiaTheme="minorEastAsia"/>
          <w:b/>
          <w:color w:val="000000" w:themeColor="text1"/>
          <w:sz w:val="24"/>
          <w:highlight w:val="none"/>
          <w14:textFill>
            <w14:solidFill>
              <w14:schemeClr w14:val="tx1"/>
            </w14:solidFill>
          </w14:textFill>
        </w:rPr>
        <w:t>、报价表格式</w:t>
      </w:r>
      <w:bookmarkEnd w:id="34"/>
    </w:p>
    <w:p w14:paraId="62D87C2E">
      <w:pPr>
        <w:spacing w:before="156" w:beforeLines="50" w:after="156" w:afterLines="50" w:line="360" w:lineRule="auto"/>
        <w:jc w:val="left"/>
        <w:rPr>
          <w:rFonts w:hint="default" w:cs="@仿宋_GB2312"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4"/>
          <w:highlight w:val="none"/>
          <w14:textFill>
            <w14:solidFill>
              <w14:schemeClr w14:val="tx1"/>
            </w14:solidFill>
          </w14:textFill>
        </w:rPr>
        <w:t xml:space="preserve">1-1 </w:t>
      </w:r>
      <w:r>
        <w:rPr>
          <w:rFonts w:hint="eastAsia" w:cs="@仿宋_GB2312"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第一轮报价</w:t>
      </w:r>
    </w:p>
    <w:p w14:paraId="56C69E6A">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宿州百大停车场管理系统升级改造项目</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1A893782">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2024HAFGN01941</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A8B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FECB9D3">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名称</w:t>
            </w:r>
          </w:p>
        </w:tc>
        <w:tc>
          <w:tcPr>
            <w:tcW w:w="3557" w:type="pct"/>
            <w:tcBorders>
              <w:left w:val="single" w:color="auto" w:sz="4" w:space="0"/>
            </w:tcBorders>
          </w:tcPr>
          <w:p w14:paraId="14C10208">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1C12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D8B73B4">
            <w:pPr>
              <w:jc w:val="center"/>
              <w:rPr>
                <w:rFonts w:hint="eastAsia" w:cs="宋体" w:asciiTheme="minorEastAsia" w:hAnsiTheme="minorEastAsia" w:eastAsiaTheme="minorEastAsia"/>
                <w:b/>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557" w:type="pct"/>
            <w:tcBorders>
              <w:left w:val="single" w:color="auto" w:sz="4" w:space="0"/>
            </w:tcBorders>
            <w:vAlign w:val="center"/>
          </w:tcPr>
          <w:p w14:paraId="332FE0EA">
            <w:pPr>
              <w:widowControl/>
              <w:rPr>
                <w:rFonts w:hint="eastAsia" w:cs="宋体" w:asciiTheme="minorEastAsia" w:hAnsiTheme="minorEastAsia" w:eastAsiaTheme="minorEastAsia"/>
                <w:b/>
                <w:color w:val="000000" w:themeColor="text1"/>
                <w:kern w:val="2"/>
                <w:sz w:val="24"/>
                <w:szCs w:val="24"/>
                <w:highlight w:val="none"/>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 / 第</w:t>
            </w:r>
            <w:r>
              <w:rPr>
                <w:rFonts w:hint="eastAsia" w:cs="@仿宋_GB2312" w:asciiTheme="minorEastAsia" w:hAnsiTheme="minorEastAsia" w:eastAsiaTheme="minorEastAsia"/>
                <w:color w:val="000000" w:themeColor="text1"/>
                <w:kern w:val="2"/>
                <w:sz w:val="24"/>
                <w:szCs w:val="28"/>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highlight w:val="none"/>
                <w:lang w:eastAsia="zh-CN"/>
                <w14:textFill>
                  <w14:solidFill>
                    <w14:schemeClr w14:val="tx1"/>
                  </w14:solidFill>
                </w14:textFill>
              </w:rPr>
              <w:t>标段</w:t>
            </w:r>
          </w:p>
        </w:tc>
      </w:tr>
      <w:tr w14:paraId="5A3B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F04ED31">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color w:val="000000" w:themeColor="text1"/>
                <w:kern w:val="2"/>
                <w:sz w:val="24"/>
                <w:highlight w:val="none"/>
                <w14:textFill>
                  <w14:solidFill>
                    <w14:schemeClr w14:val="tx1"/>
                  </w14:solidFill>
                </w14:textFill>
              </w:rPr>
              <w:t>报价</w:t>
            </w:r>
          </w:p>
          <w:p w14:paraId="33FA41E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557" w:type="pct"/>
            <w:vAlign w:val="center"/>
          </w:tcPr>
          <w:p w14:paraId="732B0946">
            <w:pPr>
              <w:snapToGrid w:val="0"/>
              <w:rPr>
                <w:rFonts w:cs="宋体" w:asciiTheme="minorEastAsia" w:hAnsiTheme="minorEastAsia" w:eastAsiaTheme="minorEastAsia"/>
                <w:color w:val="000000" w:themeColor="text1"/>
                <w:kern w:val="2"/>
                <w:sz w:val="24"/>
                <w:szCs w:val="24"/>
                <w:highlight w:val="none"/>
                <w14:textFill>
                  <w14:solidFill>
                    <w14:schemeClr w14:val="tx1"/>
                  </w14:solidFill>
                </w14:textFill>
              </w:rPr>
            </w:pPr>
          </w:p>
          <w:p w14:paraId="5C51ECC6">
            <w:pPr>
              <w:snapToGrid w:val="0"/>
              <w:rPr>
                <w:rFonts w:cs="宋体" w:asciiTheme="minorEastAsia" w:hAnsiTheme="minorEastAsia" w:eastAsiaTheme="minorEastAsia"/>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 xml:space="preserve">                        </w:t>
            </w:r>
          </w:p>
          <w:p w14:paraId="7D854FE0">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5E1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29B40BB9">
            <w:pPr>
              <w:snapToGrid w:val="0"/>
              <w:jc w:val="center"/>
              <w:rPr>
                <w:rFonts w:hint="default" w:cs="宋体" w:asciiTheme="minorEastAsia" w:hAnsiTheme="minorEastAsia" w:eastAsiaTheme="minorEastAsia"/>
                <w:b/>
                <w:strike/>
                <w:dstrike w:val="0"/>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strike w:val="0"/>
                <w:dstrike w:val="0"/>
                <w:color w:val="000000" w:themeColor="text1"/>
                <w:kern w:val="2"/>
                <w:sz w:val="24"/>
                <w:szCs w:val="24"/>
                <w:highlight w:val="none"/>
                <w:lang w:val="en-US" w:eastAsia="zh-CN"/>
                <w14:textFill>
                  <w14:solidFill>
                    <w14:schemeClr w14:val="tx1"/>
                  </w14:solidFill>
                </w14:textFill>
              </w:rPr>
              <w:t>供货（安装）周期</w:t>
            </w:r>
          </w:p>
        </w:tc>
        <w:tc>
          <w:tcPr>
            <w:tcW w:w="3557" w:type="pct"/>
            <w:vAlign w:val="center"/>
          </w:tcPr>
          <w:p w14:paraId="35B531A6">
            <w:pPr>
              <w:snapToGrid w:val="0"/>
              <w:rPr>
                <w:rFonts w:cs="宋体" w:asciiTheme="minorEastAsia" w:hAnsiTheme="minorEastAsia" w:eastAsiaTheme="minorEastAsia"/>
                <w:b/>
                <w:strike/>
                <w:dstrike w:val="0"/>
                <w:color w:val="000000" w:themeColor="text1"/>
                <w:kern w:val="2"/>
                <w:sz w:val="24"/>
                <w:szCs w:val="24"/>
                <w:highlight w:val="none"/>
                <w14:textFill>
                  <w14:solidFill>
                    <w14:schemeClr w14:val="tx1"/>
                  </w14:solidFill>
                </w14:textFill>
              </w:rPr>
            </w:pPr>
          </w:p>
        </w:tc>
      </w:tr>
      <w:tr w14:paraId="660E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0358E3E9">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557" w:type="pct"/>
          </w:tcPr>
          <w:p w14:paraId="1D3CBBF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5481DEBE">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38FCC995">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69B46A11">
      <w:pPr>
        <w:adjustRightInd w:val="0"/>
        <w:snapToGrid w:val="0"/>
        <w:spacing w:line="360" w:lineRule="auto"/>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p>
    <w:p w14:paraId="49CDA468">
      <w:pPr>
        <w:numPr>
          <w:ilvl w:val="0"/>
          <w:numId w:val="10"/>
        </w:num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本表内容根据磋商文件要求包括了磋商文件要求提供的全部内容的所有费用。</w:t>
      </w:r>
    </w:p>
    <w:p w14:paraId="4D6B4C0B">
      <w:pPr>
        <w:numPr>
          <w:ilvl w:val="0"/>
          <w:numId w:val="10"/>
        </w:numPr>
        <w:adjustRightInd w:val="0"/>
        <w:snapToGrid w:val="0"/>
        <w:spacing w:line="360" w:lineRule="auto"/>
        <w:ind w:firstLine="482" w:firstLineChars="200"/>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本项目实施全流程电子化交易，进行网上磋商，磋商文件实施网上远程报价，投标人无需前往谈判现场。本页《第 轮报价》由投标人在网上提供，最后一次提供的报价表为最终承诺报价表。考虑谈判报价的方便，投标人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1EF7E936">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3</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.特殊事项在备注</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中注明。</w:t>
      </w:r>
      <w: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br w:type="page"/>
      </w:r>
    </w:p>
    <w:p w14:paraId="11E0B1A0">
      <w:pPr>
        <w:spacing w:before="156" w:beforeLines="50" w:after="156" w:afterLines="50" w:line="360" w:lineRule="auto"/>
        <w:jc w:val="left"/>
        <w:outlineLvl w:val="2"/>
        <w:rPr>
          <w:rFonts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1-2 分项报价明细表</w:t>
      </w:r>
    </w:p>
    <w:tbl>
      <w:tblPr>
        <w:tblStyle w:val="56"/>
        <w:tblW w:w="8096" w:type="dxa"/>
        <w:tblInd w:w="93" w:type="dxa"/>
        <w:tblLayout w:type="fixed"/>
        <w:tblCellMar>
          <w:top w:w="0" w:type="dxa"/>
          <w:left w:w="108" w:type="dxa"/>
          <w:bottom w:w="0" w:type="dxa"/>
          <w:right w:w="108" w:type="dxa"/>
        </w:tblCellMar>
      </w:tblPr>
      <w:tblGrid>
        <w:gridCol w:w="477"/>
        <w:gridCol w:w="1120"/>
        <w:gridCol w:w="759"/>
        <w:gridCol w:w="3980"/>
        <w:gridCol w:w="423"/>
        <w:gridCol w:w="463"/>
        <w:gridCol w:w="437"/>
        <w:gridCol w:w="437"/>
      </w:tblGrid>
      <w:tr w14:paraId="6734A9D3">
        <w:tblPrEx>
          <w:tblCellMar>
            <w:top w:w="0" w:type="dxa"/>
            <w:left w:w="108" w:type="dxa"/>
            <w:bottom w:w="0" w:type="dxa"/>
            <w:right w:w="108" w:type="dxa"/>
          </w:tblCellMar>
        </w:tblPrEx>
        <w:trPr>
          <w:trHeight w:val="1030"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14:paraId="6B4B6C88">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序号</w:t>
            </w:r>
          </w:p>
        </w:tc>
        <w:tc>
          <w:tcPr>
            <w:tcW w:w="1120" w:type="dxa"/>
            <w:tcBorders>
              <w:top w:val="single" w:color="auto" w:sz="4" w:space="0"/>
              <w:left w:val="nil"/>
              <w:bottom w:val="single" w:color="auto" w:sz="4" w:space="0"/>
              <w:right w:val="single" w:color="auto" w:sz="4" w:space="0"/>
            </w:tcBorders>
            <w:shd w:val="clear" w:color="auto" w:fill="auto"/>
            <w:vAlign w:val="center"/>
          </w:tcPr>
          <w:p w14:paraId="103B86FC">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设备（项目）名称</w:t>
            </w:r>
          </w:p>
        </w:tc>
        <w:tc>
          <w:tcPr>
            <w:tcW w:w="759" w:type="dxa"/>
            <w:tcBorders>
              <w:top w:val="single" w:color="auto" w:sz="4" w:space="0"/>
              <w:left w:val="nil"/>
              <w:bottom w:val="single" w:color="auto" w:sz="4" w:space="0"/>
              <w:right w:val="single" w:color="auto" w:sz="4" w:space="0"/>
            </w:tcBorders>
            <w:shd w:val="clear" w:color="auto" w:fill="auto"/>
            <w:vAlign w:val="center"/>
          </w:tcPr>
          <w:p w14:paraId="51FE2C8C">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品牌型号</w:t>
            </w:r>
          </w:p>
        </w:tc>
        <w:tc>
          <w:tcPr>
            <w:tcW w:w="3980" w:type="dxa"/>
            <w:tcBorders>
              <w:top w:val="single" w:color="auto" w:sz="4" w:space="0"/>
              <w:left w:val="nil"/>
              <w:bottom w:val="single" w:color="auto" w:sz="4" w:space="0"/>
              <w:right w:val="single" w:color="auto" w:sz="4" w:space="0"/>
            </w:tcBorders>
            <w:shd w:val="clear" w:color="auto" w:fill="auto"/>
            <w:vAlign w:val="center"/>
          </w:tcPr>
          <w:p w14:paraId="2EBEF709">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主要技术参数</w:t>
            </w:r>
          </w:p>
        </w:tc>
        <w:tc>
          <w:tcPr>
            <w:tcW w:w="423" w:type="dxa"/>
            <w:tcBorders>
              <w:top w:val="single" w:color="auto" w:sz="4" w:space="0"/>
              <w:left w:val="nil"/>
              <w:bottom w:val="single" w:color="auto" w:sz="4" w:space="0"/>
              <w:right w:val="single" w:color="auto" w:sz="4" w:space="0"/>
            </w:tcBorders>
            <w:shd w:val="clear" w:color="auto" w:fill="auto"/>
            <w:vAlign w:val="center"/>
          </w:tcPr>
          <w:p w14:paraId="686ED0DF">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单位</w:t>
            </w:r>
          </w:p>
        </w:tc>
        <w:tc>
          <w:tcPr>
            <w:tcW w:w="463" w:type="dxa"/>
            <w:tcBorders>
              <w:top w:val="single" w:color="auto" w:sz="4" w:space="0"/>
              <w:left w:val="nil"/>
              <w:bottom w:val="single" w:color="auto" w:sz="4" w:space="0"/>
              <w:right w:val="single" w:color="auto" w:sz="4" w:space="0"/>
            </w:tcBorders>
            <w:shd w:val="clear" w:color="auto" w:fill="auto"/>
            <w:vAlign w:val="center"/>
          </w:tcPr>
          <w:p w14:paraId="4669D3E5">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数量</w:t>
            </w:r>
          </w:p>
        </w:tc>
        <w:tc>
          <w:tcPr>
            <w:tcW w:w="437" w:type="dxa"/>
            <w:tcBorders>
              <w:top w:val="single" w:color="auto" w:sz="4" w:space="0"/>
              <w:left w:val="nil"/>
              <w:bottom w:val="single" w:color="auto" w:sz="4" w:space="0"/>
              <w:right w:val="single" w:color="auto" w:sz="4" w:space="0"/>
            </w:tcBorders>
            <w:shd w:val="clear" w:color="auto" w:fill="auto"/>
            <w:vAlign w:val="center"/>
          </w:tcPr>
          <w:p w14:paraId="27F48A02">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单价</w:t>
            </w:r>
          </w:p>
        </w:tc>
        <w:tc>
          <w:tcPr>
            <w:tcW w:w="437" w:type="dxa"/>
            <w:tcBorders>
              <w:top w:val="single" w:color="auto" w:sz="4" w:space="0"/>
              <w:left w:val="nil"/>
              <w:bottom w:val="single" w:color="auto" w:sz="4" w:space="0"/>
              <w:right w:val="single" w:color="auto" w:sz="4" w:space="0"/>
            </w:tcBorders>
            <w:shd w:val="clear" w:color="auto" w:fill="auto"/>
            <w:vAlign w:val="center"/>
          </w:tcPr>
          <w:p w14:paraId="7854DEF1">
            <w:pPr>
              <w:widowControl/>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总价</w:t>
            </w:r>
          </w:p>
        </w:tc>
      </w:tr>
      <w:tr w14:paraId="17B27279">
        <w:tblPrEx>
          <w:tblCellMar>
            <w:top w:w="0" w:type="dxa"/>
            <w:left w:w="108" w:type="dxa"/>
            <w:bottom w:w="0" w:type="dxa"/>
            <w:right w:w="108" w:type="dxa"/>
          </w:tblCellMar>
        </w:tblPrEx>
        <w:trPr>
          <w:trHeight w:val="6924"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1C77C67">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120" w:type="dxa"/>
            <w:tcBorders>
              <w:top w:val="nil"/>
              <w:left w:val="nil"/>
              <w:bottom w:val="single" w:color="auto" w:sz="4" w:space="0"/>
              <w:right w:val="single" w:color="auto" w:sz="4" w:space="0"/>
            </w:tcBorders>
            <w:shd w:val="clear" w:color="auto" w:fill="auto"/>
            <w:vAlign w:val="center"/>
          </w:tcPr>
          <w:p w14:paraId="0F0C719F">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停车收费一体机</w:t>
            </w:r>
          </w:p>
        </w:tc>
        <w:tc>
          <w:tcPr>
            <w:tcW w:w="759" w:type="dxa"/>
            <w:tcBorders>
              <w:top w:val="nil"/>
              <w:left w:val="nil"/>
              <w:bottom w:val="single" w:color="auto" w:sz="4" w:space="0"/>
              <w:right w:val="single" w:color="auto" w:sz="4" w:space="0"/>
            </w:tcBorders>
            <w:shd w:val="clear" w:color="auto" w:fill="auto"/>
            <w:vAlign w:val="center"/>
          </w:tcPr>
          <w:p w14:paraId="12D24C6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3980" w:type="dxa"/>
            <w:tcBorders>
              <w:top w:val="nil"/>
              <w:left w:val="nil"/>
              <w:bottom w:val="single" w:color="auto" w:sz="4" w:space="0"/>
              <w:right w:val="single" w:color="auto" w:sz="4" w:space="0"/>
            </w:tcBorders>
            <w:shd w:val="clear" w:color="auto" w:fill="auto"/>
            <w:vAlign w:val="center"/>
          </w:tcPr>
          <w:p w14:paraId="38FF5F5D">
            <w:pPr>
              <w:widowControl/>
              <w:numPr>
                <w:ilvl w:val="0"/>
                <w:numId w:val="11"/>
              </w:numPr>
              <w:spacing w:line="240" w:lineRule="exact"/>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车辆捕获率：≥99%（包含无牌车）</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    多检率：≤1%，车牌正确识别率：≥99%</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3、适应车速：0-50</w:t>
            </w:r>
            <w:r>
              <w:rPr>
                <w:rFonts w:hint="eastAsia" w:ascii="仿宋" w:hAnsi="仿宋" w:eastAsia="仿宋" w:cs="仿宋"/>
                <w:color w:val="000000" w:themeColor="text1"/>
                <w:sz w:val="21"/>
                <w:szCs w:val="21"/>
                <w:highlight w:val="none"/>
                <w:lang w:val="en-US" w:eastAsia="zh-CN"/>
                <w14:textFill>
                  <w14:solidFill>
                    <w14:schemeClr w14:val="tx1"/>
                  </w14:solidFill>
                </w14:textFill>
              </w:rPr>
              <w:t>km</w:t>
            </w:r>
            <w:r>
              <w:rPr>
                <w:rFonts w:hint="eastAsia" w:ascii="仿宋" w:hAnsi="仿宋" w:eastAsia="仿宋" w:cs="仿宋"/>
                <w:color w:val="000000" w:themeColor="text1"/>
                <w:sz w:val="21"/>
                <w:szCs w:val="21"/>
                <w:highlight w:val="none"/>
                <w14:textFill>
                  <w14:solidFill>
                    <w14:schemeClr w14:val="tx1"/>
                  </w14:solidFill>
                </w14:textFill>
              </w:rPr>
              <w:t>/小时</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4、数据接口方式：10/100M 以太网TCP/IP</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5、图像传感器：1/2.8" CMOS</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6、有效像素：720P</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7、最低照度：0.1 Lux（标准）</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8、信噪比：&gt;50db</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9、电子快门：1/1至1/10000秒，22档</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10、最佳拍摄范围：3-10米</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11、光源发光频率：50Hz</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12、防护等级：IP66</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13、工作温度：-25℃~70℃</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14、工作湿度：≤ 90%</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15、电源电压：直流7-24V，纹波&lt;200mV</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16、整机功耗：7W</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17、存贮温度：-50℃~120℃</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18、传感器类型：≥500万像素1/2.8" CMOS</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    抓拍图像分辨率：≥2592×1944（提供CMA标志的检验报告）</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    快门：自动/手动，7µs～40ms，步进7µs</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19、显示屏幕类型：LCD/LED显示屏</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具备图片播放功能，可在液晶显示屏上播放图片。（提供CMA标志的检验报告）</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具备在线/离线指示功能，可在液晶显示屏上给出在线、离线的指示。（提供CMA标志的检验报告）</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具备计费信息显示播报功能，可通过液晶屏和扬声器显示和播放计费信息。（提供CMA标志的检验报告）</w:t>
            </w:r>
          </w:p>
        </w:tc>
        <w:tc>
          <w:tcPr>
            <w:tcW w:w="423" w:type="dxa"/>
            <w:tcBorders>
              <w:top w:val="nil"/>
              <w:left w:val="nil"/>
              <w:bottom w:val="single" w:color="auto" w:sz="4" w:space="0"/>
              <w:right w:val="single" w:color="auto" w:sz="4" w:space="0"/>
            </w:tcBorders>
            <w:shd w:val="clear" w:color="auto" w:fill="auto"/>
            <w:noWrap/>
            <w:vAlign w:val="center"/>
          </w:tcPr>
          <w:p w14:paraId="7E6314C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台</w:t>
            </w:r>
          </w:p>
        </w:tc>
        <w:tc>
          <w:tcPr>
            <w:tcW w:w="463" w:type="dxa"/>
            <w:tcBorders>
              <w:top w:val="nil"/>
              <w:left w:val="nil"/>
              <w:bottom w:val="single" w:color="auto" w:sz="4" w:space="0"/>
              <w:right w:val="single" w:color="auto" w:sz="4" w:space="0"/>
            </w:tcBorders>
            <w:shd w:val="clear" w:color="auto" w:fill="auto"/>
            <w:noWrap/>
            <w:vAlign w:val="center"/>
          </w:tcPr>
          <w:p w14:paraId="19B8B28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w:t>
            </w:r>
          </w:p>
        </w:tc>
        <w:tc>
          <w:tcPr>
            <w:tcW w:w="437" w:type="dxa"/>
            <w:tcBorders>
              <w:top w:val="nil"/>
              <w:left w:val="nil"/>
              <w:bottom w:val="single" w:color="auto" w:sz="4" w:space="0"/>
              <w:right w:val="single" w:color="auto" w:sz="4" w:space="0"/>
            </w:tcBorders>
            <w:shd w:val="clear" w:color="auto" w:fill="auto"/>
            <w:noWrap/>
            <w:vAlign w:val="center"/>
          </w:tcPr>
          <w:p w14:paraId="2EEDC06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noWrap/>
            <w:vAlign w:val="center"/>
          </w:tcPr>
          <w:p w14:paraId="3727C11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6A53CAEE">
        <w:tblPrEx>
          <w:tblCellMar>
            <w:top w:w="0" w:type="dxa"/>
            <w:left w:w="108" w:type="dxa"/>
            <w:bottom w:w="0" w:type="dxa"/>
            <w:right w:w="108" w:type="dxa"/>
          </w:tblCellMar>
        </w:tblPrEx>
        <w:trPr>
          <w:trHeight w:val="2112"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EEA8C2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120" w:type="dxa"/>
            <w:tcBorders>
              <w:top w:val="nil"/>
              <w:left w:val="nil"/>
              <w:bottom w:val="single" w:color="auto" w:sz="4" w:space="0"/>
              <w:right w:val="single" w:color="auto" w:sz="4" w:space="0"/>
            </w:tcBorders>
            <w:shd w:val="clear" w:color="auto" w:fill="auto"/>
            <w:vAlign w:val="center"/>
          </w:tcPr>
          <w:p w14:paraId="5EC48CE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直杆道闸</w:t>
            </w:r>
          </w:p>
        </w:tc>
        <w:tc>
          <w:tcPr>
            <w:tcW w:w="759" w:type="dxa"/>
            <w:tcBorders>
              <w:top w:val="nil"/>
              <w:left w:val="nil"/>
              <w:bottom w:val="single" w:color="auto" w:sz="4" w:space="0"/>
              <w:right w:val="single" w:color="auto" w:sz="4" w:space="0"/>
            </w:tcBorders>
            <w:shd w:val="clear" w:color="auto" w:fill="auto"/>
            <w:vAlign w:val="center"/>
          </w:tcPr>
          <w:p w14:paraId="0C8EA6C0">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3980" w:type="dxa"/>
            <w:tcBorders>
              <w:top w:val="nil"/>
              <w:left w:val="nil"/>
              <w:bottom w:val="single" w:color="auto" w:sz="4" w:space="0"/>
              <w:right w:val="single" w:color="auto" w:sz="4" w:space="0"/>
            </w:tcBorders>
            <w:shd w:val="clear" w:color="auto" w:fill="auto"/>
            <w:vAlign w:val="center"/>
          </w:tcPr>
          <w:p w14:paraId="0E57002C">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1、防护等级:IP54</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2、防砸功能:支持线圈防砸、红外防砸、雷达防砸</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3、远程遥控:支持遥控器远程开关</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4、支持:遇阻反弹、 技术模式、 断电手摇</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5、外部接口: I/0接口</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6、开关闸速度:1.2-3.5s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7、杆长：3-6米</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8、杆直径：60-150毫米</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9、电机功率：0.3</w:t>
            </w:r>
            <w:r>
              <w:rPr>
                <w:rFonts w:hint="eastAsia" w:ascii="仿宋" w:hAnsi="仿宋" w:eastAsia="仿宋" w:cs="仿宋"/>
                <w:color w:val="000000" w:themeColor="text1"/>
                <w:sz w:val="21"/>
                <w:szCs w:val="21"/>
                <w:highlight w:val="none"/>
                <w:lang w:val="en-US" w:eastAsia="zh-CN"/>
                <w14:textFill>
                  <w14:solidFill>
                    <w14:schemeClr w14:val="tx1"/>
                  </w14:solidFill>
                </w14:textFill>
              </w:rPr>
              <w:t>k</w:t>
            </w:r>
            <w:r>
              <w:rPr>
                <w:rFonts w:hint="eastAsia" w:ascii="仿宋" w:hAnsi="仿宋" w:eastAsia="仿宋" w:cs="仿宋"/>
                <w:color w:val="000000" w:themeColor="text1"/>
                <w:sz w:val="21"/>
                <w:szCs w:val="21"/>
                <w:highlight w:val="none"/>
                <w14:textFill>
                  <w14:solidFill>
                    <w14:schemeClr w14:val="tx1"/>
                  </w14:solidFill>
                </w14:textFill>
              </w:rPr>
              <w:t>W-0.75</w:t>
            </w:r>
            <w:r>
              <w:rPr>
                <w:rFonts w:hint="eastAsia" w:ascii="仿宋" w:hAnsi="仿宋" w:eastAsia="仿宋" w:cs="仿宋"/>
                <w:color w:val="000000" w:themeColor="text1"/>
                <w:sz w:val="21"/>
                <w:szCs w:val="21"/>
                <w:highlight w:val="none"/>
                <w:lang w:val="en-US" w:eastAsia="zh-CN"/>
                <w14:textFill>
                  <w14:solidFill>
                    <w14:schemeClr w14:val="tx1"/>
                  </w14:solidFill>
                </w14:textFill>
              </w:rPr>
              <w:t>k</w:t>
            </w:r>
            <w:r>
              <w:rPr>
                <w:rFonts w:hint="eastAsia" w:ascii="仿宋" w:hAnsi="仿宋" w:eastAsia="仿宋" w:cs="仿宋"/>
                <w:color w:val="000000" w:themeColor="text1"/>
                <w:sz w:val="21"/>
                <w:szCs w:val="21"/>
                <w:highlight w:val="none"/>
                <w14:textFill>
                  <w14:solidFill>
                    <w14:schemeClr w14:val="tx1"/>
                  </w14:solidFill>
                </w14:textFill>
              </w:rPr>
              <w:t>W</w:t>
            </w:r>
          </w:p>
        </w:tc>
        <w:tc>
          <w:tcPr>
            <w:tcW w:w="423" w:type="dxa"/>
            <w:tcBorders>
              <w:top w:val="nil"/>
              <w:left w:val="nil"/>
              <w:bottom w:val="single" w:color="auto" w:sz="4" w:space="0"/>
              <w:right w:val="single" w:color="auto" w:sz="4" w:space="0"/>
            </w:tcBorders>
            <w:shd w:val="clear" w:color="auto" w:fill="auto"/>
            <w:noWrap/>
            <w:vAlign w:val="center"/>
          </w:tcPr>
          <w:p w14:paraId="614F272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台</w:t>
            </w:r>
          </w:p>
        </w:tc>
        <w:tc>
          <w:tcPr>
            <w:tcW w:w="463" w:type="dxa"/>
            <w:tcBorders>
              <w:top w:val="nil"/>
              <w:left w:val="nil"/>
              <w:bottom w:val="single" w:color="auto" w:sz="4" w:space="0"/>
              <w:right w:val="single" w:color="auto" w:sz="4" w:space="0"/>
            </w:tcBorders>
            <w:shd w:val="clear" w:color="auto" w:fill="auto"/>
            <w:noWrap/>
            <w:vAlign w:val="center"/>
          </w:tcPr>
          <w:p w14:paraId="0948BD1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w:t>
            </w:r>
          </w:p>
        </w:tc>
        <w:tc>
          <w:tcPr>
            <w:tcW w:w="437" w:type="dxa"/>
            <w:tcBorders>
              <w:top w:val="nil"/>
              <w:left w:val="nil"/>
              <w:bottom w:val="single" w:color="auto" w:sz="4" w:space="0"/>
              <w:right w:val="single" w:color="auto" w:sz="4" w:space="0"/>
            </w:tcBorders>
            <w:shd w:val="clear" w:color="auto" w:fill="auto"/>
            <w:noWrap/>
            <w:vAlign w:val="center"/>
          </w:tcPr>
          <w:p w14:paraId="07B4DEB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noWrap/>
            <w:vAlign w:val="center"/>
          </w:tcPr>
          <w:p w14:paraId="51BC734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6A247FC1">
        <w:tblPrEx>
          <w:tblCellMar>
            <w:top w:w="0" w:type="dxa"/>
            <w:left w:w="108" w:type="dxa"/>
            <w:bottom w:w="0" w:type="dxa"/>
            <w:right w:w="108" w:type="dxa"/>
          </w:tblCellMar>
        </w:tblPrEx>
        <w:trPr>
          <w:trHeight w:val="1174"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1371325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120" w:type="dxa"/>
            <w:tcBorders>
              <w:top w:val="nil"/>
              <w:left w:val="nil"/>
              <w:bottom w:val="single" w:color="auto" w:sz="4" w:space="0"/>
              <w:right w:val="single" w:color="auto" w:sz="4" w:space="0"/>
            </w:tcBorders>
            <w:shd w:val="clear" w:color="auto" w:fill="auto"/>
            <w:vAlign w:val="center"/>
          </w:tcPr>
          <w:p w14:paraId="6F3D053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感应雷达</w:t>
            </w:r>
          </w:p>
        </w:tc>
        <w:tc>
          <w:tcPr>
            <w:tcW w:w="759" w:type="dxa"/>
            <w:tcBorders>
              <w:top w:val="nil"/>
              <w:left w:val="nil"/>
              <w:bottom w:val="single" w:color="auto" w:sz="4" w:space="0"/>
              <w:right w:val="single" w:color="auto" w:sz="4" w:space="0"/>
            </w:tcBorders>
            <w:shd w:val="clear" w:color="auto" w:fill="auto"/>
            <w:vAlign w:val="center"/>
          </w:tcPr>
          <w:p w14:paraId="5097F6C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3980" w:type="dxa"/>
            <w:tcBorders>
              <w:top w:val="nil"/>
              <w:left w:val="nil"/>
              <w:bottom w:val="single" w:color="auto" w:sz="4" w:space="0"/>
              <w:right w:val="single" w:color="auto" w:sz="4" w:space="0"/>
            </w:tcBorders>
            <w:shd w:val="clear" w:color="auto" w:fill="auto"/>
            <w:vAlign w:val="center"/>
          </w:tcPr>
          <w:p w14:paraId="63CCB6F4">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1、工作温度： -40℃~85℃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2、防水等级： IP65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3、通信接口 ：RS485或蓝牙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4、适用类型：直杆道闸</w:t>
            </w:r>
          </w:p>
        </w:tc>
        <w:tc>
          <w:tcPr>
            <w:tcW w:w="423" w:type="dxa"/>
            <w:tcBorders>
              <w:top w:val="nil"/>
              <w:left w:val="nil"/>
              <w:bottom w:val="single" w:color="auto" w:sz="4" w:space="0"/>
              <w:right w:val="single" w:color="auto" w:sz="4" w:space="0"/>
            </w:tcBorders>
            <w:shd w:val="clear" w:color="auto" w:fill="auto"/>
            <w:noWrap/>
            <w:vAlign w:val="center"/>
          </w:tcPr>
          <w:p w14:paraId="65C82D0D">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个</w:t>
            </w:r>
          </w:p>
        </w:tc>
        <w:tc>
          <w:tcPr>
            <w:tcW w:w="463" w:type="dxa"/>
            <w:tcBorders>
              <w:top w:val="nil"/>
              <w:left w:val="nil"/>
              <w:bottom w:val="single" w:color="auto" w:sz="4" w:space="0"/>
              <w:right w:val="single" w:color="auto" w:sz="4" w:space="0"/>
            </w:tcBorders>
            <w:shd w:val="clear" w:color="auto" w:fill="auto"/>
            <w:noWrap/>
            <w:vAlign w:val="center"/>
          </w:tcPr>
          <w:p w14:paraId="1DAAF8D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437" w:type="dxa"/>
            <w:tcBorders>
              <w:top w:val="nil"/>
              <w:left w:val="nil"/>
              <w:bottom w:val="single" w:color="auto" w:sz="4" w:space="0"/>
              <w:right w:val="single" w:color="auto" w:sz="4" w:space="0"/>
            </w:tcBorders>
            <w:shd w:val="clear" w:color="auto" w:fill="auto"/>
            <w:noWrap/>
            <w:vAlign w:val="center"/>
          </w:tcPr>
          <w:p w14:paraId="21773F53">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noWrap/>
            <w:vAlign w:val="center"/>
          </w:tcPr>
          <w:p w14:paraId="3158C37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5064DB35">
        <w:tblPrEx>
          <w:tblCellMar>
            <w:top w:w="0" w:type="dxa"/>
            <w:left w:w="108" w:type="dxa"/>
            <w:bottom w:w="0" w:type="dxa"/>
            <w:right w:w="108" w:type="dxa"/>
          </w:tblCellMar>
        </w:tblPrEx>
        <w:trPr>
          <w:trHeight w:val="2104"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32FA538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120" w:type="dxa"/>
            <w:tcBorders>
              <w:top w:val="nil"/>
              <w:left w:val="nil"/>
              <w:bottom w:val="single" w:color="auto" w:sz="4" w:space="0"/>
              <w:right w:val="single" w:color="auto" w:sz="4" w:space="0"/>
            </w:tcBorders>
            <w:shd w:val="clear" w:color="auto" w:fill="auto"/>
            <w:vAlign w:val="center"/>
          </w:tcPr>
          <w:p w14:paraId="4A8AD9D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地感处理器</w:t>
            </w:r>
          </w:p>
        </w:tc>
        <w:tc>
          <w:tcPr>
            <w:tcW w:w="759" w:type="dxa"/>
            <w:tcBorders>
              <w:top w:val="nil"/>
              <w:left w:val="nil"/>
              <w:bottom w:val="single" w:color="auto" w:sz="4" w:space="0"/>
              <w:right w:val="single" w:color="auto" w:sz="4" w:space="0"/>
            </w:tcBorders>
            <w:shd w:val="clear" w:color="auto" w:fill="auto"/>
            <w:vAlign w:val="center"/>
          </w:tcPr>
          <w:p w14:paraId="4790884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3980" w:type="dxa"/>
            <w:tcBorders>
              <w:top w:val="nil"/>
              <w:left w:val="nil"/>
              <w:bottom w:val="single" w:color="auto" w:sz="4" w:space="0"/>
              <w:right w:val="single" w:color="auto" w:sz="4" w:space="0"/>
            </w:tcBorders>
            <w:shd w:val="clear" w:color="auto" w:fill="auto"/>
            <w:vAlign w:val="center"/>
          </w:tcPr>
          <w:p w14:paraId="7405E133">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设备名称：双线圈地感处理器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线圈数量：1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输出接口：4个继电器</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输出信号：存在、脉冲</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频率调节：4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灵敏度级数：10</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输出延时：0~4.5S，可调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工作电压：AC/220V</w:t>
            </w:r>
          </w:p>
        </w:tc>
        <w:tc>
          <w:tcPr>
            <w:tcW w:w="423" w:type="dxa"/>
            <w:tcBorders>
              <w:top w:val="nil"/>
              <w:left w:val="nil"/>
              <w:bottom w:val="single" w:color="auto" w:sz="4" w:space="0"/>
              <w:right w:val="single" w:color="auto" w:sz="4" w:space="0"/>
            </w:tcBorders>
            <w:shd w:val="clear" w:color="auto" w:fill="auto"/>
            <w:noWrap/>
            <w:vAlign w:val="center"/>
          </w:tcPr>
          <w:p w14:paraId="64E2BB7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个</w:t>
            </w:r>
          </w:p>
        </w:tc>
        <w:tc>
          <w:tcPr>
            <w:tcW w:w="463" w:type="dxa"/>
            <w:tcBorders>
              <w:top w:val="nil"/>
              <w:left w:val="nil"/>
              <w:bottom w:val="single" w:color="auto" w:sz="4" w:space="0"/>
              <w:right w:val="single" w:color="auto" w:sz="4" w:space="0"/>
            </w:tcBorders>
            <w:shd w:val="clear" w:color="auto" w:fill="auto"/>
            <w:noWrap/>
            <w:vAlign w:val="center"/>
          </w:tcPr>
          <w:p w14:paraId="1D8076C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437" w:type="dxa"/>
            <w:tcBorders>
              <w:top w:val="nil"/>
              <w:left w:val="nil"/>
              <w:bottom w:val="single" w:color="auto" w:sz="4" w:space="0"/>
              <w:right w:val="single" w:color="auto" w:sz="4" w:space="0"/>
            </w:tcBorders>
            <w:shd w:val="clear" w:color="auto" w:fill="auto"/>
            <w:noWrap/>
            <w:vAlign w:val="center"/>
          </w:tcPr>
          <w:p w14:paraId="2ADC2C36">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noWrap/>
            <w:vAlign w:val="center"/>
          </w:tcPr>
          <w:p w14:paraId="7D37A06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44F3DE43">
        <w:tblPrEx>
          <w:tblCellMar>
            <w:top w:w="0" w:type="dxa"/>
            <w:left w:w="108" w:type="dxa"/>
            <w:bottom w:w="0" w:type="dxa"/>
            <w:right w:w="108" w:type="dxa"/>
          </w:tblCellMar>
        </w:tblPrEx>
        <w:trPr>
          <w:trHeight w:val="811"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1930267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120" w:type="dxa"/>
            <w:tcBorders>
              <w:top w:val="nil"/>
              <w:left w:val="nil"/>
              <w:bottom w:val="single" w:color="auto" w:sz="4" w:space="0"/>
              <w:right w:val="single" w:color="auto" w:sz="4" w:space="0"/>
            </w:tcBorders>
            <w:shd w:val="clear" w:color="auto" w:fill="auto"/>
            <w:vAlign w:val="center"/>
          </w:tcPr>
          <w:p w14:paraId="526680CC">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地感线圈</w:t>
            </w:r>
          </w:p>
        </w:tc>
        <w:tc>
          <w:tcPr>
            <w:tcW w:w="759" w:type="dxa"/>
            <w:tcBorders>
              <w:top w:val="nil"/>
              <w:left w:val="nil"/>
              <w:bottom w:val="single" w:color="auto" w:sz="4" w:space="0"/>
              <w:right w:val="single" w:color="auto" w:sz="4" w:space="0"/>
            </w:tcBorders>
            <w:shd w:val="clear" w:color="auto" w:fill="auto"/>
            <w:vAlign w:val="center"/>
          </w:tcPr>
          <w:p w14:paraId="4EE72F87">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3980" w:type="dxa"/>
            <w:tcBorders>
              <w:top w:val="nil"/>
              <w:left w:val="nil"/>
              <w:bottom w:val="single" w:color="auto" w:sz="4" w:space="0"/>
              <w:right w:val="single" w:color="auto" w:sz="4" w:space="0"/>
            </w:tcBorders>
            <w:shd w:val="clear" w:color="auto" w:fill="auto"/>
            <w:vAlign w:val="center"/>
          </w:tcPr>
          <w:p w14:paraId="556D38F4">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RV0.75</w:t>
            </w:r>
          </w:p>
        </w:tc>
        <w:tc>
          <w:tcPr>
            <w:tcW w:w="423" w:type="dxa"/>
            <w:tcBorders>
              <w:top w:val="nil"/>
              <w:left w:val="nil"/>
              <w:bottom w:val="single" w:color="auto" w:sz="4" w:space="0"/>
              <w:right w:val="single" w:color="auto" w:sz="4" w:space="0"/>
            </w:tcBorders>
            <w:shd w:val="clear" w:color="auto" w:fill="auto"/>
            <w:noWrap/>
            <w:vAlign w:val="center"/>
          </w:tcPr>
          <w:p w14:paraId="6698B6F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个</w:t>
            </w:r>
          </w:p>
        </w:tc>
        <w:tc>
          <w:tcPr>
            <w:tcW w:w="463" w:type="dxa"/>
            <w:tcBorders>
              <w:top w:val="nil"/>
              <w:left w:val="nil"/>
              <w:bottom w:val="single" w:color="auto" w:sz="4" w:space="0"/>
              <w:right w:val="single" w:color="auto" w:sz="4" w:space="0"/>
            </w:tcBorders>
            <w:shd w:val="clear" w:color="auto" w:fill="auto"/>
            <w:noWrap/>
            <w:vAlign w:val="center"/>
          </w:tcPr>
          <w:p w14:paraId="0DCD3C9D">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437" w:type="dxa"/>
            <w:tcBorders>
              <w:top w:val="nil"/>
              <w:left w:val="nil"/>
              <w:bottom w:val="single" w:color="auto" w:sz="4" w:space="0"/>
              <w:right w:val="single" w:color="auto" w:sz="4" w:space="0"/>
            </w:tcBorders>
            <w:shd w:val="clear" w:color="auto" w:fill="auto"/>
            <w:noWrap/>
            <w:vAlign w:val="center"/>
          </w:tcPr>
          <w:p w14:paraId="45AD0D6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noWrap/>
            <w:vAlign w:val="center"/>
          </w:tcPr>
          <w:p w14:paraId="3372BD0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59DDC532">
        <w:tblPrEx>
          <w:tblCellMar>
            <w:top w:w="0" w:type="dxa"/>
            <w:left w:w="108" w:type="dxa"/>
            <w:bottom w:w="0" w:type="dxa"/>
            <w:right w:w="108" w:type="dxa"/>
          </w:tblCellMar>
        </w:tblPrEx>
        <w:trPr>
          <w:trHeight w:val="192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119A54C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1120" w:type="dxa"/>
            <w:tcBorders>
              <w:top w:val="nil"/>
              <w:left w:val="nil"/>
              <w:bottom w:val="single" w:color="auto" w:sz="4" w:space="0"/>
              <w:right w:val="single" w:color="auto" w:sz="4" w:space="0"/>
            </w:tcBorders>
            <w:shd w:val="clear" w:color="auto" w:fill="auto"/>
            <w:vAlign w:val="center"/>
          </w:tcPr>
          <w:p w14:paraId="79B9268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交换机</w:t>
            </w:r>
          </w:p>
        </w:tc>
        <w:tc>
          <w:tcPr>
            <w:tcW w:w="759" w:type="dxa"/>
            <w:tcBorders>
              <w:top w:val="nil"/>
              <w:left w:val="nil"/>
              <w:bottom w:val="single" w:color="auto" w:sz="4" w:space="0"/>
              <w:right w:val="single" w:color="auto" w:sz="4" w:space="0"/>
            </w:tcBorders>
            <w:shd w:val="clear" w:color="auto" w:fill="auto"/>
            <w:vAlign w:val="center"/>
          </w:tcPr>
          <w:p w14:paraId="049028DC">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3980" w:type="dxa"/>
            <w:tcBorders>
              <w:top w:val="nil"/>
              <w:left w:val="nil"/>
              <w:bottom w:val="single" w:color="auto" w:sz="4" w:space="0"/>
              <w:right w:val="single" w:color="auto" w:sz="4" w:space="0"/>
            </w:tcBorders>
            <w:shd w:val="clear" w:color="auto" w:fill="auto"/>
            <w:vAlign w:val="center"/>
          </w:tcPr>
          <w:p w14:paraId="43DC8B5D">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散热方式 自然散热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适用场景 接入交换机</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端口数量 8口</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下行端口速率 干兆</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机云管理交换  不支持云管理</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上行端口速率 干兆</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网管类型 非网管</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端口供电功非POE供电</w:t>
            </w:r>
          </w:p>
        </w:tc>
        <w:tc>
          <w:tcPr>
            <w:tcW w:w="423" w:type="dxa"/>
            <w:tcBorders>
              <w:top w:val="nil"/>
              <w:left w:val="nil"/>
              <w:bottom w:val="single" w:color="auto" w:sz="4" w:space="0"/>
              <w:right w:val="single" w:color="auto" w:sz="4" w:space="0"/>
            </w:tcBorders>
            <w:shd w:val="clear" w:color="auto" w:fill="auto"/>
            <w:noWrap/>
            <w:vAlign w:val="center"/>
          </w:tcPr>
          <w:p w14:paraId="6AA92F9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台</w:t>
            </w:r>
          </w:p>
        </w:tc>
        <w:tc>
          <w:tcPr>
            <w:tcW w:w="463" w:type="dxa"/>
            <w:tcBorders>
              <w:top w:val="nil"/>
              <w:left w:val="nil"/>
              <w:bottom w:val="single" w:color="auto" w:sz="4" w:space="0"/>
              <w:right w:val="single" w:color="auto" w:sz="4" w:space="0"/>
            </w:tcBorders>
            <w:shd w:val="clear" w:color="auto" w:fill="auto"/>
            <w:noWrap/>
            <w:vAlign w:val="center"/>
          </w:tcPr>
          <w:p w14:paraId="4DD23F33">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tc>
        <w:tc>
          <w:tcPr>
            <w:tcW w:w="437" w:type="dxa"/>
            <w:tcBorders>
              <w:top w:val="nil"/>
              <w:left w:val="nil"/>
              <w:bottom w:val="single" w:color="auto" w:sz="4" w:space="0"/>
              <w:right w:val="single" w:color="auto" w:sz="4" w:space="0"/>
            </w:tcBorders>
            <w:shd w:val="clear" w:color="auto" w:fill="auto"/>
            <w:noWrap/>
            <w:vAlign w:val="center"/>
          </w:tcPr>
          <w:p w14:paraId="1E426F63">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noWrap/>
            <w:vAlign w:val="center"/>
          </w:tcPr>
          <w:p w14:paraId="6A4BF8F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4DA7728B">
        <w:tblPrEx>
          <w:tblCellMar>
            <w:top w:w="0" w:type="dxa"/>
            <w:left w:w="108" w:type="dxa"/>
            <w:bottom w:w="0" w:type="dxa"/>
            <w:right w:w="108" w:type="dxa"/>
          </w:tblCellMar>
        </w:tblPrEx>
        <w:trPr>
          <w:trHeight w:val="2581"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45DB6C9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1120" w:type="dxa"/>
            <w:tcBorders>
              <w:top w:val="nil"/>
              <w:left w:val="nil"/>
              <w:bottom w:val="single" w:color="auto" w:sz="4" w:space="0"/>
              <w:right w:val="single" w:color="auto" w:sz="4" w:space="0"/>
            </w:tcBorders>
            <w:shd w:val="clear" w:color="auto" w:fill="auto"/>
            <w:vAlign w:val="center"/>
          </w:tcPr>
          <w:p w14:paraId="0ABE386B">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云服务平台</w:t>
            </w:r>
          </w:p>
        </w:tc>
        <w:tc>
          <w:tcPr>
            <w:tcW w:w="759" w:type="dxa"/>
            <w:tcBorders>
              <w:top w:val="nil"/>
              <w:left w:val="nil"/>
              <w:bottom w:val="single" w:color="auto" w:sz="4" w:space="0"/>
              <w:right w:val="single" w:color="auto" w:sz="4" w:space="0"/>
            </w:tcBorders>
            <w:shd w:val="clear" w:color="auto" w:fill="auto"/>
            <w:vAlign w:val="center"/>
          </w:tcPr>
          <w:p w14:paraId="2BAF87E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定制</w:t>
            </w:r>
          </w:p>
        </w:tc>
        <w:tc>
          <w:tcPr>
            <w:tcW w:w="3980" w:type="dxa"/>
            <w:tcBorders>
              <w:top w:val="nil"/>
              <w:left w:val="nil"/>
              <w:bottom w:val="single" w:color="auto" w:sz="4" w:space="0"/>
              <w:right w:val="single" w:color="auto" w:sz="4" w:space="0"/>
            </w:tcBorders>
            <w:shd w:val="clear" w:color="auto" w:fill="auto"/>
            <w:vAlign w:val="center"/>
          </w:tcPr>
          <w:p w14:paraId="0AF47FC8">
            <w:pPr>
              <w:widowControl/>
              <w:numPr>
                <w:ilvl w:val="0"/>
                <w:numId w:val="12"/>
              </w:numPr>
              <w:spacing w:line="240" w:lineRule="exact"/>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管理方式：电脑、平板、手机均可管理</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2、运营报告：云平台自动生成清晰财务数据报表</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3、云端值守：可实现后台远程控制道闸开启或关闭</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4、数据端口开放：便于后期对接进场预登记系统上线。</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 xml:space="preserve">5、业务管理及查询：业务数据增、删、改、查 </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6、管理权限指派：自定义管理员、财务、值班员权限</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7、云端远程运维：云端升级，通用功能免费升级享用</w:t>
            </w:r>
          </w:p>
          <w:p w14:paraId="2FB7186A">
            <w:pPr>
              <w:widowControl/>
              <w:numPr>
                <w:ilvl w:val="0"/>
                <w:numId w:val="0"/>
              </w:numPr>
              <w:spacing w:line="240" w:lineRule="exact"/>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软件部分须符合招标功能，并满足招标人个性化需求。软件终身免费使用，不需要向任何主体缴纳任何费用，终身免费升级服务。</w:t>
            </w:r>
          </w:p>
        </w:tc>
        <w:tc>
          <w:tcPr>
            <w:tcW w:w="423" w:type="dxa"/>
            <w:tcBorders>
              <w:top w:val="nil"/>
              <w:left w:val="nil"/>
              <w:bottom w:val="single" w:color="auto" w:sz="4" w:space="0"/>
              <w:right w:val="single" w:color="auto" w:sz="4" w:space="0"/>
            </w:tcBorders>
            <w:shd w:val="clear" w:color="auto" w:fill="auto"/>
            <w:vAlign w:val="center"/>
          </w:tcPr>
          <w:p w14:paraId="76A7FE1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套</w:t>
            </w:r>
          </w:p>
        </w:tc>
        <w:tc>
          <w:tcPr>
            <w:tcW w:w="463" w:type="dxa"/>
            <w:tcBorders>
              <w:top w:val="nil"/>
              <w:left w:val="nil"/>
              <w:bottom w:val="single" w:color="auto" w:sz="4" w:space="0"/>
              <w:right w:val="single" w:color="auto" w:sz="4" w:space="0"/>
            </w:tcBorders>
            <w:shd w:val="clear" w:color="auto" w:fill="auto"/>
            <w:vAlign w:val="center"/>
          </w:tcPr>
          <w:p w14:paraId="4DEFA4F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437" w:type="dxa"/>
            <w:tcBorders>
              <w:top w:val="nil"/>
              <w:left w:val="nil"/>
              <w:bottom w:val="single" w:color="auto" w:sz="4" w:space="0"/>
              <w:right w:val="single" w:color="auto" w:sz="4" w:space="0"/>
            </w:tcBorders>
            <w:shd w:val="clear" w:color="auto" w:fill="auto"/>
            <w:vAlign w:val="center"/>
          </w:tcPr>
          <w:p w14:paraId="058BD1B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2BD8C070">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6EEF4C77">
        <w:tblPrEx>
          <w:tblCellMar>
            <w:top w:w="0" w:type="dxa"/>
            <w:left w:w="108" w:type="dxa"/>
            <w:bottom w:w="0" w:type="dxa"/>
            <w:right w:w="108" w:type="dxa"/>
          </w:tblCellMar>
        </w:tblPrEx>
        <w:trPr>
          <w:trHeight w:val="712"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004A4E2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w:t>
            </w:r>
          </w:p>
        </w:tc>
        <w:tc>
          <w:tcPr>
            <w:tcW w:w="1120" w:type="dxa"/>
            <w:tcBorders>
              <w:top w:val="nil"/>
              <w:left w:val="nil"/>
              <w:bottom w:val="single" w:color="auto" w:sz="4" w:space="0"/>
              <w:right w:val="single" w:color="auto" w:sz="4" w:space="0"/>
            </w:tcBorders>
            <w:shd w:val="clear" w:color="auto" w:fill="auto"/>
            <w:vAlign w:val="center"/>
          </w:tcPr>
          <w:p w14:paraId="28268D2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私有化部署</w:t>
            </w:r>
          </w:p>
        </w:tc>
        <w:tc>
          <w:tcPr>
            <w:tcW w:w="759" w:type="dxa"/>
            <w:tcBorders>
              <w:top w:val="nil"/>
              <w:left w:val="nil"/>
              <w:bottom w:val="single" w:color="auto" w:sz="4" w:space="0"/>
              <w:right w:val="single" w:color="auto" w:sz="4" w:space="0"/>
            </w:tcBorders>
            <w:shd w:val="clear" w:color="auto" w:fill="auto"/>
            <w:vAlign w:val="center"/>
          </w:tcPr>
          <w:p w14:paraId="01FF6B37">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定制</w:t>
            </w:r>
          </w:p>
        </w:tc>
        <w:tc>
          <w:tcPr>
            <w:tcW w:w="3980" w:type="dxa"/>
            <w:tcBorders>
              <w:top w:val="nil"/>
              <w:left w:val="nil"/>
              <w:bottom w:val="single" w:color="auto" w:sz="4" w:space="0"/>
              <w:right w:val="single" w:color="auto" w:sz="4" w:space="0"/>
            </w:tcBorders>
            <w:shd w:val="clear" w:color="auto" w:fill="auto"/>
            <w:vAlign w:val="center"/>
          </w:tcPr>
          <w:p w14:paraId="68733EA7">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私有化服务器部署服务，提供安装部署，集群搭建，系统培训工作与系统维护</w:t>
            </w:r>
          </w:p>
        </w:tc>
        <w:tc>
          <w:tcPr>
            <w:tcW w:w="423" w:type="dxa"/>
            <w:tcBorders>
              <w:top w:val="nil"/>
              <w:left w:val="nil"/>
              <w:bottom w:val="single" w:color="auto" w:sz="4" w:space="0"/>
              <w:right w:val="single" w:color="auto" w:sz="4" w:space="0"/>
            </w:tcBorders>
            <w:shd w:val="clear" w:color="auto" w:fill="auto"/>
            <w:vAlign w:val="center"/>
          </w:tcPr>
          <w:p w14:paraId="6CD43553">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w:t>
            </w:r>
          </w:p>
        </w:tc>
        <w:tc>
          <w:tcPr>
            <w:tcW w:w="463" w:type="dxa"/>
            <w:tcBorders>
              <w:top w:val="nil"/>
              <w:left w:val="nil"/>
              <w:bottom w:val="single" w:color="auto" w:sz="4" w:space="0"/>
              <w:right w:val="single" w:color="auto" w:sz="4" w:space="0"/>
            </w:tcBorders>
            <w:shd w:val="clear" w:color="auto" w:fill="auto"/>
            <w:vAlign w:val="center"/>
          </w:tcPr>
          <w:p w14:paraId="77BCC8B3">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437" w:type="dxa"/>
            <w:tcBorders>
              <w:top w:val="nil"/>
              <w:left w:val="nil"/>
              <w:bottom w:val="single" w:color="auto" w:sz="4" w:space="0"/>
              <w:right w:val="single" w:color="auto" w:sz="4" w:space="0"/>
            </w:tcBorders>
            <w:shd w:val="clear" w:color="auto" w:fill="auto"/>
            <w:vAlign w:val="center"/>
          </w:tcPr>
          <w:p w14:paraId="2689BE6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21DA57A6">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78182272">
        <w:tblPrEx>
          <w:tblCellMar>
            <w:top w:w="0" w:type="dxa"/>
            <w:left w:w="108" w:type="dxa"/>
            <w:bottom w:w="0" w:type="dxa"/>
            <w:right w:w="108" w:type="dxa"/>
          </w:tblCellMar>
        </w:tblPrEx>
        <w:trPr>
          <w:trHeight w:val="73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4242BB3B">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1120" w:type="dxa"/>
            <w:tcBorders>
              <w:top w:val="nil"/>
              <w:left w:val="nil"/>
              <w:bottom w:val="single" w:color="auto" w:sz="4" w:space="0"/>
              <w:right w:val="single" w:color="auto" w:sz="4" w:space="0"/>
            </w:tcBorders>
            <w:shd w:val="clear" w:color="auto" w:fill="auto"/>
            <w:vAlign w:val="center"/>
          </w:tcPr>
          <w:p w14:paraId="515369B7">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实施安装</w:t>
            </w:r>
          </w:p>
        </w:tc>
        <w:tc>
          <w:tcPr>
            <w:tcW w:w="759" w:type="dxa"/>
            <w:tcBorders>
              <w:top w:val="nil"/>
              <w:left w:val="nil"/>
              <w:bottom w:val="single" w:color="auto" w:sz="4" w:space="0"/>
              <w:right w:val="single" w:color="auto" w:sz="4" w:space="0"/>
            </w:tcBorders>
            <w:shd w:val="clear" w:color="auto" w:fill="auto"/>
            <w:vAlign w:val="center"/>
          </w:tcPr>
          <w:p w14:paraId="70821CD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定制</w:t>
            </w:r>
          </w:p>
        </w:tc>
        <w:tc>
          <w:tcPr>
            <w:tcW w:w="3980" w:type="dxa"/>
            <w:tcBorders>
              <w:top w:val="nil"/>
              <w:left w:val="nil"/>
              <w:bottom w:val="single" w:color="auto" w:sz="4" w:space="0"/>
              <w:right w:val="single" w:color="auto" w:sz="4" w:space="0"/>
            </w:tcBorders>
            <w:shd w:val="clear" w:color="auto" w:fill="auto"/>
            <w:vAlign w:val="center"/>
          </w:tcPr>
          <w:p w14:paraId="54D6C4A2">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包括安装，旧设备拆除，调试，电源线、网线、及辅材等</w:t>
            </w:r>
          </w:p>
        </w:tc>
        <w:tc>
          <w:tcPr>
            <w:tcW w:w="423" w:type="dxa"/>
            <w:tcBorders>
              <w:top w:val="nil"/>
              <w:left w:val="nil"/>
              <w:bottom w:val="single" w:color="auto" w:sz="4" w:space="0"/>
              <w:right w:val="single" w:color="auto" w:sz="4" w:space="0"/>
            </w:tcBorders>
            <w:shd w:val="clear" w:color="auto" w:fill="auto"/>
            <w:vAlign w:val="center"/>
          </w:tcPr>
          <w:p w14:paraId="0D0B5398">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w:t>
            </w:r>
          </w:p>
        </w:tc>
        <w:tc>
          <w:tcPr>
            <w:tcW w:w="463" w:type="dxa"/>
            <w:tcBorders>
              <w:top w:val="nil"/>
              <w:left w:val="nil"/>
              <w:bottom w:val="single" w:color="auto" w:sz="4" w:space="0"/>
              <w:right w:val="single" w:color="auto" w:sz="4" w:space="0"/>
            </w:tcBorders>
            <w:shd w:val="clear" w:color="auto" w:fill="auto"/>
            <w:vAlign w:val="center"/>
          </w:tcPr>
          <w:p w14:paraId="5C3D440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437" w:type="dxa"/>
            <w:tcBorders>
              <w:top w:val="nil"/>
              <w:left w:val="nil"/>
              <w:bottom w:val="single" w:color="auto" w:sz="4" w:space="0"/>
              <w:right w:val="single" w:color="auto" w:sz="4" w:space="0"/>
            </w:tcBorders>
            <w:shd w:val="clear" w:color="auto" w:fill="auto"/>
            <w:vAlign w:val="center"/>
          </w:tcPr>
          <w:p w14:paraId="198517D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46584286">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73BCBC6E">
        <w:tblPrEx>
          <w:tblCellMar>
            <w:top w:w="0" w:type="dxa"/>
            <w:left w:w="108" w:type="dxa"/>
            <w:bottom w:w="0" w:type="dxa"/>
            <w:right w:w="108" w:type="dxa"/>
          </w:tblCellMar>
        </w:tblPrEx>
        <w:trPr>
          <w:trHeight w:val="736"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2586A013">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1120" w:type="dxa"/>
            <w:tcBorders>
              <w:top w:val="nil"/>
              <w:left w:val="nil"/>
              <w:bottom w:val="single" w:color="auto" w:sz="4" w:space="0"/>
              <w:right w:val="single" w:color="auto" w:sz="4" w:space="0"/>
            </w:tcBorders>
            <w:shd w:val="clear" w:color="auto" w:fill="auto"/>
            <w:vAlign w:val="center"/>
          </w:tcPr>
          <w:p w14:paraId="3C31BBC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云服务平台费用</w:t>
            </w:r>
          </w:p>
        </w:tc>
        <w:tc>
          <w:tcPr>
            <w:tcW w:w="759" w:type="dxa"/>
            <w:tcBorders>
              <w:top w:val="nil"/>
              <w:left w:val="nil"/>
              <w:bottom w:val="single" w:color="auto" w:sz="4" w:space="0"/>
              <w:right w:val="single" w:color="auto" w:sz="4" w:space="0"/>
            </w:tcBorders>
            <w:shd w:val="clear" w:color="auto" w:fill="auto"/>
            <w:vAlign w:val="center"/>
          </w:tcPr>
          <w:p w14:paraId="08FD822F">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3980" w:type="dxa"/>
            <w:tcBorders>
              <w:top w:val="nil"/>
              <w:left w:val="nil"/>
              <w:bottom w:val="single" w:color="auto" w:sz="4" w:space="0"/>
              <w:right w:val="single" w:color="auto" w:sz="4" w:space="0"/>
            </w:tcBorders>
            <w:shd w:val="clear" w:color="auto" w:fill="auto"/>
            <w:vAlign w:val="center"/>
          </w:tcPr>
          <w:p w14:paraId="20BE89F2">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云服务平台使用费，以及后期更新、升级等全部费用（自行考虑综合报价）</w:t>
            </w:r>
          </w:p>
        </w:tc>
        <w:tc>
          <w:tcPr>
            <w:tcW w:w="423" w:type="dxa"/>
            <w:tcBorders>
              <w:top w:val="nil"/>
              <w:left w:val="nil"/>
              <w:bottom w:val="single" w:color="auto" w:sz="4" w:space="0"/>
              <w:right w:val="single" w:color="auto" w:sz="4" w:space="0"/>
            </w:tcBorders>
            <w:shd w:val="clear" w:color="auto" w:fill="auto"/>
            <w:vAlign w:val="center"/>
          </w:tcPr>
          <w:p w14:paraId="5860630C">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w:t>
            </w:r>
          </w:p>
        </w:tc>
        <w:tc>
          <w:tcPr>
            <w:tcW w:w="463" w:type="dxa"/>
            <w:tcBorders>
              <w:top w:val="nil"/>
              <w:left w:val="nil"/>
              <w:bottom w:val="single" w:color="auto" w:sz="4" w:space="0"/>
              <w:right w:val="single" w:color="auto" w:sz="4" w:space="0"/>
            </w:tcBorders>
            <w:shd w:val="clear" w:color="auto" w:fill="auto"/>
            <w:vAlign w:val="center"/>
          </w:tcPr>
          <w:p w14:paraId="375EF50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437" w:type="dxa"/>
            <w:tcBorders>
              <w:top w:val="nil"/>
              <w:left w:val="nil"/>
              <w:bottom w:val="single" w:color="auto" w:sz="4" w:space="0"/>
              <w:right w:val="single" w:color="auto" w:sz="4" w:space="0"/>
            </w:tcBorders>
            <w:shd w:val="clear" w:color="auto" w:fill="auto"/>
            <w:vAlign w:val="center"/>
          </w:tcPr>
          <w:p w14:paraId="33AEDDD0">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3A2E2BE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2EF06AD4">
        <w:tblPrEx>
          <w:tblCellMar>
            <w:top w:w="0" w:type="dxa"/>
            <w:left w:w="108" w:type="dxa"/>
            <w:bottom w:w="0" w:type="dxa"/>
            <w:right w:w="108" w:type="dxa"/>
          </w:tblCellMar>
        </w:tblPrEx>
        <w:trPr>
          <w:trHeight w:val="411" w:hRule="atLeast"/>
        </w:trPr>
        <w:tc>
          <w:tcPr>
            <w:tcW w:w="477" w:type="dxa"/>
            <w:tcBorders>
              <w:top w:val="nil"/>
              <w:left w:val="single" w:color="auto" w:sz="4" w:space="0"/>
              <w:bottom w:val="single" w:color="auto" w:sz="4" w:space="0"/>
              <w:right w:val="single" w:color="auto" w:sz="4" w:space="0"/>
            </w:tcBorders>
            <w:shd w:val="clear" w:color="auto" w:fill="auto"/>
            <w:vAlign w:val="center"/>
          </w:tcPr>
          <w:p w14:paraId="6E78360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p>
        </w:tc>
        <w:tc>
          <w:tcPr>
            <w:tcW w:w="1120" w:type="dxa"/>
            <w:tcBorders>
              <w:top w:val="nil"/>
              <w:left w:val="nil"/>
              <w:bottom w:val="single" w:color="auto" w:sz="4" w:space="0"/>
              <w:right w:val="single" w:color="auto" w:sz="4" w:space="0"/>
            </w:tcBorders>
            <w:shd w:val="clear" w:color="auto" w:fill="auto"/>
            <w:vAlign w:val="center"/>
          </w:tcPr>
          <w:p w14:paraId="2E75D756">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w:t>
            </w:r>
          </w:p>
        </w:tc>
        <w:tc>
          <w:tcPr>
            <w:tcW w:w="759" w:type="dxa"/>
            <w:tcBorders>
              <w:top w:val="nil"/>
              <w:left w:val="nil"/>
              <w:bottom w:val="single" w:color="auto" w:sz="4" w:space="0"/>
              <w:right w:val="single" w:color="auto" w:sz="4" w:space="0"/>
            </w:tcBorders>
            <w:shd w:val="clear" w:color="auto" w:fill="auto"/>
            <w:vAlign w:val="center"/>
          </w:tcPr>
          <w:p w14:paraId="783812C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3980" w:type="dxa"/>
            <w:tcBorders>
              <w:top w:val="nil"/>
              <w:left w:val="nil"/>
              <w:bottom w:val="single" w:color="auto" w:sz="4" w:space="0"/>
              <w:right w:val="single" w:color="auto" w:sz="4" w:space="0"/>
            </w:tcBorders>
            <w:shd w:val="clear" w:color="auto" w:fill="auto"/>
            <w:vAlign w:val="center"/>
          </w:tcPr>
          <w:p w14:paraId="4BA67540">
            <w:pPr>
              <w:widowControl/>
              <w:spacing w:line="240" w:lineRule="exact"/>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如需增加其他内容，投标人自行考虑</w:t>
            </w:r>
          </w:p>
        </w:tc>
        <w:tc>
          <w:tcPr>
            <w:tcW w:w="423" w:type="dxa"/>
            <w:tcBorders>
              <w:top w:val="nil"/>
              <w:left w:val="nil"/>
              <w:bottom w:val="single" w:color="auto" w:sz="4" w:space="0"/>
              <w:right w:val="single" w:color="auto" w:sz="4" w:space="0"/>
            </w:tcBorders>
            <w:shd w:val="clear" w:color="auto" w:fill="auto"/>
            <w:vAlign w:val="center"/>
          </w:tcPr>
          <w:p w14:paraId="40ADCE56">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w:t>
            </w:r>
          </w:p>
        </w:tc>
        <w:tc>
          <w:tcPr>
            <w:tcW w:w="463" w:type="dxa"/>
            <w:tcBorders>
              <w:top w:val="nil"/>
              <w:left w:val="nil"/>
              <w:bottom w:val="single" w:color="auto" w:sz="4" w:space="0"/>
              <w:right w:val="single" w:color="auto" w:sz="4" w:space="0"/>
            </w:tcBorders>
            <w:shd w:val="clear" w:color="auto" w:fill="auto"/>
            <w:vAlign w:val="center"/>
          </w:tcPr>
          <w:p w14:paraId="6C86A421">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437" w:type="dxa"/>
            <w:tcBorders>
              <w:top w:val="nil"/>
              <w:left w:val="nil"/>
              <w:bottom w:val="single" w:color="auto" w:sz="4" w:space="0"/>
              <w:right w:val="single" w:color="auto" w:sz="4" w:space="0"/>
            </w:tcBorders>
            <w:shd w:val="clear" w:color="auto" w:fill="auto"/>
            <w:vAlign w:val="center"/>
          </w:tcPr>
          <w:p w14:paraId="3578E352">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07C0CA45">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3B3500E7">
        <w:tblPrEx>
          <w:tblCellMar>
            <w:top w:w="0" w:type="dxa"/>
            <w:left w:w="108" w:type="dxa"/>
            <w:bottom w:w="0" w:type="dxa"/>
            <w:right w:w="108" w:type="dxa"/>
          </w:tblCellMar>
        </w:tblPrEx>
        <w:trPr>
          <w:trHeight w:val="426" w:hRule="atLeast"/>
        </w:trPr>
        <w:tc>
          <w:tcPr>
            <w:tcW w:w="6336" w:type="dxa"/>
            <w:gridSpan w:val="4"/>
            <w:tcBorders>
              <w:top w:val="nil"/>
              <w:left w:val="single" w:color="auto" w:sz="4" w:space="0"/>
              <w:bottom w:val="single" w:color="auto" w:sz="4" w:space="0"/>
              <w:right w:val="single" w:color="auto" w:sz="4" w:space="0"/>
            </w:tcBorders>
            <w:shd w:val="clear" w:color="auto" w:fill="auto"/>
            <w:vAlign w:val="center"/>
          </w:tcPr>
          <w:p w14:paraId="59A3FF2A">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合计</w:t>
            </w:r>
          </w:p>
        </w:tc>
        <w:tc>
          <w:tcPr>
            <w:tcW w:w="423" w:type="dxa"/>
            <w:tcBorders>
              <w:top w:val="nil"/>
              <w:left w:val="nil"/>
              <w:bottom w:val="single" w:color="auto" w:sz="4" w:space="0"/>
              <w:right w:val="single" w:color="auto" w:sz="4" w:space="0"/>
            </w:tcBorders>
            <w:shd w:val="clear" w:color="auto" w:fill="auto"/>
            <w:vAlign w:val="center"/>
          </w:tcPr>
          <w:p w14:paraId="37E08CF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63" w:type="dxa"/>
            <w:tcBorders>
              <w:top w:val="nil"/>
              <w:left w:val="nil"/>
              <w:bottom w:val="single" w:color="auto" w:sz="4" w:space="0"/>
              <w:right w:val="single" w:color="auto" w:sz="4" w:space="0"/>
            </w:tcBorders>
            <w:shd w:val="clear" w:color="auto" w:fill="auto"/>
            <w:vAlign w:val="center"/>
          </w:tcPr>
          <w:p w14:paraId="4246F704">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2495E06E">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437" w:type="dxa"/>
            <w:tcBorders>
              <w:top w:val="nil"/>
              <w:left w:val="nil"/>
              <w:bottom w:val="single" w:color="auto" w:sz="4" w:space="0"/>
              <w:right w:val="single" w:color="auto" w:sz="4" w:space="0"/>
            </w:tcBorders>
            <w:shd w:val="clear" w:color="auto" w:fill="auto"/>
            <w:vAlign w:val="center"/>
          </w:tcPr>
          <w:p w14:paraId="54233976">
            <w:pPr>
              <w:widowControl/>
              <w:spacing w:line="240" w:lineRule="exact"/>
              <w:jc w:val="center"/>
              <w:rPr>
                <w:rFonts w:ascii="仿宋" w:hAnsi="仿宋" w:eastAsia="仿宋" w:cs="仿宋"/>
                <w:color w:val="000000" w:themeColor="text1"/>
                <w:sz w:val="21"/>
                <w:szCs w:val="21"/>
                <w:highlight w:val="none"/>
                <w14:textFill>
                  <w14:solidFill>
                    <w14:schemeClr w14:val="tx1"/>
                  </w14:solidFill>
                </w14:textFill>
              </w:rPr>
            </w:pPr>
          </w:p>
        </w:tc>
      </w:tr>
    </w:tbl>
    <w:p w14:paraId="5B27D326">
      <w:pPr>
        <w:spacing w:line="440" w:lineRule="exact"/>
        <w:ind w:firstLine="4080" w:firstLineChars="1700"/>
        <w:rPr>
          <w:rFonts w:ascii="宋体" w:hAnsi="宋体" w:eastAsia="宋体"/>
          <w:color w:val="000000" w:themeColor="text1"/>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u w:val="single"/>
          <w14:textFill>
            <w14:solidFill>
              <w14:schemeClr w14:val="tx1"/>
            </w14:solidFill>
          </w14:textFill>
        </w:rPr>
        <w:t xml:space="preserve">     </w:t>
      </w:r>
      <w:r>
        <w:rPr>
          <w:rFonts w:ascii="宋体" w:hAnsi="宋体" w:eastAsia="宋体"/>
          <w:color w:val="000000" w:themeColor="text1"/>
          <w:sz w:val="24"/>
          <w:szCs w:val="24"/>
          <w:highlight w:val="none"/>
          <w:u w:val="single"/>
          <w14:textFill>
            <w14:solidFill>
              <w14:schemeClr w14:val="tx1"/>
            </w14:solidFill>
          </w14:textFill>
        </w:rPr>
        <w:t xml:space="preserve">    </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69C25691">
      <w:pPr>
        <w:spacing w:line="440" w:lineRule="exact"/>
        <w:ind w:firstLine="4800" w:firstLineChars="2000"/>
        <w:rPr>
          <w:rFonts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日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期：</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17C80DA8">
      <w:pPr>
        <w:adjustRightInd w:val="0"/>
        <w:snapToGrid w:val="0"/>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14:textFill>
            <w14:solidFill>
              <w14:schemeClr w14:val="tx1"/>
            </w14:solidFill>
          </w14:textFill>
        </w:rPr>
        <w:t>备注：</w:t>
      </w:r>
      <w:r>
        <w:rPr>
          <w:rFonts w:hint="eastAsia" w:asciiTheme="minorEastAsia" w:hAnsiTheme="minorEastAsia" w:eastAsiaTheme="minorEastAsia"/>
          <w:color w:val="000000" w:themeColor="text1"/>
          <w:sz w:val="24"/>
          <w:highlight w:val="none"/>
          <w14:textFill>
            <w14:solidFill>
              <w14:schemeClr w14:val="tx1"/>
            </w14:solidFill>
          </w14:textFill>
        </w:rPr>
        <w:t>表中所列货物为对应本项目需求的全部货物及所需附件购置费、包装费、运输费、人工费、保险费、安装调试费、各种税费、资料费、售后服务费及完成项目应有的全部费用。如有漏项或缺项，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承担全部责任。</w:t>
      </w:r>
    </w:p>
    <w:p w14:paraId="36DC9270">
      <w:pPr>
        <w:widowControl/>
        <w:jc w:val="left"/>
        <w:rPr>
          <w:b/>
          <w:bCs/>
          <w:color w:val="000000" w:themeColor="text1"/>
          <w:sz w:val="24"/>
          <w:szCs w:val="28"/>
          <w:highlight w:val="none"/>
          <w14:textFill>
            <w14:solidFill>
              <w14:schemeClr w14:val="tx1"/>
            </w14:solidFill>
          </w14:textFill>
        </w:rPr>
      </w:pPr>
    </w:p>
    <w:p w14:paraId="6E426CB8">
      <w:pPr>
        <w:pStyle w:val="4"/>
        <w:rPr>
          <w:rFonts w:hint="eastAsia"/>
          <w:color w:val="000000" w:themeColor="text1"/>
          <w:highlight w:val="none"/>
          <w14:textFill>
            <w14:solidFill>
              <w14:schemeClr w14:val="tx1"/>
            </w14:solidFill>
          </w14:textFill>
        </w:rPr>
      </w:pPr>
      <w:bookmarkStart w:id="35" w:name="_Toc461056632"/>
      <w:bookmarkStart w:id="36" w:name="_Toc461053087"/>
      <w:bookmarkStart w:id="37" w:name="_Toc520983588"/>
    </w:p>
    <w:p w14:paraId="7B398A7F">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二</w:t>
      </w:r>
      <w:bookmarkEnd w:id="35"/>
      <w:bookmarkEnd w:id="36"/>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第_____轮</w:t>
      </w:r>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报价</w:t>
      </w:r>
      <w:bookmarkEnd w:id="37"/>
    </w:p>
    <w:p w14:paraId="21451CC7">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宿州百大停车场管理系统升级改造项目</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70DB8E5F">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2024HAFGN01941</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FA7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9AFE30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名称</w:t>
            </w:r>
          </w:p>
        </w:tc>
        <w:tc>
          <w:tcPr>
            <w:tcW w:w="3490" w:type="pct"/>
            <w:tcBorders>
              <w:left w:val="single" w:color="auto" w:sz="4" w:space="0"/>
            </w:tcBorders>
          </w:tcPr>
          <w:p w14:paraId="5FAA4088">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6615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7BF530A">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磋商</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490" w:type="pct"/>
            <w:tcBorders>
              <w:left w:val="single" w:color="auto" w:sz="4" w:space="0"/>
            </w:tcBorders>
            <w:vAlign w:val="center"/>
          </w:tcPr>
          <w:p w14:paraId="5648ED63">
            <w:pPr>
              <w:widowControl/>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 / 第</w:t>
            </w:r>
            <w:r>
              <w:rPr>
                <w:rFonts w:hint="eastAsia" w:cs="@仿宋_GB2312" w:asciiTheme="minorEastAsia" w:hAnsiTheme="minorEastAsia" w:eastAsiaTheme="minorEastAsia"/>
                <w:color w:val="000000" w:themeColor="text1"/>
                <w:kern w:val="2"/>
                <w:sz w:val="24"/>
                <w:szCs w:val="28"/>
                <w:highlight w:val="none"/>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kern w:val="2"/>
                <w:sz w:val="24"/>
                <w:szCs w:val="28"/>
                <w:highlight w:val="none"/>
                <w:lang w:eastAsia="zh-CN"/>
                <w14:textFill>
                  <w14:solidFill>
                    <w14:schemeClr w14:val="tx1"/>
                  </w14:solidFill>
                </w14:textFill>
              </w:rPr>
              <w:t>标段</w:t>
            </w:r>
          </w:p>
        </w:tc>
      </w:tr>
      <w:tr w14:paraId="2A44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682CC3A">
            <w:pPr>
              <w:spacing w:line="360" w:lineRule="auto"/>
              <w:jc w:val="center"/>
              <w:rPr>
                <w:rFonts w:hint="eastAsia" w:eastAsia="宋体" w:cs="@仿宋_GB2312"/>
                <w:b/>
                <w:color w:val="000000" w:themeColor="text1"/>
                <w:kern w:val="2"/>
                <w:sz w:val="24"/>
                <w:highlight w:val="none"/>
                <w:lang w:eastAsia="zh-CN"/>
                <w14:textFill>
                  <w14:solidFill>
                    <w14:schemeClr w14:val="tx1"/>
                  </w14:solidFill>
                </w14:textFill>
              </w:rPr>
            </w:pPr>
            <w:r>
              <w:rPr>
                <w:rFonts w:hint="eastAsia" w:cs="@仿宋_GB2312"/>
                <w:b/>
                <w:bCs/>
                <w:color w:val="000000" w:themeColor="text1"/>
                <w:kern w:val="2"/>
                <w:sz w:val="24"/>
                <w:szCs w:val="28"/>
                <w:highlight w:val="none"/>
                <w:lang w:eastAsia="zh-CN"/>
                <w14:textFill>
                  <w14:solidFill>
                    <w14:schemeClr w14:val="tx1"/>
                  </w14:solidFill>
                </w14:textFill>
              </w:rPr>
              <w:t>最终投标报价</w:t>
            </w:r>
          </w:p>
          <w:p w14:paraId="2E3D5AD0">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490" w:type="pct"/>
            <w:vAlign w:val="center"/>
          </w:tcPr>
          <w:p w14:paraId="4C2FFB2D">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 xml:space="preserve">                        </w:t>
            </w:r>
          </w:p>
        </w:tc>
      </w:tr>
      <w:tr w14:paraId="113D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4620D68">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strike w:val="0"/>
                <w:dstrike w:val="0"/>
                <w:color w:val="000000" w:themeColor="text1"/>
                <w:kern w:val="2"/>
                <w:sz w:val="24"/>
                <w:szCs w:val="24"/>
                <w:highlight w:val="none"/>
                <w:lang w:val="en-US" w:eastAsia="zh-CN"/>
                <w14:textFill>
                  <w14:solidFill>
                    <w14:schemeClr w14:val="tx1"/>
                  </w14:solidFill>
                </w14:textFill>
              </w:rPr>
              <w:t>供货（安装）周期</w:t>
            </w:r>
          </w:p>
        </w:tc>
        <w:tc>
          <w:tcPr>
            <w:tcW w:w="3490" w:type="pct"/>
            <w:vAlign w:val="center"/>
          </w:tcPr>
          <w:p w14:paraId="7B283DE9">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5F34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071EFDD3">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490" w:type="pct"/>
          </w:tcPr>
          <w:p w14:paraId="6FB4EED7">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评审小组</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根据与</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磋商情况变动的磋商文件的内容，包括</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招标</w:t>
            </w:r>
            <w:r>
              <w:rPr>
                <w:rFonts w:hint="eastAsia" w:cs="宋体" w:asciiTheme="minorEastAsia" w:hAnsiTheme="minorEastAsia" w:eastAsiaTheme="minorEastAsia"/>
                <w:b/>
                <w:i/>
                <w:color w:val="000000" w:themeColor="text1"/>
                <w:kern w:val="2"/>
                <w:sz w:val="24"/>
                <w:szCs w:val="24"/>
                <w:highlight w:val="none"/>
                <w:lang w:val="en-US" w:eastAsia="zh-CN"/>
                <w14:textFill>
                  <w14:solidFill>
                    <w14:schemeClr w14:val="tx1"/>
                  </w14:solidFill>
                </w14:textFill>
              </w:rPr>
              <w:t>人要求</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中的</w:t>
            </w:r>
            <w:r>
              <w:rPr>
                <w:rFonts w:hint="eastAsia" w:cs="宋体" w:asciiTheme="minorEastAsia" w:hAnsiTheme="minorEastAsia" w:eastAsiaTheme="minorEastAsia"/>
                <w:b/>
                <w:i/>
                <w:color w:val="000000" w:themeColor="text1"/>
                <w:kern w:val="2"/>
                <w:sz w:val="24"/>
                <w:szCs w:val="24"/>
                <w:highlight w:val="none"/>
                <w:lang w:val="en-US" w:eastAsia="zh-CN"/>
                <w14:textFill>
                  <w14:solidFill>
                    <w14:schemeClr w14:val="tx1"/>
                  </w14:solidFill>
                </w14:textFill>
              </w:rPr>
              <w:t>供货（安装）</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要求以及合同草案条款。）</w:t>
            </w:r>
          </w:p>
        </w:tc>
      </w:tr>
      <w:tr w14:paraId="24DE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A6D0E70">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评审小组</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签字</w:t>
            </w:r>
          </w:p>
        </w:tc>
        <w:tc>
          <w:tcPr>
            <w:tcW w:w="3490" w:type="pct"/>
          </w:tcPr>
          <w:p w14:paraId="26176324">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3502339C">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7D0A95F1">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2BEDB911">
      <w:pPr>
        <w:spacing w:line="360" w:lineRule="auto"/>
        <w:jc w:val="left"/>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47CE0D94">
      <w:pPr>
        <w:spacing w:line="360" w:lineRule="auto"/>
        <w:jc w:val="left"/>
        <w:rPr>
          <w:rFonts w:hint="eastAsia" w:eastAsiaTheme="minorEastAsia"/>
          <w:bCs/>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r>
        <w:rPr>
          <w:rFonts w:hint="eastAsia" w:cs="@仿宋_GB2312"/>
          <w:b/>
          <w:bCs/>
          <w:color w:val="000000" w:themeColor="text1"/>
          <w:kern w:val="2"/>
          <w:sz w:val="24"/>
          <w:highlight w:val="none"/>
          <w14:textFill>
            <w14:solidFill>
              <w14:schemeClr w14:val="tx1"/>
            </w14:solidFill>
          </w14:textFill>
        </w:rPr>
        <w:t>本页报价表由</w:t>
      </w:r>
      <w:r>
        <w:rPr>
          <w:rFonts w:hint="eastAsia" w:cs="@仿宋_GB2312"/>
          <w:b/>
          <w:bCs/>
          <w:color w:val="000000" w:themeColor="text1"/>
          <w:kern w:val="2"/>
          <w:sz w:val="24"/>
          <w:highlight w:val="none"/>
          <w:lang w:eastAsia="zh-CN"/>
          <w14:textFill>
            <w14:solidFill>
              <w14:schemeClr w14:val="tx1"/>
            </w14:solidFill>
          </w14:textFill>
        </w:rPr>
        <w:t>投标人</w:t>
      </w:r>
      <w:r>
        <w:rPr>
          <w:rFonts w:hint="eastAsia" w:cs="@仿宋_GB2312"/>
          <w:b/>
          <w:bCs/>
          <w:color w:val="000000" w:themeColor="text1"/>
          <w:kern w:val="2"/>
          <w:sz w:val="24"/>
          <w:highlight w:val="none"/>
          <w14:textFill>
            <w14:solidFill>
              <w14:schemeClr w14:val="tx1"/>
            </w14:solidFill>
          </w14:textFill>
        </w:rPr>
        <w:t>在接到报价通知后依据磋商情况填写</w:t>
      </w:r>
      <w:r>
        <w:rPr>
          <w:rFonts w:hint="eastAsia" w:cs="@仿宋_GB2312"/>
          <w:b/>
          <w:bCs/>
          <w:color w:val="000000" w:themeColor="text1"/>
          <w:kern w:val="2"/>
          <w:sz w:val="24"/>
          <w:highlight w:val="none"/>
          <w:lang w:eastAsia="zh-CN"/>
          <w14:textFill>
            <w14:solidFill>
              <w14:schemeClr w14:val="tx1"/>
            </w14:solidFill>
          </w14:textFill>
        </w:rPr>
        <w:t>，</w:t>
      </w:r>
      <w:r>
        <w:rPr>
          <w:rFonts w:hint="eastAsia" w:cs="@仿宋_GB2312"/>
          <w:b/>
          <w:bCs/>
          <w:color w:val="000000" w:themeColor="text1"/>
          <w:kern w:val="2"/>
          <w:sz w:val="24"/>
          <w:highlight w:val="none"/>
          <w14:textFill>
            <w14:solidFill>
              <w14:schemeClr w14:val="tx1"/>
            </w14:solidFill>
          </w14:textFill>
        </w:rPr>
        <w:t>并在规定时间内提交。</w:t>
      </w:r>
    </w:p>
    <w:p w14:paraId="56CCB65F">
      <w:pPr>
        <w:widowControl/>
        <w:jc w:val="left"/>
        <w:rPr>
          <w:rFonts w:asciiTheme="minorEastAsia" w:hAnsiTheme="minorEastAsia" w:eastAsiaTheme="minorEastAsia"/>
          <w:b/>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bookmarkStart w:id="38" w:name="_Toc520983591"/>
    </w:p>
    <w:p w14:paraId="25706544">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三</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投标</w:t>
      </w:r>
      <w:r>
        <w:rPr>
          <w:rFonts w:hint="eastAsia" w:asciiTheme="minorEastAsia" w:hAnsiTheme="minorEastAsia" w:eastAsiaTheme="minorEastAsia"/>
          <w:b/>
          <w:color w:val="000000" w:themeColor="text1"/>
          <w:sz w:val="24"/>
          <w:highlight w:val="none"/>
          <w14:textFill>
            <w14:solidFill>
              <w14:schemeClr w14:val="tx1"/>
            </w14:solidFill>
          </w14:textFill>
        </w:rPr>
        <w:t>函</w:t>
      </w:r>
      <w:bookmarkEnd w:id="38"/>
    </w:p>
    <w:p w14:paraId="49858F2D">
      <w:pPr>
        <w:spacing w:line="360" w:lineRule="auto"/>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宿州百大农产品物流有限责任公司</w:t>
      </w:r>
    </w:p>
    <w:p w14:paraId="11240103">
      <w:pPr>
        <w:spacing w:line="360" w:lineRule="auto"/>
        <w:ind w:firstLine="482" w:firstLineChars="20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安徽公共资源交易集团项目管理有限公司</w:t>
      </w:r>
    </w:p>
    <w:p w14:paraId="7E874799">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磋商</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承诺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如下：</w:t>
      </w:r>
    </w:p>
    <w:p w14:paraId="3BF573C7">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1.经踏勘项目现场和研究上述磋商文件的磋商须知、合同条款、</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招标人要求</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及其他有关文件后，我方接受上述文件要求。我方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承诺按本磋商文件、合同条款和</w:t>
      </w:r>
      <w:r>
        <w:rPr>
          <w:rFonts w:hint="eastAsia" w:cs="宋体" w:asciiTheme="minorEastAsia" w:hAnsiTheme="minorEastAsia" w:eastAsiaTheme="minorEastAsia"/>
          <w:bCs/>
          <w:color w:val="000000" w:themeColor="text1"/>
          <w:kern w:val="2"/>
          <w:sz w:val="24"/>
          <w:szCs w:val="24"/>
          <w:highlight w:val="none"/>
          <w:lang w:val="en-US" w:eastAsia="zh-CN"/>
          <w14:textFill>
            <w14:solidFill>
              <w14:schemeClr w14:val="tx1"/>
            </w14:solidFill>
          </w14:textFill>
        </w:rPr>
        <w:t>招标人要求承担本项目的供货（安装）</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，并承担任何质量缺陷保修责任。</w:t>
      </w:r>
    </w:p>
    <w:p w14:paraId="46A41670">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ascii="宋体" w:hAnsi="宋体" w:eastAsia="宋体"/>
          <w:color w:val="000000" w:themeColor="text1"/>
          <w:sz w:val="24"/>
          <w:highlight w:val="none"/>
          <w14:textFill>
            <w14:solidFill>
              <w14:schemeClr w14:val="tx1"/>
            </w14:solidFill>
          </w14:textFill>
        </w:rPr>
        <w:t>.我方承诺报价低于</w:t>
      </w:r>
      <w:r>
        <w:rPr>
          <w:rFonts w:ascii="宋体" w:hAnsi="宋体" w:eastAsia="宋体"/>
          <w:color w:val="000000" w:themeColor="text1"/>
          <w:sz w:val="24"/>
          <w:highlight w:val="none"/>
          <w14:textFill>
            <w14:solidFill>
              <w14:schemeClr w14:val="tx1"/>
            </w14:solidFill>
          </w14:textFill>
        </w:rPr>
        <w:t>同类</w:t>
      </w:r>
      <w:r>
        <w:rPr>
          <w:rFonts w:hint="eastAsia" w:ascii="宋体" w:hAnsi="宋体" w:eastAsia="宋体"/>
          <w:color w:val="000000" w:themeColor="text1"/>
          <w:sz w:val="24"/>
          <w:highlight w:val="none"/>
          <w14:textFill>
            <w14:solidFill>
              <w14:schemeClr w14:val="tx1"/>
            </w14:solidFill>
          </w14:textFill>
        </w:rPr>
        <w:t>货物和</w:t>
      </w:r>
      <w:r>
        <w:rPr>
          <w:rFonts w:ascii="宋体" w:hAnsi="宋体" w:eastAsia="宋体"/>
          <w:color w:val="000000" w:themeColor="text1"/>
          <w:sz w:val="24"/>
          <w:highlight w:val="none"/>
          <w14:textFill>
            <w14:solidFill>
              <w14:schemeClr w14:val="tx1"/>
            </w14:solidFill>
          </w14:textFill>
        </w:rPr>
        <w:t>服务的市场平均价格。</w:t>
      </w:r>
    </w:p>
    <w:p w14:paraId="06194028">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val="0"/>
          <w:bCs w:val="0"/>
          <w:color w:val="000000" w:themeColor="text1"/>
          <w:kern w:val="2"/>
          <w:sz w:val="24"/>
          <w:szCs w:val="24"/>
          <w:highlight w:val="none"/>
          <w:lang w:val="en-US" w:eastAsia="zh-CN" w:bidi="ar-SA"/>
          <w14:textFill>
            <w14:solidFill>
              <w14:schemeClr w14:val="tx1"/>
            </w14:solidFill>
          </w14:textFill>
        </w:rPr>
        <w:t>3.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3F2CC88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.如我</w:t>
      </w:r>
      <w:r>
        <w:rPr>
          <w:rFonts w:hint="eastAsia"/>
          <w:color w:val="000000" w:themeColor="text1"/>
          <w:sz w:val="24"/>
          <w:highlight w:val="none"/>
          <w:lang w:val="en-US" w:eastAsia="zh-CN"/>
          <w14:textFill>
            <w14:solidFill>
              <w14:schemeClr w14:val="tx1"/>
            </w14:solidFill>
          </w14:textFill>
        </w:rPr>
        <w:t>方</w:t>
      </w:r>
      <w:r>
        <w:rPr>
          <w:rFonts w:hint="eastAsia"/>
          <w:color w:val="000000" w:themeColor="text1"/>
          <w:sz w:val="24"/>
          <w:highlight w:val="none"/>
          <w:lang w:eastAsia="zh-CN"/>
          <w14:textFill>
            <w14:solidFill>
              <w14:schemeClr w14:val="tx1"/>
            </w14:solidFill>
          </w14:textFill>
        </w:rPr>
        <w:t>中标</w:t>
      </w:r>
      <w:r>
        <w:rPr>
          <w:rFonts w:hint="eastAsia" w:ascii="宋体" w:hAnsi="宋体" w:eastAsia="宋体"/>
          <w:color w:val="000000" w:themeColor="text1"/>
          <w:sz w:val="24"/>
          <w:highlight w:val="none"/>
          <w14:textFill>
            <w14:solidFill>
              <w14:schemeClr w14:val="tx1"/>
            </w14:solidFill>
          </w14:textFill>
        </w:rPr>
        <w:t>，我</w:t>
      </w:r>
      <w:r>
        <w:rPr>
          <w:rFonts w:hint="eastAsia"/>
          <w:color w:val="000000" w:themeColor="text1"/>
          <w:sz w:val="24"/>
          <w:highlight w:val="none"/>
          <w:lang w:val="en-US" w:eastAsia="zh-CN"/>
          <w14:textFill>
            <w14:solidFill>
              <w14:schemeClr w14:val="tx1"/>
            </w14:solidFill>
          </w14:textFill>
        </w:rPr>
        <w:t>方</w:t>
      </w:r>
      <w:r>
        <w:rPr>
          <w:rFonts w:hint="eastAsia" w:ascii="宋体" w:hAnsi="宋体" w:eastAsia="宋体"/>
          <w:color w:val="000000" w:themeColor="text1"/>
          <w:sz w:val="24"/>
          <w:highlight w:val="none"/>
          <w14:textFill>
            <w14:solidFill>
              <w14:schemeClr w14:val="tx1"/>
            </w14:solidFill>
          </w14:textFill>
        </w:rPr>
        <w:t>承诺愿意按磋商文件规定缴纳履约保证金和</w:t>
      </w:r>
      <w:r>
        <w:rPr>
          <w:rFonts w:hint="eastAsia" w:ascii="宋体" w:hAnsi="宋体" w:eastAsia="宋体"/>
          <w:color w:val="000000" w:themeColor="text1"/>
          <w:sz w:val="24"/>
          <w:highlight w:val="none"/>
          <w:lang w:val="en-US" w:eastAsia="zh-CN"/>
          <w14:textFill>
            <w14:solidFill>
              <w14:schemeClr w14:val="tx1"/>
            </w14:solidFill>
          </w14:textFill>
        </w:rPr>
        <w:t>代理费用</w:t>
      </w:r>
      <w:r>
        <w:rPr>
          <w:rFonts w:hint="eastAsia" w:ascii="宋体" w:hAnsi="宋体" w:eastAsia="宋体"/>
          <w:color w:val="000000" w:themeColor="text1"/>
          <w:sz w:val="24"/>
          <w:highlight w:val="none"/>
          <w14:textFill>
            <w14:solidFill>
              <w14:schemeClr w14:val="tx1"/>
            </w14:solidFill>
          </w14:textFill>
        </w:rPr>
        <w:t>。按本次磋商文件规定及</w:t>
      </w:r>
      <w:r>
        <w:rPr>
          <w:rFonts w:ascii="宋体" w:hAnsi="宋体" w:eastAsia="宋体" w:cs="宋体"/>
          <w:color w:val="000000" w:themeColor="text1"/>
          <w:sz w:val="24"/>
          <w:szCs w:val="24"/>
          <w:highlight w:val="none"/>
          <w14:textFill>
            <w14:solidFill>
              <w14:schemeClr w14:val="tx1"/>
            </w14:solidFill>
          </w14:textFill>
        </w:rPr>
        <w:t>最终投标报价</w:t>
      </w:r>
      <w:r>
        <w:rPr>
          <w:rFonts w:hint="eastAsia" w:ascii="宋体" w:hAnsi="宋体" w:eastAsia="宋体"/>
          <w:color w:val="000000" w:themeColor="text1"/>
          <w:sz w:val="24"/>
          <w:highlight w:val="none"/>
          <w14:textFill>
            <w14:solidFill>
              <w14:schemeClr w14:val="tx1"/>
            </w14:solidFill>
          </w14:textFill>
        </w:rPr>
        <w:t>承诺供货</w:t>
      </w:r>
      <w:r>
        <w:rPr>
          <w:rFonts w:hint="eastAsia"/>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安装</w:t>
      </w:r>
      <w:r>
        <w:rPr>
          <w:rFonts w:hint="eastAsia"/>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w:t>
      </w:r>
    </w:p>
    <w:p w14:paraId="5523827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.我方根据本次磋商文件的规定，严格履行合同的责任和义务</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并保证于</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方要求的日期内完成供货</w:t>
      </w:r>
      <w:r>
        <w:rPr>
          <w:rFonts w:hint="eastAsia"/>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安装</w:t>
      </w:r>
      <w:r>
        <w:rPr>
          <w:rFonts w:hint="eastAsia"/>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及服务，并通过</w:t>
      </w:r>
      <w:r>
        <w:rPr>
          <w:rFonts w:hint="eastAsia"/>
          <w:color w:val="000000" w:themeColor="text1"/>
          <w:sz w:val="24"/>
          <w:highlight w:val="none"/>
          <w:lang w:val="en-US" w:eastAsia="zh-CN"/>
          <w14:textFill>
            <w14:solidFill>
              <w14:schemeClr w14:val="tx1"/>
            </w14:solidFill>
          </w14:textFill>
        </w:rPr>
        <w:t>你方</w:t>
      </w:r>
      <w:r>
        <w:rPr>
          <w:rFonts w:hint="eastAsia" w:ascii="宋体" w:hAnsi="宋体" w:eastAsia="宋体"/>
          <w:color w:val="000000" w:themeColor="text1"/>
          <w:sz w:val="24"/>
          <w:highlight w:val="none"/>
          <w14:textFill>
            <w14:solidFill>
              <w14:schemeClr w14:val="tx1"/>
            </w14:solidFill>
          </w14:textFill>
        </w:rPr>
        <w:t>验收。</w:t>
      </w:r>
    </w:p>
    <w:p w14:paraId="6342EDD6">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6.我方同意按</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方要求在磋商规定时间内向</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方提供与其磋商有关的任何证据或补充资料，否则，我方的</w:t>
      </w:r>
      <w:r>
        <w:rPr>
          <w:rFonts w:hint="eastAsia"/>
          <w:color w:val="000000" w:themeColor="text1"/>
          <w:sz w:val="24"/>
          <w:highlight w:val="none"/>
          <w:lang w:val="en-US" w:eastAsia="zh-CN"/>
          <w14:textFill>
            <w14:solidFill>
              <w14:schemeClr w14:val="tx1"/>
            </w14:solidFill>
          </w14:textFill>
        </w:rPr>
        <w:t>投标</w:t>
      </w:r>
      <w:r>
        <w:rPr>
          <w:rFonts w:hint="eastAsia" w:ascii="宋体" w:hAnsi="宋体" w:eastAsia="宋体"/>
          <w:color w:val="000000" w:themeColor="text1"/>
          <w:sz w:val="24"/>
          <w:highlight w:val="none"/>
          <w14:textFill>
            <w14:solidFill>
              <w14:schemeClr w14:val="tx1"/>
            </w14:solidFill>
          </w14:textFill>
        </w:rPr>
        <w:t>文件可被</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方拒绝。</w:t>
      </w:r>
    </w:p>
    <w:p w14:paraId="3CF8E15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7.我方完全理解</w:t>
      </w:r>
      <w:r>
        <w:rPr>
          <w:rFonts w:hint="eastAsia"/>
          <w:color w:val="000000" w:themeColor="text1"/>
          <w:sz w:val="24"/>
          <w:highlight w:val="none"/>
          <w:lang w:eastAsia="zh-CN"/>
          <w14:textFill>
            <w14:solidFill>
              <w14:schemeClr w14:val="tx1"/>
            </w14:solidFill>
          </w14:textFill>
        </w:rPr>
        <w:t>你方</w:t>
      </w:r>
      <w:r>
        <w:rPr>
          <w:rFonts w:hint="eastAsia" w:ascii="宋体" w:hAnsi="宋体" w:eastAsia="宋体"/>
          <w:color w:val="000000" w:themeColor="text1"/>
          <w:sz w:val="24"/>
          <w:highlight w:val="none"/>
          <w14:textFill>
            <w14:solidFill>
              <w14:schemeClr w14:val="tx1"/>
            </w14:solidFill>
          </w14:textFill>
        </w:rPr>
        <w:t>不一定接受最低报价的磋商。</w:t>
      </w:r>
    </w:p>
    <w:p w14:paraId="248482E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8.我方同意磋商文件规定的付款方式、</w:t>
      </w:r>
      <w:r>
        <w:rPr>
          <w:rFonts w:hint="eastAsia"/>
          <w:color w:val="000000" w:themeColor="text1"/>
          <w:sz w:val="24"/>
          <w:highlight w:val="none"/>
          <w:lang w:val="en-US" w:eastAsia="zh-CN"/>
          <w14:textFill>
            <w14:solidFill>
              <w14:schemeClr w14:val="tx1"/>
            </w14:solidFill>
          </w14:textFill>
        </w:rPr>
        <w:t>供货（安装）期限</w:t>
      </w:r>
      <w:r>
        <w:rPr>
          <w:rFonts w:hint="eastAsia" w:ascii="宋体" w:hAnsi="宋体" w:eastAsia="宋体"/>
          <w:color w:val="000000" w:themeColor="text1"/>
          <w:sz w:val="24"/>
          <w:highlight w:val="none"/>
          <w14:textFill>
            <w14:solidFill>
              <w14:schemeClr w14:val="tx1"/>
            </w14:solidFill>
          </w14:textFill>
        </w:rPr>
        <w:t>。</w:t>
      </w:r>
    </w:p>
    <w:p w14:paraId="44D90A83">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9.我方对</w:t>
      </w:r>
      <w:r>
        <w:rPr>
          <w:rFonts w:hint="eastAsia"/>
          <w:color w:val="000000" w:themeColor="text1"/>
          <w:sz w:val="24"/>
          <w:highlight w:val="none"/>
          <w:lang w:val="en-US" w:eastAsia="zh-CN"/>
          <w14:textFill>
            <w14:solidFill>
              <w14:schemeClr w14:val="tx1"/>
            </w14:solidFill>
          </w14:textFill>
        </w:rPr>
        <w:t>投标</w:t>
      </w:r>
      <w:r>
        <w:rPr>
          <w:rFonts w:hint="eastAsia" w:ascii="宋体" w:hAnsi="宋体" w:eastAsia="宋体"/>
          <w:color w:val="000000" w:themeColor="text1"/>
          <w:sz w:val="24"/>
          <w:highlight w:val="none"/>
          <w14:textFill>
            <w14:solidFill>
              <w14:schemeClr w14:val="tx1"/>
            </w14:solidFill>
          </w14:textFill>
        </w:rPr>
        <w:t>文件中所提供资料、文件、证书及证件的真实性和有效性负责。</w:t>
      </w:r>
    </w:p>
    <w:p w14:paraId="6F621328">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.我方同意所提交的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在磋商文件规定的磋商有效期内有效，在此期间内如果</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中标</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，我方将受此约束。</w:t>
      </w:r>
    </w:p>
    <w:p w14:paraId="2AA22FBC">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.除非另外达成协议并生效，你方的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中标通知书</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和本</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以及磋商文件、磋商文件澄清、修改、补充将成为约束双方的合同文件的组成部分。</w:t>
      </w:r>
    </w:p>
    <w:p w14:paraId="36805BA7">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12.我方</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不存在</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磋商公告中“</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资格</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要求”</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不良信用记录情形</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规定的任何一种情形。</w:t>
      </w:r>
    </w:p>
    <w:p w14:paraId="417E7E4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13.我方声明下述内容真实有效，如有</w:t>
      </w:r>
      <w:r>
        <w:rPr>
          <w:rFonts w:hint="eastAsia" w:ascii="宋体" w:hAnsi="宋体" w:eastAsia="宋体"/>
          <w:b/>
          <w:bCs/>
          <w:color w:val="000000" w:themeColor="text1"/>
          <w:sz w:val="24"/>
          <w:highlight w:val="none"/>
          <w14:textFill>
            <w14:solidFill>
              <w14:schemeClr w14:val="tx1"/>
            </w14:solidFill>
          </w14:textFill>
        </w:rPr>
        <w:t>虚假，将依法承担相应责任</w:t>
      </w:r>
      <w:r>
        <w:rPr>
          <w:rFonts w:hint="eastAsia" w:ascii="宋体" w:hAnsi="宋体" w:eastAsia="宋体"/>
          <w:b/>
          <w:bCs/>
          <w:color w:val="000000" w:themeColor="text1"/>
          <w:sz w:val="24"/>
          <w:highlight w:val="none"/>
          <w:lang w:eastAsia="zh-CN"/>
          <w14:textFill>
            <w14:solidFill>
              <w14:schemeClr w14:val="tx1"/>
            </w14:solidFill>
          </w14:textFill>
        </w:rPr>
        <w:t>：</w:t>
      </w:r>
    </w:p>
    <w:p w14:paraId="631516C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2841" w:type="dxa"/>
            <w:noWrap w:val="0"/>
            <w:vAlign w:val="top"/>
          </w:tcPr>
          <w:p w14:paraId="5D1294BE">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单位名称</w:t>
            </w:r>
          </w:p>
        </w:tc>
        <w:tc>
          <w:tcPr>
            <w:tcW w:w="2841" w:type="dxa"/>
            <w:noWrap w:val="0"/>
            <w:vAlign w:val="top"/>
          </w:tcPr>
          <w:p w14:paraId="42661B6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t>1</w:t>
            </w:r>
          </w:p>
        </w:tc>
        <w:tc>
          <w:tcPr>
            <w:tcW w:w="2841" w:type="dxa"/>
            <w:noWrap w:val="0"/>
            <w:vAlign w:val="top"/>
          </w:tcPr>
          <w:p w14:paraId="276C526D">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E9ED85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t>2</w:t>
            </w:r>
          </w:p>
        </w:tc>
        <w:tc>
          <w:tcPr>
            <w:tcW w:w="2841" w:type="dxa"/>
            <w:noWrap w:val="0"/>
            <w:vAlign w:val="top"/>
          </w:tcPr>
          <w:p w14:paraId="32CAEE8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44D8C3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bl>
    <w:p w14:paraId="0B4D04DE">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14.我方承诺：</w:t>
      </w:r>
    </w:p>
    <w:p w14:paraId="22C80D6D">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u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（1）在满足磋商文件免费质保期的基础上，为本项目提供的所有设备及配件整体增加</w:t>
      </w:r>
      <w:r>
        <w:rPr>
          <w:rFonts w:hint="eastAsia" w:cs="宋体" w:asciiTheme="minorEastAsia" w:hAnsiTheme="minorEastAsia" w:eastAsiaTheme="minorEastAsia"/>
          <w:b/>
          <w:bCs/>
          <w:color w:val="000000" w:themeColor="text1"/>
          <w:kern w:val="2"/>
          <w:sz w:val="24"/>
          <w:szCs w:val="24"/>
          <w:highlight w:val="none"/>
          <w:u w:val="single"/>
          <w:lang w:val="en-US" w:eastAsia="zh-CN"/>
          <w14:textFill>
            <w14:solidFill>
              <w14:schemeClr w14:val="tx1"/>
            </w14:solidFill>
          </w14:textFill>
        </w:rPr>
        <w:t xml:space="preserve"> 4 </w:t>
      </w:r>
      <w:r>
        <w:rPr>
          <w:rFonts w:hint="eastAsia" w:cs="宋体" w:asciiTheme="minorEastAsia" w:hAnsiTheme="minorEastAsia" w:eastAsiaTheme="minorEastAsia"/>
          <w:color w:val="000000" w:themeColor="text1"/>
          <w:kern w:val="2"/>
          <w:sz w:val="24"/>
          <w:szCs w:val="24"/>
          <w:highlight w:val="none"/>
          <w:u w:val="none"/>
          <w:lang w:val="en-US" w:eastAsia="zh-CN"/>
          <w14:textFill>
            <w14:solidFill>
              <w14:schemeClr w14:val="tx1"/>
            </w14:solidFill>
          </w14:textFill>
        </w:rPr>
        <w:t>年质保期。</w:t>
      </w:r>
    </w:p>
    <w:p w14:paraId="5E90FF57">
      <w:pPr>
        <w:spacing w:line="360" w:lineRule="auto"/>
        <w:ind w:firstLine="480" w:firstLineChars="200"/>
        <w:rPr>
          <w:rFonts w:hint="default" w:cs="宋体" w:asciiTheme="minorEastAsia" w:hAnsiTheme="minorEastAsia" w:eastAsiaTheme="minorEastAsia"/>
          <w:color w:val="000000" w:themeColor="text1"/>
          <w:kern w:val="2"/>
          <w:sz w:val="24"/>
          <w:szCs w:val="24"/>
          <w:highlight w:val="none"/>
          <w:u w:val="single"/>
          <w:lang w:val="en-US"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（2）对于系统维护服务响应措施，</w:t>
      </w:r>
      <w:r>
        <w:rPr>
          <w:rFonts w:hint="eastAsia" w:cs="宋体" w:asciiTheme="minorEastAsia" w:hAnsiTheme="minorEastAsia" w:eastAsiaTheme="minorEastAsia"/>
          <w:color w:val="000000" w:themeColor="text1"/>
          <w:kern w:val="2"/>
          <w:sz w:val="24"/>
          <w:szCs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b/>
          <w:bCs/>
          <w:color w:val="000000" w:themeColor="text1"/>
          <w:kern w:val="2"/>
          <w:sz w:val="24"/>
          <w:szCs w:val="24"/>
          <w:highlight w:val="none"/>
          <w:u w:val="single"/>
          <w:lang w:val="en-US" w:eastAsia="zh-CN"/>
          <w14:textFill>
            <w14:solidFill>
              <w14:schemeClr w14:val="tx1"/>
            </w14:solidFill>
          </w14:textFill>
        </w:rPr>
        <w:t xml:space="preserve">30 </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分钟内响应，并能在</w:t>
      </w:r>
      <w:r>
        <w:rPr>
          <w:rFonts w:hint="eastAsia" w:cs="宋体" w:asciiTheme="minorEastAsia" w:hAnsiTheme="minorEastAsia" w:eastAsiaTheme="minorEastAsia"/>
          <w:b/>
          <w:bCs/>
          <w:color w:val="000000" w:themeColor="text1"/>
          <w:kern w:val="2"/>
          <w:sz w:val="24"/>
          <w:szCs w:val="24"/>
          <w:highlight w:val="none"/>
          <w:u w:val="single"/>
          <w:lang w:val="en-US" w:eastAsia="zh-CN"/>
          <w14:textFill>
            <w14:solidFill>
              <w14:schemeClr w14:val="tx1"/>
            </w14:solidFill>
          </w14:textFill>
        </w:rPr>
        <w:t xml:space="preserve"> 1 </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小时内能到达现场。</w:t>
      </w:r>
    </w:p>
    <w:p w14:paraId="4E79E414">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14</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如我方中标，我方承诺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w:t>
      </w:r>
    </w:p>
    <w:p w14:paraId="2F3581C4">
      <w:pPr>
        <w:spacing w:line="360" w:lineRule="auto"/>
        <w:ind w:firstLine="480" w:firstLineChars="200"/>
        <w:rPr>
          <w:rFonts w:hint="default"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1）中标后，确保在14天内提供招标人要求的停车收费一体机显示屏幕需要的</w:t>
      </w:r>
      <w:r>
        <w:rPr>
          <w:rFonts w:hint="eastAsia" w:cs="宋体"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第三方检测机构出具的具有CMA(或CNAS)标识的所投产品型号的检测或检验报告</w:t>
      </w:r>
    </w:p>
    <w:p w14:paraId="1B58C66D">
      <w:pPr>
        <w:spacing w:line="360" w:lineRule="auto"/>
        <w:ind w:firstLine="4800" w:firstLineChars="2000"/>
        <w:rPr>
          <w:rFonts w:hint="default" w:eastAsia="宋体" w:cs="@仿宋_GB2312"/>
          <w:color w:val="000000" w:themeColor="text1"/>
          <w:kern w:val="2"/>
          <w:sz w:val="24"/>
          <w:highlight w:val="none"/>
          <w:u w:val="single"/>
          <w:lang w:val="en-US" w:eastAsia="zh-CN"/>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highlight w:val="none"/>
          <w14:textFill>
            <w14:solidFill>
              <w14:schemeClr w14:val="tx1"/>
            </w14:solidFill>
          </w14:textFill>
        </w:rPr>
        <w:t>：</w:t>
      </w:r>
      <w:r>
        <w:rPr>
          <w:rFonts w:hint="eastAsia" w:cs="@仿宋_GB2312"/>
          <w:color w:val="000000" w:themeColor="text1"/>
          <w:kern w:val="2"/>
          <w:sz w:val="24"/>
          <w:highlight w:val="none"/>
          <w:u w:val="single"/>
          <w14:textFill>
            <w14:solidFill>
              <w14:schemeClr w14:val="tx1"/>
            </w14:solidFill>
          </w14:textFill>
        </w:rPr>
        <w:t xml:space="preserve"> </w:t>
      </w:r>
      <w:r>
        <w:rPr>
          <w:rFonts w:hint="eastAsia" w:cs="@仿宋_GB2312"/>
          <w:color w:val="000000" w:themeColor="text1"/>
          <w:kern w:val="2"/>
          <w:sz w:val="24"/>
          <w:highlight w:val="none"/>
          <w:u w:val="single"/>
          <w:lang w:val="en-US" w:eastAsia="zh-CN"/>
          <w14:textFill>
            <w14:solidFill>
              <w14:schemeClr w14:val="tx1"/>
            </w14:solidFill>
          </w14:textFill>
        </w:rPr>
        <w:t xml:space="preserve">       </w:t>
      </w:r>
    </w:p>
    <w:p w14:paraId="6150C5DE">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r>
        <w:rPr>
          <w:rFonts w:hint="eastAsia" w:cs="@仿宋_GB2312"/>
          <w:color w:val="000000" w:themeColor="text1"/>
          <w:kern w:val="2"/>
          <w:sz w:val="24"/>
          <w:highlight w:val="none"/>
          <w:u w:val="single"/>
          <w14:textFill>
            <w14:solidFill>
              <w14:schemeClr w14:val="tx1"/>
            </w14:solidFill>
          </w14:textFill>
        </w:rPr>
        <w:t xml:space="preserve">             </w:t>
      </w:r>
    </w:p>
    <w:p w14:paraId="11D37C6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CB33C2B">
      <w:pPr>
        <w:widowControl/>
        <w:jc w:val="left"/>
        <w:rPr>
          <w:color w:val="000000" w:themeColor="text1"/>
          <w:sz w:val="24"/>
          <w:highlight w:val="none"/>
          <w14:textFill>
            <w14:solidFill>
              <w14:schemeClr w14:val="tx1"/>
            </w14:solidFill>
          </w14:textFill>
        </w:rPr>
      </w:pPr>
    </w:p>
    <w:p w14:paraId="5DD58A93">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bookmarkStart w:id="39" w:name="_Toc516969106"/>
      <w:bookmarkStart w:id="40" w:name="_Toc520983594"/>
      <w:bookmarkStart w:id="41" w:name="_Toc204594911"/>
      <w:bookmarkStart w:id="42" w:name="_Toc121626298"/>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b/>
          <w:color w:val="000000" w:themeColor="text1"/>
          <w:sz w:val="24"/>
          <w:highlight w:val="none"/>
          <w14:textFill>
            <w14:solidFill>
              <w14:schemeClr w14:val="tx1"/>
            </w14:solidFill>
          </w14:textFill>
        </w:rPr>
        <w:t>、授权书</w:t>
      </w:r>
      <w:bookmarkEnd w:id="39"/>
      <w:bookmarkEnd w:id="40"/>
      <w:bookmarkEnd w:id="41"/>
      <w:bookmarkEnd w:id="42"/>
    </w:p>
    <w:p w14:paraId="75D0C768">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0E473941">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授权代表姓名）代表我方参加本项目</w:t>
      </w:r>
      <w:r>
        <w:rPr>
          <w:rFonts w:hint="eastAsia" w:hAnsi="宋体" w:eastAsia="宋体"/>
          <w:bCs/>
          <w:color w:val="000000" w:themeColor="text1"/>
          <w:sz w:val="24"/>
          <w:szCs w:val="28"/>
          <w:highlight w:val="none"/>
          <w:lang w:eastAsia="zh-CN"/>
          <w14:textFill>
            <w14:solidFill>
              <w14:schemeClr w14:val="tx1"/>
            </w14:solidFill>
          </w14:textFill>
        </w:rPr>
        <w:t>磋商活动</w:t>
      </w:r>
      <w:r>
        <w:rPr>
          <w:rFonts w:hint="eastAsia" w:hAnsi="宋体" w:eastAsia="宋体"/>
          <w:color w:val="000000" w:themeColor="text1"/>
          <w:sz w:val="24"/>
          <w:szCs w:val="28"/>
          <w:highlight w:val="none"/>
          <w14:textFill>
            <w14:solidFill>
              <w14:schemeClr w14:val="tx1"/>
            </w14:solidFill>
          </w14:textFill>
        </w:rPr>
        <w:t>，全权代表我方处理磋商过程的一切事宜，包括但不限于：提交</w:t>
      </w:r>
      <w:r>
        <w:rPr>
          <w:rFonts w:hint="eastAsia" w:hAnsi="宋体" w:eastAsia="宋体"/>
          <w:color w:val="000000" w:themeColor="text1"/>
          <w:sz w:val="24"/>
          <w:szCs w:val="28"/>
          <w:highlight w:val="none"/>
          <w:lang w:eastAsia="zh-CN"/>
          <w14:textFill>
            <w14:solidFill>
              <w14:schemeClr w14:val="tx1"/>
            </w14:solidFill>
          </w14:textFill>
        </w:rPr>
        <w:t>投标文件</w:t>
      </w:r>
      <w:r>
        <w:rPr>
          <w:rFonts w:hint="eastAsia" w:hAnsi="宋体" w:eastAsia="宋体"/>
          <w:color w:val="000000" w:themeColor="text1"/>
          <w:sz w:val="24"/>
          <w:szCs w:val="28"/>
          <w:highlight w:val="none"/>
          <w14:textFill>
            <w14:solidFill>
              <w14:schemeClr w14:val="tx1"/>
            </w14:solidFill>
          </w14:textFill>
        </w:rPr>
        <w:t>、参与磋商、签约等。</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授权代表在</w:t>
      </w:r>
      <w:r>
        <w:rPr>
          <w:rFonts w:hint="eastAsia" w:hAnsi="宋体" w:eastAsia="宋体"/>
          <w:color w:val="000000" w:themeColor="text1"/>
          <w:sz w:val="24"/>
          <w:szCs w:val="28"/>
          <w:highlight w:val="none"/>
          <w:lang w:val="en-US" w:eastAsia="zh-CN"/>
          <w14:textFill>
            <w14:solidFill>
              <w14:schemeClr w14:val="tx1"/>
            </w14:solidFill>
          </w14:textFill>
        </w:rPr>
        <w:t>磋商</w:t>
      </w:r>
      <w:r>
        <w:rPr>
          <w:rFonts w:hint="eastAsia" w:hAnsi="宋体" w:eastAsia="宋体"/>
          <w:color w:val="000000" w:themeColor="text1"/>
          <w:sz w:val="24"/>
          <w:szCs w:val="28"/>
          <w:highlight w:val="none"/>
          <w:lang w:eastAsia="zh-CN"/>
          <w14:textFill>
            <w14:solidFill>
              <w14:schemeClr w14:val="tx1"/>
            </w14:solidFill>
          </w14:textFill>
        </w:rPr>
        <w:t>活动</w:t>
      </w:r>
      <w:r>
        <w:rPr>
          <w:rFonts w:hint="eastAsia" w:hAnsi="宋体" w:eastAsia="宋体"/>
          <w:color w:val="000000" w:themeColor="text1"/>
          <w:sz w:val="24"/>
          <w:szCs w:val="28"/>
          <w:highlight w:val="none"/>
          <w14:textFill>
            <w14:solidFill>
              <w14:schemeClr w14:val="tx1"/>
            </w14:solidFill>
          </w14:textFill>
        </w:rPr>
        <w:t>过程中所签署的一切文件和处理与之有关的一切事务，本公司均予以认可并对此承担责任。</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授权代表无转委托权。特此授权。</w:t>
      </w:r>
    </w:p>
    <w:p w14:paraId="61E6B1A2">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15EC24D2">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38095B2B">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3DD526CF">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16B14EE1">
      <w:pPr>
        <w:pStyle w:val="28"/>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677E9322">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695DF55B">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07CE86A7">
      <w:pPr>
        <w:spacing w:line="360" w:lineRule="auto"/>
        <w:rPr>
          <w:color w:val="000000" w:themeColor="text1"/>
          <w:sz w:val="24"/>
          <w:szCs w:val="28"/>
          <w:highlight w:val="none"/>
          <w14:textFill>
            <w14:solidFill>
              <w14:schemeClr w14:val="tx1"/>
            </w14:solidFill>
          </w14:textFill>
        </w:rPr>
      </w:pPr>
    </w:p>
    <w:p w14:paraId="0669DDD2">
      <w:pPr>
        <w:spacing w:line="360" w:lineRule="auto"/>
        <w:rPr>
          <w:bCs/>
          <w:color w:val="000000" w:themeColor="text1"/>
          <w:sz w:val="24"/>
          <w:szCs w:val="28"/>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u w:val="single"/>
          <w14:textFill>
            <w14:solidFill>
              <w14:schemeClr w14:val="tx1"/>
            </w14:solidFill>
          </w14:textFill>
        </w:rPr>
        <w:t xml:space="preserve">                    </w:t>
      </w:r>
    </w:p>
    <w:p w14:paraId="4EF74F5B">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      期：</w:t>
      </w:r>
      <w:r>
        <w:rPr>
          <w:rFonts w:hint="eastAsia"/>
          <w:color w:val="000000" w:themeColor="text1"/>
          <w:sz w:val="24"/>
          <w:szCs w:val="28"/>
          <w:highlight w:val="none"/>
          <w:u w:val="single"/>
          <w14:textFill>
            <w14:solidFill>
              <w14:schemeClr w14:val="tx1"/>
            </w14:solidFill>
          </w14:textFill>
        </w:rPr>
        <w:t xml:space="preserve">                    </w:t>
      </w:r>
    </w:p>
    <w:p w14:paraId="33E46D12">
      <w:pPr>
        <w:spacing w:line="360" w:lineRule="auto"/>
        <w:rPr>
          <w:color w:val="000000" w:themeColor="text1"/>
          <w:sz w:val="24"/>
          <w:szCs w:val="28"/>
          <w:highlight w:val="none"/>
          <w14:textFill>
            <w14:solidFill>
              <w14:schemeClr w14:val="tx1"/>
            </w14:solidFill>
          </w14:textFill>
        </w:rPr>
      </w:pPr>
    </w:p>
    <w:p w14:paraId="3003A5C8">
      <w:pPr>
        <w:spacing w:line="360" w:lineRule="auto"/>
        <w:rPr>
          <w:color w:val="000000" w:themeColor="text1"/>
          <w:sz w:val="24"/>
          <w:szCs w:val="28"/>
          <w:highlight w:val="none"/>
          <w14:textFill>
            <w14:solidFill>
              <w14:schemeClr w14:val="tx1"/>
            </w14:solidFill>
          </w14:textFill>
        </w:rPr>
      </w:pPr>
    </w:p>
    <w:p w14:paraId="13AD2B5E">
      <w:pPr>
        <w:pStyle w:val="28"/>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40E48A97">
      <w:pPr>
        <w:pStyle w:val="28"/>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w:t>
      </w:r>
    </w:p>
    <w:p w14:paraId="07E3B49D">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2.法定代表人参加磋商的无需提供授权</w:t>
      </w:r>
      <w:r>
        <w:rPr>
          <w:rFonts w:hint="eastAsia"/>
          <w:strike w:val="0"/>
          <w:dstrike w:val="0"/>
          <w:color w:val="000000" w:themeColor="text1"/>
          <w:sz w:val="24"/>
          <w:highlight w:val="none"/>
          <w14:textFill>
            <w14:solidFill>
              <w14:schemeClr w14:val="tx1"/>
            </w14:solidFill>
          </w14:textFill>
        </w:rPr>
        <w:t>书，仅提供</w:t>
      </w:r>
      <w:r>
        <w:rPr>
          <w:rFonts w:hint="eastAsia"/>
          <w:strike w:val="0"/>
          <w:dstrike w:val="0"/>
          <w:color w:val="000000" w:themeColor="text1"/>
          <w:sz w:val="24"/>
          <w:highlight w:val="none"/>
          <w:lang w:val="en-US" w:eastAsia="zh-CN"/>
          <w14:textFill>
            <w14:solidFill>
              <w14:schemeClr w14:val="tx1"/>
            </w14:solidFill>
          </w14:textFill>
        </w:rPr>
        <w:t>法定代表人身份证明书</w:t>
      </w:r>
      <w:r>
        <w:rPr>
          <w:rFonts w:hint="eastAsia"/>
          <w:strike w:val="0"/>
          <w:dstrike w:val="0"/>
          <w:color w:val="000000" w:themeColor="text1"/>
          <w:sz w:val="24"/>
          <w:highlight w:val="none"/>
          <w14:textFill>
            <w14:solidFill>
              <w14:schemeClr w14:val="tx1"/>
            </w14:solidFill>
          </w14:textFill>
        </w:rPr>
        <w:t>。</w:t>
      </w:r>
    </w:p>
    <w:p w14:paraId="26ED96D6">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3900963B">
      <w:pPr>
        <w:keepNext/>
        <w:keepLines/>
        <w:spacing w:before="260" w:after="260" w:line="416" w:lineRule="auto"/>
        <w:jc w:val="center"/>
        <w:outlineLvl w:val="2"/>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五</w:t>
      </w:r>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、法定代表人身份证明书</w:t>
      </w:r>
    </w:p>
    <w:p w14:paraId="10205747">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2FCB70F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0C931A3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3F133047">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6EAD1594">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月</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日</w:t>
      </w:r>
    </w:p>
    <w:p w14:paraId="69D81ED5">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5C8605C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性 </w:t>
      </w:r>
      <w:r>
        <w:rPr>
          <w:rFonts w:ascii="Calibri" w:hAnsi="Calibri" w:cs="Times New Roman"/>
          <w:color w:val="000000" w:themeColor="text1"/>
          <w:kern w:val="2"/>
          <w:sz w:val="24"/>
          <w:szCs w:val="28"/>
          <w:highlight w:val="non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别：</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4F493A17">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职    务：</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05B3FE80">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手机号码：</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2F34BB9B">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lang w:eastAsia="zh-CN"/>
          <w14:textFill>
            <w14:solidFill>
              <w14:schemeClr w14:val="tx1"/>
            </w14:solidFill>
          </w14:textFill>
        </w:rPr>
        <w:t>投标人</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02D54867">
      <w:pPr>
        <w:spacing w:before="62" w:beforeLines="20" w:after="62"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72B23F64">
      <w:pPr>
        <w:spacing w:before="62" w:beforeLines="20" w:after="62"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363B24CA">
      <w:pPr>
        <w:tabs>
          <w:tab w:val="left" w:pos="720"/>
          <w:tab w:val="left" w:pos="900"/>
        </w:tabs>
        <w:spacing w:before="62" w:beforeLines="20" w:after="62"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16DA0E04">
      <w:pPr>
        <w:tabs>
          <w:tab w:val="left" w:pos="720"/>
          <w:tab w:val="left" w:pos="900"/>
        </w:tabs>
        <w:spacing w:before="62" w:beforeLines="20" w:after="62"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03BF683F">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4143DC44">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宋体"/>
          <w:color w:val="000000" w:themeColor="text1"/>
          <w:kern w:val="2"/>
          <w:sz w:val="24"/>
          <w:szCs w:val="24"/>
          <w:highlight w:val="none"/>
          <w14:textFill>
            <w14:solidFill>
              <w14:schemeClr w14:val="tx1"/>
            </w14:solidFill>
          </w14:textFill>
        </w:rPr>
        <w:t>：</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0EBB8CE5">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 xml:space="preserve">    </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期：</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61B37E00">
      <w:pPr>
        <w:widowControl/>
        <w:jc w:val="left"/>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br w:type="page"/>
      </w:r>
    </w:p>
    <w:p w14:paraId="23FE7F79">
      <w:pPr>
        <w:keepNext/>
        <w:keepLines/>
        <w:numPr>
          <w:ilvl w:val="0"/>
          <w:numId w:val="0"/>
        </w:numPr>
        <w:spacing w:before="260" w:after="260" w:line="416" w:lineRule="auto"/>
        <w:jc w:val="center"/>
        <w:outlineLvl w:val="2"/>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六、投标业绩</w:t>
      </w:r>
    </w:p>
    <w:p w14:paraId="59464345">
      <w:pPr>
        <w:keepNext/>
        <w:keepLines/>
        <w:pageBreakBefore w:val="0"/>
        <w:widowControl w:val="0"/>
        <w:numPr>
          <w:ilvl w:val="0"/>
          <w:numId w:val="13"/>
        </w:numPr>
        <w:kinsoku/>
        <w:wordWrap/>
        <w:overflowPunct/>
        <w:topLinePunct w:val="0"/>
        <w:autoSpaceDE/>
        <w:autoSpaceDN/>
        <w:bidi w:val="0"/>
        <w:adjustRightInd/>
        <w:snapToGrid/>
        <w:spacing w:line="240" w:lineRule="auto"/>
        <w:jc w:val="center"/>
        <w:textAlignment w:val="auto"/>
        <w:outlineLvl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业绩表</w:t>
      </w:r>
    </w:p>
    <w:p w14:paraId="00824B05">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（格式仅供参考）</w:t>
      </w:r>
    </w:p>
    <w:p w14:paraId="3A669CF1">
      <w:pPr>
        <w:rPr>
          <w:rFonts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655"/>
        <w:gridCol w:w="1490"/>
        <w:gridCol w:w="1565"/>
        <w:gridCol w:w="1778"/>
        <w:gridCol w:w="1089"/>
      </w:tblGrid>
      <w:tr w14:paraId="2013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5" w:type="pct"/>
            <w:vAlign w:val="center"/>
          </w:tcPr>
          <w:p w14:paraId="508CBD3A">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序号</w:t>
            </w:r>
          </w:p>
        </w:tc>
        <w:tc>
          <w:tcPr>
            <w:tcW w:w="971" w:type="pct"/>
            <w:vAlign w:val="center"/>
          </w:tcPr>
          <w:p w14:paraId="778DD4D2">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p>
        </w:tc>
        <w:tc>
          <w:tcPr>
            <w:tcW w:w="874" w:type="pct"/>
            <w:vAlign w:val="center"/>
          </w:tcPr>
          <w:p w14:paraId="3BA24580">
            <w:pPr>
              <w:widowControl/>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项目</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内容</w:t>
            </w:r>
          </w:p>
        </w:tc>
        <w:tc>
          <w:tcPr>
            <w:tcW w:w="918" w:type="pct"/>
            <w:vAlign w:val="center"/>
          </w:tcPr>
          <w:p w14:paraId="6EDC53CD">
            <w:pPr>
              <w:widowControl/>
              <w:spacing w:line="360" w:lineRule="auto"/>
              <w:jc w:val="center"/>
              <w:rPr>
                <w:rFonts w:hint="default"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合同总金额</w:t>
            </w:r>
          </w:p>
        </w:tc>
        <w:tc>
          <w:tcPr>
            <w:tcW w:w="1043" w:type="pct"/>
            <w:vAlign w:val="center"/>
          </w:tcPr>
          <w:p w14:paraId="020B96A9">
            <w:pPr>
              <w:widowControl/>
              <w:spacing w:line="360" w:lineRule="auto"/>
              <w:jc w:val="center"/>
              <w:rPr>
                <w:rFonts w:hint="default"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业绩合同甲方及联系电话</w:t>
            </w:r>
          </w:p>
        </w:tc>
        <w:tc>
          <w:tcPr>
            <w:tcW w:w="637" w:type="pct"/>
            <w:vAlign w:val="center"/>
          </w:tcPr>
          <w:p w14:paraId="256D53DE">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w:t>
            </w:r>
          </w:p>
        </w:tc>
      </w:tr>
      <w:tr w14:paraId="0270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0B7D6B9B">
            <w:pPr>
              <w:spacing w:line="360" w:lineRule="auto"/>
              <w:jc w:val="center"/>
              <w:rPr>
                <w:rFonts w:hint="default"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投标人初审业绩（资格门槛业绩）</w:t>
            </w:r>
          </w:p>
        </w:tc>
      </w:tr>
      <w:tr w14:paraId="5064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A66F599">
            <w:pPr>
              <w:spacing w:line="360" w:lineRule="auto"/>
              <w:jc w:val="center"/>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14:textFill>
                  <w14:solidFill>
                    <w14:schemeClr w14:val="tx1"/>
                  </w14:solidFill>
                </w14:textFill>
              </w:rPr>
              <w:t>1</w:t>
            </w:r>
          </w:p>
        </w:tc>
        <w:tc>
          <w:tcPr>
            <w:tcW w:w="971" w:type="pct"/>
            <w:vAlign w:val="center"/>
          </w:tcPr>
          <w:p w14:paraId="564AEE8A">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1EA4AC3C">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6741C425">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11204062">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5E189411">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r w14:paraId="0466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vAlign w:val="center"/>
          </w:tcPr>
          <w:p w14:paraId="032B695C">
            <w:pPr>
              <w:spacing w:line="360" w:lineRule="auto"/>
              <w:jc w:val="center"/>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投标人评审业绩（打分业绩）</w:t>
            </w:r>
          </w:p>
        </w:tc>
      </w:tr>
      <w:tr w14:paraId="7032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23AF5B2">
            <w:pPr>
              <w:spacing w:line="360" w:lineRule="auto"/>
              <w:jc w:val="center"/>
              <w:rPr>
                <w:rFonts w:hint="eastAsia" w:cs="宋体" w:asciiTheme="minorEastAsia" w:hAnsiTheme="minorEastAsia" w:eastAsiaTheme="minorEastAsia"/>
                <w:b w:val="0"/>
                <w:bCs/>
                <w:color w:val="000000" w:themeColor="text1"/>
                <w:kern w:val="2"/>
                <w:sz w:val="24"/>
                <w:szCs w:val="24"/>
                <w:highlight w:val="none"/>
                <w:lang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1</w:t>
            </w:r>
          </w:p>
        </w:tc>
        <w:tc>
          <w:tcPr>
            <w:tcW w:w="971" w:type="pct"/>
            <w:vAlign w:val="center"/>
          </w:tcPr>
          <w:p w14:paraId="0298E887">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7C6C45CE">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07329035">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45CF6374">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1D12C128">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r w14:paraId="71E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F9E2AB1">
            <w:pPr>
              <w:spacing w:line="360" w:lineRule="auto"/>
              <w:jc w:val="center"/>
              <w:rPr>
                <w:rFonts w:hint="eastAsia" w:cs="宋体" w:asciiTheme="minorEastAsia" w:hAnsiTheme="minorEastAsia" w:eastAsiaTheme="minorEastAsia"/>
                <w:b w:val="0"/>
                <w:bCs/>
                <w:color w:val="000000" w:themeColor="text1"/>
                <w:kern w:val="2"/>
                <w:sz w:val="24"/>
                <w:szCs w:val="24"/>
                <w:highlight w:val="none"/>
                <w:lang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2</w:t>
            </w:r>
          </w:p>
        </w:tc>
        <w:tc>
          <w:tcPr>
            <w:tcW w:w="971" w:type="pct"/>
            <w:vAlign w:val="center"/>
          </w:tcPr>
          <w:p w14:paraId="237C27A0">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57AE2E0E">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5E1C0403">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644F0FE5">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6BAA5E17">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bl>
    <w:p w14:paraId="0F431F41">
      <w:pPr>
        <w:widowControl/>
        <w:jc w:val="left"/>
        <w:rPr>
          <w:rFonts w:asciiTheme="minorEastAsia" w:hAnsiTheme="minorEastAsia" w:eastAsiaTheme="minorEastAsia"/>
          <w:b/>
          <w:color w:val="000000" w:themeColor="text1"/>
          <w:sz w:val="24"/>
          <w:highlight w:val="none"/>
          <w14:textFill>
            <w14:solidFill>
              <w14:schemeClr w14:val="tx1"/>
            </w14:solidFill>
          </w14:textFill>
        </w:rPr>
      </w:pPr>
    </w:p>
    <w:p w14:paraId="7338305C">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000000" w:themeColor="text1"/>
          <w:sz w:val="24"/>
          <w:szCs w:val="24"/>
          <w:highlight w:val="none"/>
          <w:lang w:val="en-US" w:eastAsia="zh-CN"/>
          <w14:textFill>
            <w14:solidFill>
              <w14:schemeClr w14:val="tx1"/>
            </w14:solidFill>
          </w14:textFill>
        </w:rPr>
      </w:pPr>
    </w:p>
    <w:p w14:paraId="74BF7C8F">
      <w:pPr>
        <w:keepNext/>
        <w:keepLines/>
        <w:pageBreakBefore w:val="0"/>
        <w:widowControl w:val="0"/>
        <w:numPr>
          <w:ilvl w:val="0"/>
          <w:numId w:val="13"/>
        </w:numPr>
        <w:kinsoku/>
        <w:wordWrap/>
        <w:overflowPunct/>
        <w:topLinePunct w:val="0"/>
        <w:autoSpaceDE/>
        <w:autoSpaceDN/>
        <w:bidi w:val="0"/>
        <w:adjustRightInd/>
        <w:snapToGrid/>
        <w:spacing w:line="360" w:lineRule="auto"/>
        <w:jc w:val="center"/>
        <w:textAlignment w:val="auto"/>
        <w:outlineLvl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业绩证明材料</w:t>
      </w:r>
    </w:p>
    <w:p w14:paraId="4102988B">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（建议与上述“（一）业绩表”填写的业绩一一对应）</w:t>
      </w:r>
      <w:r>
        <w:rPr>
          <w:rFonts w:asciiTheme="minorEastAsia" w:hAnsiTheme="minorEastAsia" w:eastAsiaTheme="minorEastAsia"/>
          <w:b/>
          <w:color w:val="000000" w:themeColor="text1"/>
          <w:sz w:val="24"/>
          <w:highlight w:val="none"/>
          <w14:textFill>
            <w14:solidFill>
              <w14:schemeClr w14:val="tx1"/>
            </w14:solidFill>
          </w14:textFill>
        </w:rPr>
        <w:br w:type="page"/>
      </w:r>
    </w:p>
    <w:p w14:paraId="75D37419">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3" w:name="_Toc3201"/>
      <w:bookmarkStart w:id="44" w:name="_Toc32074"/>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七</w:t>
      </w:r>
      <w:r>
        <w:rPr>
          <w:rFonts w:hint="eastAsia" w:asciiTheme="minorEastAsia" w:hAnsiTheme="minorEastAsia" w:eastAsiaTheme="minorEastAsia"/>
          <w:b/>
          <w:color w:val="000000" w:themeColor="text1"/>
          <w:sz w:val="24"/>
          <w:highlight w:val="none"/>
          <w14:textFill>
            <w14:solidFill>
              <w14:schemeClr w14:val="tx1"/>
            </w14:solidFill>
          </w14:textFill>
        </w:rPr>
        <w:t>、</w:t>
      </w:r>
      <w:bookmarkEnd w:id="43"/>
      <w:r>
        <w:rPr>
          <w:rFonts w:hint="eastAsia" w:asciiTheme="minorEastAsia" w:hAnsiTheme="minorEastAsia" w:eastAsiaTheme="minorEastAsia"/>
          <w:b/>
          <w:color w:val="000000" w:themeColor="text1"/>
          <w:sz w:val="24"/>
          <w:highlight w:val="none"/>
          <w14:textFill>
            <w14:solidFill>
              <w14:schemeClr w14:val="tx1"/>
            </w14:solidFill>
          </w14:textFill>
        </w:rPr>
        <w:t>磋商响应表</w:t>
      </w:r>
      <w:bookmarkEnd w:id="44"/>
    </w:p>
    <w:p w14:paraId="3650233E">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7</w:t>
      </w:r>
      <w:r>
        <w:rPr>
          <w:rFonts w:asciiTheme="minorEastAsia" w:hAnsiTheme="minorEastAsia" w:eastAsia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b/>
          <w:color w:val="000000" w:themeColor="text1"/>
          <w:sz w:val="24"/>
          <w:highlight w:val="none"/>
          <w14:textFill>
            <w14:solidFill>
              <w14:schemeClr w14:val="tx1"/>
            </w14:solidFill>
          </w14:textFill>
        </w:rPr>
        <w:t>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32B3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625497C9">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2182" w:type="dxa"/>
            <w:vAlign w:val="center"/>
          </w:tcPr>
          <w:p w14:paraId="4CB3709C">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商务条款</w:t>
            </w:r>
          </w:p>
        </w:tc>
        <w:tc>
          <w:tcPr>
            <w:tcW w:w="2231" w:type="dxa"/>
            <w:vAlign w:val="center"/>
          </w:tcPr>
          <w:p w14:paraId="05DB62CD">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磋商文件要求</w:t>
            </w:r>
          </w:p>
        </w:tc>
        <w:tc>
          <w:tcPr>
            <w:tcW w:w="2575" w:type="dxa"/>
            <w:vAlign w:val="center"/>
          </w:tcPr>
          <w:p w14:paraId="17A87B9D">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lang w:val="en-US" w:eastAsia="zh-CN"/>
                <w14:textFill>
                  <w14:solidFill>
                    <w14:schemeClr w14:val="tx1"/>
                  </w14:solidFill>
                </w14:textFill>
              </w:rPr>
              <w:t>投标人</w:t>
            </w:r>
            <w:r>
              <w:rPr>
                <w:rFonts w:hint="eastAsia" w:cs="Wingdings" w:asciiTheme="minorEastAsia" w:hAnsiTheme="minorEastAsia"/>
                <w:b/>
                <w:color w:val="000000" w:themeColor="text1"/>
                <w:sz w:val="24"/>
                <w:highlight w:val="none"/>
                <w14:textFill>
                  <w14:solidFill>
                    <w14:schemeClr w14:val="tx1"/>
                  </w14:solidFill>
                </w14:textFill>
              </w:rPr>
              <w:t>承诺</w:t>
            </w:r>
          </w:p>
        </w:tc>
        <w:tc>
          <w:tcPr>
            <w:tcW w:w="810" w:type="dxa"/>
            <w:vAlign w:val="center"/>
          </w:tcPr>
          <w:p w14:paraId="0CBBC12B">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593F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F44F21A">
            <w:pPr>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2182" w:type="dxa"/>
            <w:vAlign w:val="center"/>
          </w:tcPr>
          <w:p w14:paraId="690E303B">
            <w:pPr>
              <w:jc w:val="center"/>
              <w:rPr>
                <w:rFonts w:ascii="宋体" w:hAnsi="宋体" w:eastAsia="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付款方式</w:t>
            </w:r>
          </w:p>
        </w:tc>
        <w:tc>
          <w:tcPr>
            <w:tcW w:w="2231" w:type="dxa"/>
            <w:vAlign w:val="center"/>
          </w:tcPr>
          <w:p w14:paraId="4D91667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14116D33">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0EE38757">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2C20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191C7FB">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2182" w:type="dxa"/>
            <w:vAlign w:val="center"/>
          </w:tcPr>
          <w:p w14:paraId="76B6B178">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安装</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地点</w:t>
            </w:r>
          </w:p>
        </w:tc>
        <w:tc>
          <w:tcPr>
            <w:tcW w:w="2231" w:type="dxa"/>
            <w:vAlign w:val="center"/>
          </w:tcPr>
          <w:p w14:paraId="196FA80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4F3DAF6A">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4D6B409F">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2C05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00E8974">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2182" w:type="dxa"/>
            <w:vAlign w:val="center"/>
          </w:tcPr>
          <w:p w14:paraId="2EA7077F">
            <w:pPr>
              <w:jc w:val="center"/>
              <w:rPr>
                <w:rFonts w:hint="default" w:ascii="宋体" w:hAnsi="宋体" w:eastAsia="宋体"/>
                <w:color w:val="000000" w:themeColor="text1"/>
                <w:sz w:val="24"/>
                <w:highlight w:val="none"/>
                <w:lang w:val="en-US"/>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供货</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安装</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lang w:val="en-US" w:eastAsia="zh-CN"/>
                <w14:textFill>
                  <w14:solidFill>
                    <w14:schemeClr w14:val="tx1"/>
                  </w14:solidFill>
                </w14:textFill>
              </w:rPr>
              <w:t>周期</w:t>
            </w:r>
          </w:p>
        </w:tc>
        <w:tc>
          <w:tcPr>
            <w:tcW w:w="2231" w:type="dxa"/>
            <w:vAlign w:val="center"/>
          </w:tcPr>
          <w:p w14:paraId="7A477CA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405864F8">
            <w:pPr>
              <w:pStyle w:val="84"/>
              <w:jc w:val="center"/>
              <w:rPr>
                <w:rFonts w:asciiTheme="minorEastAsia" w:hAnsiTheme="minorEastAsia" w:eastAsiaTheme="minorEastAsia"/>
                <w:color w:val="000000" w:themeColor="text1"/>
                <w:highlight w:val="none"/>
                <w14:textFill>
                  <w14:solidFill>
                    <w14:schemeClr w14:val="tx1"/>
                  </w14:solidFill>
                </w14:textFill>
              </w:rPr>
            </w:pPr>
          </w:p>
        </w:tc>
        <w:tc>
          <w:tcPr>
            <w:tcW w:w="810" w:type="dxa"/>
            <w:vAlign w:val="center"/>
          </w:tcPr>
          <w:p w14:paraId="615A9D25">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3815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590E2A0">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2182" w:type="dxa"/>
            <w:vAlign w:val="center"/>
          </w:tcPr>
          <w:p w14:paraId="61C6A187">
            <w:pPr>
              <w:jc w:val="center"/>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免费质保期</w:t>
            </w:r>
          </w:p>
        </w:tc>
        <w:tc>
          <w:tcPr>
            <w:tcW w:w="2231" w:type="dxa"/>
            <w:vAlign w:val="center"/>
          </w:tcPr>
          <w:p w14:paraId="7D1545B5">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7C3F37C9">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2DC64129">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41DA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388913D">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2182" w:type="dxa"/>
            <w:vAlign w:val="center"/>
          </w:tcPr>
          <w:p w14:paraId="30401DD1">
            <w:pPr>
              <w:jc w:val="center"/>
              <w:rPr>
                <w:rFonts w:ascii="宋体" w:hAnsi="宋体" w:eastAsia="宋体"/>
                <w:color w:val="000000" w:themeColor="text1"/>
                <w:sz w:val="24"/>
                <w:highlight w:val="none"/>
                <w14:textFill>
                  <w14:solidFill>
                    <w14:schemeClr w14:val="tx1"/>
                  </w14:solidFill>
                </w14:textFill>
              </w:rPr>
            </w:pPr>
          </w:p>
        </w:tc>
        <w:tc>
          <w:tcPr>
            <w:tcW w:w="2231" w:type="dxa"/>
            <w:vAlign w:val="center"/>
          </w:tcPr>
          <w:p w14:paraId="66419C47">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575" w:type="dxa"/>
            <w:vAlign w:val="center"/>
          </w:tcPr>
          <w:p w14:paraId="60B3AEC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10" w:type="dxa"/>
            <w:vAlign w:val="center"/>
          </w:tcPr>
          <w:p w14:paraId="1020B7AE">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677446DF">
      <w:pPr>
        <w:spacing w:line="360" w:lineRule="auto"/>
        <w:ind w:firstLine="435"/>
        <w:outlineLvl w:val="2"/>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p>
    <w:p w14:paraId="4F80B239">
      <w:pPr>
        <w:spacing w:line="360" w:lineRule="auto"/>
        <w:ind w:firstLine="435"/>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7</w:t>
      </w:r>
      <w:r>
        <w:rPr>
          <w:rFonts w:asciiTheme="minorEastAsia" w:hAnsiTheme="minorEastAsia" w:eastAsia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b/>
          <w:color w:val="000000" w:themeColor="text1"/>
          <w:sz w:val="24"/>
          <w:highlight w:val="none"/>
          <w14:textFill>
            <w14:solidFill>
              <w14:schemeClr w14:val="tx1"/>
            </w14:solidFill>
          </w14:textFill>
        </w:rPr>
        <w:t>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924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23CD8552">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序号</w:t>
            </w:r>
          </w:p>
        </w:tc>
        <w:tc>
          <w:tcPr>
            <w:tcW w:w="1560" w:type="dxa"/>
            <w:vAlign w:val="center"/>
          </w:tcPr>
          <w:p w14:paraId="67BD5793">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asciiTheme="minorEastAsia" w:hAnsiTheme="minorEastAsia"/>
                <w:b/>
                <w:bCs/>
                <w:color w:val="000000" w:themeColor="text1"/>
                <w:sz w:val="24"/>
                <w:szCs w:val="24"/>
                <w:highlight w:val="none"/>
                <w14:textFill>
                  <w14:solidFill>
                    <w14:schemeClr w14:val="tx1"/>
                  </w14:solidFill>
                </w14:textFill>
              </w:rPr>
              <w:t>货物名称</w:t>
            </w:r>
          </w:p>
        </w:tc>
        <w:tc>
          <w:tcPr>
            <w:tcW w:w="2863" w:type="dxa"/>
            <w:vAlign w:val="center"/>
          </w:tcPr>
          <w:p w14:paraId="1E42E719">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磋商文件规定的技术参数要求</w:t>
            </w:r>
          </w:p>
        </w:tc>
        <w:tc>
          <w:tcPr>
            <w:tcW w:w="2482" w:type="dxa"/>
            <w:vAlign w:val="center"/>
          </w:tcPr>
          <w:p w14:paraId="1298064D">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所投产品的品牌、型号及技术参数</w:t>
            </w:r>
          </w:p>
        </w:tc>
        <w:tc>
          <w:tcPr>
            <w:tcW w:w="856" w:type="dxa"/>
            <w:vAlign w:val="center"/>
          </w:tcPr>
          <w:p w14:paraId="226AD718">
            <w:pPr>
              <w:pStyle w:val="28"/>
              <w:jc w:val="center"/>
              <w:rPr>
                <w:rFonts w:cs="Wingdings" w:asciiTheme="minorEastAsia" w:hAnsiTheme="minorEastAsia"/>
                <w:b/>
                <w:color w:val="000000" w:themeColor="text1"/>
                <w:sz w:val="24"/>
                <w:highlight w:val="none"/>
                <w14:textFill>
                  <w14:solidFill>
                    <w14:schemeClr w14:val="tx1"/>
                  </w14:solidFill>
                </w14:textFill>
              </w:rPr>
            </w:pPr>
            <w:r>
              <w:rPr>
                <w:rFonts w:hint="eastAsia" w:cs="Wingdings" w:asciiTheme="minorEastAsia" w:hAnsiTheme="minorEastAsia"/>
                <w:b/>
                <w:color w:val="000000" w:themeColor="text1"/>
                <w:sz w:val="24"/>
                <w:highlight w:val="none"/>
                <w14:textFill>
                  <w14:solidFill>
                    <w14:schemeClr w14:val="tx1"/>
                  </w14:solidFill>
                </w14:textFill>
              </w:rPr>
              <w:t>偏离说明</w:t>
            </w:r>
          </w:p>
        </w:tc>
      </w:tr>
      <w:tr w14:paraId="2A5F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38FD1B2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p>
        </w:tc>
        <w:tc>
          <w:tcPr>
            <w:tcW w:w="1560" w:type="dxa"/>
            <w:vAlign w:val="center"/>
          </w:tcPr>
          <w:p w14:paraId="05B9B11C">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3" w:type="dxa"/>
            <w:vAlign w:val="center"/>
          </w:tcPr>
          <w:p w14:paraId="2D502A7A">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1A9C9F38">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72E71C37">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3B75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6B9038">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560" w:type="dxa"/>
            <w:vAlign w:val="center"/>
          </w:tcPr>
          <w:p w14:paraId="6537B32F">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3" w:type="dxa"/>
            <w:vAlign w:val="center"/>
          </w:tcPr>
          <w:p w14:paraId="35CC3D1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2C6450FB">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38CCFF21">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482B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765C445">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w:t>
            </w:r>
          </w:p>
        </w:tc>
        <w:tc>
          <w:tcPr>
            <w:tcW w:w="1560" w:type="dxa"/>
            <w:vAlign w:val="center"/>
          </w:tcPr>
          <w:p w14:paraId="0E011748">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3" w:type="dxa"/>
            <w:vAlign w:val="center"/>
          </w:tcPr>
          <w:p w14:paraId="7462A814">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5297E04B">
            <w:pPr>
              <w:pStyle w:val="84"/>
              <w:jc w:val="center"/>
              <w:rPr>
                <w:rFonts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523AF407">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658D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4B94082">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p>
        </w:tc>
        <w:tc>
          <w:tcPr>
            <w:tcW w:w="1560" w:type="dxa"/>
            <w:vAlign w:val="center"/>
          </w:tcPr>
          <w:p w14:paraId="57C02AF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3" w:type="dxa"/>
            <w:vAlign w:val="center"/>
          </w:tcPr>
          <w:p w14:paraId="701334F2">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727C239E">
            <w:pPr>
              <w:pStyle w:val="84"/>
              <w:jc w:val="center"/>
              <w:rPr>
                <w:rFonts w:asciiTheme="minorEastAsia" w:hAnsiTheme="minorEastAsia" w:eastAsiaTheme="minorEastAsia"/>
                <w:color w:val="000000" w:themeColor="text1"/>
                <w:highlight w:val="none"/>
                <w14:textFill>
                  <w14:solidFill>
                    <w14:schemeClr w14:val="tx1"/>
                  </w14:solidFill>
                </w14:textFill>
              </w:rPr>
            </w:pPr>
          </w:p>
        </w:tc>
        <w:tc>
          <w:tcPr>
            <w:tcW w:w="856" w:type="dxa"/>
            <w:vAlign w:val="center"/>
          </w:tcPr>
          <w:p w14:paraId="73707C06">
            <w:pPr>
              <w:jc w:val="center"/>
              <w:rPr>
                <w:rFonts w:asciiTheme="minorEastAsia" w:hAnsiTheme="minorEastAsia" w:eastAsiaTheme="minorEastAsia"/>
                <w:color w:val="000000" w:themeColor="text1"/>
                <w:sz w:val="24"/>
                <w:highlight w:val="none"/>
                <w14:textFill>
                  <w14:solidFill>
                    <w14:schemeClr w14:val="tx1"/>
                  </w14:solidFill>
                </w14:textFill>
              </w:rPr>
            </w:pPr>
          </w:p>
        </w:tc>
      </w:tr>
      <w:tr w14:paraId="12DB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09957692">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p>
        </w:tc>
        <w:tc>
          <w:tcPr>
            <w:tcW w:w="1560" w:type="dxa"/>
            <w:vAlign w:val="center"/>
          </w:tcPr>
          <w:p w14:paraId="5222AD90">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863" w:type="dxa"/>
            <w:vAlign w:val="center"/>
          </w:tcPr>
          <w:p w14:paraId="6DB034B1">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2482" w:type="dxa"/>
            <w:vAlign w:val="center"/>
          </w:tcPr>
          <w:p w14:paraId="4F7B7B5D">
            <w:pPr>
              <w:jc w:val="center"/>
              <w:rPr>
                <w:rFonts w:asciiTheme="minorEastAsia" w:hAnsiTheme="minorEastAsia" w:eastAsiaTheme="minorEastAsia"/>
                <w:color w:val="000000" w:themeColor="text1"/>
                <w:sz w:val="24"/>
                <w:highlight w:val="none"/>
                <w14:textFill>
                  <w14:solidFill>
                    <w14:schemeClr w14:val="tx1"/>
                  </w14:solidFill>
                </w14:textFill>
              </w:rPr>
            </w:pPr>
          </w:p>
        </w:tc>
        <w:tc>
          <w:tcPr>
            <w:tcW w:w="856" w:type="dxa"/>
            <w:vAlign w:val="center"/>
          </w:tcPr>
          <w:p w14:paraId="05AEB35A">
            <w:pPr>
              <w:jc w:val="center"/>
              <w:rPr>
                <w:rFonts w:asciiTheme="minorEastAsia" w:hAnsiTheme="minorEastAsia" w:eastAsiaTheme="minorEastAsia"/>
                <w:color w:val="000000" w:themeColor="text1"/>
                <w:sz w:val="24"/>
                <w:highlight w:val="none"/>
                <w14:textFill>
                  <w14:solidFill>
                    <w14:schemeClr w14:val="tx1"/>
                  </w14:solidFill>
                </w14:textFill>
              </w:rPr>
            </w:pPr>
          </w:p>
        </w:tc>
      </w:tr>
    </w:tbl>
    <w:p w14:paraId="121EC87A">
      <w:pPr>
        <w:numPr>
          <w:ilvl w:val="0"/>
          <w:numId w:val="0"/>
        </w:numPr>
        <w:spacing w:line="360" w:lineRule="auto"/>
        <w:rPr>
          <w:rFonts w:hint="eastAsia"/>
          <w:color w:val="000000" w:themeColor="text1"/>
          <w:sz w:val="24"/>
          <w:szCs w:val="24"/>
          <w:highlight w:val="none"/>
          <w:lang w:val="en-US" w:eastAsia="zh-CN"/>
          <w14:textFill>
            <w14:solidFill>
              <w14:schemeClr w14:val="tx1"/>
            </w14:solidFill>
          </w14:textFill>
        </w:rPr>
      </w:pPr>
    </w:p>
    <w:p w14:paraId="7C9F50AF">
      <w:pPr>
        <w:numPr>
          <w:ilvl w:val="0"/>
          <w:numId w:val="0"/>
        </w:numPr>
        <w:spacing w:line="360" w:lineRule="auto"/>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备注：</w:t>
      </w:r>
    </w:p>
    <w:p w14:paraId="3D35BFD5">
      <w:pPr>
        <w:numPr>
          <w:ilvl w:val="0"/>
          <w:numId w:val="14"/>
        </w:numPr>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投标人保证：除</w:t>
      </w:r>
      <w:r>
        <w:rPr>
          <w:rFonts w:hint="eastAsia"/>
          <w:color w:val="000000" w:themeColor="text1"/>
          <w:sz w:val="24"/>
          <w:szCs w:val="24"/>
          <w:highlight w:val="none"/>
          <w:lang w:val="en-US" w:eastAsia="zh-CN"/>
          <w14:textFill>
            <w14:solidFill>
              <w14:schemeClr w14:val="tx1"/>
            </w14:solidFill>
          </w14:textFill>
        </w:rPr>
        <w:t>上表</w:t>
      </w:r>
      <w:r>
        <w:rPr>
          <w:rFonts w:hint="eastAsia"/>
          <w:color w:val="000000" w:themeColor="text1"/>
          <w:sz w:val="24"/>
          <w:szCs w:val="24"/>
          <w:highlight w:val="none"/>
          <w14:textFill>
            <w14:solidFill>
              <w14:schemeClr w14:val="tx1"/>
            </w14:solidFill>
          </w14:textFill>
        </w:rPr>
        <w:t>列出的偏差外，投标人响应</w:t>
      </w:r>
      <w:r>
        <w:rPr>
          <w:rFonts w:hint="eastAsia"/>
          <w:color w:val="000000" w:themeColor="text1"/>
          <w:sz w:val="24"/>
          <w:szCs w:val="24"/>
          <w:highlight w:val="none"/>
          <w:lang w:val="en-US" w:eastAsia="zh-CN"/>
          <w14:textFill>
            <w14:solidFill>
              <w14:schemeClr w14:val="tx1"/>
            </w14:solidFill>
          </w14:textFill>
        </w:rPr>
        <w:t>磋商</w:t>
      </w:r>
      <w:r>
        <w:rPr>
          <w:rFonts w:hint="eastAsia"/>
          <w:color w:val="000000" w:themeColor="text1"/>
          <w:sz w:val="24"/>
          <w:szCs w:val="24"/>
          <w:highlight w:val="none"/>
          <w14:textFill>
            <w14:solidFill>
              <w14:schemeClr w14:val="tx1"/>
            </w14:solidFill>
          </w14:textFill>
        </w:rPr>
        <w:t>文件的全部要求。</w:t>
      </w:r>
    </w:p>
    <w:p w14:paraId="309D9CF0">
      <w:pPr>
        <w:numPr>
          <w:ilvl w:val="0"/>
          <w:numId w:val="14"/>
        </w:numPr>
        <w:spacing w:line="360" w:lineRule="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采用其他品牌（或型号）的应在上述偏差表中注明并提供有关技术性能指标证明资料等供</w:t>
      </w:r>
      <w:r>
        <w:rPr>
          <w:rFonts w:hint="eastAsia"/>
          <w:color w:val="000000" w:themeColor="text1"/>
          <w:sz w:val="24"/>
          <w:szCs w:val="24"/>
          <w:highlight w:val="none"/>
          <w:lang w:val="en-US" w:eastAsia="zh-CN"/>
          <w14:textFill>
            <w14:solidFill>
              <w14:schemeClr w14:val="tx1"/>
            </w14:solidFill>
          </w14:textFill>
        </w:rPr>
        <w:t>评审小组</w:t>
      </w:r>
      <w:r>
        <w:rPr>
          <w:rFonts w:hint="eastAsia"/>
          <w:color w:val="000000" w:themeColor="text1"/>
          <w:sz w:val="24"/>
          <w:szCs w:val="24"/>
          <w:highlight w:val="none"/>
          <w14:textFill>
            <w14:solidFill>
              <w14:schemeClr w14:val="tx1"/>
            </w14:solidFill>
          </w14:textFill>
        </w:rPr>
        <w:t>评审，未注明且未提供有关技术性能指标证明资料，或经</w:t>
      </w:r>
      <w:r>
        <w:rPr>
          <w:rFonts w:hint="eastAsia"/>
          <w:color w:val="000000" w:themeColor="text1"/>
          <w:sz w:val="24"/>
          <w:szCs w:val="24"/>
          <w:highlight w:val="none"/>
          <w:lang w:val="en-US" w:eastAsia="zh-CN"/>
          <w14:textFill>
            <w14:solidFill>
              <w14:schemeClr w14:val="tx1"/>
            </w14:solidFill>
          </w14:textFill>
        </w:rPr>
        <w:t>评审小组</w:t>
      </w:r>
      <w:r>
        <w:rPr>
          <w:rFonts w:hint="eastAsia"/>
          <w:color w:val="000000" w:themeColor="text1"/>
          <w:sz w:val="24"/>
          <w:szCs w:val="24"/>
          <w:highlight w:val="none"/>
          <w14:textFill>
            <w14:solidFill>
              <w14:schemeClr w14:val="tx1"/>
            </w14:solidFill>
          </w14:textFill>
        </w:rPr>
        <w:t>评审未通过的，中标后只能从招标人推荐（或参考）品牌中进行选择，合同价格不予调整。</w:t>
      </w:r>
    </w:p>
    <w:p w14:paraId="1B36C17D">
      <w:pPr>
        <w:spacing w:line="360" w:lineRule="auto"/>
        <w:jc w:val="center"/>
        <w:outlineLvl w:val="2"/>
        <w:rPr>
          <w:rFonts w:hint="eastAsia" w:asciiTheme="minorEastAsia" w:hAnsiTheme="minorEastAsia" w:eastAsiaTheme="minorEastAsia"/>
          <w:b w:val="0"/>
          <w:color w:val="000000" w:themeColor="text1"/>
          <w:sz w:val="24"/>
          <w:highlight w:val="none"/>
          <w14:textFill>
            <w14:solidFill>
              <w14:schemeClr w14:val="tx1"/>
            </w14:solidFill>
          </w14:textFill>
        </w:rPr>
      </w:pPr>
    </w:p>
    <w:p w14:paraId="0797FF0A">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宋体"/>
          <w:color w:val="000000" w:themeColor="text1"/>
          <w:kern w:val="2"/>
          <w:sz w:val="24"/>
          <w:szCs w:val="24"/>
          <w:highlight w:val="none"/>
          <w14:textFill>
            <w14:solidFill>
              <w14:schemeClr w14:val="tx1"/>
            </w14:solidFill>
          </w14:textFill>
        </w:rPr>
        <w:t>：</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12BC8289">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 xml:space="preserve">    </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期：</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3DBBFB0A">
      <w:pPr>
        <w:spacing w:line="360" w:lineRule="auto"/>
        <w:jc w:val="center"/>
        <w:outlineLvl w:val="2"/>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r>
        <w:rPr>
          <w:rFonts w:asciiTheme="minorEastAsia" w:hAnsiTheme="minorEastAsia" w:eastAsiaTheme="minorEastAsia"/>
          <w:b w:val="0"/>
          <w:color w:val="000000" w:themeColor="text1"/>
          <w:sz w:val="24"/>
          <w:highlight w:val="none"/>
          <w14:textFill>
            <w14:solidFill>
              <w14:schemeClr w14:val="tx1"/>
            </w14:solidFill>
          </w14:textFill>
        </w:rPr>
        <w:br w:type="page"/>
      </w:r>
    </w:p>
    <w:p w14:paraId="35B7C870">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sz w:val="24"/>
          <w:highlight w:val="none"/>
          <w14:textFill>
            <w14:solidFill>
              <w14:schemeClr w14:val="tx1"/>
            </w14:solidFill>
          </w14:textFill>
        </w:rPr>
        <w:t>、其他相关证明材料</w:t>
      </w:r>
    </w:p>
    <w:p w14:paraId="21EB6EC2">
      <w:pPr>
        <w:spacing w:line="360" w:lineRule="auto"/>
        <w:jc w:val="center"/>
        <w:outlineLvl w:val="1"/>
        <w:rPr>
          <w:rFonts w:hint="eastAsia" w:ascii="宋体" w:hAnsi="宋体" w:eastAsia="宋体"/>
          <w:color w:val="000000" w:themeColor="text1"/>
          <w:sz w:val="24"/>
          <w:szCs w:val="22"/>
          <w:highlight w:val="none"/>
          <w:lang w:eastAsia="zh-CN"/>
          <w14:textFill>
            <w14:solidFill>
              <w14:schemeClr w14:val="tx1"/>
            </w14:solidFill>
          </w14:textFill>
        </w:rPr>
      </w:pPr>
      <w:bookmarkStart w:id="45" w:name="_Toc19685"/>
      <w:bookmarkStart w:id="46" w:name="_Toc25565"/>
      <w:r>
        <w:rPr>
          <w:rFonts w:hint="eastAsia" w:ascii="宋体" w:hAnsi="宋体" w:eastAsia="宋体"/>
          <w:color w:val="000000" w:themeColor="text1"/>
          <w:sz w:val="24"/>
          <w:szCs w:val="22"/>
          <w:highlight w:val="none"/>
          <w:lang w:eastAsia="zh-CN"/>
          <w14:textFill>
            <w14:solidFill>
              <w14:schemeClr w14:val="tx1"/>
            </w14:solidFill>
          </w14:textFill>
        </w:rPr>
        <w:t>投标人按照第四章评审方法和标准放置的其他资料。</w:t>
      </w:r>
      <w:bookmarkEnd w:id="45"/>
      <w:bookmarkEnd w:id="46"/>
    </w:p>
    <w:p w14:paraId="0F6C1B56">
      <w:pPr>
        <w:rPr>
          <w:rFonts w:hint="eastAsia" w:ascii="宋体" w:hAnsi="宋体" w:eastAsia="宋体"/>
          <w:color w:val="000000" w:themeColor="text1"/>
          <w:sz w:val="24"/>
          <w:szCs w:val="22"/>
          <w:highlight w:val="none"/>
          <w:lang w:eastAsia="zh-CN"/>
          <w14:textFill>
            <w14:solidFill>
              <w14:schemeClr w14:val="tx1"/>
            </w14:solidFill>
          </w14:textFill>
        </w:rPr>
      </w:pPr>
      <w:r>
        <w:rPr>
          <w:rFonts w:hint="eastAsia" w:ascii="宋体" w:hAnsi="宋体" w:eastAsia="宋体"/>
          <w:color w:val="000000" w:themeColor="text1"/>
          <w:sz w:val="24"/>
          <w:szCs w:val="22"/>
          <w:highlight w:val="none"/>
          <w:lang w:eastAsia="zh-CN"/>
          <w14:textFill>
            <w14:solidFill>
              <w14:schemeClr w14:val="tx1"/>
            </w14:solidFill>
          </w14:textFill>
        </w:rPr>
        <w:br w:type="page"/>
      </w:r>
    </w:p>
    <w:p w14:paraId="4BF0BDCD">
      <w:pPr>
        <w:spacing w:line="360" w:lineRule="auto"/>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47" w:name="_Toc31778"/>
      <w:r>
        <w:rPr>
          <w:rFonts w:hint="eastAsia" w:asciiTheme="minorEastAsia" w:hAnsiTheme="minorEastAsia" w:eastAsiaTheme="minorEastAsia"/>
          <w:b/>
          <w:color w:val="000000" w:themeColor="text1"/>
          <w:sz w:val="28"/>
          <w:highlight w:val="none"/>
          <w14:textFill>
            <w14:solidFill>
              <w14:schemeClr w14:val="tx1"/>
            </w14:solidFill>
          </w14:textFill>
        </w:rPr>
        <w:t>第</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七</w:t>
      </w:r>
      <w:r>
        <w:rPr>
          <w:rFonts w:hint="eastAsia" w:asciiTheme="minorEastAsia" w:hAnsiTheme="minorEastAsia" w:eastAsiaTheme="minorEastAsia"/>
          <w:b/>
          <w:color w:val="000000" w:themeColor="text1"/>
          <w:sz w:val="28"/>
          <w:highlight w:val="none"/>
          <w14:textFill>
            <w14:solidFill>
              <w14:schemeClr w14:val="tx1"/>
            </w14:solidFill>
          </w14:textFill>
        </w:rPr>
        <w:t>章 安徽公共资源交易集团电子交易操作规程</w:t>
      </w:r>
      <w:bookmarkEnd w:id="47"/>
    </w:p>
    <w:p w14:paraId="5537E67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为进一步规范交易行为，提高交易效率，</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充分利用信息网络技术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，参照《中华人民共和国电子签名法》《电子招标投标办法》等有关规定，结合工作实际，制定本规程。</w:t>
      </w:r>
    </w:p>
    <w:p w14:paraId="172E29EF">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5DB3B5A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第三条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本规程所指的电子交易，是指以数据电文形式，依托安徽公共资源交易集团电子交易系统（简称“电子交易系统”）完成的全部或者部分交易活动。</w:t>
      </w:r>
    </w:p>
    <w:p w14:paraId="35B12A9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第四条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交易项目的特点</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和招标人（采购人）的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实际需求制定的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规范性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2826F1D2">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本规程所指的投标文件，是指投标人（供应商）应招标文件要求编制的响应</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6EBBC59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第五条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电子交易系统是交易活动当事人通过数据电文形式完成交易活动的系统。</w:t>
      </w:r>
    </w:p>
    <w:p w14:paraId="6A9A4DE1">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电子交易系统具备在线完成交易活动全部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或部分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交易过程，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编辑、生成、对接、交换和发布有关交易活动数据信息的功能，并为交易活动监督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部门实施监督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提供所需的信息。</w:t>
      </w:r>
    </w:p>
    <w:p w14:paraId="095121A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第六条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保障。</w:t>
      </w:r>
    </w:p>
    <w:p w14:paraId="380FFE0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第七条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电子交易各方主体应当按照相关规定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取得和使用数字证书及电子签章，通过数字证书登录电子交易系统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参与交易活动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。各方主体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对其依托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开展的所有操作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承担法律责任。</w:t>
      </w:r>
    </w:p>
    <w:p w14:paraId="284FC076">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投标人（供应商）应妥善保管数字证书，由于数字证书遗失、损坏、更换、续期等情况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或其他自身原因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导致投标文件无法</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加密、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上传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，由其自行承担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责任。</w:t>
      </w:r>
    </w:p>
    <w:p w14:paraId="698784A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第八条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招标人（采购人）或代理机构应在交易公告和招标文件中明确交易项目采取电子交易方式，并按相关流程通过电子交易系统制作招标文件。</w:t>
      </w:r>
    </w:p>
    <w:p w14:paraId="1349E20F">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第九条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加盖电子签章。</w:t>
      </w:r>
    </w:p>
    <w:p w14:paraId="4B78087F">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投标人（供应商）登录电子交易系统获取</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DEFFAC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第十一条</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  澄清、修改、更正或补疑等文件应由招标人（采购人）或代理机构通过电子交易系统发出，投标人（供应商）应及时查阅相关信息。</w:t>
      </w:r>
    </w:p>
    <w:p w14:paraId="69B4EC78">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投标人（供应商）应使用电子标书制作软件制作投标文件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，电子标书制作软件应允许投标人（供应商）离线制作投标文件，并且具备分段或整体加密、解密功能。</w:t>
      </w:r>
    </w:p>
    <w:p w14:paraId="53E3E6DA">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投标人（供应商）应对投标文件进行电子签章并使用数字证书加密，</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并于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招标文件规定的投标截止时间前通过电子交易系统完成上传。</w:t>
      </w:r>
    </w:p>
    <w:p w14:paraId="4165CC98">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投标人（供应商）对加密的投标文件进行撤回的，应通过电子交易系统在投标截止时间前进行撤回操作；投标人（供应商）对加密的投标文件进行修改的，应在投标截止时间前完成上传。</w:t>
      </w:r>
    </w:p>
    <w:p w14:paraId="4075379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交易活动涉及的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时间以电子交易系统显示的时间为准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须在投标截至时间前完成投标文件上传，</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逾期系统将自动关闭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8A7644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投标截止时间后按招标文件规定的解密时间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完成投标文件解密，加密和解密须</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同一数字证书。投标人（供应商）未在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时间内完成解密的视为其放弃</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交易</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613D2DC">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招标人（采购人）或代理机构完成解密，导入并读取所有成功解密的投标文件。</w:t>
      </w:r>
    </w:p>
    <w:p w14:paraId="3FD9532C">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招标文件约定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须到达指定地点或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线上进行演示、答辩、磋商、谈判等情形的，投标人（供应商）应按照招标文件规定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的时间到达指定地点或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登录电子交易系统保持在线。</w:t>
      </w:r>
    </w:p>
    <w:p w14:paraId="6B60011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未能成功解密的投标文件，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如招标文件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允许使用电子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作为投标</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文件解密失败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的补救措施，</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并且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中非加密投标文件继续进行。若系统识别出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非</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未加密的投标文件和网上递交的加密投标文件识别码</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一致，电子交易系统拒绝导入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3BD3592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七</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招标人（采购人）或代理机构组织评审</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评审委员会依据招标文件规定的评审办法进行评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，并对评审结果签字或电子签名</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确认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20DD4C6C">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应按招标文件</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约定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w:t>
      </w:r>
    </w:p>
    <w:p w14:paraId="5B2C045D">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评审委员会</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过程中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澄清、说明或补正的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以询标函（问询函）的形式通过电子交易系统发送给投标人（供应商）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588EE95E">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评审结束前，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回复，</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视为放弃澄清、说明或补正。</w:t>
      </w:r>
    </w:p>
    <w:p w14:paraId="1BBB8008">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代理机构应通过电子交易系统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公示或公布</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中标候选人（如有）、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中标（成交）结果。</w:t>
      </w:r>
    </w:p>
    <w:p w14:paraId="3DA54F0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代理机构应通过电子交易系统向中标人（成交供应商）发出中标（成交）通知书，中标（成交）通知书发出即视为送达。</w:t>
      </w:r>
    </w:p>
    <w:p w14:paraId="55E1FB5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出现下列情形导致电子交易系统无法正常运行，影响交易活动的公平、公正和信息安全，各方当事人免责：</w:t>
      </w:r>
    </w:p>
    <w:p w14:paraId="4D1A151D">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8" w:name="_Toc1895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（一）网络、服务器、数据库发生故障造成无法访问或使用的；</w:t>
      </w:r>
      <w:bookmarkEnd w:id="48"/>
    </w:p>
    <w:p w14:paraId="11607B0A">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9" w:name="_Toc2769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（二）电力系统发生故障导致电子交易系统无法运行的；</w:t>
      </w:r>
      <w:bookmarkEnd w:id="49"/>
    </w:p>
    <w:p w14:paraId="7005312D">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 w:name="_Toc1289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（三）出现网络攻击、病毒入侵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电子交易系统软件设计缺陷、功能缺陷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以及电子交易系统安全漏洞导致无法正常提供服务的；</w:t>
      </w:r>
      <w:bookmarkEnd w:id="50"/>
    </w:p>
    <w:p w14:paraId="45702374">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 w:name="_Toc1056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（四）其他无法保证交易活动公平、公正和信息安全的情形。</w:t>
      </w:r>
      <w:bookmarkEnd w:id="51"/>
    </w:p>
    <w:p w14:paraId="558B390E">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出现上述情形，系统建设方应及时组织相关方查明原因，排除故障。若能在故障发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恢复系统运行且不影响项目正常交易的，交易程序继续进行；</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，按以下程序操作：</w:t>
      </w:r>
    </w:p>
    <w:p w14:paraId="2D0FBCFD">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（一）项目中止，中止期限由招标人（采购人）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根据项目具体情况确定。中止期限届满后中止情形尚未消除的，招标人（采购人）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可以根据实际情况决定延长中止期限。决定延长中止期限的，应通过电子交易系统向投标人（供应商）发出延长中止期限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通知。</w:t>
      </w:r>
    </w:p>
    <w:p w14:paraId="1ED045AD">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（二）项目恢复，导致项目中止的情形消除后，招标人（采购人）或代理机构应当尽快恢复交易程序，通过电子交易系统向投标人（供应商）发出恢复交易通知；已发出延长中止期限通知的，按通知执行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或根据招标人（采购人）决定另行通知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4243A2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在招标文件规定的解密时间内出现第二十</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；在规定的解密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截止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出现第二十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条规定的意外情形的，系统恢复后，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仅允许</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原解密时间内已成功解密但解密文件无法正常使用的投标人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重新解密。</w:t>
      </w:r>
    </w:p>
    <w:p w14:paraId="45EC259B">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本规程由安徽公共资源交易集团负责解释。自发布之日起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行，有效期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p>
    <w:p w14:paraId="3677D708">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6A851557">
      <w:pPr>
        <w:bidi w:val="0"/>
        <w:rPr>
          <w:rFonts w:hint="eastAsia"/>
          <w:color w:val="000000" w:themeColor="text1"/>
          <w:highlight w:val="none"/>
          <w:lang w:eastAsia="zh-CN"/>
          <w14:textFill>
            <w14:solidFill>
              <w14:schemeClr w14:val="tx1"/>
            </w14:solidFill>
          </w14:textFill>
        </w:rPr>
      </w:pPr>
    </w:p>
    <w:p w14:paraId="574DDAAF">
      <w:pPr>
        <w:bidi w:val="0"/>
        <w:rPr>
          <w:rFonts w:hint="eastAsia"/>
          <w:color w:val="000000" w:themeColor="text1"/>
          <w:highlight w:val="none"/>
          <w:lang w:eastAsia="zh-CN"/>
          <w14:textFill>
            <w14:solidFill>
              <w14:schemeClr w14:val="tx1"/>
            </w14:solidFill>
          </w14:textFill>
        </w:rPr>
      </w:pPr>
    </w:p>
    <w:p w14:paraId="2D1A8C9C">
      <w:pPr>
        <w:bidi w:val="0"/>
        <w:rPr>
          <w:rFonts w:hint="eastAsia"/>
          <w:color w:val="000000" w:themeColor="text1"/>
          <w:highlight w:val="none"/>
          <w:lang w:eastAsia="zh-CN"/>
          <w14:textFill>
            <w14:solidFill>
              <w14:schemeClr w14:val="tx1"/>
            </w14:solidFill>
          </w14:textFill>
        </w:rPr>
      </w:pPr>
    </w:p>
    <w:p w14:paraId="19841241">
      <w:pPr>
        <w:bidi w:val="0"/>
        <w:rPr>
          <w:rFonts w:hint="eastAsia"/>
          <w:color w:val="000000" w:themeColor="text1"/>
          <w:highlight w:val="none"/>
          <w:lang w:eastAsia="zh-CN"/>
          <w14:textFill>
            <w14:solidFill>
              <w14:schemeClr w14:val="tx1"/>
            </w14:solidFill>
          </w14:textFill>
        </w:rPr>
      </w:pPr>
    </w:p>
    <w:p w14:paraId="62F5EFB3">
      <w:pPr>
        <w:bidi w:val="0"/>
        <w:rPr>
          <w:rFonts w:hint="eastAsia"/>
          <w:color w:val="000000" w:themeColor="text1"/>
          <w:highlight w:val="none"/>
          <w:lang w:eastAsia="zh-CN"/>
          <w14:textFill>
            <w14:solidFill>
              <w14:schemeClr w14:val="tx1"/>
            </w14:solidFill>
          </w14:textFill>
        </w:rPr>
      </w:pPr>
    </w:p>
    <w:p w14:paraId="7BCC3AE4">
      <w:pPr>
        <w:bidi w:val="0"/>
        <w:rPr>
          <w:rFonts w:hint="eastAsia"/>
          <w:color w:val="000000" w:themeColor="text1"/>
          <w:highlight w:val="none"/>
          <w:lang w:eastAsia="zh-CN"/>
          <w14:textFill>
            <w14:solidFill>
              <w14:schemeClr w14:val="tx1"/>
            </w14:solidFill>
          </w14:textFill>
        </w:rPr>
      </w:pPr>
    </w:p>
    <w:p w14:paraId="259BA872">
      <w:pPr>
        <w:bidi w:val="0"/>
        <w:rPr>
          <w:rFonts w:hint="eastAsia"/>
          <w:color w:val="000000" w:themeColor="text1"/>
          <w:highlight w:val="none"/>
          <w:lang w:eastAsia="zh-CN"/>
          <w14:textFill>
            <w14:solidFill>
              <w14:schemeClr w14:val="tx1"/>
            </w14:solidFill>
          </w14:textFill>
        </w:rPr>
      </w:pPr>
    </w:p>
    <w:p w14:paraId="0D7ECD87">
      <w:pPr>
        <w:bidi w:val="0"/>
        <w:rPr>
          <w:rFonts w:hint="eastAsia"/>
          <w:color w:val="000000" w:themeColor="text1"/>
          <w:highlight w:val="none"/>
          <w:lang w:eastAsia="zh-CN"/>
          <w14:textFill>
            <w14:solidFill>
              <w14:schemeClr w14:val="tx1"/>
            </w14:solidFill>
          </w14:textFill>
        </w:rPr>
      </w:pPr>
    </w:p>
    <w:p w14:paraId="50DA6942">
      <w:pPr>
        <w:bidi w:val="0"/>
        <w:rPr>
          <w:rFonts w:hint="eastAsia"/>
          <w:color w:val="000000" w:themeColor="text1"/>
          <w:highlight w:val="none"/>
          <w:lang w:eastAsia="zh-CN"/>
          <w14:textFill>
            <w14:solidFill>
              <w14:schemeClr w14:val="tx1"/>
            </w14:solidFill>
          </w14:textFill>
        </w:rPr>
      </w:pPr>
    </w:p>
    <w:p w14:paraId="6073A3EF">
      <w:pPr>
        <w:bidi w:val="0"/>
        <w:rPr>
          <w:rFonts w:hint="eastAsia"/>
          <w:color w:val="000000" w:themeColor="text1"/>
          <w:highlight w:val="none"/>
          <w:lang w:eastAsia="zh-CN"/>
          <w14:textFill>
            <w14:solidFill>
              <w14:schemeClr w14:val="tx1"/>
            </w14:solidFill>
          </w14:textFill>
        </w:rPr>
      </w:pPr>
    </w:p>
    <w:p w14:paraId="03D77887">
      <w:pPr>
        <w:bidi w:val="0"/>
        <w:rPr>
          <w:rFonts w:hint="eastAsia"/>
          <w:color w:val="000000" w:themeColor="text1"/>
          <w:highlight w:val="none"/>
          <w:lang w:eastAsia="zh-CN"/>
          <w14:textFill>
            <w14:solidFill>
              <w14:schemeClr w14:val="tx1"/>
            </w14:solidFill>
          </w14:textFill>
        </w:rPr>
      </w:pPr>
    </w:p>
    <w:p w14:paraId="1B297F82">
      <w:pPr>
        <w:bidi w:val="0"/>
        <w:rPr>
          <w:rFonts w:hint="eastAsia"/>
          <w:color w:val="000000" w:themeColor="text1"/>
          <w:highlight w:val="none"/>
          <w:lang w:eastAsia="zh-CN"/>
          <w14:textFill>
            <w14:solidFill>
              <w14:schemeClr w14:val="tx1"/>
            </w14:solidFill>
          </w14:textFill>
        </w:rPr>
      </w:pPr>
    </w:p>
    <w:p w14:paraId="520272AF">
      <w:pPr>
        <w:bidi w:val="0"/>
        <w:rPr>
          <w:rFonts w:hint="eastAsia"/>
          <w:color w:val="000000" w:themeColor="text1"/>
          <w:highlight w:val="none"/>
          <w:lang w:eastAsia="zh-CN"/>
          <w14:textFill>
            <w14:solidFill>
              <w14:schemeClr w14:val="tx1"/>
            </w14:solidFill>
          </w14:textFill>
        </w:rPr>
      </w:pPr>
    </w:p>
    <w:p w14:paraId="747C47BE">
      <w:pPr>
        <w:bidi w:val="0"/>
        <w:rPr>
          <w:rFonts w:hint="eastAsia"/>
          <w:color w:val="000000" w:themeColor="text1"/>
          <w:highlight w:val="none"/>
          <w:lang w:eastAsia="zh-CN"/>
          <w14:textFill>
            <w14:solidFill>
              <w14:schemeClr w14:val="tx1"/>
            </w14:solidFill>
          </w14:textFill>
        </w:rPr>
      </w:pPr>
    </w:p>
    <w:p w14:paraId="4B086815">
      <w:pPr>
        <w:bidi w:val="0"/>
        <w:rPr>
          <w:rFonts w:hint="eastAsia"/>
          <w:color w:val="000000" w:themeColor="text1"/>
          <w:highlight w:val="none"/>
          <w:lang w:eastAsia="zh-CN"/>
          <w14:textFill>
            <w14:solidFill>
              <w14:schemeClr w14:val="tx1"/>
            </w14:solidFill>
          </w14:textFill>
        </w:rPr>
      </w:pPr>
    </w:p>
    <w:p w14:paraId="1EB71228">
      <w:pPr>
        <w:bidi w:val="0"/>
        <w:rPr>
          <w:rFonts w:hint="eastAsia"/>
          <w:color w:val="000000" w:themeColor="text1"/>
          <w:highlight w:val="none"/>
          <w:lang w:eastAsia="zh-CN"/>
          <w14:textFill>
            <w14:solidFill>
              <w14:schemeClr w14:val="tx1"/>
            </w14:solidFill>
          </w14:textFill>
        </w:rPr>
      </w:pPr>
    </w:p>
    <w:p w14:paraId="22436BAA">
      <w:pPr>
        <w:bidi w:val="0"/>
        <w:rPr>
          <w:rFonts w:hint="eastAsia"/>
          <w:color w:val="000000" w:themeColor="text1"/>
          <w:highlight w:val="none"/>
          <w:lang w:eastAsia="zh-CN"/>
          <w14:textFill>
            <w14:solidFill>
              <w14:schemeClr w14:val="tx1"/>
            </w14:solidFill>
          </w14:textFill>
        </w:rPr>
      </w:pPr>
    </w:p>
    <w:p w14:paraId="3DC0FA64">
      <w:pPr>
        <w:tabs>
          <w:tab w:val="left" w:pos="6876"/>
        </w:tabs>
        <w:bidi w:val="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F321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EDF34FD">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7B72">
    <w:pPr>
      <w:pStyle w:val="34"/>
      <w:jc w:val="left"/>
      <w:rPr>
        <w:rFonts w:hint="default" w:eastAsiaTheme="minorEastAsia"/>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货物2024.5.14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F787">
    <w:pPr>
      <w:pStyle w:val="34"/>
      <w:jc w:val="left"/>
      <w:rPr>
        <w:rFonts w:hint="default"/>
        <w:lang w:val="en-US" w:eastAsia="zh-CN"/>
      </w:rPr>
    </w:pPr>
    <w:r>
      <w:rPr>
        <w:rFonts w:hint="eastAsia" w:asciiTheme="minorEastAsia" w:hAnsiTheme="minorEastAsia" w:eastAsiaTheme="minorEastAsia"/>
      </w:rPr>
      <w:t>竞争性磋商</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货物 2024.16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20E52C0"/>
    <w:multiLevelType w:val="singleLevel"/>
    <w:tmpl w:val="B20E52C0"/>
    <w:lvl w:ilvl="0" w:tentative="0">
      <w:start w:val="1"/>
      <w:numFmt w:val="decimal"/>
      <w:suff w:val="nothing"/>
      <w:lvlText w:val="%1、"/>
      <w:lvlJc w:val="left"/>
    </w:lvl>
  </w:abstractNum>
  <w:abstractNum w:abstractNumId="2">
    <w:nsid w:val="BADF56C4"/>
    <w:multiLevelType w:val="singleLevel"/>
    <w:tmpl w:val="BADF56C4"/>
    <w:lvl w:ilvl="0" w:tentative="0">
      <w:start w:val="1"/>
      <w:numFmt w:val="decimal"/>
      <w:lvlText w:val="%1."/>
      <w:lvlJc w:val="left"/>
      <w:pPr>
        <w:tabs>
          <w:tab w:val="left" w:pos="312"/>
        </w:tabs>
      </w:pPr>
    </w:lvl>
  </w:abstractNum>
  <w:abstractNum w:abstractNumId="3">
    <w:nsid w:val="BC5BF4D1"/>
    <w:multiLevelType w:val="singleLevel"/>
    <w:tmpl w:val="BC5BF4D1"/>
    <w:lvl w:ilvl="0" w:tentative="0">
      <w:start w:val="1"/>
      <w:numFmt w:val="chineseCounting"/>
      <w:suff w:val="nothing"/>
      <w:lvlText w:val="（%1）"/>
      <w:lvlJc w:val="left"/>
      <w:rPr>
        <w:rFonts w:hint="eastAsia"/>
      </w:rPr>
    </w:lvl>
  </w:abstractNum>
  <w:abstractNum w:abstractNumId="4">
    <w:nsid w:val="BD704BE9"/>
    <w:multiLevelType w:val="singleLevel"/>
    <w:tmpl w:val="BD704BE9"/>
    <w:lvl w:ilvl="0" w:tentative="0">
      <w:start w:val="2"/>
      <w:numFmt w:val="decimal"/>
      <w:suff w:val="nothing"/>
      <w:lvlText w:val="（%1）"/>
      <w:lvlJc w:val="left"/>
    </w:lvl>
  </w:abstractNum>
  <w:abstractNum w:abstractNumId="5">
    <w:nsid w:val="EDDC2BC0"/>
    <w:multiLevelType w:val="singleLevel"/>
    <w:tmpl w:val="EDDC2BC0"/>
    <w:lvl w:ilvl="0" w:tentative="0">
      <w:start w:val="1"/>
      <w:numFmt w:val="decimal"/>
      <w:suff w:val="nothing"/>
      <w:lvlText w:val="%1、"/>
      <w:lvlJc w:val="left"/>
    </w:lvl>
  </w:abstractNum>
  <w:abstractNum w:abstractNumId="6">
    <w:nsid w:val="F71D34CA"/>
    <w:multiLevelType w:val="singleLevel"/>
    <w:tmpl w:val="F71D34CA"/>
    <w:lvl w:ilvl="0" w:tentative="0">
      <w:start w:val="1"/>
      <w:numFmt w:val="chineseCounting"/>
      <w:suff w:val="space"/>
      <w:lvlText w:val="第%1章"/>
      <w:lvlJc w:val="left"/>
      <w:rPr>
        <w:rFonts w:hint="eastAsia"/>
      </w:rPr>
    </w:lvl>
  </w:abstractNum>
  <w:abstractNum w:abstractNumId="7">
    <w:nsid w:val="FD6C99E5"/>
    <w:multiLevelType w:val="singleLevel"/>
    <w:tmpl w:val="FD6C99E5"/>
    <w:lvl w:ilvl="0" w:tentative="0">
      <w:start w:val="1"/>
      <w:numFmt w:val="decimal"/>
      <w:suff w:val="nothing"/>
      <w:lvlText w:val="（%1）"/>
      <w:lvlJc w:val="left"/>
    </w:lvl>
  </w:abstractNum>
  <w:abstractNum w:abstractNumId="8">
    <w:nsid w:val="18E0E5A9"/>
    <w:multiLevelType w:val="singleLevel"/>
    <w:tmpl w:val="18E0E5A9"/>
    <w:lvl w:ilvl="0" w:tentative="0">
      <w:start w:val="9"/>
      <w:numFmt w:val="decimal"/>
      <w:lvlText w:val="%1."/>
      <w:lvlJc w:val="left"/>
      <w:pPr>
        <w:tabs>
          <w:tab w:val="left" w:pos="312"/>
        </w:tabs>
      </w:pPr>
    </w:lvl>
  </w:abstractNum>
  <w:abstractNum w:abstractNumId="9">
    <w:nsid w:val="27297522"/>
    <w:multiLevelType w:val="singleLevel"/>
    <w:tmpl w:val="27297522"/>
    <w:lvl w:ilvl="0" w:tentative="0">
      <w:start w:val="1"/>
      <w:numFmt w:val="decimal"/>
      <w:suff w:val="nothing"/>
      <w:lvlText w:val="%1、"/>
      <w:lvlJc w:val="left"/>
    </w:lvl>
  </w:abstractNum>
  <w:abstractNum w:abstractNumId="10">
    <w:nsid w:val="5836CD1A"/>
    <w:multiLevelType w:val="singleLevel"/>
    <w:tmpl w:val="5836CD1A"/>
    <w:lvl w:ilvl="0" w:tentative="0">
      <w:start w:val="1"/>
      <w:numFmt w:val="decimal"/>
      <w:suff w:val="nothing"/>
      <w:lvlText w:val="（%1）"/>
      <w:lvlJc w:val="left"/>
    </w:lvl>
  </w:abstractNum>
  <w:abstractNum w:abstractNumId="11">
    <w:nsid w:val="6B5DF6B0"/>
    <w:multiLevelType w:val="singleLevel"/>
    <w:tmpl w:val="6B5DF6B0"/>
    <w:lvl w:ilvl="0" w:tentative="0">
      <w:start w:val="1"/>
      <w:numFmt w:val="decimal"/>
      <w:suff w:val="nothing"/>
      <w:lvlText w:val="（%1）"/>
      <w:lvlJc w:val="left"/>
    </w:lvl>
  </w:abstractNum>
  <w:abstractNum w:abstractNumId="12">
    <w:nsid w:val="6D2FE4C7"/>
    <w:multiLevelType w:val="singleLevel"/>
    <w:tmpl w:val="6D2FE4C7"/>
    <w:lvl w:ilvl="0" w:tentative="0">
      <w:start w:val="1"/>
      <w:numFmt w:val="decimal"/>
      <w:suff w:val="nothing"/>
      <w:lvlText w:val="%1、"/>
      <w:lvlJc w:val="left"/>
    </w:lvl>
  </w:abstractNum>
  <w:abstractNum w:abstractNumId="13">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13"/>
  </w:num>
  <w:num w:numId="2">
    <w:abstractNumId w:val="6"/>
  </w:num>
  <w:num w:numId="3">
    <w:abstractNumId w:val="8"/>
  </w:num>
  <w:num w:numId="4">
    <w:abstractNumId w:val="4"/>
  </w:num>
  <w:num w:numId="5">
    <w:abstractNumId w:val="10"/>
  </w:num>
  <w:num w:numId="6">
    <w:abstractNumId w:val="11"/>
  </w:num>
  <w:num w:numId="7">
    <w:abstractNumId w:val="1"/>
  </w:num>
  <w:num w:numId="8">
    <w:abstractNumId w:val="12"/>
  </w:num>
  <w:num w:numId="9">
    <w:abstractNumId w:val="0"/>
  </w:num>
  <w:num w:numId="10">
    <w:abstractNumId w:val="2"/>
  </w:num>
  <w:num w:numId="11">
    <w:abstractNumId w:val="9"/>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WNiOWI3OGRlZmNlZTVjYWQ3MTk4MjA4N2NiNjI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3804A0"/>
    <w:rsid w:val="02A816E8"/>
    <w:rsid w:val="02C30CDE"/>
    <w:rsid w:val="030B62A1"/>
    <w:rsid w:val="031514EA"/>
    <w:rsid w:val="031C2553"/>
    <w:rsid w:val="032205B8"/>
    <w:rsid w:val="03271B9C"/>
    <w:rsid w:val="032F04D8"/>
    <w:rsid w:val="035E4919"/>
    <w:rsid w:val="03B51673"/>
    <w:rsid w:val="03C15358"/>
    <w:rsid w:val="03C76963"/>
    <w:rsid w:val="03D869D2"/>
    <w:rsid w:val="04054CCC"/>
    <w:rsid w:val="04073FBB"/>
    <w:rsid w:val="041A2F36"/>
    <w:rsid w:val="04336711"/>
    <w:rsid w:val="043D0754"/>
    <w:rsid w:val="0475016D"/>
    <w:rsid w:val="047714C2"/>
    <w:rsid w:val="04BC3FEE"/>
    <w:rsid w:val="04E60241"/>
    <w:rsid w:val="05031C1C"/>
    <w:rsid w:val="050A3155"/>
    <w:rsid w:val="05444DBA"/>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30587"/>
    <w:rsid w:val="06735155"/>
    <w:rsid w:val="06783F44"/>
    <w:rsid w:val="06823015"/>
    <w:rsid w:val="068E0BC9"/>
    <w:rsid w:val="06CE1DB6"/>
    <w:rsid w:val="06E67100"/>
    <w:rsid w:val="073C31C4"/>
    <w:rsid w:val="074E7B40"/>
    <w:rsid w:val="078A2181"/>
    <w:rsid w:val="079511E1"/>
    <w:rsid w:val="07A174CB"/>
    <w:rsid w:val="07D822F4"/>
    <w:rsid w:val="0808754A"/>
    <w:rsid w:val="08337E2C"/>
    <w:rsid w:val="083D6C48"/>
    <w:rsid w:val="08636A5A"/>
    <w:rsid w:val="086A0E2C"/>
    <w:rsid w:val="08946CD7"/>
    <w:rsid w:val="08A46BE7"/>
    <w:rsid w:val="08AC66D0"/>
    <w:rsid w:val="08BB1E7B"/>
    <w:rsid w:val="08DA0EE6"/>
    <w:rsid w:val="08DB07BA"/>
    <w:rsid w:val="08F4666C"/>
    <w:rsid w:val="0946657C"/>
    <w:rsid w:val="0956173A"/>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12251"/>
    <w:rsid w:val="0B146AB7"/>
    <w:rsid w:val="0B163D2C"/>
    <w:rsid w:val="0B291CB1"/>
    <w:rsid w:val="0B3644E0"/>
    <w:rsid w:val="0B6E3B68"/>
    <w:rsid w:val="0B93537C"/>
    <w:rsid w:val="0BC528CF"/>
    <w:rsid w:val="0C017795"/>
    <w:rsid w:val="0C1069CD"/>
    <w:rsid w:val="0C3D1EB8"/>
    <w:rsid w:val="0C3F23A5"/>
    <w:rsid w:val="0C4843B9"/>
    <w:rsid w:val="0C6709D0"/>
    <w:rsid w:val="0C676F35"/>
    <w:rsid w:val="0C880C59"/>
    <w:rsid w:val="0CA05FA3"/>
    <w:rsid w:val="0CAC4948"/>
    <w:rsid w:val="0CCA1C47"/>
    <w:rsid w:val="0CD914B5"/>
    <w:rsid w:val="0CED0F6C"/>
    <w:rsid w:val="0CEF2A86"/>
    <w:rsid w:val="0CF31BB9"/>
    <w:rsid w:val="0D0B3827"/>
    <w:rsid w:val="0D314E4D"/>
    <w:rsid w:val="0D774F56"/>
    <w:rsid w:val="0D7A15C6"/>
    <w:rsid w:val="0D957AD2"/>
    <w:rsid w:val="0DB241E0"/>
    <w:rsid w:val="0DE6032D"/>
    <w:rsid w:val="0E0B38F0"/>
    <w:rsid w:val="0E267FA8"/>
    <w:rsid w:val="0E3E1F17"/>
    <w:rsid w:val="0E52151F"/>
    <w:rsid w:val="0E782F04"/>
    <w:rsid w:val="0E9A5F77"/>
    <w:rsid w:val="0E9E11E9"/>
    <w:rsid w:val="0ECB1AC7"/>
    <w:rsid w:val="0ECF35C4"/>
    <w:rsid w:val="0ED527DB"/>
    <w:rsid w:val="0EEA5E4A"/>
    <w:rsid w:val="0F01750C"/>
    <w:rsid w:val="0F2F1860"/>
    <w:rsid w:val="0F3330FE"/>
    <w:rsid w:val="0F3A0C93"/>
    <w:rsid w:val="0F3F1AA3"/>
    <w:rsid w:val="0F4F5A5E"/>
    <w:rsid w:val="0F5F5CA1"/>
    <w:rsid w:val="0F64775C"/>
    <w:rsid w:val="0F672FE3"/>
    <w:rsid w:val="0F686692"/>
    <w:rsid w:val="0F751969"/>
    <w:rsid w:val="0F802974"/>
    <w:rsid w:val="0FAC687F"/>
    <w:rsid w:val="0FB00BF3"/>
    <w:rsid w:val="0FB06A57"/>
    <w:rsid w:val="0FB86474"/>
    <w:rsid w:val="0FE60171"/>
    <w:rsid w:val="0FF1293F"/>
    <w:rsid w:val="0FF4402F"/>
    <w:rsid w:val="10305890"/>
    <w:rsid w:val="10463305"/>
    <w:rsid w:val="10615A49"/>
    <w:rsid w:val="10635C65"/>
    <w:rsid w:val="10732D06"/>
    <w:rsid w:val="107F1F1F"/>
    <w:rsid w:val="10A2360E"/>
    <w:rsid w:val="10B22456"/>
    <w:rsid w:val="10E044A9"/>
    <w:rsid w:val="11031026"/>
    <w:rsid w:val="11254CC9"/>
    <w:rsid w:val="11333889"/>
    <w:rsid w:val="11395C39"/>
    <w:rsid w:val="114710E3"/>
    <w:rsid w:val="118A0FD0"/>
    <w:rsid w:val="11CC15E8"/>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7C10A3"/>
    <w:rsid w:val="14BE025F"/>
    <w:rsid w:val="14C412D5"/>
    <w:rsid w:val="14E36BC9"/>
    <w:rsid w:val="14F051F6"/>
    <w:rsid w:val="151E215B"/>
    <w:rsid w:val="15400C78"/>
    <w:rsid w:val="1565422D"/>
    <w:rsid w:val="15916384"/>
    <w:rsid w:val="15A308B2"/>
    <w:rsid w:val="15EF35D8"/>
    <w:rsid w:val="164107F7"/>
    <w:rsid w:val="166746AE"/>
    <w:rsid w:val="167034C3"/>
    <w:rsid w:val="167343CE"/>
    <w:rsid w:val="16946C69"/>
    <w:rsid w:val="16987ACC"/>
    <w:rsid w:val="16A7036B"/>
    <w:rsid w:val="16AC3FC9"/>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172587"/>
    <w:rsid w:val="18205A58"/>
    <w:rsid w:val="1853036D"/>
    <w:rsid w:val="185403EE"/>
    <w:rsid w:val="18693E47"/>
    <w:rsid w:val="18A25FFA"/>
    <w:rsid w:val="18BD54F4"/>
    <w:rsid w:val="18CD3A1E"/>
    <w:rsid w:val="18D94D16"/>
    <w:rsid w:val="18DC0363"/>
    <w:rsid w:val="18DD28F7"/>
    <w:rsid w:val="18F4203C"/>
    <w:rsid w:val="190B0C48"/>
    <w:rsid w:val="191E097B"/>
    <w:rsid w:val="19237362"/>
    <w:rsid w:val="194303E2"/>
    <w:rsid w:val="1979120B"/>
    <w:rsid w:val="1997072D"/>
    <w:rsid w:val="19A312AE"/>
    <w:rsid w:val="19BE5CBA"/>
    <w:rsid w:val="19BF76EB"/>
    <w:rsid w:val="1A085187"/>
    <w:rsid w:val="1A11228E"/>
    <w:rsid w:val="1A136006"/>
    <w:rsid w:val="1A1A7CD9"/>
    <w:rsid w:val="1A4457AE"/>
    <w:rsid w:val="1A4C5D31"/>
    <w:rsid w:val="1A816B2F"/>
    <w:rsid w:val="1A9F3EA8"/>
    <w:rsid w:val="1ABF618E"/>
    <w:rsid w:val="1ACB4B33"/>
    <w:rsid w:val="1AF71484"/>
    <w:rsid w:val="1B30248C"/>
    <w:rsid w:val="1B5468D6"/>
    <w:rsid w:val="1B58423C"/>
    <w:rsid w:val="1B816BC3"/>
    <w:rsid w:val="1B83540D"/>
    <w:rsid w:val="1B90640E"/>
    <w:rsid w:val="1B9B5295"/>
    <w:rsid w:val="1B9C3F21"/>
    <w:rsid w:val="1BFB0379"/>
    <w:rsid w:val="1C0F0A4F"/>
    <w:rsid w:val="1C2C1B1A"/>
    <w:rsid w:val="1C3B7288"/>
    <w:rsid w:val="1C447AB7"/>
    <w:rsid w:val="1C487397"/>
    <w:rsid w:val="1C580BF0"/>
    <w:rsid w:val="1C5C089A"/>
    <w:rsid w:val="1C6D2330"/>
    <w:rsid w:val="1C850D11"/>
    <w:rsid w:val="1C8953EE"/>
    <w:rsid w:val="1C9761E9"/>
    <w:rsid w:val="1CBC7313"/>
    <w:rsid w:val="1CC47A8B"/>
    <w:rsid w:val="1CC6095E"/>
    <w:rsid w:val="1CF85987"/>
    <w:rsid w:val="1D04257E"/>
    <w:rsid w:val="1D0600A4"/>
    <w:rsid w:val="1D641BF0"/>
    <w:rsid w:val="1D8B7972"/>
    <w:rsid w:val="1D994609"/>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ED25C61"/>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22151"/>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1A9C"/>
    <w:rsid w:val="22665141"/>
    <w:rsid w:val="22731755"/>
    <w:rsid w:val="227B6E3E"/>
    <w:rsid w:val="229323DA"/>
    <w:rsid w:val="22934188"/>
    <w:rsid w:val="22C83D5D"/>
    <w:rsid w:val="22C85680"/>
    <w:rsid w:val="22DE0399"/>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06E70"/>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AE580E"/>
    <w:rsid w:val="26E15B99"/>
    <w:rsid w:val="26F61189"/>
    <w:rsid w:val="26F82F41"/>
    <w:rsid w:val="273677D8"/>
    <w:rsid w:val="274D77E7"/>
    <w:rsid w:val="275E39BF"/>
    <w:rsid w:val="2799188C"/>
    <w:rsid w:val="27A107B1"/>
    <w:rsid w:val="27B801ED"/>
    <w:rsid w:val="27E85AF1"/>
    <w:rsid w:val="27EB2370"/>
    <w:rsid w:val="27ED3892"/>
    <w:rsid w:val="2803672A"/>
    <w:rsid w:val="280557AF"/>
    <w:rsid w:val="282B4E63"/>
    <w:rsid w:val="2837207C"/>
    <w:rsid w:val="28515D28"/>
    <w:rsid w:val="285E3D85"/>
    <w:rsid w:val="28842155"/>
    <w:rsid w:val="288A1BE1"/>
    <w:rsid w:val="28913C78"/>
    <w:rsid w:val="289D5510"/>
    <w:rsid w:val="28CA01D8"/>
    <w:rsid w:val="28D76D98"/>
    <w:rsid w:val="28DB23E5"/>
    <w:rsid w:val="28DC41A9"/>
    <w:rsid w:val="28EF15D4"/>
    <w:rsid w:val="28F24E39"/>
    <w:rsid w:val="29174F37"/>
    <w:rsid w:val="292F0982"/>
    <w:rsid w:val="29472F72"/>
    <w:rsid w:val="297414A2"/>
    <w:rsid w:val="2977611D"/>
    <w:rsid w:val="297939AC"/>
    <w:rsid w:val="297C658E"/>
    <w:rsid w:val="297D10CF"/>
    <w:rsid w:val="29805BC8"/>
    <w:rsid w:val="298505A2"/>
    <w:rsid w:val="298760C9"/>
    <w:rsid w:val="29A7676B"/>
    <w:rsid w:val="29AA1DB7"/>
    <w:rsid w:val="29E0142A"/>
    <w:rsid w:val="29EF5F6E"/>
    <w:rsid w:val="29F647AE"/>
    <w:rsid w:val="2A09328E"/>
    <w:rsid w:val="2A1A444E"/>
    <w:rsid w:val="2A7523C5"/>
    <w:rsid w:val="2A8645D2"/>
    <w:rsid w:val="2AC51206"/>
    <w:rsid w:val="2B1966E7"/>
    <w:rsid w:val="2B3758CC"/>
    <w:rsid w:val="2B5F745C"/>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009E"/>
    <w:rsid w:val="2D0C41FD"/>
    <w:rsid w:val="2D1633EB"/>
    <w:rsid w:val="2D2B320F"/>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237263"/>
    <w:rsid w:val="2F4F5615"/>
    <w:rsid w:val="2F5223C5"/>
    <w:rsid w:val="2F5527C5"/>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4306C"/>
    <w:rsid w:val="308B3C32"/>
    <w:rsid w:val="308B46F0"/>
    <w:rsid w:val="30934C53"/>
    <w:rsid w:val="309F63EE"/>
    <w:rsid w:val="30B42C9E"/>
    <w:rsid w:val="30C03C9B"/>
    <w:rsid w:val="30CA0B34"/>
    <w:rsid w:val="30F7442C"/>
    <w:rsid w:val="31111D33"/>
    <w:rsid w:val="31291211"/>
    <w:rsid w:val="315E0057"/>
    <w:rsid w:val="319D0545"/>
    <w:rsid w:val="31A645A7"/>
    <w:rsid w:val="31AA6151"/>
    <w:rsid w:val="31D64091"/>
    <w:rsid w:val="31DD5420"/>
    <w:rsid w:val="31F92D57"/>
    <w:rsid w:val="320A7897"/>
    <w:rsid w:val="321B78CE"/>
    <w:rsid w:val="32385F9C"/>
    <w:rsid w:val="323D4B10"/>
    <w:rsid w:val="3263094F"/>
    <w:rsid w:val="3265300E"/>
    <w:rsid w:val="327F62D5"/>
    <w:rsid w:val="329A50BF"/>
    <w:rsid w:val="32A001FB"/>
    <w:rsid w:val="32C37BA2"/>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D2241"/>
    <w:rsid w:val="340D25AE"/>
    <w:rsid w:val="34177C19"/>
    <w:rsid w:val="34256CB2"/>
    <w:rsid w:val="34353186"/>
    <w:rsid w:val="344B7B58"/>
    <w:rsid w:val="346A2E6D"/>
    <w:rsid w:val="3474193F"/>
    <w:rsid w:val="34750EEE"/>
    <w:rsid w:val="349B6ECC"/>
    <w:rsid w:val="34AC732B"/>
    <w:rsid w:val="34CA155F"/>
    <w:rsid w:val="34E45C10"/>
    <w:rsid w:val="35253045"/>
    <w:rsid w:val="354B0704"/>
    <w:rsid w:val="354D1DB2"/>
    <w:rsid w:val="356D1E9C"/>
    <w:rsid w:val="357D5D04"/>
    <w:rsid w:val="35A34C73"/>
    <w:rsid w:val="35AB0B07"/>
    <w:rsid w:val="35D83E40"/>
    <w:rsid w:val="35D94150"/>
    <w:rsid w:val="35FE1C9A"/>
    <w:rsid w:val="362D7FF8"/>
    <w:rsid w:val="36620601"/>
    <w:rsid w:val="36B50719"/>
    <w:rsid w:val="36B86C0F"/>
    <w:rsid w:val="36C25ED8"/>
    <w:rsid w:val="36D2007E"/>
    <w:rsid w:val="36D36DF1"/>
    <w:rsid w:val="36EB413B"/>
    <w:rsid w:val="37011251"/>
    <w:rsid w:val="371B68A6"/>
    <w:rsid w:val="373830F8"/>
    <w:rsid w:val="3747333B"/>
    <w:rsid w:val="37607FE9"/>
    <w:rsid w:val="377F356D"/>
    <w:rsid w:val="3794610E"/>
    <w:rsid w:val="37982CEA"/>
    <w:rsid w:val="379C3687"/>
    <w:rsid w:val="379F0A81"/>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B50DC2"/>
    <w:rsid w:val="39BB6B1C"/>
    <w:rsid w:val="39CD5D7A"/>
    <w:rsid w:val="3A0915BB"/>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714E2B"/>
    <w:rsid w:val="3B9B5A04"/>
    <w:rsid w:val="3BA725FA"/>
    <w:rsid w:val="3BB0325D"/>
    <w:rsid w:val="3BFA3859"/>
    <w:rsid w:val="3C335C3C"/>
    <w:rsid w:val="3C6C61CB"/>
    <w:rsid w:val="3C963645"/>
    <w:rsid w:val="3CA52FDE"/>
    <w:rsid w:val="3CCA2A44"/>
    <w:rsid w:val="3CCC57A3"/>
    <w:rsid w:val="3CE10C14"/>
    <w:rsid w:val="3CF03B2D"/>
    <w:rsid w:val="3D090B7C"/>
    <w:rsid w:val="3D193084"/>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5A1BA6"/>
    <w:rsid w:val="3E60015F"/>
    <w:rsid w:val="3E83504E"/>
    <w:rsid w:val="3EAD5E70"/>
    <w:rsid w:val="3ECF60F0"/>
    <w:rsid w:val="3F002961"/>
    <w:rsid w:val="3F087854"/>
    <w:rsid w:val="3F2F6EBF"/>
    <w:rsid w:val="3F5D194E"/>
    <w:rsid w:val="3F7F14E7"/>
    <w:rsid w:val="3F8B1360"/>
    <w:rsid w:val="3F9F14A0"/>
    <w:rsid w:val="3FA37E9F"/>
    <w:rsid w:val="3FEF7356"/>
    <w:rsid w:val="3FF21F94"/>
    <w:rsid w:val="3FF35E0E"/>
    <w:rsid w:val="40005166"/>
    <w:rsid w:val="400B4C01"/>
    <w:rsid w:val="40316936"/>
    <w:rsid w:val="4047615A"/>
    <w:rsid w:val="40477F08"/>
    <w:rsid w:val="405165FE"/>
    <w:rsid w:val="406867FC"/>
    <w:rsid w:val="40C6735E"/>
    <w:rsid w:val="40D24B9C"/>
    <w:rsid w:val="40DE6ABE"/>
    <w:rsid w:val="410753AA"/>
    <w:rsid w:val="411E335F"/>
    <w:rsid w:val="41303889"/>
    <w:rsid w:val="41324781"/>
    <w:rsid w:val="414A789D"/>
    <w:rsid w:val="415052BD"/>
    <w:rsid w:val="415C6755"/>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0B5F10"/>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B22FF"/>
    <w:rsid w:val="456D1768"/>
    <w:rsid w:val="45884BE3"/>
    <w:rsid w:val="45C96E92"/>
    <w:rsid w:val="45CC0C03"/>
    <w:rsid w:val="46004D73"/>
    <w:rsid w:val="46072613"/>
    <w:rsid w:val="462E0F7B"/>
    <w:rsid w:val="46427B16"/>
    <w:rsid w:val="464A5E88"/>
    <w:rsid w:val="464E0242"/>
    <w:rsid w:val="46690BD8"/>
    <w:rsid w:val="468E6891"/>
    <w:rsid w:val="46AE2A8F"/>
    <w:rsid w:val="46DB1ADF"/>
    <w:rsid w:val="46FE42BD"/>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47CFA"/>
    <w:rsid w:val="48BE41E3"/>
    <w:rsid w:val="48C77E38"/>
    <w:rsid w:val="48CB5B7A"/>
    <w:rsid w:val="48D92B4D"/>
    <w:rsid w:val="48FD1AAC"/>
    <w:rsid w:val="490523D5"/>
    <w:rsid w:val="49135467"/>
    <w:rsid w:val="49221812"/>
    <w:rsid w:val="494D67E4"/>
    <w:rsid w:val="497D3957"/>
    <w:rsid w:val="498668DA"/>
    <w:rsid w:val="49A00E51"/>
    <w:rsid w:val="49BA799D"/>
    <w:rsid w:val="49DC7762"/>
    <w:rsid w:val="4A161077"/>
    <w:rsid w:val="4A2B147F"/>
    <w:rsid w:val="4A314103"/>
    <w:rsid w:val="4A451330"/>
    <w:rsid w:val="4A5B0EAB"/>
    <w:rsid w:val="4A5C478F"/>
    <w:rsid w:val="4A631DE2"/>
    <w:rsid w:val="4A667117"/>
    <w:rsid w:val="4A8C758B"/>
    <w:rsid w:val="4A8E0642"/>
    <w:rsid w:val="4A91694F"/>
    <w:rsid w:val="4AC95736"/>
    <w:rsid w:val="4AF320B9"/>
    <w:rsid w:val="4B137C28"/>
    <w:rsid w:val="4B2B2900"/>
    <w:rsid w:val="4B410375"/>
    <w:rsid w:val="4B5B0856"/>
    <w:rsid w:val="4B5F07FC"/>
    <w:rsid w:val="4B63653E"/>
    <w:rsid w:val="4B6B53F2"/>
    <w:rsid w:val="4B863FDA"/>
    <w:rsid w:val="4B884F61"/>
    <w:rsid w:val="4B9506C1"/>
    <w:rsid w:val="4B9F32EE"/>
    <w:rsid w:val="4BB9449E"/>
    <w:rsid w:val="4BC52D55"/>
    <w:rsid w:val="4BF930BB"/>
    <w:rsid w:val="4C4D4AF8"/>
    <w:rsid w:val="4C6267F5"/>
    <w:rsid w:val="4C831B77"/>
    <w:rsid w:val="4C83676C"/>
    <w:rsid w:val="4C8E5BE5"/>
    <w:rsid w:val="4CB6269D"/>
    <w:rsid w:val="4CC913FA"/>
    <w:rsid w:val="4CEA67EB"/>
    <w:rsid w:val="4CF64CFD"/>
    <w:rsid w:val="4D116B12"/>
    <w:rsid w:val="4D1B6B8F"/>
    <w:rsid w:val="4D3D5FF4"/>
    <w:rsid w:val="4D487C17"/>
    <w:rsid w:val="4D5A72FA"/>
    <w:rsid w:val="4D633A18"/>
    <w:rsid w:val="4D714816"/>
    <w:rsid w:val="4DB90697"/>
    <w:rsid w:val="4DC52A56"/>
    <w:rsid w:val="4DE4148C"/>
    <w:rsid w:val="4E0062C6"/>
    <w:rsid w:val="4E0B2970"/>
    <w:rsid w:val="4E1759C1"/>
    <w:rsid w:val="4E3E6DEE"/>
    <w:rsid w:val="4E8862BB"/>
    <w:rsid w:val="4E8E46D6"/>
    <w:rsid w:val="4ED35AD3"/>
    <w:rsid w:val="4ED8558E"/>
    <w:rsid w:val="4F245FE4"/>
    <w:rsid w:val="4F433169"/>
    <w:rsid w:val="4FC7696F"/>
    <w:rsid w:val="4FD51C85"/>
    <w:rsid w:val="50067498"/>
    <w:rsid w:val="505A492D"/>
    <w:rsid w:val="505B4BCF"/>
    <w:rsid w:val="50967210"/>
    <w:rsid w:val="50A4580C"/>
    <w:rsid w:val="50B75FB1"/>
    <w:rsid w:val="50CC248F"/>
    <w:rsid w:val="50E52F2A"/>
    <w:rsid w:val="50F97A8C"/>
    <w:rsid w:val="51013297"/>
    <w:rsid w:val="5105419D"/>
    <w:rsid w:val="51071719"/>
    <w:rsid w:val="51177359"/>
    <w:rsid w:val="51706AE7"/>
    <w:rsid w:val="517F39A6"/>
    <w:rsid w:val="5221002A"/>
    <w:rsid w:val="52642B9B"/>
    <w:rsid w:val="526F3A1A"/>
    <w:rsid w:val="52816DE8"/>
    <w:rsid w:val="52976ACD"/>
    <w:rsid w:val="529F5982"/>
    <w:rsid w:val="52AF3C79"/>
    <w:rsid w:val="52E617B5"/>
    <w:rsid w:val="52FF78E7"/>
    <w:rsid w:val="530F492E"/>
    <w:rsid w:val="533D19AF"/>
    <w:rsid w:val="53435F37"/>
    <w:rsid w:val="53515F4F"/>
    <w:rsid w:val="537806AC"/>
    <w:rsid w:val="5380115C"/>
    <w:rsid w:val="53837B15"/>
    <w:rsid w:val="53983E43"/>
    <w:rsid w:val="539F403D"/>
    <w:rsid w:val="541000EA"/>
    <w:rsid w:val="541008E5"/>
    <w:rsid w:val="54292AE8"/>
    <w:rsid w:val="54295E4B"/>
    <w:rsid w:val="543640C4"/>
    <w:rsid w:val="5436550B"/>
    <w:rsid w:val="543A5A64"/>
    <w:rsid w:val="54547A6F"/>
    <w:rsid w:val="54547F90"/>
    <w:rsid w:val="545A6D5B"/>
    <w:rsid w:val="547A238D"/>
    <w:rsid w:val="54817A35"/>
    <w:rsid w:val="54997C8E"/>
    <w:rsid w:val="54A159E1"/>
    <w:rsid w:val="54D209AB"/>
    <w:rsid w:val="54D42ADE"/>
    <w:rsid w:val="55004DFD"/>
    <w:rsid w:val="55175CA3"/>
    <w:rsid w:val="554747DA"/>
    <w:rsid w:val="555D5DAC"/>
    <w:rsid w:val="556F0C67"/>
    <w:rsid w:val="5573527B"/>
    <w:rsid w:val="55756D9B"/>
    <w:rsid w:val="559B4461"/>
    <w:rsid w:val="55A00722"/>
    <w:rsid w:val="55D106C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6EF32E1"/>
    <w:rsid w:val="57077749"/>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E1D6B"/>
    <w:rsid w:val="5A184D97"/>
    <w:rsid w:val="5A1E7A92"/>
    <w:rsid w:val="5A3A32AF"/>
    <w:rsid w:val="5A3D61AC"/>
    <w:rsid w:val="5A492DA3"/>
    <w:rsid w:val="5A7A7400"/>
    <w:rsid w:val="5AC43F81"/>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9A29DA"/>
    <w:rsid w:val="5CB84210"/>
    <w:rsid w:val="5CEC5C67"/>
    <w:rsid w:val="5CEE456C"/>
    <w:rsid w:val="5D243653"/>
    <w:rsid w:val="5D675EF0"/>
    <w:rsid w:val="5D6A1882"/>
    <w:rsid w:val="5D8E5AFC"/>
    <w:rsid w:val="5D9E3405"/>
    <w:rsid w:val="5DBA0F0B"/>
    <w:rsid w:val="5DCC4B5B"/>
    <w:rsid w:val="5DE0757A"/>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1C6864"/>
    <w:rsid w:val="60336BFF"/>
    <w:rsid w:val="606D3A6E"/>
    <w:rsid w:val="607653E6"/>
    <w:rsid w:val="60805044"/>
    <w:rsid w:val="60932FCA"/>
    <w:rsid w:val="60A70B9F"/>
    <w:rsid w:val="60A70CC1"/>
    <w:rsid w:val="60AC188A"/>
    <w:rsid w:val="60C110C9"/>
    <w:rsid w:val="60CA5E20"/>
    <w:rsid w:val="6102109A"/>
    <w:rsid w:val="61133921"/>
    <w:rsid w:val="613A1697"/>
    <w:rsid w:val="61404968"/>
    <w:rsid w:val="617B2468"/>
    <w:rsid w:val="61B61EA8"/>
    <w:rsid w:val="62086704"/>
    <w:rsid w:val="624731C8"/>
    <w:rsid w:val="6260512D"/>
    <w:rsid w:val="62740392"/>
    <w:rsid w:val="627604AD"/>
    <w:rsid w:val="62815399"/>
    <w:rsid w:val="62AA45FB"/>
    <w:rsid w:val="62E94778"/>
    <w:rsid w:val="62F615EE"/>
    <w:rsid w:val="62F85366"/>
    <w:rsid w:val="631B1054"/>
    <w:rsid w:val="63246227"/>
    <w:rsid w:val="63304B00"/>
    <w:rsid w:val="63316ACA"/>
    <w:rsid w:val="634E4F86"/>
    <w:rsid w:val="635A2851"/>
    <w:rsid w:val="63666773"/>
    <w:rsid w:val="63864720"/>
    <w:rsid w:val="638B7F88"/>
    <w:rsid w:val="638E1826"/>
    <w:rsid w:val="638F4D78"/>
    <w:rsid w:val="639E4570"/>
    <w:rsid w:val="63A86178"/>
    <w:rsid w:val="63AE011A"/>
    <w:rsid w:val="63BE035D"/>
    <w:rsid w:val="63E636A7"/>
    <w:rsid w:val="63FF39BB"/>
    <w:rsid w:val="646E1562"/>
    <w:rsid w:val="647469E3"/>
    <w:rsid w:val="649015CE"/>
    <w:rsid w:val="64FF08D8"/>
    <w:rsid w:val="65181CEF"/>
    <w:rsid w:val="65336B29"/>
    <w:rsid w:val="653603C7"/>
    <w:rsid w:val="654900FB"/>
    <w:rsid w:val="6550702A"/>
    <w:rsid w:val="65523BCC"/>
    <w:rsid w:val="6554084E"/>
    <w:rsid w:val="65610523"/>
    <w:rsid w:val="656A5FB1"/>
    <w:rsid w:val="657620B4"/>
    <w:rsid w:val="65885575"/>
    <w:rsid w:val="659E16D7"/>
    <w:rsid w:val="65A20CA6"/>
    <w:rsid w:val="65B433A9"/>
    <w:rsid w:val="65C5024C"/>
    <w:rsid w:val="65C6799D"/>
    <w:rsid w:val="65CC0253"/>
    <w:rsid w:val="65CC4888"/>
    <w:rsid w:val="66065235"/>
    <w:rsid w:val="66353CE9"/>
    <w:rsid w:val="664762A1"/>
    <w:rsid w:val="66566780"/>
    <w:rsid w:val="66591008"/>
    <w:rsid w:val="665C7632"/>
    <w:rsid w:val="66667F85"/>
    <w:rsid w:val="667217DA"/>
    <w:rsid w:val="66910EE1"/>
    <w:rsid w:val="66915AF7"/>
    <w:rsid w:val="66C73EA9"/>
    <w:rsid w:val="66DC18E2"/>
    <w:rsid w:val="671E7365"/>
    <w:rsid w:val="674A40AB"/>
    <w:rsid w:val="675668ED"/>
    <w:rsid w:val="67784CC7"/>
    <w:rsid w:val="67BF433B"/>
    <w:rsid w:val="67C55897"/>
    <w:rsid w:val="67C972D1"/>
    <w:rsid w:val="67E37916"/>
    <w:rsid w:val="67E46AF1"/>
    <w:rsid w:val="6809591F"/>
    <w:rsid w:val="681748C7"/>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4A61EF"/>
    <w:rsid w:val="69545442"/>
    <w:rsid w:val="699C67E2"/>
    <w:rsid w:val="69D34437"/>
    <w:rsid w:val="69D514B6"/>
    <w:rsid w:val="69E119FE"/>
    <w:rsid w:val="69EB3B79"/>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56486"/>
    <w:rsid w:val="6B6712DB"/>
    <w:rsid w:val="6B693994"/>
    <w:rsid w:val="6B734BFF"/>
    <w:rsid w:val="6B792DBC"/>
    <w:rsid w:val="6B7A3866"/>
    <w:rsid w:val="6B7B5DD9"/>
    <w:rsid w:val="6BB23B13"/>
    <w:rsid w:val="6BC04E8F"/>
    <w:rsid w:val="6BE84077"/>
    <w:rsid w:val="6BEE7306"/>
    <w:rsid w:val="6C202F44"/>
    <w:rsid w:val="6C300388"/>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80D6D"/>
    <w:rsid w:val="6ED91ED1"/>
    <w:rsid w:val="6EF74724"/>
    <w:rsid w:val="6F0E3C2E"/>
    <w:rsid w:val="6F181F26"/>
    <w:rsid w:val="6F3465D4"/>
    <w:rsid w:val="6F40431D"/>
    <w:rsid w:val="6F477302"/>
    <w:rsid w:val="6F55454C"/>
    <w:rsid w:val="6F5F10A7"/>
    <w:rsid w:val="6F676490"/>
    <w:rsid w:val="6F7C10CD"/>
    <w:rsid w:val="6F857F81"/>
    <w:rsid w:val="6F8E2296"/>
    <w:rsid w:val="6F916A65"/>
    <w:rsid w:val="6FB277EB"/>
    <w:rsid w:val="6FC37B4C"/>
    <w:rsid w:val="6FF36D35"/>
    <w:rsid w:val="6FF45107"/>
    <w:rsid w:val="702941FD"/>
    <w:rsid w:val="702A22EE"/>
    <w:rsid w:val="70532E5D"/>
    <w:rsid w:val="70636AF5"/>
    <w:rsid w:val="706859A2"/>
    <w:rsid w:val="706F1447"/>
    <w:rsid w:val="707906C7"/>
    <w:rsid w:val="708055A9"/>
    <w:rsid w:val="7088613C"/>
    <w:rsid w:val="708D33F6"/>
    <w:rsid w:val="70A9583B"/>
    <w:rsid w:val="70FA6DA8"/>
    <w:rsid w:val="714D223A"/>
    <w:rsid w:val="71A07514"/>
    <w:rsid w:val="71BC7EA6"/>
    <w:rsid w:val="71D92806"/>
    <w:rsid w:val="723B3BA8"/>
    <w:rsid w:val="723F4010"/>
    <w:rsid w:val="724C2FD8"/>
    <w:rsid w:val="7261755B"/>
    <w:rsid w:val="726A345E"/>
    <w:rsid w:val="728A58AF"/>
    <w:rsid w:val="729205CD"/>
    <w:rsid w:val="729F135A"/>
    <w:rsid w:val="72D22AA1"/>
    <w:rsid w:val="72D579E3"/>
    <w:rsid w:val="72E651DB"/>
    <w:rsid w:val="72EE408F"/>
    <w:rsid w:val="73092C77"/>
    <w:rsid w:val="7329276F"/>
    <w:rsid w:val="733B05A6"/>
    <w:rsid w:val="734737A0"/>
    <w:rsid w:val="73492F89"/>
    <w:rsid w:val="734D525A"/>
    <w:rsid w:val="736610A2"/>
    <w:rsid w:val="73A11102"/>
    <w:rsid w:val="73C03C7E"/>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603347B"/>
    <w:rsid w:val="760360A4"/>
    <w:rsid w:val="760D6DDC"/>
    <w:rsid w:val="76147566"/>
    <w:rsid w:val="7679608D"/>
    <w:rsid w:val="76AC0BFB"/>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D26013"/>
    <w:rsid w:val="78191D9D"/>
    <w:rsid w:val="781A237F"/>
    <w:rsid w:val="78212811"/>
    <w:rsid w:val="782567A5"/>
    <w:rsid w:val="78734760"/>
    <w:rsid w:val="78A212BA"/>
    <w:rsid w:val="78BD36C3"/>
    <w:rsid w:val="78D45AD6"/>
    <w:rsid w:val="78F07D11"/>
    <w:rsid w:val="78FB7506"/>
    <w:rsid w:val="7907783D"/>
    <w:rsid w:val="7931117A"/>
    <w:rsid w:val="79343A59"/>
    <w:rsid w:val="7940316B"/>
    <w:rsid w:val="794745F4"/>
    <w:rsid w:val="79604D22"/>
    <w:rsid w:val="79832B7B"/>
    <w:rsid w:val="7989351C"/>
    <w:rsid w:val="79915091"/>
    <w:rsid w:val="799B26EC"/>
    <w:rsid w:val="79A731EA"/>
    <w:rsid w:val="79CA4D02"/>
    <w:rsid w:val="79D55FA9"/>
    <w:rsid w:val="7A2B7977"/>
    <w:rsid w:val="7A35180C"/>
    <w:rsid w:val="7A92282C"/>
    <w:rsid w:val="7AB55EA8"/>
    <w:rsid w:val="7AC57DCC"/>
    <w:rsid w:val="7ACD712C"/>
    <w:rsid w:val="7B24133B"/>
    <w:rsid w:val="7B6E3FBF"/>
    <w:rsid w:val="7B7315D6"/>
    <w:rsid w:val="7B9D48A5"/>
    <w:rsid w:val="7BC576C6"/>
    <w:rsid w:val="7BC9569A"/>
    <w:rsid w:val="7BCC6F38"/>
    <w:rsid w:val="7BF02C26"/>
    <w:rsid w:val="7BF24BEF"/>
    <w:rsid w:val="7C0340C2"/>
    <w:rsid w:val="7C0B6CB7"/>
    <w:rsid w:val="7C122B9D"/>
    <w:rsid w:val="7C183F2B"/>
    <w:rsid w:val="7C342153"/>
    <w:rsid w:val="7C3B5358"/>
    <w:rsid w:val="7C757E9E"/>
    <w:rsid w:val="7C845396"/>
    <w:rsid w:val="7C885555"/>
    <w:rsid w:val="7C9F3684"/>
    <w:rsid w:val="7CA801B8"/>
    <w:rsid w:val="7CA95420"/>
    <w:rsid w:val="7CD866E7"/>
    <w:rsid w:val="7D16178D"/>
    <w:rsid w:val="7D1F5429"/>
    <w:rsid w:val="7D290D52"/>
    <w:rsid w:val="7D524231"/>
    <w:rsid w:val="7D531E0F"/>
    <w:rsid w:val="7D570CC2"/>
    <w:rsid w:val="7DC45624"/>
    <w:rsid w:val="7DD277C6"/>
    <w:rsid w:val="7E235535"/>
    <w:rsid w:val="7E3A63DB"/>
    <w:rsid w:val="7E3C67B6"/>
    <w:rsid w:val="7E4B05E8"/>
    <w:rsid w:val="7E4D4360"/>
    <w:rsid w:val="7E9100D2"/>
    <w:rsid w:val="7EC02D84"/>
    <w:rsid w:val="7EDA196C"/>
    <w:rsid w:val="7EF2547B"/>
    <w:rsid w:val="7EFC3D40"/>
    <w:rsid w:val="7EFD1A58"/>
    <w:rsid w:val="7F0864D9"/>
    <w:rsid w:val="7F1A159B"/>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uiPriority="99" w:name="HTML Preformatted"/>
    <w:lsdException w:qFormat="1" w:unhideWhenUsed="0" w:uiPriority="0" w:semiHidden="0" w:name="HTML Sample"/>
    <w:lsdException w:qFormat="1"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autoRedefine/>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semiHidden/>
    <w:unhideWhenUsed/>
    <w:qFormat/>
    <w:uiPriority w:val="99"/>
    <w:rPr>
      <w:rFonts w:hint="default" w:ascii="monospace" w:hAnsi="monospace" w:eastAsia="monospace" w:cs="monospace"/>
      <w:sz w:val="20"/>
    </w:rPr>
  </w:style>
  <w:style w:type="character" w:styleId="69">
    <w:name w:val="annotation reference"/>
    <w:basedOn w:val="58"/>
    <w:unhideWhenUsed/>
    <w:qFormat/>
    <w:uiPriority w:val="0"/>
    <w:rPr>
      <w:sz w:val="21"/>
      <w:szCs w:val="21"/>
    </w:rPr>
  </w:style>
  <w:style w:type="character" w:styleId="70">
    <w:name w:val="HTML Cite"/>
    <w:basedOn w:val="58"/>
    <w:semiHidden/>
    <w:unhideWhenUsed/>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仿宋_GB2312" w:hAnsi="@仿宋_GB2312" w:eastAsia="@仿宋_GB2312" w:cs="@仿宋_GB2312"/>
      <w:b/>
      <w:bCs/>
      <w:sz w:val="32"/>
      <w:szCs w:val="32"/>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1"/>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5"/>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59</Pages>
  <Words>26617</Words>
  <Characters>28057</Characters>
  <Lines>395</Lines>
  <Paragraphs>111</Paragraphs>
  <TotalTime>104</TotalTime>
  <ScaleCrop>false</ScaleCrop>
  <LinksUpToDate>false</LinksUpToDate>
  <CharactersWithSpaces>30082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汪亚林</cp:lastModifiedBy>
  <cp:lastPrinted>2023-05-30T07:28:00Z</cp:lastPrinted>
  <dcterms:modified xsi:type="dcterms:W3CDTF">2024-09-26T08:23:03Z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F54ED36159AE4DD88873D96C2DBDA5A3_13</vt:lpwstr>
  </property>
</Properties>
</file>