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A3787">
      <w:pPr>
        <w:tabs>
          <w:tab w:val="left" w:pos="315"/>
          <w:tab w:val="left" w:pos="8820"/>
        </w:tabs>
        <w:spacing w:beforeLines="100" w:afterLines="50" w:line="500" w:lineRule="exact"/>
        <w:ind w:right="254" w:rightChars="127"/>
        <w:jc w:val="center"/>
        <w:rPr>
          <w:b/>
          <w:bCs/>
          <w:color w:val="000000" w:themeColor="text1"/>
          <w:sz w:val="52"/>
          <w:szCs w:val="52"/>
          <w:highlight w:val="none"/>
          <w:vertAlign w:val="superscript"/>
          <w14:textFill>
            <w14:solidFill>
              <w14:schemeClr w14:val="tx1"/>
            </w14:solidFill>
          </w14:textFill>
        </w:rPr>
      </w:pPr>
    </w:p>
    <w:p w14:paraId="73BEDAF7">
      <w:pPr>
        <w:tabs>
          <w:tab w:val="left" w:pos="315"/>
          <w:tab w:val="left" w:pos="8820"/>
        </w:tabs>
        <w:spacing w:beforeLines="100" w:afterLines="50" w:line="500" w:lineRule="exact"/>
        <w:ind w:right="254" w:rightChars="127"/>
        <w:jc w:val="center"/>
        <w:rPr>
          <w:b/>
          <w:bCs/>
          <w:color w:val="000000" w:themeColor="text1"/>
          <w:sz w:val="52"/>
          <w:szCs w:val="52"/>
          <w:highlight w:val="none"/>
          <w14:textFill>
            <w14:solidFill>
              <w14:schemeClr w14:val="tx1"/>
            </w14:solidFill>
          </w14:textFill>
        </w:rPr>
      </w:pPr>
      <w:bookmarkStart w:id="0" w:name="_Hlk9544796"/>
      <w:r>
        <w:rPr>
          <w:rFonts w:hint="eastAsia"/>
          <w:b/>
          <w:bCs/>
          <w:color w:val="000000" w:themeColor="text1"/>
          <w:sz w:val="52"/>
          <w:szCs w:val="52"/>
          <w:highlight w:val="none"/>
          <w14:textFill>
            <w14:solidFill>
              <w14:schemeClr w14:val="tx1"/>
            </w14:solidFill>
          </w14:textFill>
        </w:rPr>
        <w:t>竞争性谈判文件</w:t>
      </w:r>
    </w:p>
    <w:p w14:paraId="327C1D48">
      <w:pPr>
        <w:pStyle w:val="4"/>
        <w:rPr>
          <w:color w:val="000000" w:themeColor="text1"/>
          <w:highlight w:val="none"/>
          <w14:textFill>
            <w14:solidFill>
              <w14:schemeClr w14:val="tx1"/>
            </w14:solidFill>
          </w14:textFill>
        </w:rPr>
      </w:pPr>
      <w:r>
        <w:rPr>
          <w:rFonts w:hint="eastAsia" w:cs="宋体"/>
          <w:color w:val="000000" w:themeColor="text1"/>
          <w:sz w:val="28"/>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cstate="print"/>
                    <a:stretch>
                      <a:fillRect/>
                    </a:stretch>
                  </pic:blipFill>
                  <pic:spPr>
                    <a:xfrm>
                      <a:off x="0" y="0"/>
                      <a:ext cx="1502410" cy="1511935"/>
                    </a:xfrm>
                    <a:prstGeom prst="rect">
                      <a:avLst/>
                    </a:prstGeom>
                    <a:noFill/>
                    <a:ln>
                      <a:noFill/>
                    </a:ln>
                  </pic:spPr>
                </pic:pic>
              </a:graphicData>
            </a:graphic>
          </wp:anchor>
        </w:drawing>
      </w:r>
    </w:p>
    <w:bookmarkEnd w:id="0"/>
    <w:p w14:paraId="23BCF9ED">
      <w:pPr>
        <w:tabs>
          <w:tab w:val="left" w:pos="315"/>
          <w:tab w:val="left" w:pos="8820"/>
        </w:tabs>
        <w:spacing w:beforeLines="100" w:afterLines="50" w:line="500" w:lineRule="exact"/>
        <w:ind w:right="254" w:rightChars="127"/>
        <w:jc w:val="center"/>
        <w:rPr>
          <w:bCs/>
          <w:color w:val="000000" w:themeColor="text1"/>
          <w:sz w:val="44"/>
          <w:szCs w:val="44"/>
          <w:highlight w:val="none"/>
          <w14:textFill>
            <w14:solidFill>
              <w14:schemeClr w14:val="tx1"/>
            </w14:solidFill>
          </w14:textFill>
        </w:rPr>
      </w:pPr>
    </w:p>
    <w:p w14:paraId="65D75A50">
      <w:pPr>
        <w:tabs>
          <w:tab w:val="left" w:pos="315"/>
          <w:tab w:val="left" w:pos="8820"/>
        </w:tabs>
        <w:spacing w:beforeLines="100" w:afterLines="50" w:line="500" w:lineRule="exact"/>
        <w:ind w:right="254" w:rightChars="127"/>
        <w:jc w:val="center"/>
        <w:rPr>
          <w:b/>
          <w:bCs/>
          <w:color w:val="000000" w:themeColor="text1"/>
          <w:sz w:val="44"/>
          <w:szCs w:val="44"/>
          <w:highlight w:val="none"/>
          <w14:textFill>
            <w14:solidFill>
              <w14:schemeClr w14:val="tx1"/>
            </w14:solidFill>
          </w14:textFill>
        </w:rPr>
      </w:pPr>
    </w:p>
    <w:p w14:paraId="1F73B9A1">
      <w:pPr>
        <w:tabs>
          <w:tab w:val="left" w:pos="315"/>
          <w:tab w:val="left" w:pos="8820"/>
        </w:tabs>
        <w:spacing w:beforeLines="100" w:afterLines="50" w:line="500" w:lineRule="exact"/>
        <w:ind w:right="254" w:rightChars="127"/>
        <w:jc w:val="center"/>
        <w:rPr>
          <w:b/>
          <w:bCs/>
          <w:color w:val="000000" w:themeColor="text1"/>
          <w:sz w:val="44"/>
          <w:szCs w:val="44"/>
          <w:highlight w:val="none"/>
          <w14:textFill>
            <w14:solidFill>
              <w14:schemeClr w14:val="tx1"/>
            </w14:solidFill>
          </w14:textFill>
        </w:rPr>
      </w:pPr>
    </w:p>
    <w:p w14:paraId="25631678">
      <w:pPr>
        <w:tabs>
          <w:tab w:val="left" w:pos="315"/>
          <w:tab w:val="left" w:pos="8820"/>
        </w:tabs>
        <w:spacing w:beforeLines="100" w:afterLines="50" w:line="500" w:lineRule="exact"/>
        <w:ind w:right="254" w:rightChars="127"/>
        <w:jc w:val="center"/>
        <w:rPr>
          <w:b/>
          <w:bCs/>
          <w:color w:val="000000" w:themeColor="text1"/>
          <w:sz w:val="44"/>
          <w:szCs w:val="44"/>
          <w:highlight w:val="none"/>
          <w14:textFill>
            <w14:solidFill>
              <w14:schemeClr w14:val="tx1"/>
            </w14:solidFill>
          </w14:textFill>
        </w:rPr>
      </w:pPr>
    </w:p>
    <w:p w14:paraId="59AED19B">
      <w:pPr>
        <w:tabs>
          <w:tab w:val="left" w:pos="315"/>
          <w:tab w:val="left" w:pos="8820"/>
        </w:tabs>
        <w:spacing w:beforeLines="100" w:afterLines="50" w:line="500" w:lineRule="exact"/>
        <w:ind w:right="254" w:rightChars="127"/>
        <w:jc w:val="center"/>
        <w:rPr>
          <w:b/>
          <w:bCs/>
          <w:color w:val="000000" w:themeColor="text1"/>
          <w:sz w:val="44"/>
          <w:szCs w:val="44"/>
          <w:highlight w:val="none"/>
          <w14:textFill>
            <w14:solidFill>
              <w14:schemeClr w14:val="tx1"/>
            </w14:solidFill>
          </w14:textFill>
        </w:rPr>
      </w:pPr>
    </w:p>
    <w:p w14:paraId="1E3EA41A">
      <w:pPr>
        <w:tabs>
          <w:tab w:val="left" w:pos="315"/>
          <w:tab w:val="left" w:pos="8820"/>
        </w:tabs>
        <w:spacing w:beforeLines="100" w:afterLines="50" w:line="500" w:lineRule="exact"/>
        <w:ind w:right="254" w:rightChars="127"/>
        <w:jc w:val="center"/>
        <w:rPr>
          <w:color w:val="000000" w:themeColor="text1"/>
          <w:highlight w:val="none"/>
          <w14:textFill>
            <w14:solidFill>
              <w14:schemeClr w14:val="tx1"/>
            </w14:solidFill>
          </w14:textFill>
        </w:rPr>
      </w:pPr>
    </w:p>
    <w:p w14:paraId="3DE0ECE6">
      <w:pPr>
        <w:tabs>
          <w:tab w:val="left" w:pos="315"/>
          <w:tab w:val="left" w:pos="8820"/>
        </w:tabs>
        <w:spacing w:beforeLines="100" w:afterLines="50" w:line="500" w:lineRule="exact"/>
        <w:ind w:right="254" w:rightChars="127"/>
        <w:jc w:val="center"/>
        <w:rPr>
          <w:b/>
          <w:bCs/>
          <w:color w:val="000000" w:themeColor="text1"/>
          <w:sz w:val="44"/>
          <w:szCs w:val="44"/>
          <w:highlight w:val="none"/>
          <w14:textFill>
            <w14:solidFill>
              <w14:schemeClr w14:val="tx1"/>
            </w14:solidFill>
          </w14:textFill>
        </w:rPr>
      </w:pPr>
    </w:p>
    <w:p w14:paraId="61B464EC">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u w:val="single"/>
          <w:lang w:eastAsia="zh-CN"/>
          <w14:textFill>
            <w14:solidFill>
              <w14:schemeClr w14:val="tx1"/>
            </w14:solidFill>
          </w14:textFill>
        </w:rPr>
        <w:t>合肥百大购物中心有限责任公司2024-2026年LED电子屏设计施工运营一体化（二次）</w:t>
      </w:r>
    </w:p>
    <w:p w14:paraId="6BCFB020">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u w:val="single"/>
          <w:lang w:eastAsia="zh-CN"/>
          <w14:textFill>
            <w14:solidFill>
              <w14:schemeClr w14:val="tx1"/>
            </w14:solidFill>
          </w14:textFill>
        </w:rPr>
        <w:t>2024BTFWJ01320-1</w:t>
      </w:r>
    </w:p>
    <w:p w14:paraId="082C1825">
      <w:pPr>
        <w:tabs>
          <w:tab w:val="left" w:pos="2410"/>
        </w:tabs>
        <w:autoSpaceDE w:val="0"/>
        <w:autoSpaceDN w:val="0"/>
        <w:adjustRightInd w:val="0"/>
        <w:snapToGrid w:val="0"/>
        <w:spacing w:line="360" w:lineRule="auto"/>
        <w:rPr>
          <w:b/>
          <w:color w:val="000000" w:themeColor="text1"/>
          <w:spacing w:val="20"/>
          <w:sz w:val="32"/>
          <w:szCs w:val="32"/>
          <w:highlight w:val="none"/>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招 标 人：</w:t>
      </w:r>
      <w:r>
        <w:rPr>
          <w:rFonts w:hint="eastAsia"/>
          <w:b/>
          <w:color w:val="000000" w:themeColor="text1"/>
          <w:spacing w:val="20"/>
          <w:sz w:val="32"/>
          <w:szCs w:val="32"/>
          <w:highlight w:val="none"/>
          <w:u w:val="single"/>
          <w14:textFill>
            <w14:solidFill>
              <w14:schemeClr w14:val="tx1"/>
            </w14:solidFill>
          </w14:textFill>
        </w:rPr>
        <w:t>合肥百大购物中心有限责任公司</w:t>
      </w:r>
    </w:p>
    <w:p w14:paraId="260CC0A9">
      <w:pPr>
        <w:tabs>
          <w:tab w:val="left" w:pos="2410"/>
        </w:tabs>
        <w:autoSpaceDE w:val="0"/>
        <w:autoSpaceDN w:val="0"/>
        <w:adjustRightInd w:val="0"/>
        <w:snapToGrid w:val="0"/>
        <w:spacing w:line="360" w:lineRule="auto"/>
        <w:rPr>
          <w:b/>
          <w:color w:val="000000" w:themeColor="text1"/>
          <w:spacing w:val="20"/>
          <w:sz w:val="32"/>
          <w:szCs w:val="32"/>
          <w:highlight w:val="none"/>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代理机构：</w:t>
      </w:r>
      <w:r>
        <w:rPr>
          <w:rFonts w:hint="eastAsia"/>
          <w:b/>
          <w:color w:val="000000" w:themeColor="text1"/>
          <w:spacing w:val="20"/>
          <w:sz w:val="32"/>
          <w:szCs w:val="32"/>
          <w:highlight w:val="none"/>
          <w:u w:val="single"/>
          <w14:textFill>
            <w14:solidFill>
              <w14:schemeClr w14:val="tx1"/>
            </w14:solidFill>
          </w14:textFill>
        </w:rPr>
        <w:t>安徽公共资源交易集团项目管理有限公司</w:t>
      </w:r>
    </w:p>
    <w:p w14:paraId="163C8285">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r>
        <w:rPr>
          <w:b/>
          <w:color w:val="000000" w:themeColor="text1"/>
          <w:sz w:val="36"/>
          <w:highlight w:val="none"/>
          <w14:textFill>
            <w14:solidFill>
              <w14:schemeClr w14:val="tx1"/>
            </w14:solidFill>
          </w14:textFill>
        </w:rPr>
        <w:br w:type="page"/>
      </w:r>
    </w:p>
    <w:p w14:paraId="13768BDE">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66EAA0B3">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p>
    <w:p w14:paraId="1641BA78">
      <w:pPr>
        <w:pStyle w:val="35"/>
        <w:tabs>
          <w:tab w:val="right" w:leader="dot" w:pos="8869"/>
        </w:tabs>
        <w:rPr>
          <w:color w:val="000000" w:themeColor="text1"/>
          <w:highlight w:val="none"/>
          <w14:textFill>
            <w14:solidFill>
              <w14:schemeClr w14:val="tx1"/>
            </w14:solidFill>
          </w14:textFil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"_Toc15091"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highlight w:val="none"/>
          <w14:textFill>
            <w14:solidFill>
              <w14:schemeClr w14:val="tx1"/>
            </w14:solidFill>
          </w14:textFill>
        </w:rPr>
        <w:t>第一章 谈判公告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11C36A">
      <w:pPr>
        <w:pStyle w:val="35"/>
        <w:tabs>
          <w:tab w:val="right" w:leader="dot" w:pos="886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"_Toc28008"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highlight w:val="none"/>
          <w14:textFill>
            <w14:solidFill>
              <w14:schemeClr w14:val="tx1"/>
            </w14:solidFill>
          </w14:textFill>
        </w:rPr>
        <w:t>第二章 投标人</w:t>
      </w:r>
      <w:r>
        <w:rPr>
          <w:rFonts w:asciiTheme="minorEastAsia" w:hAnsiTheme="minorEastAsia"/>
          <w:color w:val="000000" w:themeColor="text1"/>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353EF8">
      <w:pPr>
        <w:pStyle w:val="45"/>
        <w:tabs>
          <w:tab w:val="right" w:leader="dot" w:pos="8869"/>
        </w:tabs>
        <w:ind w:left="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"_Toc26167"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第三章 招标人要求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67B423">
      <w:pPr>
        <w:pStyle w:val="35"/>
        <w:tabs>
          <w:tab w:val="right" w:leader="dot" w:pos="886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"_Toc19762"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highlight w:val="none"/>
          <w14:textFill>
            <w14:solidFill>
              <w14:schemeClr w14:val="tx1"/>
            </w14:solidFill>
          </w14:textFill>
        </w:rPr>
        <w:t>第四章  评审方法和标准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AC3C84">
      <w:pPr>
        <w:pStyle w:val="45"/>
        <w:tabs>
          <w:tab w:val="right" w:leader="dot" w:pos="8869"/>
        </w:tabs>
        <w:ind w:left="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"_Toc23852" </w:instrText>
      </w:r>
      <w:r>
        <w:rPr>
          <w:color w:val="000000" w:themeColor="text1"/>
          <w:highlight w:val="none"/>
          <w14:textFill>
            <w14:solidFill>
              <w14:schemeClr w14:val="tx1"/>
            </w14:solidFill>
          </w14:textFill>
        </w:rPr>
        <w:fldChar w:fldCharType="separate"/>
      </w:r>
      <w:r>
        <w:rPr>
          <w:rFonts w:hint="eastAsia" w:ascii="Times New Roman" w:hAnsi="Times New Roman"/>
          <w:color w:val="000000" w:themeColor="text1"/>
          <w:highlight w:val="none"/>
          <w14:textFill>
            <w14:solidFill>
              <w14:schemeClr w14:val="tx1"/>
            </w14:solidFill>
          </w14:textFill>
        </w:rPr>
        <w:t xml:space="preserve">第五章 </w:t>
      </w:r>
      <w:r>
        <w:rPr>
          <w:rFonts w:ascii="Times New Roman" w:hAnsi="Times New Roman" w:eastAsia="宋体"/>
          <w:color w:val="000000" w:themeColor="text1"/>
          <w:highlight w:val="none"/>
          <w14:textFill>
            <w14:solidFill>
              <w14:schemeClr w14:val="tx1"/>
            </w14:solidFill>
          </w14:textFill>
        </w:rPr>
        <w:t>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614CF65">
      <w:pPr>
        <w:pStyle w:val="35"/>
        <w:tabs>
          <w:tab w:val="right" w:leader="dot" w:pos="886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"_Toc23111"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70BF0B">
      <w:pPr>
        <w:pStyle w:val="45"/>
        <w:tabs>
          <w:tab w:val="right" w:leader="dot" w:pos="8869"/>
        </w:tabs>
        <w:ind w:left="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"_Toc25410"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highlight w:val="none"/>
          <w14:textFill>
            <w14:solidFill>
              <w14:schemeClr w14:val="tx1"/>
            </w14:solidFill>
          </w14:textFill>
        </w:rPr>
        <w:t>第七章 安徽公共资源交易集团电子交易操作规程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0D724F">
      <w:pPr>
        <w:pStyle w:val="45"/>
        <w:tabs>
          <w:tab w:val="right" w:leader="dot" w:pos="8296"/>
        </w:tabs>
        <w:rPr>
          <w:rFonts w:asciiTheme="minorEastAsia" w:hAnsiTheme="minorEastAsia"/>
          <w:b/>
          <w:color w:val="000000" w:themeColor="text1"/>
          <w:sz w:val="32"/>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3B484CD5">
      <w:pPr>
        <w:spacing w:line="360" w:lineRule="auto"/>
        <w:jc w:val="center"/>
        <w:outlineLvl w:val="1"/>
        <w:rPr>
          <w:rFonts w:asciiTheme="minorEastAsia" w:hAnsiTheme="minorEastAsia" w:eastAsiaTheme="minorEastAsia"/>
          <w:b/>
          <w:color w:val="000000" w:themeColor="text1"/>
          <w:sz w:val="28"/>
          <w:highlight w:val="none"/>
          <w14:textFill>
            <w14:solidFill>
              <w14:schemeClr w14:val="tx1"/>
            </w14:solidFill>
          </w14:textFill>
        </w:rPr>
        <w:sectPr>
          <w:headerReference r:id="rId3" w:type="default"/>
          <w:footerReference r:id="rId4" w:type="default"/>
          <w:pgSz w:w="11907" w:h="16840"/>
          <w:pgMar w:top="1440" w:right="1519" w:bottom="1440" w:left="1519" w:header="851" w:footer="992" w:gutter="0"/>
          <w:cols w:space="720" w:num="1"/>
          <w:docGrid w:linePitch="462" w:charSpace="0"/>
        </w:sectPr>
      </w:pPr>
    </w:p>
    <w:p w14:paraId="3CFCC863">
      <w:pPr>
        <w:numPr>
          <w:ilvl w:val="0"/>
          <w:numId w:val="2"/>
        </w:num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1" w:name="_Toc15091"/>
      <w:r>
        <w:rPr>
          <w:rFonts w:hint="eastAsia" w:asciiTheme="minorEastAsia" w:hAnsiTheme="minorEastAsia" w:eastAsiaTheme="minorEastAsia"/>
          <w:b/>
          <w:color w:val="000000" w:themeColor="text1"/>
          <w:sz w:val="28"/>
          <w:highlight w:val="none"/>
          <w14:textFill>
            <w14:solidFill>
              <w14:schemeClr w14:val="tx1"/>
            </w14:solidFill>
          </w14:textFill>
        </w:rPr>
        <w:t>谈判公告</w:t>
      </w:r>
      <w:bookmarkEnd w:id="1"/>
      <w:bookmarkStart w:id="79" w:name="_GoBack"/>
      <w:bookmarkEnd w:id="79"/>
    </w:p>
    <w:p w14:paraId="1B95B3D5">
      <w:pPr>
        <w:pStyle w:val="75"/>
        <w:widowControl w:val="0"/>
        <w:autoSpaceDE w:val="0"/>
        <w:autoSpaceDN w:val="0"/>
        <w:adjustRightInd w:val="0"/>
        <w:spacing w:before="0" w:after="0" w:line="360" w:lineRule="auto"/>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highlight w:val="none"/>
          <w14:textFill>
            <w14:solidFill>
              <w14:schemeClr w14:val="tx1"/>
            </w14:solidFill>
          </w14:textFill>
        </w:rPr>
        <w:t>安徽公共资源交易集团项目管理有限公司受</w:t>
      </w:r>
      <w:r>
        <w:rPr>
          <w:rFonts w:hint="eastAsia" w:asciiTheme="majorEastAsia" w:hAnsiTheme="majorEastAsia" w:eastAsiaTheme="majorEastAsia" w:cstheme="majorEastAsia"/>
          <w:color w:val="000000" w:themeColor="text1"/>
          <w:kern w:val="2"/>
          <w:highlight w:val="none"/>
          <w:u w:val="single"/>
          <w14:textFill>
            <w14:solidFill>
              <w14:schemeClr w14:val="tx1"/>
            </w14:solidFill>
          </w14:textFill>
        </w:rPr>
        <w:t>合肥百大购物中心有限责任公司</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委托，现对</w:t>
      </w:r>
      <w:r>
        <w:rPr>
          <w:rFonts w:hint="eastAsia" w:asciiTheme="majorEastAsia" w:hAnsiTheme="majorEastAsia" w:eastAsiaTheme="majorEastAsia" w:cstheme="majorEastAsia"/>
          <w:color w:val="000000" w:themeColor="text1"/>
          <w:kern w:val="2"/>
          <w:highlight w:val="none"/>
          <w:u w:val="single"/>
          <w:lang w:eastAsia="zh-CN"/>
          <w14:textFill>
            <w14:solidFill>
              <w14:schemeClr w14:val="tx1"/>
            </w14:solidFill>
          </w14:textFill>
        </w:rPr>
        <w:t>合肥百大购物中心有限责任公司2024-2026年LED电子屏设计施工运营一体化（二次）</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进行竞争性谈判，欢迎具备条件的国内投标人参加谈判。</w:t>
      </w:r>
    </w:p>
    <w:p w14:paraId="30D401ED">
      <w:pPr>
        <w:spacing w:line="360" w:lineRule="auto"/>
        <w:ind w:firstLine="435"/>
        <w:rPr>
          <w:rFonts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1.项目名称及内容</w:t>
      </w:r>
    </w:p>
    <w:p w14:paraId="6CC093C3">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1.1 项目编号：</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2024BTFWJ01320-1</w:t>
      </w:r>
    </w:p>
    <w:p w14:paraId="594C68B6">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1.2 项目名称：</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合肥百大购物中心有限责任公司2024-2026年LED电子屏设计施工运营一体化（二次）</w:t>
      </w:r>
    </w:p>
    <w:p w14:paraId="6FAA0913">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1.3 项目地点：</w:t>
      </w:r>
      <w:r>
        <w:rPr>
          <w:rFonts w:hint="eastAsia"/>
          <w:color w:val="000000" w:themeColor="text1"/>
          <w:sz w:val="24"/>
          <w:highlight w:val="none"/>
          <w:u w:val="single"/>
          <w14:textFill>
            <w14:solidFill>
              <w14:schemeClr w14:val="tx1"/>
            </w14:solidFill>
          </w14:textFill>
        </w:rPr>
        <w:t>安徽省合肥市肥西县上派镇巢湖路与江淮大道交口</w:t>
      </w:r>
    </w:p>
    <w:p w14:paraId="1B888A73">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1.4 项目单位：</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合肥百大购物中心有限责任公司</w:t>
      </w:r>
    </w:p>
    <w:p w14:paraId="75A1DFAC">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1.5 项目概况：肥西百货大楼是肥西县标志性建筑，项目位于肥西县上派镇巢湖路与江淮大道交口，交通便利，视野开阔，具备建设运营LED大屏的必备条件，原LED大屏运营招商合同即将到期，为充分利用物业资源，增加公司利润，提升对外形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肥西百大按照集团公司招标采购管理规定，拟开展肥西百大外立面LED电子屏设计施工运营一体化招商</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p w14:paraId="7AD819C4">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1.6 资金来源：自筹</w:t>
      </w:r>
    </w:p>
    <w:p w14:paraId="477DCB49">
      <w:pPr>
        <w:autoSpaceDE w:val="0"/>
        <w:autoSpaceDN w:val="0"/>
        <w:adjustRightInd w:val="0"/>
        <w:spacing w:line="360" w:lineRule="auto"/>
        <w:ind w:firstLine="436" w:firstLineChars="182"/>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1.7 项目预算：0元</w:t>
      </w:r>
      <w:r>
        <w:rPr>
          <w:rStyle w:val="69"/>
          <w:rFonts w:hint="eastAsia" w:ascii="Arial" w:hAnsi="Arial" w:eastAsia="黑体" w:cs="Arial"/>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外立面LED电子屏设计施工运营一体化招商)</w:t>
      </w:r>
    </w:p>
    <w:p w14:paraId="171F9D2E">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1.8 项目类别：与工程无关·服务</w:t>
      </w:r>
    </w:p>
    <w:p w14:paraId="33A97BEE">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1.9 标段划分：共分</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个标段，本次谈判第</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标段。</w:t>
      </w:r>
    </w:p>
    <w:p w14:paraId="15B91044">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1.10 服务期限：合同签订后3年（约1095个日历天）</w:t>
      </w:r>
    </w:p>
    <w:p w14:paraId="08D50CFC">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 xml:space="preserve">2.投标人资格要求 </w:t>
      </w:r>
    </w:p>
    <w:p w14:paraId="0F7BA865">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2.1投标人具有独立承担民事责任的能力；</w:t>
      </w:r>
    </w:p>
    <w:p w14:paraId="7B090979">
      <w:pPr>
        <w:spacing w:line="360" w:lineRule="auto"/>
        <w:ind w:firstLine="480" w:firstLineChars="200"/>
        <w:rPr>
          <w:rFonts w:asciiTheme="majorEastAsia" w:hAnsiTheme="majorEastAsia" w:eastAsiaTheme="majorEastAsia" w:cstheme="majorEastAsia"/>
          <w:b/>
          <w:bCs/>
          <w:i/>
          <w:i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2.2投标人资质要求：具有营业执照。</w:t>
      </w:r>
    </w:p>
    <w:p w14:paraId="2E2AEA0E">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2.3投标人业绩要求：/</w:t>
      </w:r>
    </w:p>
    <w:p w14:paraId="6D644446">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2.4项目负责人资格要求：/</w:t>
      </w:r>
    </w:p>
    <w:p w14:paraId="132D5DBD">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2.5本项目不接受联合体投标。</w:t>
      </w:r>
    </w:p>
    <w:p w14:paraId="7C256376">
      <w:pPr>
        <w:spacing w:line="360" w:lineRule="auto"/>
        <w:ind w:firstLine="480" w:firstLineChars="200"/>
        <w:rPr>
          <w:rFonts w:asciiTheme="majorEastAsia" w:hAnsiTheme="majorEastAsia" w:eastAsiaTheme="majorEastAsia" w:cstheme="majorEastAsia"/>
          <w:b/>
          <w:bCs/>
          <w:i/>
          <w:i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2.6投标人不得存在以下不良信用记录情形</w:t>
      </w:r>
      <w:r>
        <w:rPr>
          <w:rFonts w:hint="eastAsia" w:asciiTheme="majorEastAsia" w:hAnsiTheme="majorEastAsia" w:eastAsiaTheme="majorEastAsia" w:cstheme="majorEastAsia"/>
          <w:b/>
          <w:bCs/>
          <w:i/>
          <w:iCs/>
          <w:color w:val="000000" w:themeColor="text1"/>
          <w:sz w:val="24"/>
          <w:szCs w:val="24"/>
          <w:highlight w:val="none"/>
          <w14:textFill>
            <w14:solidFill>
              <w14:schemeClr w14:val="tx1"/>
            </w14:solidFill>
          </w14:textFill>
        </w:rPr>
        <w:t>：</w:t>
      </w:r>
    </w:p>
    <w:p w14:paraId="1A3B4947">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（1）被责令停产停业，暂扣或者吊销许可证，暂扣或者吊销执照；</w:t>
      </w:r>
    </w:p>
    <w:p w14:paraId="6D7D40EC">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（2）进入清算程序，或被宣告破产，或其他丧失履约能力的情形；</w:t>
      </w:r>
    </w:p>
    <w:p w14:paraId="0B7B5130">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（3）在国家企业信用信息公示系统（http://www.gsxt.gov.cn/）中被列入严重违法失信企业名单；</w:t>
      </w:r>
    </w:p>
    <w:p w14:paraId="508ED884">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（4）在“信用中国”网站（http://www.creditchina.gov.cn/）中被列入失信被执行人名单；</w:t>
      </w:r>
    </w:p>
    <w:p w14:paraId="79C696A4">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（5）在“信用中国”网站（http://www.creditchina.gov.cn/）中被列入重大税收违法失信主体名单；</w:t>
      </w:r>
    </w:p>
    <w:p w14:paraId="37E21ADD">
      <w:pPr>
        <w:adjustRightInd w:val="0"/>
        <w:snapToGrid w:val="0"/>
        <w:spacing w:line="360" w:lineRule="auto"/>
        <w:ind w:firstLine="480" w:firstLineChars="200"/>
        <w:rPr>
          <w:rFonts w:asciiTheme="majorEastAsia" w:hAnsiTheme="majorEastAsia" w:eastAsiaTheme="majorEastAsia" w:cstheme="majorEastAsia"/>
          <w:b/>
          <w:bCs/>
          <w:i/>
          <w:i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（6）在近三年内投标人或其法定代表人（单位负责人）有行贿犯罪行为的；</w:t>
      </w:r>
    </w:p>
    <w:p w14:paraId="7E23899F">
      <w:pPr>
        <w:adjustRightInd w:val="0"/>
        <w:snapToGrid w:val="0"/>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2.7其他要求：</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p w14:paraId="60CA3DA1">
      <w:pPr>
        <w:spacing w:line="360" w:lineRule="auto"/>
        <w:ind w:firstLine="435"/>
        <w:rPr>
          <w:rFonts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3.谈判文件的获取</w:t>
      </w:r>
    </w:p>
    <w:p w14:paraId="1ABE8A30">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3.1获取时间：2024-08-07 到投标截止时间 </w:t>
      </w:r>
    </w:p>
    <w:p w14:paraId="0E560B62">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3.2获取方式：</w:t>
      </w:r>
    </w:p>
    <w:p w14:paraId="70AC1F12">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（1）本谈判项目实行全流程电子化交易。</w:t>
      </w:r>
    </w:p>
    <w:p w14:paraId="468D91FB">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（2）潜在投标人须登录安徽公共资源交易集团电子交易系统（以下简称“电子交易系统”）查阅谈判文件。</w:t>
      </w:r>
    </w:p>
    <w:p w14:paraId="05906599">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（3）潜在投标人查阅谈判文件后，如参与投标，则须在规定的谈判文件获取时间内通过安徽公共资源交易集团电子交易系统完成投标信息的填写。</w:t>
      </w:r>
    </w:p>
    <w:p w14:paraId="4D8BAD53">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（4）谈判文件费用支付方式：网上支付。</w:t>
      </w:r>
    </w:p>
    <w:p w14:paraId="095E64F3">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（5）谈判文件获取过程中有任何疑问，请在工作时间（9：00-17：30，节假日休息）拨打技术支持热线（非项目咨询）：4009980000。项目咨询请拨打电话：</w:t>
      </w:r>
      <w:r>
        <w:rPr>
          <w:rFonts w:hint="eastAsia" w:cs="宋体"/>
          <w:color w:val="000000" w:themeColor="text1"/>
          <w:sz w:val="24"/>
          <w:szCs w:val="24"/>
          <w:highlight w:val="none"/>
          <w14:textFill>
            <w14:solidFill>
              <w14:schemeClr w14:val="tx1"/>
            </w14:solidFill>
          </w14:textFill>
        </w:rPr>
        <w:t>0551-66223831、66223668。</w:t>
      </w:r>
    </w:p>
    <w:p w14:paraId="50008CE2">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3.3谈判文件价格：每套人民币</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200</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元整，售后不退。</w:t>
      </w:r>
    </w:p>
    <w:p w14:paraId="30D92248">
      <w:pPr>
        <w:spacing w:line="360" w:lineRule="auto"/>
        <w:ind w:firstLine="435"/>
        <w:rPr>
          <w:rFonts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4.投标文件提交截止时间</w:t>
      </w:r>
    </w:p>
    <w:p w14:paraId="6BC4106B">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同谈判时间</w:t>
      </w:r>
    </w:p>
    <w:p w14:paraId="62FBBA2A">
      <w:pPr>
        <w:spacing w:line="360" w:lineRule="auto"/>
        <w:ind w:firstLine="435"/>
        <w:rPr>
          <w:rFonts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5.谈判时间及地点</w:t>
      </w:r>
    </w:p>
    <w:p w14:paraId="6BDC062D">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5.1谈判时间：2024-08-27 10:00 </w:t>
      </w:r>
    </w:p>
    <w:p w14:paraId="7FD2A33D">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5.2谈判地点</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：合肥市滨湖新区徽州大道4872号金融港中心A9幢安徽公共资源交易集团二楼评标室（五）</w:t>
      </w:r>
    </w:p>
    <w:p w14:paraId="6625EA0F">
      <w:pPr>
        <w:spacing w:line="360" w:lineRule="auto"/>
        <w:ind w:firstLine="435"/>
        <w:rPr>
          <w:rFonts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6.发布公告的媒介</w:t>
      </w:r>
    </w:p>
    <w:p w14:paraId="4DC20C64">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本次谈判公告同时在安徽公共资源交易集团网站、安徽省招标投标信息网、中国招标投标公共服务平台上发布。</w:t>
      </w:r>
    </w:p>
    <w:p w14:paraId="5E73B9F8">
      <w:pPr>
        <w:spacing w:line="360" w:lineRule="auto"/>
        <w:ind w:firstLine="435"/>
        <w:rPr>
          <w:rFonts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7.联系方式</w:t>
      </w:r>
    </w:p>
    <w:p w14:paraId="2980F350">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7.1招标人</w:t>
      </w:r>
    </w:p>
    <w:p w14:paraId="16D3B994">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招标人：</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合肥百大购物中心有限责任公司</w:t>
      </w:r>
    </w:p>
    <w:p w14:paraId="41F3B0C8">
      <w:pPr>
        <w:spacing w:line="360" w:lineRule="auto"/>
        <w:ind w:firstLine="435"/>
        <w:rPr>
          <w:rFonts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合肥市肥西县派河大道与巢湖路交口西南角</w:t>
      </w:r>
    </w:p>
    <w:p w14:paraId="6C26FB79">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石工</w:t>
      </w:r>
    </w:p>
    <w:p w14:paraId="22D89B41">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0551-68881804</w:t>
      </w:r>
    </w:p>
    <w:p w14:paraId="61C784CB">
      <w:pPr>
        <w:spacing w:line="360" w:lineRule="auto"/>
        <w:ind w:firstLine="435"/>
        <w:rPr>
          <w:rFonts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7.2代理机构</w:t>
      </w:r>
    </w:p>
    <w:p w14:paraId="41684389">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代理机构：</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安徽公共资源交易集团项目管理有限公司</w:t>
      </w:r>
    </w:p>
    <w:p w14:paraId="16980B33">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合肥市滨湖新区南京路2588号（徽州大道与南京路交口）六楼</w:t>
      </w:r>
    </w:p>
    <w:p w14:paraId="3C6ADD73">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李工</w:t>
      </w:r>
    </w:p>
    <w:p w14:paraId="51EAE1B0">
      <w:pPr>
        <w:spacing w:line="360" w:lineRule="auto"/>
        <w:ind w:firstLine="435"/>
        <w:rPr>
          <w:rFonts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0551-66223270，66223831</w:t>
      </w:r>
    </w:p>
    <w:p w14:paraId="191D23E2">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7.3电子交易系统</w:t>
      </w:r>
    </w:p>
    <w:p w14:paraId="17E2AE3D">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名  称：</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安徽公共资源交易集团电子交易系统</w:t>
      </w:r>
    </w:p>
    <w:p w14:paraId="2E9B099B">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bookmarkStart w:id="2" w:name="_Hlk38114117"/>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400 998 0000</w:t>
      </w:r>
    </w:p>
    <w:bookmarkEnd w:id="2"/>
    <w:p w14:paraId="76686763">
      <w:pPr>
        <w:spacing w:line="360" w:lineRule="auto"/>
        <w:ind w:firstLine="435"/>
        <w:rPr>
          <w:rFonts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7.4监督管理部门</w:t>
      </w:r>
    </w:p>
    <w:p w14:paraId="4CB717CB">
      <w:pPr>
        <w:spacing w:line="360" w:lineRule="auto"/>
        <w:ind w:firstLine="435"/>
        <w:rPr>
          <w:rFonts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监督管理部门：</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肥西百大纪检</w:t>
      </w:r>
    </w:p>
    <w:p w14:paraId="1C679638">
      <w:pPr>
        <w:spacing w:line="360" w:lineRule="auto"/>
        <w:ind w:firstLine="435"/>
        <w:rPr>
          <w:rFonts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合肥市肥西县派河大道与巢湖路交口西南角五楼综合办公区</w:t>
      </w:r>
    </w:p>
    <w:p w14:paraId="541D39B5">
      <w:pPr>
        <w:spacing w:line="360" w:lineRule="auto"/>
        <w:ind w:firstLine="435"/>
        <w:rPr>
          <w:rFonts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0551-68881808</w:t>
      </w:r>
    </w:p>
    <w:p w14:paraId="01F63C66">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8.其他事项说明</w:t>
      </w:r>
    </w:p>
    <w:p w14:paraId="1D169401">
      <w:pPr>
        <w:spacing w:line="360" w:lineRule="auto"/>
        <w:ind w:firstLine="435"/>
        <w:rPr>
          <w:rFonts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8.1</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投标人应合理安排</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谈判文件</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谈判文件</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获取，责任自负。</w:t>
      </w:r>
    </w:p>
    <w:p w14:paraId="2976874D">
      <w:pPr>
        <w:spacing w:line="360" w:lineRule="auto"/>
        <w:ind w:firstLine="435"/>
        <w:rPr>
          <w:rFonts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8.2投标人如需开具标书工本费发票，在项目谈判次日后自行登录安徽公共资源交易集团电子交易系统平台打印。</w:t>
      </w:r>
    </w:p>
    <w:p w14:paraId="4D9ED57D">
      <w:p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9.投标保证金账户（如采用银行转账或银行电汇形式递交的，请选择以下任何一家银行递交即可）</w:t>
      </w:r>
    </w:p>
    <w:p w14:paraId="704B75F0">
      <w:pPr>
        <w:spacing w:line="360" w:lineRule="auto"/>
        <w:ind w:firstLine="435"/>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标段简称:1标段</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 xml:space="preserve">    光大银行合肥阜南路支行</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 xml:space="preserve">    户名：安徽公共资源交易集团项目管理有限公司</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 xml:space="preserve">    账号：76700188015099264</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 xml:space="preserve">    开户银行：光大银行合肥阜南路支行</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 xml:space="preserve">    徽商银行合肥蜀山支行</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 xml:space="preserve">    户名：安徽公共资源交易集团项目管理有限公司</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 xml:space="preserve">    账号：1023701021000135582275925</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 xml:space="preserve">    开户银行：徽商银行合肥蜀山支行</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 xml:space="preserve">    建行合肥庐阳支行营业部</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 xml:space="preserve">    户名：安徽公共资源交易集团项目管理有限公司</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 xml:space="preserve">    账号：6232811630000453916</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 xml:space="preserve">    开户银行：建行合肥庐阳支行营业部</w:t>
      </w:r>
    </w:p>
    <w:p w14:paraId="2C19FCED">
      <w:pPr>
        <w:pStyle w:val="19"/>
      </w:pPr>
    </w:p>
    <w:p w14:paraId="519609EF">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br w:type="page"/>
      </w:r>
    </w:p>
    <w:p w14:paraId="30AFA82D">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3" w:name="_Toc28008"/>
      <w:r>
        <w:rPr>
          <w:rFonts w:hint="eastAsia" w:asciiTheme="minorEastAsia" w:hAnsiTheme="minorEastAsia" w:eastAsiaTheme="minorEastAsia"/>
          <w:b/>
          <w:color w:val="000000" w:themeColor="text1"/>
          <w:sz w:val="28"/>
          <w:highlight w:val="none"/>
          <w14:textFill>
            <w14:solidFill>
              <w14:schemeClr w14:val="tx1"/>
            </w14:solidFill>
          </w14:textFill>
        </w:rPr>
        <w:t>第二章 投标人</w:t>
      </w:r>
      <w:r>
        <w:rPr>
          <w:rFonts w:asciiTheme="minorEastAsia" w:hAnsiTheme="minorEastAsia" w:eastAsiaTheme="minorEastAsia"/>
          <w:b/>
          <w:color w:val="000000" w:themeColor="text1"/>
          <w:sz w:val="28"/>
          <w:highlight w:val="none"/>
          <w14:textFill>
            <w14:solidFill>
              <w14:schemeClr w14:val="tx1"/>
            </w14:solidFill>
          </w14:textFill>
        </w:rPr>
        <w:t>须知</w:t>
      </w:r>
      <w:bookmarkEnd w:id="3"/>
    </w:p>
    <w:p w14:paraId="57875B24">
      <w:pPr>
        <w:spacing w:line="360" w:lineRule="auto"/>
        <w:jc w:val="center"/>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投标人</w:t>
      </w:r>
      <w:r>
        <w:rPr>
          <w:rFonts w:asciiTheme="minorEastAsia" w:hAnsiTheme="minorEastAsia" w:eastAsiaTheme="minorEastAsia"/>
          <w:b/>
          <w:color w:val="000000" w:themeColor="text1"/>
          <w:sz w:val="24"/>
          <w:highlight w:val="none"/>
          <w14:textFill>
            <w14:solidFill>
              <w14:schemeClr w14:val="tx1"/>
            </w14:solidFill>
          </w14:textFill>
        </w:rPr>
        <w:t>须</w:t>
      </w:r>
      <w:r>
        <w:rPr>
          <w:rFonts w:hint="eastAsia" w:asciiTheme="minorEastAsia" w:hAnsiTheme="minorEastAsia" w:eastAsiaTheme="minorEastAsia"/>
          <w:b/>
          <w:color w:val="000000" w:themeColor="text1"/>
          <w:sz w:val="24"/>
          <w:highlight w:val="none"/>
          <w14:textFill>
            <w14:solidFill>
              <w14:schemeClr w14:val="tx1"/>
            </w14:solidFill>
          </w14:textFill>
        </w:rPr>
        <w:t>知前附表</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604"/>
        <w:gridCol w:w="5965"/>
      </w:tblGrid>
      <w:tr w14:paraId="689B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727260D">
            <w:pPr>
              <w:pStyle w:val="76"/>
              <w:widowControl w:val="0"/>
              <w:spacing w:before="0" w:beforeAutospacing="0" w:after="0" w:afterAutospacing="0" w:line="360" w:lineRule="auto"/>
              <w:rPr>
                <w:rFonts w:cs="宋体"/>
                <w:bCs w:val="0"/>
                <w:color w:val="000000" w:themeColor="text1"/>
                <w:kern w:val="2"/>
                <w:sz w:val="24"/>
                <w:szCs w:val="24"/>
                <w:highlight w:val="none"/>
                <w14:textFill>
                  <w14:solidFill>
                    <w14:schemeClr w14:val="tx1"/>
                  </w14:solidFill>
                </w14:textFill>
              </w:rPr>
            </w:pPr>
            <w:r>
              <w:rPr>
                <w:rFonts w:hint="eastAsia" w:cs="宋体"/>
                <w:bCs w:val="0"/>
                <w:color w:val="000000" w:themeColor="text1"/>
                <w:kern w:val="2"/>
                <w:sz w:val="24"/>
                <w:szCs w:val="24"/>
                <w:highlight w:val="none"/>
                <w14:textFill>
                  <w14:solidFill>
                    <w14:schemeClr w14:val="tx1"/>
                  </w14:solidFill>
                </w14:textFill>
              </w:rPr>
              <w:t>条款号</w:t>
            </w:r>
          </w:p>
        </w:tc>
        <w:tc>
          <w:tcPr>
            <w:tcW w:w="941" w:type="pct"/>
            <w:vAlign w:val="center"/>
          </w:tcPr>
          <w:p w14:paraId="0F5E3A86">
            <w:pPr>
              <w:pStyle w:val="76"/>
              <w:widowControl w:val="0"/>
              <w:spacing w:before="0" w:beforeAutospacing="0" w:after="0" w:afterAutospacing="0" w:line="360" w:lineRule="auto"/>
              <w:rPr>
                <w:rFonts w:cs="宋体"/>
                <w:bCs w:val="0"/>
                <w:color w:val="000000" w:themeColor="text1"/>
                <w:kern w:val="2"/>
                <w:sz w:val="24"/>
                <w:szCs w:val="24"/>
                <w:highlight w:val="none"/>
                <w14:textFill>
                  <w14:solidFill>
                    <w14:schemeClr w14:val="tx1"/>
                  </w14:solidFill>
                </w14:textFill>
              </w:rPr>
            </w:pPr>
            <w:r>
              <w:rPr>
                <w:rFonts w:hint="eastAsia" w:cs="宋体"/>
                <w:bCs w:val="0"/>
                <w:color w:val="000000" w:themeColor="text1"/>
                <w:kern w:val="2"/>
                <w:sz w:val="24"/>
                <w:szCs w:val="24"/>
                <w:highlight w:val="none"/>
                <w14:textFill>
                  <w14:solidFill>
                    <w14:schemeClr w14:val="tx1"/>
                  </w14:solidFill>
                </w14:textFill>
              </w:rPr>
              <w:t>条款名称</w:t>
            </w:r>
          </w:p>
        </w:tc>
        <w:tc>
          <w:tcPr>
            <w:tcW w:w="3499" w:type="pct"/>
            <w:vAlign w:val="center"/>
          </w:tcPr>
          <w:p w14:paraId="427054E1">
            <w:pPr>
              <w:pStyle w:val="76"/>
              <w:widowControl w:val="0"/>
              <w:spacing w:before="0" w:beforeAutospacing="0" w:after="0" w:afterAutospacing="0" w:line="360" w:lineRule="auto"/>
              <w:rPr>
                <w:rFonts w:cs="宋体"/>
                <w:bCs w:val="0"/>
                <w:color w:val="000000" w:themeColor="text1"/>
                <w:kern w:val="2"/>
                <w:sz w:val="24"/>
                <w:szCs w:val="24"/>
                <w:highlight w:val="none"/>
                <w14:textFill>
                  <w14:solidFill>
                    <w14:schemeClr w14:val="tx1"/>
                  </w14:solidFill>
                </w14:textFill>
              </w:rPr>
            </w:pPr>
            <w:r>
              <w:rPr>
                <w:rFonts w:hint="eastAsia" w:cs="宋体"/>
                <w:bCs w:val="0"/>
                <w:color w:val="000000" w:themeColor="text1"/>
                <w:kern w:val="2"/>
                <w:sz w:val="24"/>
                <w:szCs w:val="24"/>
                <w:highlight w:val="none"/>
                <w14:textFill>
                  <w14:solidFill>
                    <w14:schemeClr w14:val="tx1"/>
                  </w14:solidFill>
                </w14:textFill>
              </w:rPr>
              <w:t>内容、说明与要求</w:t>
            </w:r>
          </w:p>
        </w:tc>
      </w:tr>
      <w:tr w14:paraId="7E32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3406B362">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w:t>
            </w:r>
          </w:p>
        </w:tc>
        <w:tc>
          <w:tcPr>
            <w:tcW w:w="941" w:type="pct"/>
            <w:vAlign w:val="center"/>
          </w:tcPr>
          <w:p w14:paraId="74E50532">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服务地点</w:t>
            </w:r>
          </w:p>
        </w:tc>
        <w:tc>
          <w:tcPr>
            <w:tcW w:w="3499" w:type="pct"/>
            <w:vAlign w:val="center"/>
          </w:tcPr>
          <w:p w14:paraId="22AB2E96">
            <w:pPr>
              <w:pStyle w:val="76"/>
              <w:widowControl w:val="0"/>
              <w:spacing w:before="0" w:beforeAutospacing="0" w:after="0" w:afterAutospacing="0" w:line="360" w:lineRule="auto"/>
              <w:jc w:val="both"/>
              <w:rPr>
                <w:rFonts w:cs="宋体"/>
                <w:b w:val="0"/>
                <w:strike/>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合肥市，招标人指定地点</w:t>
            </w:r>
          </w:p>
        </w:tc>
      </w:tr>
      <w:tr w14:paraId="115C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5256832F">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2</w:t>
            </w:r>
          </w:p>
        </w:tc>
        <w:tc>
          <w:tcPr>
            <w:tcW w:w="941" w:type="pct"/>
            <w:vAlign w:val="center"/>
          </w:tcPr>
          <w:p w14:paraId="52521BBF">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服务期限</w:t>
            </w:r>
          </w:p>
        </w:tc>
        <w:tc>
          <w:tcPr>
            <w:tcW w:w="3499" w:type="pct"/>
            <w:vAlign w:val="center"/>
          </w:tcPr>
          <w:p w14:paraId="0314BC2B">
            <w:pPr>
              <w:pStyle w:val="103"/>
              <w:tabs>
                <w:tab w:val="left" w:pos="1152"/>
              </w:tabs>
              <w:spacing w:before="0" w:beforeAutospacing="0" w:after="0" w:afterAutospacing="0" w:line="360" w:lineRule="auto"/>
              <w:rPr>
                <w:rFonts w:cs="宋体"/>
                <w:b/>
                <w:strike/>
                <w:color w:val="000000" w:themeColor="text1"/>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t>合同签订后3年（约1095个日历天）</w:t>
            </w:r>
          </w:p>
        </w:tc>
      </w:tr>
      <w:tr w14:paraId="1302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53994787">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3</w:t>
            </w:r>
          </w:p>
        </w:tc>
        <w:tc>
          <w:tcPr>
            <w:tcW w:w="941" w:type="pct"/>
            <w:vAlign w:val="center"/>
          </w:tcPr>
          <w:p w14:paraId="3F0A4877">
            <w:pPr>
              <w:pStyle w:val="76"/>
              <w:widowControl w:val="0"/>
              <w:spacing w:before="0" w:beforeAutospacing="0" w:after="0" w:afterAutospacing="0" w:line="360" w:lineRule="auto"/>
              <w:jc w:val="left"/>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现场踏勘</w:t>
            </w:r>
          </w:p>
        </w:tc>
        <w:tc>
          <w:tcPr>
            <w:tcW w:w="3499" w:type="pct"/>
            <w:vAlign w:val="center"/>
          </w:tcPr>
          <w:p w14:paraId="53B8228C">
            <w:pPr>
              <w:spacing w:line="360" w:lineRule="auto"/>
              <w:rPr>
                <w:rFonts w:cs="宋体"/>
                <w:bCs/>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w:t>
            </w:r>
            <w:r>
              <w:rPr>
                <w:rFonts w:hint="eastAsia" w:cs="宋体"/>
                <w:bCs/>
                <w:color w:val="000000" w:themeColor="text1"/>
                <w:kern w:val="2"/>
                <w:sz w:val="24"/>
                <w:szCs w:val="24"/>
                <w:highlight w:val="none"/>
                <w14:textFill>
                  <w14:solidFill>
                    <w14:schemeClr w14:val="tx1"/>
                  </w14:solidFill>
                </w14:textFill>
              </w:rPr>
              <w:t>自行踏勘</w:t>
            </w:r>
          </w:p>
          <w:p w14:paraId="343C8BD4">
            <w:pPr>
              <w:spacing w:line="360" w:lineRule="auto"/>
              <w:rPr>
                <w:rFonts w:cs="宋体"/>
                <w:bCs/>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w:t>
            </w:r>
            <w:r>
              <w:rPr>
                <w:rFonts w:hint="eastAsia" w:cs="宋体"/>
                <w:bCs/>
                <w:color w:val="000000" w:themeColor="text1"/>
                <w:kern w:val="2"/>
                <w:sz w:val="24"/>
                <w:szCs w:val="24"/>
                <w:highlight w:val="none"/>
                <w14:textFill>
                  <w14:solidFill>
                    <w14:schemeClr w14:val="tx1"/>
                  </w14:solidFill>
                </w14:textFill>
              </w:rPr>
              <w:t>集中组织</w:t>
            </w:r>
          </w:p>
          <w:p w14:paraId="0B81BF68">
            <w:pPr>
              <w:spacing w:line="360" w:lineRule="auto"/>
              <w:rPr>
                <w:rFonts w:cs="宋体"/>
                <w:bCs/>
                <w:color w:val="000000" w:themeColor="text1"/>
                <w:kern w:val="2"/>
                <w:sz w:val="24"/>
                <w:szCs w:val="24"/>
                <w:highlight w:val="none"/>
                <w:u w:val="single"/>
                <w14:textFill>
                  <w14:solidFill>
                    <w14:schemeClr w14:val="tx1"/>
                  </w14:solidFill>
                </w14:textFill>
              </w:rPr>
            </w:pPr>
            <w:r>
              <w:rPr>
                <w:rFonts w:hint="eastAsia" w:cs="宋体"/>
                <w:bCs/>
                <w:color w:val="000000" w:themeColor="text1"/>
                <w:kern w:val="2"/>
                <w:sz w:val="24"/>
                <w:szCs w:val="24"/>
                <w:highlight w:val="none"/>
                <w14:textFill>
                  <w14:solidFill>
                    <w14:schemeClr w14:val="tx1"/>
                  </w14:solidFill>
                </w14:textFill>
              </w:rPr>
              <w:t>时间：年月日时分</w:t>
            </w:r>
          </w:p>
          <w:p w14:paraId="75A537D0">
            <w:pPr>
              <w:spacing w:line="360" w:lineRule="auto"/>
              <w:rPr>
                <w:rFonts w:cs="宋体"/>
                <w:bCs/>
                <w:color w:val="000000" w:themeColor="text1"/>
                <w:kern w:val="2"/>
                <w:sz w:val="24"/>
                <w:szCs w:val="24"/>
                <w:highlight w:val="none"/>
                <w:u w:val="single"/>
                <w14:textFill>
                  <w14:solidFill>
                    <w14:schemeClr w14:val="tx1"/>
                  </w14:solidFill>
                </w14:textFill>
              </w:rPr>
            </w:pPr>
            <w:r>
              <w:rPr>
                <w:rFonts w:hint="eastAsia" w:cs="宋体"/>
                <w:bCs/>
                <w:color w:val="000000" w:themeColor="text1"/>
                <w:kern w:val="2"/>
                <w:sz w:val="24"/>
                <w:szCs w:val="24"/>
                <w:highlight w:val="none"/>
                <w14:textFill>
                  <w14:solidFill>
                    <w14:schemeClr w14:val="tx1"/>
                  </w14:solidFill>
                </w14:textFill>
              </w:rPr>
              <w:t>现场踏勘联系人及联系电话：</w:t>
            </w:r>
          </w:p>
          <w:p w14:paraId="360DF8E0">
            <w:pPr>
              <w:pStyle w:val="76"/>
              <w:widowControl w:val="0"/>
              <w:spacing w:before="0" w:beforeAutospacing="0" w:after="0" w:afterAutospacing="0" w:line="360" w:lineRule="auto"/>
              <w:jc w:val="both"/>
              <w:rPr>
                <w:rFonts w:cs="宋体"/>
                <w:color w:val="000000" w:themeColor="text1"/>
                <w:sz w:val="24"/>
                <w:szCs w:val="24"/>
                <w:highlight w:val="none"/>
                <w14:textFill>
                  <w14:solidFill>
                    <w14:schemeClr w14:val="tx1"/>
                  </w14:solidFill>
                </w14:textFill>
              </w:rPr>
            </w:pPr>
            <w:r>
              <w:rPr>
                <w:rFonts w:hint="eastAsia" w:cs="宋体"/>
                <w:bCs w:val="0"/>
                <w:color w:val="000000" w:themeColor="text1"/>
                <w:kern w:val="2"/>
                <w:sz w:val="24"/>
                <w:szCs w:val="24"/>
                <w:highlight w:val="none"/>
                <w14:textFill>
                  <w14:solidFill>
                    <w14:schemeClr w14:val="tx1"/>
                  </w14:solidFill>
                </w14:textFill>
              </w:rPr>
              <w:t>备注：如投标人未参加招标人统一组织的现场踏勘，视同放弃现场踏勘，由此引起的一切责任由投标人自行承担。</w:t>
            </w:r>
          </w:p>
        </w:tc>
      </w:tr>
      <w:tr w14:paraId="79D9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98D8B68">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5</w:t>
            </w:r>
          </w:p>
        </w:tc>
        <w:tc>
          <w:tcPr>
            <w:tcW w:w="941" w:type="pct"/>
            <w:vAlign w:val="center"/>
          </w:tcPr>
          <w:p w14:paraId="4D60AE56">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初审业绩要求</w:t>
            </w:r>
          </w:p>
        </w:tc>
        <w:tc>
          <w:tcPr>
            <w:tcW w:w="3499" w:type="pct"/>
            <w:vAlign w:val="center"/>
          </w:tcPr>
          <w:p w14:paraId="3A564926">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58DD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BA47655">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6</w:t>
            </w:r>
          </w:p>
        </w:tc>
        <w:tc>
          <w:tcPr>
            <w:tcW w:w="941" w:type="pct"/>
            <w:vAlign w:val="center"/>
          </w:tcPr>
          <w:p w14:paraId="138397BE">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投标人提出疑问截止时间</w:t>
            </w:r>
          </w:p>
        </w:tc>
        <w:tc>
          <w:tcPr>
            <w:tcW w:w="3499" w:type="pct"/>
          </w:tcPr>
          <w:p w14:paraId="78893C52">
            <w:pPr>
              <w:spacing w:line="440" w:lineRule="exact"/>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（1）时间：</w:t>
            </w:r>
            <w:r>
              <w:rPr>
                <w:rFonts w:hint="eastAsia" w:cs="宋体"/>
                <w:bCs/>
                <w:color w:val="000000" w:themeColor="text1"/>
                <w:sz w:val="24"/>
                <w:szCs w:val="24"/>
                <w:highlight w:val="none"/>
                <w:lang w:val="en-US" w:eastAsia="zh-CN"/>
                <w14:textFill>
                  <w14:solidFill>
                    <w14:schemeClr w14:val="tx1"/>
                  </w14:solidFill>
                </w14:textFill>
              </w:rPr>
              <w:t>2024</w:t>
            </w:r>
            <w:r>
              <w:rPr>
                <w:rFonts w:hint="eastAsia" w:cs="宋体"/>
                <w:bCs/>
                <w:color w:val="000000" w:themeColor="text1"/>
                <w:kern w:val="2"/>
                <w:sz w:val="24"/>
                <w:szCs w:val="24"/>
                <w:highlight w:val="none"/>
                <w14:textFill>
                  <w14:solidFill>
                    <w14:schemeClr w14:val="tx1"/>
                  </w14:solidFill>
                </w14:textFill>
              </w:rPr>
              <w:t>年</w:t>
            </w:r>
            <w:r>
              <w:rPr>
                <w:rFonts w:hint="eastAsia" w:cs="宋体"/>
                <w:bCs/>
                <w:color w:val="000000" w:themeColor="text1"/>
                <w:kern w:val="2"/>
                <w:sz w:val="24"/>
                <w:szCs w:val="24"/>
                <w:highlight w:val="none"/>
                <w:lang w:val="en-US" w:eastAsia="zh-CN"/>
                <w14:textFill>
                  <w14:solidFill>
                    <w14:schemeClr w14:val="tx1"/>
                  </w14:solidFill>
                </w14:textFill>
              </w:rPr>
              <w:t>08</w:t>
            </w:r>
            <w:r>
              <w:rPr>
                <w:rFonts w:hint="eastAsia" w:cs="宋体"/>
                <w:bCs/>
                <w:color w:val="000000" w:themeColor="text1"/>
                <w:kern w:val="2"/>
                <w:sz w:val="24"/>
                <w:szCs w:val="24"/>
                <w:highlight w:val="none"/>
                <w14:textFill>
                  <w14:solidFill>
                    <w14:schemeClr w14:val="tx1"/>
                  </w14:solidFill>
                </w14:textFill>
              </w:rPr>
              <w:t>月</w:t>
            </w:r>
            <w:r>
              <w:rPr>
                <w:rFonts w:hint="eastAsia" w:cs="宋体"/>
                <w:bCs/>
                <w:color w:val="000000" w:themeColor="text1"/>
                <w:kern w:val="2"/>
                <w:sz w:val="24"/>
                <w:szCs w:val="24"/>
                <w:highlight w:val="none"/>
                <w:lang w:val="en-US" w:eastAsia="zh-CN"/>
                <w14:textFill>
                  <w14:solidFill>
                    <w14:schemeClr w14:val="tx1"/>
                  </w14:solidFill>
                </w14:textFill>
              </w:rPr>
              <w:t>16</w:t>
            </w:r>
            <w:r>
              <w:rPr>
                <w:rFonts w:hint="eastAsia" w:cs="宋体"/>
                <w:bCs/>
                <w:color w:val="000000" w:themeColor="text1"/>
                <w:kern w:val="2"/>
                <w:sz w:val="24"/>
                <w:szCs w:val="24"/>
                <w:highlight w:val="none"/>
                <w14:textFill>
                  <w14:solidFill>
                    <w14:schemeClr w14:val="tx1"/>
                  </w14:solidFill>
                </w14:textFill>
              </w:rPr>
              <w:t>日</w:t>
            </w:r>
            <w:r>
              <w:rPr>
                <w:rFonts w:hint="eastAsia" w:cs="宋体"/>
                <w:bCs/>
                <w:color w:val="000000" w:themeColor="text1"/>
                <w:kern w:val="2"/>
                <w:sz w:val="24"/>
                <w:szCs w:val="24"/>
                <w:highlight w:val="none"/>
                <w:lang w:val="en-US" w:eastAsia="zh-CN"/>
                <w14:textFill>
                  <w14:solidFill>
                    <w14:schemeClr w14:val="tx1"/>
                  </w14:solidFill>
                </w14:textFill>
              </w:rPr>
              <w:t>17</w:t>
            </w:r>
            <w:r>
              <w:rPr>
                <w:rFonts w:hint="eastAsia" w:cs="宋体"/>
                <w:bCs/>
                <w:color w:val="000000" w:themeColor="text1"/>
                <w:kern w:val="2"/>
                <w:sz w:val="24"/>
                <w:szCs w:val="24"/>
                <w:highlight w:val="none"/>
                <w14:textFill>
                  <w14:solidFill>
                    <w14:schemeClr w14:val="tx1"/>
                  </w14:solidFill>
                </w14:textFill>
              </w:rPr>
              <w:t>时</w:t>
            </w:r>
            <w:r>
              <w:rPr>
                <w:rFonts w:hint="eastAsia" w:cs="宋体"/>
                <w:bCs/>
                <w:color w:val="000000" w:themeColor="text1"/>
                <w:kern w:val="2"/>
                <w:sz w:val="24"/>
                <w:szCs w:val="24"/>
                <w:highlight w:val="none"/>
                <w:lang w:val="en-US" w:eastAsia="zh-CN"/>
                <w14:textFill>
                  <w14:solidFill>
                    <w14:schemeClr w14:val="tx1"/>
                  </w14:solidFill>
                </w14:textFill>
              </w:rPr>
              <w:t>30</w:t>
            </w:r>
            <w:r>
              <w:rPr>
                <w:rFonts w:hint="eastAsia" w:cs="宋体"/>
                <w:bCs/>
                <w:color w:val="000000" w:themeColor="text1"/>
                <w:kern w:val="2"/>
                <w:sz w:val="24"/>
                <w:szCs w:val="24"/>
                <w:highlight w:val="none"/>
                <w14:textFill>
                  <w14:solidFill>
                    <w14:schemeClr w14:val="tx1"/>
                  </w14:solidFill>
                </w14:textFill>
              </w:rPr>
              <w:t>分</w:t>
            </w:r>
          </w:p>
          <w:p w14:paraId="26B47DF4">
            <w:pPr>
              <w:spacing w:line="440" w:lineRule="exact"/>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（2）形式：通过电子交易系统提交</w:t>
            </w:r>
          </w:p>
        </w:tc>
      </w:tr>
      <w:tr w14:paraId="3417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D401BDC">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7</w:t>
            </w:r>
          </w:p>
        </w:tc>
        <w:tc>
          <w:tcPr>
            <w:tcW w:w="941" w:type="pct"/>
            <w:vAlign w:val="center"/>
          </w:tcPr>
          <w:p w14:paraId="12C46D81">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构成谈判的其他材料</w:t>
            </w:r>
          </w:p>
        </w:tc>
        <w:tc>
          <w:tcPr>
            <w:tcW w:w="3499" w:type="pct"/>
            <w:vAlign w:val="center"/>
          </w:tcPr>
          <w:p w14:paraId="61BF9371">
            <w:pPr>
              <w:adjustRightInd w:val="0"/>
              <w:snapToGrid w:val="0"/>
              <w:spacing w:line="360" w:lineRule="auto"/>
              <w:jc w:val="left"/>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无</w:t>
            </w:r>
          </w:p>
          <w:p w14:paraId="47B11CE9">
            <w:pPr>
              <w:adjustRightInd w:val="0"/>
              <w:snapToGrid w:val="0"/>
              <w:spacing w:line="360" w:lineRule="auto"/>
              <w:jc w:val="left"/>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□图纸</w:t>
            </w:r>
          </w:p>
          <w:p w14:paraId="2CB6FA03">
            <w:pPr>
              <w:adjustRightInd w:val="0"/>
              <w:snapToGrid w:val="0"/>
              <w:spacing w:line="360" w:lineRule="auto"/>
              <w:jc w:val="left"/>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获得方式：</w:t>
            </w:r>
          </w:p>
          <w:p w14:paraId="3665792E">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上述资料请投标人在获取谈判文件后，自行登录电子交易系统下载本项目附件。</w:t>
            </w:r>
          </w:p>
        </w:tc>
      </w:tr>
      <w:tr w14:paraId="1158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6C73AF87">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8</w:t>
            </w:r>
          </w:p>
        </w:tc>
        <w:tc>
          <w:tcPr>
            <w:tcW w:w="941" w:type="pct"/>
            <w:vAlign w:val="center"/>
          </w:tcPr>
          <w:p w14:paraId="0D5B53D7">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谈判保证金</w:t>
            </w:r>
          </w:p>
        </w:tc>
        <w:tc>
          <w:tcPr>
            <w:tcW w:w="3499" w:type="pct"/>
            <w:vAlign w:val="center"/>
          </w:tcPr>
          <w:p w14:paraId="6FE7ACFC">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w:t>
            </w:r>
            <w:r>
              <w:rPr>
                <w:rFonts w:cs="宋体"/>
                <w:color w:val="000000" w:themeColor="text1"/>
                <w:kern w:val="2"/>
                <w:sz w:val="24"/>
                <w:szCs w:val="24"/>
                <w:highlight w:val="none"/>
                <w:lang w:val="zh-CN"/>
                <w14:textFill>
                  <w14:solidFill>
                    <w14:schemeClr w14:val="tx1"/>
                  </w14:solidFill>
                </w14:textFill>
              </w:rPr>
              <w:t>1）金额：</w:t>
            </w:r>
            <w:r>
              <w:rPr>
                <w:rFonts w:cs="宋体"/>
                <w:color w:val="000000" w:themeColor="text1"/>
                <w:kern w:val="2"/>
                <w:sz w:val="24"/>
                <w:szCs w:val="24"/>
                <w:highlight w:val="none"/>
                <w:u w:val="single"/>
                <w:lang w:val="zh-CN"/>
                <w14:textFill>
                  <w14:solidFill>
                    <w14:schemeClr w14:val="tx1"/>
                  </w14:solidFill>
                </w14:textFill>
              </w:rPr>
              <w:t>贰仟元人民币</w:t>
            </w:r>
            <w:r>
              <w:rPr>
                <w:rFonts w:cs="宋体"/>
                <w:color w:val="000000" w:themeColor="text1"/>
                <w:kern w:val="2"/>
                <w:sz w:val="24"/>
                <w:szCs w:val="24"/>
                <w:highlight w:val="none"/>
                <w:lang w:val="zh-CN"/>
                <w14:textFill>
                  <w14:solidFill>
                    <w14:schemeClr w14:val="tx1"/>
                  </w14:solidFill>
                </w14:textFill>
              </w:rPr>
              <w:t>。</w:t>
            </w:r>
          </w:p>
          <w:p w14:paraId="2F0052D7">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w:t>
            </w:r>
            <w:r>
              <w:rPr>
                <w:rFonts w:cs="宋体"/>
                <w:color w:val="000000" w:themeColor="text1"/>
                <w:kern w:val="2"/>
                <w:sz w:val="24"/>
                <w:szCs w:val="24"/>
                <w:highlight w:val="none"/>
                <w:lang w:val="zh-CN"/>
                <w14:textFill>
                  <w14:solidFill>
                    <w14:schemeClr w14:val="tx1"/>
                  </w14:solidFill>
                </w14:textFill>
              </w:rPr>
              <w:t xml:space="preserve">2）缴纳形式：银行转账  银行电汇  银行保函 </w:t>
            </w:r>
          </w:p>
          <w:p w14:paraId="71E253F8">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w:t>
            </w:r>
            <w:r>
              <w:rPr>
                <w:rFonts w:cs="宋体"/>
                <w:color w:val="000000" w:themeColor="text1"/>
                <w:kern w:val="2"/>
                <w:sz w:val="24"/>
                <w:szCs w:val="24"/>
                <w:highlight w:val="none"/>
                <w:lang w:val="zh-CN"/>
                <w14:textFill>
                  <w14:solidFill>
                    <w14:schemeClr w14:val="tx1"/>
                  </w14:solidFill>
                </w14:textFill>
              </w:rPr>
              <w:t>3）递交要求：</w:t>
            </w:r>
          </w:p>
          <w:p w14:paraId="067DD977">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①谈判保证金的到账截止时间：谈判截止时间。</w:t>
            </w:r>
          </w:p>
          <w:p w14:paraId="3DCB3DE3">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②转入的开户银行及账号见本项目招标公告所示。</w:t>
            </w:r>
          </w:p>
          <w:p w14:paraId="79287DF7">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③采用银行保函，应为投标人基本账户开户行出具的见索即付无条件银行保函；投标人必须提供明确有效的查询途径（网址链接及查询方式），否则该银行保函无效。评审时评审小组保留现场核查权利。</w:t>
            </w:r>
          </w:p>
          <w:p w14:paraId="7656D5D0">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14:paraId="2E89DB50">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w:t>
            </w:r>
            <w:r>
              <w:rPr>
                <w:rFonts w:cs="宋体"/>
                <w:color w:val="000000" w:themeColor="text1"/>
                <w:kern w:val="2"/>
                <w:sz w:val="24"/>
                <w:szCs w:val="24"/>
                <w:highlight w:val="none"/>
                <w:lang w:val="zh-CN"/>
                <w14:textFill>
                  <w14:solidFill>
                    <w14:schemeClr w14:val="tx1"/>
                  </w14:solidFill>
                </w14:textFill>
              </w:rPr>
              <w:t>4）注意事项：</w:t>
            </w:r>
          </w:p>
          <w:p w14:paraId="2BF31342">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①谈判保证金交纳账号采用动态虚拟账号，项目招标失败后，谈判保证金交纳账号将会发生变化，请投标人参与后续招标时，注意勿将谈判保证金错交至其他项目虚拟账号或前次公告账号。</w:t>
            </w:r>
          </w:p>
          <w:p w14:paraId="439C4BA7">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②如本项目前次招标失败，招标人退还投标人的谈判保证金。投标人参与本次谈判，须向本项目本次公告公布的谈判保证金账号重新交纳谈判保证金。</w:t>
            </w:r>
          </w:p>
          <w:p w14:paraId="3C4EAD8F">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③凡转账到其他项目虚拟账户或本项目前次公告账户的，谈判保证金无效。</w:t>
            </w:r>
          </w:p>
          <w:p w14:paraId="4FD8A1AF">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④投标人参与本项目多个标段投标的（如分多标段的），应该按标段分别递交谈判保证金。未递交谈判保证金的标段，其投标无效。</w:t>
            </w:r>
          </w:p>
          <w:p w14:paraId="518D688F">
            <w:pPr>
              <w:pBdr>
                <w:bottom w:val="thinThickSmallGap" w:color="auto" w:sz="18" w:space="1"/>
              </w:pBdr>
              <w:snapToGrid w:val="0"/>
              <w:spacing w:line="360" w:lineRule="auto"/>
              <w:ind w:firstLine="120" w:firstLineChars="50"/>
              <w:rPr>
                <w:rFonts w:eastAsia="@微软简标宋" w:cs="宋体"/>
                <w:color w:val="000000" w:themeColor="text1"/>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⑤以上银行保函承担责任的方式须满足无条件见索即付条件。</w:t>
            </w:r>
          </w:p>
        </w:tc>
      </w:tr>
      <w:tr w14:paraId="44A7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CA4A55A">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9</w:t>
            </w:r>
          </w:p>
        </w:tc>
        <w:tc>
          <w:tcPr>
            <w:tcW w:w="941" w:type="pct"/>
            <w:vAlign w:val="center"/>
          </w:tcPr>
          <w:p w14:paraId="5F74A2D4">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不予退还谈判保证金的情形</w:t>
            </w:r>
          </w:p>
        </w:tc>
        <w:tc>
          <w:tcPr>
            <w:tcW w:w="3499" w:type="pct"/>
            <w:vAlign w:val="center"/>
          </w:tcPr>
          <w:p w14:paraId="2A45BC75">
            <w:pP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w:t>
            </w:r>
            <w:r>
              <w:rPr>
                <w:rFonts w:hint="eastAsia" w:cs="宋体"/>
                <w:color w:val="000000" w:themeColor="text1"/>
                <w:kern w:val="2"/>
                <w:sz w:val="24"/>
                <w:szCs w:val="24"/>
                <w:highlight w:val="none"/>
                <w14:textFill>
                  <w14:solidFill>
                    <w14:schemeClr w14:val="tx1"/>
                  </w14:solidFill>
                </w14:textFill>
              </w:rPr>
              <w:t>1</w:t>
            </w:r>
            <w:r>
              <w:rPr>
                <w:rFonts w:hint="eastAsia" w:cs="宋体"/>
                <w:color w:val="000000" w:themeColor="text1"/>
                <w:kern w:val="2"/>
                <w:sz w:val="24"/>
                <w:szCs w:val="24"/>
                <w:highlight w:val="none"/>
                <w:lang w:val="zh-CN"/>
                <w14:textFill>
                  <w14:solidFill>
                    <w14:schemeClr w14:val="tx1"/>
                  </w14:solidFill>
                </w14:textFill>
              </w:rPr>
              <w:t>）投标人在谈判有效期内撤销投标文件的；</w:t>
            </w:r>
          </w:p>
          <w:p w14:paraId="58B491BE">
            <w:pP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w:t>
            </w:r>
            <w:r>
              <w:rPr>
                <w:rFonts w:hint="eastAsia" w:cs="宋体"/>
                <w:color w:val="000000" w:themeColor="text1"/>
                <w:kern w:val="2"/>
                <w:sz w:val="24"/>
                <w:szCs w:val="24"/>
                <w:highlight w:val="none"/>
                <w14:textFill>
                  <w14:solidFill>
                    <w14:schemeClr w14:val="tx1"/>
                  </w14:solidFill>
                </w14:textFill>
              </w:rPr>
              <w:t>2</w:t>
            </w:r>
            <w:r>
              <w:rPr>
                <w:rFonts w:hint="eastAsia" w:cs="宋体"/>
                <w:color w:val="000000" w:themeColor="text1"/>
                <w:kern w:val="2"/>
                <w:sz w:val="24"/>
                <w:szCs w:val="24"/>
                <w:highlight w:val="none"/>
                <w:lang w:val="zh-CN"/>
                <w14:textFill>
                  <w14:solidFill>
                    <w14:schemeClr w14:val="tx1"/>
                  </w14:solidFill>
                </w14:textFill>
              </w:rPr>
              <w:t>）中标人放弃中标资格的；</w:t>
            </w:r>
          </w:p>
          <w:p w14:paraId="6AAA1E9B">
            <w:pPr>
              <w:snapToGrid w:val="0"/>
              <w:spacing w:line="360" w:lineRule="auto"/>
              <w:ind w:firstLine="120" w:firstLineChars="50"/>
              <w:rPr>
                <w:rFonts w:cs="宋体"/>
                <w:color w:val="000000" w:themeColor="text1"/>
                <w:sz w:val="24"/>
                <w:szCs w:val="24"/>
                <w:highlight w:val="none"/>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w:t>
            </w:r>
            <w:r>
              <w:rPr>
                <w:rFonts w:hint="eastAsia" w:cs="宋体"/>
                <w:color w:val="000000" w:themeColor="text1"/>
                <w:kern w:val="2"/>
                <w:sz w:val="24"/>
                <w:szCs w:val="24"/>
                <w:highlight w:val="none"/>
                <w14:textFill>
                  <w14:solidFill>
                    <w14:schemeClr w14:val="tx1"/>
                  </w14:solidFill>
                </w14:textFill>
              </w:rPr>
              <w:t>3</w:t>
            </w:r>
            <w:r>
              <w:rPr>
                <w:rFonts w:hint="eastAsia" w:cs="宋体"/>
                <w:color w:val="000000" w:themeColor="text1"/>
                <w:kern w:val="2"/>
                <w:sz w:val="24"/>
                <w:szCs w:val="24"/>
                <w:highlight w:val="none"/>
                <w:lang w:val="zh-CN"/>
                <w14:textFill>
                  <w14:solidFill>
                    <w14:schemeClr w14:val="tx1"/>
                  </w14:solidFill>
                </w14:textFill>
              </w:rPr>
              <w:t>）</w:t>
            </w:r>
            <w:r>
              <w:rPr>
                <w:rFonts w:hint="eastAsia" w:cs="宋体"/>
                <w:color w:val="000000" w:themeColor="text1"/>
                <w:kern w:val="2"/>
                <w:sz w:val="24"/>
                <w:szCs w:val="24"/>
                <w:highlight w:val="none"/>
                <w14:textFill>
                  <w14:solidFill>
                    <w14:schemeClr w14:val="tx1"/>
                  </w14:solidFill>
                </w14:textFill>
              </w:rPr>
              <w:t>谈判文件规定的其他不予退还的情形。</w:t>
            </w:r>
          </w:p>
        </w:tc>
      </w:tr>
      <w:tr w14:paraId="3667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036777E">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10</w:t>
            </w:r>
          </w:p>
        </w:tc>
        <w:tc>
          <w:tcPr>
            <w:tcW w:w="941" w:type="pct"/>
            <w:vAlign w:val="center"/>
          </w:tcPr>
          <w:p w14:paraId="240D6D4D">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谈判现场提交的其他材料要求</w:t>
            </w:r>
          </w:p>
        </w:tc>
        <w:tc>
          <w:tcPr>
            <w:tcW w:w="3499" w:type="pct"/>
            <w:vAlign w:val="center"/>
          </w:tcPr>
          <w:p w14:paraId="2FBE7BE6">
            <w:pPr>
              <w:pStyle w:val="76"/>
              <w:widowControl w:val="0"/>
              <w:spacing w:before="0" w:beforeAutospacing="0" w:after="0" w:afterAutospacing="0" w:line="360" w:lineRule="auto"/>
              <w:rPr>
                <w:rFonts w:cs="宋体"/>
                <w:b w:val="0"/>
                <w:color w:val="000000" w:themeColor="text1"/>
                <w:sz w:val="24"/>
                <w:szCs w:val="24"/>
                <w:highlight w:val="none"/>
                <w:u w:val="singl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w:t>
            </w:r>
          </w:p>
        </w:tc>
      </w:tr>
      <w:tr w14:paraId="1C00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411733B">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11</w:t>
            </w:r>
          </w:p>
        </w:tc>
        <w:tc>
          <w:tcPr>
            <w:tcW w:w="941" w:type="pct"/>
            <w:vAlign w:val="center"/>
          </w:tcPr>
          <w:p w14:paraId="2CC5B668">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投标文件解密时间</w:t>
            </w:r>
          </w:p>
        </w:tc>
        <w:tc>
          <w:tcPr>
            <w:tcW w:w="3499" w:type="pct"/>
            <w:vAlign w:val="center"/>
          </w:tcPr>
          <w:p w14:paraId="51331025">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投标文件提交截止时间后30分钟内（以电子交易系统解密倒计时为准）</w:t>
            </w:r>
          </w:p>
        </w:tc>
      </w:tr>
      <w:tr w14:paraId="784C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Merge w:val="restart"/>
            <w:vAlign w:val="center"/>
          </w:tcPr>
          <w:p w14:paraId="3F6E9EE2">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12</w:t>
            </w:r>
          </w:p>
        </w:tc>
        <w:tc>
          <w:tcPr>
            <w:tcW w:w="941" w:type="pct"/>
            <w:vMerge w:val="restart"/>
            <w:vAlign w:val="center"/>
          </w:tcPr>
          <w:p w14:paraId="32179FE6">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确定中标候选人和中标人</w:t>
            </w:r>
          </w:p>
        </w:tc>
        <w:tc>
          <w:tcPr>
            <w:tcW w:w="3499" w:type="pct"/>
            <w:vAlign w:val="center"/>
          </w:tcPr>
          <w:p w14:paraId="5DA2AAE4">
            <w:pPr>
              <w:pStyle w:val="76"/>
              <w:widowControl w:val="0"/>
              <w:spacing w:before="0" w:beforeAutospacing="0" w:after="0" w:afterAutospacing="0" w:line="360" w:lineRule="auto"/>
              <w:jc w:val="both"/>
              <w:rPr>
                <w:rFonts w:cs="宋体"/>
                <w:b w:val="0"/>
                <w:color w:val="000000" w:themeColor="text1"/>
                <w:sz w:val="24"/>
                <w:szCs w:val="24"/>
                <w:highlight w:val="none"/>
                <w:u w:val="singl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评审小组推荐中标候选人的数量：</w:t>
            </w:r>
            <w:r>
              <w:rPr>
                <w:rFonts w:hint="eastAsia" w:cs="宋体"/>
                <w:b w:val="0"/>
                <w:color w:val="000000" w:themeColor="text1"/>
                <w:sz w:val="24"/>
                <w:szCs w:val="24"/>
                <w:highlight w:val="none"/>
                <w:u w:val="single"/>
                <w14:textFill>
                  <w14:solidFill>
                    <w14:schemeClr w14:val="tx1"/>
                  </w14:solidFill>
                </w14:textFill>
              </w:rPr>
              <w:t>1家</w:t>
            </w:r>
          </w:p>
        </w:tc>
      </w:tr>
      <w:tr w14:paraId="686F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Merge w:val="continue"/>
            <w:vAlign w:val="center"/>
          </w:tcPr>
          <w:p w14:paraId="335BE215">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p>
        </w:tc>
        <w:tc>
          <w:tcPr>
            <w:tcW w:w="941" w:type="pct"/>
            <w:vMerge w:val="continue"/>
            <w:vAlign w:val="center"/>
          </w:tcPr>
          <w:p w14:paraId="031B410E">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p>
        </w:tc>
        <w:tc>
          <w:tcPr>
            <w:tcW w:w="3499" w:type="pct"/>
            <w:vAlign w:val="center"/>
          </w:tcPr>
          <w:p w14:paraId="0D5E907F">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确定中标人：</w:t>
            </w:r>
          </w:p>
          <w:p w14:paraId="4457F8F2">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sym w:font="Wingdings 2" w:char="0052"/>
            </w:r>
            <w:r>
              <w:rPr>
                <w:rFonts w:hint="eastAsia" w:cs="宋体"/>
                <w:b w:val="0"/>
                <w:color w:val="000000" w:themeColor="text1"/>
                <w:sz w:val="24"/>
                <w:szCs w:val="24"/>
                <w:highlight w:val="none"/>
                <w14:textFill>
                  <w14:solidFill>
                    <w14:schemeClr w14:val="tx1"/>
                  </w14:solidFill>
                </w14:textFill>
              </w:rPr>
              <w:t xml:space="preserve">招标人委托评审小组确定     </w:t>
            </w:r>
          </w:p>
          <w:p w14:paraId="28AE4882">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sym w:font="Wingdings 2" w:char="00A3"/>
            </w:r>
            <w:r>
              <w:rPr>
                <w:rFonts w:hint="eastAsia" w:cs="宋体"/>
                <w:b w:val="0"/>
                <w:color w:val="000000" w:themeColor="text1"/>
                <w:sz w:val="24"/>
                <w:szCs w:val="24"/>
                <w:highlight w:val="none"/>
                <w14:textFill>
                  <w14:solidFill>
                    <w14:schemeClr w14:val="tx1"/>
                  </w14:solidFill>
                </w14:textFill>
              </w:rPr>
              <w:t>招标人确定</w:t>
            </w:r>
          </w:p>
        </w:tc>
      </w:tr>
      <w:tr w14:paraId="4D53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C321DB3">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13</w:t>
            </w:r>
          </w:p>
        </w:tc>
        <w:tc>
          <w:tcPr>
            <w:tcW w:w="941" w:type="pct"/>
            <w:vAlign w:val="center"/>
          </w:tcPr>
          <w:p w14:paraId="69A1C417">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中标通知书发出的形式</w:t>
            </w:r>
          </w:p>
        </w:tc>
        <w:tc>
          <w:tcPr>
            <w:tcW w:w="3499" w:type="pct"/>
            <w:vAlign w:val="center"/>
          </w:tcPr>
          <w:p w14:paraId="7839D175">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 xml:space="preserve">□书面     </w:t>
            </w:r>
            <w:r>
              <w:rPr>
                <w:rFonts w:hint="eastAsia" w:cs="宋体"/>
                <w:b w:val="0"/>
                <w:color w:val="000000" w:themeColor="text1"/>
                <w:sz w:val="24"/>
                <w:szCs w:val="24"/>
                <w:highlight w:val="none"/>
                <w14:textFill>
                  <w14:solidFill>
                    <w14:schemeClr w14:val="tx1"/>
                  </w14:solidFill>
                </w14:textFill>
              </w:rPr>
              <w:sym w:font="Wingdings" w:char="F0FE"/>
            </w:r>
            <w:r>
              <w:rPr>
                <w:rFonts w:hint="eastAsia" w:cs="宋体"/>
                <w:b w:val="0"/>
                <w:color w:val="000000" w:themeColor="text1"/>
                <w:sz w:val="24"/>
                <w:szCs w:val="24"/>
                <w:highlight w:val="none"/>
                <w14:textFill>
                  <w14:solidFill>
                    <w14:schemeClr w14:val="tx1"/>
                  </w14:solidFill>
                </w14:textFill>
              </w:rPr>
              <w:t>数据电文</w:t>
            </w:r>
          </w:p>
          <w:p w14:paraId="2F82CD59">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特别提醒：本项目发布中标结果公告的同时，通过电子交易系统向中标人发出中标通知书。中标通知书发出视为已送达，投标人应主动登录电子交易系统查询，代理机构不承担投标人未及时关注相关信息引发的相关责任。</w:t>
            </w:r>
          </w:p>
        </w:tc>
      </w:tr>
      <w:tr w14:paraId="2AF7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5F69DD9A">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14</w:t>
            </w:r>
          </w:p>
        </w:tc>
        <w:tc>
          <w:tcPr>
            <w:tcW w:w="941" w:type="pct"/>
            <w:vAlign w:val="center"/>
          </w:tcPr>
          <w:p w14:paraId="74E3BBB7">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告知谈判结果的形式</w:t>
            </w:r>
          </w:p>
        </w:tc>
        <w:tc>
          <w:tcPr>
            <w:tcW w:w="3499" w:type="pct"/>
            <w:vAlign w:val="center"/>
          </w:tcPr>
          <w:p w14:paraId="09278250">
            <w:pPr>
              <w:pStyle w:val="76"/>
              <w:widowControl w:val="0"/>
              <w:spacing w:before="0" w:beforeAutospacing="0" w:after="0" w:afterAutospacing="0" w:line="360" w:lineRule="auto"/>
              <w:jc w:val="both"/>
              <w:rPr>
                <w:rFonts w:cs="宋体"/>
                <w:b w:val="0"/>
                <w:bCs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sym w:font="Wingdings" w:char="F0FE"/>
            </w:r>
            <w:r>
              <w:rPr>
                <w:rFonts w:hint="eastAsia" w:cs="宋体"/>
                <w:b w:val="0"/>
                <w:bCs w:val="0"/>
                <w:color w:val="000000" w:themeColor="text1"/>
                <w:sz w:val="24"/>
                <w:szCs w:val="24"/>
                <w:highlight w:val="none"/>
                <w14:textFill>
                  <w14:solidFill>
                    <w14:schemeClr w14:val="tx1"/>
                  </w14:solidFill>
                </w14:textFill>
              </w:rPr>
              <w:t>投标人自行登录电子交易系统查看</w:t>
            </w:r>
          </w:p>
          <w:p w14:paraId="1749E9F6">
            <w:pPr>
              <w:pStyle w:val="76"/>
              <w:widowControl w:val="0"/>
              <w:spacing w:before="0" w:beforeAutospacing="0" w:after="0" w:afterAutospacing="0" w:line="360" w:lineRule="auto"/>
              <w:jc w:val="both"/>
              <w:rPr>
                <w:rFonts w:cs="宋体"/>
                <w:b w:val="0"/>
                <w:bCs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□谈判现场告知</w:t>
            </w:r>
          </w:p>
        </w:tc>
      </w:tr>
      <w:tr w14:paraId="6797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F428F26">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15</w:t>
            </w:r>
          </w:p>
        </w:tc>
        <w:tc>
          <w:tcPr>
            <w:tcW w:w="941" w:type="pct"/>
            <w:vAlign w:val="center"/>
          </w:tcPr>
          <w:p w14:paraId="58A93780">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履约保证金</w:t>
            </w:r>
          </w:p>
        </w:tc>
        <w:tc>
          <w:tcPr>
            <w:tcW w:w="3499" w:type="pct"/>
          </w:tcPr>
          <w:p w14:paraId="05062658">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是否要求投标人递交履约保证金：</w:t>
            </w:r>
          </w:p>
          <w:p w14:paraId="2671BA5D">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□不要求  ☑要求</w:t>
            </w:r>
          </w:p>
          <w:p w14:paraId="1747C786">
            <w:pPr>
              <w:snapToGrid w:val="0"/>
              <w:spacing w:line="360" w:lineRule="auto"/>
              <w:rPr>
                <w:rFonts w:cs="宋体"/>
                <w:bCs/>
                <w:snapToGrid w:val="0"/>
                <w:color w:val="000000" w:themeColor="text1"/>
                <w:sz w:val="24"/>
                <w:szCs w:val="24"/>
                <w:highlight w:val="none"/>
                <w14:textFill>
                  <w14:solidFill>
                    <w14:schemeClr w14:val="tx1"/>
                  </w14:solidFill>
                </w14:textFill>
              </w:rPr>
            </w:pPr>
            <w:r>
              <w:rPr>
                <w:rFonts w:hint="eastAsia" w:cs="宋体"/>
                <w:bCs/>
                <w:snapToGrid w:val="0"/>
                <w:color w:val="000000" w:themeColor="text1"/>
                <w:sz w:val="24"/>
                <w:szCs w:val="24"/>
                <w:highlight w:val="none"/>
                <w14:textFill>
                  <w14:solidFill>
                    <w14:schemeClr w14:val="tx1"/>
                  </w14:solidFill>
                </w14:textFill>
              </w:rPr>
              <w:t>（1）金额：</w:t>
            </w:r>
            <w:r>
              <w:rPr>
                <w:rFonts w:hint="eastAsia" w:cs="宋体"/>
                <w:bCs/>
                <w:snapToGrid w:val="0"/>
                <w:color w:val="000000" w:themeColor="text1"/>
                <w:sz w:val="24"/>
                <w:szCs w:val="24"/>
                <w:highlight w:val="none"/>
                <w:u w:val="single"/>
                <w14:textFill>
                  <w14:solidFill>
                    <w14:schemeClr w14:val="tx1"/>
                  </w14:solidFill>
                </w14:textFill>
              </w:rPr>
              <w:t xml:space="preserve">  叁万元人民币    </w:t>
            </w:r>
          </w:p>
          <w:p w14:paraId="01AD44AC">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bCs/>
                <w:snapToGrid w:val="0"/>
                <w:color w:val="000000" w:themeColor="text1"/>
                <w:sz w:val="24"/>
                <w:szCs w:val="24"/>
                <w:highlight w:val="none"/>
                <w14:textFill>
                  <w14:solidFill>
                    <w14:schemeClr w14:val="tx1"/>
                  </w14:solidFill>
                </w14:textFill>
              </w:rPr>
              <w:t>（2）缴纳形式</w:t>
            </w:r>
            <w:r>
              <w:rPr>
                <w:rFonts w:hint="eastAsia"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14:textFill>
                  <w14:solidFill>
                    <w14:schemeClr w14:val="tx1"/>
                  </w14:solidFill>
                </w14:textFill>
              </w:rPr>
              <w:sym w:font="Wingdings 2" w:char="0052"/>
            </w:r>
            <w:r>
              <w:rPr>
                <w:rFonts w:hint="eastAsia" w:cs="宋体"/>
                <w:color w:val="000000" w:themeColor="text1"/>
                <w:sz w:val="24"/>
                <w:szCs w:val="24"/>
                <w:highlight w:val="none"/>
                <w14:textFill>
                  <w14:solidFill>
                    <w14:schemeClr w14:val="tx1"/>
                  </w14:solidFill>
                </w14:textFill>
              </w:rPr>
              <w:t xml:space="preserve">银行转账  </w:t>
            </w:r>
            <w:r>
              <w:rPr>
                <w:rFonts w:hint="eastAsia" w:cs="宋体"/>
                <w:color w:val="000000" w:themeColor="text1"/>
                <w:sz w:val="24"/>
                <w:szCs w:val="24"/>
                <w:highlight w:val="none"/>
                <w14:textFill>
                  <w14:solidFill>
                    <w14:schemeClr w14:val="tx1"/>
                  </w14:solidFill>
                </w14:textFill>
              </w:rPr>
              <w:sym w:font="Wingdings 2" w:char="00A3"/>
            </w:r>
            <w:r>
              <w:rPr>
                <w:rFonts w:hint="eastAsia" w:cs="宋体"/>
                <w:color w:val="000000" w:themeColor="text1"/>
                <w:sz w:val="24"/>
                <w:szCs w:val="24"/>
                <w:highlight w:val="none"/>
                <w14:textFill>
                  <w14:solidFill>
                    <w14:schemeClr w14:val="tx1"/>
                  </w14:solidFill>
                </w14:textFill>
              </w:rPr>
              <w:t xml:space="preserve">银行电汇  </w:t>
            </w:r>
            <w:r>
              <w:rPr>
                <w:rFonts w:hint="eastAsia" w:cs="宋体"/>
                <w:color w:val="000000" w:themeColor="text1"/>
                <w:sz w:val="24"/>
                <w:szCs w:val="24"/>
                <w:highlight w:val="none"/>
                <w14:textFill>
                  <w14:solidFill>
                    <w14:schemeClr w14:val="tx1"/>
                  </w14:solidFill>
                </w14:textFill>
              </w:rPr>
              <w:sym w:font="Wingdings 2" w:char="00A3"/>
            </w:r>
            <w:r>
              <w:rPr>
                <w:rFonts w:hint="eastAsia" w:cs="宋体"/>
                <w:color w:val="000000" w:themeColor="text1"/>
                <w:sz w:val="24"/>
                <w:szCs w:val="24"/>
                <w:highlight w:val="none"/>
                <w14:textFill>
                  <w14:solidFill>
                    <w14:schemeClr w14:val="tx1"/>
                  </w14:solidFill>
                </w14:textFill>
              </w:rPr>
              <w:t>银行保函</w:t>
            </w:r>
          </w:p>
          <w:p w14:paraId="4639D038">
            <w:pPr>
              <w:snapToGrid w:val="0"/>
              <w:spacing w:line="360" w:lineRule="auto"/>
              <w:rPr>
                <w:rFonts w:cs="宋体"/>
                <w:b/>
                <w:bCs/>
                <w:snapToGrid w:val="0"/>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（3）具体要求：采用银行保函的，应为不可撤销、不可转让的见索即付独立保函。</w:t>
            </w:r>
          </w:p>
          <w:p w14:paraId="618E4CFF">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p>
        </w:tc>
      </w:tr>
      <w:tr w14:paraId="2B77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790758C">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16</w:t>
            </w:r>
          </w:p>
        </w:tc>
        <w:tc>
          <w:tcPr>
            <w:tcW w:w="941" w:type="pct"/>
            <w:vAlign w:val="center"/>
          </w:tcPr>
          <w:p w14:paraId="4C74D2AB">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招标代理服务费</w:t>
            </w:r>
          </w:p>
        </w:tc>
        <w:tc>
          <w:tcPr>
            <w:tcW w:w="3499" w:type="pct"/>
            <w:vAlign w:val="center"/>
          </w:tcPr>
          <w:p w14:paraId="7E959B79">
            <w:pPr>
              <w:spacing w:line="360" w:lineRule="auto"/>
              <w:rPr>
                <w:rFonts w:cs="楷体"/>
                <w:bCs/>
                <w:snapToGrid w:val="0"/>
                <w:color w:val="000000" w:themeColor="text1"/>
                <w:sz w:val="24"/>
                <w:szCs w:val="24"/>
                <w:highlight w:val="none"/>
                <w14:textFill>
                  <w14:solidFill>
                    <w14:schemeClr w14:val="tx1"/>
                  </w14:solidFill>
                </w14:textFill>
              </w:rPr>
            </w:pPr>
            <w:r>
              <w:rPr>
                <w:rFonts w:hint="eastAsia" w:cs="楷体"/>
                <w:bCs/>
                <w:snapToGrid w:val="0"/>
                <w:color w:val="000000" w:themeColor="text1"/>
                <w:sz w:val="24"/>
                <w:szCs w:val="24"/>
                <w:highlight w:val="none"/>
                <w14:textFill>
                  <w14:solidFill>
                    <w14:schemeClr w14:val="tx1"/>
                  </w14:solidFill>
                </w14:textFill>
              </w:rPr>
              <w:t>招标代理服务费：中标人在领取中标通知书前须向招标代理机构缴纳招标代理服务费，可以银行转账、银行电汇方式。</w:t>
            </w:r>
          </w:p>
          <w:p w14:paraId="3AC54315">
            <w:pPr>
              <w:spacing w:line="360" w:lineRule="auto"/>
              <w:rPr>
                <w:color w:val="000000" w:themeColor="text1"/>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本项目采取定额收费，</w:t>
            </w:r>
            <w:r>
              <w:rPr>
                <w:rFonts w:hint="eastAsia" w:cs="楷体"/>
                <w:bCs/>
                <w:snapToGrid w:val="0"/>
                <w:color w:val="000000" w:themeColor="text1"/>
                <w:sz w:val="24"/>
                <w:szCs w:val="24"/>
                <w:highlight w:val="none"/>
                <w14:textFill>
                  <w14:solidFill>
                    <w14:schemeClr w14:val="tx1"/>
                  </w14:solidFill>
                </w14:textFill>
              </w:rPr>
              <w:t>按照4000元人民币最低标准收取</w:t>
            </w:r>
            <w:r>
              <w:rPr>
                <w:rFonts w:hint="eastAsia" w:cs="宋体"/>
                <w:bCs/>
                <w:color w:val="000000" w:themeColor="text1"/>
                <w:sz w:val="24"/>
                <w:szCs w:val="24"/>
                <w:highlight w:val="none"/>
                <w14:textFill>
                  <w14:solidFill>
                    <w14:schemeClr w14:val="tx1"/>
                  </w14:solidFill>
                </w14:textFill>
              </w:rPr>
              <w:t>。</w:t>
            </w:r>
          </w:p>
        </w:tc>
      </w:tr>
      <w:tr w14:paraId="4CA9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BCCB2F4">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17</w:t>
            </w:r>
          </w:p>
        </w:tc>
        <w:tc>
          <w:tcPr>
            <w:tcW w:w="941" w:type="pct"/>
            <w:vAlign w:val="center"/>
          </w:tcPr>
          <w:p w14:paraId="0E90A145">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补充约定</w:t>
            </w:r>
          </w:p>
        </w:tc>
        <w:tc>
          <w:tcPr>
            <w:tcW w:w="3499" w:type="pct"/>
            <w:vAlign w:val="center"/>
          </w:tcPr>
          <w:p w14:paraId="443CBE6E">
            <w:pPr>
              <w:numPr>
                <w:ilvl w:val="255"/>
                <w:numId w:val="0"/>
              </w:numPr>
              <w:adjustRightInd w:val="0"/>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（1）通过初审的投标人为2家及以上的，按谈判文件约定进行评审并确定结果；</w:t>
            </w:r>
          </w:p>
          <w:p w14:paraId="78641068">
            <w:pPr>
              <w:adjustRightInd w:val="0"/>
              <w:snapToGrid w:val="0"/>
              <w:spacing w:line="360" w:lineRule="auto"/>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（2）通过初审的投标人为1家的，且评审小组认为具有竞争性的，继续评审并确定结果。</w:t>
            </w:r>
          </w:p>
        </w:tc>
      </w:tr>
      <w:tr w14:paraId="4A46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5FA04B27">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18</w:t>
            </w:r>
          </w:p>
        </w:tc>
        <w:tc>
          <w:tcPr>
            <w:tcW w:w="941" w:type="pct"/>
            <w:vAlign w:val="center"/>
          </w:tcPr>
          <w:p w14:paraId="284E6945">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报价须知</w:t>
            </w:r>
          </w:p>
        </w:tc>
        <w:tc>
          <w:tcPr>
            <w:tcW w:w="3499" w:type="pct"/>
            <w:vAlign w:val="center"/>
          </w:tcPr>
          <w:p w14:paraId="69F3196D">
            <w:pPr>
              <w:spacing w:line="360" w:lineRule="auto"/>
              <w:rPr>
                <w:rFonts w:cs="宋体"/>
                <w:color w:val="000000" w:themeColor="text1"/>
                <w:sz w:val="24"/>
                <w:szCs w:val="24"/>
                <w:highlight w:val="none"/>
                <w14:textFill>
                  <w14:solidFill>
                    <w14:schemeClr w14:val="tx1"/>
                  </w14:solidFill>
                </w14:textFill>
              </w:rPr>
            </w:pPr>
            <w:r>
              <w:rPr>
                <w:rFonts w:hint="eastAsia" w:cs="宋体"/>
                <w:bCs/>
                <w:color w:val="000000" w:themeColor="text1"/>
                <w:kern w:val="2"/>
                <w:sz w:val="24"/>
                <w:szCs w:val="24"/>
                <w:highlight w:val="none"/>
                <w14:textFill>
                  <w14:solidFill>
                    <w14:schemeClr w14:val="tx1"/>
                  </w14:solidFill>
                </w14:textFill>
              </w:rPr>
              <w:t>投标人设计施工报价0元，最低总投标限价12万元/年，详见第三章“招标人要求”。</w:t>
            </w:r>
          </w:p>
        </w:tc>
      </w:tr>
      <w:tr w14:paraId="0E37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74D8BA8">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19</w:t>
            </w:r>
          </w:p>
        </w:tc>
        <w:tc>
          <w:tcPr>
            <w:tcW w:w="941" w:type="pct"/>
            <w:vAlign w:val="center"/>
          </w:tcPr>
          <w:p w14:paraId="38694B26">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重要说明</w:t>
            </w:r>
          </w:p>
        </w:tc>
        <w:tc>
          <w:tcPr>
            <w:tcW w:w="3499" w:type="pct"/>
            <w:vAlign w:val="center"/>
          </w:tcPr>
          <w:p w14:paraId="13C76274">
            <w:pPr>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（1）中标人应在规定期限内提交履约保证金并与招标人签订合同，若中标人未能在规定期限内提交履约保证金或签订合同，招标人有权取消中标人中标资格；</w:t>
            </w:r>
          </w:p>
          <w:p w14:paraId="5BD5F3FD">
            <w:pPr>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（2）合同签订后，中标人存在规定时间内不组织人员进场开工，不履行合同义务等情况，招标人有权解除合同，并追究违约责任；</w:t>
            </w:r>
          </w:p>
          <w:p w14:paraId="4C1CC40C">
            <w:pPr>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（3）中标人在中标项目发生投诉、信访举报案件、履约存在争议时，拒绝协助配合有关部门调查案件的，招标人可以取消其中标资格或解除合同，并追究其违约责任。</w:t>
            </w:r>
          </w:p>
          <w:p w14:paraId="59E989A8">
            <w:pPr>
              <w:pStyle w:val="4"/>
              <w:spacing w:before="0" w:after="0" w:line="360" w:lineRule="auto"/>
              <w:rPr>
                <w:rFonts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4）投标人参与谈判，应当诚信守法、公平竞争。如有以提供虚假材料（包括但不限于虚假技术参数响应、虚假业绩、虚假证书、虚假检测报告等）、串通谈判、隐瞒失信信息等谋取中标的行为，一经发现，招标人可以取消其中标资格或解除合同，并追究其违约责任。</w:t>
            </w:r>
          </w:p>
        </w:tc>
      </w:tr>
      <w:tr w14:paraId="565E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611ACB06">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20</w:t>
            </w:r>
          </w:p>
        </w:tc>
        <w:tc>
          <w:tcPr>
            <w:tcW w:w="941" w:type="pct"/>
            <w:vAlign w:val="center"/>
          </w:tcPr>
          <w:p w14:paraId="1EAADCB4">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电子招标</w:t>
            </w:r>
          </w:p>
        </w:tc>
        <w:tc>
          <w:tcPr>
            <w:tcW w:w="3499" w:type="pct"/>
            <w:vAlign w:val="center"/>
          </w:tcPr>
          <w:p w14:paraId="1F063FBA">
            <w:pPr>
              <w:widowControl/>
              <w:snapToGrid w:val="0"/>
              <w:spacing w:line="360" w:lineRule="auto"/>
              <w:jc w:val="left"/>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本谈判项目实行全流程电子化交易，除谈判文件另有规定外，电子招标投标操作要求见本章附件《安徽公共资源交易集团电子交易操作规程》。</w:t>
            </w:r>
          </w:p>
        </w:tc>
      </w:tr>
      <w:tr w14:paraId="422E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F011D31">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21</w:t>
            </w:r>
          </w:p>
        </w:tc>
        <w:tc>
          <w:tcPr>
            <w:tcW w:w="941" w:type="pct"/>
            <w:vAlign w:val="center"/>
          </w:tcPr>
          <w:p w14:paraId="586BB4B9">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解释权</w:t>
            </w:r>
          </w:p>
        </w:tc>
        <w:tc>
          <w:tcPr>
            <w:tcW w:w="3499" w:type="pct"/>
            <w:vAlign w:val="center"/>
          </w:tcPr>
          <w:p w14:paraId="11CE8F35">
            <w:pPr>
              <w:spacing w:line="360" w:lineRule="auto"/>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（1）构成本谈判文件的各个组成文件应互为解释，互为说明；</w:t>
            </w:r>
          </w:p>
          <w:p w14:paraId="5B055E08">
            <w:pPr>
              <w:spacing w:line="360" w:lineRule="auto"/>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（2）同一组成文件中就同一事项的规定或约定不一致的，以编排顺序在后者为准；</w:t>
            </w:r>
          </w:p>
          <w:p w14:paraId="3A541D1B">
            <w:pPr>
              <w:spacing w:line="360" w:lineRule="auto"/>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257A80FF">
            <w:pPr>
              <w:spacing w:line="360" w:lineRule="auto"/>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（4）除谈判文件中有特别规定外，仅适用于谈判及投标文件提交阶段的规定，按谈判公告、投标人须知前附表、投标人须知正文、评审方法和标准、投标文件格式的先后顺序解释；</w:t>
            </w:r>
          </w:p>
          <w:p w14:paraId="18DF06B2">
            <w:pPr>
              <w:spacing w:line="360" w:lineRule="auto"/>
              <w:rPr>
                <w:rFonts w:cs="宋体"/>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有澄清的部分以最终的澄清更正内容为准；</w:t>
            </w:r>
          </w:p>
          <w:p w14:paraId="53BEBD63">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（6）按本款前述规定仍不能形成结论的，由招标人负责解释。</w:t>
            </w:r>
          </w:p>
        </w:tc>
      </w:tr>
      <w:tr w14:paraId="63BB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2AC3E8F">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22</w:t>
            </w:r>
          </w:p>
        </w:tc>
        <w:tc>
          <w:tcPr>
            <w:tcW w:w="941" w:type="pct"/>
            <w:vAlign w:val="center"/>
          </w:tcPr>
          <w:p w14:paraId="7EF1BA95">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ascii="Times New Roman" w:hAnsi="Times New Roman"/>
                <w:bCs/>
                <w:snapToGrid w:val="0"/>
                <w:color w:val="000000" w:themeColor="text1"/>
                <w:szCs w:val="21"/>
                <w:highlight w:val="none"/>
                <w14:textFill>
                  <w14:solidFill>
                    <w14:schemeClr w14:val="tx1"/>
                  </w14:solidFill>
                </w14:textFill>
              </w:rPr>
              <w:t>运营费用支付方式</w:t>
            </w:r>
          </w:p>
        </w:tc>
        <w:tc>
          <w:tcPr>
            <w:tcW w:w="3499" w:type="pct"/>
            <w:vAlign w:val="center"/>
          </w:tcPr>
          <w:p w14:paraId="6AB01CF1">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中标人须在合同签订之日起10日内缴纳首期中标款项，每一年（12个月）支付一次，先支付后使用，以后每期中标款项应在下一个使用期开始10日前支付。</w:t>
            </w:r>
          </w:p>
        </w:tc>
      </w:tr>
    </w:tbl>
    <w:p w14:paraId="6124B8A6">
      <w:pPr>
        <w:pStyle w:val="124"/>
        <w:adjustRightInd w:val="0"/>
        <w:snapToGrid w:val="0"/>
        <w:spacing w:line="360" w:lineRule="auto"/>
        <w:outlineLvl w:val="1"/>
        <w:rPr>
          <w:rFonts w:ascii="宋体" w:hAnsi="宋体"/>
          <w:b/>
          <w:color w:val="000000" w:themeColor="text1"/>
          <w:sz w:val="24"/>
          <w:szCs w:val="24"/>
          <w:highlight w:val="none"/>
          <w14:textFill>
            <w14:solidFill>
              <w14:schemeClr w14:val="tx1"/>
            </w14:solidFill>
          </w14:textFill>
        </w:rPr>
      </w:pPr>
      <w:bookmarkStart w:id="4" w:name="_Toc4558"/>
    </w:p>
    <w:p w14:paraId="0F02DD2E">
      <w:pPr>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br w:type="page"/>
      </w:r>
      <w:bookmarkEnd w:id="4"/>
      <w:bookmarkStart w:id="5" w:name="_Toc12601"/>
      <w:r>
        <w:rPr>
          <w:rFonts w:hint="eastAsia" w:asciiTheme="minorEastAsia" w:hAnsiTheme="minorEastAsia" w:eastAsiaTheme="minorEastAsia"/>
          <w:b/>
          <w:color w:val="000000" w:themeColor="text1"/>
          <w:sz w:val="24"/>
          <w:highlight w:val="none"/>
          <w14:textFill>
            <w14:solidFill>
              <w14:schemeClr w14:val="tx1"/>
            </w14:solidFill>
          </w14:textFill>
        </w:rPr>
        <w:t>投标人</w:t>
      </w:r>
      <w:r>
        <w:rPr>
          <w:rFonts w:asciiTheme="minorEastAsia" w:hAnsiTheme="minorEastAsia" w:eastAsiaTheme="minorEastAsia"/>
          <w:b/>
          <w:color w:val="000000" w:themeColor="text1"/>
          <w:sz w:val="24"/>
          <w:highlight w:val="none"/>
          <w14:textFill>
            <w14:solidFill>
              <w14:schemeClr w14:val="tx1"/>
            </w14:solidFill>
          </w14:textFill>
        </w:rPr>
        <w:t>须知</w:t>
      </w:r>
      <w:r>
        <w:rPr>
          <w:rFonts w:hint="eastAsia" w:asciiTheme="minorEastAsia" w:hAnsiTheme="minorEastAsia" w:eastAsiaTheme="minorEastAsia"/>
          <w:b/>
          <w:color w:val="000000" w:themeColor="text1"/>
          <w:sz w:val="24"/>
          <w:highlight w:val="none"/>
          <w14:textFill>
            <w14:solidFill>
              <w14:schemeClr w14:val="tx1"/>
            </w14:solidFill>
          </w14:textFill>
        </w:rPr>
        <w:t>正文</w:t>
      </w:r>
      <w:bookmarkEnd w:id="5"/>
    </w:p>
    <w:p w14:paraId="3D445132">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6" w:name="_Toc1741"/>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1.有关定义</w:t>
      </w:r>
      <w:bookmarkEnd w:id="6"/>
    </w:p>
    <w:p w14:paraId="1B7FC145">
      <w:pPr>
        <w:spacing w:line="360" w:lineRule="auto"/>
        <w:ind w:firstLine="437"/>
        <w:outlineLvl w:val="3"/>
        <w:rPr>
          <w:rFonts w:asciiTheme="minorEastAsia" w:hAnsiTheme="minorEastAsia" w:eastAsiaTheme="minorEastAsia" w:cstheme="minorEastAsia"/>
          <w:bCs/>
          <w:color w:val="000000" w:themeColor="text1"/>
          <w:sz w:val="24"/>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2"/>
          <w:highlight w:val="none"/>
          <w14:textFill>
            <w14:solidFill>
              <w14:schemeClr w14:val="tx1"/>
            </w14:solidFill>
          </w14:textFill>
        </w:rPr>
        <w:t>本项目的交易方式为竞争性谈判，招标人为项目实施建设的发包人（甲方），投标人为参与竞争性谈判的主体，中标人为参与竞争性谈判，并获得项目实施的承包人（乙方）。</w:t>
      </w:r>
    </w:p>
    <w:p w14:paraId="4028DC3E">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7" w:name="_Toc7557"/>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2.资金来源</w:t>
      </w:r>
      <w:bookmarkEnd w:id="7"/>
    </w:p>
    <w:p w14:paraId="2092D98A">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本项目的招标人已获得足以支付本次谈判后所签订的合同项下的资金。</w:t>
      </w:r>
    </w:p>
    <w:p w14:paraId="664A62BD">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8" w:name="_Toc13299"/>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3.谈判费用</w:t>
      </w:r>
      <w:bookmarkEnd w:id="8"/>
    </w:p>
    <w:p w14:paraId="75F3D3D7">
      <w:pPr>
        <w:spacing w:line="360" w:lineRule="auto"/>
        <w:ind w:firstLine="437"/>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不论谈判的结果如何，投标人应承担其所有与准备和参加谈判有关的费用。</w:t>
      </w:r>
    </w:p>
    <w:p w14:paraId="664C7E89">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9" w:name="_Toc15895"/>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4.谈判文件的澄清与修改</w:t>
      </w:r>
      <w:bookmarkEnd w:id="9"/>
    </w:p>
    <w:p w14:paraId="3ED833D3">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4.1投标人如对谈判文件内容有疑问，按投标人须知前附表规定提出。</w:t>
      </w:r>
    </w:p>
    <w:p w14:paraId="226611AC">
      <w:pPr>
        <w:pStyle w:val="16"/>
        <w:spacing w:line="360" w:lineRule="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4.2招标人可主动或在解答投标人提出的问题时对谈判文件进行澄清或者修改。代理机构将在安徽公共资源交易集团网站澄清或修改谈判文件，投标人应主动上网查询。代理机构和招标人不承担投标人未及时关注相关信息引发的相关责任。</w:t>
      </w:r>
    </w:p>
    <w:p w14:paraId="7481825A">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4.3任何人或任何组织向投标人提供的任何书面或口头资料，未经代理机构在网上发布或书面通知，均作无效处理，不得作为谈判文件的组成部分。代理机构对投标人由此而做出的推论、理解和结论概不负责。</w:t>
      </w:r>
    </w:p>
    <w:p w14:paraId="4EA33F67">
      <w:pPr>
        <w:spacing w:line="360" w:lineRule="auto"/>
        <w:ind w:firstLine="435"/>
        <w:rPr>
          <w:rFonts w:asciiTheme="minorEastAsia" w:hAnsiTheme="minorEastAsia" w:eastAsiaTheme="minorEastAsia" w:cstheme="minorEastAsia"/>
          <w:i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4.4对于没有提出疑问又参与了本项目谈判的投标人将被视为完全认同本谈判文件（含澄清、修改等内容）</w:t>
      </w:r>
      <w:r>
        <w:rPr>
          <w:rFonts w:hint="eastAsia" w:asciiTheme="minorEastAsia" w:hAnsiTheme="minorEastAsia" w:eastAsiaTheme="minorEastAsia" w:cstheme="minorEastAsia"/>
          <w:iCs/>
          <w:color w:val="000000" w:themeColor="text1"/>
          <w:sz w:val="24"/>
          <w:highlight w:val="none"/>
          <w14:textFill>
            <w14:solidFill>
              <w14:schemeClr w14:val="tx1"/>
            </w14:solidFill>
          </w14:textFill>
        </w:rPr>
        <w:t>。</w:t>
      </w:r>
    </w:p>
    <w:p w14:paraId="6F68A36C">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0" w:name="_Toc24525"/>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5.谈判范围及投标文件中标准和计量单位的使用</w:t>
      </w:r>
      <w:bookmarkEnd w:id="10"/>
    </w:p>
    <w:p w14:paraId="157AA45F">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5.1无论谈判文件中是否要求，投标人所承担服务及伴随的货物和工程均应符合国家强制性标准。</w:t>
      </w:r>
    </w:p>
    <w:p w14:paraId="52C5C621">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投标人与代理机构之间与谈判有关的所有往来通知、函件和投标文件均用中文表述。投标人随投标文件提供的证明文件和资料可以为其他语言，但必须附中文译文。翻译的中文资料与外文资料如果出现差异时，以中文为准。</w:t>
      </w:r>
    </w:p>
    <w:p w14:paraId="675C85F0">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5.3除谈判文件中有特殊要求外，投标文件中所使用的计量单位，应采用中华人民共和国法定计量单位。</w:t>
      </w:r>
    </w:p>
    <w:p w14:paraId="3A9F8733">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1" w:name="_Toc245"/>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6.投标文件构成</w:t>
      </w:r>
      <w:bookmarkEnd w:id="11"/>
    </w:p>
    <w:p w14:paraId="0785C633">
      <w:pPr>
        <w:spacing w:line="360" w:lineRule="auto"/>
        <w:ind w:firstLine="437"/>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6.1投标人应完整地按谈判文件提供的投标文件格式及谈判文件评审要求编写投标文件，具体内容详见第六章投标文件格式的相关内容。</w:t>
      </w:r>
    </w:p>
    <w:p w14:paraId="4B01178E">
      <w:pPr>
        <w:spacing w:line="360" w:lineRule="auto"/>
        <w:ind w:firstLine="437"/>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6.2上述文件应按照谈判文件规定的格式填写、签署和盖章。</w:t>
      </w:r>
    </w:p>
    <w:p w14:paraId="79289BF4">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2" w:name="_Toc3035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7.报价</w:t>
      </w:r>
      <w:bookmarkEnd w:id="12"/>
    </w:p>
    <w:p w14:paraId="415C2D3D">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7.1投标人的报价应当包括满足本次谈判全部内容，所有报价均应以人民币报价。</w:t>
      </w:r>
    </w:p>
    <w:p w14:paraId="358C286F">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7.2投标人应在分项报价表上标明谈判项目的单价（如适用）和总价，未标明的视同包含在谈判报价中。</w:t>
      </w:r>
    </w:p>
    <w:p w14:paraId="46C2CFD4">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3" w:name="_Toc1724"/>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8.谈判有效期</w:t>
      </w:r>
      <w:bookmarkEnd w:id="13"/>
    </w:p>
    <w:p w14:paraId="2A54903F">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8.1谈判有效期为从投标文件提交截止之日算起的日历天数，谈判有效期为120日历天。招标人或代理机构可根据实际情况，在原谈判有效期截止之前，要求投标人延长谈判有效期。接受该要求的投标人将不会被要求和允许修正其投标文件。投标人可以拒绝延长谈判有效期的要求，且不承担任何责任。上述要求和答复都应以书面形式提交。</w:t>
      </w:r>
    </w:p>
    <w:p w14:paraId="7FC72A98">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8.2在谈判有效期内，投标人的谈判保持有效，投标人不得要求撤销或修改其投标文件。</w:t>
      </w:r>
    </w:p>
    <w:p w14:paraId="23C1745A">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4" w:name="_Toc2014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9.投标文件的制作</w:t>
      </w:r>
      <w:bookmarkEnd w:id="14"/>
    </w:p>
    <w:p w14:paraId="46F3DC2D">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9.1本项目要求提供加密电子投标文件，投标文件的制作应满足以下规定：</w:t>
      </w:r>
    </w:p>
    <w:p w14:paraId="12D7F1F9">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投标文件由投标人使用电子交易系统提供的“投标文件制作工具”制作生成。“投标文件制作工具”可以通过电子交易系统中下载。投标人应当在互联网络通畅状态下启用最新版投标文件制作工具制作投标文件。</w:t>
      </w:r>
    </w:p>
    <w:p w14:paraId="58AE60EB">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（2）在第六章“投标文件格式”中要求加盖</w:t>
      </w:r>
      <w:r>
        <w:rPr>
          <w:rFonts w:hint="eastAsia" w:cs="@仿宋_GB2312"/>
          <w:color w:val="000000" w:themeColor="text1"/>
          <w:kern w:val="2"/>
          <w:sz w:val="24"/>
          <w:szCs w:val="24"/>
          <w:highlight w:val="none"/>
          <w14:textFill>
            <w14:solidFill>
              <w14:schemeClr w14:val="tx1"/>
            </w14:solidFill>
          </w14:textFill>
        </w:rPr>
        <w:t>投标人电子签章或公章处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人均应加盖投标人电子签章或公章。联合体参加谈判的，除联合协议及谈判文件规定须联合体各成员单位各自盖章的证明材料外，投标文件由联合体牵头人按上述规定加盖联合体牵头人单位电子签章或公章。</w:t>
      </w:r>
    </w:p>
    <w:p w14:paraId="1A85BB16">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0B7C9854">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9.2因投标人自身原因而导致投标文件无法导入电子交易系统电子开标、评标系统的，该投标文件视为无效投标文件，投标人自行承担由此导致的全部责任。（该投标文件是指解密后的投标文件）。</w:t>
      </w:r>
    </w:p>
    <w:p w14:paraId="32392BC3">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5" w:name="_Toc2740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10.投标文件提交截止时间</w:t>
      </w:r>
      <w:bookmarkEnd w:id="15"/>
    </w:p>
    <w:p w14:paraId="7885597D">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10.1投标人应在第一章“谈判公告”规定</w:t>
      </w:r>
      <w:r>
        <w:rPr>
          <w:rFonts w:hint="eastAsia" w:asciiTheme="minorEastAsia" w:hAnsiTheme="minorEastAsia" w:eastAsiaTheme="minorEastAsia" w:cstheme="minorEastAsia"/>
          <w:color w:val="000000" w:themeColor="text1"/>
          <w:sz w:val="24"/>
          <w:szCs w:val="22"/>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投标文件提交截止时间前，在网上提交加密电子投标文件（如谈判延期，按最新发布谈判时间执行）。</w:t>
      </w:r>
    </w:p>
    <w:p w14:paraId="3ADB0E38">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10.2投标人在谈判文件规定的投标文件提交截止时间前上传了网上加密电子投标文件，但未在规定时间内进行解密的，投标无效。</w:t>
      </w:r>
    </w:p>
    <w:p w14:paraId="5D235B13">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10.3招标人和代理机构延迟投标文件提交截止时间的。招标人、代理机构和投标人受投标文件提交截止时间制约的所有权利和义务均应延长至新的截止时间。</w:t>
      </w:r>
    </w:p>
    <w:p w14:paraId="12366C1D">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6" w:name="_Toc2462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11.投标文件的提交、修改与撤回</w:t>
      </w:r>
      <w:bookmarkEnd w:id="16"/>
    </w:p>
    <w:p w14:paraId="5489E3FA">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11.1投标人应当在第一章“谈判公告”规定的投标文件提交截止时间前，将加密的投标文件在电子交易系统上传（如谈判延期，按最新发布谈判时间执行）。</w:t>
      </w:r>
    </w:p>
    <w:p w14:paraId="0B2D3610">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11.2投标人应当在投标文件提交截止时间前完成投标文件的传输提交（以接收到电子签收凭证为准），并可以补充、修改或者撤回投标文件。投标文件提交截止时间前未完成投标文件传输的，视为撤回投标文件。未按规定加密或投标文件提交截止时间后送达的投标文件，电子交易系统应当拒收。</w:t>
      </w:r>
    </w:p>
    <w:p w14:paraId="5DBEE916">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11.3投标人应在投标人须知前附表规定的解密时间前（以电子交易系统解密倒计时为准）对本单位的投标文件进行解密。</w:t>
      </w:r>
    </w:p>
    <w:p w14:paraId="614A2B5A">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7" w:name="_Toc27978"/>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12.评审小组</w:t>
      </w:r>
      <w:bookmarkEnd w:id="17"/>
    </w:p>
    <w:p w14:paraId="009D1C70">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12.1由招标人委派或招标人委托代理机构抽取经济技术专家等方式组建的评审小组，负责本项目评审工作。评审小组成员由3人以上单数组成，评审小组及其成员应当依照有关规定履行相关职责和义务。</w:t>
      </w:r>
    </w:p>
    <w:p w14:paraId="66F66B02">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12.2评审小组根据谈判文件规定的评审方法和标准对投标人提交的投标文件进行评审，从质量和服务均能满足谈判文件实质性响应要求的投标人中推荐中标候选人，并编写评审报告。</w:t>
      </w:r>
    </w:p>
    <w:p w14:paraId="6E37A88A">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8" w:name="_Toc2429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13.终止竞争性谈判</w:t>
      </w:r>
      <w:bookmarkEnd w:id="18"/>
    </w:p>
    <w:p w14:paraId="3CB8210B">
      <w:pPr>
        <w:spacing w:line="360" w:lineRule="auto"/>
        <w:ind w:firstLine="480" w:firstLineChars="20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出现下列情况之一时，招标人和代理机构有权宣布终止竞争性谈判采购，并将理由通知所有投标人：</w:t>
      </w:r>
    </w:p>
    <w:p w14:paraId="2010D1AD">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cs="@仿宋_GB2312" w:asciiTheme="minorEastAsia" w:hAnsiTheme="minorEastAsia" w:eastAsiaTheme="minorEastAsia"/>
          <w:color w:val="000000" w:themeColor="text1"/>
          <w:kern w:val="2"/>
          <w:sz w:val="24"/>
          <w:szCs w:val="24"/>
          <w:highlight w:val="none"/>
          <w14:textFill>
            <w14:solidFill>
              <w14:schemeClr w14:val="tx1"/>
            </w14:solidFill>
          </w14:textFill>
        </w:rPr>
        <w:t>通过初审的投标人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不足规定数量，导致本次谈判缺乏竞争的；</w:t>
      </w:r>
    </w:p>
    <w:p w14:paraId="2246224C">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（2）出现影响公正的违法、违规行为的；</w:t>
      </w:r>
    </w:p>
    <w:p w14:paraId="39065971">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（3）因重大变故，招标任务取消的；</w:t>
      </w:r>
    </w:p>
    <w:p w14:paraId="6E819F4E">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（4）谈判文件有重大漏洞，导致无法继续评审的；</w:t>
      </w:r>
    </w:p>
    <w:p w14:paraId="03FF3479">
      <w:pPr>
        <w:spacing w:line="360" w:lineRule="auto"/>
        <w:ind w:firstLine="435"/>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（5）法律法规规定的其他情形。</w:t>
      </w:r>
    </w:p>
    <w:p w14:paraId="194B0FBE">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9" w:name="_Toc2563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14.投标文件的澄清、说明或更正</w:t>
      </w:r>
      <w:bookmarkEnd w:id="19"/>
    </w:p>
    <w:p w14:paraId="1681111E">
      <w:pPr>
        <w:spacing w:line="360" w:lineRule="auto"/>
        <w:ind w:firstLine="470" w:firstLineChars="196"/>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4A2CF3FC">
      <w:pPr>
        <w:spacing w:line="360" w:lineRule="auto"/>
        <w:ind w:firstLine="470" w:firstLineChars="196"/>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14.2评审小组要求投标人澄清、说明或者更正投标文件应当以书面形式（即网上询标）作出。投标人的澄清、说明或者更正应当加盖投标人电子签章或公章。</w:t>
      </w:r>
    </w:p>
    <w:p w14:paraId="25290D4E">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14.3如有询标，投标人通过远程登录的方式接受网上询标。投标人应登录电子交易系统并保持在线状态，以便及时接收评审小组可能发出的询标函，并在规定时间内回复，因授权代表联系不上、没有及时登录系统等情形而无法接受评审小组询标的，投标人自行承担相关风险。</w:t>
      </w:r>
    </w:p>
    <w:p w14:paraId="6016DF94">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0" w:name="_Toc619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15.最终投标报价</w:t>
      </w:r>
      <w:bookmarkEnd w:id="20"/>
    </w:p>
    <w:p w14:paraId="1CAD8390">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15.1谈判并不限定只进行二轮报价，如果评审小组认为有必要，可以要求投标人进行多轮报价。</w:t>
      </w:r>
    </w:p>
    <w:p w14:paraId="660167BC">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15.2在谈判内容不做实质性变更或重大调整的前提下，投标人下轮报价不得低于上一轮报价。</w:t>
      </w:r>
    </w:p>
    <w:p w14:paraId="0673F9D1">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15.3最终投标报价是投标人投标文件的有效组成部分，最终投标报价也是签订合同的依据。</w:t>
      </w:r>
    </w:p>
    <w:p w14:paraId="647B374F">
      <w:pPr>
        <w:spacing w:line="360" w:lineRule="auto"/>
        <w:ind w:firstLine="435"/>
        <w:rPr>
          <w:rFonts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15.4本项目的服务地点为本须知前附表所述，投标人可到项目现场踏勘以充分了解项目位置、情况及任何其他足以影响谈判报价的情况，任何因忽视或误解项目场地情况而导致的索赔或服务期限延长申请将不被批准。对于受项目现场场地限制，如需要另外寻找场地解决临时住宿，由此所产生的费用应包含在谈判报价范围内，招标人不再承担该费用。</w:t>
      </w:r>
    </w:p>
    <w:p w14:paraId="275FAC90">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1" w:name="_Toc31444"/>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16.中标候选人的推荐原则</w:t>
      </w:r>
      <w:bookmarkEnd w:id="21"/>
    </w:p>
    <w:p w14:paraId="6F609869">
      <w:pPr>
        <w:spacing w:line="360" w:lineRule="auto"/>
        <w:ind w:firstLine="470" w:firstLineChars="196"/>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小组依据本项目谈判文件所约定的评审方法和标准，按照最终投标报价由高到低的顺序依次推荐中标候选人。最终投标报价相同的，由评审小组根据投标文件投票，按少数服从多数的原则确定中标候选人顺序。</w:t>
      </w:r>
    </w:p>
    <w:p w14:paraId="3DAC722C">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2" w:name="_Toc1433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17.确定中标人</w:t>
      </w:r>
      <w:bookmarkEnd w:id="22"/>
    </w:p>
    <w:p w14:paraId="231AA6A8">
      <w:pPr>
        <w:spacing w:line="360" w:lineRule="auto"/>
        <w:ind w:firstLine="470" w:firstLineChars="196"/>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招标人委托评审小组确定中标人的，排名第一的中标候选人即为中标人，由代理机构在指定媒体上予以公告；招标人确定中标人的，由招标人函告代理机构后，由代理机构在指定媒体上予以公告。</w:t>
      </w:r>
    </w:p>
    <w:p w14:paraId="3FB04340">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3" w:name="_Toc27900"/>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18.编写评审报告</w:t>
      </w:r>
      <w:bookmarkEnd w:id="23"/>
    </w:p>
    <w:p w14:paraId="6C73B77E">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6C99298E">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4" w:name="_Toc30087"/>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19.保密要求</w:t>
      </w:r>
      <w:bookmarkEnd w:id="24"/>
    </w:p>
    <w:p w14:paraId="53AD26CD">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19.1评审将在严格保密的情况下进行。</w:t>
      </w:r>
    </w:p>
    <w:p w14:paraId="79835A09">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19.2有关人员应当遵守评审工作纪律，不得泄露评审文件、评审情况和评审中获悉的国家秘密、商业秘密等。</w:t>
      </w:r>
    </w:p>
    <w:p w14:paraId="3F3DF6C0">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5" w:name="_Toc2417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20.中标结果公告</w:t>
      </w:r>
      <w:bookmarkEnd w:id="25"/>
    </w:p>
    <w:p w14:paraId="58E4EE94">
      <w:pPr>
        <w:spacing w:line="360" w:lineRule="auto"/>
        <w:ind w:firstLine="435"/>
        <w:rPr>
          <w:rFonts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20.1中标人确定后，代理机构将在安徽公共资源交易集团网站（http://www.ahggzyjt.com）发布中标结果公告。</w:t>
      </w:r>
    </w:p>
    <w:p w14:paraId="0EEF1384">
      <w:pPr>
        <w:spacing w:line="360" w:lineRule="auto"/>
        <w:ind w:firstLine="435"/>
        <w:rPr>
          <w:rFonts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20.2中标结果公告内容应当包括招标人及其委托的代理机构的名称、项目名称、项目编号、中标人名称、中标金额。</w:t>
      </w:r>
    </w:p>
    <w:p w14:paraId="14D761DA">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6" w:name="_Toc28805"/>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21.谈判结果的异议、投诉</w:t>
      </w:r>
      <w:bookmarkEnd w:id="26"/>
    </w:p>
    <w:p w14:paraId="1FBCB81F">
      <w:pPr>
        <w:spacing w:line="360" w:lineRule="auto"/>
        <w:ind w:firstLine="480" w:firstLineChars="200"/>
        <w:rPr>
          <w:rFonts w:cs="@仿宋_GB2312"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21.1对于谈判结果有异议的，应在中标结果公告规定的时间内向招标人或代理机构提出。</w:t>
      </w:r>
    </w:p>
    <w:p w14:paraId="65A55D36">
      <w:pPr>
        <w:spacing w:line="360" w:lineRule="auto"/>
        <w:ind w:firstLine="480" w:firstLineChars="200"/>
        <w:rPr>
          <w:color w:val="000000" w:themeColor="text1"/>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21.2对于异议答复不满意的，应在收到异议答复之日起3日内向谈判公告载明的监督管理部门提出。</w:t>
      </w:r>
    </w:p>
    <w:p w14:paraId="4BCABC87">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7" w:name="_Toc5763"/>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22.中标通知书</w:t>
      </w:r>
      <w:bookmarkEnd w:id="27"/>
    </w:p>
    <w:p w14:paraId="78E97A50">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22.1代理机构发布中标结果公告的同时以投标人须知前附表规定的形式向中标人发出中标通知书。</w:t>
      </w:r>
    </w:p>
    <w:p w14:paraId="1F8712C1">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22.2中标通知书对招标人和中标人具有同等法律效力。中标通知书发出以后，招标人改变中标结果或者中标人放弃中标资格，应当承担相应的法律责任。</w:t>
      </w:r>
    </w:p>
    <w:p w14:paraId="1981576D">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22.3中标通知书是合同的组成部分。</w:t>
      </w:r>
    </w:p>
    <w:p w14:paraId="7BA145FE">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8" w:name="_Toc198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23.告知谈判结果</w:t>
      </w:r>
      <w:bookmarkEnd w:id="28"/>
    </w:p>
    <w:p w14:paraId="7E8F0FE1">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23.1中标结果公告发布后，投标人自行登录电子交易系统查询结果信息。</w:t>
      </w:r>
    </w:p>
    <w:p w14:paraId="0BFCD0C0">
      <w:pPr>
        <w:spacing w:line="360" w:lineRule="auto"/>
        <w:ind w:firstLine="480" w:firstLineChars="20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23.2代理机构对未中标的投标人不做未中标原因的解释。</w:t>
      </w:r>
    </w:p>
    <w:p w14:paraId="3EAF0605">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9" w:name="_Toc25230"/>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24.履约保证金</w:t>
      </w:r>
      <w:bookmarkEnd w:id="29"/>
    </w:p>
    <w:p w14:paraId="1AD95896">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如果中标人没有按照投标人须知前附表中履约保证金的规定执行，将视为放弃中标资格。在此情况下，招标人可确定下一中标候选人为中标人，也可以重新开展谈判。</w:t>
      </w:r>
    </w:p>
    <w:p w14:paraId="6E320030">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30" w:name="_Toc32260"/>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25.代理费用</w:t>
      </w:r>
      <w:bookmarkEnd w:id="30"/>
    </w:p>
    <w:p w14:paraId="0F21E9A5">
      <w:pPr>
        <w:spacing w:line="360" w:lineRule="auto"/>
        <w:ind w:firstLine="435"/>
        <w:rPr>
          <w:rFonts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中标人放弃中标资格的，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本谈判项目应收取的</w:t>
      </w:r>
      <w:r>
        <w:rPr>
          <w:rFonts w:hint="eastAsia"/>
          <w:color w:val="000000" w:themeColor="text1"/>
          <w:sz w:val="24"/>
          <w:szCs w:val="24"/>
          <w:highlight w:val="none"/>
          <w14:textFill>
            <w14:solidFill>
              <w14:schemeClr w14:val="tx1"/>
            </w14:solidFill>
          </w14:textFill>
        </w:rPr>
        <w:t>招标代理服务费</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由其承担。</w:t>
      </w:r>
    </w:p>
    <w:p w14:paraId="11888840">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31" w:name="_Toc1683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26.签订合同</w:t>
      </w:r>
      <w:bookmarkEnd w:id="31"/>
    </w:p>
    <w:p w14:paraId="092E8D59">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26.1招标人与中标人应当在中标通知书发出后及时签订合同。</w:t>
      </w:r>
    </w:p>
    <w:p w14:paraId="4B81DD69">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26.2谈判文件、中标人的投标文件及其澄清文件等，均为签订合同的依据。</w:t>
      </w:r>
    </w:p>
    <w:p w14:paraId="24B37A21">
      <w:pPr>
        <w:spacing w:line="360" w:lineRule="auto"/>
        <w:ind w:firstLine="470" w:firstLineChars="196"/>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26.3中标人拒绝与招标人签订合同的，招标人可以按照评审报告推荐的中标候选人名单排序，确定下一中标候选人为中标人，也可以重新开展谈判活动。中标人拒绝签订合同的不得参加对该项目重新开展的谈判活动。</w:t>
      </w:r>
    </w:p>
    <w:p w14:paraId="1770101F">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32" w:name="_Toc10013"/>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27.廉洁自律规定</w:t>
      </w:r>
      <w:bookmarkEnd w:id="32"/>
    </w:p>
    <w:p w14:paraId="2E8ED20E">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27.1代理机构工作人员不得以不正当手段获取招标代理业务，不得与招标人、投标人恶意串通。</w:t>
      </w:r>
    </w:p>
    <w:p w14:paraId="249A26C6">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27.2代理机构工作人员不得接受招标人或者投标人组织的宴请、旅游、娱乐，不得收受礼品、现金、有价证券等，不得向招标人或者投标人报销应当由个人承担的费用。</w:t>
      </w:r>
    </w:p>
    <w:p w14:paraId="26EB8888">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33" w:name="_Toc1959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28.需要补充的其他内容</w:t>
      </w:r>
      <w:bookmarkEnd w:id="33"/>
    </w:p>
    <w:p w14:paraId="58294349">
      <w:pPr>
        <w:spacing w:line="360" w:lineRule="auto"/>
        <w:ind w:firstLine="435"/>
        <w:rPr>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需要补充的其他内容，见投标人须知前附表</w:t>
      </w:r>
      <w:r>
        <w:rPr>
          <w:rFonts w:hint="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br w:type="page"/>
      </w:r>
    </w:p>
    <w:p w14:paraId="3B71A4A4">
      <w:pPr>
        <w:pStyle w:val="3"/>
        <w:jc w:val="center"/>
        <w:rPr>
          <w:rFonts w:ascii="Times New Roman" w:hAnsi="Times New Roman"/>
          <w:color w:val="000000" w:themeColor="text1"/>
          <w:sz w:val="24"/>
          <w:szCs w:val="24"/>
          <w:highlight w:val="none"/>
          <w14:textFill>
            <w14:solidFill>
              <w14:schemeClr w14:val="tx1"/>
            </w14:solidFill>
          </w14:textFill>
        </w:rPr>
      </w:pPr>
      <w:bookmarkStart w:id="34" w:name="_Toc26167"/>
      <w:r>
        <w:rPr>
          <w:rFonts w:hint="eastAsia"/>
          <w:color w:val="000000" w:themeColor="text1"/>
          <w:highlight w:val="none"/>
          <w:lang w:val="en-US"/>
          <w14:textFill>
            <w14:solidFill>
              <w14:schemeClr w14:val="tx1"/>
            </w14:solidFill>
          </w14:textFill>
        </w:rPr>
        <w:t>第三章 招标人要求</w:t>
      </w:r>
      <w:bookmarkEnd w:id="34"/>
    </w:p>
    <w:p w14:paraId="1916F015">
      <w:pPr>
        <w:spacing w:line="360" w:lineRule="auto"/>
        <w:outlineLvl w:val="1"/>
        <w:rPr>
          <w:rFonts w:ascii="Times New Roman" w:hAnsi="Times New Roman"/>
          <w:b/>
          <w:color w:val="000000" w:themeColor="text1"/>
          <w:sz w:val="24"/>
          <w:szCs w:val="24"/>
          <w:highlight w:val="none"/>
          <w14:textFill>
            <w14:solidFill>
              <w14:schemeClr w14:val="tx1"/>
            </w14:solidFill>
          </w14:textFill>
        </w:rPr>
      </w:pPr>
      <w:bookmarkStart w:id="35" w:name="_Toc482188637"/>
      <w:bookmarkStart w:id="36" w:name="_Toc7176"/>
      <w:r>
        <w:rPr>
          <w:rFonts w:ascii="Times New Roman" w:hAnsi="Times New Roman"/>
          <w:b/>
          <w:color w:val="000000" w:themeColor="text1"/>
          <w:sz w:val="24"/>
          <w:szCs w:val="24"/>
          <w:highlight w:val="none"/>
          <w14:textFill>
            <w14:solidFill>
              <w14:schemeClr w14:val="tx1"/>
            </w14:solidFill>
          </w14:textFill>
        </w:rPr>
        <w:t>一、</w:t>
      </w:r>
      <w:bookmarkEnd w:id="35"/>
      <w:r>
        <w:rPr>
          <w:rFonts w:hint="eastAsia" w:ascii="Times New Roman" w:hAnsi="Times New Roman"/>
          <w:b/>
          <w:color w:val="000000" w:themeColor="text1"/>
          <w:sz w:val="24"/>
          <w:szCs w:val="24"/>
          <w:highlight w:val="none"/>
          <w14:textFill>
            <w14:solidFill>
              <w14:schemeClr w14:val="tx1"/>
            </w14:solidFill>
          </w14:textFill>
        </w:rPr>
        <w:t>项目概况</w:t>
      </w:r>
      <w:bookmarkEnd w:id="36"/>
      <w:bookmarkStart w:id="37" w:name="_Toc482188638"/>
      <w:bookmarkStart w:id="38" w:name="_Toc20457"/>
    </w:p>
    <w:p w14:paraId="0ED73EEA">
      <w:pPr>
        <w:spacing w:line="360" w:lineRule="auto"/>
        <w:ind w:firstLine="480" w:firstLineChars="200"/>
        <w:outlineLvl w:val="1"/>
        <w:rPr>
          <w:rFonts w:ascii="Times New Roman" w:hAnsi="Times New Roman"/>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肥西百大是肥西县标志性建筑，项目位于肥西县上派镇巢湖路与江淮大道交口，交通便利，视野开阔，具备建设运营LED大屏的必备条件，原LED大屏运营招商合同即将到期，为充分利用物业资源，增加公司利润，提升对外形象。肥西百大按照集团公司招标采购管理规定，拟开展肥西百大外立面LED电子屏设计施工运营一体化招商。</w:t>
      </w:r>
    </w:p>
    <w:p w14:paraId="751070B7">
      <w:pPr>
        <w:spacing w:line="360" w:lineRule="auto"/>
        <w:outlineLvl w:val="1"/>
        <w:rPr>
          <w:rFonts w:ascii="Times New Roman" w:hAnsi="Times New Roman"/>
          <w:b/>
          <w:color w:val="000000" w:themeColor="text1"/>
          <w:sz w:val="24"/>
          <w:szCs w:val="24"/>
          <w:highlight w:val="none"/>
          <w14:textFill>
            <w14:solidFill>
              <w14:schemeClr w14:val="tx1"/>
            </w14:solidFill>
          </w14:textFill>
        </w:rPr>
      </w:pPr>
      <w:r>
        <w:rPr>
          <w:rFonts w:ascii="Times New Roman" w:hAnsi="Times New Roman"/>
          <w:b/>
          <w:color w:val="000000" w:themeColor="text1"/>
          <w:sz w:val="24"/>
          <w:szCs w:val="24"/>
          <w:highlight w:val="none"/>
          <w14:textFill>
            <w14:solidFill>
              <w14:schemeClr w14:val="tx1"/>
            </w14:solidFill>
          </w14:textFill>
        </w:rPr>
        <w:t>二、</w:t>
      </w:r>
      <w:bookmarkEnd w:id="37"/>
      <w:r>
        <w:rPr>
          <w:rFonts w:hint="eastAsia" w:ascii="Times New Roman" w:hAnsi="Times New Roman"/>
          <w:b/>
          <w:color w:val="000000" w:themeColor="text1"/>
          <w:sz w:val="24"/>
          <w:szCs w:val="24"/>
          <w:highlight w:val="none"/>
          <w14:textFill>
            <w14:solidFill>
              <w14:schemeClr w14:val="tx1"/>
            </w14:solidFill>
          </w14:textFill>
        </w:rPr>
        <w:t>服务内容及要求</w:t>
      </w:r>
      <w:bookmarkEnd w:id="38"/>
    </w:p>
    <w:p w14:paraId="53C78E1F">
      <w:pPr>
        <w:spacing w:line="360" w:lineRule="auto"/>
        <w:ind w:firstLine="480" w:firstLineChars="200"/>
        <w:outlineLvl w:val="1"/>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投标人就本项目设计施工运营费报价，投标总报价不得低于12万元/年，中标人对外立面LED电子屏幕自费</w:t>
      </w:r>
      <w:r>
        <w:rPr>
          <w:rFonts w:cs="宋体"/>
          <w:color w:val="000000" w:themeColor="text1"/>
          <w:sz w:val="24"/>
          <w:szCs w:val="24"/>
          <w:highlight w:val="none"/>
          <w14:textFill>
            <w14:solidFill>
              <w14:schemeClr w14:val="tx1"/>
            </w14:solidFill>
          </w14:textFill>
        </w:rPr>
        <w:t>设计施工</w:t>
      </w:r>
      <w:r>
        <w:rPr>
          <w:rFonts w:hint="eastAsia" w:cs="宋体"/>
          <w:color w:val="000000" w:themeColor="text1"/>
          <w:sz w:val="24"/>
          <w:szCs w:val="24"/>
          <w:highlight w:val="none"/>
          <w14:textFill>
            <w14:solidFill>
              <w14:schemeClr w14:val="tx1"/>
            </w14:solidFill>
          </w14:textFill>
        </w:rPr>
        <w:t>（屏体要求参数详见下表）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，并且日后运营期间每日产生电费以及其他费用自付；中标人投放招标人提供的广告每天时长不少于180分钟，投放招标人广告时间段应在9：00-12：00、2：30-5:30时间内。</w:t>
      </w:r>
    </w:p>
    <w:tbl>
      <w:tblPr>
        <w:tblStyle w:val="5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7"/>
        <w:gridCol w:w="1978"/>
        <w:gridCol w:w="5475"/>
      </w:tblGrid>
      <w:tr w14:paraId="5398E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restart"/>
            <w:vAlign w:val="center"/>
          </w:tcPr>
          <w:p w14:paraId="0096BDDC">
            <w:pPr>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屏</w:t>
            </w:r>
          </w:p>
          <w:p w14:paraId="244DCC70">
            <w:pPr>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体</w:t>
            </w:r>
          </w:p>
          <w:p w14:paraId="5DF2AEF1">
            <w:pPr>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参</w:t>
            </w:r>
          </w:p>
          <w:p w14:paraId="3C2D2948">
            <w:pPr>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w:t>
            </w:r>
          </w:p>
          <w:p w14:paraId="66292048">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52EFDF87">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尺寸</w:t>
            </w:r>
          </w:p>
        </w:tc>
        <w:tc>
          <w:tcPr>
            <w:tcW w:w="5475" w:type="dxa"/>
            <w:vAlign w:val="center"/>
          </w:tcPr>
          <w:p w14:paraId="2CCE24FC">
            <w:pPr>
              <w:spacing w:line="360" w:lineRule="auto"/>
              <w:rPr>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233m²，长21m，宽11m</w:t>
            </w:r>
          </w:p>
        </w:tc>
      </w:tr>
      <w:tr w14:paraId="48EEF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2C64567C">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416B7AD1">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物理像素密度</w:t>
            </w:r>
          </w:p>
        </w:tc>
        <w:tc>
          <w:tcPr>
            <w:tcW w:w="5475" w:type="dxa"/>
            <w:vAlign w:val="center"/>
          </w:tcPr>
          <w:p w14:paraId="72D34DAA">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10000</w:t>
            </w:r>
            <w:r>
              <w:rPr>
                <w:color w:val="000000" w:themeColor="text1"/>
                <w:sz w:val="24"/>
                <w:highlight w:val="none"/>
                <w14:textFill>
                  <w14:solidFill>
                    <w14:schemeClr w14:val="tx1"/>
                  </w14:solidFill>
                </w14:textFill>
              </w:rPr>
              <w:t>点/m</w:t>
            </w:r>
            <w:r>
              <w:rPr>
                <w:color w:val="000000" w:themeColor="text1"/>
                <w:sz w:val="24"/>
                <w:highlight w:val="none"/>
                <w:vertAlign w:val="superscript"/>
                <w14:textFill>
                  <w14:solidFill>
                    <w14:schemeClr w14:val="tx1"/>
                  </w14:solidFill>
                </w14:textFill>
              </w:rPr>
              <w:t>2</w:t>
            </w:r>
          </w:p>
        </w:tc>
      </w:tr>
      <w:tr w14:paraId="7214C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211C0206">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78C35FA0">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显示亮度</w:t>
            </w:r>
          </w:p>
        </w:tc>
        <w:tc>
          <w:tcPr>
            <w:tcW w:w="5475" w:type="dxa"/>
            <w:vAlign w:val="center"/>
          </w:tcPr>
          <w:p w14:paraId="05AA65B1">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75</w:t>
            </w:r>
            <w:r>
              <w:rPr>
                <w:color w:val="000000" w:themeColor="text1"/>
                <w:sz w:val="24"/>
                <w:highlight w:val="none"/>
                <w14:textFill>
                  <w14:solidFill>
                    <w14:schemeClr w14:val="tx1"/>
                  </w14:solidFill>
                </w14:textFill>
              </w:rPr>
              <w:t>00cd/m</w:t>
            </w:r>
            <w:r>
              <w:rPr>
                <w:color w:val="000000" w:themeColor="text1"/>
                <w:sz w:val="24"/>
                <w:highlight w:val="none"/>
                <w:vertAlign w:val="superscript"/>
                <w14:textFill>
                  <w14:solidFill>
                    <w14:schemeClr w14:val="tx1"/>
                  </w14:solidFill>
                </w14:textFill>
              </w:rPr>
              <w:t>2</w:t>
            </w:r>
          </w:p>
        </w:tc>
      </w:tr>
      <w:tr w14:paraId="25587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7AEACA58">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6C206725">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最佳视角</w:t>
            </w:r>
          </w:p>
        </w:tc>
        <w:tc>
          <w:tcPr>
            <w:tcW w:w="5475" w:type="dxa"/>
            <w:vAlign w:val="center"/>
          </w:tcPr>
          <w:p w14:paraId="4B191548">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水平120°，垂直</w:t>
            </w:r>
            <w:r>
              <w:rPr>
                <w:rFonts w:hint="eastAsia"/>
                <w:color w:val="000000" w:themeColor="text1"/>
                <w:sz w:val="24"/>
                <w:highlight w:val="none"/>
                <w14:textFill>
                  <w14:solidFill>
                    <w14:schemeClr w14:val="tx1"/>
                  </w14:solidFill>
                </w14:textFill>
              </w:rPr>
              <w:t>12</w:t>
            </w:r>
            <w:r>
              <w:rPr>
                <w:color w:val="000000" w:themeColor="text1"/>
                <w:sz w:val="24"/>
                <w:highlight w:val="none"/>
                <w14:textFill>
                  <w14:solidFill>
                    <w14:schemeClr w14:val="tx1"/>
                  </w14:solidFill>
                </w14:textFill>
              </w:rPr>
              <w:t>0°</w:t>
            </w:r>
          </w:p>
        </w:tc>
      </w:tr>
      <w:tr w14:paraId="1023E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3926A536">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700DA8E2">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可视视角</w:t>
            </w:r>
          </w:p>
        </w:tc>
        <w:tc>
          <w:tcPr>
            <w:tcW w:w="5475" w:type="dxa"/>
            <w:vAlign w:val="center"/>
          </w:tcPr>
          <w:p w14:paraId="2CA2A2C9">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水平140°，垂直</w:t>
            </w:r>
            <w:r>
              <w:rPr>
                <w:rFonts w:hint="eastAsia"/>
                <w:color w:val="000000" w:themeColor="text1"/>
                <w:sz w:val="24"/>
                <w:highlight w:val="none"/>
                <w14:textFill>
                  <w14:solidFill>
                    <w14:schemeClr w14:val="tx1"/>
                  </w14:solidFill>
                </w14:textFill>
              </w:rPr>
              <w:t>14</w:t>
            </w:r>
            <w:r>
              <w:rPr>
                <w:color w:val="000000" w:themeColor="text1"/>
                <w:sz w:val="24"/>
                <w:highlight w:val="none"/>
                <w14:textFill>
                  <w14:solidFill>
                    <w14:schemeClr w14:val="tx1"/>
                  </w14:solidFill>
                </w14:textFill>
              </w:rPr>
              <w:t>0°</w:t>
            </w:r>
          </w:p>
        </w:tc>
      </w:tr>
      <w:tr w14:paraId="4C1DE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4B3A2981">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04185E4D">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显示刷新频率</w:t>
            </w:r>
          </w:p>
        </w:tc>
        <w:tc>
          <w:tcPr>
            <w:tcW w:w="5475" w:type="dxa"/>
            <w:vAlign w:val="center"/>
          </w:tcPr>
          <w:p w14:paraId="16FF3B2E">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384</w:t>
            </w:r>
            <w:r>
              <w:rPr>
                <w:color w:val="000000" w:themeColor="text1"/>
                <w:sz w:val="24"/>
                <w:highlight w:val="none"/>
                <w14:textFill>
                  <w14:solidFill>
                    <w14:schemeClr w14:val="tx1"/>
                  </w14:solidFill>
                </w14:textFill>
              </w:rPr>
              <w:t>0Hz</w:t>
            </w:r>
          </w:p>
        </w:tc>
      </w:tr>
      <w:tr w14:paraId="1BAA3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0304BF96">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0AA61F8A">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处理换帧频率</w:t>
            </w:r>
          </w:p>
        </w:tc>
        <w:tc>
          <w:tcPr>
            <w:tcW w:w="5475" w:type="dxa"/>
            <w:vAlign w:val="center"/>
          </w:tcPr>
          <w:p w14:paraId="332F678E">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兼容60 Hz ~120Hz</w:t>
            </w:r>
          </w:p>
        </w:tc>
      </w:tr>
      <w:tr w14:paraId="6679B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6A6C83C0">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562E2306">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对比度</w:t>
            </w:r>
          </w:p>
        </w:tc>
        <w:tc>
          <w:tcPr>
            <w:tcW w:w="5475" w:type="dxa"/>
            <w:vAlign w:val="center"/>
          </w:tcPr>
          <w:p w14:paraId="35DBDF2E">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≥4000：1（测试环境）</w:t>
            </w:r>
          </w:p>
        </w:tc>
      </w:tr>
      <w:tr w14:paraId="3C594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7D75C259">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19898317">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驱动方式</w:t>
            </w:r>
          </w:p>
        </w:tc>
        <w:tc>
          <w:tcPr>
            <w:tcW w:w="5475" w:type="dxa"/>
            <w:vAlign w:val="center"/>
          </w:tcPr>
          <w:p w14:paraId="71DA5C88">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恒流驱动</w:t>
            </w:r>
          </w:p>
        </w:tc>
      </w:tr>
      <w:tr w14:paraId="6DBAE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60461EB3">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4037A1B0">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扫描方式</w:t>
            </w:r>
          </w:p>
        </w:tc>
        <w:tc>
          <w:tcPr>
            <w:tcW w:w="5475" w:type="dxa"/>
            <w:vAlign w:val="center"/>
          </w:tcPr>
          <w:p w14:paraId="3625F47E">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1/2</w:t>
            </w:r>
            <w:r>
              <w:rPr>
                <w:color w:val="000000" w:themeColor="text1"/>
                <w:sz w:val="24"/>
                <w:highlight w:val="none"/>
                <w14:textFill>
                  <w14:solidFill>
                    <w14:schemeClr w14:val="tx1"/>
                  </w14:solidFill>
                </w14:textFill>
              </w:rPr>
              <w:t>扫描</w:t>
            </w:r>
          </w:p>
        </w:tc>
      </w:tr>
    </w:tbl>
    <w:p w14:paraId="2DAA91FD">
      <w:pPr>
        <w:spacing w:line="360" w:lineRule="auto"/>
        <w:ind w:firstLine="482" w:firstLineChars="200"/>
        <w:outlineLvl w:val="1"/>
        <w:rPr>
          <w:rFonts w:ascii="Times New Roman" w:hAnsi="Times New Roman"/>
          <w:b/>
          <w:color w:val="000000" w:themeColor="text1"/>
          <w:sz w:val="24"/>
          <w:szCs w:val="24"/>
          <w:highlight w:val="none"/>
          <w14:textFill>
            <w14:solidFill>
              <w14:schemeClr w14:val="tx1"/>
            </w14:solidFill>
          </w14:textFill>
        </w:rPr>
      </w:pPr>
      <w:bookmarkStart w:id="39" w:name="_Toc482188644"/>
      <w:bookmarkStart w:id="40" w:name="_Toc5531"/>
      <w:r>
        <w:rPr>
          <w:rFonts w:hint="eastAsia" w:ascii="Times New Roman" w:hAnsi="Times New Roman"/>
          <w:b/>
          <w:color w:val="000000" w:themeColor="text1"/>
          <w:sz w:val="24"/>
          <w:szCs w:val="24"/>
          <w:highlight w:val="none"/>
          <w14:textFill>
            <w14:solidFill>
              <w14:schemeClr w14:val="tx1"/>
            </w14:solidFill>
          </w14:textFill>
        </w:rPr>
        <w:t>注：投标人须承诺完全响应上述要求，如虚假承诺，招标人有权取消中标资格和解除合同，并上报本项目监管部门处理。</w:t>
      </w:r>
    </w:p>
    <w:p w14:paraId="26D05F7C">
      <w:pPr>
        <w:spacing w:line="360" w:lineRule="auto"/>
        <w:outlineLvl w:val="1"/>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四</w:t>
      </w:r>
      <w:r>
        <w:rPr>
          <w:rFonts w:ascii="Times New Roman" w:hAnsi="Times New Roman"/>
          <w:b/>
          <w:color w:val="000000" w:themeColor="text1"/>
          <w:sz w:val="24"/>
          <w:szCs w:val="24"/>
          <w:highlight w:val="none"/>
          <w14:textFill>
            <w14:solidFill>
              <w14:schemeClr w14:val="tx1"/>
            </w14:solidFill>
          </w14:textFill>
        </w:rPr>
        <w:t>、</w:t>
      </w:r>
      <w:bookmarkEnd w:id="39"/>
      <w:r>
        <w:rPr>
          <w:rFonts w:hint="eastAsia" w:ascii="Times New Roman" w:hAnsi="Times New Roman"/>
          <w:b/>
          <w:color w:val="000000" w:themeColor="text1"/>
          <w:sz w:val="24"/>
          <w:szCs w:val="24"/>
          <w:highlight w:val="none"/>
          <w14:textFill>
            <w14:solidFill>
              <w14:schemeClr w14:val="tx1"/>
            </w14:solidFill>
          </w14:textFill>
        </w:rPr>
        <w:t>报价要求</w:t>
      </w:r>
      <w:bookmarkEnd w:id="40"/>
    </w:p>
    <w:p w14:paraId="4E4202D3">
      <w:pPr>
        <w:spacing w:line="360" w:lineRule="auto"/>
        <w:ind w:firstLine="480" w:firstLineChars="200"/>
        <w:outlineLvl w:val="1"/>
        <w:rPr>
          <w:color w:val="000000" w:themeColor="text1"/>
          <w:highlight w:val="none"/>
          <w14:textFill>
            <w14:solidFill>
              <w14:schemeClr w14:val="tx1"/>
            </w14:solidFill>
          </w14:textFill>
        </w:rPr>
      </w:pPr>
      <w:bookmarkStart w:id="41" w:name="_Toc11121"/>
      <w:bookmarkStart w:id="42" w:name="_Toc482188645"/>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投标人就本项目设计施工运营费报价，设计施工0元，运营报价不低于12万元/年，即总投标报价不得低于12万元/年，否则视为投标无效。</w:t>
      </w:r>
    </w:p>
    <w:p w14:paraId="7A68FAFD">
      <w:pPr>
        <w:spacing w:line="360" w:lineRule="auto"/>
        <w:outlineLvl w:val="1"/>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五、其他要求</w:t>
      </w:r>
      <w:bookmarkEnd w:id="41"/>
    </w:p>
    <w:p w14:paraId="193B1E01">
      <w:pPr>
        <w:spacing w:line="360" w:lineRule="auto"/>
        <w:ind w:firstLine="480" w:firstLineChars="200"/>
        <w:outlineLvl w:val="1"/>
        <w:rPr>
          <w:rFonts w:ascii="Times New Roman" w:hAnsi="Times New Roman"/>
          <w:b/>
          <w:color w:val="000000" w:themeColor="text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1、中标人应在45天工期内完成项目的安装及调试，并需满足甲方提供的技术参数要求，乙方不在规定工期时间内完成交付，每迟延一天应按照欠付费用的万分之五向甲方支付违约金。</w:t>
      </w:r>
    </w:p>
    <w:p w14:paraId="6C2DBA99">
      <w:pPr>
        <w:spacing w:line="360" w:lineRule="auto"/>
        <w:ind w:firstLine="480" w:firstLineChars="200"/>
        <w:outlineLvl w:val="1"/>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2、中标人应成立建设运营小组，并对项目的筹划、资金筹措、建设实施、运营管理、和资产管理等全过程负责。</w:t>
      </w:r>
    </w:p>
    <w:p w14:paraId="4C7671CB">
      <w:pPr>
        <w:spacing w:line="360" w:lineRule="auto"/>
        <w:ind w:firstLine="480" w:firstLineChars="200"/>
        <w:outlineLvl w:val="1"/>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3、中标人每天发布的所有广告符合法律法规。</w:t>
      </w:r>
    </w:p>
    <w:p w14:paraId="19A5CB99">
      <w:pPr>
        <w:spacing w:line="360" w:lineRule="auto"/>
        <w:rPr>
          <w:rFonts w:ascii="Times New Roman" w:hAnsi="Times New Roman"/>
          <w:color w:val="000000" w:themeColor="text1"/>
          <w:sz w:val="24"/>
          <w:szCs w:val="24"/>
          <w:highlight w:val="none"/>
          <w14:textFill>
            <w14:solidFill>
              <w14:schemeClr w14:val="tx1"/>
            </w14:solidFill>
          </w14:textFill>
        </w:rPr>
      </w:pPr>
    </w:p>
    <w:bookmarkEnd w:id="42"/>
    <w:p w14:paraId="421B503C">
      <w:pPr>
        <w:spacing w:line="360" w:lineRule="auto"/>
        <w:ind w:firstLine="400" w:firstLineChars="200"/>
        <w:rPr>
          <w:rFonts w:ascii="Times New Roman" w:hAnsi="Times New Roman"/>
          <w:color w:val="000000" w:themeColor="text1"/>
          <w:highlight w:val="none"/>
          <w14:textFill>
            <w14:solidFill>
              <w14:schemeClr w14:val="tx1"/>
            </w14:solidFill>
          </w14:textFill>
        </w:rPr>
      </w:pPr>
    </w:p>
    <w:p w14:paraId="56DDB6BB">
      <w:pPr>
        <w:pStyle w:val="3"/>
        <w:rPr>
          <w:rFonts w:ascii="Times New Roman" w:hAnsi="Times New Roman"/>
          <w:color w:val="000000" w:themeColor="text1"/>
          <w:sz w:val="24"/>
          <w:szCs w:val="24"/>
          <w:highlight w:val="none"/>
          <w14:textFill>
            <w14:solidFill>
              <w14:schemeClr w14:val="tx1"/>
            </w14:solidFill>
          </w14:textFill>
        </w:rPr>
      </w:pPr>
    </w:p>
    <w:p w14:paraId="50B64F8C">
      <w:pPr>
        <w:rPr>
          <w:rFonts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br w:type="page"/>
      </w:r>
    </w:p>
    <w:p w14:paraId="4A0E1D4F">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43" w:name="_Toc19762"/>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43"/>
    </w:p>
    <w:p w14:paraId="50CFD506">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4" w:name="_Toc21331"/>
      <w:r>
        <w:rPr>
          <w:rFonts w:hint="eastAsia" w:asciiTheme="minorEastAsia" w:hAnsiTheme="minorEastAsia" w:eastAsiaTheme="minorEastAsia"/>
          <w:b/>
          <w:color w:val="000000" w:themeColor="text1"/>
          <w:sz w:val="24"/>
          <w:highlight w:val="none"/>
          <w14:textFill>
            <w14:solidFill>
              <w14:schemeClr w14:val="tx1"/>
            </w14:solidFill>
          </w14:textFill>
        </w:rPr>
        <w:t>一、总则</w:t>
      </w:r>
      <w:bookmarkEnd w:id="44"/>
    </w:p>
    <w:p w14:paraId="0B96494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本项目采用最高评标价法评审，投标文件满足谈判文件全部实质性要求且</w:t>
      </w:r>
      <w:r>
        <w:rPr>
          <w:rFonts w:hint="eastAsia" w:asciiTheme="minorEastAsia" w:hAnsiTheme="minorEastAsia" w:eastAsiaTheme="minorEastAsia"/>
          <w:bCs/>
          <w:color w:val="000000" w:themeColor="text1"/>
          <w:sz w:val="24"/>
          <w:highlight w:val="none"/>
          <w14:textFill>
            <w14:solidFill>
              <w14:schemeClr w14:val="tx1"/>
            </w14:solidFill>
          </w14:textFill>
        </w:rPr>
        <w:t>最终投标报价</w:t>
      </w:r>
      <w:r>
        <w:rPr>
          <w:rFonts w:hint="eastAsia" w:asciiTheme="minorEastAsia" w:hAnsiTheme="minorEastAsia" w:eastAsiaTheme="minorEastAsia"/>
          <w:color w:val="000000" w:themeColor="text1"/>
          <w:sz w:val="24"/>
          <w:highlight w:val="none"/>
          <w14:textFill>
            <w14:solidFill>
              <w14:schemeClr w14:val="tx1"/>
            </w14:solidFill>
          </w14:textFill>
        </w:rPr>
        <w:t>最高的投标人为中标候选人的评审方法。</w:t>
      </w:r>
    </w:p>
    <w:p w14:paraId="21BD9BF8">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5" w:name="_Toc32560"/>
      <w:r>
        <w:rPr>
          <w:rFonts w:hint="eastAsia" w:asciiTheme="minorEastAsia" w:hAnsiTheme="minorEastAsia" w:eastAsiaTheme="minorEastAsia"/>
          <w:b/>
          <w:color w:val="000000" w:themeColor="text1"/>
          <w:sz w:val="24"/>
          <w:highlight w:val="none"/>
          <w14:textFill>
            <w14:solidFill>
              <w14:schemeClr w14:val="tx1"/>
            </w14:solidFill>
          </w14:textFill>
        </w:rPr>
        <w:t>二、评审方法</w:t>
      </w:r>
      <w:bookmarkEnd w:id="45"/>
    </w:p>
    <w:p w14:paraId="1C17A02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评审小组对投标人的投标文件进行初审，以确定其是否满足谈判文件的实质性要求。初审表如下：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223"/>
        <w:gridCol w:w="5604"/>
      </w:tblGrid>
      <w:tr w14:paraId="5528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3B015AFA">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初审表</w:t>
            </w:r>
          </w:p>
        </w:tc>
      </w:tr>
      <w:tr w14:paraId="36C6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8" w:type="pct"/>
            <w:tcBorders>
              <w:bottom w:val="single" w:color="auto" w:sz="4" w:space="0"/>
            </w:tcBorders>
            <w:vAlign w:val="center"/>
          </w:tcPr>
          <w:p w14:paraId="7768E1F2">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序号</w:t>
            </w:r>
          </w:p>
        </w:tc>
        <w:tc>
          <w:tcPr>
            <w:tcW w:w="1304" w:type="pct"/>
            <w:tcBorders>
              <w:bottom w:val="single" w:color="auto" w:sz="4" w:space="0"/>
            </w:tcBorders>
            <w:vAlign w:val="center"/>
          </w:tcPr>
          <w:p w14:paraId="0524B65E">
            <w:pPr>
              <w:adjustRightInd w:val="0"/>
              <w:snapToGrid w:val="0"/>
              <w:ind w:right="-10"/>
              <w:jc w:val="center"/>
              <w:rPr>
                <w:rFonts w:ascii="Calibri" w:hAnsi="Calibri" w:cs="Times New Roman"/>
                <w:b/>
                <w:color w:val="000000" w:themeColor="text1"/>
                <w:kern w:val="2"/>
                <w:sz w:val="24"/>
                <w:szCs w:val="24"/>
                <w:highlight w:val="none"/>
                <w14:textFill>
                  <w14:solidFill>
                    <w14:schemeClr w14:val="tx1"/>
                  </w14:solidFill>
                </w14:textFill>
              </w:rPr>
            </w:pPr>
            <w:r>
              <w:rPr>
                <w:rFonts w:hint="eastAsia" w:ascii="Calibri" w:hAnsi="Calibri" w:cs="Times New Roman"/>
                <w:b/>
                <w:color w:val="000000" w:themeColor="text1"/>
                <w:kern w:val="2"/>
                <w:sz w:val="24"/>
                <w:szCs w:val="24"/>
                <w:highlight w:val="none"/>
                <w14:textFill>
                  <w14:solidFill>
                    <w14:schemeClr w14:val="tx1"/>
                  </w14:solidFill>
                </w14:textFill>
              </w:rPr>
              <w:t>评审指标</w:t>
            </w:r>
          </w:p>
        </w:tc>
        <w:tc>
          <w:tcPr>
            <w:tcW w:w="3286" w:type="pct"/>
            <w:tcBorders>
              <w:bottom w:val="single" w:color="auto" w:sz="4" w:space="0"/>
            </w:tcBorders>
            <w:vAlign w:val="center"/>
          </w:tcPr>
          <w:p w14:paraId="108A4596">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合格条件</w:t>
            </w:r>
          </w:p>
        </w:tc>
      </w:tr>
      <w:tr w14:paraId="4CF4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bottom w:val="single" w:color="auto" w:sz="4" w:space="0"/>
            </w:tcBorders>
            <w:vAlign w:val="center"/>
          </w:tcPr>
          <w:p w14:paraId="74964D02">
            <w:pPr>
              <w:adjustRightInd w:val="0"/>
              <w:snapToGrid w:val="0"/>
              <w:ind w:right="-10"/>
              <w:jc w:val="center"/>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1</w:t>
            </w:r>
          </w:p>
        </w:tc>
        <w:tc>
          <w:tcPr>
            <w:tcW w:w="1304" w:type="pct"/>
            <w:tcBorders>
              <w:bottom w:val="single" w:color="auto" w:sz="4" w:space="0"/>
            </w:tcBorders>
            <w:vAlign w:val="center"/>
          </w:tcPr>
          <w:p w14:paraId="783D61B5">
            <w:pPr>
              <w:adjustRightInd w:val="0"/>
              <w:snapToGrid w:val="0"/>
              <w:ind w:right="-10"/>
              <w:jc w:val="left"/>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营业执照</w:t>
            </w:r>
          </w:p>
        </w:tc>
        <w:tc>
          <w:tcPr>
            <w:tcW w:w="3286" w:type="pct"/>
            <w:tcBorders>
              <w:bottom w:val="single" w:color="auto" w:sz="4" w:space="0"/>
            </w:tcBorders>
            <w:vAlign w:val="center"/>
          </w:tcPr>
          <w:p w14:paraId="6FF4A23A">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提供有效的营业执照扫描件，应完整地体现出营业执照的全部内容。</w:t>
            </w:r>
          </w:p>
        </w:tc>
      </w:tr>
      <w:tr w14:paraId="6237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279C881F">
            <w:pPr>
              <w:adjustRightInd w:val="0"/>
              <w:snapToGrid w:val="0"/>
              <w:ind w:right="-10"/>
              <w:jc w:val="center"/>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2</w:t>
            </w:r>
          </w:p>
        </w:tc>
        <w:tc>
          <w:tcPr>
            <w:tcW w:w="1304" w:type="pct"/>
            <w:vAlign w:val="center"/>
          </w:tcPr>
          <w:p w14:paraId="5D22895B">
            <w:pPr>
              <w:adjustRightInd w:val="0"/>
              <w:snapToGrid w:val="0"/>
              <w:ind w:right="-10"/>
              <w:jc w:val="left"/>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投标函</w:t>
            </w:r>
          </w:p>
        </w:tc>
        <w:tc>
          <w:tcPr>
            <w:tcW w:w="3286" w:type="pct"/>
            <w:vAlign w:val="center"/>
          </w:tcPr>
          <w:p w14:paraId="46E88B18">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符合谈判文件要求。</w:t>
            </w:r>
          </w:p>
        </w:tc>
      </w:tr>
      <w:tr w14:paraId="2882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3E81F1A3">
            <w:pPr>
              <w:adjustRightInd w:val="0"/>
              <w:snapToGrid w:val="0"/>
              <w:ind w:right="-10"/>
              <w:jc w:val="center"/>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3</w:t>
            </w:r>
          </w:p>
        </w:tc>
        <w:tc>
          <w:tcPr>
            <w:tcW w:w="1304" w:type="pct"/>
            <w:vAlign w:val="center"/>
          </w:tcPr>
          <w:p w14:paraId="6317C9A5">
            <w:pPr>
              <w:adjustRightInd w:val="0"/>
              <w:snapToGrid w:val="0"/>
              <w:ind w:right="-10"/>
              <w:jc w:val="left"/>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谈判文件获取情况</w:t>
            </w:r>
          </w:p>
        </w:tc>
        <w:tc>
          <w:tcPr>
            <w:tcW w:w="3286" w:type="pct"/>
            <w:vAlign w:val="center"/>
          </w:tcPr>
          <w:p w14:paraId="26B11883">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在谈判文件获取截止时间前完成谈判文件获取</w:t>
            </w:r>
            <w:r>
              <w:rPr>
                <w:rFonts w:hint="eastAsia" w:cs="Times New Roman"/>
                <w:color w:val="000000" w:themeColor="text1"/>
                <w:kern w:val="2"/>
                <w:sz w:val="24"/>
                <w:szCs w:val="22"/>
                <w:highlight w:val="none"/>
                <w14:textFill>
                  <w14:solidFill>
                    <w14:schemeClr w14:val="tx1"/>
                  </w14:solidFill>
                </w14:textFill>
              </w:rPr>
              <w:t>。</w:t>
            </w:r>
          </w:p>
        </w:tc>
      </w:tr>
      <w:tr w14:paraId="2D29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13653D5E">
            <w:pPr>
              <w:adjustRightInd w:val="0"/>
              <w:snapToGrid w:val="0"/>
              <w:ind w:right="-10"/>
              <w:jc w:val="center"/>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4</w:t>
            </w:r>
          </w:p>
        </w:tc>
        <w:tc>
          <w:tcPr>
            <w:tcW w:w="1304" w:type="pct"/>
            <w:vAlign w:val="center"/>
          </w:tcPr>
          <w:p w14:paraId="5DFEBA57">
            <w:pPr>
              <w:adjustRightInd w:val="0"/>
              <w:snapToGrid w:val="0"/>
              <w:ind w:right="-10"/>
              <w:jc w:val="left"/>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授权书</w:t>
            </w:r>
          </w:p>
        </w:tc>
        <w:tc>
          <w:tcPr>
            <w:tcW w:w="3286" w:type="pct"/>
            <w:vAlign w:val="center"/>
          </w:tcPr>
          <w:p w14:paraId="38257238">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符合谈判文件要求。</w:t>
            </w:r>
          </w:p>
        </w:tc>
      </w:tr>
      <w:tr w14:paraId="1FB2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5185A583">
            <w:pPr>
              <w:adjustRightInd w:val="0"/>
              <w:snapToGrid w:val="0"/>
              <w:ind w:right="-10"/>
              <w:jc w:val="center"/>
              <w:rPr>
                <w:rFonts w:hint="eastAsia"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5</w:t>
            </w:r>
          </w:p>
        </w:tc>
        <w:tc>
          <w:tcPr>
            <w:tcW w:w="1304" w:type="pct"/>
            <w:vAlign w:val="center"/>
          </w:tcPr>
          <w:p w14:paraId="57917415">
            <w:pPr>
              <w:adjustRightInd w:val="0"/>
              <w:snapToGrid w:val="0"/>
              <w:ind w:right="-10"/>
              <w:jc w:val="left"/>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谈判保证金</w:t>
            </w:r>
          </w:p>
        </w:tc>
        <w:tc>
          <w:tcPr>
            <w:tcW w:w="3286" w:type="pct"/>
            <w:vAlign w:val="center"/>
          </w:tcPr>
          <w:p w14:paraId="1CFBBD62">
            <w:pPr>
              <w:adjustRightInd w:val="0"/>
              <w:snapToGrid w:val="0"/>
              <w:spacing w:line="360" w:lineRule="auto"/>
              <w:ind w:right="-10"/>
              <w:rPr>
                <w:rFonts w:hint="eastAsia"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符合谈判文件要求。</w:t>
            </w:r>
          </w:p>
        </w:tc>
      </w:tr>
      <w:tr w14:paraId="6252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4461BB05">
            <w:pPr>
              <w:adjustRightInd w:val="0"/>
              <w:snapToGrid w:val="0"/>
              <w:ind w:right="-10"/>
              <w:jc w:val="center"/>
              <w:rPr>
                <w:rFonts w:hint="eastAsia" w:eastAsia="宋体" w:cs="Times New Roman"/>
                <w:color w:val="000000" w:themeColor="text1"/>
                <w:kern w:val="2"/>
                <w:sz w:val="24"/>
                <w:highlight w:val="none"/>
                <w:lang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6</w:t>
            </w:r>
          </w:p>
        </w:tc>
        <w:tc>
          <w:tcPr>
            <w:tcW w:w="1304" w:type="pct"/>
            <w:vAlign w:val="center"/>
          </w:tcPr>
          <w:p w14:paraId="5E931E92">
            <w:pPr>
              <w:adjustRightInd w:val="0"/>
              <w:snapToGrid w:val="0"/>
              <w:ind w:right="-10"/>
              <w:jc w:val="left"/>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谈判报价</w:t>
            </w:r>
          </w:p>
        </w:tc>
        <w:tc>
          <w:tcPr>
            <w:tcW w:w="3286" w:type="pct"/>
            <w:vAlign w:val="center"/>
          </w:tcPr>
          <w:p w14:paraId="03121E0D">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符合谈判文件要求。</w:t>
            </w:r>
          </w:p>
        </w:tc>
      </w:tr>
      <w:tr w14:paraId="3437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6D7BF532">
            <w:pPr>
              <w:adjustRightInd w:val="0"/>
              <w:snapToGrid w:val="0"/>
              <w:ind w:right="-10"/>
              <w:jc w:val="center"/>
              <w:rPr>
                <w:rFonts w:hint="eastAsia" w:eastAsia="宋体" w:cs="Times New Roman"/>
                <w:color w:val="000000" w:themeColor="text1"/>
                <w:kern w:val="2"/>
                <w:sz w:val="24"/>
                <w:highlight w:val="none"/>
                <w:lang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7</w:t>
            </w:r>
          </w:p>
        </w:tc>
        <w:tc>
          <w:tcPr>
            <w:tcW w:w="1304" w:type="pct"/>
            <w:vAlign w:val="center"/>
          </w:tcPr>
          <w:p w14:paraId="1B9489D6">
            <w:pPr>
              <w:adjustRightInd w:val="0"/>
              <w:snapToGrid w:val="0"/>
              <w:ind w:right="-10"/>
              <w:jc w:val="left"/>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其他实质性要求</w:t>
            </w:r>
          </w:p>
        </w:tc>
        <w:tc>
          <w:tcPr>
            <w:tcW w:w="3286" w:type="pct"/>
            <w:vAlign w:val="center"/>
          </w:tcPr>
          <w:p w14:paraId="246A2A85">
            <w:pPr>
              <w:adjustRightInd w:val="0"/>
              <w:snapToGrid w:val="0"/>
              <w:spacing w:line="360" w:lineRule="auto"/>
              <w:ind w:right="-10"/>
              <w:jc w:val="left"/>
              <w:rPr>
                <w:rFonts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符合谈判文件的其他实质性要求和条件</w:t>
            </w:r>
          </w:p>
        </w:tc>
      </w:tr>
      <w:tr w14:paraId="2D8D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2D61A1C6">
            <w:pPr>
              <w:adjustRightInd w:val="0"/>
              <w:snapToGrid w:val="0"/>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ascii="Calibri" w:hAnsi="Calibri" w:cs="Times New Roman"/>
                <w:color w:val="000000" w:themeColor="text1"/>
                <w:kern w:val="2"/>
                <w:sz w:val="24"/>
                <w:szCs w:val="22"/>
                <w:highlight w:val="none"/>
                <w14:textFill>
                  <w14:solidFill>
                    <w14:schemeClr w14:val="tx1"/>
                  </w14:solidFill>
                </w14:textFill>
              </w:rPr>
              <w:t>评审指标通过标准：投标人必须通过上述全部指标。</w:t>
            </w:r>
          </w:p>
        </w:tc>
      </w:tr>
    </w:tbl>
    <w:p w14:paraId="7B68838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初审指标通过标准：</w:t>
      </w:r>
      <w:r>
        <w:rPr>
          <w:rFonts w:hint="eastAsia" w:asciiTheme="minorEastAsia" w:hAnsiTheme="minorEastAsia" w:eastAsiaTheme="minorEastAsia"/>
          <w:color w:val="000000" w:themeColor="text1"/>
          <w:sz w:val="24"/>
          <w:highlight w:val="none"/>
          <w14:textFill>
            <w14:solidFill>
              <w14:schemeClr w14:val="tx1"/>
            </w14:solidFill>
          </w14:textFill>
        </w:rPr>
        <w:t>投标人必须通过初审表中的全部评审指标。</w:t>
      </w:r>
    </w:p>
    <w:p w14:paraId="1EC1E30B">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6" w:name="_Toc32649"/>
      <w:r>
        <w:rPr>
          <w:rFonts w:hint="eastAsia" w:asciiTheme="minorEastAsia" w:hAnsiTheme="minorEastAsia" w:eastAsiaTheme="minorEastAsia"/>
          <w:b/>
          <w:color w:val="000000" w:themeColor="text1"/>
          <w:sz w:val="24"/>
          <w:highlight w:val="none"/>
          <w14:textFill>
            <w14:solidFill>
              <w14:schemeClr w14:val="tx1"/>
            </w14:solidFill>
          </w14:textFill>
        </w:rPr>
        <w:t>三、评审程序</w:t>
      </w:r>
      <w:bookmarkEnd w:id="46"/>
    </w:p>
    <w:p w14:paraId="54B29180">
      <w:pPr>
        <w:spacing w:line="360" w:lineRule="auto"/>
        <w:ind w:firstLine="435"/>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1.初审。评审小组对成功解密的投标文件按照初审表进行评审，投标人未实质性响应谈判文件要求导致投标无效的，评审小组将以询标的方式告知有关投标人。</w:t>
      </w:r>
    </w:p>
    <w:p w14:paraId="34B8BBB2">
      <w:pPr>
        <w:spacing w:line="360" w:lineRule="auto"/>
        <w:ind w:firstLine="435"/>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2.谈判。初审合格后，本项目谈判条件如有变化，评审小组对初审合格的投标人进行谈判；本项目谈判条件如无变化，直接进入报价环节。</w:t>
      </w:r>
    </w:p>
    <w:p w14:paraId="4FBDF105">
      <w:pPr>
        <w:spacing w:line="360" w:lineRule="auto"/>
        <w:ind w:firstLine="435"/>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3.</w:t>
      </w:r>
      <w:r>
        <w:rPr>
          <w:rFonts w:asciiTheme="minorEastAsia" w:hAnsiTheme="minorEastAsia" w:eastAsiaTheme="minorEastAsia"/>
          <w:bCs/>
          <w:color w:val="000000" w:themeColor="text1"/>
          <w:sz w:val="24"/>
          <w:highlight w:val="none"/>
          <w14:textFill>
            <w14:solidFill>
              <w14:schemeClr w14:val="tx1"/>
            </w14:solidFill>
          </w14:textFill>
        </w:rPr>
        <w:t>报价</w:t>
      </w:r>
      <w:r>
        <w:rPr>
          <w:rFonts w:hint="eastAsia" w:asciiTheme="minorEastAsia" w:hAnsiTheme="minorEastAsia" w:eastAsiaTheme="minorEastAsia"/>
          <w:bCs/>
          <w:color w:val="000000" w:themeColor="text1"/>
          <w:sz w:val="24"/>
          <w:highlight w:val="none"/>
          <w14:textFill>
            <w14:solidFill>
              <w14:schemeClr w14:val="tx1"/>
            </w14:solidFill>
          </w14:textFill>
        </w:rPr>
        <w:t>。谈判</w:t>
      </w:r>
      <w:r>
        <w:rPr>
          <w:rFonts w:asciiTheme="minorEastAsia" w:hAnsiTheme="minorEastAsia" w:eastAsiaTheme="minorEastAsia"/>
          <w:bCs/>
          <w:color w:val="000000" w:themeColor="text1"/>
          <w:sz w:val="24"/>
          <w:highlight w:val="none"/>
          <w14:textFill>
            <w14:solidFill>
              <w14:schemeClr w14:val="tx1"/>
            </w14:solidFill>
          </w14:textFill>
        </w:rPr>
        <w:t>结束后，</w:t>
      </w:r>
      <w:r>
        <w:rPr>
          <w:rFonts w:hint="eastAsia" w:asciiTheme="minorEastAsia" w:hAnsiTheme="minorEastAsia" w:eastAsiaTheme="minorEastAsia"/>
          <w:bCs/>
          <w:color w:val="000000" w:themeColor="text1"/>
          <w:sz w:val="24"/>
          <w:highlight w:val="none"/>
          <w14:textFill>
            <w14:solidFill>
              <w14:schemeClr w14:val="tx1"/>
            </w14:solidFill>
          </w14:textFill>
        </w:rPr>
        <w:t>评审小组</w:t>
      </w:r>
      <w:r>
        <w:rPr>
          <w:rFonts w:asciiTheme="minorEastAsia" w:hAnsiTheme="minorEastAsia" w:eastAsiaTheme="minorEastAsia"/>
          <w:bCs/>
          <w:color w:val="000000" w:themeColor="text1"/>
          <w:sz w:val="24"/>
          <w:highlight w:val="none"/>
          <w14:textFill>
            <w14:solidFill>
              <w14:schemeClr w14:val="tx1"/>
            </w14:solidFill>
          </w14:textFill>
        </w:rPr>
        <w:t>应当要求所有</w:t>
      </w:r>
      <w:r>
        <w:rPr>
          <w:rFonts w:hint="eastAsia" w:asciiTheme="minorEastAsia" w:hAnsiTheme="minorEastAsia" w:eastAsiaTheme="minorEastAsia"/>
          <w:bCs/>
          <w:color w:val="000000" w:themeColor="text1"/>
          <w:sz w:val="24"/>
          <w:highlight w:val="none"/>
          <w14:textFill>
            <w14:solidFill>
              <w14:schemeClr w14:val="tx1"/>
            </w14:solidFill>
          </w14:textFill>
        </w:rPr>
        <w:t>实质性响应</w:t>
      </w:r>
      <w:r>
        <w:rPr>
          <w:rFonts w:asciiTheme="minorEastAsia" w:hAnsiTheme="minorEastAsia" w:eastAsiaTheme="minorEastAsia"/>
          <w:bCs/>
          <w:color w:val="000000" w:themeColor="text1"/>
          <w:sz w:val="24"/>
          <w:highlight w:val="none"/>
          <w14:textFill>
            <w14:solidFill>
              <w14:schemeClr w14:val="tx1"/>
            </w14:solidFill>
          </w14:textFill>
        </w:rPr>
        <w:t>的</w:t>
      </w:r>
      <w:r>
        <w:rPr>
          <w:rFonts w:hint="eastAsia" w:asciiTheme="minorEastAsia" w:hAnsiTheme="minorEastAsia" w:eastAsiaTheme="minorEastAsia"/>
          <w:bCs/>
          <w:color w:val="000000" w:themeColor="text1"/>
          <w:sz w:val="24"/>
          <w:highlight w:val="none"/>
          <w14:textFill>
            <w14:solidFill>
              <w14:schemeClr w14:val="tx1"/>
            </w14:solidFill>
          </w14:textFill>
        </w:rPr>
        <w:t>投标人</w:t>
      </w:r>
      <w:r>
        <w:rPr>
          <w:rFonts w:asciiTheme="minorEastAsia" w:hAnsiTheme="minorEastAsia" w:eastAsiaTheme="minorEastAsia"/>
          <w:bCs/>
          <w:color w:val="000000" w:themeColor="text1"/>
          <w:sz w:val="24"/>
          <w:highlight w:val="none"/>
          <w14:textFill>
            <w14:solidFill>
              <w14:schemeClr w14:val="tx1"/>
            </w14:solidFill>
          </w14:textFill>
        </w:rPr>
        <w:t>在规定时间内提交</w:t>
      </w:r>
      <w:r>
        <w:rPr>
          <w:rFonts w:hint="eastAsia" w:asciiTheme="minorEastAsia" w:hAnsiTheme="minorEastAsia" w:eastAsiaTheme="minorEastAsia"/>
          <w:bCs/>
          <w:color w:val="000000" w:themeColor="text1"/>
          <w:sz w:val="24"/>
          <w:highlight w:val="none"/>
          <w14:textFill>
            <w14:solidFill>
              <w14:schemeClr w14:val="tx1"/>
            </w14:solidFill>
          </w14:textFill>
        </w:rPr>
        <w:t>最终投标报价</w:t>
      </w:r>
      <w:r>
        <w:rPr>
          <w:rFonts w:hint="eastAsia"/>
          <w:bCs/>
          <w:color w:val="000000" w:themeColor="text1"/>
          <w:sz w:val="24"/>
          <w:highlight w:val="none"/>
          <w14:textFill>
            <w14:solidFill>
              <w14:schemeClr w14:val="tx1"/>
            </w14:solidFill>
          </w14:textFill>
        </w:rPr>
        <w:t>。如投标人未</w:t>
      </w:r>
      <w:r>
        <w:rPr>
          <w:rFonts w:asciiTheme="minorEastAsia" w:hAnsiTheme="minorEastAsia" w:eastAsiaTheme="minorEastAsia"/>
          <w:bCs/>
          <w:color w:val="000000" w:themeColor="text1"/>
          <w:sz w:val="24"/>
          <w:highlight w:val="none"/>
          <w14:textFill>
            <w14:solidFill>
              <w14:schemeClr w14:val="tx1"/>
            </w14:solidFill>
          </w14:textFill>
        </w:rPr>
        <w:t>在规定时间内提交</w:t>
      </w:r>
      <w:r>
        <w:rPr>
          <w:rFonts w:hint="eastAsia" w:asciiTheme="minorEastAsia" w:hAnsiTheme="minorEastAsia" w:eastAsiaTheme="minorEastAsia"/>
          <w:bCs/>
          <w:color w:val="000000" w:themeColor="text1"/>
          <w:sz w:val="24"/>
          <w:highlight w:val="none"/>
          <w14:textFill>
            <w14:solidFill>
              <w14:schemeClr w14:val="tx1"/>
            </w14:solidFill>
          </w14:textFill>
        </w:rPr>
        <w:t>对应轮次的报价，则按上一轮次报价为准。</w:t>
      </w:r>
    </w:p>
    <w:p w14:paraId="4DB706DA">
      <w:pPr>
        <w:spacing w:line="360" w:lineRule="auto"/>
        <w:ind w:firstLine="435"/>
        <w:outlineLvl w:val="1"/>
        <w:rPr>
          <w:rFonts w:asciiTheme="minorEastAsia" w:hAnsiTheme="minorEastAsia" w:eastAsiaTheme="minorEastAsia"/>
          <w:bCs/>
          <w:color w:val="000000" w:themeColor="text1"/>
          <w:sz w:val="24"/>
          <w:highlight w:val="none"/>
          <w14:textFill>
            <w14:solidFill>
              <w14:schemeClr w14:val="tx1"/>
            </w14:solidFill>
          </w14:textFill>
        </w:rPr>
      </w:pPr>
      <w:bookmarkStart w:id="47" w:name="_Toc30368"/>
      <w:r>
        <w:rPr>
          <w:rFonts w:hint="eastAsia" w:asciiTheme="minorEastAsia" w:hAnsiTheme="minorEastAsia" w:eastAsiaTheme="minorEastAsia"/>
          <w:bCs/>
          <w:color w:val="000000" w:themeColor="text1"/>
          <w:sz w:val="24"/>
          <w:highlight w:val="none"/>
          <w14:textFill>
            <w14:solidFill>
              <w14:schemeClr w14:val="tx1"/>
            </w14:solidFill>
          </w14:textFill>
        </w:rPr>
        <w:t>四、相关说明。</w:t>
      </w:r>
      <w:bookmarkEnd w:id="47"/>
    </w:p>
    <w:p w14:paraId="28532EFD">
      <w:pPr>
        <w:spacing w:line="360" w:lineRule="auto"/>
        <w:ind w:firstLine="435"/>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1.评审小组</w:t>
      </w:r>
      <w:r>
        <w:rPr>
          <w:rFonts w:asciiTheme="minorEastAsia" w:hAnsiTheme="minorEastAsia" w:eastAsiaTheme="minorEastAsia"/>
          <w:bCs/>
          <w:color w:val="000000" w:themeColor="text1"/>
          <w:sz w:val="24"/>
          <w:highlight w:val="none"/>
          <w14:textFill>
            <w14:solidFill>
              <w14:schemeClr w14:val="tx1"/>
            </w14:solidFill>
          </w14:textFill>
        </w:rPr>
        <w:t>根据与</w:t>
      </w:r>
      <w:r>
        <w:rPr>
          <w:rFonts w:hint="eastAsia" w:asciiTheme="minorEastAsia" w:hAnsiTheme="minorEastAsia" w:eastAsiaTheme="minorEastAsia"/>
          <w:bCs/>
          <w:color w:val="000000" w:themeColor="text1"/>
          <w:sz w:val="24"/>
          <w:highlight w:val="none"/>
          <w14:textFill>
            <w14:solidFill>
              <w14:schemeClr w14:val="tx1"/>
            </w14:solidFill>
          </w14:textFill>
        </w:rPr>
        <w:t>投标人谈判</w:t>
      </w:r>
      <w:r>
        <w:rPr>
          <w:rFonts w:asciiTheme="minorEastAsia" w:hAnsiTheme="minorEastAsia" w:eastAsiaTheme="minorEastAsia"/>
          <w:bCs/>
          <w:color w:val="000000" w:themeColor="text1"/>
          <w:sz w:val="24"/>
          <w:highlight w:val="none"/>
          <w14:textFill>
            <w14:solidFill>
              <w14:schemeClr w14:val="tx1"/>
            </w14:solidFill>
          </w14:textFill>
        </w:rPr>
        <w:t>情况可能实质性变动</w:t>
      </w:r>
      <w:r>
        <w:rPr>
          <w:rFonts w:hint="eastAsia" w:asciiTheme="minorEastAsia" w:hAnsiTheme="minorEastAsia" w:eastAsiaTheme="minorEastAsia"/>
          <w:bCs/>
          <w:color w:val="000000" w:themeColor="text1"/>
          <w:sz w:val="24"/>
          <w:highlight w:val="none"/>
          <w14:textFill>
            <w14:solidFill>
              <w14:schemeClr w14:val="tx1"/>
            </w14:solidFill>
          </w14:textFill>
        </w:rPr>
        <w:t>谈判文件</w:t>
      </w:r>
      <w:r>
        <w:rPr>
          <w:rFonts w:asciiTheme="minorEastAsia" w:hAnsiTheme="minorEastAsia" w:eastAsiaTheme="minorEastAsia"/>
          <w:bCs/>
          <w:color w:val="000000" w:themeColor="text1"/>
          <w:sz w:val="24"/>
          <w:highlight w:val="none"/>
          <w14:textFill>
            <w14:solidFill>
              <w14:schemeClr w14:val="tx1"/>
            </w14:solidFill>
          </w14:textFill>
        </w:rPr>
        <w:t>的内容，包括</w:t>
      </w:r>
      <w:r>
        <w:rPr>
          <w:rFonts w:hint="eastAsia" w:asciiTheme="minorEastAsia" w:hAnsiTheme="minorEastAsia" w:eastAsiaTheme="minorEastAsia"/>
          <w:bCs/>
          <w:color w:val="000000" w:themeColor="text1"/>
          <w:sz w:val="24"/>
          <w:highlight w:val="none"/>
          <w14:textFill>
            <w14:solidFill>
              <w14:schemeClr w14:val="tx1"/>
            </w14:solidFill>
          </w14:textFill>
        </w:rPr>
        <w:t>招标需求</w:t>
      </w:r>
      <w:r>
        <w:rPr>
          <w:rFonts w:asciiTheme="minorEastAsia" w:hAnsiTheme="minorEastAsia" w:eastAsiaTheme="minorEastAsia"/>
          <w:bCs/>
          <w:color w:val="000000" w:themeColor="text1"/>
          <w:sz w:val="24"/>
          <w:highlight w:val="none"/>
          <w14:textFill>
            <w14:solidFill>
              <w14:schemeClr w14:val="tx1"/>
            </w14:solidFill>
          </w14:textFill>
        </w:rPr>
        <w:t>中的技术、服务要求以及合同草案条款。</w:t>
      </w:r>
      <w:r>
        <w:rPr>
          <w:rFonts w:hint="eastAsia" w:asciiTheme="minorEastAsia" w:hAnsiTheme="minorEastAsia" w:eastAsiaTheme="minorEastAsia"/>
          <w:bCs/>
          <w:color w:val="000000" w:themeColor="text1"/>
          <w:sz w:val="24"/>
          <w:highlight w:val="none"/>
          <w14:textFill>
            <w14:solidFill>
              <w14:schemeClr w14:val="tx1"/>
            </w14:solidFill>
          </w14:textFill>
        </w:rPr>
        <w:t>谈判文件</w:t>
      </w:r>
      <w:r>
        <w:rPr>
          <w:rFonts w:asciiTheme="minorEastAsia" w:hAnsiTheme="minorEastAsia" w:eastAsiaTheme="minorEastAsia"/>
          <w:bCs/>
          <w:color w:val="000000" w:themeColor="text1"/>
          <w:sz w:val="24"/>
          <w:highlight w:val="none"/>
          <w14:textFill>
            <w14:solidFill>
              <w14:schemeClr w14:val="tx1"/>
            </w14:solidFill>
          </w14:textFill>
        </w:rPr>
        <w:t>有实质性变动的，</w:t>
      </w:r>
      <w:r>
        <w:rPr>
          <w:rFonts w:hint="eastAsia" w:asciiTheme="minorEastAsia" w:hAnsiTheme="minorEastAsia" w:eastAsiaTheme="minorEastAsia"/>
          <w:bCs/>
          <w:color w:val="000000" w:themeColor="text1"/>
          <w:sz w:val="24"/>
          <w:highlight w:val="none"/>
          <w14:textFill>
            <w14:solidFill>
              <w14:schemeClr w14:val="tx1"/>
            </w14:solidFill>
          </w14:textFill>
        </w:rPr>
        <w:t>经招标人代表确认作为谈判文件的有效组成部分，评审小组</w:t>
      </w:r>
      <w:r>
        <w:rPr>
          <w:rFonts w:asciiTheme="minorEastAsia" w:hAnsiTheme="minorEastAsia" w:eastAsiaTheme="minorEastAsia"/>
          <w:bCs/>
          <w:color w:val="000000" w:themeColor="text1"/>
          <w:sz w:val="24"/>
          <w:highlight w:val="none"/>
          <w14:textFill>
            <w14:solidFill>
              <w14:schemeClr w14:val="tx1"/>
            </w14:solidFill>
          </w14:textFill>
        </w:rPr>
        <w:t>通知所有参加</w:t>
      </w:r>
      <w:r>
        <w:rPr>
          <w:rFonts w:hint="eastAsia" w:asciiTheme="minorEastAsia" w:hAnsiTheme="minorEastAsia" w:eastAsiaTheme="minorEastAsia"/>
          <w:bCs/>
          <w:color w:val="000000" w:themeColor="text1"/>
          <w:sz w:val="24"/>
          <w:highlight w:val="none"/>
          <w14:textFill>
            <w14:solidFill>
              <w14:schemeClr w14:val="tx1"/>
            </w14:solidFill>
          </w14:textFill>
        </w:rPr>
        <w:t>谈判</w:t>
      </w:r>
      <w:r>
        <w:rPr>
          <w:rFonts w:asciiTheme="minorEastAsia" w:hAnsiTheme="minorEastAsia" w:eastAsiaTheme="minorEastAsia"/>
          <w:bCs/>
          <w:color w:val="000000" w:themeColor="text1"/>
          <w:sz w:val="24"/>
          <w:highlight w:val="none"/>
          <w14:textFill>
            <w14:solidFill>
              <w14:schemeClr w14:val="tx1"/>
            </w14:solidFill>
          </w14:textFill>
        </w:rPr>
        <w:t>的</w:t>
      </w:r>
      <w:r>
        <w:rPr>
          <w:rFonts w:hint="eastAsia" w:asciiTheme="minorEastAsia" w:hAnsiTheme="minorEastAsia" w:eastAsiaTheme="minorEastAsia"/>
          <w:bCs/>
          <w:color w:val="000000" w:themeColor="text1"/>
          <w:sz w:val="24"/>
          <w:highlight w:val="none"/>
          <w14:textFill>
            <w14:solidFill>
              <w14:schemeClr w14:val="tx1"/>
            </w14:solidFill>
          </w14:textFill>
        </w:rPr>
        <w:t>投标人</w:t>
      </w:r>
      <w:r>
        <w:rPr>
          <w:rFonts w:asciiTheme="minorEastAsia" w:hAnsiTheme="minorEastAsia" w:eastAsiaTheme="minorEastAsia"/>
          <w:bCs/>
          <w:color w:val="000000" w:themeColor="text1"/>
          <w:sz w:val="24"/>
          <w:highlight w:val="none"/>
          <w14:textFill>
            <w14:solidFill>
              <w14:schemeClr w14:val="tx1"/>
            </w14:solidFill>
          </w14:textFill>
        </w:rPr>
        <w:t>。</w:t>
      </w:r>
    </w:p>
    <w:p w14:paraId="3DEFF15C">
      <w:pPr>
        <w:spacing w:line="360" w:lineRule="auto"/>
        <w:ind w:firstLine="435"/>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2.本次评标采用经评审的最高投标价法。按照经评审的最终评标价由高到低依次进行评审，评审均通过的即为中标候选人。对评审均通过的投标人，按照投标报价由高到低依次推荐中标候选人。如投标人未通过评审，则按照投标报价由高到低依次进行递补，直至评出中标候选人。如经评审的最终评标价相等的，投标报价高的优先；投标报价也相等的，由评标委员会根据投标文件投票按少数服从多数的原则确定中标候选人顺序</w:t>
      </w:r>
      <w:r>
        <w:rPr>
          <w:rFonts w:asciiTheme="minorEastAsia" w:hAnsiTheme="minorEastAsia" w:eastAsiaTheme="minorEastAsia"/>
          <w:bCs/>
          <w:color w:val="000000" w:themeColor="text1"/>
          <w:sz w:val="24"/>
          <w:highlight w:val="none"/>
          <w14:textFill>
            <w14:solidFill>
              <w14:schemeClr w14:val="tx1"/>
            </w14:solidFill>
          </w14:textFill>
        </w:rPr>
        <w:t>。</w:t>
      </w:r>
    </w:p>
    <w:p w14:paraId="319731AD">
      <w:pPr>
        <w:spacing w:line="360" w:lineRule="auto"/>
        <w:ind w:firstLine="435"/>
        <w:rPr>
          <w:rFonts w:asciiTheme="minorEastAsia" w:hAnsiTheme="minorEastAsia" w:eastAsiaTheme="minorEastAsia"/>
          <w:bCs/>
          <w:color w:val="000000" w:themeColor="text1"/>
          <w:sz w:val="24"/>
          <w:highlight w:val="none"/>
          <w14:textFill>
            <w14:solidFill>
              <w14:schemeClr w14:val="tx1"/>
            </w14:solidFill>
          </w14:textFill>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asciiTheme="minorEastAsia" w:hAnsiTheme="minorEastAsia" w:eastAsiaTheme="minorEastAsia"/>
          <w:bCs/>
          <w:color w:val="000000" w:themeColor="text1"/>
          <w:sz w:val="24"/>
          <w:highlight w:val="none"/>
          <w14:textFill>
            <w14:solidFill>
              <w14:schemeClr w14:val="tx1"/>
            </w14:solidFill>
          </w14:textFill>
        </w:rPr>
        <w:t>3.</w:t>
      </w:r>
      <w:r>
        <w:rPr>
          <w:rFonts w:asciiTheme="minorEastAsia" w:hAnsiTheme="minorEastAsia" w:eastAsiaTheme="minorEastAsia"/>
          <w:bCs/>
          <w:color w:val="000000" w:themeColor="text1"/>
          <w:sz w:val="24"/>
          <w:highlight w:val="none"/>
          <w14:textFill>
            <w14:solidFill>
              <w14:schemeClr w14:val="tx1"/>
            </w14:solidFill>
          </w14:textFill>
        </w:rPr>
        <w:t>无论何种原因，即使</w:t>
      </w:r>
      <w:r>
        <w:rPr>
          <w:rFonts w:hint="eastAsia" w:asciiTheme="minorEastAsia" w:hAnsiTheme="minorEastAsia" w:eastAsiaTheme="minorEastAsia"/>
          <w:bCs/>
          <w:color w:val="000000" w:themeColor="text1"/>
          <w:sz w:val="24"/>
          <w:highlight w:val="none"/>
          <w14:textFill>
            <w14:solidFill>
              <w14:schemeClr w14:val="tx1"/>
            </w14:solidFill>
          </w14:textFill>
        </w:rPr>
        <w:t>投标人谈判</w:t>
      </w:r>
      <w:r>
        <w:rPr>
          <w:rFonts w:asciiTheme="minorEastAsia" w:hAnsiTheme="minorEastAsia" w:eastAsiaTheme="minorEastAsia"/>
          <w:bCs/>
          <w:color w:val="000000" w:themeColor="text1"/>
          <w:sz w:val="24"/>
          <w:highlight w:val="none"/>
          <w14:textFill>
            <w14:solidFill>
              <w14:schemeClr w14:val="tx1"/>
            </w14:solidFill>
          </w14:textFill>
        </w:rPr>
        <w:t>时携带了证书材料的原件，但</w:t>
      </w:r>
      <w:r>
        <w:rPr>
          <w:rFonts w:hint="eastAsia" w:asciiTheme="minorEastAsia" w:hAnsiTheme="minorEastAsia" w:eastAsiaTheme="minorEastAsia"/>
          <w:bCs/>
          <w:color w:val="000000" w:themeColor="text1"/>
          <w:sz w:val="24"/>
          <w:highlight w:val="none"/>
          <w14:textFill>
            <w14:solidFill>
              <w14:schemeClr w14:val="tx1"/>
            </w14:solidFill>
          </w14:textFill>
        </w:rPr>
        <w:t>投标文件</w:t>
      </w:r>
      <w:r>
        <w:rPr>
          <w:rFonts w:asciiTheme="minorEastAsia" w:hAnsiTheme="minorEastAsia" w:eastAsiaTheme="minorEastAsia"/>
          <w:bCs/>
          <w:color w:val="000000" w:themeColor="text1"/>
          <w:sz w:val="24"/>
          <w:highlight w:val="none"/>
          <w14:textFill>
            <w14:solidFill>
              <w14:schemeClr w14:val="tx1"/>
            </w14:solidFill>
          </w14:textFill>
        </w:rPr>
        <w:t>中未提供与之内容完全一致的</w:t>
      </w:r>
      <w:r>
        <w:rPr>
          <w:rFonts w:hint="eastAsia" w:asciiTheme="minorEastAsia" w:hAnsiTheme="minorEastAsia" w:eastAsiaTheme="minorEastAsia"/>
          <w:bCs/>
          <w:color w:val="000000" w:themeColor="text1"/>
          <w:sz w:val="24"/>
          <w:highlight w:val="none"/>
          <w14:textFill>
            <w14:solidFill>
              <w14:schemeClr w14:val="tx1"/>
            </w14:solidFill>
          </w14:textFill>
        </w:rPr>
        <w:t>扫描件</w:t>
      </w:r>
      <w:r>
        <w:rPr>
          <w:rFonts w:asciiTheme="minorEastAsia" w:hAnsiTheme="minorEastAsia" w:eastAsiaTheme="minorEastAsia"/>
          <w:bCs/>
          <w:color w:val="000000" w:themeColor="text1"/>
          <w:sz w:val="24"/>
          <w:highlight w:val="none"/>
          <w14:textFill>
            <w14:solidFill>
              <w14:schemeClr w14:val="tx1"/>
            </w14:solidFill>
          </w14:textFill>
        </w:rPr>
        <w:t>的，</w:t>
      </w:r>
      <w:r>
        <w:rPr>
          <w:rFonts w:hint="eastAsia" w:asciiTheme="minorEastAsia" w:hAnsiTheme="minorEastAsia" w:eastAsiaTheme="minorEastAsia"/>
          <w:bCs/>
          <w:color w:val="000000" w:themeColor="text1"/>
          <w:sz w:val="24"/>
          <w:highlight w:val="none"/>
          <w14:textFill>
            <w14:solidFill>
              <w14:schemeClr w14:val="tx1"/>
            </w14:solidFill>
          </w14:textFill>
        </w:rPr>
        <w:t>评审小组</w:t>
      </w:r>
      <w:r>
        <w:rPr>
          <w:rFonts w:asciiTheme="minorEastAsia" w:hAnsiTheme="minorEastAsia" w:eastAsiaTheme="minorEastAsia"/>
          <w:bCs/>
          <w:color w:val="000000" w:themeColor="text1"/>
          <w:sz w:val="24"/>
          <w:highlight w:val="none"/>
          <w14:textFill>
            <w14:solidFill>
              <w14:schemeClr w14:val="tx1"/>
            </w14:solidFill>
          </w14:textFill>
        </w:rPr>
        <w:t>可以视同其未提供。</w:t>
      </w:r>
    </w:p>
    <w:p w14:paraId="626D9B2D">
      <w:pPr>
        <w:spacing w:line="360" w:lineRule="auto"/>
        <w:rPr>
          <w:rFonts w:asciiTheme="minorEastAsia" w:hAnsiTheme="minorEastAsia" w:eastAsiaTheme="minorEastAsia"/>
          <w:bCs/>
          <w:color w:val="000000" w:themeColor="text1"/>
          <w:sz w:val="24"/>
          <w:highlight w:val="none"/>
          <w14:textFill>
            <w14:solidFill>
              <w14:schemeClr w14:val="tx1"/>
            </w14:solidFill>
          </w14:textFill>
        </w:rPr>
      </w:pPr>
    </w:p>
    <w:p w14:paraId="2716DB88">
      <w:pPr>
        <w:pStyle w:val="3"/>
        <w:numPr>
          <w:ilvl w:val="0"/>
          <w:numId w:val="3"/>
        </w:numPr>
        <w:spacing w:line="500" w:lineRule="exact"/>
        <w:jc w:val="center"/>
        <w:rPr>
          <w:rFonts w:ascii="Times New Roman" w:hAnsi="Times New Roman"/>
          <w:color w:val="000000" w:themeColor="text1"/>
          <w:highlight w:val="none"/>
          <w14:textFill>
            <w14:solidFill>
              <w14:schemeClr w14:val="tx1"/>
            </w14:solidFill>
          </w14:textFill>
        </w:rPr>
      </w:pPr>
      <w:bookmarkStart w:id="48" w:name="_Toc23852"/>
      <w:r>
        <w:rPr>
          <w:rFonts w:ascii="Times New Roman" w:hAnsi="Times New Roman"/>
          <w:color w:val="000000" w:themeColor="text1"/>
          <w:highlight w:val="none"/>
          <w14:textFill>
            <w14:solidFill>
              <w14:schemeClr w14:val="tx1"/>
            </w14:solidFill>
          </w14:textFill>
        </w:rPr>
        <w:t>合同</w:t>
      </w:r>
      <w:bookmarkEnd w:id="48"/>
    </w:p>
    <w:p w14:paraId="257BFD47">
      <w:pPr>
        <w:spacing w:line="500" w:lineRule="exact"/>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招标方</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合肥百大购物中心有限责任公司（以下简称：甲方）</w:t>
      </w:r>
    </w:p>
    <w:p w14:paraId="4F746D51">
      <w:pPr>
        <w:spacing w:line="500" w:lineRule="exact"/>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中标方</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（以下简称：乙方）</w:t>
      </w:r>
    </w:p>
    <w:p w14:paraId="3772C055">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根据《中华人民共和国民法典》及相关法律、法规，双方本着平等、自愿原则，乙方与甲方就肥西百大外立面位置合作经营户外全彩</w:t>
      </w:r>
      <w:r>
        <w:rPr>
          <w:color w:val="000000" w:themeColor="text1"/>
          <w:sz w:val="24"/>
          <w:highlight w:val="none"/>
          <w14:textFill>
            <w14:solidFill>
              <w14:schemeClr w14:val="tx1"/>
            </w14:solidFill>
          </w14:textFill>
        </w:rPr>
        <w:t>LED</w:t>
      </w:r>
      <w:r>
        <w:rPr>
          <w:rFonts w:hint="eastAsia"/>
          <w:color w:val="000000" w:themeColor="text1"/>
          <w:sz w:val="24"/>
          <w:highlight w:val="none"/>
          <w14:textFill>
            <w14:solidFill>
              <w14:schemeClr w14:val="tx1"/>
            </w14:solidFill>
          </w14:textFill>
        </w:rPr>
        <w:t>电子屏媒体</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以下简称“显示屏</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事宜，特签订本合同，供双方共同遵守。</w:t>
      </w:r>
    </w:p>
    <w:p w14:paraId="48119599">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合同签订时间： 20  年   月   日，签订地点：安徽省合肥市。</w:t>
      </w:r>
    </w:p>
    <w:p w14:paraId="365D5A8E">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一、合作内容</w:t>
      </w:r>
    </w:p>
    <w:p w14:paraId="6F72A912">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（一）建设</w:t>
      </w:r>
    </w:p>
    <w:p w14:paraId="4AA593D4">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1.乙方确定项目负责人：，负责联系甲方，协调项目实施期间的相关事宜等。</w:t>
      </w:r>
    </w:p>
    <w:p w14:paraId="1007C791">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乙方负责投资建设显示屏，外立面建设显示屏整体设计方案需经原建筑设计单位设计许可证明，并征得甲方同意，乙方</w:t>
      </w:r>
      <w:r>
        <w:rPr>
          <w:color w:val="000000" w:themeColor="text1"/>
          <w:sz w:val="24"/>
          <w:highlight w:val="none"/>
          <w14:textFill>
            <w14:solidFill>
              <w14:schemeClr w14:val="tx1"/>
            </w14:solidFill>
          </w14:textFill>
        </w:rPr>
        <w:t>负责设计的施工图纸须经第三方施工图审查机构审查合格后方可使用</w:t>
      </w:r>
      <w:r>
        <w:rPr>
          <w:rFonts w:hint="eastAsia"/>
          <w:color w:val="000000" w:themeColor="text1"/>
          <w:sz w:val="24"/>
          <w:highlight w:val="none"/>
          <w14:textFill>
            <w14:solidFill>
              <w14:schemeClr w14:val="tx1"/>
            </w14:solidFill>
          </w14:textFill>
        </w:rPr>
        <w:t>。乙方需确保显示屏结构牢固及大楼安全承载，防风安全，杜绝任何安全隐患，并承担由此产生的任何责任。</w:t>
      </w:r>
    </w:p>
    <w:p w14:paraId="02C60BBF">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显示屏安装位置由乙方自行踏勘现场，安装前应根据现场现状情况编制详尽的安装方案，选用专业施工人员，配备专业工具进场施工，施工过程中应做到安全有序，确保施工人员及路面交通安全及建筑防火安全。安装前乙方应将安装方案提交一份于甲方备案。</w:t>
      </w:r>
    </w:p>
    <w:p w14:paraId="3D41D74F">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4.施工作业及日常维护期间，应以安全为主，如发生人员伤亡及损坏墙面及楼顶防水设施等，由乙方负责处理并承担全部责任，赔偿因此给甲方造成的全部损失。</w:t>
      </w:r>
    </w:p>
    <w:p w14:paraId="0CC43BCB">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5.乙方应在投标文件承诺的工期内（45天）完成项目的安装及调试，并需满足甲方提供的技术参数要求。</w:t>
      </w:r>
    </w:p>
    <w:p w14:paraId="3D7E6B8F">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6.乙方必须为从事危险作业的人员办理意外伤害保险，对人员进行安全培训，制定安全措施，加强安全管理，确保施工及作业安全。</w:t>
      </w:r>
    </w:p>
    <w:p w14:paraId="2DE21239">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7.乙方需在施工现场配置专职安全员，佩戴标志并进行安全巡视，并接受甲方的安全监管。</w:t>
      </w:r>
    </w:p>
    <w:p w14:paraId="0FE10CDD">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8.乙方在施工过程中必须做好安全文明施工管理工作并符合合肥市数字化城市管理、文明创建等有关规定。</w:t>
      </w:r>
    </w:p>
    <w:p w14:paraId="62C5786C">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（二）运营合作</w:t>
      </w:r>
    </w:p>
    <w:p w14:paraId="3FDD0ABF">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1.甲方有权监督乙方，按照本合同约定和户外广告设置管理的相关规定，设置户外广告设施和发布户外广告。乙方不得发布国家法律法规明令禁止的广告，应自觉维护社会公德。</w:t>
      </w:r>
    </w:p>
    <w:p w14:paraId="5EC08B0F">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2.乙方自行负责设置户外广告设施、发布户外广告、办理相关手续，甲方协助。</w:t>
      </w:r>
    </w:p>
    <w:p w14:paraId="3542BE15">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在本合同约定的户外广告设置载体使用权期限内，如遇市政建设、城市规划调整、社会公共利益需要、城市管理行政机关要求调整或拆除等原因，造成乙方无法继续享有本合同约定的户外广告设置载体使用权，甲方应书面通知乙方，并根据户外广告设置载体使用权当年剩余期限退还当年预付剩余天数的运营费用，本合同终止，双方均不承担违约责任。</w:t>
      </w:r>
    </w:p>
    <w:p w14:paraId="12B87A69">
      <w:pPr>
        <w:spacing w:line="5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4.乙方应在运营合作的户外广告设置载体上按照合同约定的设计要点建设广告设施，</w:t>
      </w:r>
      <w:r>
        <w:rPr>
          <w:rFonts w:hint="eastAsia"/>
          <w:color w:val="000000" w:themeColor="text1"/>
          <w:sz w:val="24"/>
          <w:szCs w:val="24"/>
          <w:highlight w:val="none"/>
          <w14:textFill>
            <w14:solidFill>
              <w14:schemeClr w14:val="tx1"/>
            </w14:solidFill>
          </w14:textFill>
        </w:rPr>
        <w:t>由甲方按招标要求参数验收合格后发布广告业务。</w:t>
      </w:r>
    </w:p>
    <w:p w14:paraId="7B3170CF">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 未经甲方同意，乙方不得擅自对户外广告设置载体的使用权进行转让、转租、转包、提供担保或采取其他任何侵犯甲方所有权的行为，否则乙方构成违约，甲方有权单方解除合同，不予退还履约保证金。</w:t>
      </w:r>
    </w:p>
    <w:p w14:paraId="26607A44">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6.在本合同有效期内，广告版面闲置超过15天，乙方必须发布公益广告，否则甲方有权解除本合同。</w:t>
      </w:r>
    </w:p>
    <w:p w14:paraId="338379DD">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二、运营内容</w:t>
      </w:r>
    </w:p>
    <w:p w14:paraId="7AA5BDCD">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（一）位置、时间</w:t>
      </w:r>
    </w:p>
    <w:p w14:paraId="2A16AB04">
      <w:pPr>
        <w:spacing w:line="500" w:lineRule="exact"/>
        <w:ind w:firstLine="480" w:firstLineChars="200"/>
        <w:rPr>
          <w:rFonts w:cs="宋体"/>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标的</w:t>
      </w:r>
      <w:r>
        <w:rPr>
          <w:color w:val="000000" w:themeColor="text1"/>
          <w:sz w:val="24"/>
          <w:highlight w:val="none"/>
          <w14:textFill>
            <w14:solidFill>
              <w14:schemeClr w14:val="tx1"/>
            </w14:solidFill>
          </w14:textFill>
        </w:rPr>
        <w:t>:</w:t>
      </w:r>
      <w:r>
        <w:rPr>
          <w:rFonts w:hint="eastAsia" w:cs="宋体"/>
          <w:color w:val="000000" w:themeColor="text1"/>
          <w:sz w:val="24"/>
          <w:highlight w:val="none"/>
          <w:u w:val="single"/>
          <w14:textFill>
            <w14:solidFill>
              <w14:schemeClr w14:val="tx1"/>
            </w14:solidFill>
          </w14:textFill>
        </w:rPr>
        <w:t>肥西百大LED电子屏运营招商。</w:t>
      </w:r>
    </w:p>
    <w:p w14:paraId="686E4C92">
      <w:pPr>
        <w:spacing w:line="500" w:lineRule="exact"/>
        <w:ind w:firstLine="480" w:firstLineChars="200"/>
        <w:rPr>
          <w:color w:val="000000" w:themeColor="text1"/>
          <w:sz w:val="24"/>
          <w:highlight w:val="none"/>
          <w14:textFill>
            <w14:solidFill>
              <w14:schemeClr w14:val="tx1"/>
            </w14:solidFill>
          </w14:textFill>
        </w:rPr>
      </w:pPr>
      <w:r>
        <w:rPr>
          <w:rFonts w:cs="宋体"/>
          <w:color w:val="000000" w:themeColor="text1"/>
          <w:sz w:val="24"/>
          <w:highlight w:val="none"/>
          <w14:textFill>
            <w14:solidFill>
              <w14:schemeClr w14:val="tx1"/>
            </w14:solidFill>
          </w14:textFill>
        </w:rPr>
        <w:t>2</w:t>
      </w:r>
      <w:r>
        <w:rPr>
          <w:rFonts w:hint="eastAsia"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位置</w:t>
      </w:r>
      <w:r>
        <w:rPr>
          <w:color w:val="000000" w:themeColor="text1"/>
          <w:sz w:val="24"/>
          <w:highlight w:val="none"/>
          <w14:textFill>
            <w14:solidFill>
              <w14:schemeClr w14:val="tx1"/>
            </w14:solidFill>
          </w14:textFill>
        </w:rPr>
        <w:t>:</w:t>
      </w:r>
      <w:r>
        <w:rPr>
          <w:rFonts w:hint="eastAsia"/>
          <w:color w:val="000000" w:themeColor="text1"/>
          <w:sz w:val="24"/>
          <w:highlight w:val="none"/>
          <w:u w:val="single"/>
          <w14:textFill>
            <w14:solidFill>
              <w14:schemeClr w14:val="tx1"/>
            </w14:solidFill>
          </w14:textFill>
        </w:rPr>
        <w:t>安徽省合肥市肥西县上派镇巢湖路与江淮大道交口。</w:t>
      </w:r>
    </w:p>
    <w:p w14:paraId="0AB0215F">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时间</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运营期</w:t>
      </w:r>
      <w:r>
        <w:rPr>
          <w:rFonts w:hint="eastAsia" w:cs="宋体"/>
          <w:color w:val="000000" w:themeColor="text1"/>
          <w:sz w:val="24"/>
          <w:highlight w:val="none"/>
          <w:u w:val="single"/>
          <w14:textFill>
            <w14:solidFill>
              <w14:schemeClr w14:val="tx1"/>
            </w14:solidFill>
          </w14:textFill>
        </w:rPr>
        <w:t>3</w:t>
      </w:r>
      <w:r>
        <w:rPr>
          <w:rFonts w:hint="eastAsia"/>
          <w:color w:val="000000" w:themeColor="text1"/>
          <w:sz w:val="24"/>
          <w:highlight w:val="none"/>
          <w14:textFill>
            <w14:solidFill>
              <w14:schemeClr w14:val="tx1"/>
            </w14:solidFill>
          </w14:textFill>
        </w:rPr>
        <w:t>年，自</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年</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月</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日至</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年</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月</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日止。</w:t>
      </w:r>
    </w:p>
    <w:p w14:paraId="3D65E53C">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（二）用途</w:t>
      </w:r>
    </w:p>
    <w:p w14:paraId="25332E87">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乙方使用外立面仅用于设置按照本合同及甲方招标文件规定标准的显示屏，显示屏形式、数量、规格如下：</w:t>
      </w:r>
    </w:p>
    <w:p w14:paraId="2AFD95A7">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形式</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户外全彩</w:t>
      </w:r>
      <w:r>
        <w:rPr>
          <w:color w:val="000000" w:themeColor="text1"/>
          <w:sz w:val="24"/>
          <w:highlight w:val="none"/>
          <w14:textFill>
            <w14:solidFill>
              <w14:schemeClr w14:val="tx1"/>
            </w14:solidFill>
          </w14:textFill>
        </w:rPr>
        <w:t>LED</w:t>
      </w:r>
      <w:r>
        <w:rPr>
          <w:rFonts w:hint="eastAsia"/>
          <w:color w:val="000000" w:themeColor="text1"/>
          <w:sz w:val="24"/>
          <w:highlight w:val="none"/>
          <w14:textFill>
            <w14:solidFill>
              <w14:schemeClr w14:val="tx1"/>
            </w14:solidFill>
          </w14:textFill>
        </w:rPr>
        <w:t>电子显示屏。</w:t>
      </w:r>
    </w:p>
    <w:p w14:paraId="67AF4148">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数量、规格</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1块，宽</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u w:val="single"/>
          <w14:textFill>
            <w14:solidFill>
              <w14:schemeClr w14:val="tx1"/>
            </w14:solidFill>
          </w14:textFill>
        </w:rPr>
        <w:t>21</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米</w:t>
      </w:r>
      <w:r>
        <w:rPr>
          <w:color w:val="000000" w:themeColor="text1"/>
          <w:sz w:val="24"/>
          <w:highlight w:val="none"/>
          <w14:textFill>
            <w14:solidFill>
              <w14:schemeClr w14:val="tx1"/>
            </w14:solidFill>
          </w14:textFill>
        </w:rPr>
        <w:t>X</w:t>
      </w:r>
      <w:r>
        <w:rPr>
          <w:rFonts w:hint="eastAsia"/>
          <w:color w:val="000000" w:themeColor="text1"/>
          <w:sz w:val="24"/>
          <w:highlight w:val="none"/>
          <w14:textFill>
            <w14:solidFill>
              <w14:schemeClr w14:val="tx1"/>
            </w14:solidFill>
          </w14:textFill>
        </w:rPr>
        <w:t>高</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u w:val="single"/>
          <w14:textFill>
            <w14:solidFill>
              <w14:schemeClr w14:val="tx1"/>
            </w14:solidFill>
          </w14:textFill>
        </w:rPr>
        <w:t>11</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米</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 233</w:t>
      </w:r>
      <w:r>
        <w:rPr>
          <w:color w:val="000000" w:themeColor="text1"/>
          <w:sz w:val="24"/>
          <w:highlight w:val="none"/>
          <w14:textFill>
            <w14:solidFill>
              <w14:schemeClr w14:val="tx1"/>
            </w14:solidFill>
          </w14:textFill>
        </w:rPr>
        <w:t>m</w:t>
      </w:r>
      <w:r>
        <w:rPr>
          <w:rFonts w:hint="eastAsia"/>
          <w:color w:val="000000" w:themeColor="text1"/>
          <w:sz w:val="24"/>
          <w:highlight w:val="none"/>
          <w14:textFill>
            <w14:solidFill>
              <w14:schemeClr w14:val="tx1"/>
            </w14:solidFill>
          </w14:textFill>
        </w:rPr>
        <w:t>²（具体以实际为准，乙方应于投标前进行现场勘测）</w:t>
      </w:r>
      <w:r>
        <w:rPr>
          <w:rFonts w:hint="eastAsia" w:cs="宋体"/>
          <w:color w:val="000000" w:themeColor="text1"/>
          <w:sz w:val="24"/>
          <w:highlight w:val="none"/>
          <w14:textFill>
            <w14:solidFill>
              <w14:schemeClr w14:val="tx1"/>
            </w14:solidFill>
          </w14:textFill>
        </w:rPr>
        <w:t>。</w:t>
      </w:r>
    </w:p>
    <w:p w14:paraId="6DB4AA06">
      <w:pPr>
        <w:spacing w:line="5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（三）合同运营付款方式</w:t>
      </w:r>
    </w:p>
    <w:p w14:paraId="00D20B17">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乙方需在合同签订后10日内以转账的方式支付首年运营费用，以后每年提前10天支付下一年度运营费用，先支付后使用。</w:t>
      </w:r>
    </w:p>
    <w:p w14:paraId="1A54F1D5">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（四）合同双方的权利义务</w:t>
      </w:r>
    </w:p>
    <w:p w14:paraId="7BD6B2D2">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1.乙方在本合同规定范围内兴建的显示屏由乙方负责出资承建、使用、维护、管理，接受甲方日常管理。若合同终止，由乙方在60个日历天内负责拆除、清理完毕，并恢复外立面至安装前原貌。</w:t>
      </w:r>
    </w:p>
    <w:p w14:paraId="2ED510ED">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甲方为乙方建造显示屏提供场地，对于乙方的投资及经营行为不负任何法律及经济责任。乙方在经营过程中所涉及的工商、市容、规划、城管等方面责任及纠纷均由乙方承担，与甲方无任何关系，户外广告设置载体的使用必须符合规划、城管、工商等管理部门的规定。</w:t>
      </w:r>
    </w:p>
    <w:p w14:paraId="2F5069A6">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在合同期内，乙方需为甲方提供每天不少于180分钟的显示屏广告免费发布时长，对于特殊时间节点，甲方需要定屏宣传的，乙方应无条件给予配合。甲方额外投放的广告，同等条件下乙方应给予费用优惠。乙方不得发布甲方同行业的具有竞争性质的商业广告。</w:t>
      </w:r>
    </w:p>
    <w:p w14:paraId="73F9C6B4">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合同执行期间，如因显示屏质量等原因造成客户纠纷或任何第三方的损失均由乙方承担。</w:t>
      </w:r>
    </w:p>
    <w:p w14:paraId="0DB7A6C9">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甲方提供显示屏电源接入，乙方须按要求设置专用配电设施，所需费用由乙方承担，乙方电子屏建设及运营期间产生的电费按照实际使用情况按月支付给甲方。如甲方提供的电源满足不了显示屏正常运行，乙方应自行去供电公司开户解决。</w:t>
      </w:r>
    </w:p>
    <w:p w14:paraId="29A4E1CB">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验收时需按照甲方提供的技术参数要求，如达不到要求视为违约，甲方有权解除合同。</w:t>
      </w:r>
    </w:p>
    <w:p w14:paraId="56B06B40">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乙方应当对其发布的广告内容的真实性、合法性和适当性负责，并对甲方提供经乙方发布的广告内容的合法合规性进行审查并对此负责。乙方保证其提供的用以发布的广告内容和形式不会违反任何适用的国家法律、法规、政策及公共道德准则，也不会损害任何第三方的合法权益。因乙方提供的广告违法或侵权所造成的一切法律责任均由乙方自行承担。若因此导致甲方蒙受任何损失的，乙方有义务向甲方提供全面足额的赔偿。</w:t>
      </w:r>
    </w:p>
    <w:p w14:paraId="0E4B491F">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8.如果广告发布需要办理相关主管部门的审批手续，由乙方负责办理。乙方应于每次广告发布前2个工作日前将行政审批手续办理完毕，以确保广告能够及时顺利发布。</w:t>
      </w:r>
    </w:p>
    <w:p w14:paraId="1864B367">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9、乙方保证电子屏安装牢固度达到可正常使用10年，合同期内，若甲方发现电子屏存在安全隐患，乙方应立即进行维修，若乙方怠于维修，甲方有权自行或聘请第三方进行维修或拆除（限紧急情况下，且不拆除不足以消除危险时）以消除安全隐患，所需费用由乙方承担，甲方若拆除电子屏无需支付乙方任何补偿或赔偿。乙方对显示屏脱落或部分脱落导致的人身、财产损害承担所有责任，如因此导致甲方被受害方索赔产生损失的，乙方应全额赔付。</w:t>
      </w:r>
    </w:p>
    <w:p w14:paraId="145843F7">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三、履约保证金</w:t>
      </w:r>
    </w:p>
    <w:p w14:paraId="30A45E53">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1.乙方须在《成交确认书》出具之日起3个工作日内（合同签订前）向甲方指定账户交纳履约保证金，履约保证金金额为：</w:t>
      </w:r>
      <w:r>
        <w:rPr>
          <w:rFonts w:hint="eastAsia"/>
          <w:color w:val="000000" w:themeColor="text1"/>
          <w:sz w:val="24"/>
          <w:highlight w:val="none"/>
          <w:u w:val="single"/>
          <w14:textFill>
            <w14:solidFill>
              <w14:schemeClr w14:val="tx1"/>
            </w14:solidFill>
          </w14:textFill>
        </w:rPr>
        <w:t xml:space="preserve">30000 </w:t>
      </w:r>
      <w:r>
        <w:rPr>
          <w:rFonts w:hint="eastAsia"/>
          <w:color w:val="000000" w:themeColor="text1"/>
          <w:sz w:val="24"/>
          <w:highlight w:val="none"/>
          <w14:textFill>
            <w14:solidFill>
              <w14:schemeClr w14:val="tx1"/>
            </w14:solidFill>
          </w14:textFill>
        </w:rPr>
        <w:t>元，大写：</w:t>
      </w:r>
      <w:r>
        <w:rPr>
          <w:rFonts w:hint="eastAsia"/>
          <w:color w:val="000000" w:themeColor="text1"/>
          <w:sz w:val="24"/>
          <w:highlight w:val="none"/>
          <w:u w:val="single"/>
          <w14:textFill>
            <w14:solidFill>
              <w14:schemeClr w14:val="tx1"/>
            </w14:solidFill>
          </w14:textFill>
        </w:rPr>
        <w:t>叁万元人民币</w:t>
      </w:r>
      <w:r>
        <w:rPr>
          <w:rFonts w:hint="eastAsia"/>
          <w:color w:val="000000" w:themeColor="text1"/>
          <w:sz w:val="24"/>
          <w:highlight w:val="none"/>
          <w14:textFill>
            <w14:solidFill>
              <w14:schemeClr w14:val="tx1"/>
            </w14:solidFill>
          </w14:textFill>
        </w:rPr>
        <w:t>。</w:t>
      </w:r>
    </w:p>
    <w:p w14:paraId="54CB3A1D">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2.合同到期且乙方无违约情形，乙方在本合同约定时间内拆除显示屏后,甲方在</w:t>
      </w:r>
      <w:r>
        <w:rPr>
          <w:rFonts w:hint="eastAsia"/>
          <w:color w:val="000000" w:themeColor="text1"/>
          <w:sz w:val="24"/>
          <w:highlight w:val="none"/>
          <w:u w:val="single"/>
          <w14:textFill>
            <w14:solidFill>
              <w14:schemeClr w14:val="tx1"/>
            </w14:solidFill>
          </w14:textFill>
        </w:rPr>
        <w:t>30</w:t>
      </w:r>
      <w:r>
        <w:rPr>
          <w:rFonts w:hint="eastAsia"/>
          <w:color w:val="000000" w:themeColor="text1"/>
          <w:sz w:val="24"/>
          <w:highlight w:val="none"/>
          <w14:textFill>
            <w14:solidFill>
              <w14:schemeClr w14:val="tx1"/>
            </w14:solidFill>
          </w14:textFill>
        </w:rPr>
        <w:t>个工作日内将保证金退还给乙方。</w:t>
      </w:r>
    </w:p>
    <w:p w14:paraId="0F9127F5">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乙方如果违反本合同及甲方管理规定任何条款及有其他违约、侵权或违反行政法律、法规的行为，给甲方造成损失或应向甲方支付违约金的，甲方有权优先从保证金扣除相应金额抵付；乙方上述违法违约行为给乙方派驻员工或任何第三人造成损失的，甲方有权持续扣留上述保证金直至乙方将派驻员工及第三方造成的损失处理完毕。若有行政或司法文书要求甲方将上述保证金支付给派驻员工或第三方的，视同甲方已经将保证金退还给乙方。</w:t>
      </w:r>
    </w:p>
    <w:p w14:paraId="211CDD6B">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4.当保证金不足时，乙方必须在甲方送达缴款通知</w:t>
      </w:r>
      <w:r>
        <w:rPr>
          <w:rFonts w:hint="eastAsia"/>
          <w:color w:val="000000" w:themeColor="text1"/>
          <w:sz w:val="24"/>
          <w:highlight w:val="none"/>
          <w:u w:val="single"/>
          <w14:textFill>
            <w14:solidFill>
              <w14:schemeClr w14:val="tx1"/>
            </w14:solidFill>
          </w14:textFill>
        </w:rPr>
        <w:t>5</w:t>
      </w:r>
      <w:r>
        <w:rPr>
          <w:rFonts w:hint="eastAsia"/>
          <w:color w:val="000000" w:themeColor="text1"/>
          <w:sz w:val="24"/>
          <w:highlight w:val="none"/>
          <w14:textFill>
            <w14:solidFill>
              <w14:schemeClr w14:val="tx1"/>
            </w14:solidFill>
          </w14:textFill>
        </w:rPr>
        <w:t>日内补足。</w:t>
      </w:r>
    </w:p>
    <w:p w14:paraId="2715567A">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四、违约责任</w:t>
      </w:r>
    </w:p>
    <w:p w14:paraId="364EC818">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1.任何一方未履行合同任何一项条款均被视为违约。违约方应承担自己的违约行为而给守约方造成的经济损失及相关法律责任。</w:t>
      </w:r>
    </w:p>
    <w:p w14:paraId="06365847">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2.乙方不按时支付运营费用，每迟延一天应按照欠付费用的万分之五向甲方支付违约金。</w:t>
      </w:r>
    </w:p>
    <w:p w14:paraId="6E6E81AF">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3.因乙方保管或使用不当导致显示屏的损坏影响甲方使用的，乙方负责将其维修完毕，并支付逾期归还的运营费用。</w:t>
      </w:r>
    </w:p>
    <w:p w14:paraId="0C0F71D5">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4.乙方如发布甲方同行业的具有竞争性质的商业广告，甲方有权要求其立即停播此广告，如乙方不予执行，甲方有权予以断电并要求乙方按合同总金额的</w:t>
      </w:r>
      <w:r>
        <w:rPr>
          <w:rFonts w:hint="eastAsia"/>
          <w:color w:val="000000" w:themeColor="text1"/>
          <w:sz w:val="24"/>
          <w:highlight w:val="none"/>
          <w:u w:val="single"/>
          <w14:textFill>
            <w14:solidFill>
              <w14:schemeClr w14:val="tx1"/>
            </w14:solidFill>
          </w14:textFill>
        </w:rPr>
        <w:t>5</w:t>
      </w:r>
      <w:r>
        <w:rPr>
          <w:rFonts w:hint="eastAsia"/>
          <w:color w:val="000000" w:themeColor="text1"/>
          <w:sz w:val="24"/>
          <w:highlight w:val="none"/>
          <w14:textFill>
            <w14:solidFill>
              <w14:schemeClr w14:val="tx1"/>
            </w14:solidFill>
          </w14:textFill>
        </w:rPr>
        <w:t>%支付违约金；此类事件发生</w:t>
      </w:r>
      <w:r>
        <w:rPr>
          <w:rFonts w:hint="eastAsia"/>
          <w:color w:val="000000" w:themeColor="text1"/>
          <w:sz w:val="24"/>
          <w:highlight w:val="none"/>
          <w:u w:val="single"/>
          <w14:textFill>
            <w14:solidFill>
              <w14:schemeClr w14:val="tx1"/>
            </w14:solidFill>
          </w14:textFill>
        </w:rPr>
        <w:t>3</w:t>
      </w:r>
      <w:r>
        <w:rPr>
          <w:rFonts w:hint="eastAsia"/>
          <w:color w:val="000000" w:themeColor="text1"/>
          <w:sz w:val="24"/>
          <w:highlight w:val="none"/>
          <w14:textFill>
            <w14:solidFill>
              <w14:schemeClr w14:val="tx1"/>
            </w14:solidFill>
          </w14:textFill>
        </w:rPr>
        <w:t>次以上（含</w:t>
      </w:r>
      <w:r>
        <w:rPr>
          <w:rFonts w:hint="eastAsia"/>
          <w:color w:val="000000" w:themeColor="text1"/>
          <w:sz w:val="24"/>
          <w:highlight w:val="none"/>
          <w:u w:val="single"/>
          <w14:textFill>
            <w14:solidFill>
              <w14:schemeClr w14:val="tx1"/>
            </w14:solidFill>
          </w14:textFill>
        </w:rPr>
        <w:t>3</w:t>
      </w:r>
      <w:r>
        <w:rPr>
          <w:rFonts w:hint="eastAsia"/>
          <w:color w:val="000000" w:themeColor="text1"/>
          <w:sz w:val="24"/>
          <w:highlight w:val="none"/>
          <w14:textFill>
            <w14:solidFill>
              <w14:schemeClr w14:val="tx1"/>
            </w14:solidFill>
          </w14:textFill>
        </w:rPr>
        <w:t>次），甲方有权解除合同，且不退还乙方已支付的任何费用。</w:t>
      </w:r>
    </w:p>
    <w:p w14:paraId="470603FE">
      <w:pPr>
        <w:pStyle w:val="55"/>
        <w:spacing w:after="0" w:line="500" w:lineRule="exact"/>
        <w:ind w:left="0" w:leftChars="0" w:firstLine="480" w:firstLineChars="200"/>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5.乙方应保证在双方约定的运营时间段内，LED屏保持正常放映状态，如需维修等不可抗力原因须停运，乙方应提前</w:t>
      </w:r>
      <w:r>
        <w:rPr>
          <w:rFonts w:hint="eastAsia"/>
          <w:color w:val="000000" w:themeColor="text1"/>
          <w:sz w:val="24"/>
          <w:highlight w:val="none"/>
          <w:u w:val="single"/>
          <w14:textFill>
            <w14:solidFill>
              <w14:schemeClr w14:val="tx1"/>
            </w14:solidFill>
          </w14:textFill>
        </w:rPr>
        <w:t>3</w:t>
      </w:r>
      <w:r>
        <w:rPr>
          <w:rFonts w:hint="eastAsia"/>
          <w:color w:val="000000" w:themeColor="text1"/>
          <w:sz w:val="24"/>
          <w:highlight w:val="none"/>
          <w14:textFill>
            <w14:solidFill>
              <w14:schemeClr w14:val="tx1"/>
            </w14:solidFill>
          </w14:textFill>
        </w:rPr>
        <w:t>日通知甲方，非正常原因，如连续黑屏时间逾</w:t>
      </w:r>
      <w:r>
        <w:rPr>
          <w:rFonts w:hint="eastAsia"/>
          <w:color w:val="000000" w:themeColor="text1"/>
          <w:sz w:val="24"/>
          <w:highlight w:val="none"/>
          <w:u w:val="single"/>
          <w14:textFill>
            <w14:solidFill>
              <w14:schemeClr w14:val="tx1"/>
            </w14:solidFill>
          </w14:textFill>
        </w:rPr>
        <w:t>24</w:t>
      </w:r>
      <w:r>
        <w:rPr>
          <w:rFonts w:hint="eastAsia"/>
          <w:color w:val="000000" w:themeColor="text1"/>
          <w:sz w:val="24"/>
          <w:highlight w:val="none"/>
          <w14:textFill>
            <w14:solidFill>
              <w14:schemeClr w14:val="tx1"/>
            </w14:solidFill>
          </w14:textFill>
        </w:rPr>
        <w:t>小时，甲方有权要求乙方立即恢复播放；如连续黑屏</w:t>
      </w:r>
      <w:r>
        <w:rPr>
          <w:rFonts w:hint="eastAsia"/>
          <w:color w:val="000000" w:themeColor="text1"/>
          <w:sz w:val="24"/>
          <w:highlight w:val="none"/>
          <w:u w:val="single"/>
          <w14:textFill>
            <w14:solidFill>
              <w14:schemeClr w14:val="tx1"/>
            </w14:solidFill>
          </w14:textFill>
        </w:rPr>
        <w:t>3</w:t>
      </w:r>
      <w:r>
        <w:rPr>
          <w:rFonts w:hint="eastAsia"/>
          <w:color w:val="000000" w:themeColor="text1"/>
          <w:sz w:val="24"/>
          <w:highlight w:val="none"/>
          <w14:textFill>
            <w14:solidFill>
              <w14:schemeClr w14:val="tx1"/>
            </w14:solidFill>
          </w14:textFill>
        </w:rPr>
        <w:t>日，甲方有权解除合同，并要求乙方按合同金额的</w:t>
      </w:r>
      <w:r>
        <w:rPr>
          <w:rFonts w:hint="eastAsia"/>
          <w:color w:val="000000" w:themeColor="text1"/>
          <w:sz w:val="24"/>
          <w:highlight w:val="none"/>
          <w:u w:val="single"/>
          <w14:textFill>
            <w14:solidFill>
              <w14:schemeClr w14:val="tx1"/>
            </w14:solidFill>
          </w14:textFill>
        </w:rPr>
        <w:t>5</w:t>
      </w:r>
      <w:r>
        <w:rPr>
          <w:rFonts w:hint="eastAsia"/>
          <w:color w:val="000000" w:themeColor="text1"/>
          <w:sz w:val="24"/>
          <w:highlight w:val="none"/>
          <w14:textFill>
            <w14:solidFill>
              <w14:schemeClr w14:val="tx1"/>
            </w14:solidFill>
          </w14:textFill>
        </w:rPr>
        <w:t>%支付违约金，且不退还乙方已支付的任何费用。</w:t>
      </w:r>
    </w:p>
    <w:p w14:paraId="23BFF014">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五、解除合同</w:t>
      </w:r>
    </w:p>
    <w:p w14:paraId="58C30E73">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（一）有下列情形之一，甲方有权单方解除合同并不退还乙方支付的任何费用：</w:t>
      </w:r>
    </w:p>
    <w:p w14:paraId="7819E48D">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乙方未按期支付分成的；</w:t>
      </w:r>
    </w:p>
    <w:p w14:paraId="6206B3ED">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乙方未获得有关部门批准的（如工商、城管等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p>
    <w:p w14:paraId="4DC37E2E">
      <w:pPr>
        <w:spacing w:line="500" w:lineRule="exact"/>
        <w:ind w:left="534" w:leftChars="26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乙方发布违法违规广告；</w:t>
      </w:r>
    </w:p>
    <w:p w14:paraId="27186EDB">
      <w:pPr>
        <w:spacing w:line="500" w:lineRule="exact"/>
        <w:ind w:left="534" w:leftChars="26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乙方施工或使用维护过程中出现人员伤亡，甲方不负责赔偿；</w:t>
      </w:r>
    </w:p>
    <w:p w14:paraId="6BAAF56B">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显示屏安装后在使用过程中存在危及甲方建筑安全的安全隐患，且乙方未在甲方要求整改或拆除的；</w:t>
      </w:r>
    </w:p>
    <w:p w14:paraId="5A4E1798">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6.乙方发布甲方同行业的具有竞争性质的商业广告：</w:t>
      </w:r>
    </w:p>
    <w:p w14:paraId="046B11D0">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7.乙方未按照合同标准建设显示屏，或显示屏连续15天未投入使用，或显示屏损坏已不符合合同标准或甲方招标文件关于显示屏的要求但乙方未维护或维修超过15天。</w:t>
      </w:r>
    </w:p>
    <w:p w14:paraId="494D81B5">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同终止后，乙方应在60日内拆除显示屏，逾期未拆除，应按照本合同约定运营费用标准的双倍向甲方支付逾期期间场地占用费，按天核算收取。逾期拆除超过70日，视为乙方遗弃物，甲方有权拆除或另作他用，如甲方或甲方另行聘请第三方拆除的，乙方应支付甲方拆除费用，甲方无需支付乙方任何补偿或赔偿。</w:t>
      </w:r>
    </w:p>
    <w:p w14:paraId="7079F8D7">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（二）合同期间，如因政府规划，甲方楼体需要重建，即拆除之日起合同自然终止，甲方不承担违约责任。乙方支付的当年运营保底分成按合同实际履行天数计算执行，多退少补。</w:t>
      </w:r>
    </w:p>
    <w:p w14:paraId="3980AC4D">
      <w:pPr>
        <w:spacing w:line="500" w:lineRule="exact"/>
        <w:ind w:firstLine="480" w:firstLineChars="200"/>
        <w:rPr>
          <w:color w:val="000000" w:themeColor="text1"/>
          <w:sz w:val="24"/>
          <w:highlight w:val="none"/>
          <w14:textFill>
            <w14:solidFill>
              <w14:schemeClr w14:val="tx1"/>
            </w14:solidFill>
          </w14:textFill>
        </w:rPr>
      </w:pPr>
    </w:p>
    <w:p w14:paraId="24B0C927">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六、不可抗力</w:t>
      </w:r>
    </w:p>
    <w:p w14:paraId="68E3FC8E">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本合同所指不可抗力是指不能预见、不能避免、不能克服的客观情况。</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例如</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政府规划、重大自然灾害、地震、台风等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p>
    <w:p w14:paraId="67E4DDC8">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不可抗力事件终止或被排除后，双方应继续履行本合同，并应尽快通知另一方。</w:t>
      </w:r>
    </w:p>
    <w:p w14:paraId="3BFE230E">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七、争议解决条款</w:t>
      </w:r>
    </w:p>
    <w:p w14:paraId="3D540A5A">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本合同在履行过程中发生的争议，由双方当事人协商解决。协商或调解不成的， 依法向</w:t>
      </w:r>
      <w:r>
        <w:rPr>
          <w:rFonts w:hint="eastAsia"/>
          <w:color w:val="000000" w:themeColor="text1"/>
          <w:sz w:val="24"/>
          <w:highlight w:val="none"/>
          <w14:textFill>
            <w14:solidFill>
              <w14:schemeClr w14:val="tx1"/>
            </w14:solidFill>
          </w14:textFill>
        </w:rPr>
        <w:t>甲方所在地</w:t>
      </w:r>
      <w:r>
        <w:rPr>
          <w:color w:val="000000" w:themeColor="text1"/>
          <w:sz w:val="24"/>
          <w:highlight w:val="none"/>
          <w14:textFill>
            <w14:solidFill>
              <w14:schemeClr w14:val="tx1"/>
            </w14:solidFill>
          </w14:textFill>
        </w:rPr>
        <w:t>人民法院起诉。</w:t>
      </w:r>
    </w:p>
    <w:p w14:paraId="09B19397">
      <w:pPr>
        <w:spacing w:line="500" w:lineRule="exact"/>
        <w:ind w:left="534" w:leftChars="267" w:firstLine="1"/>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八、合同其它条款</w:t>
      </w:r>
    </w:p>
    <w:p w14:paraId="70C6D32B">
      <w:pPr>
        <w:spacing w:line="500" w:lineRule="exact"/>
        <w:ind w:left="534" w:leftChars="267" w:firstLine="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合同自双方签字并盖章后立即生效。</w:t>
      </w:r>
    </w:p>
    <w:p w14:paraId="1FFC9661">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2.本合同未尽事宜，可由双方约定后作为合同附件。与合同具有同等法律效力。</w:t>
      </w:r>
    </w:p>
    <w:p w14:paraId="514CC0FC">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合同到期后，同等条件下乙方有权优先续约。</w:t>
      </w:r>
    </w:p>
    <w:p w14:paraId="71C815A4">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本合同壹式陆份。甲乙双方各执叁份，具有同等法律效力。</w:t>
      </w:r>
    </w:p>
    <w:p w14:paraId="0A36F4F8">
      <w:pPr>
        <w:spacing w:line="500" w:lineRule="exact"/>
        <w:ind w:firstLine="480" w:firstLineChars="200"/>
        <w:rPr>
          <w:color w:val="000000" w:themeColor="text1"/>
          <w:sz w:val="24"/>
          <w:highlight w:val="none"/>
          <w14:textFill>
            <w14:solidFill>
              <w14:schemeClr w14:val="tx1"/>
            </w14:solidFill>
          </w14:textFill>
        </w:rPr>
      </w:pPr>
    </w:p>
    <w:p w14:paraId="46EA7DBC">
      <w:pPr>
        <w:spacing w:line="500" w:lineRule="exact"/>
        <w:ind w:firstLine="480" w:firstLineChars="200"/>
        <w:rPr>
          <w:color w:val="000000" w:themeColor="text1"/>
          <w:sz w:val="24"/>
          <w:highlight w:val="none"/>
          <w14:textFill>
            <w14:solidFill>
              <w14:schemeClr w14:val="tx1"/>
            </w14:solidFill>
          </w14:textFill>
        </w:rPr>
      </w:pPr>
    </w:p>
    <w:p w14:paraId="406C3FC7">
      <w:pPr>
        <w:spacing w:line="500" w:lineRule="exact"/>
        <w:ind w:left="5454" w:leftChars="267" w:hanging="4920" w:hangingChars="20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甲方</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合肥百大购物中心乙方</w:t>
      </w:r>
      <w:r>
        <w:rPr>
          <w:color w:val="000000" w:themeColor="text1"/>
          <w:sz w:val="24"/>
          <w:highlight w:val="none"/>
          <w14:textFill>
            <w14:solidFill>
              <w14:schemeClr w14:val="tx1"/>
            </w14:solidFill>
          </w14:textFill>
        </w:rPr>
        <w:t>: (</w:t>
      </w:r>
      <w:r>
        <w:rPr>
          <w:rFonts w:hint="eastAsia"/>
          <w:color w:val="000000" w:themeColor="text1"/>
          <w:sz w:val="24"/>
          <w:highlight w:val="none"/>
          <w14:textFill>
            <w14:solidFill>
              <w14:schemeClr w14:val="tx1"/>
            </w14:solidFill>
          </w14:textFill>
        </w:rPr>
        <w:t>公章</w:t>
      </w:r>
      <w:r>
        <w:rPr>
          <w:color w:val="000000" w:themeColor="text1"/>
          <w:sz w:val="24"/>
          <w:highlight w:val="none"/>
          <w14:textFill>
            <w14:solidFill>
              <w14:schemeClr w14:val="tx1"/>
            </w14:solidFill>
          </w14:textFill>
        </w:rPr>
        <w:t>)</w:t>
      </w:r>
    </w:p>
    <w:p w14:paraId="032747D9">
      <w:pPr>
        <w:spacing w:line="500" w:lineRule="exact"/>
        <w:ind w:left="5454" w:leftChars="267" w:hanging="4920" w:hangingChars="20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有限责任公司</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公章)</w:t>
      </w:r>
    </w:p>
    <w:p w14:paraId="50BF44BC">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法定代表人或其委托代理人：      法定代表人或其委托代理人：</w:t>
      </w:r>
    </w:p>
    <w:p w14:paraId="15FADC08">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日期</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日期</w:t>
      </w:r>
      <w:r>
        <w:rPr>
          <w:color w:val="000000" w:themeColor="text1"/>
          <w:sz w:val="24"/>
          <w:highlight w:val="none"/>
          <w14:textFill>
            <w14:solidFill>
              <w14:schemeClr w14:val="tx1"/>
            </w14:solidFill>
          </w14:textFill>
        </w:rPr>
        <w:t>:</w:t>
      </w:r>
    </w:p>
    <w:p w14:paraId="28F4668B">
      <w:pPr>
        <w:spacing w:beforeLines="50" w:afterLines="30" w:line="360" w:lineRule="auto"/>
        <w:rPr>
          <w:rFonts w:cs="宋体"/>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备注：本合同的约定如与本项目谈判文件的投标人须知前附表和招标人要求的约定有冲突时，以投标人须知前附表和招标人要求的约定为准。</w:t>
      </w:r>
    </w:p>
    <w:p w14:paraId="5C41D771">
      <w:pPr>
        <w:spacing w:line="360" w:lineRule="auto"/>
        <w:rPr>
          <w:rFonts w:asciiTheme="minorEastAsia" w:hAnsiTheme="minorEastAsia" w:eastAsiaTheme="minorEastAsia" w:cstheme="minorEastAsia"/>
          <w:b/>
          <w:color w:val="000000" w:themeColor="text1"/>
          <w:kern w:val="2"/>
          <w:sz w:val="24"/>
          <w:szCs w:val="24"/>
          <w:highlight w:val="none"/>
          <w14:textFill>
            <w14:solidFill>
              <w14:schemeClr w14:val="tx1"/>
            </w14:solidFill>
          </w14:textFill>
        </w:rPr>
      </w:pPr>
    </w:p>
    <w:p w14:paraId="7B3764E0">
      <w:pPr>
        <w:spacing w:line="360" w:lineRule="auto"/>
        <w:rPr>
          <w:rFonts w:asciiTheme="minorEastAsia" w:hAnsiTheme="minorEastAsia" w:eastAsiaTheme="minorEastAsia" w:cstheme="minorEastAsia"/>
          <w:b/>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sz w:val="24"/>
          <w:szCs w:val="24"/>
          <w:highlight w:val="none"/>
          <w14:textFill>
            <w14:solidFill>
              <w14:schemeClr w14:val="tx1"/>
            </w14:solidFill>
          </w14:textFill>
        </w:rPr>
        <w:t>附件：</w:t>
      </w:r>
    </w:p>
    <w:p w14:paraId="676E5628">
      <w:pPr>
        <w:spacing w:line="360" w:lineRule="auto"/>
        <w:rPr>
          <w:rFonts w:asciiTheme="minorEastAsia" w:hAnsiTheme="minorEastAsia" w:eastAsiaTheme="minorEastAsia" w:cstheme="minorEastAsia"/>
          <w:bCs/>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sz w:val="24"/>
          <w:szCs w:val="24"/>
          <w:highlight w:val="none"/>
          <w14:textFill>
            <w14:solidFill>
              <w14:schemeClr w14:val="tx1"/>
            </w14:solidFill>
          </w14:textFill>
        </w:rPr>
        <w:t xml:space="preserve">附件1：廉政协议 </w:t>
      </w:r>
    </w:p>
    <w:p w14:paraId="290D3A86">
      <w:pPr>
        <w:spacing w:line="360" w:lineRule="auto"/>
        <w:rPr>
          <w:rFonts w:ascii="仿宋" w:hAnsi="仿宋" w:eastAsia="仿宋" w:cs="仿宋"/>
          <w:b/>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sz w:val="24"/>
          <w:szCs w:val="24"/>
          <w:highlight w:val="none"/>
          <w14:textFill>
            <w14:solidFill>
              <w14:schemeClr w14:val="tx1"/>
            </w14:solidFill>
          </w14:textFill>
        </w:rPr>
        <w:t>附件2：履约保证金</w:t>
      </w:r>
      <w:r>
        <w:rPr>
          <w:rFonts w:hint="eastAsia" w:ascii="仿宋" w:hAnsi="仿宋" w:eastAsia="仿宋" w:cs="仿宋"/>
          <w:bCs/>
          <w:color w:val="000000" w:themeColor="text1"/>
          <w:kern w:val="2"/>
          <w:sz w:val="24"/>
          <w:szCs w:val="24"/>
          <w:highlight w:val="none"/>
          <w14:textFill>
            <w14:solidFill>
              <w14:schemeClr w14:val="tx1"/>
            </w14:solidFill>
          </w14:textFill>
        </w:rPr>
        <w:br w:type="page"/>
      </w:r>
    </w:p>
    <w:p w14:paraId="1C6F6ABB">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附件1：廉政协议</w:t>
      </w:r>
    </w:p>
    <w:p w14:paraId="589D6473">
      <w:pPr>
        <w:widowControl/>
        <w:spacing w:line="360" w:lineRule="auto"/>
        <w:ind w:firstLine="643"/>
        <w:jc w:val="cente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p>
    <w:p w14:paraId="759366F6">
      <w:pPr>
        <w:widowControl/>
        <w:spacing w:line="360" w:lineRule="auto"/>
        <w:ind w:firstLine="643"/>
        <w:jc w:val="cente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廉 政 协 议</w:t>
      </w:r>
    </w:p>
    <w:p w14:paraId="03E27467">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w:t>
      </w:r>
    </w:p>
    <w:p w14:paraId="39CBF230">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w:t>
      </w:r>
    </w:p>
    <w:p w14:paraId="25220F25">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为促进双方诚信经营、廉洁从业，防范商业贿赂，保护国家、集体和当事人的合法权益，根据国家有关法律法规和廉政建设的规定，（以下称甲方）与（以下称乙方），特此订立本协议共同遵照执行。</w:t>
      </w:r>
    </w:p>
    <w:p w14:paraId="65C55C06">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第一条 甲乙双方的权利和义务</w:t>
      </w:r>
    </w:p>
    <w:p w14:paraId="6B58F44B">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572FECE">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（二）严格执行的合同要求，自觉履行合同约定的相关义务。</w:t>
      </w:r>
    </w:p>
    <w:p w14:paraId="07E52E6A">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（三）在业务活动中坚持公开、公正、诚信、透明的原则，不得损害国家、集体利益。</w:t>
      </w:r>
    </w:p>
    <w:p w14:paraId="5C46D542">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（四）建立健全廉政制度，开展廉政教育，公布举报电话，监督并认真查处违法违纪行为。</w:t>
      </w:r>
    </w:p>
    <w:p w14:paraId="617B7F68">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14:paraId="72D9FEFF">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第二条 甲方的义务</w:t>
      </w:r>
    </w:p>
    <w:p w14:paraId="1F9BDFE3">
      <w:pPr>
        <w:widowControl/>
        <w:spacing w:line="360" w:lineRule="auto"/>
        <w:ind w:firstLine="600" w:firstLineChars="25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（一）甲方及其工作人员不得索要或接受乙方的礼金、有价证券和贵重物品，不得在乙方报销任何应由甲方单位或个人支付的费用等。</w:t>
      </w:r>
    </w:p>
    <w:p w14:paraId="3C0DB12C">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EC1DF4E">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 甲方及其工作人员不得要求或者接受乙方为其住房装修、婚丧嫁娶活动、配偶子女工作安排以及出国出境、旅游等提供方便等。</w:t>
      </w:r>
    </w:p>
    <w:p w14:paraId="4B6740C6">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 甲方工作人员不得在乙方有股权关联的企业兼职，不得向乙方介绍家属或者亲友从事与甲方业务有关的经济活动。</w:t>
      </w:r>
    </w:p>
    <w:p w14:paraId="2196B2E6">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15A13399">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（六）甲方工作人员不得利用职务之便收受乙方以回扣、手续费、加班费、咨询费、劳务费、协调费、辛苦费等各种名义给予或赠送的钱物。</w:t>
      </w:r>
    </w:p>
    <w:p w14:paraId="057C03CB">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（七）甲方工作人员不得接受乙方给予或赠送的干股或红利。</w:t>
      </w:r>
    </w:p>
    <w:p w14:paraId="06284DB7">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（八）甲方任何人不得以个人的名义向乙方推荐设备、部件等供货商以及其他合作单位。</w:t>
      </w:r>
    </w:p>
    <w:p w14:paraId="23A70614">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第三条 乙方的义务</w:t>
      </w:r>
    </w:p>
    <w:p w14:paraId="50A0ADE2">
      <w:pPr>
        <w:widowControl/>
        <w:spacing w:line="360" w:lineRule="auto"/>
        <w:ind w:firstLine="600" w:firstLineChars="25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（一）乙方不得以任何理由向甲方及其工作人员行贿或馈赠礼金、有价证券、贵重礼品。</w:t>
      </w:r>
    </w:p>
    <w:p w14:paraId="5A669470">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（二）乙方不得以任何名义为甲方及其工作人员报销应由甲方单位或个人支付的任何费用。</w:t>
      </w:r>
    </w:p>
    <w:p w14:paraId="49B902BF">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（三）乙方不得以任何理由安排甲方工作人员参加可能影响相关业务公开、公正、公平性的宴请及娱乐活动。</w:t>
      </w:r>
    </w:p>
    <w:p w14:paraId="320F8B6A">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（四）乙方不得为甲方单位和个人购置或提供通讯工具和高档办公用品等物品，也不得为甲方提供与工作无关的房屋、汽车等。</w:t>
      </w:r>
    </w:p>
    <w:p w14:paraId="741FF3CA">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（五）乙方不得与甲方工作人员就合同中的质量、数量、价格、工程量、验收等条款进行私下商谈或者达成默契。</w:t>
      </w:r>
    </w:p>
    <w:p w14:paraId="5D92227E">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（六）乙方不得以回扣、手续费、加班费、咨询费、劳务费、协调费、辛苦费等各种名义向甲方工作人员给予或赠送钱物。</w:t>
      </w:r>
    </w:p>
    <w:p w14:paraId="1CB2E595">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（七）乙方不得向甲方工作人员提供干股或红利。</w:t>
      </w:r>
    </w:p>
    <w:p w14:paraId="17BDEEFF">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（八）乙方须按专项纪检监察工作组（如有）要求开展相关工作。</w:t>
      </w:r>
    </w:p>
    <w:p w14:paraId="230A6E4E">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第四条 违约责任</w:t>
      </w:r>
    </w:p>
    <w:p w14:paraId="5BDE6674">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71D30759">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甲方投诉联系部门：    ，联系电话：    。</w:t>
      </w:r>
    </w:p>
    <w:p w14:paraId="7F33CAE3">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（二）乙方及其工作人员违反本协议第一、三条规定的，由甲方根据具体情节和造成的后果，对乙方采取以下一种或多种处理办法：</w:t>
      </w:r>
    </w:p>
    <w:p w14:paraId="2B6D46D2">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1.全额收取乙方合同履约保证金不予退还； </w:t>
      </w:r>
    </w:p>
    <w:p w14:paraId="6C782AC4">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2.追究乙方其他违约责任；</w:t>
      </w:r>
    </w:p>
    <w:p w14:paraId="045B2625">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3.终止或解除双方已签订的包括本合同在内的所有合同；</w:t>
      </w:r>
    </w:p>
    <w:p w14:paraId="2F6133FD">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4.乙方一定期限内（6个月至3年，具体由甲方根据情况而定）不得参与甲方作为发包人（业主）的服务项目投标。</w:t>
      </w:r>
    </w:p>
    <w:p w14:paraId="030C912F">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甲方作出的处理意见，乙方应无条件接受并承担给甲方造成的损失，全额返还通过不正当手段从甲方获取的非法所得，并承担相应的法律责任。</w:t>
      </w:r>
    </w:p>
    <w:p w14:paraId="50C95939">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第五条 双方约定</w:t>
      </w:r>
    </w:p>
    <w:p w14:paraId="6352E254">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本协议由双方或双方上级单位负责监督。可由甲方或甲方上级单位的纪检监察部门约请乙方或乙方上级单位的纪检监察部门对本协议履行情况进行检查，提出在本协议规定范围内的处理意见。</w:t>
      </w:r>
    </w:p>
    <w:p w14:paraId="03590B4D">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第六条  本协议有效期为甲乙双方签署之日起至合同终止。  </w:t>
      </w:r>
    </w:p>
    <w:p w14:paraId="606D49C7">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第七条  本协议作为合同的附件，与本合同具有同等法律效力。</w:t>
      </w:r>
    </w:p>
    <w:p w14:paraId="2305178A">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5DB0BD84">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甲方（盖章）：              乙方（盖章）：</w:t>
      </w:r>
    </w:p>
    <w:p w14:paraId="5C901153">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4ED51982">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                法定代表人或</w:t>
      </w:r>
    </w:p>
    <w:p w14:paraId="2A24AC5B">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授权代表：                  授权代表：</w:t>
      </w:r>
    </w:p>
    <w:p w14:paraId="1E1CBC53">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项目经办人：</w:t>
      </w:r>
    </w:p>
    <w:p w14:paraId="1910B608">
      <w:pPr>
        <w:pStyle w:val="13"/>
        <w:widowControl/>
        <w:spacing w:line="360" w:lineRule="auto"/>
        <w:ind w:firstLine="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合同经办人：</w:t>
      </w:r>
    </w:p>
    <w:p w14:paraId="31D3A1B2">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                        日期：</w:t>
      </w:r>
    </w:p>
    <w:p w14:paraId="579EFFB9">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br w:type="page"/>
      </w:r>
    </w:p>
    <w:p w14:paraId="2561543D">
      <w:pPr>
        <w:pStyle w:val="13"/>
        <w:widowControl/>
        <w:spacing w:line="360" w:lineRule="auto"/>
        <w:ind w:firstLine="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附件2：履约保证金</w:t>
      </w:r>
    </w:p>
    <w:p w14:paraId="041D258F">
      <w:pPr>
        <w:spacing w:line="360" w:lineRule="auto"/>
        <w:jc w:val="cente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p>
    <w:p w14:paraId="75652C21">
      <w:pPr>
        <w:spacing w:line="360" w:lineRule="auto"/>
        <w:jc w:val="cente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履约保函示范文本</w:t>
      </w:r>
    </w:p>
    <w:p w14:paraId="66D7520E">
      <w:pPr>
        <w:wordWrap w:val="0"/>
        <w:spacing w:line="360" w:lineRule="auto"/>
        <w:jc w:val="righ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编号：           </w:t>
      </w:r>
    </w:p>
    <w:p w14:paraId="030CD4E0">
      <w:pPr>
        <w:spacing w:line="360" w:lineRule="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09AA5720">
      <w:pPr>
        <w:spacing w:line="360" w:lineRule="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（受益人名称）： </w:t>
      </w:r>
    </w:p>
    <w:p w14:paraId="3B58F98F">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鉴于（以下简称“受益人”）与（以下简称“申请人”）于年月日就</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（标段编号）的（标段名称）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有关事项协商一致共同签订</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122C129">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一、本保函担保范围：承包人未按照基础合同的约定履行义务，应当向受益人承担的违约责任和赔偿因此造成的损失、利息、律师费、诉讼费用等实现债权的费用。</w:t>
      </w:r>
    </w:p>
    <w:p w14:paraId="1566A340">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二、本保函担保金额最高不超过人民币（大写）元（¥）。 </w:t>
      </w:r>
    </w:p>
    <w:p w14:paraId="1D262DD9">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三、本保函有效期自开立之日起至之日止。 </w:t>
      </w:r>
    </w:p>
    <w:p w14:paraId="0F75530E">
      <w:pPr>
        <w:spacing w:line="360" w:lineRule="auto"/>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49" w:name="_Hlk4030276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四、开立人承诺，在收到受益人发来的书面付款通知后的七日内无条件支付，前述书面付款通知即为付款要求之单据，且应满足以下要求：</w:t>
      </w:r>
    </w:p>
    <w:bookmarkEnd w:id="49"/>
    <w:p w14:paraId="43AC2266">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（1）付款通知到达的日期在本保函的有效期内；</w:t>
      </w:r>
    </w:p>
    <w:p w14:paraId="539523C5">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（2）载明要求支付的金额；</w:t>
      </w:r>
    </w:p>
    <w:p w14:paraId="44B559EB">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（3）载明申请人违反合同义务的条款和内容；</w:t>
      </w:r>
    </w:p>
    <w:p w14:paraId="42815FC5">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（4）声明不存在合同文件约定或我国法律规定免除申请人或开立人支付责任的情形；</w:t>
      </w:r>
    </w:p>
    <w:p w14:paraId="594550D7">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（5）付款通知应在本保函有效期内到达的地址是：。</w:t>
      </w:r>
    </w:p>
    <w:p w14:paraId="265A653E">
      <w:pPr>
        <w:spacing w:line="360" w:lineRule="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0" w:name="_Hlk4030348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受益人发出的书面付款通知应由其法定代表人（负责人）或授权代理人签字并加盖公章。</w:t>
      </w:r>
      <w:bookmarkEnd w:id="50"/>
    </w:p>
    <w:p w14:paraId="4EF92052">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五、本保函项下的权利不得转让，不得设定担保。受益人未经我方书面同意转 让本保函或其项下任何权利，对我方不发生法律效力。 </w:t>
      </w:r>
    </w:p>
    <w:p w14:paraId="5CB58C52">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六、与本保函有关的基础合同不成立、不生效、无效、被撤销、被解除，不影响本保函的独立有效。 </w:t>
      </w:r>
    </w:p>
    <w:p w14:paraId="201DA134">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1" w:name="_Hlk40303383"/>
      <w:bookmarkStart w:id="52" w:name="_Hlk40354981"/>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七、本保函项下的义务和责任均在保函有效期到期后自动消灭。 </w:t>
      </w:r>
    </w:p>
    <w:p w14:paraId="3DD10C18">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八、本保函适用的法律为中华人民共和国法律，因本保函产生的纠纷案件，</w:t>
      </w:r>
      <w:bookmarkEnd w:id="51"/>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由受益人所在地人民法院管辖。 </w:t>
      </w:r>
    </w:p>
    <w:bookmarkEnd w:id="52"/>
    <w:p w14:paraId="4307010C">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九、本保函自我方法定代表人或授权代表签字并加盖公章之日起生效。 </w:t>
      </w:r>
    </w:p>
    <w:p w14:paraId="5E9E2AB7">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2D15B139">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4BEF8B16">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3254F2D9">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开 立 人：（公章） </w:t>
      </w:r>
    </w:p>
    <w:p w14:paraId="10AD3639">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法定代表人（或授权代表）：（签字） </w:t>
      </w:r>
    </w:p>
    <w:p w14:paraId="6AB9FD0B">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    址：</w:t>
      </w:r>
    </w:p>
    <w:p w14:paraId="645B6185">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邮政编码：</w:t>
      </w:r>
    </w:p>
    <w:p w14:paraId="16EC7D95">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    话：</w:t>
      </w:r>
    </w:p>
    <w:p w14:paraId="6566F08C">
      <w:pPr>
        <w:spacing w:line="360" w:lineRule="auto"/>
        <w:ind w:firstLine="480" w:firstLineChars="200"/>
        <w:rPr>
          <w:rFonts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传    真：</w:t>
      </w:r>
    </w:p>
    <w:p w14:paraId="64FE63B0">
      <w:pPr>
        <w:spacing w:line="360" w:lineRule="auto"/>
        <w:ind w:left="1432" w:leftChars="200" w:hanging="1032" w:hangingChars="43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开立时间：年月日</w:t>
      </w:r>
    </w:p>
    <w:p w14:paraId="0DBD514D">
      <w:pPr>
        <w:widowControl/>
        <w:spacing w:line="360" w:lineRule="auto"/>
        <w:jc w:val="lef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4B58A1F0">
      <w:pPr>
        <w:spacing w:line="360" w:lineRule="auto"/>
        <w:rPr>
          <w:color w:val="000000" w:themeColor="text1"/>
          <w:highlight w:val="none"/>
          <w14:textFill>
            <w14:solidFill>
              <w14:schemeClr w14:val="tx1"/>
            </w14:solidFill>
          </w14:textFill>
        </w:rPr>
      </w:pPr>
    </w:p>
    <w:p w14:paraId="20012124">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6FE82D8D">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53" w:name="_Toc23111"/>
      <w:r>
        <w:rPr>
          <w:rFonts w:hint="eastAsia" w:asciiTheme="minorEastAsia" w:hAnsiTheme="minorEastAsia" w:eastAsiaTheme="minorEastAsia"/>
          <w:b/>
          <w:color w:val="000000" w:themeColor="text1"/>
          <w:sz w:val="28"/>
          <w:highlight w:val="none"/>
          <w14:textFill>
            <w14:solidFill>
              <w14:schemeClr w14:val="tx1"/>
            </w14:solidFill>
          </w14:textFill>
        </w:rPr>
        <w:t>第六章  投标文件格式</w:t>
      </w:r>
      <w:bookmarkEnd w:id="53"/>
    </w:p>
    <w:p w14:paraId="44588C9D">
      <w:pPr>
        <w:spacing w:line="500" w:lineRule="exact"/>
        <w:jc w:val="center"/>
        <w:outlineLvl w:val="1"/>
        <w:rPr>
          <w:rFonts w:hint="eastAsia" w:asciiTheme="minorEastAsia" w:hAnsiTheme="minorEastAsia" w:eastAsiaTheme="minorEastAsia"/>
          <w:b/>
          <w:color w:val="000000" w:themeColor="text1"/>
          <w:sz w:val="32"/>
          <w:highlight w:val="none"/>
          <w:lang w:eastAsia="zh-CN"/>
          <w14:textFill>
            <w14:solidFill>
              <w14:schemeClr w14:val="tx1"/>
            </w14:solidFill>
          </w14:textFill>
        </w:rPr>
      </w:pPr>
      <w:r>
        <w:rPr>
          <w:rFonts w:hint="eastAsia" w:asciiTheme="minorEastAsia" w:hAnsiTheme="minorEastAsia" w:eastAsiaTheme="minorEastAsia"/>
          <w:b/>
          <w:color w:val="000000" w:themeColor="text1"/>
          <w:sz w:val="32"/>
          <w:highlight w:val="none"/>
          <w:lang w:eastAsia="zh-CN"/>
          <w14:textFill>
            <w14:solidFill>
              <w14:schemeClr w14:val="tx1"/>
            </w14:solidFill>
          </w14:textFill>
        </w:rPr>
        <w:t>合肥百大购物中心有限责任公司2024-2026年LED电子屏设计施工运营一体化（二次）</w:t>
      </w:r>
    </w:p>
    <w:p w14:paraId="127BA082">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6C2A2F3C">
      <w:pPr>
        <w:spacing w:line="900" w:lineRule="exact"/>
        <w:jc w:val="center"/>
        <w:outlineLvl w:val="2"/>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投</w:t>
      </w:r>
    </w:p>
    <w:p w14:paraId="34FE814B">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034FD2CB">
      <w:pPr>
        <w:spacing w:line="900" w:lineRule="exact"/>
        <w:jc w:val="center"/>
        <w:outlineLvl w:val="2"/>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标</w:t>
      </w:r>
    </w:p>
    <w:p w14:paraId="60C2AF8D">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25E6EE5B">
      <w:pPr>
        <w:spacing w:line="900" w:lineRule="exact"/>
        <w:jc w:val="center"/>
        <w:outlineLvl w:val="2"/>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7FEE3B38">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579DC92D">
      <w:pPr>
        <w:jc w:val="center"/>
        <w:outlineLvl w:val="2"/>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6646764F">
      <w:pPr>
        <w:spacing w:afterLines="50"/>
        <w:jc w:val="center"/>
        <w:rPr>
          <w:rFonts w:asciiTheme="minorEastAsia" w:hAnsiTheme="minorEastAsia" w:eastAsiaTheme="minorEastAsia"/>
          <w:b/>
          <w:color w:val="000000" w:themeColor="text1"/>
          <w:sz w:val="72"/>
          <w:highlight w:val="none"/>
          <w14:textFill>
            <w14:solidFill>
              <w14:schemeClr w14:val="tx1"/>
            </w14:solidFill>
          </w14:textFill>
        </w:rPr>
      </w:pPr>
    </w:p>
    <w:p w14:paraId="3DC3699E">
      <w:pPr>
        <w:spacing w:afterLines="50" w:line="500" w:lineRule="exact"/>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4BE0FB74">
      <w:pPr>
        <w:spacing w:afterLines="50" w:line="5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247647E6">
      <w:pPr>
        <w:spacing w:afterLines="50" w:line="500" w:lineRule="exact"/>
        <w:ind w:firstLine="2522" w:firstLineChars="785"/>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投标人：</w:t>
      </w:r>
    </w:p>
    <w:p w14:paraId="245455AB">
      <w:pPr>
        <w:spacing w:afterLines="50" w:line="500" w:lineRule="exact"/>
        <w:jc w:val="center"/>
        <w:outlineLvl w:val="1"/>
        <w:rPr>
          <w:rFonts w:asciiTheme="minorEastAsia" w:hAnsiTheme="minorEastAsia" w:eastAsiaTheme="minorEastAsia"/>
          <w:b/>
          <w:color w:val="000000" w:themeColor="text1"/>
          <w:sz w:val="32"/>
          <w:highlight w:val="none"/>
          <w14:textFill>
            <w14:solidFill>
              <w14:schemeClr w14:val="tx1"/>
            </w14:solidFill>
          </w14:textFill>
        </w:rPr>
      </w:pPr>
      <w:bookmarkStart w:id="54" w:name="_Toc3294"/>
      <w:r>
        <w:rPr>
          <w:rFonts w:hint="eastAsia" w:asciiTheme="minorEastAsia" w:hAnsiTheme="minorEastAsia" w:eastAsiaTheme="minorEastAsia"/>
          <w:b/>
          <w:color w:val="000000" w:themeColor="text1"/>
          <w:sz w:val="32"/>
          <w:highlight w:val="none"/>
          <w14:textFill>
            <w14:solidFill>
              <w14:schemeClr w14:val="tx1"/>
            </w14:solidFill>
          </w14:textFill>
        </w:rPr>
        <w:t>年月日</w:t>
      </w:r>
      <w:bookmarkEnd w:id="54"/>
    </w:p>
    <w:p w14:paraId="7B4F56C6">
      <w:pPr>
        <w:widowControl/>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22281A7F">
      <w:pPr>
        <w:spacing w:line="360" w:lineRule="auto"/>
        <w:jc w:val="center"/>
        <w:outlineLvl w:val="1"/>
        <w:rPr>
          <w:rFonts w:asciiTheme="minorEastAsia" w:hAnsiTheme="minorEastAsia" w:eastAsiaTheme="minorEastAsia"/>
          <w:b/>
          <w:color w:val="auto"/>
          <w:sz w:val="24"/>
          <w:highlight w:val="none"/>
        </w:rPr>
      </w:pPr>
      <w:bookmarkStart w:id="55" w:name="_Toc461056631"/>
      <w:bookmarkStart w:id="56" w:name="_Toc461053086"/>
      <w:bookmarkStart w:id="57" w:name="_Toc25921"/>
      <w:bookmarkStart w:id="58" w:name="_Toc520983587"/>
      <w:r>
        <w:rPr>
          <w:rFonts w:hint="eastAsia" w:asciiTheme="minorEastAsia" w:hAnsiTheme="minorEastAsia" w:eastAsiaTheme="minorEastAsia"/>
          <w:b/>
          <w:color w:val="auto"/>
          <w:sz w:val="24"/>
          <w:highlight w:val="none"/>
        </w:rPr>
        <w:t>一</w:t>
      </w:r>
      <w:bookmarkEnd w:id="55"/>
      <w:bookmarkEnd w:id="56"/>
      <w:r>
        <w:rPr>
          <w:rFonts w:hint="eastAsia" w:asciiTheme="minorEastAsia" w:hAnsiTheme="minorEastAsia" w:eastAsiaTheme="minorEastAsia"/>
          <w:b/>
          <w:color w:val="auto"/>
          <w:sz w:val="24"/>
          <w:highlight w:val="none"/>
        </w:rPr>
        <w:t>、报价表格式</w:t>
      </w:r>
      <w:bookmarkEnd w:id="57"/>
      <w:bookmarkEnd w:id="58"/>
    </w:p>
    <w:p w14:paraId="3A98148F">
      <w:pPr>
        <w:spacing w:before="156" w:beforeLines="50" w:after="156" w:afterLines="50" w:line="360" w:lineRule="auto"/>
        <w:jc w:val="left"/>
        <w:outlineLvl w:val="2"/>
        <w:rPr>
          <w:rFonts w:hint="default" w:cs="@仿宋_GB2312" w:asciiTheme="minorEastAsia" w:hAnsiTheme="minorEastAsia" w:eastAsiaTheme="minorEastAsia"/>
          <w:b/>
          <w:color w:val="auto"/>
          <w:kern w:val="2"/>
          <w:sz w:val="24"/>
          <w:szCs w:val="24"/>
          <w:highlight w:val="none"/>
          <w:lang w:val="en-US" w:eastAsia="zh-CN"/>
        </w:rPr>
      </w:pPr>
      <w:r>
        <w:rPr>
          <w:rFonts w:hint="eastAsia" w:cs="@仿宋_GB2312" w:asciiTheme="minorEastAsia" w:hAnsiTheme="minorEastAsia" w:eastAsiaTheme="minorEastAsia"/>
          <w:b/>
          <w:color w:val="auto"/>
          <w:kern w:val="2"/>
          <w:sz w:val="24"/>
          <w:szCs w:val="24"/>
          <w:highlight w:val="none"/>
        </w:rPr>
        <w:t xml:space="preserve">1-1 </w:t>
      </w:r>
      <w:r>
        <w:rPr>
          <w:rFonts w:hint="eastAsia" w:cs="@仿宋_GB2312" w:asciiTheme="minorEastAsia" w:hAnsiTheme="minorEastAsia" w:eastAsiaTheme="minorEastAsia"/>
          <w:b/>
          <w:color w:val="auto"/>
          <w:kern w:val="2"/>
          <w:sz w:val="24"/>
          <w:szCs w:val="24"/>
          <w:highlight w:val="none"/>
          <w:lang w:val="en-US" w:eastAsia="zh-CN"/>
        </w:rPr>
        <w:t>第一轮报价</w:t>
      </w:r>
    </w:p>
    <w:p w14:paraId="3A8B280A">
      <w:pPr>
        <w:snapToGrid w:val="0"/>
        <w:spacing w:line="360" w:lineRule="auto"/>
        <w:jc w:val="left"/>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项目名称：</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合肥百大购物中心有限责任公司2024-2026年LED电子屏设计施工运营一体化（二次）</w:t>
      </w:r>
      <w:r>
        <w:rPr>
          <w:rFonts w:hint="eastAsia" w:cs="宋体" w:asciiTheme="minorEastAsia" w:hAnsiTheme="minorEastAsia" w:eastAsiaTheme="minorEastAsia"/>
          <w:b/>
          <w:kern w:val="2"/>
          <w:sz w:val="24"/>
          <w:szCs w:val="24"/>
          <w:highlight w:val="none"/>
          <w:u w:val="single"/>
        </w:rPr>
        <w:t xml:space="preserve"> </w:t>
      </w:r>
    </w:p>
    <w:p w14:paraId="0428C6DE">
      <w:pPr>
        <w:snapToGrid w:val="0"/>
        <w:spacing w:after="156" w:afterLines="50" w:line="360" w:lineRule="auto"/>
        <w:jc w:val="left"/>
        <w:rPr>
          <w:rFonts w:cs="宋体" w:asciiTheme="minorEastAsia" w:hAnsiTheme="minorEastAsia" w:eastAsiaTheme="minorEastAsia"/>
          <w:b/>
          <w:bCs/>
          <w:kern w:val="2"/>
          <w:sz w:val="24"/>
          <w:szCs w:val="24"/>
          <w:highlight w:val="none"/>
          <w:u w:val="single"/>
        </w:rPr>
      </w:pPr>
      <w:r>
        <w:rPr>
          <w:rFonts w:hint="eastAsia" w:cs="宋体" w:asciiTheme="minorEastAsia" w:hAnsiTheme="minorEastAsia" w:eastAsiaTheme="minorEastAsia"/>
          <w:b/>
          <w:kern w:val="2"/>
          <w:sz w:val="24"/>
          <w:szCs w:val="24"/>
          <w:highlight w:val="none"/>
        </w:rPr>
        <w:t>项目编号：</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2024BTFWJ01320-1</w:t>
      </w:r>
      <w:r>
        <w:rPr>
          <w:rFonts w:hint="eastAsia" w:cs="宋体" w:asciiTheme="minorEastAsia" w:hAnsiTheme="minorEastAsia" w:eastAsiaTheme="minorEastAsia"/>
          <w:b/>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7088"/>
      </w:tblGrid>
      <w:tr w14:paraId="49F3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EF440E3">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lang w:eastAsia="zh-CN"/>
              </w:rPr>
              <w:t>投标人</w:t>
            </w:r>
            <w:r>
              <w:rPr>
                <w:rFonts w:hint="eastAsia" w:cs="宋体" w:asciiTheme="minorEastAsia" w:hAnsiTheme="minorEastAsia" w:eastAsiaTheme="minorEastAsia"/>
                <w:b/>
                <w:kern w:val="2"/>
                <w:sz w:val="24"/>
                <w:szCs w:val="24"/>
                <w:highlight w:val="none"/>
              </w:rPr>
              <w:t>名称</w:t>
            </w:r>
          </w:p>
        </w:tc>
        <w:tc>
          <w:tcPr>
            <w:tcW w:w="3557" w:type="pct"/>
            <w:tcBorders>
              <w:left w:val="single" w:color="auto" w:sz="4" w:space="0"/>
            </w:tcBorders>
          </w:tcPr>
          <w:p w14:paraId="359A34E2">
            <w:pPr>
              <w:rPr>
                <w:rFonts w:cs="宋体" w:asciiTheme="minorEastAsia" w:hAnsiTheme="minorEastAsia" w:eastAsiaTheme="minorEastAsia"/>
                <w:b/>
                <w:kern w:val="2"/>
                <w:sz w:val="24"/>
                <w:szCs w:val="24"/>
                <w:highlight w:val="none"/>
              </w:rPr>
            </w:pPr>
          </w:p>
        </w:tc>
      </w:tr>
      <w:tr w14:paraId="31A8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7FBA62E">
            <w:pPr>
              <w:jc w:val="center"/>
              <w:rPr>
                <w:rFonts w:hint="eastAsia" w:cs="宋体" w:asciiTheme="minorEastAsia" w:hAnsiTheme="minorEastAsia" w:eastAsiaTheme="minorEastAsia"/>
                <w:b/>
                <w:kern w:val="2"/>
                <w:sz w:val="24"/>
                <w:szCs w:val="24"/>
                <w:highlight w:val="none"/>
                <w:lang w:val="en-US" w:eastAsia="zh-CN" w:bidi="ar-SA"/>
              </w:rPr>
            </w:pPr>
            <w:r>
              <w:rPr>
                <w:rFonts w:hint="eastAsia" w:cs="宋体" w:asciiTheme="minorEastAsia" w:hAnsiTheme="minorEastAsia" w:eastAsiaTheme="minorEastAsia"/>
                <w:b/>
                <w:bCs/>
                <w:kern w:val="2"/>
                <w:sz w:val="24"/>
                <w:szCs w:val="24"/>
                <w:highlight w:val="none"/>
                <w:lang w:eastAsia="zh-CN"/>
              </w:rPr>
              <w:t>谈判</w:t>
            </w:r>
            <w:r>
              <w:rPr>
                <w:rFonts w:hint="eastAsia" w:cs="宋体" w:asciiTheme="minorEastAsia" w:hAnsiTheme="minorEastAsia" w:eastAsiaTheme="minorEastAsia"/>
                <w:b/>
                <w:kern w:val="2"/>
                <w:sz w:val="24"/>
                <w:szCs w:val="24"/>
                <w:highlight w:val="none"/>
              </w:rPr>
              <w:t>范围</w:t>
            </w:r>
          </w:p>
        </w:tc>
        <w:tc>
          <w:tcPr>
            <w:tcW w:w="3557" w:type="pct"/>
            <w:tcBorders>
              <w:left w:val="single" w:color="auto" w:sz="4" w:space="0"/>
            </w:tcBorders>
            <w:vAlign w:val="center"/>
          </w:tcPr>
          <w:p w14:paraId="7ED4D4C7">
            <w:pPr>
              <w:widowControl/>
              <w:rPr>
                <w:rFonts w:hint="eastAsia" w:cs="宋体" w:asciiTheme="minorEastAsia" w:hAnsiTheme="minorEastAsia" w:eastAsiaTheme="minorEastAsia"/>
                <w:b/>
                <w:kern w:val="2"/>
                <w:sz w:val="24"/>
                <w:szCs w:val="24"/>
                <w:highlight w:val="none"/>
                <w:lang w:val="en-US" w:eastAsia="zh-CN" w:bidi="ar-SA"/>
              </w:rPr>
            </w:pPr>
            <w:r>
              <w:rPr>
                <w:rFonts w:hint="eastAsia" w:cs="@仿宋_GB2312" w:asciiTheme="minorEastAsia" w:hAnsiTheme="minorEastAsia" w:eastAsiaTheme="minorEastAsia"/>
                <w:kern w:val="2"/>
                <w:sz w:val="24"/>
                <w:szCs w:val="28"/>
                <w:highlight w:val="none"/>
              </w:rPr>
              <w:t>全部</w:t>
            </w:r>
          </w:p>
        </w:tc>
      </w:tr>
      <w:tr w14:paraId="075C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3C9B6701">
            <w:pPr>
              <w:spacing w:line="360" w:lineRule="auto"/>
              <w:jc w:val="center"/>
              <w:rPr>
                <w:rFonts w:cs="@仿宋_GB2312"/>
                <w:b/>
                <w:kern w:val="2"/>
                <w:sz w:val="24"/>
                <w:highlight w:val="none"/>
              </w:rPr>
            </w:pPr>
            <w:r>
              <w:rPr>
                <w:rFonts w:hint="eastAsia" w:cs="@仿宋_GB2312"/>
                <w:b/>
                <w:kern w:val="2"/>
                <w:sz w:val="24"/>
                <w:highlight w:val="none"/>
              </w:rPr>
              <w:t>报价</w:t>
            </w:r>
          </w:p>
          <w:p w14:paraId="44A801FC">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（详见备注说明）</w:t>
            </w:r>
          </w:p>
        </w:tc>
        <w:tc>
          <w:tcPr>
            <w:tcW w:w="6064" w:type="dxa"/>
            <w:vAlign w:val="center"/>
          </w:tcPr>
          <w:p w14:paraId="705A912A">
            <w:pPr>
              <w:snapToGrid w:val="0"/>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人民币大写：</w:t>
            </w:r>
            <w:r>
              <w:rPr>
                <w:rFonts w:hint="eastAsia" w:cs="宋体" w:asciiTheme="minorEastAsia" w:hAnsiTheme="minorEastAsia" w:eastAsiaTheme="minorEastAsia"/>
                <w:bCs/>
                <w:color w:val="000000" w:themeColor="text1"/>
                <w:kern w:val="2"/>
                <w:sz w:val="24"/>
                <w:szCs w:val="24"/>
                <w:highlight w:val="none"/>
                <w:u w:val="single"/>
                <w14:textFill>
                  <w14:solidFill>
                    <w14:schemeClr w14:val="tx1"/>
                  </w14:solidFill>
                </w14:textFill>
              </w:rPr>
              <w:t>/年 （金额保留到元）</w:t>
            </w:r>
          </w:p>
        </w:tc>
      </w:tr>
      <w:tr w14:paraId="4F35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78A1D246">
            <w:pPr>
              <w:snapToGrid w:val="0"/>
              <w:jc w:val="center"/>
              <w:rPr>
                <w:rFonts w:hint="default" w:cs="宋体" w:asciiTheme="minorEastAsia" w:hAnsiTheme="minorEastAsia" w:eastAsiaTheme="minorEastAsia"/>
                <w:b/>
                <w:strike/>
                <w:dstrike w:val="0"/>
                <w:kern w:val="2"/>
                <w:sz w:val="24"/>
                <w:szCs w:val="24"/>
                <w:highlight w:val="none"/>
                <w:lang w:val="en-US" w:eastAsia="zh-CN"/>
              </w:rPr>
            </w:pPr>
            <w:r>
              <w:rPr>
                <w:rFonts w:hint="eastAsia" w:cs="宋体" w:asciiTheme="minorEastAsia" w:hAnsiTheme="minorEastAsia" w:eastAsiaTheme="minorEastAsia"/>
                <w:b/>
                <w:strike w:val="0"/>
                <w:dstrike w:val="0"/>
                <w:kern w:val="2"/>
                <w:sz w:val="24"/>
                <w:szCs w:val="24"/>
                <w:highlight w:val="none"/>
                <w:lang w:val="en-US" w:eastAsia="zh-CN"/>
              </w:rPr>
              <w:t>服务期限</w:t>
            </w:r>
          </w:p>
        </w:tc>
        <w:tc>
          <w:tcPr>
            <w:tcW w:w="6064" w:type="dxa"/>
            <w:vAlign w:val="center"/>
          </w:tcPr>
          <w:p w14:paraId="69CE9C36">
            <w:pPr>
              <w:snapToGrid w:val="0"/>
              <w:jc w:val="center"/>
              <w:rPr>
                <w:rFonts w:cs="宋体" w:asciiTheme="minorEastAsia" w:hAnsiTheme="minorEastAsia" w:eastAsiaTheme="minorEastAsia"/>
                <w:b/>
                <w:strike/>
                <w:dstrike w:val="0"/>
                <w:kern w:val="2"/>
                <w:sz w:val="24"/>
                <w:szCs w:val="24"/>
                <w:highlight w:val="none"/>
              </w:rPr>
            </w:pP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3年</w:t>
            </w:r>
          </w:p>
        </w:tc>
      </w:tr>
      <w:tr w14:paraId="79DB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2926B487">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备注说明</w:t>
            </w:r>
          </w:p>
        </w:tc>
        <w:tc>
          <w:tcPr>
            <w:tcW w:w="3557" w:type="pct"/>
          </w:tcPr>
          <w:p w14:paraId="3DEADBD9">
            <w:pPr>
              <w:rPr>
                <w:rFonts w:cs="宋体" w:asciiTheme="minorEastAsia" w:hAnsiTheme="minorEastAsia" w:eastAsiaTheme="minorEastAsia"/>
                <w:b/>
                <w:kern w:val="2"/>
                <w:sz w:val="24"/>
                <w:szCs w:val="24"/>
                <w:highlight w:val="none"/>
              </w:rPr>
            </w:pPr>
          </w:p>
        </w:tc>
      </w:tr>
    </w:tbl>
    <w:p w14:paraId="3F1F0C09">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lang w:eastAsia="zh-CN"/>
        </w:rPr>
        <w:t>投标人</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仿宋_GB2312"/>
          <w:kern w:val="2"/>
          <w:sz w:val="24"/>
          <w:szCs w:val="24"/>
          <w:highlight w:val="none"/>
        </w:rPr>
        <w:t>：</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3EFCA302">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65739FB4">
      <w:pPr>
        <w:adjustRightInd w:val="0"/>
        <w:snapToGrid w:val="0"/>
        <w:spacing w:line="360" w:lineRule="auto"/>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注：</w:t>
      </w:r>
    </w:p>
    <w:p w14:paraId="36A22DE5">
      <w:pPr>
        <w:adjustRightInd w:val="0"/>
        <w:snapToGrid w:val="0"/>
        <w:spacing w:line="360" w:lineRule="auto"/>
        <w:ind w:firstLine="482"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b/>
          <w:bCs/>
          <w:kern w:val="2"/>
          <w:sz w:val="24"/>
          <w:szCs w:val="24"/>
          <w:highlight w:val="none"/>
        </w:rPr>
        <w:t>1.本表内容根据</w:t>
      </w:r>
      <w:r>
        <w:rPr>
          <w:rFonts w:hint="eastAsia" w:cs="宋体" w:asciiTheme="minorEastAsia" w:hAnsiTheme="minorEastAsia" w:eastAsiaTheme="minorEastAsia"/>
          <w:b/>
          <w:bCs/>
          <w:kern w:val="2"/>
          <w:sz w:val="24"/>
          <w:szCs w:val="24"/>
          <w:highlight w:val="none"/>
          <w:lang w:eastAsia="zh-CN"/>
        </w:rPr>
        <w:t>谈判文件</w:t>
      </w:r>
      <w:r>
        <w:rPr>
          <w:rFonts w:hint="eastAsia" w:cs="宋体" w:asciiTheme="minorEastAsia" w:hAnsiTheme="minorEastAsia" w:eastAsiaTheme="minorEastAsia"/>
          <w:b/>
          <w:bCs/>
          <w:kern w:val="2"/>
          <w:sz w:val="24"/>
          <w:szCs w:val="24"/>
          <w:highlight w:val="none"/>
        </w:rPr>
        <w:t>要求包括了</w:t>
      </w:r>
      <w:r>
        <w:rPr>
          <w:rFonts w:hint="eastAsia" w:cs="宋体" w:asciiTheme="minorEastAsia" w:hAnsiTheme="minorEastAsia" w:eastAsiaTheme="minorEastAsia"/>
          <w:b/>
          <w:bCs/>
          <w:kern w:val="2"/>
          <w:sz w:val="24"/>
          <w:szCs w:val="24"/>
          <w:highlight w:val="none"/>
          <w:lang w:eastAsia="zh-CN"/>
        </w:rPr>
        <w:t>谈判文件</w:t>
      </w:r>
      <w:r>
        <w:rPr>
          <w:rFonts w:hint="eastAsia" w:cs="宋体" w:asciiTheme="minorEastAsia" w:hAnsiTheme="minorEastAsia" w:eastAsiaTheme="minorEastAsia"/>
          <w:b/>
          <w:bCs/>
          <w:kern w:val="2"/>
          <w:sz w:val="24"/>
          <w:szCs w:val="24"/>
          <w:highlight w:val="none"/>
        </w:rPr>
        <w:t>要求提供的全部内容的所有费用。</w:t>
      </w:r>
    </w:p>
    <w:p w14:paraId="275F30D6">
      <w:pPr>
        <w:adjustRightInd w:val="0"/>
        <w:snapToGrid w:val="0"/>
        <w:spacing w:line="360" w:lineRule="auto"/>
        <w:ind w:firstLine="482" w:firstLineChars="200"/>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2.特殊事项在备注</w:t>
      </w:r>
      <w:r>
        <w:rPr>
          <w:rFonts w:hint="eastAsia" w:cs="宋体" w:asciiTheme="minorEastAsia" w:hAnsiTheme="minorEastAsia" w:eastAsiaTheme="minorEastAsia"/>
          <w:b/>
          <w:kern w:val="2"/>
          <w:sz w:val="24"/>
          <w:szCs w:val="24"/>
          <w:highlight w:val="none"/>
        </w:rPr>
        <w:t>说明</w:t>
      </w:r>
      <w:r>
        <w:rPr>
          <w:rFonts w:hint="eastAsia" w:cs="宋体" w:asciiTheme="minorEastAsia" w:hAnsiTheme="minorEastAsia" w:eastAsiaTheme="minorEastAsia"/>
          <w:b/>
          <w:bCs/>
          <w:kern w:val="2"/>
          <w:sz w:val="24"/>
          <w:szCs w:val="24"/>
          <w:highlight w:val="none"/>
        </w:rPr>
        <w:t>中注明。</w:t>
      </w:r>
    </w:p>
    <w:p w14:paraId="2CAF8B34">
      <w:pPr>
        <w:spacing w:line="440" w:lineRule="exact"/>
        <w:ind w:firstLine="4800" w:firstLineChars="2000"/>
        <w:rPr>
          <w:rFonts w:cs="@仿宋_GB2312"/>
          <w:color w:val="000000" w:themeColor="text1"/>
          <w:kern w:val="2"/>
          <w:sz w:val="24"/>
          <w:szCs w:val="24"/>
          <w:highlight w:val="none"/>
          <w:u w:val="single"/>
          <w14:textFill>
            <w14:solidFill>
              <w14:schemeClr w14:val="tx1"/>
            </w14:solidFill>
          </w14:textFill>
        </w:rPr>
      </w:pPr>
    </w:p>
    <w:p w14:paraId="7FBAB0A8">
      <w:pPr>
        <w:adjustRightInd w:val="0"/>
        <w:snapToGrid w:val="0"/>
        <w:spacing w:line="360" w:lineRule="auto"/>
        <w:ind w:firstLine="482" w:firstLineChars="200"/>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p>
    <w:p w14:paraId="40FE0B85">
      <w:pPr>
        <w:adjustRightInd w:val="0"/>
        <w:snapToGrid w:val="0"/>
        <w:spacing w:line="360" w:lineRule="auto"/>
        <w:rPr>
          <w:b/>
          <w:color w:val="000000" w:themeColor="text1"/>
          <w:sz w:val="24"/>
          <w:szCs w:val="28"/>
          <w:highlight w:val="none"/>
          <w14:textFill>
            <w14:solidFill>
              <w14:schemeClr w14:val="tx1"/>
            </w14:solidFill>
          </w14:textFill>
        </w:rPr>
      </w:pPr>
      <w:r>
        <w:rPr>
          <w:rFonts w:hint="eastAsia"/>
          <w:b/>
          <w:color w:val="000000" w:themeColor="text1"/>
          <w:sz w:val="24"/>
          <w:szCs w:val="28"/>
          <w:highlight w:val="none"/>
          <w14:textFill>
            <w14:solidFill>
              <w14:schemeClr w14:val="tx1"/>
            </w14:solidFill>
          </w14:textFill>
        </w:rPr>
        <w:br w:type="page"/>
      </w:r>
    </w:p>
    <w:p w14:paraId="7B36479E">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59" w:name="_Toc461056632"/>
      <w:bookmarkStart w:id="60" w:name="_Toc461053087"/>
      <w:bookmarkStart w:id="61" w:name="_Toc17842"/>
      <w:bookmarkStart w:id="62" w:name="_Toc520983588"/>
      <w:r>
        <w:rPr>
          <w:rFonts w:hint="eastAsia" w:asciiTheme="minorEastAsia" w:hAnsiTheme="minorEastAsia" w:eastAsiaTheme="minorEastAsia"/>
          <w:b/>
          <w:color w:val="000000" w:themeColor="text1"/>
          <w:sz w:val="24"/>
          <w:highlight w:val="none"/>
          <w14:textFill>
            <w14:solidFill>
              <w14:schemeClr w14:val="tx1"/>
            </w14:solidFill>
          </w14:textFill>
        </w:rPr>
        <w:t>二</w:t>
      </w:r>
      <w:bookmarkEnd w:id="59"/>
      <w:bookmarkEnd w:id="60"/>
      <w:r>
        <w:rPr>
          <w:rFonts w:hint="eastAsia" w:asciiTheme="minorEastAsia" w:hAnsiTheme="minorEastAsia" w:eastAsiaTheme="minorEastAsia"/>
          <w:b/>
          <w:color w:val="000000" w:themeColor="text1"/>
          <w:sz w:val="24"/>
          <w:highlight w:val="none"/>
          <w14:textFill>
            <w14:solidFill>
              <w14:schemeClr w14:val="tx1"/>
            </w14:solidFill>
          </w14:textFill>
        </w:rPr>
        <w:t>、第_____轮报价</w:t>
      </w:r>
      <w:bookmarkEnd w:id="61"/>
      <w:bookmarkEnd w:id="62"/>
    </w:p>
    <w:p w14:paraId="3C77477B">
      <w:pPr>
        <w:snapToGrid w:val="0"/>
        <w:spacing w:line="360" w:lineRule="auto"/>
        <w:jc w:val="left"/>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合肥百大购物中心有限责任公司2024-2026年LED电子屏设计施工运营一体化（二次）</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p w14:paraId="57C7C39E">
      <w:pPr>
        <w:snapToGrid w:val="0"/>
        <w:spacing w:afterLines="50" w:line="360" w:lineRule="auto"/>
        <w:jc w:val="left"/>
        <w:rPr>
          <w:rFonts w:cs="宋体" w:asciiTheme="minorEastAsia" w:hAnsiTheme="minorEastAsia" w:eastAsiaTheme="minorEastAsia"/>
          <w:b/>
          <w:bCs/>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2024BTFWJ01320-1</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6955"/>
      </w:tblGrid>
      <w:tr w14:paraId="01C5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251CB76">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投标人名称</w:t>
            </w:r>
          </w:p>
        </w:tc>
        <w:tc>
          <w:tcPr>
            <w:tcW w:w="3490" w:type="pct"/>
            <w:tcBorders>
              <w:left w:val="single" w:color="auto" w:sz="4" w:space="0"/>
            </w:tcBorders>
          </w:tcPr>
          <w:p w14:paraId="6A8EEFE7">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4AE7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57CF7105">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谈判</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范围</w:t>
            </w:r>
          </w:p>
        </w:tc>
        <w:tc>
          <w:tcPr>
            <w:tcW w:w="3490" w:type="pct"/>
            <w:tcBorders>
              <w:left w:val="single" w:color="auto" w:sz="4" w:space="0"/>
            </w:tcBorders>
            <w:vAlign w:val="center"/>
          </w:tcPr>
          <w:p w14:paraId="4EE03FAF">
            <w:pPr>
              <w:widowControl/>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全部</w:t>
            </w:r>
          </w:p>
        </w:tc>
      </w:tr>
      <w:tr w14:paraId="49AF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04E6F7F">
            <w:pPr>
              <w:spacing w:line="360" w:lineRule="auto"/>
              <w:jc w:val="center"/>
              <w:rPr>
                <w:rFonts w:cs="@仿宋_GB2312"/>
                <w:b/>
                <w:color w:val="000000" w:themeColor="text1"/>
                <w:kern w:val="2"/>
                <w:sz w:val="24"/>
                <w:highlight w:val="none"/>
                <w14:textFill>
                  <w14:solidFill>
                    <w14:schemeClr w14:val="tx1"/>
                  </w14:solidFill>
                </w14:textFill>
              </w:rPr>
            </w:pPr>
            <w:r>
              <w:rPr>
                <w:rFonts w:hint="eastAsia" w:cs="@仿宋_GB2312"/>
                <w:b/>
                <w:bCs/>
                <w:color w:val="000000" w:themeColor="text1"/>
                <w:kern w:val="2"/>
                <w:sz w:val="24"/>
                <w:szCs w:val="28"/>
                <w:highlight w:val="none"/>
                <w14:textFill>
                  <w14:solidFill>
                    <w14:schemeClr w14:val="tx1"/>
                  </w14:solidFill>
                </w14:textFill>
              </w:rPr>
              <w:t>最终投标报价</w:t>
            </w:r>
          </w:p>
          <w:p w14:paraId="3241A37E">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（详见备注说明）</w:t>
            </w:r>
          </w:p>
        </w:tc>
        <w:tc>
          <w:tcPr>
            <w:tcW w:w="3490" w:type="pct"/>
            <w:vAlign w:val="center"/>
          </w:tcPr>
          <w:p w14:paraId="76477640">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人民币大写：</w:t>
            </w:r>
            <w:r>
              <w:rPr>
                <w:rFonts w:hint="eastAsia" w:cs="宋体" w:asciiTheme="minorEastAsia" w:hAnsiTheme="minorEastAsia" w:eastAsiaTheme="minorEastAsia"/>
                <w:bCs/>
                <w:color w:val="000000" w:themeColor="text1"/>
                <w:kern w:val="2"/>
                <w:sz w:val="24"/>
                <w:szCs w:val="24"/>
                <w:highlight w:val="none"/>
                <w:u w:val="single"/>
                <w14:textFill>
                  <w14:solidFill>
                    <w14:schemeClr w14:val="tx1"/>
                  </w14:solidFill>
                </w14:textFill>
              </w:rPr>
              <w:t>/年 （金额保留到元）</w:t>
            </w:r>
          </w:p>
        </w:tc>
      </w:tr>
      <w:tr w14:paraId="6153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376FD5D1">
            <w:pPr>
              <w:snapToGrid w:val="0"/>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服务期限</w:t>
            </w:r>
          </w:p>
        </w:tc>
        <w:tc>
          <w:tcPr>
            <w:tcW w:w="3490" w:type="pct"/>
            <w:vAlign w:val="center"/>
          </w:tcPr>
          <w:p w14:paraId="08403D6B">
            <w:pPr>
              <w:snapToGrid w:val="0"/>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3年</w:t>
            </w:r>
          </w:p>
        </w:tc>
      </w:tr>
      <w:tr w14:paraId="5868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7A6E5587">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备注说明</w:t>
            </w:r>
          </w:p>
        </w:tc>
        <w:tc>
          <w:tcPr>
            <w:tcW w:w="3490" w:type="pct"/>
          </w:tcPr>
          <w:p w14:paraId="46F0E673">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（此处可补充评审小组根据与投标人谈判情况变动的谈判文件的内容，包括招标需求中的技术、服务要求以及合同草案条款。）</w:t>
            </w:r>
          </w:p>
        </w:tc>
      </w:tr>
      <w:tr w14:paraId="1762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44B3974E">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评审小组签字</w:t>
            </w:r>
          </w:p>
        </w:tc>
        <w:tc>
          <w:tcPr>
            <w:tcW w:w="3490" w:type="pct"/>
          </w:tcPr>
          <w:p w14:paraId="322BD3BD">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bl>
    <w:p w14:paraId="3BD3A189">
      <w:pPr>
        <w:spacing w:line="440" w:lineRule="exact"/>
        <w:ind w:firstLine="3600" w:firstLineChars="15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投标人电子签章或公章：</w:t>
      </w:r>
    </w:p>
    <w:p w14:paraId="3306C5C4">
      <w:pPr>
        <w:spacing w:line="440" w:lineRule="exact"/>
        <w:ind w:firstLine="3600" w:firstLineChars="15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日      期：</w:t>
      </w:r>
    </w:p>
    <w:p w14:paraId="10DC6EA6">
      <w:pPr>
        <w:spacing w:line="360" w:lineRule="auto"/>
        <w:jc w:val="left"/>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p>
    <w:p w14:paraId="7F719594">
      <w:pPr>
        <w:spacing w:line="360" w:lineRule="auto"/>
        <w:jc w:val="left"/>
        <w:rPr>
          <w:rFonts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注：</w:t>
      </w:r>
      <w:r>
        <w:rPr>
          <w:rFonts w:hint="eastAsia" w:cs="@仿宋_GB2312"/>
          <w:b/>
          <w:bCs/>
          <w:color w:val="000000" w:themeColor="text1"/>
          <w:kern w:val="2"/>
          <w:sz w:val="24"/>
          <w:highlight w:val="none"/>
          <w14:textFill>
            <w14:solidFill>
              <w14:schemeClr w14:val="tx1"/>
            </w14:solidFill>
          </w14:textFill>
        </w:rPr>
        <w:t>本页报价表由投标人在接到报价通知后依据谈判情况填写，并在规定时间内提交。</w:t>
      </w:r>
    </w:p>
    <w:p w14:paraId="198ABE59">
      <w:pPr>
        <w:widowControl/>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br w:type="page"/>
      </w:r>
    </w:p>
    <w:p w14:paraId="7F00745C">
      <w:pPr>
        <w:widowControl/>
        <w:jc w:val="left"/>
        <w:rPr>
          <w:rFonts w:asciiTheme="minorEastAsia" w:hAnsiTheme="minorEastAsia" w:eastAsiaTheme="minorEastAsia"/>
          <w:b/>
          <w:color w:val="000000" w:themeColor="text1"/>
          <w:sz w:val="24"/>
          <w:highlight w:val="none"/>
          <w14:textFill>
            <w14:solidFill>
              <w14:schemeClr w14:val="tx1"/>
            </w14:solidFill>
          </w14:textFill>
        </w:rPr>
      </w:pPr>
      <w:bookmarkStart w:id="63" w:name="_Toc520983591"/>
    </w:p>
    <w:p w14:paraId="3195EB4A">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4" w:name="_Toc27070"/>
      <w:r>
        <w:rPr>
          <w:rFonts w:hint="eastAsia" w:asciiTheme="minorEastAsia" w:hAnsiTheme="minorEastAsia" w:eastAsiaTheme="minorEastAsia"/>
          <w:b/>
          <w:color w:val="000000" w:themeColor="text1"/>
          <w:sz w:val="24"/>
          <w:highlight w:val="none"/>
          <w14:textFill>
            <w14:solidFill>
              <w14:schemeClr w14:val="tx1"/>
            </w14:solidFill>
          </w14:textFill>
        </w:rPr>
        <w:t>三、投标函</w:t>
      </w:r>
      <w:bookmarkEnd w:id="63"/>
      <w:bookmarkEnd w:id="64"/>
    </w:p>
    <w:p w14:paraId="69CBAFDC">
      <w:pPr>
        <w:spacing w:line="360" w:lineRule="auto"/>
        <w:rPr>
          <w:rFonts w:cs="宋体" w:asciiTheme="minorEastAsia" w:hAnsiTheme="minorEastAsia" w:eastAsiaTheme="minorEastAsia"/>
          <w:b/>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致：</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合肥百大购物中心有限责任公司</w:t>
      </w:r>
    </w:p>
    <w:p w14:paraId="41E45927">
      <w:pPr>
        <w:spacing w:line="360" w:lineRule="auto"/>
        <w:ind w:firstLine="482" w:firstLineChars="20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安徽公共资源交易集团项目管理有限公司</w:t>
      </w:r>
    </w:p>
    <w:p w14:paraId="362E4AA4">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根据贵方的谈判文件，我方承诺如下：</w:t>
      </w:r>
    </w:p>
    <w:p w14:paraId="19B3AB63">
      <w:pPr>
        <w:spacing w:line="360" w:lineRule="auto"/>
        <w:ind w:firstLine="480" w:firstLineChars="200"/>
        <w:rPr>
          <w:rFonts w:cs="宋体" w:asciiTheme="minorEastAsia" w:hAnsiTheme="minorEastAsia" w:eastAsiaTheme="minorEastAsia"/>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1.经踏勘项目现场和研究上述谈判文件的谈判须知、合同条款、招标人要求及其他有关文件后，我方接受上述文件要求。我方</w:t>
      </w: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承诺按本谈判文件、合同条款和招标人要求承担上述项目的全部内容。</w:t>
      </w:r>
    </w:p>
    <w:p w14:paraId="3ED6150E">
      <w:pPr>
        <w:pStyle w:val="4"/>
        <w:spacing w:before="0" w:after="0" w:line="360" w:lineRule="auto"/>
        <w:ind w:firstLine="480" w:firstLineChars="200"/>
        <w:rPr>
          <w:rFonts w:cs="宋体" w:asciiTheme="minorEastAsia" w:hAnsiTheme="minorEastAsia" w:eastAsiaTheme="minorEastAsia"/>
          <w:b w:val="0"/>
          <w:bCs w:val="0"/>
          <w:color w:val="000000" w:themeColor="text1"/>
          <w:kern w:val="2"/>
          <w:sz w:val="24"/>
          <w:szCs w:val="24"/>
          <w:highlight w:val="none"/>
          <w14:textFill>
            <w14:solidFill>
              <w14:schemeClr w14:val="tx1"/>
            </w14:solidFill>
          </w14:textFill>
        </w:rPr>
      </w:pPr>
      <w:bookmarkStart w:id="65" w:name="_Toc516969106"/>
      <w:bookmarkStart w:id="66" w:name="_Toc121626298"/>
      <w:bookmarkStart w:id="67" w:name="_Toc26348"/>
      <w:bookmarkStart w:id="68" w:name="_Toc204594911"/>
      <w:bookmarkStart w:id="69" w:name="_Toc520983594"/>
      <w:r>
        <w:rPr>
          <w:rFonts w:hint="eastAsia" w:cs="宋体" w:asciiTheme="minorEastAsia" w:hAnsiTheme="minorEastAsia" w:eastAsiaTheme="minorEastAsia"/>
          <w:b w:val="0"/>
          <w:bCs w:val="0"/>
          <w:color w:val="000000" w:themeColor="text1"/>
          <w:kern w:val="2"/>
          <w:sz w:val="24"/>
          <w:szCs w:val="24"/>
          <w:highlight w:val="none"/>
          <w14:textFill>
            <w14:solidFill>
              <w14:schemeClr w14:val="tx1"/>
            </w14:solidFill>
          </w14:textFill>
        </w:rPr>
        <w:t>2.我方已详细审核全部谈判文件，包括谈判文件的补疑、澄清、变更或补充（如有），参考资料及有关附件，我方正式认可并遵守本次谈判文件，并对谈判文件各项条款（包括谈判时间）、规定及要求均无异议。且我方自愿放弃针对上述各项条款提出异议的权利。</w:t>
      </w:r>
    </w:p>
    <w:p w14:paraId="7AFE71C6">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3.如我方中标，我方承诺愿意按谈判文件规定缴纳履约保证金和代理费用。按本次谈判文件规定及最终投标报价承诺提供服务。</w:t>
      </w:r>
    </w:p>
    <w:p w14:paraId="6A9E8623">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4.我方根据本次谈判文件的规定，严格履行合同的责任和义务</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并保证于你方要求的日期内完成合同规定的全部义务。</w:t>
      </w:r>
    </w:p>
    <w:p w14:paraId="6CD81D67">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5.我方同意按你方要求在谈判规定时间内向你方提供与其谈判有关的任何证据或补充资料，否则，我方的投标文件可被你方拒绝。</w:t>
      </w:r>
    </w:p>
    <w:p w14:paraId="66DC6D56">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6.我方完全理解你方不一定接受最低报价的谈判。</w:t>
      </w:r>
    </w:p>
    <w:p w14:paraId="3F9E4141">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7.我方同意谈判文件规定的付款方式、服务期限。</w:t>
      </w:r>
    </w:p>
    <w:p w14:paraId="4F05CCCF">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8.我方对投标文件中所提供资料、文件、证书及证件的真实性和有效性负责。</w:t>
      </w:r>
    </w:p>
    <w:p w14:paraId="00E7757F">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9.我方同意所提交的投标文件在谈判文件规定的谈判有效期内有效，在此期间内如果中标，我方将受此约束。</w:t>
      </w:r>
    </w:p>
    <w:p w14:paraId="1A27A54D">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10.除非另外达成协议并生效，你方的中标通知书和本投标文件以及谈判文件、谈判文件澄清、修改、补充将成为约束双方的合同文件的组成部分。</w:t>
      </w:r>
    </w:p>
    <w:p w14:paraId="0C5BBEFB">
      <w:pPr>
        <w:spacing w:line="360" w:lineRule="auto"/>
        <w:ind w:firstLine="480" w:firstLineChars="200"/>
        <w:rPr>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11.我方不存在谈判公告中“投标人资格要求”的“不良信用记录情形”规定的任何一种情形。</w:t>
      </w:r>
    </w:p>
    <w:p w14:paraId="01C58ADF">
      <w:pPr>
        <w:spacing w:line="360" w:lineRule="auto"/>
        <w:ind w:firstLine="480" w:firstLineChars="200"/>
        <w:rPr>
          <w:color w:val="000000" w:themeColor="text1"/>
          <w:highlight w:val="none"/>
          <w14:textFill>
            <w14:solidFill>
              <w14:schemeClr w14:val="tx1"/>
            </w14:solidFill>
          </w14:textFill>
        </w:rPr>
      </w:pPr>
      <w:r>
        <w:rPr>
          <w:rFonts w:cs="宋体" w:asciiTheme="minorEastAsia" w:hAnsiTheme="minorEastAsia" w:eastAsiaTheme="minorEastAsia"/>
          <w:color w:val="000000" w:themeColor="text1"/>
          <w:kern w:val="2"/>
          <w:sz w:val="24"/>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2.其他补充说明：我方承诺完全响应谈判文件第三章“招标人要求”——“二、服务内容及要求”中的内容</w:t>
      </w:r>
    </w:p>
    <w:p w14:paraId="75435F77">
      <w:pPr>
        <w:pStyle w:val="54"/>
        <w:ind w:firstLine="200"/>
        <w:rPr>
          <w:color w:val="000000" w:themeColor="text1"/>
          <w:highlight w:val="none"/>
          <w14:textFill>
            <w14:solidFill>
              <w14:schemeClr w14:val="tx1"/>
            </w14:solidFill>
          </w14:textFill>
        </w:rPr>
      </w:pPr>
    </w:p>
    <w:p w14:paraId="270280C5">
      <w:pPr>
        <w:spacing w:line="360" w:lineRule="auto"/>
        <w:ind w:firstLine="4800" w:firstLineChars="2000"/>
        <w:rPr>
          <w:rFonts w:cs="@仿宋_GB2312"/>
          <w:color w:val="000000" w:themeColor="text1"/>
          <w:kern w:val="2"/>
          <w:sz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投标人电子签章或公章</w:t>
      </w:r>
      <w:r>
        <w:rPr>
          <w:rFonts w:hint="eastAsia" w:cs="@仿宋_GB2312"/>
          <w:color w:val="000000" w:themeColor="text1"/>
          <w:kern w:val="2"/>
          <w:sz w:val="24"/>
          <w:highlight w:val="none"/>
          <w14:textFill>
            <w14:solidFill>
              <w14:schemeClr w14:val="tx1"/>
            </w14:solidFill>
          </w14:textFill>
        </w:rPr>
        <w:t>：</w:t>
      </w:r>
    </w:p>
    <w:p w14:paraId="2B932AC1">
      <w:pPr>
        <w:spacing w:line="360" w:lineRule="auto"/>
        <w:ind w:firstLine="4800" w:firstLineChars="2000"/>
        <w:rPr>
          <w:rFonts w:cs="@仿宋_GB2312"/>
          <w:color w:val="000000" w:themeColor="text1"/>
          <w:kern w:val="2"/>
          <w:sz w:val="24"/>
          <w:highlight w:val="none"/>
          <w:u w:val="single"/>
          <w14:textFill>
            <w14:solidFill>
              <w14:schemeClr w14:val="tx1"/>
            </w14:solidFill>
          </w14:textFill>
        </w:rPr>
      </w:pPr>
      <w:r>
        <w:rPr>
          <w:rFonts w:hint="eastAsia" w:cs="@仿宋_GB2312"/>
          <w:color w:val="000000" w:themeColor="text1"/>
          <w:kern w:val="2"/>
          <w:sz w:val="24"/>
          <w:highlight w:val="none"/>
          <w14:textFill>
            <w14:solidFill>
              <w14:schemeClr w14:val="tx1"/>
            </w14:solidFill>
          </w14:textFill>
        </w:rPr>
        <w:t>日          期：</w:t>
      </w:r>
    </w:p>
    <w:p w14:paraId="13CC535E">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6A8C6CD6">
      <w:pPr>
        <w:widowControl/>
        <w:jc w:val="left"/>
        <w:rPr>
          <w:color w:val="000000" w:themeColor="text1"/>
          <w:sz w:val="24"/>
          <w:highlight w:val="none"/>
          <w14:textFill>
            <w14:solidFill>
              <w14:schemeClr w14:val="tx1"/>
            </w14:solidFill>
          </w14:textFill>
        </w:rPr>
      </w:pPr>
    </w:p>
    <w:p w14:paraId="7DE59DCA">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四、授权书</w:t>
      </w:r>
      <w:bookmarkEnd w:id="65"/>
      <w:bookmarkEnd w:id="66"/>
      <w:bookmarkEnd w:id="67"/>
      <w:bookmarkEnd w:id="68"/>
      <w:bookmarkEnd w:id="69"/>
    </w:p>
    <w:p w14:paraId="682829E4">
      <w:pPr>
        <w:spacing w:line="360" w:lineRule="auto"/>
        <w:jc w:val="center"/>
        <w:rPr>
          <w:rFonts w:asciiTheme="minorEastAsia" w:hAnsiTheme="minorEastAsia" w:eastAsiaTheme="minorEastAsia"/>
          <w:b/>
          <w:color w:val="000000" w:themeColor="text1"/>
          <w:sz w:val="24"/>
          <w:highlight w:val="none"/>
          <w14:textFill>
            <w14:solidFill>
              <w14:schemeClr w14:val="tx1"/>
            </w14:solidFill>
          </w14:textFill>
        </w:rPr>
      </w:pPr>
    </w:p>
    <w:p w14:paraId="7FAE40DE">
      <w:pPr>
        <w:pStyle w:val="28"/>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本授权书声明：（投标人名称）授权（投标人授权代表姓名）代表我方参加本项目</w:t>
      </w:r>
      <w:r>
        <w:rPr>
          <w:rFonts w:hint="eastAsia" w:hAnsi="宋体" w:eastAsia="宋体"/>
          <w:bCs/>
          <w:color w:val="000000" w:themeColor="text1"/>
          <w:sz w:val="24"/>
          <w:szCs w:val="28"/>
          <w:highlight w:val="none"/>
          <w14:textFill>
            <w14:solidFill>
              <w14:schemeClr w14:val="tx1"/>
            </w14:solidFill>
          </w14:textFill>
        </w:rPr>
        <w:t>谈判活动</w:t>
      </w:r>
      <w:r>
        <w:rPr>
          <w:rFonts w:hint="eastAsia" w:hAnsi="宋体" w:eastAsia="宋体"/>
          <w:color w:val="000000" w:themeColor="text1"/>
          <w:sz w:val="24"/>
          <w:szCs w:val="28"/>
          <w:highlight w:val="none"/>
          <w14:textFill>
            <w14:solidFill>
              <w14:schemeClr w14:val="tx1"/>
            </w14:solidFill>
          </w14:textFill>
        </w:rPr>
        <w:t>，全权代表我方处理谈判过程的一切事宜，包括但不限于：提交投标文件、参与谈判、签约等。投标人授权代表在谈判活动过程中所签署的一切文件和处理与之有关的一切事务，本公司均予以认可并对此承担责任。投标人授权代表无转委托权。特此授权。</w:t>
      </w:r>
    </w:p>
    <w:p w14:paraId="08E72BCE">
      <w:pPr>
        <w:pStyle w:val="28"/>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本授权书自出具之日起生效。</w:t>
      </w:r>
    </w:p>
    <w:p w14:paraId="7B6CB40F">
      <w:pPr>
        <w:pStyle w:val="28"/>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595E71CD">
      <w:pPr>
        <w:pStyle w:val="28"/>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25E7C82A">
      <w:pPr>
        <w:pStyle w:val="28"/>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38EF284D">
      <w:pPr>
        <w:pStyle w:val="28"/>
        <w:snapToGrid w:val="0"/>
        <w:spacing w:line="360" w:lineRule="auto"/>
        <w:ind w:firstLine="480" w:firstLineChars="200"/>
        <w:jc w:val="left"/>
        <w:rPr>
          <w:rFonts w:hAnsi="宋体" w:eastAsia="宋体"/>
          <w:color w:val="000000" w:themeColor="text1"/>
          <w:sz w:val="24"/>
          <w:szCs w:val="28"/>
          <w:highlight w:val="none"/>
          <w:u w:val="singl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授权代表联系方式：</w:t>
      </w:r>
      <w:r>
        <w:rPr>
          <w:rFonts w:hint="eastAsia" w:hAnsi="宋体" w:eastAsia="宋体"/>
          <w:color w:val="000000" w:themeColor="text1"/>
          <w:sz w:val="24"/>
          <w:szCs w:val="28"/>
          <w:highlight w:val="none"/>
          <w:u w:val="single"/>
          <w14:textFill>
            <w14:solidFill>
              <w14:schemeClr w14:val="tx1"/>
            </w14:solidFill>
          </w14:textFill>
        </w:rPr>
        <w:t xml:space="preserve">          （请填写手机号码）</w:t>
      </w:r>
    </w:p>
    <w:p w14:paraId="45BCD298">
      <w:pPr>
        <w:pStyle w:val="28"/>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p>
    <w:p w14:paraId="65C05364">
      <w:pPr>
        <w:spacing w:line="360" w:lineRule="auto"/>
        <w:ind w:firstLine="360" w:firstLineChars="15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特此声明。</w:t>
      </w:r>
    </w:p>
    <w:p w14:paraId="17C742D0">
      <w:pPr>
        <w:spacing w:line="360" w:lineRule="auto"/>
        <w:rPr>
          <w:color w:val="000000" w:themeColor="text1"/>
          <w:sz w:val="24"/>
          <w:szCs w:val="28"/>
          <w:highlight w:val="none"/>
          <w14:textFill>
            <w14:solidFill>
              <w14:schemeClr w14:val="tx1"/>
            </w14:solidFill>
          </w14:textFill>
        </w:rPr>
      </w:pPr>
    </w:p>
    <w:p w14:paraId="45CFA360">
      <w:pPr>
        <w:spacing w:line="360" w:lineRule="auto"/>
        <w:rPr>
          <w:bCs/>
          <w:color w:val="000000" w:themeColor="text1"/>
          <w:sz w:val="24"/>
          <w:szCs w:val="28"/>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投标人电子签章或公章</w:t>
      </w:r>
      <w:r>
        <w:rPr>
          <w:rFonts w:hint="eastAsia"/>
          <w:bCs/>
          <w:color w:val="000000" w:themeColor="text1"/>
          <w:sz w:val="24"/>
          <w:szCs w:val="28"/>
          <w:highlight w:val="none"/>
          <w14:textFill>
            <w14:solidFill>
              <w14:schemeClr w14:val="tx1"/>
            </w14:solidFill>
          </w14:textFill>
        </w:rPr>
        <w:t>：</w:t>
      </w:r>
    </w:p>
    <w:p w14:paraId="6A39D012">
      <w:pPr>
        <w:spacing w:line="360" w:lineRule="auto"/>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日      期：</w:t>
      </w:r>
    </w:p>
    <w:p w14:paraId="7511C37F">
      <w:pPr>
        <w:spacing w:line="360" w:lineRule="auto"/>
        <w:rPr>
          <w:color w:val="000000" w:themeColor="text1"/>
          <w:sz w:val="24"/>
          <w:szCs w:val="28"/>
          <w:highlight w:val="none"/>
          <w14:textFill>
            <w14:solidFill>
              <w14:schemeClr w14:val="tx1"/>
            </w14:solidFill>
          </w14:textFill>
        </w:rPr>
      </w:pPr>
    </w:p>
    <w:p w14:paraId="7F13782E">
      <w:pPr>
        <w:spacing w:line="360" w:lineRule="auto"/>
        <w:rPr>
          <w:color w:val="000000" w:themeColor="text1"/>
          <w:sz w:val="24"/>
          <w:szCs w:val="28"/>
          <w:highlight w:val="none"/>
          <w14:textFill>
            <w14:solidFill>
              <w14:schemeClr w14:val="tx1"/>
            </w14:solidFill>
          </w14:textFill>
        </w:rPr>
      </w:pPr>
    </w:p>
    <w:p w14:paraId="15F4BC4C">
      <w:pPr>
        <w:pStyle w:val="28"/>
        <w:snapToGrid w:val="0"/>
        <w:spacing w:line="360" w:lineRule="auto"/>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注：</w:t>
      </w:r>
    </w:p>
    <w:p w14:paraId="5F77F7F0">
      <w:pPr>
        <w:pStyle w:val="28"/>
        <w:snapToGrid w:val="0"/>
        <w:spacing w:line="360" w:lineRule="auto"/>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1.本项目只允许有唯一的投标人授权代表；</w:t>
      </w:r>
    </w:p>
    <w:p w14:paraId="48DAF854">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2.法定代表人参加谈判的无需提供授权书，仅提供法定代表人身份证明书。</w:t>
      </w:r>
    </w:p>
    <w:p w14:paraId="7B0D09E0">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6F8DC5CF">
      <w:pPr>
        <w:keepNext/>
        <w:keepLines/>
        <w:spacing w:before="260" w:after="260" w:line="416" w:lineRule="auto"/>
        <w:jc w:val="center"/>
        <w:outlineLvl w:val="1"/>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bookmarkStart w:id="70" w:name="_Toc18208"/>
      <w:r>
        <w:rPr>
          <w:rFonts w:hint="eastAsia" w:cs="@仿宋_GB2312" w:asciiTheme="minorEastAsia" w:hAnsiTheme="minorEastAsia" w:eastAsiaTheme="minorEastAsia"/>
          <w:b/>
          <w:bCs/>
          <w:color w:val="000000" w:themeColor="text1"/>
          <w:kern w:val="2"/>
          <w:sz w:val="24"/>
          <w:szCs w:val="24"/>
          <w:highlight w:val="none"/>
          <w14:textFill>
            <w14:solidFill>
              <w14:schemeClr w14:val="tx1"/>
            </w14:solidFill>
          </w14:textFill>
        </w:rPr>
        <w:t>五、法定代表人身份证明书</w:t>
      </w:r>
      <w:bookmarkEnd w:id="70"/>
    </w:p>
    <w:p w14:paraId="314A6C15">
      <w:pPr>
        <w:autoSpaceDE w:val="0"/>
        <w:autoSpaceDN w:val="0"/>
        <w:adjustRightInd w:val="0"/>
        <w:spacing w:line="360" w:lineRule="auto"/>
        <w:jc w:val="center"/>
        <w:rPr>
          <w:rFonts w:ascii="@仿宋_GB2312" w:eastAsia="@仿宋_GB2312" w:cs="宋体"/>
          <w:b/>
          <w:color w:val="000000" w:themeColor="text1"/>
          <w:kern w:val="2"/>
          <w:sz w:val="21"/>
          <w:szCs w:val="24"/>
          <w:highlight w:val="none"/>
          <w:lang w:val="zh-CN"/>
          <w14:textFill>
            <w14:solidFill>
              <w14:schemeClr w14:val="tx1"/>
            </w14:solidFill>
          </w14:textFill>
        </w:rPr>
      </w:pPr>
    </w:p>
    <w:p w14:paraId="33FBD402">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单位名称：</w:t>
      </w:r>
    </w:p>
    <w:p w14:paraId="338FE93F">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单位性质：</w:t>
      </w:r>
    </w:p>
    <w:p w14:paraId="2DC645F9">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地    址：</w:t>
      </w:r>
    </w:p>
    <w:p w14:paraId="459A2036">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成立时间：年月日</w:t>
      </w:r>
    </w:p>
    <w:p w14:paraId="6BC1D4D9">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经营期限：</w:t>
      </w:r>
    </w:p>
    <w:p w14:paraId="3B767804">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姓    名： 性  别：</w:t>
      </w:r>
    </w:p>
    <w:p w14:paraId="3FED88B0">
      <w:pPr>
        <w:snapToGrid w:val="0"/>
        <w:spacing w:line="360" w:lineRule="auto"/>
        <w:ind w:firstLine="480" w:firstLineChars="200"/>
        <w:jc w:val="left"/>
        <w:rPr>
          <w:rFonts w:ascii="Calibri" w:hAnsi="Calibri" w:cs="Times New Roman"/>
          <w:color w:val="000000" w:themeColor="text1"/>
          <w:kern w:val="2"/>
          <w:sz w:val="24"/>
          <w:szCs w:val="28"/>
          <w:highlight w:val="none"/>
          <w:u w:val="singl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年    龄： 职    务：</w:t>
      </w:r>
    </w:p>
    <w:p w14:paraId="0E3B1FC3">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联系</w:t>
      </w:r>
      <w:r>
        <w:rPr>
          <w:rFonts w:ascii="Calibri" w:hAnsi="Calibri" w:cs="Times New Roman"/>
          <w:color w:val="000000" w:themeColor="text1"/>
          <w:kern w:val="2"/>
          <w:sz w:val="24"/>
          <w:szCs w:val="28"/>
          <w:highlight w:val="none"/>
          <w14:textFill>
            <w14:solidFill>
              <w14:schemeClr w14:val="tx1"/>
            </w14:solidFill>
          </w14:textFill>
        </w:rPr>
        <w:t>电话</w:t>
      </w:r>
      <w:r>
        <w:rPr>
          <w:rFonts w:hint="eastAsia" w:ascii="Calibri" w:hAnsi="Calibri" w:cs="Times New Roman"/>
          <w:color w:val="000000" w:themeColor="text1"/>
          <w:kern w:val="2"/>
          <w:sz w:val="24"/>
          <w:szCs w:val="28"/>
          <w:highlight w:val="none"/>
          <w14:textFill>
            <w14:solidFill>
              <w14:schemeClr w14:val="tx1"/>
            </w14:solidFill>
          </w14:textFill>
        </w:rPr>
        <w:t>： 手机号码：</w:t>
      </w:r>
    </w:p>
    <w:p w14:paraId="2F9FE8E5">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 xml:space="preserve">系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（投标人单位名称）       </w:t>
      </w:r>
      <w:r>
        <w:rPr>
          <w:rFonts w:hint="eastAsia" w:ascii="Calibri" w:hAnsi="Calibri" w:cs="Times New Roman"/>
          <w:color w:val="000000" w:themeColor="text1"/>
          <w:kern w:val="2"/>
          <w:sz w:val="24"/>
          <w:szCs w:val="28"/>
          <w:highlight w:val="none"/>
          <w14:textFill>
            <w14:solidFill>
              <w14:schemeClr w14:val="tx1"/>
            </w14:solidFill>
          </w14:textFill>
        </w:rPr>
        <w:t>的法定代表人。</w:t>
      </w:r>
    </w:p>
    <w:p w14:paraId="11B56967">
      <w:pPr>
        <w:spacing w:beforeLines="20" w:afterLines="20" w:line="540" w:lineRule="exact"/>
        <w:ind w:firstLine="610"/>
        <w:rPr>
          <w:rFonts w:ascii="@仿宋_GB2312" w:hAnsi="Calibri" w:eastAsia="@仿宋_GB2312" w:cs="宋体"/>
          <w:color w:val="000000" w:themeColor="text1"/>
          <w:kern w:val="2"/>
          <w:sz w:val="24"/>
          <w:szCs w:val="24"/>
          <w:highlight w:val="none"/>
          <w14:textFill>
            <w14:solidFill>
              <w14:schemeClr w14:val="tx1"/>
            </w14:solidFill>
          </w14:textFill>
        </w:rPr>
      </w:pPr>
    </w:p>
    <w:p w14:paraId="2F550E37">
      <w:pPr>
        <w:spacing w:beforeLines="20" w:afterLines="20" w:line="540" w:lineRule="exact"/>
        <w:ind w:left="400" w:leftChars="200" w:firstLine="240" w:firstLineChars="100"/>
        <w:rPr>
          <w:rFonts w:ascii="Calibri" w:hAnsi="Calibri" w:cs="宋体"/>
          <w:color w:val="000000" w:themeColor="text1"/>
          <w:kern w:val="2"/>
          <w:sz w:val="24"/>
          <w:szCs w:val="24"/>
          <w:highlight w:val="none"/>
          <w14:textFill>
            <w14:solidFill>
              <w14:schemeClr w14:val="tx1"/>
            </w14:solidFill>
          </w14:textFill>
        </w:rPr>
      </w:pPr>
      <w:r>
        <w:rPr>
          <w:rFonts w:hint="eastAsia" w:ascii="Calibri" w:hAnsi="Calibri" w:cs="宋体"/>
          <w:color w:val="000000" w:themeColor="text1"/>
          <w:kern w:val="2"/>
          <w:sz w:val="24"/>
          <w:szCs w:val="24"/>
          <w:highlight w:val="none"/>
          <w14:textFill>
            <w14:solidFill>
              <w14:schemeClr w14:val="tx1"/>
            </w14:solidFill>
          </w14:textFill>
        </w:rPr>
        <w:t>特此证明。</w:t>
      </w:r>
    </w:p>
    <w:p w14:paraId="5744E794">
      <w:pPr>
        <w:tabs>
          <w:tab w:val="left" w:pos="720"/>
          <w:tab w:val="left" w:pos="900"/>
        </w:tabs>
        <w:spacing w:beforeLines="20" w:afterLines="20" w:line="540" w:lineRule="exact"/>
        <w:ind w:firstLine="480" w:firstLineChars="200"/>
        <w:rPr>
          <w:rFonts w:ascii="Calibri" w:hAnsi="Calibri" w:cs="宋体"/>
          <w:color w:val="000000" w:themeColor="text1"/>
          <w:kern w:val="2"/>
          <w:sz w:val="24"/>
          <w:szCs w:val="24"/>
          <w:highlight w:val="none"/>
          <w14:textFill>
            <w14:solidFill>
              <w14:schemeClr w14:val="tx1"/>
            </w14:solidFill>
          </w14:textFill>
        </w:rPr>
      </w:pPr>
      <w:r>
        <w:rPr>
          <w:rFonts w:hint="eastAsia" w:ascii="Calibri" w:hAnsi="Calibri" w:cs="宋体"/>
          <w:color w:val="000000" w:themeColor="text1"/>
          <w:kern w:val="2"/>
          <w:sz w:val="24"/>
          <w:szCs w:val="24"/>
          <w:highlight w:val="none"/>
          <w14:textFill>
            <w14:solidFill>
              <w14:schemeClr w14:val="tx1"/>
            </w14:solidFill>
          </w14:textFill>
        </w:rPr>
        <w:t>附：法定代表人身份证扫描件</w:t>
      </w:r>
    </w:p>
    <w:p w14:paraId="421F6764">
      <w:pPr>
        <w:tabs>
          <w:tab w:val="left" w:pos="720"/>
          <w:tab w:val="left" w:pos="900"/>
        </w:tabs>
        <w:spacing w:beforeLines="20" w:afterLines="20" w:line="540" w:lineRule="exact"/>
        <w:ind w:firstLine="480" w:firstLineChars="200"/>
        <w:rPr>
          <w:rFonts w:ascii="@仿宋_GB2312" w:hAnsi="Calibri" w:eastAsia="@仿宋_GB2312" w:cs="宋体"/>
          <w:color w:val="000000" w:themeColor="text1"/>
          <w:kern w:val="2"/>
          <w:sz w:val="24"/>
          <w:szCs w:val="24"/>
          <w:highlight w:val="none"/>
          <w14:textFill>
            <w14:solidFill>
              <w14:schemeClr w14:val="tx1"/>
            </w14:solidFill>
          </w14:textFill>
        </w:rPr>
      </w:pPr>
    </w:p>
    <w:p w14:paraId="04609AAF">
      <w:pPr>
        <w:tabs>
          <w:tab w:val="left" w:pos="720"/>
          <w:tab w:val="left" w:pos="900"/>
        </w:tabs>
        <w:spacing w:beforeLines="20" w:afterLines="20" w:line="540" w:lineRule="exact"/>
        <w:ind w:firstLine="4560" w:firstLineChars="1900"/>
        <w:rPr>
          <w:rFonts w:ascii="@仿宋_GB2312" w:hAnsi="Calibri" w:eastAsia="@仿宋_GB2312" w:cs="宋体"/>
          <w:color w:val="000000" w:themeColor="text1"/>
          <w:kern w:val="2"/>
          <w:sz w:val="24"/>
          <w:szCs w:val="24"/>
          <w:highlight w:val="none"/>
          <w14:textFill>
            <w14:solidFill>
              <w14:schemeClr w14:val="tx1"/>
            </w14:solidFill>
          </w14:textFill>
        </w:rPr>
      </w:pPr>
    </w:p>
    <w:p w14:paraId="30ACDFC9">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投标人电子签章或公章</w:t>
      </w:r>
      <w:r>
        <w:rPr>
          <w:rFonts w:hint="eastAsia" w:cs="宋体"/>
          <w:color w:val="000000" w:themeColor="text1"/>
          <w:kern w:val="2"/>
          <w:sz w:val="24"/>
          <w:szCs w:val="24"/>
          <w:highlight w:val="none"/>
          <w14:textFill>
            <w14:solidFill>
              <w14:schemeClr w14:val="tx1"/>
            </w14:solidFill>
          </w14:textFill>
        </w:rPr>
        <w:t>：</w:t>
      </w:r>
    </w:p>
    <w:p w14:paraId="1DBE1FA9">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日期：</w:t>
      </w:r>
    </w:p>
    <w:p w14:paraId="18EDE0F4">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63E2A103">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71" w:name="_Toc26464"/>
      <w:r>
        <w:rPr>
          <w:rFonts w:hint="eastAsia" w:asciiTheme="minorEastAsia" w:hAnsiTheme="minorEastAsia" w:eastAsiaTheme="minorEastAsia"/>
          <w:b/>
          <w:color w:val="000000" w:themeColor="text1"/>
          <w:sz w:val="24"/>
          <w:highlight w:val="none"/>
          <w14:textFill>
            <w14:solidFill>
              <w14:schemeClr w14:val="tx1"/>
            </w14:solidFill>
          </w14:textFill>
        </w:rPr>
        <w:t>六、其他相关证明材料</w:t>
      </w:r>
      <w:bookmarkEnd w:id="71"/>
    </w:p>
    <w:p w14:paraId="0C909E05">
      <w:pPr>
        <w:spacing w:line="360" w:lineRule="auto"/>
        <w:jc w:val="center"/>
        <w:outlineLvl w:val="1"/>
        <w:rPr>
          <w:color w:val="000000" w:themeColor="text1"/>
          <w:sz w:val="24"/>
          <w:szCs w:val="22"/>
          <w:highlight w:val="none"/>
          <w14:textFill>
            <w14:solidFill>
              <w14:schemeClr w14:val="tx1"/>
            </w14:solidFill>
          </w14:textFill>
        </w:rPr>
      </w:pPr>
      <w:bookmarkStart w:id="72" w:name="_Toc11601"/>
      <w:bookmarkStart w:id="73" w:name="_Toc19685"/>
      <w:r>
        <w:rPr>
          <w:rFonts w:hint="eastAsia"/>
          <w:color w:val="000000" w:themeColor="text1"/>
          <w:sz w:val="24"/>
          <w:szCs w:val="22"/>
          <w:highlight w:val="none"/>
          <w14:textFill>
            <w14:solidFill>
              <w14:schemeClr w14:val="tx1"/>
            </w14:solidFill>
          </w14:textFill>
        </w:rPr>
        <w:t>投标人按照第四章评审方法和标准放置的其他资料。</w:t>
      </w:r>
      <w:bookmarkEnd w:id="72"/>
      <w:bookmarkEnd w:id="73"/>
    </w:p>
    <w:p w14:paraId="012EECFF">
      <w:pPr>
        <w:rPr>
          <w:color w:val="000000" w:themeColor="text1"/>
          <w:sz w:val="24"/>
          <w:szCs w:val="22"/>
          <w:highlight w:val="none"/>
          <w14:textFill>
            <w14:solidFill>
              <w14:schemeClr w14:val="tx1"/>
            </w14:solidFill>
          </w14:textFill>
        </w:rPr>
      </w:pPr>
      <w:r>
        <w:rPr>
          <w:rFonts w:hint="eastAsia"/>
          <w:color w:val="000000" w:themeColor="text1"/>
          <w:sz w:val="24"/>
          <w:szCs w:val="22"/>
          <w:highlight w:val="none"/>
          <w14:textFill>
            <w14:solidFill>
              <w14:schemeClr w14:val="tx1"/>
            </w14:solidFill>
          </w14:textFill>
        </w:rPr>
        <w:br w:type="page"/>
      </w:r>
    </w:p>
    <w:p w14:paraId="5BD47F13">
      <w:pPr>
        <w:spacing w:line="360" w:lineRule="auto"/>
        <w:jc w:val="center"/>
        <w:outlineLvl w:val="1"/>
        <w:rPr>
          <w:rFonts w:asciiTheme="minorEastAsia" w:hAnsiTheme="minorEastAsia" w:eastAsiaTheme="minorEastAsia"/>
          <w:b/>
          <w:color w:val="000000" w:themeColor="text1"/>
          <w:sz w:val="28"/>
          <w:highlight w:val="none"/>
          <w14:textFill>
            <w14:solidFill>
              <w14:schemeClr w14:val="tx1"/>
            </w14:solidFill>
          </w14:textFill>
        </w:rPr>
      </w:pPr>
      <w:bookmarkStart w:id="74" w:name="_Toc25410"/>
      <w:r>
        <w:rPr>
          <w:rFonts w:hint="eastAsia" w:asciiTheme="minorEastAsia" w:hAnsiTheme="minorEastAsia" w:eastAsiaTheme="minorEastAsia"/>
          <w:b/>
          <w:color w:val="000000" w:themeColor="text1"/>
          <w:sz w:val="28"/>
          <w:highlight w:val="none"/>
          <w14:textFill>
            <w14:solidFill>
              <w14:schemeClr w14:val="tx1"/>
            </w14:solidFill>
          </w14:textFill>
        </w:rPr>
        <w:t>第七章 安徽公共资源交易集团电子交易操作规程</w:t>
      </w:r>
      <w:bookmarkEnd w:id="74"/>
    </w:p>
    <w:p w14:paraId="45022DA9">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第一条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为进一步规范交易行为，提高交易效率，充分利用信息网络技术，参照《中华人民共和国电子签名法》《电子招标投标办法》等有关规定，结合工作实际，制定本规程。</w:t>
      </w:r>
    </w:p>
    <w:p w14:paraId="2FF10770">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第二条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14:paraId="20E9E93B">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第三条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本规程所指的电子交易，是指以数据电文形式，依托安徽公共资源交易集团电子交易系统（简称“电子交易系统”）完成的全部或者部分交易活动。</w:t>
      </w:r>
    </w:p>
    <w:p w14:paraId="566BAD36">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第四条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xml:space="preserve"> 本规程所指的招标文件，是指招标人（采购人）或代理机构采用公开招标、邀请招标、框架协议、比选、直接发包、竞争性谈判、竞争性磋商、询价、单一来源、资格审查等方式，根据交易项目的特点和招标人（采购人）的实际需求制定的规范性文件。</w:t>
      </w:r>
    </w:p>
    <w:p w14:paraId="08B564AD">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本规程所指的投标文件，是指投标人（供应商）应招标文件要求编制的响应性文件。</w:t>
      </w:r>
    </w:p>
    <w:p w14:paraId="4C2422A3">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第五条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电子交易系统是交易活动当事人通过数据电文形式完成交易活动的系统。</w:t>
      </w:r>
    </w:p>
    <w:p w14:paraId="53883A37">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电子交易系统具备在线完成交易活动全部或部分交易过程，具备编辑、生成、对接、交换和发布有关交易活动数据信息的功能，并为交易活动监督管理部门实施监督管理提供所需的信息。</w:t>
      </w:r>
    </w:p>
    <w:p w14:paraId="58312956">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第六条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招标人（采购人）或代理机构负责电子交易的组织实施，电子交易系统建设单位负责电子交易系统的服务保障。</w:t>
      </w:r>
    </w:p>
    <w:p w14:paraId="33FD38B2">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第七条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电子交易各方主体应当按照相关规定合法取得和使用数字证书及电子签章，通过数字证书登录电子交易系统参与交易活动。各方主体对其依托电子交易系统开展的所有操作承担法律责任。</w:t>
      </w:r>
    </w:p>
    <w:p w14:paraId="73F5933F">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投标人（供应商）应妥善保管数字证书，由于数字证书遗失、损坏、更换、续期等情况或其他自身原因导致投标文件无法加密、上传、解密等，由其自行承担所有责任。</w:t>
      </w:r>
    </w:p>
    <w:p w14:paraId="79030545">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第八条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招标人（采购人）或代理机构应在交易公告和招标文件中明确交易项目采取电子交易方式，并按相关流程通过电子交易系统制作招标文件。</w:t>
      </w:r>
    </w:p>
    <w:p w14:paraId="52721FE5">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第九条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交易公告、招标文件应由招标人（采购人）或代理机构通过电子交易系统发出，其中招标文件须加盖电子签章。</w:t>
      </w:r>
    </w:p>
    <w:p w14:paraId="32C30302">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投标人（供应商）登录电子交易系统获取招标文件。</w:t>
      </w:r>
    </w:p>
    <w:p w14:paraId="4642A9C0">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第十一条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澄清、修改、更正或补疑等文件应由招标人（采购人）或代理机构通过电子交易系统发出，投标人（供应商）应及时查阅相关信息。</w:t>
      </w:r>
    </w:p>
    <w:p w14:paraId="42C2A6DB">
      <w:pPr>
        <w:pStyle w:val="277"/>
        <w:ind w:firstLine="482"/>
        <w:rPr>
          <w:rFonts w:hint="default" w:asciiTheme="minorEastAsia" w:hAnsiTheme="minorEastAsia" w:eastAsiaTheme="minorEastAsia" w:cstheme="minorEastAsia"/>
          <w:strike/>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第十二条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投标人（供应商）应使用电子标书制作软件制作投标文件，电子标书制作软件应允许投标人（供应商）离线制作投标文件，并且具备分段或整体加密、解密功能。</w:t>
      </w:r>
    </w:p>
    <w:p w14:paraId="7387A941">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第十三条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投标人（供应商）应对投标文件进行电子签章并使用数字证书加密，并于招标文件规定的投标截止时间前通过电子交易系统完成上传。</w:t>
      </w:r>
    </w:p>
    <w:p w14:paraId="5071A0D0">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投标人（供应商）对加密的投标文件进行撤回的，应通过电子交易系统在投标截止时间前进行撤回操作；投标人（供应商）对加密的投标文件进行修改的，应在投标截止时间前完成上传。</w:t>
      </w:r>
    </w:p>
    <w:p w14:paraId="5962DD23">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第十四条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交易活动涉及的时间以电子交易系统显示的时间为准。投标人（供应商）须在投标截至时间前完成投标文件上传，逾期系统将自动关闭。</w:t>
      </w:r>
    </w:p>
    <w:p w14:paraId="7C5D2ED3">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第十五条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投标人（供应商）在投标截止时间后按招标文件规定的解密时间完成投标文件解密，加密和解密须用同一数字证书。投标人（供应商）未在招标文件规定的时间内完成解密的视为其放弃交易。</w:t>
      </w:r>
    </w:p>
    <w:p w14:paraId="1B5C82CD">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招标人（采购人）或代理机构完成解密，导入并读取所有成功解密的投标文件。</w:t>
      </w:r>
    </w:p>
    <w:p w14:paraId="21A94C20">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招标文件约定须到达指定地点或线上进行演示、答辩、磋商、谈判等情形的，投标人（供应商）应按照招标文件规定的时间到达指定地点或登录电子交易系统保持在线。</w:t>
      </w:r>
    </w:p>
    <w:p w14:paraId="6C8B4EF6">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第十六条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未能成功解密的投标文件，如招标文件中允许使用电子介质作为投标文件解密失败的补救措施，并且投标人（供应商）在投标截止时间之前到达招标文件指定地点并成功递交，招标人（采购人）或代理机构可导入电子介质中非加密投标文件继续进行。若系统识别出电子介质中非未加密的投标文件和网上递交的加密投标文件识别码不一致，电子交易系统拒绝导入。</w:t>
      </w:r>
    </w:p>
    <w:p w14:paraId="013F2CA5">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第十七条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招标人（采购人）或代理机构组织评审，评审委员会依据招标文件规定的评审办法进行评审，并对评审结果签字或电子签名确认。</w:t>
      </w:r>
    </w:p>
    <w:p w14:paraId="664B0ADA">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需要多轮报价的，应按招标文件约定提交。</w:t>
      </w:r>
    </w:p>
    <w:p w14:paraId="7AABB93C">
      <w:pPr>
        <w:pStyle w:val="277"/>
        <w:ind w:firstLine="482"/>
        <w:rPr>
          <w:rFonts w:hint="default" w:asciiTheme="minorEastAsia" w:hAnsiTheme="minorEastAsia" w:eastAsiaTheme="minorEastAsia" w:cstheme="minorEastAsia"/>
          <w:strike/>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第十八条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评审委员会评审过程中需要投标人（供应商）澄清、说明或补正的，以询标函（问询函）的形式通过电子交易系统发送给投标人（供应商）。</w:t>
      </w:r>
    </w:p>
    <w:p w14:paraId="14319FB6">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评审结束前，投标人（供应商）应登录电子交易系统并保持在线状态，以便及时接收评审委员会可能发出的询标函（问询函），并在规定时间内完成回复，否则视为放弃澄清、说明或补正。</w:t>
      </w:r>
    </w:p>
    <w:p w14:paraId="1E29DACC">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第十九条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招标人（采购人）或代理机构应通过电子交易系统公示或公布中标候选人（如有）、中标（成交）结果。</w:t>
      </w:r>
    </w:p>
    <w:p w14:paraId="1C60A8EE">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第二十条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招标人（采购人）或代理机构应通过电子交易系统向中标人（成交供应商）发出中标（成交）通知书，中标（成交）通知书发出即视为送达。</w:t>
      </w:r>
    </w:p>
    <w:p w14:paraId="4E453744">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第二十一条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出现下列情形导致电子交易系统无法正常运行，影响交易活动的公平、公正和信息安全，各方当事人免责：</w:t>
      </w:r>
    </w:p>
    <w:p w14:paraId="1D8F35E3">
      <w:pPr>
        <w:pStyle w:val="277"/>
        <w:ind w:firstLine="480"/>
        <w:outlineLvl w:val="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75" w:name="_Toc14925"/>
      <w:r>
        <w:rPr>
          <w:rFonts w:asciiTheme="minorEastAsia" w:hAnsiTheme="minorEastAsia" w:eastAsiaTheme="minorEastAsia" w:cstheme="minorEastAsia"/>
          <w:color w:val="000000" w:themeColor="text1"/>
          <w:sz w:val="24"/>
          <w:szCs w:val="24"/>
          <w:highlight w:val="none"/>
          <w14:textFill>
            <w14:solidFill>
              <w14:schemeClr w14:val="tx1"/>
            </w14:solidFill>
          </w14:textFill>
        </w:rPr>
        <w:t>（一）网络、服务器、数据库发生故障造成无法访问或使用的；</w:t>
      </w:r>
      <w:bookmarkEnd w:id="75"/>
    </w:p>
    <w:p w14:paraId="65C55C1D">
      <w:pPr>
        <w:pStyle w:val="277"/>
        <w:ind w:firstLine="480"/>
        <w:outlineLvl w:val="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76" w:name="_Toc23047"/>
      <w:r>
        <w:rPr>
          <w:rFonts w:asciiTheme="minorEastAsia" w:hAnsiTheme="minorEastAsia" w:eastAsiaTheme="minorEastAsia" w:cstheme="minorEastAsia"/>
          <w:color w:val="000000" w:themeColor="text1"/>
          <w:sz w:val="24"/>
          <w:szCs w:val="24"/>
          <w:highlight w:val="none"/>
          <w14:textFill>
            <w14:solidFill>
              <w14:schemeClr w14:val="tx1"/>
            </w14:solidFill>
          </w14:textFill>
        </w:rPr>
        <w:t>（二）电力系统发生故障导致电子交易系统无法运行的；</w:t>
      </w:r>
      <w:bookmarkEnd w:id="76"/>
    </w:p>
    <w:p w14:paraId="7DA2596C">
      <w:pPr>
        <w:pStyle w:val="277"/>
        <w:ind w:firstLine="480"/>
        <w:outlineLvl w:val="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77" w:name="_Toc7678"/>
      <w:r>
        <w:rPr>
          <w:rFonts w:asciiTheme="minorEastAsia" w:hAnsiTheme="minorEastAsia" w:eastAsiaTheme="minorEastAsia" w:cstheme="minorEastAsia"/>
          <w:color w:val="000000" w:themeColor="text1"/>
          <w:sz w:val="24"/>
          <w:szCs w:val="24"/>
          <w:highlight w:val="none"/>
          <w14:textFill>
            <w14:solidFill>
              <w14:schemeClr w14:val="tx1"/>
            </w14:solidFill>
          </w14:textFill>
        </w:rPr>
        <w:t>（三）出现网络攻击、病毒入侵、电子交易系统软件设计缺陷、功能缺陷以及电子交易系统安全漏洞导致无法正常提供服务的；</w:t>
      </w:r>
      <w:bookmarkEnd w:id="77"/>
    </w:p>
    <w:p w14:paraId="72F9E272">
      <w:pPr>
        <w:pStyle w:val="277"/>
        <w:ind w:firstLine="480"/>
        <w:outlineLvl w:val="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78" w:name="_Toc29590"/>
      <w:r>
        <w:rPr>
          <w:rFonts w:asciiTheme="minorEastAsia" w:hAnsiTheme="minorEastAsia" w:eastAsiaTheme="minorEastAsia" w:cstheme="minorEastAsia"/>
          <w:color w:val="000000" w:themeColor="text1"/>
          <w:sz w:val="24"/>
          <w:szCs w:val="24"/>
          <w:highlight w:val="none"/>
          <w14:textFill>
            <w14:solidFill>
              <w14:schemeClr w14:val="tx1"/>
            </w14:solidFill>
          </w14:textFill>
        </w:rPr>
        <w:t>（四）其他无法保证交易活动公平、公正和信息安全的情形。</w:t>
      </w:r>
      <w:bookmarkEnd w:id="78"/>
    </w:p>
    <w:p w14:paraId="02C6904B">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第二十二条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出现上述情形，系统建设方应及时组织相关方查明原因，排除故障。若能在故障发现后及时恢复系统运行且不影响项目正常交易的，交易程序继续进行；否则，按以下程序操作：</w:t>
      </w:r>
    </w:p>
    <w:p w14:paraId="21420EA4">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一）项目中止，中止期限由招标人（采购人）或代理机构根据项目具体情况确定。中止期限届满后中止情形尚未消除的，招标人（采购人）或代理机构可以根据实际情况决定延长中止期限。决定延长中止期限的，应通过电子交易系统向投标人（供应商）发出延长中止期限的通知。</w:t>
      </w:r>
    </w:p>
    <w:p w14:paraId="7694EADB">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二）项目恢复，导致项目中止的情形消除后，招标人（采购人）或代理机构应当尽快恢复交易程序，通过电子交易系统向投标人（供应商）发出恢复交易通知；已发出延长中止期限通知的，按通知执行或根据招标人（采购人）决定另行通知。</w:t>
      </w:r>
    </w:p>
    <w:p w14:paraId="192069EE">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第二十三条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在招标文件规定的解密时间内出现第二十一条规定的意外情形时，如部分投标人（供应商）未完成投标文件解密的，系统恢复后，允许投标人（供应商）继续解密，解密时限重新计算；在规定的解密截止时间后出现第二十一条规定的意外情形的，系统恢复后，仅允许原解密时间内已成功解密但解密文件无法正常使用的投标人（供应商）重新解密。</w:t>
      </w:r>
    </w:p>
    <w:p w14:paraId="336E42FD">
      <w:pPr>
        <w:spacing w:line="576" w:lineRule="exact"/>
        <w:ind w:firstLine="472" w:firstLineChars="196"/>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第二十四条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本规程由安徽公共资源交易集团负责解释。自发布之日起施行，有效期1年。</w:t>
      </w:r>
    </w:p>
    <w:p w14:paraId="1BD5D1F4">
      <w:pPr>
        <w:pStyle w:val="55"/>
        <w:spacing w:line="360" w:lineRule="auto"/>
        <w:ind w:left="40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09309932">
      <w:pPr>
        <w:rPr>
          <w:color w:val="000000" w:themeColor="text1"/>
          <w:highlight w:val="none"/>
          <w14:textFill>
            <w14:solidFill>
              <w14:schemeClr w14:val="tx1"/>
            </w14:solidFill>
          </w14:textFill>
        </w:rPr>
      </w:pPr>
    </w:p>
    <w:p w14:paraId="5F9A78FA">
      <w:pPr>
        <w:rPr>
          <w:color w:val="000000" w:themeColor="text1"/>
          <w:highlight w:val="none"/>
          <w14:textFill>
            <w14:solidFill>
              <w14:schemeClr w14:val="tx1"/>
            </w14:solidFill>
          </w14:textFill>
        </w:rPr>
      </w:pPr>
    </w:p>
    <w:p w14:paraId="41EE526A">
      <w:pPr>
        <w:rPr>
          <w:color w:val="000000" w:themeColor="text1"/>
          <w:highlight w:val="none"/>
          <w14:textFill>
            <w14:solidFill>
              <w14:schemeClr w14:val="tx1"/>
            </w14:solidFill>
          </w14:textFill>
        </w:rPr>
      </w:pPr>
    </w:p>
    <w:p w14:paraId="7B7AF30E">
      <w:pPr>
        <w:rPr>
          <w:color w:val="000000" w:themeColor="text1"/>
          <w:highlight w:val="none"/>
          <w14:textFill>
            <w14:solidFill>
              <w14:schemeClr w14:val="tx1"/>
            </w14:solidFill>
          </w14:textFill>
        </w:rPr>
      </w:pPr>
    </w:p>
    <w:p w14:paraId="51FC2D2D">
      <w:pPr>
        <w:rPr>
          <w:color w:val="000000" w:themeColor="text1"/>
          <w:highlight w:val="none"/>
          <w14:textFill>
            <w14:solidFill>
              <w14:schemeClr w14:val="tx1"/>
            </w14:solidFill>
          </w14:textFill>
        </w:rPr>
      </w:pPr>
    </w:p>
    <w:p w14:paraId="438B64DD">
      <w:pPr>
        <w:rPr>
          <w:color w:val="000000" w:themeColor="text1"/>
          <w:highlight w:val="none"/>
          <w14:textFill>
            <w14:solidFill>
              <w14:schemeClr w14:val="tx1"/>
            </w14:solidFill>
          </w14:textFill>
        </w:rPr>
      </w:pPr>
    </w:p>
    <w:p w14:paraId="497B6757">
      <w:pPr>
        <w:rPr>
          <w:color w:val="000000" w:themeColor="text1"/>
          <w:highlight w:val="none"/>
          <w14:textFill>
            <w14:solidFill>
              <w14:schemeClr w14:val="tx1"/>
            </w14:solidFill>
          </w14:textFill>
        </w:rPr>
      </w:pPr>
    </w:p>
    <w:p w14:paraId="47CB64B0">
      <w:pPr>
        <w:rPr>
          <w:color w:val="000000" w:themeColor="text1"/>
          <w:highlight w:val="none"/>
          <w14:textFill>
            <w14:solidFill>
              <w14:schemeClr w14:val="tx1"/>
            </w14:solidFill>
          </w14:textFill>
        </w:rPr>
      </w:pPr>
    </w:p>
    <w:p w14:paraId="50E5301C">
      <w:pPr>
        <w:rPr>
          <w:color w:val="000000" w:themeColor="text1"/>
          <w:highlight w:val="none"/>
          <w14:textFill>
            <w14:solidFill>
              <w14:schemeClr w14:val="tx1"/>
            </w14:solidFill>
          </w14:textFill>
        </w:rPr>
      </w:pPr>
    </w:p>
    <w:p w14:paraId="55C3024B">
      <w:pPr>
        <w:rPr>
          <w:color w:val="000000" w:themeColor="text1"/>
          <w:highlight w:val="none"/>
          <w14:textFill>
            <w14:solidFill>
              <w14:schemeClr w14:val="tx1"/>
            </w14:solidFill>
          </w14:textFill>
        </w:rPr>
      </w:pPr>
    </w:p>
    <w:p w14:paraId="07447AA6">
      <w:pPr>
        <w:rPr>
          <w:color w:val="000000" w:themeColor="text1"/>
          <w:highlight w:val="none"/>
          <w14:textFill>
            <w14:solidFill>
              <w14:schemeClr w14:val="tx1"/>
            </w14:solidFill>
          </w14:textFill>
        </w:rPr>
      </w:pPr>
    </w:p>
    <w:p w14:paraId="07DCFE18">
      <w:pPr>
        <w:rPr>
          <w:color w:val="000000" w:themeColor="text1"/>
          <w:highlight w:val="none"/>
          <w14:textFill>
            <w14:solidFill>
              <w14:schemeClr w14:val="tx1"/>
            </w14:solidFill>
          </w14:textFill>
        </w:rPr>
      </w:pPr>
    </w:p>
    <w:p w14:paraId="648D42C6">
      <w:pPr>
        <w:rPr>
          <w:color w:val="000000" w:themeColor="text1"/>
          <w:highlight w:val="none"/>
          <w14:textFill>
            <w14:solidFill>
              <w14:schemeClr w14:val="tx1"/>
            </w14:solidFill>
          </w14:textFill>
        </w:rPr>
      </w:pPr>
    </w:p>
    <w:p w14:paraId="1504C001">
      <w:pPr>
        <w:rPr>
          <w:color w:val="000000" w:themeColor="text1"/>
          <w:highlight w:val="none"/>
          <w14:textFill>
            <w14:solidFill>
              <w14:schemeClr w14:val="tx1"/>
            </w14:solidFill>
          </w14:textFill>
        </w:rPr>
      </w:pPr>
    </w:p>
    <w:p w14:paraId="7DF645C2">
      <w:pPr>
        <w:rPr>
          <w:color w:val="000000" w:themeColor="text1"/>
          <w:highlight w:val="none"/>
          <w14:textFill>
            <w14:solidFill>
              <w14:schemeClr w14:val="tx1"/>
            </w14:solidFill>
          </w14:textFill>
        </w:rPr>
      </w:pPr>
    </w:p>
    <w:p w14:paraId="2ED7B638">
      <w:pPr>
        <w:rPr>
          <w:color w:val="000000" w:themeColor="text1"/>
          <w:highlight w:val="none"/>
          <w14:textFill>
            <w14:solidFill>
              <w14:schemeClr w14:val="tx1"/>
            </w14:solidFill>
          </w14:textFill>
        </w:rPr>
      </w:pPr>
    </w:p>
    <w:p w14:paraId="0E9F51E4">
      <w:pPr>
        <w:rPr>
          <w:color w:val="000000" w:themeColor="text1"/>
          <w:highlight w:val="none"/>
          <w14:textFill>
            <w14:solidFill>
              <w14:schemeClr w14:val="tx1"/>
            </w14:solidFill>
          </w14:textFill>
        </w:rPr>
      </w:pPr>
    </w:p>
    <w:p w14:paraId="67D84944">
      <w:pPr>
        <w:tabs>
          <w:tab w:val="left" w:pos="6876"/>
        </w:tabs>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p>
    <w:sectPr>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宋体">
    <w:panose1 w:val="02010600030101010101"/>
    <w:charset w:val="86"/>
    <w:family w:val="auto"/>
    <w:pitch w:val="default"/>
    <w:sig w:usb0="00000203" w:usb1="288F0000" w:usb2="0000000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C8690">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267AD36F">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5</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44</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AE09">
    <w:pPr>
      <w:pStyle w:val="34"/>
      <w:jc w:val="left"/>
      <w:rPr>
        <w:rFonts w:eastAsiaTheme="minorEastAsia"/>
      </w:rPr>
    </w:pPr>
    <w:r>
      <w:rPr>
        <w:rFonts w:hint="eastAsia" w:asciiTheme="minorEastAsia" w:hAnsiTheme="minorEastAsia" w:eastAsiaTheme="minorEastAsia"/>
      </w:rPr>
      <w:t>竞争性谈判文件示范文本—服务2024。5.14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5A37A">
    <w:pPr>
      <w:pStyle w:val="34"/>
      <w:jc w:val="left"/>
      <w:rPr>
        <w:rFonts w:eastAsiaTheme="minorEastAsia"/>
      </w:rPr>
    </w:pPr>
    <w:r>
      <w:rPr>
        <w:rFonts w:hint="eastAsia" w:asciiTheme="minorEastAsia" w:hAnsiTheme="minorEastAsia" w:eastAsiaTheme="minorEastAsia"/>
      </w:rPr>
      <w:t>竞争性谈判文件示范文本—服务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F71D34CA"/>
    <w:multiLevelType w:val="singleLevel"/>
    <w:tmpl w:val="F71D34CA"/>
    <w:lvl w:ilvl="0" w:tentative="0">
      <w:start w:val="1"/>
      <w:numFmt w:val="chineseCounting"/>
      <w:suff w:val="space"/>
      <w:lvlText w:val="第%1章"/>
      <w:lvlJc w:val="left"/>
      <w:rPr>
        <w:rFonts w:hint="eastAsia"/>
      </w:rPr>
    </w:lvl>
  </w:abstractNum>
  <w:abstractNum w:abstractNumId="2">
    <w:nsid w:val="7F7E5238"/>
    <w:multiLevelType w:val="multilevel"/>
    <w:tmpl w:val="7F7E5238"/>
    <w:lvl w:ilvl="0" w:tentative="0">
      <w:start w:val="1"/>
      <w:numFmt w:val="none"/>
      <w:pStyle w:val="17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0"/>
      <w:lvlText w:val="           "/>
      <w:lvlJc w:val="left"/>
      <w:pPr>
        <w:tabs>
          <w:tab w:val="left" w:pos="1440"/>
        </w:tabs>
        <w:ind w:left="1152" w:hanging="1152"/>
      </w:pPr>
      <w:rPr>
        <w:rFonts w:hint="eastAsia"/>
      </w:rPr>
    </w:lvl>
    <w:lvl w:ilvl="6" w:tentative="0">
      <w:start w:val="1"/>
      <w:numFmt w:val="decimal"/>
      <w:pStyle w:val="182"/>
      <w:lvlText w:val="%1.%2.%3.%4.%5.%6.%7"/>
      <w:lvlJc w:val="left"/>
      <w:pPr>
        <w:tabs>
          <w:tab w:val="left" w:pos="2520"/>
        </w:tabs>
        <w:ind w:left="1296" w:hanging="1296"/>
      </w:pPr>
      <w:rPr>
        <w:rFonts w:hint="eastAsia"/>
      </w:rPr>
    </w:lvl>
    <w:lvl w:ilvl="7" w:tentative="0">
      <w:start w:val="1"/>
      <w:numFmt w:val="decimal"/>
      <w:pStyle w:val="184"/>
      <w:lvlText w:val="%1.%2.%3.%4.%5.%6.%7.%8"/>
      <w:lvlJc w:val="left"/>
      <w:pPr>
        <w:tabs>
          <w:tab w:val="left" w:pos="1440"/>
        </w:tabs>
        <w:ind w:left="1440" w:hanging="1440"/>
      </w:pPr>
      <w:rPr>
        <w:rFonts w:hint="eastAsia"/>
      </w:rPr>
    </w:lvl>
    <w:lvl w:ilvl="8" w:tentative="0">
      <w:start w:val="1"/>
      <w:numFmt w:val="decimal"/>
      <w:pStyle w:val="186"/>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jliMGQxZDIxYjA0ZWRkYTM0OWEyZDdkZmU1NWY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54FC"/>
    <w:rsid w:val="00097CB9"/>
    <w:rsid w:val="000A0161"/>
    <w:rsid w:val="000A10A9"/>
    <w:rsid w:val="000A2DA0"/>
    <w:rsid w:val="000A4D9D"/>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76EC5"/>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3B78"/>
    <w:rsid w:val="00244182"/>
    <w:rsid w:val="002544A1"/>
    <w:rsid w:val="00257ECE"/>
    <w:rsid w:val="00260382"/>
    <w:rsid w:val="00260B94"/>
    <w:rsid w:val="00262881"/>
    <w:rsid w:val="00264F2E"/>
    <w:rsid w:val="00271245"/>
    <w:rsid w:val="0027331F"/>
    <w:rsid w:val="00273F66"/>
    <w:rsid w:val="00274A9E"/>
    <w:rsid w:val="00276BA1"/>
    <w:rsid w:val="00280984"/>
    <w:rsid w:val="002812E8"/>
    <w:rsid w:val="002832CF"/>
    <w:rsid w:val="002835E3"/>
    <w:rsid w:val="00284542"/>
    <w:rsid w:val="002A0EE7"/>
    <w:rsid w:val="002A14D1"/>
    <w:rsid w:val="002A1903"/>
    <w:rsid w:val="002A1A1D"/>
    <w:rsid w:val="002A28AD"/>
    <w:rsid w:val="002B04FD"/>
    <w:rsid w:val="002B08D2"/>
    <w:rsid w:val="002B5318"/>
    <w:rsid w:val="002B6D27"/>
    <w:rsid w:val="002B7A09"/>
    <w:rsid w:val="002C00C4"/>
    <w:rsid w:val="002C060C"/>
    <w:rsid w:val="002C078A"/>
    <w:rsid w:val="002C44A2"/>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2F1CED"/>
    <w:rsid w:val="00305FD7"/>
    <w:rsid w:val="00306F42"/>
    <w:rsid w:val="00310070"/>
    <w:rsid w:val="0031081B"/>
    <w:rsid w:val="003110EC"/>
    <w:rsid w:val="00314289"/>
    <w:rsid w:val="003206A6"/>
    <w:rsid w:val="0032560D"/>
    <w:rsid w:val="00327C92"/>
    <w:rsid w:val="00333292"/>
    <w:rsid w:val="003344E7"/>
    <w:rsid w:val="0033580B"/>
    <w:rsid w:val="003365E7"/>
    <w:rsid w:val="003378D5"/>
    <w:rsid w:val="00341C4F"/>
    <w:rsid w:val="003473D7"/>
    <w:rsid w:val="00351AC8"/>
    <w:rsid w:val="00353075"/>
    <w:rsid w:val="00363E02"/>
    <w:rsid w:val="00363F8C"/>
    <w:rsid w:val="00370201"/>
    <w:rsid w:val="00373A37"/>
    <w:rsid w:val="00373A96"/>
    <w:rsid w:val="0038259D"/>
    <w:rsid w:val="003826C2"/>
    <w:rsid w:val="00383728"/>
    <w:rsid w:val="00384E57"/>
    <w:rsid w:val="003903BB"/>
    <w:rsid w:val="0039195E"/>
    <w:rsid w:val="00392627"/>
    <w:rsid w:val="00393BB6"/>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0643"/>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1A2"/>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EBA"/>
    <w:rsid w:val="00584FCB"/>
    <w:rsid w:val="0059223D"/>
    <w:rsid w:val="0059365B"/>
    <w:rsid w:val="00593ABC"/>
    <w:rsid w:val="00597B15"/>
    <w:rsid w:val="005A044C"/>
    <w:rsid w:val="005A149F"/>
    <w:rsid w:val="005A1E37"/>
    <w:rsid w:val="005A1E40"/>
    <w:rsid w:val="005A3A32"/>
    <w:rsid w:val="005B1F75"/>
    <w:rsid w:val="005B2C9F"/>
    <w:rsid w:val="005B34C9"/>
    <w:rsid w:val="005B3C39"/>
    <w:rsid w:val="005B7D08"/>
    <w:rsid w:val="005C1053"/>
    <w:rsid w:val="005C1D52"/>
    <w:rsid w:val="005D0200"/>
    <w:rsid w:val="005D44EF"/>
    <w:rsid w:val="005D5112"/>
    <w:rsid w:val="005D5D67"/>
    <w:rsid w:val="005F2499"/>
    <w:rsid w:val="005F34CC"/>
    <w:rsid w:val="005F3914"/>
    <w:rsid w:val="005F3B5A"/>
    <w:rsid w:val="005F6AB4"/>
    <w:rsid w:val="0060249E"/>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2A69"/>
    <w:rsid w:val="00653F7F"/>
    <w:rsid w:val="00657151"/>
    <w:rsid w:val="006572DE"/>
    <w:rsid w:val="00662DCD"/>
    <w:rsid w:val="00662EE8"/>
    <w:rsid w:val="00663813"/>
    <w:rsid w:val="00664AFD"/>
    <w:rsid w:val="006665DC"/>
    <w:rsid w:val="00667567"/>
    <w:rsid w:val="006718E2"/>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4C01"/>
    <w:rsid w:val="0078642F"/>
    <w:rsid w:val="0078683C"/>
    <w:rsid w:val="00790EDB"/>
    <w:rsid w:val="00791538"/>
    <w:rsid w:val="0079326E"/>
    <w:rsid w:val="00796E1C"/>
    <w:rsid w:val="00796EDE"/>
    <w:rsid w:val="007975D4"/>
    <w:rsid w:val="007A04E6"/>
    <w:rsid w:val="007A5A58"/>
    <w:rsid w:val="007B1C56"/>
    <w:rsid w:val="007B29AB"/>
    <w:rsid w:val="007C1DD7"/>
    <w:rsid w:val="007C35D3"/>
    <w:rsid w:val="007C3CD5"/>
    <w:rsid w:val="007C4756"/>
    <w:rsid w:val="007C5E88"/>
    <w:rsid w:val="007C5F55"/>
    <w:rsid w:val="007C61EF"/>
    <w:rsid w:val="007D03DE"/>
    <w:rsid w:val="007D15DB"/>
    <w:rsid w:val="007D1C0D"/>
    <w:rsid w:val="007D2D23"/>
    <w:rsid w:val="007E1300"/>
    <w:rsid w:val="007E27D6"/>
    <w:rsid w:val="007E2B06"/>
    <w:rsid w:val="007E3921"/>
    <w:rsid w:val="007F02F9"/>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4AF6"/>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449E"/>
    <w:rsid w:val="008E4BDD"/>
    <w:rsid w:val="008E770C"/>
    <w:rsid w:val="008F00F4"/>
    <w:rsid w:val="008F187F"/>
    <w:rsid w:val="008F3D46"/>
    <w:rsid w:val="008F402F"/>
    <w:rsid w:val="008F76E8"/>
    <w:rsid w:val="009037A1"/>
    <w:rsid w:val="00904508"/>
    <w:rsid w:val="009078A1"/>
    <w:rsid w:val="00911E9C"/>
    <w:rsid w:val="0091299E"/>
    <w:rsid w:val="00917405"/>
    <w:rsid w:val="00920F7C"/>
    <w:rsid w:val="00922718"/>
    <w:rsid w:val="00923599"/>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725"/>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62A"/>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4DB3"/>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4BBD"/>
    <w:rsid w:val="00BF572F"/>
    <w:rsid w:val="00BF6CAD"/>
    <w:rsid w:val="00BF71FB"/>
    <w:rsid w:val="00C04DBF"/>
    <w:rsid w:val="00C05C07"/>
    <w:rsid w:val="00C05E4C"/>
    <w:rsid w:val="00C06545"/>
    <w:rsid w:val="00C11D8C"/>
    <w:rsid w:val="00C134AF"/>
    <w:rsid w:val="00C13932"/>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50A"/>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A5882"/>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3251"/>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60E0"/>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3031"/>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1AB"/>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9796F"/>
    <w:rsid w:val="00FA25B6"/>
    <w:rsid w:val="00FA2FAF"/>
    <w:rsid w:val="00FA54F6"/>
    <w:rsid w:val="00FA64B1"/>
    <w:rsid w:val="00FA70F3"/>
    <w:rsid w:val="00FA71CD"/>
    <w:rsid w:val="00FB0453"/>
    <w:rsid w:val="00FB0C07"/>
    <w:rsid w:val="00FB298D"/>
    <w:rsid w:val="00FB3171"/>
    <w:rsid w:val="00FB35F6"/>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E6DAF"/>
    <w:rsid w:val="00FF092F"/>
    <w:rsid w:val="00FF0DA7"/>
    <w:rsid w:val="00FF2DF6"/>
    <w:rsid w:val="00FF3003"/>
    <w:rsid w:val="00FF44E0"/>
    <w:rsid w:val="00FF6C72"/>
    <w:rsid w:val="01015F7A"/>
    <w:rsid w:val="01127137"/>
    <w:rsid w:val="012A1251"/>
    <w:rsid w:val="014976E6"/>
    <w:rsid w:val="015302CD"/>
    <w:rsid w:val="01545A05"/>
    <w:rsid w:val="01565C22"/>
    <w:rsid w:val="01586CAE"/>
    <w:rsid w:val="01614E24"/>
    <w:rsid w:val="016806BD"/>
    <w:rsid w:val="01777BF4"/>
    <w:rsid w:val="01B7102D"/>
    <w:rsid w:val="01CE57B8"/>
    <w:rsid w:val="020C4532"/>
    <w:rsid w:val="021653B1"/>
    <w:rsid w:val="021F4C82"/>
    <w:rsid w:val="02242480"/>
    <w:rsid w:val="023263C4"/>
    <w:rsid w:val="027F71D6"/>
    <w:rsid w:val="02A816E8"/>
    <w:rsid w:val="02C30CDE"/>
    <w:rsid w:val="02E903CF"/>
    <w:rsid w:val="030B62A1"/>
    <w:rsid w:val="031B2C7F"/>
    <w:rsid w:val="031C2553"/>
    <w:rsid w:val="032205B8"/>
    <w:rsid w:val="032F04D8"/>
    <w:rsid w:val="035E4919"/>
    <w:rsid w:val="03B51673"/>
    <w:rsid w:val="03C15358"/>
    <w:rsid w:val="03D36FEB"/>
    <w:rsid w:val="03D869D2"/>
    <w:rsid w:val="03E21CD5"/>
    <w:rsid w:val="04054CCC"/>
    <w:rsid w:val="04073FBB"/>
    <w:rsid w:val="040C6A6B"/>
    <w:rsid w:val="041A2F36"/>
    <w:rsid w:val="04206073"/>
    <w:rsid w:val="04336711"/>
    <w:rsid w:val="043D0754"/>
    <w:rsid w:val="0475016D"/>
    <w:rsid w:val="047714C2"/>
    <w:rsid w:val="04BC3FEE"/>
    <w:rsid w:val="04E60241"/>
    <w:rsid w:val="04E92909"/>
    <w:rsid w:val="05031C1C"/>
    <w:rsid w:val="05092444"/>
    <w:rsid w:val="050A3155"/>
    <w:rsid w:val="05183DDF"/>
    <w:rsid w:val="053A26CB"/>
    <w:rsid w:val="055F0B42"/>
    <w:rsid w:val="0580501B"/>
    <w:rsid w:val="059B1E55"/>
    <w:rsid w:val="05AF5900"/>
    <w:rsid w:val="05B9052D"/>
    <w:rsid w:val="05C05314"/>
    <w:rsid w:val="05C70D97"/>
    <w:rsid w:val="05CD39D7"/>
    <w:rsid w:val="05EC34F6"/>
    <w:rsid w:val="060528C8"/>
    <w:rsid w:val="061B11E8"/>
    <w:rsid w:val="061D52A4"/>
    <w:rsid w:val="062C51A3"/>
    <w:rsid w:val="0639166E"/>
    <w:rsid w:val="06523F87"/>
    <w:rsid w:val="065B15E4"/>
    <w:rsid w:val="06677A1E"/>
    <w:rsid w:val="06783F44"/>
    <w:rsid w:val="06823015"/>
    <w:rsid w:val="068E0BC9"/>
    <w:rsid w:val="06BC3117"/>
    <w:rsid w:val="06E67100"/>
    <w:rsid w:val="071F22E3"/>
    <w:rsid w:val="073C31C4"/>
    <w:rsid w:val="074E7B40"/>
    <w:rsid w:val="078A2181"/>
    <w:rsid w:val="079511E1"/>
    <w:rsid w:val="07A174CB"/>
    <w:rsid w:val="07BF7CB3"/>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217755"/>
    <w:rsid w:val="0A365FB3"/>
    <w:rsid w:val="0A461CB1"/>
    <w:rsid w:val="0A56459C"/>
    <w:rsid w:val="0A7015F7"/>
    <w:rsid w:val="0A77544C"/>
    <w:rsid w:val="0AA65F45"/>
    <w:rsid w:val="0AC86268"/>
    <w:rsid w:val="0AD656DD"/>
    <w:rsid w:val="0AD825C4"/>
    <w:rsid w:val="0AFA5870"/>
    <w:rsid w:val="0AFE2088"/>
    <w:rsid w:val="0B146AB7"/>
    <w:rsid w:val="0B163D2C"/>
    <w:rsid w:val="0B291CB1"/>
    <w:rsid w:val="0B3644E0"/>
    <w:rsid w:val="0B6960C7"/>
    <w:rsid w:val="0B6A254A"/>
    <w:rsid w:val="0B6E3B68"/>
    <w:rsid w:val="0B93537C"/>
    <w:rsid w:val="0BC528CF"/>
    <w:rsid w:val="0BE81B6C"/>
    <w:rsid w:val="0C017795"/>
    <w:rsid w:val="0C1069CD"/>
    <w:rsid w:val="0C3D1EB8"/>
    <w:rsid w:val="0C3F23A5"/>
    <w:rsid w:val="0C4843B9"/>
    <w:rsid w:val="0C5555C5"/>
    <w:rsid w:val="0C6709D0"/>
    <w:rsid w:val="0C676F35"/>
    <w:rsid w:val="0C880C59"/>
    <w:rsid w:val="0CAC4948"/>
    <w:rsid w:val="0CCA1C47"/>
    <w:rsid w:val="0CD914B5"/>
    <w:rsid w:val="0CED0F6C"/>
    <w:rsid w:val="0CEF2A86"/>
    <w:rsid w:val="0CF31BB9"/>
    <w:rsid w:val="0D0B3827"/>
    <w:rsid w:val="0D314E4D"/>
    <w:rsid w:val="0D573E51"/>
    <w:rsid w:val="0D774F56"/>
    <w:rsid w:val="0D8E04F1"/>
    <w:rsid w:val="0D957AD2"/>
    <w:rsid w:val="0DB241E0"/>
    <w:rsid w:val="0DDD7169"/>
    <w:rsid w:val="0DE6032D"/>
    <w:rsid w:val="0E2055ED"/>
    <w:rsid w:val="0E267FA8"/>
    <w:rsid w:val="0E3E1F17"/>
    <w:rsid w:val="0E52151F"/>
    <w:rsid w:val="0E782F04"/>
    <w:rsid w:val="0E9A5F77"/>
    <w:rsid w:val="0E9E11E9"/>
    <w:rsid w:val="0ECA573F"/>
    <w:rsid w:val="0ECB1AC7"/>
    <w:rsid w:val="0ECF35C4"/>
    <w:rsid w:val="0ED527DB"/>
    <w:rsid w:val="0F01750C"/>
    <w:rsid w:val="0F2F1860"/>
    <w:rsid w:val="0F3330FE"/>
    <w:rsid w:val="0F3F1AA3"/>
    <w:rsid w:val="0F4869DB"/>
    <w:rsid w:val="0F4F5A5E"/>
    <w:rsid w:val="0F5F5CA1"/>
    <w:rsid w:val="0F64775C"/>
    <w:rsid w:val="0F672FE3"/>
    <w:rsid w:val="0F686692"/>
    <w:rsid w:val="0F751969"/>
    <w:rsid w:val="0F7D25CB"/>
    <w:rsid w:val="0F802974"/>
    <w:rsid w:val="0F8C2B70"/>
    <w:rsid w:val="0FAC687F"/>
    <w:rsid w:val="0FB00BF3"/>
    <w:rsid w:val="0FB06A57"/>
    <w:rsid w:val="0FE60171"/>
    <w:rsid w:val="0FF1293F"/>
    <w:rsid w:val="0FF4402F"/>
    <w:rsid w:val="10303AE2"/>
    <w:rsid w:val="10305890"/>
    <w:rsid w:val="10463305"/>
    <w:rsid w:val="10615A49"/>
    <w:rsid w:val="10635C65"/>
    <w:rsid w:val="10732D06"/>
    <w:rsid w:val="107F1F1F"/>
    <w:rsid w:val="108504A9"/>
    <w:rsid w:val="108E5392"/>
    <w:rsid w:val="10B22456"/>
    <w:rsid w:val="10B36C33"/>
    <w:rsid w:val="10CC55B8"/>
    <w:rsid w:val="10E044A9"/>
    <w:rsid w:val="11031026"/>
    <w:rsid w:val="11254CC9"/>
    <w:rsid w:val="112A76C8"/>
    <w:rsid w:val="112F3D99"/>
    <w:rsid w:val="11333889"/>
    <w:rsid w:val="11395C39"/>
    <w:rsid w:val="113F59F6"/>
    <w:rsid w:val="114710E3"/>
    <w:rsid w:val="118A0FD0"/>
    <w:rsid w:val="11AE1162"/>
    <w:rsid w:val="11C75D80"/>
    <w:rsid w:val="11C970B1"/>
    <w:rsid w:val="11E06E41"/>
    <w:rsid w:val="11F74B82"/>
    <w:rsid w:val="12135469"/>
    <w:rsid w:val="122A47A5"/>
    <w:rsid w:val="1232333F"/>
    <w:rsid w:val="126B2112"/>
    <w:rsid w:val="12722FED"/>
    <w:rsid w:val="129A3460"/>
    <w:rsid w:val="129B16E6"/>
    <w:rsid w:val="129C0FBA"/>
    <w:rsid w:val="12A07F1A"/>
    <w:rsid w:val="12A14112"/>
    <w:rsid w:val="12BE3627"/>
    <w:rsid w:val="12C413D6"/>
    <w:rsid w:val="12CD6C86"/>
    <w:rsid w:val="13034356"/>
    <w:rsid w:val="13083E3E"/>
    <w:rsid w:val="13382425"/>
    <w:rsid w:val="13552459"/>
    <w:rsid w:val="136E0BA9"/>
    <w:rsid w:val="138A5F0F"/>
    <w:rsid w:val="139364DD"/>
    <w:rsid w:val="139F6FB4"/>
    <w:rsid w:val="13D03611"/>
    <w:rsid w:val="13DF2611"/>
    <w:rsid w:val="13F50945"/>
    <w:rsid w:val="141C2C34"/>
    <w:rsid w:val="141F00F5"/>
    <w:rsid w:val="14225A66"/>
    <w:rsid w:val="147A532B"/>
    <w:rsid w:val="14C412D5"/>
    <w:rsid w:val="14E36BC9"/>
    <w:rsid w:val="14F051F6"/>
    <w:rsid w:val="14F96B98"/>
    <w:rsid w:val="151E215B"/>
    <w:rsid w:val="15261371"/>
    <w:rsid w:val="15400C78"/>
    <w:rsid w:val="1565422D"/>
    <w:rsid w:val="15916384"/>
    <w:rsid w:val="15A308B2"/>
    <w:rsid w:val="15B74EC5"/>
    <w:rsid w:val="15EF35D8"/>
    <w:rsid w:val="162E0AC3"/>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5B7C38"/>
    <w:rsid w:val="18693E47"/>
    <w:rsid w:val="18BD54F4"/>
    <w:rsid w:val="18D94D16"/>
    <w:rsid w:val="18DC0363"/>
    <w:rsid w:val="18DD28F7"/>
    <w:rsid w:val="18E37943"/>
    <w:rsid w:val="190B0C48"/>
    <w:rsid w:val="191D6027"/>
    <w:rsid w:val="19237362"/>
    <w:rsid w:val="194303E2"/>
    <w:rsid w:val="19706CFD"/>
    <w:rsid w:val="1978240B"/>
    <w:rsid w:val="1979120B"/>
    <w:rsid w:val="1997072D"/>
    <w:rsid w:val="19A312AE"/>
    <w:rsid w:val="19BE5CBA"/>
    <w:rsid w:val="19BF76EB"/>
    <w:rsid w:val="1A085187"/>
    <w:rsid w:val="1A11228E"/>
    <w:rsid w:val="1A136006"/>
    <w:rsid w:val="1A1A7CD9"/>
    <w:rsid w:val="1A4457AE"/>
    <w:rsid w:val="1A4C5D31"/>
    <w:rsid w:val="1A4E6F8E"/>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62C22"/>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431CDC"/>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482959"/>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16EF"/>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7E6AD4"/>
    <w:rsid w:val="249C4E4A"/>
    <w:rsid w:val="249F7859"/>
    <w:rsid w:val="24A106B2"/>
    <w:rsid w:val="24A7216D"/>
    <w:rsid w:val="24B94E7B"/>
    <w:rsid w:val="24BB627D"/>
    <w:rsid w:val="24C745BD"/>
    <w:rsid w:val="24F86524"/>
    <w:rsid w:val="250958CB"/>
    <w:rsid w:val="250E0AED"/>
    <w:rsid w:val="25567B5A"/>
    <w:rsid w:val="255A71DF"/>
    <w:rsid w:val="2573204F"/>
    <w:rsid w:val="257A162F"/>
    <w:rsid w:val="258B7398"/>
    <w:rsid w:val="25922D5C"/>
    <w:rsid w:val="25AB3B32"/>
    <w:rsid w:val="25B763DF"/>
    <w:rsid w:val="25BA0095"/>
    <w:rsid w:val="25BF1CDF"/>
    <w:rsid w:val="25BF34E6"/>
    <w:rsid w:val="25CC2D38"/>
    <w:rsid w:val="25D728C0"/>
    <w:rsid w:val="25D72D0D"/>
    <w:rsid w:val="25DC37F5"/>
    <w:rsid w:val="25E62821"/>
    <w:rsid w:val="26136E77"/>
    <w:rsid w:val="26466AD3"/>
    <w:rsid w:val="26467125"/>
    <w:rsid w:val="26722525"/>
    <w:rsid w:val="26991A16"/>
    <w:rsid w:val="26A01734"/>
    <w:rsid w:val="26E15B99"/>
    <w:rsid w:val="26F61189"/>
    <w:rsid w:val="26F82F41"/>
    <w:rsid w:val="273677D8"/>
    <w:rsid w:val="275F5C6C"/>
    <w:rsid w:val="2799188C"/>
    <w:rsid w:val="27A107B1"/>
    <w:rsid w:val="27B801ED"/>
    <w:rsid w:val="27C6756C"/>
    <w:rsid w:val="27E85AF1"/>
    <w:rsid w:val="27EB2370"/>
    <w:rsid w:val="27ED3892"/>
    <w:rsid w:val="2803672A"/>
    <w:rsid w:val="280557AF"/>
    <w:rsid w:val="282B4E63"/>
    <w:rsid w:val="2837207C"/>
    <w:rsid w:val="28515D28"/>
    <w:rsid w:val="28842155"/>
    <w:rsid w:val="288A1BE1"/>
    <w:rsid w:val="289D5510"/>
    <w:rsid w:val="28C36E49"/>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E551F2"/>
    <w:rsid w:val="2BE94E19"/>
    <w:rsid w:val="2BEE5CA9"/>
    <w:rsid w:val="2BFC771C"/>
    <w:rsid w:val="2C0318AA"/>
    <w:rsid w:val="2C0843C3"/>
    <w:rsid w:val="2C0B2FE1"/>
    <w:rsid w:val="2C472353"/>
    <w:rsid w:val="2C4F5652"/>
    <w:rsid w:val="2C7C7A3B"/>
    <w:rsid w:val="2C855E78"/>
    <w:rsid w:val="2C866B0B"/>
    <w:rsid w:val="2C9A2557"/>
    <w:rsid w:val="2C9D628A"/>
    <w:rsid w:val="2CAC798F"/>
    <w:rsid w:val="2CC72A5A"/>
    <w:rsid w:val="2CCB451E"/>
    <w:rsid w:val="2CD368AF"/>
    <w:rsid w:val="2CED0939"/>
    <w:rsid w:val="2CF17DF5"/>
    <w:rsid w:val="2CF57294"/>
    <w:rsid w:val="2CF9552F"/>
    <w:rsid w:val="2CF972DD"/>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62DF3"/>
    <w:rsid w:val="2E8727AF"/>
    <w:rsid w:val="2E926FBB"/>
    <w:rsid w:val="2E9363D9"/>
    <w:rsid w:val="2E93791E"/>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107D4"/>
    <w:rsid w:val="321B78CE"/>
    <w:rsid w:val="3227669B"/>
    <w:rsid w:val="322A3FD0"/>
    <w:rsid w:val="32385F9C"/>
    <w:rsid w:val="323D4B10"/>
    <w:rsid w:val="3263094F"/>
    <w:rsid w:val="327614B6"/>
    <w:rsid w:val="327B69E7"/>
    <w:rsid w:val="327D17AF"/>
    <w:rsid w:val="327F62D5"/>
    <w:rsid w:val="329A02FB"/>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75F84"/>
    <w:rsid w:val="34AC732B"/>
    <w:rsid w:val="34E45C10"/>
    <w:rsid w:val="35253045"/>
    <w:rsid w:val="354B0704"/>
    <w:rsid w:val="354B26A0"/>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6EC3D47"/>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DF0529"/>
    <w:rsid w:val="3AF15A98"/>
    <w:rsid w:val="3AF561AE"/>
    <w:rsid w:val="3AFA5384"/>
    <w:rsid w:val="3B134F55"/>
    <w:rsid w:val="3B135A0E"/>
    <w:rsid w:val="3B186CC9"/>
    <w:rsid w:val="3B2132F9"/>
    <w:rsid w:val="3B2B252A"/>
    <w:rsid w:val="3B4D0683"/>
    <w:rsid w:val="3B714E2B"/>
    <w:rsid w:val="3B7417CA"/>
    <w:rsid w:val="3B9A264B"/>
    <w:rsid w:val="3B9B5A04"/>
    <w:rsid w:val="3BA725FA"/>
    <w:rsid w:val="3BB0325D"/>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9F17DB"/>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F087854"/>
    <w:rsid w:val="3F2F6EBF"/>
    <w:rsid w:val="3F5D194E"/>
    <w:rsid w:val="3F7F14E7"/>
    <w:rsid w:val="3F864A29"/>
    <w:rsid w:val="3F8B1360"/>
    <w:rsid w:val="3F9F14A0"/>
    <w:rsid w:val="3FA37E9F"/>
    <w:rsid w:val="3FEF7356"/>
    <w:rsid w:val="3FF21F94"/>
    <w:rsid w:val="3FFD4B96"/>
    <w:rsid w:val="40005166"/>
    <w:rsid w:val="40055426"/>
    <w:rsid w:val="400B4C01"/>
    <w:rsid w:val="40302BBE"/>
    <w:rsid w:val="40316936"/>
    <w:rsid w:val="40477F08"/>
    <w:rsid w:val="405165FE"/>
    <w:rsid w:val="406867FC"/>
    <w:rsid w:val="40C6735E"/>
    <w:rsid w:val="40D24B9C"/>
    <w:rsid w:val="40DE6ABE"/>
    <w:rsid w:val="410753AA"/>
    <w:rsid w:val="411E335F"/>
    <w:rsid w:val="41303889"/>
    <w:rsid w:val="413237D9"/>
    <w:rsid w:val="415052BD"/>
    <w:rsid w:val="41870F04"/>
    <w:rsid w:val="41904D37"/>
    <w:rsid w:val="41A1553C"/>
    <w:rsid w:val="41BA337A"/>
    <w:rsid w:val="41BB1716"/>
    <w:rsid w:val="41C32C44"/>
    <w:rsid w:val="41D979E0"/>
    <w:rsid w:val="41DE0A1F"/>
    <w:rsid w:val="41E73751"/>
    <w:rsid w:val="41FD3C44"/>
    <w:rsid w:val="41FF4F3E"/>
    <w:rsid w:val="4207478C"/>
    <w:rsid w:val="422936B2"/>
    <w:rsid w:val="422A409B"/>
    <w:rsid w:val="422E75D1"/>
    <w:rsid w:val="42373D37"/>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65324E"/>
    <w:rsid w:val="4476700E"/>
    <w:rsid w:val="447F2366"/>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261E9"/>
    <w:rsid w:val="456B22FF"/>
    <w:rsid w:val="456D1768"/>
    <w:rsid w:val="457D4B55"/>
    <w:rsid w:val="45832431"/>
    <w:rsid w:val="45C47B05"/>
    <w:rsid w:val="45C96E92"/>
    <w:rsid w:val="45CC0C03"/>
    <w:rsid w:val="46067BF3"/>
    <w:rsid w:val="46072613"/>
    <w:rsid w:val="462E0F7B"/>
    <w:rsid w:val="46427B16"/>
    <w:rsid w:val="464A5E88"/>
    <w:rsid w:val="464E0242"/>
    <w:rsid w:val="46690BD8"/>
    <w:rsid w:val="468E6891"/>
    <w:rsid w:val="46AE2A8F"/>
    <w:rsid w:val="46C07A31"/>
    <w:rsid w:val="46DB1ADF"/>
    <w:rsid w:val="47105641"/>
    <w:rsid w:val="471A6376"/>
    <w:rsid w:val="47392CA0"/>
    <w:rsid w:val="47437DEF"/>
    <w:rsid w:val="47AC3472"/>
    <w:rsid w:val="47AE29D8"/>
    <w:rsid w:val="47B462FA"/>
    <w:rsid w:val="47B745D4"/>
    <w:rsid w:val="47BC567F"/>
    <w:rsid w:val="4814634D"/>
    <w:rsid w:val="481907FA"/>
    <w:rsid w:val="48226AEB"/>
    <w:rsid w:val="483673CE"/>
    <w:rsid w:val="489A776F"/>
    <w:rsid w:val="489F4D85"/>
    <w:rsid w:val="48BE41E3"/>
    <w:rsid w:val="48BF5427"/>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009F3"/>
    <w:rsid w:val="4A8C758B"/>
    <w:rsid w:val="4A8E0642"/>
    <w:rsid w:val="4A91694F"/>
    <w:rsid w:val="4AC7411F"/>
    <w:rsid w:val="4AC95736"/>
    <w:rsid w:val="4AF320B9"/>
    <w:rsid w:val="4B2B2900"/>
    <w:rsid w:val="4B410375"/>
    <w:rsid w:val="4B5B0856"/>
    <w:rsid w:val="4B5F07FC"/>
    <w:rsid w:val="4B63653E"/>
    <w:rsid w:val="4B6422B6"/>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87C17"/>
    <w:rsid w:val="4D5A72FA"/>
    <w:rsid w:val="4D633A18"/>
    <w:rsid w:val="4DB90697"/>
    <w:rsid w:val="4DC52A56"/>
    <w:rsid w:val="4DDB0C4B"/>
    <w:rsid w:val="4DE4148C"/>
    <w:rsid w:val="4E0062C6"/>
    <w:rsid w:val="4E0B2970"/>
    <w:rsid w:val="4E1759C1"/>
    <w:rsid w:val="4E3E6DEE"/>
    <w:rsid w:val="4E834801"/>
    <w:rsid w:val="4E8862BB"/>
    <w:rsid w:val="4ED8558E"/>
    <w:rsid w:val="4F245FE4"/>
    <w:rsid w:val="4F433169"/>
    <w:rsid w:val="4F700DE6"/>
    <w:rsid w:val="4F875755"/>
    <w:rsid w:val="4FC7696F"/>
    <w:rsid w:val="4FD51C85"/>
    <w:rsid w:val="50067498"/>
    <w:rsid w:val="504219F6"/>
    <w:rsid w:val="505A492D"/>
    <w:rsid w:val="505B4BCF"/>
    <w:rsid w:val="50746AF7"/>
    <w:rsid w:val="50966A6E"/>
    <w:rsid w:val="50967210"/>
    <w:rsid w:val="50A4580C"/>
    <w:rsid w:val="50B75FB1"/>
    <w:rsid w:val="50CC248F"/>
    <w:rsid w:val="50F97A8C"/>
    <w:rsid w:val="51005BF8"/>
    <w:rsid w:val="51013297"/>
    <w:rsid w:val="5105419D"/>
    <w:rsid w:val="51071719"/>
    <w:rsid w:val="510F2718"/>
    <w:rsid w:val="51177359"/>
    <w:rsid w:val="51324A1D"/>
    <w:rsid w:val="514A5AAA"/>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01E9A"/>
    <w:rsid w:val="53983E43"/>
    <w:rsid w:val="539F403D"/>
    <w:rsid w:val="53BF7DB7"/>
    <w:rsid w:val="53FD5D1B"/>
    <w:rsid w:val="541000EA"/>
    <w:rsid w:val="541008E5"/>
    <w:rsid w:val="54295E4B"/>
    <w:rsid w:val="54330A77"/>
    <w:rsid w:val="543640C4"/>
    <w:rsid w:val="5436550B"/>
    <w:rsid w:val="543A5A64"/>
    <w:rsid w:val="54547A6F"/>
    <w:rsid w:val="54547F90"/>
    <w:rsid w:val="545A6D5B"/>
    <w:rsid w:val="547A238D"/>
    <w:rsid w:val="54817A35"/>
    <w:rsid w:val="54841B12"/>
    <w:rsid w:val="548E627B"/>
    <w:rsid w:val="54A159E1"/>
    <w:rsid w:val="54D209AB"/>
    <w:rsid w:val="54D42ADE"/>
    <w:rsid w:val="55004DFD"/>
    <w:rsid w:val="55175CA3"/>
    <w:rsid w:val="553B5E36"/>
    <w:rsid w:val="554747DA"/>
    <w:rsid w:val="555D5DAC"/>
    <w:rsid w:val="556F0C67"/>
    <w:rsid w:val="5573527B"/>
    <w:rsid w:val="55756D9B"/>
    <w:rsid w:val="557B4484"/>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6FA762A"/>
    <w:rsid w:val="57077749"/>
    <w:rsid w:val="571132F2"/>
    <w:rsid w:val="57203535"/>
    <w:rsid w:val="57351266"/>
    <w:rsid w:val="573613C1"/>
    <w:rsid w:val="57397068"/>
    <w:rsid w:val="5741183E"/>
    <w:rsid w:val="575A2893"/>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F307D5"/>
    <w:rsid w:val="590649AC"/>
    <w:rsid w:val="590B5B1F"/>
    <w:rsid w:val="5914296F"/>
    <w:rsid w:val="591A6D73"/>
    <w:rsid w:val="59403789"/>
    <w:rsid w:val="5952374E"/>
    <w:rsid w:val="5963340F"/>
    <w:rsid w:val="59637709"/>
    <w:rsid w:val="596E5E6A"/>
    <w:rsid w:val="59777658"/>
    <w:rsid w:val="598309D2"/>
    <w:rsid w:val="598C4EB2"/>
    <w:rsid w:val="59967080"/>
    <w:rsid w:val="599C5996"/>
    <w:rsid w:val="599E3266"/>
    <w:rsid w:val="59AA17DC"/>
    <w:rsid w:val="59B43BDF"/>
    <w:rsid w:val="59BB7545"/>
    <w:rsid w:val="5A0A227A"/>
    <w:rsid w:val="5A0E1D6B"/>
    <w:rsid w:val="5A184D97"/>
    <w:rsid w:val="5A1E7A92"/>
    <w:rsid w:val="5A2F3A8F"/>
    <w:rsid w:val="5A3A32AF"/>
    <w:rsid w:val="5A492DA3"/>
    <w:rsid w:val="5A7A7400"/>
    <w:rsid w:val="5AC43F81"/>
    <w:rsid w:val="5AD5780D"/>
    <w:rsid w:val="5AED72F3"/>
    <w:rsid w:val="5AF122EE"/>
    <w:rsid w:val="5B0347A3"/>
    <w:rsid w:val="5B3A6B8F"/>
    <w:rsid w:val="5B4A6DD2"/>
    <w:rsid w:val="5B653C0C"/>
    <w:rsid w:val="5B765E19"/>
    <w:rsid w:val="5B835E40"/>
    <w:rsid w:val="5BA40A64"/>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6D1B0E"/>
    <w:rsid w:val="5D8E5AFC"/>
    <w:rsid w:val="5D9E3405"/>
    <w:rsid w:val="5DBA0F0B"/>
    <w:rsid w:val="5DCC4B5B"/>
    <w:rsid w:val="5DE0757A"/>
    <w:rsid w:val="5DEE5DB8"/>
    <w:rsid w:val="5DFD2313"/>
    <w:rsid w:val="5E047173"/>
    <w:rsid w:val="5E2D4789"/>
    <w:rsid w:val="5E373780"/>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0F042E"/>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7B56B6"/>
    <w:rsid w:val="649015CE"/>
    <w:rsid w:val="64994927"/>
    <w:rsid w:val="64C62C80"/>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5DE4F64"/>
    <w:rsid w:val="66353CE9"/>
    <w:rsid w:val="664762A1"/>
    <w:rsid w:val="66566780"/>
    <w:rsid w:val="66591008"/>
    <w:rsid w:val="665C7632"/>
    <w:rsid w:val="667217DA"/>
    <w:rsid w:val="66910EE1"/>
    <w:rsid w:val="66915AF7"/>
    <w:rsid w:val="6694184A"/>
    <w:rsid w:val="66C73EA9"/>
    <w:rsid w:val="66DC18E2"/>
    <w:rsid w:val="670F2C7E"/>
    <w:rsid w:val="671E7365"/>
    <w:rsid w:val="674A40AB"/>
    <w:rsid w:val="675668ED"/>
    <w:rsid w:val="67784CC7"/>
    <w:rsid w:val="679177C5"/>
    <w:rsid w:val="67A55390"/>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637E6D"/>
    <w:rsid w:val="6C77379F"/>
    <w:rsid w:val="6C8D10DE"/>
    <w:rsid w:val="6C991968"/>
    <w:rsid w:val="6CBA5193"/>
    <w:rsid w:val="6CDB4851"/>
    <w:rsid w:val="6CEF1588"/>
    <w:rsid w:val="6CFA7F2C"/>
    <w:rsid w:val="6CFC7A9E"/>
    <w:rsid w:val="6D1014FE"/>
    <w:rsid w:val="6D201310"/>
    <w:rsid w:val="6D286848"/>
    <w:rsid w:val="6D2D20B0"/>
    <w:rsid w:val="6D45389E"/>
    <w:rsid w:val="6D5C2694"/>
    <w:rsid w:val="6D5E4A16"/>
    <w:rsid w:val="6D633D24"/>
    <w:rsid w:val="6D6F091A"/>
    <w:rsid w:val="6DD42C17"/>
    <w:rsid w:val="6E0472B5"/>
    <w:rsid w:val="6E164774"/>
    <w:rsid w:val="6E1F7D5F"/>
    <w:rsid w:val="6E36441D"/>
    <w:rsid w:val="6E5666E4"/>
    <w:rsid w:val="6E5D423C"/>
    <w:rsid w:val="6E62222D"/>
    <w:rsid w:val="6E8977B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4D223A"/>
    <w:rsid w:val="71AB7A47"/>
    <w:rsid w:val="71BC7EA6"/>
    <w:rsid w:val="71D92806"/>
    <w:rsid w:val="720602E2"/>
    <w:rsid w:val="723B3BA8"/>
    <w:rsid w:val="723F4010"/>
    <w:rsid w:val="724C2FD8"/>
    <w:rsid w:val="725B2B66"/>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494642"/>
    <w:rsid w:val="745814C0"/>
    <w:rsid w:val="745E614E"/>
    <w:rsid w:val="746E36DA"/>
    <w:rsid w:val="748F1C7A"/>
    <w:rsid w:val="74B031AD"/>
    <w:rsid w:val="74B221BF"/>
    <w:rsid w:val="74B6388F"/>
    <w:rsid w:val="74CE4179"/>
    <w:rsid w:val="74D52B6F"/>
    <w:rsid w:val="74FA31C0"/>
    <w:rsid w:val="74FC2405"/>
    <w:rsid w:val="75020B69"/>
    <w:rsid w:val="750C4CA1"/>
    <w:rsid w:val="75330480"/>
    <w:rsid w:val="754601B3"/>
    <w:rsid w:val="755374DD"/>
    <w:rsid w:val="755A5A0C"/>
    <w:rsid w:val="75797145"/>
    <w:rsid w:val="75812F0D"/>
    <w:rsid w:val="75842A89"/>
    <w:rsid w:val="758E2517"/>
    <w:rsid w:val="75B16FA1"/>
    <w:rsid w:val="75CB06B8"/>
    <w:rsid w:val="75CB690A"/>
    <w:rsid w:val="75E1732A"/>
    <w:rsid w:val="75EB48B6"/>
    <w:rsid w:val="75FC2F67"/>
    <w:rsid w:val="75FE0BE7"/>
    <w:rsid w:val="7603347B"/>
    <w:rsid w:val="760360A4"/>
    <w:rsid w:val="760D6DDC"/>
    <w:rsid w:val="76147566"/>
    <w:rsid w:val="76344778"/>
    <w:rsid w:val="7679608D"/>
    <w:rsid w:val="76AC0BFB"/>
    <w:rsid w:val="76B31AD3"/>
    <w:rsid w:val="76D22E4C"/>
    <w:rsid w:val="76D90BB3"/>
    <w:rsid w:val="76D96E05"/>
    <w:rsid w:val="76DA7887"/>
    <w:rsid w:val="771542E1"/>
    <w:rsid w:val="771670BC"/>
    <w:rsid w:val="77291523"/>
    <w:rsid w:val="772937FE"/>
    <w:rsid w:val="772F05CC"/>
    <w:rsid w:val="77400489"/>
    <w:rsid w:val="776B3F01"/>
    <w:rsid w:val="777C7EBC"/>
    <w:rsid w:val="777D1E86"/>
    <w:rsid w:val="77843214"/>
    <w:rsid w:val="77894387"/>
    <w:rsid w:val="77A022D6"/>
    <w:rsid w:val="77A80CB1"/>
    <w:rsid w:val="77D26013"/>
    <w:rsid w:val="78112CFA"/>
    <w:rsid w:val="78191D9D"/>
    <w:rsid w:val="781A237F"/>
    <w:rsid w:val="78212811"/>
    <w:rsid w:val="782567A5"/>
    <w:rsid w:val="78471686"/>
    <w:rsid w:val="785E1101"/>
    <w:rsid w:val="78734760"/>
    <w:rsid w:val="78B621A1"/>
    <w:rsid w:val="78BD36C3"/>
    <w:rsid w:val="78CE2999"/>
    <w:rsid w:val="78D45AD6"/>
    <w:rsid w:val="78F07D11"/>
    <w:rsid w:val="78F47F26"/>
    <w:rsid w:val="78FE2B52"/>
    <w:rsid w:val="7931117A"/>
    <w:rsid w:val="79343A59"/>
    <w:rsid w:val="7940316B"/>
    <w:rsid w:val="794745F4"/>
    <w:rsid w:val="79604D22"/>
    <w:rsid w:val="79832B7B"/>
    <w:rsid w:val="798728D3"/>
    <w:rsid w:val="7989351C"/>
    <w:rsid w:val="79915091"/>
    <w:rsid w:val="799B26EC"/>
    <w:rsid w:val="79A731EA"/>
    <w:rsid w:val="79AE6327"/>
    <w:rsid w:val="79B416E2"/>
    <w:rsid w:val="79D55FA9"/>
    <w:rsid w:val="7A2B7977"/>
    <w:rsid w:val="7A35180C"/>
    <w:rsid w:val="7A472BA5"/>
    <w:rsid w:val="7A660CD8"/>
    <w:rsid w:val="7A7B0E7C"/>
    <w:rsid w:val="7A92282C"/>
    <w:rsid w:val="7ACD712C"/>
    <w:rsid w:val="7B24133B"/>
    <w:rsid w:val="7B2B1226"/>
    <w:rsid w:val="7B435CF8"/>
    <w:rsid w:val="7B4D3D08"/>
    <w:rsid w:val="7B5455AE"/>
    <w:rsid w:val="7B662DB0"/>
    <w:rsid w:val="7B6E3FBF"/>
    <w:rsid w:val="7B9D48A5"/>
    <w:rsid w:val="7BC576C6"/>
    <w:rsid w:val="7BC9569A"/>
    <w:rsid w:val="7BCC6F38"/>
    <w:rsid w:val="7BF02C26"/>
    <w:rsid w:val="7BF24BEF"/>
    <w:rsid w:val="7C0340C2"/>
    <w:rsid w:val="7C0B180E"/>
    <w:rsid w:val="7C0B6CB7"/>
    <w:rsid w:val="7C122B9D"/>
    <w:rsid w:val="7C183F2B"/>
    <w:rsid w:val="7C342153"/>
    <w:rsid w:val="7C3B5358"/>
    <w:rsid w:val="7C451DBF"/>
    <w:rsid w:val="7C757E9E"/>
    <w:rsid w:val="7C7A6994"/>
    <w:rsid w:val="7C885555"/>
    <w:rsid w:val="7C9F3684"/>
    <w:rsid w:val="7CA801B8"/>
    <w:rsid w:val="7CA95420"/>
    <w:rsid w:val="7CD866E7"/>
    <w:rsid w:val="7D16178D"/>
    <w:rsid w:val="7D1F5429"/>
    <w:rsid w:val="7D290D52"/>
    <w:rsid w:val="7D3215F4"/>
    <w:rsid w:val="7D4128A2"/>
    <w:rsid w:val="7D524231"/>
    <w:rsid w:val="7D531E0F"/>
    <w:rsid w:val="7D570CC2"/>
    <w:rsid w:val="7D6E02A7"/>
    <w:rsid w:val="7DC45624"/>
    <w:rsid w:val="7DD277C6"/>
    <w:rsid w:val="7E235535"/>
    <w:rsid w:val="7E3021C0"/>
    <w:rsid w:val="7E3A63DB"/>
    <w:rsid w:val="7E3C67B6"/>
    <w:rsid w:val="7E4234E1"/>
    <w:rsid w:val="7E4B05E8"/>
    <w:rsid w:val="7E4D4360"/>
    <w:rsid w:val="7E9100D2"/>
    <w:rsid w:val="7EBC3294"/>
    <w:rsid w:val="7EC02D84"/>
    <w:rsid w:val="7EDA196C"/>
    <w:rsid w:val="7EF2547B"/>
    <w:rsid w:val="7EF62A49"/>
    <w:rsid w:val="7EFC3D40"/>
    <w:rsid w:val="7EFD1A58"/>
    <w:rsid w:val="7F0864D9"/>
    <w:rsid w:val="7F1A159B"/>
    <w:rsid w:val="7F7E49ED"/>
    <w:rsid w:val="7F8F581D"/>
    <w:rsid w:val="7FB65F35"/>
    <w:rsid w:val="7FC5261C"/>
    <w:rsid w:val="7FDF36FC"/>
    <w:rsid w:val="7FF810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5"/>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9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9"/>
    <w:qFormat/>
    <w:uiPriority w:val="0"/>
    <w:pPr>
      <w:keepNext/>
      <w:keepLines/>
      <w:spacing w:before="280" w:after="290" w:line="376" w:lineRule="auto"/>
      <w:outlineLvl w:val="3"/>
    </w:pPr>
    <w:rPr>
      <w:b/>
      <w:bCs/>
      <w:sz w:val="28"/>
      <w:szCs w:val="28"/>
    </w:rPr>
  </w:style>
  <w:style w:type="paragraph" w:styleId="6">
    <w:name w:val="heading 5"/>
    <w:basedOn w:val="1"/>
    <w:next w:val="1"/>
    <w:link w:val="106"/>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7"/>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8"/>
    <w:qFormat/>
    <w:uiPriority w:val="0"/>
    <w:pPr>
      <w:tabs>
        <w:tab w:val="left" w:pos="1800"/>
        <w:tab w:val="clear" w:pos="1440"/>
      </w:tabs>
      <w:ind w:left="1276" w:hanging="1276"/>
      <w:outlineLvl w:val="6"/>
    </w:pPr>
  </w:style>
  <w:style w:type="paragraph" w:styleId="9">
    <w:name w:val="heading 8"/>
    <w:basedOn w:val="1"/>
    <w:next w:val="1"/>
    <w:link w:val="109"/>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10"/>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55"/>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1"/>
    <w:qFormat/>
    <w:uiPriority w:val="0"/>
    <w:pPr>
      <w:jc w:val="left"/>
    </w:pPr>
    <w:rPr>
      <w:rFonts w:ascii="Arial" w:hAnsi="Arial" w:eastAsia="黑体" w:cs="Arial"/>
    </w:rPr>
  </w:style>
  <w:style w:type="paragraph" w:styleId="17">
    <w:name w:val="Salutation"/>
    <w:basedOn w:val="1"/>
    <w:next w:val="1"/>
    <w:link w:val="121"/>
    <w:qFormat/>
    <w:uiPriority w:val="0"/>
    <w:rPr>
      <w:rFonts w:ascii="仿宋_GB2312" w:hAnsi="Times New Roman" w:eastAsia="仿宋_GB2312" w:cs="Times New Roman"/>
      <w:kern w:val="2"/>
      <w:sz w:val="28"/>
      <w:lang w:val="zh-CN"/>
    </w:rPr>
  </w:style>
  <w:style w:type="paragraph" w:styleId="18">
    <w:name w:val="Body Text 3"/>
    <w:basedOn w:val="1"/>
    <w:link w:val="141"/>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100"/>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15"/>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qFormat/>
    <w:uiPriority w:val="0"/>
  </w:style>
  <w:style w:type="paragraph" w:styleId="22">
    <w:name w:val="List 2"/>
    <w:basedOn w:val="1"/>
    <w:qFormat/>
    <w:uiPriority w:val="0"/>
    <w:pPr>
      <w:ind w:left="100" w:leftChars="200" w:hanging="200" w:hangingChars="200"/>
    </w:pPr>
    <w:rPr>
      <w:rFonts w:ascii="Calibri" w:hAnsi="Calibri" w:cs="Times New Roman"/>
      <w:kern w:val="2"/>
      <w:sz w:val="21"/>
      <w:szCs w:val="22"/>
    </w:rPr>
  </w:style>
  <w:style w:type="paragraph" w:styleId="23">
    <w:name w:val="List Continue"/>
    <w:basedOn w:val="1"/>
    <w:qFormat/>
    <w:uiPriority w:val="0"/>
    <w:pPr>
      <w:spacing w:after="120"/>
      <w:ind w:left="420" w:leftChars="200"/>
    </w:pPr>
    <w:rPr>
      <w:rFonts w:ascii="Calibri" w:hAnsi="Calibri" w:cs="Times New Roman"/>
      <w:kern w:val="2"/>
      <w:sz w:val="21"/>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qFormat/>
    <w:uiPriority w:val="0"/>
    <w:pPr>
      <w:ind w:left="600" w:leftChars="600"/>
    </w:pPr>
    <w:rPr>
      <w:rFonts w:ascii="Times New Roman" w:hAnsi="Times New Roman" w:cs="Times New Roman"/>
      <w:kern w:val="2"/>
      <w:sz w:val="21"/>
      <w:szCs w:val="24"/>
    </w:rPr>
  </w:style>
  <w:style w:type="paragraph" w:styleId="26">
    <w:name w:val="toc 5"/>
    <w:basedOn w:val="1"/>
    <w:next w:val="1"/>
    <w:unhideWhenUsed/>
    <w:qFormat/>
    <w:uiPriority w:val="39"/>
    <w:pPr>
      <w:ind w:left="840"/>
      <w:jc w:val="left"/>
    </w:pPr>
    <w:rPr>
      <w:rFonts w:ascii="Calibri" w:hAnsi="Calibri" w:cs="Calibri"/>
      <w:kern w:val="2"/>
      <w:sz w:val="18"/>
      <w:szCs w:val="18"/>
    </w:rPr>
  </w:style>
  <w:style w:type="paragraph" w:styleId="27">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80"/>
    <w:qFormat/>
    <w:uiPriority w:val="0"/>
    <w:rPr>
      <w:rFonts w:hAnsi="Courier New" w:eastAsiaTheme="minorEastAsia"/>
      <w:szCs w:val="22"/>
    </w:rPr>
  </w:style>
  <w:style w:type="paragraph" w:styleId="29">
    <w:name w:val="toc 8"/>
    <w:basedOn w:val="1"/>
    <w:next w:val="1"/>
    <w:unhideWhenUsed/>
    <w:qFormat/>
    <w:uiPriority w:val="39"/>
    <w:pPr>
      <w:ind w:left="1470"/>
      <w:jc w:val="left"/>
    </w:pPr>
    <w:rPr>
      <w:rFonts w:ascii="Calibri" w:hAnsi="Calibri" w:cs="Calibri"/>
      <w:kern w:val="2"/>
      <w:sz w:val="18"/>
      <w:szCs w:val="18"/>
    </w:rPr>
  </w:style>
  <w:style w:type="paragraph" w:styleId="30">
    <w:name w:val="Date"/>
    <w:basedOn w:val="1"/>
    <w:next w:val="1"/>
    <w:link w:val="87"/>
    <w:qFormat/>
    <w:uiPriority w:val="0"/>
    <w:rPr>
      <w:rFonts w:ascii="Arial" w:hAnsi="Arial" w:cs="Arial"/>
      <w:b/>
      <w:sz w:val="28"/>
    </w:rPr>
  </w:style>
  <w:style w:type="paragraph" w:styleId="31">
    <w:name w:val="Body Text Indent 2"/>
    <w:basedOn w:val="1"/>
    <w:link w:val="137"/>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4"/>
    <w:unhideWhenUsed/>
    <w:qFormat/>
    <w:uiPriority w:val="0"/>
    <w:rPr>
      <w:sz w:val="18"/>
      <w:szCs w:val="18"/>
    </w:rPr>
  </w:style>
  <w:style w:type="paragraph" w:styleId="33">
    <w:name w:val="footer"/>
    <w:basedOn w:val="1"/>
    <w:link w:val="79"/>
    <w:unhideWhenUsed/>
    <w:qFormat/>
    <w:uiPriority w:val="99"/>
    <w:pPr>
      <w:tabs>
        <w:tab w:val="center" w:pos="4153"/>
        <w:tab w:val="right" w:pos="8306"/>
      </w:tabs>
      <w:snapToGrid w:val="0"/>
      <w:jc w:val="left"/>
    </w:pPr>
    <w:rPr>
      <w:sz w:val="18"/>
      <w:szCs w:val="18"/>
    </w:rPr>
  </w:style>
  <w:style w:type="paragraph" w:styleId="34">
    <w:name w:val="header"/>
    <w:basedOn w:val="1"/>
    <w:link w:val="78"/>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unhideWhenUsed/>
    <w:qFormat/>
    <w:uiPriority w:val="39"/>
    <w:pPr>
      <w:ind w:left="630"/>
      <w:jc w:val="left"/>
    </w:pPr>
    <w:rPr>
      <w:rFonts w:ascii="Calibri" w:hAnsi="Calibri" w:cs="Calibri"/>
      <w:kern w:val="2"/>
      <w:sz w:val="18"/>
      <w:szCs w:val="18"/>
    </w:rPr>
  </w:style>
  <w:style w:type="paragraph" w:styleId="38">
    <w:name w:val="index heading"/>
    <w:basedOn w:val="1"/>
    <w:next w:val="39"/>
    <w:semiHidden/>
    <w:qFormat/>
    <w:uiPriority w:val="0"/>
    <w:rPr>
      <w:rFonts w:ascii="Times New Roman" w:hAnsi="Times New Roman" w:cs="Times New Roman"/>
      <w:kern w:val="2"/>
      <w:sz w:val="21"/>
      <w:szCs w:val="24"/>
    </w:rPr>
  </w:style>
  <w:style w:type="paragraph" w:styleId="39">
    <w:name w:val="index 1"/>
    <w:basedOn w:val="1"/>
    <w:next w:val="1"/>
    <w:qFormat/>
    <w:uiPriority w:val="0"/>
    <w:pPr>
      <w:jc w:val="center"/>
    </w:pPr>
    <w:rPr>
      <w:rFonts w:ascii="Arial" w:hAnsi="Arial" w:eastAsia="Arial" w:cs="Arial"/>
      <w:b/>
      <w:bCs/>
      <w:sz w:val="28"/>
    </w:rPr>
  </w:style>
  <w:style w:type="paragraph" w:styleId="40">
    <w:name w:val="Subtitle"/>
    <w:basedOn w:val="1"/>
    <w:link w:val="229"/>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117"/>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unhideWhenUsed/>
    <w:qFormat/>
    <w:uiPriority w:val="39"/>
    <w:pPr>
      <w:ind w:left="1050"/>
      <w:jc w:val="left"/>
    </w:pPr>
    <w:rPr>
      <w:rFonts w:ascii="Calibri" w:hAnsi="Calibri" w:cs="Calibri"/>
      <w:kern w:val="2"/>
      <w:sz w:val="18"/>
      <w:szCs w:val="18"/>
    </w:rPr>
  </w:style>
  <w:style w:type="paragraph" w:styleId="44">
    <w:name w:val="Body Text Indent 3"/>
    <w:basedOn w:val="1"/>
    <w:link w:val="136"/>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unhideWhenUsed/>
    <w:qFormat/>
    <w:uiPriority w:val="39"/>
    <w:pPr>
      <w:ind w:left="1680"/>
      <w:jc w:val="left"/>
    </w:pPr>
    <w:rPr>
      <w:rFonts w:ascii="Calibri" w:hAnsi="Calibri" w:cs="Calibri"/>
      <w:kern w:val="2"/>
      <w:sz w:val="18"/>
      <w:szCs w:val="18"/>
    </w:rPr>
  </w:style>
  <w:style w:type="paragraph" w:styleId="47">
    <w:name w:val="Body Text 2"/>
    <w:basedOn w:val="1"/>
    <w:link w:val="140"/>
    <w:qFormat/>
    <w:uiPriority w:val="0"/>
    <w:pPr>
      <w:spacing w:line="360" w:lineRule="auto"/>
    </w:pPr>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Message Header"/>
    <w:basedOn w:val="1"/>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44"/>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102"/>
    <w:unhideWhenUsed/>
    <w:qFormat/>
    <w:uiPriority w:val="0"/>
    <w:rPr>
      <w:rFonts w:ascii="宋体" w:hAnsi="宋体" w:eastAsia="宋体" w:cstheme="minorBidi"/>
      <w:b/>
      <w:bCs/>
    </w:rPr>
  </w:style>
  <w:style w:type="paragraph" w:styleId="54">
    <w:name w:val="Body Text First Indent"/>
    <w:basedOn w:val="19"/>
    <w:unhideWhenUsed/>
    <w:qFormat/>
    <w:uiPriority w:val="99"/>
    <w:pPr>
      <w:ind w:firstLine="420" w:firstLineChars="100"/>
    </w:pPr>
  </w:style>
  <w:style w:type="paragraph" w:styleId="55">
    <w:name w:val="Body Text First Indent 2"/>
    <w:basedOn w:val="20"/>
    <w:next w:val="54"/>
    <w:unhideWhenUsed/>
    <w:qFormat/>
    <w:uiPriority w:val="0"/>
    <w:pPr>
      <w:ind w:firstLine="420"/>
    </w:pPr>
    <w:rPr>
      <w:rFonts w:ascii="Calibri" w:hAnsi="Calibri"/>
    </w:rPr>
  </w:style>
  <w:style w:type="table" w:styleId="57">
    <w:name w:val="Table Grid"/>
    <w:basedOn w:val="5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qFormat/>
    <w:uiPriority w:val="0"/>
    <w:rPr>
      <w:b/>
      <w:bCs/>
    </w:rPr>
  </w:style>
  <w:style w:type="character" w:styleId="60">
    <w:name w:val="page number"/>
    <w:basedOn w:val="58"/>
    <w:qFormat/>
    <w:uiPriority w:val="0"/>
  </w:style>
  <w:style w:type="character" w:styleId="61">
    <w:name w:val="FollowedHyperlink"/>
    <w:basedOn w:val="58"/>
    <w:semiHidden/>
    <w:unhideWhenUsed/>
    <w:qFormat/>
    <w:uiPriority w:val="99"/>
    <w:rPr>
      <w:color w:val="800080" w:themeColor="followedHyperlink"/>
      <w:u w:val="single"/>
      <w14:textFill>
        <w14:solidFill>
          <w14:schemeClr w14:val="folHlink"/>
        </w14:solidFill>
      </w14:textFill>
    </w:rPr>
  </w:style>
  <w:style w:type="character" w:styleId="62">
    <w:name w:val="Emphasis"/>
    <w:qFormat/>
    <w:uiPriority w:val="0"/>
    <w:rPr>
      <w:color w:val="CC0033"/>
    </w:rPr>
  </w:style>
  <w:style w:type="character" w:styleId="63">
    <w:name w:val="HTML Definition"/>
    <w:basedOn w:val="58"/>
    <w:semiHidden/>
    <w:unhideWhenUsed/>
    <w:qFormat/>
    <w:uiPriority w:val="99"/>
  </w:style>
  <w:style w:type="character" w:styleId="64">
    <w:name w:val="HTML Typewriter"/>
    <w:basedOn w:val="58"/>
    <w:semiHidden/>
    <w:unhideWhenUsed/>
    <w:qFormat/>
    <w:uiPriority w:val="99"/>
    <w:rPr>
      <w:rFonts w:hint="default" w:ascii="monospace" w:hAnsi="monospace" w:eastAsia="monospace" w:cs="monospace"/>
      <w:sz w:val="20"/>
    </w:rPr>
  </w:style>
  <w:style w:type="character" w:styleId="65">
    <w:name w:val="HTML Acronym"/>
    <w:basedOn w:val="58"/>
    <w:semiHidden/>
    <w:unhideWhenUsed/>
    <w:qFormat/>
    <w:uiPriority w:val="99"/>
    <w:rPr>
      <w:shd w:val="clear" w:color="auto" w:fill="FFFFFF"/>
    </w:rPr>
  </w:style>
  <w:style w:type="character" w:styleId="66">
    <w:name w:val="HTML Variable"/>
    <w:basedOn w:val="58"/>
    <w:semiHidden/>
    <w:unhideWhenUsed/>
    <w:qFormat/>
    <w:uiPriority w:val="99"/>
  </w:style>
  <w:style w:type="character" w:styleId="67">
    <w:name w:val="Hyperlink"/>
    <w:basedOn w:val="58"/>
    <w:unhideWhenUsed/>
    <w:qFormat/>
    <w:uiPriority w:val="99"/>
    <w:rPr>
      <w:color w:val="0000FF" w:themeColor="hyperlink"/>
      <w:u w:val="single"/>
      <w14:textFill>
        <w14:solidFill>
          <w14:schemeClr w14:val="hlink"/>
        </w14:solidFill>
      </w14:textFill>
    </w:rPr>
  </w:style>
  <w:style w:type="character" w:styleId="68">
    <w:name w:val="HTML Code"/>
    <w:basedOn w:val="58"/>
    <w:semiHidden/>
    <w:unhideWhenUsed/>
    <w:qFormat/>
    <w:uiPriority w:val="99"/>
    <w:rPr>
      <w:rFonts w:hint="default" w:ascii="monospace" w:hAnsi="monospace" w:eastAsia="monospace" w:cs="monospace"/>
      <w:sz w:val="20"/>
    </w:rPr>
  </w:style>
  <w:style w:type="character" w:styleId="69">
    <w:name w:val="annotation reference"/>
    <w:basedOn w:val="58"/>
    <w:unhideWhenUsed/>
    <w:qFormat/>
    <w:uiPriority w:val="0"/>
    <w:rPr>
      <w:sz w:val="21"/>
      <w:szCs w:val="21"/>
    </w:rPr>
  </w:style>
  <w:style w:type="character" w:styleId="70">
    <w:name w:val="HTML Cite"/>
    <w:basedOn w:val="58"/>
    <w:semiHidden/>
    <w:unhideWhenUsed/>
    <w:qFormat/>
    <w:uiPriority w:val="99"/>
  </w:style>
  <w:style w:type="character" w:styleId="71">
    <w:name w:val="footnote reference"/>
    <w:unhideWhenUsed/>
    <w:qFormat/>
    <w:uiPriority w:val="0"/>
    <w:rPr>
      <w:vertAlign w:val="superscript"/>
    </w:rPr>
  </w:style>
  <w:style w:type="character" w:styleId="72">
    <w:name w:val="HTML Keyboard"/>
    <w:basedOn w:val="58"/>
    <w:semiHidden/>
    <w:unhideWhenUsed/>
    <w:qFormat/>
    <w:uiPriority w:val="99"/>
    <w:rPr>
      <w:rFonts w:hint="default" w:ascii="monospace" w:hAnsi="monospace" w:eastAsia="monospace" w:cs="monospace"/>
      <w:vanish/>
      <w:sz w:val="20"/>
    </w:rPr>
  </w:style>
  <w:style w:type="character" w:styleId="73">
    <w:name w:val="HTML Sample"/>
    <w:qFormat/>
    <w:uiPriority w:val="0"/>
    <w:rPr>
      <w:rFonts w:hint="default" w:ascii="monospace" w:hAnsi="monospace" w:eastAsia="monospace" w:cs="monospace"/>
      <w:sz w:val="21"/>
      <w:szCs w:val="21"/>
    </w:rPr>
  </w:style>
  <w:style w:type="character" w:customStyle="1" w:styleId="74">
    <w:name w:val="批注框文本 Char"/>
    <w:basedOn w:val="58"/>
    <w:link w:val="32"/>
    <w:qFormat/>
    <w:uiPriority w:val="0"/>
    <w:rPr>
      <w:rFonts w:ascii="@仿宋_GB2312" w:hAnsi="@仿宋_GB2312" w:eastAsia="@仿宋_GB2312" w:cs="@仿宋_GB2312"/>
      <w:sz w:val="18"/>
      <w:szCs w:val="18"/>
    </w:rPr>
  </w:style>
  <w:style w:type="paragraph" w:customStyle="1" w:styleId="75">
    <w:name w:val="正文（缩进）"/>
    <w:basedOn w:val="1"/>
    <w:qFormat/>
    <w:uiPriority w:val="0"/>
    <w:pPr>
      <w:widowControl/>
      <w:spacing w:before="156" w:after="156"/>
      <w:ind w:firstLine="480" w:firstLineChars="200"/>
      <w:jc w:val="left"/>
    </w:pPr>
    <w:rPr>
      <w:sz w:val="24"/>
      <w:szCs w:val="24"/>
    </w:rPr>
  </w:style>
  <w:style w:type="paragraph" w:customStyle="1" w:styleId="76">
    <w:name w:val="xl31"/>
    <w:basedOn w:val="1"/>
    <w:qFormat/>
    <w:uiPriority w:val="0"/>
    <w:pPr>
      <w:widowControl/>
      <w:spacing w:before="100" w:beforeAutospacing="1" w:after="100" w:afterAutospacing="1"/>
      <w:jc w:val="center"/>
    </w:pPr>
    <w:rPr>
      <w:b/>
      <w:bCs/>
      <w:sz w:val="28"/>
      <w:szCs w:val="28"/>
    </w:rPr>
  </w:style>
  <w:style w:type="paragraph" w:customStyle="1" w:styleId="77">
    <w:name w:val="D&amp;L"/>
    <w:basedOn w:val="34"/>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8">
    <w:name w:val="页眉 Char"/>
    <w:basedOn w:val="58"/>
    <w:link w:val="34"/>
    <w:qFormat/>
    <w:uiPriority w:val="99"/>
    <w:rPr>
      <w:rFonts w:ascii="@仿宋_GB2312" w:hAnsi="@仿宋_GB2312" w:eastAsia="@仿宋_GB2312" w:cs="@仿宋_GB2312"/>
      <w:sz w:val="18"/>
      <w:szCs w:val="18"/>
    </w:rPr>
  </w:style>
  <w:style w:type="character" w:customStyle="1" w:styleId="79">
    <w:name w:val="页脚 Char"/>
    <w:basedOn w:val="58"/>
    <w:link w:val="33"/>
    <w:qFormat/>
    <w:uiPriority w:val="99"/>
    <w:rPr>
      <w:rFonts w:ascii="@仿宋_GB2312" w:hAnsi="@仿宋_GB2312" w:eastAsia="@仿宋_GB2312" w:cs="@仿宋_GB2312"/>
      <w:sz w:val="18"/>
      <w:szCs w:val="18"/>
    </w:rPr>
  </w:style>
  <w:style w:type="character" w:customStyle="1" w:styleId="80">
    <w:name w:val="纯文本 Char"/>
    <w:link w:val="28"/>
    <w:qFormat/>
    <w:uiPriority w:val="0"/>
    <w:rPr>
      <w:rFonts w:ascii="宋体" w:hAnsi="Courier New"/>
    </w:rPr>
  </w:style>
  <w:style w:type="character" w:customStyle="1" w:styleId="81">
    <w:name w:val="纯文本 字符1"/>
    <w:basedOn w:val="58"/>
    <w:semiHidden/>
    <w:qFormat/>
    <w:uiPriority w:val="99"/>
    <w:rPr>
      <w:rFonts w:hAnsi="Courier New" w:cs="Courier New" w:asciiTheme="minorEastAsia"/>
      <w:szCs w:val="20"/>
    </w:rPr>
  </w:style>
  <w:style w:type="character" w:customStyle="1" w:styleId="82">
    <w:name w:val="未处理的提及1"/>
    <w:basedOn w:val="58"/>
    <w:semiHidden/>
    <w:unhideWhenUsed/>
    <w:qFormat/>
    <w:uiPriority w:val="99"/>
    <w:rPr>
      <w:color w:val="605E5C"/>
      <w:shd w:val="clear" w:color="auto" w:fill="E1DFDD"/>
    </w:rPr>
  </w:style>
  <w:style w:type="paragraph" w:styleId="83">
    <w:name w:val="List Paragraph"/>
    <w:basedOn w:val="1"/>
    <w:qFormat/>
    <w:uiPriority w:val="34"/>
    <w:pPr>
      <w:ind w:firstLine="420" w:firstLineChars="200"/>
    </w:pPr>
  </w:style>
  <w:style w:type="paragraph" w:customStyle="1" w:styleId="84">
    <w:name w:val="Char Char Char Char Char Char Char1 Char"/>
    <w:basedOn w:val="1"/>
    <w:qFormat/>
    <w:uiPriority w:val="0"/>
    <w:rPr>
      <w:rFonts w:ascii="Arial" w:hAnsi="Arial" w:cs="Arial"/>
      <w:sz w:val="24"/>
    </w:rPr>
  </w:style>
  <w:style w:type="table" w:customStyle="1" w:styleId="85">
    <w:name w:val="网格表 1 浅色1"/>
    <w:basedOn w:val="5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6">
    <w:name w:val="日期 字符"/>
    <w:basedOn w:val="58"/>
    <w:semiHidden/>
    <w:qFormat/>
    <w:uiPriority w:val="99"/>
    <w:rPr>
      <w:rFonts w:ascii="@仿宋_GB2312" w:hAnsi="@仿宋_GB2312" w:eastAsia="@仿宋_GB2312" w:cs="@仿宋_GB2312"/>
      <w:szCs w:val="20"/>
    </w:rPr>
  </w:style>
  <w:style w:type="character" w:customStyle="1" w:styleId="87">
    <w:name w:val="日期 Char"/>
    <w:link w:val="30"/>
    <w:qFormat/>
    <w:uiPriority w:val="0"/>
    <w:rPr>
      <w:rFonts w:ascii="Arial" w:hAnsi="Arial" w:eastAsia="宋体" w:cs="Arial"/>
      <w:b/>
      <w:sz w:val="28"/>
      <w:szCs w:val="20"/>
    </w:rPr>
  </w:style>
  <w:style w:type="character" w:customStyle="1" w:styleId="88">
    <w:name w:val="纯文本 Char1"/>
    <w:link w:val="89"/>
    <w:qFormat/>
    <w:locked/>
    <w:uiPriority w:val="99"/>
    <w:rPr>
      <w:rFonts w:ascii="Arial" w:hAnsi="Arial" w:eastAsia="Arial"/>
      <w:kern w:val="2"/>
      <w:sz w:val="21"/>
      <w:lang w:val="en-US" w:eastAsia="zh-CN" w:bidi="ar-SA"/>
    </w:rPr>
  </w:style>
  <w:style w:type="paragraph" w:customStyle="1" w:styleId="89">
    <w:name w:val="纯文本1"/>
    <w:basedOn w:val="1"/>
    <w:link w:val="88"/>
    <w:qFormat/>
    <w:uiPriority w:val="0"/>
    <w:rPr>
      <w:rFonts w:ascii="Arial" w:hAnsi="Arial" w:eastAsia="Arial"/>
    </w:rPr>
  </w:style>
  <w:style w:type="character" w:customStyle="1" w:styleId="90">
    <w:name w:val="批注文字 Char"/>
    <w:basedOn w:val="58"/>
    <w:qFormat/>
    <w:uiPriority w:val="0"/>
    <w:rPr>
      <w:rFonts w:ascii="@仿宋_GB2312" w:hAnsi="@仿宋_GB2312" w:eastAsia="@仿宋_GB2312" w:cs="@仿宋_GB2312"/>
      <w:szCs w:val="20"/>
    </w:rPr>
  </w:style>
  <w:style w:type="character" w:customStyle="1" w:styleId="91">
    <w:name w:val="批注文字 Char1"/>
    <w:link w:val="16"/>
    <w:qFormat/>
    <w:uiPriority w:val="0"/>
    <w:rPr>
      <w:rFonts w:ascii="Arial" w:hAnsi="Arial" w:eastAsia="黑体" w:cs="Arial"/>
      <w:szCs w:val="20"/>
    </w:rPr>
  </w:style>
  <w:style w:type="character" w:customStyle="1" w:styleId="92">
    <w:name w:val="标题 1 Char"/>
    <w:basedOn w:val="58"/>
    <w:link w:val="2"/>
    <w:qFormat/>
    <w:uiPriority w:val="0"/>
    <w:rPr>
      <w:rFonts w:ascii="@仿宋_GB2312" w:hAnsi="@仿宋_GB2312" w:eastAsia="@仿宋_GB2312" w:cs="@仿宋_GB2312"/>
      <w:b/>
      <w:bCs/>
      <w:kern w:val="44"/>
      <w:sz w:val="44"/>
      <w:szCs w:val="44"/>
    </w:rPr>
  </w:style>
  <w:style w:type="paragraph" w:customStyle="1" w:styleId="93">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4">
    <w:name w:val="标题 3 Char"/>
    <w:basedOn w:val="58"/>
    <w:link w:val="4"/>
    <w:qFormat/>
    <w:uiPriority w:val="0"/>
    <w:rPr>
      <w:rFonts w:ascii="@仿宋_GB2312" w:hAnsi="@仿宋_GB2312" w:eastAsia="@仿宋_GB2312" w:cs="@仿宋_GB2312"/>
      <w:b/>
      <w:bCs/>
      <w:sz w:val="32"/>
      <w:szCs w:val="32"/>
    </w:rPr>
  </w:style>
  <w:style w:type="character" w:customStyle="1" w:styleId="95">
    <w:name w:val="fontstyle01"/>
    <w:basedOn w:val="58"/>
    <w:qFormat/>
    <w:uiPriority w:val="0"/>
    <w:rPr>
      <w:rFonts w:hint="eastAsia" w:ascii="宋体" w:hAnsi="宋体" w:eastAsia="宋体"/>
      <w:color w:val="000000"/>
      <w:sz w:val="22"/>
      <w:szCs w:val="22"/>
    </w:rPr>
  </w:style>
  <w:style w:type="character" w:customStyle="1" w:styleId="96">
    <w:name w:val="fontstyle21"/>
    <w:basedOn w:val="58"/>
    <w:qFormat/>
    <w:uiPriority w:val="0"/>
    <w:rPr>
      <w:rFonts w:hint="default" w:ascii="TimesNewRomanPSMT" w:hAnsi="TimesNewRomanPSMT"/>
      <w:color w:val="000000"/>
      <w:sz w:val="22"/>
      <w:szCs w:val="22"/>
    </w:rPr>
  </w:style>
  <w:style w:type="character" w:customStyle="1" w:styleId="97">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8">
    <w:name w:val="标题 4 字符"/>
    <w:basedOn w:val="58"/>
    <w:semiHidden/>
    <w:qFormat/>
    <w:uiPriority w:val="9"/>
    <w:rPr>
      <w:rFonts w:asciiTheme="majorHAnsi" w:hAnsiTheme="majorHAnsi" w:eastAsiaTheme="majorEastAsia" w:cstheme="majorBidi"/>
      <w:b/>
      <w:bCs/>
      <w:sz w:val="28"/>
      <w:szCs w:val="28"/>
    </w:rPr>
  </w:style>
  <w:style w:type="character" w:customStyle="1" w:styleId="99">
    <w:name w:val="标题 4 Char"/>
    <w:link w:val="5"/>
    <w:qFormat/>
    <w:uiPriority w:val="0"/>
    <w:rPr>
      <w:rFonts w:ascii="@仿宋_GB2312" w:hAnsi="@仿宋_GB2312" w:eastAsia="@仿宋_GB2312" w:cs="@仿宋_GB2312"/>
      <w:b/>
      <w:bCs/>
      <w:sz w:val="28"/>
      <w:szCs w:val="28"/>
    </w:rPr>
  </w:style>
  <w:style w:type="character" w:customStyle="1" w:styleId="100">
    <w:name w:val="正文文本 Char"/>
    <w:basedOn w:val="58"/>
    <w:link w:val="19"/>
    <w:qFormat/>
    <w:uiPriority w:val="0"/>
    <w:rPr>
      <w:rFonts w:ascii="@微软简标宋" w:hAnsi="@微软简标宋" w:eastAsia="@微软简标宋" w:cs="@微软简标宋"/>
      <w:szCs w:val="24"/>
      <w:lang w:val="zh-CN" w:eastAsia="zh-CN"/>
    </w:rPr>
  </w:style>
  <w:style w:type="table" w:customStyle="1" w:styleId="101">
    <w:name w:val="网格型1"/>
    <w:basedOn w:val="5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批注主题 Char"/>
    <w:basedOn w:val="91"/>
    <w:link w:val="53"/>
    <w:qFormat/>
    <w:uiPriority w:val="0"/>
    <w:rPr>
      <w:rFonts w:ascii="Arial" w:hAnsi="Arial" w:eastAsia="黑体" w:cs="Arial"/>
      <w:b/>
      <w:bCs/>
      <w:szCs w:val="20"/>
    </w:rPr>
  </w:style>
  <w:style w:type="paragraph" w:customStyle="1" w:styleId="103">
    <w:name w:val="普通 (Web)"/>
    <w:basedOn w:val="1"/>
    <w:qFormat/>
    <w:uiPriority w:val="0"/>
    <w:pPr>
      <w:widowControl/>
      <w:spacing w:before="100" w:beforeAutospacing="1" w:after="100" w:afterAutospacing="1"/>
      <w:jc w:val="left"/>
    </w:pPr>
    <w:rPr>
      <w:rFonts w:cs="Times New Roman"/>
      <w:sz w:val="24"/>
      <w:szCs w:val="24"/>
    </w:rPr>
  </w:style>
  <w:style w:type="table" w:customStyle="1" w:styleId="104">
    <w:name w:val="网格型2"/>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5">
    <w:name w:val="标题 2 Char"/>
    <w:basedOn w:val="58"/>
    <w:link w:val="3"/>
    <w:qFormat/>
    <w:uiPriority w:val="0"/>
    <w:rPr>
      <w:rFonts w:ascii="Cambria" w:hAnsi="Cambria" w:cs="Times New Roman"/>
      <w:b/>
      <w:bCs/>
      <w:kern w:val="2"/>
      <w:sz w:val="32"/>
      <w:szCs w:val="32"/>
      <w:lang w:val="zh-CN" w:eastAsia="zh-CN"/>
    </w:rPr>
  </w:style>
  <w:style w:type="character" w:customStyle="1" w:styleId="106">
    <w:name w:val="标题 5 Char"/>
    <w:basedOn w:val="58"/>
    <w:link w:val="6"/>
    <w:qFormat/>
    <w:uiPriority w:val="0"/>
    <w:rPr>
      <w:rFonts w:ascii="Calibri" w:hAnsi="Calibri" w:cs="Times New Roman"/>
      <w:b/>
      <w:bCs/>
      <w:kern w:val="2"/>
      <w:sz w:val="28"/>
      <w:szCs w:val="28"/>
      <w:lang w:val="zh-CN" w:eastAsia="zh-CN"/>
    </w:rPr>
  </w:style>
  <w:style w:type="character" w:customStyle="1" w:styleId="107">
    <w:name w:val="标题 6 Char"/>
    <w:basedOn w:val="58"/>
    <w:link w:val="7"/>
    <w:qFormat/>
    <w:uiPriority w:val="0"/>
    <w:rPr>
      <w:rFonts w:ascii="Times New Roman" w:hAnsi="Times New Roman" w:cs="Times New Roman"/>
      <w:b/>
      <w:bCs/>
      <w:kern w:val="2"/>
      <w:sz w:val="30"/>
      <w:szCs w:val="18"/>
      <w:lang w:val="zh-CN" w:eastAsia="zh-CN"/>
    </w:rPr>
  </w:style>
  <w:style w:type="character" w:customStyle="1" w:styleId="108">
    <w:name w:val="标题 7 Char"/>
    <w:basedOn w:val="58"/>
    <w:link w:val="8"/>
    <w:qFormat/>
    <w:uiPriority w:val="0"/>
    <w:rPr>
      <w:rFonts w:ascii="Times New Roman" w:hAnsi="Times New Roman" w:cs="Times New Roman"/>
      <w:b/>
      <w:bCs/>
      <w:kern w:val="2"/>
      <w:sz w:val="30"/>
      <w:szCs w:val="18"/>
      <w:lang w:val="zh-CN" w:eastAsia="zh-CN"/>
    </w:rPr>
  </w:style>
  <w:style w:type="character" w:customStyle="1" w:styleId="109">
    <w:name w:val="标题 8 Char"/>
    <w:basedOn w:val="58"/>
    <w:link w:val="9"/>
    <w:qFormat/>
    <w:uiPriority w:val="0"/>
    <w:rPr>
      <w:rFonts w:eastAsia="黑体" w:cs="Times New Roman"/>
      <w:kern w:val="2"/>
      <w:sz w:val="32"/>
      <w:szCs w:val="32"/>
      <w:lang w:val="zh-CN" w:eastAsia="zh-CN"/>
    </w:rPr>
  </w:style>
  <w:style w:type="character" w:customStyle="1" w:styleId="110">
    <w:name w:val="标题 9 Char"/>
    <w:basedOn w:val="58"/>
    <w:link w:val="10"/>
    <w:qFormat/>
    <w:uiPriority w:val="0"/>
    <w:rPr>
      <w:rFonts w:ascii="Cambria" w:hAnsi="Cambria" w:cs="Times New Roman"/>
      <w:kern w:val="2"/>
      <w:sz w:val="21"/>
      <w:szCs w:val="21"/>
      <w:lang w:val="zh-CN" w:eastAsia="zh-CN"/>
    </w:rPr>
  </w:style>
  <w:style w:type="character" w:customStyle="1" w:styleId="111">
    <w:name w:val="纯文本 Char2"/>
    <w:qFormat/>
    <w:uiPriority w:val="0"/>
    <w:rPr>
      <w:rFonts w:ascii="宋体" w:hAnsi="Courier New"/>
    </w:rPr>
  </w:style>
  <w:style w:type="table" w:customStyle="1" w:styleId="112">
    <w:name w:val="网格型3"/>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表 1 浅色11"/>
    <w:basedOn w:val="56"/>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正文文本缩进 Char"/>
    <w:basedOn w:val="58"/>
    <w:link w:val="20"/>
    <w:qFormat/>
    <w:uiPriority w:val="0"/>
    <w:rPr>
      <w:rFonts w:asciiTheme="minorHAnsi" w:hAnsiTheme="minorHAnsi"/>
      <w:kern w:val="2"/>
      <w:sz w:val="21"/>
      <w:szCs w:val="22"/>
    </w:rPr>
  </w:style>
  <w:style w:type="paragraph" w:customStyle="1" w:styleId="116">
    <w:name w:val="Char"/>
    <w:basedOn w:val="1"/>
    <w:qFormat/>
    <w:uiPriority w:val="0"/>
    <w:rPr>
      <w:rFonts w:ascii="Tahoma" w:hAnsi="Tahoma" w:cs="Times New Roman"/>
      <w:sz w:val="24"/>
    </w:rPr>
  </w:style>
  <w:style w:type="character" w:customStyle="1" w:styleId="117">
    <w:name w:val="脚注文本 Char"/>
    <w:basedOn w:val="58"/>
    <w:link w:val="42"/>
    <w:qFormat/>
    <w:uiPriority w:val="0"/>
    <w:rPr>
      <w:rFonts w:ascii="Times New Roman" w:hAnsi="Times New Roman" w:cs="Times New Roman"/>
      <w:kern w:val="2"/>
      <w:sz w:val="18"/>
      <w:szCs w:val="18"/>
      <w:lang w:val="zh-CN" w:eastAsia="zh-CN"/>
    </w:rPr>
  </w:style>
  <w:style w:type="paragraph" w:customStyle="1" w:styleId="118">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Normal_2"/>
    <w:qFormat/>
    <w:uiPriority w:val="0"/>
    <w:rPr>
      <w:rFonts w:ascii="Times New Roman" w:hAnsi="Times New Roman" w:eastAsia="Times New Roman" w:cs="Times New Roman"/>
      <w:sz w:val="24"/>
      <w:szCs w:val="24"/>
      <w:lang w:val="en-US" w:eastAsia="zh-CN" w:bidi="ar-SA"/>
    </w:rPr>
  </w:style>
  <w:style w:type="character" w:customStyle="1" w:styleId="121">
    <w:name w:val="称呼 Char"/>
    <w:basedOn w:val="58"/>
    <w:link w:val="17"/>
    <w:qFormat/>
    <w:uiPriority w:val="0"/>
    <w:rPr>
      <w:rFonts w:ascii="仿宋_GB2312" w:hAnsi="Times New Roman" w:eastAsia="仿宋_GB2312" w:cs="Times New Roman"/>
      <w:kern w:val="2"/>
      <w:sz w:val="28"/>
      <w:lang w:val="zh-CN" w:eastAsia="zh-CN"/>
    </w:rPr>
  </w:style>
  <w:style w:type="paragraph" w:customStyle="1" w:styleId="12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3">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qFormat/>
    <w:uiPriority w:val="0"/>
    <w:rPr>
      <w:rFonts w:ascii="Times New Roman" w:hAnsi="Times New Roman" w:eastAsia="Times New Roman" w:cs="Times New Roman"/>
      <w:sz w:val="24"/>
      <w:szCs w:val="24"/>
      <w:lang w:val="en-US" w:eastAsia="zh-CN" w:bidi="ar-SA"/>
    </w:rPr>
  </w:style>
  <w:style w:type="paragraph" w:customStyle="1" w:styleId="128">
    <w:name w:val="Normal_3"/>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qFormat/>
    <w:uiPriority w:val="0"/>
    <w:rPr>
      <w:rFonts w:ascii="Tahoma" w:hAnsi="Tahoma" w:cs="Times New Roman"/>
      <w:kern w:val="2"/>
      <w:sz w:val="24"/>
    </w:rPr>
  </w:style>
  <w:style w:type="paragraph" w:customStyle="1" w:styleId="130">
    <w:name w:val="Blockquote"/>
    <w:basedOn w:val="1"/>
    <w:link w:val="131"/>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qFormat/>
    <w:uiPriority w:val="0"/>
    <w:rPr>
      <w:rFonts w:ascii="Times New Roman" w:hAnsi="Times New Roman" w:cs="Times New Roman"/>
      <w:sz w:val="24"/>
      <w:lang w:val="zh-CN" w:eastAsia="zh-CN"/>
    </w:rPr>
  </w:style>
  <w:style w:type="paragraph" w:customStyle="1" w:styleId="132">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33">
    <w:name w:val="样式1"/>
    <w:basedOn w:val="1"/>
    <w:next w:val="5"/>
    <w:qFormat/>
    <w:uiPriority w:val="0"/>
    <w:pPr>
      <w:spacing w:line="360" w:lineRule="auto"/>
      <w:ind w:firstLine="420" w:firstLineChars="200"/>
    </w:pPr>
    <w:rPr>
      <w:rFonts w:cs="Times New Roman"/>
      <w:kern w:val="2"/>
      <w:sz w:val="21"/>
      <w:szCs w:val="21"/>
    </w:rPr>
  </w:style>
  <w:style w:type="character" w:customStyle="1" w:styleId="134">
    <w:name w:val="tdrownotice1"/>
    <w:qFormat/>
    <w:uiPriority w:val="0"/>
    <w:rPr>
      <w:sz w:val="22"/>
    </w:rPr>
  </w:style>
  <w:style w:type="paragraph" w:customStyle="1" w:styleId="135">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36">
    <w:name w:val="正文文本缩进 3 Char"/>
    <w:basedOn w:val="58"/>
    <w:link w:val="44"/>
    <w:qFormat/>
    <w:uiPriority w:val="0"/>
    <w:rPr>
      <w:rFonts w:hAnsi="MS Sans Serif" w:cs="Times New Roman"/>
      <w:bCs/>
      <w:color w:val="000000"/>
      <w:sz w:val="24"/>
      <w:lang w:val="zh-CN" w:eastAsia="zh-CN"/>
    </w:rPr>
  </w:style>
  <w:style w:type="character" w:customStyle="1" w:styleId="137">
    <w:name w:val="正文文本缩进 2 Char"/>
    <w:basedOn w:val="58"/>
    <w:link w:val="31"/>
    <w:qFormat/>
    <w:uiPriority w:val="0"/>
    <w:rPr>
      <w:rFonts w:hAnsi="MS Sans Serif" w:cs="Times New Roman"/>
      <w:bCs/>
      <w:spacing w:val="12"/>
      <w:sz w:val="24"/>
      <w:lang w:val="zh-CN" w:eastAsia="zh-CN"/>
    </w:rPr>
  </w:style>
  <w:style w:type="paragraph" w:customStyle="1" w:styleId="138">
    <w:name w:val="目录"/>
    <w:basedOn w:val="1"/>
    <w:qFormat/>
    <w:uiPriority w:val="0"/>
    <w:pPr>
      <w:widowControl/>
      <w:jc w:val="center"/>
    </w:pPr>
    <w:rPr>
      <w:rFonts w:hAnsi="Calibri" w:cs="Times New Roman"/>
      <w:b/>
      <w:sz w:val="36"/>
    </w:rPr>
  </w:style>
  <w:style w:type="paragraph" w:customStyle="1" w:styleId="139">
    <w:name w:val="目录文字"/>
    <w:basedOn w:val="1"/>
    <w:qFormat/>
    <w:uiPriority w:val="0"/>
    <w:pPr>
      <w:widowControl/>
      <w:spacing w:line="480" w:lineRule="auto"/>
      <w:jc w:val="left"/>
    </w:pPr>
    <w:rPr>
      <w:rFonts w:cs="Times New Roman"/>
      <w:sz w:val="24"/>
    </w:rPr>
  </w:style>
  <w:style w:type="character" w:customStyle="1" w:styleId="140">
    <w:name w:val="正文文本 2 Char"/>
    <w:basedOn w:val="58"/>
    <w:link w:val="47"/>
    <w:qFormat/>
    <w:uiPriority w:val="0"/>
    <w:rPr>
      <w:rFonts w:hAnsi="Times New Roman" w:cs="Times New Roman"/>
      <w:spacing w:val="-20"/>
      <w:kern w:val="2"/>
      <w:sz w:val="28"/>
      <w:lang w:val="zh-CN" w:eastAsia="zh-CN"/>
    </w:rPr>
  </w:style>
  <w:style w:type="character" w:customStyle="1" w:styleId="141">
    <w:name w:val="正文文本 3 Char"/>
    <w:basedOn w:val="58"/>
    <w:link w:val="18"/>
    <w:qFormat/>
    <w:uiPriority w:val="0"/>
    <w:rPr>
      <w:rFonts w:ascii="仿宋_GB2312" w:eastAsia="仿宋_GB2312" w:cs="Times New Roman"/>
      <w:bCs/>
      <w:color w:val="000000"/>
      <w:kern w:val="2"/>
      <w:sz w:val="24"/>
      <w:szCs w:val="32"/>
      <w:lang w:val="zh-CN" w:eastAsia="zh-CN"/>
    </w:rPr>
  </w:style>
  <w:style w:type="paragraph" w:customStyle="1" w:styleId="14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4">
    <w:name w:val="标题 Char"/>
    <w:basedOn w:val="58"/>
    <w:link w:val="52"/>
    <w:qFormat/>
    <w:uiPriority w:val="0"/>
    <w:rPr>
      <w:rFonts w:eastAsia="黑体" w:cs="Times New Roman"/>
      <w:b/>
      <w:smallCaps/>
      <w:snapToGrid w:val="0"/>
      <w:kern w:val="2"/>
      <w:sz w:val="44"/>
      <w:szCs w:val="24"/>
      <w:lang w:val="zh-CN" w:eastAsia="zh-CN"/>
    </w:rPr>
  </w:style>
  <w:style w:type="paragraph" w:customStyle="1" w:styleId="145">
    <w:name w:val="段落1 Char"/>
    <w:basedOn w:val="28"/>
    <w:qFormat/>
    <w:uiPriority w:val="0"/>
    <w:pPr>
      <w:spacing w:line="360" w:lineRule="auto"/>
    </w:pPr>
    <w:rPr>
      <w:rFonts w:ascii="Times New Roman" w:hAnsi="Times New Roman" w:eastAsia="宋体" w:cs="Times New Roman"/>
      <w:kern w:val="2"/>
      <w:sz w:val="24"/>
      <w:szCs w:val="21"/>
      <w:lang w:val="zh-CN"/>
    </w:rPr>
  </w:style>
  <w:style w:type="paragraph" w:customStyle="1" w:styleId="146">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7">
    <w:name w:val="简单回函地址"/>
    <w:basedOn w:val="1"/>
    <w:qFormat/>
    <w:uiPriority w:val="0"/>
    <w:rPr>
      <w:rFonts w:ascii="Calibri" w:hAnsi="Calibri" w:cs="Times New Roman"/>
      <w:kern w:val="2"/>
      <w:sz w:val="21"/>
      <w:szCs w:val="22"/>
    </w:rPr>
  </w:style>
  <w:style w:type="paragraph" w:customStyle="1" w:styleId="148">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9">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50">
    <w:name w:val="t_tag"/>
    <w:basedOn w:val="58"/>
    <w:qFormat/>
    <w:uiPriority w:val="0"/>
  </w:style>
  <w:style w:type="table" w:customStyle="1" w:styleId="151">
    <w:name w:val="网格型11"/>
    <w:basedOn w:val="5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2">
    <w:name w:val="批注框文本 Char1"/>
    <w:basedOn w:val="58"/>
    <w:qFormat/>
    <w:uiPriority w:val="0"/>
    <w:rPr>
      <w:rFonts w:ascii="Times New Roman" w:hAnsi="Times New Roman" w:eastAsia="宋体" w:cs="Times New Roman"/>
      <w:sz w:val="18"/>
      <w:szCs w:val="18"/>
    </w:rPr>
  </w:style>
  <w:style w:type="character" w:customStyle="1" w:styleId="153">
    <w:name w:val="批注主题 Char1"/>
    <w:basedOn w:val="91"/>
    <w:qFormat/>
    <w:uiPriority w:val="0"/>
    <w:rPr>
      <w:rFonts w:ascii="@仿宋_GB2312" w:hAnsi="@仿宋_GB2312" w:eastAsia="@仿宋_GB2312" w:cs="@仿宋_GB2312"/>
      <w:b/>
      <w:bCs/>
      <w:szCs w:val="20"/>
    </w:rPr>
  </w:style>
  <w:style w:type="paragraph" w:customStyle="1" w:styleId="154">
    <w:name w:val="Char10 Char Char Char Char Char Char Char Char Char"/>
    <w:basedOn w:val="1"/>
    <w:next w:val="1"/>
    <w:qFormat/>
    <w:uiPriority w:val="0"/>
    <w:rPr>
      <w:rFonts w:ascii="Calibri" w:hAnsi="Calibri" w:cs="Times New Roman"/>
      <w:kern w:val="2"/>
      <w:sz w:val="21"/>
      <w:szCs w:val="22"/>
    </w:rPr>
  </w:style>
  <w:style w:type="character" w:customStyle="1" w:styleId="155">
    <w:name w:val="文档结构图 Char"/>
    <w:basedOn w:val="58"/>
    <w:link w:val="15"/>
    <w:qFormat/>
    <w:uiPriority w:val="0"/>
    <w:rPr>
      <w:rFonts w:ascii="Calibri" w:hAnsi="Calibri" w:cs="Times New Roman"/>
      <w:bCs/>
      <w:kern w:val="2"/>
      <w:sz w:val="21"/>
      <w:szCs w:val="32"/>
      <w:shd w:val="clear" w:color="auto" w:fill="000080"/>
      <w:lang w:val="zh-CN" w:eastAsia="zh-CN"/>
    </w:rPr>
  </w:style>
  <w:style w:type="character" w:customStyle="1" w:styleId="156">
    <w:name w:val="标题 1 Char1"/>
    <w:qFormat/>
    <w:uiPriority w:val="0"/>
    <w:rPr>
      <w:rFonts w:ascii="Calibri" w:hAnsi="Calibri" w:eastAsia="宋体"/>
      <w:b/>
      <w:kern w:val="44"/>
      <w:sz w:val="44"/>
      <w:szCs w:val="44"/>
    </w:rPr>
  </w:style>
  <w:style w:type="character" w:customStyle="1" w:styleId="157">
    <w:name w:val="标题 3 Char1"/>
    <w:semiHidden/>
    <w:qFormat/>
    <w:uiPriority w:val="0"/>
    <w:rPr>
      <w:rFonts w:ascii="Calibri" w:hAnsi="Calibri" w:eastAsia="宋体"/>
      <w:b/>
      <w:kern w:val="2"/>
      <w:sz w:val="32"/>
    </w:rPr>
  </w:style>
  <w:style w:type="character" w:customStyle="1" w:styleId="158">
    <w:name w:val="标题 4 Char1"/>
    <w:semiHidden/>
    <w:qFormat/>
    <w:uiPriority w:val="0"/>
    <w:rPr>
      <w:rFonts w:ascii="Cambria" w:hAnsi="Cambria" w:eastAsia="宋体"/>
      <w:b/>
      <w:kern w:val="2"/>
      <w:sz w:val="28"/>
      <w:szCs w:val="28"/>
    </w:rPr>
  </w:style>
  <w:style w:type="character" w:customStyle="1" w:styleId="159">
    <w:name w:val="标题 5 Char1"/>
    <w:semiHidden/>
    <w:qFormat/>
    <w:uiPriority w:val="0"/>
    <w:rPr>
      <w:rFonts w:ascii="Calibri" w:hAnsi="Calibri" w:eastAsia="宋体"/>
      <w:b/>
      <w:kern w:val="2"/>
      <w:sz w:val="28"/>
      <w:szCs w:val="28"/>
    </w:rPr>
  </w:style>
  <w:style w:type="character" w:customStyle="1" w:styleId="160">
    <w:name w:val="标题 6 Char1"/>
    <w:semiHidden/>
    <w:qFormat/>
    <w:uiPriority w:val="0"/>
    <w:rPr>
      <w:rFonts w:ascii="Cambria" w:hAnsi="Cambria" w:eastAsia="宋体"/>
      <w:b/>
      <w:kern w:val="2"/>
      <w:sz w:val="24"/>
      <w:szCs w:val="24"/>
    </w:rPr>
  </w:style>
  <w:style w:type="character" w:customStyle="1" w:styleId="161">
    <w:name w:val="标题 7 Char1"/>
    <w:semiHidden/>
    <w:qFormat/>
    <w:uiPriority w:val="0"/>
    <w:rPr>
      <w:rFonts w:ascii="Calibri" w:hAnsi="Calibri" w:eastAsia="宋体"/>
      <w:b/>
      <w:kern w:val="2"/>
      <w:sz w:val="24"/>
      <w:szCs w:val="24"/>
    </w:rPr>
  </w:style>
  <w:style w:type="character" w:customStyle="1" w:styleId="162">
    <w:name w:val="标题 8 Char1"/>
    <w:semiHidden/>
    <w:qFormat/>
    <w:uiPriority w:val="0"/>
    <w:rPr>
      <w:rFonts w:ascii="Cambria" w:hAnsi="Cambria" w:eastAsia="宋体"/>
      <w:kern w:val="2"/>
      <w:sz w:val="24"/>
      <w:szCs w:val="24"/>
    </w:rPr>
  </w:style>
  <w:style w:type="character" w:customStyle="1" w:styleId="163">
    <w:name w:val="标题 9 Char1"/>
    <w:semiHidden/>
    <w:qFormat/>
    <w:uiPriority w:val="0"/>
    <w:rPr>
      <w:rFonts w:ascii="Cambria" w:hAnsi="Cambria" w:eastAsia="宋体"/>
      <w:kern w:val="2"/>
      <w:sz w:val="21"/>
      <w:szCs w:val="21"/>
    </w:rPr>
  </w:style>
  <w:style w:type="paragraph" w:customStyle="1" w:styleId="164">
    <w:name w:val="MsoNormal"/>
    <w:basedOn w:val="165"/>
    <w:qFormat/>
    <w:uiPriority w:val="0"/>
    <w:rPr>
      <w:rFonts w:ascii="Calibri" w:hAnsi="Calibri" w:eastAsia="Calibri"/>
      <w:sz w:val="21"/>
    </w:rPr>
  </w:style>
  <w:style w:type="paragraph" w:customStyle="1" w:styleId="165">
    <w:name w:val="Normal_0"/>
    <w:qFormat/>
    <w:uiPriority w:val="0"/>
    <w:rPr>
      <w:rFonts w:ascii="Times New Roman" w:hAnsi="Times New Roman" w:eastAsia="宋体" w:cs="Times New Roman"/>
      <w:sz w:val="24"/>
      <w:szCs w:val="24"/>
      <w:lang w:val="en-US" w:eastAsia="zh-CN" w:bidi="ar-SA"/>
    </w:rPr>
  </w:style>
  <w:style w:type="paragraph" w:customStyle="1" w:styleId="166">
    <w:name w:val="标题 2_0"/>
    <w:basedOn w:val="167"/>
    <w:next w:val="168"/>
    <w:link w:val="169"/>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标题 2 Char_0"/>
    <w:link w:val="166"/>
    <w:qFormat/>
    <w:uiPriority w:val="0"/>
    <w:rPr>
      <w:rFonts w:ascii="黑体" w:eastAsia="黑体" w:cs="Times New Roman"/>
      <w:b/>
      <w:smallCaps/>
      <w:snapToGrid w:val="0"/>
      <w:sz w:val="36"/>
      <w:szCs w:val="24"/>
      <w:lang w:val="zh-CN" w:eastAsia="zh-CN"/>
    </w:rPr>
  </w:style>
  <w:style w:type="paragraph" w:customStyle="1" w:styleId="170">
    <w:name w:val="纯文本_0"/>
    <w:basedOn w:val="168"/>
    <w:link w:val="171"/>
    <w:qFormat/>
    <w:uiPriority w:val="99"/>
    <w:rPr>
      <w:rFonts w:ascii="宋体" w:hAnsi="Courier New"/>
      <w:szCs w:val="21"/>
    </w:rPr>
  </w:style>
  <w:style w:type="character" w:customStyle="1" w:styleId="171">
    <w:name w:val="Texte Char1"/>
    <w:link w:val="170"/>
    <w:qFormat/>
    <w:uiPriority w:val="99"/>
    <w:rPr>
      <w:rFonts w:hAnsi="Courier New" w:cs="Times New Roman"/>
      <w:kern w:val="2"/>
      <w:sz w:val="21"/>
      <w:szCs w:val="21"/>
    </w:rPr>
  </w:style>
  <w:style w:type="paragraph" w:customStyle="1" w:styleId="172">
    <w:name w:val="纯文本_1"/>
    <w:basedOn w:val="173"/>
    <w:link w:val="174"/>
    <w:qFormat/>
    <w:uiPriority w:val="0"/>
    <w:rPr>
      <w:rFonts w:ascii="宋体" w:hAnsi="Courier New"/>
      <w:szCs w:val="21"/>
      <w:lang w:val="zh-CN"/>
    </w:rPr>
  </w:style>
  <w:style w:type="paragraph" w:customStyle="1" w:styleId="17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4">
    <w:name w:val="纯文本 Char1_0"/>
    <w:link w:val="172"/>
    <w:qFormat/>
    <w:uiPriority w:val="0"/>
    <w:rPr>
      <w:rFonts w:hAnsi="Courier New" w:cs="Times New Roman"/>
      <w:kern w:val="2"/>
      <w:sz w:val="21"/>
      <w:szCs w:val="21"/>
      <w:lang w:val="zh-CN" w:eastAsia="zh-CN"/>
    </w:rPr>
  </w:style>
  <w:style w:type="paragraph" w:customStyle="1" w:styleId="175">
    <w:name w:val="标题 3_0"/>
    <w:basedOn w:val="176"/>
    <w:next w:val="177"/>
    <w:link w:val="188"/>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缩进_0"/>
    <w:basedOn w:val="176"/>
    <w:unhideWhenUsed/>
    <w:qFormat/>
    <w:uiPriority w:val="0"/>
    <w:pPr>
      <w:ind w:firstLine="420" w:firstLineChars="200"/>
    </w:pPr>
    <w:rPr>
      <w:rFonts w:ascii="Calibri" w:hAnsi="Calibri"/>
      <w:bCs/>
      <w:szCs w:val="32"/>
    </w:rPr>
  </w:style>
  <w:style w:type="paragraph" w:customStyle="1" w:styleId="178">
    <w:name w:val="标题 1_0"/>
    <w:basedOn w:val="176"/>
    <w:next w:val="176"/>
    <w:link w:val="179"/>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9">
    <w:name w:val="标题 1 Char_0"/>
    <w:link w:val="178"/>
    <w:qFormat/>
    <w:uiPriority w:val="0"/>
    <w:rPr>
      <w:rFonts w:ascii="黑体" w:hAnsi="Times New Roman" w:eastAsia="黑体" w:cs="Times New Roman"/>
      <w:sz w:val="52"/>
      <w:lang w:val="zh-CN" w:eastAsia="zh-CN"/>
    </w:rPr>
  </w:style>
  <w:style w:type="paragraph" w:customStyle="1" w:styleId="180">
    <w:name w:val="标题 6_0"/>
    <w:basedOn w:val="176"/>
    <w:next w:val="176"/>
    <w:link w:val="18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1">
    <w:name w:val="标题 6 Char_0"/>
    <w:link w:val="180"/>
    <w:qFormat/>
    <w:uiPriority w:val="0"/>
    <w:rPr>
      <w:rFonts w:ascii="Arial" w:hAnsi="Arial" w:eastAsia="黑体" w:cs="Times New Roman"/>
      <w:b/>
      <w:bCs/>
      <w:sz w:val="24"/>
      <w:szCs w:val="24"/>
      <w:lang w:val="zh-CN" w:eastAsia="zh-CN"/>
    </w:rPr>
  </w:style>
  <w:style w:type="paragraph" w:customStyle="1" w:styleId="182">
    <w:name w:val="标题 7_0"/>
    <w:basedOn w:val="176"/>
    <w:next w:val="176"/>
    <w:link w:val="183"/>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3">
    <w:name w:val="标题 7 Char_0"/>
    <w:link w:val="182"/>
    <w:qFormat/>
    <w:uiPriority w:val="0"/>
    <w:rPr>
      <w:rFonts w:ascii="Times New Roman" w:hAnsi="Times New Roman" w:cs="Times New Roman"/>
      <w:b/>
      <w:bCs/>
      <w:sz w:val="24"/>
      <w:szCs w:val="24"/>
      <w:lang w:val="zh-CN" w:eastAsia="zh-CN"/>
    </w:rPr>
  </w:style>
  <w:style w:type="paragraph" w:customStyle="1" w:styleId="184">
    <w:name w:val="标题 8_0"/>
    <w:basedOn w:val="176"/>
    <w:next w:val="176"/>
    <w:link w:val="185"/>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5">
    <w:name w:val="标题 8 Char_0"/>
    <w:link w:val="184"/>
    <w:qFormat/>
    <w:uiPriority w:val="0"/>
    <w:rPr>
      <w:rFonts w:ascii="Arial" w:hAnsi="Arial" w:eastAsia="黑体" w:cs="Times New Roman"/>
      <w:sz w:val="24"/>
      <w:szCs w:val="24"/>
      <w:lang w:val="zh-CN" w:eastAsia="zh-CN"/>
    </w:rPr>
  </w:style>
  <w:style w:type="paragraph" w:customStyle="1" w:styleId="186">
    <w:name w:val="标题 9_0"/>
    <w:basedOn w:val="176"/>
    <w:next w:val="176"/>
    <w:link w:val="187"/>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7">
    <w:name w:val="标题 9 Char_0"/>
    <w:link w:val="186"/>
    <w:qFormat/>
    <w:uiPriority w:val="0"/>
    <w:rPr>
      <w:rFonts w:ascii="Arial" w:hAnsi="Arial" w:eastAsia="黑体" w:cs="Times New Roman"/>
      <w:sz w:val="21"/>
      <w:szCs w:val="21"/>
      <w:lang w:val="zh-CN" w:eastAsia="zh-CN"/>
    </w:rPr>
  </w:style>
  <w:style w:type="character" w:customStyle="1" w:styleId="188">
    <w:name w:val="标题 3 Char_0"/>
    <w:link w:val="175"/>
    <w:qFormat/>
    <w:uiPriority w:val="0"/>
    <w:rPr>
      <w:rFonts w:ascii="Times New Roman" w:hAnsi="Times New Roman" w:cs="Times New Roman"/>
      <w:b/>
      <w:sz w:val="32"/>
      <w:lang w:val="zh-CN" w:eastAsia="zh-CN"/>
    </w:rPr>
  </w:style>
  <w:style w:type="paragraph" w:customStyle="1" w:styleId="189">
    <w:name w:val="Blockquote_0"/>
    <w:basedOn w:val="176"/>
    <w:link w:val="190"/>
    <w:qFormat/>
    <w:uiPriority w:val="0"/>
    <w:pPr>
      <w:autoSpaceDE w:val="0"/>
      <w:autoSpaceDN w:val="0"/>
      <w:adjustRightInd w:val="0"/>
      <w:spacing w:before="100" w:after="100"/>
      <w:ind w:left="360" w:right="360"/>
      <w:jc w:val="left"/>
    </w:pPr>
    <w:rPr>
      <w:kern w:val="0"/>
      <w:sz w:val="24"/>
      <w:szCs w:val="20"/>
      <w:lang w:val="zh-CN"/>
    </w:rPr>
  </w:style>
  <w:style w:type="character" w:customStyle="1" w:styleId="190">
    <w:name w:val="Blockquote Char_0"/>
    <w:link w:val="189"/>
    <w:qFormat/>
    <w:locked/>
    <w:uiPriority w:val="0"/>
    <w:rPr>
      <w:rFonts w:ascii="Times New Roman" w:hAnsi="Times New Roman" w:cs="Times New Roman"/>
      <w:sz w:val="24"/>
      <w:lang w:val="zh-CN" w:eastAsia="zh-CN"/>
    </w:rPr>
  </w:style>
  <w:style w:type="paragraph" w:customStyle="1" w:styleId="191">
    <w:name w:val="标题 4_0"/>
    <w:basedOn w:val="176"/>
    <w:next w:val="176"/>
    <w:link w:val="192"/>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2">
    <w:name w:val="标题 4 Char_0"/>
    <w:link w:val="191"/>
    <w:qFormat/>
    <w:uiPriority w:val="0"/>
    <w:rPr>
      <w:rFonts w:ascii="Arial" w:hAnsi="Arial" w:eastAsia="黑体" w:cs="Times New Roman"/>
      <w:sz w:val="28"/>
      <w:lang w:val="zh-CN" w:eastAsia="zh-CN"/>
    </w:rPr>
  </w:style>
  <w:style w:type="paragraph" w:customStyle="1" w:styleId="193">
    <w:name w:val="纯文本_2"/>
    <w:basedOn w:val="176"/>
    <w:link w:val="194"/>
    <w:qFormat/>
    <w:uiPriority w:val="0"/>
    <w:rPr>
      <w:rFonts w:ascii="宋体" w:hAnsi="Courier New"/>
      <w:szCs w:val="21"/>
      <w:lang w:val="zh-CN"/>
    </w:rPr>
  </w:style>
  <w:style w:type="character" w:customStyle="1" w:styleId="194">
    <w:name w:val="纯文本 Char1_1"/>
    <w:link w:val="193"/>
    <w:qFormat/>
    <w:uiPriority w:val="0"/>
    <w:rPr>
      <w:rFonts w:hAnsi="Courier New" w:cs="Times New Roman"/>
      <w:kern w:val="2"/>
      <w:sz w:val="21"/>
      <w:szCs w:val="21"/>
      <w:lang w:val="zh-CN" w:eastAsia="zh-CN"/>
    </w:rPr>
  </w:style>
  <w:style w:type="paragraph" w:customStyle="1" w:styleId="195">
    <w:name w:val="Blockquote_0_1"/>
    <w:basedOn w:val="196"/>
    <w:link w:val="197"/>
    <w:qFormat/>
    <w:uiPriority w:val="0"/>
    <w:pPr>
      <w:autoSpaceDE w:val="0"/>
      <w:autoSpaceDN w:val="0"/>
      <w:adjustRightInd w:val="0"/>
      <w:spacing w:before="100" w:after="100"/>
      <w:ind w:left="360" w:right="360"/>
      <w:jc w:val="left"/>
    </w:pPr>
    <w:rPr>
      <w:kern w:val="0"/>
      <w:sz w:val="24"/>
      <w:szCs w:val="20"/>
      <w:lang w:val="zh-CN"/>
    </w:rPr>
  </w:style>
  <w:style w:type="paragraph" w:customStyle="1" w:styleId="19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7">
    <w:name w:val="Blockquote Char_0_1"/>
    <w:link w:val="195"/>
    <w:qFormat/>
    <w:locked/>
    <w:uiPriority w:val="0"/>
    <w:rPr>
      <w:rFonts w:ascii="Times New Roman" w:hAnsi="Times New Roman" w:cs="Times New Roman"/>
      <w:sz w:val="24"/>
      <w:lang w:val="zh-CN" w:eastAsia="zh-CN"/>
    </w:rPr>
  </w:style>
  <w:style w:type="paragraph" w:customStyle="1" w:styleId="198">
    <w:name w:val="正文文本_0"/>
    <w:basedOn w:val="176"/>
    <w:link w:val="199"/>
    <w:qFormat/>
    <w:uiPriority w:val="0"/>
    <w:pPr>
      <w:spacing w:after="120"/>
    </w:pPr>
    <w:rPr>
      <w:lang w:val="zh-CN"/>
    </w:rPr>
  </w:style>
  <w:style w:type="character" w:customStyle="1" w:styleId="199">
    <w:name w:val="正文文本 Char_0"/>
    <w:link w:val="198"/>
    <w:qFormat/>
    <w:uiPriority w:val="0"/>
    <w:rPr>
      <w:rFonts w:ascii="Times New Roman" w:hAnsi="Times New Roman" w:cs="Times New Roman"/>
      <w:kern w:val="2"/>
      <w:sz w:val="21"/>
      <w:szCs w:val="24"/>
      <w:lang w:val="zh-CN" w:eastAsia="zh-CN"/>
    </w:rPr>
  </w:style>
  <w:style w:type="paragraph" w:customStyle="1" w:styleId="200">
    <w:name w:val="普通(网站)_0"/>
    <w:basedOn w:val="176"/>
    <w:qFormat/>
    <w:uiPriority w:val="0"/>
    <w:pPr>
      <w:widowControl/>
      <w:spacing w:before="100" w:beforeAutospacing="1" w:after="100" w:afterAutospacing="1"/>
      <w:jc w:val="left"/>
    </w:pPr>
    <w:rPr>
      <w:rFonts w:ascii="宋体" w:hAnsi="宋体"/>
      <w:kern w:val="0"/>
      <w:sz w:val="24"/>
    </w:rPr>
  </w:style>
  <w:style w:type="paragraph" w:customStyle="1" w:styleId="20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脚注文本_0"/>
    <w:basedOn w:val="124"/>
    <w:link w:val="204"/>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4">
    <w:name w:val="脚注文本 Char_0"/>
    <w:link w:val="203"/>
    <w:qFormat/>
    <w:uiPriority w:val="0"/>
    <w:rPr>
      <w:rFonts w:ascii="Times New Roman" w:hAnsi="Times New Roman" w:cs="Times New Roman"/>
      <w:sz w:val="18"/>
      <w:lang w:val="zh-CN" w:eastAsia="zh-CN"/>
    </w:rPr>
  </w:style>
  <w:style w:type="paragraph" w:customStyle="1" w:styleId="205">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1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2">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3">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24">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5">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26">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7">
    <w:name w:val="Char Char Char Char Char"/>
    <w:basedOn w:val="1"/>
    <w:qFormat/>
    <w:uiPriority w:val="0"/>
    <w:rPr>
      <w:rFonts w:ascii="Tahoma" w:hAnsi="Tahoma" w:cs="Times New Roman"/>
      <w:kern w:val="2"/>
      <w:sz w:val="24"/>
    </w:rPr>
  </w:style>
  <w:style w:type="paragraph" w:customStyle="1" w:styleId="228">
    <w:name w:val="范本目录"/>
    <w:basedOn w:val="1"/>
    <w:qFormat/>
    <w:uiPriority w:val="0"/>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229">
    <w:name w:val="副标题 Char"/>
    <w:basedOn w:val="58"/>
    <w:link w:val="40"/>
    <w:qFormat/>
    <w:uiPriority w:val="0"/>
    <w:rPr>
      <w:rFonts w:ascii="Arial" w:hAnsi="Arial" w:cs="Times New Roman"/>
      <w:b/>
      <w:bCs/>
      <w:kern w:val="28"/>
      <w:sz w:val="32"/>
      <w:szCs w:val="32"/>
      <w:lang w:val="zh-CN" w:eastAsia="zh-CN"/>
    </w:rPr>
  </w:style>
  <w:style w:type="character" w:customStyle="1" w:styleId="230">
    <w:name w:val="Char Char"/>
    <w:qFormat/>
    <w:uiPriority w:val="0"/>
    <w:rPr>
      <w:rFonts w:ascii="宋体" w:hAnsi="Courier New" w:eastAsia="宋体" w:cs="Courier New"/>
      <w:kern w:val="2"/>
      <w:sz w:val="21"/>
      <w:szCs w:val="21"/>
      <w:lang w:val="en-US" w:eastAsia="zh-CN" w:bidi="ar-SA"/>
    </w:rPr>
  </w:style>
  <w:style w:type="character" w:customStyle="1" w:styleId="231">
    <w:name w:val="标题4 Char Char"/>
    <w:link w:val="232"/>
    <w:qFormat/>
    <w:uiPriority w:val="0"/>
    <w:rPr>
      <w:rFonts w:ascii="Arial" w:hAnsi="Arial"/>
      <w:b/>
      <w:bCs/>
      <w:sz w:val="24"/>
      <w:szCs w:val="32"/>
    </w:rPr>
  </w:style>
  <w:style w:type="paragraph" w:customStyle="1" w:styleId="232">
    <w:name w:val="标题4"/>
    <w:basedOn w:val="3"/>
    <w:next w:val="25"/>
    <w:link w:val="231"/>
    <w:qFormat/>
    <w:uiPriority w:val="0"/>
    <w:pPr>
      <w:spacing w:before="0" w:after="0" w:line="413" w:lineRule="auto"/>
    </w:pPr>
    <w:rPr>
      <w:rFonts w:ascii="Arial" w:hAnsi="Arial" w:cstheme="minorBidi"/>
      <w:kern w:val="0"/>
      <w:sz w:val="24"/>
      <w:lang w:val="en-US"/>
    </w:rPr>
  </w:style>
  <w:style w:type="character" w:customStyle="1" w:styleId="233">
    <w:name w:val="明显引用 Char"/>
    <w:link w:val="234"/>
    <w:qFormat/>
    <w:uiPriority w:val="0"/>
    <w:rPr>
      <w:b/>
      <w:bCs/>
      <w:i/>
      <w:iCs/>
      <w:color w:val="4F81BD"/>
    </w:rPr>
  </w:style>
  <w:style w:type="paragraph" w:styleId="234">
    <w:name w:val="Intense Quote"/>
    <w:basedOn w:val="1"/>
    <w:next w:val="1"/>
    <w:link w:val="233"/>
    <w:qFormat/>
    <w:uiPriority w:val="0"/>
    <w:pPr>
      <w:pBdr>
        <w:bottom w:val="single" w:color="4F81BD" w:themeColor="accent1" w:sz="4" w:space="4"/>
      </w:pBdr>
      <w:spacing w:before="200" w:after="280"/>
      <w:ind w:left="936" w:right="936"/>
    </w:pPr>
    <w:rPr>
      <w:b/>
      <w:bCs/>
      <w:i/>
      <w:iCs/>
      <w:color w:val="4F81BD"/>
    </w:rPr>
  </w:style>
  <w:style w:type="paragraph" w:customStyle="1" w:styleId="235">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6">
    <w:name w:val="明显引用 Char1"/>
    <w:basedOn w:val="58"/>
    <w:qFormat/>
    <w:uiPriority w:val="30"/>
    <w:rPr>
      <w:rFonts w:ascii="Times New Roman" w:hAnsi="Times New Roman" w:eastAsia="宋体" w:cs="Times New Roman"/>
      <w:i/>
      <w:iCs/>
      <w:color w:val="5B9BD5"/>
      <w:szCs w:val="24"/>
    </w:rPr>
  </w:style>
  <w:style w:type="character" w:customStyle="1" w:styleId="237">
    <w:name w:val="标题5 Char Char"/>
    <w:link w:val="238"/>
    <w:qFormat/>
    <w:uiPriority w:val="0"/>
    <w:rPr>
      <w:rFonts w:ascii="Arial" w:hAnsi="Arial"/>
      <w:b/>
      <w:bCs/>
      <w:sz w:val="24"/>
      <w:szCs w:val="32"/>
    </w:rPr>
  </w:style>
  <w:style w:type="paragraph" w:customStyle="1" w:styleId="238">
    <w:name w:val="标题5"/>
    <w:basedOn w:val="4"/>
    <w:link w:val="237"/>
    <w:qFormat/>
    <w:uiPriority w:val="0"/>
    <w:pPr>
      <w:spacing w:line="413" w:lineRule="auto"/>
      <w:jc w:val="left"/>
    </w:pPr>
    <w:rPr>
      <w:rFonts w:ascii="Arial" w:hAnsi="Arial"/>
      <w:sz w:val="24"/>
    </w:rPr>
  </w:style>
  <w:style w:type="character" w:customStyle="1" w:styleId="239">
    <w:name w:val="引用 Char"/>
    <w:link w:val="240"/>
    <w:qFormat/>
    <w:uiPriority w:val="0"/>
    <w:rPr>
      <w:i/>
      <w:iCs/>
      <w:color w:val="000000"/>
    </w:rPr>
  </w:style>
  <w:style w:type="paragraph" w:styleId="240">
    <w:name w:val="Quote"/>
    <w:basedOn w:val="1"/>
    <w:next w:val="1"/>
    <w:link w:val="239"/>
    <w:qFormat/>
    <w:uiPriority w:val="0"/>
    <w:rPr>
      <w:i/>
      <w:iCs/>
      <w:color w:val="000000"/>
    </w:rPr>
  </w:style>
  <w:style w:type="paragraph" w:customStyle="1" w:styleId="241">
    <w:name w:val="引用1"/>
    <w:basedOn w:val="1"/>
    <w:next w:val="1"/>
    <w:qFormat/>
    <w:uiPriority w:val="0"/>
    <w:rPr>
      <w:rFonts w:ascii="Calibri" w:hAnsi="Calibri" w:cs="Times New Roman"/>
      <w:i/>
      <w:iCs/>
      <w:color w:val="000000"/>
      <w:kern w:val="2"/>
      <w:sz w:val="21"/>
      <w:szCs w:val="22"/>
    </w:rPr>
  </w:style>
  <w:style w:type="character" w:customStyle="1" w:styleId="242">
    <w:name w:val="引用 Char1"/>
    <w:basedOn w:val="58"/>
    <w:qFormat/>
    <w:uiPriority w:val="29"/>
    <w:rPr>
      <w:rFonts w:ascii="Times New Roman" w:hAnsi="Times New Roman" w:eastAsia="宋体" w:cs="Times New Roman"/>
      <w:i/>
      <w:iCs/>
      <w:color w:val="404040"/>
      <w:szCs w:val="24"/>
    </w:rPr>
  </w:style>
  <w:style w:type="character" w:customStyle="1" w:styleId="243">
    <w:name w:val="ask-title2"/>
    <w:qFormat/>
    <w:uiPriority w:val="0"/>
  </w:style>
  <w:style w:type="character" w:customStyle="1" w:styleId="244">
    <w:name w:val="正文文本 Char1"/>
    <w:qFormat/>
    <w:uiPriority w:val="0"/>
    <w:rPr>
      <w:kern w:val="2"/>
      <w:sz w:val="21"/>
      <w:szCs w:val="22"/>
    </w:rPr>
  </w:style>
  <w:style w:type="character" w:customStyle="1" w:styleId="245">
    <w:name w:val="不明显强调1"/>
    <w:qFormat/>
    <w:uiPriority w:val="0"/>
    <w:rPr>
      <w:i/>
      <w:iCs/>
      <w:color w:val="808080"/>
    </w:rPr>
  </w:style>
  <w:style w:type="character" w:customStyle="1" w:styleId="246">
    <w:name w:val="明显参考1"/>
    <w:qFormat/>
    <w:uiPriority w:val="0"/>
    <w:rPr>
      <w:b/>
      <w:bCs/>
      <w:smallCaps/>
      <w:color w:val="C0504D"/>
      <w:spacing w:val="5"/>
      <w:u w:val="single"/>
    </w:rPr>
  </w:style>
  <w:style w:type="character" w:customStyle="1" w:styleId="247">
    <w:name w:val="书籍标题1"/>
    <w:qFormat/>
    <w:uiPriority w:val="0"/>
    <w:rPr>
      <w:b/>
      <w:bCs/>
      <w:smallCaps/>
      <w:spacing w:val="5"/>
    </w:rPr>
  </w:style>
  <w:style w:type="character" w:customStyle="1" w:styleId="248">
    <w:name w:val="日期 Char1"/>
    <w:qFormat/>
    <w:uiPriority w:val="0"/>
    <w:rPr>
      <w:kern w:val="2"/>
      <w:sz w:val="21"/>
      <w:szCs w:val="22"/>
    </w:rPr>
  </w:style>
  <w:style w:type="character" w:customStyle="1" w:styleId="249">
    <w:name w:val="明显强调1"/>
    <w:qFormat/>
    <w:uiPriority w:val="0"/>
    <w:rPr>
      <w:b/>
      <w:bCs/>
      <w:i/>
      <w:iCs/>
      <w:color w:val="4F81BD"/>
    </w:rPr>
  </w:style>
  <w:style w:type="character" w:customStyle="1" w:styleId="250">
    <w:name w:val="textcontents"/>
    <w:qFormat/>
    <w:uiPriority w:val="0"/>
    <w:rPr>
      <w:rFonts w:cs="Times New Roman"/>
    </w:rPr>
  </w:style>
  <w:style w:type="character" w:customStyle="1" w:styleId="251">
    <w:name w:val="不明显参考1"/>
    <w:qFormat/>
    <w:uiPriority w:val="0"/>
    <w:rPr>
      <w:smallCaps/>
      <w:color w:val="C0504D"/>
      <w:u w:val="single"/>
    </w:rPr>
  </w:style>
  <w:style w:type="character" w:customStyle="1" w:styleId="252">
    <w:name w:val="批注文字 Char Char"/>
    <w:qFormat/>
    <w:uiPriority w:val="0"/>
    <w:rPr>
      <w:rFonts w:ascii="宋体" w:hAnsi="Times New Roman" w:eastAsia="宋体" w:cs="Times New Roman"/>
      <w:sz w:val="28"/>
      <w:szCs w:val="20"/>
    </w:rPr>
  </w:style>
  <w:style w:type="character" w:customStyle="1" w:styleId="253">
    <w:name w:val="文档结构图 Char1"/>
    <w:qFormat/>
    <w:uiPriority w:val="0"/>
    <w:rPr>
      <w:rFonts w:ascii="宋体"/>
      <w:kern w:val="2"/>
      <w:sz w:val="18"/>
      <w:szCs w:val="18"/>
    </w:rPr>
  </w:style>
  <w:style w:type="paragraph" w:customStyle="1" w:styleId="254">
    <w:name w:val="修订1"/>
    <w:qFormat/>
    <w:uiPriority w:val="0"/>
    <w:rPr>
      <w:rFonts w:ascii="Times New Roman" w:hAnsi="Times New Roman" w:eastAsia="宋体" w:cs="Times New Roman"/>
      <w:kern w:val="2"/>
      <w:sz w:val="21"/>
      <w:szCs w:val="24"/>
      <w:lang w:val="en-US" w:eastAsia="zh-CN" w:bidi="ar-SA"/>
    </w:rPr>
  </w:style>
  <w:style w:type="character" w:customStyle="1" w:styleId="255">
    <w:name w:val="页脚 Char1"/>
    <w:semiHidden/>
    <w:qFormat/>
    <w:uiPriority w:val="99"/>
    <w:rPr>
      <w:kern w:val="2"/>
      <w:sz w:val="18"/>
      <w:szCs w:val="18"/>
    </w:rPr>
  </w:style>
  <w:style w:type="character" w:customStyle="1" w:styleId="256">
    <w:name w:val="批注框文本 Char2"/>
    <w:semiHidden/>
    <w:qFormat/>
    <w:uiPriority w:val="99"/>
    <w:rPr>
      <w:kern w:val="2"/>
      <w:sz w:val="18"/>
      <w:szCs w:val="18"/>
    </w:rPr>
  </w:style>
  <w:style w:type="character" w:customStyle="1" w:styleId="257">
    <w:name w:val="批注主题 Char2"/>
    <w:semiHidden/>
    <w:qFormat/>
    <w:uiPriority w:val="99"/>
    <w:rPr>
      <w:b/>
      <w:bCs/>
      <w:kern w:val="2"/>
      <w:sz w:val="21"/>
      <w:szCs w:val="22"/>
    </w:rPr>
  </w:style>
  <w:style w:type="character" w:customStyle="1" w:styleId="258">
    <w:name w:val="文档结构图 Char2"/>
    <w:semiHidden/>
    <w:qFormat/>
    <w:uiPriority w:val="99"/>
    <w:rPr>
      <w:rFonts w:ascii="宋体"/>
      <w:kern w:val="2"/>
      <w:sz w:val="18"/>
      <w:szCs w:val="18"/>
    </w:rPr>
  </w:style>
  <w:style w:type="character" w:customStyle="1" w:styleId="259">
    <w:name w:val="页眉 Char1"/>
    <w:semiHidden/>
    <w:qFormat/>
    <w:uiPriority w:val="99"/>
    <w:rPr>
      <w:kern w:val="2"/>
      <w:sz w:val="18"/>
      <w:szCs w:val="18"/>
    </w:rPr>
  </w:style>
  <w:style w:type="character" w:customStyle="1" w:styleId="260">
    <w:name w:val="日期 Char2"/>
    <w:semiHidden/>
    <w:qFormat/>
    <w:uiPriority w:val="99"/>
    <w:rPr>
      <w:kern w:val="2"/>
      <w:sz w:val="21"/>
      <w:szCs w:val="22"/>
    </w:rPr>
  </w:style>
  <w:style w:type="character" w:customStyle="1" w:styleId="261">
    <w:name w:val="正文文本 Char2"/>
    <w:semiHidden/>
    <w:qFormat/>
    <w:uiPriority w:val="99"/>
    <w:rPr>
      <w:kern w:val="2"/>
      <w:sz w:val="21"/>
      <w:szCs w:val="22"/>
    </w:rPr>
  </w:style>
  <w:style w:type="character" w:customStyle="1" w:styleId="262">
    <w:name w:val="标题 Char1"/>
    <w:qFormat/>
    <w:uiPriority w:val="10"/>
    <w:rPr>
      <w:rFonts w:ascii="Cambria" w:hAnsi="Cambria" w:cs="Times New Roman"/>
      <w:b/>
      <w:bCs/>
      <w:kern w:val="2"/>
      <w:sz w:val="32"/>
      <w:szCs w:val="32"/>
    </w:rPr>
  </w:style>
  <w:style w:type="character" w:customStyle="1" w:styleId="263">
    <w:name w:val="副标题 Char1"/>
    <w:qFormat/>
    <w:uiPriority w:val="11"/>
    <w:rPr>
      <w:rFonts w:ascii="Cambria" w:hAnsi="Cambria" w:cs="Times New Roman"/>
      <w:b/>
      <w:bCs/>
      <w:kern w:val="28"/>
      <w:sz w:val="32"/>
      <w:szCs w:val="32"/>
    </w:rPr>
  </w:style>
  <w:style w:type="paragraph" w:customStyle="1" w:styleId="264">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7">
    <w:name w:val="正文2 Char"/>
    <w:link w:val="268"/>
    <w:qFormat/>
    <w:uiPriority w:val="0"/>
    <w:rPr>
      <w:rFonts w:ascii="楷体" w:eastAsia="楷体"/>
      <w:b/>
      <w:color w:val="0000FF"/>
    </w:rPr>
  </w:style>
  <w:style w:type="paragraph" w:customStyle="1" w:styleId="268">
    <w:name w:val="正文2"/>
    <w:link w:val="267"/>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9">
    <w:name w:val="p0"/>
    <w:basedOn w:val="1"/>
    <w:qFormat/>
    <w:uiPriority w:val="0"/>
    <w:pPr>
      <w:widowControl/>
      <w:spacing w:before="100" w:beforeAutospacing="1" w:after="100" w:afterAutospacing="1"/>
      <w:jc w:val="left"/>
    </w:pPr>
    <w:rPr>
      <w:rFonts w:cs="宋体"/>
      <w:sz w:val="24"/>
      <w:szCs w:val="24"/>
    </w:rPr>
  </w:style>
  <w:style w:type="character" w:customStyle="1" w:styleId="270">
    <w:name w:val="正文文本 (2)_"/>
    <w:link w:val="271"/>
    <w:qFormat/>
    <w:locked/>
    <w:uiPriority w:val="99"/>
    <w:rPr>
      <w:rFonts w:ascii="MingLiU" w:eastAsia="MingLiU" w:cs="MingLiU"/>
      <w:spacing w:val="20"/>
      <w:sz w:val="22"/>
      <w:shd w:val="clear" w:color="auto" w:fill="FFFFFF"/>
    </w:rPr>
  </w:style>
  <w:style w:type="paragraph" w:customStyle="1" w:styleId="271">
    <w:name w:val="正文文本 (2)1"/>
    <w:basedOn w:val="1"/>
    <w:link w:val="270"/>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2">
    <w:name w:val="正文文本 (2) + 间距 0 pt5"/>
    <w:qFormat/>
    <w:uiPriority w:val="99"/>
    <w:rPr>
      <w:rFonts w:ascii="MingLiU" w:eastAsia="MingLiU" w:cs="MingLiU"/>
      <w:spacing w:val="0"/>
      <w:sz w:val="22"/>
      <w:shd w:val="clear" w:color="auto" w:fill="FFFFFF"/>
    </w:rPr>
  </w:style>
  <w:style w:type="character" w:customStyle="1" w:styleId="273">
    <w:name w:val="访问过的超链接1"/>
    <w:basedOn w:val="58"/>
    <w:semiHidden/>
    <w:unhideWhenUsed/>
    <w:qFormat/>
    <w:uiPriority w:val="99"/>
    <w:rPr>
      <w:color w:val="954F72"/>
      <w:u w:val="single"/>
    </w:rPr>
  </w:style>
  <w:style w:type="character" w:customStyle="1" w:styleId="274">
    <w:name w:val="明显引用 Char2"/>
    <w:basedOn w:val="58"/>
    <w:qFormat/>
    <w:uiPriority w:val="30"/>
    <w:rPr>
      <w:b/>
      <w:bCs/>
      <w:i/>
      <w:iCs/>
      <w:color w:val="4F81BD" w:themeColor="accent1"/>
      <w14:textFill>
        <w14:solidFill>
          <w14:schemeClr w14:val="accent1"/>
        </w14:solidFill>
      </w14:textFill>
    </w:rPr>
  </w:style>
  <w:style w:type="character" w:customStyle="1" w:styleId="275">
    <w:name w:val="引用 Char2"/>
    <w:basedOn w:val="58"/>
    <w:qFormat/>
    <w:uiPriority w:val="29"/>
    <w:rPr>
      <w:i/>
      <w:iCs/>
      <w:color w:val="000000" w:themeColor="text1"/>
      <w14:textFill>
        <w14:solidFill>
          <w14:schemeClr w14:val="tx1"/>
        </w14:solidFill>
      </w14:textFill>
    </w:rPr>
  </w:style>
  <w:style w:type="table" w:customStyle="1" w:styleId="276">
    <w:name w:val="网格型4"/>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7">
    <w:name w:val="集团正文"/>
    <w:basedOn w:val="1"/>
    <w:qFormat/>
    <w:uiPriority w:val="0"/>
    <w:pPr>
      <w:spacing w:line="576" w:lineRule="exact"/>
      <w:ind w:firstLine="880" w:firstLineChars="200"/>
    </w:pPr>
    <w:rPr>
      <w:rFonts w:hint="eastAsia" w:ascii="仿宋_GB2312" w:hAnsi="仿宋_GB2312" w:eastAsia="仿宋_GB2312" w:cs="Times New Roman"/>
      <w:sz w:val="32"/>
      <w:szCs w:val="32"/>
    </w:rPr>
  </w:style>
  <w:style w:type="character" w:customStyle="1" w:styleId="278">
    <w:name w:val="mini-outputtext1"/>
    <w:basedOn w:val="5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B3761-17BB-4FFA-9128-199F92A5B18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44</Pages>
  <Words>20346</Words>
  <Characters>21129</Characters>
  <Lines>161</Lines>
  <Paragraphs>45</Paragraphs>
  <TotalTime>35</TotalTime>
  <ScaleCrop>false</ScaleCrop>
  <LinksUpToDate>false</LinksUpToDate>
  <CharactersWithSpaces>21605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2024-07-22T03:03:00Z</dcterms:created>
  <dc:creator>Anakin</dc:creator>
  <cp:lastModifiedBy>admin</cp:lastModifiedBy>
  <cp:lastPrinted>2024-07-17T00:34:00Z</cp:lastPrinted>
  <dcterms:modified xsi:type="dcterms:W3CDTF">2024-08-06T07:56:14Z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8E0E5FB912174E81A827233BEAD2486F_13</vt:lpwstr>
  </property>
</Properties>
</file>