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CD9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p>
    <w:p w14:paraId="2D6B22C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p>
    <w:p w14:paraId="1983981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bookmarkStart w:id="0" w:name="_Hlk9544796"/>
    </w:p>
    <w:p w14:paraId="1C22E6D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比选文件</w:t>
      </w:r>
    </w:p>
    <w:bookmarkEnd w:id="0"/>
    <w:p w14:paraId="3CE3FC0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sz w:val="44"/>
          <w:szCs w:val="44"/>
        </w:rPr>
      </w:pPr>
    </w:p>
    <w:p w14:paraId="6CAC6FE9">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sz w:val="44"/>
          <w:szCs w:val="44"/>
        </w:rPr>
      </w:pPr>
      <w:r>
        <w:rPr>
          <w:rFonts w:hint="eastAsia" w:ascii="宋体" w:hAnsi="宋体" w:cs="宋体"/>
          <w:sz w:val="28"/>
        </w:rPr>
        <w:drawing>
          <wp:anchor distT="0" distB="0" distL="114300" distR="114300" simplePos="0" relativeHeight="251659264" behindDoc="1" locked="0" layoutInCell="1" allowOverlap="1">
            <wp:simplePos x="0" y="0"/>
            <wp:positionH relativeFrom="column">
              <wp:posOffset>2035810</wp:posOffset>
            </wp:positionH>
            <wp:positionV relativeFrom="paragraph">
              <wp:posOffset>234315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p w14:paraId="1EFE244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sz w:val="44"/>
          <w:szCs w:val="44"/>
        </w:rPr>
      </w:pPr>
    </w:p>
    <w:p w14:paraId="33A626D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14:paraId="52558024">
      <w:pPr>
        <w:tabs>
          <w:tab w:val="left" w:pos="315"/>
          <w:tab w:val="left" w:pos="6080"/>
          <w:tab w:val="left" w:pos="8820"/>
        </w:tabs>
        <w:spacing w:before="240" w:beforeLines="100" w:after="120" w:afterLines="50" w:line="500" w:lineRule="exact"/>
        <w:ind w:right="267" w:rightChars="127"/>
        <w:jc w:val="left"/>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ab/>
      </w:r>
      <w:r>
        <w:rPr>
          <w:rFonts w:hint="eastAsia" w:asciiTheme="minorEastAsia" w:hAnsiTheme="minorEastAsia" w:eastAsiaTheme="minorEastAsia"/>
          <w:b/>
          <w:bCs/>
          <w:sz w:val="44"/>
          <w:szCs w:val="44"/>
        </w:rPr>
        <w:tab/>
      </w:r>
    </w:p>
    <w:p w14:paraId="58ADA2B4">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14:paraId="3A2CC96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14:paraId="526A57BB">
      <w:pPr>
        <w:tabs>
          <w:tab w:val="left" w:pos="2410"/>
        </w:tabs>
        <w:autoSpaceDE w:val="0"/>
        <w:autoSpaceDN w:val="0"/>
        <w:adjustRightInd w:val="0"/>
        <w:snapToGrid w:val="0"/>
        <w:spacing w:line="360" w:lineRule="auto"/>
        <w:rPr>
          <w:rFonts w:hint="eastAsia" w:asciiTheme="minorEastAsia" w:hAnsiTheme="minorEastAsia" w:eastAsiaTheme="minorEastAsia"/>
          <w:b/>
          <w:spacing w:val="20"/>
          <w:kern w:val="0"/>
          <w:sz w:val="32"/>
          <w:szCs w:val="32"/>
          <w:lang w:eastAsia="zh-CN"/>
        </w:rPr>
      </w:pPr>
      <w:r>
        <w:rPr>
          <w:rFonts w:hint="eastAsia" w:asciiTheme="minorEastAsia" w:hAnsiTheme="minorEastAsia" w:eastAsiaTheme="minorEastAsia"/>
          <w:b/>
          <w:spacing w:val="20"/>
          <w:kern w:val="0"/>
          <w:sz w:val="32"/>
          <w:szCs w:val="32"/>
        </w:rPr>
        <w:t>项目名称：</w:t>
      </w:r>
      <w:r>
        <w:rPr>
          <w:rFonts w:hint="eastAsia" w:asciiTheme="minorEastAsia" w:hAnsiTheme="minorEastAsia" w:eastAsiaTheme="minorEastAsia"/>
          <w:b/>
          <w:spacing w:val="20"/>
          <w:kern w:val="0"/>
          <w:sz w:val="32"/>
          <w:szCs w:val="32"/>
          <w:u w:val="single"/>
          <w:lang w:eastAsia="zh-CN"/>
        </w:rPr>
        <w:t>百大悦购预约增设短信验证码项目（二次）</w:t>
      </w:r>
    </w:p>
    <w:p w14:paraId="0AA538BC">
      <w:pPr>
        <w:tabs>
          <w:tab w:val="left" w:pos="2410"/>
        </w:tabs>
        <w:autoSpaceDE w:val="0"/>
        <w:autoSpaceDN w:val="0"/>
        <w:adjustRightInd w:val="0"/>
        <w:snapToGrid w:val="0"/>
        <w:spacing w:line="360" w:lineRule="auto"/>
        <w:rPr>
          <w:rFonts w:hint="eastAsia" w:asciiTheme="minorEastAsia" w:hAnsiTheme="minorEastAsia" w:eastAsiaTheme="minorEastAsia"/>
          <w:b/>
          <w:spacing w:val="20"/>
          <w:kern w:val="0"/>
          <w:sz w:val="32"/>
          <w:szCs w:val="32"/>
          <w:lang w:eastAsia="zh-CN"/>
        </w:rPr>
      </w:pPr>
      <w:r>
        <w:rPr>
          <w:rFonts w:hint="eastAsia" w:asciiTheme="minorEastAsia" w:hAnsiTheme="minorEastAsia" w:eastAsiaTheme="minorEastAsia"/>
          <w:b/>
          <w:spacing w:val="20"/>
          <w:kern w:val="0"/>
          <w:sz w:val="32"/>
          <w:szCs w:val="32"/>
        </w:rPr>
        <w:t>项目编号：</w:t>
      </w:r>
      <w:r>
        <w:rPr>
          <w:rFonts w:hint="eastAsia" w:asciiTheme="minorEastAsia" w:hAnsiTheme="minorEastAsia" w:eastAsiaTheme="minorEastAsia"/>
          <w:b/>
          <w:spacing w:val="20"/>
          <w:kern w:val="0"/>
          <w:sz w:val="32"/>
          <w:szCs w:val="32"/>
          <w:u w:val="single"/>
          <w:lang w:eastAsia="zh-CN"/>
        </w:rPr>
        <w:t>2024BTFWN01259-1</w:t>
      </w:r>
    </w:p>
    <w:p w14:paraId="04F339BD">
      <w:pPr>
        <w:tabs>
          <w:tab w:val="left" w:pos="2410"/>
        </w:tabs>
        <w:autoSpaceDE w:val="0"/>
        <w:autoSpaceDN w:val="0"/>
        <w:adjustRightInd w:val="0"/>
        <w:snapToGrid w:val="0"/>
        <w:spacing w:line="360" w:lineRule="auto"/>
        <w:rPr>
          <w:rFonts w:asciiTheme="minorEastAsia" w:hAnsiTheme="minorEastAsia" w:eastAsiaTheme="minorEastAsia"/>
          <w:b/>
          <w:spacing w:val="20"/>
          <w:kern w:val="0"/>
          <w:sz w:val="32"/>
          <w:szCs w:val="32"/>
        </w:rPr>
      </w:pPr>
      <w:r>
        <w:rPr>
          <w:rFonts w:hint="eastAsia" w:asciiTheme="minorEastAsia" w:hAnsiTheme="minorEastAsia" w:eastAsiaTheme="minorEastAsia"/>
          <w:b/>
          <w:spacing w:val="20"/>
          <w:kern w:val="0"/>
          <w:sz w:val="32"/>
          <w:szCs w:val="32"/>
        </w:rPr>
        <w:t>招 标 人：</w:t>
      </w:r>
      <w:r>
        <w:rPr>
          <w:rFonts w:hint="eastAsia" w:asciiTheme="minorEastAsia" w:hAnsiTheme="minorEastAsia" w:eastAsiaTheme="minorEastAsia"/>
          <w:b/>
          <w:spacing w:val="20"/>
          <w:kern w:val="0"/>
          <w:sz w:val="32"/>
          <w:szCs w:val="32"/>
          <w:u w:val="single"/>
        </w:rPr>
        <w:t>合肥百货大楼集团股份有限公司</w:t>
      </w:r>
    </w:p>
    <w:p w14:paraId="28FBBD54">
      <w:pPr>
        <w:tabs>
          <w:tab w:val="left" w:pos="2410"/>
        </w:tabs>
        <w:autoSpaceDE w:val="0"/>
        <w:autoSpaceDN w:val="0"/>
        <w:adjustRightInd w:val="0"/>
        <w:snapToGrid w:val="0"/>
        <w:spacing w:line="360" w:lineRule="auto"/>
        <w:rPr>
          <w:rFonts w:asciiTheme="minorEastAsia" w:hAnsiTheme="minorEastAsia" w:eastAsiaTheme="minorEastAsia"/>
          <w:b/>
          <w:spacing w:val="20"/>
          <w:kern w:val="0"/>
          <w:sz w:val="32"/>
          <w:szCs w:val="32"/>
        </w:rPr>
      </w:pPr>
      <w:r>
        <w:rPr>
          <w:rFonts w:hint="eastAsia" w:asciiTheme="minorEastAsia" w:hAnsiTheme="minorEastAsia" w:eastAsiaTheme="minorEastAsia"/>
          <w:b/>
          <w:spacing w:val="20"/>
          <w:kern w:val="0"/>
          <w:sz w:val="32"/>
          <w:szCs w:val="32"/>
        </w:rPr>
        <w:t>代理机构：</w:t>
      </w:r>
      <w:r>
        <w:rPr>
          <w:rFonts w:hint="eastAsia" w:asciiTheme="minorEastAsia" w:hAnsiTheme="minorEastAsia" w:eastAsiaTheme="minorEastAsia"/>
          <w:b/>
          <w:spacing w:val="20"/>
          <w:kern w:val="0"/>
          <w:sz w:val="32"/>
          <w:szCs w:val="32"/>
          <w:u w:val="single"/>
        </w:rPr>
        <w:t>安徽公共资源交易集团项目管理有限公司</w:t>
      </w:r>
    </w:p>
    <w:p w14:paraId="552E3345">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14:paraId="23E4CDCD">
      <w:pPr>
        <w:tabs>
          <w:tab w:val="left" w:pos="2410"/>
        </w:tabs>
        <w:autoSpaceDE w:val="0"/>
        <w:autoSpaceDN w:val="0"/>
        <w:adjustRightInd w:val="0"/>
        <w:snapToGrid w:val="0"/>
        <w:spacing w:line="360" w:lineRule="auto"/>
        <w:jc w:val="center"/>
        <w:rPr>
          <w:rFonts w:asciiTheme="minorEastAsia" w:hAnsiTheme="minorEastAsia" w:eastAsiaTheme="minorEastAsia"/>
          <w:b/>
          <w:sz w:val="36"/>
        </w:rPr>
      </w:pPr>
      <w:r>
        <w:rPr>
          <w:rFonts w:asciiTheme="minorEastAsia" w:hAnsiTheme="minorEastAsia" w:eastAsiaTheme="minorEastAsia"/>
          <w:b/>
          <w:sz w:val="36"/>
        </w:rPr>
        <w:br w:type="page"/>
      </w:r>
    </w:p>
    <w:p w14:paraId="0F773171">
      <w:pPr>
        <w:tabs>
          <w:tab w:val="left" w:pos="2410"/>
        </w:tabs>
        <w:autoSpaceDE w:val="0"/>
        <w:autoSpaceDN w:val="0"/>
        <w:adjustRightInd w:val="0"/>
        <w:snapToGrid w:val="0"/>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目  录</w:t>
      </w:r>
    </w:p>
    <w:p w14:paraId="5DA348E6">
      <w:pPr>
        <w:pStyle w:val="20"/>
        <w:tabs>
          <w:tab w:val="right" w:leader="dot" w:pos="8869"/>
        </w:tabs>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"_Toc28995"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比选公告</w:t>
      </w:r>
      <w:r>
        <w:tab/>
      </w:r>
      <w:r>
        <w:fldChar w:fldCharType="begin"/>
      </w:r>
      <w:r>
        <w:instrText xml:space="preserve"> PAGEREF _Toc28995 \h </w:instrText>
      </w:r>
      <w:r>
        <w:fldChar w:fldCharType="separate"/>
      </w:r>
      <w:r>
        <w:t>1</w:t>
      </w:r>
      <w:r>
        <w:fldChar w:fldCharType="end"/>
      </w:r>
      <w:r>
        <w:fldChar w:fldCharType="end"/>
      </w:r>
    </w:p>
    <w:p w14:paraId="405FB5A6">
      <w:pPr>
        <w:pStyle w:val="20"/>
        <w:tabs>
          <w:tab w:val="right" w:leader="dot" w:pos="8869"/>
        </w:tabs>
      </w:pPr>
      <w:r>
        <w:fldChar w:fldCharType="begin"/>
      </w:r>
      <w:r>
        <w:instrText xml:space="preserve"> HYPERLINK \l "_Toc22585"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投标人</w:t>
      </w:r>
      <w:r>
        <w:rPr>
          <w:rFonts w:asciiTheme="minorEastAsia" w:hAnsiTheme="minorEastAsia"/>
        </w:rPr>
        <w:t>须知</w:t>
      </w:r>
      <w:r>
        <w:tab/>
      </w:r>
      <w:r>
        <w:fldChar w:fldCharType="begin"/>
      </w:r>
      <w:r>
        <w:instrText xml:space="preserve"> PAGEREF _Toc22585 \h </w:instrText>
      </w:r>
      <w:r>
        <w:fldChar w:fldCharType="separate"/>
      </w:r>
      <w:r>
        <w:t>4</w:t>
      </w:r>
      <w:r>
        <w:fldChar w:fldCharType="end"/>
      </w:r>
      <w:r>
        <w:fldChar w:fldCharType="end"/>
      </w:r>
    </w:p>
    <w:p w14:paraId="1645A4F6">
      <w:pPr>
        <w:pStyle w:val="20"/>
        <w:tabs>
          <w:tab w:val="right" w:leader="dot" w:pos="8869"/>
        </w:tabs>
      </w:pPr>
      <w:r>
        <w:fldChar w:fldCharType="begin"/>
      </w:r>
      <w:r>
        <w:instrText xml:space="preserve"> HYPERLINK \l "_Toc9455" </w:instrText>
      </w:r>
      <w:r>
        <w:fldChar w:fldCharType="separate"/>
      </w:r>
      <w:r>
        <w:rPr>
          <w:rFonts w:hint="eastAsia" w:asciiTheme="minorEastAsia" w:hAnsiTheme="minorEastAsia"/>
        </w:rPr>
        <w:t>第三章  招标人要求</w:t>
      </w:r>
      <w:r>
        <w:tab/>
      </w:r>
      <w:r>
        <w:fldChar w:fldCharType="begin"/>
      </w:r>
      <w:r>
        <w:instrText xml:space="preserve"> PAGEREF _Toc9455 \h </w:instrText>
      </w:r>
      <w:r>
        <w:fldChar w:fldCharType="separate"/>
      </w:r>
      <w:r>
        <w:t>15</w:t>
      </w:r>
      <w:r>
        <w:fldChar w:fldCharType="end"/>
      </w:r>
      <w:r>
        <w:fldChar w:fldCharType="end"/>
      </w:r>
    </w:p>
    <w:p w14:paraId="67CF08A0">
      <w:pPr>
        <w:pStyle w:val="20"/>
        <w:tabs>
          <w:tab w:val="right" w:leader="dot" w:pos="8869"/>
        </w:tabs>
      </w:pPr>
      <w:r>
        <w:fldChar w:fldCharType="begin"/>
      </w:r>
      <w:r>
        <w:instrText xml:space="preserve"> HYPERLINK \l "_Toc2042" </w:instrText>
      </w:r>
      <w:r>
        <w:fldChar w:fldCharType="separate"/>
      </w:r>
      <w:r>
        <w:rPr>
          <w:rFonts w:hint="eastAsia" w:asciiTheme="minorEastAsia" w:hAnsiTheme="minorEastAsia"/>
        </w:rPr>
        <w:t>第四章 评审方法和标准</w:t>
      </w:r>
      <w:r>
        <w:tab/>
      </w:r>
      <w:r>
        <w:fldChar w:fldCharType="begin"/>
      </w:r>
      <w:r>
        <w:instrText xml:space="preserve"> PAGEREF _Toc2042 \h </w:instrText>
      </w:r>
      <w:r>
        <w:fldChar w:fldCharType="separate"/>
      </w:r>
      <w:r>
        <w:t>17</w:t>
      </w:r>
      <w:r>
        <w:fldChar w:fldCharType="end"/>
      </w:r>
      <w:r>
        <w:fldChar w:fldCharType="end"/>
      </w:r>
    </w:p>
    <w:p w14:paraId="19B49141">
      <w:pPr>
        <w:pStyle w:val="20"/>
        <w:tabs>
          <w:tab w:val="right" w:leader="dot" w:pos="8869"/>
        </w:tabs>
      </w:pPr>
      <w:r>
        <w:fldChar w:fldCharType="begin"/>
      </w:r>
      <w:r>
        <w:instrText xml:space="preserve"> HYPERLINK \l "_Toc13650" </w:instrText>
      </w:r>
      <w:r>
        <w:fldChar w:fldCharType="separate"/>
      </w:r>
      <w:r>
        <w:rPr>
          <w:rFonts w:hint="eastAsia" w:asciiTheme="minorEastAsia" w:hAnsiTheme="minorEastAsia"/>
        </w:rPr>
        <w:t xml:space="preserve">第五章  </w:t>
      </w:r>
      <w:r>
        <w:rPr>
          <w:rFonts w:asciiTheme="minorEastAsia" w:hAnsiTheme="minorEastAsia"/>
        </w:rPr>
        <w:t>合同</w:t>
      </w:r>
      <w:r>
        <w:tab/>
      </w:r>
      <w:r>
        <w:fldChar w:fldCharType="begin"/>
      </w:r>
      <w:r>
        <w:instrText xml:space="preserve"> PAGEREF _Toc13650 \h </w:instrText>
      </w:r>
      <w:r>
        <w:fldChar w:fldCharType="separate"/>
      </w:r>
      <w:r>
        <w:t>20</w:t>
      </w:r>
      <w:r>
        <w:fldChar w:fldCharType="end"/>
      </w:r>
      <w:r>
        <w:fldChar w:fldCharType="end"/>
      </w:r>
    </w:p>
    <w:p w14:paraId="092D622F">
      <w:pPr>
        <w:pStyle w:val="20"/>
        <w:tabs>
          <w:tab w:val="right" w:leader="dot" w:pos="8869"/>
        </w:tabs>
      </w:pPr>
      <w:r>
        <w:fldChar w:fldCharType="begin"/>
      </w:r>
      <w:r>
        <w:instrText xml:space="preserve"> HYPERLINK \l "_Toc5855" </w:instrText>
      </w:r>
      <w:r>
        <w:fldChar w:fldCharType="separate"/>
      </w:r>
      <w:r>
        <w:rPr>
          <w:rFonts w:hint="eastAsia" w:asciiTheme="minorEastAsia" w:hAnsiTheme="minorEastAsia"/>
        </w:rPr>
        <w:t>第六章  投标文件格式</w:t>
      </w:r>
      <w:r>
        <w:tab/>
      </w:r>
      <w:r>
        <w:fldChar w:fldCharType="begin"/>
      </w:r>
      <w:r>
        <w:instrText xml:space="preserve"> PAGEREF _Toc5855 \h </w:instrText>
      </w:r>
      <w:r>
        <w:fldChar w:fldCharType="separate"/>
      </w:r>
      <w:r>
        <w:t>32</w:t>
      </w:r>
      <w:r>
        <w:fldChar w:fldCharType="end"/>
      </w:r>
      <w:r>
        <w:fldChar w:fldCharType="end"/>
      </w:r>
    </w:p>
    <w:p w14:paraId="1D0082DC">
      <w:pPr>
        <w:pStyle w:val="20"/>
        <w:tabs>
          <w:tab w:val="right" w:leader="dot" w:pos="8869"/>
        </w:tabs>
      </w:pPr>
      <w:r>
        <w:fldChar w:fldCharType="begin"/>
      </w:r>
      <w:r>
        <w:instrText xml:space="preserve"> HYPERLINK \l "_Toc12153" </w:instrText>
      </w:r>
      <w:r>
        <w:fldChar w:fldCharType="separate"/>
      </w:r>
      <w:r>
        <w:rPr>
          <w:rFonts w:hint="eastAsia" w:asciiTheme="minorEastAsia" w:hAnsiTheme="minorEastAsia"/>
        </w:rPr>
        <w:t>第七章 安徽公共资源交易集团电子交易操作规程</w:t>
      </w:r>
      <w:r>
        <w:tab/>
      </w:r>
      <w:r>
        <w:fldChar w:fldCharType="begin"/>
      </w:r>
      <w:r>
        <w:instrText xml:space="preserve"> PAGEREF _Toc12153 \h </w:instrText>
      </w:r>
      <w:r>
        <w:fldChar w:fldCharType="separate"/>
      </w:r>
      <w:r>
        <w:t>38</w:t>
      </w:r>
      <w:r>
        <w:fldChar w:fldCharType="end"/>
      </w:r>
      <w:r>
        <w:fldChar w:fldCharType="end"/>
      </w:r>
    </w:p>
    <w:p w14:paraId="1190D2AC">
      <w:pPr>
        <w:pStyle w:val="19"/>
        <w:tabs>
          <w:tab w:val="right" w:leader="dot" w:pos="8869"/>
        </w:tabs>
      </w:pPr>
    </w:p>
    <w:p w14:paraId="6D54E7F4">
      <w:pPr>
        <w:spacing w:line="360" w:lineRule="auto"/>
        <w:rPr>
          <w:rFonts w:asciiTheme="minorEastAsia" w:hAnsiTheme="minorEastAsia" w:eastAsiaTheme="minorEastAsia"/>
          <w:b/>
          <w:sz w:val="32"/>
        </w:rPr>
      </w:pPr>
      <w:r>
        <w:rPr>
          <w:rFonts w:asciiTheme="minorEastAsia" w:hAnsiTheme="minorEastAsia" w:eastAsiaTheme="minorEastAsia"/>
          <w:szCs w:val="24"/>
        </w:rPr>
        <w:fldChar w:fldCharType="end"/>
      </w:r>
    </w:p>
    <w:p w14:paraId="4FC8F81F">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851" w:gutter="0"/>
          <w:cols w:space="720" w:num="1"/>
          <w:docGrid w:linePitch="462" w:charSpace="0"/>
        </w:sectPr>
      </w:pPr>
    </w:p>
    <w:p w14:paraId="09404E01">
      <w:pPr>
        <w:spacing w:line="360" w:lineRule="auto"/>
        <w:ind w:firstLine="420"/>
        <w:jc w:val="center"/>
        <w:outlineLvl w:val="1"/>
        <w:rPr>
          <w:rFonts w:asciiTheme="minorEastAsia" w:hAnsiTheme="minorEastAsia" w:eastAsiaTheme="minorEastAsia"/>
          <w:b/>
          <w:sz w:val="28"/>
        </w:rPr>
      </w:pPr>
      <w:bookmarkStart w:id="1" w:name="_Toc28995"/>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比选公告</w:t>
      </w:r>
      <w:bookmarkEnd w:id="1"/>
    </w:p>
    <w:p w14:paraId="36CAFE92">
      <w:pPr>
        <w:pStyle w:val="41"/>
        <w:widowControl w:val="0"/>
        <w:autoSpaceDE w:val="0"/>
        <w:autoSpaceDN w:val="0"/>
        <w:adjustRightInd w:val="0"/>
        <w:spacing w:before="0" w:after="0" w:line="360" w:lineRule="auto"/>
        <w:rPr>
          <w:rFonts w:asciiTheme="majorEastAsia" w:hAnsiTheme="majorEastAsia" w:eastAsiaTheme="majorEastAsia" w:cstheme="majorEastAsia"/>
        </w:rPr>
      </w:pPr>
      <w:r>
        <w:rPr>
          <w:rFonts w:hint="eastAsia" w:asciiTheme="majorEastAsia" w:hAnsiTheme="majorEastAsia" w:eastAsiaTheme="majorEastAsia" w:cstheme="majorEastAsia"/>
          <w:kern w:val="2"/>
        </w:rPr>
        <w:t>安徽公共资源交易集团项目管理有限公司受</w:t>
      </w:r>
      <w:r>
        <w:rPr>
          <w:rFonts w:hint="eastAsia" w:asciiTheme="majorEastAsia" w:hAnsiTheme="majorEastAsia" w:eastAsiaTheme="majorEastAsia" w:cstheme="majorEastAsia"/>
          <w:kern w:val="2"/>
          <w:u w:val="single"/>
        </w:rPr>
        <w:t>合肥百货大楼集团股份有限公司</w:t>
      </w:r>
      <w:r>
        <w:rPr>
          <w:rFonts w:hint="eastAsia" w:asciiTheme="majorEastAsia" w:hAnsiTheme="majorEastAsia" w:eastAsiaTheme="majorEastAsia" w:cstheme="majorEastAsia"/>
          <w:kern w:val="2"/>
        </w:rPr>
        <w:t>委托，现对</w:t>
      </w:r>
      <w:r>
        <w:rPr>
          <w:rFonts w:hint="eastAsia" w:asciiTheme="majorEastAsia" w:hAnsiTheme="majorEastAsia" w:eastAsiaTheme="majorEastAsia" w:cstheme="majorEastAsia"/>
          <w:kern w:val="2"/>
          <w:u w:val="single"/>
          <w:lang w:eastAsia="zh-CN"/>
        </w:rPr>
        <w:t>百大悦购预约增设短信验证码项目（二次）</w:t>
      </w:r>
      <w:r>
        <w:rPr>
          <w:rFonts w:hint="eastAsia" w:asciiTheme="majorEastAsia" w:hAnsiTheme="majorEastAsia" w:eastAsiaTheme="majorEastAsia" w:cstheme="majorEastAsia"/>
          <w:kern w:val="2"/>
        </w:rPr>
        <w:t>进行比选，欢迎具备条件的国内投标人参加。</w:t>
      </w:r>
    </w:p>
    <w:p w14:paraId="631080DB">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1.项目名称及内容</w:t>
      </w:r>
    </w:p>
    <w:p w14:paraId="1E3551B6">
      <w:pPr>
        <w:spacing w:line="360" w:lineRule="auto"/>
        <w:ind w:firstLine="435"/>
        <w:rPr>
          <w:rFonts w:hint="eastAsia" w:asciiTheme="minorEastAsia" w:hAnsiTheme="minorEastAsia" w:eastAsiaTheme="minorEastAsia"/>
          <w:sz w:val="24"/>
          <w:szCs w:val="18"/>
          <w:lang w:eastAsia="zh-CN"/>
        </w:rPr>
      </w:pPr>
      <w:r>
        <w:rPr>
          <w:rFonts w:hint="eastAsia" w:asciiTheme="minorEastAsia" w:hAnsiTheme="minorEastAsia" w:eastAsiaTheme="minorEastAsia"/>
          <w:sz w:val="24"/>
          <w:szCs w:val="18"/>
        </w:rPr>
        <w:t>1.1项目编号：</w:t>
      </w:r>
      <w:r>
        <w:rPr>
          <w:rFonts w:hint="eastAsia" w:asciiTheme="minorEastAsia" w:hAnsiTheme="minorEastAsia" w:eastAsiaTheme="minorEastAsia"/>
          <w:sz w:val="24"/>
          <w:szCs w:val="18"/>
          <w:u w:val="single"/>
          <w:lang w:eastAsia="zh-CN"/>
        </w:rPr>
        <w:t>2024BTFWN01259-1</w:t>
      </w:r>
    </w:p>
    <w:p w14:paraId="1319505D">
      <w:pPr>
        <w:spacing w:line="360" w:lineRule="auto"/>
        <w:ind w:firstLine="435"/>
        <w:rPr>
          <w:rFonts w:hint="eastAsia" w:asciiTheme="minorEastAsia" w:hAnsiTheme="minorEastAsia" w:eastAsiaTheme="minorEastAsia"/>
          <w:sz w:val="24"/>
          <w:szCs w:val="18"/>
          <w:lang w:eastAsia="zh-CN"/>
        </w:rPr>
      </w:pPr>
      <w:r>
        <w:rPr>
          <w:rFonts w:hint="eastAsia" w:asciiTheme="minorEastAsia" w:hAnsiTheme="minorEastAsia" w:eastAsiaTheme="minorEastAsia"/>
          <w:sz w:val="24"/>
          <w:szCs w:val="18"/>
        </w:rPr>
        <w:t>1.2</w:t>
      </w:r>
      <w:r>
        <w:rPr>
          <w:rFonts w:hint="eastAsia" w:asciiTheme="minorEastAsia" w:hAnsiTheme="minorEastAsia" w:eastAsiaTheme="minorEastAsia"/>
          <w:sz w:val="24"/>
        </w:rPr>
        <w:t>项目</w:t>
      </w:r>
      <w:r>
        <w:rPr>
          <w:rFonts w:hint="eastAsia" w:asciiTheme="minorEastAsia" w:hAnsiTheme="minorEastAsia" w:eastAsiaTheme="minorEastAsia"/>
          <w:sz w:val="24"/>
          <w:szCs w:val="18"/>
        </w:rPr>
        <w:t>名称：</w:t>
      </w:r>
      <w:r>
        <w:rPr>
          <w:rFonts w:hint="eastAsia" w:asciiTheme="minorEastAsia" w:hAnsiTheme="minorEastAsia" w:eastAsiaTheme="minorEastAsia"/>
          <w:sz w:val="24"/>
          <w:szCs w:val="18"/>
          <w:u w:val="single"/>
          <w:lang w:eastAsia="zh-CN"/>
        </w:rPr>
        <w:t>百大悦购预约增设短信验证码项目（二次）</w:t>
      </w:r>
    </w:p>
    <w:p w14:paraId="05592CE6">
      <w:pPr>
        <w:autoSpaceDE w:val="0"/>
        <w:autoSpaceDN w:val="0"/>
        <w:adjustRightInd w:val="0"/>
        <w:spacing w:line="360" w:lineRule="auto"/>
        <w:ind w:firstLine="436" w:firstLineChars="182"/>
        <w:jc w:val="left"/>
        <w:rPr>
          <w:rFonts w:asciiTheme="minorEastAsia" w:hAnsiTheme="minorEastAsia" w:eastAsiaTheme="minorEastAsia"/>
          <w:sz w:val="24"/>
          <w:szCs w:val="18"/>
        </w:rPr>
      </w:pPr>
      <w:r>
        <w:rPr>
          <w:rFonts w:hint="eastAsia" w:asciiTheme="minorEastAsia" w:hAnsiTheme="minorEastAsia" w:eastAsiaTheme="minorEastAsia"/>
          <w:sz w:val="24"/>
          <w:szCs w:val="18"/>
        </w:rPr>
        <w:t>1.3项目地点：</w:t>
      </w:r>
      <w:r>
        <w:rPr>
          <w:rFonts w:hint="eastAsia" w:asciiTheme="minorEastAsia" w:hAnsiTheme="minorEastAsia" w:eastAsiaTheme="minorEastAsia"/>
          <w:sz w:val="24"/>
          <w:szCs w:val="18"/>
          <w:u w:val="single"/>
        </w:rPr>
        <w:t>安徽省合肥市</w:t>
      </w:r>
    </w:p>
    <w:p w14:paraId="68BF2D72">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1.4</w:t>
      </w:r>
      <w:r>
        <w:rPr>
          <w:rFonts w:hint="eastAsia" w:asciiTheme="minorEastAsia" w:hAnsiTheme="minorEastAsia" w:eastAsiaTheme="minorEastAsia"/>
          <w:sz w:val="24"/>
        </w:rPr>
        <w:t>项目</w:t>
      </w:r>
      <w:r>
        <w:rPr>
          <w:rFonts w:hint="eastAsia" w:asciiTheme="minorEastAsia" w:hAnsiTheme="minorEastAsia" w:eastAsiaTheme="minorEastAsia"/>
          <w:sz w:val="24"/>
          <w:szCs w:val="18"/>
        </w:rPr>
        <w:t>单位：</w:t>
      </w:r>
      <w:r>
        <w:rPr>
          <w:rFonts w:hint="eastAsia" w:asciiTheme="minorEastAsia" w:hAnsiTheme="minorEastAsia" w:eastAsiaTheme="minorEastAsia"/>
          <w:sz w:val="24"/>
          <w:szCs w:val="18"/>
          <w:u w:val="single"/>
        </w:rPr>
        <w:t>合肥百货大楼集团股份有限公司</w:t>
      </w:r>
    </w:p>
    <w:p w14:paraId="68852A52">
      <w:pPr>
        <w:spacing w:line="360" w:lineRule="auto"/>
        <w:ind w:firstLine="437"/>
        <w:rPr>
          <w:rFonts w:asciiTheme="minorEastAsia" w:hAnsiTheme="minorEastAsia" w:eastAsiaTheme="minorEastAsia"/>
          <w:bCs/>
          <w:sz w:val="24"/>
          <w:szCs w:val="18"/>
        </w:rPr>
      </w:pPr>
      <w:r>
        <w:rPr>
          <w:rFonts w:hint="eastAsia" w:asciiTheme="minorEastAsia" w:hAnsiTheme="minorEastAsia" w:eastAsiaTheme="minorEastAsia"/>
          <w:sz w:val="24"/>
          <w:szCs w:val="18"/>
        </w:rPr>
        <w:t>1.5项目范围：</w:t>
      </w:r>
      <w:r>
        <w:rPr>
          <w:rFonts w:hint="eastAsia" w:asciiTheme="minorEastAsia" w:hAnsiTheme="minorEastAsia" w:eastAsiaTheme="minorEastAsia"/>
          <w:bCs/>
          <w:sz w:val="24"/>
          <w:szCs w:val="18"/>
          <w:u w:val="single"/>
        </w:rPr>
        <w:t>百大悦购小程序（以下简称百大悦购或小程序）是合肥百货大楼集团股份有限公司线上服务平台，本着“您的满意，我的追求”服务理念，为更好提升顾客满意度，百大悦购现增设预约短信动态验证码功能。</w:t>
      </w:r>
    </w:p>
    <w:p w14:paraId="599CB7C2">
      <w:pPr>
        <w:spacing w:line="360" w:lineRule="auto"/>
        <w:ind w:firstLine="435"/>
        <w:rPr>
          <w:rFonts w:asciiTheme="minorEastAsia" w:hAnsiTheme="minorEastAsia" w:eastAsiaTheme="minorEastAsia"/>
          <w:sz w:val="24"/>
          <w:szCs w:val="18"/>
          <w:u w:val="single"/>
        </w:rPr>
      </w:pPr>
      <w:r>
        <w:rPr>
          <w:rFonts w:hint="eastAsia" w:asciiTheme="minorEastAsia" w:hAnsiTheme="minorEastAsia" w:eastAsiaTheme="minorEastAsia"/>
          <w:sz w:val="24"/>
          <w:szCs w:val="18"/>
        </w:rPr>
        <w:t>1.6</w:t>
      </w:r>
      <w:r>
        <w:rPr>
          <w:rFonts w:hint="eastAsia" w:asciiTheme="minorEastAsia" w:hAnsiTheme="minorEastAsia" w:eastAsiaTheme="minorEastAsia"/>
          <w:sz w:val="24"/>
        </w:rPr>
        <w:t>资金来源</w:t>
      </w:r>
      <w:r>
        <w:rPr>
          <w:rFonts w:hint="eastAsia" w:asciiTheme="minorEastAsia" w:hAnsiTheme="minorEastAsia" w:eastAsiaTheme="minorEastAsia"/>
          <w:sz w:val="24"/>
          <w:szCs w:val="18"/>
        </w:rPr>
        <w:t>：</w:t>
      </w:r>
      <w:r>
        <w:rPr>
          <w:rFonts w:hint="eastAsia" w:asciiTheme="majorEastAsia" w:hAnsiTheme="majorEastAsia" w:eastAsiaTheme="majorEastAsia" w:cstheme="majorEastAsia"/>
          <w:sz w:val="24"/>
          <w:szCs w:val="24"/>
          <w:u w:val="single"/>
        </w:rPr>
        <w:t>自筹</w:t>
      </w:r>
    </w:p>
    <w:p w14:paraId="21FB9175">
      <w:pPr>
        <w:spacing w:line="360" w:lineRule="auto"/>
        <w:ind w:firstLine="435"/>
        <w:rPr>
          <w:rFonts w:asciiTheme="minorEastAsia" w:hAnsiTheme="minorEastAsia" w:eastAsiaTheme="minorEastAsia"/>
          <w:sz w:val="24"/>
          <w:szCs w:val="18"/>
          <w:u w:val="single"/>
        </w:rPr>
      </w:pPr>
      <w:r>
        <w:rPr>
          <w:rFonts w:hint="eastAsia" w:asciiTheme="minorEastAsia" w:hAnsiTheme="minorEastAsia" w:eastAsiaTheme="minorEastAsia"/>
          <w:sz w:val="24"/>
          <w:szCs w:val="18"/>
        </w:rPr>
        <w:t>1.7项目预算：</w:t>
      </w:r>
      <w:r>
        <w:rPr>
          <w:rFonts w:hint="eastAsia" w:asciiTheme="majorEastAsia" w:hAnsiTheme="majorEastAsia" w:eastAsiaTheme="majorEastAsia" w:cstheme="majorEastAsia"/>
          <w:sz w:val="24"/>
          <w:szCs w:val="24"/>
          <w:u w:val="single"/>
        </w:rPr>
        <w:t>2.62万元</w:t>
      </w:r>
    </w:p>
    <w:p w14:paraId="684B1316">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1.8项目类别：</w:t>
      </w:r>
      <w:r>
        <w:rPr>
          <w:rFonts w:hint="eastAsia" w:asciiTheme="majorEastAsia" w:hAnsiTheme="majorEastAsia" w:eastAsiaTheme="majorEastAsia" w:cstheme="majorEastAsia"/>
          <w:sz w:val="24"/>
          <w:szCs w:val="24"/>
          <w:u w:val="single"/>
        </w:rPr>
        <w:t>与工程无关·服务</w:t>
      </w:r>
    </w:p>
    <w:p w14:paraId="70A18C54">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1.9标段划分：共分</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个标段，本次比选第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标段。</w:t>
      </w:r>
    </w:p>
    <w:p w14:paraId="32FAEBA3">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2.投标人资格</w:t>
      </w:r>
    </w:p>
    <w:p w14:paraId="40E7FAA4">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2.1投标人具有独立承担民事责任的能力；</w:t>
      </w:r>
    </w:p>
    <w:p w14:paraId="166D880A">
      <w:pPr>
        <w:spacing w:line="360" w:lineRule="auto"/>
        <w:ind w:firstLine="480" w:firstLineChars="200"/>
        <w:rPr>
          <w:rFonts w:asciiTheme="majorEastAsia" w:hAnsiTheme="majorEastAsia" w:eastAsiaTheme="majorEastAsia" w:cstheme="majorEastAsia"/>
          <w:b/>
          <w:bCs/>
          <w:i/>
          <w:iCs/>
          <w:sz w:val="24"/>
          <w:szCs w:val="24"/>
        </w:rPr>
      </w:pPr>
      <w:r>
        <w:rPr>
          <w:rFonts w:hint="eastAsia" w:asciiTheme="majorEastAsia" w:hAnsiTheme="majorEastAsia" w:eastAsiaTheme="majorEastAsia" w:cstheme="majorEastAsia"/>
          <w:sz w:val="24"/>
          <w:szCs w:val="24"/>
        </w:rPr>
        <w:t>2.2投标人资质要求：</w:t>
      </w:r>
      <w:r>
        <w:rPr>
          <w:rFonts w:hint="eastAsia" w:ascii="宋体" w:hAnsi="宋体" w:eastAsia="宋体" w:cs="Arial"/>
          <w:sz w:val="24"/>
          <w:szCs w:val="24"/>
          <w:shd w:val="clear" w:color="auto" w:fill="FFFFFF"/>
        </w:rPr>
        <w:t>/</w:t>
      </w:r>
      <w:r>
        <w:rPr>
          <w:rFonts w:asciiTheme="majorEastAsia" w:hAnsiTheme="majorEastAsia" w:eastAsiaTheme="majorEastAsia" w:cstheme="majorEastAsia"/>
          <w:b/>
          <w:bCs/>
          <w:i/>
          <w:iCs/>
          <w:sz w:val="24"/>
          <w:szCs w:val="24"/>
        </w:rPr>
        <w:t xml:space="preserve"> </w:t>
      </w:r>
    </w:p>
    <w:p w14:paraId="7BDA1CE2">
      <w:pPr>
        <w:spacing w:line="360" w:lineRule="auto"/>
        <w:ind w:firstLine="480" w:firstLineChars="200"/>
        <w:rPr>
          <w:rFonts w:hint="eastAsia" w:eastAsia="宋体" w:asciiTheme="majorEastAsia" w:hAnsiTheme="majorEastAsia" w:cstheme="majorEastAsia"/>
          <w:color w:val="FF0000"/>
          <w:lang w:eastAsia="zh-CN"/>
        </w:rPr>
      </w:pPr>
      <w:r>
        <w:rPr>
          <w:rFonts w:hint="eastAsia" w:asciiTheme="majorEastAsia" w:hAnsiTheme="majorEastAsia" w:eastAsiaTheme="majorEastAsia" w:cstheme="majorEastAsia"/>
          <w:sz w:val="24"/>
          <w:szCs w:val="24"/>
        </w:rPr>
        <w:t>2.3投标人业绩要求：</w:t>
      </w:r>
      <w:r>
        <w:rPr>
          <w:rFonts w:hint="eastAsia" w:ascii="宋体" w:hAnsi="宋体" w:eastAsia="宋体" w:cs="Arial"/>
          <w:sz w:val="24"/>
          <w:szCs w:val="24"/>
          <w:shd w:val="clear" w:color="auto" w:fill="FFFFFF"/>
        </w:rPr>
        <w:t>2022年1月1日以来（以合同签订时间为</w:t>
      </w:r>
      <w:r>
        <w:rPr>
          <w:rFonts w:hint="eastAsia" w:ascii="宋体" w:hAnsi="宋体" w:eastAsia="宋体" w:cs="Arial"/>
          <w:sz w:val="24"/>
          <w:szCs w:val="24"/>
          <w:shd w:val="clear" w:color="auto" w:fill="FFFFFF"/>
          <w:lang w:val="en-US" w:eastAsia="zh-CN"/>
        </w:rPr>
        <w:t>准</w:t>
      </w:r>
      <w:r>
        <w:rPr>
          <w:rFonts w:hint="eastAsia" w:ascii="宋体" w:hAnsi="宋体" w:eastAsia="宋体" w:cs="Arial"/>
          <w:sz w:val="24"/>
          <w:szCs w:val="24"/>
          <w:shd w:val="clear" w:color="auto" w:fill="FFFFFF"/>
        </w:rPr>
        <w:t>）投标人具有短信验证码项目服务业绩，且该业绩服务内容须包含短信验证功能模块</w:t>
      </w:r>
      <w:r>
        <w:rPr>
          <w:rFonts w:hint="eastAsia" w:ascii="宋体" w:hAnsi="宋体" w:eastAsia="宋体" w:cs="Arial"/>
          <w:sz w:val="24"/>
          <w:szCs w:val="24"/>
          <w:shd w:val="clear" w:color="auto" w:fill="FFFFFF"/>
          <w:lang w:eastAsia="zh-CN"/>
        </w:rPr>
        <w:t>。</w:t>
      </w:r>
    </w:p>
    <w:p w14:paraId="367C3EE7">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2.4项目负责人资格要求：/</w:t>
      </w:r>
      <w:r>
        <w:rPr>
          <w:rFonts w:hint="eastAsia" w:ascii="宋体" w:hAnsi="宋体" w:eastAsia="宋体" w:cs="Arial"/>
          <w:color w:val="000000" w:themeColor="text1"/>
          <w:sz w:val="24"/>
          <w:szCs w:val="24"/>
          <w:shd w:val="clear" w:color="auto" w:fill="FFFFFF"/>
          <w14:textFill>
            <w14:solidFill>
              <w14:schemeClr w14:val="tx1"/>
            </w14:solidFill>
          </w14:textFill>
        </w:rPr>
        <w:t>；</w:t>
      </w:r>
    </w:p>
    <w:p w14:paraId="5D0F4EC4">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2.5本项目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不接受</w:t>
      </w:r>
      <w:r>
        <w:rPr>
          <w:rFonts w:hint="eastAsia" w:asciiTheme="majorEastAsia" w:hAnsiTheme="majorEastAsia" w:eastAsiaTheme="majorEastAsia" w:cstheme="majorEastAsia"/>
          <w:sz w:val="24"/>
          <w:szCs w:val="24"/>
        </w:rPr>
        <w:t>联合体投标；</w:t>
      </w:r>
    </w:p>
    <w:p w14:paraId="441EFFB3">
      <w:pPr>
        <w:spacing w:line="360" w:lineRule="auto"/>
        <w:ind w:firstLine="480" w:firstLineChars="200"/>
        <w:rPr>
          <w:rFonts w:asciiTheme="majorEastAsia" w:hAnsiTheme="majorEastAsia" w:eastAsiaTheme="majorEastAsia" w:cstheme="majorEastAsia"/>
          <w:b/>
          <w:bCs/>
          <w:i/>
          <w:iCs/>
          <w:sz w:val="24"/>
          <w:szCs w:val="24"/>
        </w:rPr>
      </w:pPr>
      <w:r>
        <w:rPr>
          <w:rFonts w:hint="eastAsia" w:asciiTheme="majorEastAsia" w:hAnsiTheme="majorEastAsia" w:eastAsiaTheme="majorEastAsia" w:cstheme="majorEastAsia"/>
          <w:sz w:val="24"/>
          <w:szCs w:val="24"/>
        </w:rPr>
        <w:t>2.6投标人不得存在以下不良信用记录情形：</w:t>
      </w:r>
    </w:p>
    <w:p w14:paraId="4A2846B2">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（1）被责令停产停业，暂扣或者吊销许可证，暂扣或者吊销执照；</w:t>
      </w:r>
    </w:p>
    <w:p w14:paraId="1B66ED08">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（2）进入清算程序，或被宣告破产，或其他丧失履约能力的情形；</w:t>
      </w:r>
    </w:p>
    <w:p w14:paraId="52EC9644">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（3）在国家企业信用信息公示系统（http://www.gsxt.gov.cn/）中被列入严重违法失信企业名单；</w:t>
      </w:r>
    </w:p>
    <w:p w14:paraId="4414C743">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（4）在“信用中国”网站（http://www.creditchina.gov.cn/）中被列入失信被执行人名单；</w:t>
      </w:r>
    </w:p>
    <w:p w14:paraId="6D242F11">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（5）在“信用中国”网站（http://www.creditchina.gov.cn/）中被列入重大税收违法失信主体名单；</w:t>
      </w:r>
    </w:p>
    <w:p w14:paraId="006E6623">
      <w:p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（6）在近三年内投标人或其法定代表人（单位负责人）有行贿犯罪行为的；</w:t>
      </w:r>
    </w:p>
    <w:p w14:paraId="634142BD">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2.7其他要求：/。</w:t>
      </w:r>
    </w:p>
    <w:p w14:paraId="5162006F">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3.比选文件的获取</w:t>
      </w:r>
    </w:p>
    <w:p w14:paraId="16CC580E">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3.1获取时间：2024年07月24日00:00至2024年07月26日14:00 </w:t>
      </w:r>
    </w:p>
    <w:p w14:paraId="4340E194">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3.2获取方式：</w:t>
      </w:r>
    </w:p>
    <w:p w14:paraId="61ACEBF3">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（1）本比选项目实行全流程电子化交易。</w:t>
      </w:r>
    </w:p>
    <w:p w14:paraId="77F8706D">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潜在投标人须登录安徽公共资源交易集团电子交易系统（以下简称“电子交易系统”）查阅比选文件。</w:t>
      </w:r>
    </w:p>
    <w:p w14:paraId="28DE8B39">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（3）潜在投标人查阅比选文件后，如参与投标，则须在规定的比选文件获取时间内通过安徽公共资源交易集团电子交易系统完成投标信息的填写。</w:t>
      </w:r>
    </w:p>
    <w:p w14:paraId="1402B360">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（4）比选文件费用支付方式：网上支付。</w:t>
      </w:r>
    </w:p>
    <w:p w14:paraId="20A8708D">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（5）比选文件获取过程中有任何疑问，请在工作时间（9：00-17：30，节假日休息）拨打技术支持热线（非项目咨询）：4009980000。项目咨询请拨打电话：0551-66223831、66223668。</w:t>
      </w:r>
    </w:p>
    <w:p w14:paraId="085627C6">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3.3比选文件价格：每套人民币</w:t>
      </w:r>
      <w:r>
        <w:rPr>
          <w:rFonts w:hint="eastAsia" w:asciiTheme="majorEastAsia" w:hAnsiTheme="majorEastAsia" w:eastAsiaTheme="majorEastAsia" w:cstheme="majorEastAsia"/>
          <w:sz w:val="24"/>
          <w:szCs w:val="24"/>
          <w:u w:val="single"/>
        </w:rPr>
        <w:t xml:space="preserve"> 200 </w:t>
      </w:r>
      <w:r>
        <w:rPr>
          <w:rFonts w:hint="eastAsia" w:asciiTheme="majorEastAsia" w:hAnsiTheme="majorEastAsia" w:eastAsiaTheme="majorEastAsia" w:cstheme="majorEastAsia"/>
          <w:sz w:val="24"/>
          <w:szCs w:val="24"/>
        </w:rPr>
        <w:t>元整，售后不退。</w:t>
      </w:r>
    </w:p>
    <w:p w14:paraId="714289E6">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4.投标文件提交截止时间</w:t>
      </w:r>
    </w:p>
    <w:p w14:paraId="2A89FA2F">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同比选时间</w:t>
      </w:r>
    </w:p>
    <w:p w14:paraId="29955B0F">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5.比选时间及地点</w:t>
      </w:r>
    </w:p>
    <w:p w14:paraId="71FBED7D">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5.1比选时间：2024年07月26日14时00分</w:t>
      </w:r>
    </w:p>
    <w:p w14:paraId="294E16FE">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 xml:space="preserve">5.2比选地点：合肥市滨湖新区徽州大道4872号金融港中心A9幢安徽公共资源交易集团二楼评标室（九） </w:t>
      </w:r>
    </w:p>
    <w:p w14:paraId="7D4A6EAD">
      <w:pPr>
        <w:spacing w:line="360" w:lineRule="auto"/>
        <w:ind w:firstLine="435"/>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6.发布公告的媒介</w:t>
      </w:r>
    </w:p>
    <w:p w14:paraId="69E4969B">
      <w:pPr>
        <w:spacing w:line="360" w:lineRule="auto"/>
        <w:ind w:firstLine="435"/>
        <w:rPr>
          <w:rFonts w:asciiTheme="minorEastAsia" w:hAnsiTheme="minorEastAsia" w:eastAsiaTheme="minorEastAsia"/>
          <w:b/>
          <w:sz w:val="24"/>
          <w:szCs w:val="18"/>
        </w:rPr>
      </w:pPr>
      <w:r>
        <w:rPr>
          <w:rFonts w:hint="eastAsia" w:asciiTheme="minorEastAsia" w:hAnsiTheme="minorEastAsia" w:eastAsiaTheme="minorEastAsia"/>
          <w:sz w:val="24"/>
          <w:szCs w:val="18"/>
        </w:rPr>
        <w:t>本次比选公告在安徽公共资源交易集团网站</w:t>
      </w:r>
      <w:r>
        <w:rPr>
          <w:rFonts w:asciiTheme="minorEastAsia" w:hAnsiTheme="minorEastAsia" w:eastAsiaTheme="minorEastAsia"/>
          <w:sz w:val="24"/>
          <w:szCs w:val="18"/>
        </w:rPr>
        <w:t>发布。</w:t>
      </w:r>
    </w:p>
    <w:p w14:paraId="13BF931D">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sz w:val="24"/>
          <w:szCs w:val="18"/>
        </w:rPr>
        <w:t>7.</w:t>
      </w:r>
      <w:r>
        <w:rPr>
          <w:rFonts w:hint="eastAsia" w:asciiTheme="minorEastAsia" w:hAnsiTheme="minorEastAsia" w:eastAsiaTheme="minorEastAsia"/>
          <w:b/>
          <w:bCs/>
          <w:sz w:val="24"/>
          <w:szCs w:val="18"/>
        </w:rPr>
        <w:t>联系方式</w:t>
      </w:r>
    </w:p>
    <w:p w14:paraId="6F324C29">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7.1招标人</w:t>
      </w:r>
    </w:p>
    <w:p w14:paraId="2452D4FA">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招标人：</w:t>
      </w:r>
      <w:r>
        <w:rPr>
          <w:rFonts w:hint="eastAsia" w:asciiTheme="minorEastAsia" w:hAnsiTheme="minorEastAsia" w:eastAsiaTheme="minorEastAsia"/>
          <w:sz w:val="24"/>
          <w:szCs w:val="18"/>
          <w:u w:val="single"/>
        </w:rPr>
        <w:t>合肥百货大楼集团股份有限公司</w:t>
      </w:r>
    </w:p>
    <w:p w14:paraId="75178AD8">
      <w:pPr>
        <w:spacing w:line="360" w:lineRule="auto"/>
        <w:ind w:firstLine="435"/>
        <w:rPr>
          <w:rFonts w:asciiTheme="minorEastAsia" w:hAnsiTheme="minorEastAsia" w:eastAsiaTheme="minorEastAsia"/>
          <w:sz w:val="24"/>
          <w:szCs w:val="18"/>
          <w:u w:val="single"/>
        </w:rPr>
      </w:pPr>
      <w:r>
        <w:rPr>
          <w:rFonts w:hint="eastAsia" w:asciiTheme="minorEastAsia" w:hAnsiTheme="minorEastAsia" w:eastAsiaTheme="minorEastAsia"/>
          <w:sz w:val="24"/>
          <w:szCs w:val="18"/>
        </w:rPr>
        <w:t xml:space="preserve">地 </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址：</w:t>
      </w:r>
      <w:r>
        <w:rPr>
          <w:rFonts w:hint="eastAsia" w:asciiTheme="majorEastAsia" w:hAnsiTheme="majorEastAsia" w:eastAsiaTheme="majorEastAsia" w:cstheme="majorEastAsia"/>
          <w:sz w:val="24"/>
          <w:szCs w:val="24"/>
          <w:u w:val="single"/>
        </w:rPr>
        <w:t>合肥市黄山路596号</w:t>
      </w:r>
      <w:r>
        <w:rPr>
          <w:rFonts w:asciiTheme="minorEastAsia" w:hAnsiTheme="minorEastAsia" w:eastAsiaTheme="minorEastAsia"/>
          <w:sz w:val="24"/>
          <w:szCs w:val="18"/>
          <w:u w:val="single"/>
        </w:rPr>
        <w:t xml:space="preserve"> </w:t>
      </w:r>
    </w:p>
    <w:p w14:paraId="34C7CF67">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联系人：</w:t>
      </w:r>
      <w:r>
        <w:rPr>
          <w:rFonts w:hint="eastAsia" w:asciiTheme="majorEastAsia" w:hAnsiTheme="majorEastAsia" w:eastAsiaTheme="majorEastAsia" w:cstheme="majorEastAsia"/>
          <w:sz w:val="24"/>
          <w:szCs w:val="24"/>
          <w:u w:val="single"/>
        </w:rPr>
        <w:t>吴工</w:t>
      </w:r>
      <w:r>
        <w:rPr>
          <w:rFonts w:asciiTheme="minorEastAsia" w:hAnsiTheme="minorEastAsia" w:eastAsiaTheme="minorEastAsia"/>
          <w:sz w:val="24"/>
          <w:szCs w:val="18"/>
          <w:u w:val="single"/>
        </w:rPr>
        <w:t xml:space="preserve"> </w:t>
      </w:r>
    </w:p>
    <w:p w14:paraId="52420F71">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 xml:space="preserve">电 </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话：</w:t>
      </w:r>
      <w:r>
        <w:rPr>
          <w:rFonts w:hint="eastAsia" w:asciiTheme="majorEastAsia" w:hAnsiTheme="majorEastAsia" w:eastAsiaTheme="majorEastAsia" w:cstheme="majorEastAsia"/>
          <w:sz w:val="24"/>
          <w:szCs w:val="24"/>
          <w:u w:val="single"/>
        </w:rPr>
        <w:t>0551-65771082</w:t>
      </w:r>
      <w:r>
        <w:rPr>
          <w:rFonts w:asciiTheme="minorEastAsia" w:hAnsiTheme="minorEastAsia" w:eastAsiaTheme="minorEastAsia"/>
          <w:sz w:val="24"/>
          <w:szCs w:val="18"/>
          <w:u w:val="single"/>
        </w:rPr>
        <w:t xml:space="preserve"> </w:t>
      </w:r>
    </w:p>
    <w:p w14:paraId="218BBD11">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szCs w:val="18"/>
        </w:rPr>
        <w:t>7.2代理机构</w:t>
      </w:r>
    </w:p>
    <w:p w14:paraId="03A030EC">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代理机构：</w:t>
      </w:r>
      <w:r>
        <w:rPr>
          <w:rFonts w:hint="eastAsia" w:asciiTheme="minorEastAsia" w:hAnsiTheme="minorEastAsia" w:eastAsiaTheme="minorEastAsia"/>
          <w:sz w:val="24"/>
          <w:szCs w:val="18"/>
          <w:u w:val="single"/>
        </w:rPr>
        <w:t>安徽公共资源交易集团项目管理有限公司</w:t>
      </w:r>
    </w:p>
    <w:p w14:paraId="3B4DD3AC">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 xml:space="preserve">地 </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址：</w:t>
      </w:r>
      <w:r>
        <w:rPr>
          <w:rFonts w:hint="eastAsia" w:asciiTheme="minorEastAsia" w:hAnsiTheme="minorEastAsia" w:eastAsiaTheme="minorEastAsia"/>
          <w:sz w:val="24"/>
          <w:szCs w:val="18"/>
          <w:u w:val="single"/>
        </w:rPr>
        <w:t>合肥市滨湖新区南京路</w:t>
      </w:r>
      <w:r>
        <w:rPr>
          <w:rFonts w:asciiTheme="minorEastAsia" w:hAnsiTheme="minorEastAsia" w:eastAsiaTheme="minorEastAsia"/>
          <w:sz w:val="24"/>
          <w:szCs w:val="18"/>
          <w:u w:val="single"/>
        </w:rPr>
        <w:t>2588号（徽州大道与南京路交口）六楼</w:t>
      </w:r>
    </w:p>
    <w:p w14:paraId="71A9A8D3">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联系人：</w:t>
      </w:r>
      <w:r>
        <w:rPr>
          <w:rFonts w:hint="eastAsia" w:asciiTheme="minorEastAsia" w:hAnsiTheme="minorEastAsia" w:eastAsiaTheme="minorEastAsia"/>
          <w:sz w:val="24"/>
          <w:szCs w:val="18"/>
          <w:u w:val="single"/>
        </w:rPr>
        <w:t>李工</w:t>
      </w:r>
    </w:p>
    <w:p w14:paraId="76DE38A0">
      <w:pPr>
        <w:spacing w:line="360" w:lineRule="auto"/>
        <w:ind w:firstLine="435"/>
        <w:rPr>
          <w:rFonts w:asciiTheme="minorEastAsia" w:hAnsiTheme="minorEastAsia" w:eastAsiaTheme="minorEastAsia"/>
          <w:sz w:val="24"/>
          <w:szCs w:val="18"/>
          <w:u w:val="single"/>
        </w:rPr>
      </w:pPr>
      <w:r>
        <w:rPr>
          <w:rFonts w:hint="eastAsia" w:asciiTheme="minorEastAsia" w:hAnsiTheme="minorEastAsia" w:eastAsiaTheme="minorEastAsia"/>
          <w:sz w:val="24"/>
          <w:szCs w:val="18"/>
        </w:rPr>
        <w:t xml:space="preserve">电 </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话：</w:t>
      </w:r>
      <w:r>
        <w:rPr>
          <w:rFonts w:asciiTheme="minorEastAsia" w:hAnsiTheme="minorEastAsia" w:eastAsiaTheme="minorEastAsia"/>
          <w:sz w:val="24"/>
          <w:szCs w:val="18"/>
          <w:u w:val="single"/>
        </w:rPr>
        <w:t>0551-66223</w:t>
      </w:r>
      <w:r>
        <w:rPr>
          <w:rFonts w:hint="eastAsia" w:asciiTheme="minorEastAsia" w:hAnsiTheme="minorEastAsia" w:eastAsiaTheme="minorEastAsia"/>
          <w:sz w:val="24"/>
          <w:szCs w:val="18"/>
          <w:u w:val="single"/>
        </w:rPr>
        <w:t>922</w:t>
      </w:r>
    </w:p>
    <w:p w14:paraId="2F930969">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7.3</w:t>
      </w:r>
      <w:r>
        <w:rPr>
          <w:rFonts w:asciiTheme="minorEastAsia" w:hAnsiTheme="minorEastAsia" w:eastAsiaTheme="minorEastAsia"/>
          <w:sz w:val="24"/>
          <w:szCs w:val="18"/>
        </w:rPr>
        <w:t>电子交易系统</w:t>
      </w:r>
    </w:p>
    <w:p w14:paraId="4D212C40">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名  称：</w:t>
      </w:r>
      <w:r>
        <w:rPr>
          <w:rFonts w:hint="eastAsia" w:asciiTheme="minorEastAsia" w:hAnsiTheme="minorEastAsia" w:eastAsiaTheme="minorEastAsia"/>
          <w:sz w:val="24"/>
          <w:szCs w:val="18"/>
          <w:u w:val="single"/>
        </w:rPr>
        <w:t>安徽公共资源交易集团电子交易系统</w:t>
      </w:r>
    </w:p>
    <w:p w14:paraId="648C384D">
      <w:pPr>
        <w:spacing w:line="360" w:lineRule="auto"/>
        <w:ind w:firstLine="435"/>
        <w:rPr>
          <w:rFonts w:asciiTheme="minorEastAsia" w:hAnsiTheme="minorEastAsia" w:eastAsiaTheme="minorEastAsia"/>
          <w:sz w:val="24"/>
          <w:szCs w:val="18"/>
        </w:rPr>
      </w:pPr>
      <w:bookmarkStart w:id="2" w:name="_Hlk38114117"/>
      <w:r>
        <w:rPr>
          <w:rFonts w:hint="eastAsia" w:asciiTheme="minorEastAsia" w:hAnsiTheme="minorEastAsia" w:eastAsiaTheme="minorEastAsia"/>
          <w:sz w:val="24"/>
          <w:szCs w:val="18"/>
        </w:rPr>
        <w:t>电  话：</w:t>
      </w:r>
      <w:r>
        <w:rPr>
          <w:rFonts w:asciiTheme="minorEastAsia" w:hAnsiTheme="minorEastAsia" w:eastAsiaTheme="minorEastAsia"/>
          <w:sz w:val="24"/>
          <w:szCs w:val="18"/>
          <w:u w:val="single"/>
        </w:rPr>
        <w:t>400 998 0000</w:t>
      </w:r>
    </w:p>
    <w:bookmarkEnd w:id="2"/>
    <w:p w14:paraId="4ADF12D9">
      <w:pPr>
        <w:spacing w:line="360" w:lineRule="auto"/>
        <w:ind w:firstLine="435"/>
        <w:rPr>
          <w:rFonts w:asciiTheme="minorEastAsia" w:hAnsiTheme="minorEastAsia" w:eastAsiaTheme="minorEastAsia"/>
          <w:b/>
          <w:sz w:val="24"/>
          <w:szCs w:val="18"/>
        </w:rPr>
      </w:pPr>
      <w:r>
        <w:rPr>
          <w:rFonts w:hint="eastAsia" w:asciiTheme="minorEastAsia" w:hAnsiTheme="minorEastAsia" w:eastAsiaTheme="minorEastAsia"/>
          <w:sz w:val="24"/>
          <w:szCs w:val="18"/>
        </w:rPr>
        <w:t>7.4监督管理部门</w:t>
      </w:r>
    </w:p>
    <w:p w14:paraId="03EACA76">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监督管理部门</w:t>
      </w:r>
      <w:r>
        <w:rPr>
          <w:rFonts w:hint="eastAsia" w:ascii="宋体" w:hAnsi="宋体" w:eastAsia="宋体"/>
          <w:color w:val="000000" w:themeColor="text1"/>
          <w:sz w:val="24"/>
          <w:szCs w:val="18"/>
          <w14:textFill>
            <w14:solidFill>
              <w14:schemeClr w14:val="tx1"/>
            </w14:solidFill>
          </w14:textFill>
        </w:rPr>
        <w:t>：</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合肥百货大楼集团股份有限公司案管审理室</w:t>
      </w:r>
    </w:p>
    <w:p w14:paraId="5FD1F9A2">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合肥市黄山路596号</w:t>
      </w:r>
    </w:p>
    <w:p w14:paraId="18DF7871">
      <w:pPr>
        <w:spacing w:line="360" w:lineRule="auto"/>
        <w:ind w:firstLine="435"/>
        <w:rPr>
          <w:rFonts w:ascii="宋体" w:hAnsi="宋体" w:eastAsia="宋体"/>
          <w:color w:val="000000" w:themeColor="text1"/>
          <w:sz w:val="24"/>
          <w:szCs w:val="18"/>
          <w:u w:val="single"/>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 xml:space="preserve">电 </w:t>
      </w:r>
      <w:r>
        <w:rPr>
          <w:rFonts w:ascii="宋体" w:hAnsi="宋体" w:eastAsia="宋体"/>
          <w:color w:val="000000" w:themeColor="text1"/>
          <w:sz w:val="24"/>
          <w:szCs w:val="18"/>
          <w14:textFill>
            <w14:solidFill>
              <w14:schemeClr w14:val="tx1"/>
            </w14:solidFill>
          </w14:textFill>
        </w:rPr>
        <w:t xml:space="preserve"> </w:t>
      </w:r>
      <w:r>
        <w:rPr>
          <w:rFonts w:hint="eastAsia" w:ascii="宋体" w:hAnsi="宋体" w:eastAsia="宋体"/>
          <w:color w:val="000000" w:themeColor="text1"/>
          <w:sz w:val="24"/>
          <w:szCs w:val="18"/>
          <w14:textFill>
            <w14:solidFill>
              <w14:schemeClr w14:val="tx1"/>
            </w14:solidFill>
          </w14:textFill>
        </w:rPr>
        <w:t>话：</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0551-65771085</w:t>
      </w:r>
    </w:p>
    <w:p w14:paraId="06884968">
      <w:pPr>
        <w:spacing w:line="360" w:lineRule="auto"/>
        <w:ind w:firstLine="435"/>
        <w:rPr>
          <w:rFonts w:asciiTheme="minorEastAsia" w:hAnsiTheme="minorEastAsia" w:eastAsiaTheme="minorEastAsia"/>
          <w:b/>
          <w:sz w:val="24"/>
          <w:szCs w:val="18"/>
        </w:rPr>
      </w:pPr>
      <w:r>
        <w:rPr>
          <w:rFonts w:hint="eastAsia" w:asciiTheme="minorEastAsia" w:hAnsiTheme="minorEastAsia" w:eastAsiaTheme="minorEastAsia"/>
          <w:b/>
          <w:sz w:val="24"/>
          <w:szCs w:val="18"/>
        </w:rPr>
        <w:t>8.其他事项说明</w:t>
      </w:r>
    </w:p>
    <w:p w14:paraId="1D54D84C">
      <w:pPr>
        <w:spacing w:line="360" w:lineRule="auto"/>
        <w:ind w:firstLine="435"/>
        <w:rPr>
          <w:rFonts w:asciiTheme="minorEastAsia" w:hAnsiTheme="minorEastAsia" w:eastAsiaTheme="minorEastAsia"/>
          <w:bCs/>
          <w:sz w:val="24"/>
          <w:szCs w:val="18"/>
        </w:rPr>
      </w:pPr>
      <w:r>
        <w:rPr>
          <w:rFonts w:hint="eastAsia" w:asciiTheme="minorEastAsia" w:hAnsiTheme="minorEastAsia" w:eastAsiaTheme="minorEastAsia"/>
          <w:sz w:val="24"/>
        </w:rPr>
        <w:t>8.1</w:t>
      </w:r>
      <w:r>
        <w:rPr>
          <w:rFonts w:hint="eastAsia" w:asciiTheme="minorEastAsia" w:hAnsiTheme="minorEastAsia" w:eastAsiaTheme="minorEastAsia"/>
          <w:bCs/>
          <w:sz w:val="24"/>
          <w:szCs w:val="18"/>
        </w:rPr>
        <w:t>投标人应合理安排比选文件获取时间，特别是网络速度慢的地区防止在系统关闭前网络拥堵无法操作。如果因计算机及网络故障造成无法完成比选文件获取，责任自负。</w:t>
      </w:r>
    </w:p>
    <w:p w14:paraId="74645024">
      <w:pPr>
        <w:spacing w:line="360" w:lineRule="auto"/>
        <w:ind w:firstLine="43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8.2投标人如需开具标书工本费发票，在项目比选次日后自行登录安徽公共资源交易集团电子交易系统平台打印。</w:t>
      </w:r>
    </w:p>
    <w:p w14:paraId="2EFCD844">
      <w:pPr>
        <w:spacing w:line="360" w:lineRule="auto"/>
        <w:ind w:firstLine="435"/>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9.投标保证金账户（如采用银行转账或银行电汇形式递交的，请选择以下任何一家银行递交即可）</w:t>
      </w:r>
    </w:p>
    <w:p w14:paraId="12CC3EC9">
      <w:pPr>
        <w:spacing w:line="360" w:lineRule="auto"/>
        <w:ind w:firstLine="435"/>
        <w:rPr>
          <w:rFonts w:hint="default" w:asciiTheme="majorEastAsia" w:hAnsiTheme="majorEastAsia" w:eastAsiaTheme="majorEastAsia" w:cstheme="majorEastAsia"/>
          <w:bCs/>
          <w:kern w:val="2"/>
          <w:sz w:val="24"/>
          <w:szCs w:val="24"/>
          <w:lang w:val="en-US" w:eastAsia="zh-CN" w:bidi="ar-SA"/>
        </w:rPr>
      </w:pPr>
      <w:r>
        <w:rPr>
          <w:rFonts w:hint="eastAsia" w:asciiTheme="majorEastAsia" w:hAnsiTheme="majorEastAsia" w:eastAsiaTheme="majorEastAsia" w:cstheme="majorEastAsia"/>
          <w:bCs/>
          <w:kern w:val="2"/>
          <w:sz w:val="24"/>
          <w:szCs w:val="24"/>
          <w:lang w:val="en-US" w:eastAsia="zh-CN" w:bidi="ar-SA"/>
        </w:rPr>
        <w:t>本项目无需保证金。</w:t>
      </w:r>
    </w:p>
    <w:p w14:paraId="35A0A3E8">
      <w:pPr>
        <w:widowControl/>
        <w:jc w:val="left"/>
        <w:rPr>
          <w:rFonts w:asciiTheme="minorEastAsia" w:hAnsiTheme="minorEastAsia" w:eastAsiaTheme="minorEastAsia"/>
          <w:sz w:val="24"/>
          <w:szCs w:val="18"/>
        </w:rPr>
      </w:pPr>
      <w:r>
        <w:rPr>
          <w:rFonts w:asciiTheme="minorEastAsia" w:hAnsiTheme="minorEastAsia" w:eastAsiaTheme="minorEastAsia"/>
          <w:sz w:val="24"/>
          <w:szCs w:val="18"/>
        </w:rPr>
        <w:br w:type="page"/>
      </w:r>
    </w:p>
    <w:p w14:paraId="700C7F7A">
      <w:pPr>
        <w:spacing w:line="360" w:lineRule="auto"/>
        <w:jc w:val="center"/>
        <w:outlineLvl w:val="1"/>
        <w:rPr>
          <w:rFonts w:asciiTheme="minorEastAsia" w:hAnsiTheme="minorEastAsia" w:eastAsiaTheme="minorEastAsia"/>
          <w:b/>
          <w:sz w:val="28"/>
        </w:rPr>
      </w:pPr>
      <w:bookmarkStart w:id="3" w:name="_Toc22585"/>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3"/>
    </w:p>
    <w:p w14:paraId="797BEDE0">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一、投标人</w:t>
      </w:r>
      <w:r>
        <w:rPr>
          <w:rFonts w:asciiTheme="minorEastAsia" w:hAnsiTheme="minorEastAsia" w:eastAsiaTheme="minorEastAsia"/>
          <w:b/>
          <w:sz w:val="24"/>
        </w:rPr>
        <w:t>须知前附表</w:t>
      </w:r>
      <w:bookmarkStart w:id="38" w:name="_GoBack"/>
      <w:bookmarkEnd w:id="38"/>
    </w:p>
    <w:tbl>
      <w:tblPr>
        <w:tblStyle w:val="24"/>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4037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7655CE7">
            <w:pPr>
              <w:pStyle w:val="42"/>
              <w:rPr>
                <w:bCs/>
              </w:rPr>
            </w:pPr>
            <w:r>
              <w:rPr>
                <w:rFonts w:hint="eastAsia"/>
              </w:rPr>
              <w:t>条款号</w:t>
            </w:r>
          </w:p>
        </w:tc>
        <w:tc>
          <w:tcPr>
            <w:tcW w:w="1072" w:type="pct"/>
            <w:vAlign w:val="center"/>
          </w:tcPr>
          <w:p w14:paraId="7481BE7F">
            <w:pPr>
              <w:pStyle w:val="42"/>
              <w:rPr>
                <w:bCs/>
              </w:rPr>
            </w:pPr>
            <w:r>
              <w:rPr>
                <w:rFonts w:hint="eastAsia"/>
              </w:rPr>
              <w:t>条款名称</w:t>
            </w:r>
          </w:p>
        </w:tc>
        <w:tc>
          <w:tcPr>
            <w:tcW w:w="3350" w:type="pct"/>
            <w:vAlign w:val="center"/>
          </w:tcPr>
          <w:p w14:paraId="19AAFE39">
            <w:pPr>
              <w:pStyle w:val="42"/>
              <w:rPr>
                <w:bCs/>
              </w:rPr>
            </w:pPr>
            <w:r>
              <w:rPr>
                <w:rFonts w:hint="eastAsia"/>
              </w:rPr>
              <w:t>内容、说明与要求</w:t>
            </w:r>
          </w:p>
        </w:tc>
      </w:tr>
      <w:tr w14:paraId="007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8F4049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p>
        </w:tc>
        <w:tc>
          <w:tcPr>
            <w:tcW w:w="1072" w:type="pct"/>
            <w:vAlign w:val="center"/>
          </w:tcPr>
          <w:p w14:paraId="018541EB">
            <w:pPr>
              <w:pStyle w:val="43"/>
              <w:pBdr>
                <w:bottom w:val="none" w:color="auto" w:sz="0" w:space="0"/>
              </w:pBdr>
              <w:tabs>
                <w:tab w:val="clear" w:pos="4153"/>
                <w:tab w:val="clear" w:pos="8306"/>
              </w:tabs>
              <w:adjustRightInd/>
              <w:spacing w:line="360" w:lineRule="auto"/>
              <w:textAlignment w:val="auto"/>
              <w:rPr>
                <w:rFonts w:asciiTheme="minorEastAsia" w:hAnsiTheme="minorEastAsia" w:eastAsiaTheme="minorEastAsia"/>
              </w:rPr>
            </w:pPr>
            <w:r>
              <w:rPr>
                <w:rFonts w:hint="eastAsia" w:ascii="宋体" w:hAnsi="宋体" w:eastAsia="宋体" w:cs="宋体"/>
                <w:bCs/>
                <w:kern w:val="2"/>
                <w:szCs w:val="24"/>
              </w:rPr>
              <w:t>投标人提出疑问截止时间</w:t>
            </w:r>
          </w:p>
        </w:tc>
        <w:tc>
          <w:tcPr>
            <w:tcW w:w="3350" w:type="pct"/>
          </w:tcPr>
          <w:p w14:paraId="37016C8A">
            <w:pPr>
              <w:spacing w:line="440" w:lineRule="exact"/>
              <w:rPr>
                <w:rFonts w:ascii="宋体" w:hAnsi="宋体" w:eastAsia="宋体" w:cs="宋体"/>
                <w:bCs/>
                <w:kern w:val="0"/>
                <w:sz w:val="24"/>
                <w:szCs w:val="24"/>
              </w:rPr>
            </w:pPr>
            <w:r>
              <w:rPr>
                <w:rFonts w:hint="eastAsia" w:ascii="宋体" w:hAnsi="宋体" w:eastAsia="宋体" w:cs="宋体"/>
                <w:bCs/>
                <w:kern w:val="0"/>
                <w:sz w:val="24"/>
                <w:szCs w:val="24"/>
              </w:rPr>
              <w:t>（1）时间：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07</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25</w:t>
            </w:r>
            <w:r>
              <w:rPr>
                <w:rFonts w:hint="eastAsia" w:ascii="宋体" w:hAnsi="宋体" w:eastAsia="宋体" w:cs="宋体"/>
                <w:bCs/>
                <w:sz w:val="24"/>
                <w:szCs w:val="24"/>
              </w:rPr>
              <w:t>日</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lang w:val="en-US" w:eastAsia="zh-CN"/>
              </w:rPr>
              <w:t>时</w:t>
            </w:r>
            <w:r>
              <w:rPr>
                <w:rFonts w:hint="eastAsia" w:ascii="宋体" w:hAnsi="宋体" w:eastAsia="宋体" w:cs="宋体"/>
                <w:bCs/>
                <w:sz w:val="24"/>
                <w:szCs w:val="24"/>
                <w:u w:val="single"/>
                <w:lang w:val="en-US" w:eastAsia="zh-CN"/>
              </w:rPr>
              <w:t>00</w:t>
            </w:r>
            <w:r>
              <w:rPr>
                <w:rFonts w:hint="eastAsia" w:ascii="宋体" w:hAnsi="宋体" w:eastAsia="宋体" w:cs="宋体"/>
                <w:bCs/>
                <w:sz w:val="24"/>
                <w:szCs w:val="24"/>
              </w:rPr>
              <w:t>分</w:t>
            </w:r>
          </w:p>
          <w:p w14:paraId="147339DF">
            <w:pPr>
              <w:spacing w:line="440" w:lineRule="exact"/>
              <w:rPr>
                <w:rFonts w:asciiTheme="minorEastAsia" w:hAnsiTheme="minorEastAsia" w:eastAsiaTheme="minorEastAsia"/>
                <w:sz w:val="24"/>
              </w:rPr>
            </w:pPr>
            <w:r>
              <w:rPr>
                <w:rFonts w:hint="eastAsia" w:ascii="宋体" w:hAnsi="宋体" w:eastAsia="宋体" w:cs="宋体"/>
                <w:bCs/>
                <w:kern w:val="0"/>
                <w:sz w:val="24"/>
                <w:szCs w:val="24"/>
              </w:rPr>
              <w:t>（2）形式：通过电子交易系统提交</w:t>
            </w:r>
          </w:p>
        </w:tc>
      </w:tr>
      <w:tr w14:paraId="5A2C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938C5D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2</w:t>
            </w:r>
          </w:p>
        </w:tc>
        <w:tc>
          <w:tcPr>
            <w:tcW w:w="1072" w:type="pct"/>
            <w:vAlign w:val="center"/>
          </w:tcPr>
          <w:p w14:paraId="142B2F73">
            <w:pPr>
              <w:pStyle w:val="42"/>
              <w:rPr>
                <w:bCs/>
                <w:sz w:val="24"/>
              </w:rPr>
            </w:pPr>
            <w:r>
              <w:rPr>
                <w:rFonts w:hint="eastAsia"/>
                <w:bCs/>
                <w:sz w:val="24"/>
              </w:rPr>
              <w:t>比选有效期</w:t>
            </w:r>
          </w:p>
        </w:tc>
        <w:tc>
          <w:tcPr>
            <w:tcW w:w="3350" w:type="pct"/>
            <w:vAlign w:val="center"/>
          </w:tcPr>
          <w:p w14:paraId="68C94CB3">
            <w:pPr>
              <w:pStyle w:val="42"/>
              <w:rPr>
                <w:bCs/>
                <w:sz w:val="24"/>
              </w:rPr>
            </w:pPr>
            <w:r>
              <w:rPr>
                <w:rFonts w:hint="eastAsia"/>
                <w:bCs/>
                <w:sz w:val="24"/>
                <w:u w:val="single"/>
              </w:rPr>
              <w:t xml:space="preserve">90 </w:t>
            </w:r>
            <w:r>
              <w:rPr>
                <w:rFonts w:hint="eastAsia"/>
                <w:bCs/>
                <w:sz w:val="24"/>
              </w:rPr>
              <w:t>日历日</w:t>
            </w:r>
          </w:p>
        </w:tc>
      </w:tr>
      <w:tr w14:paraId="2398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3D7FCC9">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w:t>
            </w:r>
          </w:p>
        </w:tc>
        <w:tc>
          <w:tcPr>
            <w:tcW w:w="1072" w:type="pct"/>
            <w:vAlign w:val="center"/>
          </w:tcPr>
          <w:p w14:paraId="12877119">
            <w:pPr>
              <w:pStyle w:val="42"/>
              <w:rPr>
                <w:bCs/>
                <w:sz w:val="24"/>
              </w:rPr>
            </w:pPr>
            <w:r>
              <w:rPr>
                <w:rFonts w:hint="eastAsia"/>
                <w:bCs/>
                <w:sz w:val="24"/>
              </w:rPr>
              <w:t>现场踏勘</w:t>
            </w:r>
          </w:p>
        </w:tc>
        <w:tc>
          <w:tcPr>
            <w:tcW w:w="3350" w:type="pct"/>
            <w:vAlign w:val="center"/>
          </w:tcPr>
          <w:p w14:paraId="19FF4443">
            <w:pPr>
              <w:spacing w:line="360" w:lineRule="auto"/>
              <w:rPr>
                <w:rFonts w:ascii="宋体" w:hAnsi="宋体" w:eastAsia="宋体" w:cs="宋体"/>
                <w:bCs/>
                <w:sz w:val="24"/>
                <w:szCs w:val="24"/>
              </w:rPr>
            </w:pPr>
            <w:r>
              <w:rPr>
                <w:rFonts w:hint="eastAsia" w:ascii="宋体" w:hAnsi="宋体" w:eastAsia="宋体" w:cs="宋体"/>
                <w:bCs/>
                <w:sz w:val="24"/>
                <w:szCs w:val="24"/>
              </w:rPr>
              <w:sym w:font="Wingdings 2" w:char="0052"/>
            </w:r>
            <w:r>
              <w:rPr>
                <w:rFonts w:hint="eastAsia" w:ascii="宋体" w:hAnsi="宋体" w:eastAsia="宋体" w:cs="宋体"/>
                <w:bCs/>
                <w:sz w:val="24"/>
                <w:szCs w:val="24"/>
              </w:rPr>
              <w:t>自行踏勘</w:t>
            </w:r>
          </w:p>
        </w:tc>
      </w:tr>
      <w:tr w14:paraId="7BA8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99899F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4</w:t>
            </w:r>
          </w:p>
        </w:tc>
        <w:tc>
          <w:tcPr>
            <w:tcW w:w="1072" w:type="pct"/>
            <w:vAlign w:val="center"/>
          </w:tcPr>
          <w:p w14:paraId="2B2A51A8">
            <w:pPr>
              <w:pStyle w:val="43"/>
              <w:pBdr>
                <w:bottom w:val="none" w:color="auto" w:sz="0" w:space="0"/>
              </w:pBdr>
              <w:tabs>
                <w:tab w:val="clear" w:pos="4153"/>
                <w:tab w:val="clear" w:pos="8306"/>
              </w:tabs>
              <w:adjustRightInd/>
              <w:spacing w:line="360" w:lineRule="auto"/>
              <w:textAlignment w:val="auto"/>
              <w:rPr>
                <w:rFonts w:asciiTheme="minorEastAsia" w:hAnsiTheme="minorEastAsia" w:eastAsiaTheme="minorEastAsia"/>
              </w:rPr>
            </w:pPr>
            <w:r>
              <w:rPr>
                <w:rFonts w:hint="eastAsia" w:ascii="宋体" w:hAnsi="宋体" w:eastAsia="宋体" w:cs="宋体"/>
                <w:bCs/>
                <w:kern w:val="2"/>
                <w:szCs w:val="24"/>
              </w:rPr>
              <w:t>关于联合体参加</w:t>
            </w:r>
            <w:r>
              <w:rPr>
                <w:rFonts w:hint="eastAsia" w:asciiTheme="minorEastAsia" w:hAnsiTheme="minorEastAsia" w:eastAsiaTheme="minorEastAsia"/>
              </w:rPr>
              <w:t>比选</w:t>
            </w:r>
            <w:r>
              <w:rPr>
                <w:rFonts w:hint="eastAsia" w:ascii="宋体" w:hAnsi="宋体" w:eastAsia="宋体" w:cs="宋体"/>
                <w:bCs/>
                <w:kern w:val="2"/>
                <w:szCs w:val="24"/>
              </w:rPr>
              <w:t>的相关约定</w:t>
            </w:r>
          </w:p>
        </w:tc>
        <w:tc>
          <w:tcPr>
            <w:tcW w:w="3350" w:type="pct"/>
            <w:vAlign w:val="center"/>
          </w:tcPr>
          <w:p w14:paraId="70DC4C54">
            <w:pPr>
              <w:pStyle w:val="42"/>
              <w:rPr>
                <w:rFonts w:asciiTheme="minorEastAsia" w:hAnsiTheme="minorEastAsia" w:eastAsiaTheme="minorEastAsia"/>
                <w:sz w:val="24"/>
                <w:u w:val="single"/>
              </w:rPr>
            </w:pPr>
            <w:r>
              <w:rPr>
                <w:rFonts w:hint="eastAsia"/>
                <w:bCs/>
                <w:sz w:val="24"/>
              </w:rPr>
              <w:t>不接受联合体参加比选</w:t>
            </w:r>
          </w:p>
        </w:tc>
      </w:tr>
      <w:tr w14:paraId="3FCF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AA3DD73">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5</w:t>
            </w:r>
          </w:p>
        </w:tc>
        <w:tc>
          <w:tcPr>
            <w:tcW w:w="1072" w:type="pct"/>
            <w:vAlign w:val="center"/>
          </w:tcPr>
          <w:p w14:paraId="2894B02F">
            <w:pPr>
              <w:pStyle w:val="43"/>
              <w:pBdr>
                <w:bottom w:val="none" w:color="auto" w:sz="0" w:space="0"/>
              </w:pBdr>
              <w:tabs>
                <w:tab w:val="clear" w:pos="4153"/>
                <w:tab w:val="clear" w:pos="8306"/>
              </w:tabs>
              <w:adjustRightInd/>
              <w:spacing w:line="360" w:lineRule="auto"/>
              <w:textAlignment w:val="auto"/>
              <w:rPr>
                <w:rFonts w:asciiTheme="minorEastAsia" w:hAnsiTheme="minorEastAsia" w:eastAsiaTheme="minorEastAsia"/>
              </w:rPr>
            </w:pPr>
            <w:r>
              <w:rPr>
                <w:rFonts w:hint="eastAsia" w:ascii="宋体" w:hAnsi="宋体" w:eastAsia="宋体" w:cs="宋体"/>
                <w:bCs/>
                <w:kern w:val="2"/>
                <w:szCs w:val="24"/>
              </w:rPr>
              <w:t>初审业绩要求</w:t>
            </w:r>
          </w:p>
        </w:tc>
        <w:tc>
          <w:tcPr>
            <w:tcW w:w="3350" w:type="pct"/>
            <w:vAlign w:val="center"/>
          </w:tcPr>
          <w:p w14:paraId="5B431951">
            <w:pPr>
              <w:spacing w:line="360" w:lineRule="auto"/>
              <w:rPr>
                <w:rFonts w:ascii="宋体" w:hAnsi="宋体" w:eastAsia="宋体"/>
                <w:sz w:val="24"/>
                <w:szCs w:val="24"/>
              </w:rPr>
            </w:pPr>
            <w:r>
              <w:rPr>
                <w:rFonts w:hint="eastAsia" w:ascii="宋体" w:hAnsi="宋体" w:eastAsia="宋体"/>
                <w:sz w:val="24"/>
                <w:szCs w:val="24"/>
              </w:rPr>
              <w:t>投标人应按下列规定提供业绩证明资料：</w:t>
            </w:r>
          </w:p>
          <w:p w14:paraId="723958B8">
            <w:pPr>
              <w:spacing w:line="360" w:lineRule="auto"/>
              <w:rPr>
                <w:rFonts w:ascii="宋体" w:hAnsi="宋体" w:eastAsia="宋体"/>
                <w:sz w:val="24"/>
                <w:szCs w:val="24"/>
              </w:rPr>
            </w:pPr>
            <w:r>
              <w:rPr>
                <w:rFonts w:hint="eastAsia" w:ascii="宋体" w:hAnsi="宋体" w:eastAsia="宋体"/>
                <w:sz w:val="24"/>
                <w:szCs w:val="24"/>
              </w:rPr>
              <w:t>☑已完成的业绩：投标文件中须同时提供以下业绩证明材料：</w:t>
            </w:r>
          </w:p>
          <w:p w14:paraId="27C4A2BE">
            <w:pPr>
              <w:spacing w:line="360" w:lineRule="auto"/>
              <w:rPr>
                <w:rFonts w:ascii="宋体" w:hAnsi="宋体" w:eastAsia="宋体"/>
                <w:sz w:val="24"/>
                <w:szCs w:val="24"/>
              </w:rPr>
            </w:pPr>
            <w:r>
              <w:rPr>
                <w:rFonts w:hint="eastAsia" w:ascii="宋体" w:hAnsi="宋体" w:eastAsia="宋体"/>
                <w:sz w:val="24"/>
                <w:szCs w:val="24"/>
              </w:rPr>
              <w:t>（1）业绩合同扫描件；</w:t>
            </w:r>
          </w:p>
          <w:p w14:paraId="7C3F6BB0">
            <w:pPr>
              <w:spacing w:line="360" w:lineRule="auto"/>
              <w:rPr>
                <w:rFonts w:hint="eastAsia" w:ascii="宋体" w:hAnsi="宋体" w:eastAsia="宋体"/>
                <w:sz w:val="24"/>
                <w:szCs w:val="24"/>
              </w:rPr>
            </w:pPr>
            <w:r>
              <w:rPr>
                <w:rFonts w:hint="eastAsia" w:ascii="宋体" w:hAnsi="宋体" w:eastAsia="宋体"/>
                <w:sz w:val="24"/>
                <w:szCs w:val="24"/>
              </w:rPr>
              <w:t>（2）与该业绩对应的项目已完成的证明材料（如验收报告或业主（或合同甲方）证明），符合公告2.3规定。</w:t>
            </w:r>
          </w:p>
          <w:p w14:paraId="3FAC16CB">
            <w:pPr>
              <w:pStyle w:val="2"/>
              <w:ind w:left="0" w:leftChars="0" w:firstLine="0" w:firstLineChars="0"/>
            </w:pPr>
            <w:r>
              <w:rPr>
                <w:rFonts w:hint="eastAsia" w:ascii="宋体" w:hAnsi="宋体" w:eastAsia="宋体" w:cs="@仿宋_GB2312"/>
                <w:b/>
                <w:bCs/>
                <w:kern w:val="2"/>
                <w:sz w:val="24"/>
                <w:szCs w:val="24"/>
                <w:lang w:val="en-US" w:eastAsia="zh-CN" w:bidi="ar-SA"/>
              </w:rPr>
              <w:t>备注：如投标人提供的上述要求的业绩合同扫描件均未能明确反映出比选文件所要求的内容的（如合同金额、合同签订时间、服务内容等），应另附业主（或合同甲方）证明材料予以明确说明，须加盖项目业主单位或合同甲方公章，否则评审小组不予认可。</w:t>
            </w:r>
          </w:p>
        </w:tc>
      </w:tr>
      <w:tr w14:paraId="3315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7CC66F1">
            <w:pPr>
              <w:pStyle w:val="43"/>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kern w:val="2"/>
              </w:rPr>
            </w:pPr>
            <w:r>
              <w:rPr>
                <w:rFonts w:hint="eastAsia" w:ascii="宋体" w:hAnsi="宋体" w:eastAsia="宋体" w:cs="宋体"/>
                <w:bCs/>
                <w:kern w:val="2"/>
                <w:szCs w:val="24"/>
              </w:rPr>
              <w:t>6</w:t>
            </w:r>
          </w:p>
        </w:tc>
        <w:tc>
          <w:tcPr>
            <w:tcW w:w="1072" w:type="pct"/>
            <w:vAlign w:val="center"/>
          </w:tcPr>
          <w:p w14:paraId="619B5F25">
            <w:pPr>
              <w:pStyle w:val="43"/>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Theme="minorEastAsia" w:hAnsiTheme="minorEastAsia" w:eastAsiaTheme="minorEastAsia" w:cstheme="minorEastAsia"/>
              </w:rPr>
              <w:t>比选</w:t>
            </w:r>
            <w:r>
              <w:rPr>
                <w:rFonts w:hint="eastAsia" w:ascii="宋体" w:hAnsi="宋体" w:eastAsia="宋体" w:cs="宋体"/>
                <w:bCs/>
                <w:kern w:val="2"/>
                <w:szCs w:val="24"/>
              </w:rPr>
              <w:t>保证金</w:t>
            </w:r>
          </w:p>
        </w:tc>
        <w:tc>
          <w:tcPr>
            <w:tcW w:w="3350" w:type="pct"/>
            <w:vAlign w:val="center"/>
          </w:tcPr>
          <w:p w14:paraId="317FC9AA">
            <w:pPr>
              <w:snapToGrid w:val="0"/>
              <w:spacing w:line="360" w:lineRule="auto"/>
              <w:ind w:firstLine="120" w:firstLineChars="50"/>
              <w:jc w:val="left"/>
              <w:rPr>
                <w:rFonts w:asciiTheme="majorEastAsia" w:hAnsiTheme="majorEastAsia" w:eastAsiaTheme="majorEastAsia" w:cstheme="majorEastAsia"/>
                <w:b/>
                <w:bCs/>
                <w:i/>
                <w:iCs/>
                <w:color w:val="FF0000"/>
                <w:sz w:val="24"/>
                <w:szCs w:val="24"/>
              </w:rPr>
            </w:pPr>
            <w:r>
              <w:rPr>
                <w:rFonts w:hint="eastAsia" w:ascii="宋体" w:hAnsi="宋体" w:eastAsia="宋体" w:cs="宋体"/>
                <w:sz w:val="24"/>
                <w:szCs w:val="24"/>
              </w:rPr>
              <w:t>本项目无需保证金</w:t>
            </w:r>
          </w:p>
        </w:tc>
      </w:tr>
      <w:tr w14:paraId="5DEF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CC0010E">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7</w:t>
            </w:r>
          </w:p>
        </w:tc>
        <w:tc>
          <w:tcPr>
            <w:tcW w:w="1072" w:type="pct"/>
            <w:vAlign w:val="center"/>
          </w:tcPr>
          <w:p w14:paraId="041117B7">
            <w:pPr>
              <w:pStyle w:val="43"/>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投标文件解密时间</w:t>
            </w:r>
          </w:p>
        </w:tc>
        <w:tc>
          <w:tcPr>
            <w:tcW w:w="3350" w:type="pct"/>
            <w:vAlign w:val="center"/>
          </w:tcPr>
          <w:p w14:paraId="03122BB4">
            <w:pPr>
              <w:pStyle w:val="43"/>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lang w:val="zh-CN"/>
              </w:rPr>
            </w:pPr>
            <w:r>
              <w:rPr>
                <w:rFonts w:hint="eastAsia" w:ascii="宋体" w:hAnsi="宋体" w:eastAsia="宋体" w:cs="宋体"/>
                <w:bCs/>
                <w:kern w:val="2"/>
                <w:szCs w:val="24"/>
              </w:rPr>
              <w:t>投标文件提交截止时间后30分钟内（以电子交易系统解密倒计时为准）</w:t>
            </w:r>
          </w:p>
        </w:tc>
      </w:tr>
      <w:tr w14:paraId="3EFA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648CB3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8</w:t>
            </w:r>
          </w:p>
        </w:tc>
        <w:tc>
          <w:tcPr>
            <w:tcW w:w="1072" w:type="pct"/>
            <w:vAlign w:val="center"/>
          </w:tcPr>
          <w:p w14:paraId="7E7AA709">
            <w:pPr>
              <w:pStyle w:val="42"/>
              <w:rPr>
                <w:bCs/>
                <w:sz w:val="24"/>
              </w:rPr>
            </w:pPr>
            <w:r>
              <w:rPr>
                <w:rFonts w:hint="eastAsia"/>
                <w:bCs/>
                <w:sz w:val="24"/>
              </w:rPr>
              <w:t>投标文件要求</w:t>
            </w:r>
          </w:p>
        </w:tc>
        <w:tc>
          <w:tcPr>
            <w:tcW w:w="3350" w:type="pct"/>
            <w:vAlign w:val="center"/>
          </w:tcPr>
          <w:p w14:paraId="7A0BA4DB">
            <w:pPr>
              <w:pStyle w:val="42"/>
              <w:rPr>
                <w:bCs/>
                <w:sz w:val="24"/>
              </w:rPr>
            </w:pPr>
            <w:r>
              <w:rPr>
                <w:rFonts w:hint="eastAsia"/>
                <w:bCs/>
                <w:sz w:val="24"/>
              </w:rPr>
              <w:t>加密电子投标文件</w:t>
            </w:r>
          </w:p>
        </w:tc>
      </w:tr>
      <w:tr w14:paraId="18CD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31DD643">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10</w:t>
            </w:r>
          </w:p>
        </w:tc>
        <w:tc>
          <w:tcPr>
            <w:tcW w:w="1072" w:type="pct"/>
            <w:vAlign w:val="center"/>
          </w:tcPr>
          <w:p w14:paraId="13111FC4">
            <w:pPr>
              <w:pStyle w:val="42"/>
              <w:rPr>
                <w:bCs/>
                <w:sz w:val="24"/>
              </w:rPr>
            </w:pPr>
            <w:r>
              <w:rPr>
                <w:rFonts w:hint="eastAsia"/>
                <w:bCs/>
                <w:sz w:val="24"/>
              </w:rPr>
              <w:t>确定中标候选人和中标人</w:t>
            </w:r>
          </w:p>
        </w:tc>
        <w:tc>
          <w:tcPr>
            <w:tcW w:w="3350" w:type="pct"/>
            <w:vAlign w:val="center"/>
          </w:tcPr>
          <w:p w14:paraId="76C784D1">
            <w:pPr>
              <w:pStyle w:val="42"/>
              <w:numPr>
                <w:ilvl w:val="0"/>
                <w:numId w:val="1"/>
              </w:numPr>
              <w:rPr>
                <w:bCs/>
                <w:sz w:val="24"/>
              </w:rPr>
            </w:pPr>
            <w:r>
              <w:rPr>
                <w:rFonts w:hint="eastAsia"/>
                <w:bCs/>
                <w:sz w:val="24"/>
              </w:rPr>
              <w:t>评审小组推荐中标候选人的数量：不多于1家；</w:t>
            </w:r>
          </w:p>
          <w:p w14:paraId="5DF5EBBD">
            <w:pPr>
              <w:pStyle w:val="42"/>
              <w:rPr>
                <w:bCs/>
                <w:sz w:val="24"/>
              </w:rPr>
            </w:pPr>
            <w:r>
              <w:rPr>
                <w:rFonts w:hint="eastAsia"/>
                <w:bCs/>
                <w:sz w:val="24"/>
              </w:rPr>
              <w:t>（2）确定中标人：</w:t>
            </w:r>
          </w:p>
          <w:p w14:paraId="1E729FA8">
            <w:pPr>
              <w:pStyle w:val="42"/>
              <w:rPr>
                <w:bCs/>
                <w:sz w:val="24"/>
              </w:rPr>
            </w:pPr>
            <w:r>
              <w:rPr>
                <w:rFonts w:hint="eastAsia"/>
                <w:bCs/>
                <w:sz w:val="24"/>
              </w:rPr>
              <w:sym w:font="Wingdings 2" w:char="0052"/>
            </w:r>
            <w:r>
              <w:rPr>
                <w:rFonts w:hint="eastAsia"/>
                <w:bCs/>
                <w:sz w:val="24"/>
              </w:rPr>
              <w:t xml:space="preserve">招标人委托评审小组确定     </w:t>
            </w:r>
          </w:p>
          <w:p w14:paraId="11829F19">
            <w:pPr>
              <w:pStyle w:val="42"/>
              <w:rPr>
                <w:bCs/>
                <w:sz w:val="24"/>
              </w:rPr>
            </w:pPr>
            <w:r>
              <w:rPr>
                <w:rFonts w:hint="eastAsia"/>
                <w:bCs/>
                <w:sz w:val="24"/>
              </w:rPr>
              <w:sym w:font="Wingdings 2" w:char="00A3"/>
            </w:r>
            <w:r>
              <w:rPr>
                <w:rFonts w:hint="eastAsia"/>
                <w:bCs/>
                <w:sz w:val="24"/>
              </w:rPr>
              <w:t>招标人确定</w:t>
            </w:r>
          </w:p>
        </w:tc>
      </w:tr>
      <w:tr w14:paraId="5CC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pct"/>
            <w:vAlign w:val="center"/>
          </w:tcPr>
          <w:p w14:paraId="67359334">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11</w:t>
            </w:r>
          </w:p>
        </w:tc>
        <w:tc>
          <w:tcPr>
            <w:tcW w:w="1072" w:type="pct"/>
            <w:vAlign w:val="center"/>
          </w:tcPr>
          <w:p w14:paraId="079E4EA4">
            <w:pPr>
              <w:pStyle w:val="43"/>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中标通知书发出的形式</w:t>
            </w:r>
          </w:p>
        </w:tc>
        <w:tc>
          <w:tcPr>
            <w:tcW w:w="3350" w:type="pct"/>
            <w:vAlign w:val="center"/>
          </w:tcPr>
          <w:p w14:paraId="14DC587A">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 xml:space="preserve">□书面     </w:t>
            </w:r>
            <w:r>
              <w:rPr>
                <w:rFonts w:hint="eastAsia" w:ascii="宋体" w:hAnsi="宋体" w:eastAsia="宋体" w:cs="宋体"/>
                <w:bCs/>
                <w:kern w:val="2"/>
                <w:szCs w:val="24"/>
              </w:rPr>
              <w:sym w:font="Wingdings" w:char="F0FE"/>
            </w:r>
            <w:r>
              <w:rPr>
                <w:rFonts w:hint="eastAsia" w:ascii="宋体" w:hAnsi="宋体" w:eastAsia="宋体" w:cs="宋体"/>
                <w:bCs/>
                <w:kern w:val="2"/>
                <w:szCs w:val="24"/>
              </w:rPr>
              <w:t>数据电文</w:t>
            </w:r>
          </w:p>
          <w:p w14:paraId="23135304">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14:paraId="73D4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76C0825">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12</w:t>
            </w:r>
          </w:p>
        </w:tc>
        <w:tc>
          <w:tcPr>
            <w:tcW w:w="1072" w:type="pct"/>
            <w:vAlign w:val="center"/>
          </w:tcPr>
          <w:p w14:paraId="27670D14">
            <w:pPr>
              <w:pStyle w:val="42"/>
              <w:rPr>
                <w:bCs/>
                <w:sz w:val="24"/>
              </w:rPr>
            </w:pPr>
            <w:r>
              <w:rPr>
                <w:rFonts w:hint="eastAsia"/>
                <w:bCs/>
                <w:sz w:val="24"/>
              </w:rPr>
              <w:t>告知比选结果的形式</w:t>
            </w:r>
          </w:p>
        </w:tc>
        <w:tc>
          <w:tcPr>
            <w:tcW w:w="3350" w:type="pct"/>
            <w:vAlign w:val="center"/>
          </w:tcPr>
          <w:p w14:paraId="46167144">
            <w:pPr>
              <w:pStyle w:val="42"/>
              <w:rPr>
                <w:bCs/>
                <w:sz w:val="24"/>
              </w:rPr>
            </w:pPr>
            <w:r>
              <w:rPr>
                <w:rFonts w:hint="eastAsia"/>
                <w:bCs/>
                <w:sz w:val="24"/>
              </w:rPr>
              <w:t>投标人自行登录电子交易系统查看</w:t>
            </w:r>
          </w:p>
          <w:p w14:paraId="0FC8B76A">
            <w:pPr>
              <w:pStyle w:val="42"/>
              <w:rPr>
                <w:bCs/>
                <w:sz w:val="24"/>
              </w:rPr>
            </w:pPr>
            <w:r>
              <w:rPr>
                <w:rFonts w:hint="eastAsia"/>
                <w:bCs/>
                <w:sz w:val="24"/>
              </w:rPr>
              <w:t>注：代理机构对未中标的投标人不做未中标原因的解释。</w:t>
            </w:r>
          </w:p>
        </w:tc>
      </w:tr>
      <w:tr w14:paraId="1EFB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0973473">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13</w:t>
            </w:r>
          </w:p>
        </w:tc>
        <w:tc>
          <w:tcPr>
            <w:tcW w:w="1072" w:type="pct"/>
            <w:vAlign w:val="center"/>
          </w:tcPr>
          <w:p w14:paraId="0EFF9D1D">
            <w:pPr>
              <w:pStyle w:val="42"/>
              <w:rPr>
                <w:bCs/>
                <w:sz w:val="24"/>
              </w:rPr>
            </w:pPr>
            <w:r>
              <w:rPr>
                <w:rFonts w:hint="eastAsia"/>
                <w:bCs/>
                <w:sz w:val="24"/>
              </w:rPr>
              <w:t>履约保证金</w:t>
            </w:r>
          </w:p>
        </w:tc>
        <w:tc>
          <w:tcPr>
            <w:tcW w:w="3350" w:type="pct"/>
          </w:tcPr>
          <w:p w14:paraId="7F7C118B">
            <w:pPr>
              <w:spacing w:line="360" w:lineRule="auto"/>
              <w:rPr>
                <w:rFonts w:ascii="宋体" w:hAnsi="宋体" w:eastAsia="宋体" w:cs="宋体"/>
                <w:bCs/>
                <w:sz w:val="24"/>
                <w:szCs w:val="24"/>
              </w:rPr>
            </w:pPr>
            <w:r>
              <w:rPr>
                <w:rFonts w:hint="eastAsia" w:ascii="宋体" w:hAnsi="宋体" w:eastAsia="宋体" w:cs="宋体"/>
                <w:bCs/>
                <w:sz w:val="24"/>
                <w:szCs w:val="24"/>
              </w:rPr>
              <w:t>本项目免收履约保证金</w:t>
            </w:r>
          </w:p>
        </w:tc>
      </w:tr>
      <w:tr w14:paraId="110F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53174F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14</w:t>
            </w:r>
          </w:p>
        </w:tc>
        <w:tc>
          <w:tcPr>
            <w:tcW w:w="1072" w:type="pct"/>
            <w:vAlign w:val="center"/>
          </w:tcPr>
          <w:p w14:paraId="2609D02F">
            <w:pPr>
              <w:pStyle w:val="43"/>
              <w:pBdr>
                <w:bottom w:val="none" w:color="auto" w:sz="0" w:space="0"/>
              </w:pBdr>
              <w:tabs>
                <w:tab w:val="clear" w:pos="4153"/>
                <w:tab w:val="clear" w:pos="8306"/>
              </w:tabs>
              <w:adjustRightInd/>
              <w:spacing w:line="360" w:lineRule="auto"/>
              <w:textAlignment w:val="auto"/>
              <w:rPr>
                <w:rFonts w:ascii="宋体" w:hAnsi="宋体" w:eastAsia="宋体" w:cs="宋体"/>
                <w:bCs/>
                <w:kern w:val="2"/>
                <w:szCs w:val="24"/>
              </w:rPr>
            </w:pPr>
            <w:r>
              <w:rPr>
                <w:rFonts w:hint="eastAsia" w:ascii="宋体" w:hAnsi="宋体" w:eastAsia="宋体" w:cs="宋体"/>
                <w:bCs/>
                <w:kern w:val="2"/>
                <w:szCs w:val="24"/>
              </w:rPr>
              <w:t>招标代理服务费</w:t>
            </w:r>
          </w:p>
        </w:tc>
        <w:tc>
          <w:tcPr>
            <w:tcW w:w="3350" w:type="pct"/>
            <w:vAlign w:val="center"/>
          </w:tcPr>
          <w:p w14:paraId="6507994A">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（1）招标代理服务费：中标人在领取中标通知书前须向招标代理机构缴纳招标代理服务费，可以银行转账、银行电汇方式。</w:t>
            </w:r>
          </w:p>
          <w:p w14:paraId="671BCA7A">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招标代理服务费：以每标段的中标价为计算基数，具体收取金额为附件1对应表格相应招标类别收费标准的80%，每标段收取金额不足4000元的按照4000元最低标准收取。</w:t>
            </w:r>
          </w:p>
          <w:p w14:paraId="3EF99C21">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备注：以上相关费用，投标人在报价单中不单列，包含在投标总价中，招标人不再单独计量支付。</w:t>
            </w:r>
          </w:p>
          <w:p w14:paraId="00029DB7">
            <w:pPr>
              <w:pStyle w:val="43"/>
              <w:pBdr>
                <w:bottom w:val="none" w:color="auto" w:sz="0" w:space="0"/>
              </w:pBdr>
              <w:tabs>
                <w:tab w:val="clear" w:pos="4153"/>
                <w:tab w:val="clear" w:pos="8306"/>
              </w:tabs>
              <w:adjustRightInd/>
              <w:spacing w:line="360" w:lineRule="auto"/>
              <w:jc w:val="left"/>
              <w:textAlignment w:val="auto"/>
              <w:rPr>
                <w:rFonts w:ascii="宋体" w:hAnsi="宋体" w:eastAsia="宋体" w:cs="宋体"/>
                <w:bCs/>
                <w:kern w:val="2"/>
                <w:szCs w:val="24"/>
              </w:rPr>
            </w:pPr>
            <w:r>
              <w:rPr>
                <w:rFonts w:hint="eastAsia" w:ascii="宋体" w:hAnsi="宋体" w:eastAsia="宋体" w:cs="宋体"/>
                <w:bCs/>
                <w:kern w:val="2"/>
                <w:szCs w:val="24"/>
              </w:rPr>
              <w:t>（2）以上费用代理机构有权从比选保证金中优先扣除。</w:t>
            </w:r>
          </w:p>
        </w:tc>
      </w:tr>
      <w:tr w14:paraId="37A9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90037D6">
            <w:pPr>
              <w:pStyle w:val="42"/>
              <w:rPr>
                <w:b/>
              </w:rPr>
            </w:pPr>
            <w:r>
              <w:rPr>
                <w:rFonts w:hint="eastAsia"/>
              </w:rPr>
              <w:t>15</w:t>
            </w:r>
          </w:p>
        </w:tc>
        <w:tc>
          <w:tcPr>
            <w:tcW w:w="1072" w:type="pct"/>
            <w:vAlign w:val="center"/>
          </w:tcPr>
          <w:p w14:paraId="408A4912">
            <w:pPr>
              <w:spacing w:line="360" w:lineRule="auto"/>
              <w:rPr>
                <w:rFonts w:ascii="宋体" w:hAnsi="宋体" w:eastAsia="宋体" w:cs="宋体"/>
                <w:bCs/>
                <w:sz w:val="24"/>
                <w:szCs w:val="24"/>
              </w:rPr>
            </w:pPr>
            <w:r>
              <w:rPr>
                <w:rFonts w:hint="eastAsia" w:ascii="宋体" w:hAnsi="宋体" w:eastAsia="宋体" w:cs="宋体"/>
                <w:bCs/>
                <w:sz w:val="24"/>
                <w:szCs w:val="24"/>
              </w:rPr>
              <w:t>报价须知</w:t>
            </w:r>
          </w:p>
        </w:tc>
        <w:tc>
          <w:tcPr>
            <w:tcW w:w="3350" w:type="pct"/>
            <w:vAlign w:val="center"/>
          </w:tcPr>
          <w:p w14:paraId="40B21BAB">
            <w:pPr>
              <w:spacing w:line="360" w:lineRule="auto"/>
              <w:rPr>
                <w:rFonts w:ascii="宋体" w:hAnsi="宋体" w:eastAsia="宋体" w:cs="宋体"/>
                <w:bCs/>
                <w:sz w:val="24"/>
                <w:szCs w:val="24"/>
              </w:rPr>
            </w:pPr>
            <w:r>
              <w:rPr>
                <w:rFonts w:hint="eastAsia" w:ascii="宋体" w:hAnsi="宋体" w:eastAsia="宋体" w:cs="宋体"/>
                <w:bCs/>
                <w:sz w:val="24"/>
                <w:szCs w:val="24"/>
              </w:rPr>
              <w:t>（1）投标人的报价应包含为完成本项目全部服务内容、税费等所有工作和应有费用。</w:t>
            </w:r>
          </w:p>
          <w:p w14:paraId="13C47C69">
            <w:pPr>
              <w:spacing w:line="360" w:lineRule="auto"/>
              <w:rPr>
                <w:rFonts w:ascii="宋体" w:hAnsi="宋体" w:eastAsia="宋体" w:cs="宋体"/>
                <w:bCs/>
                <w:sz w:val="24"/>
                <w:szCs w:val="24"/>
              </w:rPr>
            </w:pPr>
            <w:r>
              <w:rPr>
                <w:rFonts w:hint="eastAsia" w:ascii="宋体" w:hAnsi="宋体" w:eastAsia="宋体" w:cs="宋体"/>
                <w:bCs/>
                <w:sz w:val="24"/>
                <w:szCs w:val="24"/>
              </w:rPr>
              <w:t>（2）投标人投标报价不得高于比选文件（公告）列明的项目预算、最高投标限价，否则其投标文件将被否决。</w:t>
            </w:r>
          </w:p>
          <w:p w14:paraId="3CA8CE2B">
            <w:pPr>
              <w:spacing w:line="360" w:lineRule="auto"/>
              <w:rPr>
                <w:rFonts w:ascii="宋体" w:hAnsi="宋体" w:eastAsia="宋体" w:cs="宋体"/>
                <w:bCs/>
                <w:sz w:val="24"/>
                <w:szCs w:val="24"/>
              </w:rPr>
            </w:pPr>
            <w:r>
              <w:rPr>
                <w:rFonts w:hint="eastAsia" w:ascii="宋体" w:hAnsi="宋体" w:eastAsia="宋体" w:cs="宋体"/>
                <w:bCs/>
                <w:sz w:val="24"/>
                <w:szCs w:val="24"/>
              </w:rPr>
              <w:t>（3）经评审小组评审如认定投标人投标报价明显缺乏竞争性的，评审小组可以否决所有投标。</w:t>
            </w:r>
          </w:p>
        </w:tc>
      </w:tr>
      <w:tr w14:paraId="31A7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F2A86FE">
            <w:pPr>
              <w:pStyle w:val="42"/>
              <w:rPr>
                <w:b/>
              </w:rPr>
            </w:pPr>
            <w:r>
              <w:rPr>
                <w:rFonts w:hint="eastAsia"/>
              </w:rPr>
              <w:t>16</w:t>
            </w:r>
          </w:p>
        </w:tc>
        <w:tc>
          <w:tcPr>
            <w:tcW w:w="1072" w:type="pct"/>
            <w:vAlign w:val="center"/>
          </w:tcPr>
          <w:p w14:paraId="2351F64B">
            <w:pPr>
              <w:spacing w:line="360" w:lineRule="auto"/>
              <w:rPr>
                <w:rFonts w:ascii="宋体" w:hAnsi="宋体" w:eastAsia="宋体" w:cs="宋体"/>
                <w:bCs/>
                <w:sz w:val="24"/>
                <w:szCs w:val="24"/>
              </w:rPr>
            </w:pPr>
            <w:r>
              <w:rPr>
                <w:rFonts w:hint="eastAsia" w:ascii="宋体" w:hAnsi="宋体" w:eastAsia="宋体" w:cs="宋体"/>
                <w:bCs/>
                <w:sz w:val="24"/>
                <w:szCs w:val="24"/>
              </w:rPr>
              <w:t>便利化服务</w:t>
            </w:r>
          </w:p>
        </w:tc>
        <w:tc>
          <w:tcPr>
            <w:tcW w:w="3350" w:type="pct"/>
            <w:vAlign w:val="center"/>
          </w:tcPr>
          <w:p w14:paraId="35B515BB">
            <w:pPr>
              <w:spacing w:line="360" w:lineRule="auto"/>
              <w:rPr>
                <w:rFonts w:ascii="宋体" w:hAnsi="宋体" w:eastAsia="宋体" w:cs="宋体"/>
                <w:bCs/>
                <w:sz w:val="24"/>
                <w:szCs w:val="24"/>
              </w:rPr>
            </w:pPr>
            <w:r>
              <w:rPr>
                <w:rFonts w:hint="eastAsia" w:ascii="宋体" w:hAnsi="宋体" w:eastAsia="宋体" w:cs="宋体"/>
                <w:bCs/>
                <w:sz w:val="24"/>
                <w:szCs w:val="24"/>
              </w:rPr>
              <w:t xml:space="preserve">本项目是否要求便利化服务能力：□要求  </w:t>
            </w:r>
            <w:r>
              <w:rPr>
                <w:rFonts w:hint="eastAsia" w:ascii="宋体" w:hAnsi="宋体" w:eastAsia="宋体" w:cs="宋体"/>
                <w:bCs/>
                <w:sz w:val="24"/>
                <w:szCs w:val="24"/>
              </w:rPr>
              <w:sym w:font="Wingdings" w:char="F0FE"/>
            </w:r>
            <w:r>
              <w:rPr>
                <w:rFonts w:hint="eastAsia" w:ascii="宋体" w:hAnsi="宋体" w:eastAsia="宋体" w:cs="宋体"/>
                <w:bCs/>
                <w:sz w:val="24"/>
                <w:szCs w:val="24"/>
              </w:rPr>
              <w:t>不要求</w:t>
            </w:r>
          </w:p>
          <w:p w14:paraId="7730B136">
            <w:pPr>
              <w:spacing w:line="360" w:lineRule="auto"/>
              <w:rPr>
                <w:rFonts w:ascii="宋体" w:hAnsi="宋体" w:eastAsia="宋体" w:cs="宋体"/>
                <w:bCs/>
                <w:sz w:val="24"/>
                <w:szCs w:val="24"/>
              </w:rPr>
            </w:pPr>
            <w:r>
              <w:rPr>
                <w:rFonts w:hint="eastAsia" w:ascii="宋体" w:hAnsi="宋体" w:eastAsia="宋体" w:cs="宋体"/>
                <w:bCs/>
                <w:sz w:val="24"/>
                <w:szCs w:val="24"/>
              </w:rPr>
              <w:t>便利化服务的能力是指具有下列条件之一：</w:t>
            </w:r>
          </w:p>
          <w:p w14:paraId="2277B717">
            <w:pPr>
              <w:spacing w:line="360" w:lineRule="auto"/>
              <w:rPr>
                <w:rFonts w:ascii="宋体" w:hAnsi="宋体" w:eastAsia="宋体" w:cs="宋体"/>
                <w:bCs/>
                <w:sz w:val="24"/>
                <w:szCs w:val="24"/>
              </w:rPr>
            </w:pPr>
            <w:r>
              <w:rPr>
                <w:rFonts w:hint="eastAsia" w:ascii="宋体" w:hAnsi="宋体" w:eastAsia="宋体" w:cs="宋体"/>
                <w:bCs/>
                <w:sz w:val="24"/>
                <w:szCs w:val="24"/>
              </w:rPr>
              <w:t>（1）在合肥行政区域范围（含四县一市）具有固定的办公场所及人员；</w:t>
            </w:r>
          </w:p>
          <w:p w14:paraId="1FA320A4">
            <w:pPr>
              <w:spacing w:line="360" w:lineRule="auto"/>
              <w:rPr>
                <w:rFonts w:ascii="宋体" w:hAnsi="宋体" w:eastAsia="宋体" w:cs="宋体"/>
                <w:bCs/>
                <w:sz w:val="24"/>
                <w:szCs w:val="24"/>
              </w:rPr>
            </w:pPr>
            <w:r>
              <w:rPr>
                <w:rFonts w:hint="eastAsia" w:ascii="宋体" w:hAnsi="宋体" w:eastAsia="宋体" w:cs="宋体"/>
                <w:bCs/>
                <w:sz w:val="24"/>
                <w:szCs w:val="24"/>
              </w:rPr>
              <w:t>（2）投标人在合肥行政区域范围（含四县一市）注册成立的；</w:t>
            </w:r>
          </w:p>
          <w:p w14:paraId="4A59ADF7">
            <w:pPr>
              <w:spacing w:line="360" w:lineRule="auto"/>
              <w:rPr>
                <w:rFonts w:ascii="宋体" w:hAnsi="宋体" w:eastAsia="宋体" w:cs="宋体"/>
                <w:bCs/>
                <w:sz w:val="24"/>
                <w:szCs w:val="24"/>
              </w:rPr>
            </w:pPr>
            <w:r>
              <w:rPr>
                <w:rFonts w:hint="eastAsia" w:ascii="宋体" w:hAnsi="宋体" w:eastAsia="宋体" w:cs="宋体"/>
                <w:bCs/>
                <w:sz w:val="24"/>
                <w:szCs w:val="24"/>
              </w:rPr>
              <w:t>（3）承诺中标即在合肥行政区域范围（含四县一市）设立服务机构，或委托相关单位作为服务机构；</w:t>
            </w:r>
          </w:p>
          <w:p w14:paraId="25E70C7F">
            <w:pPr>
              <w:spacing w:line="360" w:lineRule="auto"/>
              <w:rPr>
                <w:rFonts w:ascii="宋体" w:hAnsi="宋体" w:eastAsia="宋体" w:cs="宋体"/>
                <w:bCs/>
                <w:sz w:val="24"/>
                <w:szCs w:val="24"/>
              </w:rPr>
            </w:pPr>
            <w:r>
              <w:rPr>
                <w:rFonts w:hint="eastAsia" w:ascii="宋体" w:hAnsi="宋体" w:eastAsia="宋体" w:cs="宋体"/>
                <w:bCs/>
                <w:sz w:val="24"/>
                <w:szCs w:val="24"/>
              </w:rPr>
              <w:t>（4）委托相关单位作为服务机构。</w:t>
            </w:r>
          </w:p>
        </w:tc>
      </w:tr>
      <w:tr w14:paraId="232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95D66EC">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17</w:t>
            </w:r>
          </w:p>
        </w:tc>
        <w:tc>
          <w:tcPr>
            <w:tcW w:w="1072" w:type="pct"/>
            <w:vAlign w:val="center"/>
          </w:tcPr>
          <w:p w14:paraId="6E32404B">
            <w:pPr>
              <w:pStyle w:val="42"/>
              <w:rPr>
                <w:bCs/>
                <w:sz w:val="24"/>
              </w:rPr>
            </w:pPr>
            <w:r>
              <w:rPr>
                <w:rFonts w:hint="eastAsia"/>
                <w:bCs/>
                <w:sz w:val="24"/>
              </w:rPr>
              <w:t>本项目提供除电子版比选文件以外的其他资料</w:t>
            </w:r>
          </w:p>
        </w:tc>
        <w:tc>
          <w:tcPr>
            <w:tcW w:w="3350" w:type="pct"/>
            <w:vAlign w:val="center"/>
          </w:tcPr>
          <w:p w14:paraId="009FE5C0">
            <w:pPr>
              <w:spacing w:line="360" w:lineRule="auto"/>
              <w:rPr>
                <w:rFonts w:ascii="宋体" w:hAnsi="宋体" w:eastAsia="宋体" w:cs="宋体"/>
                <w:bCs/>
                <w:sz w:val="24"/>
                <w:szCs w:val="24"/>
              </w:rPr>
            </w:pPr>
            <w:r>
              <w:rPr>
                <w:rFonts w:hint="eastAsia" w:ascii="宋体" w:hAnsi="宋体" w:eastAsia="宋体" w:cs="宋体"/>
                <w:bCs/>
                <w:sz w:val="24"/>
                <w:szCs w:val="24"/>
              </w:rPr>
              <w:sym w:font="Wingdings" w:char="F0FE"/>
            </w:r>
            <w:r>
              <w:rPr>
                <w:rFonts w:hint="eastAsia" w:ascii="宋体" w:hAnsi="宋体" w:eastAsia="宋体" w:cs="宋体"/>
                <w:bCs/>
                <w:sz w:val="24"/>
                <w:szCs w:val="24"/>
              </w:rPr>
              <w:t xml:space="preserve">无   □采购清单   </w:t>
            </w:r>
          </w:p>
          <w:p w14:paraId="615789A4">
            <w:pPr>
              <w:spacing w:line="360" w:lineRule="auto"/>
              <w:rPr>
                <w:rFonts w:ascii="宋体" w:hAnsi="宋体" w:eastAsia="宋体" w:cs="宋体"/>
                <w:bCs/>
                <w:sz w:val="24"/>
                <w:szCs w:val="24"/>
              </w:rPr>
            </w:pPr>
            <w:r>
              <w:rPr>
                <w:rFonts w:hint="eastAsia" w:ascii="宋体" w:hAnsi="宋体" w:eastAsia="宋体" w:cs="宋体"/>
                <w:bCs/>
                <w:sz w:val="24"/>
                <w:szCs w:val="24"/>
              </w:rPr>
              <w:t>获取方式：</w:t>
            </w:r>
          </w:p>
          <w:p w14:paraId="6BC74D5A">
            <w:pPr>
              <w:pStyle w:val="42"/>
              <w:rPr>
                <w:bCs/>
                <w:sz w:val="24"/>
              </w:rPr>
            </w:pPr>
            <w:r>
              <w:rPr>
                <w:rFonts w:hint="eastAsia"/>
                <w:bCs/>
                <w:sz w:val="24"/>
              </w:rPr>
              <w:t>上述资料请投标人在获取比选文件后，自行登陆电子交易系统下载本项目附件。</w:t>
            </w:r>
          </w:p>
        </w:tc>
      </w:tr>
      <w:tr w14:paraId="518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0140FF5">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18</w:t>
            </w:r>
          </w:p>
        </w:tc>
        <w:tc>
          <w:tcPr>
            <w:tcW w:w="1072" w:type="pct"/>
            <w:vAlign w:val="center"/>
          </w:tcPr>
          <w:p w14:paraId="5F118825">
            <w:pPr>
              <w:spacing w:line="360" w:lineRule="auto"/>
              <w:rPr>
                <w:rFonts w:ascii="宋体" w:hAnsi="宋体" w:eastAsia="宋体" w:cs="宋体"/>
                <w:bCs/>
                <w:sz w:val="24"/>
                <w:szCs w:val="24"/>
              </w:rPr>
            </w:pPr>
            <w:r>
              <w:rPr>
                <w:rFonts w:hint="eastAsia" w:ascii="宋体" w:hAnsi="宋体" w:eastAsia="宋体" w:cs="宋体"/>
                <w:bCs/>
                <w:sz w:val="24"/>
                <w:szCs w:val="24"/>
              </w:rPr>
              <w:t>重要说明</w:t>
            </w:r>
          </w:p>
        </w:tc>
        <w:tc>
          <w:tcPr>
            <w:tcW w:w="3350" w:type="pct"/>
            <w:vAlign w:val="center"/>
          </w:tcPr>
          <w:p w14:paraId="413E5BC2">
            <w:pPr>
              <w:spacing w:line="360" w:lineRule="auto"/>
              <w:rPr>
                <w:rFonts w:ascii="宋体" w:hAnsi="宋体" w:eastAsia="宋体" w:cs="宋体"/>
                <w:bCs/>
                <w:sz w:val="24"/>
                <w:szCs w:val="24"/>
              </w:rPr>
            </w:pPr>
            <w:r>
              <w:rPr>
                <w:rFonts w:hint="eastAsia" w:ascii="宋体" w:hAnsi="宋体" w:eastAsia="宋体" w:cs="宋体"/>
                <w:bCs/>
                <w:sz w:val="24"/>
                <w:szCs w:val="24"/>
              </w:rPr>
              <w:t>（1）中标人应在规定期限内提交履约保证金并与招标人签订合同，若中标人未能在规定期限内提交履约保证金或签订合同，招标人有权取消中标人中标资格；</w:t>
            </w:r>
          </w:p>
          <w:p w14:paraId="54744B53">
            <w:pPr>
              <w:spacing w:line="360" w:lineRule="auto"/>
              <w:rPr>
                <w:rFonts w:ascii="宋体" w:hAnsi="宋体" w:eastAsia="宋体" w:cs="宋体"/>
                <w:bCs/>
                <w:sz w:val="24"/>
                <w:szCs w:val="24"/>
              </w:rPr>
            </w:pPr>
            <w:r>
              <w:rPr>
                <w:rFonts w:hint="eastAsia" w:ascii="宋体" w:hAnsi="宋体" w:eastAsia="宋体" w:cs="宋体"/>
                <w:bCs/>
                <w:sz w:val="24"/>
                <w:szCs w:val="24"/>
              </w:rPr>
              <w:t>（2）合同签订后，中标人存在规定时间内不组织人员进场开工，不履行合同义务等情况，招标人有权解除合同，并追究违约责任；</w:t>
            </w:r>
          </w:p>
          <w:p w14:paraId="090B3FA9">
            <w:pPr>
              <w:spacing w:line="360" w:lineRule="auto"/>
              <w:rPr>
                <w:rFonts w:ascii="宋体" w:hAnsi="宋体" w:eastAsia="宋体" w:cs="宋体"/>
                <w:bCs/>
                <w:sz w:val="24"/>
                <w:szCs w:val="24"/>
              </w:rPr>
            </w:pPr>
            <w:r>
              <w:rPr>
                <w:rFonts w:hint="eastAsia" w:ascii="宋体" w:hAnsi="宋体" w:eastAsia="宋体" w:cs="宋体"/>
                <w:bCs/>
                <w:sz w:val="24"/>
                <w:szCs w:val="24"/>
              </w:rPr>
              <w:t>（3）中标人在中标项目发生投诉、信访举报案件、履约存在争议时，拒绝协助配合有关部门调查案件的，招标人可以取消其中标资格或解除合同，并追究其违约责任。</w:t>
            </w:r>
          </w:p>
          <w:p w14:paraId="60D689CA">
            <w:pPr>
              <w:pStyle w:val="9"/>
              <w:spacing w:before="0" w:after="0" w:line="360" w:lineRule="auto"/>
              <w:rPr>
                <w:rFonts w:ascii="宋体" w:hAnsi="宋体" w:eastAsia="宋体" w:cs="宋体"/>
                <w:sz w:val="24"/>
                <w:szCs w:val="24"/>
              </w:rPr>
            </w:pPr>
            <w:r>
              <w:rPr>
                <w:rFonts w:hint="eastAsia" w:ascii="宋体" w:hAnsi="宋体" w:eastAsia="宋体" w:cs="宋体"/>
                <w:sz w:val="24"/>
                <w:szCs w:val="24"/>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52A0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2B64606">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19</w:t>
            </w:r>
          </w:p>
        </w:tc>
        <w:tc>
          <w:tcPr>
            <w:tcW w:w="1072" w:type="pct"/>
            <w:vAlign w:val="center"/>
          </w:tcPr>
          <w:p w14:paraId="02FD0C4A">
            <w:pPr>
              <w:pStyle w:val="42"/>
              <w:rPr>
                <w:bCs/>
                <w:sz w:val="24"/>
              </w:rPr>
            </w:pPr>
            <w:r>
              <w:rPr>
                <w:rFonts w:hint="eastAsia"/>
                <w:bCs/>
                <w:sz w:val="24"/>
              </w:rPr>
              <w:t>解释权</w:t>
            </w:r>
          </w:p>
        </w:tc>
        <w:tc>
          <w:tcPr>
            <w:tcW w:w="3350" w:type="pct"/>
            <w:vAlign w:val="center"/>
          </w:tcPr>
          <w:p w14:paraId="07F3974B">
            <w:pPr>
              <w:spacing w:line="360" w:lineRule="auto"/>
              <w:rPr>
                <w:rFonts w:ascii="宋体" w:hAnsi="宋体" w:eastAsia="宋体" w:cs="宋体"/>
                <w:bCs/>
                <w:sz w:val="24"/>
                <w:szCs w:val="24"/>
              </w:rPr>
            </w:pPr>
            <w:r>
              <w:rPr>
                <w:rFonts w:hint="eastAsia" w:ascii="宋体" w:hAnsi="宋体" w:eastAsia="宋体" w:cs="宋体"/>
                <w:bCs/>
                <w:sz w:val="24"/>
                <w:szCs w:val="24"/>
              </w:rPr>
              <w:t>（1）构成本比选文件的各个组成文件应互为解释，互为说明；</w:t>
            </w:r>
          </w:p>
          <w:p w14:paraId="17616180">
            <w:pPr>
              <w:spacing w:line="360" w:lineRule="auto"/>
              <w:rPr>
                <w:rFonts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14:paraId="6BC13213">
            <w:pPr>
              <w:spacing w:line="360" w:lineRule="auto"/>
              <w:rPr>
                <w:rFonts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14:paraId="77FB8514">
            <w:pPr>
              <w:spacing w:line="360" w:lineRule="auto"/>
              <w:rPr>
                <w:rFonts w:ascii="宋体" w:hAnsi="宋体" w:eastAsia="宋体" w:cs="宋体"/>
                <w:bCs/>
                <w:sz w:val="24"/>
                <w:szCs w:val="24"/>
              </w:rPr>
            </w:pPr>
            <w:r>
              <w:rPr>
                <w:rFonts w:hint="eastAsia" w:ascii="宋体" w:hAnsi="宋体" w:eastAsia="宋体" w:cs="宋体"/>
                <w:bCs/>
                <w:sz w:val="24"/>
                <w:szCs w:val="24"/>
              </w:rPr>
              <w:t>（4）除比选文件中有特别规定外，仅适用于比选及投标文件提交阶段的规定，按比选公告、投标人须知前附表、投标人须知正文、评审方法和标准、投标文件格式的先后顺序解释；</w:t>
            </w:r>
          </w:p>
          <w:p w14:paraId="419A0F8A">
            <w:pPr>
              <w:spacing w:line="360" w:lineRule="auto"/>
              <w:rPr>
                <w:rFonts w:ascii="宋体" w:hAnsi="宋体" w:eastAsia="宋体" w:cs="宋体"/>
                <w:bCs/>
                <w:sz w:val="24"/>
                <w:szCs w:val="24"/>
              </w:rPr>
            </w:pPr>
            <w:r>
              <w:rPr>
                <w:rFonts w:hint="eastAsia" w:ascii="宋体" w:hAnsi="宋体" w:eastAsia="宋体" w:cs="宋体"/>
                <w:bCs/>
                <w:sz w:val="24"/>
                <w:szCs w:val="24"/>
              </w:rPr>
              <w:t>（5）有澄清的部分以最终的澄清更正内容为准；</w:t>
            </w:r>
          </w:p>
          <w:p w14:paraId="4A105195">
            <w:pPr>
              <w:pStyle w:val="42"/>
              <w:rPr>
                <w:bCs/>
                <w:sz w:val="24"/>
              </w:rPr>
            </w:pPr>
            <w:r>
              <w:rPr>
                <w:rFonts w:hint="eastAsia"/>
                <w:bCs/>
                <w:sz w:val="24"/>
              </w:rPr>
              <w:t>（6）按本款前述规定仍不能形成结论的，由招标人负责解释。</w:t>
            </w:r>
          </w:p>
        </w:tc>
      </w:tr>
      <w:tr w14:paraId="1B17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542DFDF">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20</w:t>
            </w:r>
          </w:p>
        </w:tc>
        <w:tc>
          <w:tcPr>
            <w:tcW w:w="1072" w:type="pct"/>
            <w:vAlign w:val="center"/>
          </w:tcPr>
          <w:p w14:paraId="56ED70DA">
            <w:pPr>
              <w:pStyle w:val="42"/>
              <w:rPr>
                <w:sz w:val="24"/>
              </w:rPr>
            </w:pPr>
            <w:r>
              <w:rPr>
                <w:rFonts w:hint="eastAsia"/>
                <w:sz w:val="24"/>
              </w:rPr>
              <w:t>电子招标</w:t>
            </w:r>
          </w:p>
        </w:tc>
        <w:tc>
          <w:tcPr>
            <w:tcW w:w="3350" w:type="pct"/>
            <w:vAlign w:val="center"/>
          </w:tcPr>
          <w:p w14:paraId="1046FD6A">
            <w:pPr>
              <w:spacing w:line="360" w:lineRule="auto"/>
              <w:jc w:val="left"/>
              <w:outlineLvl w:val="1"/>
              <w:rPr>
                <w:rFonts w:ascii="宋体" w:hAnsi="宋体" w:eastAsia="宋体" w:cs="宋体"/>
                <w:sz w:val="24"/>
                <w:szCs w:val="24"/>
              </w:rPr>
            </w:pPr>
            <w:r>
              <w:rPr>
                <w:rFonts w:hint="eastAsia" w:ascii="宋体" w:hAnsi="宋体" w:eastAsia="宋体" w:cs="宋体"/>
                <w:sz w:val="24"/>
                <w:szCs w:val="24"/>
              </w:rPr>
              <w:t>本项目实行全流程电子化交易，除比选文件另有规定外，电子招标投标操作要求见本章附件《安徽公共资源交易集团电子交易操作规程》。</w:t>
            </w:r>
          </w:p>
        </w:tc>
      </w:tr>
      <w:tr w14:paraId="7D8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B2FF14B">
            <w:pPr>
              <w:pStyle w:val="43"/>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宋体" w:hAnsi="宋体" w:eastAsia="宋体"/>
                <w:bCs/>
                <w:kern w:val="2"/>
              </w:rPr>
              <w:t>21</w:t>
            </w:r>
          </w:p>
        </w:tc>
        <w:tc>
          <w:tcPr>
            <w:tcW w:w="1072" w:type="pct"/>
            <w:vAlign w:val="center"/>
          </w:tcPr>
          <w:p w14:paraId="2F4761C5">
            <w:pPr>
              <w:pStyle w:val="42"/>
              <w:rPr>
                <w:sz w:val="24"/>
              </w:rPr>
            </w:pPr>
            <w:r>
              <w:rPr>
                <w:rFonts w:hint="eastAsia"/>
                <w:sz w:val="24"/>
              </w:rPr>
              <w:t>补充约定</w:t>
            </w:r>
          </w:p>
        </w:tc>
        <w:tc>
          <w:tcPr>
            <w:tcW w:w="3350" w:type="pct"/>
            <w:vAlign w:val="center"/>
          </w:tcPr>
          <w:p w14:paraId="4035C15F">
            <w:pPr>
              <w:adjustRightInd w:val="0"/>
              <w:snapToGrid w:val="0"/>
              <w:spacing w:line="360" w:lineRule="auto"/>
              <w:rPr>
                <w:rFonts w:ascii="宋体" w:hAnsi="宋体" w:eastAsia="宋体" w:cs="宋体"/>
                <w:sz w:val="24"/>
                <w:szCs w:val="24"/>
              </w:rPr>
            </w:pPr>
            <w:r>
              <w:rPr>
                <w:rFonts w:hint="eastAsia" w:ascii="宋体" w:hAnsi="宋体" w:eastAsia="宋体" w:cs="宋体"/>
                <w:b/>
                <w:bCs/>
                <w:color w:val="000000" w:themeColor="text1"/>
                <w:sz w:val="24"/>
                <w:szCs w:val="24"/>
                <w14:textFill>
                  <w14:solidFill>
                    <w14:schemeClr w14:val="tx1"/>
                  </w14:solidFill>
                </w14:textFill>
              </w:rPr>
              <w:t>通过初审的投标人为1家的，且评审小组认为具有竞争性的，继续评审并确定结果。</w:t>
            </w:r>
          </w:p>
        </w:tc>
      </w:tr>
      <w:tr w14:paraId="33C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77" w:type="pct"/>
            <w:shd w:val="clear" w:color="auto" w:fill="FFFFFF" w:themeFill="background1"/>
            <w:vAlign w:val="center"/>
          </w:tcPr>
          <w:p w14:paraId="6275ADF8">
            <w:pPr>
              <w:pStyle w:val="43"/>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22</w:t>
            </w:r>
          </w:p>
        </w:tc>
        <w:tc>
          <w:tcPr>
            <w:tcW w:w="1072" w:type="pct"/>
            <w:shd w:val="clear" w:color="auto" w:fill="FFFFFF" w:themeFill="background1"/>
            <w:vAlign w:val="center"/>
          </w:tcPr>
          <w:p w14:paraId="1384A146">
            <w:pPr>
              <w:rPr>
                <w:rFonts w:ascii="宋体" w:hAnsi="宋体" w:eastAsia="宋体" w:cs="宋体"/>
                <w:sz w:val="24"/>
                <w:szCs w:val="24"/>
              </w:rPr>
            </w:pPr>
            <w:r>
              <w:rPr>
                <w:rFonts w:hint="eastAsia" w:ascii="宋体" w:hAnsi="宋体" w:eastAsia="宋体" w:cs="宋体"/>
                <w:sz w:val="24"/>
                <w:szCs w:val="24"/>
              </w:rPr>
              <w:t>付款方式</w:t>
            </w:r>
          </w:p>
        </w:tc>
        <w:tc>
          <w:tcPr>
            <w:tcW w:w="3350" w:type="pct"/>
            <w:shd w:val="clear" w:color="auto" w:fill="FFFFFF" w:themeFill="background1"/>
            <w:vAlign w:val="center"/>
          </w:tcPr>
          <w:p w14:paraId="38D80C37">
            <w:pPr>
              <w:spacing w:line="360" w:lineRule="auto"/>
              <w:jc w:val="left"/>
              <w:rPr>
                <w:rFonts w:ascii="宋体" w:hAnsi="宋体" w:eastAsia="宋体" w:cs="宋体"/>
                <w:sz w:val="24"/>
                <w:szCs w:val="24"/>
              </w:rPr>
            </w:pPr>
            <w:r>
              <w:rPr>
                <w:rFonts w:hint="eastAsia" w:ascii="宋体" w:hAnsi="宋体" w:eastAsia="宋体" w:cs="宋体"/>
                <w:sz w:val="24"/>
                <w:szCs w:val="24"/>
              </w:rPr>
              <w:t>按照合同先预付</w:t>
            </w:r>
            <w:r>
              <w:rPr>
                <w:rFonts w:ascii="宋体" w:hAnsi="宋体" w:eastAsia="宋体" w:cs="宋体"/>
                <w:sz w:val="24"/>
                <w:szCs w:val="24"/>
              </w:rPr>
              <w:t>50%，验收合格后支付剩余50%</w:t>
            </w:r>
            <w:r>
              <w:rPr>
                <w:rFonts w:hint="eastAsia" w:ascii="宋体" w:hAnsi="宋体" w:eastAsia="宋体" w:cs="宋体"/>
                <w:sz w:val="24"/>
                <w:szCs w:val="24"/>
              </w:rPr>
              <w:t>。</w:t>
            </w:r>
          </w:p>
        </w:tc>
      </w:tr>
      <w:tr w14:paraId="0782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77" w:type="pct"/>
            <w:shd w:val="clear" w:color="auto" w:fill="FFFFFF" w:themeFill="background1"/>
            <w:vAlign w:val="center"/>
          </w:tcPr>
          <w:p w14:paraId="708A67E2">
            <w:pPr>
              <w:pStyle w:val="43"/>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23</w:t>
            </w:r>
          </w:p>
        </w:tc>
        <w:tc>
          <w:tcPr>
            <w:tcW w:w="1072" w:type="pct"/>
            <w:shd w:val="clear" w:color="auto" w:fill="FFFFFF" w:themeFill="background1"/>
            <w:vAlign w:val="center"/>
          </w:tcPr>
          <w:p w14:paraId="5EDC4315">
            <w:pPr>
              <w:rPr>
                <w:rFonts w:ascii="宋体" w:hAnsi="宋体" w:eastAsia="宋体" w:cs="宋体"/>
                <w:sz w:val="24"/>
                <w:szCs w:val="24"/>
              </w:rPr>
            </w:pPr>
            <w:r>
              <w:rPr>
                <w:rFonts w:hint="eastAsia" w:ascii="宋体" w:hAnsi="宋体" w:eastAsia="宋体" w:cs="宋体"/>
                <w:sz w:val="24"/>
                <w:szCs w:val="24"/>
              </w:rPr>
              <w:t>免费维保期</w:t>
            </w:r>
          </w:p>
        </w:tc>
        <w:tc>
          <w:tcPr>
            <w:tcW w:w="3350" w:type="pct"/>
            <w:shd w:val="clear" w:color="auto" w:fill="FFFFFF" w:themeFill="background1"/>
            <w:vAlign w:val="center"/>
          </w:tcPr>
          <w:p w14:paraId="79A63F4C">
            <w:pPr>
              <w:spacing w:line="360" w:lineRule="auto"/>
              <w:jc w:val="left"/>
              <w:rPr>
                <w:rFonts w:ascii="宋体" w:hAnsi="宋体" w:eastAsia="宋体" w:cs="宋体"/>
                <w:sz w:val="24"/>
                <w:szCs w:val="24"/>
              </w:rPr>
            </w:pPr>
            <w:r>
              <w:rPr>
                <w:rFonts w:hint="eastAsia" w:asciiTheme="minorEastAsia" w:hAnsiTheme="minorEastAsia" w:eastAsiaTheme="minorEastAsia"/>
                <w:bCs/>
                <w:sz w:val="24"/>
                <w:szCs w:val="18"/>
              </w:rPr>
              <w:t>系统上线交付验收后</w:t>
            </w:r>
            <w:r>
              <w:rPr>
                <w:rFonts w:hint="eastAsia" w:ascii="宋体" w:hAnsi="宋体" w:eastAsia="宋体" w:cs="宋体"/>
                <w:sz w:val="24"/>
                <w:szCs w:val="24"/>
              </w:rPr>
              <w:t>12个月。</w:t>
            </w:r>
          </w:p>
        </w:tc>
      </w:tr>
      <w:tr w14:paraId="63C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shd w:val="clear" w:color="auto" w:fill="FFFFFF" w:themeFill="background1"/>
            <w:vAlign w:val="center"/>
          </w:tcPr>
          <w:p w14:paraId="4E03BACB">
            <w:pPr>
              <w:pStyle w:val="43"/>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p>
        </w:tc>
        <w:tc>
          <w:tcPr>
            <w:tcW w:w="1072" w:type="pct"/>
            <w:shd w:val="clear" w:color="auto" w:fill="FFFFFF" w:themeFill="background1"/>
            <w:vAlign w:val="center"/>
          </w:tcPr>
          <w:p w14:paraId="364E2794">
            <w:pPr>
              <w:pStyle w:val="42"/>
              <w:rPr>
                <w:sz w:val="24"/>
              </w:rPr>
            </w:pPr>
            <w:r>
              <w:rPr>
                <w:rFonts w:hint="eastAsia"/>
                <w:sz w:val="24"/>
              </w:rPr>
              <w:t>其他补充说明</w:t>
            </w:r>
          </w:p>
          <w:p w14:paraId="3CDF15F2">
            <w:pPr>
              <w:rPr>
                <w:rFonts w:ascii="宋体" w:hAnsi="宋体" w:eastAsia="宋体" w:cs="宋体"/>
                <w:sz w:val="24"/>
                <w:szCs w:val="24"/>
              </w:rPr>
            </w:pPr>
          </w:p>
        </w:tc>
        <w:tc>
          <w:tcPr>
            <w:tcW w:w="3350" w:type="pct"/>
            <w:shd w:val="clear" w:color="auto" w:fill="FFFFFF" w:themeFill="background1"/>
            <w:vAlign w:val="center"/>
          </w:tcPr>
          <w:p w14:paraId="7CAA4E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Theme="minorEastAsia" w:hAnsiTheme="minorEastAsia" w:eastAsiaTheme="minorEastAsia"/>
                <w:bCs/>
                <w:color w:val="000000" w:themeColor="text1"/>
                <w:sz w:val="24"/>
                <w:szCs w:val="18"/>
                <w14:textFill>
                  <w14:solidFill>
                    <w14:schemeClr w14:val="tx1"/>
                  </w14:solidFill>
                </w14:textFill>
              </w:rPr>
              <w:t>百大悦购小程序为第三方技术服务商开发，投标人需要与原服务商对接并获取相关源代码使用权，与原服务商产生的相关费用，投标人自己需充分评估，并支付所有费用，招标人不再单独计量支付。</w:t>
            </w:r>
            <w:r>
              <w:rPr>
                <w:rFonts w:ascii="宋体" w:hAnsi="宋体" w:eastAsia="宋体" w:cs="宋体"/>
                <w:color w:val="000000" w:themeColor="text1"/>
                <w:sz w:val="24"/>
                <w:szCs w:val="24"/>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仅提供</w:t>
            </w:r>
            <w:r>
              <w:rPr>
                <w:rFonts w:ascii="宋体" w:hAnsi="宋体" w:eastAsia="宋体" w:cs="宋体"/>
                <w:color w:val="000000" w:themeColor="text1"/>
                <w:sz w:val="24"/>
                <w:szCs w:val="24"/>
                <w14:textFill>
                  <w14:solidFill>
                    <w14:schemeClr w14:val="tx1"/>
                  </w14:solidFill>
                </w14:textFill>
              </w:rPr>
              <w:t>原服务商的联系方式</w:t>
            </w:r>
            <w:r>
              <w:rPr>
                <w:rFonts w:hint="eastAsia" w:asciiTheme="minorEastAsia" w:hAnsiTheme="minorEastAsia" w:eastAsiaTheme="minorEastAsia"/>
                <w:bCs/>
                <w:color w:val="000000" w:themeColor="text1"/>
                <w:sz w:val="24"/>
                <w:szCs w:val="18"/>
                <w14:textFill>
                  <w14:solidFill>
                    <w14:schemeClr w14:val="tx1"/>
                  </w14:solidFill>
                </w14:textFill>
              </w:rPr>
              <w:t>。</w:t>
            </w:r>
          </w:p>
          <w:p w14:paraId="262914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2.投标人所提供的软件产品需结构合理、实用，并保证数据传输实时性及网络安全性。</w:t>
            </w:r>
          </w:p>
        </w:tc>
      </w:tr>
    </w:tbl>
    <w:p w14:paraId="289385F1">
      <w:pPr>
        <w:pStyle w:val="8"/>
        <w:spacing w:before="312" w:beforeLines="100" w:after="312" w:afterLines="100" w:line="240" w:lineRule="auto"/>
        <w:jc w:val="center"/>
        <w:rPr>
          <w:rFonts w:asciiTheme="minorEastAsia" w:hAnsiTheme="minorEastAsia" w:eastAsiaTheme="minorEastAsia" w:cstheme="minorEastAsia"/>
          <w:snapToGrid w:val="0"/>
          <w:sz w:val="24"/>
          <w:szCs w:val="24"/>
          <w:lang w:val="en-US"/>
        </w:rPr>
      </w:pPr>
      <w:bookmarkStart w:id="4" w:name="_Toc7319"/>
      <w:r>
        <w:rPr>
          <w:rFonts w:hint="eastAsia" w:asciiTheme="minorEastAsia" w:hAnsiTheme="minorEastAsia" w:eastAsiaTheme="minorEastAsia" w:cstheme="minorEastAsia"/>
          <w:b w:val="0"/>
          <w:bCs w:val="0"/>
          <w:color w:val="000000"/>
          <w:sz w:val="24"/>
          <w:szCs w:val="24"/>
          <w:lang w:val="en-US"/>
        </w:rPr>
        <w:t>附件1</w:t>
      </w:r>
      <w:r>
        <w:rPr>
          <w:rFonts w:hint="eastAsia" w:asciiTheme="minorEastAsia" w:hAnsiTheme="minorEastAsia" w:eastAsiaTheme="minorEastAsia" w:cstheme="minorEastAsia"/>
          <w:snapToGrid w:val="0"/>
          <w:sz w:val="24"/>
          <w:szCs w:val="24"/>
        </w:rPr>
        <w:t>招标代理服务费</w:t>
      </w:r>
      <w:bookmarkEnd w:id="4"/>
      <w:r>
        <w:rPr>
          <w:rFonts w:hint="eastAsia" w:asciiTheme="minorEastAsia" w:hAnsiTheme="minorEastAsia" w:eastAsiaTheme="minorEastAsia" w:cstheme="minorEastAsia"/>
          <w:snapToGrid w:val="0"/>
          <w:sz w:val="24"/>
          <w:szCs w:val="24"/>
          <w:lang w:val="en-US"/>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0A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F96F831">
            <w:pPr>
              <w:widowControl/>
              <w:ind w:firstLine="720" w:firstLineChars="300"/>
              <w:jc w:val="left"/>
              <w:rPr>
                <w:rFonts w:asciiTheme="minorEastAsia" w:hAnsiTheme="minorEastAsia" w:eastAsiaTheme="minorEastAsia" w:cstheme="minorEastAsia"/>
                <w:sz w:val="24"/>
                <w:szCs w:val="24"/>
              </w:rPr>
            </w:pPr>
          </w:p>
          <w:p w14:paraId="6AA65200">
            <w:pPr>
              <w:spacing w:line="4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招标代理服务费收费标准 </w:t>
            </w:r>
          </w:p>
          <w:tbl>
            <w:tblPr>
              <w:tblStyle w:val="24"/>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6897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6B38EC1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中标金额（万元）</w:t>
                  </w:r>
                </w:p>
              </w:tc>
              <w:tc>
                <w:tcPr>
                  <w:tcW w:w="1843" w:type="dxa"/>
                  <w:vAlign w:val="center"/>
                </w:tcPr>
                <w:p w14:paraId="1C3A80A8">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货物招标</w:t>
                  </w:r>
                </w:p>
              </w:tc>
              <w:tc>
                <w:tcPr>
                  <w:tcW w:w="1843" w:type="dxa"/>
                  <w:vAlign w:val="center"/>
                </w:tcPr>
                <w:p w14:paraId="63944E2E">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服务招标</w:t>
                  </w:r>
                </w:p>
              </w:tc>
              <w:tc>
                <w:tcPr>
                  <w:tcW w:w="1856" w:type="dxa"/>
                  <w:vAlign w:val="center"/>
                </w:tcPr>
                <w:p w14:paraId="19715DC3">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工程施工/      工程总承包</w:t>
                  </w:r>
                </w:p>
              </w:tc>
            </w:tr>
            <w:tr w14:paraId="4440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7385CAB0">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100以下</w:t>
                  </w:r>
                </w:p>
              </w:tc>
              <w:tc>
                <w:tcPr>
                  <w:tcW w:w="1843" w:type="dxa"/>
                  <w:vAlign w:val="center"/>
                </w:tcPr>
                <w:p w14:paraId="32B7791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43" w:type="dxa"/>
                  <w:vAlign w:val="center"/>
                </w:tcPr>
                <w:p w14:paraId="3F8876BC">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w:t>
                  </w:r>
                </w:p>
              </w:tc>
              <w:tc>
                <w:tcPr>
                  <w:tcW w:w="1856" w:type="dxa"/>
                  <w:vAlign w:val="center"/>
                </w:tcPr>
                <w:p w14:paraId="4938B89E">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r>
            <w:tr w14:paraId="05E0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35F02950">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100-500</w:t>
                  </w:r>
                </w:p>
              </w:tc>
              <w:tc>
                <w:tcPr>
                  <w:tcW w:w="1843" w:type="dxa"/>
                  <w:vAlign w:val="center"/>
                </w:tcPr>
                <w:p w14:paraId="1BF7336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1843" w:type="dxa"/>
                  <w:vAlign w:val="center"/>
                </w:tcPr>
                <w:p w14:paraId="6BDA31D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56" w:type="dxa"/>
                  <w:vAlign w:val="center"/>
                </w:tcPr>
                <w:p w14:paraId="78832287">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0.7%</w:t>
                  </w:r>
                </w:p>
              </w:tc>
            </w:tr>
            <w:tr w14:paraId="1BCE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74E524F7">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500-1000</w:t>
                  </w:r>
                </w:p>
              </w:tc>
              <w:tc>
                <w:tcPr>
                  <w:tcW w:w="1843" w:type="dxa"/>
                  <w:vAlign w:val="center"/>
                </w:tcPr>
                <w:p w14:paraId="64CC9EF6">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0.8%</w:t>
                  </w:r>
                </w:p>
              </w:tc>
              <w:tc>
                <w:tcPr>
                  <w:tcW w:w="1843" w:type="dxa"/>
                  <w:vAlign w:val="center"/>
                </w:tcPr>
                <w:p w14:paraId="4655BBD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0.45%</w:t>
                  </w:r>
                </w:p>
              </w:tc>
              <w:tc>
                <w:tcPr>
                  <w:tcW w:w="1856" w:type="dxa"/>
                  <w:vAlign w:val="center"/>
                </w:tcPr>
                <w:p w14:paraId="3BABB98E">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0.55%</w:t>
                  </w:r>
                </w:p>
              </w:tc>
            </w:tr>
            <w:tr w14:paraId="66BD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7111FDE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1000-5000</w:t>
                  </w:r>
                </w:p>
              </w:tc>
              <w:tc>
                <w:tcPr>
                  <w:tcW w:w="1843" w:type="dxa"/>
                  <w:vAlign w:val="center"/>
                </w:tcPr>
                <w:p w14:paraId="68D61C6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0.5%</w:t>
                  </w:r>
                </w:p>
              </w:tc>
              <w:tc>
                <w:tcPr>
                  <w:tcW w:w="1843" w:type="dxa"/>
                  <w:vAlign w:val="center"/>
                </w:tcPr>
                <w:p w14:paraId="26E4869A">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56" w:type="dxa"/>
                  <w:vAlign w:val="center"/>
                </w:tcPr>
                <w:p w14:paraId="0EE5D978">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0.35%</w:t>
                  </w:r>
                </w:p>
              </w:tc>
            </w:tr>
            <w:tr w14:paraId="4AB1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233A4BD0">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5000-10000</w:t>
                  </w:r>
                </w:p>
              </w:tc>
              <w:tc>
                <w:tcPr>
                  <w:tcW w:w="1843" w:type="dxa"/>
                  <w:vAlign w:val="center"/>
                </w:tcPr>
                <w:p w14:paraId="735731C9">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0.25%</w:t>
                  </w:r>
                </w:p>
              </w:tc>
              <w:tc>
                <w:tcPr>
                  <w:tcW w:w="1843" w:type="dxa"/>
                  <w:vAlign w:val="center"/>
                </w:tcPr>
                <w:p w14:paraId="3DED3803">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0.1%</w:t>
                  </w:r>
                </w:p>
              </w:tc>
              <w:tc>
                <w:tcPr>
                  <w:tcW w:w="1856" w:type="dxa"/>
                  <w:vAlign w:val="center"/>
                </w:tcPr>
                <w:p w14:paraId="256C1847">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0.2%</w:t>
                  </w:r>
                </w:p>
              </w:tc>
            </w:tr>
            <w:tr w14:paraId="38C4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03FB5709">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10000-100000</w:t>
                  </w:r>
                </w:p>
              </w:tc>
              <w:tc>
                <w:tcPr>
                  <w:tcW w:w="1843" w:type="dxa"/>
                  <w:vAlign w:val="center"/>
                </w:tcPr>
                <w:p w14:paraId="25076150">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43" w:type="dxa"/>
                  <w:vAlign w:val="center"/>
                </w:tcPr>
                <w:p w14:paraId="66B9C21A">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c>
                <w:tcPr>
                  <w:tcW w:w="1856" w:type="dxa"/>
                  <w:vAlign w:val="center"/>
                </w:tcPr>
                <w:p w14:paraId="31C105B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0.05%</w:t>
                  </w:r>
                </w:p>
              </w:tc>
            </w:tr>
            <w:tr w14:paraId="2C9C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vAlign w:val="center"/>
                </w:tcPr>
                <w:p w14:paraId="622D144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100000以上</w:t>
                  </w:r>
                </w:p>
              </w:tc>
              <w:tc>
                <w:tcPr>
                  <w:tcW w:w="1843" w:type="dxa"/>
                  <w:vAlign w:val="center"/>
                </w:tcPr>
                <w:p w14:paraId="6EA91C48">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43" w:type="dxa"/>
                  <w:vAlign w:val="center"/>
                </w:tcPr>
                <w:p w14:paraId="05A8961A">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c>
                <w:tcPr>
                  <w:tcW w:w="1856" w:type="dxa"/>
                  <w:vAlign w:val="center"/>
                </w:tcPr>
                <w:p w14:paraId="5E30DB2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0.01%</w:t>
                  </w:r>
                </w:p>
              </w:tc>
            </w:tr>
          </w:tbl>
          <w:p w14:paraId="1CB9754E">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FF0000"/>
                <w:sz w:val="24"/>
                <w:szCs w:val="24"/>
              </w:rPr>
              <w:t>具体收取金额为上表（招标代理服务费收费标准）相应招标类别收费标准*80%，</w:t>
            </w:r>
            <w:r>
              <w:rPr>
                <w:rFonts w:hint="eastAsia" w:asciiTheme="minorEastAsia" w:hAnsiTheme="minorEastAsia" w:eastAsiaTheme="minorEastAsia" w:cstheme="minorEastAsia"/>
                <w:color w:val="000000"/>
                <w:sz w:val="24"/>
                <w:szCs w:val="24"/>
              </w:rPr>
              <w:t>计算招标代理服务费收取金额如下：</w:t>
            </w:r>
          </w:p>
          <w:p w14:paraId="6A14E9C9">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100万元×1.5％×80%＝1.2万元</w:t>
            </w:r>
          </w:p>
          <w:p w14:paraId="650E95C5">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（500－100）万元×0.8％×80%＝2.56万元</w:t>
            </w:r>
          </w:p>
          <w:p w14:paraId="6DCB6907">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（1000－500）万元×0.45％×80%＝1.8万元</w:t>
            </w:r>
          </w:p>
          <w:p w14:paraId="2AED6C8C">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（5000－1000）万元×0.25％×80%＝8万元</w:t>
            </w:r>
          </w:p>
          <w:p w14:paraId="5B2FDEB4">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（6000－5000）万元×0.1％×80%＝0.8万元</w:t>
            </w:r>
          </w:p>
          <w:p w14:paraId="7B278E0C">
            <w:pPr>
              <w:spacing w:line="460" w:lineRule="exac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合计收费＝1.2＋2.56＋1.8＋8＋0.8＝14.36(万元)</w:t>
            </w:r>
          </w:p>
          <w:p w14:paraId="13F0AAAB">
            <w:pPr>
              <w:pStyle w:val="67"/>
              <w:adjustRightInd w:val="0"/>
              <w:snapToGrid w:val="0"/>
              <w:rPr>
                <w:rFonts w:asciiTheme="minorEastAsia" w:hAnsiTheme="minorEastAsia" w:eastAsiaTheme="minorEastAsia" w:cstheme="minorEastAsia"/>
                <w:sz w:val="24"/>
                <w:szCs w:val="24"/>
              </w:rPr>
            </w:pPr>
          </w:p>
        </w:tc>
      </w:tr>
    </w:tbl>
    <w:p w14:paraId="39F21094">
      <w:pPr>
        <w:spacing w:line="360" w:lineRule="auto"/>
        <w:ind w:firstLine="437"/>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二、投标人</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4EC1F61E">
      <w:pPr>
        <w:spacing w:line="360" w:lineRule="auto"/>
        <w:ind w:firstLine="437"/>
        <w:outlineLvl w:val="3"/>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1.有关定义</w:t>
      </w:r>
    </w:p>
    <w:p w14:paraId="26247AFC">
      <w:pPr>
        <w:spacing w:line="360" w:lineRule="auto"/>
        <w:ind w:firstLine="437"/>
        <w:outlineLvl w:val="3"/>
        <w:rPr>
          <w:rFonts w:asciiTheme="minorEastAsia" w:hAnsiTheme="minorEastAsia" w:eastAsiaTheme="minorEastAsia"/>
          <w:sz w:val="24"/>
        </w:rPr>
      </w:pPr>
      <w:r>
        <w:rPr>
          <w:rFonts w:hint="eastAsia" w:asciiTheme="minorEastAsia" w:hAnsiTheme="minorEastAsia" w:eastAsiaTheme="minorEastAsia" w:cstheme="minorEastAsia"/>
          <w:bCs/>
          <w:sz w:val="24"/>
          <w:szCs w:val="22"/>
        </w:rPr>
        <w:t>本项目的交易方式为比选，招标人为项目实施建设的发包人（甲方），投标人为参与比选的主体，中标人为参与比选，并获得项目实施的承包人（乙方）。</w:t>
      </w:r>
    </w:p>
    <w:p w14:paraId="378CFFA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比选文件的澄清与修改</w:t>
      </w:r>
    </w:p>
    <w:p w14:paraId="1DBF6A3F">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2.1投标人如对比选文件内容有疑问，按投标人须知前附表规定提出。</w:t>
      </w:r>
    </w:p>
    <w:p w14:paraId="68AA251E">
      <w:pPr>
        <w:pStyle w:val="12"/>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招标人可主动或在解答投标人提出的问题时对比选文件进行澄清或者修改。代理机构将在安徽公共资源交易集团网站澄清或修改比选文件，投标人应主动上网查询。代理机构和招标人不承担投标人未及时关注相关信息引发的相关责任。</w:t>
      </w:r>
    </w:p>
    <w:p w14:paraId="43605AA4">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2.3任何人或任何组织向投标人提供的任何书面或口头资料，未经代理机构在网上发布或书面通知，均作无效处理，不得作为比选文件的组成部分。代理机构对投标人由此而做出的推论、理解和结论概不负责。</w:t>
      </w:r>
    </w:p>
    <w:p w14:paraId="501C7F8D">
      <w:pPr>
        <w:spacing w:line="360" w:lineRule="auto"/>
        <w:ind w:firstLine="435"/>
        <w:rPr>
          <w:rFonts w:asciiTheme="minorEastAsia" w:hAnsiTheme="minorEastAsia" w:eastAsiaTheme="minorEastAsia" w:cstheme="minorEastAsia"/>
          <w:iCs/>
          <w:sz w:val="24"/>
        </w:rPr>
      </w:pPr>
      <w:r>
        <w:rPr>
          <w:rFonts w:hint="eastAsia" w:asciiTheme="minorEastAsia" w:hAnsiTheme="minorEastAsia" w:eastAsiaTheme="minorEastAsia" w:cstheme="minorEastAsia"/>
          <w:sz w:val="24"/>
        </w:rPr>
        <w:t>2.4对于没有提出疑问又参与了本项目比选的投标人将被视为完全认同本比选文件（含澄清、修改等内容）</w:t>
      </w:r>
      <w:r>
        <w:rPr>
          <w:rFonts w:hint="eastAsia" w:asciiTheme="minorEastAsia" w:hAnsiTheme="minorEastAsia" w:eastAsiaTheme="minorEastAsia" w:cstheme="minorEastAsia"/>
          <w:iCs/>
          <w:sz w:val="24"/>
        </w:rPr>
        <w:t>。</w:t>
      </w:r>
    </w:p>
    <w:p w14:paraId="79DED1F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响应范围及投标文件中标准和计量单位的使用</w:t>
      </w:r>
    </w:p>
    <w:p w14:paraId="11FF1A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1投标人</w:t>
      </w:r>
      <w:r>
        <w:rPr>
          <w:rFonts w:asciiTheme="minorEastAsia" w:hAnsiTheme="minorEastAsia" w:eastAsiaTheme="minorEastAsia"/>
          <w:sz w:val="24"/>
        </w:rPr>
        <w:t>应当对所</w:t>
      </w:r>
      <w:r>
        <w:rPr>
          <w:rFonts w:hint="eastAsia" w:asciiTheme="minorEastAsia" w:hAnsiTheme="minorEastAsia" w:eastAsiaTheme="minorEastAsia"/>
          <w:sz w:val="24"/>
        </w:rPr>
        <w:t>参与的</w:t>
      </w:r>
      <w:r>
        <w:rPr>
          <w:rFonts w:asciiTheme="minorEastAsia" w:hAnsiTheme="minorEastAsia" w:eastAsiaTheme="minorEastAsia"/>
          <w:sz w:val="24"/>
        </w:rPr>
        <w:t>分包</w:t>
      </w:r>
      <w:r>
        <w:rPr>
          <w:rFonts w:hint="eastAsia" w:asciiTheme="minorEastAsia" w:hAnsiTheme="minorEastAsia" w:eastAsiaTheme="minorEastAsia"/>
          <w:sz w:val="24"/>
        </w:rPr>
        <w:t>比选文件</w:t>
      </w:r>
      <w:r>
        <w:rPr>
          <w:rFonts w:asciiTheme="minorEastAsia" w:hAnsiTheme="minorEastAsia" w:eastAsiaTheme="minorEastAsia"/>
          <w:sz w:val="24"/>
        </w:rPr>
        <w:t>中“</w:t>
      </w:r>
      <w:r>
        <w:rPr>
          <w:rFonts w:hint="eastAsia" w:asciiTheme="minorEastAsia" w:hAnsiTheme="minorEastAsia" w:eastAsiaTheme="minorEastAsia"/>
          <w:sz w:val="24"/>
        </w:rPr>
        <w:t>招标人要求</w:t>
      </w:r>
      <w:r>
        <w:rPr>
          <w:rFonts w:asciiTheme="minorEastAsia" w:hAnsiTheme="minorEastAsia" w:eastAsiaTheme="minorEastAsia"/>
          <w:sz w:val="24"/>
        </w:rPr>
        <w:t>”所列的所有内容进行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所参与包别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所参与包别的投标文件</w:t>
      </w:r>
      <w:r>
        <w:rPr>
          <w:rFonts w:asciiTheme="minorEastAsia" w:hAnsiTheme="minorEastAsia" w:eastAsiaTheme="minorEastAsia"/>
          <w:sz w:val="24"/>
        </w:rPr>
        <w:t>将被认定为</w:t>
      </w:r>
      <w:r>
        <w:rPr>
          <w:rFonts w:hint="eastAsia" w:asciiTheme="minorEastAsia" w:hAnsiTheme="minorEastAsia" w:eastAsiaTheme="minorEastAsia"/>
          <w:b/>
          <w:sz w:val="24"/>
        </w:rPr>
        <w:t>无效投标</w:t>
      </w:r>
      <w:r>
        <w:rPr>
          <w:rFonts w:asciiTheme="minorEastAsia" w:hAnsiTheme="minorEastAsia" w:eastAsiaTheme="minorEastAsia"/>
          <w:sz w:val="24"/>
        </w:rPr>
        <w:t>。</w:t>
      </w:r>
    </w:p>
    <w:p w14:paraId="6B995B73">
      <w:pPr>
        <w:spacing w:line="360" w:lineRule="auto"/>
        <w:ind w:firstLine="435"/>
        <w:rPr>
          <w:rFonts w:asciiTheme="minorEastAsia" w:hAnsiTheme="minorEastAsia" w:eastAsiaTheme="minorEastAsia"/>
          <w:sz w:val="24"/>
        </w:rPr>
      </w:pPr>
      <w:bookmarkStart w:id="5" w:name="_Hlk16458980"/>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无论</w:t>
      </w:r>
      <w:r>
        <w:rPr>
          <w:rFonts w:hint="eastAsia" w:asciiTheme="minorEastAsia" w:hAnsiTheme="minorEastAsia" w:eastAsiaTheme="minorEastAsia"/>
          <w:sz w:val="24"/>
        </w:rPr>
        <w:t>比选文件</w:t>
      </w:r>
      <w:r>
        <w:rPr>
          <w:rFonts w:asciiTheme="minorEastAsia" w:hAnsiTheme="minorEastAsia" w:eastAsiaTheme="minorEastAsia"/>
          <w:sz w:val="24"/>
        </w:rPr>
        <w:t>中是否要求，</w:t>
      </w:r>
      <w:r>
        <w:rPr>
          <w:rFonts w:hint="eastAsia" w:asciiTheme="minorEastAsia" w:hAnsiTheme="minorEastAsia" w:eastAsiaTheme="minorEastAsia"/>
          <w:sz w:val="24"/>
        </w:rPr>
        <w:t>投标人所提供的货物及伴随的服务和工程均应符合国家强制性标准。</w:t>
      </w:r>
    </w:p>
    <w:bookmarkEnd w:id="5"/>
    <w:p w14:paraId="0CA9EB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3投标人</w:t>
      </w:r>
      <w:r>
        <w:rPr>
          <w:rFonts w:asciiTheme="minorEastAsia" w:hAnsiTheme="minorEastAsia" w:eastAsiaTheme="minorEastAsia"/>
          <w:sz w:val="24"/>
        </w:rPr>
        <w:t>与</w:t>
      </w:r>
      <w:r>
        <w:rPr>
          <w:rFonts w:hint="eastAsia" w:asciiTheme="minorEastAsia" w:hAnsiTheme="minorEastAsia" w:eastAsiaTheme="minorEastAsia"/>
          <w:sz w:val="24"/>
        </w:rPr>
        <w:t>代理机构</w:t>
      </w:r>
      <w:r>
        <w:rPr>
          <w:rFonts w:asciiTheme="minorEastAsia" w:hAnsiTheme="minorEastAsia" w:eastAsiaTheme="minorEastAsia"/>
          <w:sz w:val="24"/>
        </w:rPr>
        <w:t>之间与</w:t>
      </w:r>
      <w:r>
        <w:rPr>
          <w:rFonts w:hint="eastAsia" w:asciiTheme="minorEastAsia" w:hAnsiTheme="minorEastAsia" w:eastAsiaTheme="minorEastAsia"/>
          <w:sz w:val="24"/>
        </w:rPr>
        <w:t>比选</w:t>
      </w:r>
      <w:r>
        <w:rPr>
          <w:rFonts w:asciiTheme="minorEastAsia" w:hAnsiTheme="minorEastAsia" w:eastAsiaTheme="minorEastAsia"/>
          <w:sz w:val="24"/>
        </w:rPr>
        <w:t>有关的所有往来通知、函件和</w:t>
      </w:r>
      <w:r>
        <w:rPr>
          <w:rFonts w:hint="eastAsia" w:asciiTheme="minorEastAsia" w:hAnsiTheme="minorEastAsia" w:eastAsiaTheme="minorEastAsia"/>
          <w:sz w:val="24"/>
        </w:rPr>
        <w:t>投标文件</w:t>
      </w:r>
      <w:r>
        <w:rPr>
          <w:rFonts w:asciiTheme="minorEastAsia" w:hAnsiTheme="minorEastAsia" w:eastAsiaTheme="minorEastAsia"/>
          <w:sz w:val="24"/>
        </w:rPr>
        <w:t>均用中文表述。</w:t>
      </w:r>
      <w:r>
        <w:rPr>
          <w:rFonts w:hint="eastAsia" w:asciiTheme="minorEastAsia" w:hAnsiTheme="minorEastAsia" w:eastAsiaTheme="minorEastAsia"/>
          <w:sz w:val="24"/>
        </w:rPr>
        <w:t>投标人</w:t>
      </w:r>
      <w:r>
        <w:rPr>
          <w:rFonts w:asciiTheme="minorEastAsia" w:hAnsiTheme="minorEastAsia" w:eastAsiaTheme="minorEastAsia"/>
          <w:sz w:val="24"/>
        </w:rPr>
        <w:t>随</w:t>
      </w:r>
      <w:r>
        <w:rPr>
          <w:rFonts w:hint="eastAsia" w:asciiTheme="minorEastAsia" w:hAnsiTheme="minorEastAsia" w:eastAsiaTheme="minorEastAsia"/>
          <w:sz w:val="24"/>
        </w:rPr>
        <w:t>投标文件</w:t>
      </w:r>
      <w:r>
        <w:rPr>
          <w:rFonts w:asciiTheme="minorEastAsia" w:hAnsiTheme="minorEastAsia" w:eastAsiaTheme="minorEastAsia"/>
          <w:sz w:val="24"/>
        </w:rPr>
        <w:t>提供的证明文件和资料可以为其它语言，但必须附中文译文。翻译的中文资料与外文资料出现差异时，以中文为准。</w:t>
      </w:r>
    </w:p>
    <w:p w14:paraId="1B3971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除</w:t>
      </w:r>
      <w:r>
        <w:rPr>
          <w:rFonts w:hint="eastAsia" w:asciiTheme="minorEastAsia" w:hAnsiTheme="minorEastAsia" w:eastAsiaTheme="minorEastAsia"/>
          <w:sz w:val="24"/>
        </w:rPr>
        <w:t>比选文件</w:t>
      </w:r>
      <w:r>
        <w:rPr>
          <w:rFonts w:asciiTheme="minorEastAsia" w:hAnsiTheme="minorEastAsia" w:eastAsiaTheme="minorEastAsia"/>
          <w:sz w:val="24"/>
        </w:rPr>
        <w:t>中有特殊要求外，</w:t>
      </w:r>
      <w:r>
        <w:rPr>
          <w:rFonts w:hint="eastAsia" w:asciiTheme="minorEastAsia" w:hAnsiTheme="minorEastAsia" w:eastAsiaTheme="minorEastAsia"/>
          <w:sz w:val="24"/>
        </w:rPr>
        <w:t>投标文件</w:t>
      </w:r>
      <w:r>
        <w:rPr>
          <w:rFonts w:asciiTheme="minorEastAsia" w:hAnsiTheme="minorEastAsia" w:eastAsiaTheme="minorEastAsia"/>
          <w:sz w:val="24"/>
        </w:rPr>
        <w:t>中所使用的计量单位，应采用中华人民共和国法定计量单位。</w:t>
      </w:r>
    </w:p>
    <w:p w14:paraId="7E67B91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15EE51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投标人</w:t>
      </w:r>
      <w:r>
        <w:rPr>
          <w:rFonts w:asciiTheme="minorEastAsia" w:hAnsiTheme="minorEastAsia" w:eastAsiaTheme="minorEastAsia"/>
          <w:sz w:val="24"/>
        </w:rPr>
        <w:t>应完整地按</w:t>
      </w:r>
      <w:r>
        <w:rPr>
          <w:rFonts w:hint="eastAsia" w:asciiTheme="minorEastAsia" w:hAnsiTheme="minorEastAsia" w:eastAsiaTheme="minorEastAsia"/>
          <w:sz w:val="24"/>
        </w:rPr>
        <w:t>比选文件</w:t>
      </w:r>
      <w:r>
        <w:rPr>
          <w:rFonts w:asciiTheme="minorEastAsia" w:hAnsiTheme="minorEastAsia" w:eastAsiaTheme="minorEastAsia"/>
          <w:sz w:val="24"/>
        </w:rPr>
        <w:t>提供的</w:t>
      </w:r>
      <w:r>
        <w:rPr>
          <w:rFonts w:hint="eastAsia" w:asciiTheme="minorEastAsia" w:hAnsiTheme="minorEastAsia" w:eastAsiaTheme="minorEastAsia"/>
          <w:sz w:val="24"/>
        </w:rPr>
        <w:t>投标文件</w:t>
      </w:r>
      <w:r>
        <w:rPr>
          <w:rFonts w:asciiTheme="minorEastAsia" w:hAnsiTheme="minorEastAsia" w:eastAsiaTheme="minorEastAsia"/>
          <w:sz w:val="24"/>
        </w:rPr>
        <w:t>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投标文件</w:t>
      </w:r>
      <w:r>
        <w:rPr>
          <w:rFonts w:asciiTheme="minorEastAsia" w:hAnsiTheme="minorEastAsia" w:eastAsiaTheme="minorEastAsia"/>
          <w:sz w:val="24"/>
        </w:rPr>
        <w:t>，</w:t>
      </w:r>
      <w:r>
        <w:rPr>
          <w:rFonts w:hint="eastAsia" w:asciiTheme="minorEastAsia" w:hAnsiTheme="minorEastAsia" w:eastAsiaTheme="minorEastAsia"/>
          <w:sz w:val="24"/>
        </w:rPr>
        <w:t>具体内容详见本项目第六章投标文件格式的相关内容。</w:t>
      </w:r>
    </w:p>
    <w:p w14:paraId="3833ACB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.2上述文件应按照</w:t>
      </w:r>
      <w:r>
        <w:rPr>
          <w:rFonts w:hint="eastAsia" w:asciiTheme="minorEastAsia" w:hAnsiTheme="minorEastAsia" w:eastAsiaTheme="minorEastAsia"/>
          <w:sz w:val="24"/>
        </w:rPr>
        <w:t>比选文件</w:t>
      </w:r>
      <w:r>
        <w:rPr>
          <w:rFonts w:asciiTheme="minorEastAsia" w:hAnsiTheme="minorEastAsia" w:eastAsiaTheme="minorEastAsia"/>
          <w:sz w:val="24"/>
        </w:rPr>
        <w:t>规定的格式填写、签署和盖章。</w:t>
      </w:r>
    </w:p>
    <w:p w14:paraId="77B8175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4.3证明响应标的的合格性和符合比选文件规定的技术文件</w:t>
      </w:r>
    </w:p>
    <w:p w14:paraId="0CC9D49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为保证公平公正，除非另有规定或说明，</w:t>
      </w:r>
      <w:r>
        <w:rPr>
          <w:rFonts w:hint="eastAsia" w:asciiTheme="minorEastAsia" w:hAnsiTheme="minorEastAsia" w:eastAsiaTheme="minorEastAsia"/>
          <w:sz w:val="24"/>
        </w:rPr>
        <w:t>投标人</w:t>
      </w:r>
      <w:r>
        <w:rPr>
          <w:rFonts w:asciiTheme="minorEastAsia" w:hAnsiTheme="minorEastAsia" w:eastAsiaTheme="minorEastAsia"/>
          <w:sz w:val="24"/>
        </w:rPr>
        <w:t>对同一项目</w:t>
      </w:r>
      <w:r>
        <w:rPr>
          <w:rFonts w:hint="eastAsia" w:asciiTheme="minorEastAsia" w:hAnsiTheme="minorEastAsia" w:eastAsiaTheme="minorEastAsia"/>
          <w:sz w:val="24"/>
        </w:rPr>
        <w:t>提交投标文件</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14:paraId="5240F99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160601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.1</w:t>
      </w:r>
      <w:r>
        <w:rPr>
          <w:rFonts w:hint="eastAsia" w:asciiTheme="minorEastAsia" w:hAnsiTheme="minorEastAsia" w:eastAsiaTheme="minorEastAsia"/>
          <w:sz w:val="24"/>
        </w:rPr>
        <w:t>投标人</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比选</w:t>
      </w:r>
      <w:r>
        <w:rPr>
          <w:rFonts w:asciiTheme="minorEastAsia" w:hAnsiTheme="minorEastAsia" w:eastAsiaTheme="minorEastAsia"/>
          <w:sz w:val="24"/>
        </w:rPr>
        <w:t>全部</w:t>
      </w:r>
      <w:r>
        <w:rPr>
          <w:rFonts w:hint="eastAsia" w:asciiTheme="minorEastAsia" w:hAnsiTheme="minorEastAsia" w:eastAsiaTheme="minorEastAsia"/>
          <w:sz w:val="24"/>
        </w:rPr>
        <w:t>招标人要求</w:t>
      </w:r>
      <w:r>
        <w:rPr>
          <w:rFonts w:asciiTheme="minorEastAsia" w:hAnsiTheme="minorEastAsia" w:eastAsiaTheme="minorEastAsia"/>
          <w:sz w:val="24"/>
        </w:rPr>
        <w:t>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w:t>
      </w:r>
    </w:p>
    <w:p w14:paraId="0FD77A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.2 除非</w:t>
      </w:r>
      <w:r>
        <w:rPr>
          <w:rFonts w:hint="eastAsia" w:asciiTheme="minorEastAsia" w:hAnsiTheme="minorEastAsia" w:eastAsiaTheme="minorEastAsia"/>
          <w:sz w:val="24"/>
        </w:rPr>
        <w:t>比选文件</w:t>
      </w:r>
      <w:r>
        <w:rPr>
          <w:rFonts w:asciiTheme="minorEastAsia" w:hAnsiTheme="minorEastAsia" w:eastAsiaTheme="minorEastAsia"/>
          <w:sz w:val="24"/>
        </w:rPr>
        <w:t>另有规定或经</w:t>
      </w:r>
      <w:r>
        <w:rPr>
          <w:rFonts w:hint="eastAsia" w:asciiTheme="minorEastAsia" w:hAnsiTheme="minorEastAsia" w:eastAsiaTheme="minorEastAsia"/>
          <w:sz w:val="24"/>
        </w:rPr>
        <w:t>招标人</w:t>
      </w:r>
      <w:r>
        <w:rPr>
          <w:rFonts w:asciiTheme="minorEastAsia" w:hAnsiTheme="minorEastAsia" w:eastAsiaTheme="minorEastAsia"/>
          <w:sz w:val="24"/>
        </w:rPr>
        <w:t>同意支付的，</w:t>
      </w:r>
      <w:r>
        <w:rPr>
          <w:rFonts w:hint="eastAsia" w:asciiTheme="minorEastAsia" w:hAnsiTheme="minorEastAsia" w:eastAsiaTheme="minorEastAsia"/>
          <w:sz w:val="24"/>
        </w:rPr>
        <w:t>投标人</w:t>
      </w:r>
      <w:r>
        <w:rPr>
          <w:rFonts w:asciiTheme="minorEastAsia" w:hAnsiTheme="minorEastAsia" w:eastAsiaTheme="minorEastAsia"/>
          <w:sz w:val="24"/>
        </w:rPr>
        <w:t>报价不得高于</w:t>
      </w:r>
      <w:r>
        <w:rPr>
          <w:rFonts w:hint="eastAsia" w:asciiTheme="minorEastAsia" w:hAnsiTheme="minorEastAsia" w:eastAsiaTheme="minorEastAsia"/>
          <w:sz w:val="24"/>
        </w:rPr>
        <w:t>比选文件</w:t>
      </w:r>
      <w:r>
        <w:rPr>
          <w:rFonts w:asciiTheme="minorEastAsia" w:hAnsiTheme="minorEastAsia" w:eastAsiaTheme="minorEastAsia"/>
          <w:sz w:val="24"/>
        </w:rPr>
        <w:t>规定的预算金额或者分项、分包最高限价，否则其</w:t>
      </w:r>
      <w:r>
        <w:rPr>
          <w:rFonts w:hint="eastAsia" w:asciiTheme="minorEastAsia" w:hAnsiTheme="minorEastAsia" w:eastAsiaTheme="minorEastAsia"/>
          <w:sz w:val="24"/>
        </w:rPr>
        <w:t>投标文件</w:t>
      </w:r>
      <w:r>
        <w:rPr>
          <w:rFonts w:asciiTheme="minorEastAsia" w:hAnsiTheme="minorEastAsia" w:eastAsiaTheme="minorEastAsia"/>
          <w:sz w:val="24"/>
        </w:rPr>
        <w:t>将被认定为</w:t>
      </w:r>
      <w:r>
        <w:rPr>
          <w:rFonts w:hint="eastAsia" w:asciiTheme="minorEastAsia" w:hAnsiTheme="minorEastAsia" w:eastAsiaTheme="minorEastAsia"/>
          <w:b/>
          <w:bCs/>
          <w:sz w:val="24"/>
        </w:rPr>
        <w:t>无效投标</w:t>
      </w:r>
      <w:r>
        <w:rPr>
          <w:rFonts w:asciiTheme="minorEastAsia" w:hAnsiTheme="minorEastAsia" w:eastAsiaTheme="minorEastAsia"/>
          <w:sz w:val="24"/>
        </w:rPr>
        <w:t>。</w:t>
      </w:r>
    </w:p>
    <w:p w14:paraId="5F2503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5.3 投标人</w:t>
      </w:r>
      <w:r>
        <w:rPr>
          <w:rFonts w:asciiTheme="minorEastAsia" w:hAnsiTheme="minorEastAsia" w:eastAsiaTheme="minorEastAsia"/>
          <w:sz w:val="24"/>
        </w:rPr>
        <w:t>应在报价表上标明</w:t>
      </w:r>
      <w:r>
        <w:rPr>
          <w:rFonts w:hint="eastAsia" w:asciiTheme="minorEastAsia" w:hAnsiTheme="minorEastAsia" w:eastAsiaTheme="minorEastAsia"/>
          <w:sz w:val="24"/>
        </w:rPr>
        <w:t>提供的</w:t>
      </w:r>
      <w:r>
        <w:rPr>
          <w:rFonts w:asciiTheme="minorEastAsia" w:hAnsiTheme="minorEastAsia" w:eastAsiaTheme="minorEastAsia"/>
          <w:sz w:val="24"/>
        </w:rPr>
        <w:t>货物及相关服务的单价（如适用）和总价。</w:t>
      </w:r>
      <w:r>
        <w:rPr>
          <w:rFonts w:hint="eastAsia" w:asciiTheme="minorEastAsia" w:hAnsiTheme="minorEastAsia" w:eastAsiaTheme="minorEastAsia"/>
          <w:sz w:val="24"/>
        </w:rPr>
        <w:t>未标明的视同包含在报价中。</w:t>
      </w:r>
    </w:p>
    <w:p w14:paraId="58483FF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4招标人</w:t>
      </w:r>
      <w:r>
        <w:rPr>
          <w:rFonts w:asciiTheme="minorEastAsia" w:hAnsiTheme="minorEastAsia" w:eastAsiaTheme="minorEastAsia"/>
          <w:sz w:val="24"/>
        </w:rPr>
        <w:t>不接受具有附加条件的报价。</w:t>
      </w:r>
    </w:p>
    <w:p w14:paraId="5BF46AA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比选有效期</w:t>
      </w:r>
    </w:p>
    <w:p w14:paraId="3B2615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6.1比选有效期为从投标文件提交截止之日算起的日历天数，在比选有效期内，投标人的投标文件保持有效，投标人不得要求撤销或修改其投标文件。比选有效期不满足要求的</w:t>
      </w:r>
      <w:r>
        <w:rPr>
          <w:rFonts w:hint="eastAsia" w:asciiTheme="minorEastAsia" w:hAnsiTheme="minorEastAsia" w:eastAsiaTheme="minorEastAsia"/>
          <w:b/>
          <w:bCs/>
          <w:sz w:val="24"/>
        </w:rPr>
        <w:t>无效投标</w:t>
      </w:r>
      <w:r>
        <w:rPr>
          <w:rFonts w:hint="eastAsia" w:asciiTheme="minorEastAsia" w:hAnsiTheme="minorEastAsia" w:eastAsiaTheme="minorEastAsia"/>
          <w:sz w:val="24"/>
        </w:rPr>
        <w:t>。</w:t>
      </w:r>
    </w:p>
    <w:p w14:paraId="0A537DB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因特殊原因，招标人或代理机构可在原比选有效期截止之前，要求投标人延长投标文件的有效期。接受该要求的投标人将不会被要求和允许修正其投标文件。投标人也可以拒绝延长比选有效期的要求，且不承担任何责任。上述要求和答复都应以书面形式提交。</w:t>
      </w:r>
    </w:p>
    <w:p w14:paraId="116E581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投标文件的制作</w:t>
      </w:r>
    </w:p>
    <w:p w14:paraId="7FBA3645">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7.1本项目要求提供加密电子投标文件，投标文件的制作应满足以下规定：</w:t>
      </w:r>
    </w:p>
    <w:p w14:paraId="31FDCF1B">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581FCDAC">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第六章“投标文件格式”中要求加盖投标人电子签章或公章处，投标人均应加盖投标人电子签章或公章。联合体参加投标的，除联合协议及比选文件规定须联合体各成员单位各自盖章的证明材料外，投标文件由联合体牵头人按上述规定加盖联合体牵头人单位电子签章或公章。</w:t>
      </w:r>
    </w:p>
    <w:p w14:paraId="75989F3C">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1F70E974">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7.2因投标人自身原因而导致投标文件无法导入电子交易系统电子开标、评标系统的，该投标文件视为无效投标文件，投标人自行承担由此导致的全部责任。（该投标文件是指解密后的投标文件）。</w:t>
      </w:r>
    </w:p>
    <w:p w14:paraId="6EC12AC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投标文件提交截止时间</w:t>
      </w:r>
    </w:p>
    <w:p w14:paraId="4F056C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sz w:val="24"/>
        </w:rPr>
        <w:t>投标人</w:t>
      </w:r>
      <w:r>
        <w:rPr>
          <w:rFonts w:asciiTheme="minorEastAsia" w:hAnsiTheme="minorEastAsia" w:eastAsiaTheme="minorEastAsia"/>
          <w:sz w:val="24"/>
        </w:rPr>
        <w:t>应在</w:t>
      </w:r>
      <w:r>
        <w:rPr>
          <w:rFonts w:hint="eastAsia" w:asciiTheme="minorEastAsia" w:hAnsiTheme="minorEastAsia" w:eastAsiaTheme="minorEastAsia"/>
          <w:sz w:val="24"/>
          <w:u w:val="single"/>
        </w:rPr>
        <w:t>投标人</w:t>
      </w:r>
      <w:r>
        <w:rPr>
          <w:rFonts w:asciiTheme="minorEastAsia" w:hAnsiTheme="minorEastAsia" w:eastAsiaTheme="minorEastAsia"/>
          <w:sz w:val="24"/>
          <w:u w:val="single"/>
        </w:rPr>
        <w:t>须知前附表</w:t>
      </w:r>
      <w:r>
        <w:rPr>
          <w:rFonts w:asciiTheme="minorEastAsia" w:hAnsiTheme="minorEastAsia" w:eastAsiaTheme="minorEastAsia"/>
          <w:sz w:val="24"/>
        </w:rPr>
        <w:t>中规定的</w:t>
      </w:r>
      <w:bookmarkStart w:id="6" w:name="_Hlk22476245"/>
      <w:r>
        <w:rPr>
          <w:rFonts w:hint="eastAsia" w:asciiTheme="minorEastAsia" w:hAnsiTheme="minorEastAsia" w:eastAsiaTheme="minorEastAsia"/>
          <w:sz w:val="24"/>
        </w:rPr>
        <w:t>投标文件提交截止时间</w:t>
      </w:r>
      <w:bookmarkEnd w:id="6"/>
      <w:r>
        <w:rPr>
          <w:rFonts w:asciiTheme="minorEastAsia" w:hAnsiTheme="minorEastAsia" w:eastAsiaTheme="minorEastAsia"/>
          <w:sz w:val="24"/>
        </w:rPr>
        <w:t>前，</w:t>
      </w:r>
      <w:r>
        <w:rPr>
          <w:rFonts w:hint="eastAsia" w:asciiTheme="minorEastAsia" w:hAnsiTheme="minorEastAsia" w:eastAsiaTheme="minorEastAsia"/>
          <w:sz w:val="24"/>
        </w:rPr>
        <w:t>在网上提交加密电子投标文件。</w:t>
      </w:r>
    </w:p>
    <w:p w14:paraId="308262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招标人</w:t>
      </w:r>
      <w:r>
        <w:rPr>
          <w:rFonts w:asciiTheme="minorEastAsia" w:hAnsiTheme="minorEastAsia" w:eastAsiaTheme="minorEastAsia"/>
          <w:sz w:val="24"/>
        </w:rPr>
        <w:t>和</w:t>
      </w:r>
      <w:r>
        <w:rPr>
          <w:rFonts w:hint="eastAsia" w:asciiTheme="minorEastAsia" w:hAnsiTheme="minorEastAsia" w:eastAsiaTheme="minorEastAsia"/>
          <w:sz w:val="24"/>
        </w:rPr>
        <w:t>代理机构</w:t>
      </w:r>
      <w:r>
        <w:rPr>
          <w:rFonts w:asciiTheme="minorEastAsia" w:hAnsiTheme="minorEastAsia" w:eastAsiaTheme="minorEastAsia"/>
          <w:sz w:val="24"/>
        </w:rPr>
        <w:t>有权按本</w:t>
      </w:r>
      <w:r>
        <w:rPr>
          <w:rFonts w:hint="eastAsia" w:asciiTheme="minorEastAsia" w:hAnsiTheme="minorEastAsia" w:eastAsiaTheme="minorEastAsia"/>
          <w:sz w:val="24"/>
        </w:rPr>
        <w:t>比选文件</w:t>
      </w:r>
      <w:r>
        <w:rPr>
          <w:rFonts w:asciiTheme="minorEastAsia" w:hAnsiTheme="minorEastAsia" w:eastAsiaTheme="minorEastAsia"/>
          <w:sz w:val="24"/>
        </w:rPr>
        <w:t>的规定，延迟</w:t>
      </w:r>
      <w:r>
        <w:rPr>
          <w:rFonts w:hint="eastAsia" w:asciiTheme="minorEastAsia" w:hAnsiTheme="minorEastAsia" w:eastAsiaTheme="minorEastAsia"/>
          <w:sz w:val="24"/>
        </w:rPr>
        <w:t>投标文件提交截止时间</w:t>
      </w:r>
      <w:r>
        <w:rPr>
          <w:rFonts w:asciiTheme="minorEastAsia" w:hAnsiTheme="minorEastAsia" w:eastAsiaTheme="minorEastAsia"/>
          <w:sz w:val="24"/>
        </w:rPr>
        <w:t>。在此情况下，</w:t>
      </w:r>
      <w:r>
        <w:rPr>
          <w:rFonts w:hint="eastAsia" w:asciiTheme="minorEastAsia" w:hAnsiTheme="minorEastAsia" w:eastAsiaTheme="minorEastAsia"/>
          <w:sz w:val="24"/>
        </w:rPr>
        <w:t>招标人</w:t>
      </w:r>
      <w:r>
        <w:rPr>
          <w:rFonts w:asciiTheme="minorEastAsia" w:hAnsiTheme="minorEastAsia" w:eastAsiaTheme="minorEastAsia"/>
          <w:sz w:val="24"/>
        </w:rPr>
        <w:t>、</w:t>
      </w:r>
      <w:r>
        <w:rPr>
          <w:rFonts w:hint="eastAsia" w:asciiTheme="minorEastAsia" w:hAnsiTheme="minorEastAsia" w:eastAsiaTheme="minorEastAsia"/>
          <w:sz w:val="24"/>
        </w:rPr>
        <w:t>代理机构</w:t>
      </w:r>
      <w:r>
        <w:rPr>
          <w:rFonts w:asciiTheme="minorEastAsia" w:hAnsiTheme="minorEastAsia" w:eastAsiaTheme="minorEastAsia"/>
          <w:sz w:val="24"/>
        </w:rPr>
        <w:t>和</w:t>
      </w:r>
      <w:r>
        <w:rPr>
          <w:rFonts w:hint="eastAsia" w:asciiTheme="minorEastAsia" w:hAnsiTheme="minorEastAsia" w:eastAsiaTheme="minorEastAsia"/>
          <w:sz w:val="24"/>
        </w:rPr>
        <w:t>投标人</w:t>
      </w:r>
      <w:r>
        <w:rPr>
          <w:rFonts w:asciiTheme="minorEastAsia" w:hAnsiTheme="minorEastAsia" w:eastAsiaTheme="minorEastAsia"/>
          <w:sz w:val="24"/>
        </w:rPr>
        <w:t>受</w:t>
      </w:r>
      <w:r>
        <w:rPr>
          <w:rFonts w:hint="eastAsia" w:asciiTheme="minorEastAsia" w:hAnsiTheme="minorEastAsia" w:eastAsiaTheme="minorEastAsia"/>
          <w:sz w:val="24"/>
        </w:rPr>
        <w:t>投标文件提交截止时间</w:t>
      </w:r>
      <w:r>
        <w:rPr>
          <w:rFonts w:asciiTheme="minorEastAsia" w:hAnsiTheme="minorEastAsia" w:eastAsiaTheme="minorEastAsia"/>
          <w:sz w:val="24"/>
        </w:rPr>
        <w:t>制约的所有权利和义务均应延长至新的截止时间。</w:t>
      </w:r>
    </w:p>
    <w:p w14:paraId="697DD94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投标文件的提交、修改与撤回</w:t>
      </w:r>
    </w:p>
    <w:p w14:paraId="57DAD8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9.1投标人应当在第一章“比选公告”规定的投标文件提交截止时间前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投标文件在电子交易系统</w:t>
      </w:r>
      <w:r>
        <w:rPr>
          <w:rFonts w:asciiTheme="minorEastAsia" w:hAnsiTheme="minorEastAsia" w:eastAsiaTheme="minorEastAsia"/>
          <w:sz w:val="24"/>
        </w:rPr>
        <w:t>上传</w:t>
      </w:r>
      <w:r>
        <w:rPr>
          <w:rFonts w:hint="eastAsia" w:asciiTheme="minorEastAsia" w:hAnsiTheme="minorEastAsia" w:eastAsiaTheme="minorEastAsia" w:cstheme="minorEastAsia"/>
          <w:sz w:val="24"/>
        </w:rPr>
        <w:t>（如比选延期，按最新发布比选时间执行）。</w:t>
      </w:r>
    </w:p>
    <w:p w14:paraId="54022E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投标人应当在提交截止时间前完成投标文件的传输提交（以接收到电子签收凭证为准），并可以补充、修改或者撤回投标文件。提交截止时间前未完成投标文件传输的，视为撤回投标文件。未按规定加密或提交截止时间后送达的投标文件，电子交易系统应当拒收</w:t>
      </w:r>
      <w:r>
        <w:rPr>
          <w:rFonts w:asciiTheme="minorEastAsia" w:hAnsiTheme="minorEastAsia" w:eastAsiaTheme="minorEastAsia"/>
          <w:sz w:val="24"/>
        </w:rPr>
        <w:t>。</w:t>
      </w:r>
    </w:p>
    <w:p w14:paraId="2C235AC1">
      <w:pPr>
        <w:spacing w:line="360" w:lineRule="auto"/>
        <w:ind w:firstLine="435"/>
        <w:rPr>
          <w:rFonts w:asciiTheme="minorEastAsia" w:hAnsiTheme="minorEastAsia" w:eastAsiaTheme="minorEastAsia"/>
          <w:sz w:val="24"/>
        </w:rPr>
      </w:pPr>
      <w:r>
        <w:rPr>
          <w:rFonts w:hint="eastAsia" w:asciiTheme="minorEastAsia" w:hAnsiTheme="minorEastAsia" w:eastAsiaTheme="minorEastAsia" w:cstheme="minorEastAsia"/>
          <w:sz w:val="24"/>
        </w:rPr>
        <w:t>9.3投标人应在投标人须知前附表规定的解密时间前（以电子交易系统解密倒计时为准）对本单位的投标文件进行解密。</w:t>
      </w:r>
    </w:p>
    <w:p w14:paraId="6E75030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评审小组</w:t>
      </w:r>
    </w:p>
    <w:p w14:paraId="4DB6F0C5">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由招标人委派或招标人委托代理机构抽取经济技术专家等方式组建的评审小组，负责本项目评审工作。评审小组成员由3人以上单数组成，评审小组及其成员应当依照有关规定履行相关职责和义务。</w:t>
      </w:r>
    </w:p>
    <w:p w14:paraId="2008A2AF">
      <w:pPr>
        <w:spacing w:line="360" w:lineRule="auto"/>
        <w:ind w:firstLine="437"/>
        <w:outlineLvl w:val="3"/>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终止比选</w:t>
      </w:r>
    </w:p>
    <w:p w14:paraId="7CD6518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出现下列情况之一时，招标人和代理机构有权宣布终止本项目，并将理由通知所有投标人：</w:t>
      </w:r>
    </w:p>
    <w:p w14:paraId="1D061884">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sz w:val="24"/>
          <w:szCs w:val="24"/>
        </w:rPr>
        <w:t>通过评审小组评审的投标人</w:t>
      </w:r>
      <w:r>
        <w:rPr>
          <w:rFonts w:hint="eastAsia" w:asciiTheme="minorEastAsia" w:hAnsiTheme="minorEastAsia" w:eastAsiaTheme="minorEastAsia" w:cstheme="minorEastAsia"/>
          <w:sz w:val="24"/>
        </w:rPr>
        <w:t>不足规定数量，导致本次比选缺乏竞争的；</w:t>
      </w:r>
    </w:p>
    <w:p w14:paraId="70A8F52D">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（2）出现影响公正的违法、违规行为的；</w:t>
      </w:r>
    </w:p>
    <w:p w14:paraId="1BED2FE0">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（3）因重大变故，招标任务取消的；</w:t>
      </w:r>
    </w:p>
    <w:p w14:paraId="5EE172AE">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（4）比选文件有重大漏洞，导致无法继续评审的；</w:t>
      </w:r>
    </w:p>
    <w:p w14:paraId="689A6EA4">
      <w:pPr>
        <w:spacing w:line="360" w:lineRule="auto"/>
        <w:ind w:firstLine="435"/>
      </w:pPr>
      <w:r>
        <w:rPr>
          <w:rFonts w:hint="eastAsia" w:asciiTheme="minorEastAsia" w:hAnsiTheme="minorEastAsia" w:eastAsiaTheme="minorEastAsia" w:cstheme="minorEastAsia"/>
          <w:sz w:val="24"/>
        </w:rPr>
        <w:t>（5）法律法规规定的其他情形。</w:t>
      </w:r>
    </w:p>
    <w:p w14:paraId="6D44C0C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w:t>
      </w:r>
      <w:r>
        <w:rPr>
          <w:rFonts w:asciiTheme="minorEastAsia" w:hAnsiTheme="minorEastAsia" w:eastAsiaTheme="minorEastAsia"/>
          <w:b/>
          <w:sz w:val="24"/>
        </w:rPr>
        <w:t>的澄清、说明或</w:t>
      </w:r>
      <w:r>
        <w:rPr>
          <w:rFonts w:hint="eastAsia" w:asciiTheme="minorEastAsia" w:hAnsiTheme="minorEastAsia" w:eastAsiaTheme="minorEastAsia"/>
          <w:b/>
          <w:sz w:val="24"/>
        </w:rPr>
        <w:t>更正</w:t>
      </w:r>
    </w:p>
    <w:p w14:paraId="26467C95">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A761936">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12.2评审小组要求投标人澄清、说明或者更正投标文件应当以书面形式（即网上询标）作出。投标人的澄清、说明或者更正应当加盖投标人电子签章或公章。</w:t>
      </w:r>
    </w:p>
    <w:p w14:paraId="7AC0FAFD">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14:paraId="131B67F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确定中标人</w:t>
      </w:r>
    </w:p>
    <w:p w14:paraId="15586986">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13.1招标人委托评审小组确定中标人的，排名第一的中标候选人即为中标人，由代理机构在指定媒体上予以公告；招标人确定中标人的，由招标人函告代理机构后，由代理机构在指定媒体上予以公告。</w:t>
      </w:r>
    </w:p>
    <w:p w14:paraId="1A7A71C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2因重大变故采购任务取消时，招标人有权拒绝任何投标人成交，且对受影响的投标人不承担任何责任。</w:t>
      </w:r>
    </w:p>
    <w:p w14:paraId="5F7F6C7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p>
    <w:p w14:paraId="429497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7FD2B33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.保密要求</w:t>
      </w:r>
    </w:p>
    <w:p w14:paraId="37AF9CC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评审应在严格保密的情况下进行。有关人员应当遵守评审工作纪律，不得泄露评审文件、评审情况和评审中获悉的国家秘密、商业秘密。</w:t>
      </w:r>
    </w:p>
    <w:p w14:paraId="6437080A">
      <w:pPr>
        <w:spacing w:line="360" w:lineRule="auto"/>
        <w:ind w:firstLine="437"/>
        <w:outlineLvl w:val="3"/>
        <w:rPr>
          <w:rFonts w:asciiTheme="minorEastAsia" w:hAnsiTheme="minorEastAsia" w:eastAsiaTheme="minorEastAsia" w:cs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w:t>
      </w:r>
      <w:r>
        <w:rPr>
          <w:rFonts w:hint="eastAsia" w:asciiTheme="minorEastAsia" w:hAnsiTheme="minorEastAsia" w:eastAsiaTheme="minorEastAsia" w:cstheme="minorEastAsia"/>
          <w:b/>
          <w:sz w:val="24"/>
        </w:rPr>
        <w:t>中标结果公告</w:t>
      </w:r>
    </w:p>
    <w:p w14:paraId="09983408">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中标人确定后，代理机构将在安徽公共资源交易集团网站（http://www.ahggzyjt.com）发布中标结果公告。</w:t>
      </w:r>
    </w:p>
    <w:p w14:paraId="20F6FA8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13FE4207">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17.1招标人与中标人应当在中标通知书发出后及时签订合同。</w:t>
      </w:r>
    </w:p>
    <w:p w14:paraId="6CE5B024">
      <w:pPr>
        <w:spacing w:line="360" w:lineRule="auto"/>
        <w:ind w:firstLine="43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17.2比选文件、中标人的投标文件及其澄清文件等，均为签订合同的依据。</w:t>
      </w:r>
    </w:p>
    <w:p w14:paraId="6014A598">
      <w:pPr>
        <w:spacing w:line="360" w:lineRule="auto"/>
        <w:ind w:firstLine="470"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17.3中标人拒绝与招标人签订合同的，招标人可以按照评审报告推荐的中标候选人名单排序，确定下一中标候选人为中标人，也可以重新开展比选活动。中标人拒绝签订合同的不得参加对该项目重新开展的比选活动。</w:t>
      </w:r>
    </w:p>
    <w:p w14:paraId="0EA0558E">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38F46740">
      <w:pPr>
        <w:spacing w:line="360" w:lineRule="auto"/>
        <w:ind w:firstLine="435"/>
        <w:rPr>
          <w:rFonts w:asciiTheme="minorEastAsia" w:hAnsiTheme="minorEastAsia" w:eastAsiaTheme="minorEastAsia"/>
          <w:b/>
          <w:sz w:val="28"/>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r>
        <w:rPr>
          <w:rFonts w:asciiTheme="minorEastAsia" w:hAnsiTheme="minorEastAsia" w:eastAsiaTheme="minorEastAsia"/>
          <w:sz w:val="24"/>
        </w:rPr>
        <w:br w:type="page"/>
      </w:r>
    </w:p>
    <w:p w14:paraId="357C627D">
      <w:pPr>
        <w:spacing w:line="360" w:lineRule="auto"/>
        <w:jc w:val="center"/>
        <w:outlineLvl w:val="1"/>
        <w:rPr>
          <w:rFonts w:asciiTheme="minorEastAsia" w:hAnsiTheme="minorEastAsia" w:eastAsiaTheme="minorEastAsia"/>
          <w:b/>
          <w:sz w:val="28"/>
        </w:rPr>
      </w:pPr>
      <w:bookmarkStart w:id="7" w:name="_Toc9455"/>
      <w:r>
        <w:rPr>
          <w:rFonts w:hint="eastAsia" w:asciiTheme="minorEastAsia" w:hAnsiTheme="minorEastAsia" w:eastAsiaTheme="minorEastAsia"/>
          <w:b/>
          <w:sz w:val="28"/>
        </w:rPr>
        <w:t>第三章  招标人要求</w:t>
      </w:r>
      <w:bookmarkEnd w:id="7"/>
    </w:p>
    <w:p w14:paraId="76186EDF">
      <w:pPr>
        <w:spacing w:line="360" w:lineRule="auto"/>
        <w:ind w:firstLine="435"/>
        <w:rPr>
          <w:rFonts w:asciiTheme="minorEastAsia" w:hAnsiTheme="minorEastAsia" w:eastAsiaTheme="minorEastAsia"/>
          <w:sz w:val="24"/>
          <w:szCs w:val="18"/>
        </w:rPr>
      </w:pPr>
    </w:p>
    <w:p w14:paraId="03092F74">
      <w:pPr>
        <w:spacing w:line="360" w:lineRule="auto"/>
        <w:ind w:firstLine="437"/>
        <w:rPr>
          <w:rFonts w:asciiTheme="minorEastAsia" w:hAnsiTheme="minorEastAsia" w:eastAsiaTheme="minorEastAsia"/>
          <w:b/>
          <w:sz w:val="24"/>
          <w:szCs w:val="18"/>
        </w:rPr>
      </w:pPr>
      <w:r>
        <w:rPr>
          <w:rFonts w:hint="eastAsia" w:asciiTheme="minorEastAsia" w:hAnsiTheme="minorEastAsia" w:eastAsiaTheme="minorEastAsia"/>
          <w:b/>
          <w:sz w:val="24"/>
          <w:szCs w:val="18"/>
        </w:rPr>
        <w:t>一、项目概况</w:t>
      </w:r>
    </w:p>
    <w:p w14:paraId="4944F93D">
      <w:pPr>
        <w:spacing w:line="360" w:lineRule="auto"/>
        <w:ind w:firstLine="437"/>
        <w:rPr>
          <w:rFonts w:asciiTheme="minorEastAsia" w:hAnsiTheme="minorEastAsia" w:eastAsiaTheme="minorEastAsia"/>
          <w:bCs/>
          <w:sz w:val="24"/>
          <w:szCs w:val="18"/>
        </w:rPr>
      </w:pPr>
      <w:r>
        <w:rPr>
          <w:rFonts w:hint="eastAsia" w:asciiTheme="minorEastAsia" w:hAnsiTheme="minorEastAsia" w:eastAsiaTheme="minorEastAsia"/>
          <w:bCs/>
          <w:sz w:val="24"/>
          <w:szCs w:val="18"/>
        </w:rPr>
        <w:t>百大悦购小程序（以下简称百大悦购或小程序）是合肥百货大楼集团股份有限公司线上服务平台，本着“您的满意，我的追求”服务理念，为更好提升顾客满意度，百大悦购现增设预约短信动态验证码功能。</w:t>
      </w:r>
    </w:p>
    <w:p w14:paraId="7FCF5C7C">
      <w:pPr>
        <w:spacing w:line="360" w:lineRule="auto"/>
        <w:ind w:firstLine="437"/>
        <w:rPr>
          <w:rFonts w:asciiTheme="minorEastAsia" w:hAnsiTheme="minorEastAsia" w:eastAsiaTheme="minorEastAsia"/>
          <w:b/>
          <w:sz w:val="24"/>
          <w:szCs w:val="18"/>
        </w:rPr>
      </w:pPr>
      <w:r>
        <w:rPr>
          <w:rFonts w:hint="eastAsia" w:asciiTheme="minorEastAsia" w:hAnsiTheme="minorEastAsia" w:eastAsiaTheme="minorEastAsia"/>
          <w:b/>
          <w:sz w:val="24"/>
          <w:szCs w:val="18"/>
        </w:rPr>
        <w:t>二、服务期限</w:t>
      </w:r>
    </w:p>
    <w:p w14:paraId="1309BC84">
      <w:pPr>
        <w:adjustRightInd w:val="0"/>
        <w:snapToGrid w:val="0"/>
        <w:spacing w:line="360" w:lineRule="auto"/>
        <w:ind w:firstLine="480" w:firstLineChars="200"/>
        <w:jc w:val="left"/>
        <w:rPr>
          <w:rFonts w:asciiTheme="minorEastAsia" w:hAnsiTheme="minorEastAsia" w:eastAsiaTheme="minorEastAsia"/>
          <w:bCs/>
          <w:sz w:val="24"/>
          <w:szCs w:val="18"/>
        </w:rPr>
      </w:pPr>
      <w:r>
        <w:rPr>
          <w:rFonts w:hint="eastAsia" w:asciiTheme="minorEastAsia" w:hAnsiTheme="minorEastAsia" w:eastAsiaTheme="minorEastAsia"/>
          <w:bCs/>
          <w:sz w:val="24"/>
          <w:szCs w:val="18"/>
        </w:rPr>
        <w:t>1.自合同签订之日起30</w:t>
      </w:r>
      <w:r>
        <w:rPr>
          <w:rFonts w:asciiTheme="minorEastAsia" w:hAnsiTheme="minorEastAsia" w:eastAsiaTheme="minorEastAsia"/>
          <w:bCs/>
          <w:sz w:val="24"/>
          <w:szCs w:val="18"/>
        </w:rPr>
        <w:t>个工作日内</w:t>
      </w:r>
      <w:r>
        <w:rPr>
          <w:rFonts w:hint="eastAsia" w:asciiTheme="minorEastAsia" w:hAnsiTheme="minorEastAsia" w:eastAsiaTheme="minorEastAsia"/>
          <w:bCs/>
          <w:sz w:val="24"/>
          <w:szCs w:val="18"/>
        </w:rPr>
        <w:t>，</w:t>
      </w:r>
      <w:r>
        <w:rPr>
          <w:rFonts w:asciiTheme="minorEastAsia" w:hAnsiTheme="minorEastAsia" w:eastAsiaTheme="minorEastAsia"/>
          <w:bCs/>
          <w:sz w:val="24"/>
          <w:szCs w:val="18"/>
        </w:rPr>
        <w:t>完成</w:t>
      </w:r>
      <w:r>
        <w:rPr>
          <w:rFonts w:hint="eastAsia" w:asciiTheme="minorEastAsia" w:hAnsiTheme="minorEastAsia" w:eastAsiaTheme="minorEastAsia"/>
          <w:bCs/>
          <w:sz w:val="24"/>
          <w:szCs w:val="18"/>
        </w:rPr>
        <w:t>百大悦购小程序预约动态短信需求功能。</w:t>
      </w:r>
    </w:p>
    <w:p w14:paraId="59DB8E66">
      <w:pPr>
        <w:adjustRightInd w:val="0"/>
        <w:snapToGrid w:val="0"/>
        <w:spacing w:line="360" w:lineRule="auto"/>
        <w:ind w:firstLine="480" w:firstLineChars="200"/>
        <w:jc w:val="left"/>
        <w:rPr>
          <w:rFonts w:asciiTheme="minorEastAsia" w:hAnsiTheme="minorEastAsia" w:eastAsiaTheme="minorEastAsia"/>
          <w:bCs/>
          <w:sz w:val="24"/>
          <w:szCs w:val="18"/>
        </w:rPr>
      </w:pPr>
      <w:r>
        <w:rPr>
          <w:rFonts w:hint="eastAsia" w:asciiTheme="minorEastAsia" w:hAnsiTheme="minorEastAsia" w:eastAsiaTheme="minorEastAsia"/>
          <w:bCs/>
          <w:sz w:val="24"/>
          <w:szCs w:val="18"/>
        </w:rPr>
        <w:t>2.系统上线交付验收后，中标方需对系统提供12个月的免费技术维保服务。</w:t>
      </w:r>
    </w:p>
    <w:p w14:paraId="4A035501">
      <w:pPr>
        <w:adjustRightInd w:val="0"/>
        <w:snapToGrid w:val="0"/>
        <w:spacing w:line="360" w:lineRule="auto"/>
        <w:ind w:firstLine="480" w:firstLineChars="200"/>
        <w:jc w:val="left"/>
        <w:rPr>
          <w:rFonts w:asciiTheme="minorEastAsia" w:hAnsiTheme="minorEastAsia" w:eastAsiaTheme="minorEastAsia"/>
          <w:bCs/>
          <w:sz w:val="24"/>
          <w:szCs w:val="18"/>
        </w:rPr>
      </w:pPr>
      <w:r>
        <w:rPr>
          <w:rFonts w:hint="eastAsia" w:asciiTheme="minorEastAsia" w:hAnsiTheme="minorEastAsia" w:eastAsiaTheme="minorEastAsia"/>
          <w:bCs/>
          <w:sz w:val="24"/>
          <w:szCs w:val="18"/>
        </w:rPr>
        <w:t>3.12个月免费维保服务期满后，系统出现问题后，中标方需及时解决问题，并确保响应时间小于2小时。</w:t>
      </w:r>
    </w:p>
    <w:p w14:paraId="4C935168">
      <w:pPr>
        <w:spacing w:line="360" w:lineRule="auto"/>
        <w:ind w:firstLine="437"/>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三、服务需求</w:t>
      </w:r>
    </w:p>
    <w:p w14:paraId="46767409">
      <w:pPr>
        <w:spacing w:line="360" w:lineRule="auto"/>
        <w:ind w:firstLine="480" w:firstLineChars="200"/>
        <w:rPr>
          <w:rFonts w:asciiTheme="minorEastAsia" w:hAnsiTheme="minorEastAsia" w:eastAsiaTheme="minorEastAsia"/>
          <w:bCs/>
          <w:sz w:val="24"/>
          <w:szCs w:val="18"/>
        </w:rPr>
      </w:pPr>
      <w:r>
        <w:rPr>
          <w:rFonts w:hint="eastAsia" w:asciiTheme="minorEastAsia" w:hAnsiTheme="minorEastAsia" w:eastAsiaTheme="minorEastAsia"/>
          <w:bCs/>
          <w:color w:val="000000" w:themeColor="text1"/>
          <w:sz w:val="24"/>
          <w:szCs w:val="18"/>
          <w14:textFill>
            <w14:solidFill>
              <w14:schemeClr w14:val="tx1"/>
            </w14:solidFill>
          </w14:textFill>
        </w:rPr>
        <w:t>1.百大悦购小程序为第三方技术服务商开发，投标人需要与原服务商对接并获取相关源代码使用权，与原服务商产生的相关费用，投标人自己需充分评估，并支付所有费用，招标人不再单独计量支付。</w:t>
      </w:r>
      <w:r>
        <w:rPr>
          <w:rFonts w:ascii="宋体" w:hAnsi="宋体" w:eastAsia="宋体" w:cs="宋体"/>
          <w:color w:val="000000" w:themeColor="text1"/>
          <w:sz w:val="24"/>
          <w:szCs w:val="24"/>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仅提供</w:t>
      </w:r>
      <w:r>
        <w:rPr>
          <w:rFonts w:ascii="宋体" w:hAnsi="宋体" w:eastAsia="宋体" w:cs="宋体"/>
          <w:color w:val="000000" w:themeColor="text1"/>
          <w:sz w:val="24"/>
          <w:szCs w:val="24"/>
          <w14:textFill>
            <w14:solidFill>
              <w14:schemeClr w14:val="tx1"/>
            </w14:solidFill>
          </w14:textFill>
        </w:rPr>
        <w:t>原服务商的联系方式</w:t>
      </w:r>
      <w:r>
        <w:rPr>
          <w:rFonts w:hint="eastAsia" w:asciiTheme="minorEastAsia" w:hAnsiTheme="minorEastAsia" w:eastAsiaTheme="minorEastAsia"/>
          <w:bCs/>
          <w:color w:val="000000" w:themeColor="text1"/>
          <w:sz w:val="24"/>
          <w:szCs w:val="18"/>
          <w14:textFill>
            <w14:solidFill>
              <w14:schemeClr w14:val="tx1"/>
            </w14:solidFill>
          </w14:textFill>
        </w:rPr>
        <w:t>。</w:t>
      </w:r>
      <w:r>
        <w:rPr>
          <w:rFonts w:hint="eastAsia" w:asciiTheme="minorEastAsia" w:hAnsiTheme="minorEastAsia" w:eastAsiaTheme="minorEastAsia"/>
          <w:bCs/>
          <w:sz w:val="24"/>
          <w:szCs w:val="18"/>
        </w:rPr>
        <w:t>与原服务商产生的相关费用，投标人</w:t>
      </w:r>
      <w:r>
        <w:rPr>
          <w:rFonts w:hint="eastAsia" w:asciiTheme="minorEastAsia" w:hAnsiTheme="minorEastAsia" w:eastAsiaTheme="minorEastAsia"/>
          <w:bCs/>
          <w:sz w:val="24"/>
          <w:szCs w:val="18"/>
          <w:lang w:val="en-US" w:eastAsia="zh-CN"/>
        </w:rPr>
        <w:t>应自费支付</w:t>
      </w:r>
      <w:r>
        <w:rPr>
          <w:rFonts w:hint="eastAsia" w:asciiTheme="minorEastAsia" w:hAnsiTheme="minorEastAsia" w:eastAsiaTheme="minorEastAsia"/>
          <w:bCs/>
          <w:sz w:val="24"/>
          <w:szCs w:val="18"/>
        </w:rPr>
        <w:t>，招标人不再单独计量支付。</w:t>
      </w:r>
    </w:p>
    <w:p w14:paraId="37657B72">
      <w:pPr>
        <w:spacing w:line="360" w:lineRule="auto"/>
        <w:ind w:firstLine="480" w:firstLineChars="200"/>
        <w:rPr>
          <w:rFonts w:asciiTheme="minorEastAsia" w:hAnsiTheme="minorEastAsia" w:eastAsiaTheme="minorEastAsia"/>
          <w:bCs/>
          <w:sz w:val="24"/>
          <w:szCs w:val="18"/>
        </w:rPr>
      </w:pPr>
      <w:r>
        <w:rPr>
          <w:rFonts w:hint="eastAsia" w:asciiTheme="minorEastAsia" w:hAnsiTheme="minorEastAsia" w:eastAsiaTheme="minorEastAsia"/>
          <w:bCs/>
          <w:sz w:val="24"/>
          <w:szCs w:val="18"/>
        </w:rPr>
        <w:t>2.投标人所提供的软件产品需结构合理、实用，并保证数据传输实时性及网络安全性。</w:t>
      </w:r>
    </w:p>
    <w:p w14:paraId="2A0C4CE3">
      <w:pPr>
        <w:spacing w:line="360" w:lineRule="auto"/>
        <w:ind w:firstLine="480" w:firstLineChars="200"/>
        <w:rPr>
          <w:rFonts w:asciiTheme="minorEastAsia" w:hAnsiTheme="minorEastAsia" w:eastAsiaTheme="minorEastAsia"/>
          <w:bCs/>
          <w:sz w:val="24"/>
          <w:szCs w:val="18"/>
        </w:rPr>
      </w:pPr>
      <w:r>
        <w:rPr>
          <w:rFonts w:hint="eastAsia" w:asciiTheme="minorEastAsia" w:hAnsiTheme="minorEastAsia" w:eastAsiaTheme="minorEastAsia"/>
          <w:bCs/>
          <w:sz w:val="24"/>
          <w:szCs w:val="18"/>
        </w:rPr>
        <w:t>3.投标人需要与我司第三方短信服务提供商沟通，并且进行对接、调测。</w:t>
      </w:r>
    </w:p>
    <w:p w14:paraId="689486B8">
      <w:pPr>
        <w:spacing w:line="360" w:lineRule="auto"/>
        <w:ind w:firstLine="480" w:firstLineChars="200"/>
        <w:rPr>
          <w:rFonts w:hint="eastAsia" w:asciiTheme="minorEastAsia" w:hAnsiTheme="minorEastAsia" w:eastAsiaTheme="minorEastAsia"/>
          <w:bCs/>
          <w:sz w:val="24"/>
          <w:szCs w:val="18"/>
        </w:rPr>
      </w:pPr>
      <w:r>
        <w:rPr>
          <w:rFonts w:hint="eastAsia" w:asciiTheme="minorEastAsia" w:hAnsiTheme="minorEastAsia" w:eastAsiaTheme="minorEastAsia"/>
          <w:bCs/>
          <w:sz w:val="24"/>
          <w:szCs w:val="18"/>
        </w:rPr>
        <w:t>4.服务需求一览表。</w:t>
      </w:r>
    </w:p>
    <w:p w14:paraId="00F26259">
      <w:pPr>
        <w:pStyle w:val="2"/>
        <w:rPr>
          <w:rFonts w:hint="eastAsia" w:cs="@仿宋_GB2312" w:asciiTheme="minorEastAsia" w:hAnsiTheme="minorEastAsia" w:eastAsiaTheme="minorEastAsia"/>
          <w:b/>
          <w:bCs w:val="0"/>
          <w:kern w:val="2"/>
          <w:sz w:val="24"/>
          <w:szCs w:val="18"/>
          <w:lang w:val="en-US" w:eastAsia="zh-CN" w:bidi="ar-SA"/>
        </w:rPr>
      </w:pPr>
      <w:r>
        <w:rPr>
          <w:rFonts w:hint="eastAsia" w:cs="@仿宋_GB2312" w:asciiTheme="minorEastAsia" w:hAnsiTheme="minorEastAsia" w:eastAsiaTheme="minorEastAsia"/>
          <w:b/>
          <w:bCs w:val="0"/>
          <w:kern w:val="2"/>
          <w:sz w:val="24"/>
          <w:szCs w:val="18"/>
          <w:lang w:val="en-US" w:eastAsia="zh-CN" w:bidi="ar-SA"/>
        </w:rPr>
        <w:t>注：投标人须承诺完全响应上述要求，如虚假承诺，招标人有权取消中标资格和解除合同，并上报本项目监管部门处理。</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724"/>
        <w:gridCol w:w="1686"/>
        <w:gridCol w:w="3310"/>
      </w:tblGrid>
      <w:tr w14:paraId="4ED8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vAlign w:val="center"/>
          </w:tcPr>
          <w:p w14:paraId="6A99BC08">
            <w:pPr>
              <w:spacing w:line="360" w:lineRule="auto"/>
              <w:jc w:val="center"/>
              <w:rPr>
                <w:rFonts w:asciiTheme="minorEastAsia" w:hAnsiTheme="minorEastAsia" w:eastAsiaTheme="minorEastAsia"/>
                <w:b/>
                <w:bCs/>
                <w:sz w:val="24"/>
                <w:szCs w:val="18"/>
              </w:rPr>
            </w:pPr>
            <w:r>
              <w:rPr>
                <w:rFonts w:hint="eastAsia" w:ascii="宋体" w:hAnsi="宋体" w:eastAsia="宋体"/>
                <w:b/>
                <w:bCs/>
                <w:sz w:val="24"/>
                <w:szCs w:val="18"/>
              </w:rPr>
              <w:t>序号</w:t>
            </w:r>
          </w:p>
        </w:tc>
        <w:tc>
          <w:tcPr>
            <w:tcW w:w="1598" w:type="pct"/>
            <w:vAlign w:val="center"/>
          </w:tcPr>
          <w:p w14:paraId="288B04ED">
            <w:pPr>
              <w:spacing w:line="360" w:lineRule="auto"/>
              <w:jc w:val="center"/>
              <w:rPr>
                <w:rFonts w:asciiTheme="minorEastAsia" w:hAnsiTheme="minorEastAsia" w:eastAsiaTheme="minorEastAsia"/>
                <w:b/>
                <w:bCs/>
                <w:sz w:val="24"/>
                <w:szCs w:val="18"/>
              </w:rPr>
            </w:pPr>
            <w:r>
              <w:rPr>
                <w:rFonts w:hint="eastAsia" w:ascii="宋体" w:hAnsi="宋体" w:eastAsia="宋体"/>
                <w:b/>
                <w:bCs/>
                <w:sz w:val="24"/>
                <w:szCs w:val="18"/>
              </w:rPr>
              <w:t>服务名称</w:t>
            </w:r>
          </w:p>
        </w:tc>
        <w:tc>
          <w:tcPr>
            <w:tcW w:w="989" w:type="pct"/>
            <w:vAlign w:val="center"/>
          </w:tcPr>
          <w:p w14:paraId="543671AD">
            <w:pPr>
              <w:spacing w:line="360" w:lineRule="auto"/>
              <w:jc w:val="center"/>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对应系统</w:t>
            </w:r>
          </w:p>
        </w:tc>
        <w:tc>
          <w:tcPr>
            <w:tcW w:w="1943" w:type="pct"/>
            <w:vAlign w:val="center"/>
          </w:tcPr>
          <w:p w14:paraId="74194CB7">
            <w:pPr>
              <w:spacing w:line="360" w:lineRule="auto"/>
              <w:jc w:val="center"/>
              <w:rPr>
                <w:rFonts w:asciiTheme="minorEastAsia" w:hAnsiTheme="minorEastAsia" w:eastAsiaTheme="minorEastAsia"/>
                <w:b/>
                <w:bCs/>
                <w:sz w:val="24"/>
                <w:szCs w:val="18"/>
              </w:rPr>
            </w:pPr>
            <w:r>
              <w:rPr>
                <w:rFonts w:hint="eastAsia" w:ascii="宋体" w:hAnsi="宋体" w:eastAsia="宋体"/>
                <w:b/>
                <w:bCs/>
                <w:sz w:val="24"/>
                <w:szCs w:val="18"/>
              </w:rPr>
              <w:t>技术参数及要求</w:t>
            </w:r>
          </w:p>
        </w:tc>
      </w:tr>
      <w:tr w14:paraId="51A4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71" w:type="pct"/>
            <w:vAlign w:val="center"/>
          </w:tcPr>
          <w:p w14:paraId="5AF6DD26">
            <w:pPr>
              <w:spacing w:line="360" w:lineRule="auto"/>
              <w:jc w:val="center"/>
              <w:rPr>
                <w:rFonts w:asciiTheme="minorEastAsia" w:hAnsiTheme="minorEastAsia" w:eastAsiaTheme="minorEastAsia"/>
                <w:sz w:val="24"/>
                <w:szCs w:val="18"/>
              </w:rPr>
            </w:pPr>
            <w:r>
              <w:rPr>
                <w:rFonts w:hint="eastAsia" w:asciiTheme="minorEastAsia" w:hAnsiTheme="minorEastAsia" w:eastAsiaTheme="minorEastAsia"/>
                <w:sz w:val="24"/>
                <w:szCs w:val="18"/>
              </w:rPr>
              <w:t>1</w:t>
            </w:r>
          </w:p>
        </w:tc>
        <w:tc>
          <w:tcPr>
            <w:tcW w:w="1598" w:type="pct"/>
            <w:vAlign w:val="center"/>
          </w:tcPr>
          <w:p w14:paraId="5687A2BB">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短信验证周期规则配置</w:t>
            </w:r>
          </w:p>
        </w:tc>
        <w:tc>
          <w:tcPr>
            <w:tcW w:w="989" w:type="pct"/>
            <w:vAlign w:val="center"/>
          </w:tcPr>
          <w:p w14:paraId="045D4A4F">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百大悦购后端</w:t>
            </w:r>
          </w:p>
        </w:tc>
        <w:tc>
          <w:tcPr>
            <w:tcW w:w="1943" w:type="pct"/>
            <w:vAlign w:val="center"/>
          </w:tcPr>
          <w:p w14:paraId="26F749A2">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1、短信校验周期配置</w:t>
            </w:r>
          </w:p>
          <w:p w14:paraId="7312C880">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2、统一身份校验管理</w:t>
            </w:r>
          </w:p>
        </w:tc>
      </w:tr>
      <w:tr w14:paraId="08B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471" w:type="pct"/>
            <w:vAlign w:val="center"/>
          </w:tcPr>
          <w:p w14:paraId="4D275EAF">
            <w:pPr>
              <w:spacing w:line="360" w:lineRule="auto"/>
              <w:jc w:val="center"/>
              <w:rPr>
                <w:rFonts w:asciiTheme="minorEastAsia" w:hAnsiTheme="minorEastAsia" w:eastAsiaTheme="minorEastAsia"/>
                <w:sz w:val="24"/>
                <w:szCs w:val="18"/>
              </w:rPr>
            </w:pPr>
            <w:r>
              <w:rPr>
                <w:rFonts w:hint="eastAsia" w:asciiTheme="minorEastAsia" w:hAnsiTheme="minorEastAsia" w:eastAsiaTheme="minorEastAsia"/>
                <w:sz w:val="24"/>
                <w:szCs w:val="18"/>
              </w:rPr>
              <w:t>2</w:t>
            </w:r>
          </w:p>
        </w:tc>
        <w:tc>
          <w:tcPr>
            <w:tcW w:w="1598" w:type="pct"/>
            <w:vAlign w:val="center"/>
          </w:tcPr>
          <w:p w14:paraId="44117E41">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预约功能流程调整（短信下行接口方式）</w:t>
            </w:r>
          </w:p>
        </w:tc>
        <w:tc>
          <w:tcPr>
            <w:tcW w:w="989" w:type="pct"/>
            <w:vAlign w:val="center"/>
          </w:tcPr>
          <w:p w14:paraId="19E5E936">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百大悦购后端/小程序</w:t>
            </w:r>
          </w:p>
        </w:tc>
        <w:tc>
          <w:tcPr>
            <w:tcW w:w="1943" w:type="pct"/>
            <w:vAlign w:val="center"/>
          </w:tcPr>
          <w:p w14:paraId="6DB57662">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1、短信验证码校验接口</w:t>
            </w:r>
          </w:p>
          <w:p w14:paraId="146B76DD">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2、预约身份验证判断改造</w:t>
            </w:r>
          </w:p>
          <w:p w14:paraId="7E072597">
            <w:pPr>
              <w:spacing w:line="360" w:lineRule="auto"/>
              <w:jc w:val="left"/>
              <w:rPr>
                <w:rFonts w:asciiTheme="minorEastAsia" w:hAnsiTheme="minorEastAsia" w:eastAsiaTheme="minorEastAsia"/>
                <w:bCs/>
                <w:sz w:val="24"/>
                <w:szCs w:val="18"/>
              </w:rPr>
            </w:pPr>
            <w:r>
              <w:rPr>
                <w:rFonts w:hint="eastAsia" w:asciiTheme="minorEastAsia" w:hAnsiTheme="minorEastAsia" w:eastAsiaTheme="minorEastAsia"/>
                <w:bCs/>
                <w:sz w:val="24"/>
                <w:szCs w:val="18"/>
              </w:rPr>
              <w:t>3、小程序增加验证码校验窗口</w:t>
            </w:r>
          </w:p>
          <w:p w14:paraId="7D90AA1C">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4、小程序预约流程改造</w:t>
            </w:r>
          </w:p>
        </w:tc>
      </w:tr>
      <w:tr w14:paraId="285D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471" w:type="pct"/>
            <w:vAlign w:val="center"/>
          </w:tcPr>
          <w:p w14:paraId="556D2185">
            <w:pPr>
              <w:spacing w:line="360" w:lineRule="auto"/>
              <w:jc w:val="center"/>
              <w:rPr>
                <w:rFonts w:asciiTheme="minorEastAsia" w:hAnsiTheme="minorEastAsia" w:eastAsiaTheme="minorEastAsia"/>
                <w:sz w:val="24"/>
                <w:szCs w:val="18"/>
              </w:rPr>
            </w:pPr>
            <w:r>
              <w:rPr>
                <w:rFonts w:hint="eastAsia" w:asciiTheme="minorEastAsia" w:hAnsiTheme="minorEastAsia" w:eastAsiaTheme="minorEastAsia"/>
                <w:sz w:val="24"/>
                <w:szCs w:val="18"/>
              </w:rPr>
              <w:t>3</w:t>
            </w:r>
          </w:p>
        </w:tc>
        <w:tc>
          <w:tcPr>
            <w:tcW w:w="1598" w:type="pct"/>
            <w:vAlign w:val="center"/>
          </w:tcPr>
          <w:p w14:paraId="5F612372">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测试及上线</w:t>
            </w:r>
          </w:p>
        </w:tc>
        <w:tc>
          <w:tcPr>
            <w:tcW w:w="989" w:type="pct"/>
            <w:vAlign w:val="center"/>
          </w:tcPr>
          <w:p w14:paraId="5C7F1EB8">
            <w:pPr>
              <w:spacing w:line="360" w:lineRule="auto"/>
              <w:jc w:val="center"/>
              <w:rPr>
                <w:rFonts w:asciiTheme="minorEastAsia" w:hAnsiTheme="minorEastAsia" w:eastAsiaTheme="minorEastAsia"/>
                <w:bCs/>
                <w:sz w:val="24"/>
                <w:szCs w:val="18"/>
              </w:rPr>
            </w:pPr>
            <w:r>
              <w:rPr>
                <w:rFonts w:hint="eastAsia" w:asciiTheme="minorEastAsia" w:hAnsiTheme="minorEastAsia" w:eastAsiaTheme="minorEastAsia"/>
                <w:bCs/>
                <w:sz w:val="24"/>
                <w:szCs w:val="18"/>
              </w:rPr>
              <w:t>百大悦购后端/小程序端</w:t>
            </w:r>
          </w:p>
        </w:tc>
        <w:tc>
          <w:tcPr>
            <w:tcW w:w="1943" w:type="pct"/>
            <w:vAlign w:val="center"/>
          </w:tcPr>
          <w:p w14:paraId="3C52FAF5">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1、短信发送测试</w:t>
            </w:r>
          </w:p>
          <w:p w14:paraId="1BC8B794">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2、预约流程整体测试</w:t>
            </w:r>
          </w:p>
          <w:p w14:paraId="4F7A7E6E">
            <w:pPr>
              <w:spacing w:line="360" w:lineRule="auto"/>
              <w:rPr>
                <w:rFonts w:asciiTheme="minorEastAsia" w:hAnsiTheme="minorEastAsia" w:eastAsiaTheme="minorEastAsia"/>
                <w:bCs/>
                <w:sz w:val="24"/>
                <w:szCs w:val="18"/>
              </w:rPr>
            </w:pPr>
            <w:r>
              <w:rPr>
                <w:rFonts w:hint="eastAsia" w:asciiTheme="minorEastAsia" w:hAnsiTheme="minorEastAsia" w:eastAsiaTheme="minorEastAsia"/>
                <w:bCs/>
                <w:sz w:val="24"/>
                <w:szCs w:val="18"/>
              </w:rPr>
              <w:t>3、发布上线</w:t>
            </w:r>
          </w:p>
        </w:tc>
      </w:tr>
    </w:tbl>
    <w:p w14:paraId="18A0885E">
      <w:pPr>
        <w:spacing w:line="360" w:lineRule="auto"/>
        <w:jc w:val="left"/>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四、履约情况需求</w:t>
      </w:r>
    </w:p>
    <w:p w14:paraId="1EEE8A77">
      <w:pPr>
        <w:spacing w:line="360" w:lineRule="auto"/>
        <w:ind w:firstLine="480" w:firstLineChars="200"/>
        <w:rPr>
          <w:rFonts w:asciiTheme="minorEastAsia" w:hAnsiTheme="minorEastAsia" w:eastAsiaTheme="minorEastAsia"/>
          <w:bCs/>
          <w:color w:val="000000" w:themeColor="text1"/>
          <w:sz w:val="24"/>
          <w:szCs w:val="18"/>
          <w14:textFill>
            <w14:solidFill>
              <w14:schemeClr w14:val="tx1"/>
            </w14:solidFill>
          </w14:textFill>
        </w:rPr>
      </w:pPr>
      <w:r>
        <w:rPr>
          <w:rFonts w:hint="eastAsia" w:asciiTheme="minorEastAsia" w:hAnsiTheme="minorEastAsia" w:eastAsiaTheme="minorEastAsia"/>
          <w:bCs/>
          <w:color w:val="000000" w:themeColor="text1"/>
          <w:sz w:val="24"/>
          <w:szCs w:val="18"/>
          <w14:textFill>
            <w14:solidFill>
              <w14:schemeClr w14:val="tx1"/>
            </w14:solidFill>
          </w14:textFill>
        </w:rPr>
        <w:t>1.乙方在履约过程中不满足甲方需求，乙方需要听取甲方意见改进。</w:t>
      </w:r>
    </w:p>
    <w:p w14:paraId="6E459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000000" w:themeColor="text1"/>
          <w:sz w:val="24"/>
          <w:szCs w:val="18"/>
          <w14:textFill>
            <w14:solidFill>
              <w14:schemeClr w14:val="tx1"/>
            </w14:solidFill>
          </w14:textFill>
        </w:rPr>
      </w:pPr>
      <w:r>
        <w:rPr>
          <w:rFonts w:hint="eastAsia" w:asciiTheme="minorEastAsia" w:hAnsiTheme="minorEastAsia" w:eastAsiaTheme="minorEastAsia"/>
          <w:bCs/>
          <w:color w:val="000000" w:themeColor="text1"/>
          <w:sz w:val="24"/>
          <w:szCs w:val="18"/>
          <w14:textFill>
            <w14:solidFill>
              <w14:schemeClr w14:val="tx1"/>
            </w14:solidFill>
          </w14:textFill>
        </w:rPr>
        <w:t>2.未在约定工期（预付款支付后30日）内完工,每超期一日，应向甲方支付合同总价5‰的违约金。逾期超过60日，甲方有权单方解除合同，乙方应退还预付款，同时向甲方支付合同总价的30%作为违约金并赔偿因此给甲方造成的全部损失。</w:t>
      </w:r>
    </w:p>
    <w:p w14:paraId="18FEAAA1">
      <w:pPr>
        <w:spacing w:line="360" w:lineRule="auto"/>
        <w:jc w:val="left"/>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五、报价需求</w:t>
      </w:r>
    </w:p>
    <w:p w14:paraId="1EEF3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1.投标人的报价应包含为完成本项目全部服务内容、税费等所有工作和应有费用，</w:t>
      </w:r>
      <w:r>
        <w:rPr>
          <w:rFonts w:hint="eastAsia" w:asciiTheme="minorEastAsia" w:hAnsiTheme="minorEastAsia" w:eastAsiaTheme="minorEastAsia"/>
          <w:bCs/>
          <w:sz w:val="24"/>
          <w:szCs w:val="18"/>
        </w:rPr>
        <w:t>其中安装部署、调试、培训等相关费用均包含在报价中，不另外计算。</w:t>
      </w:r>
    </w:p>
    <w:p w14:paraId="1414E1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本项目采用总价包干，以投标总价作为评标、中标及签合同依据。</w:t>
      </w:r>
      <w:r>
        <w:rPr>
          <w:rFonts w:hint="eastAsia" w:ascii="宋体" w:hAnsi="宋体" w:eastAsia="宋体" w:cs="宋体"/>
          <w:bCs/>
          <w:sz w:val="24"/>
          <w:szCs w:val="24"/>
        </w:rPr>
        <w:t>投标人投标报价不得高于比选文件（公告）列明的项目预算价，即最高投标限价2.62万元，否则</w:t>
      </w:r>
      <w:r>
        <w:rPr>
          <w:rFonts w:hint="eastAsia" w:ascii="宋体" w:hAnsi="宋体" w:eastAsia="宋体" w:cs="宋体"/>
          <w:bCs/>
          <w:sz w:val="24"/>
          <w:szCs w:val="24"/>
          <w:lang w:val="en-US" w:eastAsia="zh-CN"/>
        </w:rPr>
        <w:t>视为投标无效</w:t>
      </w:r>
      <w:r>
        <w:rPr>
          <w:rFonts w:hint="eastAsia" w:ascii="宋体" w:hAnsi="宋体" w:eastAsia="宋体" w:cs="宋体"/>
          <w:bCs/>
          <w:sz w:val="24"/>
          <w:szCs w:val="24"/>
        </w:rPr>
        <w:t>。</w:t>
      </w:r>
    </w:p>
    <w:p w14:paraId="4703B07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br w:type="page"/>
      </w:r>
    </w:p>
    <w:p w14:paraId="65F7DDBD">
      <w:pPr>
        <w:numPr>
          <w:ilvl w:val="0"/>
          <w:numId w:val="2"/>
        </w:num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 xml:space="preserve"> </w:t>
      </w:r>
      <w:bookmarkStart w:id="8" w:name="_Toc2042"/>
      <w:r>
        <w:rPr>
          <w:rFonts w:hint="eastAsia" w:asciiTheme="minorEastAsia" w:hAnsiTheme="minorEastAsia" w:eastAsiaTheme="minorEastAsia"/>
          <w:b/>
          <w:sz w:val="28"/>
        </w:rPr>
        <w:t>评审方法和标准</w:t>
      </w:r>
      <w:bookmarkEnd w:id="8"/>
    </w:p>
    <w:p w14:paraId="56198E48">
      <w:pPr>
        <w:spacing w:line="360" w:lineRule="auto"/>
        <w:ind w:firstLine="435"/>
        <w:jc w:val="center"/>
        <w:rPr>
          <w:rFonts w:asciiTheme="minorEastAsia" w:hAnsiTheme="minorEastAsia" w:eastAsiaTheme="minorEastAsia"/>
          <w:sz w:val="24"/>
        </w:rPr>
      </w:pPr>
      <w:bookmarkStart w:id="9" w:name="_Toc231"/>
      <w:r>
        <w:rPr>
          <w:rFonts w:hint="eastAsia" w:asciiTheme="minorEastAsia" w:hAnsiTheme="minorEastAsia" w:eastAsiaTheme="minorEastAsia"/>
          <w:sz w:val="24"/>
        </w:rPr>
        <w:t>（最低评标价法）</w:t>
      </w:r>
      <w:bookmarkEnd w:id="9"/>
    </w:p>
    <w:p w14:paraId="07CAFC4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一、总则</w:t>
      </w:r>
    </w:p>
    <w:p w14:paraId="5CB95D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本项目将按照比选文件的相关要求</w:t>
      </w:r>
      <w:r>
        <w:rPr>
          <w:rFonts w:asciiTheme="minorEastAsia" w:hAnsiTheme="minorEastAsia" w:eastAsiaTheme="minorEastAsia"/>
          <w:sz w:val="24"/>
        </w:rPr>
        <w:t>及本章的规定评</w:t>
      </w:r>
      <w:r>
        <w:rPr>
          <w:rFonts w:hint="eastAsia" w:asciiTheme="minorEastAsia" w:hAnsiTheme="minorEastAsia" w:eastAsiaTheme="minorEastAsia"/>
          <w:sz w:val="24"/>
        </w:rPr>
        <w:t>审</w:t>
      </w:r>
      <w:r>
        <w:rPr>
          <w:rFonts w:asciiTheme="minorEastAsia" w:hAnsiTheme="minorEastAsia" w:eastAsiaTheme="minorEastAsia"/>
          <w:sz w:val="24"/>
        </w:rPr>
        <w:t>。</w:t>
      </w:r>
    </w:p>
    <w:p w14:paraId="3C3263E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2F4438A8">
      <w:pPr>
        <w:spacing w:line="360" w:lineRule="auto"/>
        <w:ind w:firstLine="435"/>
        <w:rPr>
          <w:rFonts w:asciiTheme="minorEastAsia" w:hAnsiTheme="minorEastAsia" w:eastAsiaTheme="minorEastAsia"/>
          <w:sz w:val="24"/>
        </w:rPr>
      </w:pPr>
      <w:bookmarkStart w:id="10" w:name="_Hlk23204339"/>
      <w:r>
        <w:rPr>
          <w:rFonts w:hint="eastAsia" w:asciiTheme="minorEastAsia" w:hAnsiTheme="minorEastAsia" w:eastAsiaTheme="minorEastAsia"/>
          <w:sz w:val="24"/>
        </w:rPr>
        <w:t>1.本次项目评审采用有效最低价法作为对投标人投标文件的比较方法。</w:t>
      </w:r>
    </w:p>
    <w:p w14:paraId="2A24909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2.评审小组按照“客观公正，实事求是”的原则，评价参加本次比选的投标人所提供的产品或服务价格、性能、质量、服务及对比选文件的符合性及响应性。</w:t>
      </w:r>
    </w:p>
    <w:p w14:paraId="379920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3.评审小组应认真研究比选文件的要求。</w:t>
      </w:r>
    </w:p>
    <w:p w14:paraId="2F443D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4.有效投标应符合以下原则：</w:t>
      </w:r>
    </w:p>
    <w:p w14:paraId="2E0D50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4.1满足比选文件的实质性要求；</w:t>
      </w:r>
    </w:p>
    <w:p w14:paraId="15A7565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4.2无重大偏离、保留或招标人不能接受的附加条件；</w:t>
      </w:r>
    </w:p>
    <w:p w14:paraId="4FC52F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4.3通过投标有效性评审；</w:t>
      </w:r>
    </w:p>
    <w:p w14:paraId="54503F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4.4评审小组依据比选文件认定的其他原则。</w:t>
      </w:r>
    </w:p>
    <w:p w14:paraId="4B3CE91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5.评审小组对所有投标文件均采用相同程序和标准，进行评定。</w:t>
      </w:r>
    </w:p>
    <w:p w14:paraId="5A9AA5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评审小组发现投标人的投标文件中对同类问题表述不一致、前后矛盾、有明显文字和计算错误的内容、有可能不符合比选文件规定等情况需要澄清时，谈判小组将以询标的方式告知并要求投标人进行必要的澄清、说明或补正。</w:t>
      </w:r>
    </w:p>
    <w:p w14:paraId="584AA1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对于询标后判定的结论（如通过或不通过），评审小组应提出充足的理由，根据评审文件给定的评审指标进行判定，并予以书面记录。</w:t>
      </w:r>
    </w:p>
    <w:p w14:paraId="5F26F7D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评审小组独立评审后，对投标人某项评审指标如有不同意见，按照少数服从多数的原则，确定该项评审指标的最终结论。</w:t>
      </w:r>
    </w:p>
    <w:p w14:paraId="37AD06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7.评审小组按下表内容进行投标有效性评审。</w:t>
      </w:r>
    </w:p>
    <w:tbl>
      <w:tblPr>
        <w:tblStyle w:val="24"/>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768"/>
        <w:gridCol w:w="5653"/>
      </w:tblGrid>
      <w:tr w14:paraId="1AF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12B17AC8">
            <w:pPr>
              <w:adjustRightInd w:val="0"/>
              <w:snapToGrid w:val="0"/>
              <w:spacing w:line="360" w:lineRule="auto"/>
              <w:ind w:right="-10"/>
              <w:jc w:val="center"/>
              <w:rPr>
                <w:rFonts w:asciiTheme="minorEastAsia" w:hAnsiTheme="minorEastAsia" w:eastAsiaTheme="minorEastAsia"/>
                <w:sz w:val="24"/>
              </w:rPr>
            </w:pPr>
            <w:bookmarkStart w:id="11" w:name="_Hlk16461707"/>
            <w:r>
              <w:rPr>
                <w:rFonts w:hint="eastAsia" w:asciiTheme="minorEastAsia" w:hAnsiTheme="minorEastAsia" w:eastAsiaTheme="minorEastAsia"/>
                <w:sz w:val="24"/>
              </w:rPr>
              <w:t>序号</w:t>
            </w:r>
          </w:p>
        </w:tc>
        <w:tc>
          <w:tcPr>
            <w:tcW w:w="1068" w:type="pct"/>
            <w:tcBorders>
              <w:bottom w:val="single" w:color="auto" w:sz="4" w:space="0"/>
            </w:tcBorders>
            <w:vAlign w:val="center"/>
          </w:tcPr>
          <w:p w14:paraId="27E2D6FA">
            <w:pPr>
              <w:pStyle w:val="43"/>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评审指标</w:t>
            </w:r>
          </w:p>
        </w:tc>
        <w:tc>
          <w:tcPr>
            <w:tcW w:w="3414" w:type="pct"/>
            <w:tcBorders>
              <w:bottom w:val="single" w:color="auto" w:sz="4" w:space="0"/>
            </w:tcBorders>
            <w:vAlign w:val="center"/>
          </w:tcPr>
          <w:p w14:paraId="36320CF7">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评审标准</w:t>
            </w:r>
          </w:p>
        </w:tc>
      </w:tr>
      <w:tr w14:paraId="5B80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F7404B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068" w:type="pct"/>
            <w:tcBorders>
              <w:bottom w:val="single" w:color="auto" w:sz="4" w:space="0"/>
            </w:tcBorders>
            <w:vAlign w:val="center"/>
          </w:tcPr>
          <w:p w14:paraId="3E72BA55">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营业执照</w:t>
            </w:r>
          </w:p>
        </w:tc>
        <w:tc>
          <w:tcPr>
            <w:tcW w:w="3414" w:type="pct"/>
            <w:tcBorders>
              <w:bottom w:val="single" w:color="auto" w:sz="4" w:space="0"/>
            </w:tcBorders>
            <w:vAlign w:val="center"/>
          </w:tcPr>
          <w:p w14:paraId="2FFF33C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合法有效，提供有效的营业执照扫描件，应完整地体现出营业执照的全部内容</w:t>
            </w:r>
          </w:p>
        </w:tc>
      </w:tr>
      <w:tr w14:paraId="7920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17" w:type="pct"/>
            <w:vAlign w:val="center"/>
          </w:tcPr>
          <w:p w14:paraId="0458AA5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068" w:type="pct"/>
            <w:vAlign w:val="center"/>
          </w:tcPr>
          <w:p w14:paraId="4D13BC8A">
            <w:pPr>
              <w:spacing w:after="50" w:line="360" w:lineRule="auto"/>
              <w:ind w:right="-10"/>
              <w:jc w:val="center"/>
              <w:rPr>
                <w:rFonts w:asciiTheme="minorEastAsia" w:hAnsiTheme="minorEastAsia" w:eastAsiaTheme="minorEastAsia"/>
                <w:sz w:val="24"/>
                <w:highlight w:val="yellow"/>
              </w:rPr>
            </w:pPr>
            <w:r>
              <w:rPr>
                <w:rFonts w:hint="eastAsia" w:asciiTheme="minorEastAsia" w:hAnsiTheme="minorEastAsia" w:eastAsiaTheme="minorEastAsia"/>
                <w:sz w:val="24"/>
              </w:rPr>
              <w:t>投标人业绩</w:t>
            </w:r>
          </w:p>
        </w:tc>
        <w:tc>
          <w:tcPr>
            <w:tcW w:w="3414" w:type="pct"/>
            <w:vAlign w:val="center"/>
          </w:tcPr>
          <w:p w14:paraId="74975768">
            <w:pPr>
              <w:spacing w:after="50" w:line="360" w:lineRule="auto"/>
              <w:ind w:right="-10"/>
              <w:jc w:val="center"/>
              <w:rPr>
                <w:rFonts w:hint="default" w:asciiTheme="minorEastAsia" w:hAnsiTheme="minorEastAsia" w:eastAsiaTheme="minorEastAsia"/>
                <w:sz w:val="24"/>
                <w:szCs w:val="28"/>
                <w:highlight w:val="yellow"/>
                <w:lang w:val="en-US" w:eastAsia="zh-CN"/>
              </w:rPr>
            </w:pPr>
            <w:r>
              <w:rPr>
                <w:rFonts w:hint="eastAsia" w:asciiTheme="minorEastAsia" w:hAnsiTheme="minorEastAsia" w:eastAsiaTheme="minorEastAsia"/>
                <w:sz w:val="24"/>
                <w:szCs w:val="28"/>
                <w:highlight w:val="none"/>
                <w:lang w:val="en-US" w:eastAsia="zh-CN"/>
              </w:rPr>
              <w:t>符合比选文件要求</w:t>
            </w:r>
          </w:p>
        </w:tc>
      </w:tr>
      <w:tr w14:paraId="2220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7" w:type="pct"/>
            <w:vAlign w:val="center"/>
          </w:tcPr>
          <w:p w14:paraId="39E349E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068" w:type="pct"/>
            <w:vAlign w:val="center"/>
          </w:tcPr>
          <w:p w14:paraId="16ED1FB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报价</w:t>
            </w:r>
          </w:p>
        </w:tc>
        <w:tc>
          <w:tcPr>
            <w:tcW w:w="3414" w:type="pct"/>
            <w:vAlign w:val="center"/>
          </w:tcPr>
          <w:p w14:paraId="3578552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报价符合</w:t>
            </w:r>
            <w:r>
              <w:rPr>
                <w:rFonts w:hint="eastAsia" w:asciiTheme="minorEastAsia" w:hAnsiTheme="minorEastAsia" w:eastAsiaTheme="minorEastAsia"/>
                <w:sz w:val="24"/>
              </w:rPr>
              <w:t>比选文件要求</w:t>
            </w:r>
          </w:p>
        </w:tc>
      </w:tr>
      <w:tr w14:paraId="38D5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7" w:type="pct"/>
            <w:vAlign w:val="center"/>
          </w:tcPr>
          <w:p w14:paraId="229805D9">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068" w:type="pct"/>
            <w:vAlign w:val="center"/>
          </w:tcPr>
          <w:p w14:paraId="31AC2495">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3414" w:type="pct"/>
            <w:vAlign w:val="center"/>
          </w:tcPr>
          <w:p w14:paraId="68D256B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比选文件要求</w:t>
            </w:r>
          </w:p>
        </w:tc>
      </w:tr>
      <w:tr w14:paraId="1CB9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6B3D01F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068" w:type="pct"/>
            <w:vAlign w:val="center"/>
          </w:tcPr>
          <w:p w14:paraId="48F6522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比选文件获取情况</w:t>
            </w:r>
          </w:p>
        </w:tc>
        <w:tc>
          <w:tcPr>
            <w:tcW w:w="3414" w:type="pct"/>
            <w:vAlign w:val="center"/>
          </w:tcPr>
          <w:p w14:paraId="349AEA5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在比选文件获取截止时间前完成比选文件获取</w:t>
            </w:r>
          </w:p>
        </w:tc>
      </w:tr>
      <w:tr w14:paraId="3CC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016E1360">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068" w:type="pct"/>
            <w:vAlign w:val="center"/>
          </w:tcPr>
          <w:p w14:paraId="74273B9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3414" w:type="pct"/>
            <w:vAlign w:val="center"/>
          </w:tcPr>
          <w:p w14:paraId="2BD18B2C">
            <w:pPr>
              <w:spacing w:after="50" w:line="360" w:lineRule="auto"/>
              <w:ind w:right="-10"/>
              <w:jc w:val="center"/>
              <w:rPr>
                <w:rFonts w:asciiTheme="minorEastAsia" w:hAnsiTheme="minorEastAsia" w:eastAsiaTheme="minorEastAsia"/>
                <w:color w:val="FF0000"/>
                <w:sz w:val="24"/>
                <w:szCs w:val="28"/>
              </w:rPr>
            </w:pPr>
            <w:r>
              <w:rPr>
                <w:rFonts w:hint="eastAsia" w:asciiTheme="minorEastAsia" w:hAnsiTheme="minorEastAsia" w:eastAsiaTheme="minorEastAsia"/>
                <w:color w:val="000000" w:themeColor="text1"/>
                <w:sz w:val="24"/>
                <w:szCs w:val="28"/>
                <w14:textFill>
                  <w14:solidFill>
                    <w14:schemeClr w14:val="tx1"/>
                  </w14:solidFill>
                </w14:textFill>
              </w:rPr>
              <w:t>符合比选文件第二章“投标人须知”中对付款方式、服务期限、免费</w:t>
            </w:r>
            <w:r>
              <w:rPr>
                <w:rFonts w:hint="eastAsia" w:asciiTheme="minorEastAsia" w:hAnsiTheme="minorEastAsia" w:eastAsiaTheme="minorEastAsia"/>
                <w:color w:val="000000" w:themeColor="text1"/>
                <w:sz w:val="24"/>
                <w:szCs w:val="28"/>
                <w:lang w:val="en-US" w:eastAsia="zh-CN"/>
                <w14:textFill>
                  <w14:solidFill>
                    <w14:schemeClr w14:val="tx1"/>
                  </w14:solidFill>
                </w14:textFill>
              </w:rPr>
              <w:t>维保期</w:t>
            </w:r>
            <w:r>
              <w:rPr>
                <w:rFonts w:hint="eastAsia" w:asciiTheme="minorEastAsia" w:hAnsiTheme="minorEastAsia" w:eastAsiaTheme="minorEastAsia"/>
                <w:color w:val="000000" w:themeColor="text1"/>
                <w:sz w:val="24"/>
                <w:szCs w:val="28"/>
                <w14:textFill>
                  <w14:solidFill>
                    <w14:schemeClr w14:val="tx1"/>
                  </w14:solidFill>
                </w14:textFill>
              </w:rPr>
              <w:t>的要求</w:t>
            </w:r>
          </w:p>
        </w:tc>
      </w:tr>
      <w:tr w14:paraId="0B0B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2125E1A6">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7</w:t>
            </w:r>
          </w:p>
        </w:tc>
        <w:tc>
          <w:tcPr>
            <w:tcW w:w="1068" w:type="pct"/>
            <w:vAlign w:val="center"/>
          </w:tcPr>
          <w:p w14:paraId="39D24D4B">
            <w:pPr>
              <w:spacing w:after="50" w:line="360" w:lineRule="auto"/>
              <w:ind w:right="-10"/>
              <w:jc w:val="center"/>
              <w:rPr>
                <w:rFonts w:asciiTheme="minorEastAsia" w:hAnsiTheme="minorEastAsia" w:eastAsiaTheme="minorEastAsia"/>
                <w:sz w:val="24"/>
                <w:szCs w:val="28"/>
              </w:rPr>
            </w:pPr>
            <w:r>
              <w:rPr>
                <w:rFonts w:hint="eastAsia" w:ascii="宋体" w:hAnsi="宋体" w:eastAsia="宋体"/>
                <w:sz w:val="24"/>
                <w:szCs w:val="28"/>
              </w:rPr>
              <w:t>技术响应情况</w:t>
            </w:r>
          </w:p>
        </w:tc>
        <w:tc>
          <w:tcPr>
            <w:tcW w:w="3414" w:type="pct"/>
            <w:vAlign w:val="center"/>
          </w:tcPr>
          <w:p w14:paraId="0EEA6494">
            <w:pPr>
              <w:spacing w:after="50" w:line="360" w:lineRule="auto"/>
              <w:ind w:right="-10"/>
              <w:jc w:val="center"/>
              <w:rPr>
                <w:rFonts w:asciiTheme="minorEastAsia" w:hAnsiTheme="minorEastAsia" w:eastAsiaTheme="minorEastAsia"/>
                <w:color w:val="000000" w:themeColor="text1"/>
                <w:sz w:val="24"/>
                <w:szCs w:val="28"/>
                <w14:textFill>
                  <w14:solidFill>
                    <w14:schemeClr w14:val="tx1"/>
                  </w14:solidFill>
                </w14:textFill>
              </w:rPr>
            </w:pPr>
            <w:r>
              <w:rPr>
                <w:rFonts w:hint="eastAsia" w:ascii="宋体" w:hAnsi="宋体" w:eastAsia="宋体"/>
                <w:sz w:val="24"/>
                <w:szCs w:val="28"/>
              </w:rPr>
              <w:t>符合比选文件需求要求</w:t>
            </w:r>
          </w:p>
        </w:tc>
      </w:tr>
      <w:tr w14:paraId="6805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0EE592DD">
            <w:pPr>
              <w:adjustRightInd w:val="0"/>
              <w:snapToGrid w:val="0"/>
              <w:spacing w:line="360" w:lineRule="auto"/>
              <w:ind w:right="-10"/>
              <w:jc w:val="center"/>
              <w:rPr>
                <w:rFonts w:asciiTheme="minorEastAsia" w:hAnsiTheme="minorEastAsia" w:eastAsiaTheme="minorEastAsia"/>
                <w:sz w:val="24"/>
              </w:rPr>
            </w:pPr>
            <w:r>
              <w:rPr>
                <w:rFonts w:hint="eastAsia" w:ascii="宋体" w:hAnsi="宋体" w:eastAsia="宋体"/>
                <w:sz w:val="24"/>
              </w:rPr>
              <w:t>8</w:t>
            </w:r>
          </w:p>
        </w:tc>
        <w:tc>
          <w:tcPr>
            <w:tcW w:w="1068" w:type="pct"/>
            <w:vAlign w:val="center"/>
          </w:tcPr>
          <w:p w14:paraId="622FC305">
            <w:pPr>
              <w:spacing w:after="50" w:line="360" w:lineRule="auto"/>
              <w:ind w:right="-10"/>
              <w:jc w:val="center"/>
              <w:rPr>
                <w:rFonts w:asciiTheme="minorEastAsia" w:hAnsiTheme="minorEastAsia" w:eastAsiaTheme="minorEastAsia"/>
                <w:sz w:val="24"/>
                <w:szCs w:val="28"/>
              </w:rPr>
            </w:pPr>
            <w:r>
              <w:rPr>
                <w:rFonts w:hint="eastAsia" w:ascii="宋体" w:hAnsi="宋体" w:eastAsia="宋体"/>
                <w:sz w:val="24"/>
                <w:szCs w:val="28"/>
              </w:rPr>
              <w:t>其他要求</w:t>
            </w:r>
          </w:p>
        </w:tc>
        <w:tc>
          <w:tcPr>
            <w:tcW w:w="3414" w:type="pct"/>
            <w:vAlign w:val="center"/>
          </w:tcPr>
          <w:p w14:paraId="288DDE13">
            <w:pPr>
              <w:spacing w:after="50" w:line="360" w:lineRule="auto"/>
              <w:ind w:right="-10"/>
              <w:rPr>
                <w:rFonts w:asciiTheme="minorEastAsia" w:hAnsiTheme="minorEastAsia" w:eastAsiaTheme="minorEastAsia"/>
                <w:color w:val="000000" w:themeColor="text1"/>
                <w:sz w:val="24"/>
                <w:szCs w:val="28"/>
                <w14:textFill>
                  <w14:solidFill>
                    <w14:schemeClr w14:val="tx1"/>
                  </w14:solidFill>
                </w14:textFill>
              </w:rPr>
            </w:pPr>
            <w:r>
              <w:rPr>
                <w:rFonts w:hint="eastAsia" w:ascii="宋体" w:hAnsi="宋体" w:eastAsia="宋体"/>
                <w:sz w:val="24"/>
                <w:szCs w:val="28"/>
              </w:rPr>
              <w:t>符合法律、行政法规规定的其他条件或比选文件列明的其他要求。</w:t>
            </w:r>
          </w:p>
        </w:tc>
      </w:tr>
      <w:tr w14:paraId="0A53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3"/>
            <w:vAlign w:val="center"/>
          </w:tcPr>
          <w:p w14:paraId="7BCFB902">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评审指标通过标准：</w:t>
            </w:r>
            <w:r>
              <w:rPr>
                <w:rFonts w:hint="eastAsia" w:asciiTheme="minorEastAsia" w:hAnsiTheme="minorEastAsia" w:eastAsiaTheme="minorEastAsia"/>
                <w:sz w:val="24"/>
              </w:rPr>
              <w:t>投标人必须通过评审表中的全部评审指标。</w:t>
            </w:r>
          </w:p>
          <w:p w14:paraId="55C62863">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cstheme="minorEastAsia"/>
                <w:sz w:val="24"/>
              </w:rPr>
              <w:t>评审小组根据表中所列各项指标对投标人是否为有效标进行评审，未列入上表中的指标不得作为否决投标依据。符合评审指标通过标准的，为有效投标。</w:t>
            </w:r>
          </w:p>
        </w:tc>
      </w:tr>
      <w:bookmarkEnd w:id="10"/>
      <w:bookmarkEnd w:id="11"/>
    </w:tbl>
    <w:p w14:paraId="3236CFC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中标候选人的推荐原则及标准</w:t>
      </w:r>
    </w:p>
    <w:p w14:paraId="37FB1066">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8.1对通过评审的有效投标人，按其投标报价由低到高的顺序选出中标候选人。</w:t>
      </w:r>
    </w:p>
    <w:p w14:paraId="1FED4732">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8.2如果有效投标人的投标报价出现两家或两家以上相同者，则采取</w:t>
      </w:r>
      <w:r>
        <w:rPr>
          <w:rFonts w:hint="eastAsia" w:asciiTheme="minorEastAsia" w:hAnsiTheme="minorEastAsia" w:eastAsiaTheme="minorEastAsia" w:cstheme="minorEastAsia"/>
          <w:kern w:val="0"/>
          <w:sz w:val="24"/>
        </w:rPr>
        <w:t>评审小组评委投票的</w:t>
      </w:r>
      <w:r>
        <w:rPr>
          <w:rFonts w:hint="eastAsia" w:asciiTheme="minorEastAsia" w:hAnsiTheme="minorEastAsia" w:eastAsiaTheme="minorEastAsia" w:cstheme="minorEastAsia"/>
          <w:sz w:val="24"/>
        </w:rPr>
        <w:t>方式</w:t>
      </w:r>
      <w:r>
        <w:rPr>
          <w:rFonts w:hint="eastAsia" w:asciiTheme="minorEastAsia" w:hAnsiTheme="minorEastAsia" w:eastAsiaTheme="minorEastAsia" w:cstheme="minorEastAsia"/>
          <w:kern w:val="0"/>
          <w:sz w:val="24"/>
        </w:rPr>
        <w:t>，按少数服从多数的原则确定中标候选人顺序。</w:t>
      </w:r>
    </w:p>
    <w:p w14:paraId="54082AE7">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9.评审小组在评标过程中发现的问题，应当及时作出处理或者向招标人提出处理建议，并作书面记录。</w:t>
      </w:r>
    </w:p>
    <w:p w14:paraId="2E384AF8">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在评审过程中，评审小组发现投标人的报价或者某些分项报价可能低于成本或者高于比选文件设定的最高投标限价的，评审小组将以询标的方式告知并要求投标人进行必要的说明或补正，经评审小组认定其报价低于成本或者高于比选文件设定的最高投标限价的，将否决其投标。对于询标后判定为不符合比选文件的报价，评委要提出充足的否定理由，并予以书面记录。最终对投标人的评审结论分为通过和未通过。</w:t>
      </w:r>
    </w:p>
    <w:p w14:paraId="7821BA86">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宋体" w:hAnsi="宋体" w:eastAsia="宋体" w:cs="宋体"/>
          <w:sz w:val="24"/>
          <w:szCs w:val="24"/>
        </w:rPr>
        <w:t>经评审小组评审如认定投标人投标报价明显缺乏竞争性的，评审小组可以否决所有投标</w:t>
      </w:r>
      <w:r>
        <w:rPr>
          <w:rFonts w:hint="eastAsia" w:asciiTheme="minorEastAsia" w:hAnsiTheme="minorEastAsia" w:eastAsiaTheme="minorEastAsia" w:cstheme="minorEastAsia"/>
          <w:sz w:val="24"/>
        </w:rPr>
        <w:t>。</w:t>
      </w:r>
    </w:p>
    <w:p w14:paraId="52819545">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010E1A77">
      <w:pPr>
        <w:spacing w:line="360" w:lineRule="auto"/>
        <w:ind w:firstLine="437"/>
        <w:outlineLvl w:val="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7F29443E">
      <w:pPr>
        <w:pStyle w:val="9"/>
      </w:pPr>
    </w:p>
    <w:p w14:paraId="08443777">
      <w:r>
        <w:rPr>
          <w:rFonts w:asciiTheme="minorEastAsia" w:hAnsiTheme="minorEastAsia" w:eastAsiaTheme="minorEastAsia"/>
          <w:bCs/>
          <w:sz w:val="24"/>
        </w:rPr>
        <w:br w:type="page"/>
      </w:r>
    </w:p>
    <w:p w14:paraId="7066E672">
      <w:pPr>
        <w:widowControl/>
        <w:jc w:val="left"/>
        <w:rPr>
          <w:rFonts w:asciiTheme="minorEastAsia" w:hAnsiTheme="minorEastAsia" w:eastAsiaTheme="minorEastAsia"/>
          <w:bCs/>
          <w:sz w:val="24"/>
        </w:rPr>
      </w:pPr>
    </w:p>
    <w:p w14:paraId="34435F6C">
      <w:pPr>
        <w:spacing w:line="360" w:lineRule="auto"/>
        <w:jc w:val="center"/>
        <w:outlineLvl w:val="1"/>
        <w:rPr>
          <w:rFonts w:asciiTheme="minorEastAsia" w:hAnsiTheme="minorEastAsia" w:eastAsiaTheme="minorEastAsia"/>
          <w:b/>
          <w:sz w:val="28"/>
        </w:rPr>
      </w:pPr>
      <w:bookmarkStart w:id="12" w:name="_Toc13650"/>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12"/>
    </w:p>
    <w:p w14:paraId="63689676">
      <w:pPr>
        <w:spacing w:line="540" w:lineRule="exact"/>
        <w:ind w:firstLine="849" w:firstLineChars="236"/>
        <w:jc w:val="center"/>
        <w:rPr>
          <w:rFonts w:ascii="方正小标宋简体" w:hAnsi="仿宋_GB2312" w:eastAsia="方正小标宋简体" w:cs="仿宋_GB2312"/>
          <w:snapToGrid w:val="0"/>
          <w:kern w:val="0"/>
          <w:position w:val="-4"/>
          <w:sz w:val="36"/>
          <w:szCs w:val="36"/>
        </w:rPr>
      </w:pPr>
      <w:bookmarkStart w:id="13" w:name="_Toc66203769"/>
      <w:r>
        <w:rPr>
          <w:rFonts w:hint="eastAsia" w:ascii="方正小标宋简体" w:hAnsi="仿宋_GB2312" w:eastAsia="方正小标宋简体" w:cs="仿宋_GB2312"/>
          <w:snapToGrid w:val="0"/>
          <w:kern w:val="0"/>
          <w:position w:val="-4"/>
          <w:sz w:val="36"/>
          <w:szCs w:val="36"/>
        </w:rPr>
        <w:t>百大集团百大悦购预约</w:t>
      </w:r>
    </w:p>
    <w:p w14:paraId="17261AB5">
      <w:pPr>
        <w:spacing w:line="540" w:lineRule="exact"/>
        <w:ind w:firstLine="849" w:firstLineChars="236"/>
        <w:jc w:val="center"/>
        <w:rPr>
          <w:rFonts w:ascii="方正小标宋简体" w:hAnsi="仿宋_GB2312" w:eastAsia="方正小标宋简体" w:cs="仿宋_GB2312"/>
          <w:snapToGrid w:val="0"/>
          <w:kern w:val="0"/>
          <w:position w:val="-4"/>
          <w:sz w:val="36"/>
          <w:szCs w:val="36"/>
        </w:rPr>
      </w:pPr>
      <w:r>
        <w:rPr>
          <w:rFonts w:hint="eastAsia" w:ascii="方正小标宋简体" w:hAnsi="仿宋_GB2312" w:eastAsia="方正小标宋简体" w:cs="仿宋_GB2312"/>
          <w:snapToGrid w:val="0"/>
          <w:kern w:val="0"/>
          <w:position w:val="-4"/>
          <w:sz w:val="36"/>
          <w:szCs w:val="36"/>
        </w:rPr>
        <w:t>增加短信动态验证码项目合同</w:t>
      </w:r>
    </w:p>
    <w:bookmarkEnd w:id="13"/>
    <w:p w14:paraId="59F2AC38">
      <w:pPr>
        <w:spacing w:line="360" w:lineRule="auto"/>
        <w:ind w:firstLine="566" w:firstLineChars="236"/>
        <w:jc w:val="left"/>
        <w:rPr>
          <w:rFonts w:ascii="仿宋_GB2312" w:hAnsi="仿宋_GB2312" w:eastAsia="仿宋_GB2312" w:cs="仿宋_GB2312"/>
          <w:snapToGrid w:val="0"/>
          <w:kern w:val="0"/>
          <w:position w:val="-4"/>
          <w:sz w:val="24"/>
        </w:rPr>
      </w:pPr>
    </w:p>
    <w:p w14:paraId="021E7DE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本合同签订于</w:t>
      </w:r>
      <w:r>
        <w:rPr>
          <w:rFonts w:hint="eastAsia" w:ascii="宋体" w:hAnsi="宋体" w:eastAsia="宋体" w:cs="宋体"/>
          <w:snapToGrid w:val="0"/>
          <w:kern w:val="0"/>
          <w:position w:val="-4"/>
          <w:sz w:val="24"/>
          <w:u w:val="single"/>
        </w:rPr>
        <w:t>2024</w:t>
      </w:r>
      <w:r>
        <w:rPr>
          <w:rFonts w:hint="eastAsia" w:ascii="宋体" w:hAnsi="宋体" w:eastAsia="宋体" w:cs="宋体"/>
          <w:snapToGrid w:val="0"/>
          <w:kern w:val="0"/>
          <w:position w:val="-4"/>
          <w:sz w:val="24"/>
        </w:rPr>
        <w:t>年</w:t>
      </w:r>
      <w:r>
        <w:rPr>
          <w:rFonts w:hint="eastAsia" w:ascii="宋体" w:hAnsi="宋体" w:eastAsia="宋体" w:cs="宋体"/>
          <w:snapToGrid w:val="0"/>
          <w:kern w:val="0"/>
          <w:position w:val="-4"/>
          <w:sz w:val="24"/>
          <w:u w:val="single"/>
        </w:rPr>
        <w:t xml:space="preserve">   </w:t>
      </w:r>
      <w:r>
        <w:rPr>
          <w:rFonts w:hint="eastAsia" w:ascii="宋体" w:hAnsi="宋体" w:eastAsia="宋体" w:cs="宋体"/>
          <w:snapToGrid w:val="0"/>
          <w:kern w:val="0"/>
          <w:position w:val="-4"/>
          <w:sz w:val="24"/>
        </w:rPr>
        <w:t>月</w:t>
      </w:r>
      <w:r>
        <w:rPr>
          <w:rFonts w:hint="eastAsia" w:ascii="宋体" w:hAnsi="宋体" w:eastAsia="宋体" w:cs="宋体"/>
          <w:snapToGrid w:val="0"/>
          <w:kern w:val="0"/>
          <w:position w:val="-4"/>
          <w:sz w:val="24"/>
          <w:u w:val="single"/>
        </w:rPr>
        <w:t xml:space="preserve">   </w:t>
      </w:r>
      <w:r>
        <w:rPr>
          <w:rFonts w:hint="eastAsia" w:ascii="宋体" w:hAnsi="宋体" w:eastAsia="宋体" w:cs="宋体"/>
          <w:snapToGrid w:val="0"/>
          <w:kern w:val="0"/>
          <w:position w:val="-4"/>
          <w:sz w:val="24"/>
        </w:rPr>
        <w:t>日</w:t>
      </w:r>
    </w:p>
    <w:p w14:paraId="61DE3660">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签约地点：合肥</w:t>
      </w:r>
    </w:p>
    <w:p w14:paraId="0FA0991A">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招标人（以下简称甲方）：</w:t>
      </w:r>
      <w:r>
        <w:rPr>
          <w:rFonts w:hint="eastAsia" w:ascii="宋体" w:hAnsi="宋体" w:eastAsia="宋体" w:cs="宋体"/>
          <w:sz w:val="24"/>
          <w:u w:val="single"/>
        </w:rPr>
        <w:t>合肥百货大楼集团股份有限公司</w:t>
      </w:r>
    </w:p>
    <w:p w14:paraId="5F8E67EC">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联系地址：</w:t>
      </w:r>
      <w:r>
        <w:rPr>
          <w:rFonts w:hint="eastAsia" w:ascii="宋体" w:hAnsi="宋体" w:eastAsia="宋体" w:cs="宋体"/>
          <w:snapToGrid w:val="0"/>
          <w:kern w:val="0"/>
          <w:position w:val="-4"/>
          <w:sz w:val="24"/>
          <w:u w:val="single"/>
        </w:rPr>
        <w:t xml:space="preserve">合肥市黄山路596号 </w:t>
      </w:r>
    </w:p>
    <w:p w14:paraId="690D367C">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联系电话：</w:t>
      </w:r>
      <w:r>
        <w:rPr>
          <w:rFonts w:hint="eastAsia" w:ascii="宋体" w:hAnsi="宋体" w:eastAsia="宋体" w:cs="宋体"/>
          <w:snapToGrid w:val="0"/>
          <w:kern w:val="0"/>
          <w:position w:val="-4"/>
          <w:sz w:val="24"/>
          <w:u w:val="single"/>
        </w:rPr>
        <w:t xml:space="preserve">0551-65771082 </w:t>
      </w:r>
    </w:p>
    <w:p w14:paraId="3355987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传    真：</w:t>
      </w:r>
      <w:r>
        <w:rPr>
          <w:rFonts w:hint="eastAsia" w:ascii="宋体" w:hAnsi="宋体" w:eastAsia="宋体" w:cs="宋体"/>
          <w:snapToGrid w:val="0"/>
          <w:kern w:val="0"/>
          <w:position w:val="-4"/>
          <w:sz w:val="24"/>
          <w:u w:val="single"/>
        </w:rPr>
        <w:t xml:space="preserve">         </w:t>
      </w:r>
      <w:r>
        <w:rPr>
          <w:rFonts w:hint="eastAsia" w:ascii="宋体" w:hAnsi="宋体" w:eastAsia="宋体" w:cs="宋体"/>
          <w:snapToGrid w:val="0"/>
          <w:kern w:val="0"/>
          <w:position w:val="-4"/>
          <w:sz w:val="24"/>
        </w:rPr>
        <w:t xml:space="preserve">  </w:t>
      </w:r>
    </w:p>
    <w:p w14:paraId="412B7110">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联 系 人：</w:t>
      </w:r>
      <w:r>
        <w:rPr>
          <w:rFonts w:hint="eastAsia" w:ascii="宋体" w:hAnsi="宋体" w:eastAsia="宋体" w:cs="宋体"/>
          <w:snapToGrid w:val="0"/>
          <w:kern w:val="0"/>
          <w:position w:val="-4"/>
          <w:sz w:val="24"/>
          <w:u w:val="single"/>
        </w:rPr>
        <w:t xml:space="preserve">         </w:t>
      </w:r>
    </w:p>
    <w:p w14:paraId="03DEC8B4">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中标人（以下简称乙方）：</w:t>
      </w:r>
      <w:r>
        <w:rPr>
          <w:rFonts w:hint="eastAsia" w:ascii="宋体" w:hAnsi="宋体" w:eastAsia="宋体" w:cs="宋体"/>
          <w:snapToGrid w:val="0"/>
          <w:kern w:val="0"/>
          <w:position w:val="-4"/>
          <w:sz w:val="24"/>
          <w:u w:val="single"/>
        </w:rPr>
        <w:t xml:space="preserve">                            </w:t>
      </w:r>
    </w:p>
    <w:p w14:paraId="72527CD1">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联系地址</w:t>
      </w:r>
      <w:r>
        <w:rPr>
          <w:rFonts w:hint="eastAsia" w:ascii="宋体" w:hAnsi="宋体" w:eastAsia="宋体" w:cs="宋体"/>
          <w:snapToGrid w:val="0"/>
          <w:kern w:val="0"/>
          <w:position w:val="-4"/>
          <w:sz w:val="24"/>
          <w:lang w:eastAsia="zh-Hans"/>
        </w:rPr>
        <w:t>：</w:t>
      </w:r>
      <w:r>
        <w:rPr>
          <w:rFonts w:hint="eastAsia" w:ascii="宋体" w:hAnsi="宋体" w:eastAsia="宋体" w:cs="宋体"/>
          <w:snapToGrid w:val="0"/>
          <w:kern w:val="0"/>
          <w:position w:val="-4"/>
          <w:sz w:val="24"/>
          <w:u w:val="single"/>
        </w:rPr>
        <w:t xml:space="preserve">                                               </w:t>
      </w:r>
    </w:p>
    <w:p w14:paraId="4F56AD32">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联系电话：</w:t>
      </w:r>
      <w:r>
        <w:rPr>
          <w:rFonts w:hint="eastAsia" w:ascii="宋体" w:hAnsi="宋体" w:eastAsia="宋体" w:cs="宋体"/>
          <w:snapToGrid w:val="0"/>
          <w:kern w:val="0"/>
          <w:position w:val="-4"/>
          <w:sz w:val="24"/>
          <w:u w:val="single"/>
        </w:rPr>
        <w:t xml:space="preserve">               </w:t>
      </w:r>
    </w:p>
    <w:p w14:paraId="406F960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传    真：</w:t>
      </w:r>
      <w:r>
        <w:rPr>
          <w:rFonts w:hint="eastAsia" w:ascii="宋体" w:hAnsi="宋体" w:eastAsia="宋体" w:cs="宋体"/>
          <w:snapToGrid w:val="0"/>
          <w:kern w:val="0"/>
          <w:position w:val="-4"/>
          <w:sz w:val="24"/>
          <w:u w:val="single"/>
        </w:rPr>
        <w:t xml:space="preserve">               </w:t>
      </w:r>
    </w:p>
    <w:p w14:paraId="3A98EAB0">
      <w:pPr>
        <w:spacing w:line="360" w:lineRule="auto"/>
        <w:ind w:firstLine="566" w:firstLineChars="236"/>
        <w:jc w:val="left"/>
        <w:rPr>
          <w:rFonts w:ascii="仿宋_GB2312" w:hAnsi="仿宋_GB2312" w:eastAsia="仿宋_GB2312" w:cs="仿宋_GB2312"/>
          <w:snapToGrid w:val="0"/>
          <w:kern w:val="0"/>
          <w:position w:val="-4"/>
          <w:sz w:val="24"/>
          <w:u w:val="single"/>
        </w:rPr>
      </w:pPr>
      <w:r>
        <w:rPr>
          <w:rFonts w:hint="eastAsia" w:ascii="宋体" w:hAnsi="宋体" w:eastAsia="宋体" w:cs="宋体"/>
          <w:snapToGrid w:val="0"/>
          <w:kern w:val="0"/>
          <w:position w:val="-4"/>
          <w:sz w:val="24"/>
        </w:rPr>
        <w:t>联 系 人：</w:t>
      </w:r>
      <w:r>
        <w:rPr>
          <w:rFonts w:hint="eastAsia" w:ascii="宋体" w:hAnsi="宋体" w:eastAsia="宋体" w:cs="宋体"/>
          <w:snapToGrid w:val="0"/>
          <w:kern w:val="0"/>
          <w:position w:val="-4"/>
          <w:sz w:val="24"/>
          <w:u w:val="single"/>
        </w:rPr>
        <w:t xml:space="preserve">           </w:t>
      </w:r>
    </w:p>
    <w:p w14:paraId="76088364">
      <w:pPr>
        <w:spacing w:line="360" w:lineRule="auto"/>
        <w:jc w:val="left"/>
        <w:rPr>
          <w:rFonts w:ascii="仿宋_GB2312" w:hAnsi="仿宋_GB2312" w:eastAsia="仿宋_GB2312" w:cs="仿宋_GB2312"/>
          <w:snapToGrid w:val="0"/>
          <w:kern w:val="0"/>
          <w:position w:val="-4"/>
          <w:sz w:val="24"/>
        </w:rPr>
      </w:pPr>
    </w:p>
    <w:p w14:paraId="12C8E295">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根据《中华人民共和国民法典》等相关法律法规的规定，本着平等、自愿、互利互惠的原则，甲乙双方经过友好协商，就甲方购买乙方的应用系统软件等事宜，签订协议如下：</w:t>
      </w:r>
    </w:p>
    <w:p w14:paraId="672F76FC">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合同</w:t>
      </w:r>
      <w:bookmarkStart w:id="14" w:name="_Toc4323603"/>
      <w:r>
        <w:rPr>
          <w:rFonts w:hint="eastAsia" w:ascii="宋体" w:hAnsi="宋体" w:eastAsia="宋体" w:cs="宋体"/>
          <w:b/>
          <w:sz w:val="24"/>
          <w:shd w:val="clear" w:color="auto" w:fill="FFFFFF"/>
        </w:rPr>
        <w:t>标的</w:t>
      </w:r>
    </w:p>
    <w:p w14:paraId="484D26B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1、甲方委托乙方开发建设</w:t>
      </w:r>
      <w:r>
        <w:rPr>
          <w:rFonts w:hint="eastAsia" w:ascii="宋体" w:hAnsi="宋体" w:eastAsia="宋体" w:cs="宋体"/>
          <w:snapToGrid w:val="0"/>
          <w:kern w:val="0"/>
          <w:position w:val="-4"/>
          <w:sz w:val="24"/>
          <w:u w:val="single"/>
        </w:rPr>
        <w:t>百大集团百大悦购预约增加短信动态验证码项目</w:t>
      </w:r>
      <w:r>
        <w:rPr>
          <w:rFonts w:hint="eastAsia" w:ascii="宋体" w:hAnsi="宋体" w:eastAsia="宋体" w:cs="宋体"/>
          <w:snapToGrid w:val="0"/>
          <w:kern w:val="0"/>
          <w:position w:val="-4"/>
          <w:sz w:val="24"/>
        </w:rPr>
        <w:t>（以下简称</w:t>
      </w:r>
      <w:r>
        <w:rPr>
          <w:rFonts w:hint="eastAsia" w:ascii="宋体" w:hAnsi="宋体" w:eastAsia="宋体" w:cs="宋体"/>
          <w:snapToGrid w:val="0"/>
          <w:kern w:val="0"/>
          <w:position w:val="-4"/>
          <w:sz w:val="24"/>
          <w:u w:val="single"/>
        </w:rPr>
        <w:t>短信动态验证码功能</w:t>
      </w:r>
      <w:r>
        <w:rPr>
          <w:rFonts w:hint="eastAsia" w:ascii="宋体" w:hAnsi="宋体" w:eastAsia="宋体" w:cs="宋体"/>
          <w:snapToGrid w:val="0"/>
          <w:kern w:val="0"/>
          <w:position w:val="-4"/>
          <w:sz w:val="24"/>
        </w:rPr>
        <w:t>），用途为满足</w:t>
      </w:r>
      <w:r>
        <w:rPr>
          <w:rFonts w:hint="eastAsia" w:ascii="宋体" w:hAnsi="宋体" w:eastAsia="宋体" w:cs="宋体"/>
          <w:snapToGrid w:val="0"/>
          <w:kern w:val="0"/>
          <w:position w:val="-4"/>
          <w:sz w:val="24"/>
          <w:u w:val="single"/>
        </w:rPr>
        <w:t>百大悦购用户预约发送动态验证码功能，实现预约功能升级</w:t>
      </w:r>
      <w:r>
        <w:rPr>
          <w:rFonts w:hint="eastAsia" w:ascii="宋体" w:hAnsi="宋体" w:eastAsia="宋体" w:cs="宋体"/>
          <w:snapToGrid w:val="0"/>
          <w:kern w:val="0"/>
          <w:position w:val="-4"/>
          <w:sz w:val="24"/>
        </w:rPr>
        <w:t>，具体需求内容见下表：《</w:t>
      </w:r>
      <w:r>
        <w:rPr>
          <w:rFonts w:hint="eastAsia" w:ascii="宋体" w:hAnsi="宋体" w:eastAsia="宋体" w:cs="宋体"/>
          <w:snapToGrid w:val="0"/>
          <w:kern w:val="0"/>
          <w:position w:val="-4"/>
          <w:sz w:val="24"/>
          <w:u w:val="single"/>
        </w:rPr>
        <w:t>百大集团百大悦购预约增加短信动态验证码需求清单</w:t>
      </w:r>
      <w:r>
        <w:rPr>
          <w:rFonts w:hint="eastAsia" w:ascii="宋体" w:hAnsi="宋体" w:eastAsia="宋体" w:cs="宋体"/>
          <w:snapToGrid w:val="0"/>
          <w:kern w:val="0"/>
          <w:position w:val="-4"/>
          <w:sz w:val="24"/>
        </w:rPr>
        <w:t>》。</w:t>
      </w:r>
    </w:p>
    <w:tbl>
      <w:tblPr>
        <w:tblStyle w:val="25"/>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680"/>
        <w:gridCol w:w="4672"/>
      </w:tblGrid>
      <w:tr w14:paraId="3DCA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000" w:type="pct"/>
            <w:gridSpan w:val="3"/>
            <w:vAlign w:val="center"/>
          </w:tcPr>
          <w:p w14:paraId="056BB36B">
            <w:pPr>
              <w:jc w:val="center"/>
              <w:rPr>
                <w:rFonts w:hint="eastAsia" w:ascii="宋体" w:hAnsi="宋体" w:eastAsia="宋体" w:cs="宋体"/>
                <w:b/>
                <w:bCs/>
                <w:sz w:val="28"/>
                <w:szCs w:val="28"/>
              </w:rPr>
            </w:pPr>
            <w:r>
              <w:rPr>
                <w:rFonts w:hint="eastAsia" w:ascii="宋体" w:hAnsi="宋体" w:eastAsia="宋体" w:cs="宋体"/>
                <w:b/>
                <w:sz w:val="24"/>
              </w:rPr>
              <w:t>百大集团百大悦购预约增加短信动态验证码需求清单</w:t>
            </w:r>
          </w:p>
        </w:tc>
      </w:tr>
      <w:tr w14:paraId="146E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2" w:type="pct"/>
            <w:vAlign w:val="center"/>
          </w:tcPr>
          <w:p w14:paraId="3E56D0EE">
            <w:pPr>
              <w:jc w:val="center"/>
              <w:rPr>
                <w:rFonts w:hint="eastAsia" w:ascii="宋体" w:hAnsi="宋体" w:eastAsia="宋体" w:cs="宋体"/>
                <w:b/>
                <w:bCs/>
                <w:sz w:val="24"/>
              </w:rPr>
            </w:pPr>
            <w:r>
              <w:rPr>
                <w:rFonts w:hint="eastAsia" w:ascii="宋体" w:hAnsi="宋体" w:eastAsia="宋体" w:cs="宋体"/>
                <w:b/>
                <w:bCs/>
                <w:sz w:val="24"/>
              </w:rPr>
              <w:t>功能</w:t>
            </w:r>
          </w:p>
        </w:tc>
        <w:tc>
          <w:tcPr>
            <w:tcW w:w="1036" w:type="pct"/>
            <w:vAlign w:val="center"/>
          </w:tcPr>
          <w:p w14:paraId="6FFF3A18">
            <w:pPr>
              <w:jc w:val="center"/>
              <w:rPr>
                <w:rFonts w:hint="eastAsia" w:ascii="宋体" w:hAnsi="宋体" w:eastAsia="宋体" w:cs="宋体"/>
                <w:b/>
                <w:bCs/>
                <w:sz w:val="24"/>
              </w:rPr>
            </w:pPr>
            <w:r>
              <w:rPr>
                <w:rFonts w:hint="eastAsia" w:ascii="宋体" w:hAnsi="宋体" w:eastAsia="宋体" w:cs="宋体"/>
                <w:b/>
                <w:bCs/>
                <w:sz w:val="24"/>
              </w:rPr>
              <w:t>系统</w:t>
            </w:r>
          </w:p>
        </w:tc>
        <w:tc>
          <w:tcPr>
            <w:tcW w:w="2882" w:type="pct"/>
            <w:vAlign w:val="center"/>
          </w:tcPr>
          <w:p w14:paraId="27BA747C">
            <w:pPr>
              <w:jc w:val="center"/>
              <w:rPr>
                <w:rFonts w:hint="eastAsia" w:ascii="宋体" w:hAnsi="宋体" w:eastAsia="宋体" w:cs="宋体"/>
                <w:b/>
                <w:bCs/>
                <w:sz w:val="24"/>
              </w:rPr>
            </w:pPr>
            <w:r>
              <w:rPr>
                <w:rFonts w:hint="eastAsia" w:ascii="宋体" w:hAnsi="宋体" w:eastAsia="宋体" w:cs="宋体"/>
                <w:b/>
                <w:bCs/>
                <w:sz w:val="24"/>
              </w:rPr>
              <w:t>备注</w:t>
            </w:r>
          </w:p>
        </w:tc>
      </w:tr>
      <w:tr w14:paraId="6553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82" w:type="pct"/>
            <w:vAlign w:val="center"/>
          </w:tcPr>
          <w:p w14:paraId="2BD3594E">
            <w:pPr>
              <w:rPr>
                <w:rFonts w:hint="eastAsia" w:ascii="宋体" w:hAnsi="宋体" w:eastAsia="宋体" w:cs="宋体"/>
                <w:sz w:val="24"/>
              </w:rPr>
            </w:pPr>
            <w:r>
              <w:rPr>
                <w:rFonts w:hint="eastAsia" w:ascii="宋体" w:hAnsi="宋体" w:eastAsia="宋体" w:cs="宋体"/>
                <w:bCs/>
                <w:sz w:val="24"/>
                <w:szCs w:val="18"/>
              </w:rPr>
              <w:t>短信验证周期规则配置</w:t>
            </w:r>
          </w:p>
        </w:tc>
        <w:tc>
          <w:tcPr>
            <w:tcW w:w="1036" w:type="pct"/>
            <w:vAlign w:val="center"/>
          </w:tcPr>
          <w:p w14:paraId="4D20A0E1">
            <w:pPr>
              <w:rPr>
                <w:rFonts w:hint="eastAsia" w:ascii="宋体" w:hAnsi="宋体" w:eastAsia="宋体" w:cs="宋体"/>
                <w:sz w:val="24"/>
              </w:rPr>
            </w:pPr>
            <w:r>
              <w:rPr>
                <w:rFonts w:hint="eastAsia" w:ascii="宋体" w:hAnsi="宋体" w:eastAsia="宋体" w:cs="宋体"/>
                <w:bCs/>
                <w:sz w:val="24"/>
                <w:szCs w:val="18"/>
              </w:rPr>
              <w:t>百大悦购后端</w:t>
            </w:r>
          </w:p>
        </w:tc>
        <w:tc>
          <w:tcPr>
            <w:tcW w:w="2882" w:type="pct"/>
            <w:vAlign w:val="center"/>
          </w:tcPr>
          <w:p w14:paraId="055C58B3">
            <w:pPr>
              <w:spacing w:line="360" w:lineRule="auto"/>
              <w:rPr>
                <w:rFonts w:hint="eastAsia" w:ascii="宋体" w:hAnsi="宋体" w:eastAsia="宋体" w:cs="宋体"/>
                <w:bCs/>
                <w:sz w:val="24"/>
                <w:szCs w:val="18"/>
              </w:rPr>
            </w:pPr>
            <w:r>
              <w:rPr>
                <w:rFonts w:hint="eastAsia" w:ascii="宋体" w:hAnsi="宋体" w:eastAsia="宋体" w:cs="宋体"/>
                <w:bCs/>
                <w:sz w:val="24"/>
                <w:szCs w:val="18"/>
              </w:rPr>
              <w:t>1、短信校验周期配置</w:t>
            </w:r>
          </w:p>
          <w:p w14:paraId="75F5EA78">
            <w:pPr>
              <w:rPr>
                <w:rFonts w:hint="eastAsia" w:ascii="宋体" w:hAnsi="宋体" w:eastAsia="宋体" w:cs="宋体"/>
                <w:sz w:val="24"/>
              </w:rPr>
            </w:pPr>
            <w:r>
              <w:rPr>
                <w:rFonts w:hint="eastAsia" w:ascii="宋体" w:hAnsi="宋体" w:eastAsia="宋体" w:cs="宋体"/>
                <w:bCs/>
                <w:sz w:val="24"/>
                <w:szCs w:val="18"/>
              </w:rPr>
              <w:t>2、统一身份校验管理</w:t>
            </w:r>
          </w:p>
        </w:tc>
      </w:tr>
      <w:tr w14:paraId="2585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082" w:type="pct"/>
            <w:vAlign w:val="center"/>
          </w:tcPr>
          <w:p w14:paraId="338F91F0">
            <w:pPr>
              <w:rPr>
                <w:rFonts w:hint="eastAsia" w:ascii="宋体" w:hAnsi="宋体" w:eastAsia="宋体" w:cs="宋体"/>
                <w:sz w:val="24"/>
              </w:rPr>
            </w:pPr>
            <w:r>
              <w:rPr>
                <w:rFonts w:hint="eastAsia" w:ascii="宋体" w:hAnsi="宋体" w:eastAsia="宋体" w:cs="宋体"/>
                <w:bCs/>
                <w:sz w:val="24"/>
                <w:szCs w:val="18"/>
              </w:rPr>
              <w:t>预约功能流程调整（短信下行接口方式）</w:t>
            </w:r>
          </w:p>
        </w:tc>
        <w:tc>
          <w:tcPr>
            <w:tcW w:w="1036" w:type="pct"/>
            <w:vAlign w:val="center"/>
          </w:tcPr>
          <w:p w14:paraId="34B6F579">
            <w:pPr>
              <w:rPr>
                <w:rFonts w:hint="eastAsia" w:ascii="宋体" w:hAnsi="宋体" w:eastAsia="宋体" w:cs="宋体"/>
                <w:sz w:val="24"/>
              </w:rPr>
            </w:pPr>
            <w:r>
              <w:rPr>
                <w:rFonts w:hint="eastAsia" w:ascii="宋体" w:hAnsi="宋体" w:eastAsia="宋体" w:cs="宋体"/>
                <w:bCs/>
                <w:sz w:val="24"/>
                <w:szCs w:val="18"/>
              </w:rPr>
              <w:t>百大悦购后端/小程序</w:t>
            </w:r>
          </w:p>
        </w:tc>
        <w:tc>
          <w:tcPr>
            <w:tcW w:w="2882" w:type="pct"/>
            <w:vAlign w:val="center"/>
          </w:tcPr>
          <w:p w14:paraId="71EC8C89">
            <w:pPr>
              <w:spacing w:line="360" w:lineRule="auto"/>
              <w:rPr>
                <w:rFonts w:hint="eastAsia" w:ascii="宋体" w:hAnsi="宋体" w:eastAsia="宋体" w:cs="宋体"/>
                <w:bCs/>
                <w:sz w:val="24"/>
                <w:szCs w:val="18"/>
              </w:rPr>
            </w:pPr>
            <w:r>
              <w:rPr>
                <w:rFonts w:hint="eastAsia" w:ascii="宋体" w:hAnsi="宋体" w:eastAsia="宋体" w:cs="宋体"/>
                <w:bCs/>
                <w:sz w:val="24"/>
                <w:szCs w:val="18"/>
              </w:rPr>
              <w:t>1、短信验证码校验接口</w:t>
            </w:r>
          </w:p>
          <w:p w14:paraId="3D814A26">
            <w:pPr>
              <w:spacing w:line="360" w:lineRule="auto"/>
              <w:rPr>
                <w:rFonts w:hint="eastAsia" w:ascii="宋体" w:hAnsi="宋体" w:eastAsia="宋体" w:cs="宋体"/>
                <w:bCs/>
                <w:sz w:val="24"/>
                <w:szCs w:val="18"/>
              </w:rPr>
            </w:pPr>
            <w:r>
              <w:rPr>
                <w:rFonts w:hint="eastAsia" w:ascii="宋体" w:hAnsi="宋体" w:eastAsia="宋体" w:cs="宋体"/>
                <w:bCs/>
                <w:sz w:val="24"/>
                <w:szCs w:val="18"/>
              </w:rPr>
              <w:t>2、预约身份验证判断改造</w:t>
            </w:r>
          </w:p>
          <w:p w14:paraId="76C538BE">
            <w:pPr>
              <w:spacing w:line="360" w:lineRule="auto"/>
              <w:jc w:val="left"/>
              <w:rPr>
                <w:rFonts w:hint="eastAsia" w:ascii="宋体" w:hAnsi="宋体" w:eastAsia="宋体" w:cs="宋体"/>
                <w:bCs/>
                <w:sz w:val="24"/>
                <w:szCs w:val="18"/>
              </w:rPr>
            </w:pPr>
            <w:r>
              <w:rPr>
                <w:rFonts w:hint="eastAsia" w:ascii="宋体" w:hAnsi="宋体" w:eastAsia="宋体" w:cs="宋体"/>
                <w:bCs/>
                <w:sz w:val="24"/>
                <w:szCs w:val="18"/>
              </w:rPr>
              <w:t>3、小程序增加验证码校验窗口</w:t>
            </w:r>
          </w:p>
          <w:p w14:paraId="07F8C632">
            <w:pPr>
              <w:rPr>
                <w:rFonts w:hint="eastAsia" w:ascii="宋体" w:hAnsi="宋体" w:eastAsia="宋体" w:cs="宋体"/>
                <w:sz w:val="24"/>
              </w:rPr>
            </w:pPr>
            <w:r>
              <w:rPr>
                <w:rFonts w:hint="eastAsia" w:ascii="宋体" w:hAnsi="宋体" w:eastAsia="宋体" w:cs="宋体"/>
                <w:bCs/>
                <w:sz w:val="24"/>
                <w:szCs w:val="18"/>
              </w:rPr>
              <w:t>4、小程序预约流程改造</w:t>
            </w:r>
          </w:p>
        </w:tc>
      </w:tr>
      <w:tr w14:paraId="4FB1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82" w:type="pct"/>
            <w:vAlign w:val="center"/>
          </w:tcPr>
          <w:p w14:paraId="17EECB20">
            <w:pPr>
              <w:rPr>
                <w:rFonts w:hint="eastAsia" w:ascii="宋体" w:hAnsi="宋体" w:eastAsia="宋体" w:cs="宋体"/>
                <w:sz w:val="24"/>
              </w:rPr>
            </w:pPr>
            <w:r>
              <w:rPr>
                <w:rFonts w:hint="eastAsia" w:ascii="宋体" w:hAnsi="宋体" w:eastAsia="宋体" w:cs="宋体"/>
                <w:bCs/>
                <w:sz w:val="24"/>
                <w:szCs w:val="18"/>
              </w:rPr>
              <w:t>测试及上线</w:t>
            </w:r>
          </w:p>
        </w:tc>
        <w:tc>
          <w:tcPr>
            <w:tcW w:w="1036" w:type="pct"/>
            <w:vAlign w:val="center"/>
          </w:tcPr>
          <w:p w14:paraId="67331608">
            <w:pPr>
              <w:rPr>
                <w:rFonts w:hint="eastAsia" w:ascii="宋体" w:hAnsi="宋体" w:eastAsia="宋体" w:cs="宋体"/>
                <w:sz w:val="24"/>
              </w:rPr>
            </w:pPr>
            <w:r>
              <w:rPr>
                <w:rFonts w:hint="eastAsia" w:ascii="宋体" w:hAnsi="宋体" w:eastAsia="宋体" w:cs="宋体"/>
                <w:bCs/>
                <w:sz w:val="24"/>
                <w:szCs w:val="18"/>
              </w:rPr>
              <w:t>百大悦购后端/小程序端</w:t>
            </w:r>
          </w:p>
        </w:tc>
        <w:tc>
          <w:tcPr>
            <w:tcW w:w="2882" w:type="pct"/>
            <w:vAlign w:val="center"/>
          </w:tcPr>
          <w:p w14:paraId="6AF7D793">
            <w:pPr>
              <w:spacing w:line="360" w:lineRule="auto"/>
              <w:rPr>
                <w:rFonts w:hint="eastAsia" w:ascii="宋体" w:hAnsi="宋体" w:eastAsia="宋体" w:cs="宋体"/>
                <w:bCs/>
                <w:sz w:val="24"/>
                <w:szCs w:val="18"/>
              </w:rPr>
            </w:pPr>
            <w:r>
              <w:rPr>
                <w:rFonts w:hint="eastAsia" w:ascii="宋体" w:hAnsi="宋体" w:eastAsia="宋体" w:cs="宋体"/>
                <w:bCs/>
                <w:sz w:val="24"/>
                <w:szCs w:val="18"/>
              </w:rPr>
              <w:t>1、短信发送测试</w:t>
            </w:r>
          </w:p>
          <w:p w14:paraId="3158BC91">
            <w:pPr>
              <w:spacing w:line="360" w:lineRule="auto"/>
              <w:rPr>
                <w:rFonts w:hint="eastAsia" w:ascii="宋体" w:hAnsi="宋体" w:eastAsia="宋体" w:cs="宋体"/>
                <w:bCs/>
                <w:sz w:val="24"/>
                <w:szCs w:val="18"/>
              </w:rPr>
            </w:pPr>
            <w:r>
              <w:rPr>
                <w:rFonts w:hint="eastAsia" w:ascii="宋体" w:hAnsi="宋体" w:eastAsia="宋体" w:cs="宋体"/>
                <w:bCs/>
                <w:sz w:val="24"/>
                <w:szCs w:val="18"/>
              </w:rPr>
              <w:t>2、预约流程整体测试</w:t>
            </w:r>
          </w:p>
          <w:p w14:paraId="1A1AA092">
            <w:pPr>
              <w:widowControl/>
              <w:jc w:val="left"/>
              <w:rPr>
                <w:rFonts w:hint="eastAsia" w:ascii="宋体" w:hAnsi="宋体" w:eastAsia="宋体" w:cs="宋体"/>
                <w:sz w:val="24"/>
              </w:rPr>
            </w:pPr>
            <w:r>
              <w:rPr>
                <w:rFonts w:hint="eastAsia" w:ascii="宋体" w:hAnsi="宋体" w:eastAsia="宋体" w:cs="宋体"/>
                <w:bCs/>
                <w:sz w:val="24"/>
                <w:szCs w:val="18"/>
              </w:rPr>
              <w:t>3、发布上线</w:t>
            </w:r>
          </w:p>
        </w:tc>
      </w:tr>
    </w:tbl>
    <w:p w14:paraId="705F74D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2、乙方向甲方提供上述定制化开发的技术服务，包括定制化的开发、系统安装、调试的专业培训（以下简称系统实施），所提供的软件产品需结构合理、实用，并保证数据传输实时性及网络安全性。</w:t>
      </w:r>
    </w:p>
    <w:p w14:paraId="16D7D742">
      <w:pPr>
        <w:spacing w:line="360" w:lineRule="auto"/>
        <w:ind w:firstLine="566" w:firstLineChars="236"/>
        <w:jc w:val="left"/>
        <w:rPr>
          <w:rFonts w:hint="eastAsia" w:ascii="宋体" w:hAnsi="宋体" w:eastAsia="宋体" w:cs="宋体"/>
          <w:snapToGrid w:val="0"/>
          <w:color w:val="000000" w:themeColor="text1"/>
          <w:kern w:val="0"/>
          <w:position w:val="-4"/>
          <w:sz w:val="24"/>
          <w14:textFill>
            <w14:solidFill>
              <w14:schemeClr w14:val="tx1"/>
            </w14:solidFill>
          </w14:textFill>
        </w:rPr>
      </w:pPr>
      <w:r>
        <w:rPr>
          <w:rFonts w:hint="eastAsia" w:ascii="宋体" w:hAnsi="宋体" w:eastAsia="宋体" w:cs="宋体"/>
          <w:snapToGrid w:val="0"/>
          <w:color w:val="000000" w:themeColor="text1"/>
          <w:kern w:val="0"/>
          <w:position w:val="-4"/>
          <w:sz w:val="24"/>
          <w14:textFill>
            <w14:solidFill>
              <w14:schemeClr w14:val="tx1"/>
            </w14:solidFill>
          </w14:textFill>
        </w:rPr>
        <w:t>3.百大悦购小程序为第三方技术服务商开发，乙方需自行与原服务商联系，并取得原服务商底层开发对接及相关源代码使用权授权委托书后方可签订合同，与原服务商产生的相关费用，甲方不再单独计量支付。甲方仅提供</w:t>
      </w:r>
      <w:r>
        <w:rPr>
          <w:rFonts w:ascii="宋体" w:hAnsi="宋体" w:eastAsia="宋体" w:cs="宋体"/>
          <w:snapToGrid w:val="0"/>
          <w:color w:val="000000" w:themeColor="text1"/>
          <w:kern w:val="0"/>
          <w:position w:val="-4"/>
          <w:sz w:val="24"/>
          <w14:textFill>
            <w14:solidFill>
              <w14:schemeClr w14:val="tx1"/>
            </w14:solidFill>
          </w14:textFill>
        </w:rPr>
        <w:t>原服务商的联系方式</w:t>
      </w:r>
      <w:r>
        <w:rPr>
          <w:rFonts w:hint="eastAsia" w:ascii="宋体" w:hAnsi="宋体" w:eastAsia="宋体" w:cs="宋体"/>
          <w:snapToGrid w:val="0"/>
          <w:color w:val="000000" w:themeColor="text1"/>
          <w:kern w:val="0"/>
          <w:position w:val="-4"/>
          <w:sz w:val="24"/>
          <w14:textFill>
            <w14:solidFill>
              <w14:schemeClr w14:val="tx1"/>
            </w14:solidFill>
          </w14:textFill>
        </w:rPr>
        <w:t>。</w:t>
      </w:r>
    </w:p>
    <w:p w14:paraId="28E14C12">
      <w:pPr>
        <w:spacing w:line="360" w:lineRule="auto"/>
        <w:ind w:firstLine="566" w:firstLineChars="236"/>
        <w:jc w:val="left"/>
        <w:rPr>
          <w:rFonts w:ascii="宋体" w:hAnsi="宋体" w:eastAsia="宋体" w:cs="宋体"/>
          <w:snapToGrid w:val="0"/>
          <w:color w:val="000000" w:themeColor="text1"/>
          <w:kern w:val="0"/>
          <w:position w:val="-4"/>
          <w:sz w:val="24"/>
          <w14:textFill>
            <w14:solidFill>
              <w14:schemeClr w14:val="tx1"/>
            </w14:solidFill>
          </w14:textFill>
        </w:rPr>
      </w:pPr>
      <w:r>
        <w:rPr>
          <w:rFonts w:hint="eastAsia" w:ascii="宋体" w:hAnsi="宋体" w:eastAsia="宋体" w:cs="宋体"/>
          <w:snapToGrid w:val="0"/>
          <w:color w:val="000000" w:themeColor="text1"/>
          <w:kern w:val="0"/>
          <w:position w:val="-4"/>
          <w:sz w:val="24"/>
          <w14:textFill>
            <w14:solidFill>
              <w14:schemeClr w14:val="tx1"/>
            </w14:solidFill>
          </w14:textFill>
        </w:rPr>
        <w:t>4.乙方中标后30日内，需取得原服务商底层开发对接及相关源代码使用权授权委托书，如在30日内未取得，甲方有权取消中标资格和拒签合同，并上报本项目监管部门处理。</w:t>
      </w:r>
    </w:p>
    <w:p w14:paraId="70A7258D">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lang w:val="en-US" w:eastAsia="zh-CN"/>
        </w:rPr>
        <w:t>5</w:t>
      </w:r>
      <w:r>
        <w:rPr>
          <w:rFonts w:hint="eastAsia" w:ascii="宋体" w:hAnsi="宋体" w:eastAsia="宋体" w:cs="宋体"/>
          <w:snapToGrid w:val="0"/>
          <w:kern w:val="0"/>
          <w:position w:val="-4"/>
          <w:sz w:val="24"/>
        </w:rPr>
        <w:t>.乙方需要与甲方第三方短信服务提供商沟通，并且进行对接、调测。</w:t>
      </w:r>
    </w:p>
    <w:p w14:paraId="146A7EC0">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合同</w:t>
      </w:r>
      <w:bookmarkEnd w:id="14"/>
      <w:r>
        <w:rPr>
          <w:rFonts w:hint="eastAsia" w:ascii="宋体" w:hAnsi="宋体" w:eastAsia="宋体" w:cs="宋体"/>
          <w:b/>
          <w:sz w:val="24"/>
          <w:shd w:val="clear" w:color="auto" w:fill="FFFFFF"/>
        </w:rPr>
        <w:t>价款</w:t>
      </w:r>
    </w:p>
    <w:p w14:paraId="588E56C8">
      <w:pPr>
        <w:spacing w:line="360" w:lineRule="auto"/>
        <w:ind w:firstLine="566" w:firstLineChars="236"/>
        <w:jc w:val="left"/>
        <w:rPr>
          <w:rFonts w:hint="eastAsia" w:ascii="宋体" w:hAnsi="宋体" w:eastAsia="宋体" w:cs="宋体"/>
          <w:snapToGrid w:val="0"/>
          <w:kern w:val="0"/>
          <w:position w:val="-4"/>
          <w:sz w:val="24"/>
          <w:u w:val="single"/>
        </w:rPr>
      </w:pPr>
      <w:r>
        <w:rPr>
          <w:rFonts w:hint="eastAsia" w:ascii="宋体" w:hAnsi="宋体" w:eastAsia="宋体" w:cs="宋体"/>
          <w:snapToGrid w:val="0"/>
          <w:kern w:val="0"/>
          <w:position w:val="-4"/>
          <w:sz w:val="24"/>
        </w:rPr>
        <w:t>1、本合同总金额为</w:t>
      </w:r>
      <w:r>
        <w:rPr>
          <w:rFonts w:hint="eastAsia" w:ascii="宋体" w:hAnsi="宋体" w:eastAsia="宋体" w:cs="宋体"/>
          <w:snapToGrid w:val="0"/>
          <w:kern w:val="0"/>
          <w:position w:val="-4"/>
          <w:sz w:val="24"/>
          <w:u w:val="single"/>
        </w:rPr>
        <w:t xml:space="preserve">￥       </w:t>
      </w:r>
      <w:r>
        <w:rPr>
          <w:rFonts w:hint="eastAsia" w:ascii="宋体" w:hAnsi="宋体" w:eastAsia="宋体" w:cs="宋体"/>
          <w:snapToGrid w:val="0"/>
          <w:kern w:val="0"/>
          <w:position w:val="-4"/>
          <w:sz w:val="24"/>
        </w:rPr>
        <w:t>即人民币大写：</w:t>
      </w:r>
      <w:r>
        <w:rPr>
          <w:rFonts w:hint="eastAsia" w:ascii="宋体" w:hAnsi="宋体" w:eastAsia="宋体" w:cs="宋体"/>
          <w:snapToGrid w:val="0"/>
          <w:kern w:val="0"/>
          <w:position w:val="-4"/>
          <w:sz w:val="24"/>
          <w:u w:val="single"/>
        </w:rPr>
        <w:t xml:space="preserve">            </w:t>
      </w:r>
    </w:p>
    <w:p w14:paraId="30F2BA95">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2、本合同价款包含定制化开发的功能使用、上线培训、操作指导等与本合同相关的一切费用及风险。</w:t>
      </w:r>
    </w:p>
    <w:p w14:paraId="50D99691">
      <w:pPr>
        <w:keepNext/>
        <w:keepLines/>
        <w:numPr>
          <w:ilvl w:val="0"/>
          <w:numId w:val="3"/>
        </w:numPr>
        <w:spacing w:before="120" w:after="120"/>
        <w:outlineLvl w:val="1"/>
        <w:rPr>
          <w:rFonts w:hint="eastAsia" w:ascii="宋体" w:hAnsi="宋体" w:eastAsia="宋体" w:cs="宋体"/>
          <w:b/>
          <w:sz w:val="24"/>
          <w:shd w:val="clear" w:color="auto" w:fill="FFFFFF"/>
        </w:rPr>
      </w:pPr>
      <w:bookmarkStart w:id="15" w:name="_Toc506885350"/>
      <w:bookmarkStart w:id="16" w:name="_Toc4323605"/>
      <w:r>
        <w:rPr>
          <w:rFonts w:hint="eastAsia" w:ascii="宋体" w:hAnsi="宋体" w:eastAsia="宋体" w:cs="宋体"/>
          <w:b/>
          <w:sz w:val="24"/>
          <w:shd w:val="clear" w:color="auto" w:fill="FFFFFF"/>
        </w:rPr>
        <w:t>软件、系统开发和技术服务内容</w:t>
      </w:r>
    </w:p>
    <w:p w14:paraId="55D19A4C">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本合同技术服务内容，包括但不限于系统开发、安装部署、调试、系统上线、培训，需满足本合同内的技术及服务要求。</w:t>
      </w:r>
    </w:p>
    <w:p w14:paraId="3BFE4154">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系统</w:t>
      </w:r>
      <w:bookmarkEnd w:id="15"/>
      <w:r>
        <w:rPr>
          <w:rFonts w:hint="eastAsia" w:ascii="宋体" w:hAnsi="宋体" w:eastAsia="宋体" w:cs="宋体"/>
          <w:b/>
          <w:sz w:val="24"/>
          <w:shd w:val="clear" w:color="auto" w:fill="FFFFFF"/>
        </w:rPr>
        <w:t>上线时间</w:t>
      </w:r>
      <w:bookmarkEnd w:id="16"/>
      <w:r>
        <w:rPr>
          <w:rFonts w:hint="eastAsia" w:ascii="宋体" w:hAnsi="宋体" w:eastAsia="宋体" w:cs="宋体"/>
          <w:b/>
          <w:sz w:val="24"/>
          <w:shd w:val="clear" w:color="auto" w:fill="FFFFFF"/>
        </w:rPr>
        <w:t>及进度要求</w:t>
      </w:r>
    </w:p>
    <w:p w14:paraId="52A20244">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color w:val="000000" w:themeColor="text1"/>
          <w:kern w:val="0"/>
          <w:position w:val="-4"/>
          <w:sz w:val="24"/>
          <w14:textFill>
            <w14:solidFill>
              <w14:schemeClr w14:val="tx1"/>
            </w14:solidFill>
          </w14:textFill>
        </w:rPr>
        <w:t>1、合同签订后，</w:t>
      </w:r>
      <w:r>
        <w:rPr>
          <w:rFonts w:hint="eastAsia" w:ascii="宋体" w:hAnsi="宋体" w:eastAsia="宋体" w:cs="宋体"/>
          <w:snapToGrid w:val="0"/>
          <w:kern w:val="0"/>
          <w:position w:val="-4"/>
          <w:sz w:val="24"/>
        </w:rPr>
        <w:t>乙方和甲方共同拟定上线实施计划，乙方严格按照甲、乙双方拟定的上线实施计划完成应用系统的开发、安装部署、调试、预备上线等工作。</w:t>
      </w:r>
    </w:p>
    <w:p w14:paraId="3FD7E81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w:t>
      </w:r>
      <w:r>
        <w:rPr>
          <w:rFonts w:hint="eastAsia" w:ascii="宋体" w:hAnsi="宋体" w:eastAsia="宋体" w:cs="宋体"/>
          <w:bCs/>
          <w:snapToGrid w:val="0"/>
          <w:kern w:val="0"/>
          <w:position w:val="-4"/>
          <w:sz w:val="24"/>
        </w:rPr>
        <w:t>乙方在收到甲方本合同预付款项后</w:t>
      </w:r>
      <w:r>
        <w:rPr>
          <w:rFonts w:hint="eastAsia" w:ascii="宋体" w:hAnsi="宋体" w:eastAsia="宋体" w:cs="宋体"/>
          <w:snapToGrid w:val="0"/>
          <w:kern w:val="0"/>
          <w:position w:val="-4"/>
          <w:sz w:val="24"/>
        </w:rPr>
        <w:t>的30个工作日内完成本合同内的定制化开发及上线工作。</w:t>
      </w:r>
    </w:p>
    <w:p w14:paraId="1994921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3、因甲方或其他非乙方原因导致项目延迟的，乙方应及时通知甲方且不承担违约责任。</w:t>
      </w:r>
    </w:p>
    <w:p w14:paraId="4BC61ABC">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付款方式</w:t>
      </w:r>
    </w:p>
    <w:p w14:paraId="1918840B">
      <w:pPr>
        <w:spacing w:line="360" w:lineRule="auto"/>
        <w:ind w:firstLine="566" w:firstLineChars="236"/>
        <w:jc w:val="left"/>
        <w:rPr>
          <w:rFonts w:hint="eastAsia" w:ascii="宋体" w:hAnsi="宋体" w:eastAsia="宋体" w:cs="宋体"/>
          <w:bCs/>
          <w:snapToGrid w:val="0"/>
          <w:kern w:val="0"/>
          <w:position w:val="-4"/>
          <w:sz w:val="24"/>
        </w:rPr>
      </w:pPr>
      <w:r>
        <w:rPr>
          <w:rFonts w:hint="eastAsia" w:ascii="宋体" w:hAnsi="宋体" w:eastAsia="宋体" w:cs="宋体"/>
          <w:snapToGrid w:val="0"/>
          <w:kern w:val="0"/>
          <w:position w:val="-4"/>
          <w:sz w:val="24"/>
        </w:rPr>
        <w:t>1、本合同签署后5个工作日内，甲方向乙方支付合</w:t>
      </w:r>
      <w:r>
        <w:rPr>
          <w:rFonts w:hint="eastAsia" w:ascii="宋体" w:hAnsi="宋体" w:eastAsia="宋体" w:cs="宋体"/>
          <w:bCs/>
          <w:snapToGrid w:val="0"/>
          <w:kern w:val="0"/>
          <w:position w:val="-4"/>
          <w:sz w:val="24"/>
        </w:rPr>
        <w:t>同预付款，金额为本合同含税总价的50%，即人民币：￥</w:t>
      </w:r>
      <w:r>
        <w:rPr>
          <w:rFonts w:hint="eastAsia" w:ascii="宋体" w:hAnsi="宋体" w:eastAsia="宋体" w:cs="宋体"/>
          <w:bCs/>
          <w:snapToGrid w:val="0"/>
          <w:kern w:val="0"/>
          <w:position w:val="-4"/>
          <w:sz w:val="24"/>
          <w:u w:val="single"/>
        </w:rPr>
        <w:t xml:space="preserve">      </w:t>
      </w:r>
      <w:r>
        <w:rPr>
          <w:rFonts w:hint="eastAsia" w:ascii="宋体" w:hAnsi="宋体" w:eastAsia="宋体" w:cs="宋体"/>
          <w:bCs/>
          <w:snapToGrid w:val="0"/>
          <w:kern w:val="0"/>
          <w:position w:val="-4"/>
          <w:sz w:val="24"/>
        </w:rPr>
        <w:t>元，大写：</w:t>
      </w:r>
      <w:r>
        <w:rPr>
          <w:rFonts w:hint="eastAsia" w:ascii="宋体" w:hAnsi="宋体" w:eastAsia="宋体" w:cs="宋体"/>
          <w:bCs/>
          <w:snapToGrid w:val="0"/>
          <w:kern w:val="0"/>
          <w:position w:val="-4"/>
          <w:sz w:val="24"/>
          <w:u w:val="single"/>
        </w:rPr>
        <w:t xml:space="preserve">         </w:t>
      </w:r>
      <w:r>
        <w:rPr>
          <w:rFonts w:hint="eastAsia" w:ascii="宋体" w:hAnsi="宋体" w:eastAsia="宋体" w:cs="宋体"/>
          <w:bCs/>
          <w:snapToGrid w:val="0"/>
          <w:kern w:val="0"/>
          <w:position w:val="-4"/>
          <w:sz w:val="24"/>
        </w:rPr>
        <w:t>，乙方在收到甲方本合同预付款项后5个工作日内，启动本合同约定的系统实施计划等工作。</w:t>
      </w:r>
    </w:p>
    <w:p w14:paraId="40B64A57">
      <w:pPr>
        <w:spacing w:line="360" w:lineRule="auto"/>
        <w:ind w:firstLine="566" w:firstLineChars="236"/>
        <w:jc w:val="left"/>
        <w:rPr>
          <w:rFonts w:hint="eastAsia" w:ascii="宋体" w:hAnsi="宋体" w:eastAsia="宋体" w:cs="宋体"/>
        </w:rPr>
      </w:pPr>
      <w:r>
        <w:rPr>
          <w:rFonts w:hint="eastAsia" w:ascii="宋体" w:hAnsi="宋体" w:eastAsia="宋体" w:cs="宋体"/>
          <w:bCs/>
          <w:snapToGrid w:val="0"/>
          <w:kern w:val="0"/>
          <w:position w:val="-4"/>
          <w:sz w:val="24"/>
        </w:rPr>
        <w:t>2、乙方完成本合同约定的系统实施工作，在系统上线稳定运行1个月后，提交《项目验收单》，经甲方验收合格后向乙方支付本合同含税总价的50%，即人民币：￥</w:t>
      </w:r>
      <w:r>
        <w:rPr>
          <w:rFonts w:hint="eastAsia" w:ascii="宋体" w:hAnsi="宋体" w:eastAsia="宋体" w:cs="宋体"/>
          <w:bCs/>
          <w:snapToGrid w:val="0"/>
          <w:kern w:val="0"/>
          <w:position w:val="-4"/>
          <w:sz w:val="24"/>
          <w:u w:val="single"/>
        </w:rPr>
        <w:t xml:space="preserve">       </w:t>
      </w:r>
      <w:r>
        <w:rPr>
          <w:rFonts w:hint="eastAsia" w:ascii="宋体" w:hAnsi="宋体" w:eastAsia="宋体" w:cs="宋体"/>
          <w:bCs/>
          <w:snapToGrid w:val="0"/>
          <w:kern w:val="0"/>
          <w:position w:val="-4"/>
          <w:sz w:val="24"/>
        </w:rPr>
        <w:t>元，大写：</w:t>
      </w:r>
      <w:r>
        <w:rPr>
          <w:rFonts w:hint="eastAsia" w:ascii="宋体" w:hAnsi="宋体" w:eastAsia="宋体" w:cs="宋体"/>
          <w:bCs/>
          <w:snapToGrid w:val="0"/>
          <w:kern w:val="0"/>
          <w:position w:val="-4"/>
          <w:sz w:val="24"/>
          <w:u w:val="single"/>
        </w:rPr>
        <w:t xml:space="preserve">         </w:t>
      </w:r>
      <w:r>
        <w:rPr>
          <w:rFonts w:hint="eastAsia" w:ascii="宋体" w:hAnsi="宋体" w:eastAsia="宋体" w:cs="宋体"/>
          <w:bCs/>
          <w:snapToGrid w:val="0"/>
          <w:kern w:val="0"/>
          <w:position w:val="-4"/>
          <w:sz w:val="24"/>
        </w:rPr>
        <w:t>。</w:t>
      </w:r>
    </w:p>
    <w:p w14:paraId="153DBDE8">
      <w:pPr>
        <w:spacing w:line="360" w:lineRule="auto"/>
        <w:ind w:firstLine="480" w:firstLineChars="200"/>
        <w:jc w:val="left"/>
        <w:rPr>
          <w:rFonts w:hint="eastAsia" w:ascii="宋体" w:hAnsi="宋体" w:eastAsia="宋体" w:cs="宋体"/>
          <w:bCs/>
          <w:snapToGrid w:val="0"/>
          <w:kern w:val="0"/>
          <w:position w:val="-4"/>
          <w:sz w:val="24"/>
          <w:u w:val="single"/>
        </w:rPr>
      </w:pPr>
      <w:r>
        <w:rPr>
          <w:rFonts w:hint="eastAsia" w:ascii="宋体" w:hAnsi="宋体" w:eastAsia="宋体" w:cs="宋体"/>
          <w:snapToGrid w:val="0"/>
          <w:kern w:val="0"/>
          <w:position w:val="-4"/>
          <w:sz w:val="24"/>
        </w:rPr>
        <w:t>3、甲方付款前，乙方应提供符合甲方所在地税务部门及财务要求的税务发票，否则甲方有权延付或拒付相应款项，但应当在收到乙方提供发票后的5个工作日内向乙方支付相应款项。乙方应在甲方付款前5个工作日内向甲方提供和应付款金额等额的符合税务规定的服务类增值税专用发票（以下简称发票）。</w:t>
      </w:r>
    </w:p>
    <w:p w14:paraId="5D83F4A2">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系统开通、系统移交、新接入门店及售后技术支持服务</w:t>
      </w:r>
    </w:p>
    <w:p w14:paraId="03C53DAF">
      <w:pPr>
        <w:spacing w:line="360" w:lineRule="auto"/>
        <w:ind w:firstLine="480" w:firstLineChars="200"/>
        <w:jc w:val="left"/>
        <w:rPr>
          <w:rFonts w:hint="eastAsia" w:ascii="宋体" w:hAnsi="宋体" w:eastAsia="宋体" w:cs="宋体"/>
          <w:snapToGrid w:val="0"/>
          <w:kern w:val="0"/>
          <w:position w:val="-4"/>
          <w:sz w:val="24"/>
        </w:rPr>
      </w:pPr>
      <w:bookmarkStart w:id="17" w:name="_Toc4323606"/>
      <w:r>
        <w:rPr>
          <w:rFonts w:hint="eastAsia" w:ascii="宋体" w:hAnsi="宋体" w:eastAsia="宋体" w:cs="宋体"/>
          <w:snapToGrid w:val="0"/>
          <w:kern w:val="0"/>
          <w:position w:val="-4"/>
          <w:sz w:val="24"/>
        </w:rPr>
        <w:t>1、系统上线运行满一个月且系统稳定正常运行，则乙方将该系统移交给甲方。</w:t>
      </w:r>
    </w:p>
    <w:p w14:paraId="11360373">
      <w:pPr>
        <w:spacing w:line="360" w:lineRule="auto"/>
        <w:ind w:firstLine="480" w:firstLineChars="200"/>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2、从乙方将该系统移交给甲方并经甲方验收合格之日起，乙方对系统提供12个月的免费技术维保服务。</w:t>
      </w:r>
    </w:p>
    <w:p w14:paraId="41B64E12">
      <w:pPr>
        <w:spacing w:line="360" w:lineRule="auto"/>
        <w:ind w:firstLine="480" w:firstLineChars="200"/>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3、12个月免费维保服务期满后，甲方出现问题后，乙方需及时解决并确保响应时间小于2小时。</w:t>
      </w:r>
    </w:p>
    <w:p w14:paraId="45327737">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双方责任</w:t>
      </w:r>
    </w:p>
    <w:p w14:paraId="3492FB6C">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甲方责任：</w:t>
      </w:r>
    </w:p>
    <w:p w14:paraId="7D7581D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1、按照本合同的约定按时向乙方支付合同款项。</w:t>
      </w:r>
    </w:p>
    <w:p w14:paraId="7E0E578F">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2、根据甲方的运营实际需求，与乙方共同拟定系统上线实施计划。</w:t>
      </w:r>
    </w:p>
    <w:p w14:paraId="7BC91F69">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3、甲方应为乙方提供必要的工作场所、工作条件以及乙方要求的相关资料，并且保证在乙方技术人员技术实施前，网络环境均已到位能进入实施阶段。</w:t>
      </w:r>
    </w:p>
    <w:p w14:paraId="224B1347">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4、甲方在乙方系统实施及使用过程中如有需求变更或新增，需以书面或邮件的形式提前通知乙方，如因甲方需求的调整或新增产生额外费用，则甲乙双方根据定制化标准协商工作量及费用后乙方向甲方收取相应的费用。</w:t>
      </w:r>
    </w:p>
    <w:p w14:paraId="4428B66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乙方责任：</w:t>
      </w:r>
    </w:p>
    <w:p w14:paraId="2C65D61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1、和甲方拟定系统实施计划，根据已确定的系统实施计划，负责开发和安装部署相应的系统及应用软件。</w:t>
      </w:r>
    </w:p>
    <w:p w14:paraId="31F7DB2D">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2、负责对系统的安装和进行功能测试。</w:t>
      </w:r>
    </w:p>
    <w:p w14:paraId="67BDCA17">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3、按照本合同内的技术及服务要求，按照进度安排完成该应用系统的开发、安装、部署、调试和上线工作。</w:t>
      </w:r>
    </w:p>
    <w:p w14:paraId="27F1142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4、为甲方使用系统的人员进行技术培训。</w:t>
      </w:r>
    </w:p>
    <w:p w14:paraId="1B6CBB8D">
      <w:pPr>
        <w:spacing w:line="360" w:lineRule="auto"/>
        <w:ind w:firstLine="480" w:firstLineChars="200"/>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5、向甲方提供《系统操作和维护手册》</w:t>
      </w:r>
      <w:bookmarkEnd w:id="17"/>
      <w:r>
        <w:rPr>
          <w:rFonts w:hint="eastAsia" w:ascii="宋体" w:hAnsi="宋体" w:eastAsia="宋体" w:cs="宋体"/>
          <w:snapToGrid w:val="0"/>
          <w:kern w:val="0"/>
          <w:position w:val="-4"/>
          <w:sz w:val="24"/>
        </w:rPr>
        <w:t>,甲方出现问题后，乙方需及时解决并确保响应时间小于2小时。</w:t>
      </w:r>
    </w:p>
    <w:p w14:paraId="1D48B381">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培训服务</w:t>
      </w:r>
    </w:p>
    <w:p w14:paraId="5E5216A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1、为了保证甲方人员正常使用乙方应用软件系统，乙方负责在系统开通前对甲方人员免费进行培训，具体内容如下：</w:t>
      </w:r>
      <w:bookmarkStart w:id="18" w:name="_Toc4323608"/>
      <w:r>
        <w:rPr>
          <w:rFonts w:hint="eastAsia" w:ascii="宋体" w:hAnsi="宋体" w:eastAsia="宋体" w:cs="宋体"/>
          <w:snapToGrid w:val="0"/>
          <w:kern w:val="0"/>
          <w:position w:val="-4"/>
          <w:sz w:val="24"/>
        </w:rPr>
        <w:t>业务培训和实践、系统维护培训，保证甲方人员可以熟练操作拟开发的系统。</w:t>
      </w:r>
    </w:p>
    <w:p w14:paraId="64939C47">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2、培训对象包括使用系统的有关人员和系统维护人员。</w:t>
      </w:r>
    </w:p>
    <w:p w14:paraId="4311569A">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3、培训在甲乙方指定地点或线上进行，培训所需要的场地以及硬件操作环境由甲方提供。</w:t>
      </w:r>
    </w:p>
    <w:p w14:paraId="53D5FE8D">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4、乙方负责根据甲方实际情况制订培训计划，并在甲方协助下安排时间、地点，对相关人员进行培训。</w:t>
      </w:r>
    </w:p>
    <w:p w14:paraId="057B87D4">
      <w:pPr>
        <w:keepNext/>
        <w:keepLines/>
        <w:numPr>
          <w:ilvl w:val="0"/>
          <w:numId w:val="3"/>
        </w:numPr>
        <w:spacing w:before="120" w:after="120"/>
        <w:outlineLvl w:val="1"/>
        <w:rPr>
          <w:rFonts w:hint="eastAsia" w:ascii="宋体" w:hAnsi="宋体" w:eastAsia="宋体" w:cs="宋体"/>
          <w:b/>
          <w:sz w:val="24"/>
          <w:shd w:val="clear" w:color="auto" w:fill="FFFFFF"/>
        </w:rPr>
      </w:pPr>
      <w:bookmarkStart w:id="19" w:name="_Toc517239408"/>
      <w:r>
        <w:rPr>
          <w:rFonts w:hint="eastAsia" w:ascii="宋体" w:hAnsi="宋体" w:eastAsia="宋体" w:cs="宋体"/>
          <w:b/>
          <w:sz w:val="24"/>
          <w:shd w:val="clear" w:color="auto" w:fill="FFFFFF"/>
        </w:rPr>
        <w:t>售后技术支持服务条款</w:t>
      </w:r>
      <w:bookmarkEnd w:id="19"/>
    </w:p>
    <w:p w14:paraId="76D2CCC5">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1、12个月免费维保服务期满后，甲方出现问题后，乙方需及时解决并确保响应时间小于2小时。</w:t>
      </w:r>
    </w:p>
    <w:p w14:paraId="0CDCC72C">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2、乙方应设专人联系，联系人：</w:t>
      </w:r>
      <w:r>
        <w:rPr>
          <w:rFonts w:hint="eastAsia" w:ascii="宋体" w:hAnsi="宋体" w:eastAsia="宋体" w:cs="宋体"/>
          <w:snapToGrid w:val="0"/>
          <w:kern w:val="0"/>
          <w:position w:val="-4"/>
          <w:sz w:val="24"/>
          <w:u w:val="single"/>
        </w:rPr>
        <w:t xml:space="preserve">      </w:t>
      </w:r>
      <w:r>
        <w:rPr>
          <w:rFonts w:hint="eastAsia" w:ascii="宋体" w:hAnsi="宋体" w:eastAsia="宋体" w:cs="宋体"/>
          <w:snapToGrid w:val="0"/>
          <w:kern w:val="0"/>
          <w:position w:val="-4"/>
          <w:sz w:val="24"/>
        </w:rPr>
        <w:t>，如有人员变化，乙方应及时书面通知甲方。</w:t>
      </w:r>
    </w:p>
    <w:p w14:paraId="1B8F61FD">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知识产权</w:t>
      </w:r>
      <w:bookmarkEnd w:id="18"/>
    </w:p>
    <w:p w14:paraId="5D51D30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1.此应用软件所涉及的知识产权及版权归乙方享有，甲方履行完本合同约定的义务后享有该应用软件的永久免费使用权。</w:t>
      </w:r>
    </w:p>
    <w:p w14:paraId="0A9FECF9">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2.甲方保证保护乙方应用软件版权，以维护乙方的利益；不扩散此应用软件及相关技术资料。</w:t>
      </w:r>
    </w:p>
    <w:p w14:paraId="58981038">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乙方保证本合同下的所有软件系统不存在任何侵犯第三人知识产权或涉及他方诉讼。如有第三方追究知识产权责任概由乙方负责处理并承担全部责任，与甲方无关，如甲方因此遭受处罚、纠纷、诉讼等，乙方应赔偿甲方因此遭受的全部损失。</w:t>
      </w:r>
    </w:p>
    <w:p w14:paraId="27A215F1">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保证条款</w:t>
      </w:r>
    </w:p>
    <w:p w14:paraId="42716A46">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 双方互相向对方声明、陈述和保证如下：</w:t>
      </w:r>
    </w:p>
    <w:p w14:paraId="32FC8DA1">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1.1其是合法设立并有效存续的独立法人；</w:t>
      </w:r>
    </w:p>
    <w:p w14:paraId="79E079A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1.2其授权代表已获得充分授权可代表其签署本合同；</w:t>
      </w:r>
    </w:p>
    <w:p w14:paraId="1C4C4BCC">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1.3其有能力履行其于本合同项下之义务，并且该等履行义务的行为不违反任何对其有约束力的法律文件的限制；</w:t>
      </w:r>
    </w:p>
    <w:p w14:paraId="2C872E56">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1.4 双方均不能自行或者要求对方在平台上投放色情、不法信息等违反国家法律规定的信息。</w:t>
      </w:r>
    </w:p>
    <w:p w14:paraId="331EB42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2、对于合同履行过程中双方知悉的对方商业秘密、技术秘密，未经对方书面同意，甲乙双方不得对第三方泄露。 </w:t>
      </w:r>
      <w:bookmarkStart w:id="20" w:name="_Toc4323611"/>
    </w:p>
    <w:p w14:paraId="39D8EB74">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甲乙双方保证：该方向另一方提供的素材、信息、资料（包括文字、图片以及其他相关文件）和场地不违反现行有效的法律、法规及相关国际条约，不附有任何第三方权利、主张，并且不会损害第三人的合法权益。由于该方提供的素材、信息、资料、场地侵权导致第三人索赔的，一切赔偿责任由该方自行承担；如果因此给另一方造成经济损失的，该方有义务给予另一方补偿和保证另一方免于因此受到任何损失，另一方有权就该损失部分向该方追索。</w:t>
      </w:r>
    </w:p>
    <w:p w14:paraId="702A701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4、对于本合同履行期间，双方应严格保密因项目建设而从另一方获得的任何商业、技术秘密或保密资料。</w:t>
      </w:r>
    </w:p>
    <w:p w14:paraId="24A9E2C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5、非经上述资料或信息所有者同意，不得向任何第三方泄露；除为本项目的目的和对方的利益以外未经保密信息所有者同意，不得使用前述保密信息。</w:t>
      </w:r>
    </w:p>
    <w:p w14:paraId="55A6366F">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不可抗力</w:t>
      </w:r>
      <w:bookmarkEnd w:id="20"/>
    </w:p>
    <w:p w14:paraId="458E6B54">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凡发生地震、台风、洪水、水灾、战争等事件，或其发生后果是不能合理地预见、不能防止亦不能避免，并直接影响双方履行本合同的事件，统称为“不可抗力事件”。受不可抗力事件影响的一方因不可抗力事件原因造成的义务迟延履行、不完全履行或不履行均不应视为违约。但应及时通知对方，并在合理期限内向对方提供证明，对方可选择延迟履行合同、部分履行或解除合同。由于受阻方未能及时通知对方给对方造成的损失，受阻方应承担赔偿责任。</w:t>
      </w:r>
    </w:p>
    <w:p w14:paraId="169140D2">
      <w:pPr>
        <w:keepNext/>
        <w:keepLines/>
        <w:numPr>
          <w:ilvl w:val="0"/>
          <w:numId w:val="3"/>
        </w:numPr>
        <w:spacing w:before="120" w:after="120"/>
        <w:outlineLvl w:val="1"/>
        <w:rPr>
          <w:rFonts w:hint="eastAsia" w:ascii="宋体" w:hAnsi="宋体" w:eastAsia="宋体" w:cs="宋体"/>
          <w:b/>
          <w:sz w:val="24"/>
          <w:shd w:val="clear" w:color="auto" w:fill="FFFFFF"/>
        </w:rPr>
      </w:pPr>
      <w:bookmarkStart w:id="21" w:name="_Toc4323612"/>
      <w:r>
        <w:rPr>
          <w:rFonts w:hint="eastAsia" w:ascii="宋体" w:hAnsi="宋体" w:eastAsia="宋体" w:cs="宋体"/>
          <w:b/>
          <w:sz w:val="24"/>
          <w:shd w:val="clear" w:color="auto" w:fill="FFFFFF"/>
        </w:rPr>
        <w:t>违约责任</w:t>
      </w:r>
      <w:bookmarkEnd w:id="21"/>
    </w:p>
    <w:p w14:paraId="08B6816F">
      <w:pPr>
        <w:spacing w:line="360" w:lineRule="auto"/>
        <w:ind w:firstLine="566" w:firstLineChars="236"/>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乙方应按照第四条系统正式上线时间进行项目管控，交付相关成熟产品，完成项目实施等所有工作，每逾期一日，应向甲方支付合同总价5‰的违约金（因甲方或非乙方原因导致的延期除外）。逾期超过60日，甲方有权单方解除合同，</w:t>
      </w:r>
      <w:r>
        <w:rPr>
          <w:rFonts w:hint="eastAsia" w:ascii="宋体" w:hAnsi="宋体" w:eastAsia="宋体" w:cs="宋体"/>
          <w:snapToGrid w:val="0"/>
          <w:color w:val="000000" w:themeColor="text1"/>
          <w:kern w:val="0"/>
          <w:position w:val="-4"/>
          <w:sz w:val="24"/>
          <w14:textFill>
            <w14:solidFill>
              <w14:schemeClr w14:val="tx1"/>
            </w14:solidFill>
          </w14:textFill>
        </w:rPr>
        <w:t>乙方应退还预付款，同时</w:t>
      </w:r>
      <w:r>
        <w:rPr>
          <w:rFonts w:hint="eastAsia" w:ascii="宋体" w:hAnsi="宋体" w:eastAsia="宋体" w:cs="宋体"/>
          <w:snapToGrid w:val="0"/>
          <w:kern w:val="0"/>
          <w:position w:val="-4"/>
          <w:sz w:val="24"/>
        </w:rPr>
        <w:t>乙方应向甲方支付合同总价的30%作为违约金并赔偿因此给甲方造成的全部损失。</w:t>
      </w:r>
    </w:p>
    <w:p w14:paraId="2BC1D22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2、如甲方逾期支付相应款项，每逾期一日，应向乙方支付当期应付款项5‰的违约金，但违约金最高不超过当期应付款项的5%。</w:t>
      </w:r>
    </w:p>
    <w:p w14:paraId="00680458">
      <w:pPr>
        <w:keepNext/>
        <w:keepLines/>
        <w:numPr>
          <w:ilvl w:val="0"/>
          <w:numId w:val="3"/>
        </w:numPr>
        <w:spacing w:before="120" w:after="120"/>
        <w:outlineLvl w:val="1"/>
        <w:rPr>
          <w:rFonts w:hint="eastAsia" w:ascii="宋体" w:hAnsi="宋体" w:eastAsia="宋体" w:cs="宋体"/>
          <w:b/>
          <w:sz w:val="24"/>
          <w:shd w:val="clear" w:color="auto" w:fill="FFFFFF"/>
        </w:rPr>
      </w:pPr>
      <w:bookmarkStart w:id="22" w:name="_Toc4323613"/>
      <w:bookmarkStart w:id="23" w:name="_Toc510181483"/>
      <w:r>
        <w:rPr>
          <w:rFonts w:hint="eastAsia" w:ascii="宋体" w:hAnsi="宋体" w:eastAsia="宋体" w:cs="宋体"/>
          <w:b/>
          <w:sz w:val="24"/>
          <w:shd w:val="clear" w:color="auto" w:fill="FFFFFF"/>
        </w:rPr>
        <w:t>争议的解决</w:t>
      </w:r>
      <w:bookmarkEnd w:id="22"/>
      <w:bookmarkEnd w:id="23"/>
    </w:p>
    <w:p w14:paraId="7C5667CA">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1、本合同执行过程中所发生的一切争议，甲乙双方应通过友好协商解决，如协商不能达成一致，任何一方均可向甲方住所地有管辖权的人民法院提起诉讼解决。</w:t>
      </w:r>
    </w:p>
    <w:p w14:paraId="2616DBE3">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通知</w:t>
      </w:r>
    </w:p>
    <w:p w14:paraId="7C14D66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1、任何合同方、政府机关以及司法部门有关本合同的任何通知、要求、通讯和指示，均应该按照本协议首部所列明的联系方式、以书面形式通知对方；以邮寄方式通知的，在邮寄后五日内视为送达；以电子邮件形式通知的，在通知发出后24小时并经对方确认后视为送达； </w:t>
      </w:r>
    </w:p>
    <w:p w14:paraId="744E81F5">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2、一方变更通知或通讯地址，应自变更之日起七日内，将变更后的地址通知另一方，否则变更方应对此造成的一切后果承担法律责任。其他方按照变更前的联系方式送达的通知，视为有效送达。</w:t>
      </w:r>
    </w:p>
    <w:p w14:paraId="4F9766FA">
      <w:pPr>
        <w:keepNext/>
        <w:keepLines/>
        <w:numPr>
          <w:ilvl w:val="0"/>
          <w:numId w:val="3"/>
        </w:numPr>
        <w:spacing w:before="120" w:after="120"/>
        <w:outlineLvl w:val="1"/>
        <w:rPr>
          <w:rFonts w:hint="eastAsia" w:ascii="宋体" w:hAnsi="宋体" w:eastAsia="宋体" w:cs="宋体"/>
          <w:b/>
          <w:sz w:val="24"/>
          <w:shd w:val="clear" w:color="auto" w:fill="FFFFFF"/>
        </w:rPr>
      </w:pPr>
      <w:r>
        <w:rPr>
          <w:rFonts w:hint="eastAsia" w:ascii="宋体" w:hAnsi="宋体" w:eastAsia="宋体" w:cs="宋体"/>
          <w:b/>
          <w:sz w:val="24"/>
          <w:shd w:val="clear" w:color="auto" w:fill="FFFFFF"/>
        </w:rPr>
        <w:t>合同文件内容及解释次序</w:t>
      </w:r>
    </w:p>
    <w:p w14:paraId="2B29D7CA">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构成合同的文件应能互相解释，互为说明。除另有约定外，组成本合同的文件及优先解释次序如下：</w:t>
      </w:r>
    </w:p>
    <w:p w14:paraId="333F6301">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1、本项目谈判文件投标人须知前附表和项目需求；</w:t>
      </w:r>
    </w:p>
    <w:p w14:paraId="61F7BBA6">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2、本合同签订后双方约定的有关系统功能模块的洽商、变更等书面文件及会议纪要；</w:t>
      </w:r>
    </w:p>
    <w:p w14:paraId="0C71C131">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3、本合同；</w:t>
      </w:r>
    </w:p>
    <w:p w14:paraId="3BCD1EB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4、中标通知书或定标书；</w:t>
      </w:r>
    </w:p>
    <w:p w14:paraId="76F2E259">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5、经双方协商认可的投标书及其附件；</w:t>
      </w:r>
    </w:p>
    <w:p w14:paraId="6959ED7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6、比选文件及比选过程中双方往来的书面文件。</w:t>
      </w:r>
    </w:p>
    <w:p w14:paraId="15AC5CD9">
      <w:pPr>
        <w:keepNext/>
        <w:keepLines/>
        <w:numPr>
          <w:ilvl w:val="0"/>
          <w:numId w:val="3"/>
        </w:numPr>
        <w:spacing w:before="120" w:after="120"/>
        <w:outlineLvl w:val="1"/>
        <w:rPr>
          <w:rFonts w:hint="eastAsia" w:ascii="宋体" w:hAnsi="宋体" w:eastAsia="宋体" w:cs="宋体"/>
          <w:b/>
          <w:sz w:val="24"/>
          <w:shd w:val="clear" w:color="auto" w:fill="FFFFFF"/>
        </w:rPr>
      </w:pPr>
      <w:bookmarkStart w:id="24" w:name="_Toc4323614"/>
      <w:r>
        <w:rPr>
          <w:rFonts w:hint="eastAsia" w:ascii="宋体" w:hAnsi="宋体" w:eastAsia="宋体" w:cs="宋体"/>
          <w:b/>
          <w:sz w:val="24"/>
          <w:shd w:val="clear" w:color="auto" w:fill="FFFFFF"/>
        </w:rPr>
        <w:t>其它约定</w:t>
      </w:r>
      <w:bookmarkEnd w:id="24"/>
    </w:p>
    <w:p w14:paraId="04DBC264">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1、本合同履行地为甲方住所地。</w:t>
      </w:r>
    </w:p>
    <w:p w14:paraId="0DC56B3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2、本合同条款如需变更，由双方另行签署补充协议。。</w:t>
      </w:r>
    </w:p>
    <w:p w14:paraId="705E62BC">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3、本合同于双方授权代表签字并加盖公章后立即生效。</w:t>
      </w:r>
    </w:p>
    <w:p w14:paraId="7213DDFF">
      <w:pPr>
        <w:spacing w:line="360" w:lineRule="auto"/>
        <w:ind w:firstLine="566" w:firstLineChars="236"/>
        <w:jc w:val="left"/>
        <w:rPr>
          <w:rFonts w:hint="eastAsia" w:ascii="宋体" w:hAnsi="宋体" w:eastAsia="宋体" w:cs="宋体"/>
        </w:rPr>
      </w:pPr>
      <w:r>
        <w:rPr>
          <w:rFonts w:hint="eastAsia" w:ascii="宋体" w:hAnsi="宋体" w:eastAsia="宋体" w:cs="宋体"/>
          <w:snapToGrid w:val="0"/>
          <w:kern w:val="0"/>
          <w:position w:val="-4"/>
          <w:sz w:val="24"/>
        </w:rPr>
        <w:t>4、本合同一式肆份，甲乙双方各持贰份，具有同等法律效力。</w:t>
      </w:r>
    </w:p>
    <w:p w14:paraId="4B746FA1">
      <w:pPr>
        <w:ind w:firstLine="480" w:firstLineChars="200"/>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（以下无正文）</w:t>
      </w:r>
    </w:p>
    <w:p w14:paraId="29026E2A">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甲    方：合肥百货大楼集团股份有限公司</w:t>
      </w:r>
    </w:p>
    <w:p w14:paraId="370A94D7">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法人代表：</w:t>
      </w:r>
    </w:p>
    <w:p w14:paraId="77C07568">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委托代理人：  </w:t>
      </w:r>
    </w:p>
    <w:p w14:paraId="1D8E6654">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电    话：</w:t>
      </w:r>
      <w:r>
        <w:rPr>
          <w:rFonts w:hint="eastAsia" w:ascii="宋体" w:hAnsi="宋体" w:eastAsia="宋体" w:cs="宋体"/>
          <w:snapToGrid w:val="0"/>
          <w:kern w:val="0"/>
          <w:position w:val="-4"/>
          <w:sz w:val="24"/>
          <w:u w:val="single"/>
        </w:rPr>
        <w:t>0551-65771082</w:t>
      </w:r>
    </w:p>
    <w:p w14:paraId="3C67EBE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开户名称： </w:t>
      </w:r>
    </w:p>
    <w:p w14:paraId="0844A1DB">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开户银行：</w:t>
      </w:r>
    </w:p>
    <w:p w14:paraId="49788983">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帐    号：</w:t>
      </w:r>
    </w:p>
    <w:p w14:paraId="459C036C">
      <w:pPr>
        <w:spacing w:line="360" w:lineRule="auto"/>
        <w:ind w:firstLine="566" w:firstLineChars="236"/>
        <w:jc w:val="left"/>
        <w:rPr>
          <w:rFonts w:hint="eastAsia" w:ascii="宋体" w:hAnsi="宋体" w:eastAsia="宋体" w:cs="宋体"/>
          <w:snapToGrid w:val="0"/>
          <w:kern w:val="0"/>
          <w:position w:val="-4"/>
          <w:sz w:val="24"/>
        </w:rPr>
      </w:pPr>
    </w:p>
    <w:p w14:paraId="32A2E3DE">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乙  方： </w:t>
      </w:r>
    </w:p>
    <w:p w14:paraId="09E615C8">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法人代表： </w:t>
      </w:r>
    </w:p>
    <w:p w14:paraId="7AA1A8D6">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委托代理人： </w:t>
      </w:r>
    </w:p>
    <w:p w14:paraId="47B4CA0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电    话：</w:t>
      </w:r>
    </w:p>
    <w:p w14:paraId="62503AFF">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开户名称</w:t>
      </w:r>
      <w:r>
        <w:rPr>
          <w:rFonts w:hint="eastAsia" w:ascii="宋体" w:hAnsi="宋体" w:eastAsia="宋体" w:cs="宋体"/>
          <w:snapToGrid w:val="0"/>
          <w:kern w:val="0"/>
          <w:position w:val="-4"/>
          <w:sz w:val="24"/>
          <w:lang w:eastAsia="zh-Hans"/>
        </w:rPr>
        <w:t>：</w:t>
      </w:r>
      <w:r>
        <w:rPr>
          <w:rFonts w:hint="eastAsia" w:ascii="宋体" w:hAnsi="宋体" w:eastAsia="宋体" w:cs="宋体"/>
          <w:snapToGrid w:val="0"/>
          <w:kern w:val="0"/>
          <w:position w:val="-4"/>
          <w:sz w:val="24"/>
        </w:rPr>
        <w:t xml:space="preserve"> </w:t>
      </w:r>
    </w:p>
    <w:p w14:paraId="2216E0F2">
      <w:pPr>
        <w:spacing w:line="360" w:lineRule="auto"/>
        <w:ind w:firstLine="566" w:firstLineChars="236"/>
        <w:jc w:val="left"/>
        <w:rPr>
          <w:rFonts w:hint="eastAsia" w:ascii="宋体" w:hAnsi="宋体" w:eastAsia="宋体" w:cs="宋体"/>
          <w:snapToGrid w:val="0"/>
          <w:kern w:val="0"/>
          <w:position w:val="-4"/>
          <w:sz w:val="24"/>
        </w:rPr>
      </w:pPr>
      <w:r>
        <w:rPr>
          <w:rFonts w:hint="eastAsia" w:ascii="宋体" w:hAnsi="宋体" w:eastAsia="宋体" w:cs="宋体"/>
          <w:snapToGrid w:val="0"/>
          <w:kern w:val="0"/>
          <w:position w:val="-4"/>
          <w:sz w:val="24"/>
        </w:rPr>
        <w:t xml:space="preserve"> 开户银行： </w:t>
      </w:r>
    </w:p>
    <w:p w14:paraId="7350EC8E">
      <w:pPr>
        <w:spacing w:line="360" w:lineRule="auto"/>
        <w:ind w:firstLine="566" w:firstLineChars="236"/>
        <w:jc w:val="left"/>
      </w:pPr>
      <w:r>
        <w:rPr>
          <w:rFonts w:hint="eastAsia" w:ascii="宋体" w:hAnsi="宋体" w:eastAsia="宋体" w:cs="宋体"/>
          <w:snapToGrid w:val="0"/>
          <w:kern w:val="0"/>
          <w:position w:val="-4"/>
          <w:sz w:val="24"/>
        </w:rPr>
        <w:t xml:space="preserve"> 帐    号：</w:t>
      </w:r>
    </w:p>
    <w:p w14:paraId="64DD76EB">
      <w:pPr>
        <w:spacing w:line="360" w:lineRule="auto"/>
        <w:rPr>
          <w:rFonts w:asciiTheme="minorEastAsia" w:hAnsiTheme="minorEastAsia" w:eastAsiaTheme="minorEastAsia" w:cstheme="minorEastAsia"/>
          <w:b/>
          <w:sz w:val="24"/>
          <w:szCs w:val="24"/>
          <w:lang w:bidi="ar"/>
        </w:rPr>
      </w:pPr>
      <w:r>
        <w:rPr>
          <w:rFonts w:hint="eastAsia" w:asciiTheme="minorEastAsia" w:hAnsiTheme="minorEastAsia" w:eastAsiaTheme="minorEastAsia" w:cstheme="minorEastAsia"/>
          <w:b/>
          <w:sz w:val="24"/>
          <w:szCs w:val="24"/>
          <w:lang w:bidi="ar"/>
        </w:rPr>
        <w:t>附件：</w:t>
      </w:r>
    </w:p>
    <w:p w14:paraId="4B199DE5">
      <w:pPr>
        <w:spacing w:line="360" w:lineRule="auto"/>
        <w:rPr>
          <w:rFonts w:asciiTheme="minorEastAsia" w:hAnsiTheme="minorEastAsia" w:eastAsiaTheme="minorEastAsia" w:cstheme="minorEastAsia"/>
          <w:bCs/>
          <w:sz w:val="24"/>
          <w:szCs w:val="24"/>
          <w:lang w:bidi="ar"/>
        </w:rPr>
      </w:pPr>
      <w:r>
        <w:rPr>
          <w:rFonts w:hint="eastAsia" w:asciiTheme="minorEastAsia" w:hAnsiTheme="minorEastAsia" w:eastAsiaTheme="minorEastAsia" w:cstheme="minorEastAsia"/>
          <w:bCs/>
          <w:sz w:val="24"/>
          <w:szCs w:val="24"/>
          <w:lang w:bidi="ar"/>
        </w:rPr>
        <w:t xml:space="preserve">附件1：廉政协议 </w:t>
      </w:r>
    </w:p>
    <w:p w14:paraId="592841DF">
      <w:pPr>
        <w:spacing w:line="360" w:lineRule="auto"/>
        <w:rPr>
          <w:rFonts w:ascii="仿宋" w:hAnsi="仿宋" w:eastAsia="仿宋" w:cs="仿宋"/>
          <w:b/>
          <w:sz w:val="24"/>
          <w:szCs w:val="24"/>
        </w:rPr>
      </w:pPr>
      <w:r>
        <w:rPr>
          <w:rFonts w:hint="eastAsia" w:asciiTheme="minorEastAsia" w:hAnsiTheme="minorEastAsia" w:eastAsiaTheme="minorEastAsia" w:cstheme="minorEastAsia"/>
          <w:bCs/>
          <w:sz w:val="24"/>
          <w:szCs w:val="24"/>
          <w:lang w:bidi="ar"/>
        </w:rPr>
        <w:t>附件2：履约保证金</w:t>
      </w:r>
      <w:r>
        <w:rPr>
          <w:rFonts w:hint="eastAsia" w:ascii="仿宋" w:hAnsi="仿宋" w:eastAsia="仿宋" w:cs="仿宋"/>
          <w:bCs/>
          <w:sz w:val="24"/>
          <w:szCs w:val="24"/>
          <w:lang w:bidi="ar"/>
        </w:rPr>
        <w:br w:type="page"/>
      </w:r>
    </w:p>
    <w:p w14:paraId="5763713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附件1：廉政协议</w:t>
      </w:r>
    </w:p>
    <w:p w14:paraId="005BCA6C">
      <w:pPr>
        <w:widowControl/>
        <w:spacing w:line="360" w:lineRule="auto"/>
        <w:ind w:firstLine="643"/>
        <w:jc w:val="center"/>
        <w:rPr>
          <w:rFonts w:asciiTheme="minorEastAsia" w:hAnsiTheme="minorEastAsia" w:eastAsiaTheme="minorEastAsia" w:cstheme="minorEastAsia"/>
          <w:b/>
          <w:bCs/>
          <w:kern w:val="0"/>
          <w:sz w:val="24"/>
          <w:szCs w:val="24"/>
          <w:lang w:bidi="ar"/>
        </w:rPr>
      </w:pPr>
    </w:p>
    <w:p w14:paraId="3977091A">
      <w:pPr>
        <w:widowControl/>
        <w:spacing w:line="360" w:lineRule="auto"/>
        <w:ind w:firstLine="643"/>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bidi="ar"/>
        </w:rPr>
        <w:t>廉 政 协 议</w:t>
      </w:r>
    </w:p>
    <w:p w14:paraId="34A2991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甲方：</w:t>
      </w:r>
    </w:p>
    <w:p w14:paraId="796E8B2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乙方：</w:t>
      </w:r>
    </w:p>
    <w:p w14:paraId="1DEF8A5B">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为促进双方诚信经营、廉洁从业，防范商业贿赂，保护国家、集体和当事人的合法权益，根据国家有关法律法规和廉政建设的规定，（以下称甲方）与（以下称乙方），特此订立本协议共同遵照执行。</w:t>
      </w:r>
    </w:p>
    <w:p w14:paraId="64E96E8A">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第一条 甲乙双方的权利和义务</w:t>
      </w:r>
    </w:p>
    <w:p w14:paraId="4F3EDBA2">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B9D7EAB">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（二）严格执行的合同要求，自觉履行合同约定的相关义务。</w:t>
      </w:r>
    </w:p>
    <w:p w14:paraId="31B13F28">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（三）在业务活动中坚持公开、公正、诚信、透明的原则，不得损害国家、集体利益。</w:t>
      </w:r>
    </w:p>
    <w:p w14:paraId="23BF4C9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（四）建立健全廉政制度，开展廉政教育，公布举报电话，监督并认真查处违法违纪行为。</w:t>
      </w:r>
    </w:p>
    <w:p w14:paraId="37783D1D">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（五）发现对方在业务活动中有违反廉政规定的行为，应及时提醒对方纠正。情节严重的，应向其上级有关部门举报、建议给予处理，并有权要求告知处理结果。</w:t>
      </w:r>
    </w:p>
    <w:p w14:paraId="6F27AD7D">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第二条 甲方的义务</w:t>
      </w:r>
    </w:p>
    <w:p w14:paraId="3AD4D4C7">
      <w:pPr>
        <w:widowControl/>
        <w:spacing w:line="360" w:lineRule="auto"/>
        <w:ind w:firstLine="600" w:firstLineChars="25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（一）甲方及其工作人员不得索要或接受乙方的礼金、有价证券和贵重物品，不得在乙方报销任何应由甲方单位或个人支付的费用等。</w:t>
      </w:r>
    </w:p>
    <w:p w14:paraId="75DD00ED">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940A601">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（三） 甲方及其工作人员不得要求或者接受乙方为其住房装修、婚丧嫁娶活动、配偶子女工作安排以及出国出境、旅游等提供方便等。</w:t>
      </w:r>
    </w:p>
    <w:p w14:paraId="5939BAD9">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（四） 甲方工作人员不得在乙方有股权关联的企业兼职，不得向乙方介绍家属或者亲友从事与甲方业务有关的经济活动。</w:t>
      </w:r>
    </w:p>
    <w:p w14:paraId="27BA1BC9">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（五）甲方工作人员不得以明显低于市场的价格向乙方购买房屋、汽车等物品；不得以明显高于市场的价格向乙方出售房屋、汽车等物品；不得以其他交易形式非法收受请托人财物。</w:t>
      </w:r>
    </w:p>
    <w:p w14:paraId="060CA689">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（六）甲方工作人员不得利用职务之便收受乙方以回扣、手续费、加班费、咨询费、劳务费、协调费、辛苦费等各种名义给予或赠送的钱物。</w:t>
      </w:r>
    </w:p>
    <w:p w14:paraId="01E7B5D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（七）甲方工作人员不得接受乙方给予或赠送的干股或红利。</w:t>
      </w:r>
    </w:p>
    <w:p w14:paraId="03293C94">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（八）甲方任何人不得以个人的名义向乙方推荐设备、部件等供货商以及其他合作单位。</w:t>
      </w:r>
    </w:p>
    <w:p w14:paraId="149EEE8A">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第三条 乙方的义务</w:t>
      </w:r>
    </w:p>
    <w:p w14:paraId="241C0594">
      <w:pPr>
        <w:widowControl/>
        <w:spacing w:line="360" w:lineRule="auto"/>
        <w:ind w:firstLine="600" w:firstLineChars="25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（一）乙方不得以任何理由向甲方及其工作人员行贿或馈赠礼金、有价证券、贵重礼品。</w:t>
      </w:r>
    </w:p>
    <w:p w14:paraId="3A24A03A">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（二）乙方不得以任何名义为甲方及其工作人员报销应由甲方单位或个人支付的任何费用。</w:t>
      </w:r>
    </w:p>
    <w:p w14:paraId="61DCAF2D">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（三）乙方不得以任何理由安排甲方工作人员参加可能影响相关业务公开、公正、公平性的宴请及娱乐活动。</w:t>
      </w:r>
    </w:p>
    <w:p w14:paraId="32A2BF0F">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（四）乙方不得为甲方单位和个人购置或提供通讯工具和高档办公用品等物品，也不得为甲方提供与工作无关的房屋、汽车等。</w:t>
      </w:r>
    </w:p>
    <w:p w14:paraId="26D4C96B">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（五）乙方不得与甲方工作人员就合同中的质量、数量、价格、工程量、验收等条款进行私下商谈或者达成默契。</w:t>
      </w:r>
    </w:p>
    <w:p w14:paraId="26A2E8DD">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（六）乙方不得以回扣、手续费、加班费、咨询费、劳务费、协调费、辛苦费等各种名义向甲方工作人员给予或赠送钱物。</w:t>
      </w:r>
    </w:p>
    <w:p w14:paraId="21A3D43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（七）乙方不得向甲方工作人员提供干股或红利。</w:t>
      </w:r>
    </w:p>
    <w:p w14:paraId="2F10CAF4">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（八）乙方须按专项纪检监察工作组（如有）要求开展相关工作。</w:t>
      </w:r>
    </w:p>
    <w:p w14:paraId="2C4F6B8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第四条 违约责任</w:t>
      </w:r>
    </w:p>
    <w:p w14:paraId="74D0BB35">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03644BD2">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甲方投诉联系部门：    ，联系电话：    。</w:t>
      </w:r>
    </w:p>
    <w:p w14:paraId="57014997">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（二）乙方及其工作人员违反本协议第一、三条规定的，由甲方根据具体情节和造成的后果，对乙方采取以下一种或多种处理办法：</w:t>
      </w:r>
    </w:p>
    <w:p w14:paraId="1A9E48B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 xml:space="preserve">1.全额收取乙方合同履约保证金不予退还； </w:t>
      </w:r>
    </w:p>
    <w:p w14:paraId="6DD9BD6C">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2.追究乙方其他违约责任；</w:t>
      </w:r>
    </w:p>
    <w:p w14:paraId="1E39D93F">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3.终止或解除双方已签订的包括本合同在内的所有合同；</w:t>
      </w:r>
    </w:p>
    <w:p w14:paraId="0889A194">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甲方作出的处理意见，乙方应无条件接受并承担给甲方造成的损失，全额返还通过不正当手段从甲方获取的非法所得，并承担相应的法律责任。</w:t>
      </w:r>
    </w:p>
    <w:p w14:paraId="7AB47998">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第五条 双方约定</w:t>
      </w:r>
    </w:p>
    <w:p w14:paraId="2B173EC6">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1061E1D5">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 xml:space="preserve">第六条  本协议有效期为甲乙双方签署之日起至合同终止。  </w:t>
      </w:r>
    </w:p>
    <w:p w14:paraId="65D1FE7A">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第七条  本协议作为合同的附件，与本合同具有同等法律效力。</w:t>
      </w:r>
    </w:p>
    <w:p w14:paraId="479257F1">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 xml:space="preserve"> </w:t>
      </w:r>
    </w:p>
    <w:p w14:paraId="7A0786E9">
      <w:pPr>
        <w:widowControl/>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甲方（盖章）：              乙方（盖章）：</w:t>
      </w:r>
    </w:p>
    <w:p w14:paraId="72E0AC88">
      <w:pPr>
        <w:widowControl/>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 xml:space="preserve"> </w:t>
      </w:r>
    </w:p>
    <w:p w14:paraId="6A9B30F0">
      <w:pPr>
        <w:widowControl/>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法定代表人或                法定代表人或</w:t>
      </w:r>
    </w:p>
    <w:p w14:paraId="3C0F1233">
      <w:pPr>
        <w:widowControl/>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授权代表：                  授权代表：</w:t>
      </w:r>
    </w:p>
    <w:p w14:paraId="362E5F8A">
      <w:pPr>
        <w:widowControl/>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项目经办人：</w:t>
      </w:r>
    </w:p>
    <w:p w14:paraId="17392CFF">
      <w:pPr>
        <w:pStyle w:val="11"/>
        <w:widowControl/>
        <w:spacing w:line="36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合同经办人：</w:t>
      </w:r>
    </w:p>
    <w:p w14:paraId="2EDE230E">
      <w:pPr>
        <w:widowControl/>
        <w:spacing w:line="360" w:lineRule="auto"/>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bidi="ar"/>
        </w:rPr>
        <w:t>日期：                        日期：</w:t>
      </w:r>
    </w:p>
    <w:p w14:paraId="1A772A1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br w:type="page"/>
      </w:r>
    </w:p>
    <w:p w14:paraId="7CBDBF3F">
      <w:pPr>
        <w:pStyle w:val="11"/>
        <w:widowControl/>
        <w:spacing w:line="36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附件2：履约保证金</w:t>
      </w:r>
    </w:p>
    <w:p w14:paraId="41E4F9FA">
      <w:pPr>
        <w:spacing w:line="360" w:lineRule="auto"/>
        <w:jc w:val="center"/>
        <w:rPr>
          <w:rFonts w:asciiTheme="minorEastAsia" w:hAnsiTheme="minorEastAsia" w:eastAsiaTheme="minorEastAsia" w:cstheme="minorEastAsia"/>
          <w:b/>
          <w:bCs/>
          <w:sz w:val="24"/>
          <w:szCs w:val="24"/>
        </w:rPr>
      </w:pPr>
    </w:p>
    <w:p w14:paraId="04801D0E">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履约保函示范文本</w:t>
      </w:r>
    </w:p>
    <w:p w14:paraId="18BC231C">
      <w:pPr>
        <w:wordWrap w:val="0"/>
        <w:spacing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编号：           </w:t>
      </w:r>
    </w:p>
    <w:p w14:paraId="0986B320">
      <w:pPr>
        <w:spacing w:line="360" w:lineRule="auto"/>
        <w:rPr>
          <w:rFonts w:asciiTheme="minorEastAsia" w:hAnsiTheme="minorEastAsia" w:eastAsiaTheme="minorEastAsia" w:cstheme="minorEastAsia"/>
          <w:sz w:val="24"/>
          <w:szCs w:val="24"/>
        </w:rPr>
      </w:pPr>
    </w:p>
    <w:p w14:paraId="400111E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（受益人名称）： </w:t>
      </w:r>
    </w:p>
    <w:p w14:paraId="01E9698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（以下简称“受益人”）与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（以下简称“申请人”）于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日就</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（标段编号）的</w:t>
      </w:r>
      <w:r>
        <w:rPr>
          <w:rFonts w:hint="eastAsia" w:asciiTheme="minorEastAsia" w:hAnsiTheme="minorEastAsia" w:eastAsiaTheme="minorEastAsia" w:cstheme="minorEastAsia"/>
          <w:snapToGrid w:val="0"/>
          <w:sz w:val="24"/>
          <w:szCs w:val="24"/>
          <w:u w:val="single"/>
        </w:rPr>
        <w:t xml:space="preserve">         </w:t>
      </w:r>
      <w:r>
        <w:rPr>
          <w:rFonts w:hint="eastAsia" w:asciiTheme="minorEastAsia" w:hAnsiTheme="minorEastAsia" w:eastAsiaTheme="minorEastAsia" w:cstheme="minorEastAsia"/>
          <w:snapToGrid w:val="0"/>
          <w:sz w:val="24"/>
          <w:szCs w:val="24"/>
        </w:rPr>
        <w:t>（标段名称）</w:t>
      </w:r>
      <w:r>
        <w:rPr>
          <w:rFonts w:hint="eastAsia" w:asciiTheme="minorEastAsia" w:hAnsiTheme="minorEastAsia" w:eastAsiaTheme="minorEastAsia" w:cstheme="minorEastAsia"/>
          <w:sz w:val="24"/>
          <w:szCs w:val="24"/>
        </w:rPr>
        <w:t>有关事项协商一致共同签订</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5B61D9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一、本保函担保范围：承包人未按照基础合同的约定履行义务，应当向受益人承担的违约责任和赔偿因此造成的损失、利息、律师费、诉讼费用等实现债权的费用。</w:t>
      </w:r>
    </w:p>
    <w:p w14:paraId="1059455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二、本保函担保金额最高不超过人民币（大写）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FFBD32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三、本保函有效期自开立之日起至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之日止。 </w:t>
      </w:r>
    </w:p>
    <w:p w14:paraId="19BF96C1">
      <w:pPr>
        <w:spacing w:line="360" w:lineRule="auto"/>
        <w:ind w:firstLine="480"/>
        <w:rPr>
          <w:rFonts w:asciiTheme="minorEastAsia" w:hAnsiTheme="minorEastAsia" w:eastAsiaTheme="minorEastAsia" w:cstheme="minorEastAsia"/>
          <w:sz w:val="24"/>
          <w:szCs w:val="24"/>
        </w:rPr>
      </w:pPr>
      <w:bookmarkStart w:id="25" w:name="_Hlk40302764"/>
      <w:r>
        <w:rPr>
          <w:rFonts w:hint="eastAsia" w:asciiTheme="minorEastAsia" w:hAnsiTheme="minorEastAsia" w:eastAsiaTheme="minorEastAsia" w:cstheme="minorEastAsia"/>
          <w:sz w:val="24"/>
          <w:szCs w:val="24"/>
        </w:rPr>
        <w:t>四、开立人承诺，在收到受益人发来的书面付款通知后的七日内无条件支付，前述书面付款通知即为付款要求之单据，且应满足以下要求：</w:t>
      </w:r>
    </w:p>
    <w:bookmarkEnd w:id="25"/>
    <w:p w14:paraId="05F9416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（1）付款通知到达的日期在本保函的有效期内；</w:t>
      </w:r>
    </w:p>
    <w:p w14:paraId="2DB154D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（2）载明要求支付的金额；</w:t>
      </w:r>
    </w:p>
    <w:p w14:paraId="0CB1963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（3）载明申请人违反合同义务的条款和内容；</w:t>
      </w:r>
    </w:p>
    <w:p w14:paraId="121ED7B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（4）声明不存在合同文件约定或我国法律规定免除申请人或开立人支付责任的情形；</w:t>
      </w:r>
    </w:p>
    <w:p w14:paraId="4F04BC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（5）付款通知应在本保函有效期内到达的地址是：</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8CFB044">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26" w:name="_Hlk40303486"/>
      <w:r>
        <w:rPr>
          <w:rFonts w:hint="eastAsia" w:asciiTheme="minorEastAsia" w:hAnsiTheme="minorEastAsia" w:eastAsiaTheme="minorEastAsia" w:cstheme="minorEastAsia"/>
          <w:sz w:val="24"/>
          <w:szCs w:val="24"/>
        </w:rPr>
        <w:t>受益人发出的书面付款通知应由其法定代表人（负责人）或授权代理人签字并加盖公章。</w:t>
      </w:r>
      <w:bookmarkEnd w:id="26"/>
    </w:p>
    <w:p w14:paraId="6EB724D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五、本保函项下的权利不得转让，不得设定担保。受益人未经我方书面同意转 让本保函或其项下任何权利，对我方不发生法律效力。 </w:t>
      </w:r>
    </w:p>
    <w:p w14:paraId="49FA54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六、与本保函有关的基础合同不成立、不生效、无效、被撤销、被解除，不影响本保函的独立有效。 </w:t>
      </w:r>
    </w:p>
    <w:p w14:paraId="46B25E85">
      <w:pPr>
        <w:spacing w:line="360" w:lineRule="auto"/>
        <w:ind w:firstLine="480" w:firstLineChars="200"/>
        <w:rPr>
          <w:rFonts w:asciiTheme="minorEastAsia" w:hAnsiTheme="minorEastAsia" w:eastAsiaTheme="minorEastAsia" w:cstheme="minorEastAsia"/>
          <w:sz w:val="24"/>
          <w:szCs w:val="24"/>
        </w:rPr>
      </w:pPr>
      <w:bookmarkStart w:id="27" w:name="_Hlk40303383"/>
      <w:bookmarkStart w:id="28" w:name="_Hlk40354981"/>
      <w:r>
        <w:rPr>
          <w:rFonts w:hint="eastAsia" w:asciiTheme="minorEastAsia" w:hAnsiTheme="minorEastAsia" w:eastAsiaTheme="minorEastAsia" w:cstheme="minorEastAsia"/>
          <w:sz w:val="24"/>
          <w:szCs w:val="24"/>
        </w:rPr>
        <w:t xml:space="preserve">七、本保函项下的义务和责任均在保函有效期到期后自动消灭。 </w:t>
      </w:r>
    </w:p>
    <w:p w14:paraId="53CD63F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八、本保函适用的法律为中华人民共和国法律，因本保函产生的纠纷案件，</w:t>
      </w:r>
      <w:bookmarkEnd w:id="27"/>
      <w:r>
        <w:rPr>
          <w:rFonts w:hint="eastAsia" w:asciiTheme="minorEastAsia" w:hAnsiTheme="minorEastAsia" w:eastAsiaTheme="minorEastAsia" w:cstheme="minorEastAsia"/>
          <w:sz w:val="24"/>
          <w:szCs w:val="24"/>
        </w:rPr>
        <w:t xml:space="preserve">由受益人所在地人民法院管辖。 </w:t>
      </w:r>
    </w:p>
    <w:bookmarkEnd w:id="28"/>
    <w:p w14:paraId="17EBCA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九、本保函自我方法定代表人或授权代表签字并加盖公章之日起生效。 </w:t>
      </w:r>
    </w:p>
    <w:p w14:paraId="7A93C047">
      <w:pPr>
        <w:spacing w:line="360" w:lineRule="auto"/>
        <w:ind w:firstLine="480" w:firstLineChars="200"/>
        <w:rPr>
          <w:rFonts w:asciiTheme="minorEastAsia" w:hAnsiTheme="minorEastAsia" w:eastAsiaTheme="minorEastAsia" w:cstheme="minorEastAsia"/>
          <w:sz w:val="24"/>
          <w:szCs w:val="24"/>
        </w:rPr>
      </w:pPr>
    </w:p>
    <w:p w14:paraId="1C9303DE">
      <w:pPr>
        <w:spacing w:line="360" w:lineRule="auto"/>
        <w:ind w:firstLine="480" w:firstLineChars="200"/>
        <w:rPr>
          <w:rFonts w:asciiTheme="minorEastAsia" w:hAnsiTheme="minorEastAsia" w:eastAsiaTheme="minorEastAsia" w:cstheme="minorEastAsia"/>
          <w:sz w:val="24"/>
          <w:szCs w:val="24"/>
        </w:rPr>
      </w:pPr>
    </w:p>
    <w:p w14:paraId="6A11A52B">
      <w:pPr>
        <w:spacing w:line="360" w:lineRule="auto"/>
        <w:ind w:firstLine="480" w:firstLineChars="200"/>
        <w:rPr>
          <w:rFonts w:asciiTheme="minorEastAsia" w:hAnsiTheme="minorEastAsia" w:eastAsiaTheme="minorEastAsia" w:cstheme="minorEastAsia"/>
          <w:sz w:val="24"/>
          <w:szCs w:val="24"/>
        </w:rPr>
      </w:pPr>
    </w:p>
    <w:p w14:paraId="2079B15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立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（公章） </w:t>
      </w:r>
    </w:p>
    <w:p w14:paraId="3D2F5DE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（签字） </w:t>
      </w:r>
    </w:p>
    <w:p w14:paraId="10FC71E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59C94DF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w:t>
      </w:r>
    </w:p>
    <w:p w14:paraId="575159F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xml:space="preserve">                 </w:t>
      </w:r>
    </w:p>
    <w:p w14:paraId="6AC3A29E">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传    真：</w:t>
      </w:r>
      <w:r>
        <w:rPr>
          <w:rFonts w:hint="eastAsia" w:asciiTheme="minorEastAsia" w:hAnsiTheme="minorEastAsia" w:eastAsiaTheme="minorEastAsia" w:cstheme="minorEastAsia"/>
          <w:sz w:val="24"/>
          <w:szCs w:val="24"/>
          <w:u w:val="single"/>
        </w:rPr>
        <w:t xml:space="preserve">                 </w:t>
      </w:r>
    </w:p>
    <w:p w14:paraId="1748F8C0">
      <w:pPr>
        <w:spacing w:line="360" w:lineRule="auto"/>
        <w:ind w:left="1452" w:leftChars="200" w:hanging="1032" w:hangingChars="43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4A50EAF">
      <w:pPr>
        <w:pStyle w:val="8"/>
        <w:spacing w:line="500" w:lineRule="exact"/>
        <w:jc w:val="center"/>
        <w:rPr>
          <w:rFonts w:asciiTheme="minorEastAsia" w:hAnsiTheme="minorEastAsia" w:eastAsiaTheme="minorEastAsia" w:cstheme="minorEastAsia"/>
          <w:b w:val="0"/>
          <w:bCs w:val="0"/>
          <w:i/>
          <w:iCs/>
          <w:color w:val="FF0000"/>
          <w:sz w:val="24"/>
          <w:szCs w:val="24"/>
          <w:lang w:val="en-US"/>
        </w:rPr>
      </w:pPr>
    </w:p>
    <w:p w14:paraId="74BB6397">
      <w:pPr>
        <w:spacing w:line="360" w:lineRule="auto"/>
        <w:jc w:val="center"/>
        <w:outlineLvl w:val="1"/>
        <w:rPr>
          <w:rFonts w:asciiTheme="minorEastAsia" w:hAnsiTheme="minorEastAsia" w:eastAsiaTheme="minorEastAsia"/>
          <w:b/>
          <w:sz w:val="28"/>
        </w:rPr>
      </w:pPr>
    </w:p>
    <w:p w14:paraId="15C4C69B">
      <w:pPr>
        <w:spacing w:line="360" w:lineRule="auto"/>
        <w:jc w:val="center"/>
        <w:outlineLvl w:val="1"/>
        <w:rPr>
          <w:rFonts w:asciiTheme="minorEastAsia" w:hAnsiTheme="minorEastAsia" w:eastAsiaTheme="minorEastAsia"/>
          <w:b/>
          <w:sz w:val="28"/>
        </w:rPr>
      </w:pPr>
    </w:p>
    <w:p w14:paraId="78132284">
      <w:pPr>
        <w:spacing w:line="360" w:lineRule="auto"/>
        <w:jc w:val="center"/>
        <w:outlineLvl w:val="1"/>
        <w:rPr>
          <w:rFonts w:asciiTheme="minorEastAsia" w:hAnsiTheme="minorEastAsia" w:eastAsiaTheme="minorEastAsia"/>
          <w:b/>
          <w:sz w:val="28"/>
        </w:rPr>
      </w:pPr>
    </w:p>
    <w:p w14:paraId="58A64659">
      <w:pPr>
        <w:spacing w:line="360" w:lineRule="auto"/>
        <w:jc w:val="center"/>
        <w:outlineLvl w:val="1"/>
        <w:rPr>
          <w:rFonts w:asciiTheme="minorEastAsia" w:hAnsiTheme="minorEastAsia" w:eastAsiaTheme="minorEastAsia"/>
          <w:b/>
          <w:sz w:val="28"/>
        </w:rPr>
      </w:pPr>
    </w:p>
    <w:p w14:paraId="1EB91A3B">
      <w:pPr>
        <w:spacing w:line="360" w:lineRule="auto"/>
        <w:jc w:val="center"/>
        <w:outlineLvl w:val="1"/>
        <w:rPr>
          <w:rFonts w:asciiTheme="minorEastAsia" w:hAnsiTheme="minorEastAsia" w:eastAsiaTheme="minorEastAsia"/>
          <w:b/>
          <w:sz w:val="28"/>
        </w:rPr>
      </w:pPr>
    </w:p>
    <w:p w14:paraId="2B2EEBA9">
      <w:pPr>
        <w:spacing w:line="360" w:lineRule="auto"/>
        <w:jc w:val="center"/>
        <w:outlineLvl w:val="1"/>
        <w:rPr>
          <w:rFonts w:asciiTheme="minorEastAsia" w:hAnsiTheme="minorEastAsia" w:eastAsiaTheme="minorEastAsia"/>
          <w:b/>
          <w:sz w:val="28"/>
        </w:rPr>
      </w:pPr>
    </w:p>
    <w:p w14:paraId="68C85EC7">
      <w:pPr>
        <w:spacing w:line="360" w:lineRule="auto"/>
        <w:jc w:val="center"/>
        <w:outlineLvl w:val="1"/>
        <w:rPr>
          <w:rFonts w:asciiTheme="minorEastAsia" w:hAnsiTheme="minorEastAsia" w:eastAsiaTheme="minorEastAsia"/>
          <w:b/>
          <w:sz w:val="28"/>
        </w:rPr>
      </w:pPr>
    </w:p>
    <w:p w14:paraId="7A291CC3">
      <w:pPr>
        <w:spacing w:line="360" w:lineRule="auto"/>
        <w:jc w:val="center"/>
        <w:outlineLvl w:val="1"/>
        <w:rPr>
          <w:rFonts w:asciiTheme="minorEastAsia" w:hAnsiTheme="minorEastAsia" w:eastAsiaTheme="minorEastAsia"/>
          <w:b/>
          <w:sz w:val="28"/>
        </w:rPr>
      </w:pPr>
    </w:p>
    <w:p w14:paraId="3C6602EF">
      <w:pPr>
        <w:spacing w:line="360" w:lineRule="auto"/>
        <w:jc w:val="center"/>
        <w:outlineLvl w:val="1"/>
        <w:rPr>
          <w:rFonts w:asciiTheme="minorEastAsia" w:hAnsiTheme="minorEastAsia" w:eastAsiaTheme="minorEastAsia"/>
          <w:b/>
          <w:sz w:val="28"/>
        </w:rPr>
      </w:pPr>
    </w:p>
    <w:p w14:paraId="3A37E2F0">
      <w:pPr>
        <w:spacing w:line="360" w:lineRule="auto"/>
        <w:jc w:val="center"/>
        <w:outlineLvl w:val="1"/>
        <w:rPr>
          <w:rFonts w:asciiTheme="minorEastAsia" w:hAnsiTheme="minorEastAsia" w:eastAsiaTheme="minorEastAsia"/>
          <w:b/>
          <w:sz w:val="28"/>
        </w:rPr>
      </w:pPr>
      <w:bookmarkStart w:id="29" w:name="_Toc5855"/>
      <w:r>
        <w:rPr>
          <w:rFonts w:hint="eastAsia" w:asciiTheme="minorEastAsia" w:hAnsiTheme="minorEastAsia" w:eastAsiaTheme="minorEastAsia"/>
          <w:b/>
          <w:sz w:val="28"/>
        </w:rPr>
        <w:t>第六章  投标文件格式</w:t>
      </w:r>
      <w:bookmarkEnd w:id="29"/>
    </w:p>
    <w:p w14:paraId="1BDFE6D9">
      <w:pPr>
        <w:spacing w:line="500" w:lineRule="exact"/>
        <w:jc w:val="center"/>
        <w:rPr>
          <w:rFonts w:hint="eastAsia" w:asciiTheme="minorEastAsia" w:hAnsiTheme="minorEastAsia" w:eastAsiaTheme="minorEastAsia"/>
          <w:b/>
          <w:sz w:val="32"/>
          <w:lang w:eastAsia="zh-CN"/>
        </w:rPr>
      </w:pPr>
      <w:r>
        <w:rPr>
          <w:rFonts w:hint="eastAsia" w:asciiTheme="minorEastAsia" w:hAnsiTheme="minorEastAsia" w:eastAsiaTheme="minorEastAsia"/>
          <w:b/>
          <w:sz w:val="32"/>
          <w:lang w:eastAsia="zh-CN"/>
        </w:rPr>
        <w:t>百大悦购预约增设短信验证码项目（二次）</w:t>
      </w:r>
    </w:p>
    <w:p w14:paraId="294685C8">
      <w:pPr>
        <w:spacing w:line="900" w:lineRule="exact"/>
        <w:jc w:val="center"/>
        <w:rPr>
          <w:rFonts w:asciiTheme="minorEastAsia" w:hAnsiTheme="minorEastAsia" w:eastAsiaTheme="minorEastAsia"/>
          <w:b/>
          <w:sz w:val="72"/>
        </w:rPr>
      </w:pPr>
    </w:p>
    <w:p w14:paraId="20C3A7BB">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A427D3E">
      <w:pPr>
        <w:spacing w:line="900" w:lineRule="exact"/>
        <w:jc w:val="center"/>
        <w:rPr>
          <w:rFonts w:asciiTheme="minorEastAsia" w:hAnsiTheme="minorEastAsia" w:eastAsiaTheme="minorEastAsia"/>
          <w:b/>
          <w:sz w:val="72"/>
        </w:rPr>
      </w:pPr>
    </w:p>
    <w:p w14:paraId="55A7155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12FDF31F">
      <w:pPr>
        <w:spacing w:line="900" w:lineRule="exact"/>
        <w:jc w:val="center"/>
        <w:rPr>
          <w:rFonts w:asciiTheme="minorEastAsia" w:hAnsiTheme="minorEastAsia" w:eastAsiaTheme="minorEastAsia"/>
          <w:b/>
          <w:sz w:val="72"/>
        </w:rPr>
      </w:pPr>
    </w:p>
    <w:p w14:paraId="63F4AE8C">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381159CC">
      <w:pPr>
        <w:spacing w:line="900" w:lineRule="exact"/>
        <w:jc w:val="center"/>
        <w:rPr>
          <w:rFonts w:asciiTheme="minorEastAsia" w:hAnsiTheme="minorEastAsia" w:eastAsiaTheme="minorEastAsia"/>
          <w:b/>
          <w:sz w:val="72"/>
        </w:rPr>
      </w:pPr>
    </w:p>
    <w:p w14:paraId="6F3FAF20">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06A24899">
      <w:pPr>
        <w:spacing w:after="156" w:afterLines="50"/>
        <w:jc w:val="center"/>
        <w:rPr>
          <w:rFonts w:asciiTheme="minorEastAsia" w:hAnsiTheme="minorEastAsia" w:eastAsiaTheme="minorEastAsia"/>
          <w:b/>
          <w:sz w:val="72"/>
        </w:rPr>
      </w:pPr>
    </w:p>
    <w:p w14:paraId="7A5CB59B">
      <w:pPr>
        <w:spacing w:before="156" w:beforeLines="50" w:after="156" w:afterLines="5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u w:val="single"/>
        </w:rPr>
        <w:t xml:space="preserve">   </w:t>
      </w:r>
      <w:r>
        <w:rPr>
          <w:rFonts w:hint="eastAsia" w:asciiTheme="minorEastAsia" w:hAnsiTheme="minorEastAsia" w:eastAsiaTheme="minorEastAsia"/>
          <w:b/>
          <w:sz w:val="32"/>
          <w:szCs w:val="32"/>
        </w:rPr>
        <w:t>包】</w:t>
      </w:r>
      <w:r>
        <w:rPr>
          <w:rFonts w:hint="eastAsia" w:asciiTheme="minorEastAsia" w:hAnsiTheme="minorEastAsia" w:eastAsiaTheme="minorEastAsia"/>
          <w:b/>
          <w:sz w:val="28"/>
          <w:szCs w:val="28"/>
        </w:rPr>
        <w:t>（不分包项目删除）</w:t>
      </w:r>
    </w:p>
    <w:p w14:paraId="6DE0F6B6">
      <w:pPr>
        <w:spacing w:after="156" w:afterLines="50" w:line="500" w:lineRule="exact"/>
        <w:jc w:val="center"/>
        <w:rPr>
          <w:rFonts w:asciiTheme="minorEastAsia" w:hAnsiTheme="minorEastAsia" w:eastAsiaTheme="minorEastAsia"/>
          <w:b/>
          <w:sz w:val="28"/>
          <w:szCs w:val="28"/>
        </w:rPr>
      </w:pPr>
    </w:p>
    <w:p w14:paraId="6B8A6D51">
      <w:pPr>
        <w:spacing w:after="156" w:afterLines="50" w:line="500" w:lineRule="exact"/>
        <w:jc w:val="center"/>
        <w:rPr>
          <w:rFonts w:asciiTheme="minorEastAsia" w:hAnsiTheme="minorEastAsia" w:eastAsiaTheme="minorEastAsia"/>
          <w:b/>
          <w:sz w:val="72"/>
        </w:rPr>
      </w:pPr>
    </w:p>
    <w:p w14:paraId="033F5FE8">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315D5CC4">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6E41BA10">
      <w:pPr>
        <w:widowControl/>
        <w:spacing w:after="312" w:afterLines="100"/>
        <w:jc w:val="center"/>
        <w:rPr>
          <w:rFonts w:asciiTheme="minorEastAsia" w:hAnsiTheme="minorEastAsia" w:eastAsiaTheme="minorEastAsia"/>
          <w:b/>
          <w:sz w:val="24"/>
        </w:rPr>
      </w:pPr>
      <w:r>
        <w:rPr>
          <w:rFonts w:asciiTheme="minorEastAsia" w:hAnsiTheme="minorEastAsia" w:eastAsiaTheme="minorEastAsia"/>
          <w:b/>
          <w:sz w:val="28"/>
        </w:rPr>
        <w:br w:type="page"/>
      </w:r>
      <w:bookmarkStart w:id="30" w:name="_Hlk23205287"/>
      <w:r>
        <w:rPr>
          <w:rFonts w:hint="eastAsia" w:asciiTheme="minorEastAsia" w:hAnsiTheme="minorEastAsia" w:eastAsiaTheme="minorEastAsia"/>
          <w:b/>
          <w:sz w:val="24"/>
        </w:rPr>
        <w:t>一、投标函</w:t>
      </w:r>
    </w:p>
    <w:p w14:paraId="494FF478">
      <w:pPr>
        <w:pStyle w:val="15"/>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合肥百货大楼集团股份有限公司</w:t>
      </w:r>
    </w:p>
    <w:p w14:paraId="57B762E5">
      <w:pPr>
        <w:pStyle w:val="15"/>
        <w:spacing w:line="360" w:lineRule="auto"/>
        <w:ind w:firstLine="472" w:firstLineChars="196"/>
        <w:rPr>
          <w:rFonts w:asciiTheme="minorEastAsia" w:hAnsiTheme="minorEastAsia" w:eastAsiaTheme="minorEastAsia"/>
          <w:sz w:val="24"/>
          <w:u w:val="single"/>
        </w:rPr>
      </w:pPr>
      <w:r>
        <w:rPr>
          <w:rFonts w:hint="eastAsia" w:asciiTheme="minorEastAsia" w:hAnsiTheme="minorEastAsia" w:eastAsiaTheme="minorEastAsia"/>
          <w:sz w:val="24"/>
          <w:u w:val="single"/>
        </w:rPr>
        <w:t>安徽公共资源交易集团项目管理有限公司</w:t>
      </w:r>
    </w:p>
    <w:p w14:paraId="537E902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根据贵方的比选文件，我方承诺如下：</w:t>
      </w:r>
    </w:p>
    <w:p w14:paraId="3CFEE47E">
      <w:pPr>
        <w:spacing w:line="360" w:lineRule="auto"/>
        <w:ind w:firstLine="480" w:firstLineChars="200"/>
        <w:rPr>
          <w:rFonts w:asciiTheme="minorEastAsia" w:hAnsiTheme="minorEastAsia" w:eastAsiaTheme="minorEastAsia" w:cs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cstheme="minorEastAsia"/>
          <w:sz w:val="24"/>
          <w:szCs w:val="24"/>
        </w:rPr>
        <w:t xml:space="preserve"> 我方已仔细研究了某招标项目标段名称项目招标文件的全部内容，愿意以人民币（大写）         （¥       ）的投标总报价提供比选文件要求的服务（货物）和质保售后服务等，并按合同约定履行义务。</w:t>
      </w:r>
    </w:p>
    <w:p w14:paraId="1D93647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2.我方承诺报价低于同类服务的市场平均价格。</w:t>
      </w:r>
    </w:p>
    <w:p w14:paraId="3FE8D83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我方已详细审核全部比选文件，包括比选文件的补疑、澄清、变更或补充（如有），参考资料及有关附件，我方正式认可并遵守本次比选文件，并对比选文件各项条款（包括比选时间）、规定及要求均无异议。且我方自愿放弃针对上述各项条款提出异议的权利。</w:t>
      </w:r>
    </w:p>
    <w:p w14:paraId="2B742DC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4.如我方中标，我方承诺愿意按比选文件规定缴纳履约保证金和代理费用。按本次比选文件规定及最后报价承诺供货（安装）。</w:t>
      </w:r>
    </w:p>
    <w:p w14:paraId="13CAB5C4">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5.我方根据本次比选文件的规定，严格履行合同的责任和义务,并保证于你方要求的日期内完成供货（安装）及服务，并通过你方验收。</w:t>
      </w:r>
    </w:p>
    <w:p w14:paraId="265398A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6.我方同意按你方要求在比选规定时间内向你方提供与其投标有关的任何证据或补充资料，否则，我方的投标文件可被你方拒绝。</w:t>
      </w:r>
    </w:p>
    <w:p w14:paraId="06DBE58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7.我方同意比选文件规定的付款方式、服务期限。</w:t>
      </w:r>
    </w:p>
    <w:p w14:paraId="3A173566">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8.我方对投标文件中所提供资料、文件、证书及证件的真实性和有效性负责。</w:t>
      </w:r>
    </w:p>
    <w:p w14:paraId="49541DC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9.我方同意所提交的投标文件在比选文件规定的投标有效期内有效，在此期间内如果中标，我方将受此约束。</w:t>
      </w:r>
    </w:p>
    <w:p w14:paraId="5777CD3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10.除非另外达成协议并生效，你方的中标通知书和本投标文件以及比选文件、比选文件澄清、修改、补充将成为约束双方的合同文件的组成部分。</w:t>
      </w:r>
    </w:p>
    <w:p w14:paraId="1DCC23DD">
      <w:pPr>
        <w:spacing w:line="360" w:lineRule="auto"/>
        <w:ind w:firstLine="480" w:firstLineChars="200"/>
      </w:pPr>
      <w:r>
        <w:rPr>
          <w:rFonts w:hint="eastAsia" w:cs="宋体" w:asciiTheme="minorEastAsia" w:hAnsiTheme="minorEastAsia" w:eastAsiaTheme="minorEastAsia"/>
          <w:sz w:val="24"/>
          <w:szCs w:val="24"/>
        </w:rPr>
        <w:t>11.其他补充说明：</w:t>
      </w:r>
      <w:r>
        <w:rPr>
          <w:rFonts w:hint="eastAsia" w:cs="宋体" w:asciiTheme="minorEastAsia" w:hAnsiTheme="minorEastAsia" w:eastAsiaTheme="minorEastAsia"/>
          <w:kern w:val="2"/>
          <w:sz w:val="24"/>
          <w:szCs w:val="24"/>
          <w:u w:val="none"/>
          <w:lang w:val="en-US" w:eastAsia="zh-CN"/>
        </w:rPr>
        <w:t>我方承诺完全响应比选文件第三章“招标人要求”——“三、服务需求”中的内容</w:t>
      </w:r>
    </w:p>
    <w:p w14:paraId="348E95BD">
      <w:pPr>
        <w:pStyle w:val="5"/>
        <w:ind w:firstLine="210"/>
      </w:pPr>
    </w:p>
    <w:p w14:paraId="70BB7C02">
      <w:pPr>
        <w:spacing w:line="360" w:lineRule="auto"/>
        <w:ind w:firstLine="4800" w:firstLineChars="2000"/>
        <w:rPr>
          <w:sz w:val="24"/>
        </w:rPr>
      </w:pPr>
      <w:r>
        <w:rPr>
          <w:rFonts w:hint="eastAsia" w:cs="宋体" w:asciiTheme="minorEastAsia" w:hAnsiTheme="minorEastAsia" w:eastAsiaTheme="minorEastAsia"/>
          <w:sz w:val="24"/>
          <w:szCs w:val="24"/>
        </w:rPr>
        <w:t>投标人电子签章或公章：</w:t>
      </w:r>
      <w:r>
        <w:rPr>
          <w:rFonts w:hint="eastAsia"/>
          <w:sz w:val="24"/>
          <w:u w:val="single"/>
        </w:rPr>
        <w:t xml:space="preserve">             </w:t>
      </w:r>
    </w:p>
    <w:p w14:paraId="07A42DEA">
      <w:pPr>
        <w:spacing w:line="360" w:lineRule="auto"/>
        <w:ind w:firstLine="4800" w:firstLineChars="2000"/>
        <w:rPr>
          <w:rFonts w:asciiTheme="minorEastAsia" w:hAnsiTheme="minorEastAsia" w:eastAsiaTheme="minorEastAsia" w:cstheme="minorEastAsia"/>
          <w:sz w:val="24"/>
          <w:szCs w:val="24"/>
        </w:rPr>
      </w:pPr>
      <w:r>
        <w:rPr>
          <w:rFonts w:hint="eastAsia" w:cs="宋体" w:asciiTheme="minorEastAsia" w:hAnsiTheme="minorEastAsia" w:eastAsiaTheme="minorEastAsia"/>
          <w:sz w:val="24"/>
          <w:szCs w:val="24"/>
        </w:rPr>
        <w:t>日          期：</w:t>
      </w:r>
      <w:r>
        <w:rPr>
          <w:rFonts w:hint="eastAsia"/>
          <w:sz w:val="24"/>
          <w:u w:val="single"/>
        </w:rPr>
        <w:t xml:space="preserve">             </w:t>
      </w:r>
    </w:p>
    <w:p w14:paraId="1A21ED9F">
      <w:pPr>
        <w:pStyle w:val="9"/>
      </w:pPr>
    </w:p>
    <w:p w14:paraId="09C34F9A"/>
    <w:p w14:paraId="4763CBB4">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二</w:t>
      </w:r>
      <w:r>
        <w:rPr>
          <w:rFonts w:hint="eastAsia" w:asciiTheme="minorEastAsia" w:hAnsiTheme="minorEastAsia" w:eastAsiaTheme="minorEastAsia"/>
          <w:b/>
          <w:sz w:val="24"/>
        </w:rPr>
        <w:t>、响应表</w:t>
      </w:r>
    </w:p>
    <w:p w14:paraId="2669BEA8">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46EA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03B5DD43">
            <w:pPr>
              <w:pStyle w:val="14"/>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082B28EF">
            <w:pPr>
              <w:pStyle w:val="14"/>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7A3A369F">
            <w:pPr>
              <w:pStyle w:val="14"/>
              <w:jc w:val="center"/>
              <w:rPr>
                <w:rFonts w:cs="Wingdings" w:asciiTheme="minorEastAsia" w:hAnsiTheme="minorEastAsia"/>
                <w:b/>
                <w:sz w:val="24"/>
              </w:rPr>
            </w:pPr>
            <w:r>
              <w:rPr>
                <w:rFonts w:hint="eastAsia" w:cs="Wingdings" w:asciiTheme="minorEastAsia" w:hAnsiTheme="minorEastAsia"/>
                <w:b/>
                <w:sz w:val="24"/>
              </w:rPr>
              <w:t>比选文件要求</w:t>
            </w:r>
          </w:p>
        </w:tc>
        <w:tc>
          <w:tcPr>
            <w:tcW w:w="1511" w:type="pct"/>
            <w:vAlign w:val="center"/>
          </w:tcPr>
          <w:p w14:paraId="7369089E">
            <w:pPr>
              <w:pStyle w:val="14"/>
              <w:jc w:val="center"/>
              <w:rPr>
                <w:rFonts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681A8028">
            <w:pPr>
              <w:pStyle w:val="14"/>
              <w:jc w:val="center"/>
              <w:rPr>
                <w:rFonts w:cs="Wingdings" w:asciiTheme="minorEastAsia" w:hAnsiTheme="minorEastAsia"/>
                <w:b/>
                <w:sz w:val="24"/>
              </w:rPr>
            </w:pPr>
            <w:r>
              <w:rPr>
                <w:rFonts w:hint="eastAsia" w:cs="Wingdings" w:asciiTheme="minorEastAsia" w:hAnsiTheme="minorEastAsia"/>
                <w:b/>
                <w:sz w:val="24"/>
              </w:rPr>
              <w:t>偏离说明</w:t>
            </w:r>
          </w:p>
        </w:tc>
      </w:tr>
      <w:tr w14:paraId="1BC2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DA91F19">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26E1A6D2">
            <w:pPr>
              <w:jc w:val="center"/>
              <w:rPr>
                <w:rFonts w:asciiTheme="minorEastAsia" w:hAnsiTheme="minorEastAsia" w:eastAsiaTheme="minorEastAsia"/>
                <w:sz w:val="24"/>
              </w:rPr>
            </w:pPr>
            <w:r>
              <w:rPr>
                <w:rFonts w:asciiTheme="minorEastAsia" w:hAnsiTheme="minorEastAsia" w:eastAsiaTheme="minorEastAsia"/>
                <w:sz w:val="24"/>
              </w:rPr>
              <w:t>付款方式</w:t>
            </w:r>
          </w:p>
        </w:tc>
        <w:tc>
          <w:tcPr>
            <w:tcW w:w="1465" w:type="pct"/>
            <w:vAlign w:val="center"/>
          </w:tcPr>
          <w:p w14:paraId="6C27E906">
            <w:pPr>
              <w:jc w:val="center"/>
              <w:rPr>
                <w:rFonts w:asciiTheme="minorEastAsia" w:hAnsiTheme="minorEastAsia" w:eastAsiaTheme="minorEastAsia"/>
                <w:sz w:val="24"/>
              </w:rPr>
            </w:pPr>
          </w:p>
        </w:tc>
        <w:tc>
          <w:tcPr>
            <w:tcW w:w="1511" w:type="pct"/>
            <w:vAlign w:val="center"/>
          </w:tcPr>
          <w:p w14:paraId="2D9CBFD2">
            <w:pPr>
              <w:jc w:val="center"/>
              <w:rPr>
                <w:rFonts w:asciiTheme="minorEastAsia" w:hAnsiTheme="minorEastAsia" w:eastAsiaTheme="minorEastAsia"/>
                <w:sz w:val="24"/>
              </w:rPr>
            </w:pPr>
          </w:p>
        </w:tc>
        <w:tc>
          <w:tcPr>
            <w:tcW w:w="475" w:type="pct"/>
            <w:vAlign w:val="center"/>
          </w:tcPr>
          <w:p w14:paraId="5305E91E">
            <w:pPr>
              <w:jc w:val="center"/>
              <w:rPr>
                <w:rFonts w:asciiTheme="minorEastAsia" w:hAnsiTheme="minorEastAsia" w:eastAsiaTheme="minorEastAsia"/>
                <w:sz w:val="24"/>
              </w:rPr>
            </w:pPr>
          </w:p>
        </w:tc>
      </w:tr>
      <w:tr w14:paraId="7EAC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A1D152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11BA459C">
            <w:pPr>
              <w:pStyle w:val="42"/>
              <w:ind w:firstLine="280" w:firstLineChars="100"/>
            </w:pPr>
            <w:r>
              <w:rPr>
                <w:rFonts w:hint="eastAsia"/>
              </w:rPr>
              <w:t>服务期限</w:t>
            </w:r>
          </w:p>
        </w:tc>
        <w:tc>
          <w:tcPr>
            <w:tcW w:w="1465" w:type="pct"/>
            <w:vAlign w:val="center"/>
          </w:tcPr>
          <w:p w14:paraId="53C98995">
            <w:pPr>
              <w:jc w:val="center"/>
              <w:rPr>
                <w:rFonts w:asciiTheme="minorEastAsia" w:hAnsiTheme="minorEastAsia" w:eastAsiaTheme="minorEastAsia"/>
                <w:sz w:val="24"/>
              </w:rPr>
            </w:pPr>
          </w:p>
        </w:tc>
        <w:tc>
          <w:tcPr>
            <w:tcW w:w="1511" w:type="pct"/>
            <w:vAlign w:val="center"/>
          </w:tcPr>
          <w:p w14:paraId="1A731486">
            <w:pPr>
              <w:jc w:val="center"/>
              <w:rPr>
                <w:rFonts w:asciiTheme="minorEastAsia" w:hAnsiTheme="minorEastAsia" w:eastAsiaTheme="minorEastAsia"/>
                <w:sz w:val="24"/>
              </w:rPr>
            </w:pPr>
          </w:p>
        </w:tc>
        <w:tc>
          <w:tcPr>
            <w:tcW w:w="475" w:type="pct"/>
            <w:vAlign w:val="center"/>
          </w:tcPr>
          <w:p w14:paraId="1DECB4F1">
            <w:pPr>
              <w:jc w:val="center"/>
              <w:rPr>
                <w:rFonts w:asciiTheme="minorEastAsia" w:hAnsiTheme="minorEastAsia" w:eastAsiaTheme="minorEastAsia"/>
                <w:sz w:val="24"/>
              </w:rPr>
            </w:pPr>
          </w:p>
        </w:tc>
      </w:tr>
      <w:tr w14:paraId="2339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D141544">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15900303">
            <w:pPr>
              <w:pStyle w:val="42"/>
            </w:pPr>
            <w:r>
              <w:rPr>
                <w:rFonts w:hint="eastAsia"/>
              </w:rPr>
              <w:t>免费服务期</w:t>
            </w:r>
          </w:p>
        </w:tc>
        <w:tc>
          <w:tcPr>
            <w:tcW w:w="1465" w:type="pct"/>
            <w:vAlign w:val="center"/>
          </w:tcPr>
          <w:p w14:paraId="4399CE24">
            <w:pPr>
              <w:jc w:val="center"/>
              <w:rPr>
                <w:rFonts w:asciiTheme="minorEastAsia" w:hAnsiTheme="minorEastAsia" w:eastAsiaTheme="minorEastAsia"/>
                <w:sz w:val="24"/>
              </w:rPr>
            </w:pPr>
          </w:p>
        </w:tc>
        <w:tc>
          <w:tcPr>
            <w:tcW w:w="1511" w:type="pct"/>
            <w:vAlign w:val="center"/>
          </w:tcPr>
          <w:p w14:paraId="18362106">
            <w:pPr>
              <w:pStyle w:val="50"/>
              <w:jc w:val="center"/>
              <w:rPr>
                <w:rFonts w:asciiTheme="minorEastAsia" w:hAnsiTheme="minorEastAsia" w:eastAsiaTheme="minorEastAsia"/>
              </w:rPr>
            </w:pPr>
          </w:p>
        </w:tc>
        <w:tc>
          <w:tcPr>
            <w:tcW w:w="475" w:type="pct"/>
            <w:vAlign w:val="center"/>
          </w:tcPr>
          <w:p w14:paraId="3BEAF6A6">
            <w:pPr>
              <w:jc w:val="center"/>
              <w:rPr>
                <w:rFonts w:asciiTheme="minorEastAsia" w:hAnsiTheme="minorEastAsia" w:eastAsiaTheme="minorEastAsia"/>
                <w:sz w:val="24"/>
              </w:rPr>
            </w:pPr>
          </w:p>
        </w:tc>
      </w:tr>
      <w:tr w14:paraId="1261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8FAF49B">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14:paraId="1501F5FE">
            <w:pPr>
              <w:jc w:val="center"/>
              <w:rPr>
                <w:rFonts w:asciiTheme="minorEastAsia" w:hAnsiTheme="minorEastAsia" w:eastAsiaTheme="minorEastAsia"/>
                <w:sz w:val="24"/>
              </w:rPr>
            </w:pPr>
          </w:p>
        </w:tc>
        <w:tc>
          <w:tcPr>
            <w:tcW w:w="1465" w:type="pct"/>
            <w:vAlign w:val="center"/>
          </w:tcPr>
          <w:p w14:paraId="419BB473">
            <w:pPr>
              <w:jc w:val="center"/>
              <w:rPr>
                <w:rFonts w:asciiTheme="minorEastAsia" w:hAnsiTheme="minorEastAsia" w:eastAsiaTheme="minorEastAsia"/>
                <w:sz w:val="24"/>
              </w:rPr>
            </w:pPr>
          </w:p>
        </w:tc>
        <w:tc>
          <w:tcPr>
            <w:tcW w:w="1511" w:type="pct"/>
            <w:vAlign w:val="center"/>
          </w:tcPr>
          <w:p w14:paraId="0BEBD269">
            <w:pPr>
              <w:jc w:val="center"/>
              <w:rPr>
                <w:rFonts w:asciiTheme="minorEastAsia" w:hAnsiTheme="minorEastAsia" w:eastAsiaTheme="minorEastAsia"/>
                <w:sz w:val="24"/>
              </w:rPr>
            </w:pPr>
          </w:p>
        </w:tc>
        <w:tc>
          <w:tcPr>
            <w:tcW w:w="475" w:type="pct"/>
            <w:vAlign w:val="center"/>
          </w:tcPr>
          <w:p w14:paraId="6040D39A">
            <w:pPr>
              <w:jc w:val="center"/>
              <w:rPr>
                <w:rFonts w:asciiTheme="minorEastAsia" w:hAnsiTheme="minorEastAsia" w:eastAsiaTheme="minorEastAsia"/>
                <w:sz w:val="24"/>
              </w:rPr>
            </w:pPr>
          </w:p>
        </w:tc>
      </w:tr>
      <w:tr w14:paraId="3B2F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C2D2344">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0EF65876">
            <w:pPr>
              <w:jc w:val="center"/>
              <w:rPr>
                <w:rFonts w:asciiTheme="minorEastAsia" w:hAnsiTheme="minorEastAsia" w:eastAsiaTheme="minorEastAsia"/>
                <w:sz w:val="24"/>
              </w:rPr>
            </w:pPr>
          </w:p>
        </w:tc>
        <w:tc>
          <w:tcPr>
            <w:tcW w:w="1465" w:type="pct"/>
            <w:vAlign w:val="center"/>
          </w:tcPr>
          <w:p w14:paraId="11C84264">
            <w:pPr>
              <w:jc w:val="center"/>
              <w:rPr>
                <w:rFonts w:asciiTheme="minorEastAsia" w:hAnsiTheme="minorEastAsia" w:eastAsiaTheme="minorEastAsia"/>
                <w:sz w:val="24"/>
              </w:rPr>
            </w:pPr>
          </w:p>
        </w:tc>
        <w:tc>
          <w:tcPr>
            <w:tcW w:w="1511" w:type="pct"/>
            <w:vAlign w:val="center"/>
          </w:tcPr>
          <w:p w14:paraId="2EAF9674">
            <w:pPr>
              <w:jc w:val="center"/>
              <w:rPr>
                <w:rFonts w:asciiTheme="minorEastAsia" w:hAnsiTheme="minorEastAsia" w:eastAsiaTheme="minorEastAsia"/>
                <w:sz w:val="24"/>
              </w:rPr>
            </w:pPr>
          </w:p>
        </w:tc>
        <w:tc>
          <w:tcPr>
            <w:tcW w:w="475" w:type="pct"/>
            <w:vAlign w:val="center"/>
          </w:tcPr>
          <w:p w14:paraId="7F96DFC3">
            <w:pPr>
              <w:jc w:val="center"/>
              <w:rPr>
                <w:rFonts w:asciiTheme="minorEastAsia" w:hAnsiTheme="minorEastAsia" w:eastAsiaTheme="minorEastAsia"/>
                <w:sz w:val="24"/>
              </w:rPr>
            </w:pPr>
          </w:p>
        </w:tc>
      </w:tr>
    </w:tbl>
    <w:p w14:paraId="286C7F7C">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04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67ED338">
            <w:pPr>
              <w:pStyle w:val="14"/>
              <w:jc w:val="center"/>
              <w:rPr>
                <w:rFonts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14:paraId="3F77CF9D">
            <w:pPr>
              <w:pStyle w:val="14"/>
              <w:jc w:val="center"/>
              <w:rPr>
                <w:rFonts w:cs="Wingdings" w:asciiTheme="minorEastAsia" w:hAnsiTheme="minorEastAsia"/>
                <w:b/>
                <w:sz w:val="24"/>
              </w:rPr>
            </w:pPr>
            <w:r>
              <w:rPr>
                <w:rFonts w:hint="eastAsia" w:asciiTheme="minorEastAsia" w:hAnsiTheme="minorEastAsia"/>
                <w:b/>
                <w:bCs/>
                <w:sz w:val="24"/>
                <w:szCs w:val="24"/>
              </w:rPr>
              <w:t>货物名称</w:t>
            </w:r>
          </w:p>
        </w:tc>
        <w:tc>
          <w:tcPr>
            <w:tcW w:w="1680" w:type="pct"/>
            <w:vAlign w:val="center"/>
          </w:tcPr>
          <w:p w14:paraId="23074333">
            <w:pPr>
              <w:pStyle w:val="14"/>
              <w:jc w:val="center"/>
              <w:rPr>
                <w:rFonts w:cs="Wingdings" w:asciiTheme="minorEastAsia" w:hAnsiTheme="minorEastAsia"/>
                <w:b/>
                <w:sz w:val="24"/>
              </w:rPr>
            </w:pPr>
            <w:r>
              <w:rPr>
                <w:rFonts w:hint="eastAsia" w:cs="Wingdings" w:asciiTheme="minorEastAsia" w:hAnsiTheme="minorEastAsia"/>
                <w:b/>
                <w:sz w:val="24"/>
              </w:rPr>
              <w:t>比选文件规定的技术参数要求</w:t>
            </w:r>
          </w:p>
        </w:tc>
        <w:tc>
          <w:tcPr>
            <w:tcW w:w="1456" w:type="pct"/>
            <w:vAlign w:val="center"/>
          </w:tcPr>
          <w:p w14:paraId="7571A274">
            <w:pPr>
              <w:pStyle w:val="14"/>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502" w:type="pct"/>
            <w:vAlign w:val="center"/>
          </w:tcPr>
          <w:p w14:paraId="0A0CDACD">
            <w:pPr>
              <w:pStyle w:val="14"/>
              <w:jc w:val="center"/>
              <w:rPr>
                <w:rFonts w:cs="Wingdings" w:asciiTheme="minorEastAsia" w:hAnsiTheme="minorEastAsia"/>
                <w:b/>
                <w:sz w:val="24"/>
              </w:rPr>
            </w:pPr>
            <w:r>
              <w:rPr>
                <w:rFonts w:hint="eastAsia" w:cs="Wingdings" w:asciiTheme="minorEastAsia" w:hAnsiTheme="minorEastAsia"/>
                <w:b/>
                <w:sz w:val="24"/>
              </w:rPr>
              <w:t>偏离说明</w:t>
            </w:r>
          </w:p>
        </w:tc>
      </w:tr>
      <w:tr w14:paraId="7469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861224C">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21CF6D93">
            <w:pPr>
              <w:jc w:val="center"/>
              <w:rPr>
                <w:rFonts w:asciiTheme="minorEastAsia" w:hAnsiTheme="minorEastAsia" w:eastAsiaTheme="minorEastAsia"/>
                <w:sz w:val="24"/>
              </w:rPr>
            </w:pPr>
          </w:p>
        </w:tc>
        <w:tc>
          <w:tcPr>
            <w:tcW w:w="1680" w:type="pct"/>
            <w:vAlign w:val="center"/>
          </w:tcPr>
          <w:p w14:paraId="7326A6B7">
            <w:pPr>
              <w:jc w:val="center"/>
              <w:rPr>
                <w:rFonts w:asciiTheme="minorEastAsia" w:hAnsiTheme="minorEastAsia" w:eastAsiaTheme="minorEastAsia"/>
                <w:sz w:val="24"/>
              </w:rPr>
            </w:pPr>
          </w:p>
        </w:tc>
        <w:tc>
          <w:tcPr>
            <w:tcW w:w="1456" w:type="pct"/>
            <w:vAlign w:val="center"/>
          </w:tcPr>
          <w:p w14:paraId="78F923AD">
            <w:pPr>
              <w:jc w:val="center"/>
              <w:rPr>
                <w:rFonts w:asciiTheme="minorEastAsia" w:hAnsiTheme="minorEastAsia" w:eastAsiaTheme="minorEastAsia"/>
                <w:sz w:val="24"/>
              </w:rPr>
            </w:pPr>
          </w:p>
        </w:tc>
        <w:tc>
          <w:tcPr>
            <w:tcW w:w="502" w:type="pct"/>
            <w:vAlign w:val="center"/>
          </w:tcPr>
          <w:p w14:paraId="6C437AAE">
            <w:pPr>
              <w:jc w:val="center"/>
              <w:rPr>
                <w:rFonts w:asciiTheme="minorEastAsia" w:hAnsiTheme="minorEastAsia" w:eastAsiaTheme="minorEastAsia"/>
                <w:sz w:val="24"/>
              </w:rPr>
            </w:pPr>
          </w:p>
        </w:tc>
      </w:tr>
      <w:tr w14:paraId="600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A35AD0">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42FB9CDD">
            <w:pPr>
              <w:jc w:val="center"/>
              <w:rPr>
                <w:rFonts w:asciiTheme="minorEastAsia" w:hAnsiTheme="minorEastAsia" w:eastAsiaTheme="minorEastAsia"/>
                <w:sz w:val="24"/>
              </w:rPr>
            </w:pPr>
          </w:p>
        </w:tc>
        <w:tc>
          <w:tcPr>
            <w:tcW w:w="1680" w:type="pct"/>
            <w:vAlign w:val="center"/>
          </w:tcPr>
          <w:p w14:paraId="481D1512">
            <w:pPr>
              <w:jc w:val="center"/>
              <w:rPr>
                <w:rFonts w:asciiTheme="minorEastAsia" w:hAnsiTheme="minorEastAsia" w:eastAsiaTheme="minorEastAsia"/>
                <w:sz w:val="24"/>
              </w:rPr>
            </w:pPr>
          </w:p>
        </w:tc>
        <w:tc>
          <w:tcPr>
            <w:tcW w:w="1456" w:type="pct"/>
            <w:vAlign w:val="center"/>
          </w:tcPr>
          <w:p w14:paraId="1E1ABE6E">
            <w:pPr>
              <w:jc w:val="center"/>
              <w:rPr>
                <w:rFonts w:asciiTheme="minorEastAsia" w:hAnsiTheme="minorEastAsia" w:eastAsiaTheme="minorEastAsia"/>
                <w:sz w:val="24"/>
              </w:rPr>
            </w:pPr>
          </w:p>
        </w:tc>
        <w:tc>
          <w:tcPr>
            <w:tcW w:w="502" w:type="pct"/>
            <w:vAlign w:val="center"/>
          </w:tcPr>
          <w:p w14:paraId="02DEF638">
            <w:pPr>
              <w:jc w:val="center"/>
              <w:rPr>
                <w:rFonts w:asciiTheme="minorEastAsia" w:hAnsiTheme="minorEastAsia" w:eastAsiaTheme="minorEastAsia"/>
                <w:sz w:val="24"/>
              </w:rPr>
            </w:pPr>
          </w:p>
        </w:tc>
      </w:tr>
      <w:tr w14:paraId="6F71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BDF8051">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5E865776">
            <w:pPr>
              <w:jc w:val="center"/>
              <w:rPr>
                <w:rFonts w:asciiTheme="minorEastAsia" w:hAnsiTheme="minorEastAsia" w:eastAsiaTheme="minorEastAsia"/>
                <w:sz w:val="24"/>
              </w:rPr>
            </w:pPr>
          </w:p>
        </w:tc>
        <w:tc>
          <w:tcPr>
            <w:tcW w:w="1680" w:type="pct"/>
            <w:vAlign w:val="center"/>
          </w:tcPr>
          <w:p w14:paraId="26473F7A">
            <w:pPr>
              <w:jc w:val="center"/>
              <w:rPr>
                <w:rFonts w:asciiTheme="minorEastAsia" w:hAnsiTheme="minorEastAsia" w:eastAsiaTheme="minorEastAsia"/>
                <w:sz w:val="24"/>
              </w:rPr>
            </w:pPr>
          </w:p>
        </w:tc>
        <w:tc>
          <w:tcPr>
            <w:tcW w:w="1456" w:type="pct"/>
            <w:vAlign w:val="center"/>
          </w:tcPr>
          <w:p w14:paraId="19C02EC3">
            <w:pPr>
              <w:pStyle w:val="50"/>
              <w:jc w:val="center"/>
              <w:rPr>
                <w:rFonts w:asciiTheme="minorEastAsia" w:hAnsiTheme="minorEastAsia" w:eastAsiaTheme="minorEastAsia"/>
              </w:rPr>
            </w:pPr>
          </w:p>
        </w:tc>
        <w:tc>
          <w:tcPr>
            <w:tcW w:w="502" w:type="pct"/>
            <w:vAlign w:val="center"/>
          </w:tcPr>
          <w:p w14:paraId="0994DE6B">
            <w:pPr>
              <w:jc w:val="center"/>
              <w:rPr>
                <w:rFonts w:asciiTheme="minorEastAsia" w:hAnsiTheme="minorEastAsia" w:eastAsiaTheme="minorEastAsia"/>
                <w:sz w:val="24"/>
              </w:rPr>
            </w:pPr>
          </w:p>
        </w:tc>
      </w:tr>
      <w:tr w14:paraId="0174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53C3389">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7D645986">
            <w:pPr>
              <w:jc w:val="center"/>
              <w:rPr>
                <w:rFonts w:asciiTheme="minorEastAsia" w:hAnsiTheme="minorEastAsia" w:eastAsiaTheme="minorEastAsia"/>
                <w:sz w:val="24"/>
              </w:rPr>
            </w:pPr>
          </w:p>
        </w:tc>
        <w:tc>
          <w:tcPr>
            <w:tcW w:w="1680" w:type="pct"/>
            <w:vAlign w:val="center"/>
          </w:tcPr>
          <w:p w14:paraId="0DFA7F5B">
            <w:pPr>
              <w:jc w:val="center"/>
              <w:rPr>
                <w:rFonts w:asciiTheme="minorEastAsia" w:hAnsiTheme="minorEastAsia" w:eastAsiaTheme="minorEastAsia"/>
                <w:sz w:val="24"/>
              </w:rPr>
            </w:pPr>
          </w:p>
        </w:tc>
        <w:tc>
          <w:tcPr>
            <w:tcW w:w="1456" w:type="pct"/>
            <w:vAlign w:val="center"/>
          </w:tcPr>
          <w:p w14:paraId="6026D25D">
            <w:pPr>
              <w:pStyle w:val="50"/>
              <w:jc w:val="center"/>
              <w:rPr>
                <w:rFonts w:asciiTheme="minorEastAsia" w:hAnsiTheme="minorEastAsia" w:eastAsiaTheme="minorEastAsia"/>
              </w:rPr>
            </w:pPr>
          </w:p>
        </w:tc>
        <w:tc>
          <w:tcPr>
            <w:tcW w:w="502" w:type="pct"/>
            <w:vAlign w:val="center"/>
          </w:tcPr>
          <w:p w14:paraId="17B82B90">
            <w:pPr>
              <w:jc w:val="center"/>
              <w:rPr>
                <w:rFonts w:asciiTheme="minorEastAsia" w:hAnsiTheme="minorEastAsia" w:eastAsiaTheme="minorEastAsia"/>
                <w:sz w:val="24"/>
              </w:rPr>
            </w:pPr>
          </w:p>
        </w:tc>
      </w:tr>
      <w:tr w14:paraId="16C2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75FE5A">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14:paraId="3D6021E0">
            <w:pPr>
              <w:jc w:val="center"/>
              <w:rPr>
                <w:rFonts w:asciiTheme="minorEastAsia" w:hAnsiTheme="minorEastAsia" w:eastAsiaTheme="minorEastAsia"/>
                <w:sz w:val="24"/>
              </w:rPr>
            </w:pPr>
          </w:p>
        </w:tc>
        <w:tc>
          <w:tcPr>
            <w:tcW w:w="1680" w:type="pct"/>
            <w:vAlign w:val="center"/>
          </w:tcPr>
          <w:p w14:paraId="111989C9">
            <w:pPr>
              <w:jc w:val="center"/>
              <w:rPr>
                <w:rFonts w:asciiTheme="minorEastAsia" w:hAnsiTheme="minorEastAsia" w:eastAsiaTheme="minorEastAsia"/>
                <w:sz w:val="24"/>
              </w:rPr>
            </w:pPr>
          </w:p>
        </w:tc>
        <w:tc>
          <w:tcPr>
            <w:tcW w:w="1456" w:type="pct"/>
            <w:vAlign w:val="center"/>
          </w:tcPr>
          <w:p w14:paraId="5113FE26">
            <w:pPr>
              <w:jc w:val="center"/>
              <w:rPr>
                <w:rFonts w:asciiTheme="minorEastAsia" w:hAnsiTheme="minorEastAsia" w:eastAsiaTheme="minorEastAsia"/>
                <w:sz w:val="24"/>
              </w:rPr>
            </w:pPr>
          </w:p>
        </w:tc>
        <w:tc>
          <w:tcPr>
            <w:tcW w:w="502" w:type="pct"/>
            <w:vAlign w:val="center"/>
          </w:tcPr>
          <w:p w14:paraId="6997C42D">
            <w:pPr>
              <w:jc w:val="center"/>
              <w:rPr>
                <w:rFonts w:asciiTheme="minorEastAsia" w:hAnsiTheme="minorEastAsia" w:eastAsiaTheme="minorEastAsia"/>
                <w:sz w:val="24"/>
              </w:rPr>
            </w:pPr>
          </w:p>
        </w:tc>
      </w:tr>
    </w:tbl>
    <w:p w14:paraId="69C289DA">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14:paraId="0036F503">
      <w:pPr>
        <w:numPr>
          <w:ilvl w:val="0"/>
          <w:numId w:val="4"/>
        </w:num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投标人保证：投标人按照比选文件“第三章 招标人要求”逐一列出商务以及技术响应列表。</w:t>
      </w:r>
    </w:p>
    <w:p w14:paraId="5215C910">
      <w:pPr>
        <w:numPr>
          <w:ilvl w:val="0"/>
          <w:numId w:val="4"/>
        </w:num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5426051F">
      <w:pPr>
        <w:spacing w:line="360" w:lineRule="auto"/>
        <w:outlineLvl w:val="2"/>
        <w:rPr>
          <w:rFonts w:asciiTheme="minorEastAsia" w:hAnsiTheme="minorEastAsia" w:eastAsiaTheme="minorEastAsia"/>
          <w:sz w:val="24"/>
        </w:rPr>
      </w:pPr>
    </w:p>
    <w:p w14:paraId="640011E1">
      <w:pPr>
        <w:spacing w:line="360" w:lineRule="auto"/>
        <w:ind w:firstLine="3840" w:firstLineChars="1600"/>
        <w:rPr>
          <w:rFonts w:cs="宋体"/>
          <w:sz w:val="24"/>
          <w:szCs w:val="24"/>
        </w:rPr>
      </w:pPr>
      <w:r>
        <w:rPr>
          <w:rFonts w:hint="eastAsia" w:cs="宋体" w:asciiTheme="minorEastAsia" w:hAnsiTheme="minorEastAsia" w:eastAsiaTheme="minorEastAsia"/>
          <w:sz w:val="24"/>
          <w:szCs w:val="24"/>
        </w:rPr>
        <w:t>投标人电子签章或公章：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31808C23">
      <w:pPr>
        <w:spacing w:line="360" w:lineRule="auto"/>
        <w:ind w:firstLine="3840" w:firstLineChars="1600"/>
        <w:rPr>
          <w:rFonts w:cs="宋体"/>
          <w:sz w:val="24"/>
          <w:szCs w:val="24"/>
        </w:rPr>
      </w:pPr>
      <w:r>
        <w:rPr>
          <w:rFonts w:hint="eastAsia" w:cs="宋体" w:asciiTheme="minorEastAsia" w:hAnsiTheme="minorEastAsia" w:eastAsiaTheme="minorEastAsia"/>
          <w:sz w:val="24"/>
          <w:szCs w:val="24"/>
        </w:rPr>
        <w:t>日          期：</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0FB84FE5">
      <w:pPr>
        <w:pStyle w:val="15"/>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25A52F1B">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三</w:t>
      </w:r>
      <w:r>
        <w:rPr>
          <w:rFonts w:hint="eastAsia" w:asciiTheme="minorEastAsia" w:hAnsiTheme="minorEastAsia" w:eastAsiaTheme="minorEastAsia"/>
          <w:b/>
          <w:sz w:val="24"/>
        </w:rPr>
        <w:t>、服务方案</w:t>
      </w:r>
    </w:p>
    <w:p w14:paraId="76BADE6C">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投标人</w:t>
      </w:r>
      <w:r>
        <w:rPr>
          <w:rFonts w:asciiTheme="minorEastAsia" w:hAnsiTheme="minorEastAsia" w:eastAsiaTheme="minorEastAsia"/>
          <w:i/>
          <w:sz w:val="24"/>
        </w:rPr>
        <w:t>可自行制作格式)</w:t>
      </w:r>
    </w:p>
    <w:p w14:paraId="7E54D77B">
      <w:pPr>
        <w:pStyle w:val="9"/>
        <w:rPr>
          <w:rFonts w:asciiTheme="minorEastAsia" w:hAnsiTheme="minorEastAsia" w:eastAsiaTheme="minorEastAsia"/>
          <w:i/>
          <w:sz w:val="24"/>
        </w:rPr>
      </w:pPr>
    </w:p>
    <w:p w14:paraId="203A0DFA">
      <w:pPr>
        <w:rPr>
          <w:rFonts w:asciiTheme="minorEastAsia" w:hAnsiTheme="minorEastAsia" w:eastAsiaTheme="minorEastAsia"/>
          <w:i/>
          <w:sz w:val="24"/>
        </w:rPr>
      </w:pPr>
    </w:p>
    <w:p w14:paraId="4AEEA420">
      <w:pPr>
        <w:pStyle w:val="9"/>
        <w:rPr>
          <w:rFonts w:asciiTheme="minorEastAsia" w:hAnsiTheme="minorEastAsia" w:eastAsiaTheme="minorEastAsia"/>
          <w:i/>
          <w:sz w:val="24"/>
        </w:rPr>
      </w:pPr>
    </w:p>
    <w:p w14:paraId="03A269A7">
      <w:pPr>
        <w:jc w:val="center"/>
        <w:rPr>
          <w:rFonts w:hint="eastAsia" w:asciiTheme="minorEastAsia" w:hAnsiTheme="minorEastAsia" w:eastAsiaTheme="minorEastAsia"/>
          <w:b/>
          <w:sz w:val="24"/>
          <w:lang w:val="en-US" w:eastAsia="zh-CN"/>
        </w:rPr>
      </w:pPr>
    </w:p>
    <w:p w14:paraId="6DD2B0B0">
      <w:pPr>
        <w:jc w:val="center"/>
        <w:rPr>
          <w:rFonts w:hint="eastAsia" w:asciiTheme="minorEastAsia" w:hAnsiTheme="minorEastAsia" w:eastAsiaTheme="minorEastAsia"/>
          <w:b/>
          <w:sz w:val="24"/>
          <w:lang w:val="en-US" w:eastAsia="zh-CN"/>
        </w:rPr>
      </w:pPr>
    </w:p>
    <w:p w14:paraId="3BD156F1">
      <w:pPr>
        <w:jc w:val="center"/>
        <w:rPr>
          <w:rFonts w:hint="eastAsia" w:asciiTheme="minorEastAsia" w:hAnsiTheme="minorEastAsia" w:eastAsiaTheme="minorEastAsia"/>
          <w:b/>
          <w:sz w:val="24"/>
          <w:lang w:val="en-US" w:eastAsia="zh-CN"/>
        </w:rPr>
      </w:pPr>
    </w:p>
    <w:p w14:paraId="28129B7E">
      <w:pPr>
        <w:jc w:val="center"/>
        <w:rPr>
          <w:rFonts w:hint="eastAsia" w:asciiTheme="minorEastAsia" w:hAnsiTheme="minorEastAsia" w:eastAsiaTheme="minorEastAsia"/>
          <w:b/>
          <w:sz w:val="24"/>
          <w:lang w:val="en-US" w:eastAsia="zh-CN"/>
        </w:rPr>
      </w:pPr>
    </w:p>
    <w:p w14:paraId="4CC05951">
      <w:pPr>
        <w:jc w:val="center"/>
        <w:rPr>
          <w:rFonts w:hint="eastAsia" w:asciiTheme="minorEastAsia" w:hAnsiTheme="minorEastAsia" w:eastAsiaTheme="minorEastAsia"/>
          <w:b/>
          <w:sz w:val="24"/>
          <w:lang w:val="en-US" w:eastAsia="zh-CN"/>
        </w:rPr>
      </w:pPr>
    </w:p>
    <w:p w14:paraId="21847DC1">
      <w:pPr>
        <w:jc w:val="center"/>
        <w:rPr>
          <w:rFonts w:hint="eastAsia" w:asciiTheme="minorEastAsia" w:hAnsiTheme="minorEastAsia" w:eastAsiaTheme="minorEastAsia"/>
          <w:b/>
          <w:sz w:val="24"/>
          <w:lang w:val="en-US" w:eastAsia="zh-CN"/>
        </w:rPr>
      </w:pPr>
    </w:p>
    <w:p w14:paraId="0ED88F36">
      <w:pPr>
        <w:jc w:val="center"/>
        <w:rPr>
          <w:rFonts w:hint="eastAsia" w:asciiTheme="minorEastAsia" w:hAnsiTheme="minorEastAsia" w:eastAsiaTheme="minorEastAsia"/>
          <w:b/>
          <w:sz w:val="24"/>
          <w:lang w:val="en-US" w:eastAsia="zh-CN"/>
        </w:rPr>
      </w:pPr>
    </w:p>
    <w:p w14:paraId="00DE347D">
      <w:pPr>
        <w:jc w:val="center"/>
        <w:rPr>
          <w:rFonts w:hint="eastAsia" w:asciiTheme="minorEastAsia" w:hAnsiTheme="minorEastAsia" w:eastAsiaTheme="minorEastAsia"/>
          <w:b/>
          <w:sz w:val="24"/>
          <w:lang w:val="en-US" w:eastAsia="zh-CN"/>
        </w:rPr>
      </w:pPr>
    </w:p>
    <w:p w14:paraId="2F1BAE80">
      <w:pPr>
        <w:jc w:val="center"/>
        <w:rPr>
          <w:rFonts w:hint="eastAsia" w:asciiTheme="minorEastAsia" w:hAnsiTheme="minorEastAsia" w:eastAsiaTheme="minorEastAsia"/>
          <w:b/>
          <w:sz w:val="24"/>
          <w:lang w:val="en-US" w:eastAsia="zh-CN"/>
        </w:rPr>
      </w:pPr>
    </w:p>
    <w:p w14:paraId="49F5934B">
      <w:pPr>
        <w:jc w:val="center"/>
        <w:rPr>
          <w:rFonts w:hint="eastAsia" w:asciiTheme="minorEastAsia" w:hAnsiTheme="minorEastAsia" w:eastAsiaTheme="minorEastAsia"/>
          <w:b/>
          <w:sz w:val="24"/>
          <w:lang w:val="en-US" w:eastAsia="zh-CN"/>
        </w:rPr>
      </w:pPr>
    </w:p>
    <w:p w14:paraId="047C56A7">
      <w:pPr>
        <w:jc w:val="center"/>
        <w:rPr>
          <w:rFonts w:hint="eastAsia" w:asciiTheme="minorEastAsia" w:hAnsiTheme="minorEastAsia" w:eastAsiaTheme="minorEastAsia"/>
          <w:b/>
          <w:sz w:val="24"/>
          <w:lang w:val="en-US" w:eastAsia="zh-CN"/>
        </w:rPr>
      </w:pPr>
    </w:p>
    <w:p w14:paraId="700E5831">
      <w:pPr>
        <w:jc w:val="center"/>
        <w:rPr>
          <w:rFonts w:hint="eastAsia" w:asciiTheme="minorEastAsia" w:hAnsiTheme="minorEastAsia" w:eastAsiaTheme="minorEastAsia"/>
          <w:b/>
          <w:sz w:val="24"/>
          <w:lang w:val="en-US" w:eastAsia="zh-CN"/>
        </w:rPr>
      </w:pPr>
    </w:p>
    <w:p w14:paraId="28607176">
      <w:pPr>
        <w:jc w:val="center"/>
        <w:rPr>
          <w:rFonts w:hint="eastAsia" w:asciiTheme="minorEastAsia" w:hAnsiTheme="minorEastAsia" w:eastAsiaTheme="minorEastAsia"/>
          <w:b/>
          <w:sz w:val="24"/>
          <w:lang w:val="en-US" w:eastAsia="zh-CN"/>
        </w:rPr>
      </w:pPr>
    </w:p>
    <w:p w14:paraId="599AA70A">
      <w:pPr>
        <w:jc w:val="center"/>
        <w:rPr>
          <w:rFonts w:hint="eastAsia" w:asciiTheme="minorEastAsia" w:hAnsiTheme="minorEastAsia" w:eastAsiaTheme="minorEastAsia"/>
          <w:b/>
          <w:sz w:val="24"/>
          <w:lang w:val="en-US" w:eastAsia="zh-CN"/>
        </w:rPr>
      </w:pPr>
    </w:p>
    <w:p w14:paraId="52A4944C">
      <w:pPr>
        <w:jc w:val="center"/>
        <w:rPr>
          <w:rFonts w:hint="eastAsia" w:asciiTheme="minorEastAsia" w:hAnsiTheme="minorEastAsia" w:eastAsiaTheme="minorEastAsia"/>
          <w:b/>
          <w:sz w:val="24"/>
          <w:lang w:val="en-US" w:eastAsia="zh-CN"/>
        </w:rPr>
      </w:pPr>
    </w:p>
    <w:p w14:paraId="3EBAE7CE">
      <w:pPr>
        <w:jc w:val="center"/>
        <w:rPr>
          <w:rFonts w:hint="eastAsia" w:asciiTheme="minorEastAsia" w:hAnsiTheme="minorEastAsia" w:eastAsiaTheme="minorEastAsia"/>
          <w:b/>
          <w:sz w:val="24"/>
          <w:lang w:val="en-US" w:eastAsia="zh-CN"/>
        </w:rPr>
      </w:pPr>
    </w:p>
    <w:p w14:paraId="30821812">
      <w:pPr>
        <w:jc w:val="center"/>
        <w:rPr>
          <w:rFonts w:hint="eastAsia" w:asciiTheme="minorEastAsia" w:hAnsiTheme="minorEastAsia" w:eastAsiaTheme="minorEastAsia"/>
          <w:b/>
          <w:sz w:val="24"/>
          <w:lang w:val="en-US" w:eastAsia="zh-CN"/>
        </w:rPr>
      </w:pPr>
    </w:p>
    <w:p w14:paraId="52F24A39">
      <w:pPr>
        <w:jc w:val="center"/>
        <w:rPr>
          <w:rFonts w:hint="eastAsia" w:asciiTheme="minorEastAsia" w:hAnsiTheme="minorEastAsia" w:eastAsiaTheme="minorEastAsia"/>
          <w:b/>
          <w:sz w:val="24"/>
          <w:lang w:val="en-US" w:eastAsia="zh-CN"/>
        </w:rPr>
      </w:pPr>
    </w:p>
    <w:p w14:paraId="6187F3EC">
      <w:pPr>
        <w:jc w:val="center"/>
        <w:rPr>
          <w:rFonts w:hint="eastAsia" w:asciiTheme="minorEastAsia" w:hAnsiTheme="minorEastAsia" w:eastAsiaTheme="minorEastAsia"/>
          <w:b/>
          <w:sz w:val="24"/>
          <w:lang w:val="en-US" w:eastAsia="zh-CN"/>
        </w:rPr>
      </w:pPr>
    </w:p>
    <w:p w14:paraId="530400B0">
      <w:pPr>
        <w:jc w:val="center"/>
        <w:rPr>
          <w:rFonts w:hint="eastAsia" w:asciiTheme="minorEastAsia" w:hAnsiTheme="minorEastAsia" w:eastAsiaTheme="minorEastAsia"/>
          <w:b/>
          <w:sz w:val="24"/>
          <w:lang w:val="en-US" w:eastAsia="zh-CN"/>
        </w:rPr>
      </w:pPr>
    </w:p>
    <w:p w14:paraId="4B612F8C">
      <w:pPr>
        <w:jc w:val="center"/>
        <w:rPr>
          <w:rFonts w:hint="eastAsia" w:asciiTheme="minorEastAsia" w:hAnsiTheme="minorEastAsia" w:eastAsiaTheme="minorEastAsia"/>
          <w:b/>
          <w:sz w:val="24"/>
          <w:lang w:val="en-US" w:eastAsia="zh-CN"/>
        </w:rPr>
      </w:pPr>
    </w:p>
    <w:p w14:paraId="2224F13F">
      <w:pPr>
        <w:jc w:val="center"/>
        <w:rPr>
          <w:rFonts w:hint="eastAsia" w:asciiTheme="minorEastAsia" w:hAnsiTheme="minorEastAsia" w:eastAsiaTheme="minorEastAsia"/>
          <w:b/>
          <w:sz w:val="24"/>
          <w:lang w:val="en-US" w:eastAsia="zh-CN"/>
        </w:rPr>
      </w:pPr>
    </w:p>
    <w:p w14:paraId="70B04099">
      <w:pPr>
        <w:jc w:val="center"/>
        <w:rPr>
          <w:rFonts w:hint="eastAsia" w:asciiTheme="minorEastAsia" w:hAnsiTheme="minorEastAsia" w:eastAsiaTheme="minorEastAsia"/>
          <w:b/>
          <w:sz w:val="24"/>
          <w:lang w:val="en-US" w:eastAsia="zh-CN"/>
        </w:rPr>
      </w:pPr>
    </w:p>
    <w:p w14:paraId="3C2FC420">
      <w:pPr>
        <w:jc w:val="center"/>
        <w:rPr>
          <w:rFonts w:hint="eastAsia" w:asciiTheme="minorEastAsia" w:hAnsiTheme="minorEastAsia" w:eastAsiaTheme="minorEastAsia"/>
          <w:b/>
          <w:sz w:val="24"/>
          <w:lang w:val="en-US" w:eastAsia="zh-CN"/>
        </w:rPr>
      </w:pPr>
    </w:p>
    <w:p w14:paraId="1566E152">
      <w:pPr>
        <w:jc w:val="center"/>
        <w:rPr>
          <w:rFonts w:hint="eastAsia" w:asciiTheme="minorEastAsia" w:hAnsiTheme="minorEastAsia" w:eastAsiaTheme="minorEastAsia"/>
          <w:b/>
          <w:sz w:val="24"/>
          <w:lang w:val="en-US" w:eastAsia="zh-CN"/>
        </w:rPr>
      </w:pPr>
    </w:p>
    <w:p w14:paraId="7C5C5FE4">
      <w:pPr>
        <w:jc w:val="center"/>
        <w:rPr>
          <w:rFonts w:hint="eastAsia" w:asciiTheme="minorEastAsia" w:hAnsiTheme="minorEastAsia" w:eastAsiaTheme="minorEastAsia"/>
          <w:b/>
          <w:sz w:val="24"/>
          <w:lang w:val="en-US" w:eastAsia="zh-CN"/>
        </w:rPr>
      </w:pPr>
    </w:p>
    <w:p w14:paraId="7B90FAC2">
      <w:pPr>
        <w:jc w:val="center"/>
        <w:rPr>
          <w:rFonts w:hint="eastAsia" w:asciiTheme="minorEastAsia" w:hAnsiTheme="minorEastAsia" w:eastAsiaTheme="minorEastAsia"/>
          <w:b/>
          <w:sz w:val="24"/>
          <w:lang w:val="en-US" w:eastAsia="zh-CN"/>
        </w:rPr>
      </w:pPr>
    </w:p>
    <w:p w14:paraId="310025A0">
      <w:pPr>
        <w:jc w:val="center"/>
        <w:rPr>
          <w:rFonts w:hint="eastAsia" w:asciiTheme="minorEastAsia" w:hAnsiTheme="minorEastAsia" w:eastAsiaTheme="minorEastAsia"/>
          <w:b/>
          <w:sz w:val="24"/>
          <w:lang w:val="en-US" w:eastAsia="zh-CN"/>
        </w:rPr>
      </w:pPr>
    </w:p>
    <w:p w14:paraId="6FC682CF">
      <w:pPr>
        <w:jc w:val="center"/>
        <w:rPr>
          <w:rFonts w:hint="eastAsia" w:asciiTheme="minorEastAsia" w:hAnsiTheme="minorEastAsia" w:eastAsiaTheme="minorEastAsia"/>
          <w:b/>
          <w:sz w:val="24"/>
          <w:lang w:val="en-US" w:eastAsia="zh-CN"/>
        </w:rPr>
      </w:pPr>
    </w:p>
    <w:p w14:paraId="152BD7BC">
      <w:pPr>
        <w:jc w:val="center"/>
        <w:rPr>
          <w:rFonts w:hint="eastAsia" w:asciiTheme="minorEastAsia" w:hAnsiTheme="minorEastAsia" w:eastAsiaTheme="minorEastAsia"/>
          <w:b/>
          <w:sz w:val="24"/>
          <w:lang w:val="en-US" w:eastAsia="zh-CN"/>
        </w:rPr>
      </w:pPr>
    </w:p>
    <w:p w14:paraId="786596B9">
      <w:pPr>
        <w:jc w:val="center"/>
        <w:rPr>
          <w:rFonts w:hint="eastAsia" w:asciiTheme="minorEastAsia" w:hAnsiTheme="minorEastAsia" w:eastAsiaTheme="minorEastAsia"/>
          <w:b/>
          <w:sz w:val="24"/>
          <w:lang w:val="en-US" w:eastAsia="zh-CN"/>
        </w:rPr>
      </w:pPr>
    </w:p>
    <w:p w14:paraId="02CC1CE3">
      <w:pPr>
        <w:jc w:val="center"/>
        <w:rPr>
          <w:rFonts w:hint="eastAsia" w:asciiTheme="minorEastAsia" w:hAnsiTheme="minorEastAsia" w:eastAsiaTheme="minorEastAsia"/>
          <w:b/>
          <w:sz w:val="24"/>
          <w:lang w:val="en-US" w:eastAsia="zh-CN"/>
        </w:rPr>
      </w:pPr>
    </w:p>
    <w:p w14:paraId="69E8EF69">
      <w:pPr>
        <w:jc w:val="center"/>
        <w:rPr>
          <w:rFonts w:hint="eastAsia" w:asciiTheme="minorEastAsia" w:hAnsiTheme="minorEastAsia" w:eastAsiaTheme="minorEastAsia"/>
          <w:b/>
          <w:sz w:val="24"/>
          <w:lang w:val="en-US" w:eastAsia="zh-CN"/>
        </w:rPr>
      </w:pPr>
    </w:p>
    <w:p w14:paraId="0A7C57E7">
      <w:pPr>
        <w:jc w:val="center"/>
        <w:rPr>
          <w:rFonts w:ascii="宋体" w:hAnsi="宋体" w:eastAsia="宋体"/>
          <w:b/>
          <w:sz w:val="28"/>
          <w:szCs w:val="28"/>
          <w:u w:val="single"/>
        </w:rPr>
      </w:pPr>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w:t>
      </w:r>
      <w:r>
        <w:rPr>
          <w:rFonts w:hint="eastAsia" w:ascii="宋体" w:hAnsi="宋体" w:eastAsia="宋体"/>
          <w:b/>
          <w:sz w:val="24"/>
          <w:u w:val="single"/>
        </w:rPr>
        <w:t>股权结构说明书</w:t>
      </w:r>
    </w:p>
    <w:p w14:paraId="0119E2D8">
      <w:pPr>
        <w:rPr>
          <w:rFonts w:ascii="宋体" w:hAnsi="宋体" w:eastAsia="宋体"/>
        </w:rPr>
      </w:pPr>
    </w:p>
    <w:p w14:paraId="31809E29">
      <w:pPr>
        <w:spacing w:line="720" w:lineRule="exact"/>
        <w:rPr>
          <w:rFonts w:ascii="宋体" w:hAnsi="宋体" w:eastAsia="宋体"/>
          <w:sz w:val="24"/>
        </w:rPr>
      </w:pPr>
      <w:r>
        <w:rPr>
          <w:rFonts w:hint="eastAsia" w:ascii="宋体" w:hAnsi="宋体" w:eastAsia="宋体"/>
          <w:sz w:val="24"/>
        </w:rPr>
        <w:t xml:space="preserve">    </w:t>
      </w:r>
      <w:r>
        <w:rPr>
          <w:rFonts w:hint="eastAsia" w:ascii="宋体" w:hAnsi="宋体" w:eastAsia="宋体"/>
          <w:sz w:val="24"/>
          <w:u w:val="single"/>
        </w:rPr>
        <w:t xml:space="preserve">        </w:t>
      </w:r>
      <w:r>
        <w:rPr>
          <w:rFonts w:hint="eastAsia" w:ascii="宋体" w:hAnsi="宋体" w:eastAsia="宋体"/>
          <w:sz w:val="24"/>
        </w:rPr>
        <w:t>为依照《中华人民共和国公司法》等法律法规成立的（企业性质）</w:t>
      </w:r>
    </w:p>
    <w:p w14:paraId="511B3F8D">
      <w:pPr>
        <w:spacing w:line="720" w:lineRule="exact"/>
        <w:rPr>
          <w:rFonts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公司，公司注册资本为</w:t>
      </w:r>
      <w:r>
        <w:rPr>
          <w:rFonts w:hint="eastAsia" w:ascii="宋体" w:hAnsi="宋体" w:eastAsia="宋体"/>
          <w:sz w:val="24"/>
          <w:u w:val="single"/>
        </w:rPr>
        <w:t xml:space="preserve">       </w:t>
      </w:r>
      <w:r>
        <w:rPr>
          <w:rFonts w:hint="eastAsia" w:ascii="宋体" w:hAnsi="宋体" w:eastAsia="宋体"/>
          <w:sz w:val="24"/>
        </w:rPr>
        <w:t>万元，公司股东出资比例和出资额如下：</w:t>
      </w:r>
    </w:p>
    <w:p w14:paraId="3CFCB01F">
      <w:pPr>
        <w:spacing w:line="720" w:lineRule="exact"/>
        <w:rPr>
          <w:rFonts w:ascii="宋体" w:hAnsi="宋体" w:eastAsia="宋体"/>
          <w:sz w:val="24"/>
        </w:rPr>
      </w:pPr>
      <w:r>
        <w:rPr>
          <w:rFonts w:hint="eastAsia" w:ascii="宋体" w:hAnsi="宋体" w:eastAsia="宋体"/>
          <w:sz w:val="24"/>
        </w:rPr>
        <w:t xml:space="preserve">    1.股东：</w:t>
      </w:r>
      <w:r>
        <w:rPr>
          <w:rFonts w:hint="eastAsia" w:ascii="宋体" w:hAnsi="宋体" w:eastAsia="宋体"/>
          <w:sz w:val="24"/>
          <w:u w:val="single"/>
        </w:rPr>
        <w:t xml:space="preserve">           </w:t>
      </w:r>
      <w:r>
        <w:rPr>
          <w:rFonts w:hint="eastAsia" w:ascii="宋体" w:hAnsi="宋体" w:eastAsia="宋体"/>
          <w:sz w:val="24"/>
        </w:rPr>
        <w:t>，出资比例：</w:t>
      </w:r>
      <w:r>
        <w:rPr>
          <w:rFonts w:hint="eastAsia" w:ascii="宋体" w:hAnsi="宋体" w:eastAsia="宋体"/>
          <w:sz w:val="24"/>
          <w:u w:val="single"/>
        </w:rPr>
        <w:t xml:space="preserve">      </w:t>
      </w:r>
      <w:r>
        <w:rPr>
          <w:rFonts w:hint="eastAsia" w:ascii="宋体" w:hAnsi="宋体" w:eastAsia="宋体"/>
          <w:sz w:val="24"/>
        </w:rPr>
        <w:t>%，出资额：</w:t>
      </w:r>
      <w:r>
        <w:rPr>
          <w:rFonts w:hint="eastAsia" w:ascii="宋体" w:hAnsi="宋体" w:eastAsia="宋体"/>
          <w:sz w:val="24"/>
          <w:u w:val="single"/>
        </w:rPr>
        <w:t xml:space="preserve">       </w:t>
      </w:r>
      <w:r>
        <w:rPr>
          <w:rFonts w:hint="eastAsia" w:ascii="宋体" w:hAnsi="宋体" w:eastAsia="宋体"/>
          <w:sz w:val="24"/>
        </w:rPr>
        <w:t>万元；</w:t>
      </w:r>
    </w:p>
    <w:p w14:paraId="1CBDADA6">
      <w:pPr>
        <w:spacing w:line="720" w:lineRule="exact"/>
        <w:rPr>
          <w:rFonts w:ascii="宋体" w:hAnsi="宋体" w:eastAsia="宋体"/>
          <w:sz w:val="24"/>
        </w:rPr>
      </w:pPr>
      <w:r>
        <w:rPr>
          <w:rFonts w:hint="eastAsia" w:ascii="宋体" w:hAnsi="宋体" w:eastAsia="宋体"/>
          <w:sz w:val="24"/>
        </w:rPr>
        <w:t xml:space="preserve">    2.股东：</w:t>
      </w:r>
      <w:r>
        <w:rPr>
          <w:rFonts w:hint="eastAsia" w:ascii="宋体" w:hAnsi="宋体" w:eastAsia="宋体"/>
          <w:sz w:val="24"/>
          <w:u w:val="single"/>
        </w:rPr>
        <w:t xml:space="preserve">           </w:t>
      </w:r>
      <w:r>
        <w:rPr>
          <w:rFonts w:hint="eastAsia" w:ascii="宋体" w:hAnsi="宋体" w:eastAsia="宋体"/>
          <w:sz w:val="24"/>
        </w:rPr>
        <w:t>，出资比例：</w:t>
      </w:r>
      <w:r>
        <w:rPr>
          <w:rFonts w:hint="eastAsia" w:ascii="宋体" w:hAnsi="宋体" w:eastAsia="宋体"/>
          <w:sz w:val="24"/>
          <w:u w:val="single"/>
        </w:rPr>
        <w:t xml:space="preserve">       </w:t>
      </w:r>
      <w:r>
        <w:rPr>
          <w:rFonts w:hint="eastAsia" w:ascii="宋体" w:hAnsi="宋体" w:eastAsia="宋体"/>
          <w:sz w:val="24"/>
        </w:rPr>
        <w:t>%，出资额：</w:t>
      </w:r>
      <w:r>
        <w:rPr>
          <w:rFonts w:hint="eastAsia" w:ascii="宋体" w:hAnsi="宋体" w:eastAsia="宋体"/>
          <w:sz w:val="24"/>
          <w:u w:val="single"/>
        </w:rPr>
        <w:t xml:space="preserve">       </w:t>
      </w:r>
      <w:r>
        <w:rPr>
          <w:rFonts w:hint="eastAsia" w:ascii="宋体" w:hAnsi="宋体" w:eastAsia="宋体"/>
          <w:sz w:val="24"/>
        </w:rPr>
        <w:t>万元；</w:t>
      </w:r>
    </w:p>
    <w:p w14:paraId="54CCD9FA">
      <w:pPr>
        <w:spacing w:line="720" w:lineRule="exact"/>
        <w:rPr>
          <w:rFonts w:ascii="宋体" w:hAnsi="宋体" w:eastAsia="宋体"/>
          <w:sz w:val="24"/>
        </w:rPr>
      </w:pPr>
      <w:r>
        <w:rPr>
          <w:rFonts w:hint="eastAsia" w:ascii="宋体" w:hAnsi="宋体" w:eastAsia="宋体"/>
          <w:sz w:val="24"/>
        </w:rPr>
        <w:t xml:space="preserve">    3.股东：</w:t>
      </w:r>
      <w:r>
        <w:rPr>
          <w:rFonts w:hint="eastAsia" w:ascii="宋体" w:hAnsi="宋体" w:eastAsia="宋体"/>
          <w:sz w:val="24"/>
          <w:u w:val="single"/>
        </w:rPr>
        <w:t xml:space="preserve">           </w:t>
      </w:r>
      <w:r>
        <w:rPr>
          <w:rFonts w:hint="eastAsia" w:ascii="宋体" w:hAnsi="宋体" w:eastAsia="宋体"/>
          <w:sz w:val="24"/>
        </w:rPr>
        <w:t>，出资比例：</w:t>
      </w:r>
      <w:r>
        <w:rPr>
          <w:rFonts w:hint="eastAsia" w:ascii="宋体" w:hAnsi="宋体" w:eastAsia="宋体"/>
          <w:sz w:val="24"/>
          <w:u w:val="single"/>
        </w:rPr>
        <w:t xml:space="preserve">       </w:t>
      </w:r>
      <w:r>
        <w:rPr>
          <w:rFonts w:hint="eastAsia" w:ascii="宋体" w:hAnsi="宋体" w:eastAsia="宋体"/>
          <w:sz w:val="24"/>
        </w:rPr>
        <w:t>%，出资额：</w:t>
      </w:r>
      <w:r>
        <w:rPr>
          <w:rFonts w:hint="eastAsia" w:ascii="宋体" w:hAnsi="宋体" w:eastAsia="宋体"/>
          <w:sz w:val="24"/>
          <w:u w:val="single"/>
        </w:rPr>
        <w:t xml:space="preserve">       </w:t>
      </w:r>
      <w:r>
        <w:rPr>
          <w:rFonts w:hint="eastAsia" w:ascii="宋体" w:hAnsi="宋体" w:eastAsia="宋体"/>
          <w:sz w:val="24"/>
        </w:rPr>
        <w:t>万元；</w:t>
      </w:r>
    </w:p>
    <w:p w14:paraId="36C79CC2">
      <w:pPr>
        <w:spacing w:line="720" w:lineRule="exact"/>
        <w:rPr>
          <w:rFonts w:ascii="宋体" w:hAnsi="宋体" w:eastAsia="宋体"/>
          <w:sz w:val="24"/>
        </w:rPr>
      </w:pPr>
      <w:r>
        <w:rPr>
          <w:rFonts w:hint="eastAsia" w:ascii="宋体" w:hAnsi="宋体" w:eastAsia="宋体"/>
          <w:sz w:val="24"/>
        </w:rPr>
        <w:t xml:space="preserve">    ……</w:t>
      </w:r>
    </w:p>
    <w:p w14:paraId="5656BEED">
      <w:pPr>
        <w:spacing w:line="720" w:lineRule="exact"/>
        <w:rPr>
          <w:rFonts w:ascii="宋体" w:hAnsi="宋体" w:eastAsia="宋体"/>
          <w:sz w:val="24"/>
          <w:u w:val="single"/>
        </w:rPr>
      </w:pPr>
      <w:r>
        <w:rPr>
          <w:rFonts w:hint="eastAsia" w:ascii="宋体" w:hAnsi="宋体" w:eastAsia="宋体"/>
          <w:sz w:val="24"/>
        </w:rPr>
        <w:t xml:space="preserve">    公司总经理（负责人）姓名：</w:t>
      </w:r>
      <w:r>
        <w:rPr>
          <w:rFonts w:hint="eastAsia" w:ascii="宋体" w:hAnsi="宋体" w:eastAsia="宋体"/>
          <w:sz w:val="24"/>
          <w:u w:val="single"/>
        </w:rPr>
        <w:t xml:space="preserve">             </w:t>
      </w:r>
      <w:r>
        <w:rPr>
          <w:rFonts w:hint="eastAsia" w:ascii="宋体" w:hAnsi="宋体" w:eastAsia="宋体"/>
          <w:sz w:val="24"/>
        </w:rPr>
        <w:t>；联系电话：</w:t>
      </w:r>
      <w:r>
        <w:rPr>
          <w:rFonts w:hint="eastAsia" w:ascii="宋体" w:hAnsi="宋体" w:eastAsia="宋体"/>
          <w:sz w:val="24"/>
          <w:u w:val="single"/>
        </w:rPr>
        <w:t xml:space="preserve">           </w:t>
      </w:r>
    </w:p>
    <w:p w14:paraId="23C49107">
      <w:pPr>
        <w:spacing w:line="600" w:lineRule="exact"/>
        <w:ind w:firstLine="435"/>
        <w:rPr>
          <w:rFonts w:ascii="宋体" w:hAnsi="宋体" w:eastAsia="宋体"/>
          <w:b/>
          <w:sz w:val="24"/>
        </w:rPr>
      </w:pPr>
      <w:r>
        <w:rPr>
          <w:rFonts w:hint="eastAsia" w:ascii="宋体" w:hAnsi="宋体" w:eastAsia="宋体"/>
          <w:b/>
          <w:sz w:val="24"/>
        </w:rPr>
        <w:t>本单位对上述说明的真实性负责。如有虚假，将依法承担相应责任。</w:t>
      </w:r>
    </w:p>
    <w:p w14:paraId="3B7338EC">
      <w:pPr>
        <w:spacing w:line="720" w:lineRule="exact"/>
        <w:rPr>
          <w:rFonts w:ascii="宋体" w:hAnsi="宋体" w:eastAsia="宋体"/>
          <w:sz w:val="24"/>
        </w:rPr>
      </w:pPr>
      <w:r>
        <w:rPr>
          <w:rFonts w:hint="eastAsia" w:ascii="宋体" w:hAnsi="宋体" w:eastAsia="宋体"/>
          <w:sz w:val="24"/>
        </w:rPr>
        <w:t xml:space="preserve">    特此说明</w:t>
      </w:r>
    </w:p>
    <w:p w14:paraId="190375FA">
      <w:pPr>
        <w:spacing w:line="720" w:lineRule="exact"/>
        <w:rPr>
          <w:rFonts w:ascii="宋体" w:hAnsi="宋体" w:eastAsia="宋体"/>
          <w:sz w:val="24"/>
        </w:rPr>
      </w:pPr>
    </w:p>
    <w:p w14:paraId="347F46F7">
      <w:pPr>
        <w:widowControl/>
        <w:spacing w:line="640" w:lineRule="exact"/>
        <w:ind w:left="482"/>
        <w:jc w:val="left"/>
        <w:rPr>
          <w:rFonts w:ascii="宋体" w:hAnsi="宋体" w:eastAsia="宋体" w:cs="宋体"/>
          <w:b/>
          <w:kern w:val="0"/>
          <w:sz w:val="24"/>
          <w:u w:val="single"/>
        </w:rPr>
      </w:pPr>
      <w:r>
        <w:rPr>
          <w:rFonts w:hint="eastAsia" w:ascii="宋体" w:hAnsi="宋体" w:eastAsia="宋体" w:cs="宋体"/>
          <w:b/>
          <w:kern w:val="0"/>
          <w:sz w:val="24"/>
        </w:rPr>
        <w:t xml:space="preserve">                                 </w:t>
      </w:r>
      <w:r>
        <w:rPr>
          <w:rFonts w:hint="eastAsia" w:ascii="宋体" w:hAnsi="宋体" w:eastAsia="宋体"/>
          <w:sz w:val="24"/>
        </w:rPr>
        <w:t xml:space="preserve"> 投标人电子签章：</w:t>
      </w:r>
      <w:r>
        <w:rPr>
          <w:rFonts w:hint="eastAsia" w:ascii="宋体" w:hAnsi="宋体" w:eastAsia="宋体"/>
          <w:sz w:val="24"/>
          <w:u w:val="single"/>
        </w:rPr>
        <w:t xml:space="preserve">           </w:t>
      </w:r>
    </w:p>
    <w:p w14:paraId="01413D76">
      <w:pPr>
        <w:widowControl/>
        <w:spacing w:line="640" w:lineRule="exact"/>
        <w:ind w:left="482"/>
        <w:jc w:val="left"/>
        <w:rPr>
          <w:rFonts w:ascii="宋体" w:hAnsi="宋体" w:eastAsia="宋体" w:cs="宋体"/>
          <w:b/>
          <w:kern w:val="0"/>
          <w:sz w:val="24"/>
        </w:rPr>
      </w:pPr>
      <w:r>
        <w:rPr>
          <w:rFonts w:hint="eastAsia" w:ascii="宋体" w:hAnsi="宋体" w:eastAsia="宋体" w:cs="宋体"/>
          <w:b/>
          <w:kern w:val="0"/>
          <w:sz w:val="24"/>
        </w:rPr>
        <w:t xml:space="preserve">                                     二〇二四年</w:t>
      </w:r>
      <w:r>
        <w:rPr>
          <w:rFonts w:hint="eastAsia" w:ascii="宋体" w:hAnsi="宋体" w:eastAsia="宋体"/>
          <w:sz w:val="24"/>
          <w:u w:val="single"/>
        </w:rPr>
        <w:t xml:space="preserve">      </w:t>
      </w:r>
      <w:r>
        <w:rPr>
          <w:rFonts w:hint="eastAsia" w:ascii="宋体" w:hAnsi="宋体" w:eastAsia="宋体" w:cs="宋体"/>
          <w:b/>
          <w:kern w:val="0"/>
          <w:sz w:val="24"/>
        </w:rPr>
        <w:t>月</w:t>
      </w:r>
      <w:r>
        <w:rPr>
          <w:rFonts w:hint="eastAsia" w:ascii="宋体" w:hAnsi="宋体" w:eastAsia="宋体"/>
          <w:sz w:val="24"/>
          <w:u w:val="single"/>
        </w:rPr>
        <w:t xml:space="preserve">     </w:t>
      </w:r>
      <w:r>
        <w:rPr>
          <w:rFonts w:hint="eastAsia" w:ascii="宋体" w:hAnsi="宋体" w:eastAsia="宋体" w:cs="宋体"/>
          <w:b/>
          <w:kern w:val="0"/>
          <w:sz w:val="24"/>
        </w:rPr>
        <w:t>日</w:t>
      </w:r>
    </w:p>
    <w:p w14:paraId="13D4255C">
      <w:pPr>
        <w:widowControl/>
        <w:jc w:val="center"/>
        <w:rPr>
          <w:rFonts w:asciiTheme="minorEastAsia" w:hAnsiTheme="minorEastAsia" w:eastAsiaTheme="minorEastAsia"/>
          <w:b/>
          <w:sz w:val="24"/>
        </w:rPr>
      </w:pPr>
    </w:p>
    <w:p w14:paraId="26E8CE22">
      <w:pPr>
        <w:widowControl/>
        <w:jc w:val="center"/>
        <w:rPr>
          <w:rFonts w:asciiTheme="minorEastAsia" w:hAnsiTheme="minorEastAsia" w:eastAsiaTheme="minorEastAsia"/>
          <w:b/>
          <w:sz w:val="24"/>
        </w:rPr>
      </w:pPr>
    </w:p>
    <w:p w14:paraId="08EE9C44">
      <w:pPr>
        <w:widowControl/>
        <w:jc w:val="center"/>
        <w:rPr>
          <w:rFonts w:asciiTheme="minorEastAsia" w:hAnsiTheme="minorEastAsia" w:eastAsiaTheme="minorEastAsia"/>
          <w:b/>
          <w:sz w:val="24"/>
        </w:rPr>
      </w:pPr>
    </w:p>
    <w:p w14:paraId="346A95B8">
      <w:pPr>
        <w:widowControl/>
        <w:jc w:val="center"/>
        <w:rPr>
          <w:rFonts w:asciiTheme="minorEastAsia" w:hAnsiTheme="minorEastAsia" w:eastAsiaTheme="minorEastAsia"/>
          <w:b/>
          <w:sz w:val="24"/>
        </w:rPr>
      </w:pPr>
    </w:p>
    <w:p w14:paraId="7D23CD4D">
      <w:pPr>
        <w:widowControl/>
        <w:jc w:val="center"/>
        <w:rPr>
          <w:rFonts w:asciiTheme="minorEastAsia" w:hAnsiTheme="minorEastAsia" w:eastAsiaTheme="minorEastAsia"/>
          <w:b/>
          <w:sz w:val="24"/>
        </w:rPr>
      </w:pPr>
    </w:p>
    <w:p w14:paraId="705C3410">
      <w:pPr>
        <w:widowControl/>
        <w:jc w:val="center"/>
        <w:rPr>
          <w:rFonts w:hint="eastAsia" w:asciiTheme="minorEastAsia" w:hAnsiTheme="minorEastAsia" w:eastAsiaTheme="minorEastAsia"/>
          <w:b/>
          <w:sz w:val="24"/>
          <w:lang w:val="en-US" w:eastAsia="zh-CN"/>
        </w:rPr>
      </w:pPr>
    </w:p>
    <w:p w14:paraId="19779410">
      <w:pPr>
        <w:widowControl/>
        <w:jc w:val="center"/>
        <w:rPr>
          <w:rFonts w:hint="eastAsia" w:asciiTheme="minorEastAsia" w:hAnsiTheme="minorEastAsia" w:eastAsiaTheme="minorEastAsia"/>
          <w:b/>
          <w:sz w:val="24"/>
          <w:lang w:val="en-US" w:eastAsia="zh-CN"/>
        </w:rPr>
      </w:pPr>
    </w:p>
    <w:p w14:paraId="4294525E">
      <w:pPr>
        <w:widowControl/>
        <w:jc w:val="center"/>
        <w:rPr>
          <w:rFonts w:hint="eastAsia" w:asciiTheme="minorEastAsia" w:hAnsiTheme="minorEastAsia" w:eastAsiaTheme="minorEastAsia"/>
          <w:b/>
          <w:sz w:val="24"/>
          <w:lang w:val="en-US" w:eastAsia="zh-CN"/>
        </w:rPr>
      </w:pPr>
    </w:p>
    <w:p w14:paraId="4C39533E">
      <w:pPr>
        <w:widowControl/>
        <w:jc w:val="center"/>
        <w:rPr>
          <w:rFonts w:hint="eastAsia" w:asciiTheme="minorEastAsia" w:hAnsiTheme="minorEastAsia" w:eastAsiaTheme="minorEastAsia"/>
          <w:b/>
          <w:sz w:val="24"/>
          <w:lang w:val="en-US" w:eastAsia="zh-CN"/>
        </w:rPr>
      </w:pPr>
    </w:p>
    <w:p w14:paraId="5DAB2F2A">
      <w:pPr>
        <w:widowControl/>
        <w:jc w:val="center"/>
        <w:rPr>
          <w:rFonts w:hint="eastAsia" w:asciiTheme="minorEastAsia" w:hAnsiTheme="minorEastAsia" w:eastAsiaTheme="minorEastAsia"/>
          <w:b/>
          <w:sz w:val="24"/>
          <w:lang w:val="en-US" w:eastAsia="zh-CN"/>
        </w:rPr>
      </w:pPr>
    </w:p>
    <w:p w14:paraId="4E24E95A">
      <w:pPr>
        <w:widowControl/>
        <w:jc w:val="center"/>
        <w:rPr>
          <w:rFonts w:hint="eastAsia" w:asciiTheme="minorEastAsia" w:hAnsiTheme="minorEastAsia" w:eastAsiaTheme="minorEastAsia"/>
          <w:b/>
          <w:sz w:val="24"/>
          <w:lang w:val="en-US" w:eastAsia="zh-CN"/>
        </w:rPr>
      </w:pPr>
    </w:p>
    <w:p w14:paraId="76DB2DBA">
      <w:pPr>
        <w:widowControl/>
        <w:jc w:val="center"/>
        <w:rPr>
          <w:rFonts w:hint="eastAsia" w:asciiTheme="minorEastAsia" w:hAnsiTheme="minorEastAsia" w:eastAsiaTheme="minorEastAsia"/>
          <w:b/>
          <w:sz w:val="24"/>
          <w:lang w:val="en-US" w:eastAsia="zh-CN"/>
        </w:rPr>
      </w:pPr>
    </w:p>
    <w:p w14:paraId="646C3D41">
      <w:pPr>
        <w:widowControl/>
        <w:jc w:val="center"/>
        <w:rPr>
          <w:rFonts w:hint="eastAsia" w:asciiTheme="minorEastAsia" w:hAnsiTheme="minorEastAsia" w:eastAsiaTheme="minorEastAsia"/>
          <w:b/>
          <w:sz w:val="24"/>
          <w:lang w:val="en-US" w:eastAsia="zh-CN"/>
        </w:rPr>
      </w:pPr>
    </w:p>
    <w:p w14:paraId="7BEC5D90">
      <w:pPr>
        <w:widowControl/>
        <w:jc w:val="center"/>
        <w:rPr>
          <w:rFonts w:hint="eastAsia" w:asciiTheme="minorEastAsia" w:hAnsiTheme="minorEastAsia" w:eastAsiaTheme="minorEastAsia"/>
          <w:b/>
          <w:sz w:val="24"/>
          <w:lang w:val="en-US" w:eastAsia="zh-CN"/>
        </w:rPr>
      </w:pPr>
    </w:p>
    <w:p w14:paraId="24F6D850">
      <w:pPr>
        <w:widowControl/>
        <w:jc w:val="center"/>
        <w:rPr>
          <w:rFonts w:hint="eastAsia" w:asciiTheme="minorEastAsia" w:hAnsiTheme="minorEastAsia" w:eastAsiaTheme="minorEastAsia"/>
          <w:b/>
          <w:sz w:val="24"/>
          <w:lang w:val="en-US" w:eastAsia="zh-CN"/>
        </w:rPr>
      </w:pPr>
    </w:p>
    <w:p w14:paraId="6C06E432">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五</w:t>
      </w:r>
      <w:r>
        <w:rPr>
          <w:rFonts w:hint="eastAsia" w:asciiTheme="minorEastAsia" w:hAnsiTheme="minorEastAsia" w:eastAsiaTheme="minorEastAsia"/>
          <w:b/>
          <w:sz w:val="24"/>
        </w:rPr>
        <w:t>、其他相关证明材料</w:t>
      </w:r>
    </w:p>
    <w:p w14:paraId="20EB1CBD">
      <w:pPr>
        <w:spacing w:line="360" w:lineRule="auto"/>
        <w:ind w:firstLine="435"/>
        <w:jc w:val="center"/>
        <w:rPr>
          <w:rFonts w:asciiTheme="minorEastAsia" w:hAnsiTheme="minorEastAsia" w:eastAsiaTheme="minorEastAsia"/>
          <w:sz w:val="24"/>
        </w:rPr>
      </w:pPr>
      <w:r>
        <w:rPr>
          <w:rFonts w:hint="eastAsia" w:asciiTheme="minorEastAsia" w:hAnsiTheme="minorEastAsia" w:eastAsiaTheme="minorEastAsia"/>
          <w:sz w:val="24"/>
        </w:rPr>
        <w:t>提供符合比选公告、招标人要求及评审方法规定的相关证明文件。</w:t>
      </w:r>
    </w:p>
    <w:p w14:paraId="0FFB2C21">
      <w:pPr>
        <w:spacing w:line="360" w:lineRule="auto"/>
        <w:ind w:firstLine="480" w:firstLineChars="200"/>
        <w:jc w:val="center"/>
        <w:rPr>
          <w:rFonts w:asciiTheme="minorEastAsia" w:hAnsiTheme="minorEastAsia" w:eastAsiaTheme="minorEastAsia"/>
          <w:sz w:val="24"/>
        </w:rPr>
      </w:pPr>
    </w:p>
    <w:p w14:paraId="4A0310F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58A4D49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投标人在投标文件制作时可在此栏内上传比选文件</w:t>
      </w:r>
      <w:r>
        <w:rPr>
          <w:rFonts w:asciiTheme="minorEastAsia" w:hAnsiTheme="minorEastAsia" w:eastAsiaTheme="minorEastAsia"/>
          <w:sz w:val="24"/>
        </w:rPr>
        <w:t>要求上传的证明资料</w:t>
      </w:r>
      <w:r>
        <w:rPr>
          <w:rFonts w:hint="eastAsia" w:asciiTheme="minorEastAsia" w:hAnsiTheme="minorEastAsia" w:eastAsiaTheme="minorEastAsia"/>
          <w:sz w:val="24"/>
        </w:rPr>
        <w:t>，如营业执照、税务登记证、产品彩页、证书、</w:t>
      </w:r>
      <w:r>
        <w:rPr>
          <w:rFonts w:asciiTheme="minorEastAsia" w:hAnsiTheme="minorEastAsia" w:eastAsiaTheme="minorEastAsia"/>
          <w:sz w:val="24"/>
        </w:rPr>
        <w:t>检测报告</w:t>
      </w:r>
      <w:r>
        <w:rPr>
          <w:rFonts w:hint="eastAsia" w:asciiTheme="minorEastAsia" w:hAnsiTheme="minorEastAsia" w:eastAsiaTheme="minorEastAsia"/>
          <w:sz w:val="24"/>
        </w:rPr>
        <w:t>、产品图片</w:t>
      </w:r>
      <w:r>
        <w:rPr>
          <w:rFonts w:asciiTheme="minorEastAsia" w:hAnsiTheme="minorEastAsia" w:eastAsiaTheme="minorEastAsia"/>
          <w:sz w:val="24"/>
        </w:rPr>
        <w:t>等，应将上述证明材料制作成扫描件上传。</w:t>
      </w:r>
      <w:bookmarkEnd w:id="30"/>
    </w:p>
    <w:p w14:paraId="304BC513">
      <w:pPr>
        <w:pStyle w:val="9"/>
        <w:rPr>
          <w:rFonts w:asciiTheme="minorEastAsia" w:hAnsiTheme="minorEastAsia" w:eastAsiaTheme="minorEastAsia"/>
          <w:sz w:val="24"/>
        </w:rPr>
      </w:pPr>
    </w:p>
    <w:p w14:paraId="233535F0">
      <w:pPr>
        <w:rPr>
          <w:rFonts w:asciiTheme="minorEastAsia" w:hAnsiTheme="minorEastAsia" w:eastAsiaTheme="minorEastAsia"/>
          <w:sz w:val="24"/>
        </w:rPr>
      </w:pPr>
    </w:p>
    <w:p w14:paraId="22122574">
      <w:pPr>
        <w:pStyle w:val="9"/>
        <w:rPr>
          <w:rFonts w:asciiTheme="minorEastAsia" w:hAnsiTheme="minorEastAsia" w:eastAsiaTheme="minorEastAsia"/>
          <w:sz w:val="24"/>
        </w:rPr>
      </w:pPr>
    </w:p>
    <w:p w14:paraId="2BF0C281">
      <w:pPr>
        <w:rPr>
          <w:rFonts w:asciiTheme="minorEastAsia" w:hAnsiTheme="minorEastAsia" w:eastAsiaTheme="minorEastAsia"/>
          <w:sz w:val="24"/>
        </w:rPr>
      </w:pPr>
    </w:p>
    <w:p w14:paraId="68507FCC">
      <w:pPr>
        <w:pStyle w:val="9"/>
        <w:rPr>
          <w:rFonts w:asciiTheme="minorEastAsia" w:hAnsiTheme="minorEastAsia" w:eastAsiaTheme="minorEastAsia"/>
          <w:sz w:val="24"/>
        </w:rPr>
      </w:pPr>
    </w:p>
    <w:p w14:paraId="744C3532">
      <w:pPr>
        <w:rPr>
          <w:rFonts w:asciiTheme="minorEastAsia" w:hAnsiTheme="minorEastAsia" w:eastAsiaTheme="minorEastAsia"/>
          <w:sz w:val="24"/>
        </w:rPr>
      </w:pPr>
    </w:p>
    <w:p w14:paraId="154F92FF">
      <w:pPr>
        <w:pStyle w:val="9"/>
      </w:pPr>
    </w:p>
    <w:p w14:paraId="08119790">
      <w:pPr>
        <w:pStyle w:val="9"/>
        <w:rPr>
          <w:rFonts w:asciiTheme="minorEastAsia" w:hAnsiTheme="minorEastAsia" w:eastAsiaTheme="minorEastAsia"/>
          <w:sz w:val="24"/>
        </w:rPr>
      </w:pPr>
    </w:p>
    <w:p w14:paraId="1DFAD08A">
      <w:pPr>
        <w:rPr>
          <w:rFonts w:asciiTheme="minorEastAsia" w:hAnsiTheme="minorEastAsia" w:eastAsiaTheme="minorEastAsia"/>
          <w:sz w:val="24"/>
        </w:rPr>
      </w:pPr>
    </w:p>
    <w:p w14:paraId="6E67AAAC">
      <w:pPr>
        <w:pStyle w:val="2"/>
        <w:ind w:firstLine="480"/>
        <w:rPr>
          <w:rFonts w:asciiTheme="minorEastAsia" w:hAnsiTheme="minorEastAsia" w:eastAsiaTheme="minorEastAsia"/>
          <w:sz w:val="24"/>
        </w:rPr>
      </w:pPr>
    </w:p>
    <w:p w14:paraId="19B549A6">
      <w:pPr>
        <w:pStyle w:val="2"/>
        <w:ind w:firstLine="480"/>
        <w:rPr>
          <w:rFonts w:asciiTheme="minorEastAsia" w:hAnsiTheme="minorEastAsia" w:eastAsiaTheme="minorEastAsia"/>
          <w:sz w:val="24"/>
        </w:rPr>
      </w:pPr>
    </w:p>
    <w:p w14:paraId="19F1DDB8">
      <w:pPr>
        <w:pStyle w:val="2"/>
        <w:ind w:firstLine="480"/>
        <w:rPr>
          <w:rFonts w:asciiTheme="minorEastAsia" w:hAnsiTheme="minorEastAsia" w:eastAsiaTheme="minorEastAsia"/>
          <w:sz w:val="24"/>
        </w:rPr>
      </w:pPr>
    </w:p>
    <w:p w14:paraId="5E40836B">
      <w:pPr>
        <w:pStyle w:val="2"/>
        <w:ind w:firstLine="480"/>
        <w:rPr>
          <w:rFonts w:asciiTheme="minorEastAsia" w:hAnsiTheme="minorEastAsia" w:eastAsiaTheme="minorEastAsia"/>
          <w:sz w:val="24"/>
        </w:rPr>
      </w:pPr>
    </w:p>
    <w:p w14:paraId="4C932710">
      <w:pPr>
        <w:pStyle w:val="2"/>
        <w:ind w:firstLine="480"/>
        <w:rPr>
          <w:rFonts w:asciiTheme="minorEastAsia" w:hAnsiTheme="minorEastAsia" w:eastAsiaTheme="minorEastAsia"/>
          <w:sz w:val="24"/>
        </w:rPr>
      </w:pPr>
    </w:p>
    <w:p w14:paraId="51DB4552">
      <w:pPr>
        <w:pStyle w:val="2"/>
        <w:ind w:firstLine="480"/>
        <w:rPr>
          <w:rFonts w:asciiTheme="minorEastAsia" w:hAnsiTheme="minorEastAsia" w:eastAsiaTheme="minorEastAsia"/>
          <w:sz w:val="24"/>
        </w:rPr>
      </w:pPr>
    </w:p>
    <w:p w14:paraId="74367BD3">
      <w:pPr>
        <w:pStyle w:val="2"/>
        <w:ind w:firstLine="480"/>
        <w:rPr>
          <w:rFonts w:asciiTheme="minorEastAsia" w:hAnsiTheme="minorEastAsia" w:eastAsiaTheme="minorEastAsia"/>
          <w:sz w:val="24"/>
        </w:rPr>
      </w:pPr>
    </w:p>
    <w:p w14:paraId="5771D559">
      <w:pPr>
        <w:pStyle w:val="2"/>
        <w:ind w:firstLine="480"/>
        <w:rPr>
          <w:rFonts w:asciiTheme="minorEastAsia" w:hAnsiTheme="minorEastAsia" w:eastAsiaTheme="minorEastAsia"/>
          <w:sz w:val="24"/>
        </w:rPr>
      </w:pPr>
    </w:p>
    <w:p w14:paraId="4B26930D">
      <w:pPr>
        <w:pStyle w:val="2"/>
        <w:ind w:firstLine="480"/>
        <w:rPr>
          <w:rFonts w:asciiTheme="minorEastAsia" w:hAnsiTheme="minorEastAsia" w:eastAsiaTheme="minorEastAsia"/>
          <w:sz w:val="24"/>
        </w:rPr>
      </w:pPr>
    </w:p>
    <w:p w14:paraId="5DDB6392">
      <w:pPr>
        <w:pStyle w:val="2"/>
        <w:ind w:firstLine="480"/>
        <w:rPr>
          <w:rFonts w:asciiTheme="minorEastAsia" w:hAnsiTheme="minorEastAsia" w:eastAsiaTheme="minorEastAsia"/>
          <w:sz w:val="24"/>
        </w:rPr>
      </w:pPr>
    </w:p>
    <w:p w14:paraId="3FE9F9C3">
      <w:pPr>
        <w:pStyle w:val="2"/>
        <w:ind w:firstLine="480"/>
        <w:rPr>
          <w:rFonts w:asciiTheme="minorEastAsia" w:hAnsiTheme="minorEastAsia" w:eastAsiaTheme="minorEastAsia"/>
          <w:sz w:val="24"/>
        </w:rPr>
      </w:pPr>
    </w:p>
    <w:p w14:paraId="739FBA89">
      <w:pPr>
        <w:spacing w:line="360" w:lineRule="auto"/>
        <w:jc w:val="center"/>
        <w:outlineLvl w:val="1"/>
        <w:rPr>
          <w:rFonts w:asciiTheme="minorEastAsia" w:hAnsiTheme="minorEastAsia" w:eastAsiaTheme="minorEastAsia"/>
          <w:b/>
          <w:sz w:val="28"/>
        </w:rPr>
      </w:pPr>
      <w:bookmarkStart w:id="31" w:name="_Toc6128"/>
    </w:p>
    <w:bookmarkEnd w:id="31"/>
    <w:p w14:paraId="1841AD34">
      <w:pPr>
        <w:spacing w:line="360" w:lineRule="auto"/>
        <w:jc w:val="center"/>
        <w:outlineLvl w:val="1"/>
        <w:rPr>
          <w:rFonts w:asciiTheme="minorEastAsia" w:hAnsiTheme="minorEastAsia" w:eastAsiaTheme="minorEastAsia" w:cstheme="minorEastAsia"/>
          <w:sz w:val="24"/>
          <w:szCs w:val="24"/>
          <w:highlight w:val="yellow"/>
        </w:rPr>
      </w:pPr>
      <w:bookmarkStart w:id="32" w:name="_Toc27984"/>
      <w:bookmarkStart w:id="33" w:name="_Toc12153"/>
      <w:r>
        <w:rPr>
          <w:rFonts w:hint="eastAsia" w:asciiTheme="minorEastAsia" w:hAnsiTheme="minorEastAsia" w:eastAsiaTheme="minorEastAsia"/>
          <w:b/>
          <w:sz w:val="28"/>
        </w:rPr>
        <w:t>第七章</w:t>
      </w:r>
      <w:bookmarkEnd w:id="32"/>
      <w:r>
        <w:rPr>
          <w:rFonts w:hint="eastAsia" w:asciiTheme="minorEastAsia" w:hAnsiTheme="minorEastAsia" w:eastAsiaTheme="minorEastAsia"/>
          <w:b/>
          <w:sz w:val="28"/>
        </w:rPr>
        <w:t xml:space="preserve"> 安徽公共资源交易集团电子交易操作规程</w:t>
      </w:r>
      <w:bookmarkEnd w:id="33"/>
    </w:p>
    <w:p w14:paraId="2A4D0A7A">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为进一步规范交易行为，提高交易效率，充分利用信息网络技术，参照《中华人民共和国电子签名法》《电子招标投标办法》等有关规定，结合工作实际，制定本规程。</w:t>
      </w:r>
    </w:p>
    <w:p w14:paraId="3D4A9134">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4AB4D819">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656BB29D">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14:paraId="6868D345">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本规程所指的投标文件，是指投标人（供应商）应招标文件要求编制的响应性文件。</w:t>
      </w:r>
    </w:p>
    <w:p w14:paraId="0D217508">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3CC62EEB">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电子交易系统具备在线完成交易活动全部或部分交易过程，具备编辑、生成、对接、交换和发布有关交易活动数据信息的功能，并为交易活动监督管理部门实施监督管理提供所需的信息。</w:t>
      </w:r>
    </w:p>
    <w:p w14:paraId="164DE949">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招标人（采购人）或代理机构负责电子交易的组织实施，电子交易系统建设单位负责电子交易系统的服务保障。</w:t>
      </w:r>
    </w:p>
    <w:p w14:paraId="6A175917">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电子交易各方主体应当按照相关规定合法取得和使用数字证书及电子签章，通过数字证书登录电子交易系统参与交易活动。各方主体对其依托电子交易系统开展的所有操作承担法律责任。</w:t>
      </w:r>
    </w:p>
    <w:p w14:paraId="04DDE1B8">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投标人（供应商）应妥善保管数字证书，由于数字证书遗失、损坏、更换、续期等情况或其他自身原因导致投标文件无法加密、上传、解密等，由其自行承担所有责任。</w:t>
      </w:r>
    </w:p>
    <w:p w14:paraId="4A372993">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2292851A">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交易公告、招标文件应由招标人（采购人）或代理机构通过电子交易系统发出，其中招标文件须加盖电子签章。</w:t>
      </w:r>
    </w:p>
    <w:p w14:paraId="5E034A78">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投标人（供应商）登录电子交易系统获取招标文件。</w:t>
      </w:r>
    </w:p>
    <w:p w14:paraId="0BEDD6DA">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15D94BEE">
      <w:pPr>
        <w:pStyle w:val="68"/>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投标人（供应商）应使用电子标书制作软件制作投标文件，电子标书制作软件应允许投标人（供应商）离线制作投标文件，并且具备分段或整体加密、解密功能。</w:t>
      </w:r>
    </w:p>
    <w:p w14:paraId="1C88C336">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投标人（供应商）应对投标文件进行电子签章并使用数字证书加密，并于招标文件规定的投标截止时间前通过电子交易系统完成上传。</w:t>
      </w:r>
    </w:p>
    <w:p w14:paraId="62FA48C3">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49FF8D80">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交易活动涉及的时间以电子交易系统显示的时间为准。投标人（供应商）须在投标截至时间前完成投标文件上传，逾期系统将自动关闭。</w:t>
      </w:r>
    </w:p>
    <w:p w14:paraId="1BEFC52C">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投标人（供应商）在投标截止时间后按招标文件规定的解密时间完成投标文件解密，加密和解密须用同一数字证书。投标人（供应商）未在招标文件规定的时间内完成解密的视为其放弃交易。</w:t>
      </w:r>
    </w:p>
    <w:p w14:paraId="40BA580C">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090AAD79">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招标文件约定须到达指定地点或线上进行演示、答辩、磋商、谈判等情形的，投标人（供应商）应按照招标文件规定的时间到达指定地点或登录电子交易系统保持在线。</w:t>
      </w:r>
    </w:p>
    <w:p w14:paraId="282E562E">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未能成功解密的投标文件，如招标文件中允许使用电子介质作为投标文件解密失败的补救措施，并且投标人（供应商）在投标截止时间之前到达招标文件指定地点并成功递交，招标人（采购人）或代理机构可导入电子介质中非加密投标文件继续进行。若系统识别出电子介质中非未加密的投标文件和网上递交的加密投标文件识别码不一致，电子交易系统拒绝导入。</w:t>
      </w:r>
    </w:p>
    <w:p w14:paraId="0F26692A">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招标人（采购人）或代理机构组织评审，评审委员会依据招标文件规定的评审办法进行评审，并对评审结果签字或电子签名确认。</w:t>
      </w:r>
    </w:p>
    <w:p w14:paraId="45C113F8">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需要多轮报价的，应按招标文件约定提交。</w:t>
      </w:r>
    </w:p>
    <w:p w14:paraId="0C0B5F4B">
      <w:pPr>
        <w:pStyle w:val="68"/>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评审委员会评审过程中需要投标人（供应商）澄清、说明或补正的，以询标函（问询函）的形式通过电子交易系统发送给投标人（供应商）。</w:t>
      </w:r>
    </w:p>
    <w:p w14:paraId="2DC4EEF3">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评审结束前，投标人（供应商）应登录电子交易系统并保持在线状态，以便及时接收评审委员会可能发出的询标函（问询函），并在规定时间内完成回复，否则视为放弃澄清、说明或补正。</w:t>
      </w:r>
    </w:p>
    <w:p w14:paraId="0EA6DAC7">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招标人（采购人）或代理机构应通过电子交易系统公示或公布中标候选人（如有）、中标（成交）结果。</w:t>
      </w:r>
    </w:p>
    <w:p w14:paraId="0B70AEC0">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招标人（采购人）或代理机构应通过电子交易系统向中标人（成交供应商）发出中标（成交）通知书，中标（成交）通知书发出即视为送达。</w:t>
      </w:r>
    </w:p>
    <w:p w14:paraId="0B315886">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28D3414F">
      <w:pPr>
        <w:pStyle w:val="68"/>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4" w:name="_Toc18469"/>
      <w:r>
        <w:rPr>
          <w:rFonts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34"/>
    </w:p>
    <w:p w14:paraId="384A7463">
      <w:pPr>
        <w:pStyle w:val="68"/>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5" w:name="_Toc12707"/>
      <w:r>
        <w:rPr>
          <w:rFonts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35"/>
    </w:p>
    <w:p w14:paraId="42E327BA">
      <w:pPr>
        <w:pStyle w:val="68"/>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6" w:name="_Toc2515"/>
      <w:r>
        <w:rPr>
          <w:rFonts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（三）出现网络攻击、病毒入侵、电子交易系统软件设计缺陷、功能缺陷以及电子交易系统安全漏洞导致无法正常提供服务的；</w:t>
      </w:r>
      <w:bookmarkEnd w:id="36"/>
    </w:p>
    <w:p w14:paraId="02DC1D1A">
      <w:pPr>
        <w:pStyle w:val="68"/>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7" w:name="_Toc30134"/>
      <w:r>
        <w:rPr>
          <w:rFonts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37"/>
    </w:p>
    <w:p w14:paraId="7FFF4C35">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出现上述情形，系统建设方应及时组织相关方查明原因，排除故障。若能在故障发现后及时恢复系统运行且不影响项目正常交易的，交易程序继续进行；否则，按以下程序操作：</w:t>
      </w:r>
    </w:p>
    <w:p w14:paraId="79A1E506">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或代理机构根据项目具体情况确定。中止期限届满后中止情形尚未消除的，招标人（采购人）或代理机构可以根据实际情况决定延长中止期限。决定延长中止期限的，应通过电子交易系统向投标人（供应商）发出延长中止期限的通知。</w:t>
      </w:r>
    </w:p>
    <w:p w14:paraId="55DEFEBC">
      <w:pPr>
        <w:pStyle w:val="68"/>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通过电子交易系统向投标人（供应商）发出恢复交易通知；已发出延长中止期限通知的，按通知执行或根据招标人（采购人）决定另行通知。</w:t>
      </w:r>
    </w:p>
    <w:p w14:paraId="6F5E6BD8">
      <w:pPr>
        <w:pStyle w:val="68"/>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一条规定的意外情形时，如部分投标人（供应商）未完成投标文件解密的，系统恢复后，允许投标人（供应商）继续解密，解密时限重新计算；在规定的解密截止时间后出现第二十一条规定的意外情形的，系统恢复后，仅允许原解密时间内已成功解密但解密文件无法正常使用的投标人（供应商）重新解密。</w:t>
      </w:r>
    </w:p>
    <w:p w14:paraId="40FF1555">
      <w:pPr>
        <w:spacing w:line="576" w:lineRule="exact"/>
        <w:ind w:firstLine="472" w:firstLineChars="19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本规程由安徽公共资源交易集团负责解释。自发布之日起施行，有效期1年。</w:t>
      </w:r>
    </w:p>
    <w:p w14:paraId="2799C37C">
      <w:pPr>
        <w:pStyle w:val="21"/>
        <w:spacing w:before="0" w:beforeAutospacing="0" w:after="0" w:afterAutospacing="0" w:line="360" w:lineRule="auto"/>
        <w:ind w:firstLine="640"/>
        <w:jc w:val="both"/>
        <w:rPr>
          <w:rFonts w:asciiTheme="minorEastAsia" w:hAnsiTheme="minorEastAsia" w:eastAsiaTheme="minorEastAsia" w:cstheme="minorEastAsia"/>
          <w:color w:val="auto"/>
        </w:rPr>
      </w:pPr>
    </w:p>
    <w:p w14:paraId="5D057C83">
      <w:pPr>
        <w:pStyle w:val="9"/>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23C0">
    <w:pPr>
      <w:pStyle w:val="17"/>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3567698">
            <w:pPr>
              <w:pStyle w:val="1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44</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42</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74BE2">
    <w:pPr>
      <w:pStyle w:val="18"/>
      <w:jc w:val="left"/>
    </w:pPr>
    <w:r>
      <w:rPr>
        <w:rFonts w:hint="eastAsia" w:asciiTheme="minorEastAsia" w:hAnsiTheme="minorEastAsia" w:eastAsiaTheme="minorEastAsia"/>
      </w:rPr>
      <w:t>比选文件—服务2024.5.14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893C">
    <w:pPr>
      <w:pStyle w:val="18"/>
      <w:jc w:val="left"/>
      <w:rPr>
        <w:rFonts w:asciiTheme="minorEastAsia" w:hAnsiTheme="minorEastAsia" w:eastAsiaTheme="minorEastAsia"/>
      </w:rPr>
    </w:pPr>
    <w:r>
      <w:rPr>
        <w:rFonts w:hint="eastAsia" w:asciiTheme="minorEastAsia" w:hAnsiTheme="minorEastAsia" w:eastAsiaTheme="minorEastAsia"/>
      </w:rPr>
      <w:t>比选文件范本—服务2024.5.14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B42D2FA"/>
    <w:multiLevelType w:val="singleLevel"/>
    <w:tmpl w:val="BB42D2FA"/>
    <w:lvl w:ilvl="0" w:tentative="0">
      <w:start w:val="1"/>
      <w:numFmt w:val="decimal"/>
      <w:suff w:val="nothing"/>
      <w:lvlText w:val="（%1）"/>
      <w:lvlJc w:val="left"/>
    </w:lvl>
  </w:abstractNum>
  <w:abstractNum w:abstractNumId="2">
    <w:nsid w:val="EFBA05A3"/>
    <w:multiLevelType w:val="singleLevel"/>
    <w:tmpl w:val="EFBA05A3"/>
    <w:lvl w:ilvl="0" w:tentative="0">
      <w:start w:val="4"/>
      <w:numFmt w:val="chineseCounting"/>
      <w:suff w:val="space"/>
      <w:lvlText w:val="第%1章"/>
      <w:lvlJc w:val="left"/>
      <w:rPr>
        <w:rFonts w:hint="eastAsia"/>
      </w:rPr>
    </w:lvl>
  </w:abstractNum>
  <w:abstractNum w:abstractNumId="3">
    <w:nsid w:val="24DD5AF7"/>
    <w:multiLevelType w:val="multilevel"/>
    <w:tmpl w:val="24DD5AF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hNjliMGQxZDIxYjA0ZWRkYTM0OWEyZDdkZmU1NWYifQ=="/>
  </w:docVars>
  <w:rsids>
    <w:rsidRoot w:val="00276BA1"/>
    <w:rsid w:val="0000043F"/>
    <w:rsid w:val="000020D0"/>
    <w:rsid w:val="00002178"/>
    <w:rsid w:val="00003B1C"/>
    <w:rsid w:val="000049DA"/>
    <w:rsid w:val="000056B7"/>
    <w:rsid w:val="00010598"/>
    <w:rsid w:val="00010EAD"/>
    <w:rsid w:val="000113F8"/>
    <w:rsid w:val="000131F7"/>
    <w:rsid w:val="000133D0"/>
    <w:rsid w:val="00016B6C"/>
    <w:rsid w:val="000206B8"/>
    <w:rsid w:val="00020B57"/>
    <w:rsid w:val="00033811"/>
    <w:rsid w:val="000346AB"/>
    <w:rsid w:val="00035E0C"/>
    <w:rsid w:val="000378C1"/>
    <w:rsid w:val="00037DBE"/>
    <w:rsid w:val="00042139"/>
    <w:rsid w:val="00042B14"/>
    <w:rsid w:val="00044F49"/>
    <w:rsid w:val="000450C3"/>
    <w:rsid w:val="00045D81"/>
    <w:rsid w:val="00046DF9"/>
    <w:rsid w:val="00050A3F"/>
    <w:rsid w:val="00050B55"/>
    <w:rsid w:val="00050B86"/>
    <w:rsid w:val="00052FAA"/>
    <w:rsid w:val="000530EC"/>
    <w:rsid w:val="000544DE"/>
    <w:rsid w:val="00057E76"/>
    <w:rsid w:val="00060602"/>
    <w:rsid w:val="00061134"/>
    <w:rsid w:val="0006460A"/>
    <w:rsid w:val="000648D2"/>
    <w:rsid w:val="0006565F"/>
    <w:rsid w:val="00066704"/>
    <w:rsid w:val="0006758C"/>
    <w:rsid w:val="00070E0E"/>
    <w:rsid w:val="00071ADF"/>
    <w:rsid w:val="00073C57"/>
    <w:rsid w:val="00076DB7"/>
    <w:rsid w:val="00080FEB"/>
    <w:rsid w:val="0008683A"/>
    <w:rsid w:val="000871CC"/>
    <w:rsid w:val="0009321C"/>
    <w:rsid w:val="00094D41"/>
    <w:rsid w:val="00096724"/>
    <w:rsid w:val="00097CB9"/>
    <w:rsid w:val="000A0ACB"/>
    <w:rsid w:val="000A37EA"/>
    <w:rsid w:val="000A3B47"/>
    <w:rsid w:val="000A6693"/>
    <w:rsid w:val="000A6B73"/>
    <w:rsid w:val="000A7D94"/>
    <w:rsid w:val="000B1511"/>
    <w:rsid w:val="000B54F4"/>
    <w:rsid w:val="000C1DB1"/>
    <w:rsid w:val="000C2C26"/>
    <w:rsid w:val="000C74CF"/>
    <w:rsid w:val="000D1414"/>
    <w:rsid w:val="000D2188"/>
    <w:rsid w:val="000D3F37"/>
    <w:rsid w:val="000D52A4"/>
    <w:rsid w:val="000D69D4"/>
    <w:rsid w:val="000E06F6"/>
    <w:rsid w:val="000E3C74"/>
    <w:rsid w:val="000E3F9B"/>
    <w:rsid w:val="000E4495"/>
    <w:rsid w:val="000E6689"/>
    <w:rsid w:val="000F0551"/>
    <w:rsid w:val="000F172B"/>
    <w:rsid w:val="000F2198"/>
    <w:rsid w:val="000F39B6"/>
    <w:rsid w:val="000F6B7B"/>
    <w:rsid w:val="000F6EB8"/>
    <w:rsid w:val="00100B0F"/>
    <w:rsid w:val="0010187C"/>
    <w:rsid w:val="0010349A"/>
    <w:rsid w:val="001037E3"/>
    <w:rsid w:val="001134CB"/>
    <w:rsid w:val="001150A6"/>
    <w:rsid w:val="00115E05"/>
    <w:rsid w:val="001165D0"/>
    <w:rsid w:val="00116A70"/>
    <w:rsid w:val="0012143A"/>
    <w:rsid w:val="001222C6"/>
    <w:rsid w:val="00125ED4"/>
    <w:rsid w:val="00132A16"/>
    <w:rsid w:val="0013313F"/>
    <w:rsid w:val="001351C3"/>
    <w:rsid w:val="00136D80"/>
    <w:rsid w:val="00136F98"/>
    <w:rsid w:val="00137C7C"/>
    <w:rsid w:val="00140687"/>
    <w:rsid w:val="00144468"/>
    <w:rsid w:val="00144D72"/>
    <w:rsid w:val="00144FA4"/>
    <w:rsid w:val="00146421"/>
    <w:rsid w:val="001479CF"/>
    <w:rsid w:val="00155F64"/>
    <w:rsid w:val="00156A04"/>
    <w:rsid w:val="00157856"/>
    <w:rsid w:val="00160198"/>
    <w:rsid w:val="00160729"/>
    <w:rsid w:val="00166ED8"/>
    <w:rsid w:val="001714C9"/>
    <w:rsid w:val="001770B6"/>
    <w:rsid w:val="00180AA3"/>
    <w:rsid w:val="00180AD7"/>
    <w:rsid w:val="00180EDE"/>
    <w:rsid w:val="0018119B"/>
    <w:rsid w:val="001844AB"/>
    <w:rsid w:val="00186D5A"/>
    <w:rsid w:val="00190E42"/>
    <w:rsid w:val="00191C9B"/>
    <w:rsid w:val="001944B8"/>
    <w:rsid w:val="00195E11"/>
    <w:rsid w:val="00196DA3"/>
    <w:rsid w:val="00197AC4"/>
    <w:rsid w:val="001A311D"/>
    <w:rsid w:val="001A4B8A"/>
    <w:rsid w:val="001A5364"/>
    <w:rsid w:val="001A5D34"/>
    <w:rsid w:val="001A68E5"/>
    <w:rsid w:val="001B2A54"/>
    <w:rsid w:val="001B4B3F"/>
    <w:rsid w:val="001B5014"/>
    <w:rsid w:val="001B5961"/>
    <w:rsid w:val="001B7327"/>
    <w:rsid w:val="001C16AA"/>
    <w:rsid w:val="001C2B92"/>
    <w:rsid w:val="001C67F2"/>
    <w:rsid w:val="001C6EFC"/>
    <w:rsid w:val="001D3C19"/>
    <w:rsid w:val="001D53B4"/>
    <w:rsid w:val="001D7108"/>
    <w:rsid w:val="001E1E3F"/>
    <w:rsid w:val="001E3914"/>
    <w:rsid w:val="001F27F8"/>
    <w:rsid w:val="001F28D2"/>
    <w:rsid w:val="001F2F45"/>
    <w:rsid w:val="001F3023"/>
    <w:rsid w:val="001F35F6"/>
    <w:rsid w:val="001F4FB4"/>
    <w:rsid w:val="001F5443"/>
    <w:rsid w:val="001F74CA"/>
    <w:rsid w:val="00200340"/>
    <w:rsid w:val="002003B6"/>
    <w:rsid w:val="00200C5F"/>
    <w:rsid w:val="00202248"/>
    <w:rsid w:val="0020290F"/>
    <w:rsid w:val="00203577"/>
    <w:rsid w:val="00204293"/>
    <w:rsid w:val="002049B4"/>
    <w:rsid w:val="0020520B"/>
    <w:rsid w:val="00205D11"/>
    <w:rsid w:val="0020702D"/>
    <w:rsid w:val="00207212"/>
    <w:rsid w:val="00211963"/>
    <w:rsid w:val="00213127"/>
    <w:rsid w:val="00213C55"/>
    <w:rsid w:val="002178B1"/>
    <w:rsid w:val="00220983"/>
    <w:rsid w:val="002211C9"/>
    <w:rsid w:val="00223CF4"/>
    <w:rsid w:val="00224C4A"/>
    <w:rsid w:val="0023407E"/>
    <w:rsid w:val="002360C0"/>
    <w:rsid w:val="00240278"/>
    <w:rsid w:val="00240B40"/>
    <w:rsid w:val="0024156F"/>
    <w:rsid w:val="002440D8"/>
    <w:rsid w:val="00244182"/>
    <w:rsid w:val="002530E9"/>
    <w:rsid w:val="00260B94"/>
    <w:rsid w:val="0026212C"/>
    <w:rsid w:val="00264F2E"/>
    <w:rsid w:val="00271245"/>
    <w:rsid w:val="00272F1E"/>
    <w:rsid w:val="002746D1"/>
    <w:rsid w:val="00274A9E"/>
    <w:rsid w:val="00276292"/>
    <w:rsid w:val="00276BA1"/>
    <w:rsid w:val="00277094"/>
    <w:rsid w:val="00277264"/>
    <w:rsid w:val="00286D62"/>
    <w:rsid w:val="002872DE"/>
    <w:rsid w:val="00287EF5"/>
    <w:rsid w:val="002927A3"/>
    <w:rsid w:val="002929D4"/>
    <w:rsid w:val="002A1A1D"/>
    <w:rsid w:val="002A210D"/>
    <w:rsid w:val="002A2306"/>
    <w:rsid w:val="002A28AD"/>
    <w:rsid w:val="002A4BB2"/>
    <w:rsid w:val="002A705F"/>
    <w:rsid w:val="002B1E88"/>
    <w:rsid w:val="002B2575"/>
    <w:rsid w:val="002B5318"/>
    <w:rsid w:val="002B6D27"/>
    <w:rsid w:val="002C1407"/>
    <w:rsid w:val="002C4CBD"/>
    <w:rsid w:val="002C5235"/>
    <w:rsid w:val="002D0D6A"/>
    <w:rsid w:val="002D2965"/>
    <w:rsid w:val="002D35BD"/>
    <w:rsid w:val="002D3D02"/>
    <w:rsid w:val="002D429F"/>
    <w:rsid w:val="002D4CB5"/>
    <w:rsid w:val="002D62DC"/>
    <w:rsid w:val="002D684B"/>
    <w:rsid w:val="002E0F98"/>
    <w:rsid w:val="002E2D19"/>
    <w:rsid w:val="002E3B26"/>
    <w:rsid w:val="002E4AB8"/>
    <w:rsid w:val="002F734C"/>
    <w:rsid w:val="002F7EC8"/>
    <w:rsid w:val="00300733"/>
    <w:rsid w:val="0030332E"/>
    <w:rsid w:val="00310070"/>
    <w:rsid w:val="003110EC"/>
    <w:rsid w:val="00311C69"/>
    <w:rsid w:val="00312CDF"/>
    <w:rsid w:val="00315CFF"/>
    <w:rsid w:val="00323638"/>
    <w:rsid w:val="00323781"/>
    <w:rsid w:val="00327C92"/>
    <w:rsid w:val="00333292"/>
    <w:rsid w:val="003344E7"/>
    <w:rsid w:val="003347FC"/>
    <w:rsid w:val="0033580B"/>
    <w:rsid w:val="003365E7"/>
    <w:rsid w:val="003370DA"/>
    <w:rsid w:val="003378D5"/>
    <w:rsid w:val="003405C8"/>
    <w:rsid w:val="003473D7"/>
    <w:rsid w:val="00351AC8"/>
    <w:rsid w:val="00353075"/>
    <w:rsid w:val="003552E1"/>
    <w:rsid w:val="00356211"/>
    <w:rsid w:val="00360BB3"/>
    <w:rsid w:val="00361039"/>
    <w:rsid w:val="00361648"/>
    <w:rsid w:val="00362A66"/>
    <w:rsid w:val="00363E02"/>
    <w:rsid w:val="00373A96"/>
    <w:rsid w:val="00374C13"/>
    <w:rsid w:val="00376C5F"/>
    <w:rsid w:val="00381860"/>
    <w:rsid w:val="003826C2"/>
    <w:rsid w:val="00383728"/>
    <w:rsid w:val="0038382B"/>
    <w:rsid w:val="0038475D"/>
    <w:rsid w:val="003863B6"/>
    <w:rsid w:val="00386BE6"/>
    <w:rsid w:val="00390B31"/>
    <w:rsid w:val="00391586"/>
    <w:rsid w:val="00394128"/>
    <w:rsid w:val="003947A4"/>
    <w:rsid w:val="00395235"/>
    <w:rsid w:val="0039561A"/>
    <w:rsid w:val="00397C7D"/>
    <w:rsid w:val="003A004F"/>
    <w:rsid w:val="003A3D34"/>
    <w:rsid w:val="003B0585"/>
    <w:rsid w:val="003B3120"/>
    <w:rsid w:val="003B4130"/>
    <w:rsid w:val="003B4489"/>
    <w:rsid w:val="003B4E6F"/>
    <w:rsid w:val="003B67D3"/>
    <w:rsid w:val="003B715B"/>
    <w:rsid w:val="003C0108"/>
    <w:rsid w:val="003C090D"/>
    <w:rsid w:val="003D1D14"/>
    <w:rsid w:val="003D1D1B"/>
    <w:rsid w:val="003D2452"/>
    <w:rsid w:val="003D3091"/>
    <w:rsid w:val="003D596D"/>
    <w:rsid w:val="003D6C7C"/>
    <w:rsid w:val="003D6EFB"/>
    <w:rsid w:val="003D77FD"/>
    <w:rsid w:val="003D7E52"/>
    <w:rsid w:val="003E25C6"/>
    <w:rsid w:val="003F01F4"/>
    <w:rsid w:val="003F145B"/>
    <w:rsid w:val="004002A2"/>
    <w:rsid w:val="0040086D"/>
    <w:rsid w:val="004011AA"/>
    <w:rsid w:val="0040202C"/>
    <w:rsid w:val="00403989"/>
    <w:rsid w:val="00404964"/>
    <w:rsid w:val="00405168"/>
    <w:rsid w:val="0040534E"/>
    <w:rsid w:val="00406508"/>
    <w:rsid w:val="0041456E"/>
    <w:rsid w:val="00414F7E"/>
    <w:rsid w:val="004164F8"/>
    <w:rsid w:val="00416800"/>
    <w:rsid w:val="00416808"/>
    <w:rsid w:val="00420B1F"/>
    <w:rsid w:val="00424F3E"/>
    <w:rsid w:val="004316E6"/>
    <w:rsid w:val="004427B7"/>
    <w:rsid w:val="00442B89"/>
    <w:rsid w:val="0044349F"/>
    <w:rsid w:val="00445DB4"/>
    <w:rsid w:val="00445F1F"/>
    <w:rsid w:val="00446A9D"/>
    <w:rsid w:val="00451F60"/>
    <w:rsid w:val="0045237F"/>
    <w:rsid w:val="00452BB2"/>
    <w:rsid w:val="00452CAD"/>
    <w:rsid w:val="0045656D"/>
    <w:rsid w:val="00457D95"/>
    <w:rsid w:val="004610BF"/>
    <w:rsid w:val="00462D98"/>
    <w:rsid w:val="00467C74"/>
    <w:rsid w:val="00472A44"/>
    <w:rsid w:val="00473A89"/>
    <w:rsid w:val="00475899"/>
    <w:rsid w:val="0047650C"/>
    <w:rsid w:val="00482C78"/>
    <w:rsid w:val="00482CA5"/>
    <w:rsid w:val="004874AE"/>
    <w:rsid w:val="00492167"/>
    <w:rsid w:val="00492D00"/>
    <w:rsid w:val="00494D24"/>
    <w:rsid w:val="004951D1"/>
    <w:rsid w:val="00497A14"/>
    <w:rsid w:val="004A27D0"/>
    <w:rsid w:val="004A4D67"/>
    <w:rsid w:val="004A7B99"/>
    <w:rsid w:val="004B1274"/>
    <w:rsid w:val="004B137D"/>
    <w:rsid w:val="004C15A5"/>
    <w:rsid w:val="004C7BC3"/>
    <w:rsid w:val="004D366E"/>
    <w:rsid w:val="004D3D4B"/>
    <w:rsid w:val="004D5498"/>
    <w:rsid w:val="004D66A5"/>
    <w:rsid w:val="004D6B00"/>
    <w:rsid w:val="004E0260"/>
    <w:rsid w:val="004E0AB2"/>
    <w:rsid w:val="004E1BD4"/>
    <w:rsid w:val="004E1D50"/>
    <w:rsid w:val="004E1FE3"/>
    <w:rsid w:val="004E7C2E"/>
    <w:rsid w:val="004F0396"/>
    <w:rsid w:val="004F1341"/>
    <w:rsid w:val="004F1BC1"/>
    <w:rsid w:val="004F1E9D"/>
    <w:rsid w:val="004F2C09"/>
    <w:rsid w:val="005003D6"/>
    <w:rsid w:val="00501382"/>
    <w:rsid w:val="00504F1C"/>
    <w:rsid w:val="00506E4F"/>
    <w:rsid w:val="00510798"/>
    <w:rsid w:val="00524168"/>
    <w:rsid w:val="00524A11"/>
    <w:rsid w:val="00527768"/>
    <w:rsid w:val="005327FB"/>
    <w:rsid w:val="00533FCA"/>
    <w:rsid w:val="00540BEB"/>
    <w:rsid w:val="0054372A"/>
    <w:rsid w:val="00546D49"/>
    <w:rsid w:val="005521FF"/>
    <w:rsid w:val="005535FD"/>
    <w:rsid w:val="005559E8"/>
    <w:rsid w:val="00557377"/>
    <w:rsid w:val="0056164A"/>
    <w:rsid w:val="005616B5"/>
    <w:rsid w:val="005629A9"/>
    <w:rsid w:val="00564FF4"/>
    <w:rsid w:val="00566023"/>
    <w:rsid w:val="00574798"/>
    <w:rsid w:val="00574E6F"/>
    <w:rsid w:val="005766CE"/>
    <w:rsid w:val="00577AD0"/>
    <w:rsid w:val="00581E19"/>
    <w:rsid w:val="00582882"/>
    <w:rsid w:val="00583D00"/>
    <w:rsid w:val="00583FE7"/>
    <w:rsid w:val="00586B96"/>
    <w:rsid w:val="00590CA2"/>
    <w:rsid w:val="00591629"/>
    <w:rsid w:val="00597B15"/>
    <w:rsid w:val="005A044C"/>
    <w:rsid w:val="005A09FF"/>
    <w:rsid w:val="005A0E8A"/>
    <w:rsid w:val="005A2439"/>
    <w:rsid w:val="005A5487"/>
    <w:rsid w:val="005B06FD"/>
    <w:rsid w:val="005B3A9F"/>
    <w:rsid w:val="005B5C95"/>
    <w:rsid w:val="005B7713"/>
    <w:rsid w:val="005C3D04"/>
    <w:rsid w:val="005C7C60"/>
    <w:rsid w:val="005D0200"/>
    <w:rsid w:val="005D0D6E"/>
    <w:rsid w:val="005D44EF"/>
    <w:rsid w:val="005D4814"/>
    <w:rsid w:val="005D5112"/>
    <w:rsid w:val="005D5944"/>
    <w:rsid w:val="005E39CC"/>
    <w:rsid w:val="005E5871"/>
    <w:rsid w:val="005E5C9C"/>
    <w:rsid w:val="005E7823"/>
    <w:rsid w:val="005F3914"/>
    <w:rsid w:val="005F3B5A"/>
    <w:rsid w:val="005F5E81"/>
    <w:rsid w:val="005F686F"/>
    <w:rsid w:val="005F6AB4"/>
    <w:rsid w:val="006006F5"/>
    <w:rsid w:val="00601585"/>
    <w:rsid w:val="006106E7"/>
    <w:rsid w:val="00610A66"/>
    <w:rsid w:val="006114A4"/>
    <w:rsid w:val="00613177"/>
    <w:rsid w:val="00613D56"/>
    <w:rsid w:val="00613F7C"/>
    <w:rsid w:val="00614BF2"/>
    <w:rsid w:val="00623DE2"/>
    <w:rsid w:val="00627151"/>
    <w:rsid w:val="00627601"/>
    <w:rsid w:val="006300D0"/>
    <w:rsid w:val="00632012"/>
    <w:rsid w:val="00634694"/>
    <w:rsid w:val="00636517"/>
    <w:rsid w:val="00637690"/>
    <w:rsid w:val="00640B1D"/>
    <w:rsid w:val="00640E1E"/>
    <w:rsid w:val="0064389A"/>
    <w:rsid w:val="00644116"/>
    <w:rsid w:val="00645442"/>
    <w:rsid w:val="006454A9"/>
    <w:rsid w:val="00645C21"/>
    <w:rsid w:val="00647FB7"/>
    <w:rsid w:val="0065171F"/>
    <w:rsid w:val="00651CC1"/>
    <w:rsid w:val="006525CD"/>
    <w:rsid w:val="00653F7F"/>
    <w:rsid w:val="00662EE8"/>
    <w:rsid w:val="00663813"/>
    <w:rsid w:val="00664542"/>
    <w:rsid w:val="00664AFD"/>
    <w:rsid w:val="00667091"/>
    <w:rsid w:val="00667567"/>
    <w:rsid w:val="00672315"/>
    <w:rsid w:val="0067391A"/>
    <w:rsid w:val="006740EF"/>
    <w:rsid w:val="00674173"/>
    <w:rsid w:val="0067535A"/>
    <w:rsid w:val="006767C8"/>
    <w:rsid w:val="00682560"/>
    <w:rsid w:val="00683CA0"/>
    <w:rsid w:val="00686DF6"/>
    <w:rsid w:val="00686FF3"/>
    <w:rsid w:val="00690DB1"/>
    <w:rsid w:val="00693404"/>
    <w:rsid w:val="00693702"/>
    <w:rsid w:val="00693D4C"/>
    <w:rsid w:val="006953D9"/>
    <w:rsid w:val="0069569F"/>
    <w:rsid w:val="006A7091"/>
    <w:rsid w:val="006B104B"/>
    <w:rsid w:val="006B1242"/>
    <w:rsid w:val="006B1DBC"/>
    <w:rsid w:val="006B35D2"/>
    <w:rsid w:val="006B63B7"/>
    <w:rsid w:val="006B6880"/>
    <w:rsid w:val="006B7D9A"/>
    <w:rsid w:val="006C06D9"/>
    <w:rsid w:val="006C0DF4"/>
    <w:rsid w:val="006C10D1"/>
    <w:rsid w:val="006C3411"/>
    <w:rsid w:val="006C37EF"/>
    <w:rsid w:val="006C4772"/>
    <w:rsid w:val="006C48A1"/>
    <w:rsid w:val="006C5716"/>
    <w:rsid w:val="006C74A9"/>
    <w:rsid w:val="006D07DE"/>
    <w:rsid w:val="006D2222"/>
    <w:rsid w:val="006D5200"/>
    <w:rsid w:val="006E06D9"/>
    <w:rsid w:val="006E1D40"/>
    <w:rsid w:val="006E2E1F"/>
    <w:rsid w:val="006E4F66"/>
    <w:rsid w:val="006E7016"/>
    <w:rsid w:val="006F24DB"/>
    <w:rsid w:val="006F5B15"/>
    <w:rsid w:val="006F5FFF"/>
    <w:rsid w:val="006F6687"/>
    <w:rsid w:val="006F6E33"/>
    <w:rsid w:val="006F7AF3"/>
    <w:rsid w:val="00701C06"/>
    <w:rsid w:val="007038E1"/>
    <w:rsid w:val="00710804"/>
    <w:rsid w:val="0071149E"/>
    <w:rsid w:val="00711FC6"/>
    <w:rsid w:val="007130B1"/>
    <w:rsid w:val="00715071"/>
    <w:rsid w:val="007152C8"/>
    <w:rsid w:val="00721254"/>
    <w:rsid w:val="00721261"/>
    <w:rsid w:val="007231E9"/>
    <w:rsid w:val="007240F7"/>
    <w:rsid w:val="00726B5F"/>
    <w:rsid w:val="00727C59"/>
    <w:rsid w:val="00730271"/>
    <w:rsid w:val="00734E5D"/>
    <w:rsid w:val="00736013"/>
    <w:rsid w:val="00737661"/>
    <w:rsid w:val="007414E0"/>
    <w:rsid w:val="00745C94"/>
    <w:rsid w:val="007476EA"/>
    <w:rsid w:val="00755D75"/>
    <w:rsid w:val="00756245"/>
    <w:rsid w:val="00760A01"/>
    <w:rsid w:val="00760AA9"/>
    <w:rsid w:val="007613DE"/>
    <w:rsid w:val="00761662"/>
    <w:rsid w:val="00762106"/>
    <w:rsid w:val="00764043"/>
    <w:rsid w:val="007641AD"/>
    <w:rsid w:val="00766085"/>
    <w:rsid w:val="00766B9C"/>
    <w:rsid w:val="00772477"/>
    <w:rsid w:val="00773AE5"/>
    <w:rsid w:val="007757CF"/>
    <w:rsid w:val="007772F4"/>
    <w:rsid w:val="0078128F"/>
    <w:rsid w:val="00781791"/>
    <w:rsid w:val="007824EE"/>
    <w:rsid w:val="00784FE5"/>
    <w:rsid w:val="007867CB"/>
    <w:rsid w:val="0078683C"/>
    <w:rsid w:val="00790EDB"/>
    <w:rsid w:val="00791538"/>
    <w:rsid w:val="0079326E"/>
    <w:rsid w:val="00793696"/>
    <w:rsid w:val="00796EDE"/>
    <w:rsid w:val="007A0DF9"/>
    <w:rsid w:val="007A5A58"/>
    <w:rsid w:val="007B1C56"/>
    <w:rsid w:val="007B46CC"/>
    <w:rsid w:val="007B4996"/>
    <w:rsid w:val="007B4F12"/>
    <w:rsid w:val="007B6AB2"/>
    <w:rsid w:val="007B77B7"/>
    <w:rsid w:val="007C3CD5"/>
    <w:rsid w:val="007C5CD7"/>
    <w:rsid w:val="007C61EF"/>
    <w:rsid w:val="007C746E"/>
    <w:rsid w:val="007D1C0D"/>
    <w:rsid w:val="007D2C51"/>
    <w:rsid w:val="007D2D23"/>
    <w:rsid w:val="007D37AB"/>
    <w:rsid w:val="007D3AD7"/>
    <w:rsid w:val="007D7732"/>
    <w:rsid w:val="007D7767"/>
    <w:rsid w:val="007E05C9"/>
    <w:rsid w:val="007E27D6"/>
    <w:rsid w:val="007E3921"/>
    <w:rsid w:val="007F00E5"/>
    <w:rsid w:val="007F097B"/>
    <w:rsid w:val="00801028"/>
    <w:rsid w:val="00803793"/>
    <w:rsid w:val="00807493"/>
    <w:rsid w:val="008149FD"/>
    <w:rsid w:val="00817A01"/>
    <w:rsid w:val="00824331"/>
    <w:rsid w:val="00825E35"/>
    <w:rsid w:val="00825E64"/>
    <w:rsid w:val="00826194"/>
    <w:rsid w:val="0082635A"/>
    <w:rsid w:val="008334F8"/>
    <w:rsid w:val="008341AA"/>
    <w:rsid w:val="0084552B"/>
    <w:rsid w:val="008465A8"/>
    <w:rsid w:val="00847E67"/>
    <w:rsid w:val="00847ED2"/>
    <w:rsid w:val="00854042"/>
    <w:rsid w:val="00854E88"/>
    <w:rsid w:val="0085649D"/>
    <w:rsid w:val="00856676"/>
    <w:rsid w:val="00861A36"/>
    <w:rsid w:val="00863196"/>
    <w:rsid w:val="00863FDD"/>
    <w:rsid w:val="008673C7"/>
    <w:rsid w:val="008717FB"/>
    <w:rsid w:val="00871F99"/>
    <w:rsid w:val="00872D5A"/>
    <w:rsid w:val="008747C1"/>
    <w:rsid w:val="00876461"/>
    <w:rsid w:val="00876659"/>
    <w:rsid w:val="0087734C"/>
    <w:rsid w:val="00882141"/>
    <w:rsid w:val="008826D0"/>
    <w:rsid w:val="00890E8D"/>
    <w:rsid w:val="008922A8"/>
    <w:rsid w:val="00895BD5"/>
    <w:rsid w:val="008975F1"/>
    <w:rsid w:val="0089773E"/>
    <w:rsid w:val="008A1587"/>
    <w:rsid w:val="008A16C4"/>
    <w:rsid w:val="008A2273"/>
    <w:rsid w:val="008A4621"/>
    <w:rsid w:val="008A6FED"/>
    <w:rsid w:val="008B1486"/>
    <w:rsid w:val="008B1F1A"/>
    <w:rsid w:val="008B39C5"/>
    <w:rsid w:val="008B51AA"/>
    <w:rsid w:val="008B6419"/>
    <w:rsid w:val="008B67A6"/>
    <w:rsid w:val="008C0158"/>
    <w:rsid w:val="008C5DF1"/>
    <w:rsid w:val="008C67F2"/>
    <w:rsid w:val="008D01AF"/>
    <w:rsid w:val="008D064A"/>
    <w:rsid w:val="008D2B0F"/>
    <w:rsid w:val="008D529B"/>
    <w:rsid w:val="008D6228"/>
    <w:rsid w:val="008D7CFB"/>
    <w:rsid w:val="008E449E"/>
    <w:rsid w:val="008E6D63"/>
    <w:rsid w:val="008F187F"/>
    <w:rsid w:val="008F402F"/>
    <w:rsid w:val="008F76E8"/>
    <w:rsid w:val="008F7CD0"/>
    <w:rsid w:val="00902D8F"/>
    <w:rsid w:val="00903494"/>
    <w:rsid w:val="009068BF"/>
    <w:rsid w:val="009078A1"/>
    <w:rsid w:val="00911E9C"/>
    <w:rsid w:val="00917405"/>
    <w:rsid w:val="00920F7C"/>
    <w:rsid w:val="009211F6"/>
    <w:rsid w:val="00934CAE"/>
    <w:rsid w:val="009354A1"/>
    <w:rsid w:val="00937ED0"/>
    <w:rsid w:val="0094257D"/>
    <w:rsid w:val="00942D9A"/>
    <w:rsid w:val="009435AB"/>
    <w:rsid w:val="009445D0"/>
    <w:rsid w:val="00946D9F"/>
    <w:rsid w:val="009511DE"/>
    <w:rsid w:val="0095467C"/>
    <w:rsid w:val="00954A61"/>
    <w:rsid w:val="00955C6F"/>
    <w:rsid w:val="00956EA5"/>
    <w:rsid w:val="009576EB"/>
    <w:rsid w:val="00966C7B"/>
    <w:rsid w:val="009701DC"/>
    <w:rsid w:val="009715D8"/>
    <w:rsid w:val="009716F7"/>
    <w:rsid w:val="00976620"/>
    <w:rsid w:val="00985C4B"/>
    <w:rsid w:val="00986236"/>
    <w:rsid w:val="00987701"/>
    <w:rsid w:val="00993E5E"/>
    <w:rsid w:val="0099470B"/>
    <w:rsid w:val="00995BF9"/>
    <w:rsid w:val="009A0CAF"/>
    <w:rsid w:val="009A1474"/>
    <w:rsid w:val="009A2207"/>
    <w:rsid w:val="009A39EE"/>
    <w:rsid w:val="009A4D84"/>
    <w:rsid w:val="009A4E0F"/>
    <w:rsid w:val="009B0D18"/>
    <w:rsid w:val="009B1925"/>
    <w:rsid w:val="009B1D61"/>
    <w:rsid w:val="009B1E55"/>
    <w:rsid w:val="009B4399"/>
    <w:rsid w:val="009B4B3F"/>
    <w:rsid w:val="009B6C42"/>
    <w:rsid w:val="009C051B"/>
    <w:rsid w:val="009C7FA0"/>
    <w:rsid w:val="009D31F7"/>
    <w:rsid w:val="009D32C2"/>
    <w:rsid w:val="009D3BBD"/>
    <w:rsid w:val="009D50DB"/>
    <w:rsid w:val="009D53F2"/>
    <w:rsid w:val="009D693F"/>
    <w:rsid w:val="009D7481"/>
    <w:rsid w:val="009D74F6"/>
    <w:rsid w:val="009E0512"/>
    <w:rsid w:val="009E21A4"/>
    <w:rsid w:val="009E324B"/>
    <w:rsid w:val="009E3449"/>
    <w:rsid w:val="009E3A0A"/>
    <w:rsid w:val="009F174D"/>
    <w:rsid w:val="009F3E91"/>
    <w:rsid w:val="00A068F8"/>
    <w:rsid w:val="00A10DAA"/>
    <w:rsid w:val="00A1499B"/>
    <w:rsid w:val="00A1537A"/>
    <w:rsid w:val="00A17636"/>
    <w:rsid w:val="00A21443"/>
    <w:rsid w:val="00A2192C"/>
    <w:rsid w:val="00A22CF2"/>
    <w:rsid w:val="00A27403"/>
    <w:rsid w:val="00A314C2"/>
    <w:rsid w:val="00A40C7A"/>
    <w:rsid w:val="00A425F5"/>
    <w:rsid w:val="00A449DF"/>
    <w:rsid w:val="00A55BAB"/>
    <w:rsid w:val="00A6163A"/>
    <w:rsid w:val="00A637CD"/>
    <w:rsid w:val="00A63E86"/>
    <w:rsid w:val="00A63EE7"/>
    <w:rsid w:val="00A64D14"/>
    <w:rsid w:val="00A65A1C"/>
    <w:rsid w:val="00A74F26"/>
    <w:rsid w:val="00A757C3"/>
    <w:rsid w:val="00A75E5B"/>
    <w:rsid w:val="00A763E4"/>
    <w:rsid w:val="00A7657D"/>
    <w:rsid w:val="00A7684A"/>
    <w:rsid w:val="00A76B69"/>
    <w:rsid w:val="00A77808"/>
    <w:rsid w:val="00A82D84"/>
    <w:rsid w:val="00A83174"/>
    <w:rsid w:val="00A83B69"/>
    <w:rsid w:val="00A85082"/>
    <w:rsid w:val="00A86533"/>
    <w:rsid w:val="00A91CA2"/>
    <w:rsid w:val="00A92210"/>
    <w:rsid w:val="00A92862"/>
    <w:rsid w:val="00A92FB8"/>
    <w:rsid w:val="00A948F1"/>
    <w:rsid w:val="00AA1D7D"/>
    <w:rsid w:val="00AA3066"/>
    <w:rsid w:val="00AA446F"/>
    <w:rsid w:val="00AA63DC"/>
    <w:rsid w:val="00AA7F11"/>
    <w:rsid w:val="00AB0B6E"/>
    <w:rsid w:val="00AB139D"/>
    <w:rsid w:val="00AB3EFB"/>
    <w:rsid w:val="00AB4A98"/>
    <w:rsid w:val="00AB4EAD"/>
    <w:rsid w:val="00AB708E"/>
    <w:rsid w:val="00AC0574"/>
    <w:rsid w:val="00AC0B05"/>
    <w:rsid w:val="00AC23B2"/>
    <w:rsid w:val="00AC3CEB"/>
    <w:rsid w:val="00AC6022"/>
    <w:rsid w:val="00AD06AA"/>
    <w:rsid w:val="00AD079A"/>
    <w:rsid w:val="00AD1890"/>
    <w:rsid w:val="00AD196F"/>
    <w:rsid w:val="00AD4CB8"/>
    <w:rsid w:val="00AE0687"/>
    <w:rsid w:val="00AE2149"/>
    <w:rsid w:val="00AE33AE"/>
    <w:rsid w:val="00AE3785"/>
    <w:rsid w:val="00AE3F91"/>
    <w:rsid w:val="00AE452F"/>
    <w:rsid w:val="00AE76E6"/>
    <w:rsid w:val="00AE7735"/>
    <w:rsid w:val="00AF2B21"/>
    <w:rsid w:val="00AF6F73"/>
    <w:rsid w:val="00B00983"/>
    <w:rsid w:val="00B0267C"/>
    <w:rsid w:val="00B039E3"/>
    <w:rsid w:val="00B21448"/>
    <w:rsid w:val="00B224BB"/>
    <w:rsid w:val="00B22838"/>
    <w:rsid w:val="00B236E3"/>
    <w:rsid w:val="00B24255"/>
    <w:rsid w:val="00B250C5"/>
    <w:rsid w:val="00B25553"/>
    <w:rsid w:val="00B336CA"/>
    <w:rsid w:val="00B33E95"/>
    <w:rsid w:val="00B3720B"/>
    <w:rsid w:val="00B37358"/>
    <w:rsid w:val="00B455A4"/>
    <w:rsid w:val="00B4730C"/>
    <w:rsid w:val="00B53825"/>
    <w:rsid w:val="00B541BC"/>
    <w:rsid w:val="00B54808"/>
    <w:rsid w:val="00B5558A"/>
    <w:rsid w:val="00B56290"/>
    <w:rsid w:val="00B56513"/>
    <w:rsid w:val="00B56B2E"/>
    <w:rsid w:val="00B637AF"/>
    <w:rsid w:val="00B64376"/>
    <w:rsid w:val="00B6493A"/>
    <w:rsid w:val="00B70494"/>
    <w:rsid w:val="00B709D0"/>
    <w:rsid w:val="00B71BFA"/>
    <w:rsid w:val="00B71F2C"/>
    <w:rsid w:val="00B7401F"/>
    <w:rsid w:val="00B740A4"/>
    <w:rsid w:val="00B76345"/>
    <w:rsid w:val="00B806C3"/>
    <w:rsid w:val="00B82CD8"/>
    <w:rsid w:val="00B840BB"/>
    <w:rsid w:val="00B84FCA"/>
    <w:rsid w:val="00B87941"/>
    <w:rsid w:val="00B9089F"/>
    <w:rsid w:val="00B91AEE"/>
    <w:rsid w:val="00B91D20"/>
    <w:rsid w:val="00B9287B"/>
    <w:rsid w:val="00B93F8C"/>
    <w:rsid w:val="00B95F5A"/>
    <w:rsid w:val="00B96EAD"/>
    <w:rsid w:val="00BA1CA7"/>
    <w:rsid w:val="00BA68CD"/>
    <w:rsid w:val="00BA79F5"/>
    <w:rsid w:val="00BB1F0D"/>
    <w:rsid w:val="00BB3AB6"/>
    <w:rsid w:val="00BB766D"/>
    <w:rsid w:val="00BB7A64"/>
    <w:rsid w:val="00BC007B"/>
    <w:rsid w:val="00BC26BA"/>
    <w:rsid w:val="00BC35F8"/>
    <w:rsid w:val="00BD65C6"/>
    <w:rsid w:val="00BD686A"/>
    <w:rsid w:val="00BE285D"/>
    <w:rsid w:val="00BE32ED"/>
    <w:rsid w:val="00BE3C99"/>
    <w:rsid w:val="00BF3696"/>
    <w:rsid w:val="00BF376F"/>
    <w:rsid w:val="00BF46A6"/>
    <w:rsid w:val="00BF6F24"/>
    <w:rsid w:val="00C0634C"/>
    <w:rsid w:val="00C06545"/>
    <w:rsid w:val="00C06BA4"/>
    <w:rsid w:val="00C10EDE"/>
    <w:rsid w:val="00C1161C"/>
    <w:rsid w:val="00C14287"/>
    <w:rsid w:val="00C14902"/>
    <w:rsid w:val="00C156DE"/>
    <w:rsid w:val="00C172D1"/>
    <w:rsid w:val="00C220FC"/>
    <w:rsid w:val="00C24A2C"/>
    <w:rsid w:val="00C24DFA"/>
    <w:rsid w:val="00C34152"/>
    <w:rsid w:val="00C35D66"/>
    <w:rsid w:val="00C45848"/>
    <w:rsid w:val="00C46399"/>
    <w:rsid w:val="00C46A36"/>
    <w:rsid w:val="00C47037"/>
    <w:rsid w:val="00C53625"/>
    <w:rsid w:val="00C602C1"/>
    <w:rsid w:val="00C60EC3"/>
    <w:rsid w:val="00C61AFE"/>
    <w:rsid w:val="00C62248"/>
    <w:rsid w:val="00C63FC0"/>
    <w:rsid w:val="00C65FC2"/>
    <w:rsid w:val="00C66392"/>
    <w:rsid w:val="00C6647F"/>
    <w:rsid w:val="00C714AE"/>
    <w:rsid w:val="00C7417A"/>
    <w:rsid w:val="00C74C5E"/>
    <w:rsid w:val="00C75CFE"/>
    <w:rsid w:val="00C81F28"/>
    <w:rsid w:val="00C827A2"/>
    <w:rsid w:val="00C82891"/>
    <w:rsid w:val="00C82B69"/>
    <w:rsid w:val="00C83483"/>
    <w:rsid w:val="00C84419"/>
    <w:rsid w:val="00C853A3"/>
    <w:rsid w:val="00C86146"/>
    <w:rsid w:val="00C8634A"/>
    <w:rsid w:val="00C8698F"/>
    <w:rsid w:val="00C91B28"/>
    <w:rsid w:val="00C91F3A"/>
    <w:rsid w:val="00CA165D"/>
    <w:rsid w:val="00CA24A8"/>
    <w:rsid w:val="00CA27C6"/>
    <w:rsid w:val="00CA6293"/>
    <w:rsid w:val="00CB5797"/>
    <w:rsid w:val="00CB769F"/>
    <w:rsid w:val="00CC05C5"/>
    <w:rsid w:val="00CC1202"/>
    <w:rsid w:val="00CC54CC"/>
    <w:rsid w:val="00CC7D56"/>
    <w:rsid w:val="00CD09E1"/>
    <w:rsid w:val="00CD2ADE"/>
    <w:rsid w:val="00CD6202"/>
    <w:rsid w:val="00CE171A"/>
    <w:rsid w:val="00CE4913"/>
    <w:rsid w:val="00CE66BD"/>
    <w:rsid w:val="00CE71C3"/>
    <w:rsid w:val="00CE7EDD"/>
    <w:rsid w:val="00CF0671"/>
    <w:rsid w:val="00CF1163"/>
    <w:rsid w:val="00CF1A44"/>
    <w:rsid w:val="00CF3630"/>
    <w:rsid w:val="00CF44AD"/>
    <w:rsid w:val="00CF4FC0"/>
    <w:rsid w:val="00D04797"/>
    <w:rsid w:val="00D06468"/>
    <w:rsid w:val="00D07D66"/>
    <w:rsid w:val="00D1072F"/>
    <w:rsid w:val="00D108A5"/>
    <w:rsid w:val="00D14585"/>
    <w:rsid w:val="00D164DF"/>
    <w:rsid w:val="00D2002F"/>
    <w:rsid w:val="00D20E6D"/>
    <w:rsid w:val="00D20EFF"/>
    <w:rsid w:val="00D25B46"/>
    <w:rsid w:val="00D34F0D"/>
    <w:rsid w:val="00D3516E"/>
    <w:rsid w:val="00D36E4D"/>
    <w:rsid w:val="00D4064C"/>
    <w:rsid w:val="00D408BA"/>
    <w:rsid w:val="00D4368A"/>
    <w:rsid w:val="00D4517C"/>
    <w:rsid w:val="00D51A68"/>
    <w:rsid w:val="00D5364E"/>
    <w:rsid w:val="00D53ED8"/>
    <w:rsid w:val="00D55F0F"/>
    <w:rsid w:val="00D64857"/>
    <w:rsid w:val="00D6493A"/>
    <w:rsid w:val="00D6693E"/>
    <w:rsid w:val="00D67875"/>
    <w:rsid w:val="00D71E86"/>
    <w:rsid w:val="00D730A0"/>
    <w:rsid w:val="00D731C6"/>
    <w:rsid w:val="00D745C5"/>
    <w:rsid w:val="00D75327"/>
    <w:rsid w:val="00D75BAF"/>
    <w:rsid w:val="00D80C36"/>
    <w:rsid w:val="00D84772"/>
    <w:rsid w:val="00D86779"/>
    <w:rsid w:val="00D86EE1"/>
    <w:rsid w:val="00D902CA"/>
    <w:rsid w:val="00D93F76"/>
    <w:rsid w:val="00D96126"/>
    <w:rsid w:val="00DA6EAA"/>
    <w:rsid w:val="00DA7306"/>
    <w:rsid w:val="00DB1E4C"/>
    <w:rsid w:val="00DB1FFF"/>
    <w:rsid w:val="00DB3DEB"/>
    <w:rsid w:val="00DB3E55"/>
    <w:rsid w:val="00DB4B1C"/>
    <w:rsid w:val="00DB5085"/>
    <w:rsid w:val="00DC1062"/>
    <w:rsid w:val="00DC132C"/>
    <w:rsid w:val="00DC2809"/>
    <w:rsid w:val="00DC2C63"/>
    <w:rsid w:val="00DC4543"/>
    <w:rsid w:val="00DD1224"/>
    <w:rsid w:val="00DD2560"/>
    <w:rsid w:val="00DD43F0"/>
    <w:rsid w:val="00DD44DE"/>
    <w:rsid w:val="00DE09AB"/>
    <w:rsid w:val="00DE3739"/>
    <w:rsid w:val="00DE4A3F"/>
    <w:rsid w:val="00DE6121"/>
    <w:rsid w:val="00DF30A8"/>
    <w:rsid w:val="00DF4367"/>
    <w:rsid w:val="00E0574A"/>
    <w:rsid w:val="00E058BF"/>
    <w:rsid w:val="00E06957"/>
    <w:rsid w:val="00E07412"/>
    <w:rsid w:val="00E11F17"/>
    <w:rsid w:val="00E1243D"/>
    <w:rsid w:val="00E12742"/>
    <w:rsid w:val="00E146D4"/>
    <w:rsid w:val="00E1671F"/>
    <w:rsid w:val="00E20614"/>
    <w:rsid w:val="00E20976"/>
    <w:rsid w:val="00E22B44"/>
    <w:rsid w:val="00E30ACD"/>
    <w:rsid w:val="00E32735"/>
    <w:rsid w:val="00E43477"/>
    <w:rsid w:val="00E44908"/>
    <w:rsid w:val="00E56CD0"/>
    <w:rsid w:val="00E6048D"/>
    <w:rsid w:val="00E6101B"/>
    <w:rsid w:val="00E63468"/>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5806"/>
    <w:rsid w:val="00E96743"/>
    <w:rsid w:val="00E96A42"/>
    <w:rsid w:val="00EA0A36"/>
    <w:rsid w:val="00EA49C5"/>
    <w:rsid w:val="00EA5107"/>
    <w:rsid w:val="00EA5D8A"/>
    <w:rsid w:val="00EB0C34"/>
    <w:rsid w:val="00EB5027"/>
    <w:rsid w:val="00EC08EF"/>
    <w:rsid w:val="00EC1836"/>
    <w:rsid w:val="00EC3990"/>
    <w:rsid w:val="00EC484B"/>
    <w:rsid w:val="00EC795F"/>
    <w:rsid w:val="00ED15FA"/>
    <w:rsid w:val="00ED45E5"/>
    <w:rsid w:val="00EE275B"/>
    <w:rsid w:val="00EE3C71"/>
    <w:rsid w:val="00EE6E9A"/>
    <w:rsid w:val="00EF0BF1"/>
    <w:rsid w:val="00EF0DC6"/>
    <w:rsid w:val="00EF2AC4"/>
    <w:rsid w:val="00EF38E4"/>
    <w:rsid w:val="00EF397E"/>
    <w:rsid w:val="00EF43C5"/>
    <w:rsid w:val="00EF5FC8"/>
    <w:rsid w:val="00F04779"/>
    <w:rsid w:val="00F06F68"/>
    <w:rsid w:val="00F07993"/>
    <w:rsid w:val="00F105B8"/>
    <w:rsid w:val="00F11930"/>
    <w:rsid w:val="00F12D25"/>
    <w:rsid w:val="00F15C86"/>
    <w:rsid w:val="00F1713B"/>
    <w:rsid w:val="00F2165E"/>
    <w:rsid w:val="00F243AF"/>
    <w:rsid w:val="00F24C2D"/>
    <w:rsid w:val="00F24F9A"/>
    <w:rsid w:val="00F27356"/>
    <w:rsid w:val="00F32A81"/>
    <w:rsid w:val="00F32D1D"/>
    <w:rsid w:val="00F35A8E"/>
    <w:rsid w:val="00F3639E"/>
    <w:rsid w:val="00F40728"/>
    <w:rsid w:val="00F41324"/>
    <w:rsid w:val="00F436D9"/>
    <w:rsid w:val="00F46998"/>
    <w:rsid w:val="00F4700E"/>
    <w:rsid w:val="00F47100"/>
    <w:rsid w:val="00F52516"/>
    <w:rsid w:val="00F5382D"/>
    <w:rsid w:val="00F53D9C"/>
    <w:rsid w:val="00F5462B"/>
    <w:rsid w:val="00F634AD"/>
    <w:rsid w:val="00F63677"/>
    <w:rsid w:val="00F73144"/>
    <w:rsid w:val="00F75B81"/>
    <w:rsid w:val="00F75D8A"/>
    <w:rsid w:val="00F804C4"/>
    <w:rsid w:val="00F809CE"/>
    <w:rsid w:val="00F82F83"/>
    <w:rsid w:val="00F82FED"/>
    <w:rsid w:val="00F832E5"/>
    <w:rsid w:val="00F84521"/>
    <w:rsid w:val="00F87D65"/>
    <w:rsid w:val="00F92B30"/>
    <w:rsid w:val="00F933B9"/>
    <w:rsid w:val="00F94674"/>
    <w:rsid w:val="00F94919"/>
    <w:rsid w:val="00F94A59"/>
    <w:rsid w:val="00F9653C"/>
    <w:rsid w:val="00FA25B6"/>
    <w:rsid w:val="00FA2FAF"/>
    <w:rsid w:val="00FA64B1"/>
    <w:rsid w:val="00FA70F3"/>
    <w:rsid w:val="00FA71CD"/>
    <w:rsid w:val="00FB0453"/>
    <w:rsid w:val="00FB0C07"/>
    <w:rsid w:val="00FB298D"/>
    <w:rsid w:val="00FC1439"/>
    <w:rsid w:val="00FC477B"/>
    <w:rsid w:val="00FC724B"/>
    <w:rsid w:val="00FC7910"/>
    <w:rsid w:val="00FF0DA7"/>
    <w:rsid w:val="00FF1022"/>
    <w:rsid w:val="00FF44E0"/>
    <w:rsid w:val="00FF6C72"/>
    <w:rsid w:val="00FF783A"/>
    <w:rsid w:val="016A773C"/>
    <w:rsid w:val="01E210C4"/>
    <w:rsid w:val="03AF0B69"/>
    <w:rsid w:val="06382C50"/>
    <w:rsid w:val="06BB6302"/>
    <w:rsid w:val="08F03DA2"/>
    <w:rsid w:val="094A1BE5"/>
    <w:rsid w:val="0AF965FF"/>
    <w:rsid w:val="0CAF268A"/>
    <w:rsid w:val="0CF956B3"/>
    <w:rsid w:val="0D0D7E67"/>
    <w:rsid w:val="0D6E42F3"/>
    <w:rsid w:val="0EE67333"/>
    <w:rsid w:val="1034712E"/>
    <w:rsid w:val="129462CC"/>
    <w:rsid w:val="130866EA"/>
    <w:rsid w:val="13A02D2C"/>
    <w:rsid w:val="14613A7F"/>
    <w:rsid w:val="14717EAE"/>
    <w:rsid w:val="16393604"/>
    <w:rsid w:val="18954E2A"/>
    <w:rsid w:val="18F71640"/>
    <w:rsid w:val="19A4731C"/>
    <w:rsid w:val="1A8841E5"/>
    <w:rsid w:val="1AF96A3E"/>
    <w:rsid w:val="1B102545"/>
    <w:rsid w:val="1BCB46BE"/>
    <w:rsid w:val="1BD61EC4"/>
    <w:rsid w:val="1C1F6775"/>
    <w:rsid w:val="1CAB1D11"/>
    <w:rsid w:val="1D3B2012"/>
    <w:rsid w:val="1D4F1A4B"/>
    <w:rsid w:val="1D794B5C"/>
    <w:rsid w:val="1DAA2521"/>
    <w:rsid w:val="1F59095F"/>
    <w:rsid w:val="1F7B7743"/>
    <w:rsid w:val="207240C5"/>
    <w:rsid w:val="210E39CB"/>
    <w:rsid w:val="238A7E96"/>
    <w:rsid w:val="25164BFC"/>
    <w:rsid w:val="278F0C96"/>
    <w:rsid w:val="291B6C85"/>
    <w:rsid w:val="29257B04"/>
    <w:rsid w:val="295108F9"/>
    <w:rsid w:val="29E5020D"/>
    <w:rsid w:val="2A3C5105"/>
    <w:rsid w:val="2AB976E3"/>
    <w:rsid w:val="2B8A3B5C"/>
    <w:rsid w:val="2C1E70A1"/>
    <w:rsid w:val="2C354BD3"/>
    <w:rsid w:val="2CC14B77"/>
    <w:rsid w:val="2CCE28B7"/>
    <w:rsid w:val="2E663F39"/>
    <w:rsid w:val="2E8A3E18"/>
    <w:rsid w:val="30292168"/>
    <w:rsid w:val="30937A49"/>
    <w:rsid w:val="31A12A84"/>
    <w:rsid w:val="32DF1C87"/>
    <w:rsid w:val="32E620B2"/>
    <w:rsid w:val="33070B6A"/>
    <w:rsid w:val="33105381"/>
    <w:rsid w:val="336171C9"/>
    <w:rsid w:val="34945B3E"/>
    <w:rsid w:val="358A47BA"/>
    <w:rsid w:val="35A43BDE"/>
    <w:rsid w:val="35CF4AD8"/>
    <w:rsid w:val="370D04CC"/>
    <w:rsid w:val="377256D9"/>
    <w:rsid w:val="37BE184F"/>
    <w:rsid w:val="37D41F48"/>
    <w:rsid w:val="37D8144B"/>
    <w:rsid w:val="38074365"/>
    <w:rsid w:val="3840654A"/>
    <w:rsid w:val="38804D57"/>
    <w:rsid w:val="3919661F"/>
    <w:rsid w:val="39780BE4"/>
    <w:rsid w:val="3A231E3E"/>
    <w:rsid w:val="3ACD3B57"/>
    <w:rsid w:val="3B141786"/>
    <w:rsid w:val="3C5207B8"/>
    <w:rsid w:val="3C83404F"/>
    <w:rsid w:val="3EB63280"/>
    <w:rsid w:val="3FBD063E"/>
    <w:rsid w:val="40A013A3"/>
    <w:rsid w:val="420D6C6E"/>
    <w:rsid w:val="423F7B09"/>
    <w:rsid w:val="42784CF1"/>
    <w:rsid w:val="42B92582"/>
    <w:rsid w:val="42C77CC9"/>
    <w:rsid w:val="43387DD7"/>
    <w:rsid w:val="446F17B7"/>
    <w:rsid w:val="45B922D2"/>
    <w:rsid w:val="45F57768"/>
    <w:rsid w:val="462E37F4"/>
    <w:rsid w:val="46B7486B"/>
    <w:rsid w:val="487228B3"/>
    <w:rsid w:val="4A37498A"/>
    <w:rsid w:val="4C2F377A"/>
    <w:rsid w:val="4C861266"/>
    <w:rsid w:val="4CD430C3"/>
    <w:rsid w:val="4DB56DF9"/>
    <w:rsid w:val="4EA51618"/>
    <w:rsid w:val="4F3934EB"/>
    <w:rsid w:val="4F730D1A"/>
    <w:rsid w:val="503B1382"/>
    <w:rsid w:val="50422564"/>
    <w:rsid w:val="52F46D87"/>
    <w:rsid w:val="52F82D96"/>
    <w:rsid w:val="538F25F8"/>
    <w:rsid w:val="545E690B"/>
    <w:rsid w:val="550F7B55"/>
    <w:rsid w:val="55122FD8"/>
    <w:rsid w:val="56624E79"/>
    <w:rsid w:val="57EE53E1"/>
    <w:rsid w:val="58433196"/>
    <w:rsid w:val="58BB4F8A"/>
    <w:rsid w:val="58F9403E"/>
    <w:rsid w:val="59A467E4"/>
    <w:rsid w:val="5A0D7B97"/>
    <w:rsid w:val="5A403EEE"/>
    <w:rsid w:val="5AF2460E"/>
    <w:rsid w:val="5B1F3B03"/>
    <w:rsid w:val="5BEE5182"/>
    <w:rsid w:val="5E8545C5"/>
    <w:rsid w:val="607D5554"/>
    <w:rsid w:val="619F14FA"/>
    <w:rsid w:val="61C64D38"/>
    <w:rsid w:val="626E590B"/>
    <w:rsid w:val="63660330"/>
    <w:rsid w:val="63716633"/>
    <w:rsid w:val="64586600"/>
    <w:rsid w:val="650629C1"/>
    <w:rsid w:val="65960EE4"/>
    <w:rsid w:val="67B8418F"/>
    <w:rsid w:val="68307350"/>
    <w:rsid w:val="69912070"/>
    <w:rsid w:val="69A41912"/>
    <w:rsid w:val="6A8120E5"/>
    <w:rsid w:val="6B3A0A80"/>
    <w:rsid w:val="6B486391"/>
    <w:rsid w:val="6B760CC0"/>
    <w:rsid w:val="6CC47B0B"/>
    <w:rsid w:val="6CDE4879"/>
    <w:rsid w:val="6F182CE3"/>
    <w:rsid w:val="702E041A"/>
    <w:rsid w:val="723F3412"/>
    <w:rsid w:val="72EA4637"/>
    <w:rsid w:val="733D26B2"/>
    <w:rsid w:val="77324D59"/>
    <w:rsid w:val="779736ED"/>
    <w:rsid w:val="783A06B1"/>
    <w:rsid w:val="78435456"/>
    <w:rsid w:val="78DB71ED"/>
    <w:rsid w:val="7A013357"/>
    <w:rsid w:val="7AAA11E4"/>
    <w:rsid w:val="7B135E91"/>
    <w:rsid w:val="7B161C7D"/>
    <w:rsid w:val="7BC71922"/>
    <w:rsid w:val="7BD04C7A"/>
    <w:rsid w:val="7C296F46"/>
    <w:rsid w:val="7C3575AF"/>
    <w:rsid w:val="7C396CCF"/>
    <w:rsid w:val="7CCF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8">
    <w:name w:val="heading 2"/>
    <w:basedOn w:val="1"/>
    <w:next w:val="1"/>
    <w:autoRedefine/>
    <w:unhideWhenUsed/>
    <w:qFormat/>
    <w:uiPriority w:val="0"/>
    <w:pPr>
      <w:keepNext/>
      <w:keepLines/>
      <w:spacing w:before="260" w:after="260" w:line="416" w:lineRule="auto"/>
      <w:outlineLvl w:val="1"/>
    </w:pPr>
    <w:rPr>
      <w:rFonts w:ascii="Cambria" w:hAnsi="Cambria" w:cs="Times New Roman"/>
      <w:b/>
      <w:bCs/>
      <w:sz w:val="32"/>
      <w:szCs w:val="32"/>
      <w:lang w:val="zh-CN"/>
    </w:rPr>
  </w:style>
  <w:style w:type="paragraph" w:styleId="9">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560" w:firstLineChars="200"/>
    </w:pPr>
    <w:rPr>
      <w:rFonts w:ascii="Times New Roman" w:hAnsi="Times New Roman" w:eastAsia="宋体" w:cs="Times New Roman"/>
      <w:sz w:val="28"/>
    </w:rPr>
  </w:style>
  <w:style w:type="paragraph" w:styleId="4">
    <w:name w:val="envelope return"/>
    <w:basedOn w:val="1"/>
    <w:qFormat/>
    <w:uiPriority w:val="0"/>
  </w:style>
  <w:style w:type="paragraph" w:styleId="5">
    <w:name w:val="Body Text First Indent"/>
    <w:basedOn w:val="6"/>
    <w:autoRedefine/>
    <w:unhideWhenUsed/>
    <w:qFormat/>
    <w:uiPriority w:val="99"/>
    <w:pPr>
      <w:ind w:firstLine="420" w:firstLineChars="100"/>
    </w:pPr>
  </w:style>
  <w:style w:type="paragraph" w:styleId="6">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57"/>
    <w:autoRedefine/>
    <w:qFormat/>
    <w:uiPriority w:val="0"/>
    <w:pPr>
      <w:jc w:val="left"/>
    </w:pPr>
    <w:rPr>
      <w:rFonts w:ascii="Arial" w:hAnsi="Arial" w:eastAsia="黑体" w:cs="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6"/>
    <w:autoRedefine/>
    <w:qFormat/>
    <w:uiPriority w:val="99"/>
    <w:rPr>
      <w:rFonts w:ascii="宋体" w:hAnsi="Courier New" w:eastAsiaTheme="minorEastAsia" w:cstheme="minorBidi"/>
      <w:szCs w:val="22"/>
    </w:rPr>
  </w:style>
  <w:style w:type="paragraph" w:styleId="15">
    <w:name w:val="Date"/>
    <w:basedOn w:val="1"/>
    <w:next w:val="1"/>
    <w:link w:val="53"/>
    <w:autoRedefine/>
    <w:qFormat/>
    <w:uiPriority w:val="0"/>
    <w:rPr>
      <w:rFonts w:ascii="Arial" w:hAnsi="Arial" w:eastAsia="宋体" w:cs="Arial"/>
      <w:b/>
      <w:sz w:val="28"/>
    </w:rPr>
  </w:style>
  <w:style w:type="paragraph" w:styleId="16">
    <w:name w:val="Balloon Text"/>
    <w:basedOn w:val="1"/>
    <w:link w:val="40"/>
    <w:autoRedefine/>
    <w:semiHidden/>
    <w:unhideWhenUsed/>
    <w:qFormat/>
    <w:uiPriority w:val="99"/>
    <w:rPr>
      <w:sz w:val="18"/>
      <w:szCs w:val="18"/>
    </w:rPr>
  </w:style>
  <w:style w:type="paragraph" w:styleId="17">
    <w:name w:val="footer"/>
    <w:basedOn w:val="1"/>
    <w:link w:val="45"/>
    <w:autoRedefine/>
    <w:unhideWhenUsed/>
    <w:qFormat/>
    <w:uiPriority w:val="99"/>
    <w:pPr>
      <w:tabs>
        <w:tab w:val="center" w:pos="4153"/>
        <w:tab w:val="right" w:pos="8306"/>
      </w:tabs>
      <w:snapToGrid w:val="0"/>
      <w:jc w:val="left"/>
    </w:pPr>
    <w:rPr>
      <w:sz w:val="18"/>
      <w:szCs w:val="18"/>
    </w:rPr>
  </w:style>
  <w:style w:type="paragraph" w:styleId="18">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2"/>
    <w:next w:val="12"/>
    <w:link w:val="69"/>
    <w:semiHidden/>
    <w:unhideWhenUsed/>
    <w:qFormat/>
    <w:uiPriority w:val="99"/>
    <w:rPr>
      <w:rFonts w:ascii="@仿宋_GB2312" w:hAnsi="@仿宋_GB2312" w:eastAsia="@仿宋_GB2312" w:cs="@仿宋_GB2312"/>
      <w:b/>
      <w:bCs/>
    </w:rPr>
  </w:style>
  <w:style w:type="table" w:styleId="25">
    <w:name w:val="Table Grid"/>
    <w:basedOn w:val="24"/>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ascii="monospace" w:hAnsi="monospace" w:eastAsia="monospace" w:cs="monospace"/>
      <w:sz w:val="20"/>
    </w:rPr>
  </w:style>
  <w:style w:type="character" w:styleId="32">
    <w:name w:val="HTML Acronym"/>
    <w:basedOn w:val="26"/>
    <w:semiHidden/>
    <w:unhideWhenUsed/>
    <w:qFormat/>
    <w:uiPriority w:val="99"/>
    <w:rPr>
      <w:bdr w:val="none" w:color="auto" w:sz="0" w:space="0"/>
    </w:rPr>
  </w:style>
  <w:style w:type="character" w:styleId="33">
    <w:name w:val="HTML Variable"/>
    <w:basedOn w:val="26"/>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sz w:val="20"/>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hint="default" w:ascii="monospace" w:hAnsi="monospace" w:eastAsia="monospace" w:cs="monospace"/>
    </w:rPr>
  </w:style>
  <w:style w:type="character" w:customStyle="1" w:styleId="40">
    <w:name w:val="批注框文本 字符"/>
    <w:basedOn w:val="26"/>
    <w:link w:val="16"/>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spacing w:line="360" w:lineRule="auto"/>
    </w:pPr>
    <w:rPr>
      <w:rFonts w:ascii="宋体" w:hAnsi="宋体" w:eastAsia="宋体" w:cs="宋体"/>
      <w:sz w:val="28"/>
      <w:szCs w:val="24"/>
    </w:rPr>
  </w:style>
  <w:style w:type="paragraph" w:customStyle="1" w:styleId="43">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字符"/>
    <w:basedOn w:val="26"/>
    <w:link w:val="18"/>
    <w:autoRedefine/>
    <w:qFormat/>
    <w:uiPriority w:val="0"/>
    <w:rPr>
      <w:rFonts w:ascii="@仿宋_GB2312" w:hAnsi="@仿宋_GB2312" w:eastAsia="@仿宋_GB2312" w:cs="@仿宋_GB2312"/>
      <w:sz w:val="18"/>
      <w:szCs w:val="18"/>
    </w:rPr>
  </w:style>
  <w:style w:type="character" w:customStyle="1" w:styleId="45">
    <w:name w:val="页脚 字符"/>
    <w:basedOn w:val="26"/>
    <w:link w:val="17"/>
    <w:autoRedefine/>
    <w:qFormat/>
    <w:uiPriority w:val="99"/>
    <w:rPr>
      <w:rFonts w:ascii="@仿宋_GB2312" w:hAnsi="@仿宋_GB2312" w:eastAsia="@仿宋_GB2312" w:cs="@仿宋_GB2312"/>
      <w:sz w:val="18"/>
      <w:szCs w:val="18"/>
    </w:rPr>
  </w:style>
  <w:style w:type="character" w:customStyle="1" w:styleId="46">
    <w:name w:val="纯文本 字符"/>
    <w:link w:val="14"/>
    <w:autoRedefine/>
    <w:qFormat/>
    <w:uiPriority w:val="0"/>
    <w:rPr>
      <w:rFonts w:ascii="宋体" w:hAnsi="Courier New"/>
    </w:rPr>
  </w:style>
  <w:style w:type="character" w:customStyle="1" w:styleId="47">
    <w:name w:val="纯文本 字符1"/>
    <w:basedOn w:val="26"/>
    <w:semiHidden/>
    <w:qFormat/>
    <w:uiPriority w:val="99"/>
    <w:rPr>
      <w:rFonts w:hAnsi="Courier New" w:cs="Courier New" w:asciiTheme="minorEastAsia"/>
      <w:szCs w:val="20"/>
    </w:rPr>
  </w:style>
  <w:style w:type="character" w:customStyle="1" w:styleId="48">
    <w:name w:val="未处理的提及1"/>
    <w:basedOn w:val="26"/>
    <w:autoRedefine/>
    <w:semiHidden/>
    <w:unhideWhenUsed/>
    <w:qFormat/>
    <w:uiPriority w:val="99"/>
    <w:rPr>
      <w:color w:val="605E5C"/>
      <w:shd w:val="clear" w:color="auto" w:fill="E1DFDD"/>
    </w:rPr>
  </w:style>
  <w:style w:type="paragraph" w:styleId="49">
    <w:name w:val="List Paragraph"/>
    <w:basedOn w:val="1"/>
    <w:autoRedefine/>
    <w:qFormat/>
    <w:uiPriority w:val="0"/>
    <w:pPr>
      <w:spacing w:line="360" w:lineRule="auto"/>
      <w:ind w:left="425" w:firstLine="480" w:firstLineChars="200"/>
    </w:pPr>
    <w:rPr>
      <w:rFonts w:ascii="宋体" w:hAnsi="宋体" w:eastAsia="宋体" w:cs="Arial"/>
      <w:sz w:val="24"/>
      <w:szCs w:val="24"/>
      <w:shd w:val="clear" w:color="auto" w:fill="FFFFFF"/>
    </w:r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6"/>
    <w:autoRedefine/>
    <w:semiHidden/>
    <w:qFormat/>
    <w:uiPriority w:val="99"/>
    <w:rPr>
      <w:rFonts w:ascii="@仿宋_GB2312" w:hAnsi="@仿宋_GB2312" w:eastAsia="@仿宋_GB2312" w:cs="@仿宋_GB2312"/>
      <w:szCs w:val="20"/>
    </w:rPr>
  </w:style>
  <w:style w:type="character" w:customStyle="1" w:styleId="53">
    <w:name w:val="日期 字符1"/>
    <w:link w:val="15"/>
    <w:autoRedefine/>
    <w:qFormat/>
    <w:uiPriority w:val="0"/>
    <w:rPr>
      <w:rFonts w:ascii="Arial" w:hAnsi="Arial" w:eastAsia="宋体" w:cs="Arial"/>
      <w:b/>
      <w:sz w:val="28"/>
      <w:szCs w:val="20"/>
    </w:rPr>
  </w:style>
  <w:style w:type="character" w:customStyle="1" w:styleId="54">
    <w:name w:val="纯文本 Char1"/>
    <w:link w:val="55"/>
    <w:qFormat/>
    <w:locked/>
    <w:uiPriority w:val="0"/>
    <w:rPr>
      <w:rFonts w:ascii="Arial" w:hAnsi="Arial" w:eastAsia="Arial"/>
      <w:kern w:val="2"/>
      <w:sz w:val="21"/>
      <w:lang w:val="en-US" w:eastAsia="zh-CN" w:bidi="ar-SA"/>
    </w:rPr>
  </w:style>
  <w:style w:type="paragraph" w:customStyle="1" w:styleId="55">
    <w:name w:val="纯文本1"/>
    <w:basedOn w:val="1"/>
    <w:link w:val="54"/>
    <w:autoRedefine/>
    <w:qFormat/>
    <w:uiPriority w:val="0"/>
    <w:rPr>
      <w:rFonts w:ascii="Arial" w:hAnsi="Arial" w:eastAsia="Arial" w:cstheme="minorBidi"/>
      <w:szCs w:val="22"/>
    </w:rPr>
  </w:style>
  <w:style w:type="character" w:customStyle="1" w:styleId="56">
    <w:name w:val="批注文字 Char"/>
    <w:basedOn w:val="26"/>
    <w:autoRedefine/>
    <w:semiHidden/>
    <w:qFormat/>
    <w:uiPriority w:val="99"/>
    <w:rPr>
      <w:rFonts w:ascii="@仿宋_GB2312" w:hAnsi="@仿宋_GB2312" w:eastAsia="@仿宋_GB2312" w:cs="@仿宋_GB2312"/>
      <w:szCs w:val="20"/>
    </w:rPr>
  </w:style>
  <w:style w:type="character" w:customStyle="1" w:styleId="57">
    <w:name w:val="批注文字 字符"/>
    <w:link w:val="12"/>
    <w:autoRedefine/>
    <w:qFormat/>
    <w:uiPriority w:val="0"/>
    <w:rPr>
      <w:rFonts w:ascii="Arial" w:hAnsi="Arial" w:eastAsia="黑体" w:cs="Arial"/>
      <w:szCs w:val="20"/>
    </w:rPr>
  </w:style>
  <w:style w:type="character" w:customStyle="1" w:styleId="58">
    <w:name w:val="标题 1 字符"/>
    <w:basedOn w:val="26"/>
    <w:link w:val="7"/>
    <w:autoRedefine/>
    <w:qFormat/>
    <w:uiPriority w:val="9"/>
    <w:rPr>
      <w:rFonts w:ascii="@仿宋_GB2312" w:hAnsi="@仿宋_GB2312" w:eastAsia="@仿宋_GB2312" w:cs="@仿宋_GB2312"/>
      <w:b/>
      <w:bCs/>
      <w:kern w:val="44"/>
      <w:sz w:val="44"/>
      <w:szCs w:val="44"/>
    </w:rPr>
  </w:style>
  <w:style w:type="paragraph" w:customStyle="1" w:styleId="59">
    <w:name w:val="TOC 标题1"/>
    <w:basedOn w:val="7"/>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6"/>
    <w:link w:val="9"/>
    <w:autoRedefine/>
    <w:semiHidden/>
    <w:qFormat/>
    <w:uiPriority w:val="9"/>
    <w:rPr>
      <w:rFonts w:ascii="@仿宋_GB2312" w:hAnsi="@仿宋_GB2312" w:eastAsia="@仿宋_GB2312" w:cs="@仿宋_GB2312"/>
      <w:b/>
      <w:bCs/>
      <w:sz w:val="32"/>
      <w:szCs w:val="32"/>
    </w:rPr>
  </w:style>
  <w:style w:type="character" w:customStyle="1" w:styleId="61">
    <w:name w:val="fontstyle01"/>
    <w:basedOn w:val="26"/>
    <w:autoRedefine/>
    <w:qFormat/>
    <w:uiPriority w:val="0"/>
    <w:rPr>
      <w:rFonts w:hint="eastAsia" w:ascii="宋体" w:hAnsi="宋体" w:eastAsia="宋体"/>
      <w:color w:val="000000"/>
      <w:sz w:val="22"/>
      <w:szCs w:val="22"/>
    </w:rPr>
  </w:style>
  <w:style w:type="character" w:customStyle="1" w:styleId="62">
    <w:name w:val="fontstyle21"/>
    <w:basedOn w:val="26"/>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10"/>
    <w:autoRedefine/>
    <w:qFormat/>
    <w:uiPriority w:val="0"/>
    <w:rPr>
      <w:rFonts w:ascii="@仿宋_GB2312" w:hAnsi="@仿宋_GB2312" w:eastAsia="@仿宋_GB2312" w:cs="@仿宋_GB2312"/>
      <w:b/>
      <w:bCs/>
      <w:sz w:val="28"/>
      <w:szCs w:val="28"/>
    </w:rPr>
  </w:style>
  <w:style w:type="paragraph" w:customStyle="1" w:styleId="66">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6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69">
    <w:name w:val="批注主题 字符"/>
    <w:basedOn w:val="57"/>
    <w:link w:val="23"/>
    <w:semiHidden/>
    <w:qFormat/>
    <w:uiPriority w:val="99"/>
    <w:rPr>
      <w:rFonts w:ascii="@仿宋_GB2312" w:hAnsi="@仿宋_GB2312" w:eastAsia="@仿宋_GB2312" w:cs="@仿宋_GB2312"/>
      <w:b/>
      <w:bCs/>
      <w:kern w:val="2"/>
      <w:sz w:val="21"/>
      <w:szCs w:val="20"/>
    </w:rPr>
  </w:style>
  <w:style w:type="paragraph" w:customStyle="1" w:styleId="70">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00AB-D4FD-4DF6-8D00-47C1CCF56A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19953</Words>
  <Characters>20705</Characters>
  <Lines>165</Lines>
  <Paragraphs>46</Paragraphs>
  <TotalTime>38</TotalTime>
  <ScaleCrop>false</ScaleCrop>
  <LinksUpToDate>false</LinksUpToDate>
  <CharactersWithSpaces>21881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2024-06-25T03:31:00Z</dcterms:created>
  <dc:creator>Anakin</dc:creator>
  <cp:lastModifiedBy>admin</cp:lastModifiedBy>
  <cp:lastPrinted>2023-07-08T05:55:00Z</cp:lastPrinted>
  <dcterms:modified xsi:type="dcterms:W3CDTF">2024-07-23T01:31:15Z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09B187D6E1F44F7FB72957B23695929F_13</vt:lpwstr>
  </property>
</Properties>
</file>