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百大电器经营车辆转让-皖AU9426公告（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4230"/>
        <w:gridCol w:w="252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百大电器经营车辆转让-皖AU9426（</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车牌号：皖AU9426；厂牌型号：江淮牌HFC5040XXYP93K9B4厢式运输车；发动机号：WB882863；注册日期：2015年4月30日；车辆识别代号：LJ11KBAB6F6015081；交强险有效</w:t>
            </w:r>
            <w:r>
              <w:rPr>
                <w:rFonts w:hint="eastAsia" w:asciiTheme="minorEastAsia" w:hAnsiTheme="minorEastAsia" w:eastAsiaTheme="minorEastAsia" w:cstheme="minorEastAsia"/>
                <w:color w:val="auto"/>
                <w:sz w:val="24"/>
                <w:szCs w:val="24"/>
                <w:highlight w:val="none"/>
                <w:u w:val="none"/>
              </w:rPr>
              <w:t>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年4月；年审有效期至202</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年4月；</w:t>
            </w:r>
            <w:r>
              <w:rPr>
                <w:rFonts w:hint="eastAsia" w:asciiTheme="minorEastAsia" w:hAnsiTheme="minorEastAsia" w:eastAsiaTheme="minorEastAsia" w:cstheme="minorEastAsia"/>
                <w:color w:val="auto"/>
                <w:sz w:val="24"/>
                <w:szCs w:val="24"/>
                <w:u w:val="none"/>
              </w:rPr>
              <w:t>车辆行驶公里数：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5.9万公里。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2.04768万元</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（1）开标日前（含当日）6个月内记分累计未满10分的；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（2）开标日前（含当日）12个月内记分累计未满15分的；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（3）开标日前（含当日）18个月内记分累计未满20分的；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400"/>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账号：76700188015027421</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B44106"/>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16FFA"/>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8E6712D"/>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7D3699"/>
    <w:rsid w:val="25A06290"/>
    <w:rsid w:val="262E08C8"/>
    <w:rsid w:val="26A22D3B"/>
    <w:rsid w:val="26BE13B8"/>
    <w:rsid w:val="26CA20DA"/>
    <w:rsid w:val="275663AF"/>
    <w:rsid w:val="27937413"/>
    <w:rsid w:val="28913D5D"/>
    <w:rsid w:val="28992911"/>
    <w:rsid w:val="28CD411E"/>
    <w:rsid w:val="2AA20A81"/>
    <w:rsid w:val="2AA24CCF"/>
    <w:rsid w:val="2AB23251"/>
    <w:rsid w:val="2AB34132"/>
    <w:rsid w:val="2AD3364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522BD"/>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AB0E1C"/>
    <w:rsid w:val="52FD7EED"/>
    <w:rsid w:val="530354E7"/>
    <w:rsid w:val="5318357E"/>
    <w:rsid w:val="535E0AA1"/>
    <w:rsid w:val="53932514"/>
    <w:rsid w:val="53B15C68"/>
    <w:rsid w:val="53EF2B09"/>
    <w:rsid w:val="544F44C0"/>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0D1F03"/>
    <w:rsid w:val="5C812D18"/>
    <w:rsid w:val="5C866462"/>
    <w:rsid w:val="5CC26288"/>
    <w:rsid w:val="5D29222B"/>
    <w:rsid w:val="5D4A6D21"/>
    <w:rsid w:val="5D546AD2"/>
    <w:rsid w:val="5DCD6BA9"/>
    <w:rsid w:val="5E446E86"/>
    <w:rsid w:val="5E68641E"/>
    <w:rsid w:val="5EB17FE1"/>
    <w:rsid w:val="5F0658D2"/>
    <w:rsid w:val="5F614F34"/>
    <w:rsid w:val="601F49FC"/>
    <w:rsid w:val="6049761B"/>
    <w:rsid w:val="60624F85"/>
    <w:rsid w:val="60AF09F4"/>
    <w:rsid w:val="611A1E80"/>
    <w:rsid w:val="61233639"/>
    <w:rsid w:val="621B75F4"/>
    <w:rsid w:val="634639AA"/>
    <w:rsid w:val="63C23447"/>
    <w:rsid w:val="646853A3"/>
    <w:rsid w:val="654D05A3"/>
    <w:rsid w:val="66381E91"/>
    <w:rsid w:val="67123190"/>
    <w:rsid w:val="67263639"/>
    <w:rsid w:val="67E40EA2"/>
    <w:rsid w:val="69905939"/>
    <w:rsid w:val="69D80CEE"/>
    <w:rsid w:val="69E153C6"/>
    <w:rsid w:val="6A687C6F"/>
    <w:rsid w:val="6B0D3C09"/>
    <w:rsid w:val="6BB9245A"/>
    <w:rsid w:val="6BC14E5B"/>
    <w:rsid w:val="6C135E38"/>
    <w:rsid w:val="6C195723"/>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4041F4"/>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B6A0651"/>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10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2024-07-09T03:17:09Z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9FA6C923716E49DEA6FDA5FA27D3AF99_12</vt:lpwstr>
  </property>
</Properties>
</file>