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百大电器经营车辆转让-皖AL6864公告（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4230"/>
        <w:gridCol w:w="252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百大电器经营车辆转让-皖AL6864（</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车牌号：皖AL6864；厂牌型号：江淮牌HFC5040XXYP93K9B4厢式运输车；发动机号：WB882798；注册日期：2015年4月30日；车辆识别代号：LJ11KBABXF6015083；交强险有效期</w:t>
            </w:r>
            <w:r>
              <w:rPr>
                <w:rFonts w:hint="eastAsia" w:asciiTheme="minorEastAsia" w:hAnsiTheme="minorEastAsia" w:eastAsiaTheme="minorEastAsia" w:cstheme="minorEastAsia"/>
                <w:color w:val="auto"/>
                <w:sz w:val="24"/>
                <w:szCs w:val="24"/>
                <w:highlight w:val="none"/>
                <w:u w:val="none"/>
              </w:rPr>
              <w:t>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w:t>
            </w:r>
            <w:r>
              <w:rPr>
                <w:rFonts w:hint="eastAsia" w:asciiTheme="minorEastAsia" w:hAnsiTheme="minorEastAsia" w:eastAsiaTheme="minorEastAsia" w:cstheme="minorEastAsia"/>
                <w:color w:val="auto"/>
                <w:sz w:val="24"/>
                <w:szCs w:val="24"/>
                <w:u w:val="none"/>
              </w:rPr>
              <w:t>；车辆行驶公里数：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5.4万公里。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40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账号：76700188015027257</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个工作日内向合肥市产权交易中心指定账户（</w:t>
      </w:r>
      <w:r>
        <w:rPr>
          <w:rFonts w:hint="eastAsia" w:asciiTheme="minorEastAsia" w:hAnsiTheme="minorEastAsia" w:eastAsiaTheme="minorEastAsia" w:cstheme="minorEastAsia"/>
          <w:color w:val="auto"/>
          <w:sz w:val="24"/>
          <w:szCs w:val="24"/>
          <w:lang w:val="en-US" w:eastAsia="zh-CN"/>
        </w:rPr>
        <w:t>户名</w:t>
      </w:r>
      <w:r>
        <w:rPr>
          <w:rFonts w:hint="eastAsia" w:asciiTheme="minorEastAsia" w:hAnsiTheme="minorEastAsia" w:eastAsiaTheme="minorEastAsia" w:cstheme="minorEastAsia"/>
          <w:color w:val="auto"/>
          <w:sz w:val="24"/>
          <w:szCs w:val="24"/>
        </w:rPr>
        <w:t>：合肥市产权交易中心；开户银行：</w:t>
      </w:r>
      <w:r>
        <w:rPr>
          <w:rFonts w:hint="eastAsia" w:asciiTheme="minorEastAsia" w:hAnsiTheme="minorEastAsia" w:eastAsiaTheme="minorEastAsia" w:cstheme="minorEastAsia"/>
          <w:color w:val="auto"/>
          <w:sz w:val="24"/>
          <w:szCs w:val="24"/>
          <w:lang w:val="en-US" w:eastAsia="zh-CN"/>
        </w:rPr>
        <w:t>中国</w:t>
      </w:r>
      <w:r>
        <w:rPr>
          <w:rFonts w:hint="eastAsia" w:asciiTheme="minorEastAsia" w:hAnsiTheme="minorEastAsia" w:eastAsiaTheme="minorEastAsia" w:cstheme="minorEastAsia"/>
          <w:color w:val="auto"/>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阜南路支行；账号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76700188004098682）一次性付清全部转让价款。</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color w:val="auto"/>
          <w:sz w:val="24"/>
        </w:rPr>
        <w:t>转让标的交割事项</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w:t>
      </w:r>
      <w:r>
        <w:rPr>
          <w:rFonts w:hint="eastAsia" w:cs="Times New Roman" w:asciiTheme="minorEastAsia" w:hAnsiTheme="minorEastAsia" w:eastAsiaTheme="minorEastAsia"/>
          <w:b w:val="0"/>
          <w:bCs/>
          <w:color w:val="auto"/>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color w:val="auto"/>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color w:val="auto"/>
        </w:rPr>
        <w:t>，过户</w:t>
      </w:r>
      <w:r>
        <w:rPr>
          <w:rFonts w:hint="eastAsia" w:asciiTheme="minorEastAsia" w:hAnsiTheme="minorEastAsia" w:eastAsiaTheme="minorEastAsia" w:cstheme="minorEastAsia"/>
          <w:b w:val="0"/>
          <w:bCs/>
          <w:color w:val="auto"/>
          <w:sz w:val="24"/>
        </w:rPr>
        <w:t>后办理交接手续。</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转让过程中涉及的相关税费</w:t>
      </w:r>
      <w:r>
        <w:rPr>
          <w:rFonts w:hint="eastAsia" w:cs="Times New Roman" w:asciiTheme="minorEastAsia" w:hAnsiTheme="minorEastAsia" w:eastAsiaTheme="minorEastAsia"/>
          <w:b w:val="0"/>
          <w:bCs/>
          <w:color w:val="auto"/>
          <w:sz w:val="24"/>
        </w:rPr>
        <w:t>等</w:t>
      </w:r>
      <w:r>
        <w:rPr>
          <w:rFonts w:hint="eastAsia" w:asciiTheme="minorEastAsia" w:hAnsiTheme="minorEastAsia" w:eastAsiaTheme="minorEastAsia" w:cstheme="minorEastAsia"/>
          <w:b w:val="0"/>
          <w:bCs/>
          <w:color w:val="auto"/>
          <w:sz w:val="24"/>
        </w:rPr>
        <w:t>均由乙方承担。</w:t>
      </w:r>
    </w:p>
    <w:p>
      <w:pPr>
        <w:spacing w:line="400" w:lineRule="exact"/>
        <w:ind w:firstLine="460" w:firstLineChars="192"/>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第七条 特别约定</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第八条 违约责任</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第九条 争议的解决方式</w:t>
      </w:r>
    </w:p>
    <w:p>
      <w:pPr>
        <w:spacing w:line="52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color w:val="auto"/>
          <w:sz w:val="24"/>
        </w:rPr>
      </w:pPr>
    </w:p>
    <w:p>
      <w:pPr>
        <w:spacing w:line="400" w:lineRule="exact"/>
        <w:ind w:firstLine="480" w:firstLineChars="200"/>
        <w:rPr>
          <w:rFonts w:asciiTheme="minorEastAsia" w:hAnsiTheme="minorEastAsia" w:eastAsiaTheme="minorEastAsia" w:cstheme="minorEastAsia"/>
          <w:b w:val="0"/>
          <w:bCs/>
          <w:color w:val="auto"/>
          <w:sz w:val="24"/>
        </w:rPr>
      </w:pP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甲方（盖章）：                   乙方（盖章/签字）：</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 xml:space="preserve">联系电话：                       联系电话： </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5754"/>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2C40736"/>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50326D"/>
    <w:rsid w:val="0C74545D"/>
    <w:rsid w:val="0C8E71A9"/>
    <w:rsid w:val="0C9A26A6"/>
    <w:rsid w:val="0CBA3DB4"/>
    <w:rsid w:val="0CF71200"/>
    <w:rsid w:val="0D02720D"/>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C6746E"/>
    <w:rsid w:val="1AD37D99"/>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466962"/>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B7656F7"/>
    <w:rsid w:val="2C8E2C7A"/>
    <w:rsid w:val="2CB73442"/>
    <w:rsid w:val="2CFF5CAC"/>
    <w:rsid w:val="2DAF14FF"/>
    <w:rsid w:val="2DC73151"/>
    <w:rsid w:val="2E083D76"/>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5C7223"/>
    <w:rsid w:val="346E4FE9"/>
    <w:rsid w:val="347A034A"/>
    <w:rsid w:val="34DE3CC5"/>
    <w:rsid w:val="353F2860"/>
    <w:rsid w:val="35B12D05"/>
    <w:rsid w:val="35FF482B"/>
    <w:rsid w:val="362C561C"/>
    <w:rsid w:val="362E74CE"/>
    <w:rsid w:val="36B71279"/>
    <w:rsid w:val="36BC4AB3"/>
    <w:rsid w:val="372B09DB"/>
    <w:rsid w:val="37303BD8"/>
    <w:rsid w:val="37BD561A"/>
    <w:rsid w:val="382F18C1"/>
    <w:rsid w:val="393D3039"/>
    <w:rsid w:val="3980064E"/>
    <w:rsid w:val="399E224B"/>
    <w:rsid w:val="3A7368B4"/>
    <w:rsid w:val="3AC70D35"/>
    <w:rsid w:val="3ADB3B1C"/>
    <w:rsid w:val="3AFB54AD"/>
    <w:rsid w:val="3B2E7DB0"/>
    <w:rsid w:val="3BC20739"/>
    <w:rsid w:val="3C2D5021"/>
    <w:rsid w:val="3C38483E"/>
    <w:rsid w:val="3D875BC9"/>
    <w:rsid w:val="3DA146E3"/>
    <w:rsid w:val="3DB37AA4"/>
    <w:rsid w:val="3E130EFA"/>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0D735D"/>
    <w:rsid w:val="4B2E4885"/>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1855F5"/>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2D60AF4"/>
    <w:rsid w:val="731A74E5"/>
    <w:rsid w:val="73751B16"/>
    <w:rsid w:val="73A76021"/>
    <w:rsid w:val="73DA285B"/>
    <w:rsid w:val="74152C26"/>
    <w:rsid w:val="74CB6348"/>
    <w:rsid w:val="74FA4179"/>
    <w:rsid w:val="75290570"/>
    <w:rsid w:val="761467E5"/>
    <w:rsid w:val="76164C2F"/>
    <w:rsid w:val="7684184B"/>
    <w:rsid w:val="76EF07FD"/>
    <w:rsid w:val="76F9147F"/>
    <w:rsid w:val="774649DF"/>
    <w:rsid w:val="77A9772B"/>
    <w:rsid w:val="784A5B69"/>
    <w:rsid w:val="78EB27E3"/>
    <w:rsid w:val="78F41502"/>
    <w:rsid w:val="790A722C"/>
    <w:rsid w:val="79351914"/>
    <w:rsid w:val="798256B0"/>
    <w:rsid w:val="79A95304"/>
    <w:rsid w:val="79B304BE"/>
    <w:rsid w:val="79CC28F2"/>
    <w:rsid w:val="79F07905"/>
    <w:rsid w:val="7B2164FF"/>
    <w:rsid w:val="7B63133E"/>
    <w:rsid w:val="7C0F2F1B"/>
    <w:rsid w:val="7C464F3C"/>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9</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2024-07-09T03:01:37Z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3BAC43DEE3F840D090A640CD7A0E8CFB_12</vt:lpwstr>
  </property>
</Properties>
</file>