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0" w:name="OLE_LINK1"/>
      <w:r>
        <w:rPr>
          <w:rFonts w:hint="eastAsia" w:cs="宋体" w:asciiTheme="minorEastAsia" w:hAnsiTheme="minorEastAsia" w:eastAsiaTheme="minorEastAsia"/>
          <w:color w:val="auto"/>
          <w:kern w:val="0"/>
          <w:sz w:val="44"/>
          <w:szCs w:val="44"/>
        </w:rPr>
        <w:t>百大电器经营车辆转让-皖AS4850公告</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4231"/>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百大电器经营车辆转让-皖AS4850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公告期：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rPr>
              <w:t>日9:00始至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16</w:t>
            </w:r>
            <w:r>
              <w:rPr>
                <w:rFonts w:hint="eastAsia" w:asciiTheme="minorEastAsia" w:hAnsiTheme="minorEastAsia" w:eastAsiaTheme="minorEastAsia" w:cstheme="minorEastAsia"/>
                <w:color w:val="auto"/>
                <w:sz w:val="24"/>
                <w:szCs w:val="24"/>
                <w:highlight w:val="none"/>
              </w:rPr>
              <w:t>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网络竞价自由报价期：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rPr>
              <w:t>日9:00时始至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17</w:t>
            </w:r>
            <w:r>
              <w:rPr>
                <w:rFonts w:hint="eastAsia" w:asciiTheme="minorEastAsia" w:hAnsiTheme="minorEastAsia" w:eastAsiaTheme="minorEastAsia" w:cstheme="minorEastAsia"/>
                <w:color w:val="auto"/>
                <w:sz w:val="24"/>
                <w:szCs w:val="24"/>
                <w:highlight w:val="none"/>
              </w:rPr>
              <w:t>日10:00止，自由报价期满进入</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S4850；厂牌型号：江淮牌HFC5040XXYP93K9B4厢式运输车；发动机号：15803012；注册日期：2015年7月2日；车辆识别代号：LJ11KBAB2F6020309；交强险有效期至2024年6月25日；年审有效期至2024年7月；车辆行驶公里数：6.1万公里。</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上述资产转让已经上级主管单位批准同意处置，合肥市房地产土地评估事务所有限公司出具了合房评估字（2023）ZC202332号《评估报告书》，资产评估总价值为人民币28033元。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2.8033万元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（1）开标日前（含当日）6个月内记分累计未满10分的；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（2）开标日前（含当日）12个月内记分累计未满15分的；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（3）开标日前（含当日）18个月内记分累计未满20分的；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转让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398"/>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账号：76700188014700724</w:t>
                  </w:r>
                  <w:bookmarkStart w:id="2" w:name="_GoBack"/>
                  <w:bookmarkEnd w:id="2"/>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u w:val="none"/>
                <w:lang w:val="en-US" w:eastAsia="zh-CN"/>
              </w:rPr>
              <w:t>200</w:t>
            </w:r>
            <w:r>
              <w:rPr>
                <w:rFonts w:hint="eastAsia" w:asciiTheme="minorEastAsia" w:hAnsiTheme="minorEastAsia" w:eastAsiaTheme="minorEastAsia" w:cstheme="minorEastAsia"/>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 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联系人：林工，联系电话：0551-66223295、0551-66223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第五条　转让标的交割事项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（一）转让标的以现场现状移交</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乙方已确认了标的数量、成新度和功能情况等，清楚并认可资产现状及转让要求，任何因误解导致的一切后果和法律责任由乙方自行承担。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（二）自转让价款全部汇入合肥市产权交易中心指定账户之日起</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个工作日内，甲方协助乙方办理资产</w:t>
      </w:r>
      <w:r>
        <w:rPr>
          <w:rFonts w:hint="eastAsia" w:asciiTheme="minorEastAsia" w:hAnsiTheme="minorEastAsia" w:eastAsiaTheme="minorEastAsia" w:cstheme="minorEastAsia"/>
          <w:color w:val="auto"/>
          <w:sz w:val="24"/>
          <w:szCs w:val="24"/>
          <w:lang w:val="en-US" w:eastAsia="zh-CN"/>
        </w:rPr>
        <w:t>过户</w:t>
      </w:r>
      <w:r>
        <w:rPr>
          <w:rFonts w:hint="eastAsia" w:asciiTheme="minorEastAsia" w:hAnsiTheme="minorEastAsia" w:eastAsiaTheme="minorEastAsia" w:cstheme="minorEastAsia"/>
          <w:color w:val="auto"/>
          <w:sz w:val="24"/>
          <w:szCs w:val="24"/>
        </w:rPr>
        <w:t>手续</w:t>
      </w:r>
      <w:r>
        <w:rPr>
          <w:rFonts w:hint="eastAsia"/>
          <w:lang w:eastAsia="zh-CN"/>
        </w:rPr>
        <w:t>，</w:t>
      </w:r>
      <w:r>
        <w:rPr>
          <w:rFonts w:hint="eastAsia"/>
          <w:lang w:val="en-US" w:eastAsia="zh-CN"/>
        </w:rPr>
        <w:t>过户</w:t>
      </w:r>
      <w:r>
        <w:rPr>
          <w:rFonts w:hint="eastAsia" w:asciiTheme="minorEastAsia" w:hAnsiTheme="minorEastAsia" w:eastAsiaTheme="minorEastAsia" w:cstheme="minorEastAsia"/>
          <w:color w:val="auto"/>
          <w:sz w:val="24"/>
          <w:szCs w:val="24"/>
          <w:lang w:val="en-US" w:eastAsia="zh-CN"/>
        </w:rPr>
        <w:t>后办理交接手续</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（三）车辆的交通违章罚款、扣分及交通事故责任，在车辆过户并实际交接前产生的由甲方承担，车辆过户并实际交接后产生的由乙方承担。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（四）转让资产最终只得过户至乙方名下，即本次转让最终证载产权方名称须与乙方名称一致。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（五）车牌号不随车一并转让。</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第六条　转让税费的承担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转让过程中涉及的相关税费</w:t>
      </w:r>
      <w:r>
        <w:rPr>
          <w:rFonts w:hint="eastAsia" w:asciiTheme="minorEastAsia" w:hAnsiTheme="minorEastAsia" w:eastAsiaTheme="minorEastAsia"/>
          <w:color w:val="auto"/>
          <w:sz w:val="24"/>
          <w:lang w:val="en-US" w:eastAsia="zh-CN"/>
        </w:rPr>
        <w:t>等</w:t>
      </w:r>
      <w:r>
        <w:rPr>
          <w:rFonts w:hint="eastAsia" w:asciiTheme="minorEastAsia" w:hAnsiTheme="minorEastAsia" w:eastAsiaTheme="minorEastAsia" w:cstheme="minorEastAsia"/>
          <w:color w:val="auto"/>
          <w:sz w:val="24"/>
          <w:szCs w:val="24"/>
          <w:lang w:val="en-US" w:eastAsia="zh-CN"/>
        </w:rPr>
        <w:t>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乙方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ind w:firstLine="460" w:firstLineChars="19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第七条 特别约定</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第八条 违约责任</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（一）因任何一方违约而给守约方造成损失的，违约方应赔偿守约方的损失。</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（二）除不可抗拒的因素外，因甲方责任造成甲方未按本合同的约定配合乙方办理资产交接手续的，乙方有权在本合同规定的最后的期限次日起按累计已付款金额每日</w:t>
      </w:r>
      <w:r>
        <w:rPr>
          <w:rFonts w:hint="eastAsia" w:asciiTheme="minorEastAsia" w:hAnsiTheme="minorEastAsia" w:eastAsiaTheme="minorEastAsia" w:cstheme="minorEastAsia"/>
          <w:color w:val="auto"/>
          <w:sz w:val="24"/>
          <w:szCs w:val="24"/>
          <w:u w:val="none"/>
          <w:lang w:val="en-US" w:eastAsia="zh-CN"/>
        </w:rPr>
        <w:t>万分之三</w:t>
      </w:r>
      <w:r>
        <w:rPr>
          <w:rFonts w:hint="eastAsia" w:asciiTheme="minorEastAsia" w:hAnsiTheme="minorEastAsia" w:eastAsiaTheme="minorEastAsia" w:cstheme="minorEastAsia"/>
          <w:color w:val="auto"/>
          <w:sz w:val="24"/>
          <w:szCs w:val="24"/>
          <w:u w:val="none"/>
        </w:rPr>
        <w:t>的标准向甲方追究违约利息，至资产实际交付之日止。 若甲方逾期超过（</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个月）仍未继续履行合同，乙方有权解除合同，并要求甲方赔偿违约金</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（三）如乙方未能按照本合同第四条约定支付转让价款，甲方有权在本合同规定的付款期限次日起按逾期金额每日</w:t>
      </w:r>
      <w:r>
        <w:rPr>
          <w:rFonts w:hint="eastAsia" w:asciiTheme="minorEastAsia" w:hAnsiTheme="minorEastAsia" w:eastAsiaTheme="minorEastAsia" w:cstheme="minorEastAsia"/>
          <w:color w:val="auto"/>
          <w:sz w:val="24"/>
          <w:szCs w:val="24"/>
          <w:u w:val="none"/>
          <w:lang w:val="en-US" w:eastAsia="zh-CN"/>
        </w:rPr>
        <w:t>万分之三</w:t>
      </w:r>
      <w:r>
        <w:rPr>
          <w:rFonts w:hint="eastAsia" w:asciiTheme="minorEastAsia" w:hAnsiTheme="minorEastAsia" w:eastAsiaTheme="minorEastAsia" w:cstheme="minorEastAsia"/>
          <w:color w:val="auto"/>
          <w:sz w:val="24"/>
          <w:szCs w:val="24"/>
          <w:u w:val="none"/>
        </w:rPr>
        <w:t>的标准向乙方追究违约利息。若乙方逾期超过（</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个月）内仍未按照合同支付，甲方有权解除合同，并要求乙方赔偿违约金</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第九条 争议的解决方式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本合同在履行中发生争议，由甲、乙双方协商解决。协商不成的，甲、乙双方同意到</w:t>
      </w:r>
      <w:r>
        <w:rPr>
          <w:rFonts w:hint="eastAsia" w:asciiTheme="minorEastAsia" w:hAnsiTheme="minorEastAsia" w:eastAsiaTheme="minorEastAsia" w:cstheme="minorEastAsia"/>
          <w:color w:val="auto"/>
          <w:sz w:val="24"/>
          <w:szCs w:val="24"/>
          <w:lang w:val="en-US" w:eastAsia="zh-CN"/>
        </w:rPr>
        <w:t>合肥市庐阳区</w:t>
      </w:r>
      <w:r>
        <w:rPr>
          <w:rFonts w:hint="eastAsia" w:asciiTheme="minorEastAsia" w:hAnsiTheme="minorEastAsia" w:eastAsiaTheme="minorEastAsia" w:cstheme="minorEastAsia"/>
          <w:color w:val="auto"/>
          <w:sz w:val="24"/>
          <w:szCs w:val="24"/>
        </w:rPr>
        <w:t>人民法院诉讼解决。</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第十条 合同的生效</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本合同经甲、乙双方法定代表人或授权代表签字、盖章后生效。</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第十一条 其他约定事项</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本合同一</w:t>
      </w:r>
      <w:r>
        <w:rPr>
          <w:rFonts w:hint="eastAsia" w:asciiTheme="minorEastAsia" w:hAnsiTheme="minorEastAsia" w:eastAsiaTheme="minorEastAsia" w:cstheme="minorEastAsia"/>
          <w:color w:val="auto"/>
          <w:sz w:val="24"/>
          <w:szCs w:val="24"/>
          <w:u w:val="none"/>
        </w:rPr>
        <w:t>式</w:t>
      </w:r>
      <w:r>
        <w:rPr>
          <w:rFonts w:hint="eastAsia" w:asciiTheme="minorEastAsia" w:hAnsiTheme="minorEastAsia" w:eastAsiaTheme="minorEastAsia" w:cstheme="minorEastAsia"/>
          <w:color w:val="auto"/>
          <w:sz w:val="24"/>
          <w:szCs w:val="24"/>
          <w:u w:val="none"/>
          <w:lang w:val="en-US" w:eastAsia="zh-CN"/>
        </w:rPr>
        <w:t xml:space="preserve"> 6 </w:t>
      </w:r>
      <w:r>
        <w:rPr>
          <w:rFonts w:hint="eastAsia" w:asciiTheme="minorEastAsia" w:hAnsiTheme="minorEastAsia" w:eastAsiaTheme="minorEastAsia" w:cstheme="minorEastAsia"/>
          <w:color w:val="auto"/>
          <w:sz w:val="24"/>
          <w:szCs w:val="24"/>
          <w:u w:val="none"/>
        </w:rPr>
        <w:t>份，</w:t>
      </w:r>
      <w:r>
        <w:rPr>
          <w:rFonts w:hint="eastAsia" w:asciiTheme="minorEastAsia" w:hAnsiTheme="minorEastAsia" w:eastAsiaTheme="minorEastAsia" w:cstheme="minorEastAsia"/>
          <w:color w:val="auto"/>
          <w:sz w:val="24"/>
          <w:szCs w:val="24"/>
          <w:u w:val="none"/>
          <w:lang w:val="en-US" w:eastAsia="zh-CN"/>
        </w:rPr>
        <w:t>其中</w:t>
      </w:r>
      <w:r>
        <w:rPr>
          <w:rFonts w:hint="eastAsia" w:asciiTheme="minorEastAsia" w:hAnsiTheme="minorEastAsia" w:eastAsiaTheme="minorEastAsia" w:cstheme="minorEastAsia"/>
          <w:color w:val="auto"/>
          <w:sz w:val="24"/>
          <w:szCs w:val="24"/>
          <w:u w:val="none"/>
        </w:rPr>
        <w:t>甲方执</w:t>
      </w:r>
      <w:r>
        <w:rPr>
          <w:rFonts w:hint="eastAsia" w:asciiTheme="minorEastAsia" w:hAnsiTheme="minorEastAsia" w:eastAsiaTheme="minorEastAsia" w:cstheme="minorEastAsia"/>
          <w:color w:val="auto"/>
          <w:sz w:val="24"/>
          <w:szCs w:val="24"/>
          <w:u w:val="none"/>
          <w:lang w:val="en-US" w:eastAsia="zh-CN"/>
        </w:rPr>
        <w:t xml:space="preserve"> 4 </w:t>
      </w:r>
      <w:r>
        <w:rPr>
          <w:rFonts w:hint="eastAsia" w:asciiTheme="minorEastAsia" w:hAnsiTheme="minorEastAsia" w:eastAsiaTheme="minorEastAsia" w:cstheme="minorEastAsia"/>
          <w:color w:val="auto"/>
          <w:sz w:val="24"/>
          <w:szCs w:val="24"/>
          <w:u w:val="none"/>
        </w:rPr>
        <w:t>份，</w:t>
      </w:r>
      <w:r>
        <w:rPr>
          <w:rFonts w:hint="eastAsia" w:asciiTheme="minorEastAsia" w:hAnsiTheme="minorEastAsia" w:eastAsiaTheme="minorEastAsia" w:cstheme="minorEastAsia"/>
          <w:color w:val="auto"/>
          <w:sz w:val="24"/>
          <w:szCs w:val="24"/>
          <w:u w:val="none"/>
          <w:lang w:val="en-US" w:eastAsia="zh-CN"/>
        </w:rPr>
        <w:t>乙</w:t>
      </w:r>
      <w:r>
        <w:rPr>
          <w:rFonts w:hint="eastAsia" w:asciiTheme="minorEastAsia" w:hAnsiTheme="minorEastAsia" w:eastAsiaTheme="minorEastAsia" w:cstheme="minorEastAsia"/>
          <w:color w:val="auto"/>
          <w:sz w:val="24"/>
          <w:szCs w:val="24"/>
          <w:u w:val="none"/>
        </w:rPr>
        <w:t>方执</w:t>
      </w:r>
      <w:r>
        <w:rPr>
          <w:rFonts w:hint="eastAsia" w:asciiTheme="minorEastAsia" w:hAnsiTheme="minorEastAsia" w:eastAsiaTheme="minorEastAsia" w:cstheme="minorEastAsia"/>
          <w:color w:val="auto"/>
          <w:sz w:val="24"/>
          <w:szCs w:val="24"/>
          <w:u w:val="none"/>
          <w:lang w:val="en-US" w:eastAsia="zh-CN"/>
        </w:rPr>
        <w:t xml:space="preserve"> 1 </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合肥市产权交易中心留存</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份。</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甲方</w:t>
      </w:r>
      <w:r>
        <w:rPr>
          <w:rFonts w:hint="eastAsia" w:asciiTheme="minorEastAsia" w:hAnsiTheme="minorEastAsia" w:eastAsiaTheme="minorEastAsia" w:cstheme="minorEastAsia"/>
          <w:color w:val="auto"/>
          <w:sz w:val="24"/>
          <w:szCs w:val="24"/>
          <w:shd w:val="clear" w:color="auto" w:fill="auto"/>
        </w:rPr>
        <w:t xml:space="preserve">（盖章）：                   </w:t>
      </w:r>
      <w:r>
        <w:rPr>
          <w:rFonts w:hint="eastAsia" w:asciiTheme="minorEastAsia" w:hAnsiTheme="minorEastAsia" w:eastAsiaTheme="minorEastAsia" w:cstheme="minorEastAsia"/>
          <w:color w:val="auto"/>
          <w:sz w:val="24"/>
          <w:szCs w:val="24"/>
          <w:shd w:val="clear" w:color="auto" w:fill="auto"/>
          <w:lang w:val="en-US" w:eastAsia="zh-CN"/>
        </w:rPr>
        <w:t>乙方</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盖</w:t>
      </w:r>
      <w:r>
        <w:rPr>
          <w:rFonts w:hint="eastAsia" w:asciiTheme="minorEastAsia" w:hAnsiTheme="minorEastAsia" w:eastAsiaTheme="minorEastAsia" w:cstheme="minorEastAsia"/>
          <w:color w:val="auto"/>
          <w:sz w:val="24"/>
          <w:szCs w:val="24"/>
          <w:shd w:val="clear" w:color="auto" w:fill="auto"/>
        </w:rPr>
        <w:t>章</w:t>
      </w:r>
      <w:r>
        <w:rPr>
          <w:rFonts w:hint="eastAsia" w:asciiTheme="minorEastAsia" w:hAnsiTheme="minorEastAsia" w:eastAsiaTheme="minorEastAsia" w:cstheme="minorEastAsia"/>
          <w:color w:val="auto"/>
          <w:sz w:val="24"/>
          <w:szCs w:val="24"/>
          <w:shd w:val="clear" w:color="auto" w:fill="auto"/>
          <w:lang w:val="en-US" w:eastAsia="zh-CN"/>
        </w:rPr>
        <w:t>/签字</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lang w:val="en-US" w:eastAsia="zh-CN"/>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统一社会信用代码</w:t>
      </w:r>
      <w:r>
        <w:rPr>
          <w:rFonts w:hint="eastAsia" w:asciiTheme="minorEastAsia" w:hAnsiTheme="minorEastAsia" w:eastAsiaTheme="minorEastAsia" w:cstheme="minorEastAsia"/>
          <w:color w:val="auto"/>
          <w:sz w:val="24"/>
          <w:szCs w:val="24"/>
          <w:shd w:val="clear" w:color="auto" w:fill="auto"/>
        </w:rPr>
        <w:t xml:space="preserve">：              </w:t>
      </w:r>
      <w:r>
        <w:rPr>
          <w:rFonts w:hint="eastAsia" w:asciiTheme="minorEastAsia" w:hAnsiTheme="minorEastAsia" w:eastAsiaTheme="minorEastAsia" w:cstheme="minorEastAsia"/>
          <w:color w:val="auto"/>
          <w:sz w:val="24"/>
          <w:szCs w:val="24"/>
          <w:shd w:val="clear" w:color="auto" w:fill="auto"/>
          <w:lang w:val="en-US" w:eastAsia="zh-CN"/>
        </w:rPr>
        <w:t xml:space="preserve"> 统一社会信用代码/公民身份号码</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联系电话：                       联系电话：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r>
        <w:rPr>
          <w:rFonts w:hint="eastAsia" w:asciiTheme="minorEastAsia" w:hAnsiTheme="minorEastAsia" w:eastAsiaTheme="minorEastAsia" w:cstheme="minorEastAsia"/>
          <w:color w:val="auto"/>
          <w:sz w:val="24"/>
          <w:szCs w:val="24"/>
          <w:lang w:val="en-US" w:eastAsia="zh-CN"/>
        </w:rPr>
        <w:t xml:space="preserve"> </w:t>
      </w:r>
      <w:bookmarkEnd w:id="0"/>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8439E"/>
    <w:rsid w:val="01CB3262"/>
    <w:rsid w:val="01F67D3C"/>
    <w:rsid w:val="0285759A"/>
    <w:rsid w:val="03021CF4"/>
    <w:rsid w:val="03721A24"/>
    <w:rsid w:val="04282536"/>
    <w:rsid w:val="04F817FC"/>
    <w:rsid w:val="051A2E94"/>
    <w:rsid w:val="061E7606"/>
    <w:rsid w:val="062E3DF2"/>
    <w:rsid w:val="063A09D7"/>
    <w:rsid w:val="0653316C"/>
    <w:rsid w:val="067F2697"/>
    <w:rsid w:val="07080205"/>
    <w:rsid w:val="07690782"/>
    <w:rsid w:val="08096CD0"/>
    <w:rsid w:val="08805DDD"/>
    <w:rsid w:val="08D94BA3"/>
    <w:rsid w:val="08FC1A6D"/>
    <w:rsid w:val="094A1533"/>
    <w:rsid w:val="096E7270"/>
    <w:rsid w:val="099654E2"/>
    <w:rsid w:val="09B6190E"/>
    <w:rsid w:val="09D56678"/>
    <w:rsid w:val="0A2F230F"/>
    <w:rsid w:val="0A444C72"/>
    <w:rsid w:val="0B05058C"/>
    <w:rsid w:val="0B191940"/>
    <w:rsid w:val="0C74545D"/>
    <w:rsid w:val="0C8E71A9"/>
    <w:rsid w:val="0C9A26A6"/>
    <w:rsid w:val="0CBA3DB4"/>
    <w:rsid w:val="0CF71200"/>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40D7111"/>
    <w:rsid w:val="14AE1D66"/>
    <w:rsid w:val="151807D2"/>
    <w:rsid w:val="15261805"/>
    <w:rsid w:val="15C7533F"/>
    <w:rsid w:val="16A7275E"/>
    <w:rsid w:val="16AC044C"/>
    <w:rsid w:val="16CF6200"/>
    <w:rsid w:val="16E52585"/>
    <w:rsid w:val="171751ED"/>
    <w:rsid w:val="17737A8C"/>
    <w:rsid w:val="17F855EA"/>
    <w:rsid w:val="18410FE1"/>
    <w:rsid w:val="189304CA"/>
    <w:rsid w:val="18B47DE0"/>
    <w:rsid w:val="194820F2"/>
    <w:rsid w:val="19E206F0"/>
    <w:rsid w:val="19E6135C"/>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E43375C"/>
    <w:rsid w:val="1EA22B51"/>
    <w:rsid w:val="1F930C59"/>
    <w:rsid w:val="1F9F3A71"/>
    <w:rsid w:val="1FA27FCF"/>
    <w:rsid w:val="1FF07D9C"/>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9A14E96"/>
    <w:rsid w:val="2A397C6A"/>
    <w:rsid w:val="2AA20A81"/>
    <w:rsid w:val="2AA24CCF"/>
    <w:rsid w:val="2AB23251"/>
    <w:rsid w:val="2AB34132"/>
    <w:rsid w:val="2B552AFD"/>
    <w:rsid w:val="2C8E2C7A"/>
    <w:rsid w:val="2CB73442"/>
    <w:rsid w:val="2CFF5CAC"/>
    <w:rsid w:val="2DAF14FF"/>
    <w:rsid w:val="2DC73151"/>
    <w:rsid w:val="2E1D4BC4"/>
    <w:rsid w:val="2E1E5DAC"/>
    <w:rsid w:val="2E9A5B7E"/>
    <w:rsid w:val="2F3A43CF"/>
    <w:rsid w:val="2FB54818"/>
    <w:rsid w:val="30730D87"/>
    <w:rsid w:val="307A4878"/>
    <w:rsid w:val="3124107F"/>
    <w:rsid w:val="31813503"/>
    <w:rsid w:val="31D50A90"/>
    <w:rsid w:val="31DF70F2"/>
    <w:rsid w:val="31F17D00"/>
    <w:rsid w:val="320C5FC7"/>
    <w:rsid w:val="32690863"/>
    <w:rsid w:val="327D7699"/>
    <w:rsid w:val="32CC20F9"/>
    <w:rsid w:val="346E4FE9"/>
    <w:rsid w:val="347A034A"/>
    <w:rsid w:val="34DE3CC5"/>
    <w:rsid w:val="353F2860"/>
    <w:rsid w:val="35B12D05"/>
    <w:rsid w:val="35FF482B"/>
    <w:rsid w:val="362C561C"/>
    <w:rsid w:val="362E74CE"/>
    <w:rsid w:val="36B71279"/>
    <w:rsid w:val="36BC4AB3"/>
    <w:rsid w:val="37BD561A"/>
    <w:rsid w:val="382F18C1"/>
    <w:rsid w:val="393D3039"/>
    <w:rsid w:val="3980064E"/>
    <w:rsid w:val="399E224B"/>
    <w:rsid w:val="3A7368B4"/>
    <w:rsid w:val="3AC70D35"/>
    <w:rsid w:val="3ADB3B1C"/>
    <w:rsid w:val="3AFB54AD"/>
    <w:rsid w:val="3B2E7DB0"/>
    <w:rsid w:val="3BC20739"/>
    <w:rsid w:val="3C2D5021"/>
    <w:rsid w:val="3D875BC9"/>
    <w:rsid w:val="3DA146E3"/>
    <w:rsid w:val="3DB37AA4"/>
    <w:rsid w:val="3E5D107A"/>
    <w:rsid w:val="3E720E3D"/>
    <w:rsid w:val="3EE65524"/>
    <w:rsid w:val="3EE970DD"/>
    <w:rsid w:val="3F253A9E"/>
    <w:rsid w:val="3F6917D2"/>
    <w:rsid w:val="3F795EC5"/>
    <w:rsid w:val="3F9E325B"/>
    <w:rsid w:val="3FAC40A3"/>
    <w:rsid w:val="403048FE"/>
    <w:rsid w:val="40596D9A"/>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6F622C"/>
    <w:rsid w:val="4BD830DD"/>
    <w:rsid w:val="4D6D5F1D"/>
    <w:rsid w:val="4DF462B9"/>
    <w:rsid w:val="4E2343DF"/>
    <w:rsid w:val="4E2C5FE1"/>
    <w:rsid w:val="4EB62ADF"/>
    <w:rsid w:val="4EDA5C4C"/>
    <w:rsid w:val="4F320134"/>
    <w:rsid w:val="4F61708C"/>
    <w:rsid w:val="4F62135A"/>
    <w:rsid w:val="4FA71990"/>
    <w:rsid w:val="501E6769"/>
    <w:rsid w:val="50AE6817"/>
    <w:rsid w:val="513329FF"/>
    <w:rsid w:val="51490F87"/>
    <w:rsid w:val="5170152D"/>
    <w:rsid w:val="517A1323"/>
    <w:rsid w:val="51CF472F"/>
    <w:rsid w:val="52347ECA"/>
    <w:rsid w:val="52446B4A"/>
    <w:rsid w:val="52EF620F"/>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5FA9249F"/>
    <w:rsid w:val="601F49FC"/>
    <w:rsid w:val="6049761B"/>
    <w:rsid w:val="60624F85"/>
    <w:rsid w:val="60AF09F4"/>
    <w:rsid w:val="611A1E80"/>
    <w:rsid w:val="61233639"/>
    <w:rsid w:val="621B75F4"/>
    <w:rsid w:val="634639AA"/>
    <w:rsid w:val="63C23447"/>
    <w:rsid w:val="66381E91"/>
    <w:rsid w:val="67123190"/>
    <w:rsid w:val="67263639"/>
    <w:rsid w:val="67E40EA2"/>
    <w:rsid w:val="69905939"/>
    <w:rsid w:val="69D80CEE"/>
    <w:rsid w:val="69E153C6"/>
    <w:rsid w:val="6A687C6F"/>
    <w:rsid w:val="6B0D3C09"/>
    <w:rsid w:val="6BB9245A"/>
    <w:rsid w:val="6BC14E5B"/>
    <w:rsid w:val="6C135E38"/>
    <w:rsid w:val="6C1B40A9"/>
    <w:rsid w:val="6C1D08BE"/>
    <w:rsid w:val="6CC01A5A"/>
    <w:rsid w:val="6CC57C1B"/>
    <w:rsid w:val="6CFA41D1"/>
    <w:rsid w:val="6D67416A"/>
    <w:rsid w:val="6D7263E6"/>
    <w:rsid w:val="6E8E522F"/>
    <w:rsid w:val="6EDF5A0A"/>
    <w:rsid w:val="700E7918"/>
    <w:rsid w:val="70D473F6"/>
    <w:rsid w:val="71241203"/>
    <w:rsid w:val="717A3005"/>
    <w:rsid w:val="718A2A9D"/>
    <w:rsid w:val="718F0658"/>
    <w:rsid w:val="727D1F9B"/>
    <w:rsid w:val="731A74E5"/>
    <w:rsid w:val="73751B16"/>
    <w:rsid w:val="73A76021"/>
    <w:rsid w:val="73DA285B"/>
    <w:rsid w:val="74CB6348"/>
    <w:rsid w:val="74FA4179"/>
    <w:rsid w:val="75290570"/>
    <w:rsid w:val="76164C2F"/>
    <w:rsid w:val="7684184B"/>
    <w:rsid w:val="76EF07FD"/>
    <w:rsid w:val="774649DF"/>
    <w:rsid w:val="77A9772B"/>
    <w:rsid w:val="784A5B69"/>
    <w:rsid w:val="78EB27E3"/>
    <w:rsid w:val="78F41502"/>
    <w:rsid w:val="790A722C"/>
    <w:rsid w:val="798256B0"/>
    <w:rsid w:val="79A95304"/>
    <w:rsid w:val="79B304BE"/>
    <w:rsid w:val="79CC28F2"/>
    <w:rsid w:val="79F07905"/>
    <w:rsid w:val="7B1B3CE2"/>
    <w:rsid w:val="7B2164FF"/>
    <w:rsid w:val="7B63133E"/>
    <w:rsid w:val="7C0F2F1B"/>
    <w:rsid w:val="7C7D2C9A"/>
    <w:rsid w:val="7CC57291"/>
    <w:rsid w:val="7D8F6A4E"/>
    <w:rsid w:val="7E25509A"/>
    <w:rsid w:val="7E271C75"/>
    <w:rsid w:val="7E531CE6"/>
    <w:rsid w:val="7EFB191D"/>
    <w:rsid w:val="7F371C24"/>
    <w:rsid w:val="7F69611C"/>
    <w:rsid w:val="7F9F7525"/>
    <w:rsid w:val="7FA23FF3"/>
    <w:rsid w:val="7FCA27B1"/>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Balloon Text"/>
    <w:basedOn w:val="1"/>
    <w:link w:val="31"/>
    <w:unhideWhenUsed/>
    <w:qFormat/>
    <w:uiPriority w:val="99"/>
    <w:rPr>
      <w:sz w:val="18"/>
      <w:szCs w:val="18"/>
    </w:rPr>
  </w:style>
  <w:style w:type="paragraph" w:styleId="7">
    <w:name w:val="footer"/>
    <w:basedOn w:val="1"/>
    <w:link w:val="29"/>
    <w:unhideWhenUsed/>
    <w:qFormat/>
    <w:uiPriority w:val="99"/>
    <w:pPr>
      <w:tabs>
        <w:tab w:val="center" w:pos="4153"/>
        <w:tab w:val="right" w:pos="8306"/>
      </w:tabs>
      <w:snapToGrid w:val="0"/>
      <w:jc w:val="left"/>
    </w:pPr>
    <w:rPr>
      <w:sz w:val="18"/>
      <w:szCs w:val="18"/>
    </w:rPr>
  </w:style>
  <w:style w:type="paragraph" w:styleId="8">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qFormat/>
    <w:uiPriority w:val="20"/>
    <w:rPr>
      <w:b/>
      <w:bCs/>
    </w:rPr>
  </w:style>
  <w:style w:type="character" w:styleId="18">
    <w:name w:val="HTML Definition"/>
    <w:basedOn w:val="13"/>
    <w:semiHidden/>
    <w:unhideWhenUsed/>
    <w:qFormat/>
    <w:uiPriority w:val="99"/>
  </w:style>
  <w:style w:type="character" w:styleId="19">
    <w:name w:val="HTML Typewriter"/>
    <w:basedOn w:val="13"/>
    <w:semiHidden/>
    <w:unhideWhenUsed/>
    <w:qFormat/>
    <w:uiPriority w:val="99"/>
    <w:rPr>
      <w:rFonts w:hint="default" w:ascii="monospace" w:hAnsi="monospace" w:eastAsia="monospace" w:cs="monospace"/>
      <w:sz w:val="20"/>
    </w:rPr>
  </w:style>
  <w:style w:type="character" w:styleId="20">
    <w:name w:val="HTML Acronym"/>
    <w:basedOn w:val="13"/>
    <w:semiHidden/>
    <w:unhideWhenUsed/>
    <w:qFormat/>
    <w:uiPriority w:val="99"/>
  </w:style>
  <w:style w:type="character" w:styleId="21">
    <w:name w:val="HTML Variable"/>
    <w:basedOn w:val="13"/>
    <w:semiHidden/>
    <w:unhideWhenUsed/>
    <w:qFormat/>
    <w:uiPriority w:val="99"/>
  </w:style>
  <w:style w:type="character" w:styleId="22">
    <w:name w:val="Hyperlink"/>
    <w:basedOn w:val="13"/>
    <w:unhideWhenUsed/>
    <w:qFormat/>
    <w:uiPriority w:val="99"/>
    <w:rPr>
      <w:color w:val="0000FF" w:themeColor="hyperlink"/>
      <w:u w:val="single"/>
      <w14:textFill>
        <w14:solidFill>
          <w14:schemeClr w14:val="hlink"/>
        </w14:solidFill>
      </w14:textFill>
    </w:rPr>
  </w:style>
  <w:style w:type="character" w:styleId="23">
    <w:name w:val="HTML Code"/>
    <w:basedOn w:val="13"/>
    <w:semiHidden/>
    <w:unhideWhenUsed/>
    <w:qFormat/>
    <w:uiPriority w:val="99"/>
    <w:rPr>
      <w:rFonts w:hint="default" w:ascii="monospace" w:hAnsi="monospace" w:eastAsia="monospace" w:cs="monospace"/>
      <w:sz w:val="20"/>
    </w:rPr>
  </w:style>
  <w:style w:type="character" w:styleId="24">
    <w:name w:val="HTML Cite"/>
    <w:basedOn w:val="13"/>
    <w:semiHidden/>
    <w:unhideWhenUsed/>
    <w:qFormat/>
    <w:uiPriority w:val="99"/>
  </w:style>
  <w:style w:type="character" w:styleId="25">
    <w:name w:val="HTML Keyboard"/>
    <w:basedOn w:val="13"/>
    <w:semiHidden/>
    <w:unhideWhenUsed/>
    <w:qFormat/>
    <w:uiPriority w:val="99"/>
    <w:rPr>
      <w:rFonts w:hint="default" w:ascii="monospace" w:hAnsi="monospace" w:eastAsia="monospace" w:cs="monospace"/>
      <w:sz w:val="20"/>
    </w:rPr>
  </w:style>
  <w:style w:type="character" w:styleId="26">
    <w:name w:val="HTML Sample"/>
    <w:basedOn w:val="13"/>
    <w:semiHidden/>
    <w:unhideWhenUsed/>
    <w:qFormat/>
    <w:uiPriority w:val="99"/>
    <w:rPr>
      <w:rFonts w:ascii="monospace" w:hAnsi="monospace" w:eastAsia="monospace" w:cs="monospace"/>
    </w:rPr>
  </w:style>
  <w:style w:type="paragraph" w:customStyle="1" w:styleId="27">
    <w:name w:val="列出段落1"/>
    <w:basedOn w:val="1"/>
    <w:qFormat/>
    <w:uiPriority w:val="34"/>
    <w:pPr>
      <w:ind w:firstLine="420" w:firstLineChars="200"/>
    </w:pPr>
  </w:style>
  <w:style w:type="character" w:customStyle="1" w:styleId="28">
    <w:name w:val="页眉 Char"/>
    <w:basedOn w:val="13"/>
    <w:link w:val="8"/>
    <w:qFormat/>
    <w:uiPriority w:val="99"/>
    <w:rPr>
      <w:rFonts w:ascii="Times New Roman" w:hAnsi="Times New Roman" w:eastAsia="宋体" w:cs="Times New Roman"/>
      <w:sz w:val="18"/>
      <w:szCs w:val="18"/>
    </w:rPr>
  </w:style>
  <w:style w:type="character" w:customStyle="1" w:styleId="29">
    <w:name w:val="页脚 Char"/>
    <w:basedOn w:val="13"/>
    <w:link w:val="7"/>
    <w:qFormat/>
    <w:uiPriority w:val="99"/>
    <w:rPr>
      <w:rFonts w:ascii="Times New Roman" w:hAnsi="Times New Roman" w:eastAsia="宋体" w:cs="Times New Roman"/>
      <w:sz w:val="18"/>
      <w:szCs w:val="18"/>
    </w:rPr>
  </w:style>
  <w:style w:type="character" w:customStyle="1" w:styleId="30">
    <w:name w:val="标题 6 Char"/>
    <w:basedOn w:val="13"/>
    <w:link w:val="3"/>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qFormat/>
    <w:uiPriority w:val="0"/>
    <w:pPr>
      <w:widowControl/>
      <w:spacing w:line="360" w:lineRule="auto"/>
      <w:jc w:val="left"/>
    </w:pPr>
    <w:rPr>
      <w:kern w:val="0"/>
      <w:szCs w:val="20"/>
      <w:lang w:eastAsia="en-US"/>
    </w:rPr>
  </w:style>
  <w:style w:type="character" w:customStyle="1" w:styleId="33">
    <w:name w:val="标题 2 Char"/>
    <w:basedOn w:val="13"/>
    <w:link w:val="2"/>
    <w:semiHidden/>
    <w:qFormat/>
    <w:uiPriority w:val="0"/>
    <w:rPr>
      <w:rFonts w:ascii="Arial" w:hAnsi="Arial" w:eastAsia="黑体" w:cs="Arial"/>
      <w:b/>
      <w:bCs/>
      <w:sz w:val="32"/>
      <w:szCs w:val="32"/>
    </w:rPr>
  </w:style>
  <w:style w:type="paragraph" w:customStyle="1" w:styleId="34">
    <w:name w:val="Char Char1 Char Char"/>
    <w:basedOn w:val="1"/>
    <w:next w:val="1"/>
    <w:qFormat/>
    <w:uiPriority w:val="0"/>
    <w:pPr>
      <w:widowControl/>
      <w:spacing w:line="360" w:lineRule="auto"/>
      <w:jc w:val="left"/>
    </w:pPr>
    <w:rPr>
      <w:kern w:val="0"/>
      <w:szCs w:val="20"/>
      <w:lang w:eastAsia="en-US"/>
    </w:rPr>
  </w:style>
  <w:style w:type="character" w:customStyle="1" w:styleId="35">
    <w:name w:val="mini-outputtext1"/>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Pages>
  <Words>1482</Words>
  <Characters>8452</Characters>
  <Lines>70</Lines>
  <Paragraphs>19</Paragraphs>
  <TotalTime>0</TotalTime>
  <ScaleCrop>false</ScaleCrop>
  <LinksUpToDate>false</LinksUpToDate>
  <CharactersWithSpaces>9915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文雅</cp:lastModifiedBy>
  <cp:lastPrinted>2016-08-15T08:11:00Z</cp:lastPrinted>
  <dcterms:modified xsi:type="dcterms:W3CDTF">2024-04-01T06:28:26Z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