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44"/>
          <w:szCs w:val="44"/>
          <w:highlight w:val="none"/>
          <w:lang w:eastAsia="zh-CN"/>
        </w:rPr>
      </w:pPr>
      <w:bookmarkStart w:id="0" w:name="OLE_LINK1"/>
      <w:r>
        <w:rPr>
          <w:rFonts w:hint="eastAsia" w:cs="宋体" w:asciiTheme="minorEastAsia" w:hAnsiTheme="minorEastAsia" w:eastAsiaTheme="minorEastAsia"/>
          <w:color w:val="auto"/>
          <w:kern w:val="0"/>
          <w:sz w:val="44"/>
          <w:szCs w:val="44"/>
          <w:highlight w:val="none"/>
        </w:rPr>
        <w:t>定远县定城人民路阳光商业广场D幢商铺D201、D301室房产转让公告</w:t>
      </w:r>
      <w:r>
        <w:rPr>
          <w:rFonts w:hint="eastAsia" w:cs="宋体" w:asciiTheme="minorEastAsia" w:hAnsiTheme="minorEastAsia" w:eastAsiaTheme="minorEastAsia"/>
          <w:color w:val="auto"/>
          <w:kern w:val="0"/>
          <w:sz w:val="44"/>
          <w:szCs w:val="44"/>
          <w:highlight w:val="none"/>
          <w:lang w:eastAsia="zh-CN"/>
        </w:rPr>
        <w:t>（</w:t>
      </w:r>
      <w:r>
        <w:rPr>
          <w:rFonts w:hint="eastAsia" w:cs="宋体" w:asciiTheme="minorEastAsia" w:hAnsiTheme="minorEastAsia" w:eastAsiaTheme="minorEastAsia"/>
          <w:color w:val="auto"/>
          <w:kern w:val="0"/>
          <w:sz w:val="44"/>
          <w:szCs w:val="44"/>
          <w:highlight w:val="none"/>
          <w:lang w:val="en-US" w:eastAsia="zh-CN"/>
        </w:rPr>
        <w:t>二次</w:t>
      </w:r>
      <w:r>
        <w:rPr>
          <w:rFonts w:hint="eastAsia" w:cs="宋体" w:asciiTheme="minorEastAsia" w:hAnsiTheme="minorEastAsia" w:eastAsiaTheme="minorEastAsia"/>
          <w:color w:val="auto"/>
          <w:kern w:val="0"/>
          <w:sz w:val="44"/>
          <w:szCs w:val="44"/>
          <w:highlight w:val="none"/>
          <w:lang w:eastAsia="zh-CN"/>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定远县定城人民路阳光商业广场D幢商铺D201、D301室房产转让</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2024BFFCJ00136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安徽省台客隆连锁超市有限责任公司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合肥市公共资源交易监督管理局</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联系方式：0551-66223530、0551-66223546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w:t>
            </w:r>
            <w:r>
              <w:rPr>
                <w:rFonts w:hint="eastAsia" w:ascii="宋体" w:hAnsi="宋体" w:eastAsia="宋体" w:cs="宋体"/>
                <w:color w:val="auto"/>
                <w:sz w:val="24"/>
                <w:szCs w:val="24"/>
                <w:highlight w:val="none"/>
                <w:u w:val="none"/>
              </w:rPr>
              <w:t>告期：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网络竞价自由报价期：</w:t>
            </w:r>
            <w:r>
              <w:rPr>
                <w:rFonts w:hint="eastAsia" w:ascii="宋体" w:hAnsi="宋体" w:cs="宋体"/>
                <w:color w:val="auto"/>
                <w:sz w:val="24"/>
                <w:szCs w:val="24"/>
                <w:highlight w:val="none"/>
                <w:u w:val="none"/>
                <w:lang w:val="en-US" w:eastAsia="zh-CN"/>
              </w:rPr>
              <w:t>2024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日9:00时始至</w:t>
            </w:r>
            <w:r>
              <w:rPr>
                <w:rFonts w:hint="eastAsia" w:ascii="宋体" w:hAnsi="宋体" w:cs="宋体"/>
                <w:color w:val="auto"/>
                <w:sz w:val="24"/>
                <w:szCs w:val="24"/>
                <w:highlight w:val="none"/>
                <w:u w:val="none"/>
                <w:lang w:val="en-US" w:eastAsia="zh-CN"/>
              </w:rPr>
              <w:t>2024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23</w:t>
            </w:r>
            <w:bookmarkStart w:id="2" w:name="_GoBack"/>
            <w:bookmarkEnd w:id="2"/>
            <w:r>
              <w:rPr>
                <w:rFonts w:hint="eastAsia" w:ascii="宋体" w:hAnsi="宋体" w:eastAsia="宋体" w:cs="宋体"/>
                <w:color w:val="auto"/>
                <w:sz w:val="24"/>
                <w:szCs w:val="24"/>
                <w:highlight w:val="none"/>
                <w:u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标的位置：安徽省滁州市定远县定城人民路阳光商业广场D幢商铺D201、D301室房产；证载权利人：安徽省台客隆连锁超市有限责任公司；建筑面积：</w:t>
            </w:r>
            <w:r>
              <w:rPr>
                <w:rFonts w:hint="eastAsia" w:ascii="宋体" w:hAnsi="宋体" w:cs="宋体"/>
                <w:color w:val="auto"/>
                <w:sz w:val="24"/>
                <w:szCs w:val="24"/>
                <w:highlight w:val="none"/>
                <w:lang w:val="en-US" w:eastAsia="zh-CN"/>
              </w:rPr>
              <w:t>7437.53</w:t>
            </w:r>
            <w:r>
              <w:rPr>
                <w:rFonts w:hint="eastAsia" w:ascii="宋体" w:hAnsi="宋体" w:eastAsia="宋体" w:cs="宋体"/>
                <w:color w:val="auto"/>
                <w:sz w:val="24"/>
                <w:szCs w:val="24"/>
                <w:highlight w:val="none"/>
              </w:rPr>
              <w:t>㎡；结构：</w:t>
            </w:r>
            <w:r>
              <w:rPr>
                <w:rFonts w:hint="eastAsia" w:ascii="宋体" w:hAnsi="宋体" w:cs="宋体"/>
                <w:color w:val="auto"/>
                <w:sz w:val="24"/>
                <w:szCs w:val="24"/>
                <w:highlight w:val="none"/>
                <w:lang w:val="en-US" w:eastAsia="zh-CN"/>
              </w:rPr>
              <w:t>钢混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rPr>
              <w:t>所在层数：</w:t>
            </w:r>
            <w:r>
              <w:rPr>
                <w:rFonts w:hint="eastAsia" w:ascii="宋体" w:hAnsi="宋体" w:cs="宋体"/>
                <w:color w:val="auto"/>
                <w:sz w:val="24"/>
                <w:szCs w:val="24"/>
                <w:highlight w:val="none"/>
                <w:lang w:val="en-US" w:eastAsia="zh-CN"/>
              </w:rPr>
              <w:t>第2、3层</w:t>
            </w:r>
            <w:r>
              <w:rPr>
                <w:rFonts w:hint="eastAsia" w:ascii="宋体" w:hAnsi="宋体" w:eastAsia="宋体" w:cs="宋体"/>
                <w:color w:val="auto"/>
                <w:sz w:val="24"/>
                <w:szCs w:val="24"/>
                <w:highlight w:val="none"/>
              </w:rPr>
              <w:t>；标的总层数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共3层；</w:t>
            </w:r>
            <w:r>
              <w:rPr>
                <w:rFonts w:hint="eastAsia" w:ascii="宋体" w:hAnsi="宋体" w:eastAsia="宋体" w:cs="宋体"/>
                <w:color w:val="auto"/>
                <w:sz w:val="24"/>
                <w:szCs w:val="24"/>
                <w:highlight w:val="none"/>
              </w:rPr>
              <w:t>不动产权证号：</w:t>
            </w:r>
            <w:r>
              <w:rPr>
                <w:rFonts w:hint="eastAsia" w:ascii="宋体" w:hAnsi="宋体" w:cs="宋体"/>
                <w:color w:val="auto"/>
                <w:sz w:val="24"/>
                <w:szCs w:val="24"/>
                <w:highlight w:val="none"/>
                <w:lang w:val="en-US" w:eastAsia="zh-CN"/>
              </w:rPr>
              <w:t>房地权证定字</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2013007971</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证载</w:t>
            </w:r>
            <w:r>
              <w:rPr>
                <w:rFonts w:hint="eastAsia" w:ascii="宋体" w:hAnsi="宋体" w:eastAsia="宋体" w:cs="宋体"/>
                <w:color w:val="auto"/>
                <w:sz w:val="24"/>
                <w:szCs w:val="24"/>
                <w:highlight w:val="none"/>
              </w:rPr>
              <w:t>用途：</w:t>
            </w:r>
            <w:r>
              <w:rPr>
                <w:rFonts w:hint="eastAsia" w:ascii="宋体" w:hAnsi="宋体" w:cs="宋体"/>
                <w:color w:val="auto"/>
                <w:sz w:val="24"/>
                <w:szCs w:val="24"/>
                <w:highlight w:val="none"/>
                <w:lang w:val="en-US" w:eastAsia="zh-CN"/>
              </w:rPr>
              <w:t>商服</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上述资产转让已经上级主管单位批准同意处置，安徽建英房地产土地资产评估有限公司出具了皖建英房估（2023）字第1617号《</w:t>
            </w:r>
            <w:r>
              <w:rPr>
                <w:rFonts w:hint="eastAsia" w:ascii="宋体" w:hAnsi="宋体" w:cs="宋体"/>
                <w:color w:val="auto"/>
                <w:sz w:val="24"/>
                <w:szCs w:val="24"/>
                <w:highlight w:val="none"/>
                <w:lang w:val="en-US" w:eastAsia="zh-CN"/>
              </w:rPr>
              <w:t>房地产估价报告</w:t>
            </w:r>
            <w:r>
              <w:rPr>
                <w:rFonts w:hint="eastAsia" w:ascii="宋体" w:hAnsi="宋体" w:eastAsia="宋体" w:cs="宋体"/>
                <w:color w:val="auto"/>
                <w:sz w:val="24"/>
                <w:szCs w:val="24"/>
                <w:highlight w:val="none"/>
              </w:rPr>
              <w:t>》，资产评估总价值为人民币</w:t>
            </w:r>
            <w:r>
              <w:rPr>
                <w:rFonts w:hint="eastAsia" w:ascii="宋体" w:hAnsi="宋体" w:cs="宋体"/>
                <w:color w:val="auto"/>
                <w:sz w:val="24"/>
                <w:szCs w:val="24"/>
                <w:highlight w:val="none"/>
                <w:lang w:val="en-US" w:eastAsia="zh-CN"/>
              </w:rPr>
              <w:t>3809.7万</w:t>
            </w:r>
            <w:r>
              <w:rPr>
                <w:rFonts w:hint="eastAsia" w:ascii="宋体" w:hAnsi="宋体" w:eastAsia="宋体" w:cs="宋体"/>
                <w:color w:val="auto"/>
                <w:sz w:val="24"/>
                <w:szCs w:val="24"/>
                <w:highlight w:val="none"/>
              </w:rPr>
              <w:t>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3809.7万元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体积、面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成新度和功能情况</w:t>
            </w:r>
            <w:r>
              <w:rPr>
                <w:rFonts w:hint="eastAsia" w:ascii="宋体" w:hAnsi="宋体" w:eastAsia="宋体" w:cs="宋体"/>
                <w:color w:val="auto"/>
                <w:sz w:val="24"/>
                <w:szCs w:val="24"/>
                <w:highlight w:val="none"/>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2.办理资产过户手续过程中发生的相关税、费</w:t>
            </w:r>
            <w:r>
              <w:rPr>
                <w:rFonts w:hint="eastAsia" w:asciiTheme="minorEastAsia" w:hAnsiTheme="minorEastAsia" w:eastAsiaTheme="minorEastAsia"/>
                <w:color w:val="auto"/>
                <w:sz w:val="24"/>
                <w:highlight w:val="none"/>
                <w:lang w:val="en-US" w:eastAsia="zh-CN"/>
              </w:rPr>
              <w:t>等均按国家法律规定</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u w:val="none"/>
                <w:lang w:val="en-US" w:eastAsia="zh-CN"/>
              </w:rPr>
              <w:t>受让方和委托方各自</w:t>
            </w:r>
            <w:r>
              <w:rPr>
                <w:rFonts w:hint="eastAsia" w:ascii="宋体" w:hAnsi="宋体" w:eastAsia="宋体" w:cs="宋体"/>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3.自转让价款全部付清之日起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4.转让资产最终只允许过户至受让方名下，即本次转让最终证载产权方名称须和受让方名称一致。</w:t>
            </w:r>
          </w:p>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5.其他特别说</w:t>
            </w:r>
            <w:r>
              <w:rPr>
                <w:rFonts w:hint="eastAsia" w:ascii="宋体" w:hAnsi="宋体" w:eastAsia="宋体" w:cs="宋体"/>
                <w:color w:val="auto"/>
                <w:kern w:val="2"/>
                <w:sz w:val="24"/>
                <w:szCs w:val="24"/>
                <w:highlight w:val="none"/>
                <w:lang w:val="en-US" w:eastAsia="zh-CN" w:bidi="ar-SA"/>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cs="宋体"/>
                <w:b/>
                <w:bCs/>
                <w:color w:val="auto"/>
                <w:sz w:val="24"/>
                <w:szCs w:val="24"/>
                <w:highlight w:val="none"/>
                <w:lang w:val="en-US" w:eastAsia="zh-CN"/>
              </w:rPr>
              <w:t>本次转让房产存在租赁关系，租赁期限自2023年2月6日起至2026年2月5日止，凡登记的意向受让方都视同已了解并接受标的房屋现状。根据相关法律规定，租赁物在租赁期间发生所有权变动，不影响原租赁合同的效力。关于租赁合同的详细内容，意向受让方可自行向委托方咨询。委托方声明自本次转让标的完成过户即日起，标的房屋租金由现承租人直接支付至受让方账户，相关交接手续由委托方协助受让方办理</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.其他未尽事宜详见</w:t>
            </w:r>
            <w:r>
              <w:rPr>
                <w:rFonts w:hint="eastAsia" w:ascii="宋体" w:hAnsi="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意向受让方须完成</w:t>
            </w: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sz w:val="24"/>
                <w:szCs w:val="24"/>
                <w:highlight w:val="none"/>
              </w:rPr>
              <w:t>主体库登记</w:t>
            </w:r>
            <w:r>
              <w:rPr>
                <w:rFonts w:hint="eastAsia" w:ascii="宋体" w:hAnsi="宋体" w:cs="宋体"/>
                <w:color w:val="auto"/>
                <w:sz w:val="24"/>
                <w:szCs w:val="24"/>
                <w:highlight w:val="none"/>
                <w:lang w:val="en-US" w:eastAsia="zh-CN"/>
              </w:rPr>
              <w:t>注册</w:t>
            </w:r>
            <w:r>
              <w:rPr>
                <w:rFonts w:hint="eastAsia" w:ascii="宋体" w:hAnsi="宋体" w:eastAsia="宋体" w:cs="宋体"/>
                <w:color w:val="auto"/>
                <w:sz w:val="24"/>
                <w:szCs w:val="24"/>
                <w:highlight w:val="none"/>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1.意向受让方为</w:t>
            </w:r>
            <w:r>
              <w:rPr>
                <w:rFonts w:hint="eastAsia" w:asciiTheme="minorEastAsia" w:hAnsiTheme="minorEastAsia" w:eastAsiaTheme="minorEastAsia" w:cstheme="minorEastAsia"/>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2.意向受让方为自然人的，点击安徽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具体流程参见安徽合肥公共资源交易中心网站（网址：http://ggzy.hefei.gov.cn）</w:t>
            </w:r>
            <w:r>
              <w:rPr>
                <w:rFonts w:hint="eastAsia" w:ascii="宋体" w:hAnsi="宋体" w:eastAsia="宋体" w:cs="宋体"/>
                <w:color w:val="auto"/>
                <w:sz w:val="24"/>
                <w:szCs w:val="24"/>
                <w:highlight w:val="none"/>
                <w:shd w:val="clear" w:color="auto" w:fill="auto"/>
              </w:rPr>
              <w:t>“办事指南”</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保证金账号如下：</w:t>
            </w:r>
          </w:p>
          <w:tbl>
            <w:tblPr>
              <w:tblStyle w:val="12"/>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户名：合肥市产权交易中心</w:t>
                  </w:r>
                </w:p>
              </w:tc>
              <w:tc>
                <w:tcPr>
                  <w:tcW w:w="244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开户</w:t>
                  </w:r>
                  <w:r>
                    <w:rPr>
                      <w:rFonts w:hint="eastAsia" w:ascii="宋体" w:hAnsi="宋体" w:cs="宋体"/>
                      <w:b w:val="0"/>
                      <w:bCs/>
                      <w:color w:val="auto"/>
                      <w:kern w:val="0"/>
                      <w:sz w:val="24"/>
                      <w:szCs w:val="24"/>
                      <w:highlight w:val="none"/>
                      <w:lang w:val="en-US" w:eastAsia="zh-CN"/>
                    </w:rPr>
                    <w:t>银</w:t>
                  </w:r>
                  <w:r>
                    <w:rPr>
                      <w:rFonts w:hint="eastAsia" w:ascii="宋体" w:hAnsi="宋体" w:eastAsia="宋体" w:cs="宋体"/>
                      <w:b w:val="0"/>
                      <w:bCs/>
                      <w:color w:val="auto"/>
                      <w:kern w:val="0"/>
                      <w:sz w:val="24"/>
                      <w:szCs w:val="24"/>
                      <w:highlight w:val="none"/>
                    </w:rPr>
                    <w:t>行：中国光大银行合肥阜南路支行</w:t>
                  </w:r>
                </w:p>
              </w:tc>
              <w:tc>
                <w:tcPr>
                  <w:tcW w:w="349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账号：76700188014677716</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完成后，意向受让方可登</w:t>
            </w:r>
            <w:r>
              <w:rPr>
                <w:rFonts w:hint="eastAsia" w:ascii="宋体" w:hAnsi="宋体" w:cs="宋体"/>
                <w:color w:val="auto"/>
                <w:kern w:val="0"/>
                <w:sz w:val="24"/>
                <w:szCs w:val="24"/>
                <w:highlight w:val="none"/>
                <w:lang w:val="en-US" w:eastAsia="zh-CN"/>
              </w:rPr>
              <w:t>录</w:t>
            </w:r>
            <w:r>
              <w:rPr>
                <w:rFonts w:hint="eastAsia" w:ascii="宋体" w:hAnsi="宋体" w:eastAsia="宋体" w:cs="宋体"/>
                <w:color w:val="auto"/>
                <w:kern w:val="0"/>
                <w:sz w:val="24"/>
                <w:szCs w:val="24"/>
                <w:highlight w:val="none"/>
              </w:rPr>
              <w:t>安徽公共资源交易集团电子交易系统点击“保证金查询”查看</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2.竞价规则详见</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3.本项目标的每轮加价幅度</w:t>
            </w:r>
            <w:r>
              <w:rPr>
                <w:rFonts w:hint="eastAsia" w:ascii="宋体" w:hAnsi="宋体" w:cs="宋体"/>
                <w:b/>
                <w:bCs/>
                <w:color w:val="auto"/>
                <w:kern w:val="0"/>
                <w:sz w:val="24"/>
                <w:szCs w:val="24"/>
                <w:highlight w:val="none"/>
                <w:u w:val="none"/>
                <w:lang w:val="en-US" w:eastAsia="zh-CN"/>
              </w:rPr>
              <w:t>10万</w:t>
            </w:r>
            <w:r>
              <w:rPr>
                <w:rFonts w:hint="eastAsia" w:ascii="宋体" w:hAnsi="宋体" w:eastAsia="宋体" w:cs="宋体"/>
                <w:b/>
                <w:bCs/>
                <w:color w:val="auto"/>
                <w:kern w:val="0"/>
                <w:sz w:val="24"/>
                <w:szCs w:val="24"/>
                <w:highlight w:val="none"/>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w:t>
            </w:r>
            <w:r>
              <w:rPr>
                <w:rFonts w:hint="eastAsia" w:ascii="宋体" w:hAnsi="宋体" w:cs="宋体"/>
                <w:b w:val="0"/>
                <w:bCs w:val="0"/>
                <w:color w:val="auto"/>
                <w:kern w:val="0"/>
                <w:sz w:val="24"/>
                <w:szCs w:val="24"/>
                <w:highlight w:val="none"/>
                <w:shd w:val="clear" w:color="auto" w:fill="auto"/>
                <w:lang w:val="en-US" w:eastAsia="zh-CN"/>
              </w:rPr>
              <w:t>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w:t>
            </w:r>
            <w:r>
              <w:rPr>
                <w:rFonts w:hint="eastAsia" w:ascii="宋体" w:hAnsi="宋体" w:eastAsia="宋体" w:cs="宋体"/>
                <w:b w:val="0"/>
                <w:bCs w:val="0"/>
                <w:color w:val="auto"/>
                <w:kern w:val="0"/>
                <w:sz w:val="24"/>
                <w:szCs w:val="24"/>
                <w:highlight w:val="none"/>
                <w:shd w:val="clear" w:color="auto" w:fill="auto"/>
              </w:rPr>
              <w:t>人</w:t>
            </w:r>
            <w:r>
              <w:rPr>
                <w:rFonts w:hint="eastAsia" w:ascii="宋体" w:hAnsi="宋体" w:eastAsia="宋体" w:cs="宋体"/>
                <w:b w:val="0"/>
                <w:bCs w:val="0"/>
                <w:color w:val="auto"/>
                <w:kern w:val="0"/>
                <w:sz w:val="24"/>
                <w:szCs w:val="24"/>
                <w:highlight w:val="none"/>
                <w:shd w:val="clear" w:color="auto" w:fill="auto"/>
                <w:lang w:val="en-US" w:eastAsia="zh-CN"/>
              </w:rPr>
              <w:t>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标的成交价</w:t>
            </w:r>
            <w:r>
              <w:rPr>
                <w:rFonts w:hint="eastAsia" w:ascii="宋体" w:hAnsi="宋体" w:eastAsia="宋体" w:cs="宋体"/>
                <w:color w:val="auto"/>
                <w:kern w:val="0"/>
                <w:sz w:val="24"/>
                <w:szCs w:val="24"/>
                <w:highlight w:val="none"/>
                <w:lang w:val="en-US" w:eastAsia="zh-CN"/>
              </w:rPr>
              <w:t>10000</w:t>
            </w:r>
            <w:r>
              <w:rPr>
                <w:rFonts w:hint="eastAsia" w:ascii="宋体" w:hAnsi="宋体" w:eastAsia="宋体" w:cs="宋体"/>
                <w:color w:val="auto"/>
                <w:kern w:val="0"/>
                <w:sz w:val="24"/>
                <w:szCs w:val="24"/>
                <w:highlight w:val="none"/>
              </w:rPr>
              <w:t>万元以下的部分，收取比例为</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超过1000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万元至5000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万元的部分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0.48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50000万</w:t>
            </w:r>
            <w:r>
              <w:rPr>
                <w:rFonts w:hint="eastAsia" w:ascii="宋体"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https://ggzy.hefei.gov.cn/）</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联系人：王</w:t>
            </w:r>
            <w:r>
              <w:rPr>
                <w:rFonts w:hint="eastAsia" w:ascii="宋体" w:hAnsi="宋体" w:cs="宋体"/>
                <w:color w:val="auto"/>
                <w:sz w:val="24"/>
                <w:szCs w:val="24"/>
                <w:highlight w:val="none"/>
                <w:lang w:val="en-US" w:eastAsia="zh-CN"/>
              </w:rPr>
              <w:t>工</w:t>
            </w:r>
            <w:r>
              <w:rPr>
                <w:rFonts w:hint="eastAsia" w:ascii="宋体" w:hAnsi="宋体" w:eastAsia="宋体" w:cs="宋体"/>
                <w:color w:val="auto"/>
                <w:sz w:val="24"/>
                <w:szCs w:val="24"/>
                <w:highlight w:val="none"/>
              </w:rPr>
              <w:t>，联系电话：13856984118</w:t>
            </w:r>
            <w:r>
              <w:rPr>
                <w:rFonts w:hint="eastAsia" w:ascii="宋体" w:hAnsi="宋体" w:cs="宋体"/>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王</w:t>
            </w:r>
            <w:r>
              <w:rPr>
                <w:rFonts w:hint="eastAsia" w:ascii="宋体" w:hAnsi="宋体" w:eastAsia="宋体" w:cs="宋体"/>
                <w:color w:val="auto"/>
                <w:sz w:val="24"/>
                <w:szCs w:val="24"/>
                <w:highlight w:val="none"/>
              </w:rPr>
              <w:t>工，联系电话：0551-6622</w:t>
            </w:r>
            <w:r>
              <w:rPr>
                <w:rFonts w:hint="eastAsia" w:ascii="宋体" w:hAnsi="宋体" w:cs="宋体"/>
                <w:color w:val="auto"/>
                <w:sz w:val="24"/>
                <w:szCs w:val="24"/>
                <w:highlight w:val="none"/>
                <w:lang w:val="en-US" w:eastAsia="zh-CN"/>
              </w:rPr>
              <w:t>3192</w:t>
            </w:r>
            <w:r>
              <w:rPr>
                <w:rFonts w:hint="eastAsia" w:ascii="宋体" w:hAnsi="宋体" w:eastAsia="宋体" w:cs="宋体"/>
                <w:color w:val="auto"/>
                <w:sz w:val="24"/>
                <w:szCs w:val="24"/>
                <w:highlight w:val="none"/>
              </w:rPr>
              <w:t>、6622</w:t>
            </w:r>
            <w:r>
              <w:rPr>
                <w:rFonts w:hint="eastAsia" w:ascii="宋体" w:hAnsi="宋体" w:cs="宋体"/>
                <w:color w:val="auto"/>
                <w:sz w:val="24"/>
                <w:szCs w:val="24"/>
                <w:highlight w:val="none"/>
                <w:lang w:val="en-US" w:eastAsia="zh-CN"/>
              </w:rPr>
              <w:t>3191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32"/>
          <w:szCs w:val="32"/>
          <w:highlight w:val="none"/>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widowControl/>
        <w:spacing w:line="520" w:lineRule="exact"/>
        <w:ind w:right="560"/>
        <w:jc w:val="both"/>
        <w:rPr>
          <w:rFonts w:hint="eastAsia" w:ascii="宋体" w:hAnsi="宋体" w:eastAsia="宋体" w:cs="宋体"/>
          <w:color w:val="auto"/>
          <w:kern w:val="0"/>
          <w:sz w:val="32"/>
          <w:szCs w:val="32"/>
          <w:highlight w:val="none"/>
        </w:rPr>
      </w:pPr>
    </w:p>
    <w:p>
      <w:pPr>
        <w:widowControl/>
        <w:tabs>
          <w:tab w:val="left" w:pos="3030"/>
        </w:tabs>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9"/>
        <w:shd w:val="clear" w:color="auto" w:fill="FFFFFF"/>
        <w:ind w:firstLine="64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转让</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受让方（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转让标的相关描述：安徽省滁州市定远县定城人民路阳光商业广场D幢商铺D201、D301室房产。</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转让标的详细情况见安徽建英房地产土地资产评估有限公司出具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皖建英房估（2023）字第1617号《房地产估价报告》。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（四）本合同的签署与履行没有违反对甲方已签署的合同、协议及所有法律文件；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（二）签订本合同所需的各项授权、审批，以及内部决策等在内的一切批准手续均已合法有效取得；</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甲方将转让标的以人民币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乙方须自《资产转让合同》签订之日起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个工作日内向合肥市产权交易中心指定账户（</w:t>
      </w: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rPr>
        <w:t>：合肥市产权交易中心；开户银行：</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光大银行</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阜南路支行；账号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（一）转让标的以现场现状移交；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（二）自转让价款全部汇入合肥市产权交易中心指定账户之日起</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日内，甲方协助乙方办理资产交接手续。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转让过程中涉及的相关税费</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均按国家法律规定</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u w:val="none"/>
          <w:lang w:val="en-US" w:eastAsia="zh-CN"/>
        </w:rPr>
        <w:t>甲乙双方各自</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除不可抗拒的因素外，因甲方责任造成甲方未按本合同的约定配合乙方办理资产交接手续的，乙方有权在本合同规定的最后的期限次日起按累计已付款金额每日万分之五的标准向甲方追究违约利息，至资产实际交付之日止。若甲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仍未继续履行合同，乙方有权解除合同，并要求甲方赔偿合同价款10%</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违约金。</w:t>
      </w:r>
      <w:r>
        <w:rPr>
          <w:rFonts w:hint="eastAsia" w:asciiTheme="minorEastAsia" w:hAnsiTheme="minorEastAsia" w:eastAsiaTheme="minorEastAsia" w:cstheme="minorEastAsia"/>
          <w:b/>
          <w:bCs/>
          <w:color w:val="auto"/>
          <w:sz w:val="24"/>
          <w:szCs w:val="24"/>
          <w:highlight w:val="none"/>
        </w:rPr>
        <w:t>鉴于本次转让标的在租赁状态，甲乙双方确认：甲方配合乙方与承租人签署变更出租主体相关协议，或甲方将与承租人签署的租赁合同原件交予乙方并将房产转让情况书面通知承租人，即视为甲方实际交付转让标的。若乙方为承租人的，则办理房产过户手续即视为交付转让标的。</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（三）如乙方未能按照本合同第四条约定支付转让价款，甲方有权在本合同规定的付款期限次日起按逾期金额每日万分之五的标准向乙方追究违约利息。若乙方逾期超过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内仍未按照合同支付，甲方有权解除合同，并要求乙方赔偿合同价款10%的违约金。</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争议的解决方式</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本合同在履行中发生争议，由甲、乙双方协商解决。协商不成的，甲、乙双方同意采用以下第</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向甲方所在地仲裁机构提请仲裁；</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向甲方所在地区人民法院起诉。</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本合同一式</w:t>
      </w:r>
      <w:r>
        <w:rPr>
          <w:rFonts w:hint="eastAsia" w:asciiTheme="minorEastAsia" w:hAnsiTheme="minorEastAsia" w:eastAsiaTheme="minorEastAsia" w:cstheme="minorEastAsia"/>
          <w:color w:val="auto"/>
          <w:sz w:val="24"/>
          <w:szCs w:val="24"/>
          <w:highlight w:val="none"/>
          <w:u w:val="none"/>
          <w:lang w:val="en-US" w:eastAsia="zh-CN"/>
        </w:rPr>
        <w:t>七</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u w:val="none"/>
        </w:rPr>
        <w:t>甲方执</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乙</w:t>
      </w:r>
      <w:r>
        <w:rPr>
          <w:rFonts w:hint="eastAsia" w:asciiTheme="minorEastAsia" w:hAnsiTheme="minorEastAsia" w:eastAsiaTheme="minorEastAsia" w:cstheme="minorEastAsia"/>
          <w:color w:val="auto"/>
          <w:sz w:val="24"/>
          <w:szCs w:val="24"/>
          <w:highlight w:val="none"/>
          <w:u w:val="none"/>
        </w:rPr>
        <w:t>方执</w:t>
      </w:r>
      <w:r>
        <w:rPr>
          <w:rFonts w:hint="eastAsia" w:asciiTheme="minorEastAsia" w:hAnsiTheme="minorEastAsia" w:eastAsiaTheme="minorEastAsia" w:cstheme="minorEastAsia"/>
          <w:color w:val="auto"/>
          <w:sz w:val="24"/>
          <w:szCs w:val="24"/>
          <w:highlight w:val="none"/>
          <w:u w:val="none"/>
          <w:lang w:val="en-US" w:eastAsia="zh-CN"/>
        </w:rPr>
        <w:t>两</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合肥市产权交易中心留存</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rPr>
        <w:t xml:space="preserve">  联系电话：                       联系电话：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05F60"/>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21D3"/>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54C77"/>
    <w:rsid w:val="012D055E"/>
    <w:rsid w:val="01CB3262"/>
    <w:rsid w:val="03721A24"/>
    <w:rsid w:val="04282536"/>
    <w:rsid w:val="04F817FC"/>
    <w:rsid w:val="061E7606"/>
    <w:rsid w:val="062E3DF2"/>
    <w:rsid w:val="0653316C"/>
    <w:rsid w:val="065A7B9F"/>
    <w:rsid w:val="08805DDD"/>
    <w:rsid w:val="08D94BA3"/>
    <w:rsid w:val="09343412"/>
    <w:rsid w:val="094A1533"/>
    <w:rsid w:val="099654E2"/>
    <w:rsid w:val="09D56678"/>
    <w:rsid w:val="0AD46DD3"/>
    <w:rsid w:val="0B05058C"/>
    <w:rsid w:val="0C8E71A9"/>
    <w:rsid w:val="0CBA3DB4"/>
    <w:rsid w:val="0CF71200"/>
    <w:rsid w:val="0E4E0DB5"/>
    <w:rsid w:val="0F9A248A"/>
    <w:rsid w:val="0FD3689E"/>
    <w:rsid w:val="0FE671D5"/>
    <w:rsid w:val="10C50951"/>
    <w:rsid w:val="11CF01FA"/>
    <w:rsid w:val="1278789A"/>
    <w:rsid w:val="136E6720"/>
    <w:rsid w:val="140D7111"/>
    <w:rsid w:val="14AE1D66"/>
    <w:rsid w:val="151807D2"/>
    <w:rsid w:val="15261805"/>
    <w:rsid w:val="16A7275E"/>
    <w:rsid w:val="16AC044C"/>
    <w:rsid w:val="17F855EA"/>
    <w:rsid w:val="1890681D"/>
    <w:rsid w:val="189304CA"/>
    <w:rsid w:val="18B47DE0"/>
    <w:rsid w:val="1AFE5B13"/>
    <w:rsid w:val="1B006FD1"/>
    <w:rsid w:val="1B7329F3"/>
    <w:rsid w:val="1C793F89"/>
    <w:rsid w:val="1CE24490"/>
    <w:rsid w:val="1CF50DEF"/>
    <w:rsid w:val="1CF533C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2EB27C6F"/>
    <w:rsid w:val="307A4878"/>
    <w:rsid w:val="3124107F"/>
    <w:rsid w:val="327D7699"/>
    <w:rsid w:val="32CC20F9"/>
    <w:rsid w:val="353F2860"/>
    <w:rsid w:val="35B12D05"/>
    <w:rsid w:val="362C561C"/>
    <w:rsid w:val="362E74CE"/>
    <w:rsid w:val="36BC4AB3"/>
    <w:rsid w:val="37BD561A"/>
    <w:rsid w:val="38AC5187"/>
    <w:rsid w:val="38E523C0"/>
    <w:rsid w:val="3980064E"/>
    <w:rsid w:val="3A7368B4"/>
    <w:rsid w:val="3ADB3B1C"/>
    <w:rsid w:val="3B2E7DB0"/>
    <w:rsid w:val="3C2D5021"/>
    <w:rsid w:val="3CA751E9"/>
    <w:rsid w:val="3D875BC9"/>
    <w:rsid w:val="3DB37AA4"/>
    <w:rsid w:val="3E5D107A"/>
    <w:rsid w:val="3EBA29E2"/>
    <w:rsid w:val="3EE65524"/>
    <w:rsid w:val="3F6917D2"/>
    <w:rsid w:val="3F795EC5"/>
    <w:rsid w:val="3FAC40A3"/>
    <w:rsid w:val="3FAC5C18"/>
    <w:rsid w:val="403048FE"/>
    <w:rsid w:val="40596D9A"/>
    <w:rsid w:val="436E40F8"/>
    <w:rsid w:val="437A63F2"/>
    <w:rsid w:val="43AE759B"/>
    <w:rsid w:val="43EC567A"/>
    <w:rsid w:val="43F42307"/>
    <w:rsid w:val="44D31FE1"/>
    <w:rsid w:val="453F61C6"/>
    <w:rsid w:val="463E7899"/>
    <w:rsid w:val="47877461"/>
    <w:rsid w:val="479C3078"/>
    <w:rsid w:val="47C2101E"/>
    <w:rsid w:val="485D56A6"/>
    <w:rsid w:val="4913057D"/>
    <w:rsid w:val="4A347AE7"/>
    <w:rsid w:val="4A9D4634"/>
    <w:rsid w:val="4AB43AEE"/>
    <w:rsid w:val="4CC32705"/>
    <w:rsid w:val="4D6D5F1D"/>
    <w:rsid w:val="4DF462B9"/>
    <w:rsid w:val="4E2343DF"/>
    <w:rsid w:val="4EB62ADF"/>
    <w:rsid w:val="4EDA5C4C"/>
    <w:rsid w:val="4F597707"/>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90129CD"/>
    <w:rsid w:val="5A3F29B9"/>
    <w:rsid w:val="5B7338B1"/>
    <w:rsid w:val="5BDB7D1E"/>
    <w:rsid w:val="5BE57B3D"/>
    <w:rsid w:val="5C812D18"/>
    <w:rsid w:val="5C866462"/>
    <w:rsid w:val="5D4A6D21"/>
    <w:rsid w:val="5D546AD2"/>
    <w:rsid w:val="5DCD6BA9"/>
    <w:rsid w:val="5E446E86"/>
    <w:rsid w:val="601F49FC"/>
    <w:rsid w:val="60624F85"/>
    <w:rsid w:val="611A1E80"/>
    <w:rsid w:val="63206CC0"/>
    <w:rsid w:val="634639AA"/>
    <w:rsid w:val="63C23447"/>
    <w:rsid w:val="67E40EA2"/>
    <w:rsid w:val="67FE3A24"/>
    <w:rsid w:val="69905939"/>
    <w:rsid w:val="69D80CEE"/>
    <w:rsid w:val="6A687C6F"/>
    <w:rsid w:val="6AB96AE2"/>
    <w:rsid w:val="6BB9245A"/>
    <w:rsid w:val="6BC14E5B"/>
    <w:rsid w:val="6BDF26C7"/>
    <w:rsid w:val="6C1D08BE"/>
    <w:rsid w:val="6D67416A"/>
    <w:rsid w:val="6E8E522F"/>
    <w:rsid w:val="6E967210"/>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B917B6E"/>
    <w:rsid w:val="7C0F2F1B"/>
    <w:rsid w:val="7C7D2C9A"/>
    <w:rsid w:val="7CC57291"/>
    <w:rsid w:val="7E25509A"/>
    <w:rsid w:val="7E271C75"/>
    <w:rsid w:val="7F69611C"/>
    <w:rsid w:val="7F9F7525"/>
    <w:rsid w:val="7FE60340"/>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rPr>
      <w:color w:val="FFFFFF"/>
      <w:shd w:val="clear" w:fill="76C0E3"/>
    </w:rPr>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23</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2024-03-20T05:37:09Z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