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cs="宋体" w:asciiTheme="minorEastAsia" w:hAnsiTheme="minorEastAsia" w:eastAsiaTheme="minorEastAsia"/>
          <w:kern w:val="0"/>
          <w:sz w:val="44"/>
          <w:szCs w:val="44"/>
          <w:highlight w:val="none"/>
          <w:lang w:eastAsia="zh-CN"/>
        </w:rPr>
      </w:pPr>
      <w:bookmarkStart w:id="0" w:name="OLE_LINK1"/>
      <w:r>
        <w:rPr>
          <w:rFonts w:hint="eastAsia" w:cs="宋体" w:asciiTheme="minorEastAsia" w:hAnsiTheme="minorEastAsia" w:eastAsiaTheme="minorEastAsia"/>
          <w:kern w:val="0"/>
          <w:sz w:val="44"/>
          <w:szCs w:val="44"/>
          <w:highlight w:val="none"/>
        </w:rPr>
        <w:t>石台县七都镇七都村七都新天地荣府17幢2单元402室房产转让公告</w:t>
      </w:r>
      <w:r>
        <w:rPr>
          <w:rFonts w:hint="eastAsia" w:cs="宋体" w:asciiTheme="minorEastAsia" w:hAnsiTheme="minorEastAsia" w:eastAsiaTheme="minorEastAsia"/>
          <w:kern w:val="0"/>
          <w:sz w:val="44"/>
          <w:szCs w:val="44"/>
          <w:highlight w:val="none"/>
          <w:lang w:eastAsia="zh-CN"/>
        </w:rPr>
        <w:t>（</w:t>
      </w:r>
      <w:r>
        <w:rPr>
          <w:rFonts w:hint="eastAsia" w:cs="宋体" w:asciiTheme="minorEastAsia" w:hAnsiTheme="minorEastAsia" w:eastAsiaTheme="minorEastAsia"/>
          <w:kern w:val="0"/>
          <w:sz w:val="44"/>
          <w:szCs w:val="44"/>
          <w:highlight w:val="none"/>
          <w:lang w:val="en-US" w:eastAsia="zh-CN"/>
        </w:rPr>
        <w:t>二次</w:t>
      </w:r>
      <w:r>
        <w:rPr>
          <w:rFonts w:hint="eastAsia" w:cs="宋体" w:asciiTheme="minorEastAsia" w:hAnsiTheme="minorEastAsia" w:eastAsiaTheme="minorEastAsia"/>
          <w:kern w:val="0"/>
          <w:sz w:val="44"/>
          <w:szCs w:val="44"/>
          <w:highlight w:val="none"/>
          <w:lang w:eastAsia="zh-CN"/>
        </w:rPr>
        <w:t>）</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4488"/>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项目名称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hint="eastAsia" w:ascii="宋体" w:hAnsi="宋体" w:eastAsia="宋体" w:cs="宋体"/>
                <w:kern w:val="0"/>
                <w:sz w:val="24"/>
                <w:highlight w:val="none"/>
                <w:lang w:eastAsia="zh-CN"/>
              </w:rPr>
            </w:pPr>
            <w:r>
              <w:rPr>
                <w:rFonts w:hint="eastAsia" w:ascii="宋体" w:hAnsi="宋体" w:cs="宋体"/>
                <w:kern w:val="0"/>
                <w:sz w:val="24"/>
                <w:highlight w:val="none"/>
              </w:rPr>
              <w:t>石台县七都镇七都村七都新天地荣府17幢2单元402室房产转让</w:t>
            </w: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二次</w:t>
            </w:r>
            <w:r>
              <w:rPr>
                <w:rFonts w:hint="eastAsia" w:ascii="宋体" w:hAnsi="宋体" w:cs="宋体"/>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项目编号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2023BTFCJ01252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安徽百大合家福连锁超市股份有限公司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委托方承诺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交易监督部门</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安徽百大合家福连锁超市股份有限公司纪检监察室</w:t>
            </w:r>
          </w:p>
          <w:p>
            <w:pPr>
              <w:widowControl/>
              <w:spacing w:line="400" w:lineRule="exact"/>
              <w:jc w:val="left"/>
              <w:rPr>
                <w:rFonts w:ascii="宋体" w:hAnsi="宋体" w:cs="宋体"/>
                <w:sz w:val="24"/>
                <w:highlight w:val="none"/>
              </w:rPr>
            </w:pPr>
            <w:r>
              <w:rPr>
                <w:rFonts w:hint="eastAsia" w:ascii="宋体" w:hAnsi="宋体" w:cs="宋体"/>
                <w:sz w:val="24"/>
                <w:highlight w:val="none"/>
              </w:rPr>
              <w:t>联系方式：</w:t>
            </w:r>
            <w:r>
              <w:rPr>
                <w:rFonts w:ascii="宋体" w:hAnsi="宋体" w:cs="宋体"/>
                <w:sz w:val="24"/>
                <w:highlight w:val="none"/>
              </w:rPr>
              <w:t>0551-63453852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公告及</w:t>
            </w:r>
          </w:p>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竞价期限</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1.公告期：202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4</w:t>
            </w:r>
            <w:r>
              <w:rPr>
                <w:rFonts w:hint="eastAsia" w:ascii="宋体" w:hAnsi="宋体" w:cs="宋体"/>
                <w:sz w:val="24"/>
                <w:highlight w:val="none"/>
              </w:rPr>
              <w:t>日17:00止。</w:t>
            </w:r>
          </w:p>
          <w:p>
            <w:pPr>
              <w:widowControl/>
              <w:spacing w:line="400" w:lineRule="exact"/>
              <w:jc w:val="left"/>
              <w:rPr>
                <w:rFonts w:ascii="宋体" w:hAnsi="宋体" w:cs="宋体"/>
                <w:sz w:val="24"/>
                <w:highlight w:val="none"/>
              </w:rPr>
            </w:pPr>
            <w:r>
              <w:rPr>
                <w:rFonts w:hint="eastAsia" w:ascii="宋体" w:hAnsi="宋体" w:cs="宋体"/>
                <w:sz w:val="24"/>
                <w:highlight w:val="none"/>
              </w:rPr>
              <w:t>2.网络竞价自由报价期：202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1</w:t>
            </w:r>
            <w:r>
              <w:rPr>
                <w:rFonts w:hint="eastAsia" w:ascii="宋体" w:hAnsi="宋体" w:cs="宋体"/>
                <w:sz w:val="24"/>
                <w:highlight w:val="none"/>
              </w:rPr>
              <w:t>月</w:t>
            </w:r>
            <w:r>
              <w:rPr>
                <w:rFonts w:hint="eastAsia" w:ascii="宋体" w:hAnsi="宋体" w:cs="宋体"/>
                <w:sz w:val="24"/>
                <w:highlight w:val="none"/>
                <w:lang w:val="en-US" w:eastAsia="zh-CN"/>
              </w:rPr>
              <w:t>31</w:t>
            </w:r>
            <w:r>
              <w:rPr>
                <w:rFonts w:hint="eastAsia" w:ascii="宋体" w:hAnsi="宋体" w:cs="宋体"/>
                <w:sz w:val="24"/>
                <w:highlight w:val="none"/>
              </w:rPr>
              <w:t>日9:00时始至202</w:t>
            </w:r>
            <w:r>
              <w:rPr>
                <w:rFonts w:hint="eastAsia" w:ascii="宋体" w:hAnsi="宋体" w:cs="宋体"/>
                <w:sz w:val="24"/>
                <w:highlight w:val="none"/>
                <w:lang w:val="en-US" w:eastAsia="zh-CN"/>
              </w:rPr>
              <w:t>4</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5</w:t>
            </w:r>
            <w:r>
              <w:rPr>
                <w:rFonts w:hint="eastAsia" w:ascii="宋体" w:hAnsi="宋体" w:cs="宋体"/>
                <w:sz w:val="24"/>
                <w:highlight w:val="none"/>
              </w:rPr>
              <w:t>日10:00止，自由报价期满进入限时报价期，限时报价周期为180秒。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sz w:val="24"/>
                <w:highlight w:val="none"/>
              </w:rPr>
            </w:pPr>
            <w:r>
              <w:rPr>
                <w:rFonts w:hint="eastAsia" w:ascii="宋体" w:hAnsi="宋体" w:cs="宋体"/>
                <w:sz w:val="24"/>
                <w:highlight w:val="none"/>
              </w:rPr>
              <w:t>标的位置：安徽省池州市石台县七都镇七都村七都新天地荣府17幢2单元402室；证载权利人：安徽百大合家福连锁超市股份有限公司；建筑面积：132.84㎡；结构：钢筋混凝土结构；所在层数/总层数：4/5；不动产权证号：皖（2017）石台县不动产权第0000798号；用途：成套住宅。</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sz w:val="24"/>
                <w:highlight w:val="none"/>
              </w:rPr>
              <w:t>上述资产转让已经上级主管单位批准同意处置，合肥市房地产土地评估事务所有限公司出具了合房评估字（2023）50688号《房地产估价报告》，资产评估总价值为人民币34.2万元，资产评估结果已经有权部门备案。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转让底价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34.2万元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交易保证金（万元）</w:t>
            </w:r>
          </w:p>
        </w:tc>
        <w:tc>
          <w:tcPr>
            <w:tcW w:w="84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价款支付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受让方应于《成交确认书》发出之日起3个工作日内与委托方签订《资产转让合同》。并于《资产转让合同》生效之日起5个工作日内向合肥市产权交易中心一次性付清全部转让价款。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center"/>
              <w:rPr>
                <w:rFonts w:ascii="宋体" w:hAnsi="宋体" w:cs="宋体"/>
                <w:sz w:val="24"/>
                <w:highlight w:val="none"/>
              </w:rPr>
            </w:pPr>
            <w:r>
              <w:rPr>
                <w:rFonts w:hint="eastAsia" w:ascii="宋体" w:hAnsi="宋体" w:cs="宋体"/>
                <w:sz w:val="24"/>
                <w:highlight w:val="none"/>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bookmarkStart w:id="1" w:name="OLE_LINK3"/>
            <w:r>
              <w:rPr>
                <w:rFonts w:hint="eastAsia" w:ascii="宋体" w:hAnsi="宋体" w:cs="宋体"/>
                <w:sz w:val="24"/>
                <w:highlight w:val="none"/>
              </w:rPr>
              <w:t>1.凡依法设立、有效存续的境内企事业法人、其他组织和具有完全民事行为能力的自然人，且未被合肥市及其所辖县（市）、区（开发区）公共资源交易监督管理部门记不良行为记录的；或被记不良行为记录（以公布日期为准），但同时符合下列情形的：</w:t>
            </w:r>
            <w:r>
              <w:rPr>
                <w:rFonts w:hint="eastAsia" w:ascii="宋体" w:hAnsi="宋体" w:cs="宋体"/>
                <w:sz w:val="24"/>
                <w:highlight w:val="none"/>
              </w:rPr>
              <w:br w:type="textWrapping"/>
            </w:r>
            <w:r>
              <w:rPr>
                <w:rFonts w:hint="eastAsia" w:ascii="宋体" w:hAnsi="宋体" w:cs="宋体"/>
                <w:sz w:val="24"/>
                <w:highlight w:val="none"/>
              </w:rPr>
              <w:t>（1）开标日前（含当日）6个月内记分累计未满10分的；</w:t>
            </w:r>
            <w:r>
              <w:rPr>
                <w:rFonts w:hint="eastAsia" w:ascii="宋体" w:hAnsi="宋体" w:cs="宋体"/>
                <w:sz w:val="24"/>
                <w:highlight w:val="none"/>
              </w:rPr>
              <w:br w:type="textWrapping"/>
            </w:r>
            <w:r>
              <w:rPr>
                <w:rFonts w:hint="eastAsia" w:ascii="宋体" w:hAnsi="宋体" w:cs="宋体"/>
                <w:sz w:val="24"/>
                <w:highlight w:val="none"/>
              </w:rPr>
              <w:t>（2）开标日前（含当日）12个月内记分累计未满15分的；</w:t>
            </w:r>
            <w:r>
              <w:rPr>
                <w:rFonts w:hint="eastAsia" w:ascii="宋体" w:hAnsi="宋体" w:cs="宋体"/>
                <w:sz w:val="24"/>
                <w:highlight w:val="none"/>
              </w:rPr>
              <w:br w:type="textWrapping"/>
            </w:r>
            <w:r>
              <w:rPr>
                <w:rFonts w:hint="eastAsia" w:ascii="宋体" w:hAnsi="宋体" w:cs="宋体"/>
                <w:sz w:val="24"/>
                <w:highlight w:val="none"/>
              </w:rPr>
              <w:t>（3）开标日前（含当日）18个月内记分累计未满20分的；</w:t>
            </w:r>
            <w:r>
              <w:rPr>
                <w:rFonts w:hint="eastAsia" w:ascii="宋体" w:hAnsi="宋体" w:cs="宋体"/>
                <w:sz w:val="24"/>
                <w:highlight w:val="none"/>
              </w:rPr>
              <w:br w:type="textWrapping"/>
            </w:r>
            <w:r>
              <w:rPr>
                <w:rFonts w:hint="eastAsia" w:ascii="宋体" w:hAnsi="宋体" w:cs="宋体"/>
                <w:sz w:val="24"/>
                <w:highlight w:val="none"/>
              </w:rPr>
              <w:t>（4）开标日前（含当日）24个月内记分累计未满25分的。</w:t>
            </w:r>
          </w:p>
          <w:p>
            <w:pPr>
              <w:widowControl/>
              <w:spacing w:line="400" w:lineRule="exact"/>
              <w:jc w:val="left"/>
              <w:rPr>
                <w:rFonts w:ascii="宋体" w:hAnsi="宋体" w:cs="宋体"/>
                <w:sz w:val="24"/>
                <w:highlight w:val="none"/>
              </w:rPr>
            </w:pPr>
            <w:r>
              <w:rPr>
                <w:rFonts w:hint="eastAsia" w:ascii="宋体" w:hAnsi="宋体" w:cs="宋体"/>
                <w:sz w:val="24"/>
                <w:highlight w:val="none"/>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sz w:val="24"/>
                <w:highlight w:val="none"/>
              </w:rPr>
            </w:pPr>
            <w:r>
              <w:rPr>
                <w:rFonts w:hint="eastAsia" w:ascii="宋体" w:hAnsi="宋体" w:cs="宋体"/>
                <w:sz w:val="24"/>
                <w:highlight w:val="none"/>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spacing w:line="400" w:lineRule="exact"/>
              <w:jc w:val="left"/>
              <w:rPr>
                <w:rFonts w:ascii="宋体" w:hAnsi="宋体" w:cs="宋体"/>
                <w:sz w:val="24"/>
                <w:highlight w:val="none"/>
              </w:rPr>
            </w:pPr>
            <w:r>
              <w:rPr>
                <w:rFonts w:hint="eastAsia" w:ascii="宋体" w:hAnsi="宋体" w:cs="宋体"/>
                <w:sz w:val="24"/>
                <w:highlight w:val="none"/>
              </w:rPr>
              <w:t>2.办理资产过户手续过程中发生的相关税、费</w:t>
            </w:r>
            <w:r>
              <w:rPr>
                <w:rFonts w:hint="eastAsia" w:asciiTheme="minorEastAsia" w:hAnsiTheme="minorEastAsia" w:eastAsiaTheme="minorEastAsia"/>
                <w:sz w:val="24"/>
                <w:highlight w:val="none"/>
              </w:rPr>
              <w:t>等均由</w:t>
            </w:r>
            <w:r>
              <w:rPr>
                <w:rFonts w:hint="eastAsia" w:ascii="宋体" w:hAnsi="宋体" w:cs="宋体" w:eastAsiaTheme="minorEastAsia"/>
                <w:sz w:val="24"/>
                <w:highlight w:val="none"/>
                <w:lang w:val="en-US" w:eastAsia="zh-CN"/>
              </w:rPr>
              <w:t>委托</w:t>
            </w:r>
            <w:r>
              <w:rPr>
                <w:rFonts w:hint="eastAsia" w:ascii="宋体" w:hAnsi="宋体" w:cs="宋体"/>
                <w:sz w:val="24"/>
                <w:highlight w:val="none"/>
              </w:rPr>
              <w:t>方和受让方</w:t>
            </w:r>
            <w:r>
              <w:rPr>
                <w:rFonts w:hint="eastAsia" w:asciiTheme="minorEastAsia" w:hAnsiTheme="minorEastAsia" w:eastAsiaTheme="minorEastAsia"/>
                <w:sz w:val="24"/>
                <w:highlight w:val="none"/>
              </w:rPr>
              <w:t>按国家相关规定</w:t>
            </w:r>
            <w:r>
              <w:rPr>
                <w:rFonts w:hint="eastAsia" w:ascii="宋体" w:hAnsi="宋体" w:cs="宋体"/>
                <w:sz w:val="24"/>
                <w:highlight w:val="none"/>
              </w:rPr>
              <w:t>各自承担。</w:t>
            </w:r>
          </w:p>
          <w:p>
            <w:pPr>
              <w:spacing w:line="400" w:lineRule="exact"/>
              <w:jc w:val="left"/>
              <w:rPr>
                <w:rFonts w:ascii="宋体" w:hAnsi="宋体" w:cs="宋体"/>
                <w:sz w:val="24"/>
                <w:highlight w:val="none"/>
              </w:rPr>
            </w:pPr>
            <w:r>
              <w:rPr>
                <w:rFonts w:hint="eastAsia" w:ascii="宋体" w:hAnsi="宋体" w:cs="宋体"/>
                <w:sz w:val="24"/>
                <w:highlight w:val="none"/>
              </w:rPr>
              <w:t>3.自转让价款全部付清之日起60日内，委托方协助受让方办理资产过户、交接等手续。</w:t>
            </w:r>
          </w:p>
          <w:p>
            <w:pPr>
              <w:spacing w:line="400" w:lineRule="exact"/>
              <w:jc w:val="left"/>
              <w:rPr>
                <w:rFonts w:ascii="宋体" w:hAnsi="宋体" w:cs="宋体"/>
                <w:sz w:val="24"/>
                <w:highlight w:val="none"/>
              </w:rPr>
            </w:pPr>
            <w:r>
              <w:rPr>
                <w:rFonts w:hint="eastAsia" w:ascii="宋体" w:hAnsi="宋体" w:cs="宋体"/>
                <w:sz w:val="24"/>
                <w:highlight w:val="none"/>
              </w:rPr>
              <w:t>4.转让资产最终只允许过户至受让方名下，即本次转让最终证载产权方名称须和受让方名称一致。</w:t>
            </w:r>
          </w:p>
          <w:p>
            <w:pPr>
              <w:pStyle w:val="10"/>
              <w:spacing w:before="0" w:beforeAutospacing="0" w:after="0" w:afterAutospacing="0" w:line="400" w:lineRule="exact"/>
              <w:rPr>
                <w:highlight w:val="none"/>
              </w:rPr>
            </w:pPr>
            <w:r>
              <w:rPr>
                <w:rFonts w:hint="eastAsia"/>
                <w:highlight w:val="none"/>
              </w:rPr>
              <w:t>5.其他特别说</w:t>
            </w:r>
            <w:r>
              <w:rPr>
                <w:rFonts w:hint="eastAsia"/>
                <w:kern w:val="2"/>
                <w:highlight w:val="none"/>
              </w:rPr>
              <w:t>明：意向受让方须自行了解己方是否符合房产所在地的房地产市场调控的相关政策规定（如限购政策、二手房转让的相关税费政策等），如受让方因此原因导致无法办理转让标的过户手续的，相关责任及产生的费用由受让方自行承担。</w:t>
            </w:r>
          </w:p>
          <w:p>
            <w:pPr>
              <w:spacing w:line="400" w:lineRule="exact"/>
              <w:jc w:val="left"/>
              <w:rPr>
                <w:rFonts w:ascii="宋体" w:hAnsi="宋体" w:cs="宋体"/>
                <w:sz w:val="24"/>
                <w:highlight w:val="none"/>
              </w:rPr>
            </w:pPr>
            <w:r>
              <w:rPr>
                <w:rFonts w:hint="eastAsia" w:ascii="宋体" w:hAnsi="宋体" w:cs="宋体"/>
                <w:sz w:val="24"/>
                <w:highlight w:val="none"/>
              </w:rPr>
              <w:t>6.其他未尽事宜详见本公告附件《资产转让合同》。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rPr>
                <w:rFonts w:ascii="宋体" w:hAnsi="宋体" w:cs="宋体"/>
                <w:kern w:val="0"/>
                <w:sz w:val="24"/>
                <w:highlight w:val="none"/>
              </w:rPr>
            </w:pPr>
            <w:r>
              <w:rPr>
                <w:rFonts w:hint="eastAsia" w:ascii="宋体" w:hAnsi="宋体" w:cs="宋体"/>
                <w:kern w:val="0"/>
                <w:sz w:val="24"/>
                <w:highlight w:val="none"/>
              </w:rPr>
              <w:t>本项目采取网络连续竞价，价高者得的方式确定受让方，最终成交结果以结果公告为准。</w:t>
            </w:r>
          </w:p>
          <w:p>
            <w:pPr>
              <w:widowControl/>
              <w:spacing w:line="400" w:lineRule="exac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市场主体库登记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sz w:val="24"/>
                <w:highlight w:val="none"/>
              </w:rPr>
            </w:pPr>
            <w:r>
              <w:rPr>
                <w:rFonts w:hint="eastAsia" w:ascii="宋体" w:hAnsi="宋体" w:cs="宋体"/>
                <w:sz w:val="24"/>
                <w:highlight w:val="none"/>
              </w:rPr>
              <w:t>意向受让方须完成</w:t>
            </w:r>
            <w:r>
              <w:rPr>
                <w:rFonts w:hint="eastAsia" w:ascii="宋体" w:hAnsi="宋体" w:cs="宋体"/>
                <w:kern w:val="0"/>
                <w:sz w:val="24"/>
                <w:highlight w:val="none"/>
              </w:rPr>
              <w:t>市场</w:t>
            </w:r>
            <w:r>
              <w:rPr>
                <w:rFonts w:hint="eastAsia" w:ascii="宋体" w:hAnsi="宋体" w:cs="宋体"/>
                <w:sz w:val="24"/>
                <w:highlight w:val="none"/>
              </w:rPr>
              <w:t>主体库登记注册方可参与本项目登记。具体方式如下：</w:t>
            </w:r>
          </w:p>
          <w:p>
            <w:pPr>
              <w:widowControl/>
              <w:spacing w:line="400" w:lineRule="exact"/>
              <w:jc w:val="left"/>
              <w:rPr>
                <w:rFonts w:ascii="宋体" w:hAnsi="宋体" w:cs="宋体"/>
                <w:sz w:val="24"/>
                <w:highlight w:val="none"/>
              </w:rPr>
            </w:pPr>
            <w:r>
              <w:rPr>
                <w:rFonts w:hint="eastAsia" w:ascii="宋体" w:hAnsi="宋体" w:cs="宋体"/>
                <w:sz w:val="24"/>
                <w:highlight w:val="none"/>
              </w:rPr>
              <w:t>1.意向受让方为</w:t>
            </w:r>
            <w:r>
              <w:rPr>
                <w:rFonts w:hint="eastAsia" w:asciiTheme="minorEastAsia" w:hAnsiTheme="minorEastAsia" w:eastAsiaTheme="minorEastAsia" w:cstheme="minorEastAsia"/>
                <w:sz w:val="24"/>
                <w:highlight w:val="none"/>
              </w:rPr>
              <w:t>企事业法人、其他组织</w:t>
            </w:r>
            <w:r>
              <w:rPr>
                <w:rFonts w:hint="eastAsia" w:ascii="宋体" w:hAnsi="宋体" w:cs="宋体"/>
                <w:sz w:val="24"/>
                <w:highlight w:val="none"/>
              </w:rPr>
              <w:t>的，须凭借第三方电子认证服务提供者签发的电子签名认证证书（以下简称：CA）直接登录安徽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w:t>
            </w:r>
          </w:p>
          <w:p>
            <w:pPr>
              <w:widowControl/>
              <w:spacing w:line="400" w:lineRule="exact"/>
              <w:jc w:val="left"/>
              <w:rPr>
                <w:rFonts w:ascii="宋体" w:hAnsi="宋体" w:cs="宋体"/>
                <w:sz w:val="24"/>
                <w:highlight w:val="none"/>
              </w:rPr>
            </w:pPr>
            <w:r>
              <w:rPr>
                <w:rFonts w:hint="eastAsia" w:ascii="宋体" w:hAnsi="宋体" w:cs="宋体"/>
                <w:sz w:val="24"/>
                <w:highlight w:val="none"/>
              </w:rPr>
              <w:t>2.意向受让方为自然人的，点击安徽</w:t>
            </w:r>
            <w:r>
              <w:rPr>
                <w:rFonts w:hint="eastAsia" w:asciiTheme="minorEastAsia" w:hAnsiTheme="minorEastAsia" w:eastAsiaTheme="minorEastAsia" w:cstheme="minorEastAsia"/>
                <w:sz w:val="24"/>
                <w:highlight w:val="none"/>
              </w:rPr>
              <w:t>合肥</w:t>
            </w:r>
            <w:r>
              <w:rPr>
                <w:rFonts w:hint="eastAsia" w:ascii="宋体" w:hAnsi="宋体" w:cs="宋体"/>
                <w:sz w:val="24"/>
                <w:highlight w:val="none"/>
              </w:rPr>
              <w:t>公共资源交易电子服务系统（网址：http://www.hfztb.cn）下方的“安徽政务服务网统一认证中心登录 ”。</w:t>
            </w:r>
          </w:p>
          <w:p>
            <w:pPr>
              <w:widowControl/>
              <w:spacing w:line="400" w:lineRule="exact"/>
              <w:jc w:val="left"/>
              <w:rPr>
                <w:rFonts w:ascii="宋体" w:hAnsi="宋体" w:cs="宋体"/>
                <w:sz w:val="24"/>
                <w:highlight w:val="none"/>
              </w:rPr>
            </w:pPr>
            <w:r>
              <w:rPr>
                <w:rFonts w:hint="eastAsia" w:ascii="宋体" w:hAnsi="宋体" w:cs="宋体"/>
                <w:sz w:val="24"/>
                <w:highlight w:val="none"/>
              </w:rPr>
              <w:t>具体流程参见安徽合肥公共资源交易中心网站（网址：http://ggzy.hefei.gov.cn）“办事指南”-主体库登记-《市场主体库登记服务指南》。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rPr>
                <w:rFonts w:ascii="宋体" w:hAnsi="宋体" w:cs="宋体"/>
                <w:highlight w:val="none"/>
              </w:rPr>
            </w:pPr>
            <w:r>
              <w:rPr>
                <w:rFonts w:hint="eastAsia" w:ascii="宋体" w:hAnsi="宋体" w:cs="宋体"/>
                <w:sz w:val="24"/>
                <w:highlight w:val="none"/>
              </w:rPr>
              <w:t>完成主体库登记的意向受让方，直接登录安徽合肥公共资源交易电子服务系统（网址：http://www.hfztb.cn），进入后选择点击“安徽公共资源交易集团电子交易系统”；页面跳转至安徽公共资源交易集团电子交易系统后，点击左上角的“产权交易”栏目，在列表中选择有意向的标的点击“我要参与”，再点击“项目登记”提交登记申请，意向方可选择一个或多个标的进行登记。登记申请时填写的交易保证金交款账户须与意向受让方实际交纳交易保证金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highlight w:val="none"/>
              </w:rPr>
            </w:pPr>
            <w:r>
              <w:rPr>
                <w:rFonts w:hint="eastAsia" w:ascii="宋体" w:hAnsi="宋体" w:cs="宋体"/>
                <w:kern w:val="0"/>
                <w:sz w:val="24"/>
                <w:highlight w:val="none"/>
              </w:rPr>
              <w:t>交易保证金交纳</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kern w:val="0"/>
                <w:sz w:val="24"/>
                <w:highlight w:val="none"/>
              </w:rPr>
            </w:pPr>
            <w:r>
              <w:rPr>
                <w:rFonts w:hint="eastAsia" w:ascii="宋体" w:hAnsi="宋体" w:cs="宋体"/>
                <w:kern w:val="0"/>
                <w:sz w:val="24"/>
                <w:highlight w:val="none"/>
              </w:rPr>
              <w:t>意向受让方登记成功后，须通过项目登记时填写的己方账号以转账的方式汇入标的对应账号足额的交易保证金。不得通过现金汇款方式交纳交易保证金。</w:t>
            </w:r>
          </w:p>
          <w:p>
            <w:pPr>
              <w:spacing w:line="400" w:lineRule="exact"/>
              <w:jc w:val="left"/>
              <w:rPr>
                <w:rFonts w:ascii="宋体" w:hAnsi="宋体" w:cs="宋体"/>
                <w:kern w:val="0"/>
                <w:sz w:val="24"/>
                <w:highlight w:val="none"/>
              </w:rPr>
            </w:pPr>
            <w:r>
              <w:rPr>
                <w:rFonts w:hint="eastAsia" w:ascii="宋体" w:hAnsi="宋体" w:cs="宋体"/>
                <w:kern w:val="0"/>
                <w:sz w:val="24"/>
                <w:highlight w:val="none"/>
              </w:rPr>
              <w:t>保证金账号如下：</w:t>
            </w:r>
          </w:p>
          <w:tbl>
            <w:tblPr>
              <w:tblStyle w:val="14"/>
              <w:tblW w:w="45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45"/>
              <w:gridCol w:w="3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72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户名：合肥市产权交易中心</w:t>
                  </w:r>
                </w:p>
              </w:tc>
              <w:tc>
                <w:tcPr>
                  <w:tcW w:w="244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开户银行：中国光大银行合肥阜南路支行</w:t>
                  </w:r>
                </w:p>
              </w:tc>
              <w:tc>
                <w:tcPr>
                  <w:tcW w:w="3495" w:type="dxa"/>
                  <w:vAlign w:val="center"/>
                </w:tcPr>
                <w:p>
                  <w:pPr>
                    <w:spacing w:line="400" w:lineRule="exact"/>
                    <w:jc w:val="left"/>
                    <w:rPr>
                      <w:rFonts w:ascii="宋体" w:hAnsi="宋体" w:cs="宋体"/>
                      <w:bCs/>
                      <w:kern w:val="0"/>
                      <w:sz w:val="24"/>
                      <w:highlight w:val="none"/>
                    </w:rPr>
                  </w:pPr>
                  <w:r>
                    <w:rPr>
                      <w:rFonts w:hint="eastAsia" w:ascii="宋体" w:hAnsi="宋体" w:cs="宋体"/>
                      <w:bCs/>
                      <w:kern w:val="0"/>
                      <w:sz w:val="24"/>
                      <w:highlight w:val="none"/>
                    </w:rPr>
                    <w:t>账号：76700188014546930</w:t>
                  </w:r>
                </w:p>
              </w:tc>
            </w:tr>
          </w:tbl>
          <w:p>
            <w:pPr>
              <w:widowControl/>
              <w:spacing w:line="400" w:lineRule="exact"/>
              <w:jc w:val="left"/>
              <w:rPr>
                <w:rFonts w:ascii="宋体" w:hAnsi="宋体" w:cs="宋体"/>
                <w:sz w:val="24"/>
                <w:highlight w:val="none"/>
              </w:rPr>
            </w:pPr>
            <w:r>
              <w:rPr>
                <w:rFonts w:hint="eastAsia" w:ascii="宋体" w:hAnsi="宋体" w:cs="宋体"/>
                <w:sz w:val="24"/>
                <w:highlight w:val="none"/>
              </w:rPr>
              <w:t>交易保证金支付</w:t>
            </w:r>
            <w:r>
              <w:rPr>
                <w:rFonts w:hint="eastAsia" w:ascii="宋体" w:hAnsi="宋体" w:cs="宋体"/>
                <w:kern w:val="0"/>
                <w:sz w:val="24"/>
                <w:highlight w:val="none"/>
              </w:rPr>
              <w:t>完成后，意向受让方可登</w:t>
            </w:r>
            <w:r>
              <w:rPr>
                <w:rFonts w:hint="eastAsia" w:ascii="宋体" w:hAnsi="宋体" w:cs="宋体"/>
                <w:kern w:val="0"/>
                <w:sz w:val="24"/>
                <w:highlight w:val="none"/>
                <w:lang w:val="en-US" w:eastAsia="zh-CN"/>
              </w:rPr>
              <w:t>录</w:t>
            </w:r>
            <w:r>
              <w:rPr>
                <w:rFonts w:hint="eastAsia" w:ascii="宋体" w:hAnsi="宋体" w:cs="宋体"/>
                <w:kern w:val="0"/>
                <w:sz w:val="24"/>
                <w:highlight w:val="none"/>
              </w:rPr>
              <w:t>安徽公共资源交易集团电子交易系统点击“保证金查询”查看交易保证金支付状态。若显示“未支付”，可点击查询按键刷新支付状态。若刷新后交易保证金支付状态仍显示“未支付”的，意向受让方可在公告截</w:t>
            </w:r>
            <w:r>
              <w:rPr>
                <w:rFonts w:hint="eastAsia" w:ascii="宋体" w:hAnsi="宋体" w:cs="宋体"/>
                <w:sz w:val="24"/>
                <w:highlight w:val="none"/>
              </w:rPr>
              <w:t>止前及时联系技术支持电话（4009980000）进行反馈。</w:t>
            </w:r>
          </w:p>
          <w:p>
            <w:pPr>
              <w:widowControl/>
              <w:spacing w:line="400" w:lineRule="exact"/>
              <w:jc w:val="left"/>
              <w:rPr>
                <w:rFonts w:ascii="宋体" w:hAnsi="宋体" w:cs="宋体"/>
                <w:kern w:val="0"/>
                <w:sz w:val="24"/>
                <w:highlight w:val="none"/>
              </w:rPr>
            </w:pPr>
            <w:r>
              <w:rPr>
                <w:rFonts w:hint="eastAsia" w:ascii="宋体" w:hAnsi="宋体" w:cs="宋体"/>
                <w:b/>
                <w:kern w:val="0"/>
                <w:sz w:val="24"/>
                <w:highlight w:val="none"/>
              </w:rPr>
              <w:t>注意事项：</w:t>
            </w:r>
            <w:r>
              <w:rPr>
                <w:rFonts w:hint="eastAsia" w:ascii="宋体" w:hAnsi="宋体" w:cs="宋体"/>
                <w:kern w:val="0"/>
                <w:sz w:val="24"/>
                <w:highlight w:val="none"/>
              </w:rPr>
              <w:t>交易保证金支付以到账时间为准，意向受让方须确保交纳的交易保证金在公告截止时间前到账，网上登记系统将在到达公告截止时间时自动关闭。如因账号错误、交易保证金数额不足、交易保证金未在规定时间内到账、现金交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项目竞价</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1.交易保证金状态为“已支付”的意向受让方方可点击“进入竞价系统”参与竞价活动。</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2.竞价规则详见</w:t>
            </w:r>
            <w:r>
              <w:rPr>
                <w:rFonts w:hint="eastAsia" w:cs="宋体"/>
                <w:sz w:val="24"/>
                <w:highlight w:val="none"/>
              </w:rPr>
              <w:t>《</w:t>
            </w:r>
            <w:r>
              <w:rPr>
                <w:rFonts w:hint="eastAsia" w:ascii="宋体" w:hAnsi="宋体" w:cs="宋体"/>
                <w:sz w:val="24"/>
                <w:highlight w:val="none"/>
              </w:rPr>
              <w:t>网络连续竞价须知</w:t>
            </w:r>
            <w:r>
              <w:rPr>
                <w:rFonts w:hint="eastAsia" w:cs="宋体"/>
                <w:sz w:val="24"/>
                <w:highlight w:val="none"/>
              </w:rPr>
              <w:t>》（</w:t>
            </w:r>
            <w:r>
              <w:rPr>
                <w:rFonts w:hint="eastAsia" w:ascii="宋体" w:hAnsi="宋体" w:cs="宋体"/>
                <w:kern w:val="0"/>
                <w:sz w:val="24"/>
                <w:highlight w:val="none"/>
              </w:rPr>
              <w:t>本公告上传附件1）</w:t>
            </w:r>
            <w:r>
              <w:rPr>
                <w:rFonts w:hint="eastAsia" w:ascii="宋体" w:hAnsi="宋体" w:cs="宋体"/>
                <w:sz w:val="24"/>
                <w:highlight w:val="none"/>
              </w:rPr>
              <w:t>。</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3.本项目标的每轮加价幅度</w:t>
            </w:r>
            <w:r>
              <w:rPr>
                <w:rFonts w:hint="eastAsia" w:ascii="宋体" w:hAnsi="宋体" w:cs="宋体"/>
                <w:b/>
                <w:bCs/>
                <w:kern w:val="0"/>
                <w:sz w:val="24"/>
                <w:highlight w:val="none"/>
              </w:rPr>
              <w:t>2000元或其整数倍。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重要提示：请使用IE10及以上版本浏览器登录竞价系统，否则可能导致异常。鉴于互联网环境可能存在的时延等不可抗因素，意向受让方应尽量在自由报价期内充分报价，在延时竞价期内及时报价。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b/>
                <w:bCs/>
                <w:kern w:val="0"/>
                <w:sz w:val="24"/>
                <w:highlight w:val="none"/>
              </w:rPr>
              <w:t>注</w:t>
            </w:r>
            <w:r>
              <w:rPr>
                <w:rFonts w:hint="eastAsia" w:ascii="宋体" w:hAnsi="宋体" w:cs="宋体"/>
                <w:kern w:val="0"/>
                <w:sz w:val="24"/>
                <w:highlight w:val="none"/>
              </w:rPr>
              <w:t>：1.意向受让方须在公告期内完成注册、登记及交易保证金交纳手续，因未在规定时间完成上述手续造成无法参与竞价的，合肥市产权交易中心不承担任何责任。上述注册、登记及竞价等具体操作流程详见《产权交易操作手册》（本公告上传附件2）。</w:t>
            </w:r>
          </w:p>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2.意向受让方一旦参与登记及竞价，即视为对本公告内容的全部响应，自愿接受并同意按照相关程序参与本次转让活动。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10"/>
              <w:spacing w:before="0" w:beforeAutospacing="0" w:after="0" w:afterAutospacing="0" w:line="400" w:lineRule="exact"/>
              <w:jc w:val="center"/>
              <w:rPr>
                <w:highlight w:val="none"/>
              </w:rPr>
            </w:pPr>
            <w:r>
              <w:rPr>
                <w:rFonts w:hint="eastAsia"/>
                <w:highlight w:val="none"/>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sz w:val="24"/>
                <w:highlight w:val="none"/>
              </w:rPr>
              <w:t>结果公告及《成交确认书》</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1.竞价结束且无异常情况，合肥市产权交易中心将在网站上发布结果公告。</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2.结果公告发布后，合肥市产权交易中心将通过电子交易系统向成交人发出成交确认书，成交确认书发出即视为送达；成交人请登录电子交易系统领取成交确认书。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交易保证金处置</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1.合同签订生效后，受让方交纳的交易保证金扣除交易服务费后的剩余款项可转为部分转让价款，其他意向受让方交纳的交易保证金在结果公告发布之日起5个工作日内原额原途径返还（不计息）。</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2.交易保证金只退还至意向受让方交款账户。因收款人与意向受让方名称不一致造成的交易保证金无法退还或迟延退还，合肥市产权交易中心不承担任何责任。</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3.经监督部门调查认定出现下列情形之一的不良行为，交易保证金不予返还，交易保证金扣除交易双方交易服务费后，余款转至委托方指定的账户。</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（1）意向受让方提供虚假材料，骗取成交资格或实现其他非法目的；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（2）意向受让方之间相互串通的；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（3）意向受让方采取不正当手段影响和干扰其他意向受让方参与交易活动的；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（4）受让方无正当理由放弃成交资格的；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（5）受让方未按交易文件约定交纳履约保证金或</w:t>
            </w:r>
            <w:r>
              <w:rPr>
                <w:rFonts w:hint="eastAsia" w:ascii="宋体" w:hAnsi="宋体" w:cs="宋体"/>
                <w:kern w:val="0"/>
                <w:sz w:val="24"/>
                <w:highlight w:val="none"/>
                <w:lang w:val="en-US" w:eastAsia="zh-CN"/>
              </w:rPr>
              <w:t>签订</w:t>
            </w:r>
            <w:r>
              <w:rPr>
                <w:rFonts w:hint="eastAsia" w:ascii="宋体" w:hAnsi="宋体" w:cs="宋体"/>
                <w:kern w:val="0"/>
                <w:sz w:val="24"/>
                <w:highlight w:val="none"/>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异议方式</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若对结果公告有异议，可自结果公告发布次日起3个工作日内，以书面形式向合肥市产权交易中心提出异议，异议材料递交地址：合肥市滨湖新区南京路2588号合肥要素市场A区678室，联系电话：0551-66223642。</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（一）异议应以书面形式实名提出，书面异议材料应当包括以下内容：</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1.异议人的名称/姓名、地址、有效联系方式；</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2.项目名称、项目编号、标的号（如有）；</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3.被异议人名称/姓名；</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4.具体的异议事项、基本事实及必要的证明材料；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5.明确的请求及主张；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6.提起异议的日期。</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异议人为自然人的，应当由异议人本人签字并附有效身份证明；异议人为法人或者其他组织的，应当由法定代表人或其委托代理人（需有委托授权书）签字并加盖公章。</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异议人需要修改、补充异议材料的，应当在异议期内提交修改或补充材料。</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（二）有下列情形之一的，不予受理：</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1.提起异议的主体不是所异议项目竞价人的；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2.异议材料不完整的；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3.异议事项含有主观猜测等内容且未提供有效线索、难以查证的；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4.异议事项已进入投诉处理、行政复议或行政诉讼程序的。</w:t>
            </w:r>
          </w:p>
          <w:p>
            <w:pPr>
              <w:widowControl/>
              <w:spacing w:line="400" w:lineRule="exact"/>
              <w:jc w:val="left"/>
              <w:rPr>
                <w:rFonts w:ascii="宋体" w:hAnsi="宋体" w:cs="宋体"/>
                <w:kern w:val="0"/>
                <w:sz w:val="24"/>
                <w:highlight w:val="none"/>
              </w:rPr>
            </w:pPr>
            <w:r>
              <w:rPr>
                <w:rFonts w:hint="eastAsia" w:ascii="宋体" w:hAnsi="宋体" w:cs="宋体"/>
                <w:kern w:val="0"/>
                <w:sz w:val="24"/>
                <w:highlight w:val="none"/>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kern w:val="0"/>
                <w:sz w:val="24"/>
                <w:highlight w:val="none"/>
              </w:rPr>
            </w:pPr>
            <w:r>
              <w:rPr>
                <w:rFonts w:hint="eastAsia" w:ascii="宋体" w:hAnsi="宋体" w:cs="宋体"/>
                <w:kern w:val="0"/>
                <w:sz w:val="24"/>
                <w:highlight w:val="none"/>
              </w:rPr>
              <w:t>交易服务费收取</w:t>
            </w:r>
          </w:p>
        </w:tc>
        <w:tc>
          <w:tcPr>
            <w:tcW w:w="870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ind w:firstLine="480" w:firstLineChars="200"/>
              <w:jc w:val="left"/>
              <w:rPr>
                <w:rFonts w:ascii="宋体" w:hAnsi="宋体" w:cs="宋体"/>
                <w:kern w:val="0"/>
                <w:sz w:val="24"/>
                <w:highlight w:val="none"/>
              </w:rPr>
            </w:pPr>
            <w:r>
              <w:rPr>
                <w:rFonts w:hint="eastAsia" w:ascii="宋体" w:hAnsi="宋体" w:cs="宋体"/>
                <w:kern w:val="0"/>
                <w:sz w:val="24"/>
                <w:highlight w:val="none"/>
              </w:rPr>
              <w:t>交易服务费按“差额定率累进法”计算，标的成交价10000万元以下的部分，收取比例为0.5%；超过10000万元至50000万元的部分，为0.48%；50000万元以上部分，为0.1%。交易服务费不足1000元的，按1000元收取。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420"/>
              <w:jc w:val="center"/>
              <w:rPr>
                <w:rFonts w:ascii="宋体" w:hAnsi="宋体" w:cs="宋体"/>
                <w:sz w:val="24"/>
                <w:highlight w:val="none"/>
              </w:rPr>
            </w:pPr>
            <w:r>
              <w:rPr>
                <w:rFonts w:hint="eastAsia" w:ascii="宋体" w:hAnsi="宋体" w:cs="宋体"/>
                <w:bCs/>
                <w:kern w:val="0"/>
                <w:sz w:val="24"/>
                <w:highlight w:val="none"/>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spacing w:line="400" w:lineRule="exact"/>
              <w:jc w:val="left"/>
              <w:rPr>
                <w:rFonts w:ascii="宋体" w:hAnsi="宋体" w:cs="宋体"/>
                <w:sz w:val="24"/>
                <w:highlight w:val="none"/>
              </w:rPr>
            </w:pPr>
            <w:r>
              <w:rPr>
                <w:rFonts w:hint="eastAsia" w:ascii="宋体" w:hAnsi="宋体" w:cs="宋体"/>
                <w:sz w:val="24"/>
                <w:highlight w:val="none"/>
              </w:rPr>
              <w:t>2.对本项目公告内容要求澄清或有异议的意向受让方，应于公告截止日前3个工作日前，以书面形式向合肥市产权交易中心提出，逾期递交的不予受理。</w:t>
            </w:r>
          </w:p>
          <w:p>
            <w:pPr>
              <w:spacing w:line="400" w:lineRule="exact"/>
              <w:jc w:val="left"/>
              <w:rPr>
                <w:rFonts w:ascii="宋体" w:hAnsi="宋体" w:cs="宋体"/>
                <w:sz w:val="24"/>
                <w:highlight w:val="none"/>
              </w:rPr>
            </w:pPr>
            <w:r>
              <w:rPr>
                <w:rFonts w:hint="eastAsia" w:ascii="宋体" w:hAnsi="宋体" w:cs="宋体"/>
                <w:sz w:val="24"/>
                <w:highlight w:val="none"/>
              </w:rPr>
              <w:t>3.合肥市产权交易中心对本公告进行的澄清、更正或更改，将在网站上及时发布</w:t>
            </w:r>
            <w:r>
              <w:rPr>
                <w:rFonts w:hint="eastAsia" w:asciiTheme="minorEastAsia" w:hAnsiTheme="minorEastAsia" w:eastAsiaTheme="minorEastAsia" w:cstheme="minorEastAsia"/>
                <w:sz w:val="24"/>
                <w:highlight w:val="none"/>
              </w:rPr>
              <w:t>（网址：https://www.ahggzyjt.com/）</w:t>
            </w:r>
            <w:r>
              <w:rPr>
                <w:rFonts w:hint="eastAsia" w:ascii="宋体" w:hAnsi="宋体" w:cs="宋体"/>
                <w:sz w:val="24"/>
                <w:highlight w:val="none"/>
              </w:rPr>
              <w:t>，该公告内容为转让公告的组成部分，对意向受让方具有约束力。意向受让方应主动上网查询。合肥市产权交易中心不承担意向受让方未及时关注相关信息的责任。</w:t>
            </w:r>
          </w:p>
          <w:p>
            <w:pPr>
              <w:spacing w:line="400" w:lineRule="exact"/>
              <w:jc w:val="left"/>
              <w:rPr>
                <w:rFonts w:ascii="宋体" w:hAnsi="宋体" w:cs="宋体"/>
                <w:sz w:val="24"/>
                <w:highlight w:val="none"/>
              </w:rPr>
            </w:pPr>
            <w:r>
              <w:rPr>
                <w:rFonts w:hint="eastAsia" w:ascii="宋体" w:hAnsi="宋体" w:cs="宋体"/>
                <w:sz w:val="24"/>
                <w:highlight w:val="none"/>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ind w:firstLine="360" w:firstLineChars="150"/>
              <w:jc w:val="center"/>
              <w:rPr>
                <w:rFonts w:ascii="宋体" w:hAnsi="宋体" w:cs="宋体"/>
                <w:sz w:val="24"/>
                <w:highlight w:val="none"/>
              </w:rPr>
            </w:pPr>
            <w:r>
              <w:rPr>
                <w:rFonts w:hint="eastAsia" w:ascii="宋体" w:hAnsi="宋体" w:cs="宋体"/>
                <w:bCs/>
                <w:kern w:val="0"/>
                <w:sz w:val="24"/>
                <w:highlight w:val="none"/>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现场踏勘</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联系人：刘工，联系电话：0551-63453832。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主体库登记</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项目负责人</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联系人：王工，联系电话：0551-66223192、66223191（</w:t>
            </w:r>
            <w:r>
              <w:rPr>
                <w:rFonts w:hint="eastAsia" w:ascii="宋体" w:hAnsi="宋体" w:cs="宋体"/>
                <w:kern w:val="0"/>
                <w:sz w:val="24"/>
                <w:highlight w:val="none"/>
              </w:rPr>
              <w:t>合肥市滨湖新区徽州大道4872号金融港中心A9幢安徽公共资源交易集团4楼</w:t>
            </w:r>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62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ascii="宋体" w:hAnsi="宋体" w:cs="宋体"/>
                <w:sz w:val="24"/>
                <w:highlight w:val="none"/>
              </w:rPr>
            </w:pPr>
            <w:r>
              <w:rPr>
                <w:rFonts w:hint="eastAsia" w:ascii="宋体" w:hAnsi="宋体" w:cs="宋体"/>
                <w:sz w:val="24"/>
                <w:highlight w:val="none"/>
              </w:rPr>
              <w:t>技术支持</w:t>
            </w:r>
          </w:p>
        </w:tc>
        <w:tc>
          <w:tcPr>
            <w:tcW w:w="437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spacing w:line="400" w:lineRule="exact"/>
              <w:jc w:val="left"/>
              <w:rPr>
                <w:rFonts w:ascii="宋体" w:hAnsi="宋体" w:cs="宋体"/>
                <w:sz w:val="24"/>
                <w:highlight w:val="none"/>
              </w:rPr>
            </w:pPr>
            <w:r>
              <w:rPr>
                <w:rFonts w:hint="eastAsia" w:ascii="宋体" w:hAnsi="宋体" w:cs="宋体"/>
                <w:sz w:val="24"/>
                <w:highlight w:val="none"/>
              </w:rPr>
              <w:t>本项目意向受让方如需咨询，务必首先认真阅读本项目公告，并针对具体条款进行咨询。</w:t>
            </w:r>
          </w:p>
          <w:p>
            <w:pPr>
              <w:spacing w:line="400" w:lineRule="exact"/>
              <w:jc w:val="left"/>
              <w:rPr>
                <w:rFonts w:ascii="宋体" w:hAnsi="宋体" w:cs="宋体"/>
                <w:sz w:val="24"/>
                <w:highlight w:val="none"/>
              </w:rPr>
            </w:pPr>
            <w:r>
              <w:rPr>
                <w:rFonts w:hint="eastAsia" w:ascii="宋体" w:hAnsi="宋体" w:cs="宋体"/>
                <w:sz w:val="24"/>
                <w:highlight w:val="none"/>
              </w:rPr>
              <w:t>本公告为本项目唯一法定文书，一切解释以本公告为准。本公告及其附件解释权归合肥市产权交易中心。</w:t>
            </w:r>
          </w:p>
        </w:tc>
      </w:tr>
    </w:tbl>
    <w:p>
      <w:pPr>
        <w:widowControl/>
        <w:spacing w:line="520" w:lineRule="exact"/>
        <w:ind w:right="560"/>
        <w:jc w:val="right"/>
        <w:rPr>
          <w:rFonts w:ascii="宋体" w:hAnsi="宋体" w:cs="宋体"/>
          <w:kern w:val="0"/>
          <w:sz w:val="32"/>
          <w:szCs w:val="32"/>
          <w:highlight w:val="none"/>
        </w:rPr>
      </w:pPr>
      <w:r>
        <w:rPr>
          <w:rFonts w:hint="eastAsia" w:ascii="宋体" w:hAnsi="宋体" w:cs="宋体"/>
          <w:kern w:val="0"/>
          <w:sz w:val="32"/>
          <w:szCs w:val="32"/>
          <w:highlight w:val="none"/>
        </w:rPr>
        <w:t xml:space="preserve">  合肥市产权交易中心</w:t>
      </w:r>
    </w:p>
    <w:p>
      <w:pPr>
        <w:widowControl/>
        <w:spacing w:line="520" w:lineRule="exact"/>
        <w:ind w:right="560"/>
        <w:jc w:val="right"/>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spacing w:line="520" w:lineRule="exact"/>
        <w:ind w:right="560"/>
        <w:rPr>
          <w:rFonts w:ascii="宋体" w:hAnsi="宋体" w:cs="宋体"/>
          <w:kern w:val="0"/>
          <w:sz w:val="32"/>
          <w:szCs w:val="32"/>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p>
    <w:p>
      <w:pPr>
        <w:widowControl/>
        <w:tabs>
          <w:tab w:val="left" w:pos="3030"/>
        </w:tabs>
        <w:jc w:val="left"/>
        <w:rPr>
          <w:rFonts w:cs="宋体" w:asciiTheme="minorEastAsia" w:hAnsiTheme="minorEastAsia" w:eastAsiaTheme="minorEastAsia"/>
          <w:kern w:val="0"/>
          <w:sz w:val="30"/>
          <w:szCs w:val="30"/>
          <w:highlight w:val="none"/>
        </w:rPr>
      </w:pPr>
      <w:r>
        <w:rPr>
          <w:rFonts w:hint="eastAsia" w:cs="宋体" w:asciiTheme="minorEastAsia" w:hAnsiTheme="minorEastAsia" w:eastAsiaTheme="minorEastAsia"/>
          <w:kern w:val="0"/>
          <w:sz w:val="30"/>
          <w:szCs w:val="30"/>
          <w:highlight w:val="none"/>
        </w:rPr>
        <w:t>附件：</w:t>
      </w:r>
    </w:p>
    <w:p>
      <w:pPr>
        <w:pStyle w:val="10"/>
        <w:shd w:val="clear" w:color="auto" w:fill="FFFFFF"/>
        <w:ind w:firstLine="640"/>
        <w:jc w:val="center"/>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资产转让合同</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lang w:val="en-US" w:eastAsia="zh-CN"/>
        </w:rPr>
        <w:t>委托</w:t>
      </w:r>
      <w:r>
        <w:rPr>
          <w:rFonts w:hint="eastAsia" w:asciiTheme="minorEastAsia" w:hAnsiTheme="minorEastAsia" w:eastAsiaTheme="minorEastAsia" w:cstheme="minorEastAsia"/>
          <w:sz w:val="24"/>
          <w:highlight w:val="none"/>
        </w:rPr>
        <w:t>方（以下简称“甲方”）：</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受让方（以下简称“乙方”）：                            </w:t>
      </w:r>
    </w:p>
    <w:p>
      <w:pPr>
        <w:widowControl/>
        <w:spacing w:line="400" w:lineRule="exact"/>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根据《中华人民共和国民法典》等相关法律、法规规定，甲、乙双方遵循自愿、公平、诚实守信原则，经友好协商，签订本资产转让合同（以下简称“本合同”）如下：</w:t>
      </w:r>
    </w:p>
    <w:p>
      <w:pPr>
        <w:widowControl/>
        <w:spacing w:line="400" w:lineRule="exact"/>
        <w:ind w:left="1933" w:hanging="129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第一条　转让标的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转让标的相关描述：。</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转让标的详细情况见合肥市房地产土地评估事务所有限公司出具的合房评估字（2023）50688号《房地产估价报告》。</w:t>
      </w:r>
    </w:p>
    <w:p>
      <w:pPr>
        <w:widowControl/>
        <w:spacing w:line="400" w:lineRule="exact"/>
        <w:ind w:firstLine="643"/>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第二条　甲方的声明、保证和承诺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（一）对转让标的拥有有效的处分权；</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（二）为签订本合同之目的向乙方提交的各项证明文件及资料均为真实、完整的；</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（三）签订本合同所需的包括但不限于授权、审批、公司内部决策等在内的一切批准手续均已取得，本合同成立的前提及先决条件均已满足；</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（四）本合同的签署与履行没有违反对甲方已签署的合同、协议及所有法律文件；</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（五）给予一切合理及必要的协助，以完成本合同项下转让标的所需的有关政府主管部门的批准和变更。</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第三条　乙方的声明、保证和承诺</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（一）具有签订和履行本合同的能力；</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（二）签订本合同所需的各项授权、审批，以及内部决策等在内的一切批准手续均已合法有效取得；</w:t>
      </w:r>
    </w:p>
    <w:p>
      <w:pPr>
        <w:widowControl/>
        <w:spacing w:line="400" w:lineRule="exact"/>
        <w:ind w:firstLine="480" w:firstLineChars="200"/>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kern w:val="0"/>
          <w:sz w:val="24"/>
          <w:highlight w:val="none"/>
        </w:rPr>
        <w:t>第四条　转让价格及价款支付方式</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（一）转让价格：</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甲方将转让标的以人民币</w:t>
      </w:r>
      <w:r>
        <w:rPr>
          <w:rFonts w:hint="eastAsia" w:asciiTheme="minorEastAsia" w:hAnsiTheme="minorEastAsia" w:eastAsiaTheme="minorEastAsia" w:cstheme="minorEastAsia"/>
          <w:sz w:val="24"/>
          <w:highlight w:val="none"/>
          <w:lang w:val="en-US" w:eastAsia="zh-CN"/>
        </w:rPr>
        <w:t xml:space="preserve">   </w:t>
      </w:r>
      <w:bookmarkStart w:id="2" w:name="_GoBack"/>
      <w:bookmarkEnd w:id="2"/>
      <w:r>
        <w:rPr>
          <w:rFonts w:hint="eastAsia" w:asciiTheme="minorEastAsia" w:hAnsiTheme="minorEastAsia" w:eastAsiaTheme="minorEastAsia" w:cstheme="minorEastAsia"/>
          <w:sz w:val="24"/>
          <w:highlight w:val="none"/>
        </w:rPr>
        <w:t>元（大写，以下简称“转让价款”）转让给乙方。</w:t>
      </w:r>
    </w:p>
    <w:p>
      <w:pPr>
        <w:spacing w:line="400" w:lineRule="exact"/>
        <w:ind w:right="25" w:rightChars="12" w:firstLine="470" w:firstLineChars="19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（二）价款支付方式：</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乙方须自《资产转让合同》签订之日起5个工作日内向合肥市产权交易中心指定账户（户名：合肥市产权交易中心；开户银行：中国光大银行合肥阜南路支行；账号：76700188004098682）一次性付清全部转让价款。</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第五条　转让标的交割事项</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（一）转让标的以现场现状移交；</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（二）自转让价款全部汇入合肥市产权交易中心指定账户之日起</w:t>
      </w:r>
      <w:r>
        <w:rPr>
          <w:rFonts w:asciiTheme="minorEastAsia" w:hAnsiTheme="minorEastAsia" w:eastAsiaTheme="minorEastAsia" w:cstheme="minorEastAsia"/>
          <w:sz w:val="24"/>
          <w:highlight w:val="none"/>
        </w:rPr>
        <w:t>60</w:t>
      </w:r>
      <w:r>
        <w:rPr>
          <w:rFonts w:hint="eastAsia" w:asciiTheme="minorEastAsia" w:hAnsiTheme="minorEastAsia" w:eastAsiaTheme="minorEastAsia" w:cstheme="minorEastAsia"/>
          <w:sz w:val="24"/>
          <w:highlight w:val="none"/>
        </w:rPr>
        <w:t>日内，甲方协助乙方办理资产过户及交接手续。</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第六条　转让税费的承担</w:t>
      </w:r>
    </w:p>
    <w:p>
      <w:pPr>
        <w:widowControl/>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转让过程中涉及的相关税费等，均由甲方和乙方按国家相关规定各自承担。</w:t>
      </w:r>
    </w:p>
    <w:p>
      <w:pPr>
        <w:spacing w:line="400" w:lineRule="exact"/>
        <w:ind w:firstLine="460" w:firstLineChars="192"/>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第七条　特别约定</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第八条　违约责任</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（一）因任何一方违约而给守约方造成损失的，违约方应赔偿守约方的损失。</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除不可抗拒的因素外，因甲方责任造成甲方未按本合同的约定配合乙方办理资产交接手续的，乙方有权要求甲方在本合同规定的最后的期限次日起按累计已付款金额每日万分之五的标准向乙方支付违约金，至资产实际交付之日止。若甲方逾期超过（1个月）仍未继续履行合同，乙方有权解除合同，并要求甲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如乙方未能按照本合同第四条约定支付转让价款，甲方有权要求乙方在本合同规定的付款期限次日起按逾期金额每日万分之五的标准向甲方支付违约金。若乙方逾期超过（1个月）内仍未按照合同支付，甲方有权解除合同，并要求乙方赔偿合同价款10%的违约金。</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第九条　争议的解决方式</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本合同在履行中发生争议，由甲、乙双方协商解决。协商不成的，甲、乙双方同意采用以下第2种方式解决。</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1.向甲方所在地仲裁机构提请仲裁；</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2.向甲方所在地区有管辖权的人民法院起诉。</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第十条　合同的生效</w:t>
      </w:r>
    </w:p>
    <w:p>
      <w:pPr>
        <w:spacing w:line="400" w:lineRule="exact"/>
        <w:ind w:right="25" w:rightChars="12"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第十一条　其他约定事项</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本合同一式7份，其中甲方执4份，乙方执2份，合肥市产权交易中心留存1份。</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甲方（盖章）：                   乙方（盖章/签字）：</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法定代表人/授权代表：            法定代表人/授权代表：</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统一社会信用代码：               统一社会信用代码/公民身份号码： </w:t>
      </w:r>
    </w:p>
    <w:p>
      <w:pPr>
        <w:spacing w:line="400" w:lineRule="exact"/>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联系电话：                       联系电话：                  </w:t>
      </w:r>
    </w:p>
    <w:p>
      <w:pPr>
        <w:spacing w:line="400" w:lineRule="exact"/>
        <w:ind w:firstLine="480" w:firstLineChars="200"/>
        <w:rPr>
          <w:rFonts w:asciiTheme="minorEastAsia" w:hAnsiTheme="minorEastAsia" w:eastAsiaTheme="minorEastAsia" w:cstheme="minorEastAsia"/>
          <w:sz w:val="24"/>
          <w:highlight w:val="none"/>
        </w:rPr>
      </w:pPr>
    </w:p>
    <w:p>
      <w:pPr>
        <w:spacing w:line="400" w:lineRule="exac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年     月    日                         年     月    日 </w:t>
      </w:r>
      <w:bookmarkEnd w:id="0"/>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color w:val="FF0000"/>
      </w:rPr>
    </w:pPr>
    <w:r>
      <w:rPr>
        <w:rFonts w:hint="eastAsia"/>
        <w:color w:val="FF0000"/>
      </w:rPr>
      <w:t>合肥市产权交易中心实物资产转让公告模版（主体库登记+网络连续竞价）20230310版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3E"/>
    <w:rsid w:val="00000B8F"/>
    <w:rsid w:val="00001906"/>
    <w:rsid w:val="00004D45"/>
    <w:rsid w:val="0000705F"/>
    <w:rsid w:val="0001115E"/>
    <w:rsid w:val="0002195E"/>
    <w:rsid w:val="000244A2"/>
    <w:rsid w:val="000272D5"/>
    <w:rsid w:val="000357DE"/>
    <w:rsid w:val="000458EA"/>
    <w:rsid w:val="00045FC2"/>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392E"/>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460C"/>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0B70"/>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A0F"/>
    <w:rsid w:val="00420CFF"/>
    <w:rsid w:val="00421A44"/>
    <w:rsid w:val="004224F9"/>
    <w:rsid w:val="0042428F"/>
    <w:rsid w:val="00424761"/>
    <w:rsid w:val="0042477B"/>
    <w:rsid w:val="004251DC"/>
    <w:rsid w:val="00425F93"/>
    <w:rsid w:val="004263BD"/>
    <w:rsid w:val="0042772B"/>
    <w:rsid w:val="00434947"/>
    <w:rsid w:val="00440C7F"/>
    <w:rsid w:val="00453C0F"/>
    <w:rsid w:val="00453F50"/>
    <w:rsid w:val="00454FFF"/>
    <w:rsid w:val="004631C0"/>
    <w:rsid w:val="00465B82"/>
    <w:rsid w:val="00470E64"/>
    <w:rsid w:val="0047199B"/>
    <w:rsid w:val="004751E4"/>
    <w:rsid w:val="00475492"/>
    <w:rsid w:val="00480010"/>
    <w:rsid w:val="00486AE8"/>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A0995"/>
    <w:rsid w:val="005B168E"/>
    <w:rsid w:val="005B1AAD"/>
    <w:rsid w:val="005C68BA"/>
    <w:rsid w:val="005D0DEE"/>
    <w:rsid w:val="005D0E1A"/>
    <w:rsid w:val="005D3DB4"/>
    <w:rsid w:val="005D7FE4"/>
    <w:rsid w:val="005E1624"/>
    <w:rsid w:val="005F4262"/>
    <w:rsid w:val="005F590E"/>
    <w:rsid w:val="00601539"/>
    <w:rsid w:val="00605A92"/>
    <w:rsid w:val="0062592D"/>
    <w:rsid w:val="0063177F"/>
    <w:rsid w:val="00632733"/>
    <w:rsid w:val="00634592"/>
    <w:rsid w:val="00637315"/>
    <w:rsid w:val="00642F2D"/>
    <w:rsid w:val="00650287"/>
    <w:rsid w:val="0065491B"/>
    <w:rsid w:val="00656E55"/>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6DE"/>
    <w:rsid w:val="00775C83"/>
    <w:rsid w:val="007813A7"/>
    <w:rsid w:val="0078253C"/>
    <w:rsid w:val="007913BC"/>
    <w:rsid w:val="00792D0A"/>
    <w:rsid w:val="007973F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11C3"/>
    <w:rsid w:val="008F3CBC"/>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34C2"/>
    <w:rsid w:val="00BA47E5"/>
    <w:rsid w:val="00BA501A"/>
    <w:rsid w:val="00BA507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CB3262"/>
    <w:rsid w:val="034548E8"/>
    <w:rsid w:val="03721A24"/>
    <w:rsid w:val="04282536"/>
    <w:rsid w:val="04F817FC"/>
    <w:rsid w:val="06165AFE"/>
    <w:rsid w:val="061E7606"/>
    <w:rsid w:val="062E3DF2"/>
    <w:rsid w:val="0653316C"/>
    <w:rsid w:val="08805DDD"/>
    <w:rsid w:val="08D94BA3"/>
    <w:rsid w:val="094A1533"/>
    <w:rsid w:val="099654E2"/>
    <w:rsid w:val="09D56678"/>
    <w:rsid w:val="0B05058C"/>
    <w:rsid w:val="0BD768EA"/>
    <w:rsid w:val="0C8E71A9"/>
    <w:rsid w:val="0CBA3DB4"/>
    <w:rsid w:val="0CF71200"/>
    <w:rsid w:val="0E4E0DB5"/>
    <w:rsid w:val="0F9A248A"/>
    <w:rsid w:val="0FD3689E"/>
    <w:rsid w:val="10C50951"/>
    <w:rsid w:val="11CF01FA"/>
    <w:rsid w:val="11E057AA"/>
    <w:rsid w:val="12435C52"/>
    <w:rsid w:val="1278789A"/>
    <w:rsid w:val="12D20412"/>
    <w:rsid w:val="140D7111"/>
    <w:rsid w:val="14AE1D66"/>
    <w:rsid w:val="151807D2"/>
    <w:rsid w:val="15261805"/>
    <w:rsid w:val="16545CF6"/>
    <w:rsid w:val="167F3243"/>
    <w:rsid w:val="16A7275E"/>
    <w:rsid w:val="16AC044C"/>
    <w:rsid w:val="17F855EA"/>
    <w:rsid w:val="189304CA"/>
    <w:rsid w:val="18B47DE0"/>
    <w:rsid w:val="19E62A45"/>
    <w:rsid w:val="1AC83C1E"/>
    <w:rsid w:val="1AFE5B13"/>
    <w:rsid w:val="1B006FD1"/>
    <w:rsid w:val="1B5D60C4"/>
    <w:rsid w:val="1B7329F3"/>
    <w:rsid w:val="1C793F89"/>
    <w:rsid w:val="1CE24490"/>
    <w:rsid w:val="1CF50DEF"/>
    <w:rsid w:val="1D6241D0"/>
    <w:rsid w:val="1D7C737B"/>
    <w:rsid w:val="1D862890"/>
    <w:rsid w:val="1E43375C"/>
    <w:rsid w:val="1EA22B51"/>
    <w:rsid w:val="1F493EF5"/>
    <w:rsid w:val="1FF07D9C"/>
    <w:rsid w:val="20151414"/>
    <w:rsid w:val="20802D33"/>
    <w:rsid w:val="20EC3096"/>
    <w:rsid w:val="20F22F0B"/>
    <w:rsid w:val="21661CCA"/>
    <w:rsid w:val="21A80950"/>
    <w:rsid w:val="22F27FDA"/>
    <w:rsid w:val="234749E0"/>
    <w:rsid w:val="243460DD"/>
    <w:rsid w:val="243C3A16"/>
    <w:rsid w:val="253637FF"/>
    <w:rsid w:val="253A3D02"/>
    <w:rsid w:val="255E352A"/>
    <w:rsid w:val="25F077EF"/>
    <w:rsid w:val="262E08C8"/>
    <w:rsid w:val="26A22D3B"/>
    <w:rsid w:val="26CA20DA"/>
    <w:rsid w:val="27937413"/>
    <w:rsid w:val="28913D5D"/>
    <w:rsid w:val="2AA20A81"/>
    <w:rsid w:val="2AA24CCF"/>
    <w:rsid w:val="2CFF5CAC"/>
    <w:rsid w:val="2DAF14FF"/>
    <w:rsid w:val="2DC73151"/>
    <w:rsid w:val="2E1D4BC4"/>
    <w:rsid w:val="2E1E5DAC"/>
    <w:rsid w:val="2F304EF4"/>
    <w:rsid w:val="305E129C"/>
    <w:rsid w:val="307A4878"/>
    <w:rsid w:val="3124107F"/>
    <w:rsid w:val="327D7699"/>
    <w:rsid w:val="32CC20F9"/>
    <w:rsid w:val="33BF7D61"/>
    <w:rsid w:val="353F2860"/>
    <w:rsid w:val="35B12D05"/>
    <w:rsid w:val="362C561C"/>
    <w:rsid w:val="362E74CE"/>
    <w:rsid w:val="36BC4AB3"/>
    <w:rsid w:val="36D9409A"/>
    <w:rsid w:val="37BD561A"/>
    <w:rsid w:val="3980064E"/>
    <w:rsid w:val="3A4D6026"/>
    <w:rsid w:val="3A7368B4"/>
    <w:rsid w:val="3A7F47B2"/>
    <w:rsid w:val="3ADB3B1C"/>
    <w:rsid w:val="3B2E7DB0"/>
    <w:rsid w:val="3C2D5021"/>
    <w:rsid w:val="3D875BC9"/>
    <w:rsid w:val="3DB37AA4"/>
    <w:rsid w:val="3E5D107A"/>
    <w:rsid w:val="3EE65524"/>
    <w:rsid w:val="3F2A65AB"/>
    <w:rsid w:val="3F6917D2"/>
    <w:rsid w:val="3F795EC5"/>
    <w:rsid w:val="3FAC40A3"/>
    <w:rsid w:val="3FAC5C18"/>
    <w:rsid w:val="403048FE"/>
    <w:rsid w:val="40596D9A"/>
    <w:rsid w:val="433B3E4B"/>
    <w:rsid w:val="436E40F8"/>
    <w:rsid w:val="437A63F2"/>
    <w:rsid w:val="43AE759B"/>
    <w:rsid w:val="43EC567A"/>
    <w:rsid w:val="44D31FE1"/>
    <w:rsid w:val="453F61C6"/>
    <w:rsid w:val="462267F2"/>
    <w:rsid w:val="463A6E2D"/>
    <w:rsid w:val="463E7899"/>
    <w:rsid w:val="47877461"/>
    <w:rsid w:val="479C3078"/>
    <w:rsid w:val="485D56A6"/>
    <w:rsid w:val="4913057D"/>
    <w:rsid w:val="4A347AE7"/>
    <w:rsid w:val="4A9D4634"/>
    <w:rsid w:val="4AB43AEE"/>
    <w:rsid w:val="4D6D5F1D"/>
    <w:rsid w:val="4DF462B9"/>
    <w:rsid w:val="4E2343DF"/>
    <w:rsid w:val="4E437828"/>
    <w:rsid w:val="4EB62ADF"/>
    <w:rsid w:val="4EDA5C4C"/>
    <w:rsid w:val="4F62135A"/>
    <w:rsid w:val="513329FF"/>
    <w:rsid w:val="5170152D"/>
    <w:rsid w:val="52347ECA"/>
    <w:rsid w:val="52FD7EED"/>
    <w:rsid w:val="530354E7"/>
    <w:rsid w:val="535E0AA1"/>
    <w:rsid w:val="53932514"/>
    <w:rsid w:val="54D110E1"/>
    <w:rsid w:val="56152245"/>
    <w:rsid w:val="56491D0E"/>
    <w:rsid w:val="570E15AC"/>
    <w:rsid w:val="57147FFE"/>
    <w:rsid w:val="57733975"/>
    <w:rsid w:val="57872186"/>
    <w:rsid w:val="580700E7"/>
    <w:rsid w:val="58466AFA"/>
    <w:rsid w:val="58AF66C4"/>
    <w:rsid w:val="58C847A5"/>
    <w:rsid w:val="5A3F29B9"/>
    <w:rsid w:val="5ADA7D2F"/>
    <w:rsid w:val="5B7338B1"/>
    <w:rsid w:val="5BDB7D1E"/>
    <w:rsid w:val="5BE57B3D"/>
    <w:rsid w:val="5BEC6711"/>
    <w:rsid w:val="5C812D18"/>
    <w:rsid w:val="5C866462"/>
    <w:rsid w:val="5D4A6D21"/>
    <w:rsid w:val="5D546AD2"/>
    <w:rsid w:val="5DCD6BA9"/>
    <w:rsid w:val="5E446E86"/>
    <w:rsid w:val="5FB3655F"/>
    <w:rsid w:val="601F49FC"/>
    <w:rsid w:val="60624F85"/>
    <w:rsid w:val="611A1E80"/>
    <w:rsid w:val="627A224B"/>
    <w:rsid w:val="62A43054"/>
    <w:rsid w:val="63206CC0"/>
    <w:rsid w:val="634639AA"/>
    <w:rsid w:val="63C23447"/>
    <w:rsid w:val="641923C6"/>
    <w:rsid w:val="672958D1"/>
    <w:rsid w:val="67E40EA2"/>
    <w:rsid w:val="69905939"/>
    <w:rsid w:val="69D80CEE"/>
    <w:rsid w:val="6A360829"/>
    <w:rsid w:val="6A687C6F"/>
    <w:rsid w:val="6BB9245A"/>
    <w:rsid w:val="6BC14E5B"/>
    <w:rsid w:val="6C1D08BE"/>
    <w:rsid w:val="6D67416A"/>
    <w:rsid w:val="6E5E1BDB"/>
    <w:rsid w:val="6E8E522F"/>
    <w:rsid w:val="6EDF5A0A"/>
    <w:rsid w:val="70D473F6"/>
    <w:rsid w:val="70F905A6"/>
    <w:rsid w:val="71241203"/>
    <w:rsid w:val="718F0658"/>
    <w:rsid w:val="731A74E5"/>
    <w:rsid w:val="73A76021"/>
    <w:rsid w:val="73DA285B"/>
    <w:rsid w:val="75290570"/>
    <w:rsid w:val="7684184B"/>
    <w:rsid w:val="76EF07FD"/>
    <w:rsid w:val="784A5B69"/>
    <w:rsid w:val="78F41502"/>
    <w:rsid w:val="791A3958"/>
    <w:rsid w:val="79A95304"/>
    <w:rsid w:val="79B304BE"/>
    <w:rsid w:val="79CC28F2"/>
    <w:rsid w:val="7B63133E"/>
    <w:rsid w:val="7C0F2F1B"/>
    <w:rsid w:val="7C663425"/>
    <w:rsid w:val="7C7D2C9A"/>
    <w:rsid w:val="7CA3342A"/>
    <w:rsid w:val="7CC57291"/>
    <w:rsid w:val="7DB95808"/>
    <w:rsid w:val="7E25509A"/>
    <w:rsid w:val="7E271C75"/>
    <w:rsid w:val="7E2A37B8"/>
    <w:rsid w:val="7EC96C42"/>
    <w:rsid w:val="7F69611C"/>
    <w:rsid w:val="7F9F7525"/>
    <w:rsid w:val="7FF11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6"/>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23"/>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8"/>
    <w:semiHidden/>
    <w:unhideWhenUsed/>
    <w:uiPriority w:val="99"/>
    <w:pPr>
      <w:jc w:val="left"/>
    </w:pPr>
  </w:style>
  <w:style w:type="paragraph" w:styleId="5">
    <w:name w:val="Body Text Indent"/>
    <w:basedOn w:val="1"/>
    <w:next w:val="6"/>
    <w:qFormat/>
    <w:uiPriority w:val="0"/>
    <w:pPr>
      <w:spacing w:after="120"/>
      <w:ind w:left="420" w:leftChars="200"/>
    </w:pPr>
  </w:style>
  <w:style w:type="paragraph" w:styleId="6">
    <w:name w:val="envelope return"/>
    <w:basedOn w:val="1"/>
    <w:qFormat/>
    <w:uiPriority w:val="0"/>
    <w:pPr>
      <w:snapToGrid w:val="0"/>
    </w:pPr>
    <w:rPr>
      <w:rFonts w:ascii="Arial" w:hAnsi="Arial"/>
    </w:rPr>
  </w:style>
  <w:style w:type="paragraph" w:styleId="7">
    <w:name w:val="Balloon Text"/>
    <w:basedOn w:val="1"/>
    <w:link w:val="24"/>
    <w:unhideWhenUsed/>
    <w:qFormat/>
    <w:uiPriority w:val="99"/>
    <w:rPr>
      <w:sz w:val="18"/>
      <w:szCs w:val="18"/>
    </w:rPr>
  </w:style>
  <w:style w:type="paragraph" w:styleId="8">
    <w:name w:val="footer"/>
    <w:basedOn w:val="1"/>
    <w:link w:val="22"/>
    <w:unhideWhenUsed/>
    <w:qFormat/>
    <w:uiPriority w:val="99"/>
    <w:pPr>
      <w:tabs>
        <w:tab w:val="center" w:pos="4153"/>
        <w:tab w:val="right" w:pos="8306"/>
      </w:tabs>
      <w:snapToGrid w:val="0"/>
      <w:jc w:val="left"/>
    </w:pPr>
    <w:rPr>
      <w:sz w:val="18"/>
      <w:szCs w:val="18"/>
    </w:rPr>
  </w:style>
  <w:style w:type="paragraph" w:styleId="9">
    <w:name w:val="header"/>
    <w:basedOn w:val="1"/>
    <w:link w:val="2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4"/>
    <w:next w:val="4"/>
    <w:link w:val="29"/>
    <w:semiHidden/>
    <w:unhideWhenUsed/>
    <w:qFormat/>
    <w:uiPriority w:val="99"/>
    <w:rPr>
      <w:b/>
      <w:bCs/>
    </w:rPr>
  </w:style>
  <w:style w:type="paragraph" w:styleId="12">
    <w:name w:val="Body Text First Indent 2"/>
    <w:basedOn w:val="5"/>
    <w:next w:val="1"/>
    <w:qFormat/>
    <w:uiPriority w:val="0"/>
    <w:pPr>
      <w:ind w:firstLine="420" w:firstLineChars="200"/>
    </w:pPr>
  </w:style>
  <w:style w:type="table" w:styleId="14">
    <w:name w:val="Table Grid"/>
    <w:basedOn w:val="1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FollowedHyperlink"/>
    <w:basedOn w:val="15"/>
    <w:semiHidden/>
    <w:unhideWhenUsed/>
    <w:qFormat/>
    <w:uiPriority w:val="99"/>
    <w:rPr>
      <w:color w:val="800080" w:themeColor="followedHyperlink"/>
      <w:u w:val="single"/>
      <w14:textFill>
        <w14:solidFill>
          <w14:schemeClr w14:val="folHlink"/>
        </w14:solidFill>
      </w14:textFill>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paragraph" w:customStyle="1" w:styleId="20">
    <w:name w:val="列出段落1"/>
    <w:basedOn w:val="1"/>
    <w:qFormat/>
    <w:uiPriority w:val="34"/>
    <w:pPr>
      <w:ind w:firstLine="420" w:firstLineChars="200"/>
    </w:pPr>
  </w:style>
  <w:style w:type="character" w:customStyle="1" w:styleId="21">
    <w:name w:val="页眉 Char"/>
    <w:basedOn w:val="15"/>
    <w:link w:val="9"/>
    <w:qFormat/>
    <w:uiPriority w:val="99"/>
    <w:rPr>
      <w:rFonts w:ascii="Times New Roman" w:hAnsi="Times New Roman" w:eastAsia="宋体" w:cs="Times New Roman"/>
      <w:sz w:val="18"/>
      <w:szCs w:val="18"/>
    </w:rPr>
  </w:style>
  <w:style w:type="character" w:customStyle="1" w:styleId="22">
    <w:name w:val="页脚 Char"/>
    <w:basedOn w:val="15"/>
    <w:link w:val="8"/>
    <w:qFormat/>
    <w:uiPriority w:val="99"/>
    <w:rPr>
      <w:rFonts w:ascii="Times New Roman" w:hAnsi="Times New Roman" w:eastAsia="宋体" w:cs="Times New Roman"/>
      <w:sz w:val="18"/>
      <w:szCs w:val="18"/>
    </w:rPr>
  </w:style>
  <w:style w:type="character" w:customStyle="1" w:styleId="23">
    <w:name w:val="标题 6 Char"/>
    <w:basedOn w:val="15"/>
    <w:link w:val="3"/>
    <w:qFormat/>
    <w:uiPriority w:val="9"/>
    <w:rPr>
      <w:rFonts w:asciiTheme="majorHAnsi" w:hAnsiTheme="majorHAnsi" w:eastAsiaTheme="majorEastAsia" w:cstheme="majorBidi"/>
      <w:b/>
      <w:bCs/>
      <w:sz w:val="24"/>
      <w:szCs w:val="24"/>
    </w:rPr>
  </w:style>
  <w:style w:type="character" w:customStyle="1" w:styleId="24">
    <w:name w:val="批注框文本 Char"/>
    <w:basedOn w:val="15"/>
    <w:link w:val="7"/>
    <w:semiHidden/>
    <w:qFormat/>
    <w:uiPriority w:val="99"/>
    <w:rPr>
      <w:rFonts w:ascii="Times New Roman" w:hAnsi="Times New Roman" w:eastAsia="宋体" w:cs="Times New Roman"/>
      <w:sz w:val="18"/>
      <w:szCs w:val="18"/>
    </w:rPr>
  </w:style>
  <w:style w:type="paragraph" w:customStyle="1" w:styleId="25">
    <w:name w:val="Default Paragraph Char Char Char Char"/>
    <w:basedOn w:val="1"/>
    <w:next w:val="1"/>
    <w:qFormat/>
    <w:uiPriority w:val="0"/>
    <w:pPr>
      <w:widowControl/>
      <w:spacing w:line="360" w:lineRule="auto"/>
      <w:jc w:val="left"/>
    </w:pPr>
    <w:rPr>
      <w:kern w:val="0"/>
      <w:szCs w:val="20"/>
      <w:lang w:eastAsia="en-US"/>
    </w:rPr>
  </w:style>
  <w:style w:type="character" w:customStyle="1" w:styleId="26">
    <w:name w:val="标题 2 Char"/>
    <w:basedOn w:val="15"/>
    <w:link w:val="2"/>
    <w:semiHidden/>
    <w:qFormat/>
    <w:uiPriority w:val="0"/>
    <w:rPr>
      <w:rFonts w:ascii="Arial" w:hAnsi="Arial" w:eastAsia="黑体" w:cs="Arial"/>
      <w:b/>
      <w:bCs/>
      <w:sz w:val="32"/>
      <w:szCs w:val="32"/>
    </w:rPr>
  </w:style>
  <w:style w:type="paragraph" w:customStyle="1" w:styleId="27">
    <w:name w:val="Char Char1 Char Char"/>
    <w:basedOn w:val="1"/>
    <w:next w:val="1"/>
    <w:qFormat/>
    <w:uiPriority w:val="0"/>
    <w:pPr>
      <w:widowControl/>
      <w:spacing w:line="360" w:lineRule="auto"/>
      <w:jc w:val="left"/>
    </w:pPr>
    <w:rPr>
      <w:kern w:val="0"/>
      <w:szCs w:val="20"/>
      <w:lang w:eastAsia="en-US"/>
    </w:rPr>
  </w:style>
  <w:style w:type="character" w:customStyle="1" w:styleId="28">
    <w:name w:val="批注文字 Char"/>
    <w:basedOn w:val="15"/>
    <w:link w:val="4"/>
    <w:semiHidden/>
    <w:uiPriority w:val="99"/>
    <w:rPr>
      <w:kern w:val="2"/>
      <w:sz w:val="21"/>
      <w:szCs w:val="24"/>
    </w:rPr>
  </w:style>
  <w:style w:type="character" w:customStyle="1" w:styleId="29">
    <w:name w:val="批注主题 Char"/>
    <w:basedOn w:val="28"/>
    <w:link w:val="11"/>
    <w:semiHidden/>
    <w:qFormat/>
    <w:uiPriority w:val="99"/>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3C64F7-FA0C-4F2C-9435-A4E3E05402E1}">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945</Words>
  <Characters>5387</Characters>
  <Lines>44</Lines>
  <Paragraphs>12</Paragraphs>
  <TotalTime>1</TotalTime>
  <ScaleCrop>false</ScaleCrop>
  <LinksUpToDate>false</LinksUpToDate>
  <CharactersWithSpaces>6320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Administrator</cp:lastModifiedBy>
  <cp:lastPrinted>2016-08-15T08:11:00Z</cp:lastPrinted>
  <dcterms:modified xsi:type="dcterms:W3CDTF">2024-01-30T06:18:57Z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