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石台县七都镇七都村七都新天地荣府17幢1单元102室房产转让公告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石台县七都镇七都村七都新天地荣府17幢1单元102室房产转让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102室；证载权利人：安徽百大合家福连锁超市股份有限公司；建筑面积：120.82㎡；结构：钢筋混凝土结构；所在层数/总层数：1/5；不动产权证号：皖（2017）石台县不动产权第0000795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上述资产转让已经上级主管单位批准同意处置，合肥市房地产土地评估事务所有限公司出具了合房评估字（2023）50688号《房地产估价报告》，资产评估总价值为人民币31.05万元，资产评估结果已经有权部门备案。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31.05万元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账号：76700188014510734</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bookmarkStart w:id="2" w:name="_GoBack"/>
            <w:bookmarkEnd w:id="2"/>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w:t>
      </w:r>
      <w:r>
        <w:rPr>
          <w:rFonts w:hint="eastAsia" w:asciiTheme="minorEastAsia" w:hAnsiTheme="minorEastAsia" w:eastAsiaTheme="minorEastAsia" w:cstheme="minorEastAsia"/>
          <w:sz w:val="24"/>
          <w:highlight w:val="none"/>
        </w:rPr>
        <w:t>产过户及交接手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w:t>
      </w:r>
      <w:r>
        <w:rPr>
          <w:rFonts w:hint="eastAsia" w:asciiTheme="minorEastAsia" w:hAnsiTheme="minorEastAsia" w:eastAsiaTheme="minorEastAsia" w:cstheme="minorEastAsia"/>
          <w:sz w:val="24"/>
          <w:highlight w:val="none"/>
        </w:rPr>
        <w:t>要求甲方在本</w:t>
      </w:r>
      <w:r>
        <w:rPr>
          <w:rFonts w:hint="eastAsia" w:asciiTheme="minorEastAsia" w:hAnsiTheme="minorEastAsia" w:eastAsiaTheme="minorEastAsia" w:cstheme="minorEastAsia"/>
          <w:sz w:val="24"/>
          <w:highlight w:val="none"/>
        </w:rPr>
        <w:t>合同规定的最后的期限次日起按累计已付款金额每日万分之五的标准向</w:t>
      </w:r>
      <w:r>
        <w:rPr>
          <w:rFonts w:hint="eastAsia" w:asciiTheme="minorEastAsia" w:hAnsiTheme="minorEastAsia" w:eastAsiaTheme="minorEastAsia" w:cstheme="minorEastAsia"/>
          <w:sz w:val="24"/>
          <w:highlight w:val="none"/>
        </w:rPr>
        <w:t>乙方支付违约金</w:t>
      </w:r>
      <w:r>
        <w:rPr>
          <w:rFonts w:hint="eastAsia" w:asciiTheme="minorEastAsia" w:hAnsiTheme="minorEastAsia" w:eastAsiaTheme="minorEastAsia" w:cstheme="minorEastAsia"/>
          <w:sz w:val="24"/>
          <w:highlight w:val="none"/>
        </w:rPr>
        <w:t>，至资产实际交付之日止。若甲方逾期超过（1个月）仍未继续履行合同，乙方有权解除合同，并要求甲方赔偿合同价款10%的违约金。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要求乙方</w:t>
      </w:r>
      <w:r>
        <w:rPr>
          <w:rFonts w:hint="eastAsia" w:asciiTheme="minorEastAsia" w:hAnsiTheme="minorEastAsia" w:eastAsiaTheme="minorEastAsia" w:cstheme="minorEastAsia"/>
          <w:sz w:val="24"/>
          <w:highlight w:val="none"/>
        </w:rPr>
        <w:t>在本合同规定的付款期限次日起按逾期金额每日万分之五的标准向</w:t>
      </w:r>
      <w:r>
        <w:rPr>
          <w:rFonts w:hint="eastAsia" w:asciiTheme="minorEastAsia" w:hAnsiTheme="minorEastAsia" w:eastAsiaTheme="minorEastAsia" w:cstheme="minorEastAsia"/>
          <w:sz w:val="24"/>
          <w:highlight w:val="none"/>
        </w:rPr>
        <w:t>甲方支付违约金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0086"/>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0143"/>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170DD"/>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1D3C"/>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53D3"/>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0F7F"/>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173EB"/>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9EC00EA"/>
    <w:rsid w:val="2AA20A81"/>
    <w:rsid w:val="2AA24CCF"/>
    <w:rsid w:val="2B661F31"/>
    <w:rsid w:val="2CD85DF8"/>
    <w:rsid w:val="2CFF5CAC"/>
    <w:rsid w:val="2DAF14FF"/>
    <w:rsid w:val="2DC73151"/>
    <w:rsid w:val="2E1D4BC4"/>
    <w:rsid w:val="2E1E5DAC"/>
    <w:rsid w:val="2F5A324A"/>
    <w:rsid w:val="2FD3625E"/>
    <w:rsid w:val="307A4878"/>
    <w:rsid w:val="3124107F"/>
    <w:rsid w:val="317B531B"/>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421A01"/>
    <w:rsid w:val="40596D9A"/>
    <w:rsid w:val="40C41A43"/>
    <w:rsid w:val="433B3E4B"/>
    <w:rsid w:val="436E40F8"/>
    <w:rsid w:val="437A63F2"/>
    <w:rsid w:val="43AE759B"/>
    <w:rsid w:val="43EC567A"/>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386A6B"/>
    <w:rsid w:val="4F62135A"/>
    <w:rsid w:val="513329FF"/>
    <w:rsid w:val="5170152D"/>
    <w:rsid w:val="518F7874"/>
    <w:rsid w:val="52347ECA"/>
    <w:rsid w:val="52FD7EED"/>
    <w:rsid w:val="530354E7"/>
    <w:rsid w:val="535E0AA1"/>
    <w:rsid w:val="53932514"/>
    <w:rsid w:val="54D110E1"/>
    <w:rsid w:val="54F15914"/>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qFormat/>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87223-694A-4F51-A2FD-CE144BB7ECC1}">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5388</Characters>
  <Lines>44</Lines>
  <Paragraphs>12</Paragraphs>
  <TotalTime>112</TotalTime>
  <ScaleCrop>false</ScaleCrop>
  <LinksUpToDate>false</LinksUpToDate>
  <CharactersWithSpaces>6321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2023-12-26T02:37:17Z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