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kern w:val="0"/>
          <w:sz w:val="44"/>
          <w:szCs w:val="44"/>
          <w:highlight w:val="none"/>
          <w:lang w:eastAsia="zh-CN"/>
        </w:rPr>
      </w:pPr>
      <w:bookmarkStart w:id="2" w:name="_GoBack"/>
      <w:bookmarkStart w:id="0" w:name="OLE_LINK1"/>
      <w:r>
        <w:rPr>
          <w:rFonts w:hint="eastAsia" w:cs="宋体" w:asciiTheme="minorEastAsia" w:hAnsiTheme="minorEastAsia" w:eastAsiaTheme="minorEastAsia"/>
          <w:color w:val="auto"/>
          <w:kern w:val="0"/>
          <w:sz w:val="44"/>
          <w:szCs w:val="44"/>
          <w:highlight w:val="none"/>
          <w:lang w:val="en-US" w:eastAsia="zh-CN"/>
        </w:rPr>
        <w:t>黄山市歙县徽城镇徽州路徽府置业广场1幢商业1号、2幢2000号、3 期-1001号房产转让项目</w:t>
      </w:r>
      <w:r>
        <w:rPr>
          <w:rFonts w:hint="eastAsia" w:cs="宋体" w:asciiTheme="minorEastAsia" w:hAnsiTheme="minorEastAsia" w:eastAsiaTheme="minorEastAsia"/>
          <w:color w:val="auto"/>
          <w:kern w:val="0"/>
          <w:sz w:val="44"/>
          <w:szCs w:val="44"/>
          <w:highlight w:val="none"/>
        </w:rPr>
        <w:t>公告</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38"/>
        <w:gridCol w:w="1167"/>
        <w:gridCol w:w="1065"/>
        <w:gridCol w:w="1020"/>
        <w:gridCol w:w="295"/>
        <w:gridCol w:w="485"/>
        <w:gridCol w:w="1080"/>
        <w:gridCol w:w="825"/>
        <w:gridCol w:w="366"/>
        <w:gridCol w:w="1014"/>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黄山市歙县徽城镇徽州路徽府置业广场1幢商业1号、2幢2000号、3 期-1001号房产转让</w:t>
            </w:r>
            <w:r>
              <w:rPr>
                <w:rFonts w:hint="eastAsia" w:ascii="宋体" w:hAnsi="宋体" w:cs="宋体"/>
                <w:color w:val="auto"/>
                <w:kern w:val="0"/>
                <w:sz w:val="24"/>
                <w:szCs w:val="24"/>
                <w:highlight w:val="no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2023BFFCJ00666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安徽百大合家福连锁超市股份有限公司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交易监督部门</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合肥市公共资源交易监督管理局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联系电话：0551-66223530、0551-66223546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竞价期限</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公告期：</w:t>
            </w:r>
            <w:r>
              <w:rPr>
                <w:rFonts w:hint="eastAsia" w:ascii="宋体" w:hAnsi="宋体" w:eastAsia="宋体" w:cs="宋体"/>
                <w:color w:val="auto"/>
                <w:sz w:val="24"/>
                <w:szCs w:val="24"/>
                <w:highlight w:val="none"/>
                <w:lang w:val="en-US" w:eastAsia="zh-CN"/>
              </w:rPr>
              <w:t>20</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日9:00始至</w:t>
            </w:r>
            <w:r>
              <w:rPr>
                <w:rFonts w:hint="eastAsia" w:ascii="宋体" w:hAnsi="宋体" w:eastAsia="宋体" w:cs="宋体"/>
                <w:color w:val="auto"/>
                <w:sz w:val="24"/>
                <w:szCs w:val="24"/>
                <w:highlight w:val="none"/>
                <w:lang w:val="en-US" w:eastAsia="zh-CN"/>
              </w:rPr>
              <w:t>20</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网络竞价自由报价期：</w:t>
            </w:r>
            <w:r>
              <w:rPr>
                <w:rFonts w:hint="eastAsia" w:ascii="宋体" w:hAnsi="宋体"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10月31</w:t>
            </w:r>
            <w:r>
              <w:rPr>
                <w:rFonts w:hint="eastAsia" w:ascii="宋体" w:hAnsi="宋体" w:eastAsia="宋体" w:cs="宋体"/>
                <w:color w:val="auto"/>
                <w:sz w:val="24"/>
                <w:szCs w:val="24"/>
                <w:highlight w:val="none"/>
              </w:rPr>
              <w:t>日9:00时始至</w:t>
            </w:r>
            <w:r>
              <w:rPr>
                <w:rFonts w:hint="eastAsia" w:ascii="宋体" w:hAnsi="宋体"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房产</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名称</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权利人</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不动产权证号</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房产地址</w:t>
            </w:r>
          </w:p>
        </w:tc>
        <w:tc>
          <w:tcPr>
            <w:tcW w:w="3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用途</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建筑面积</w:t>
            </w:r>
            <w:r>
              <w:rPr>
                <w:rFonts w:hint="eastAsia" w:ascii="宋体" w:hAnsi="宋体" w:cs="宋体"/>
                <w:b/>
                <w:bCs/>
                <w:color w:val="auto"/>
                <w:kern w:val="0"/>
                <w:sz w:val="21"/>
                <w:szCs w:val="21"/>
                <w:highlight w:val="none"/>
                <w:lang w:val="en-US" w:eastAsia="zh-CN"/>
              </w:rPr>
              <w:t>（㎡）</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房产现状</w:t>
            </w:r>
          </w:p>
        </w:tc>
        <w:tc>
          <w:tcPr>
            <w:tcW w:w="6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租赁期限</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评估价格（万元）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徽城镇徽州路徽府置业广场1幢商场1号</w:t>
            </w:r>
            <w:r>
              <w:rPr>
                <w:rFonts w:hint="eastAsia" w:ascii="宋体" w:hAnsi="宋体" w:eastAsia="宋体" w:cs="宋体"/>
                <w:color w:val="auto"/>
                <w:kern w:val="0"/>
                <w:sz w:val="21"/>
                <w:szCs w:val="21"/>
                <w:highlight w:val="none"/>
                <w:lang w:val="en-US" w:eastAsia="zh-CN"/>
              </w:rPr>
              <w:t>房产</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安徽省台客隆连锁超市有限责任公司</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皖（2020）歙县不动产权第0001127号</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徽城镇徽州路徽府置业广场1幢商场1号</w:t>
            </w:r>
          </w:p>
        </w:tc>
        <w:tc>
          <w:tcPr>
            <w:tcW w:w="3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商业服务</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2589.88</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出租</w:t>
            </w:r>
          </w:p>
        </w:tc>
        <w:tc>
          <w:tcPr>
            <w:tcW w:w="6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2022.06.01-2027.08.31</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2744.27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徽城镇徽州路徽府置业广场2幢2000号</w:t>
            </w:r>
            <w:r>
              <w:rPr>
                <w:rFonts w:hint="eastAsia" w:ascii="宋体" w:hAnsi="宋体" w:eastAsia="宋体" w:cs="宋体"/>
                <w:color w:val="auto"/>
                <w:kern w:val="0"/>
                <w:sz w:val="21"/>
                <w:szCs w:val="21"/>
                <w:highlight w:val="none"/>
                <w:lang w:val="en-US" w:eastAsia="zh-CN"/>
              </w:rPr>
              <w:t>房产</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安徽省台客隆连锁超市有限责任公司</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皖（2018）歙县不动产权第0010612号</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徽城镇徽州路徽府置业广场2幢2000号</w:t>
            </w:r>
          </w:p>
        </w:tc>
        <w:tc>
          <w:tcPr>
            <w:tcW w:w="3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商业服务</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0"/>
                <w:szCs w:val="20"/>
                <w:highlight w:val="none"/>
              </w:rPr>
              <w:t>1584.81</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出租</w:t>
            </w:r>
          </w:p>
        </w:tc>
        <w:tc>
          <w:tcPr>
            <w:tcW w:w="6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2022.06.01-2027.08.31</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0"/>
                <w:szCs w:val="20"/>
                <w:highlight w:val="none"/>
              </w:rPr>
              <w:t>1791.15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徽城镇徽州路徽府置业广场3期-1001号</w:t>
            </w:r>
            <w:r>
              <w:rPr>
                <w:rFonts w:hint="eastAsia" w:ascii="宋体" w:hAnsi="宋体" w:eastAsia="宋体" w:cs="宋体"/>
                <w:color w:val="auto"/>
                <w:kern w:val="0"/>
                <w:sz w:val="21"/>
                <w:szCs w:val="21"/>
                <w:highlight w:val="none"/>
                <w:lang w:val="en-US" w:eastAsia="zh-CN"/>
              </w:rPr>
              <w:t>房产</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安徽省台客隆连锁超市有限责任公司</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皖（2018）歙县不动产权第0009162号</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徽城镇徽州路徽府置业广场3期-1001号</w:t>
            </w:r>
          </w:p>
        </w:tc>
        <w:tc>
          <w:tcPr>
            <w:tcW w:w="3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商业服务</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4284.63</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出租</w:t>
            </w:r>
          </w:p>
        </w:tc>
        <w:tc>
          <w:tcPr>
            <w:tcW w:w="6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2022.06.01-2027.08.31</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4237.5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4407"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合计</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sz w:val="24"/>
                <w:szCs w:val="24"/>
                <w:highlight w:val="none"/>
                <w:lang w:val="en-US" w:eastAsia="zh-CN"/>
              </w:rPr>
              <w:t xml:space="preserve"> 8772.89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1.上述资产整体转让。</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上述资产转让已经上级主管单位批准同意处置，安徽德信安房地产土地评估规划有限公司出具了安徽德信安房评</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2022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第</w:t>
            </w:r>
            <w:r>
              <w:rPr>
                <w:rFonts w:hint="eastAsia" w:ascii="宋体" w:hAnsi="宋体" w:cs="宋体"/>
                <w:color w:val="auto"/>
                <w:sz w:val="24"/>
                <w:szCs w:val="24"/>
                <w:highlight w:val="none"/>
                <w:lang w:val="en-US" w:eastAsia="zh-CN"/>
              </w:rPr>
              <w:t>3602</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房地产估价报告</w:t>
            </w:r>
            <w:r>
              <w:rPr>
                <w:rFonts w:hint="eastAsia" w:ascii="宋体" w:hAnsi="宋体" w:eastAsia="宋体" w:cs="宋体"/>
                <w:color w:val="auto"/>
                <w:sz w:val="24"/>
                <w:szCs w:val="24"/>
                <w:highlight w:val="none"/>
              </w:rPr>
              <w:t>》，资产评估总价值为人民币8772.89</w:t>
            </w:r>
            <w:r>
              <w:rPr>
                <w:rFonts w:hint="eastAsia" w:ascii="宋体" w:hAnsi="宋体" w:cs="宋体"/>
                <w:color w:val="auto"/>
                <w:sz w:val="24"/>
                <w:szCs w:val="24"/>
                <w:highlight w:val="none"/>
                <w:lang w:val="en-US" w:eastAsia="zh-CN"/>
              </w:rPr>
              <w:t>万</w:t>
            </w:r>
            <w:r>
              <w:rPr>
                <w:rFonts w:hint="eastAsia" w:ascii="宋体" w:hAnsi="宋体" w:eastAsia="宋体" w:cs="宋体"/>
                <w:color w:val="auto"/>
                <w:sz w:val="24"/>
                <w:szCs w:val="24"/>
                <w:highlight w:val="none"/>
              </w:rPr>
              <w:t>元，资产评估结果已经有权部门备案。</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本次转让</w:t>
            </w:r>
            <w:r>
              <w:rPr>
                <w:rFonts w:hint="eastAsia" w:ascii="宋体" w:hAnsi="宋体" w:eastAsia="宋体" w:cs="宋体"/>
                <w:color w:val="auto"/>
                <w:sz w:val="24"/>
                <w:szCs w:val="24"/>
                <w:highlight w:val="none"/>
                <w:lang w:val="en-US" w:eastAsia="zh-CN"/>
              </w:rPr>
              <w:t>标的</w:t>
            </w:r>
            <w:r>
              <w:rPr>
                <w:rFonts w:hint="eastAsia" w:ascii="宋体" w:hAnsi="宋体" w:eastAsia="宋体" w:cs="宋体"/>
                <w:color w:val="auto"/>
                <w:sz w:val="24"/>
                <w:szCs w:val="24"/>
                <w:highlight w:val="none"/>
              </w:rPr>
              <w:t>房产存在租赁状态，成交后不影响原房屋租赁合同的履行，受让方需与委托方及承租人就租金支付事宜签订相关协议，具体情况须由意向受让方自行向委托方了解确认，凡登记的意向受让方都视同已了解并接受标的</w:t>
            </w:r>
            <w:r>
              <w:rPr>
                <w:rFonts w:hint="eastAsia" w:ascii="宋体" w:hAnsi="宋体" w:cs="宋体"/>
                <w:color w:val="auto"/>
                <w:sz w:val="24"/>
                <w:szCs w:val="24"/>
                <w:highlight w:val="none"/>
                <w:lang w:val="en-US" w:eastAsia="zh-CN"/>
              </w:rPr>
              <w:t>房产</w:t>
            </w:r>
            <w:r>
              <w:rPr>
                <w:rFonts w:hint="eastAsia" w:ascii="宋体" w:hAnsi="宋体" w:eastAsia="宋体" w:cs="宋体"/>
                <w:color w:val="auto"/>
                <w:sz w:val="24"/>
                <w:szCs w:val="24"/>
                <w:highlight w:val="none"/>
              </w:rPr>
              <w:t>的现状。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标的资产证照齐全，无权属纠纷。本项目委托方为安徽百大合家福连锁超市股份有限公司，产权方为安徽省台客隆连锁超市有限责任公司，转让成交后受让方与产权方签订《资产转让合同》。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转让底价</w:t>
            </w:r>
          </w:p>
        </w:tc>
        <w:tc>
          <w:tcPr>
            <w:tcW w:w="17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8772.89万元</w:t>
            </w:r>
          </w:p>
        </w:tc>
        <w:tc>
          <w:tcPr>
            <w:tcW w:w="138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交易保证金</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万元）</w:t>
            </w:r>
          </w:p>
        </w:tc>
        <w:tc>
          <w:tcPr>
            <w:tcW w:w="110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价款支付</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受让方应于《成交确认书》</w:t>
            </w:r>
            <w:r>
              <w:rPr>
                <w:rFonts w:hint="eastAsia" w:ascii="宋体" w:hAnsi="宋体" w:cs="宋体"/>
                <w:color w:val="auto"/>
                <w:kern w:val="0"/>
                <w:sz w:val="24"/>
                <w:szCs w:val="24"/>
                <w:highlight w:val="none"/>
                <w:lang w:eastAsia="zh-CN"/>
              </w:rPr>
              <w:t>发出</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个工作日内与</w:t>
            </w:r>
            <w:r>
              <w:rPr>
                <w:rFonts w:hint="eastAsia" w:ascii="宋体" w:hAnsi="宋体" w:cs="宋体"/>
                <w:color w:val="auto"/>
                <w:kern w:val="0"/>
                <w:sz w:val="24"/>
                <w:szCs w:val="24"/>
                <w:highlight w:val="none"/>
                <w:lang w:val="en-US" w:eastAsia="zh-CN"/>
              </w:rPr>
              <w:t>产权方</w:t>
            </w:r>
            <w:r>
              <w:rPr>
                <w:rFonts w:hint="eastAsia" w:ascii="宋体" w:hAnsi="宋体" w:eastAsia="宋体" w:cs="宋体"/>
                <w:color w:val="auto"/>
                <w:kern w:val="0"/>
                <w:sz w:val="24"/>
                <w:szCs w:val="24"/>
                <w:highlight w:val="none"/>
              </w:rPr>
              <w:t>签</w:t>
            </w:r>
            <w:r>
              <w:rPr>
                <w:rFonts w:hint="eastAsia" w:ascii="宋体" w:hAnsi="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bookmarkStart w:id="1" w:name="OLE_LINK3"/>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凡依法设立、有效存续的境内企事业法人、其他组织和具有完全民事行为能力的自然人，</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未被合肥市及其所辖县（市）、区（开发区）公共资源交易监督管理部门记不良行为记录的；或被记不良行为记录（以公布日期为准），但同时符合下列情形的：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（1）开标日前（含当日）6个月内记分累计未满10分的；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（2）开标日前（含当日）12个月内记分累计未满15分的；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（3）开标日前（含当日）18个月内记分累计未满20分的；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面积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2.办理资产过户手续过程中发生的相关税、费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按国家相关规定</w:t>
            </w:r>
            <w:r>
              <w:rPr>
                <w:rFonts w:hint="eastAsia" w:ascii="宋体" w:hAnsi="宋体" w:eastAsia="宋体" w:cs="宋体"/>
                <w:color w:val="auto"/>
                <w:sz w:val="24"/>
                <w:szCs w:val="24"/>
                <w:highlight w:val="none"/>
              </w:rPr>
              <w:t>由</w:t>
            </w:r>
            <w:r>
              <w:rPr>
                <w:rFonts w:hint="eastAsia" w:ascii="宋体" w:hAnsi="宋体" w:cs="宋体"/>
                <w:color w:val="auto"/>
                <w:sz w:val="24"/>
                <w:szCs w:val="24"/>
                <w:highlight w:val="none"/>
                <w:u w:val="none"/>
                <w:lang w:val="en-US" w:eastAsia="zh-CN"/>
              </w:rPr>
              <w:t>受让方、产权方各自</w:t>
            </w:r>
            <w:r>
              <w:rPr>
                <w:rFonts w:hint="eastAsia" w:ascii="宋体" w:hAnsi="宋体" w:eastAsia="宋体" w:cs="宋体"/>
                <w:color w:val="auto"/>
                <w:sz w:val="24"/>
                <w:szCs w:val="24"/>
                <w:highlight w:val="none"/>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3.标的</w:t>
            </w:r>
            <w:r>
              <w:rPr>
                <w:rFonts w:hint="eastAsia" w:ascii="宋体" w:hAnsi="宋体" w:eastAsia="宋体" w:cs="宋体"/>
                <w:color w:val="auto"/>
                <w:sz w:val="24"/>
                <w:szCs w:val="24"/>
                <w:highlight w:val="none"/>
              </w:rPr>
              <w:t>移交前发生的相关费用(水、电、物业等相关费用)由</w:t>
            </w:r>
            <w:r>
              <w:rPr>
                <w:rFonts w:hint="eastAsia" w:ascii="宋体" w:hAnsi="宋体" w:cs="宋体"/>
                <w:color w:val="auto"/>
                <w:sz w:val="24"/>
                <w:szCs w:val="24"/>
                <w:highlight w:val="none"/>
                <w:lang w:val="en-US" w:eastAsia="zh-CN"/>
              </w:rPr>
              <w:t>产权方负责</w:t>
            </w:r>
            <w:r>
              <w:rPr>
                <w:rFonts w:hint="eastAsia" w:ascii="宋体" w:hAnsi="宋体" w:eastAsia="宋体" w:cs="宋体"/>
                <w:color w:val="auto"/>
                <w:sz w:val="24"/>
                <w:szCs w:val="24"/>
                <w:highlight w:val="none"/>
              </w:rPr>
              <w:t>解决。</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.自转让价款全部付清之日起</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日内，</w:t>
            </w:r>
            <w:r>
              <w:rPr>
                <w:rFonts w:hint="eastAsia" w:ascii="宋体" w:hAnsi="宋体" w:cs="宋体"/>
                <w:color w:val="auto"/>
                <w:sz w:val="24"/>
                <w:szCs w:val="24"/>
                <w:highlight w:val="none"/>
                <w:lang w:val="en-US" w:eastAsia="zh-CN"/>
              </w:rPr>
              <w:t>产权方</w:t>
            </w:r>
            <w:r>
              <w:rPr>
                <w:rFonts w:hint="eastAsia" w:ascii="宋体" w:hAnsi="宋体" w:eastAsia="宋体" w:cs="宋体"/>
                <w:color w:val="auto"/>
                <w:sz w:val="24"/>
                <w:szCs w:val="24"/>
                <w:highlight w:val="none"/>
              </w:rPr>
              <w:t>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.转让资产最终只允许过户至受让方名下，即本次转让最终证载产权方名称须和受让方名称一致。</w:t>
            </w:r>
          </w:p>
          <w:p>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意向受让方须自行了解己方是否符合房产所在地的房地产市场调控的相关政策规定（如限购政策、二手房转让的相关税费政策等），如受让方因此原因导致无法办理转让标的过户手续的，相关责任及产生的费用由受让方自行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.其他未尽事宜详见</w:t>
            </w:r>
            <w:r>
              <w:rPr>
                <w:rFonts w:hint="eastAsia" w:ascii="宋体" w:hAnsi="宋体" w:cs="宋体"/>
                <w:color w:val="auto"/>
                <w:sz w:val="24"/>
                <w:szCs w:val="24"/>
                <w:highlight w:val="none"/>
                <w:lang w:val="en-US" w:eastAsia="zh-CN"/>
              </w:rPr>
              <w:t>本公告附件</w:t>
            </w:r>
            <w:r>
              <w:rPr>
                <w:rFonts w:hint="eastAsia" w:ascii="宋体" w:hAnsi="宋体" w:eastAsia="宋体" w:cs="宋体"/>
                <w:color w:val="auto"/>
                <w:sz w:val="24"/>
                <w:szCs w:val="24"/>
                <w:highlight w:val="none"/>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本项目采取网络连续竞价，价高者得的方式确定受让方，最终成交结果以</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注</w:t>
            </w:r>
            <w:r>
              <w:rPr>
                <w:rFonts w:hint="eastAsia" w:ascii="宋体" w:hAnsi="宋体" w:eastAsia="宋体" w:cs="宋体"/>
                <w:color w:val="auto"/>
                <w:kern w:val="0"/>
                <w:sz w:val="24"/>
                <w:szCs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市场</w:t>
            </w:r>
            <w:r>
              <w:rPr>
                <w:rFonts w:hint="eastAsia" w:ascii="宋体" w:hAnsi="宋体" w:eastAsia="宋体" w:cs="宋体"/>
                <w:color w:val="auto"/>
                <w:kern w:val="0"/>
                <w:sz w:val="24"/>
                <w:szCs w:val="24"/>
                <w:highlight w:val="none"/>
              </w:rPr>
              <w:t>主体库登记</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意向受让方须完成</w:t>
            </w:r>
            <w:r>
              <w:rPr>
                <w:rFonts w:hint="eastAsia" w:ascii="宋体" w:hAnsi="宋体" w:cs="宋体"/>
                <w:color w:val="auto"/>
                <w:kern w:val="0"/>
                <w:sz w:val="24"/>
                <w:szCs w:val="24"/>
                <w:highlight w:val="none"/>
                <w:lang w:val="en-US" w:eastAsia="zh-CN"/>
              </w:rPr>
              <w:t>市场</w:t>
            </w:r>
            <w:r>
              <w:rPr>
                <w:rFonts w:hint="eastAsia" w:ascii="宋体" w:hAnsi="宋体" w:eastAsia="宋体" w:cs="宋体"/>
                <w:color w:val="auto"/>
                <w:sz w:val="24"/>
                <w:szCs w:val="24"/>
                <w:highlight w:val="none"/>
              </w:rPr>
              <w:t>主体库登记</w:t>
            </w:r>
            <w:r>
              <w:rPr>
                <w:rFonts w:hint="eastAsia" w:ascii="宋体" w:hAnsi="宋体" w:cs="宋体"/>
                <w:color w:val="auto"/>
                <w:sz w:val="24"/>
                <w:szCs w:val="24"/>
                <w:highlight w:val="none"/>
                <w:lang w:val="en-US" w:eastAsia="zh-CN"/>
              </w:rPr>
              <w:t>注册</w:t>
            </w:r>
            <w:r>
              <w:rPr>
                <w:rFonts w:hint="eastAsia" w:ascii="宋体" w:hAnsi="宋体" w:eastAsia="宋体" w:cs="宋体"/>
                <w:color w:val="auto"/>
                <w:sz w:val="24"/>
                <w:szCs w:val="24"/>
                <w:highlight w:val="none"/>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1.意向受让方为</w:t>
            </w:r>
            <w:r>
              <w:rPr>
                <w:rFonts w:hint="eastAsia" w:asciiTheme="minorEastAsia" w:hAnsiTheme="minorEastAsia" w:eastAsiaTheme="minorEastAsia" w:cstheme="minorEastAsia"/>
                <w:color w:val="auto"/>
                <w:sz w:val="24"/>
                <w:szCs w:val="24"/>
                <w:highlight w:val="none"/>
                <w:shd w:val="clear" w:color="auto" w:fill="auto"/>
                <w:lang w:val="en-US" w:eastAsia="zh-CN"/>
              </w:rPr>
              <w:t>企事业法人、其他组织</w:t>
            </w:r>
            <w:r>
              <w:rPr>
                <w:rFonts w:hint="eastAsia" w:ascii="宋体" w:hAnsi="宋体" w:eastAsia="宋体" w:cs="宋体"/>
                <w:color w:val="auto"/>
                <w:sz w:val="24"/>
                <w:szCs w:val="24"/>
                <w:highlight w:val="none"/>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2.意向受让方为自然人的，点击安徽</w:t>
            </w:r>
            <w:r>
              <w:rPr>
                <w:rFonts w:hint="eastAsia" w:asciiTheme="minorEastAsia" w:hAnsiTheme="minorEastAsia" w:eastAsiaTheme="minorEastAsia" w:cstheme="minorEastAsia"/>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具体流程参见安徽合肥公共资源交易中心网站（网址：http://ggzy.hefei.gov.cn）</w:t>
            </w:r>
            <w:r>
              <w:rPr>
                <w:rFonts w:hint="eastAsia" w:ascii="宋体" w:hAnsi="宋体" w:eastAsia="宋体" w:cs="宋体"/>
                <w:color w:val="auto"/>
                <w:sz w:val="24"/>
                <w:szCs w:val="24"/>
                <w:highlight w:val="none"/>
                <w:shd w:val="clear" w:color="auto" w:fill="auto"/>
              </w:rPr>
              <w:t>“办事指南”</w:t>
            </w:r>
            <w:r>
              <w:rPr>
                <w:rFonts w:hint="eastAsia" w:ascii="宋体" w:hAnsi="宋体" w:eastAsia="宋体" w:cs="宋体"/>
                <w:color w:val="auto"/>
                <w:sz w:val="24"/>
                <w:szCs w:val="24"/>
                <w:highlight w:val="none"/>
                <w:shd w:val="clear" w:color="auto" w:fill="auto"/>
                <w:lang w:val="en-US" w:eastAsia="zh-CN"/>
              </w:rPr>
              <w:t>-主体库登记-</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市场</w:t>
            </w:r>
            <w:r>
              <w:rPr>
                <w:rFonts w:hint="eastAsia" w:ascii="宋体" w:hAnsi="宋体" w:eastAsia="宋体" w:cs="宋体"/>
                <w:color w:val="auto"/>
                <w:sz w:val="24"/>
                <w:szCs w:val="24"/>
                <w:highlight w:val="none"/>
                <w:shd w:val="clear" w:color="auto" w:fill="auto"/>
              </w:rPr>
              <w:t>主体</w:t>
            </w:r>
            <w:r>
              <w:rPr>
                <w:rFonts w:hint="eastAsia" w:ascii="宋体" w:hAnsi="宋体" w:eastAsia="宋体" w:cs="宋体"/>
                <w:color w:val="auto"/>
                <w:sz w:val="24"/>
                <w:szCs w:val="24"/>
                <w:highlight w:val="none"/>
                <w:shd w:val="clear" w:color="auto" w:fill="auto"/>
                <w:lang w:val="en-US" w:eastAsia="zh-CN"/>
              </w:rPr>
              <w:t>库</w:t>
            </w:r>
            <w:r>
              <w:rPr>
                <w:rFonts w:hint="eastAsia" w:ascii="宋体" w:hAnsi="宋体" w:eastAsia="宋体" w:cs="宋体"/>
                <w:color w:val="auto"/>
                <w:sz w:val="24"/>
                <w:szCs w:val="24"/>
                <w:highlight w:val="none"/>
                <w:shd w:val="clear" w:color="auto" w:fill="auto"/>
              </w:rPr>
              <w:t>登记</w:t>
            </w:r>
            <w:r>
              <w:rPr>
                <w:rFonts w:hint="eastAsia" w:ascii="宋体" w:hAnsi="宋体" w:eastAsia="宋体" w:cs="宋体"/>
                <w:color w:val="auto"/>
                <w:sz w:val="24"/>
                <w:szCs w:val="24"/>
                <w:highlight w:val="none"/>
                <w:shd w:val="clear" w:color="auto" w:fill="auto"/>
                <w:lang w:val="en-US" w:eastAsia="zh-CN"/>
              </w:rPr>
              <w:t>服务</w:t>
            </w:r>
            <w:r>
              <w:rPr>
                <w:rFonts w:hint="eastAsia" w:ascii="宋体" w:hAnsi="宋体" w:eastAsia="宋体" w:cs="宋体"/>
                <w:color w:val="auto"/>
                <w:sz w:val="24"/>
                <w:szCs w:val="24"/>
                <w:highlight w:val="none"/>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项目登记</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完成主体库登记的意向受让方，直接登录安徽</w:t>
            </w:r>
            <w:r>
              <w:rPr>
                <w:rFonts w:hint="eastAsia" w:ascii="宋体" w:hAnsi="宋体" w:eastAsia="宋体" w:cs="宋体"/>
                <w:color w:val="auto"/>
                <w:sz w:val="24"/>
                <w:szCs w:val="24"/>
                <w:highlight w:val="none"/>
                <w:lang w:val="en-US" w:eastAsia="zh-CN"/>
              </w:rPr>
              <w:t>合肥</w:t>
            </w:r>
            <w:r>
              <w:rPr>
                <w:rFonts w:hint="eastAsia" w:ascii="宋体" w:hAnsi="宋体" w:eastAsia="宋体" w:cs="宋体"/>
                <w:color w:val="auto"/>
                <w:sz w:val="24"/>
                <w:szCs w:val="24"/>
                <w:highlight w:val="none"/>
              </w:rPr>
              <w:t>公共资源交易电子服务系统（网址：http://www.hfztb.cn），进入后选择点击“安徽公共资源交易集团电子交易系统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宋体" w:hAnsi="宋体" w:eastAsia="宋体" w:cs="宋体"/>
                <w:color w:val="auto"/>
                <w:sz w:val="24"/>
                <w:szCs w:val="24"/>
                <w:highlight w:val="none"/>
                <w:lang w:eastAsia="zh-CN"/>
              </w:rPr>
              <w:t>交易保证金交</w:t>
            </w:r>
            <w:r>
              <w:rPr>
                <w:rFonts w:hint="eastAsia" w:ascii="宋体" w:hAnsi="宋体" w:eastAsia="宋体" w:cs="宋体"/>
                <w:color w:val="auto"/>
                <w:sz w:val="24"/>
                <w:szCs w:val="24"/>
                <w:highlight w:val="none"/>
              </w:rPr>
              <w:t>款账户须与意向受让方实际</w:t>
            </w:r>
            <w:r>
              <w:rPr>
                <w:rFonts w:hint="eastAsia" w:ascii="宋体" w:hAnsi="宋体" w:eastAsia="宋体" w:cs="宋体"/>
                <w:color w:val="auto"/>
                <w:sz w:val="24"/>
                <w:szCs w:val="24"/>
                <w:highlight w:val="none"/>
                <w:lang w:eastAsia="zh-CN"/>
              </w:rPr>
              <w:t>交纳交易保证金</w:t>
            </w:r>
            <w:r>
              <w:rPr>
                <w:rFonts w:hint="eastAsia" w:ascii="宋体" w:hAnsi="宋体" w:eastAsia="宋体" w:cs="宋体"/>
                <w:color w:val="auto"/>
                <w:sz w:val="24"/>
                <w:szCs w:val="24"/>
                <w:highlight w:val="none"/>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kern w:val="0"/>
                <w:sz w:val="24"/>
                <w:szCs w:val="24"/>
                <w:highlight w:val="none"/>
              </w:rPr>
              <w:t>交易保证金交纳</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意向受让方登记成功后，须通过项目登记时填写的己方账号以转账的方式汇入标的对应</w:t>
            </w:r>
            <w:r>
              <w:rPr>
                <w:rFonts w:hint="eastAsia" w:ascii="宋体" w:hAnsi="宋体" w:cs="宋体"/>
                <w:color w:val="auto"/>
                <w:kern w:val="0"/>
                <w:sz w:val="24"/>
                <w:szCs w:val="24"/>
                <w:highlight w:val="none"/>
                <w:lang w:val="en-US" w:eastAsia="zh-CN"/>
              </w:rPr>
              <w:t>账号</w:t>
            </w:r>
            <w:r>
              <w:rPr>
                <w:rFonts w:hint="eastAsia" w:ascii="宋体" w:hAnsi="宋体" w:eastAsia="宋体" w:cs="宋体"/>
                <w:color w:val="auto"/>
                <w:kern w:val="0"/>
                <w:sz w:val="24"/>
                <w:szCs w:val="24"/>
                <w:highlight w:val="none"/>
              </w:rPr>
              <w:t>足额的交易保证金。不得通过现金汇款方式</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保证金账号如下：</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2637"/>
              <w:gridCol w:w="3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125" w:type="pct"/>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户名：合肥市产权交易中心</w:t>
                  </w:r>
                </w:p>
              </w:tc>
              <w:tc>
                <w:tcPr>
                  <w:tcW w:w="1594" w:type="pct"/>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开户</w:t>
                  </w:r>
                  <w:r>
                    <w:rPr>
                      <w:rFonts w:hint="eastAsia" w:ascii="宋体" w:hAnsi="宋体" w:cs="宋体"/>
                      <w:b w:val="0"/>
                      <w:bCs/>
                      <w:color w:val="auto"/>
                      <w:kern w:val="0"/>
                      <w:sz w:val="24"/>
                      <w:szCs w:val="24"/>
                      <w:highlight w:val="none"/>
                      <w:lang w:val="en-US" w:eastAsia="zh-CN"/>
                    </w:rPr>
                    <w:t>银</w:t>
                  </w:r>
                  <w:r>
                    <w:rPr>
                      <w:rFonts w:hint="eastAsia" w:ascii="宋体" w:hAnsi="宋体" w:eastAsia="宋体" w:cs="宋体"/>
                      <w:b w:val="0"/>
                      <w:bCs/>
                      <w:color w:val="auto"/>
                      <w:kern w:val="0"/>
                      <w:sz w:val="24"/>
                      <w:szCs w:val="24"/>
                      <w:highlight w:val="none"/>
                    </w:rPr>
                    <w:t>行：中国光大银行合肥阜南路支行</w:t>
                  </w:r>
                </w:p>
              </w:tc>
              <w:tc>
                <w:tcPr>
                  <w:tcW w:w="2279" w:type="pct"/>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账号：76700188014335894</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交易保证金</w:t>
            </w:r>
            <w:r>
              <w:rPr>
                <w:rFonts w:hint="eastAsia" w:ascii="宋体" w:hAnsi="宋体" w:eastAsia="宋体" w:cs="宋体"/>
                <w:color w:val="auto"/>
                <w:sz w:val="24"/>
                <w:szCs w:val="24"/>
                <w:highlight w:val="none"/>
              </w:rPr>
              <w:t>支付</w:t>
            </w:r>
            <w:r>
              <w:rPr>
                <w:rFonts w:hint="eastAsia" w:ascii="宋体" w:hAnsi="宋体" w:eastAsia="宋体" w:cs="宋体"/>
                <w:color w:val="auto"/>
                <w:kern w:val="0"/>
                <w:sz w:val="24"/>
                <w:szCs w:val="24"/>
                <w:highlight w:val="none"/>
              </w:rPr>
              <w:t>完成后，意向受让方可登陆安徽公共资源交易集团电子交易系统点击“保证金查询”查看</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支付状态。若显示“未支付”，可点击查询按键刷新支付状态。若刷新后</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支付状态仍显示“未支付”的，意向受让方可在公告截</w:t>
            </w:r>
            <w:r>
              <w:rPr>
                <w:rFonts w:hint="eastAsia" w:ascii="宋体" w:hAnsi="宋体" w:eastAsia="宋体" w:cs="宋体"/>
                <w:color w:val="auto"/>
                <w:sz w:val="24"/>
                <w:szCs w:val="24"/>
                <w:highlight w:val="none"/>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注意事项：</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支付以到账时间为准，意向受让方须确保</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的交易保证金在公告截止时间前到账，网上登记系统将在到达公告截止时间时自动关闭。如因账号错误、</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数额不足、</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未在规定时间内到账、现金</w:t>
            </w:r>
            <w:r>
              <w:rPr>
                <w:rFonts w:hint="eastAsia" w:ascii="宋体" w:hAnsi="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项目竞价</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2.竞价规则详见</w:t>
            </w: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网络连续竞价须知</w:t>
            </w:r>
            <w:r>
              <w:rPr>
                <w:rFonts w:hint="eastAsia" w:cs="宋体"/>
                <w:color w:val="auto"/>
                <w:sz w:val="24"/>
                <w:szCs w:val="24"/>
                <w:highlight w:val="none"/>
                <w:shd w:val="clear" w:color="auto" w:fill="auto"/>
                <w:lang w:eastAsia="zh-CN"/>
              </w:rPr>
              <w:t>》（</w:t>
            </w:r>
            <w:r>
              <w:rPr>
                <w:rFonts w:hint="eastAsia" w:ascii="宋体" w:hAnsi="宋体" w:eastAsia="宋体" w:cs="宋体"/>
                <w:color w:val="auto"/>
                <w:kern w:val="0"/>
                <w:sz w:val="24"/>
                <w:szCs w:val="24"/>
                <w:highlight w:val="none"/>
              </w:rPr>
              <w:t>本公告</w:t>
            </w:r>
            <w:r>
              <w:rPr>
                <w:rFonts w:hint="eastAsia" w:ascii="宋体" w:hAnsi="宋体" w:cs="宋体"/>
                <w:color w:val="auto"/>
                <w:kern w:val="0"/>
                <w:sz w:val="24"/>
                <w:szCs w:val="24"/>
                <w:highlight w:val="none"/>
                <w:lang w:val="en-US" w:eastAsia="zh-CN"/>
              </w:rPr>
              <w:t>上传</w:t>
            </w:r>
            <w:r>
              <w:rPr>
                <w:rFonts w:hint="eastAsia" w:ascii="宋体" w:hAnsi="宋体" w:eastAsia="宋体" w:cs="宋体"/>
                <w:color w:val="auto"/>
                <w:kern w:val="0"/>
                <w:sz w:val="24"/>
                <w:szCs w:val="24"/>
                <w:highlight w:val="none"/>
              </w:rPr>
              <w:t>附件</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sz w:val="24"/>
                <w:szCs w:val="24"/>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3.本项目标的每轮加价</w:t>
            </w:r>
            <w:r>
              <w:rPr>
                <w:rFonts w:hint="eastAsia" w:ascii="宋体" w:hAnsi="宋体" w:eastAsia="宋体" w:cs="宋体"/>
                <w:color w:val="auto"/>
                <w:kern w:val="0"/>
                <w:sz w:val="24"/>
                <w:szCs w:val="24"/>
                <w:highlight w:val="none"/>
                <w:u w:val="none"/>
              </w:rPr>
              <w:t>幅度</w:t>
            </w:r>
            <w:r>
              <w:rPr>
                <w:rFonts w:hint="eastAsia" w:ascii="宋体" w:hAnsi="宋体" w:cs="宋体"/>
                <w:b/>
                <w:bCs/>
                <w:color w:val="auto"/>
                <w:kern w:val="0"/>
                <w:sz w:val="24"/>
                <w:szCs w:val="24"/>
                <w:highlight w:val="none"/>
                <w:u w:val="none"/>
                <w:lang w:val="en-US" w:eastAsia="zh-CN"/>
              </w:rPr>
              <w:t>20万</w:t>
            </w:r>
            <w:r>
              <w:rPr>
                <w:rFonts w:hint="eastAsia" w:ascii="宋体" w:hAnsi="宋体" w:eastAsia="宋体" w:cs="宋体"/>
                <w:b/>
                <w:bCs/>
                <w:color w:val="auto"/>
                <w:kern w:val="0"/>
                <w:sz w:val="24"/>
                <w:szCs w:val="24"/>
                <w:highlight w:val="none"/>
                <w:u w:val="none"/>
              </w:rPr>
              <w:t>元或其整数倍</w:t>
            </w:r>
            <w:r>
              <w:rPr>
                <w:rFonts w:hint="eastAsia" w:ascii="宋体" w:hAnsi="宋体" w:eastAsia="宋体" w:cs="宋体"/>
                <w:color w:val="auto"/>
                <w:kern w:val="0"/>
                <w:sz w:val="24"/>
                <w:szCs w:val="24"/>
                <w:highlight w:val="none"/>
                <w:u w:val="none"/>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重要提示：请使用IE10及以上版本浏览器登录竞价系统，否则可能导致异常。鉴于互联网环境可能存在的时延等不可抗因素，意向</w:t>
            </w:r>
            <w:r>
              <w:rPr>
                <w:rFonts w:hint="eastAsia" w:ascii="宋体" w:hAnsi="宋体" w:eastAsia="宋体" w:cs="宋体"/>
                <w:color w:val="auto"/>
                <w:kern w:val="0"/>
                <w:sz w:val="24"/>
                <w:szCs w:val="24"/>
                <w:highlight w:val="none"/>
                <w:lang w:eastAsia="zh-CN"/>
              </w:rPr>
              <w:t>受让方</w:t>
            </w:r>
            <w:r>
              <w:rPr>
                <w:rFonts w:hint="eastAsia" w:ascii="宋体" w:hAnsi="宋体" w:eastAsia="宋体" w:cs="宋体"/>
                <w:color w:val="auto"/>
                <w:kern w:val="0"/>
                <w:sz w:val="24"/>
                <w:szCs w:val="24"/>
                <w:highlight w:val="none"/>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注</w:t>
            </w:r>
            <w:r>
              <w:rPr>
                <w:rFonts w:hint="eastAsia" w:ascii="宋体" w:hAnsi="宋体" w:eastAsia="宋体" w:cs="宋体"/>
                <w:color w:val="auto"/>
                <w:kern w:val="0"/>
                <w:sz w:val="24"/>
                <w:szCs w:val="24"/>
                <w:highlight w:val="none"/>
              </w:rPr>
              <w:t>：1.意向受让方须在公告期内完成注册、登记及</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手续，因未在规定时间完成上述手续造成无法参与竞价的，合肥市产权交易中心不承担任何责任。上述注册、登记及竞价等具体操作流程</w:t>
            </w:r>
            <w:r>
              <w:rPr>
                <w:rFonts w:hint="eastAsia" w:ascii="宋体" w:hAnsi="宋体" w:cs="宋体"/>
                <w:color w:val="auto"/>
                <w:kern w:val="0"/>
                <w:sz w:val="24"/>
                <w:szCs w:val="24"/>
                <w:highlight w:val="none"/>
                <w:shd w:val="clear" w:color="auto" w:fill="auto"/>
                <w:lang w:val="en-US" w:eastAsia="zh-CN"/>
              </w:rPr>
              <w:t>详见</w:t>
            </w:r>
            <w:r>
              <w:rPr>
                <w:rFonts w:hint="eastAsia" w:ascii="宋体" w:hAnsi="宋体" w:eastAsia="宋体" w:cs="宋体"/>
                <w:color w:val="auto"/>
                <w:kern w:val="0"/>
                <w:sz w:val="24"/>
                <w:szCs w:val="24"/>
                <w:highlight w:val="none"/>
                <w:shd w:val="clear" w:color="auto" w:fill="auto"/>
              </w:rPr>
              <w:t>《产权交易操作手册》</w:t>
            </w:r>
            <w:r>
              <w:rPr>
                <w:rFonts w:hint="eastAsia" w:ascii="宋体" w:hAnsi="宋体" w:cs="宋体"/>
                <w:color w:val="auto"/>
                <w:kern w:val="0"/>
                <w:sz w:val="24"/>
                <w:szCs w:val="24"/>
                <w:highlight w:val="none"/>
                <w:shd w:val="clear" w:color="auto" w:fill="auto"/>
                <w:lang w:eastAsia="zh-CN"/>
              </w:rPr>
              <w:t>（</w:t>
            </w:r>
            <w:r>
              <w:rPr>
                <w:rFonts w:hint="eastAsia" w:ascii="宋体" w:hAnsi="宋体" w:cs="宋体"/>
                <w:color w:val="auto"/>
                <w:kern w:val="0"/>
                <w:sz w:val="24"/>
                <w:szCs w:val="24"/>
                <w:highlight w:val="none"/>
                <w:shd w:val="clear" w:color="auto" w:fill="auto"/>
                <w:lang w:val="en-US" w:eastAsia="zh-CN"/>
              </w:rPr>
              <w:t>本公告上传附件2）</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auto"/>
                <w:lang w:val="en-US" w:eastAsia="zh-CN"/>
              </w:rPr>
              <w:t>结果</w:t>
            </w:r>
            <w:r>
              <w:rPr>
                <w:rFonts w:hint="eastAsia" w:ascii="宋体" w:hAnsi="宋体" w:eastAsia="宋体" w:cs="宋体"/>
                <w:color w:val="auto"/>
                <w:sz w:val="24"/>
                <w:szCs w:val="24"/>
                <w:highlight w:val="none"/>
                <w:shd w:val="clear" w:color="auto" w:fill="auto"/>
              </w:rPr>
              <w:t>公告及《成交确认书》</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shd w:val="clear" w:color="auto" w:fill="auto"/>
              </w:rPr>
            </w:pPr>
            <w:r>
              <w:rPr>
                <w:rFonts w:hint="eastAsia" w:ascii="宋体" w:hAnsi="宋体" w:eastAsia="宋体" w:cs="宋体"/>
                <w:b w:val="0"/>
                <w:bCs w:val="0"/>
                <w:color w:val="auto"/>
                <w:kern w:val="0"/>
                <w:sz w:val="24"/>
                <w:szCs w:val="24"/>
                <w:highlight w:val="none"/>
                <w:shd w:val="clear" w:color="auto" w:fill="auto"/>
                <w:lang w:val="en-US" w:eastAsia="zh-CN"/>
              </w:rPr>
              <w:t>1.</w:t>
            </w:r>
            <w:r>
              <w:rPr>
                <w:rFonts w:hint="eastAsia" w:ascii="宋体" w:hAnsi="宋体" w:eastAsia="宋体" w:cs="宋体"/>
                <w:b w:val="0"/>
                <w:bCs w:val="0"/>
                <w:color w:val="auto"/>
                <w:kern w:val="0"/>
                <w:sz w:val="24"/>
                <w:szCs w:val="24"/>
                <w:highlight w:val="none"/>
                <w:shd w:val="clear" w:color="auto" w:fill="auto"/>
              </w:rPr>
              <w:t>竞价结束且无异常情况，合肥市产权交易中心将在网站上发布</w:t>
            </w:r>
            <w:r>
              <w:rPr>
                <w:rFonts w:hint="eastAsia" w:ascii="宋体" w:hAnsi="宋体" w:eastAsia="宋体" w:cs="宋体"/>
                <w:b w:val="0"/>
                <w:bCs w:val="0"/>
                <w:color w:val="auto"/>
                <w:kern w:val="0"/>
                <w:sz w:val="24"/>
                <w:szCs w:val="24"/>
                <w:highlight w:val="none"/>
                <w:shd w:val="clear" w:color="auto" w:fill="auto"/>
                <w:lang w:eastAsia="zh-CN"/>
              </w:rPr>
              <w:t>结果公告</w:t>
            </w:r>
            <w:r>
              <w:rPr>
                <w:rFonts w:hint="eastAsia" w:ascii="宋体" w:hAnsi="宋体" w:eastAsia="宋体" w:cs="宋体"/>
                <w:b w:val="0"/>
                <w:bCs w:val="0"/>
                <w:color w:val="auto"/>
                <w:kern w:val="0"/>
                <w:sz w:val="24"/>
                <w:szCs w:val="24"/>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shd w:val="clear" w:color="auto" w:fill="auto"/>
                <w:lang w:val="en-US" w:eastAsia="zh-CN"/>
              </w:rPr>
              <w:t>2.</w:t>
            </w:r>
            <w:r>
              <w:rPr>
                <w:rFonts w:hint="eastAsia" w:ascii="宋体" w:hAnsi="宋体" w:cs="宋体"/>
                <w:b w:val="0"/>
                <w:bCs w:val="0"/>
                <w:color w:val="auto"/>
                <w:kern w:val="0"/>
                <w:sz w:val="24"/>
                <w:szCs w:val="24"/>
                <w:highlight w:val="none"/>
                <w:shd w:val="clear" w:color="auto" w:fill="auto"/>
                <w:lang w:val="en-US" w:eastAsia="zh-CN"/>
              </w:rPr>
              <w:t>结果公告发布后，</w:t>
            </w:r>
            <w:r>
              <w:rPr>
                <w:rFonts w:hint="eastAsia" w:ascii="宋体" w:hAnsi="宋体" w:eastAsia="宋体" w:cs="宋体"/>
                <w:b w:val="0"/>
                <w:bCs w:val="0"/>
                <w:color w:val="auto"/>
                <w:kern w:val="0"/>
                <w:sz w:val="24"/>
                <w:szCs w:val="24"/>
                <w:highlight w:val="none"/>
                <w:shd w:val="clear" w:color="auto" w:fill="auto"/>
                <w:lang w:eastAsia="zh-CN"/>
              </w:rPr>
              <w:t>合肥市产权交易中心</w:t>
            </w:r>
            <w:r>
              <w:rPr>
                <w:rFonts w:hint="eastAsia" w:ascii="宋体" w:hAnsi="宋体" w:eastAsia="宋体" w:cs="宋体"/>
                <w:b w:val="0"/>
                <w:bCs w:val="0"/>
                <w:color w:val="auto"/>
                <w:kern w:val="0"/>
                <w:sz w:val="24"/>
                <w:szCs w:val="24"/>
                <w:highlight w:val="none"/>
                <w:shd w:val="clear" w:color="auto" w:fill="auto"/>
              </w:rPr>
              <w:t>将通过电子交易系统向</w:t>
            </w:r>
            <w:r>
              <w:rPr>
                <w:rFonts w:hint="eastAsia" w:ascii="宋体" w:hAnsi="宋体" w:eastAsia="宋体" w:cs="宋体"/>
                <w:b w:val="0"/>
                <w:bCs w:val="0"/>
                <w:color w:val="auto"/>
                <w:kern w:val="0"/>
                <w:sz w:val="24"/>
                <w:szCs w:val="24"/>
                <w:highlight w:val="none"/>
                <w:shd w:val="clear" w:color="auto" w:fill="auto"/>
                <w:lang w:val="en-US" w:eastAsia="zh-CN"/>
              </w:rPr>
              <w:t>成交人</w:t>
            </w:r>
            <w:r>
              <w:rPr>
                <w:rFonts w:hint="eastAsia" w:ascii="宋体" w:hAnsi="宋体" w:eastAsia="宋体" w:cs="宋体"/>
                <w:b w:val="0"/>
                <w:bCs w:val="0"/>
                <w:color w:val="auto"/>
                <w:kern w:val="0"/>
                <w:sz w:val="24"/>
                <w:szCs w:val="24"/>
                <w:highlight w:val="none"/>
                <w:shd w:val="clear" w:color="auto" w:fill="auto"/>
              </w:rPr>
              <w:t>发出成交确认书，成交确认书发出即视为送达</w:t>
            </w:r>
            <w:r>
              <w:rPr>
                <w:rFonts w:hint="eastAsia" w:ascii="宋体" w:hAnsi="宋体" w:cs="宋体"/>
                <w:b w:val="0"/>
                <w:bCs w:val="0"/>
                <w:color w:val="auto"/>
                <w:kern w:val="0"/>
                <w:sz w:val="24"/>
                <w:szCs w:val="24"/>
                <w:highlight w:val="none"/>
                <w:shd w:val="clear" w:color="auto" w:fill="auto"/>
                <w:lang w:eastAsia="zh-CN"/>
              </w:rPr>
              <w:t>；</w:t>
            </w:r>
            <w:r>
              <w:rPr>
                <w:rFonts w:hint="eastAsia" w:ascii="宋体" w:hAnsi="宋体" w:eastAsia="宋体" w:cs="宋体"/>
                <w:b w:val="0"/>
                <w:bCs w:val="0"/>
                <w:color w:val="auto"/>
                <w:kern w:val="0"/>
                <w:sz w:val="24"/>
                <w:szCs w:val="24"/>
                <w:highlight w:val="none"/>
                <w:shd w:val="clear" w:color="auto" w:fill="auto"/>
                <w:lang w:val="en-US" w:eastAsia="zh-CN"/>
              </w:rPr>
              <w:t>成交</w:t>
            </w:r>
            <w:r>
              <w:rPr>
                <w:rFonts w:hint="eastAsia" w:ascii="宋体" w:hAnsi="宋体" w:eastAsia="宋体" w:cs="宋体"/>
                <w:b w:val="0"/>
                <w:bCs w:val="0"/>
                <w:color w:val="auto"/>
                <w:kern w:val="0"/>
                <w:sz w:val="24"/>
                <w:szCs w:val="24"/>
                <w:highlight w:val="none"/>
                <w:shd w:val="clear" w:color="auto" w:fill="auto"/>
              </w:rPr>
              <w:t>人</w:t>
            </w:r>
            <w:r>
              <w:rPr>
                <w:rFonts w:hint="eastAsia" w:ascii="宋体" w:hAnsi="宋体" w:eastAsia="宋体" w:cs="宋体"/>
                <w:b w:val="0"/>
                <w:bCs w:val="0"/>
                <w:color w:val="auto"/>
                <w:kern w:val="0"/>
                <w:sz w:val="24"/>
                <w:szCs w:val="24"/>
                <w:highlight w:val="none"/>
                <w:shd w:val="clear" w:color="auto" w:fill="auto"/>
                <w:lang w:val="en-US" w:eastAsia="zh-CN"/>
              </w:rPr>
              <w:t>请登录电子交易系统领取</w:t>
            </w:r>
            <w:r>
              <w:rPr>
                <w:rFonts w:hint="eastAsia" w:ascii="宋体" w:hAnsi="宋体" w:eastAsia="宋体" w:cs="宋体"/>
                <w:b w:val="0"/>
                <w:bCs w:val="0"/>
                <w:color w:val="auto"/>
                <w:kern w:val="0"/>
                <w:sz w:val="24"/>
                <w:szCs w:val="24"/>
                <w:highlight w:val="none"/>
                <w:shd w:val="clear" w:color="auto" w:fill="auto"/>
              </w:rPr>
              <w:t>成交确认书</w:t>
            </w:r>
            <w:r>
              <w:rPr>
                <w:rFonts w:hint="eastAsia" w:ascii="宋体" w:hAnsi="宋体" w:eastAsia="宋体" w:cs="宋体"/>
                <w:b w:val="0"/>
                <w:bCs w:val="0"/>
                <w:color w:val="auto"/>
                <w:kern w:val="0"/>
                <w:sz w:val="24"/>
                <w:szCs w:val="24"/>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交易保证金处置</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1.合同签订生效后，受让方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的交易保证金扣除交易服务费后的剩余款项</w:t>
            </w:r>
            <w:r>
              <w:rPr>
                <w:rFonts w:hint="eastAsia" w:ascii="宋体" w:hAnsi="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rPr>
              <w:t>转为</w:t>
            </w:r>
            <w:r>
              <w:rPr>
                <w:rFonts w:hint="eastAsia" w:ascii="宋体" w:hAnsi="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rPr>
              <w:t>转让价款，其他意向受让方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只退还至意向受让方</w:t>
            </w:r>
            <w:r>
              <w:rPr>
                <w:rFonts w:hint="eastAsia" w:ascii="宋体" w:hAnsi="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款账户。因收款人与意向受让方名称不一致造成的</w:t>
            </w:r>
            <w:r>
              <w:rPr>
                <w:rFonts w:hint="eastAsia" w:ascii="宋体" w:hAnsi="宋体" w:cs="宋体"/>
                <w:color w:val="auto"/>
                <w:kern w:val="0"/>
                <w:sz w:val="24"/>
                <w:szCs w:val="24"/>
                <w:highlight w:val="none"/>
                <w:lang w:val="en-US" w:eastAsia="zh-CN"/>
              </w:rPr>
              <w:t>交易</w:t>
            </w:r>
            <w:r>
              <w:rPr>
                <w:rFonts w:hint="eastAsia" w:ascii="宋体" w:hAnsi="宋体" w:eastAsia="宋体" w:cs="宋体"/>
                <w:color w:val="auto"/>
                <w:kern w:val="0"/>
                <w:sz w:val="24"/>
                <w:szCs w:val="24"/>
                <w:highlight w:val="none"/>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（5）受让方未按交易文件约定交纳履约保证金或签定《资产转让合同》的。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异议方式</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若对</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有异议，可自</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发布次日起3个工作日内，以书面形式向合肥市产权交易中心提出异议，异议材料递交地址：合肥市滨湖新区南京路2588号合肥要素市场A区67</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交易服务费收取</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交易服务费按“差额定率累进法”计算</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标的成交价</w:t>
            </w:r>
            <w:r>
              <w:rPr>
                <w:rFonts w:hint="eastAsia" w:ascii="宋体" w:hAnsi="宋体" w:eastAsia="宋体" w:cs="宋体"/>
                <w:color w:val="auto"/>
                <w:kern w:val="0"/>
                <w:sz w:val="24"/>
                <w:szCs w:val="24"/>
                <w:highlight w:val="none"/>
                <w:lang w:val="en-US" w:eastAsia="zh-CN"/>
              </w:rPr>
              <w:t>10000</w:t>
            </w:r>
            <w:r>
              <w:rPr>
                <w:rFonts w:hint="eastAsia" w:ascii="宋体" w:hAnsi="宋体" w:eastAsia="宋体" w:cs="宋体"/>
                <w:color w:val="auto"/>
                <w:kern w:val="0"/>
                <w:sz w:val="24"/>
                <w:szCs w:val="24"/>
                <w:highlight w:val="none"/>
              </w:rPr>
              <w:t>万元以下的部分，收取比例为</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超过1000</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万元至5000</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万元的部分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0.48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50000万</w:t>
            </w:r>
            <w:r>
              <w:rPr>
                <w:rFonts w:hint="eastAsia" w:ascii="宋体" w:hAnsi="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rPr>
              <w:t>以上部分，为0.1%。交易服务费不足1000元的，按1000元收取。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2.对本项目公告内容要求澄清或有异议的意向</w:t>
            </w:r>
            <w:r>
              <w:rPr>
                <w:rFonts w:hint="eastAsia" w:ascii="宋体" w:hAnsi="宋体" w:eastAsia="宋体" w:cs="宋体"/>
                <w:color w:val="auto"/>
                <w:sz w:val="24"/>
                <w:szCs w:val="24"/>
                <w:highlight w:val="none"/>
                <w:lang w:eastAsia="zh-CN"/>
              </w:rPr>
              <w:t>受让方</w:t>
            </w:r>
            <w:r>
              <w:rPr>
                <w:rFonts w:hint="eastAsia" w:ascii="宋体" w:hAnsi="宋体" w:eastAsia="宋体" w:cs="宋体"/>
                <w:color w:val="auto"/>
                <w:sz w:val="24"/>
                <w:szCs w:val="24"/>
                <w:highlight w:val="none"/>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highlight w:val="none"/>
                <w:shd w:val="clear" w:color="auto" w:fill="auto"/>
              </w:rPr>
              <w:t>（网址：https://ggzy.hefei.gov.cn/</w:t>
            </w:r>
            <w:r>
              <w:rPr>
                <w:rFonts w:hint="eastAsia" w:asciiTheme="minorEastAsia" w:hAnsiTheme="minorEastAsia" w:eastAsiaTheme="minorEastAsia" w:cstheme="minorEastAsia"/>
                <w:color w:val="auto"/>
                <w:sz w:val="24"/>
                <w:szCs w:val="24"/>
                <w:highlight w:val="none"/>
                <w:shd w:val="clear" w:color="auto" w:fill="auto"/>
                <w:lang w:eastAsia="zh-CN"/>
              </w:rPr>
              <w:t>）</w:t>
            </w:r>
            <w:r>
              <w:rPr>
                <w:rFonts w:hint="eastAsia" w:ascii="宋体" w:hAnsi="宋体" w:eastAsia="宋体" w:cs="宋体"/>
                <w:color w:val="auto"/>
                <w:sz w:val="24"/>
                <w:szCs w:val="24"/>
                <w:highlight w:val="none"/>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联系人：</w:t>
            </w:r>
            <w:r>
              <w:rPr>
                <w:rFonts w:hint="eastAsia" w:ascii="宋体" w:hAnsi="宋体" w:eastAsia="宋体" w:cs="宋体"/>
                <w:color w:val="auto"/>
                <w:sz w:val="24"/>
                <w:szCs w:val="24"/>
                <w:highlight w:val="none"/>
                <w:u w:val="none"/>
                <w:lang w:val="en-US" w:eastAsia="zh-CN"/>
              </w:rPr>
              <w:t>刘经理</w:t>
            </w:r>
            <w:r>
              <w:rPr>
                <w:rFonts w:hint="eastAsia" w:ascii="宋体" w:hAnsi="宋体" w:eastAsia="宋体" w:cs="宋体"/>
                <w:color w:val="auto"/>
                <w:sz w:val="24"/>
                <w:szCs w:val="24"/>
                <w:highlight w:val="none"/>
                <w:u w:val="none"/>
                <w:lang w:eastAsia="zh-CN"/>
              </w:rPr>
              <w:t>，联系电话：0551-63453832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主体库登记</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江</w:t>
            </w:r>
            <w:r>
              <w:rPr>
                <w:rFonts w:hint="eastAsia" w:ascii="宋体" w:hAnsi="宋体" w:eastAsia="宋体" w:cs="宋体"/>
                <w:color w:val="auto"/>
                <w:sz w:val="24"/>
                <w:szCs w:val="24"/>
                <w:highlight w:val="none"/>
              </w:rPr>
              <w:t>工，联系电话：0551-6622</w:t>
            </w:r>
            <w:r>
              <w:rPr>
                <w:rFonts w:hint="eastAsia" w:ascii="宋体" w:hAnsi="宋体" w:cs="宋体"/>
                <w:color w:val="auto"/>
                <w:sz w:val="24"/>
                <w:szCs w:val="24"/>
                <w:highlight w:val="none"/>
                <w:lang w:val="en-US" w:eastAsia="zh-CN"/>
              </w:rPr>
              <w:t>3293</w:t>
            </w:r>
            <w:r>
              <w:rPr>
                <w:rFonts w:hint="eastAsia" w:ascii="宋体" w:hAnsi="宋体" w:eastAsia="宋体" w:cs="宋体"/>
                <w:color w:val="auto"/>
                <w:sz w:val="24"/>
                <w:szCs w:val="24"/>
                <w:highlight w:val="none"/>
              </w:rPr>
              <w:t>、6622</w:t>
            </w:r>
            <w:r>
              <w:rPr>
                <w:rFonts w:hint="eastAsia" w:ascii="宋体" w:hAnsi="宋体" w:cs="宋体"/>
                <w:color w:val="auto"/>
                <w:sz w:val="24"/>
                <w:szCs w:val="24"/>
                <w:highlight w:val="none"/>
                <w:lang w:val="en-US" w:eastAsia="zh-CN"/>
              </w:rPr>
              <w:t>3918</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合肥市滨湖新区徽州大道4872号金融港中心A9幢安徽公共资源交易集团4楼</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426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12"/>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lang w:val="en-US" w:eastAsia="zh-CN"/>
        </w:rPr>
        <w:t xml:space="preserve">  </w:t>
      </w:r>
      <w:r>
        <w:rPr>
          <w:rFonts w:hint="eastAsia" w:ascii="宋体" w:hAnsi="宋体" w:eastAsia="宋体" w:cs="宋体"/>
          <w:color w:val="auto"/>
          <w:kern w:val="0"/>
          <w:sz w:val="32"/>
          <w:szCs w:val="32"/>
          <w:highlight w:val="none"/>
        </w:rPr>
        <w:t>合肥市产权交易中心</w:t>
      </w:r>
    </w:p>
    <w:p>
      <w:pPr>
        <w:widowControl/>
        <w:spacing w:line="520" w:lineRule="exact"/>
        <w:ind w:right="560"/>
        <w:jc w:val="right"/>
        <w:rPr>
          <w:rFonts w:hint="eastAsia" w:ascii="宋体" w:hAnsi="宋体" w:eastAsia="宋体" w:cs="宋体"/>
          <w:color w:val="auto"/>
          <w:kern w:val="0"/>
          <w:sz w:val="32"/>
          <w:szCs w:val="32"/>
          <w:highlight w:val="none"/>
        </w:rPr>
      </w:pPr>
    </w:p>
    <w:p>
      <w:pPr>
        <w:widowControl/>
        <w:spacing w:line="520" w:lineRule="exact"/>
        <w:ind w:right="560"/>
        <w:jc w:val="both"/>
        <w:rPr>
          <w:rFonts w:hint="eastAsia" w:ascii="宋体" w:hAnsi="宋体" w:eastAsia="宋体" w:cs="宋体"/>
          <w:color w:val="auto"/>
          <w:kern w:val="0"/>
          <w:sz w:val="32"/>
          <w:szCs w:val="32"/>
          <w:highlight w:val="none"/>
        </w:rPr>
      </w:pPr>
    </w:p>
    <w:p>
      <w:pPr>
        <w:widowControl/>
        <w:spacing w:line="520" w:lineRule="exact"/>
        <w:ind w:right="560"/>
        <w:jc w:val="both"/>
        <w:rPr>
          <w:rFonts w:hint="eastAsia" w:ascii="宋体" w:hAnsi="宋体" w:eastAsia="宋体" w:cs="宋体"/>
          <w:color w:val="auto"/>
          <w:kern w:val="0"/>
          <w:sz w:val="32"/>
          <w:szCs w:val="32"/>
          <w:highlight w:val="none"/>
        </w:rPr>
      </w:pPr>
    </w:p>
    <w:p>
      <w:pPr>
        <w:widowControl/>
        <w:spacing w:line="520" w:lineRule="exact"/>
        <w:ind w:right="560"/>
        <w:jc w:val="both"/>
        <w:rPr>
          <w:rFonts w:hint="eastAsia" w:ascii="宋体" w:hAnsi="宋体" w:eastAsia="宋体" w:cs="宋体"/>
          <w:color w:val="auto"/>
          <w:kern w:val="0"/>
          <w:sz w:val="32"/>
          <w:szCs w:val="32"/>
          <w:highlight w:val="none"/>
        </w:rPr>
      </w:pPr>
    </w:p>
    <w:p>
      <w:pPr>
        <w:widowControl/>
        <w:spacing w:line="520" w:lineRule="exact"/>
        <w:ind w:right="560"/>
        <w:jc w:val="both"/>
        <w:rPr>
          <w:rFonts w:hint="eastAsia" w:ascii="宋体" w:hAnsi="宋体" w:eastAsia="宋体" w:cs="宋体"/>
          <w:color w:val="auto"/>
          <w:kern w:val="0"/>
          <w:sz w:val="32"/>
          <w:szCs w:val="32"/>
          <w:highlight w:val="none"/>
        </w:rPr>
      </w:pPr>
    </w:p>
    <w:p>
      <w:pPr>
        <w:rPr>
          <w:rFonts w:hint="eastAsia" w:cs="宋体" w:asciiTheme="minorEastAsia" w:hAnsiTheme="minorEastAsia" w:eastAsiaTheme="minorEastAsia"/>
          <w:color w:val="auto"/>
          <w:kern w:val="0"/>
          <w:sz w:val="30"/>
          <w:szCs w:val="30"/>
          <w:highlight w:val="none"/>
        </w:rPr>
      </w:pPr>
      <w:r>
        <w:rPr>
          <w:rFonts w:hint="eastAsia" w:cs="宋体" w:asciiTheme="minorEastAsia" w:hAnsiTheme="minorEastAsia" w:eastAsiaTheme="minorEastAsia"/>
          <w:color w:val="auto"/>
          <w:kern w:val="0"/>
          <w:sz w:val="30"/>
          <w:szCs w:val="30"/>
          <w:highlight w:val="none"/>
        </w:rPr>
        <w:br w:type="page"/>
      </w:r>
    </w:p>
    <w:bookmarkEnd w:id="0"/>
    <w:p>
      <w:pPr>
        <w:widowControl/>
        <w:tabs>
          <w:tab w:val="left" w:pos="3030"/>
        </w:tabs>
        <w:spacing w:line="400" w:lineRule="exact"/>
        <w:jc w:val="left"/>
        <w:rPr>
          <w:rFonts w:cs="宋体" w:asciiTheme="minorEastAsia" w:hAnsiTheme="minorEastAsia" w:eastAsiaTheme="minorEastAsia"/>
          <w:color w:val="auto"/>
          <w:kern w:val="0"/>
          <w:sz w:val="30"/>
          <w:szCs w:val="30"/>
          <w:highlight w:val="none"/>
        </w:rPr>
      </w:pPr>
      <w:r>
        <w:rPr>
          <w:rFonts w:hint="eastAsia" w:cs="宋体" w:asciiTheme="minorEastAsia" w:hAnsiTheme="minorEastAsia" w:eastAsiaTheme="minorEastAsia"/>
          <w:color w:val="auto"/>
          <w:kern w:val="0"/>
          <w:sz w:val="30"/>
          <w:szCs w:val="30"/>
          <w:highlight w:val="none"/>
        </w:rPr>
        <w:t>附件：</w:t>
      </w:r>
    </w:p>
    <w:p>
      <w:pPr>
        <w:pStyle w:val="10"/>
        <w:shd w:val="clear" w:color="auto" w:fill="FFFFFF"/>
        <w:spacing w:before="0" w:beforeAutospacing="0" w:after="0" w:afterAutospacing="0" w:line="400" w:lineRule="exact"/>
        <w:ind w:firstLine="640"/>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资产转让合同</w:t>
      </w:r>
    </w:p>
    <w:p>
      <w:pPr>
        <w:widowControl/>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转让方</w:t>
      </w:r>
      <w:r>
        <w:rPr>
          <w:rFonts w:hint="eastAsia" w:asciiTheme="minorEastAsia" w:hAnsiTheme="minorEastAsia" w:eastAsiaTheme="minorEastAsia" w:cstheme="minorEastAsia"/>
          <w:color w:val="auto"/>
          <w:sz w:val="24"/>
          <w:highlight w:val="none"/>
        </w:rPr>
        <w:t>（以下简称“甲方”）：</w:t>
      </w:r>
    </w:p>
    <w:p>
      <w:pPr>
        <w:widowControl/>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受让方</w:t>
      </w:r>
      <w:r>
        <w:rPr>
          <w:rFonts w:hint="eastAsia" w:asciiTheme="minorEastAsia" w:hAnsiTheme="minorEastAsia" w:eastAsiaTheme="minorEastAsia" w:cstheme="minorEastAsia"/>
          <w:color w:val="auto"/>
          <w:sz w:val="24"/>
          <w:highlight w:val="none"/>
        </w:rPr>
        <w:t xml:space="preserve">（以下简称“乙方”）：                            </w:t>
      </w:r>
    </w:p>
    <w:p>
      <w:pPr>
        <w:widowControl/>
        <w:spacing w:line="4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根据《中华人民共和国民法典》等相关法律、法规规定，甲、乙双方遵循自愿、公平、诚实守信原则，经友好协商，签订本资产转让合同（以下简称“本合同”）如下：</w:t>
      </w:r>
    </w:p>
    <w:p>
      <w:pPr>
        <w:widowControl/>
        <w:spacing w:line="400" w:lineRule="exact"/>
        <w:ind w:left="1933" w:hanging="129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第一条转让标的</w:t>
      </w:r>
    </w:p>
    <w:p>
      <w:pPr>
        <w:widowControl/>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转让标的相关描述：。</w:t>
      </w:r>
    </w:p>
    <w:p>
      <w:pPr>
        <w:widowControl/>
        <w:spacing w:line="400" w:lineRule="exact"/>
        <w:ind w:firstLine="480" w:firstLineChars="200"/>
        <w:rPr>
          <w:rFonts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rPr>
        <w:t>转让标的详细情况见安徽德信安房地产土地评估规划有限公司出具了安徽德信安房评[2022]第 3602 号《房地产估价报告》。</w:t>
      </w:r>
    </w:p>
    <w:p>
      <w:pPr>
        <w:widowControl/>
        <w:spacing w:line="400" w:lineRule="exact"/>
        <w:ind w:firstLine="643"/>
        <w:rPr>
          <w:rFonts w:asciiTheme="minorEastAsia" w:hAnsiTheme="minorEastAsia" w:eastAsiaTheme="minorEastAsia" w:cstheme="minorEastAsia"/>
          <w:b/>
          <w:bCs/>
          <w:color w:val="auto"/>
          <w:sz w:val="24"/>
          <w:highlight w:val="none"/>
          <w:u w:val="none"/>
        </w:rPr>
      </w:pPr>
      <w:r>
        <w:rPr>
          <w:rFonts w:hint="eastAsia" w:asciiTheme="minorEastAsia" w:hAnsiTheme="minorEastAsia" w:eastAsiaTheme="minorEastAsia" w:cstheme="minorEastAsia"/>
          <w:b/>
          <w:bCs/>
          <w:color w:val="auto"/>
          <w:sz w:val="24"/>
          <w:highlight w:val="none"/>
          <w:u w:val="none"/>
        </w:rPr>
        <w:t>第二条　甲方的声明、保证和承诺</w:t>
      </w:r>
    </w:p>
    <w:p>
      <w:pPr>
        <w:widowControl/>
        <w:spacing w:line="400" w:lineRule="exact"/>
        <w:ind w:firstLine="480" w:firstLineChars="200"/>
        <w:rPr>
          <w:rFonts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rPr>
        <w:t>（一）对转让标的拥有有效的处分权；</w:t>
      </w:r>
    </w:p>
    <w:p>
      <w:pPr>
        <w:widowControl/>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（二）为签订本合同之目的向乙方提交的各项证明文件及资料均为真实、完整的；</w:t>
      </w:r>
    </w:p>
    <w:p>
      <w:pPr>
        <w:widowControl/>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（三）签订本合同所需的包括但不限于授权、审批、公司内部决策等在内的一切批准手续均已取得，本合同成立的前提及先决条件均已满足；</w:t>
      </w:r>
    </w:p>
    <w:p>
      <w:pPr>
        <w:widowControl/>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（四）本合同的签署与履行没有违反甲方已签署的合同、协议及所有法律文件；</w:t>
      </w:r>
    </w:p>
    <w:p>
      <w:pPr>
        <w:widowControl/>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（五）给予一切合理及必要的协助，以完成本合同项下转让标的所需的有关政府主管部门的批准和变更。</w:t>
      </w:r>
    </w:p>
    <w:p>
      <w:pPr>
        <w:widowControl/>
        <w:spacing w:line="400" w:lineRule="exact"/>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第三条  乙方的声明、保证和承诺</w:t>
      </w:r>
    </w:p>
    <w:p>
      <w:pPr>
        <w:widowControl/>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（一）具有签订和履行本合同的能力；</w:t>
      </w:r>
    </w:p>
    <w:p>
      <w:pPr>
        <w:widowControl/>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（二）签订本合同所需的各项授权、审批，以及内部决策等在内的一切批准手续均已合法有效取得；</w:t>
      </w:r>
    </w:p>
    <w:p>
      <w:pPr>
        <w:widowControl/>
        <w:spacing w:line="400" w:lineRule="exact"/>
        <w:ind w:firstLine="482"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第四条　转让价格及价款支付方式</w:t>
      </w:r>
    </w:p>
    <w:p>
      <w:pPr>
        <w:widowControl/>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（一）转让价格：</w:t>
      </w:r>
    </w:p>
    <w:p>
      <w:pPr>
        <w:widowControl/>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甲方将转让标的以人民币</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元（大写</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，以下简称“转让价款”）转让给乙方。</w:t>
      </w:r>
    </w:p>
    <w:p>
      <w:pPr>
        <w:spacing w:line="400" w:lineRule="exact"/>
        <w:ind w:right="25" w:rightChars="12" w:firstLine="470" w:firstLineChars="196"/>
        <w:rPr>
          <w:rFonts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rPr>
        <w:t xml:space="preserve">（二）价款支付方式： </w:t>
      </w:r>
    </w:p>
    <w:p>
      <w:pPr>
        <w:spacing w:line="400" w:lineRule="exact"/>
        <w:ind w:firstLine="480" w:firstLineChars="200"/>
        <w:rPr>
          <w:rFonts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rPr>
        <w:t>乙方须自《资产转让合同》签订之日起5个工作日内向合肥市产权交易中心指定账户（户名：合肥市产权交易中心；开户银行：中国光大银行合肥阜南路支行；账号：76700188004098682）一次性付清全部转让价款。</w:t>
      </w:r>
    </w:p>
    <w:p>
      <w:pPr>
        <w:widowControl/>
        <w:spacing w:line="400" w:lineRule="exact"/>
        <w:ind w:firstLine="482" w:firstLineChars="200"/>
        <w:rPr>
          <w:rFonts w:asciiTheme="minorEastAsia" w:hAnsiTheme="minorEastAsia" w:eastAsiaTheme="minorEastAsia" w:cstheme="minorEastAsia"/>
          <w:b/>
          <w:bCs/>
          <w:color w:val="auto"/>
          <w:sz w:val="24"/>
          <w:highlight w:val="none"/>
          <w:u w:val="none"/>
        </w:rPr>
      </w:pPr>
      <w:r>
        <w:rPr>
          <w:rFonts w:hint="eastAsia" w:asciiTheme="minorEastAsia" w:hAnsiTheme="minorEastAsia" w:eastAsiaTheme="minorEastAsia" w:cstheme="minorEastAsia"/>
          <w:b/>
          <w:bCs/>
          <w:color w:val="auto"/>
          <w:sz w:val="24"/>
          <w:highlight w:val="none"/>
          <w:u w:val="none"/>
        </w:rPr>
        <w:t>第五条　转让标的交割事项</w:t>
      </w:r>
    </w:p>
    <w:p>
      <w:pPr>
        <w:spacing w:line="400" w:lineRule="exact"/>
        <w:ind w:firstLine="480" w:firstLineChars="200"/>
        <w:rPr>
          <w:rFonts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rPr>
        <w:t>自转让价款全部汇入合肥市产权交易中心指定账户之日起60日内，甲方协助乙方办理资产过户及交接手续。</w:t>
      </w:r>
    </w:p>
    <w:p>
      <w:pPr>
        <w:widowControl/>
        <w:spacing w:line="400" w:lineRule="exact"/>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第六条　转让税费的承担</w:t>
      </w:r>
    </w:p>
    <w:p>
      <w:pPr>
        <w:widowControl/>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转让过程中涉及的相关税费</w:t>
      </w:r>
      <w:r>
        <w:rPr>
          <w:rFonts w:hint="eastAsia" w:asciiTheme="minorEastAsia" w:hAnsiTheme="minorEastAsia" w:eastAsiaTheme="minorEastAsia"/>
          <w:color w:val="auto"/>
          <w:sz w:val="24"/>
          <w:highlight w:val="none"/>
        </w:rPr>
        <w:t>等</w:t>
      </w:r>
      <w:r>
        <w:rPr>
          <w:rFonts w:hint="eastAsia" w:asciiTheme="minorEastAsia" w:hAnsiTheme="minorEastAsia" w:eastAsiaTheme="minorEastAsia" w:cstheme="minorEastAsia"/>
          <w:color w:val="auto"/>
          <w:sz w:val="24"/>
          <w:highlight w:val="none"/>
        </w:rPr>
        <w:t>，由甲乙双方按国家相应规定各自承担。</w:t>
      </w:r>
    </w:p>
    <w:p>
      <w:pPr>
        <w:spacing w:line="400" w:lineRule="exact"/>
        <w:ind w:firstLine="463" w:firstLineChars="192"/>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第七条 特别约定</w:t>
      </w:r>
    </w:p>
    <w:p>
      <w:pPr>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第八条 违约责任</w:t>
      </w:r>
    </w:p>
    <w:p>
      <w:pPr>
        <w:spacing w:line="400" w:lineRule="exact"/>
        <w:ind w:firstLine="480" w:firstLineChars="200"/>
        <w:rPr>
          <w:rFonts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rPr>
        <w:t>（一）因任何一方违约而给守约方造成损失的，违约方应赔偿守约方的损失。</w:t>
      </w:r>
    </w:p>
    <w:p>
      <w:pPr>
        <w:spacing w:line="400" w:lineRule="exact"/>
        <w:ind w:firstLine="480" w:firstLineChars="200"/>
        <w:rPr>
          <w:rFonts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rPr>
        <w:t>（二）除不可抗拒的因素外，因甲方责任造成甲方未按本合同的约定配合乙方办理资产交接手续的，乙方有权要求甲方在本合同规定的最后的期限次日起按累计已付款金额每日万分之五的标准向乙方支付违约金，至资产实际交付之日止。 若甲方逾期超过（1个月）仍未继续履行合同，乙方有权解除合同，并要求甲方承担合同价款10%的违约金。鉴于本次转让标的均在租赁状态，甲乙双方确认：甲方配合乙方与承租人签署变更出租主体相关协议，或甲方将与承租人签署的租赁合同原件交予乙方并将房产转让情况书面通知承租人，即视为甲方实际交付转让标的。若乙方为承租人的，则办理房产过户手续即视为交付转让标的。</w:t>
      </w:r>
    </w:p>
    <w:p>
      <w:pPr>
        <w:spacing w:line="400" w:lineRule="exact"/>
        <w:ind w:firstLine="480" w:firstLineChars="200"/>
        <w:rPr>
          <w:rFonts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rPr>
        <w:t>（三）如乙方未能按照本合同第四条约定支付转让价款，甲方有权要求乙方在本合同规定的付款期限次日起按逾期金额每日万分之五的标准向甲方支付违约金。若乙方逾期超过（1个月）内仍未按照合同支付，甲方有权解除合同，并要求乙方承担合同价款10%的违约金。</w:t>
      </w:r>
    </w:p>
    <w:p>
      <w:pPr>
        <w:spacing w:line="400" w:lineRule="exact"/>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第九条 争议的解决方式</w:t>
      </w:r>
    </w:p>
    <w:p>
      <w:pPr>
        <w:spacing w:line="400" w:lineRule="exact"/>
        <w:ind w:right="25" w:rightChars="12"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本合同在履行中发生争议，由甲、乙双方协商解决。协商不成的，甲、乙双方同意采用以下第</w:t>
      </w:r>
      <w:r>
        <w:rPr>
          <w:rFonts w:hint="eastAsia" w:asciiTheme="minorEastAsia" w:hAnsiTheme="minorEastAsia" w:eastAsiaTheme="minorEastAsia" w:cstheme="minorEastAsia"/>
          <w:color w:val="auto"/>
          <w:sz w:val="24"/>
          <w:highlight w:val="none"/>
          <w:u w:val="single"/>
        </w:rPr>
        <w:t>2</w:t>
      </w:r>
      <w:r>
        <w:rPr>
          <w:rFonts w:hint="eastAsia" w:asciiTheme="minorEastAsia" w:hAnsiTheme="minorEastAsia" w:eastAsiaTheme="minorEastAsia" w:cstheme="minorEastAsia"/>
          <w:color w:val="auto"/>
          <w:sz w:val="24"/>
          <w:highlight w:val="none"/>
        </w:rPr>
        <w:t>种方式解决。</w:t>
      </w:r>
    </w:p>
    <w:p>
      <w:pPr>
        <w:spacing w:line="400" w:lineRule="exact"/>
        <w:ind w:right="25" w:rightChars="12" w:firstLine="57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1.向甲方所在地仲裁机构提请仲裁；</w:t>
      </w:r>
    </w:p>
    <w:p>
      <w:pPr>
        <w:spacing w:line="400" w:lineRule="exact"/>
        <w:ind w:right="25" w:rightChars="12" w:firstLine="57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2.向甲方所在地区有管辖权的人民法院起诉。</w:t>
      </w:r>
    </w:p>
    <w:p>
      <w:pPr>
        <w:spacing w:line="400" w:lineRule="exact"/>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第十条 合同的生效</w:t>
      </w:r>
    </w:p>
    <w:p>
      <w:pPr>
        <w:spacing w:line="400" w:lineRule="exact"/>
        <w:ind w:right="25" w:rightChars="12"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本合同经甲、乙双方法定代表人或授权代表签字、盖章后生效。</w:t>
      </w:r>
    </w:p>
    <w:p>
      <w:pPr>
        <w:spacing w:line="400" w:lineRule="exact"/>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第十一条 其他约定事项</w:t>
      </w:r>
    </w:p>
    <w:p>
      <w:pPr>
        <w:spacing w:line="400" w:lineRule="exact"/>
        <w:ind w:right="25" w:rightChars="12"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本合同一式7份，其中甲方执4份，乙方执2份，合肥市产权交易中心留存1份。</w:t>
      </w:r>
    </w:p>
    <w:p>
      <w:pPr>
        <w:spacing w:line="400" w:lineRule="exact"/>
        <w:rPr>
          <w:rFonts w:asciiTheme="minorEastAsia" w:hAnsiTheme="minorEastAsia" w:eastAsiaTheme="minorEastAsia" w:cstheme="minorEastAsia"/>
          <w:color w:val="auto"/>
          <w:sz w:val="24"/>
          <w:highlight w:val="none"/>
        </w:rPr>
      </w:pPr>
    </w:p>
    <w:p>
      <w:pPr>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甲方（盖章）：                      乙方（盖章/签字）：</w:t>
      </w:r>
    </w:p>
    <w:p>
      <w:pPr>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法定代表人/授权代表：               法定代表人/授权代表：</w:t>
      </w:r>
    </w:p>
    <w:p>
      <w:pPr>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统一社会信用代码：                  统一社会信用代码/公民身份号码：</w:t>
      </w:r>
    </w:p>
    <w:p>
      <w:pPr>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联系电话：                          联系电话： </w:t>
      </w:r>
    </w:p>
    <w:p>
      <w:pPr>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签订时间：    年   月   日          签订时间：    年   月  日</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p>
    <w:bookmarkEnd w:id="2"/>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CB3262"/>
    <w:rsid w:val="03721A24"/>
    <w:rsid w:val="04282536"/>
    <w:rsid w:val="04F817FC"/>
    <w:rsid w:val="061E7606"/>
    <w:rsid w:val="062E3DF2"/>
    <w:rsid w:val="0653316C"/>
    <w:rsid w:val="08805DDD"/>
    <w:rsid w:val="08D94BA3"/>
    <w:rsid w:val="094A1533"/>
    <w:rsid w:val="099654E2"/>
    <w:rsid w:val="09D56678"/>
    <w:rsid w:val="0B05058C"/>
    <w:rsid w:val="0BB27F3E"/>
    <w:rsid w:val="0C8E71A9"/>
    <w:rsid w:val="0CBA3DB4"/>
    <w:rsid w:val="0CF71200"/>
    <w:rsid w:val="0E4E0DB5"/>
    <w:rsid w:val="0F9A248A"/>
    <w:rsid w:val="0FD3689E"/>
    <w:rsid w:val="10C50951"/>
    <w:rsid w:val="11CF01FA"/>
    <w:rsid w:val="1278789A"/>
    <w:rsid w:val="12C9473E"/>
    <w:rsid w:val="140D7111"/>
    <w:rsid w:val="14AE1D66"/>
    <w:rsid w:val="151807D2"/>
    <w:rsid w:val="15261805"/>
    <w:rsid w:val="16A7275E"/>
    <w:rsid w:val="16AC044C"/>
    <w:rsid w:val="17F855EA"/>
    <w:rsid w:val="189304CA"/>
    <w:rsid w:val="18B47DE0"/>
    <w:rsid w:val="1AFE5B13"/>
    <w:rsid w:val="1B006FD1"/>
    <w:rsid w:val="1B7329F3"/>
    <w:rsid w:val="1C793F89"/>
    <w:rsid w:val="1CE24490"/>
    <w:rsid w:val="1CF50DEF"/>
    <w:rsid w:val="1D6241D0"/>
    <w:rsid w:val="1D7C737B"/>
    <w:rsid w:val="1D862890"/>
    <w:rsid w:val="1E43375C"/>
    <w:rsid w:val="1EA22B51"/>
    <w:rsid w:val="1FF07D9C"/>
    <w:rsid w:val="20151414"/>
    <w:rsid w:val="20802D33"/>
    <w:rsid w:val="20960E75"/>
    <w:rsid w:val="20EC3096"/>
    <w:rsid w:val="20F22F0B"/>
    <w:rsid w:val="21661CCA"/>
    <w:rsid w:val="21A80950"/>
    <w:rsid w:val="22F27FDA"/>
    <w:rsid w:val="234749E0"/>
    <w:rsid w:val="243460DD"/>
    <w:rsid w:val="253637FF"/>
    <w:rsid w:val="253A3D02"/>
    <w:rsid w:val="255E352A"/>
    <w:rsid w:val="25F077EF"/>
    <w:rsid w:val="262E08C8"/>
    <w:rsid w:val="26873442"/>
    <w:rsid w:val="26A22D3B"/>
    <w:rsid w:val="26CA20DA"/>
    <w:rsid w:val="27937413"/>
    <w:rsid w:val="27C867D1"/>
    <w:rsid w:val="28913D5D"/>
    <w:rsid w:val="2AA20A81"/>
    <w:rsid w:val="2AA24CCF"/>
    <w:rsid w:val="2AB1482D"/>
    <w:rsid w:val="2CFF5CAC"/>
    <w:rsid w:val="2DAF14FF"/>
    <w:rsid w:val="2DC73151"/>
    <w:rsid w:val="2E1D4BC4"/>
    <w:rsid w:val="2E1E5DAC"/>
    <w:rsid w:val="307A4878"/>
    <w:rsid w:val="30C272B5"/>
    <w:rsid w:val="3124107F"/>
    <w:rsid w:val="327D7699"/>
    <w:rsid w:val="32CC20F9"/>
    <w:rsid w:val="353F2860"/>
    <w:rsid w:val="35B12D05"/>
    <w:rsid w:val="362C561C"/>
    <w:rsid w:val="362E74CE"/>
    <w:rsid w:val="36BC4AB3"/>
    <w:rsid w:val="37BD561A"/>
    <w:rsid w:val="3980064E"/>
    <w:rsid w:val="3A7368B4"/>
    <w:rsid w:val="3ADB3B1C"/>
    <w:rsid w:val="3B2E7DB0"/>
    <w:rsid w:val="3C2D5021"/>
    <w:rsid w:val="3D875BC9"/>
    <w:rsid w:val="3DB37AA4"/>
    <w:rsid w:val="3E5D107A"/>
    <w:rsid w:val="3EE65524"/>
    <w:rsid w:val="3F6917D2"/>
    <w:rsid w:val="3F795EC5"/>
    <w:rsid w:val="3FAC40A3"/>
    <w:rsid w:val="3FAC5C18"/>
    <w:rsid w:val="403048FE"/>
    <w:rsid w:val="40596D9A"/>
    <w:rsid w:val="41190833"/>
    <w:rsid w:val="436E40F8"/>
    <w:rsid w:val="437A63F2"/>
    <w:rsid w:val="43AE759B"/>
    <w:rsid w:val="43EC567A"/>
    <w:rsid w:val="44D31FE1"/>
    <w:rsid w:val="453F61C6"/>
    <w:rsid w:val="463E7899"/>
    <w:rsid w:val="47877461"/>
    <w:rsid w:val="479C3078"/>
    <w:rsid w:val="47CD6FA8"/>
    <w:rsid w:val="485D56A6"/>
    <w:rsid w:val="4913057D"/>
    <w:rsid w:val="4A347AE7"/>
    <w:rsid w:val="4A9D4634"/>
    <w:rsid w:val="4AB43AEE"/>
    <w:rsid w:val="4D6D5F1D"/>
    <w:rsid w:val="4DF462B9"/>
    <w:rsid w:val="4E2343DF"/>
    <w:rsid w:val="4EB62ADF"/>
    <w:rsid w:val="4EDA5C4C"/>
    <w:rsid w:val="4F62135A"/>
    <w:rsid w:val="513329FF"/>
    <w:rsid w:val="5170152D"/>
    <w:rsid w:val="52347ECA"/>
    <w:rsid w:val="52FD7EED"/>
    <w:rsid w:val="530354E7"/>
    <w:rsid w:val="535E0AA1"/>
    <w:rsid w:val="53932514"/>
    <w:rsid w:val="543D1830"/>
    <w:rsid w:val="54D110E1"/>
    <w:rsid w:val="56152245"/>
    <w:rsid w:val="56491D0E"/>
    <w:rsid w:val="570B4E2A"/>
    <w:rsid w:val="570E15AC"/>
    <w:rsid w:val="57147FFE"/>
    <w:rsid w:val="57733975"/>
    <w:rsid w:val="57872186"/>
    <w:rsid w:val="580700E7"/>
    <w:rsid w:val="58466AFA"/>
    <w:rsid w:val="58AF66C4"/>
    <w:rsid w:val="58C847A5"/>
    <w:rsid w:val="5A3F29B9"/>
    <w:rsid w:val="5B7338B1"/>
    <w:rsid w:val="5BDB7D1E"/>
    <w:rsid w:val="5BE57B3D"/>
    <w:rsid w:val="5C812D18"/>
    <w:rsid w:val="5C866462"/>
    <w:rsid w:val="5D4A6D21"/>
    <w:rsid w:val="5D546AD2"/>
    <w:rsid w:val="5DCD6BA9"/>
    <w:rsid w:val="5E446E86"/>
    <w:rsid w:val="601F49FC"/>
    <w:rsid w:val="60624F85"/>
    <w:rsid w:val="61013B1C"/>
    <w:rsid w:val="611A1E80"/>
    <w:rsid w:val="63206CC0"/>
    <w:rsid w:val="634639AA"/>
    <w:rsid w:val="63C23447"/>
    <w:rsid w:val="649828DC"/>
    <w:rsid w:val="673D6E6E"/>
    <w:rsid w:val="67E40EA2"/>
    <w:rsid w:val="6988556E"/>
    <w:rsid w:val="69905939"/>
    <w:rsid w:val="69D80CEE"/>
    <w:rsid w:val="6A687C6F"/>
    <w:rsid w:val="6BB9245A"/>
    <w:rsid w:val="6BC14E5B"/>
    <w:rsid w:val="6C1D08BE"/>
    <w:rsid w:val="6D67416A"/>
    <w:rsid w:val="6E8E522F"/>
    <w:rsid w:val="6EDF5A0A"/>
    <w:rsid w:val="70D473F6"/>
    <w:rsid w:val="71241203"/>
    <w:rsid w:val="718F0658"/>
    <w:rsid w:val="72424347"/>
    <w:rsid w:val="731A74E5"/>
    <w:rsid w:val="73A76021"/>
    <w:rsid w:val="73DA285B"/>
    <w:rsid w:val="75290570"/>
    <w:rsid w:val="7684184B"/>
    <w:rsid w:val="76EF07FD"/>
    <w:rsid w:val="784A5B69"/>
    <w:rsid w:val="78F41502"/>
    <w:rsid w:val="79A95304"/>
    <w:rsid w:val="79B304BE"/>
    <w:rsid w:val="79CC28F2"/>
    <w:rsid w:val="7B63133E"/>
    <w:rsid w:val="7C0F2F1B"/>
    <w:rsid w:val="7C7D2C9A"/>
    <w:rsid w:val="7CC57291"/>
    <w:rsid w:val="7D6F3C4B"/>
    <w:rsid w:val="7E25509A"/>
    <w:rsid w:val="7E271C75"/>
    <w:rsid w:val="7F69611C"/>
    <w:rsid w:val="7F9F7525"/>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34"/>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4">
    <w:name w:val="heading 6"/>
    <w:basedOn w:val="1"/>
    <w:next w:val="1"/>
    <w:link w:val="3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32"/>
    <w:unhideWhenUsed/>
    <w:qFormat/>
    <w:uiPriority w:val="99"/>
    <w:rPr>
      <w:sz w:val="18"/>
      <w:szCs w:val="18"/>
    </w:rPr>
  </w:style>
  <w:style w:type="paragraph" w:styleId="8">
    <w:name w:val="footer"/>
    <w:basedOn w:val="1"/>
    <w:link w:val="30"/>
    <w:unhideWhenUsed/>
    <w:qFormat/>
    <w:uiPriority w:val="99"/>
    <w:pPr>
      <w:tabs>
        <w:tab w:val="center" w:pos="4153"/>
        <w:tab w:val="right" w:pos="8306"/>
      </w:tabs>
      <w:snapToGrid w:val="0"/>
      <w:jc w:val="left"/>
    </w:pPr>
    <w:rPr>
      <w:sz w:val="18"/>
      <w:szCs w:val="18"/>
    </w:rPr>
  </w:style>
  <w:style w:type="paragraph" w:styleId="9">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next w:val="1"/>
    <w:qFormat/>
    <w:uiPriority w:val="0"/>
    <w:pPr>
      <w:ind w:firstLine="420" w:firstLineChars="200"/>
    </w:pPr>
  </w:style>
  <w:style w:type="table" w:styleId="13">
    <w:name w:val="Table Grid"/>
    <w:basedOn w:val="1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FollowedHyperlink"/>
    <w:basedOn w:val="14"/>
    <w:semiHidden/>
    <w:unhideWhenUsed/>
    <w:qFormat/>
    <w:uiPriority w:val="99"/>
    <w:rPr>
      <w:color w:val="800080" w:themeColor="followedHyperlink"/>
      <w:u w:val="single"/>
      <w14:textFill>
        <w14:solidFill>
          <w14:schemeClr w14:val="folHlink"/>
        </w14:solidFill>
      </w14:textFill>
    </w:rPr>
  </w:style>
  <w:style w:type="character" w:styleId="18">
    <w:name w:val="Emphasis"/>
    <w:basedOn w:val="14"/>
    <w:qFormat/>
    <w:uiPriority w:val="20"/>
    <w:rPr>
      <w:b/>
      <w:bCs/>
      <w:vanish/>
    </w:rPr>
  </w:style>
  <w:style w:type="character" w:styleId="19">
    <w:name w:val="HTML Definition"/>
    <w:basedOn w:val="14"/>
    <w:semiHidden/>
    <w:unhideWhenUsed/>
    <w:qFormat/>
    <w:uiPriority w:val="99"/>
  </w:style>
  <w:style w:type="character" w:styleId="20">
    <w:name w:val="HTML Typewriter"/>
    <w:basedOn w:val="14"/>
    <w:semiHidden/>
    <w:unhideWhenUsed/>
    <w:qFormat/>
    <w:uiPriority w:val="99"/>
    <w:rPr>
      <w:rFonts w:hint="default" w:ascii="monospace" w:hAnsi="monospace" w:eastAsia="monospace" w:cs="monospace"/>
      <w:sz w:val="20"/>
    </w:rPr>
  </w:style>
  <w:style w:type="character" w:styleId="21">
    <w:name w:val="HTML Acronym"/>
    <w:basedOn w:val="14"/>
    <w:semiHidden/>
    <w:unhideWhenUsed/>
    <w:qFormat/>
    <w:uiPriority w:val="99"/>
  </w:style>
  <w:style w:type="character" w:styleId="22">
    <w:name w:val="HTML Variable"/>
    <w:basedOn w:val="14"/>
    <w:semiHidden/>
    <w:unhideWhenUsed/>
    <w:qFormat/>
    <w:uiPriority w:val="99"/>
    <w:rPr>
      <w:rFonts w:ascii="Verdana" w:hAnsi="Verdana" w:cs="Verdana"/>
      <w:color w:val="3D4B64"/>
      <w:sz w:val="19"/>
      <w:szCs w:val="19"/>
    </w:rPr>
  </w:style>
  <w:style w:type="character" w:styleId="23">
    <w:name w:val="Hyperlink"/>
    <w:basedOn w:val="14"/>
    <w:unhideWhenUsed/>
    <w:qFormat/>
    <w:uiPriority w:val="99"/>
    <w:rPr>
      <w:color w:val="0000FF" w:themeColor="hyperlink"/>
      <w:u w:val="single"/>
      <w14:textFill>
        <w14:solidFill>
          <w14:schemeClr w14:val="hlink"/>
        </w14:solidFill>
      </w14:textFill>
    </w:rPr>
  </w:style>
  <w:style w:type="character" w:styleId="24">
    <w:name w:val="HTML Code"/>
    <w:basedOn w:val="14"/>
    <w:semiHidden/>
    <w:unhideWhenUsed/>
    <w:qFormat/>
    <w:uiPriority w:val="99"/>
    <w:rPr>
      <w:rFonts w:hint="default" w:ascii="monospace" w:hAnsi="monospace" w:eastAsia="monospace" w:cs="monospace"/>
      <w:sz w:val="20"/>
    </w:rPr>
  </w:style>
  <w:style w:type="character" w:styleId="25">
    <w:name w:val="HTML Cite"/>
    <w:basedOn w:val="14"/>
    <w:semiHidden/>
    <w:unhideWhenUsed/>
    <w:qFormat/>
    <w:uiPriority w:val="99"/>
  </w:style>
  <w:style w:type="character" w:styleId="26">
    <w:name w:val="HTML Keyboard"/>
    <w:basedOn w:val="14"/>
    <w:semiHidden/>
    <w:unhideWhenUsed/>
    <w:qFormat/>
    <w:uiPriority w:val="99"/>
    <w:rPr>
      <w:rFonts w:hint="default" w:ascii="monospace" w:hAnsi="monospace" w:eastAsia="monospace" w:cs="monospace"/>
      <w:sz w:val="20"/>
    </w:rPr>
  </w:style>
  <w:style w:type="character" w:styleId="27">
    <w:name w:val="HTML Sample"/>
    <w:basedOn w:val="14"/>
    <w:semiHidden/>
    <w:unhideWhenUsed/>
    <w:qFormat/>
    <w:uiPriority w:val="99"/>
    <w:rPr>
      <w:rFonts w:ascii="monospace" w:hAnsi="monospace" w:eastAsia="monospace" w:cs="monospace"/>
    </w:rPr>
  </w:style>
  <w:style w:type="paragraph" w:customStyle="1" w:styleId="28">
    <w:name w:val="列出段落1"/>
    <w:basedOn w:val="1"/>
    <w:qFormat/>
    <w:uiPriority w:val="34"/>
    <w:pPr>
      <w:ind w:firstLine="420" w:firstLineChars="200"/>
    </w:pPr>
  </w:style>
  <w:style w:type="character" w:customStyle="1" w:styleId="29">
    <w:name w:val="页眉 Char"/>
    <w:basedOn w:val="14"/>
    <w:link w:val="9"/>
    <w:qFormat/>
    <w:uiPriority w:val="99"/>
    <w:rPr>
      <w:rFonts w:ascii="Times New Roman" w:hAnsi="Times New Roman" w:eastAsia="宋体" w:cs="Times New Roman"/>
      <w:sz w:val="18"/>
      <w:szCs w:val="18"/>
    </w:rPr>
  </w:style>
  <w:style w:type="character" w:customStyle="1" w:styleId="30">
    <w:name w:val="页脚 Char"/>
    <w:basedOn w:val="14"/>
    <w:link w:val="8"/>
    <w:qFormat/>
    <w:uiPriority w:val="99"/>
    <w:rPr>
      <w:rFonts w:ascii="Times New Roman" w:hAnsi="Times New Roman" w:eastAsia="宋体" w:cs="Times New Roman"/>
      <w:sz w:val="18"/>
      <w:szCs w:val="18"/>
    </w:rPr>
  </w:style>
  <w:style w:type="character" w:customStyle="1" w:styleId="31">
    <w:name w:val="标题 6 Char"/>
    <w:basedOn w:val="14"/>
    <w:link w:val="4"/>
    <w:qFormat/>
    <w:uiPriority w:val="9"/>
    <w:rPr>
      <w:rFonts w:asciiTheme="majorHAnsi" w:hAnsiTheme="majorHAnsi" w:eastAsiaTheme="majorEastAsia" w:cstheme="majorBidi"/>
      <w:b/>
      <w:bCs/>
      <w:sz w:val="24"/>
      <w:szCs w:val="24"/>
    </w:rPr>
  </w:style>
  <w:style w:type="character" w:customStyle="1" w:styleId="32">
    <w:name w:val="批注框文本 Char"/>
    <w:basedOn w:val="14"/>
    <w:link w:val="7"/>
    <w:semiHidden/>
    <w:qFormat/>
    <w:uiPriority w:val="99"/>
    <w:rPr>
      <w:rFonts w:ascii="Times New Roman" w:hAnsi="Times New Roman" w:eastAsia="宋体" w:cs="Times New Roman"/>
      <w:sz w:val="18"/>
      <w:szCs w:val="18"/>
    </w:rPr>
  </w:style>
  <w:style w:type="paragraph" w:customStyle="1" w:styleId="33">
    <w:name w:val="Default Paragraph Char Char Char Char"/>
    <w:basedOn w:val="1"/>
    <w:next w:val="1"/>
    <w:qFormat/>
    <w:uiPriority w:val="0"/>
    <w:pPr>
      <w:widowControl/>
      <w:spacing w:line="360" w:lineRule="auto"/>
      <w:jc w:val="left"/>
    </w:pPr>
    <w:rPr>
      <w:kern w:val="0"/>
      <w:szCs w:val="20"/>
      <w:lang w:eastAsia="en-US"/>
    </w:rPr>
  </w:style>
  <w:style w:type="character" w:customStyle="1" w:styleId="34">
    <w:name w:val="标题 2 Char"/>
    <w:basedOn w:val="14"/>
    <w:link w:val="3"/>
    <w:semiHidden/>
    <w:qFormat/>
    <w:uiPriority w:val="0"/>
    <w:rPr>
      <w:rFonts w:ascii="Arial" w:hAnsi="Arial" w:eastAsia="黑体" w:cs="Arial"/>
      <w:b/>
      <w:bCs/>
      <w:sz w:val="32"/>
      <w:szCs w:val="32"/>
    </w:rPr>
  </w:style>
  <w:style w:type="paragraph" w:customStyle="1" w:styleId="35">
    <w:name w:val="Char Char1 Char Char"/>
    <w:basedOn w:val="1"/>
    <w:next w:val="1"/>
    <w:qFormat/>
    <w:uiPriority w:val="0"/>
    <w:pPr>
      <w:widowControl/>
      <w:spacing w:line="360" w:lineRule="auto"/>
      <w:jc w:val="left"/>
    </w:pPr>
    <w:rPr>
      <w:kern w:val="0"/>
      <w:szCs w:val="20"/>
      <w:lang w:eastAsia="en-US"/>
    </w:rPr>
  </w:style>
  <w:style w:type="character" w:customStyle="1" w:styleId="36">
    <w:name w:val="mini-outputtext1"/>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Pages>
  <Words>1482</Words>
  <Characters>8452</Characters>
  <Lines>70</Lines>
  <Paragraphs>19</Paragraphs>
  <TotalTime>83</TotalTime>
  <ScaleCrop>false</ScaleCrop>
  <LinksUpToDate>false</LinksUpToDate>
  <CharactersWithSpaces>9915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江沨</cp:lastModifiedBy>
  <cp:lastPrinted>2023-09-06T09:28:00Z</cp:lastPrinted>
  <dcterms:modified xsi:type="dcterms:W3CDTF">2023-10-30T08:26:54Z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