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宋体" w:hAnsi="宋体" w:cs="宋体"/>
          <w:color w:val="000000"/>
          <w:kern w:val="0"/>
          <w:sz w:val="24"/>
        </w:rPr>
      </w:pPr>
      <w:r>
        <w:rPr>
          <w:rFonts w:hint="eastAsia" w:ascii="楷体" w:hAnsi="楷体" w:eastAsia="楷体" w:cs="宋体"/>
          <w:b/>
          <w:color w:val="000000"/>
          <w:kern w:val="0"/>
          <w:sz w:val="44"/>
          <w:szCs w:val="44"/>
        </w:rPr>
        <w:t>合肥百货大楼集团股份有限公司</w:t>
      </w: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48"/>
          <w:szCs w:val="48"/>
        </w:rPr>
      </w:pPr>
      <w:r>
        <w:rPr>
          <w:rFonts w:hint="eastAsia" w:ascii="宋体" w:hAnsi="宋体" w:cs="宋体"/>
          <w:b/>
          <w:color w:val="000000"/>
          <w:kern w:val="0"/>
          <w:sz w:val="44"/>
          <w:szCs w:val="44"/>
        </w:rPr>
        <w:t>鼓楼银座商业主题设计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竞 争 性 磋 商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3213" w:firstLineChars="1000"/>
        <w:rPr>
          <w:rFonts w:hint="eastAsia" w:ascii="宋体" w:hAnsi="宋体" w:cs="宋体"/>
          <w:color w:val="000000"/>
          <w:kern w:val="0"/>
          <w:sz w:val="28"/>
          <w:szCs w:val="28"/>
        </w:rPr>
      </w:pPr>
      <w:r>
        <w:rPr>
          <w:rFonts w:hint="eastAsia" w:ascii="宋体" w:hAnsi="宋体" w:cs="宋体"/>
          <w:b/>
          <w:color w:val="000000"/>
          <w:kern w:val="0"/>
          <w:sz w:val="32"/>
          <w:szCs w:val="32"/>
        </w:rPr>
        <w:t>编号：</w:t>
      </w:r>
      <w:r>
        <w:rPr>
          <w:rFonts w:hint="eastAsia" w:ascii="宋体" w:hAnsi="宋体" w:cs="宋体"/>
          <w:color w:val="000000"/>
          <w:kern w:val="0"/>
          <w:sz w:val="28"/>
          <w:szCs w:val="28"/>
        </w:rPr>
        <w:t>2023BDJTFW00007</w:t>
      </w:r>
    </w:p>
    <w:p>
      <w:pPr>
        <w:widowControl/>
        <w:spacing w:line="520" w:lineRule="exact"/>
        <w:ind w:firstLine="3213" w:firstLineChars="1000"/>
        <w:rPr>
          <w:rFonts w:ascii="宋体" w:hAnsi="宋体" w:cs="宋体"/>
          <w:b/>
          <w:color w:val="000000"/>
          <w:kern w:val="0"/>
          <w:sz w:val="32"/>
          <w:szCs w:val="32"/>
        </w:rPr>
      </w:pP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《磋商邀请》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《招标需求》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《评标办法》</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第五章  《附件》（投标文件格式等）</w:t>
      </w:r>
    </w:p>
    <w:p>
      <w:pPr>
        <w:widowControl/>
        <w:spacing w:line="520" w:lineRule="exact"/>
        <w:jc w:val="center"/>
        <w:rPr>
          <w:rFonts w:ascii="楷体_GB2312" w:hAnsi="宋体" w:eastAsia="楷体_GB2312" w:cs="宋体"/>
          <w:b/>
          <w:color w:val="000000"/>
          <w:kern w:val="0"/>
          <w:sz w:val="36"/>
          <w:szCs w:val="20"/>
        </w:rPr>
      </w:pPr>
      <w:r>
        <w:rPr>
          <w:rFonts w:ascii="宋体" w:hAnsi="宋体" w:cs="宋体"/>
          <w:color w:val="000000"/>
          <w:kern w:val="0"/>
          <w:sz w:val="24"/>
        </w:rPr>
        <w:t> </w:t>
      </w:r>
    </w:p>
    <w:p>
      <w:pPr>
        <w:widowControl/>
        <w:spacing w:line="520" w:lineRule="exact"/>
        <w:jc w:val="center"/>
        <w:rPr>
          <w:rFonts w:ascii="楷体" w:hAnsi="楷体" w:eastAsia="楷体" w:cs="宋体"/>
          <w:b/>
          <w:color w:val="000000"/>
          <w:kern w:val="0"/>
          <w:sz w:val="32"/>
          <w:szCs w:val="32"/>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二〇二三年七月</w:t>
      </w:r>
    </w:p>
    <w:p>
      <w:pPr>
        <w:spacing w:line="360" w:lineRule="exact"/>
        <w:rPr>
          <w:rFonts w:ascii="宋体" w:hAnsi="宋体"/>
          <w:b/>
          <w:kern w:val="0"/>
          <w:sz w:val="30"/>
          <w:szCs w:val="30"/>
        </w:rPr>
      </w:pPr>
    </w:p>
    <w:p>
      <w:pPr>
        <w:spacing w:line="360" w:lineRule="exact"/>
        <w:jc w:val="center"/>
        <w:rPr>
          <w:rFonts w:ascii="宋体" w:hAnsi="宋体"/>
          <w:b/>
          <w:kern w:val="0"/>
          <w:sz w:val="28"/>
          <w:szCs w:val="28"/>
        </w:rPr>
      </w:pPr>
    </w:p>
    <w:p>
      <w:pPr>
        <w:spacing w:line="360" w:lineRule="exact"/>
        <w:jc w:val="center"/>
        <w:rPr>
          <w:rFonts w:ascii="宋体" w:hAnsi="宋体"/>
          <w:b/>
          <w:kern w:val="0"/>
          <w:sz w:val="28"/>
          <w:szCs w:val="28"/>
        </w:rPr>
      </w:pPr>
      <w:r>
        <w:rPr>
          <w:rFonts w:hint="eastAsia" w:ascii="宋体" w:hAnsi="宋体"/>
          <w:b/>
          <w:kern w:val="0"/>
          <w:sz w:val="28"/>
          <w:szCs w:val="28"/>
        </w:rPr>
        <w:t>第一章  磋商邀请</w:t>
      </w:r>
    </w:p>
    <w:p>
      <w:pPr>
        <w:spacing w:line="240" w:lineRule="exact"/>
        <w:rPr>
          <w:rFonts w:ascii="宋体" w:hAnsi="宋体"/>
          <w:kern w:val="0"/>
          <w:sz w:val="24"/>
        </w:rPr>
      </w:pP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合肥百货大楼集团股份有限公司</w:t>
      </w:r>
      <w:r>
        <w:rPr>
          <w:rFonts w:hint="eastAsia" w:ascii="宋体" w:hAnsi="宋体" w:cs="宋体"/>
          <w:spacing w:val="-4"/>
          <w:kern w:val="0"/>
          <w:sz w:val="24"/>
        </w:rPr>
        <w:t>现对所需</w:t>
      </w:r>
      <w:r>
        <w:rPr>
          <w:rFonts w:hint="eastAsia" w:ascii="宋体" w:hAnsi="宋体" w:cs="宋体"/>
          <w:kern w:val="0"/>
          <w:sz w:val="24"/>
        </w:rPr>
        <w:t>旗下鼓楼银座项目商业主题设计</w:t>
      </w:r>
      <w:r>
        <w:rPr>
          <w:rFonts w:hint="eastAsia" w:ascii="宋体" w:hAnsi="宋体"/>
          <w:sz w:val="24"/>
        </w:rPr>
        <w:t>进行竞争性磋商，诚邀符合条件的投标人参与竞标。</w:t>
      </w:r>
    </w:p>
    <w:p>
      <w:pPr>
        <w:widowControl/>
        <w:spacing w:line="560" w:lineRule="exact"/>
        <w:ind w:firstLine="482" w:firstLineChars="200"/>
        <w:jc w:val="left"/>
        <w:rPr>
          <w:rFonts w:ascii="宋体" w:hAnsi="宋体" w:cs="宋体"/>
          <w:b/>
          <w:kern w:val="0"/>
          <w:sz w:val="24"/>
        </w:rPr>
      </w:pPr>
      <w:r>
        <w:rPr>
          <w:rFonts w:hint="eastAsia" w:ascii="宋体" w:hAnsi="宋体" w:cs="宋体"/>
          <w:b/>
          <w:kern w:val="0"/>
          <w:sz w:val="24"/>
        </w:rPr>
        <w:t>一、项目名称及内容</w:t>
      </w:r>
    </w:p>
    <w:p>
      <w:pPr>
        <w:widowControl/>
        <w:spacing w:line="560" w:lineRule="exact"/>
        <w:ind w:firstLine="480" w:firstLineChars="200"/>
        <w:jc w:val="left"/>
        <w:rPr>
          <w:rFonts w:ascii="宋体" w:hAnsi="宋体" w:cs="宋体"/>
          <w:color w:val="000000"/>
          <w:kern w:val="0"/>
          <w:sz w:val="24"/>
          <w:szCs w:val="24"/>
        </w:rPr>
      </w:pPr>
      <w:r>
        <w:rPr>
          <w:rFonts w:hint="eastAsia" w:ascii="宋体" w:hAnsi="宋体" w:cs="宋体"/>
          <w:kern w:val="0"/>
          <w:sz w:val="24"/>
          <w:szCs w:val="24"/>
        </w:rPr>
        <w:t>1.项目名称：鼓楼银座商业主题设计</w:t>
      </w:r>
    </w:p>
    <w:p>
      <w:pPr>
        <w:widowControl/>
        <w:spacing w:line="5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2.项目编号：2023BDJTFW00007</w:t>
      </w:r>
    </w:p>
    <w:p>
      <w:pPr>
        <w:widowControl/>
        <w:spacing w:line="5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3.采购方式：竞争性磋商</w:t>
      </w:r>
    </w:p>
    <w:p>
      <w:pPr>
        <w:spacing w:line="560" w:lineRule="exact"/>
        <w:ind w:firstLine="480" w:firstLineChars="200"/>
        <w:rPr>
          <w:rFonts w:ascii="宋体" w:hAnsi="宋体"/>
          <w:sz w:val="24"/>
          <w:szCs w:val="24"/>
        </w:rPr>
      </w:pPr>
      <w:r>
        <w:rPr>
          <w:rFonts w:hint="eastAsia" w:ascii="宋体" w:hAnsi="宋体" w:cs="宋体"/>
          <w:kern w:val="0"/>
          <w:sz w:val="24"/>
          <w:szCs w:val="24"/>
        </w:rPr>
        <w:t>4.项目地址：</w:t>
      </w:r>
      <w:r>
        <w:rPr>
          <w:rFonts w:hint="eastAsia" w:ascii="宋体" w:hAnsi="宋体"/>
          <w:sz w:val="24"/>
          <w:szCs w:val="24"/>
        </w:rPr>
        <w:t>合肥市徽州大道绿都商城B区</w:t>
      </w:r>
    </w:p>
    <w:p>
      <w:pPr>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5.项目概算：人民币294333.33元 </w:t>
      </w:r>
    </w:p>
    <w:p>
      <w:pPr>
        <w:spacing w:line="560" w:lineRule="exact"/>
        <w:ind w:firstLine="482" w:firstLineChars="200"/>
        <w:rPr>
          <w:rFonts w:ascii="宋体" w:hAnsi="宋体" w:cs="宋体"/>
          <w:b/>
          <w:bCs/>
          <w:sz w:val="24"/>
        </w:rPr>
      </w:pPr>
      <w:r>
        <w:rPr>
          <w:rFonts w:hint="eastAsia" w:ascii="宋体" w:hAnsi="宋体" w:cs="宋体"/>
          <w:b/>
          <w:bCs/>
          <w:sz w:val="24"/>
        </w:rPr>
        <w:t>二、投标人资格</w:t>
      </w:r>
    </w:p>
    <w:p>
      <w:pPr>
        <w:widowControl/>
        <w:spacing w:line="560" w:lineRule="exact"/>
        <w:ind w:firstLine="480"/>
        <w:jc w:val="left"/>
        <w:rPr>
          <w:rFonts w:ascii="宋体" w:hAnsi="宋体" w:cs="宋体"/>
          <w:kern w:val="0"/>
          <w:sz w:val="24"/>
        </w:rPr>
      </w:pPr>
      <w:r>
        <w:rPr>
          <w:rFonts w:hint="eastAsia" w:ascii="宋体" w:hAnsi="宋体" w:cs="宋体"/>
          <w:kern w:val="0"/>
          <w:sz w:val="24"/>
        </w:rPr>
        <w:t>1.投标人须具有独立承担民事责任的能力。</w:t>
      </w:r>
    </w:p>
    <w:p>
      <w:pPr>
        <w:widowControl/>
        <w:spacing w:line="560" w:lineRule="exact"/>
        <w:ind w:firstLine="480"/>
        <w:jc w:val="left"/>
        <w:rPr>
          <w:rFonts w:ascii="宋体" w:hAnsi="宋体" w:cs="宋体"/>
          <w:kern w:val="0"/>
          <w:sz w:val="24"/>
        </w:rPr>
      </w:pPr>
      <w:r>
        <w:rPr>
          <w:rFonts w:hint="eastAsia" w:ascii="宋体" w:hAnsi="宋体" w:cs="宋体"/>
          <w:kern w:val="0"/>
          <w:sz w:val="24"/>
        </w:rPr>
        <w:t>2.投标人具有单个合同建筑面积不少于2万平方米的商业设计业绩。</w:t>
      </w:r>
    </w:p>
    <w:p>
      <w:pPr>
        <w:widowControl/>
        <w:spacing w:line="560" w:lineRule="exact"/>
        <w:ind w:firstLine="480"/>
        <w:jc w:val="left"/>
        <w:rPr>
          <w:rFonts w:ascii="宋体" w:hAnsi="宋体"/>
          <w:sz w:val="24"/>
        </w:rPr>
      </w:pPr>
      <w:r>
        <w:rPr>
          <w:rFonts w:ascii="宋体" w:hAnsi="宋体"/>
          <w:sz w:val="24"/>
        </w:rPr>
        <w:t>3</w:t>
      </w:r>
      <w:r>
        <w:rPr>
          <w:rFonts w:hint="eastAsia" w:ascii="宋体" w:hAnsi="宋体"/>
          <w:sz w:val="24"/>
        </w:rPr>
        <w:t>.</w:t>
      </w:r>
      <w:r>
        <w:rPr>
          <w:rFonts w:ascii="宋体" w:hAnsi="宋体"/>
          <w:sz w:val="24"/>
        </w:rPr>
        <w:t>投标人须符合下列</w:t>
      </w:r>
      <w:r>
        <w:rPr>
          <w:rFonts w:hint="eastAsia" w:ascii="宋体" w:hAnsi="宋体"/>
          <w:sz w:val="24"/>
        </w:rPr>
        <w:t>情形之一</w:t>
      </w:r>
      <w:r>
        <w:rPr>
          <w:rFonts w:ascii="宋体" w:hAnsi="宋体"/>
          <w:sz w:val="24"/>
        </w:rPr>
        <w:t>（以</w:t>
      </w:r>
      <w:r>
        <w:rPr>
          <w:rFonts w:hint="eastAsia" w:ascii="宋体" w:hAnsi="宋体"/>
          <w:sz w:val="24"/>
        </w:rPr>
        <w:t>开标当日现场</w:t>
      </w:r>
      <w:r>
        <w:rPr>
          <w:rFonts w:ascii="宋体" w:hAnsi="宋体"/>
          <w:sz w:val="24"/>
        </w:rPr>
        <w:t>在“安徽合肥公共资源交易中心”网站http://ggzy.hefei.gov.cn/pgt/exposureDesk.html查询信息为准</w:t>
      </w:r>
      <w:r>
        <w:rPr>
          <w:rFonts w:hint="eastAsia" w:ascii="宋体" w:hAnsi="宋体"/>
          <w:sz w:val="24"/>
        </w:rPr>
        <w:t>。如网站未收录被查询企业信息视为不存在以下不良行为记录。</w:t>
      </w:r>
      <w:r>
        <w:rPr>
          <w:rFonts w:ascii="宋体" w:hAnsi="宋体"/>
          <w:sz w:val="24"/>
        </w:rPr>
        <w:t>）：</w:t>
      </w:r>
    </w:p>
    <w:p>
      <w:pPr>
        <w:widowControl/>
        <w:spacing w:line="560" w:lineRule="exact"/>
        <w:ind w:firstLine="480"/>
        <w:jc w:val="left"/>
        <w:rPr>
          <w:rFonts w:ascii="宋体" w:hAnsi="宋体"/>
          <w:sz w:val="24"/>
        </w:rPr>
      </w:pPr>
      <w:r>
        <w:rPr>
          <w:rFonts w:ascii="宋体" w:hAnsi="宋体"/>
          <w:sz w:val="24"/>
        </w:rPr>
        <w:t>3</w:t>
      </w:r>
      <w:r>
        <w:rPr>
          <w:rFonts w:hint="eastAsia" w:ascii="宋体" w:hAnsi="宋体"/>
          <w:sz w:val="24"/>
        </w:rPr>
        <w:t>.1</w:t>
      </w:r>
      <w:r>
        <w:rPr>
          <w:rFonts w:ascii="宋体" w:hAnsi="宋体"/>
          <w:sz w:val="24"/>
        </w:rPr>
        <w:t>开标日前两年内未被合肥市及其所辖县（市）公共资源交易监督管理局记不良行为记录或记不良行为记录累计未满10分的。 </w:t>
      </w:r>
    </w:p>
    <w:p>
      <w:pPr>
        <w:widowControl/>
        <w:spacing w:line="560" w:lineRule="exact"/>
        <w:ind w:firstLine="480"/>
        <w:jc w:val="left"/>
        <w:rPr>
          <w:rFonts w:ascii="宋体" w:hAnsi="宋体"/>
          <w:sz w:val="24"/>
        </w:rPr>
      </w:pPr>
      <w:r>
        <w:rPr>
          <w:rFonts w:ascii="宋体" w:hAnsi="宋体"/>
          <w:sz w:val="24"/>
        </w:rPr>
        <w:t>3</w:t>
      </w:r>
      <w:r>
        <w:rPr>
          <w:rFonts w:hint="eastAsia" w:ascii="宋体" w:hAnsi="宋体"/>
          <w:sz w:val="24"/>
        </w:rPr>
        <w:t>.2</w:t>
      </w:r>
      <w:r>
        <w:rPr>
          <w:rFonts w:ascii="宋体" w:hAnsi="宋体"/>
          <w:sz w:val="24"/>
        </w:rPr>
        <w:t>最近一次被合肥市及其所辖县（市）公共资源交易监督管理局记不良行为记录累计记分达10分(含10分)到15分且公布日距开标日超过6个月。 </w:t>
      </w:r>
    </w:p>
    <w:p>
      <w:pPr>
        <w:widowControl/>
        <w:spacing w:line="560" w:lineRule="exact"/>
        <w:ind w:firstLine="480"/>
        <w:jc w:val="left"/>
        <w:rPr>
          <w:rFonts w:ascii="宋体" w:hAnsi="宋体"/>
          <w:sz w:val="24"/>
        </w:rPr>
      </w:pPr>
      <w:r>
        <w:rPr>
          <w:rFonts w:ascii="宋体" w:hAnsi="宋体"/>
          <w:sz w:val="24"/>
        </w:rPr>
        <w:t>3</w:t>
      </w:r>
      <w:r>
        <w:rPr>
          <w:rFonts w:hint="eastAsia" w:ascii="宋体" w:hAnsi="宋体"/>
          <w:sz w:val="24"/>
        </w:rPr>
        <w:t>.3</w:t>
      </w:r>
      <w:r>
        <w:rPr>
          <w:rFonts w:ascii="宋体" w:hAnsi="宋体"/>
          <w:sz w:val="24"/>
        </w:rPr>
        <w:t>最近一次被合肥市及其所辖县（市）公共资源交易监督管理局记不良行为记录累计记分达15分(含15分)到20分且公布日距开标日超过12个月。 </w:t>
      </w:r>
    </w:p>
    <w:p>
      <w:pPr>
        <w:widowControl/>
        <w:spacing w:line="560" w:lineRule="exact"/>
        <w:ind w:firstLine="480"/>
        <w:jc w:val="left"/>
        <w:rPr>
          <w:rFonts w:ascii="宋体" w:hAnsi="宋体"/>
          <w:bCs/>
          <w:sz w:val="24"/>
        </w:rPr>
      </w:pPr>
      <w:r>
        <w:rPr>
          <w:rFonts w:ascii="宋体" w:hAnsi="宋体"/>
          <w:sz w:val="24"/>
        </w:rPr>
        <w:t>3</w:t>
      </w:r>
      <w:r>
        <w:rPr>
          <w:rFonts w:hint="eastAsia" w:ascii="宋体" w:hAnsi="宋体"/>
          <w:sz w:val="24"/>
        </w:rPr>
        <w:t>.4</w:t>
      </w:r>
      <w:r>
        <w:rPr>
          <w:rFonts w:ascii="宋体" w:hAnsi="宋体"/>
          <w:sz w:val="24"/>
        </w:rPr>
        <w:t>最近一次被合肥市及其所辖县（市）公共资源交易监督管理局记不良行为记录累计记分达20分(含20分)及以上且公布日距开标日超过24个月。</w:t>
      </w:r>
    </w:p>
    <w:p>
      <w:pPr>
        <w:widowControl/>
        <w:spacing w:line="560" w:lineRule="exact"/>
        <w:ind w:firstLine="480"/>
        <w:jc w:val="left"/>
        <w:rPr>
          <w:rFonts w:ascii="宋体" w:hAnsi="宋体"/>
          <w:sz w:val="24"/>
        </w:rPr>
      </w:pPr>
      <w:r>
        <w:rPr>
          <w:rFonts w:ascii="宋体" w:hAnsi="宋体"/>
          <w:bCs/>
          <w:sz w:val="24"/>
        </w:rPr>
        <w:t>4</w:t>
      </w:r>
      <w:r>
        <w:rPr>
          <w:rFonts w:hint="eastAsia" w:ascii="宋体" w:hAnsi="宋体"/>
          <w:bCs/>
          <w:sz w:val="24"/>
        </w:rPr>
        <w:t>.</w:t>
      </w:r>
      <w:r>
        <w:rPr>
          <w:rFonts w:ascii="宋体" w:hAnsi="宋体"/>
          <w:kern w:val="0"/>
          <w:sz w:val="24"/>
        </w:rPr>
        <w:t>投标人</w:t>
      </w:r>
      <w:r>
        <w:rPr>
          <w:rFonts w:hint="eastAsia" w:ascii="宋体" w:hAnsi="宋体"/>
          <w:kern w:val="0"/>
          <w:sz w:val="24"/>
        </w:rPr>
        <w:t>不得</w:t>
      </w:r>
      <w:r>
        <w:rPr>
          <w:rFonts w:ascii="宋体" w:hAnsi="宋体"/>
          <w:kern w:val="0"/>
          <w:sz w:val="24"/>
        </w:rPr>
        <w:t>存在以下不良信用记录情形之一（</w:t>
      </w:r>
      <w:r>
        <w:rPr>
          <w:rFonts w:ascii="宋体" w:hAnsi="宋体"/>
          <w:sz w:val="24"/>
        </w:rPr>
        <w:t>以</w:t>
      </w:r>
      <w:r>
        <w:rPr>
          <w:rFonts w:hint="eastAsia" w:ascii="宋体" w:hAnsi="宋体"/>
          <w:sz w:val="24"/>
        </w:rPr>
        <w:t>开标当日现场</w:t>
      </w:r>
      <w:r>
        <w:rPr>
          <w:rFonts w:ascii="宋体" w:hAnsi="宋体"/>
          <w:sz w:val="24"/>
        </w:rPr>
        <w:t>在“信用中国”网站http://www.creditchina.gov.cn/查询信息为准</w:t>
      </w:r>
      <w:r>
        <w:rPr>
          <w:rFonts w:hint="eastAsia" w:ascii="宋体" w:hAnsi="宋体"/>
          <w:sz w:val="24"/>
        </w:rPr>
        <w:t>。如网站未收录被查询企业信息视为不存在以下不良信用记录。</w:t>
      </w:r>
      <w:r>
        <w:rPr>
          <w:rFonts w:ascii="宋体" w:hAnsi="宋体"/>
          <w:kern w:val="0"/>
          <w:sz w:val="24"/>
        </w:rPr>
        <w:t>）：</w:t>
      </w:r>
    </w:p>
    <w:p>
      <w:pPr>
        <w:widowControl/>
        <w:spacing w:line="560" w:lineRule="exact"/>
        <w:ind w:firstLine="480"/>
        <w:jc w:val="left"/>
        <w:rPr>
          <w:rFonts w:ascii="宋体" w:hAnsi="宋体"/>
          <w:sz w:val="24"/>
        </w:rPr>
      </w:pPr>
      <w:r>
        <w:rPr>
          <w:rFonts w:ascii="宋体" w:hAnsi="宋体"/>
          <w:bCs/>
          <w:sz w:val="24"/>
        </w:rPr>
        <w:t>4</w:t>
      </w:r>
      <w:r>
        <w:rPr>
          <w:rFonts w:hint="eastAsia" w:ascii="宋体" w:hAnsi="宋体"/>
          <w:sz w:val="24"/>
        </w:rPr>
        <w:t>.1</w:t>
      </w:r>
      <w:r>
        <w:rPr>
          <w:rFonts w:ascii="宋体" w:hAnsi="宋体"/>
          <w:sz w:val="24"/>
        </w:rPr>
        <w:t>投标人被人民法院列入失信被执行人的。</w:t>
      </w:r>
    </w:p>
    <w:p>
      <w:pPr>
        <w:widowControl/>
        <w:spacing w:line="560" w:lineRule="exact"/>
        <w:ind w:firstLine="480"/>
        <w:jc w:val="left"/>
        <w:rPr>
          <w:rFonts w:ascii="宋体" w:hAnsi="宋体"/>
          <w:sz w:val="24"/>
        </w:rPr>
      </w:pPr>
      <w:r>
        <w:rPr>
          <w:rFonts w:ascii="宋体" w:hAnsi="宋体"/>
          <w:bCs/>
          <w:sz w:val="24"/>
        </w:rPr>
        <w:t>4</w:t>
      </w:r>
      <w:r>
        <w:rPr>
          <w:rFonts w:hint="eastAsia" w:ascii="宋体" w:hAnsi="宋体"/>
          <w:sz w:val="24"/>
        </w:rPr>
        <w:t>.2</w:t>
      </w:r>
      <w:r>
        <w:rPr>
          <w:rFonts w:ascii="宋体" w:hAnsi="宋体"/>
          <w:sz w:val="24"/>
        </w:rPr>
        <w:t>投标人被列入政府采购严重违法失信名单的。</w:t>
      </w:r>
    </w:p>
    <w:p>
      <w:pPr>
        <w:widowControl/>
        <w:spacing w:line="560" w:lineRule="exact"/>
        <w:ind w:firstLine="480"/>
        <w:jc w:val="left"/>
        <w:rPr>
          <w:rFonts w:ascii="宋体" w:hAnsi="宋体"/>
          <w:sz w:val="24"/>
        </w:rPr>
      </w:pPr>
      <w:r>
        <w:rPr>
          <w:rFonts w:ascii="宋体" w:hAnsi="宋体"/>
          <w:bCs/>
          <w:sz w:val="24"/>
        </w:rPr>
        <w:t>4</w:t>
      </w:r>
      <w:r>
        <w:rPr>
          <w:rFonts w:hint="eastAsia" w:ascii="宋体" w:hAnsi="宋体"/>
          <w:sz w:val="24"/>
        </w:rPr>
        <w:t>.3</w:t>
      </w:r>
      <w:r>
        <w:rPr>
          <w:rFonts w:ascii="宋体" w:hAnsi="宋体"/>
          <w:sz w:val="24"/>
        </w:rPr>
        <w:t>投标人被工商行政管理部门列入企业经营异常名录的。</w:t>
      </w:r>
    </w:p>
    <w:p>
      <w:pPr>
        <w:widowControl/>
        <w:spacing w:line="560" w:lineRule="exact"/>
        <w:ind w:firstLine="480"/>
        <w:jc w:val="left"/>
        <w:rPr>
          <w:rFonts w:ascii="宋体" w:hAnsi="宋体"/>
          <w:sz w:val="24"/>
        </w:rPr>
      </w:pPr>
      <w:r>
        <w:rPr>
          <w:rFonts w:ascii="宋体" w:hAnsi="宋体"/>
          <w:bCs/>
          <w:sz w:val="24"/>
        </w:rPr>
        <w:t>4</w:t>
      </w:r>
      <w:r>
        <w:rPr>
          <w:rFonts w:hint="eastAsia" w:ascii="宋体" w:hAnsi="宋体"/>
          <w:sz w:val="24"/>
        </w:rPr>
        <w:t>.4</w:t>
      </w:r>
      <w:r>
        <w:rPr>
          <w:rFonts w:ascii="宋体" w:hAnsi="宋体"/>
          <w:sz w:val="24"/>
        </w:rPr>
        <w:t>投标人被税务部门列入重大税收违法案件当事人名单的。</w:t>
      </w:r>
    </w:p>
    <w:p>
      <w:pPr>
        <w:widowControl/>
        <w:spacing w:line="560" w:lineRule="exact"/>
        <w:ind w:firstLine="480"/>
        <w:jc w:val="left"/>
        <w:rPr>
          <w:rFonts w:ascii="宋体" w:hAnsi="宋体"/>
          <w:bCs/>
          <w:sz w:val="24"/>
        </w:rPr>
      </w:pPr>
      <w:r>
        <w:rPr>
          <w:rFonts w:ascii="宋体" w:hAnsi="宋体"/>
          <w:sz w:val="24"/>
        </w:rPr>
        <w:t>5</w:t>
      </w:r>
      <w:r>
        <w:rPr>
          <w:rFonts w:hint="eastAsia" w:ascii="宋体" w:hAnsi="宋体"/>
          <w:sz w:val="24"/>
        </w:rPr>
        <w:t>.</w:t>
      </w:r>
      <w:r>
        <w:rPr>
          <w:rFonts w:hint="eastAsia" w:ascii="宋体" w:hAnsi="宋体"/>
          <w:bCs/>
          <w:sz w:val="24"/>
        </w:rPr>
        <w:t>本项目不接受自然人和联合体投标。</w:t>
      </w:r>
    </w:p>
    <w:p>
      <w:pPr>
        <w:spacing w:line="560" w:lineRule="exact"/>
        <w:ind w:firstLine="482" w:firstLineChars="200"/>
        <w:rPr>
          <w:rFonts w:ascii="宋体" w:hAnsi="宋体" w:cs="宋体"/>
          <w:b/>
          <w:sz w:val="24"/>
        </w:rPr>
      </w:pPr>
      <w:r>
        <w:rPr>
          <w:rFonts w:hint="eastAsia" w:ascii="宋体" w:hAnsi="宋体" w:cs="宋体"/>
          <w:b/>
          <w:sz w:val="24"/>
        </w:rPr>
        <w:t>三、磋商文件的获取</w:t>
      </w:r>
    </w:p>
    <w:p>
      <w:pPr>
        <w:widowControl/>
        <w:shd w:val="clear" w:color="auto" w:fill="FFFFFF"/>
        <w:spacing w:line="560" w:lineRule="exact"/>
        <w:ind w:firstLine="480"/>
        <w:jc w:val="left"/>
        <w:rPr>
          <w:rFonts w:ascii="宋体" w:hAnsi="宋体" w:cs="宋体"/>
          <w:kern w:val="0"/>
          <w:sz w:val="24"/>
        </w:rPr>
      </w:pPr>
      <w:r>
        <w:rPr>
          <w:rFonts w:hint="eastAsia" w:ascii="宋体" w:hAnsi="宋体" w:cs="宋体"/>
          <w:kern w:val="0"/>
          <w:sz w:val="24"/>
        </w:rPr>
        <w:t>1.获取时间：20</w:t>
      </w:r>
      <w:r>
        <w:rPr>
          <w:rFonts w:ascii="宋体" w:hAnsi="宋体" w:cs="宋体"/>
          <w:kern w:val="0"/>
          <w:sz w:val="24"/>
        </w:rPr>
        <w:t>2</w:t>
      </w:r>
      <w:r>
        <w:rPr>
          <w:rFonts w:hint="eastAsia" w:ascii="宋体" w:hAnsi="宋体" w:cs="宋体"/>
          <w:kern w:val="0"/>
          <w:sz w:val="24"/>
        </w:rPr>
        <w:t>3年7月</w:t>
      </w:r>
      <w:r>
        <w:rPr>
          <w:rFonts w:hint="eastAsia" w:ascii="宋体" w:hAnsi="宋体" w:cs="宋体"/>
          <w:kern w:val="0"/>
          <w:sz w:val="24"/>
          <w:lang w:val="en-US" w:eastAsia="zh-CN"/>
        </w:rPr>
        <w:t>15</w:t>
      </w:r>
      <w:r>
        <w:rPr>
          <w:rFonts w:hint="eastAsia" w:ascii="宋体" w:hAnsi="宋体" w:cs="宋体"/>
          <w:kern w:val="0"/>
          <w:sz w:val="24"/>
        </w:rPr>
        <w:t>日—20</w:t>
      </w:r>
      <w:r>
        <w:rPr>
          <w:rFonts w:ascii="宋体" w:hAnsi="宋体" w:cs="宋体"/>
          <w:kern w:val="0"/>
          <w:sz w:val="24"/>
        </w:rPr>
        <w:t>2</w:t>
      </w:r>
      <w:r>
        <w:rPr>
          <w:rFonts w:hint="eastAsia" w:ascii="宋体" w:hAnsi="宋体" w:cs="宋体"/>
          <w:kern w:val="0"/>
          <w:sz w:val="24"/>
        </w:rPr>
        <w:t>3年</w:t>
      </w:r>
      <w:r>
        <w:rPr>
          <w:rFonts w:hint="eastAsia" w:ascii="宋体" w:hAnsi="宋体" w:cs="宋体"/>
          <w:kern w:val="0"/>
          <w:sz w:val="24"/>
          <w:lang w:val="en-US" w:eastAsia="zh-CN"/>
        </w:rPr>
        <w:t>8</w:t>
      </w:r>
      <w:r>
        <w:rPr>
          <w:rFonts w:hint="eastAsia" w:ascii="宋体" w:hAnsi="宋体" w:cs="宋体"/>
          <w:kern w:val="0"/>
          <w:sz w:val="24"/>
        </w:rPr>
        <w:t>月</w:t>
      </w:r>
      <w:r>
        <w:rPr>
          <w:rFonts w:hint="eastAsia" w:ascii="宋体" w:hAnsi="宋体" w:cs="宋体"/>
          <w:kern w:val="0"/>
          <w:sz w:val="24"/>
          <w:lang w:val="en-US" w:eastAsia="zh-CN"/>
        </w:rPr>
        <w:t>4</w:t>
      </w:r>
      <w:r>
        <w:rPr>
          <w:rFonts w:hint="eastAsia" w:ascii="宋体" w:hAnsi="宋体" w:cs="宋体"/>
          <w:kern w:val="0"/>
          <w:sz w:val="24"/>
        </w:rPr>
        <w:t>日</w:t>
      </w:r>
    </w:p>
    <w:p>
      <w:pPr>
        <w:widowControl/>
        <w:spacing w:line="560" w:lineRule="exact"/>
        <w:ind w:firstLine="480" w:firstLineChars="200"/>
        <w:jc w:val="left"/>
        <w:rPr>
          <w:rFonts w:ascii="宋体" w:hAnsi="宋体"/>
          <w:sz w:val="24"/>
        </w:rPr>
      </w:pPr>
      <w:r>
        <w:rPr>
          <w:rFonts w:hint="eastAsia" w:ascii="宋体" w:hAnsi="宋体"/>
          <w:sz w:val="24"/>
        </w:rPr>
        <w:t>2.获取方式：</w:t>
      </w:r>
    </w:p>
    <w:p>
      <w:pPr>
        <w:widowControl/>
        <w:spacing w:line="560" w:lineRule="exact"/>
        <w:ind w:firstLine="240" w:firstLineChars="100"/>
        <w:jc w:val="left"/>
        <w:rPr>
          <w:rFonts w:ascii="宋体" w:hAnsi="宋体"/>
          <w:sz w:val="24"/>
        </w:rPr>
      </w:pPr>
      <w:r>
        <w:rPr>
          <w:rFonts w:hint="eastAsia" w:ascii="宋体" w:hAnsi="宋体"/>
          <w:sz w:val="24"/>
        </w:rPr>
        <w:t>（1）潜在投标人须登录徽易采电子交易平台系统（以下简称“电子交易系统”）查阅磋商文件。首次登录须持有与电子服务系统兼容的数字证书，详情参见《关于首次使用徽易采电子交易平台参与公共资源交易活动的重要说明》。</w:t>
      </w:r>
    </w:p>
    <w:p>
      <w:pPr>
        <w:widowControl/>
        <w:spacing w:line="560" w:lineRule="exact"/>
        <w:ind w:firstLine="240" w:firstLineChars="100"/>
        <w:jc w:val="left"/>
        <w:rPr>
          <w:rFonts w:ascii="宋体" w:hAnsi="宋体"/>
          <w:sz w:val="24"/>
        </w:rPr>
      </w:pPr>
      <w:r>
        <w:rPr>
          <w:rFonts w:hint="eastAsia" w:ascii="宋体" w:hAnsi="宋体"/>
          <w:sz w:val="24"/>
        </w:rPr>
        <w:t>（2）潜在投标人查阅磋商文件后，如参与投标，则须在磋商文件获取时间内通过徽易采电子交易系统点击“我要参与”并完成投标信息的填写。</w:t>
      </w:r>
    </w:p>
    <w:p>
      <w:pPr>
        <w:widowControl/>
        <w:spacing w:line="560" w:lineRule="exact"/>
        <w:ind w:firstLine="120" w:firstLineChars="50"/>
        <w:jc w:val="left"/>
        <w:rPr>
          <w:rFonts w:ascii="宋体" w:hAnsi="宋体"/>
          <w:sz w:val="24"/>
        </w:rPr>
      </w:pPr>
      <w:r>
        <w:rPr>
          <w:rFonts w:hint="eastAsia" w:ascii="宋体" w:hAnsi="宋体"/>
          <w:sz w:val="24"/>
        </w:rPr>
        <w:t>（3）磋商文件获取过程中有任何疑问，请在工作时间（8：30-17：00，节假日休息）拨打技术支持热线（非项目咨询）：0551-66223130，项目咨询电话：</w:t>
      </w:r>
      <w:r>
        <w:rPr>
          <w:rFonts w:hint="eastAsia" w:ascii="宋体" w:hAnsi="宋体"/>
          <w:kern w:val="0"/>
          <w:sz w:val="24"/>
        </w:rPr>
        <w:t>赵工：0551－62686822。</w:t>
      </w:r>
    </w:p>
    <w:p>
      <w:pPr>
        <w:spacing w:line="560" w:lineRule="exact"/>
        <w:rPr>
          <w:rFonts w:ascii="宋体" w:hAnsi="宋体"/>
          <w:kern w:val="0"/>
          <w:sz w:val="24"/>
        </w:rPr>
      </w:pPr>
      <w:r>
        <w:rPr>
          <w:rFonts w:hint="eastAsia" w:ascii="宋体" w:hAnsi="宋体"/>
          <w:b/>
          <w:kern w:val="0"/>
          <w:sz w:val="24"/>
        </w:rPr>
        <w:t xml:space="preserve">四、投标保证金 </w:t>
      </w:r>
    </w:p>
    <w:p>
      <w:pPr>
        <w:spacing w:line="560" w:lineRule="exact"/>
        <w:rPr>
          <w:rFonts w:ascii="宋体" w:hAnsi="宋体"/>
          <w:kern w:val="0"/>
          <w:sz w:val="24"/>
        </w:rPr>
      </w:pPr>
      <w:r>
        <w:rPr>
          <w:rFonts w:hint="eastAsia" w:ascii="宋体" w:hAnsi="宋体"/>
          <w:kern w:val="0"/>
          <w:sz w:val="24"/>
        </w:rPr>
        <w:t xml:space="preserve">    1.</w:t>
      </w:r>
      <w:r>
        <w:rPr>
          <w:rFonts w:ascii="宋体" w:hAnsi="宋体"/>
          <w:bCs/>
          <w:kern w:val="0"/>
          <w:sz w:val="24"/>
        </w:rPr>
        <w:t>202</w:t>
      </w:r>
      <w:r>
        <w:rPr>
          <w:rFonts w:hint="eastAsia" w:ascii="宋体" w:hAnsi="宋体"/>
          <w:bCs/>
          <w:kern w:val="0"/>
          <w:sz w:val="24"/>
        </w:rPr>
        <w:t>3年</w:t>
      </w:r>
      <w:r>
        <w:rPr>
          <w:rFonts w:hint="eastAsia" w:ascii="宋体" w:hAnsi="宋体"/>
          <w:bCs/>
          <w:kern w:val="0"/>
          <w:sz w:val="24"/>
          <w:lang w:val="en-US" w:eastAsia="zh-CN"/>
        </w:rPr>
        <w:t>8</w:t>
      </w:r>
      <w:r>
        <w:rPr>
          <w:rFonts w:hint="eastAsia" w:ascii="宋体" w:hAnsi="宋体"/>
          <w:bCs/>
          <w:kern w:val="0"/>
          <w:sz w:val="24"/>
        </w:rPr>
        <w:t>月</w:t>
      </w:r>
      <w:r>
        <w:rPr>
          <w:rFonts w:hint="eastAsia" w:ascii="宋体" w:hAnsi="宋体"/>
          <w:bCs/>
          <w:kern w:val="0"/>
          <w:sz w:val="24"/>
          <w:lang w:val="en-US" w:eastAsia="zh-CN"/>
        </w:rPr>
        <w:t>3</w:t>
      </w:r>
      <w:r>
        <w:rPr>
          <w:rFonts w:hint="eastAsia" w:ascii="宋体" w:hAnsi="宋体"/>
          <w:bCs/>
          <w:kern w:val="0"/>
          <w:sz w:val="24"/>
        </w:rPr>
        <w:t>日</w:t>
      </w:r>
      <w:r>
        <w:rPr>
          <w:rFonts w:hint="eastAsia" w:ascii="宋体" w:hAnsi="宋体"/>
          <w:bCs/>
          <w:kern w:val="0"/>
          <w:sz w:val="24"/>
          <w:lang w:val="en-US" w:eastAsia="zh-CN"/>
        </w:rPr>
        <w:t>12</w:t>
      </w:r>
      <w:r>
        <w:rPr>
          <w:rFonts w:ascii="宋体" w:hAnsi="宋体"/>
          <w:bCs/>
          <w:kern w:val="0"/>
          <w:sz w:val="24"/>
        </w:rPr>
        <w:t>:</w:t>
      </w:r>
      <w:r>
        <w:rPr>
          <w:rFonts w:hint="eastAsia" w:ascii="宋体" w:hAnsi="宋体"/>
          <w:bCs/>
          <w:kern w:val="0"/>
          <w:sz w:val="24"/>
          <w:lang w:val="en-US" w:eastAsia="zh-CN"/>
        </w:rPr>
        <w:t>0</w:t>
      </w:r>
      <w:r>
        <w:rPr>
          <w:rFonts w:ascii="宋体" w:hAnsi="宋体"/>
          <w:bCs/>
          <w:kern w:val="0"/>
          <w:sz w:val="24"/>
        </w:rPr>
        <w:t>0</w:t>
      </w:r>
      <w:r>
        <w:rPr>
          <w:rFonts w:hint="eastAsia" w:ascii="宋体" w:hAnsi="宋体"/>
          <w:bCs/>
          <w:kern w:val="0"/>
          <w:sz w:val="24"/>
        </w:rPr>
        <w:t>之前</w:t>
      </w:r>
      <w:r>
        <w:rPr>
          <w:rFonts w:hint="eastAsia" w:ascii="宋体" w:hAnsi="宋体"/>
          <w:kern w:val="0"/>
          <w:sz w:val="24"/>
        </w:rPr>
        <w:t>通过转账的方式缴纳投标保证金</w:t>
      </w:r>
      <w:r>
        <w:rPr>
          <w:rFonts w:hint="eastAsia" w:ascii="宋体" w:hAnsi="宋体"/>
          <w:bCs/>
          <w:kern w:val="0"/>
          <w:sz w:val="24"/>
        </w:rPr>
        <w:t>叁仟元</w:t>
      </w:r>
      <w:r>
        <w:rPr>
          <w:rFonts w:hint="eastAsia" w:ascii="宋体" w:hAnsi="宋体"/>
          <w:kern w:val="0"/>
          <w:sz w:val="24"/>
        </w:rPr>
        <w:t>，如中标，转为履约保证金；如未中标，招标结束后无息退还。</w:t>
      </w:r>
    </w:p>
    <w:p>
      <w:pPr>
        <w:widowControl/>
        <w:shd w:val="clear" w:color="auto" w:fill="FFFFFF"/>
        <w:spacing w:line="560" w:lineRule="exact"/>
        <w:ind w:firstLine="480" w:firstLineChars="200"/>
        <w:jc w:val="left"/>
        <w:rPr>
          <w:rFonts w:ascii="宋体" w:hAnsi="宋体" w:cs="宋体"/>
          <w:kern w:val="0"/>
          <w:sz w:val="24"/>
          <w:lang w:val="zh-CN"/>
        </w:rPr>
      </w:pPr>
      <w:r>
        <w:rPr>
          <w:rFonts w:hint="eastAsia" w:ascii="宋体" w:hAnsi="宋体" w:cs="宋体"/>
          <w:kern w:val="0"/>
          <w:sz w:val="24"/>
          <w:lang w:val="zh-CN"/>
        </w:rPr>
        <w:t>转账资料：</w:t>
      </w:r>
    </w:p>
    <w:p>
      <w:pPr>
        <w:widowControl/>
        <w:shd w:val="clear" w:color="auto" w:fill="FFFFFF"/>
        <w:spacing w:line="560" w:lineRule="exact"/>
        <w:ind w:firstLine="480" w:firstLineChars="200"/>
        <w:jc w:val="left"/>
        <w:rPr>
          <w:rFonts w:ascii="宋体" w:hAnsi="宋体" w:cs="宋体"/>
          <w:kern w:val="0"/>
          <w:sz w:val="24"/>
          <w:lang w:val="zh-CN"/>
        </w:rPr>
      </w:pPr>
      <w:r>
        <w:rPr>
          <w:rFonts w:hint="eastAsia" w:ascii="宋体" w:hAnsi="宋体" w:cs="宋体"/>
          <w:kern w:val="0"/>
          <w:sz w:val="24"/>
          <w:lang w:val="zh-CN"/>
        </w:rPr>
        <w:t>账户名称：安徽百大乐普生商厦有限责任公司</w:t>
      </w:r>
    </w:p>
    <w:p>
      <w:pPr>
        <w:widowControl/>
        <w:shd w:val="clear" w:color="auto" w:fill="FFFFFF"/>
        <w:spacing w:line="560" w:lineRule="exact"/>
        <w:ind w:firstLine="480" w:firstLineChars="200"/>
        <w:jc w:val="left"/>
        <w:rPr>
          <w:rFonts w:ascii="宋体" w:hAnsi="宋体" w:cs="宋体"/>
          <w:kern w:val="0"/>
          <w:sz w:val="24"/>
          <w:lang w:val="zh-CN"/>
        </w:rPr>
      </w:pPr>
      <w:r>
        <w:rPr>
          <w:rFonts w:hint="eastAsia" w:ascii="宋体" w:hAnsi="宋体" w:cs="宋体"/>
          <w:kern w:val="0"/>
          <w:sz w:val="24"/>
          <w:lang w:val="zh-CN"/>
        </w:rPr>
        <w:t>纳税人识别号：913400001490395283</w:t>
      </w:r>
    </w:p>
    <w:p>
      <w:pPr>
        <w:widowControl/>
        <w:shd w:val="clear" w:color="auto" w:fill="FFFFFF"/>
        <w:spacing w:line="560" w:lineRule="exact"/>
        <w:ind w:firstLine="480" w:firstLineChars="200"/>
        <w:jc w:val="left"/>
        <w:rPr>
          <w:rFonts w:ascii="宋体" w:hAnsi="宋体" w:cs="宋体"/>
          <w:kern w:val="0"/>
          <w:sz w:val="24"/>
          <w:lang w:val="zh-CN"/>
        </w:rPr>
      </w:pPr>
      <w:r>
        <w:rPr>
          <w:rFonts w:hint="eastAsia" w:ascii="宋体" w:hAnsi="宋体" w:cs="宋体"/>
          <w:kern w:val="0"/>
          <w:sz w:val="24"/>
          <w:lang w:val="zh-CN"/>
        </w:rPr>
        <w:t>地址、电话：合肥市绿都商城B区 0551-62686826</w:t>
      </w:r>
    </w:p>
    <w:p>
      <w:pPr>
        <w:widowControl/>
        <w:shd w:val="clear" w:color="auto" w:fill="FFFFFF"/>
        <w:spacing w:line="560" w:lineRule="exact"/>
        <w:ind w:firstLine="480" w:firstLineChars="200"/>
        <w:jc w:val="left"/>
        <w:rPr>
          <w:rFonts w:ascii="宋体" w:hAnsi="宋体" w:cs="宋体"/>
          <w:kern w:val="0"/>
          <w:sz w:val="24"/>
          <w:lang w:val="zh-CN"/>
        </w:rPr>
      </w:pPr>
      <w:r>
        <w:rPr>
          <w:rFonts w:hint="eastAsia" w:ascii="宋体" w:hAnsi="宋体" w:cs="宋体"/>
          <w:kern w:val="0"/>
          <w:sz w:val="24"/>
          <w:lang w:val="zh-CN"/>
        </w:rPr>
        <w:t>开户行及账号：中国建设银行合肥庐阳支行 34001464608053004113</w:t>
      </w:r>
      <w:r>
        <w:rPr>
          <w:rFonts w:hint="eastAsia" w:ascii="宋体" w:hAnsi="宋体"/>
          <w:sz w:val="24"/>
        </w:rPr>
        <w:t>（</w:t>
      </w:r>
      <w:r>
        <w:rPr>
          <w:rFonts w:hint="eastAsia" w:ascii="宋体" w:hAnsi="宋体" w:cs="宋体"/>
          <w:kern w:val="0"/>
          <w:sz w:val="24"/>
          <w:lang w:val="zh-CN"/>
        </w:rPr>
        <w:t>转账时备注“</w:t>
      </w:r>
      <w:r>
        <w:rPr>
          <w:rFonts w:hint="eastAsia" w:ascii="宋体" w:hAnsi="宋体" w:cs="宋体"/>
          <w:kern w:val="0"/>
          <w:sz w:val="24"/>
        </w:rPr>
        <w:t>鼓楼银座</w:t>
      </w:r>
      <w:r>
        <w:rPr>
          <w:rFonts w:hint="eastAsia" w:ascii="宋体" w:hAnsi="宋体" w:cs="宋体"/>
          <w:kern w:val="0"/>
          <w:sz w:val="24"/>
          <w:lang w:val="zh-CN"/>
        </w:rPr>
        <w:t>项目投标保证金”）</w:t>
      </w:r>
    </w:p>
    <w:p>
      <w:pPr>
        <w:pStyle w:val="34"/>
        <w:spacing w:line="560" w:lineRule="exact"/>
        <w:jc w:val="left"/>
        <w:rPr>
          <w:rFonts w:ascii="宋体" w:hAnsi="宋体"/>
          <w:bCs/>
          <w:sz w:val="24"/>
          <w:szCs w:val="24"/>
        </w:rPr>
      </w:pPr>
      <w:r>
        <w:rPr>
          <w:rFonts w:hint="eastAsia" w:ascii="宋体" w:hAnsi="宋体"/>
          <w:bCs/>
          <w:sz w:val="24"/>
          <w:szCs w:val="24"/>
        </w:rPr>
        <w:t>2.</w:t>
      </w:r>
      <w:r>
        <w:rPr>
          <w:rFonts w:ascii="宋体" w:hAnsi="宋体"/>
          <w:bCs/>
          <w:sz w:val="24"/>
          <w:szCs w:val="24"/>
        </w:rPr>
        <w:t>下列任何情况发生，投标保证金将不予退还：</w:t>
      </w:r>
    </w:p>
    <w:p>
      <w:pPr>
        <w:spacing w:line="560" w:lineRule="exact"/>
        <w:rPr>
          <w:rFonts w:ascii="宋体" w:hAnsi="宋体"/>
          <w:sz w:val="24"/>
        </w:rPr>
      </w:pPr>
      <w:r>
        <w:rPr>
          <w:rFonts w:hint="eastAsia" w:ascii="宋体" w:hAnsi="宋体"/>
          <w:sz w:val="24"/>
        </w:rPr>
        <w:t xml:space="preserve">     2.1</w:t>
      </w:r>
      <w:r>
        <w:rPr>
          <w:rFonts w:ascii="宋体" w:hAnsi="宋体"/>
          <w:sz w:val="24"/>
        </w:rPr>
        <w:t>在开标之日后投标人擅自撤回投标的；</w:t>
      </w:r>
    </w:p>
    <w:p>
      <w:pPr>
        <w:spacing w:line="560" w:lineRule="exact"/>
        <w:rPr>
          <w:rFonts w:ascii="宋体" w:hAnsi="宋体"/>
          <w:sz w:val="24"/>
        </w:rPr>
      </w:pPr>
      <w:r>
        <w:rPr>
          <w:rFonts w:hint="eastAsia" w:ascii="宋体" w:hAnsi="宋体"/>
          <w:sz w:val="24"/>
        </w:rPr>
        <w:t xml:space="preserve">     2.</w:t>
      </w:r>
      <w:r>
        <w:rPr>
          <w:rFonts w:ascii="宋体" w:hAnsi="宋体"/>
          <w:sz w:val="24"/>
        </w:rPr>
        <w:t>2中标人不按规定与招标人签订合同的；</w:t>
      </w:r>
    </w:p>
    <w:p>
      <w:pPr>
        <w:spacing w:line="560" w:lineRule="exact"/>
        <w:rPr>
          <w:rFonts w:ascii="宋体" w:hAnsi="宋体"/>
          <w:sz w:val="24"/>
        </w:rPr>
      </w:pPr>
      <w:r>
        <w:rPr>
          <w:rFonts w:hint="eastAsia" w:ascii="宋体" w:hAnsi="宋体"/>
          <w:sz w:val="24"/>
        </w:rPr>
        <w:t xml:space="preserve">     2.</w:t>
      </w:r>
      <w:r>
        <w:rPr>
          <w:rFonts w:ascii="宋体" w:hAnsi="宋体"/>
          <w:sz w:val="24"/>
        </w:rPr>
        <w:t>3中标人不按规定提交履约保证金的；</w:t>
      </w:r>
    </w:p>
    <w:p>
      <w:pPr>
        <w:spacing w:line="560" w:lineRule="exact"/>
        <w:rPr>
          <w:rFonts w:ascii="宋体" w:hAnsi="宋体"/>
          <w:kern w:val="0"/>
          <w:sz w:val="24"/>
        </w:rPr>
      </w:pPr>
      <w:r>
        <w:rPr>
          <w:rFonts w:hint="eastAsia" w:ascii="宋体" w:hAnsi="宋体"/>
          <w:sz w:val="24"/>
        </w:rPr>
        <w:t xml:space="preserve">     2.</w:t>
      </w:r>
      <w:r>
        <w:rPr>
          <w:rFonts w:ascii="宋体" w:hAnsi="宋体"/>
          <w:sz w:val="24"/>
        </w:rPr>
        <w:t>4投标文件中提供虚假文件骗取中标的。</w:t>
      </w:r>
    </w:p>
    <w:p>
      <w:pPr>
        <w:spacing w:line="560" w:lineRule="exact"/>
        <w:ind w:firstLine="472" w:firstLineChars="196"/>
        <w:rPr>
          <w:rFonts w:ascii="宋体" w:hAnsi="宋体"/>
          <w:kern w:val="0"/>
          <w:sz w:val="24"/>
        </w:rPr>
      </w:pPr>
      <w:r>
        <w:rPr>
          <w:rFonts w:hint="eastAsia" w:ascii="宋体" w:hAnsi="宋体"/>
          <w:b/>
          <w:kern w:val="0"/>
          <w:sz w:val="24"/>
        </w:rPr>
        <w:t>六、谈判时间：</w:t>
      </w:r>
      <w:r>
        <w:rPr>
          <w:rFonts w:ascii="宋体" w:hAnsi="宋体"/>
          <w:bCs/>
          <w:sz w:val="24"/>
        </w:rPr>
        <w:t>202</w:t>
      </w:r>
      <w:r>
        <w:rPr>
          <w:rFonts w:hint="eastAsia" w:ascii="宋体" w:hAnsi="宋体"/>
          <w:bCs/>
          <w:sz w:val="24"/>
        </w:rPr>
        <w:t>3年</w:t>
      </w:r>
      <w:r>
        <w:rPr>
          <w:rFonts w:hint="eastAsia" w:ascii="宋体" w:hAnsi="宋体"/>
          <w:bCs/>
          <w:sz w:val="24"/>
          <w:lang w:val="en-US" w:eastAsia="zh-CN"/>
        </w:rPr>
        <w:t>8</w:t>
      </w:r>
      <w:r>
        <w:rPr>
          <w:rFonts w:hint="eastAsia" w:ascii="宋体" w:hAnsi="宋体"/>
          <w:bCs/>
          <w:sz w:val="24"/>
        </w:rPr>
        <w:t>月</w:t>
      </w:r>
      <w:r>
        <w:rPr>
          <w:rFonts w:hint="eastAsia" w:ascii="宋体" w:hAnsi="宋体"/>
          <w:bCs/>
          <w:sz w:val="24"/>
          <w:lang w:val="en-US" w:eastAsia="zh-CN"/>
        </w:rPr>
        <w:t>4</w:t>
      </w:r>
      <w:r>
        <w:rPr>
          <w:rFonts w:hint="eastAsia" w:ascii="宋体" w:hAnsi="宋体"/>
          <w:bCs/>
          <w:sz w:val="24"/>
        </w:rPr>
        <w:t xml:space="preserve">日 </w:t>
      </w:r>
      <w:r>
        <w:rPr>
          <w:rFonts w:hint="eastAsia" w:ascii="宋体" w:hAnsi="宋体"/>
          <w:bCs/>
          <w:sz w:val="24"/>
          <w:lang w:val="en-US" w:eastAsia="zh-CN"/>
        </w:rPr>
        <w:t>9</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0</w:t>
      </w:r>
      <w:r>
        <w:rPr>
          <w:rFonts w:hint="eastAsia" w:ascii="宋体" w:hAnsi="宋体"/>
          <w:kern w:val="0"/>
          <w:sz w:val="24"/>
        </w:rPr>
        <w:t>（如有调整，另行通知）</w:t>
      </w:r>
    </w:p>
    <w:p>
      <w:pPr>
        <w:spacing w:line="560" w:lineRule="exact"/>
        <w:ind w:firstLine="964" w:firstLineChars="400"/>
        <w:rPr>
          <w:rFonts w:ascii="宋体" w:hAnsi="宋体"/>
          <w:sz w:val="24"/>
        </w:rPr>
      </w:pPr>
      <w:r>
        <w:rPr>
          <w:rFonts w:hint="eastAsia" w:ascii="宋体" w:hAnsi="宋体"/>
          <w:b/>
          <w:kern w:val="0"/>
          <w:sz w:val="24"/>
        </w:rPr>
        <w:t>谈判地点：</w:t>
      </w:r>
      <w:r>
        <w:rPr>
          <w:rFonts w:hint="eastAsia" w:ascii="宋体" w:hAnsi="宋体"/>
          <w:kern w:val="0"/>
          <w:sz w:val="24"/>
        </w:rPr>
        <w:t>合肥市黄山路596号A楼合肥百大集团1209室</w:t>
      </w:r>
    </w:p>
    <w:p>
      <w:pPr>
        <w:widowControl/>
        <w:spacing w:line="560" w:lineRule="exact"/>
        <w:ind w:firstLine="120" w:firstLineChars="50"/>
        <w:jc w:val="left"/>
        <w:rPr>
          <w:rFonts w:ascii="宋体" w:hAnsi="宋体"/>
          <w:kern w:val="0"/>
          <w:sz w:val="24"/>
        </w:rPr>
      </w:pPr>
    </w:p>
    <w:p>
      <w:pPr>
        <w:widowControl/>
        <w:shd w:val="clear" w:color="auto" w:fill="FFFFFF"/>
        <w:spacing w:line="360" w:lineRule="exact"/>
        <w:jc w:val="center"/>
        <w:rPr>
          <w:rFonts w:ascii="宋体" w:hAnsi="宋体"/>
          <w:b/>
          <w:kern w:val="0"/>
          <w:sz w:val="30"/>
          <w:szCs w:val="30"/>
        </w:rPr>
      </w:pPr>
      <w:r>
        <w:rPr>
          <w:rFonts w:ascii="宋体" w:hAnsi="宋体"/>
          <w:b/>
          <w:kern w:val="0"/>
          <w:sz w:val="30"/>
          <w:szCs w:val="30"/>
        </w:rPr>
        <w:br w:type="page"/>
      </w:r>
    </w:p>
    <w:p>
      <w:pPr>
        <w:widowControl/>
        <w:shd w:val="clear" w:color="auto" w:fill="FFFFFF"/>
        <w:spacing w:line="360" w:lineRule="exact"/>
        <w:jc w:val="center"/>
        <w:rPr>
          <w:rFonts w:ascii="宋体" w:hAnsi="宋体"/>
          <w:b/>
          <w:kern w:val="0"/>
          <w:sz w:val="28"/>
          <w:szCs w:val="28"/>
        </w:rPr>
      </w:pPr>
      <w:r>
        <w:rPr>
          <w:rFonts w:hint="eastAsia" w:ascii="宋体" w:hAnsi="宋体"/>
          <w:b/>
          <w:kern w:val="0"/>
          <w:sz w:val="28"/>
          <w:szCs w:val="28"/>
        </w:rPr>
        <w:t>第二章  投标须知</w:t>
      </w:r>
    </w:p>
    <w:p>
      <w:pPr>
        <w:spacing w:line="240" w:lineRule="exact"/>
        <w:rPr>
          <w:rFonts w:ascii="宋体" w:hAnsi="宋体"/>
          <w:b/>
          <w:kern w:val="0"/>
          <w:sz w:val="24"/>
        </w:rPr>
      </w:pPr>
    </w:p>
    <w:p>
      <w:pPr>
        <w:spacing w:line="560" w:lineRule="exact"/>
        <w:rPr>
          <w:rFonts w:ascii="宋体" w:hAnsi="宋体"/>
          <w:b/>
          <w:kern w:val="0"/>
          <w:sz w:val="24"/>
        </w:rPr>
      </w:pPr>
      <w:r>
        <w:rPr>
          <w:rFonts w:hint="eastAsia" w:ascii="宋体" w:hAnsi="宋体"/>
          <w:b/>
          <w:kern w:val="0"/>
          <w:sz w:val="24"/>
        </w:rPr>
        <w:t xml:space="preserve">    一、说明及注意事项</w:t>
      </w:r>
    </w:p>
    <w:p>
      <w:pPr>
        <w:spacing w:line="560" w:lineRule="exact"/>
        <w:rPr>
          <w:rFonts w:ascii="宋体" w:hAnsi="宋体"/>
          <w:kern w:val="0"/>
          <w:sz w:val="24"/>
        </w:rPr>
      </w:pPr>
      <w:r>
        <w:rPr>
          <w:rFonts w:hint="eastAsia" w:ascii="宋体" w:hAnsi="宋体"/>
          <w:kern w:val="0"/>
          <w:sz w:val="24"/>
        </w:rPr>
        <w:t xml:space="preserve">    1.投标文件的编写要求</w:t>
      </w:r>
    </w:p>
    <w:p>
      <w:pPr>
        <w:spacing w:line="560" w:lineRule="exact"/>
        <w:rPr>
          <w:rFonts w:ascii="宋体" w:hAnsi="宋体" w:cs="宋体"/>
          <w:kern w:val="0"/>
          <w:sz w:val="24"/>
        </w:rPr>
      </w:pPr>
      <w:r>
        <w:rPr>
          <w:rFonts w:hint="eastAsia" w:ascii="宋体" w:hAnsi="宋体" w:cs="宋体"/>
          <w:kern w:val="0"/>
          <w:sz w:val="24"/>
        </w:rPr>
        <w:t xml:space="preserve">    1.1投标人须以招标人正式发布的《磋商文件》为制作《投标文件》的依据；</w:t>
      </w:r>
    </w:p>
    <w:p>
      <w:pPr>
        <w:spacing w:line="560" w:lineRule="exact"/>
        <w:rPr>
          <w:rFonts w:ascii="宋体" w:hAnsi="宋体"/>
          <w:kern w:val="0"/>
          <w:sz w:val="24"/>
        </w:rPr>
      </w:pPr>
      <w:r>
        <w:rPr>
          <w:rFonts w:hint="eastAsia" w:ascii="宋体" w:hAnsi="宋体" w:cs="宋体"/>
          <w:kern w:val="0"/>
          <w:sz w:val="24"/>
        </w:rPr>
        <w:t xml:space="preserve">    1.2</w:t>
      </w:r>
      <w:r>
        <w:rPr>
          <w:rFonts w:hint="eastAsia" w:ascii="宋体" w:hAnsi="宋体"/>
          <w:kern w:val="0"/>
          <w:sz w:val="24"/>
        </w:rPr>
        <w:t>投标人应仔细阅读磋商文件的所有内容，按磋商文件的要求提供投标文件，并保证所提供的全部资料真实有效；</w:t>
      </w:r>
    </w:p>
    <w:p>
      <w:pPr>
        <w:spacing w:line="560" w:lineRule="exact"/>
        <w:rPr>
          <w:rFonts w:ascii="宋体" w:hAnsi="宋体"/>
          <w:kern w:val="0"/>
          <w:sz w:val="24"/>
        </w:rPr>
      </w:pPr>
      <w:r>
        <w:rPr>
          <w:rFonts w:hint="eastAsia" w:ascii="宋体" w:hAnsi="宋体" w:cs="宋体"/>
          <w:kern w:val="0"/>
          <w:sz w:val="24"/>
        </w:rPr>
        <w:t xml:space="preserve">    1.3</w:t>
      </w:r>
      <w:r>
        <w:rPr>
          <w:rFonts w:hint="eastAsia" w:ascii="宋体" w:hAnsi="宋体"/>
          <w:kern w:val="0"/>
          <w:sz w:val="24"/>
        </w:rPr>
        <w:t>投标文件的书面内容不得涂抹或改写；</w:t>
      </w:r>
    </w:p>
    <w:p>
      <w:pPr>
        <w:spacing w:line="560" w:lineRule="exact"/>
        <w:rPr>
          <w:rFonts w:ascii="宋体" w:hAnsi="宋体"/>
          <w:kern w:val="0"/>
          <w:sz w:val="24"/>
        </w:rPr>
      </w:pPr>
      <w:r>
        <w:rPr>
          <w:rFonts w:hint="eastAsia" w:ascii="宋体" w:hAnsi="宋体"/>
          <w:kern w:val="0"/>
          <w:sz w:val="24"/>
        </w:rPr>
        <w:t xml:space="preserve">    1.4满足本磋商文件规定的其它要求。</w:t>
      </w:r>
    </w:p>
    <w:p>
      <w:pPr>
        <w:spacing w:line="560" w:lineRule="exact"/>
        <w:rPr>
          <w:rFonts w:ascii="宋体" w:hAnsi="宋体"/>
          <w:b/>
          <w:kern w:val="0"/>
          <w:sz w:val="24"/>
        </w:rPr>
      </w:pPr>
      <w:r>
        <w:rPr>
          <w:rFonts w:hint="eastAsia" w:ascii="宋体" w:hAnsi="宋体"/>
          <w:b/>
          <w:kern w:val="0"/>
          <w:sz w:val="24"/>
        </w:rPr>
        <w:t>2.投标报价说明</w:t>
      </w:r>
    </w:p>
    <w:p>
      <w:pPr>
        <w:spacing w:line="560" w:lineRule="exact"/>
        <w:rPr>
          <w:rFonts w:ascii="宋体" w:hAnsi="宋体"/>
          <w:kern w:val="0"/>
          <w:sz w:val="24"/>
        </w:rPr>
      </w:pPr>
      <w:r>
        <w:rPr>
          <w:rFonts w:hint="eastAsia" w:ascii="宋体" w:hAnsi="宋体" w:cs="宋体"/>
          <w:kern w:val="0"/>
          <w:sz w:val="24"/>
        </w:rPr>
        <w:t>2.1</w:t>
      </w:r>
      <w:r>
        <w:rPr>
          <w:rFonts w:hint="eastAsia" w:ascii="宋体" w:hAnsi="宋体"/>
          <w:kern w:val="0"/>
          <w:sz w:val="24"/>
        </w:rPr>
        <w:t>除磋商文件中另有规定外，计量单位为我国法定计量单位；投标报价、服务费结算一律使用人民币；</w:t>
      </w:r>
    </w:p>
    <w:p>
      <w:pPr>
        <w:spacing w:line="560" w:lineRule="exact"/>
        <w:rPr>
          <w:rFonts w:ascii="宋体" w:hAnsi="宋体"/>
          <w:kern w:val="0"/>
          <w:sz w:val="24"/>
        </w:rPr>
      </w:pPr>
      <w:r>
        <w:rPr>
          <w:rFonts w:hint="eastAsia" w:ascii="宋体" w:hAnsi="宋体"/>
          <w:kern w:val="0"/>
          <w:sz w:val="24"/>
        </w:rPr>
        <w:t>2.2</w:t>
      </w:r>
      <w:r>
        <w:rPr>
          <w:rFonts w:hint="eastAsia" w:ascii="宋体" w:hAnsi="宋体"/>
          <w:sz w:val="24"/>
        </w:rPr>
        <w:t>投标人自行承担投标文件编制、递交、现场踏勘所涉及的一切费用。</w:t>
      </w:r>
    </w:p>
    <w:p>
      <w:pPr>
        <w:spacing w:line="560" w:lineRule="exact"/>
        <w:rPr>
          <w:rFonts w:ascii="宋体" w:hAnsi="宋体" w:cs="宋体"/>
          <w:bCs/>
          <w:kern w:val="0"/>
          <w:sz w:val="24"/>
          <w:highlight w:val="yellow"/>
        </w:rPr>
      </w:pPr>
      <w:r>
        <w:rPr>
          <w:rFonts w:hint="eastAsia" w:ascii="宋体" w:hAnsi="宋体" w:cs="宋体"/>
          <w:bCs/>
          <w:kern w:val="0"/>
          <w:sz w:val="24"/>
        </w:rPr>
        <w:t>2.3投标报价为固定总价包干，包含但不限于设计费、设计变更费、合同期间设计方所产生的差旅费、税费（6%增值税专用发票）等完成本项目的所有费用。</w:t>
      </w:r>
      <w:r>
        <w:rPr>
          <w:rFonts w:hint="eastAsia" w:ascii="宋体" w:hAnsi="宋体"/>
          <w:bCs/>
          <w:kern w:val="0"/>
          <w:sz w:val="24"/>
        </w:rPr>
        <w:t>投标报价不得高于本项目概算，否则视为无效报价。</w:t>
      </w:r>
    </w:p>
    <w:p>
      <w:pPr>
        <w:spacing w:line="560" w:lineRule="exact"/>
        <w:rPr>
          <w:rFonts w:ascii="宋体" w:hAnsi="宋体"/>
          <w:sz w:val="24"/>
        </w:rPr>
      </w:pPr>
      <w:r>
        <w:rPr>
          <w:rFonts w:hint="eastAsia" w:ascii="宋体" w:hAnsi="宋体" w:cs="宋体"/>
          <w:color w:val="000000"/>
          <w:kern w:val="0"/>
          <w:sz w:val="24"/>
        </w:rPr>
        <w:t>3.</w:t>
      </w:r>
      <w:r>
        <w:rPr>
          <w:rFonts w:hint="eastAsia" w:ascii="宋体" w:hAnsi="宋体"/>
          <w:sz w:val="24"/>
        </w:rPr>
        <w:t>请投标人接到磋商文件后,认真审阅和全面理解磋商文件中所有的须知、条件、格式、条款，如果投标人的投标文件不符合磋商文件要求，该投标文件将被拒绝，责任自负。</w:t>
      </w:r>
    </w:p>
    <w:p>
      <w:pPr>
        <w:widowControl/>
        <w:spacing w:line="560" w:lineRule="exact"/>
        <w:ind w:firstLine="480"/>
        <w:jc w:val="left"/>
        <w:rPr>
          <w:rFonts w:ascii="宋体" w:hAnsi="宋体"/>
          <w:sz w:val="24"/>
        </w:rPr>
      </w:pPr>
      <w:r>
        <w:rPr>
          <w:rFonts w:hint="eastAsia" w:ascii="宋体" w:hAnsi="宋体" w:cs="宋体"/>
          <w:color w:val="000000"/>
          <w:kern w:val="0"/>
          <w:sz w:val="24"/>
        </w:rPr>
        <w:t>4.</w:t>
      </w:r>
      <w:r>
        <w:rPr>
          <w:rFonts w:hint="eastAsia" w:ascii="宋体" w:hAnsi="宋体"/>
          <w:sz w:val="24"/>
        </w:rPr>
        <w:t>投标人在交付投标保证金后，如出现串标、毁标、中标后不签订合同或在履行合同时出现违约行为，招标人有权没收投标保证金并记入百大集团招投标黑名单。</w:t>
      </w:r>
    </w:p>
    <w:p>
      <w:pPr>
        <w:spacing w:line="560" w:lineRule="exact"/>
        <w:ind w:firstLine="482" w:firstLineChars="200"/>
        <w:rPr>
          <w:rFonts w:ascii="宋体" w:hAnsi="宋体"/>
          <w:b/>
          <w:kern w:val="0"/>
          <w:sz w:val="24"/>
        </w:rPr>
      </w:pPr>
      <w:r>
        <w:rPr>
          <w:rFonts w:hint="eastAsia" w:ascii="宋体" w:hAnsi="宋体"/>
          <w:b/>
          <w:kern w:val="0"/>
          <w:sz w:val="24"/>
        </w:rPr>
        <w:t>二、投标文件的递交</w:t>
      </w:r>
    </w:p>
    <w:p>
      <w:pPr>
        <w:spacing w:line="560" w:lineRule="exact"/>
        <w:ind w:firstLine="480" w:firstLineChars="200"/>
        <w:rPr>
          <w:rFonts w:ascii="宋体" w:hAnsi="宋体"/>
          <w:kern w:val="0"/>
          <w:sz w:val="24"/>
        </w:rPr>
      </w:pPr>
      <w:r>
        <w:rPr>
          <w:rFonts w:hint="eastAsia" w:ascii="宋体" w:hAnsi="宋体"/>
          <w:kern w:val="0"/>
          <w:sz w:val="24"/>
        </w:rPr>
        <w:t>1.1投标文件应密封，并在封面注明投标项目名称、项目编号、投标单位等信息。</w:t>
      </w:r>
    </w:p>
    <w:p>
      <w:pPr>
        <w:spacing w:line="560" w:lineRule="exact"/>
        <w:rPr>
          <w:rFonts w:ascii="宋体" w:hAnsi="宋体"/>
          <w:kern w:val="0"/>
          <w:sz w:val="24"/>
        </w:rPr>
      </w:pPr>
      <w:r>
        <w:rPr>
          <w:rFonts w:hint="eastAsia" w:ascii="宋体" w:hAnsi="宋体"/>
          <w:kern w:val="0"/>
          <w:sz w:val="24"/>
        </w:rPr>
        <w:t xml:space="preserve">    1.2投标文件编制要求：本项目投标文件分为《技术标》和《商务标》。</w:t>
      </w:r>
    </w:p>
    <w:p>
      <w:pPr>
        <w:spacing w:line="560" w:lineRule="exact"/>
        <w:rPr>
          <w:rFonts w:ascii="宋体" w:hAnsi="宋体"/>
          <w:kern w:val="0"/>
          <w:sz w:val="24"/>
        </w:rPr>
      </w:pPr>
      <w:r>
        <w:rPr>
          <w:rFonts w:hint="eastAsia" w:ascii="宋体" w:hAnsi="宋体"/>
          <w:kern w:val="0"/>
          <w:sz w:val="24"/>
        </w:rPr>
        <w:t xml:space="preserve">    1.2.1《技术标》投标文件内包含：格式1投标承诺书、格式2投标单位法人（负责人）和授权代表身份证及联系方式、格式3投标人股权结构说明书、格式4投标资格证明文件（含设计（服务）方案等）、格式5投标承诺事项。</w:t>
      </w:r>
    </w:p>
    <w:p>
      <w:pPr>
        <w:spacing w:line="560" w:lineRule="exact"/>
        <w:rPr>
          <w:rFonts w:ascii="宋体" w:hAnsi="宋体"/>
          <w:kern w:val="0"/>
          <w:sz w:val="24"/>
        </w:rPr>
      </w:pPr>
      <w:r>
        <w:rPr>
          <w:rFonts w:hint="eastAsia" w:ascii="宋体" w:hAnsi="宋体"/>
          <w:kern w:val="0"/>
          <w:sz w:val="24"/>
        </w:rPr>
        <w:t xml:space="preserve">    1.2.2《商务标》投标文件内包含：格式6开标一览表、格式7分项报价表、格式8</w:t>
      </w:r>
      <w:r>
        <w:rPr>
          <w:rFonts w:hint="eastAsia" w:ascii="宋体" w:hAnsi="宋体"/>
          <w:kern w:val="0"/>
          <w:sz w:val="24"/>
          <w:lang w:val="zh-CN"/>
        </w:rPr>
        <w:t>投标保证金退还申请书</w:t>
      </w:r>
      <w:r>
        <w:rPr>
          <w:rFonts w:hint="eastAsia" w:ascii="宋体" w:hAnsi="宋体"/>
          <w:kern w:val="0"/>
          <w:sz w:val="24"/>
        </w:rPr>
        <w:t>。</w:t>
      </w:r>
    </w:p>
    <w:p>
      <w:pPr>
        <w:spacing w:line="560" w:lineRule="exact"/>
        <w:rPr>
          <w:rFonts w:ascii="宋体" w:hAnsi="宋体"/>
          <w:kern w:val="0"/>
          <w:sz w:val="24"/>
        </w:rPr>
      </w:pPr>
      <w:r>
        <w:rPr>
          <w:rFonts w:hint="eastAsia" w:ascii="宋体" w:hAnsi="宋体"/>
          <w:kern w:val="0"/>
          <w:sz w:val="24"/>
        </w:rPr>
        <w:t xml:space="preserve">    1.2.3《技术标》和《商务标》须胶装，正、副本各一份，共四份。先提交《技术标》正副本，评审通过后提交《商务标》正副本。</w:t>
      </w:r>
    </w:p>
    <w:p>
      <w:pPr>
        <w:spacing w:line="560" w:lineRule="exact"/>
        <w:ind w:firstLine="480" w:firstLineChars="200"/>
        <w:rPr>
          <w:rFonts w:ascii="宋体" w:hAnsi="宋体"/>
          <w:kern w:val="0"/>
          <w:sz w:val="24"/>
        </w:rPr>
      </w:pPr>
      <w:r>
        <w:rPr>
          <w:rFonts w:hint="eastAsia" w:ascii="宋体" w:hAnsi="宋体"/>
          <w:kern w:val="0"/>
          <w:sz w:val="24"/>
        </w:rPr>
        <w:t>1.2.4以上投标文件内文字、数字及公章须清晰完整，如模糊不清无法辨认可能导致投标无效。</w:t>
      </w:r>
    </w:p>
    <w:p>
      <w:pPr>
        <w:spacing w:line="560" w:lineRule="exact"/>
        <w:rPr>
          <w:rFonts w:ascii="宋体" w:hAnsi="宋体"/>
          <w:kern w:val="0"/>
          <w:sz w:val="24"/>
        </w:rPr>
      </w:pPr>
      <w:r>
        <w:rPr>
          <w:rFonts w:hint="eastAsia" w:ascii="宋体" w:hAnsi="宋体"/>
          <w:kern w:val="0"/>
          <w:sz w:val="24"/>
        </w:rPr>
        <w:t xml:space="preserve">    2.投标文件的递交、修改和撤回。</w:t>
      </w:r>
    </w:p>
    <w:p>
      <w:pPr>
        <w:spacing w:line="560" w:lineRule="exact"/>
        <w:ind w:firstLine="480"/>
        <w:rPr>
          <w:rFonts w:ascii="宋体" w:hAnsi="宋体"/>
          <w:kern w:val="0"/>
          <w:sz w:val="24"/>
        </w:rPr>
      </w:pPr>
      <w:r>
        <w:rPr>
          <w:rFonts w:hint="eastAsia" w:ascii="宋体" w:hAnsi="宋体"/>
          <w:kern w:val="0"/>
          <w:sz w:val="24"/>
        </w:rPr>
        <w:t>2.1投标人应在开标前将密封合格的投标文件送达开标现场。</w:t>
      </w:r>
    </w:p>
    <w:p>
      <w:pPr>
        <w:spacing w:line="560" w:lineRule="exact"/>
        <w:ind w:firstLine="480"/>
        <w:rPr>
          <w:rFonts w:ascii="宋体" w:hAnsi="宋体"/>
          <w:kern w:val="0"/>
          <w:sz w:val="24"/>
        </w:rPr>
      </w:pPr>
      <w:r>
        <w:rPr>
          <w:rFonts w:hint="eastAsia" w:ascii="宋体" w:hAnsi="宋体"/>
          <w:kern w:val="0"/>
          <w:sz w:val="24"/>
        </w:rPr>
        <w:t>2.2投标人递交投标文件后，不得修改或撤回投标文件。</w:t>
      </w:r>
    </w:p>
    <w:p>
      <w:pPr>
        <w:widowControl/>
        <w:spacing w:line="560" w:lineRule="exact"/>
        <w:jc w:val="left"/>
        <w:rPr>
          <w:rFonts w:ascii="宋体" w:hAnsi="宋体"/>
          <w:b/>
          <w:kern w:val="0"/>
          <w:sz w:val="24"/>
        </w:rPr>
      </w:pPr>
      <w:r>
        <w:rPr>
          <w:rFonts w:hint="eastAsia" w:ascii="宋体" w:hAnsi="宋体"/>
          <w:b/>
          <w:kern w:val="0"/>
          <w:sz w:val="24"/>
        </w:rPr>
        <w:t xml:space="preserve">    三、开标、评标和定标</w:t>
      </w:r>
    </w:p>
    <w:p>
      <w:pPr>
        <w:spacing w:line="560" w:lineRule="exact"/>
        <w:rPr>
          <w:rFonts w:ascii="宋体" w:hAnsi="宋体"/>
          <w:kern w:val="0"/>
          <w:sz w:val="24"/>
        </w:rPr>
      </w:pPr>
      <w:r>
        <w:rPr>
          <w:rFonts w:hint="eastAsia" w:ascii="宋体" w:hAnsi="宋体"/>
          <w:kern w:val="0"/>
          <w:sz w:val="24"/>
        </w:rPr>
        <w:t xml:space="preserve">    1.评标原则：遵循国家有关法律、法规，客观、公正地对待所有投标人，以磋商文件作为评标的基本依据；凡涉及审查、评估和比较投标文件以及定标等意见，均不得向投标人及与评标无关的人员透露。</w:t>
      </w:r>
    </w:p>
    <w:p>
      <w:pPr>
        <w:spacing w:line="560" w:lineRule="exact"/>
        <w:rPr>
          <w:rFonts w:ascii="宋体" w:hAnsi="宋体"/>
          <w:kern w:val="0"/>
          <w:sz w:val="24"/>
        </w:rPr>
      </w:pPr>
      <w:r>
        <w:rPr>
          <w:rFonts w:hint="eastAsia" w:ascii="宋体" w:hAnsi="宋体" w:cs="宋体"/>
          <w:kern w:val="0"/>
          <w:sz w:val="24"/>
        </w:rPr>
        <w:t>2.</w:t>
      </w:r>
      <w:r>
        <w:rPr>
          <w:rFonts w:hint="eastAsia" w:ascii="宋体" w:hAnsi="宋体"/>
          <w:kern w:val="0"/>
          <w:sz w:val="24"/>
        </w:rPr>
        <w:t>评标委员会按磋商邀请中确定的时间和地点开标，届时请投标人授权代表携带《投标文件》到开标现场参与开标，授权代表须出示有效身份证件，证件姓名须与投标文件内授权代表姓名一致，否则投标无效。</w:t>
      </w:r>
      <w:r>
        <w:rPr>
          <w:rFonts w:hint="eastAsia" w:ascii="宋体" w:hAnsi="宋体" w:cs="宋体"/>
          <w:kern w:val="0"/>
          <w:sz w:val="24"/>
        </w:rPr>
        <w:t>投标人授权代表逾期未到达开标现场，且未提前书面说明</w:t>
      </w:r>
      <w:r>
        <w:rPr>
          <w:rFonts w:hint="eastAsia" w:ascii="宋体" w:hAnsi="宋体" w:cs="宋体"/>
          <w:color w:val="000000"/>
          <w:kern w:val="0"/>
          <w:sz w:val="24"/>
        </w:rPr>
        <w:t>将视为弃权，投标保证金不予返还。</w:t>
      </w:r>
    </w:p>
    <w:p>
      <w:pPr>
        <w:spacing w:line="560" w:lineRule="exact"/>
        <w:rPr>
          <w:rFonts w:ascii="宋体" w:hAnsi="宋体"/>
          <w:kern w:val="0"/>
          <w:sz w:val="24"/>
        </w:rPr>
      </w:pPr>
      <w:r>
        <w:rPr>
          <w:rFonts w:hint="eastAsia" w:ascii="宋体" w:hAnsi="宋体"/>
          <w:kern w:val="0"/>
          <w:sz w:val="24"/>
        </w:rPr>
        <w:t xml:space="preserve">    3.开标时，</w:t>
      </w:r>
      <w:r>
        <w:rPr>
          <w:rFonts w:hint="eastAsia" w:ascii="宋体" w:hAnsi="宋体" w:cs="宋体"/>
          <w:kern w:val="0"/>
          <w:sz w:val="24"/>
        </w:rPr>
        <w:t>评委会根据流程依次查询投标人网上资信情况，其后投标人按顺序依次进行设计方案讲解并解答评委询问</w:t>
      </w:r>
      <w:r>
        <w:rPr>
          <w:rFonts w:hint="eastAsia" w:ascii="宋体" w:hAnsi="宋体"/>
          <w:kern w:val="0"/>
          <w:sz w:val="24"/>
        </w:rPr>
        <w:t>。</w:t>
      </w:r>
    </w:p>
    <w:p>
      <w:pPr>
        <w:spacing w:line="560" w:lineRule="exact"/>
        <w:rPr>
          <w:rFonts w:ascii="宋体" w:hAnsi="宋体"/>
          <w:b/>
          <w:kern w:val="0"/>
          <w:sz w:val="24"/>
        </w:rPr>
      </w:pPr>
      <w:r>
        <w:rPr>
          <w:rFonts w:hint="eastAsia" w:ascii="宋体" w:hAnsi="宋体"/>
          <w:b/>
          <w:kern w:val="0"/>
          <w:sz w:val="24"/>
        </w:rPr>
        <w:t xml:space="preserve">    4.</w:t>
      </w:r>
      <w:r>
        <w:rPr>
          <w:rFonts w:hint="eastAsia" w:ascii="宋体" w:hAnsi="宋体" w:cs="宋体"/>
          <w:b/>
          <w:color w:val="000000"/>
          <w:kern w:val="0"/>
          <w:sz w:val="24"/>
        </w:rPr>
        <w:t>本项目评标采用综合评分法，即资格初审通过后商务标、技术标合计得分最高的投标人为中标候选人。（详见第四章《评标办法》）</w:t>
      </w:r>
    </w:p>
    <w:p>
      <w:pPr>
        <w:spacing w:line="560" w:lineRule="exact"/>
        <w:rPr>
          <w:rFonts w:ascii="宋体" w:hAnsi="宋体"/>
          <w:b/>
          <w:kern w:val="0"/>
          <w:sz w:val="24"/>
        </w:rPr>
      </w:pPr>
      <w:r>
        <w:rPr>
          <w:rFonts w:hint="eastAsia" w:ascii="宋体" w:hAnsi="宋体" w:cs="宋体"/>
          <w:kern w:val="0"/>
          <w:sz w:val="24"/>
        </w:rPr>
        <w:t xml:space="preserve">    5.</w:t>
      </w:r>
      <w:r>
        <w:rPr>
          <w:rFonts w:hint="eastAsia" w:ascii="宋体" w:hAnsi="宋体"/>
          <w:kern w:val="0"/>
          <w:sz w:val="24"/>
        </w:rPr>
        <w:t>招标人不承诺报价最低者可以中标，也不向落标的投标人退还投标文件。</w:t>
      </w:r>
    </w:p>
    <w:p>
      <w:pPr>
        <w:spacing w:line="560" w:lineRule="exact"/>
        <w:ind w:firstLine="480" w:firstLineChars="200"/>
        <w:rPr>
          <w:rFonts w:ascii="宋体" w:hAnsi="宋体" w:cs="宋体"/>
          <w:b/>
          <w:color w:val="000000"/>
          <w:kern w:val="0"/>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磋商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磋商文件要求，由评委会做出最终评审通过或未通过。</w:t>
      </w:r>
    </w:p>
    <w:p>
      <w:pPr>
        <w:spacing w:line="560" w:lineRule="exact"/>
        <w:ind w:firstLine="482" w:firstLineChars="200"/>
        <w:rPr>
          <w:rFonts w:ascii="宋体" w:hAnsi="宋体"/>
          <w:b/>
          <w:kern w:val="0"/>
          <w:sz w:val="24"/>
        </w:rPr>
      </w:pPr>
      <w:r>
        <w:rPr>
          <w:rFonts w:hint="eastAsia" w:ascii="宋体" w:hAnsi="宋体"/>
          <w:b/>
          <w:kern w:val="0"/>
          <w:sz w:val="24"/>
        </w:rPr>
        <w:t>7.有下列情况之一的投标文件为无效投标文件：</w:t>
      </w:r>
    </w:p>
    <w:p>
      <w:pPr>
        <w:spacing w:line="560" w:lineRule="exact"/>
        <w:rPr>
          <w:rFonts w:ascii="宋体" w:hAnsi="宋体"/>
          <w:kern w:val="0"/>
          <w:sz w:val="24"/>
        </w:rPr>
      </w:pPr>
      <w:r>
        <w:rPr>
          <w:rFonts w:hint="eastAsia" w:ascii="宋体" w:hAnsi="宋体"/>
          <w:kern w:val="0"/>
          <w:sz w:val="24"/>
        </w:rPr>
        <w:t xml:space="preserve">    7.1未按本须知投标要求进行报价的；</w:t>
      </w:r>
    </w:p>
    <w:p>
      <w:pPr>
        <w:spacing w:line="560" w:lineRule="exact"/>
        <w:rPr>
          <w:rFonts w:ascii="宋体" w:hAnsi="宋体"/>
          <w:kern w:val="0"/>
          <w:sz w:val="24"/>
        </w:rPr>
      </w:pPr>
      <w:r>
        <w:rPr>
          <w:rFonts w:hint="eastAsia" w:ascii="宋体" w:hAnsi="宋体"/>
          <w:kern w:val="0"/>
          <w:sz w:val="24"/>
        </w:rPr>
        <w:t xml:space="preserve">    7.2未加盖投标人公章的；</w:t>
      </w:r>
    </w:p>
    <w:p>
      <w:pPr>
        <w:spacing w:line="560" w:lineRule="exact"/>
        <w:rPr>
          <w:rFonts w:ascii="宋体" w:hAnsi="宋体"/>
          <w:kern w:val="0"/>
          <w:sz w:val="24"/>
        </w:rPr>
      </w:pPr>
      <w:r>
        <w:rPr>
          <w:rFonts w:hint="eastAsia" w:ascii="宋体" w:hAnsi="宋体"/>
          <w:kern w:val="0"/>
          <w:sz w:val="24"/>
        </w:rPr>
        <w:t xml:space="preserve">    7.3投标文件无法定代表人或委托代理人签字、盖章的；</w:t>
      </w:r>
    </w:p>
    <w:p>
      <w:pPr>
        <w:spacing w:line="560" w:lineRule="exact"/>
        <w:rPr>
          <w:rFonts w:ascii="宋体" w:hAnsi="宋体"/>
          <w:kern w:val="0"/>
          <w:sz w:val="24"/>
        </w:rPr>
      </w:pPr>
      <w:r>
        <w:rPr>
          <w:rFonts w:hint="eastAsia" w:ascii="宋体" w:hAnsi="宋体"/>
          <w:kern w:val="0"/>
          <w:sz w:val="24"/>
        </w:rPr>
        <w:t xml:space="preserve">    7.4不满足磋商文件投标人要求的；</w:t>
      </w:r>
    </w:p>
    <w:p>
      <w:pPr>
        <w:spacing w:line="560" w:lineRule="exact"/>
        <w:rPr>
          <w:rFonts w:ascii="宋体" w:hAnsi="宋体"/>
          <w:kern w:val="0"/>
          <w:sz w:val="24"/>
        </w:rPr>
      </w:pPr>
      <w:r>
        <w:rPr>
          <w:rFonts w:hint="eastAsia" w:ascii="宋体" w:hAnsi="宋体"/>
          <w:kern w:val="0"/>
          <w:sz w:val="24"/>
        </w:rPr>
        <w:t xml:space="preserve">    7.5严重违反招标纪律的；</w:t>
      </w:r>
    </w:p>
    <w:p>
      <w:pPr>
        <w:spacing w:line="560" w:lineRule="exact"/>
        <w:rPr>
          <w:rFonts w:ascii="宋体" w:hAnsi="宋体"/>
          <w:kern w:val="0"/>
          <w:sz w:val="24"/>
        </w:rPr>
      </w:pPr>
      <w:r>
        <w:rPr>
          <w:rFonts w:hint="eastAsia" w:ascii="宋体" w:hAnsi="宋体"/>
          <w:kern w:val="0"/>
          <w:sz w:val="24"/>
        </w:rPr>
        <w:t xml:space="preserve">    7.6投标文件字迹潦草、模糊致使无法辨认的；</w:t>
      </w:r>
    </w:p>
    <w:p>
      <w:pPr>
        <w:spacing w:line="560" w:lineRule="exact"/>
        <w:rPr>
          <w:rFonts w:ascii="宋体" w:hAnsi="宋体"/>
          <w:kern w:val="0"/>
          <w:sz w:val="24"/>
        </w:rPr>
      </w:pPr>
      <w:r>
        <w:rPr>
          <w:rFonts w:hint="eastAsia" w:ascii="宋体" w:hAnsi="宋体"/>
          <w:kern w:val="0"/>
          <w:sz w:val="24"/>
        </w:rPr>
        <w:t xml:space="preserve">    7.7投标单位在一份投标文件中，报有两个或多个不同报价，且未书面声明以哪个报价为准的；</w:t>
      </w:r>
    </w:p>
    <w:p>
      <w:pPr>
        <w:spacing w:line="560" w:lineRule="exact"/>
        <w:rPr>
          <w:rFonts w:ascii="宋体" w:hAnsi="宋体"/>
          <w:kern w:val="0"/>
          <w:sz w:val="24"/>
        </w:rPr>
      </w:pPr>
      <w:r>
        <w:rPr>
          <w:rFonts w:hint="eastAsia" w:ascii="宋体" w:hAnsi="宋体"/>
          <w:kern w:val="0"/>
          <w:sz w:val="24"/>
        </w:rPr>
        <w:t xml:space="preserve">    7.8投标文件存在错项、缺漏项的；</w:t>
      </w:r>
    </w:p>
    <w:p>
      <w:pPr>
        <w:spacing w:line="560" w:lineRule="exact"/>
        <w:rPr>
          <w:rFonts w:ascii="宋体" w:hAnsi="宋体"/>
          <w:kern w:val="0"/>
          <w:sz w:val="24"/>
        </w:rPr>
      </w:pPr>
      <w:r>
        <w:rPr>
          <w:rFonts w:hint="eastAsia" w:ascii="宋体" w:hAnsi="宋体"/>
          <w:kern w:val="0"/>
          <w:sz w:val="24"/>
        </w:rPr>
        <w:t xml:space="preserve">    7.9评委委员会评议认为构成无效投标的其他情况；</w:t>
      </w:r>
    </w:p>
    <w:p>
      <w:pPr>
        <w:spacing w:line="560" w:lineRule="exact"/>
        <w:rPr>
          <w:rFonts w:ascii="宋体" w:hAnsi="宋体"/>
          <w:kern w:val="0"/>
          <w:sz w:val="24"/>
        </w:rPr>
      </w:pPr>
      <w:r>
        <w:rPr>
          <w:rFonts w:hint="eastAsia" w:ascii="宋体" w:hAnsi="宋体"/>
          <w:kern w:val="0"/>
          <w:sz w:val="24"/>
        </w:rPr>
        <w:t xml:space="preserve">    7.10其他未实质性响应磋商文件要求的。</w:t>
      </w:r>
    </w:p>
    <w:p>
      <w:pPr>
        <w:spacing w:line="560" w:lineRule="exact"/>
        <w:ind w:firstLine="482" w:firstLineChars="200"/>
        <w:rPr>
          <w:rFonts w:ascii="宋体" w:hAnsi="宋体"/>
          <w:b/>
          <w:kern w:val="0"/>
          <w:sz w:val="24"/>
        </w:rPr>
      </w:pPr>
      <w:r>
        <w:rPr>
          <w:rFonts w:hint="eastAsia" w:ascii="宋体" w:hAnsi="宋体"/>
          <w:b/>
          <w:kern w:val="0"/>
          <w:sz w:val="24"/>
        </w:rPr>
        <w:t>8.二次招标</w:t>
      </w:r>
    </w:p>
    <w:p>
      <w:pPr>
        <w:spacing w:line="560" w:lineRule="exact"/>
        <w:ind w:firstLine="480"/>
        <w:rPr>
          <w:rFonts w:ascii="宋体" w:hAnsi="宋体"/>
          <w:kern w:val="0"/>
          <w:sz w:val="24"/>
        </w:rPr>
      </w:pPr>
      <w:r>
        <w:rPr>
          <w:rFonts w:hint="eastAsia" w:ascii="宋体" w:hAnsi="宋体"/>
          <w:kern w:val="0"/>
          <w:sz w:val="24"/>
        </w:rPr>
        <w:t>8.1如项目流标，招标人根据情况可能发布二次公告，进行二次招标。</w:t>
      </w:r>
    </w:p>
    <w:p>
      <w:pPr>
        <w:spacing w:line="560" w:lineRule="exact"/>
        <w:ind w:firstLine="480"/>
        <w:rPr>
          <w:rFonts w:ascii="宋体" w:hAnsi="宋体"/>
          <w:kern w:val="0"/>
          <w:sz w:val="24"/>
        </w:rPr>
      </w:pPr>
      <w:r>
        <w:rPr>
          <w:rFonts w:hint="eastAsia" w:ascii="宋体" w:hAnsi="宋体"/>
          <w:kern w:val="0"/>
          <w:sz w:val="24"/>
        </w:rPr>
        <w:t>8.2二次招标可能调整前次招标的各项规定及要求，包括采购方式、项目预算、投标人资格、付款方式、采购需求、评标办法等。投标人参与二次招标，应及时获取新发布的磋商文件，以新发布的磋商文件为依据，进行报名资质审查，审查通过后编制投标文件。</w:t>
      </w:r>
    </w:p>
    <w:p>
      <w:pPr>
        <w:spacing w:line="56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8.3前次招标流标后，投标人如继续参加二次投标，投标保证金无需重复缴纳。如不参加二次招标的的投标人须书面告知招标人，招标人在规定时间内予以退还投标保证金。</w:t>
      </w:r>
    </w:p>
    <w:p>
      <w:pPr>
        <w:spacing w:line="560" w:lineRule="exact"/>
        <w:rPr>
          <w:rFonts w:ascii="宋体" w:hAnsi="宋体"/>
          <w:kern w:val="0"/>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9.招标人依据公开、公平、公正原则进行评定标，投标人若认为本次招标过程中存在有违“三公”原则的，可向监标人书面投诉（只接受书面投诉）；联系地址：合肥市黄山路596号A楼1509室  百大集团纪委案管审理室。</w:t>
      </w:r>
    </w:p>
    <w:p>
      <w:pPr>
        <w:spacing w:line="560" w:lineRule="exact"/>
        <w:rPr>
          <w:rFonts w:ascii="宋体" w:hAnsi="宋体"/>
          <w:b/>
          <w:kern w:val="0"/>
          <w:sz w:val="24"/>
        </w:rPr>
      </w:pPr>
      <w:r>
        <w:rPr>
          <w:rFonts w:hint="eastAsia" w:ascii="宋体" w:hAnsi="宋体"/>
          <w:b/>
          <w:kern w:val="0"/>
          <w:sz w:val="24"/>
        </w:rPr>
        <w:t xml:space="preserve">    四、投标文件的澄清</w:t>
      </w:r>
    </w:p>
    <w:p>
      <w:pPr>
        <w:spacing w:line="56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6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60" w:lineRule="exact"/>
        <w:rPr>
          <w:rFonts w:ascii="宋体" w:hAnsi="宋体"/>
          <w:b/>
          <w:kern w:val="0"/>
          <w:sz w:val="24"/>
        </w:rPr>
      </w:pPr>
      <w:r>
        <w:rPr>
          <w:rFonts w:hint="eastAsia" w:ascii="宋体" w:hAnsi="宋体"/>
          <w:b/>
          <w:kern w:val="0"/>
          <w:sz w:val="24"/>
        </w:rPr>
        <w:t xml:space="preserve">    五、合同的确定</w:t>
      </w:r>
    </w:p>
    <w:p>
      <w:pPr>
        <w:spacing w:line="560" w:lineRule="exact"/>
        <w:rPr>
          <w:rFonts w:ascii="宋体" w:hAnsi="宋体"/>
          <w:b/>
          <w:kern w:val="0"/>
          <w:sz w:val="24"/>
        </w:rPr>
      </w:pPr>
      <w:r>
        <w:rPr>
          <w:rFonts w:hint="eastAsia" w:ascii="宋体" w:hAnsi="宋体"/>
          <w:b/>
          <w:kern w:val="0"/>
          <w:sz w:val="24"/>
        </w:rPr>
        <w:t xml:space="preserve">  </w:t>
      </w:r>
      <w:r>
        <w:rPr>
          <w:rFonts w:hint="eastAsia" w:ascii="宋体" w:hAnsi="宋体"/>
          <w:b/>
          <w:kern w:val="0"/>
          <w:sz w:val="24"/>
          <w:lang w:val="en-US" w:eastAsia="zh-CN"/>
        </w:rPr>
        <w:t xml:space="preserve">  </w:t>
      </w:r>
      <w:r>
        <w:rPr>
          <w:rFonts w:hint="eastAsia" w:ascii="宋体" w:hAnsi="宋体"/>
          <w:b/>
          <w:kern w:val="0"/>
          <w:sz w:val="24"/>
        </w:rPr>
        <w:t>1.合同签订</w:t>
      </w:r>
    </w:p>
    <w:p>
      <w:pPr>
        <w:spacing w:line="560" w:lineRule="exact"/>
        <w:rPr>
          <w:rFonts w:ascii="宋体" w:hAnsi="宋体"/>
          <w:kern w:val="0"/>
          <w:sz w:val="24"/>
        </w:rPr>
      </w:pPr>
      <w:r>
        <w:rPr>
          <w:rFonts w:hint="eastAsia" w:ascii="宋体" w:hAnsi="宋体"/>
          <w:kern w:val="0"/>
          <w:sz w:val="24"/>
        </w:rPr>
        <w:t xml:space="preserve">    1.1确定中标人及相关事宜后，甲方（招标人）、乙方（中标人）签订合同。</w:t>
      </w:r>
    </w:p>
    <w:p>
      <w:pPr>
        <w:spacing w:line="560" w:lineRule="exact"/>
        <w:rPr>
          <w:rFonts w:ascii="宋体" w:hAnsi="宋体"/>
          <w:kern w:val="0"/>
          <w:sz w:val="24"/>
        </w:rPr>
      </w:pPr>
      <w:r>
        <w:rPr>
          <w:rFonts w:hint="eastAsia" w:ascii="宋体" w:hAnsi="宋体"/>
          <w:kern w:val="0"/>
          <w:sz w:val="24"/>
        </w:rPr>
        <w:t xml:space="preserve">    1.2磋商文件、中标人的投标文件（含澄清文件）均为签订合同不可分割的一部分。</w:t>
      </w:r>
    </w:p>
    <w:p>
      <w:pPr>
        <w:spacing w:line="56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6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60" w:lineRule="exact"/>
        <w:rPr>
          <w:rFonts w:ascii="宋体" w:hAnsi="宋体"/>
          <w:b/>
          <w:kern w:val="0"/>
          <w:sz w:val="24"/>
        </w:rPr>
      </w:pPr>
      <w:r>
        <w:rPr>
          <w:rFonts w:hint="eastAsia" w:ascii="宋体" w:hAnsi="宋体"/>
          <w:b/>
          <w:kern w:val="0"/>
          <w:sz w:val="24"/>
        </w:rPr>
        <w:t xml:space="preserve">  </w:t>
      </w:r>
      <w:r>
        <w:rPr>
          <w:rFonts w:hint="eastAsia" w:ascii="宋体" w:hAnsi="宋体"/>
          <w:b/>
          <w:kern w:val="0"/>
          <w:sz w:val="24"/>
          <w:lang w:val="en-US" w:eastAsia="zh-CN"/>
        </w:rPr>
        <w:t xml:space="preserve">  </w:t>
      </w:r>
      <w:bookmarkStart w:id="1" w:name="_GoBack"/>
      <w:bookmarkEnd w:id="1"/>
      <w:r>
        <w:rPr>
          <w:rFonts w:hint="eastAsia" w:ascii="宋体" w:hAnsi="宋体"/>
          <w:b/>
          <w:kern w:val="0"/>
          <w:sz w:val="24"/>
        </w:rPr>
        <w:t>2.合同条款</w:t>
      </w:r>
    </w:p>
    <w:p>
      <w:pPr>
        <w:spacing w:line="560" w:lineRule="exact"/>
        <w:rPr>
          <w:rFonts w:ascii="宋体" w:hAnsi="宋体"/>
          <w:kern w:val="0"/>
          <w:sz w:val="24"/>
        </w:rPr>
      </w:pPr>
      <w:r>
        <w:rPr>
          <w:rFonts w:hint="eastAsia" w:ascii="宋体" w:hAnsi="宋体"/>
          <w:kern w:val="0"/>
          <w:sz w:val="24"/>
        </w:rPr>
        <w:t xml:space="preserve">    2.1详见格式9《合同模板》，合同签订以此为准。</w:t>
      </w:r>
    </w:p>
    <w:p>
      <w:pPr>
        <w:spacing w:line="560" w:lineRule="exact"/>
        <w:rPr>
          <w:rFonts w:ascii="宋体" w:hAnsi="宋体"/>
          <w:b/>
          <w:kern w:val="0"/>
          <w:sz w:val="24"/>
        </w:rPr>
      </w:pPr>
      <w:r>
        <w:rPr>
          <w:rFonts w:hint="eastAsia" w:ascii="宋体" w:hAnsi="宋体"/>
          <w:b/>
          <w:kern w:val="0"/>
          <w:sz w:val="24"/>
        </w:rPr>
        <w:t xml:space="preserve">    3.合同执行</w:t>
      </w:r>
    </w:p>
    <w:p>
      <w:pPr>
        <w:spacing w:line="560" w:lineRule="exact"/>
        <w:rPr>
          <w:rFonts w:ascii="宋体" w:hAnsi="宋体"/>
          <w:kern w:val="0"/>
          <w:sz w:val="24"/>
        </w:rPr>
      </w:pPr>
      <w:r>
        <w:rPr>
          <w:rFonts w:hint="eastAsia" w:ascii="宋体" w:hAnsi="宋体"/>
          <w:kern w:val="0"/>
          <w:sz w:val="24"/>
        </w:rPr>
        <w:t xml:space="preserve">    3.1甲乙双方严格按合同条款执行。</w:t>
      </w:r>
    </w:p>
    <w:p>
      <w:pPr>
        <w:spacing w:line="560" w:lineRule="exact"/>
        <w:rPr>
          <w:rFonts w:ascii="宋体" w:hAnsi="宋体"/>
          <w:kern w:val="0"/>
          <w:sz w:val="24"/>
        </w:rPr>
      </w:pPr>
      <w:r>
        <w:rPr>
          <w:rFonts w:hint="eastAsia" w:ascii="宋体" w:hAnsi="宋体"/>
          <w:kern w:val="0"/>
          <w:sz w:val="24"/>
        </w:rPr>
        <w:t xml:space="preserve">    3.2因特殊原因不能按时交货，乙方应在合同规定的交货期限内书面告知甲方。</w:t>
      </w:r>
    </w:p>
    <w:p>
      <w:pPr>
        <w:spacing w:line="560" w:lineRule="exact"/>
        <w:ind w:firstLine="480"/>
        <w:rPr>
          <w:rFonts w:ascii="宋体" w:hAnsi="宋体"/>
          <w:kern w:val="0"/>
          <w:sz w:val="24"/>
        </w:rPr>
      </w:pPr>
      <w:r>
        <w:rPr>
          <w:rFonts w:hint="eastAsia" w:ascii="宋体" w:hAnsi="宋体"/>
          <w:kern w:val="0"/>
          <w:sz w:val="24"/>
        </w:rPr>
        <w:t>3.3如需变更合同内容，甲乙双方协商后再定。</w:t>
      </w:r>
    </w:p>
    <w:p>
      <w:pPr>
        <w:spacing w:line="560" w:lineRule="exact"/>
        <w:ind w:firstLine="480"/>
        <w:rPr>
          <w:rFonts w:ascii="宋体" w:hAnsi="宋体"/>
          <w:b/>
          <w:kern w:val="0"/>
          <w:sz w:val="24"/>
          <w:highlight w:val="yellow"/>
        </w:rPr>
      </w:pPr>
      <w:r>
        <w:rPr>
          <w:rFonts w:hint="eastAsia" w:ascii="宋体" w:hAnsi="宋体"/>
          <w:kern w:val="0"/>
          <w:sz w:val="24"/>
        </w:rPr>
        <w:t>3.4无特殊原因乙方拒不履行合同，招标人可单方面取消其中标资格，并追究违约责任，同时履约保证金不予退还，且招标人将拒不接洽随后的同类型招标。</w:t>
      </w:r>
    </w:p>
    <w:p>
      <w:pPr>
        <w:spacing w:line="580" w:lineRule="exact"/>
        <w:ind w:firstLine="480" w:firstLineChars="200"/>
        <w:jc w:val="left"/>
        <w:rPr>
          <w:rFonts w:ascii="宋体" w:hAnsi="宋体"/>
          <w:kern w:val="0"/>
          <w:sz w:val="24"/>
        </w:rPr>
      </w:pPr>
      <w:r>
        <w:rPr>
          <w:rFonts w:hint="eastAsia" w:ascii="宋体" w:hAnsi="宋体"/>
          <w:kern w:val="0"/>
          <w:sz w:val="24"/>
        </w:rPr>
        <w:br w:type="page"/>
      </w:r>
    </w:p>
    <w:p>
      <w:pPr>
        <w:spacing w:line="580" w:lineRule="exact"/>
        <w:jc w:val="center"/>
        <w:rPr>
          <w:rFonts w:ascii="宋体" w:hAnsi="宋体"/>
          <w:b/>
          <w:kern w:val="0"/>
          <w:sz w:val="30"/>
          <w:szCs w:val="30"/>
        </w:rPr>
      </w:pPr>
      <w:r>
        <w:rPr>
          <w:rFonts w:hint="eastAsia" w:ascii="宋体" w:hAnsi="宋体"/>
          <w:b/>
          <w:kern w:val="0"/>
          <w:sz w:val="30"/>
          <w:szCs w:val="30"/>
        </w:rPr>
        <w:t>第三章  招标需求</w:t>
      </w:r>
    </w:p>
    <w:p>
      <w:pPr>
        <w:spacing w:line="560" w:lineRule="exact"/>
        <w:ind w:firstLine="480" w:firstLineChars="200"/>
        <w:rPr>
          <w:rFonts w:ascii="宋体" w:hAnsi="宋体" w:cs="宋体"/>
          <w:sz w:val="24"/>
          <w:szCs w:val="28"/>
        </w:rPr>
      </w:pPr>
      <w:r>
        <w:rPr>
          <w:rFonts w:hint="eastAsia" w:ascii="宋体" w:hAnsi="宋体" w:cs="宋体"/>
          <w:sz w:val="24"/>
          <w:szCs w:val="28"/>
        </w:rPr>
        <w:t>前注：</w:t>
      </w:r>
    </w:p>
    <w:p>
      <w:pPr>
        <w:spacing w:line="560" w:lineRule="exact"/>
        <w:ind w:firstLine="480" w:firstLineChars="200"/>
        <w:rPr>
          <w:rFonts w:ascii="宋体" w:hAnsi="宋体" w:cs="宋体"/>
          <w:sz w:val="24"/>
        </w:rPr>
      </w:pPr>
      <w:r>
        <w:rPr>
          <w:rFonts w:hint="eastAsia" w:ascii="宋体" w:hAnsi="宋体" w:cs="宋体"/>
          <w:sz w:val="24"/>
        </w:rPr>
        <w:t>1.投标人自行考虑“营改增”税收费用及风险，中标后须按国家相关规定缴纳税金并按招标人要求提供增值税专用发票，费用含在本次投标总价中，中标后不作调整。</w:t>
      </w:r>
    </w:p>
    <w:p>
      <w:pPr>
        <w:spacing w:line="560" w:lineRule="exact"/>
        <w:ind w:firstLine="480" w:firstLineChars="200"/>
        <w:rPr>
          <w:rFonts w:ascii="宋体" w:hAnsi="宋体" w:cs="宋体"/>
          <w:sz w:val="24"/>
        </w:rPr>
      </w:pPr>
      <w:r>
        <w:rPr>
          <w:rFonts w:hint="eastAsia" w:ascii="宋体" w:hAnsi="宋体" w:cs="宋体"/>
          <w:sz w:val="24"/>
        </w:rPr>
        <w:t>2.如对本磋商文件有任何疑问或澄清要求，请按本磋商文件“磋商邀请”中的约定方式联系。</w:t>
      </w:r>
    </w:p>
    <w:p>
      <w:pPr>
        <w:spacing w:line="560" w:lineRule="exact"/>
        <w:ind w:firstLine="482" w:firstLineChars="200"/>
        <w:rPr>
          <w:rFonts w:ascii="宋体" w:hAnsi="宋体" w:cs="宋体"/>
          <w:b/>
          <w:sz w:val="24"/>
        </w:rPr>
      </w:pPr>
      <w:r>
        <w:rPr>
          <w:rFonts w:hint="eastAsia" w:ascii="宋体" w:hAnsi="宋体" w:cs="宋体"/>
          <w:b/>
          <w:sz w:val="24"/>
        </w:rPr>
        <w:t>一、项目概况</w:t>
      </w:r>
    </w:p>
    <w:p>
      <w:pPr>
        <w:spacing w:line="560" w:lineRule="exact"/>
        <w:ind w:firstLine="480" w:firstLineChars="200"/>
        <w:rPr>
          <w:rFonts w:ascii="宋体" w:hAnsi="宋体" w:cs="宋体"/>
          <w:kern w:val="0"/>
          <w:sz w:val="24"/>
        </w:rPr>
      </w:pPr>
      <w:r>
        <w:rPr>
          <w:rFonts w:hint="eastAsia" w:ascii="宋体" w:hAnsi="宋体" w:cs="宋体"/>
          <w:kern w:val="0"/>
          <w:sz w:val="24"/>
        </w:rPr>
        <w:t>合肥百大鼓楼银座（原乐普生商厦），始创于1995年，地处合肥市繁华的四牌楼核心商圈--淮河路步行街与徽州大道交口，临市府广场，北面是市中心公交枢纽BRT公交换乘区，东面毗邻人气最旺的宿州路和淮河路步行街；南面与人流最旺的安庆路接壤，交通便捷，2008年初经并购重组纳入百大集团百货连锁体系。百大.鼓楼名品中心银座坚持“创造美好，乐享生活”的经营理念，外以市场为导向确定营销策略，内以市场化准则配置企业资源，以创造优质品牌形象为企业宗旨，力争创造优质服务品牌形象，致力于为客户提供健康、时尚、舒适、便捷的购物体验。近年来，受疫情影响、行业竞争激烈及消费者消费需求变化的影响，鼓楼银座在整体环境、动线规划、品类组合、顾客体验都处于劣势，面对困境，公司拟通过重新打造非标商业体，提升购物环境，丰富服务内涵，满足现代消费需求，实现由传统百货向现代功能性商业体的转变，为年轻消费者带来新鲜、贴心、舒适而富有质感的全新体验。</w:t>
      </w:r>
    </w:p>
    <w:p>
      <w:pPr>
        <w:spacing w:line="560" w:lineRule="exact"/>
        <w:ind w:firstLine="482" w:firstLineChars="200"/>
        <w:rPr>
          <w:rFonts w:ascii="宋体" w:hAnsi="宋体" w:cs="宋体"/>
          <w:kern w:val="0"/>
          <w:sz w:val="24"/>
        </w:rPr>
      </w:pPr>
      <w:r>
        <w:rPr>
          <w:rFonts w:hint="eastAsia" w:ascii="宋体" w:hAnsi="宋体" w:cs="宋体"/>
          <w:b/>
          <w:bCs/>
          <w:kern w:val="0"/>
          <w:sz w:val="24"/>
        </w:rPr>
        <w:t>设计范围：</w:t>
      </w:r>
      <w:r>
        <w:rPr>
          <w:rFonts w:hint="eastAsia" w:ascii="宋体" w:hAnsi="宋体" w:cs="宋体"/>
          <w:kern w:val="0"/>
          <w:sz w:val="24"/>
        </w:rPr>
        <w:t>项目主题设计；地上1-6层动线、业态规划及品类组合、公共空间创意设计（中庭、卫生间、电梯和楼梯间等）效果图；外立面优化设计效果图；总设计面积约1.5万平方米（最终以实际测算为准）。</w:t>
      </w:r>
    </w:p>
    <w:p>
      <w:pPr>
        <w:spacing w:line="560" w:lineRule="exact"/>
        <w:ind w:firstLine="482" w:firstLineChars="200"/>
        <w:rPr>
          <w:rFonts w:ascii="宋体" w:hAnsi="宋体" w:cs="宋体"/>
          <w:b/>
          <w:sz w:val="24"/>
        </w:rPr>
      </w:pPr>
      <w:r>
        <w:rPr>
          <w:rFonts w:hint="eastAsia" w:ascii="宋体" w:hAnsi="宋体" w:cs="宋体"/>
          <w:b/>
          <w:sz w:val="24"/>
        </w:rPr>
        <w:t>二、服务内容</w:t>
      </w:r>
    </w:p>
    <w:p>
      <w:pPr>
        <w:spacing w:line="560" w:lineRule="exact"/>
        <w:ind w:firstLine="482" w:firstLineChars="200"/>
        <w:rPr>
          <w:rFonts w:ascii="宋体" w:hAnsi="宋体" w:cs="宋体"/>
          <w:b/>
          <w:sz w:val="24"/>
        </w:rPr>
      </w:pPr>
      <w:r>
        <w:rPr>
          <w:rFonts w:hint="eastAsia" w:ascii="宋体" w:hAnsi="宋体" w:cs="宋体"/>
          <w:b/>
          <w:sz w:val="24"/>
        </w:rPr>
        <w:t>(一)招标内容</w:t>
      </w:r>
    </w:p>
    <w:p>
      <w:pPr>
        <w:spacing w:line="560" w:lineRule="exact"/>
        <w:ind w:firstLine="600" w:firstLineChars="250"/>
        <w:rPr>
          <w:rFonts w:ascii="宋体" w:hAnsi="宋体" w:cs="宋体"/>
          <w:sz w:val="24"/>
        </w:rPr>
      </w:pPr>
      <w:r>
        <w:rPr>
          <w:rFonts w:hint="eastAsia" w:ascii="宋体" w:hAnsi="宋体" w:cs="宋体"/>
          <w:sz w:val="24"/>
        </w:rPr>
        <w:t>1．招标设计内容</w:t>
      </w:r>
    </w:p>
    <w:p>
      <w:pPr>
        <w:spacing w:line="560" w:lineRule="exact"/>
        <w:ind w:firstLine="480" w:firstLineChars="200"/>
        <w:rPr>
          <w:rFonts w:ascii="宋体" w:hAnsi="宋体" w:cs="宋体"/>
          <w:sz w:val="24"/>
        </w:rPr>
      </w:pPr>
      <w:r>
        <w:rPr>
          <w:rFonts w:hint="eastAsia" w:ascii="宋体" w:hAnsi="宋体" w:cs="宋体"/>
          <w:sz w:val="24"/>
        </w:rPr>
        <w:t>（1）银座商业主题设计；</w:t>
      </w:r>
    </w:p>
    <w:p>
      <w:pPr>
        <w:spacing w:line="560" w:lineRule="exact"/>
        <w:ind w:firstLine="480" w:firstLineChars="200"/>
        <w:rPr>
          <w:rFonts w:ascii="宋体" w:hAnsi="宋体" w:cs="宋体"/>
          <w:sz w:val="24"/>
        </w:rPr>
      </w:pPr>
      <w:r>
        <w:rPr>
          <w:rFonts w:hint="eastAsia" w:ascii="宋体" w:hAnsi="宋体" w:cs="宋体"/>
          <w:sz w:val="24"/>
        </w:rPr>
        <w:t>（2）室内空间设计（概念、方案）；外立面优化设计（效果图方案白天黑夜）；室内景观和场景、导示设计；消防、空调等设计配合且与装饰图进行叠加，提出问题并与相关出图方进行设计沟通协调方案解决；</w:t>
      </w:r>
    </w:p>
    <w:p>
      <w:pPr>
        <w:spacing w:line="560" w:lineRule="exact"/>
        <w:ind w:firstLine="480" w:firstLineChars="200"/>
        <w:rPr>
          <w:rFonts w:ascii="宋体" w:hAnsi="宋体" w:cs="宋体"/>
          <w:sz w:val="24"/>
        </w:rPr>
      </w:pPr>
      <w:r>
        <w:rPr>
          <w:rFonts w:hint="eastAsia" w:ascii="宋体" w:hAnsi="宋体" w:cs="宋体"/>
          <w:sz w:val="24"/>
        </w:rPr>
        <w:t>（3）鼓楼银座室内外改造项目配合招商必要时设计方案调整。</w:t>
      </w:r>
    </w:p>
    <w:p>
      <w:pPr>
        <w:spacing w:line="560" w:lineRule="exact"/>
        <w:ind w:firstLine="480" w:firstLineChars="200"/>
        <w:rPr>
          <w:rFonts w:ascii="宋体" w:hAnsi="宋体" w:cs="宋体"/>
          <w:sz w:val="24"/>
        </w:rPr>
      </w:pPr>
      <w:r>
        <w:rPr>
          <w:rFonts w:hint="eastAsia" w:ascii="宋体" w:hAnsi="宋体" w:cs="宋体"/>
          <w:sz w:val="24"/>
        </w:rPr>
        <w:t>2.服务内容（包括但不限于以下）</w:t>
      </w:r>
    </w:p>
    <w:p>
      <w:pPr>
        <w:spacing w:line="560" w:lineRule="exact"/>
        <w:ind w:firstLine="480" w:firstLineChars="200"/>
        <w:rPr>
          <w:rFonts w:ascii="宋体" w:hAnsi="宋体" w:cs="宋体"/>
          <w:sz w:val="24"/>
        </w:rPr>
      </w:pPr>
      <w:r>
        <w:rPr>
          <w:rFonts w:hint="eastAsia" w:ascii="宋体" w:hAnsi="宋体" w:cs="宋体"/>
          <w:sz w:val="24"/>
        </w:rPr>
        <w:t>（1）配合招标方在鼓楼银座室内外改造项目定位阶段提供技术咨询；</w:t>
      </w:r>
    </w:p>
    <w:p>
      <w:pPr>
        <w:spacing w:line="560" w:lineRule="exact"/>
        <w:ind w:firstLine="480" w:firstLineChars="200"/>
        <w:rPr>
          <w:rFonts w:ascii="宋体" w:hAnsi="宋体" w:cs="宋体"/>
          <w:sz w:val="24"/>
          <w:szCs w:val="28"/>
        </w:rPr>
      </w:pPr>
      <w:r>
        <w:rPr>
          <w:rFonts w:hint="eastAsia" w:ascii="宋体" w:hAnsi="宋体" w:cs="宋体"/>
          <w:sz w:val="24"/>
        </w:rPr>
        <w:t>（2）提出与室内外设计相关联的、须与其他设计专业和相关单位相衔接的技术要求，主</w:t>
      </w:r>
      <w:r>
        <w:rPr>
          <w:rFonts w:hint="eastAsia" w:ascii="宋体" w:hAnsi="宋体" w:cs="宋体"/>
          <w:sz w:val="24"/>
          <w:szCs w:val="28"/>
        </w:rPr>
        <w:t>导或配合完成项目室内外设计关联工作。如：室内智能化设计衔接、消防设计衔接、物业使用的衔接等。</w:t>
      </w:r>
    </w:p>
    <w:p>
      <w:pPr>
        <w:spacing w:line="560" w:lineRule="exact"/>
        <w:ind w:firstLine="480" w:firstLineChars="200"/>
        <w:rPr>
          <w:rFonts w:ascii="宋体" w:hAnsi="宋体" w:cs="宋体"/>
          <w:sz w:val="24"/>
          <w:szCs w:val="28"/>
        </w:rPr>
      </w:pPr>
      <w:r>
        <w:rPr>
          <w:rFonts w:hint="eastAsia" w:ascii="宋体" w:hAnsi="宋体" w:cs="宋体"/>
          <w:sz w:val="24"/>
          <w:szCs w:val="28"/>
        </w:rPr>
        <w:t>（3）施工期间每两周一次有效施工驻场、现场问题及时解决，配合现场施工进行设计交底和其他专业的设计协调配合工作，根据项目部进度及时安排人员在招标要求的时间内解决工程变更洽商和施工现场的技术问题；</w:t>
      </w:r>
    </w:p>
    <w:p>
      <w:pPr>
        <w:spacing w:line="560" w:lineRule="exact"/>
        <w:ind w:firstLine="480" w:firstLineChars="200"/>
        <w:rPr>
          <w:rFonts w:ascii="宋体" w:hAnsi="宋体" w:cs="宋体"/>
          <w:sz w:val="24"/>
          <w:szCs w:val="28"/>
        </w:rPr>
      </w:pPr>
      <w:r>
        <w:rPr>
          <w:rFonts w:hint="eastAsia" w:ascii="宋体" w:hAnsi="宋体" w:cs="宋体"/>
          <w:sz w:val="24"/>
          <w:szCs w:val="28"/>
        </w:rPr>
        <w:t>（4）参加各类技术研讨和设计协调会议，并提出技术意见。</w:t>
      </w:r>
    </w:p>
    <w:p>
      <w:pPr>
        <w:spacing w:line="560" w:lineRule="exact"/>
        <w:ind w:firstLine="480" w:firstLineChars="200"/>
        <w:rPr>
          <w:rFonts w:ascii="宋体" w:hAnsi="宋体" w:cs="宋体"/>
          <w:sz w:val="24"/>
          <w:szCs w:val="28"/>
        </w:rPr>
      </w:pPr>
      <w:r>
        <w:rPr>
          <w:rFonts w:hint="eastAsia" w:ascii="宋体" w:hAnsi="宋体" w:cs="宋体"/>
          <w:sz w:val="24"/>
          <w:szCs w:val="28"/>
        </w:rPr>
        <w:t>（5) 配合招标方完成室内外改造项目施工招标应征文件的技术审核；</w:t>
      </w:r>
    </w:p>
    <w:p>
      <w:pPr>
        <w:spacing w:line="560" w:lineRule="exact"/>
        <w:ind w:firstLine="480" w:firstLineChars="200"/>
        <w:rPr>
          <w:rFonts w:ascii="宋体" w:hAnsi="宋体" w:cs="宋体"/>
          <w:sz w:val="24"/>
          <w:szCs w:val="28"/>
        </w:rPr>
      </w:pPr>
      <w:r>
        <w:rPr>
          <w:rFonts w:hint="eastAsia" w:ascii="宋体" w:hAnsi="宋体" w:cs="宋体"/>
          <w:sz w:val="24"/>
          <w:szCs w:val="28"/>
        </w:rPr>
        <w:t>（6) 对工程中包含的由第三方设计的技术方案进行审核和确认；</w:t>
      </w:r>
    </w:p>
    <w:p>
      <w:pPr>
        <w:spacing w:line="560" w:lineRule="exact"/>
        <w:ind w:firstLine="480" w:firstLineChars="200"/>
        <w:rPr>
          <w:rFonts w:ascii="宋体" w:hAnsi="宋体" w:cs="宋体"/>
          <w:sz w:val="24"/>
          <w:szCs w:val="28"/>
        </w:rPr>
      </w:pPr>
      <w:r>
        <w:rPr>
          <w:rFonts w:hint="eastAsia" w:ascii="宋体" w:hAnsi="宋体" w:cs="宋体"/>
          <w:sz w:val="24"/>
          <w:szCs w:val="28"/>
        </w:rPr>
        <w:t>（7) 配合招标方和施工单位进行需设计参与的分部分项工程和整体工程的各种设计验收工作；</w:t>
      </w:r>
    </w:p>
    <w:p>
      <w:pPr>
        <w:spacing w:line="560" w:lineRule="exact"/>
        <w:ind w:firstLine="480" w:firstLineChars="200"/>
        <w:rPr>
          <w:rFonts w:ascii="宋体" w:hAnsi="宋体" w:cs="宋体"/>
          <w:sz w:val="24"/>
          <w:szCs w:val="28"/>
        </w:rPr>
      </w:pPr>
      <w:r>
        <w:rPr>
          <w:rFonts w:hint="eastAsia" w:ascii="宋体" w:hAnsi="宋体" w:cs="宋体"/>
          <w:sz w:val="24"/>
          <w:szCs w:val="28"/>
        </w:rPr>
        <w:t>（8) 中标方为本项目提供的服务应至招标方施工安装结束并通过竣工验收后止。</w:t>
      </w:r>
    </w:p>
    <w:p>
      <w:pPr>
        <w:pStyle w:val="8"/>
        <w:spacing w:line="560" w:lineRule="exact"/>
        <w:ind w:firstLine="480"/>
        <w:rPr>
          <w:rFonts w:ascii="宋体" w:hAnsi="宋体" w:cs="宋体"/>
          <w:sz w:val="24"/>
          <w:szCs w:val="28"/>
        </w:rPr>
      </w:pPr>
      <w:r>
        <w:rPr>
          <w:rFonts w:hint="eastAsia" w:ascii="宋体" w:hAnsi="宋体" w:cs="宋体"/>
          <w:sz w:val="24"/>
          <w:szCs w:val="28"/>
        </w:rPr>
        <w:t>（9 )项目室内外设计关联的其他服务工作。</w:t>
      </w:r>
    </w:p>
    <w:p>
      <w:pPr>
        <w:spacing w:line="560" w:lineRule="exact"/>
        <w:ind w:firstLine="482" w:firstLineChars="200"/>
        <w:rPr>
          <w:rFonts w:ascii="宋体" w:hAnsi="宋体" w:cs="宋体"/>
          <w:b/>
          <w:sz w:val="24"/>
          <w:szCs w:val="28"/>
        </w:rPr>
      </w:pPr>
      <w:r>
        <w:rPr>
          <w:rFonts w:hint="eastAsia" w:ascii="宋体" w:hAnsi="宋体" w:cs="宋体"/>
          <w:b/>
          <w:sz w:val="24"/>
          <w:szCs w:val="28"/>
        </w:rPr>
        <w:t>三、服务标准及要求</w:t>
      </w:r>
    </w:p>
    <w:p>
      <w:pPr>
        <w:spacing w:line="560" w:lineRule="exact"/>
        <w:ind w:firstLine="360" w:firstLineChars="150"/>
        <w:rPr>
          <w:rFonts w:ascii="宋体" w:hAnsi="宋体" w:cs="宋体"/>
          <w:sz w:val="24"/>
          <w:szCs w:val="28"/>
        </w:rPr>
      </w:pPr>
      <w:r>
        <w:rPr>
          <w:rFonts w:hint="eastAsia" w:ascii="宋体" w:hAnsi="宋体" w:cs="宋体"/>
          <w:sz w:val="24"/>
          <w:szCs w:val="28"/>
        </w:rPr>
        <w:t>（一）设计原则</w:t>
      </w:r>
    </w:p>
    <w:p>
      <w:pPr>
        <w:spacing w:line="560" w:lineRule="exact"/>
        <w:ind w:firstLine="480" w:firstLineChars="200"/>
        <w:rPr>
          <w:rFonts w:ascii="宋体" w:hAnsi="宋体" w:cs="宋体"/>
          <w:sz w:val="24"/>
          <w:szCs w:val="28"/>
        </w:rPr>
      </w:pPr>
      <w:r>
        <w:rPr>
          <w:rFonts w:hint="eastAsia" w:ascii="宋体" w:hAnsi="宋体" w:cs="宋体"/>
          <w:sz w:val="24"/>
          <w:szCs w:val="28"/>
        </w:rPr>
        <w:t>1．项目设计必须以国家法律法规及地方有关标准、规范进行设计、报审及验收，按磋商文件、投标承诺、合同书内容和质量要求按时提交成果。</w:t>
      </w:r>
    </w:p>
    <w:p>
      <w:pPr>
        <w:spacing w:line="560" w:lineRule="exact"/>
        <w:ind w:firstLine="480" w:firstLineChars="200"/>
        <w:rPr>
          <w:rFonts w:ascii="宋体" w:hAnsi="宋体" w:cs="宋体"/>
          <w:sz w:val="24"/>
          <w:szCs w:val="28"/>
        </w:rPr>
      </w:pPr>
      <w:r>
        <w:rPr>
          <w:rFonts w:hint="eastAsia" w:ascii="宋体" w:hAnsi="宋体" w:cs="宋体"/>
          <w:sz w:val="24"/>
          <w:szCs w:val="28"/>
        </w:rPr>
        <w:t>2．项目</w:t>
      </w:r>
      <w:r>
        <w:rPr>
          <w:rFonts w:hint="eastAsia" w:ascii="宋体" w:hAnsi="宋体" w:cs="宋体"/>
          <w:kern w:val="0"/>
          <w:sz w:val="24"/>
        </w:rPr>
        <w:t>位于长江中路四牌楼商业中心，提升</w:t>
      </w:r>
      <w:r>
        <w:rPr>
          <w:rFonts w:hint="eastAsia" w:ascii="宋体" w:hAnsi="宋体" w:cs="宋体"/>
          <w:sz w:val="24"/>
          <w:szCs w:val="28"/>
        </w:rPr>
        <w:t>鼓楼银座</w:t>
      </w:r>
      <w:r>
        <w:rPr>
          <w:rFonts w:hint="eastAsia" w:ascii="宋体" w:hAnsi="宋体" w:cs="宋体"/>
          <w:kern w:val="0"/>
          <w:sz w:val="24"/>
        </w:rPr>
        <w:t>功能体验环境，</w:t>
      </w:r>
      <w:r>
        <w:rPr>
          <w:rFonts w:hint="eastAsia" w:ascii="宋体" w:hAnsi="宋体" w:cs="宋体"/>
          <w:sz w:val="24"/>
          <w:szCs w:val="28"/>
        </w:rPr>
        <w:t>充分考虑建筑的功能用途。</w:t>
      </w:r>
    </w:p>
    <w:p>
      <w:pPr>
        <w:spacing w:line="560" w:lineRule="exact"/>
        <w:ind w:firstLine="480" w:firstLineChars="200"/>
        <w:rPr>
          <w:rFonts w:ascii="宋体" w:hAnsi="宋体" w:cs="宋体"/>
          <w:sz w:val="24"/>
          <w:szCs w:val="28"/>
        </w:rPr>
      </w:pPr>
      <w:r>
        <w:rPr>
          <w:rFonts w:hint="eastAsia" w:ascii="宋体" w:hAnsi="宋体" w:cs="宋体"/>
          <w:sz w:val="24"/>
          <w:szCs w:val="28"/>
        </w:rPr>
        <w:t>3．设计以科学、合理、经济、实用为原则，同时应考虑绿色、环保及节能。设计单位应灵活吸取国内外商业建筑室内装饰装修的先进技术、经验，既要满足当前使用的需要，又能为今后发展、改造留有余地。</w:t>
      </w:r>
    </w:p>
    <w:p>
      <w:pPr>
        <w:spacing w:line="560" w:lineRule="exact"/>
        <w:ind w:firstLine="361" w:firstLineChars="150"/>
        <w:rPr>
          <w:rFonts w:ascii="宋体" w:hAnsi="宋体" w:cs="宋体"/>
          <w:b/>
          <w:sz w:val="24"/>
          <w:szCs w:val="28"/>
        </w:rPr>
      </w:pPr>
      <w:r>
        <w:rPr>
          <w:rFonts w:hint="eastAsia" w:ascii="宋体" w:hAnsi="宋体" w:cs="宋体"/>
          <w:b/>
          <w:sz w:val="24"/>
          <w:szCs w:val="28"/>
        </w:rPr>
        <w:t>（二）其他设计要求</w:t>
      </w:r>
    </w:p>
    <w:p>
      <w:pPr>
        <w:spacing w:line="560" w:lineRule="exact"/>
        <w:ind w:firstLine="480" w:firstLineChars="200"/>
        <w:rPr>
          <w:rFonts w:ascii="宋体" w:hAnsi="宋体" w:cs="宋体"/>
          <w:sz w:val="24"/>
          <w:szCs w:val="28"/>
        </w:rPr>
      </w:pPr>
      <w:r>
        <w:rPr>
          <w:rFonts w:hint="eastAsia" w:ascii="宋体" w:hAnsi="宋体" w:cs="宋体"/>
          <w:sz w:val="24"/>
          <w:szCs w:val="28"/>
        </w:rPr>
        <w:t>1．应注重新技术、新工艺、新材料的应用，不但力求节约投资，更要考虑环保和日后长期使用过程中降低能耗，节约经常性开支。</w:t>
      </w:r>
    </w:p>
    <w:p>
      <w:pPr>
        <w:spacing w:line="560" w:lineRule="exact"/>
        <w:ind w:firstLine="480" w:firstLineChars="200"/>
        <w:rPr>
          <w:rFonts w:ascii="宋体" w:hAnsi="宋体" w:cs="宋体"/>
          <w:sz w:val="24"/>
          <w:szCs w:val="28"/>
        </w:rPr>
      </w:pPr>
      <w:r>
        <w:rPr>
          <w:rFonts w:hint="eastAsia" w:ascii="宋体" w:hAnsi="宋体" w:cs="宋体"/>
          <w:sz w:val="24"/>
          <w:szCs w:val="28"/>
        </w:rPr>
        <w:t>2．设计应符合消防、环保、防火、阻燃、吸音、节能、防霉和抗震设计规范及要求，满足消防报批要求；不排斥超前新型装饰建材，但未经国家建材质量检验部门认可的材料不可采纳。</w:t>
      </w:r>
    </w:p>
    <w:p>
      <w:pPr>
        <w:spacing w:line="560" w:lineRule="exact"/>
        <w:ind w:firstLine="480" w:firstLineChars="200"/>
        <w:rPr>
          <w:rFonts w:ascii="宋体" w:hAnsi="宋体" w:cs="宋体"/>
          <w:sz w:val="24"/>
          <w:szCs w:val="28"/>
        </w:rPr>
      </w:pPr>
      <w:r>
        <w:rPr>
          <w:rFonts w:hint="eastAsia" w:ascii="宋体" w:hAnsi="宋体" w:cs="宋体"/>
          <w:sz w:val="24"/>
          <w:szCs w:val="28"/>
        </w:rPr>
        <w:t>3．统筹考虑空调、消防、弱电等设备预埋管线布局。</w:t>
      </w:r>
    </w:p>
    <w:p>
      <w:pPr>
        <w:spacing w:line="560" w:lineRule="exact"/>
        <w:ind w:firstLine="480" w:firstLineChars="200"/>
        <w:rPr>
          <w:rFonts w:ascii="宋体" w:hAnsi="宋体" w:cs="宋体"/>
          <w:sz w:val="24"/>
          <w:szCs w:val="28"/>
        </w:rPr>
      </w:pPr>
      <w:r>
        <w:rPr>
          <w:rFonts w:hint="eastAsia" w:ascii="宋体" w:hAnsi="宋体" w:cs="宋体"/>
          <w:sz w:val="24"/>
          <w:szCs w:val="28"/>
        </w:rPr>
        <w:t>4.装修设计应充分考虑原有土建安装图纸主管路线，在保证装饰设计质量的前提下，尽量减少变动。</w:t>
      </w:r>
    </w:p>
    <w:p>
      <w:pPr>
        <w:spacing w:line="560" w:lineRule="exact"/>
        <w:ind w:firstLine="480" w:firstLineChars="200"/>
        <w:rPr>
          <w:rFonts w:ascii="宋体" w:hAnsi="宋体" w:cs="宋体"/>
          <w:sz w:val="24"/>
          <w:szCs w:val="28"/>
        </w:rPr>
      </w:pPr>
      <w:r>
        <w:rPr>
          <w:rFonts w:hint="eastAsia" w:ascii="宋体" w:hAnsi="宋体" w:cs="宋体"/>
          <w:sz w:val="24"/>
          <w:szCs w:val="28"/>
        </w:rPr>
        <w:t>5.室内装修设计应满足建筑、结构、设备、电气等专业的技术要求，做好接口设计。</w:t>
      </w:r>
    </w:p>
    <w:p>
      <w:pPr>
        <w:spacing w:line="560" w:lineRule="exact"/>
        <w:ind w:firstLine="480" w:firstLineChars="200"/>
        <w:rPr>
          <w:rFonts w:ascii="宋体" w:hAnsi="宋体" w:cs="宋体"/>
          <w:sz w:val="24"/>
          <w:szCs w:val="28"/>
        </w:rPr>
      </w:pPr>
      <w:r>
        <w:rPr>
          <w:rFonts w:hint="eastAsia" w:ascii="宋体" w:hAnsi="宋体" w:cs="宋体"/>
          <w:sz w:val="24"/>
          <w:szCs w:val="28"/>
        </w:rPr>
        <w:t>6．应达到国家关于室内装修的强制性安全标准；达到国家关于室内环境质量强制性标准，对有害气体及辐射性较强的装饰建材必须控制在强制性标准以内。</w:t>
      </w:r>
    </w:p>
    <w:p>
      <w:pPr>
        <w:adjustRightInd w:val="0"/>
        <w:snapToGrid w:val="0"/>
        <w:spacing w:line="560" w:lineRule="exact"/>
        <w:ind w:firstLine="480" w:firstLineChars="200"/>
        <w:rPr>
          <w:rFonts w:ascii="宋体" w:hAnsi="宋体" w:cs="宋体"/>
          <w:sz w:val="24"/>
          <w:szCs w:val="28"/>
        </w:rPr>
      </w:pPr>
      <w:r>
        <w:rPr>
          <w:rFonts w:hint="eastAsia" w:ascii="宋体" w:hAnsi="宋体" w:cs="宋体"/>
          <w:sz w:val="24"/>
          <w:szCs w:val="28"/>
        </w:rPr>
        <w:t xml:space="preserve">7．为使招标方充分地了解设计效果，中标方在优化概念及深化方案中的对于室外立面、室内立面如主入口、周边的天、地、壁、柱等，以及走道动线、主服务台、各层的情景点等公共区域应通过效果图予以展示，并据招标方要求适当增加、修改效果图。 </w:t>
      </w:r>
    </w:p>
    <w:p>
      <w:pPr>
        <w:spacing w:line="560" w:lineRule="exact"/>
        <w:ind w:firstLine="480" w:firstLineChars="200"/>
        <w:rPr>
          <w:rFonts w:ascii="宋体" w:hAnsi="宋体" w:cs="宋体"/>
          <w:sz w:val="24"/>
          <w:szCs w:val="28"/>
        </w:rPr>
      </w:pPr>
      <w:r>
        <w:rPr>
          <w:rFonts w:hint="eastAsia" w:ascii="宋体" w:hAnsi="宋体" w:cs="宋体"/>
          <w:sz w:val="24"/>
          <w:szCs w:val="28"/>
        </w:rPr>
        <w:t>8.商业主题设计中标单位必须承诺与招标单位工程管理部门良好配合，提供优质服务，能根据功能布局需求多次调整设计方案。合同履行期间，提供设计技术交底现场答疑、阶段性的现场指导（材料选择、施工工艺）、项目阶段性的验收配合，对于施工过程中出现的紧急问题，据招标方的要求及时至现场沟通，提出经济合理的解决方案、累计派驻施工现场配合的时间不低于15天，派驻现场的设计人员需得到招标人认可。</w:t>
      </w:r>
    </w:p>
    <w:p>
      <w:pPr>
        <w:spacing w:line="560" w:lineRule="exact"/>
        <w:ind w:firstLine="482" w:firstLineChars="200"/>
        <w:rPr>
          <w:rFonts w:ascii="宋体" w:hAnsi="宋体" w:cs="宋体"/>
          <w:b/>
          <w:sz w:val="24"/>
          <w:szCs w:val="28"/>
        </w:rPr>
      </w:pPr>
      <w:r>
        <w:rPr>
          <w:rFonts w:hint="eastAsia" w:ascii="宋体" w:hAnsi="宋体" w:cs="宋体"/>
          <w:b/>
          <w:sz w:val="24"/>
          <w:szCs w:val="28"/>
        </w:rPr>
        <w:t>（三）成果要求</w:t>
      </w:r>
    </w:p>
    <w:p>
      <w:pPr>
        <w:spacing w:line="560" w:lineRule="exact"/>
        <w:ind w:firstLine="600" w:firstLineChars="250"/>
        <w:rPr>
          <w:rFonts w:ascii="宋体" w:hAnsi="宋体" w:cs="宋体"/>
          <w:sz w:val="24"/>
          <w:szCs w:val="28"/>
        </w:rPr>
      </w:pPr>
      <w:r>
        <w:rPr>
          <w:rFonts w:hint="eastAsia" w:ascii="宋体" w:hAnsi="宋体" w:cs="宋体"/>
          <w:sz w:val="24"/>
          <w:szCs w:val="28"/>
        </w:rPr>
        <w:t>1．设计成果要求</w:t>
      </w:r>
    </w:p>
    <w:p>
      <w:pPr>
        <w:spacing w:line="560" w:lineRule="exact"/>
        <w:ind w:firstLine="600" w:firstLineChars="250"/>
        <w:rPr>
          <w:rFonts w:ascii="宋体" w:hAnsi="宋体" w:cs="宋体"/>
          <w:sz w:val="24"/>
          <w:szCs w:val="28"/>
        </w:rPr>
      </w:pPr>
      <w:r>
        <w:rPr>
          <w:rFonts w:hint="eastAsia" w:ascii="宋体" w:hAnsi="宋体" w:cs="宋体"/>
          <w:sz w:val="24"/>
          <w:szCs w:val="28"/>
        </w:rPr>
        <w:t>中标人在设计过程中提交的设计文件应包括文本、图件及计算机文件。计算机文件含所有成果文件，用Photoshop、PowerPoint、Word、AutoCAD等软件制作。招标人有权无偿使用设计成果。</w:t>
      </w:r>
    </w:p>
    <w:p>
      <w:pPr>
        <w:spacing w:line="560" w:lineRule="exact"/>
        <w:ind w:firstLine="600" w:firstLineChars="250"/>
        <w:rPr>
          <w:rFonts w:ascii="宋体" w:hAnsi="宋体" w:cs="宋体"/>
          <w:sz w:val="24"/>
          <w:szCs w:val="28"/>
        </w:rPr>
      </w:pPr>
      <w:r>
        <w:rPr>
          <w:rFonts w:hint="eastAsia" w:ascii="宋体" w:hAnsi="宋体" w:cs="宋体"/>
          <w:sz w:val="24"/>
          <w:szCs w:val="28"/>
        </w:rPr>
        <w:t>2．成果数量要求</w:t>
      </w:r>
    </w:p>
    <w:p>
      <w:pPr>
        <w:spacing w:line="560" w:lineRule="exact"/>
        <w:ind w:firstLine="480" w:firstLineChars="200"/>
        <w:rPr>
          <w:rFonts w:ascii="宋体" w:hAnsi="宋体" w:cs="宋体"/>
          <w:sz w:val="24"/>
          <w:szCs w:val="28"/>
        </w:rPr>
      </w:pPr>
      <w:r>
        <w:rPr>
          <w:rFonts w:hint="eastAsia" w:ascii="宋体" w:hAnsi="宋体" w:cs="宋体"/>
          <w:sz w:val="24"/>
          <w:szCs w:val="28"/>
        </w:rPr>
        <w:t>（1）过程成果数量需满足上会及评审要求，每轮不少于3套文本（A3大小），技术图形文件提供电子CAD文件、汇报文件PPT格式、图纸文件为彩色PDF格式。</w:t>
      </w:r>
    </w:p>
    <w:p>
      <w:pPr>
        <w:spacing w:line="560" w:lineRule="exact"/>
        <w:ind w:firstLine="600" w:firstLineChars="250"/>
        <w:rPr>
          <w:rFonts w:ascii="宋体" w:hAnsi="宋体" w:cs="宋体"/>
          <w:sz w:val="24"/>
          <w:szCs w:val="28"/>
        </w:rPr>
      </w:pPr>
      <w:r>
        <w:rPr>
          <w:rFonts w:hint="eastAsia" w:ascii="宋体" w:hAnsi="宋体" w:cs="宋体"/>
          <w:sz w:val="24"/>
          <w:szCs w:val="28"/>
        </w:rPr>
        <w:t>3．投标成果要求</w:t>
      </w:r>
    </w:p>
    <w:p>
      <w:pPr>
        <w:spacing w:line="560" w:lineRule="exact"/>
        <w:ind w:firstLine="360" w:firstLineChars="150"/>
        <w:rPr>
          <w:rFonts w:ascii="宋体" w:hAnsi="宋体" w:cs="宋体"/>
          <w:sz w:val="24"/>
          <w:szCs w:val="28"/>
        </w:rPr>
      </w:pPr>
      <w:r>
        <w:rPr>
          <w:rFonts w:hint="eastAsia" w:ascii="宋体" w:hAnsi="宋体" w:cs="宋体"/>
          <w:sz w:val="24"/>
          <w:szCs w:val="28"/>
        </w:rPr>
        <w:t>（1）方案文本内容</w:t>
      </w:r>
    </w:p>
    <w:p>
      <w:pPr>
        <w:spacing w:line="560" w:lineRule="exact"/>
        <w:ind w:firstLine="600" w:firstLineChars="250"/>
        <w:rPr>
          <w:rFonts w:ascii="宋体" w:hAnsi="宋体" w:cs="宋体"/>
          <w:sz w:val="24"/>
          <w:szCs w:val="28"/>
        </w:rPr>
      </w:pPr>
      <w:r>
        <w:rPr>
          <w:rFonts w:hint="eastAsia" w:ascii="宋体" w:hAnsi="宋体" w:cs="宋体"/>
          <w:sz w:val="24"/>
          <w:szCs w:val="28"/>
        </w:rPr>
        <w:t xml:space="preserve">本次招标方案评审商业主题设计概念方案文本，此方案包括但不限于项目定位分析、业态品类组合建议、各楼层动线规划图、外立面优化建议图片或效果图（白天夜晚）、室内装饰意向、室内环境设计处理相关图片、投资估算等及设计方认为其他必需的图纸和成果等。 </w:t>
      </w:r>
    </w:p>
    <w:p>
      <w:pPr>
        <w:spacing w:line="560" w:lineRule="exact"/>
        <w:ind w:firstLine="360" w:firstLineChars="150"/>
        <w:rPr>
          <w:rFonts w:ascii="宋体" w:hAnsi="宋体" w:cs="宋体"/>
          <w:sz w:val="24"/>
          <w:szCs w:val="28"/>
        </w:rPr>
      </w:pPr>
      <w:r>
        <w:rPr>
          <w:rFonts w:hint="eastAsia" w:ascii="宋体" w:hAnsi="宋体" w:cs="宋体"/>
          <w:sz w:val="24"/>
          <w:szCs w:val="28"/>
        </w:rPr>
        <w:t>（2）方案文本要求：文本内容包括上述文字和图则部分，按A3规格装订；</w:t>
      </w:r>
    </w:p>
    <w:p>
      <w:pPr>
        <w:spacing w:line="560" w:lineRule="exact"/>
        <w:ind w:firstLine="482" w:firstLineChars="200"/>
        <w:rPr>
          <w:rFonts w:ascii="宋体" w:hAnsi="宋体" w:cs="宋体"/>
          <w:b/>
          <w:sz w:val="24"/>
          <w:szCs w:val="28"/>
        </w:rPr>
      </w:pPr>
      <w:r>
        <w:rPr>
          <w:rFonts w:hint="eastAsia" w:ascii="宋体" w:hAnsi="宋体" w:cs="宋体"/>
          <w:b/>
          <w:sz w:val="24"/>
          <w:szCs w:val="28"/>
        </w:rPr>
        <w:t>四、项目组人员要求</w:t>
      </w:r>
    </w:p>
    <w:p>
      <w:pPr>
        <w:spacing w:line="560" w:lineRule="exact"/>
        <w:ind w:right="-23" w:rightChars="-11" w:firstLine="480" w:firstLineChars="200"/>
        <w:rPr>
          <w:rFonts w:ascii="宋体" w:hAnsi="宋体" w:cs="宋体"/>
          <w:sz w:val="24"/>
          <w:szCs w:val="28"/>
        </w:rPr>
      </w:pPr>
      <w:r>
        <w:rPr>
          <w:rFonts w:hint="eastAsia" w:ascii="宋体" w:hAnsi="宋体" w:cs="宋体"/>
          <w:sz w:val="24"/>
          <w:szCs w:val="28"/>
        </w:rPr>
        <w:t>1.投标人及拟派项目负责人具有完成本项目的设计经验和能力。投标人参与该项目各专业的主要设计人员具有完成本项目的设计经验，必须满足本项目需要，并有较强的优化设计意识和实力。</w:t>
      </w:r>
    </w:p>
    <w:p>
      <w:pPr>
        <w:spacing w:line="560" w:lineRule="exact"/>
        <w:ind w:right="-23" w:rightChars="-11" w:firstLine="480" w:firstLineChars="200"/>
        <w:rPr>
          <w:rFonts w:ascii="宋体" w:hAnsi="宋体" w:cs="宋体"/>
          <w:bCs/>
          <w:sz w:val="24"/>
          <w:szCs w:val="28"/>
        </w:rPr>
      </w:pPr>
      <w:r>
        <w:rPr>
          <w:rFonts w:hint="eastAsia" w:ascii="宋体" w:hAnsi="宋体" w:cs="宋体"/>
          <w:bCs/>
          <w:sz w:val="24"/>
          <w:szCs w:val="28"/>
        </w:rPr>
        <w:t>2.本项目拟配人员具有完成本项目的设计经验和能力，具有较强的优化设计意识和实力。拟任项目设计负责人具有单个合同商业建筑面积不少于2万平方米的商业设计业绩（</w:t>
      </w:r>
      <w:r>
        <w:rPr>
          <w:rFonts w:hint="eastAsia" w:ascii="宋体" w:hAnsi="宋体" w:cs="宋体"/>
          <w:bCs/>
          <w:sz w:val="24"/>
        </w:rPr>
        <w:t>如购物中心或百货商店等</w:t>
      </w:r>
      <w:r>
        <w:rPr>
          <w:rFonts w:hint="eastAsia" w:ascii="宋体" w:hAnsi="宋体" w:cs="宋体"/>
          <w:bCs/>
          <w:sz w:val="24"/>
          <w:szCs w:val="28"/>
        </w:rPr>
        <w:t>）</w:t>
      </w:r>
      <w:r>
        <w:rPr>
          <w:rFonts w:hint="eastAsia" w:ascii="宋体" w:hAnsi="宋体" w:cs="宋体"/>
          <w:bCs/>
          <w:sz w:val="24"/>
        </w:rPr>
        <w:t>。</w:t>
      </w:r>
    </w:p>
    <w:p>
      <w:pPr>
        <w:spacing w:line="560" w:lineRule="exact"/>
        <w:ind w:firstLine="480" w:firstLineChars="200"/>
        <w:rPr>
          <w:rFonts w:ascii="宋体" w:hAnsi="宋体" w:cs="宋体"/>
          <w:bCs/>
          <w:sz w:val="24"/>
          <w:szCs w:val="28"/>
        </w:rPr>
      </w:pPr>
      <w:r>
        <w:rPr>
          <w:rFonts w:hint="eastAsia" w:ascii="宋体" w:hAnsi="宋体" w:cs="宋体"/>
          <w:bCs/>
          <w:sz w:val="24"/>
          <w:szCs w:val="28"/>
        </w:rPr>
        <w:t>注：人员不作为初审指标，投标人中标后须按照磋商文件要求配备，若拟配人员不符合要求或不能胜任有关岗位的，中标人须无条件及时更换，保障项目服务质量。</w:t>
      </w:r>
    </w:p>
    <w:p>
      <w:pPr>
        <w:spacing w:line="560" w:lineRule="exact"/>
        <w:ind w:firstLine="480" w:firstLineChars="200"/>
        <w:rPr>
          <w:rFonts w:ascii="宋体" w:hAnsi="宋体" w:cs="宋体"/>
          <w:sz w:val="24"/>
          <w:szCs w:val="28"/>
        </w:rPr>
      </w:pPr>
      <w:r>
        <w:rPr>
          <w:rFonts w:hint="eastAsia" w:ascii="宋体" w:hAnsi="宋体" w:cs="宋体"/>
          <w:sz w:val="24"/>
          <w:szCs w:val="28"/>
        </w:rPr>
        <w:t>3.中标人不得无故更换专业负责人，每更换一名专业负责人应向招标人支付5万元/次的违约金。如专业负责人不能很好的履约或不能满足招标人的要求，招标人有权要求中标人更换，中标人须按磋商文件的要求更换，更换的专业负责人资质不得低于磋商文件要求，并承担5万元/次的违约金。</w:t>
      </w:r>
    </w:p>
    <w:p>
      <w:pPr>
        <w:spacing w:line="560" w:lineRule="exact"/>
        <w:ind w:firstLine="482" w:firstLineChars="200"/>
        <w:rPr>
          <w:rFonts w:ascii="宋体" w:hAnsi="宋体" w:cs="宋体"/>
          <w:b/>
          <w:sz w:val="24"/>
        </w:rPr>
      </w:pPr>
      <w:r>
        <w:rPr>
          <w:rFonts w:hint="eastAsia" w:ascii="宋体" w:hAnsi="宋体" w:cs="宋体"/>
          <w:b/>
          <w:sz w:val="24"/>
        </w:rPr>
        <w:t>五、投标报价</w:t>
      </w:r>
    </w:p>
    <w:p>
      <w:pPr>
        <w:spacing w:line="560" w:lineRule="exact"/>
        <w:ind w:firstLine="480" w:firstLineChars="200"/>
        <w:rPr>
          <w:rFonts w:ascii="宋体" w:hAnsi="宋体" w:cs="宋体"/>
          <w:sz w:val="24"/>
          <w:szCs w:val="28"/>
        </w:rPr>
      </w:pPr>
      <w:r>
        <w:rPr>
          <w:rFonts w:hint="eastAsia" w:ascii="宋体" w:hAnsi="宋体" w:cs="宋体"/>
          <w:sz w:val="24"/>
          <w:szCs w:val="28"/>
        </w:rPr>
        <w:t>本次投标报价已按总承包设计方式报价，以满足甲方需求为基准，设计费一次性包死，不得要求增加设计费。包括但不仅限于资料收集、调查、现场勘察、专家评审、办公、交通、保险、人员、差旅、税费、测试工具等为完成本项目所需的全部费用。</w:t>
      </w:r>
    </w:p>
    <w:p>
      <w:pPr>
        <w:widowControl/>
        <w:spacing w:line="240" w:lineRule="exact"/>
        <w:jc w:val="center"/>
        <w:rPr>
          <w:rFonts w:ascii="宋体" w:hAnsi="宋体"/>
          <w:b/>
          <w:kern w:val="0"/>
          <w:sz w:val="30"/>
          <w:szCs w:val="30"/>
        </w:rPr>
      </w:pPr>
      <w:r>
        <w:rPr>
          <w:rFonts w:ascii="宋体" w:hAnsi="宋体"/>
          <w:b/>
          <w:kern w:val="0"/>
          <w:sz w:val="30"/>
          <w:szCs w:val="30"/>
        </w:rPr>
        <w:br w:type="page"/>
      </w:r>
    </w:p>
    <w:p>
      <w:pPr>
        <w:widowControl/>
        <w:spacing w:line="360" w:lineRule="auto"/>
        <w:jc w:val="center"/>
        <w:rPr>
          <w:rFonts w:ascii="宋体" w:hAnsi="宋体"/>
          <w:b/>
          <w:kern w:val="0"/>
          <w:sz w:val="28"/>
          <w:szCs w:val="28"/>
        </w:rPr>
      </w:pPr>
      <w:r>
        <w:rPr>
          <w:rFonts w:hint="eastAsia" w:ascii="宋体" w:hAnsi="宋体"/>
          <w:b/>
          <w:kern w:val="0"/>
          <w:sz w:val="28"/>
          <w:szCs w:val="28"/>
        </w:rPr>
        <w:t>第四章  评标办法</w:t>
      </w:r>
    </w:p>
    <w:p>
      <w:pPr>
        <w:spacing w:line="240" w:lineRule="exact"/>
        <w:jc w:val="center"/>
        <w:rPr>
          <w:rFonts w:ascii="宋体" w:hAnsi="宋体"/>
          <w:b/>
          <w:kern w:val="0"/>
          <w:sz w:val="30"/>
          <w:szCs w:val="30"/>
        </w:rPr>
      </w:pPr>
    </w:p>
    <w:p>
      <w:pPr>
        <w:adjustRightInd w:val="0"/>
        <w:snapToGrid w:val="0"/>
        <w:spacing w:line="600" w:lineRule="exact"/>
        <w:ind w:right="-10" w:firstLine="420" w:firstLineChars="175"/>
        <w:rPr>
          <w:rFonts w:ascii="宋体" w:hAnsi="宋体"/>
          <w:sz w:val="24"/>
        </w:rPr>
      </w:pPr>
      <w:r>
        <w:rPr>
          <w:rFonts w:hint="eastAsia" w:ascii="宋体" w:hAnsi="宋体"/>
          <w:bCs/>
          <w:sz w:val="24"/>
        </w:rPr>
        <w:t>1.</w:t>
      </w:r>
      <w:r>
        <w:rPr>
          <w:rFonts w:hint="eastAsia" w:ascii="宋体" w:hAnsi="宋体"/>
          <w:sz w:val="24"/>
        </w:rPr>
        <w:t>为了做好“鼓楼银座</w:t>
      </w:r>
      <w:r>
        <w:rPr>
          <w:rFonts w:ascii="宋体" w:hAnsi="宋体"/>
          <w:sz w:val="24"/>
        </w:rPr>
        <w:t>商业</w:t>
      </w:r>
      <w:r>
        <w:rPr>
          <w:rFonts w:hint="eastAsia" w:ascii="宋体" w:hAnsi="宋体"/>
          <w:sz w:val="24"/>
        </w:rPr>
        <w:t>主题</w:t>
      </w:r>
      <w:r>
        <w:rPr>
          <w:rFonts w:ascii="宋体" w:hAnsi="宋体"/>
          <w:sz w:val="24"/>
        </w:rPr>
        <w:t>设计</w:t>
      </w:r>
      <w:r>
        <w:rPr>
          <w:rFonts w:hint="eastAsia" w:ascii="宋体" w:hAnsi="宋体"/>
          <w:sz w:val="24"/>
        </w:rPr>
        <w:t>”的招标评标工作，保证项目评审工作的正常有序进行，维护招标人、投标人的合法权益，本着公开、公平、公正的原则，制定评标办法。</w:t>
      </w:r>
    </w:p>
    <w:p>
      <w:pPr>
        <w:adjustRightInd w:val="0"/>
        <w:snapToGrid w:val="0"/>
        <w:spacing w:line="600" w:lineRule="exact"/>
        <w:ind w:right="-10" w:firstLine="420" w:firstLineChars="175"/>
        <w:rPr>
          <w:rFonts w:ascii="宋体" w:hAnsi="宋体"/>
          <w:sz w:val="24"/>
        </w:rPr>
      </w:pPr>
      <w:r>
        <w:rPr>
          <w:rFonts w:hint="eastAsia" w:ascii="宋体" w:hAnsi="宋体"/>
          <w:bCs/>
          <w:sz w:val="24"/>
        </w:rPr>
        <w:t>2.</w:t>
      </w:r>
      <w:r>
        <w:rPr>
          <w:rFonts w:hint="eastAsia" w:ascii="宋体" w:hAnsi="宋体"/>
          <w:sz w:val="24"/>
        </w:rPr>
        <w:t>本项目评标采用综合评分法作为对投标文件的比较方法。</w:t>
      </w:r>
    </w:p>
    <w:p>
      <w:pPr>
        <w:adjustRightInd w:val="0"/>
        <w:snapToGrid w:val="0"/>
        <w:spacing w:line="600" w:lineRule="exact"/>
        <w:ind w:left="-61" w:leftChars="-29" w:right="-10" w:firstLine="480" w:firstLineChars="200"/>
        <w:rPr>
          <w:rFonts w:ascii="宋体" w:hAnsi="宋体"/>
          <w:sz w:val="24"/>
        </w:rPr>
      </w:pPr>
      <w:r>
        <w:rPr>
          <w:rFonts w:hint="eastAsia" w:ascii="宋体" w:hAnsi="宋体"/>
          <w:bCs/>
          <w:sz w:val="24"/>
        </w:rPr>
        <w:t>3.</w:t>
      </w:r>
      <w:r>
        <w:rPr>
          <w:rFonts w:hint="eastAsia" w:ascii="宋体" w:hAnsi="宋体"/>
          <w:sz w:val="24"/>
        </w:rPr>
        <w:t>本项目将组建不少于</w:t>
      </w:r>
      <w:r>
        <w:rPr>
          <w:rFonts w:hint="eastAsia" w:ascii="宋体" w:hAnsi="宋体"/>
          <w:sz w:val="24"/>
          <w:u w:val="single"/>
        </w:rPr>
        <w:t>5</w:t>
      </w:r>
      <w:r>
        <w:rPr>
          <w:rFonts w:hint="eastAsia" w:ascii="宋体" w:hAnsi="宋体"/>
          <w:sz w:val="24"/>
        </w:rPr>
        <w:t>人的评标委员会，负责本项目的评标工作。</w:t>
      </w:r>
    </w:p>
    <w:p>
      <w:pPr>
        <w:adjustRightInd w:val="0"/>
        <w:snapToGrid w:val="0"/>
        <w:spacing w:line="600" w:lineRule="exact"/>
        <w:ind w:left="-61" w:leftChars="-29" w:right="-10" w:firstLine="480" w:firstLineChars="200"/>
        <w:rPr>
          <w:rFonts w:ascii="宋体" w:hAnsi="宋体"/>
          <w:sz w:val="24"/>
        </w:rPr>
      </w:pPr>
      <w:r>
        <w:rPr>
          <w:rFonts w:hint="eastAsia" w:ascii="宋体" w:hAnsi="宋体"/>
          <w:sz w:val="24"/>
        </w:rPr>
        <w:t>4.评标委员会按照“客观公正，实事求是”的原则，评价参加本次招标的投标人所提供的产品或服务价格、性能、质量、服务及对磋商文件的符合性及响应性。</w:t>
      </w:r>
    </w:p>
    <w:p>
      <w:pPr>
        <w:adjustRightInd w:val="0"/>
        <w:snapToGrid w:val="0"/>
        <w:spacing w:line="600" w:lineRule="exact"/>
        <w:ind w:left="-61" w:leftChars="-29" w:right="-10" w:firstLine="480" w:firstLineChars="200"/>
        <w:rPr>
          <w:rFonts w:ascii="宋体" w:hAnsi="宋体"/>
          <w:sz w:val="24"/>
        </w:rPr>
      </w:pPr>
      <w:r>
        <w:rPr>
          <w:rFonts w:hint="eastAsia" w:ascii="宋体" w:hAnsi="宋体"/>
          <w:bCs/>
          <w:sz w:val="24"/>
        </w:rPr>
        <w:t>5.评</w:t>
      </w:r>
      <w:r>
        <w:rPr>
          <w:rFonts w:hint="eastAsia" w:ascii="宋体" w:hAnsi="宋体"/>
          <w:sz w:val="24"/>
        </w:rPr>
        <w:t>标工作于开标后进行。评标委员会应认真研究磋商文件，至少应了解和熟悉以下内容：</w:t>
      </w:r>
    </w:p>
    <w:p>
      <w:pPr>
        <w:spacing w:line="600" w:lineRule="exact"/>
        <w:ind w:left="480" w:right="-10"/>
        <w:rPr>
          <w:rFonts w:ascii="宋体" w:hAnsi="宋体"/>
          <w:sz w:val="24"/>
        </w:rPr>
      </w:pPr>
      <w:r>
        <w:rPr>
          <w:rFonts w:hint="eastAsia" w:ascii="宋体" w:hAnsi="宋体"/>
          <w:sz w:val="24"/>
        </w:rPr>
        <w:t>5.1招标的目标；</w:t>
      </w:r>
    </w:p>
    <w:p>
      <w:pPr>
        <w:spacing w:line="600" w:lineRule="exact"/>
        <w:ind w:left="480" w:right="-10"/>
        <w:rPr>
          <w:rFonts w:ascii="宋体" w:hAnsi="宋体"/>
          <w:sz w:val="24"/>
        </w:rPr>
      </w:pPr>
      <w:r>
        <w:rPr>
          <w:rFonts w:hint="eastAsia" w:ascii="宋体" w:hAnsi="宋体"/>
          <w:sz w:val="24"/>
        </w:rPr>
        <w:t>5.2招标项目的范围和性质；</w:t>
      </w:r>
    </w:p>
    <w:p>
      <w:pPr>
        <w:spacing w:line="600" w:lineRule="exact"/>
        <w:ind w:left="480" w:right="-10"/>
        <w:rPr>
          <w:rFonts w:ascii="宋体" w:hAnsi="宋体"/>
          <w:sz w:val="24"/>
        </w:rPr>
      </w:pPr>
      <w:r>
        <w:rPr>
          <w:rFonts w:hint="eastAsia" w:ascii="宋体" w:hAnsi="宋体"/>
          <w:sz w:val="24"/>
        </w:rPr>
        <w:t>5.3磋商文件中规定的主要技术要求、标准和商务条款；</w:t>
      </w:r>
    </w:p>
    <w:p>
      <w:pPr>
        <w:spacing w:line="600" w:lineRule="exact"/>
        <w:ind w:left="480" w:right="-10"/>
        <w:rPr>
          <w:rFonts w:ascii="宋体" w:hAnsi="宋体"/>
          <w:sz w:val="24"/>
        </w:rPr>
      </w:pPr>
      <w:r>
        <w:rPr>
          <w:rFonts w:hint="eastAsia" w:ascii="宋体" w:hAnsi="宋体"/>
          <w:sz w:val="24"/>
        </w:rPr>
        <w:t>5.4磋商文件规定的评标标准、评标方法和在评标过程中考虑的相关因素。</w:t>
      </w:r>
    </w:p>
    <w:p>
      <w:pPr>
        <w:adjustRightInd w:val="0"/>
        <w:snapToGrid w:val="0"/>
        <w:spacing w:line="600" w:lineRule="exact"/>
        <w:ind w:right="-10" w:firstLine="480" w:firstLineChars="200"/>
        <w:rPr>
          <w:rFonts w:ascii="宋体" w:hAnsi="宋体"/>
          <w:sz w:val="24"/>
        </w:rPr>
      </w:pPr>
      <w:r>
        <w:rPr>
          <w:rFonts w:hint="eastAsia" w:ascii="宋体" w:hAnsi="宋体"/>
          <w:bCs/>
          <w:sz w:val="24"/>
        </w:rPr>
        <w:t>6.</w:t>
      </w:r>
      <w:r>
        <w:rPr>
          <w:rFonts w:hint="eastAsia" w:ascii="宋体" w:hAnsi="宋体"/>
          <w:sz w:val="24"/>
        </w:rPr>
        <w:t>有效投标应符合以下原则：</w:t>
      </w:r>
    </w:p>
    <w:p>
      <w:pPr>
        <w:spacing w:line="600" w:lineRule="exact"/>
        <w:ind w:left="480" w:right="-10"/>
        <w:rPr>
          <w:rFonts w:ascii="宋体" w:hAnsi="宋体"/>
          <w:sz w:val="24"/>
        </w:rPr>
      </w:pPr>
      <w:r>
        <w:rPr>
          <w:rFonts w:hint="eastAsia" w:ascii="宋体" w:hAnsi="宋体"/>
          <w:sz w:val="24"/>
        </w:rPr>
        <w:t>6.1满足磋商文件的实质性要求；</w:t>
      </w:r>
    </w:p>
    <w:p>
      <w:pPr>
        <w:spacing w:line="600" w:lineRule="exact"/>
        <w:ind w:left="480" w:right="-10"/>
        <w:rPr>
          <w:rFonts w:ascii="宋体" w:hAnsi="宋体"/>
          <w:sz w:val="24"/>
        </w:rPr>
      </w:pPr>
      <w:r>
        <w:rPr>
          <w:rFonts w:hint="eastAsia" w:ascii="宋体" w:hAnsi="宋体"/>
          <w:sz w:val="24"/>
        </w:rPr>
        <w:t>6.2无重大偏离、保留或招标人不能接受的附加条件；</w:t>
      </w:r>
    </w:p>
    <w:p>
      <w:pPr>
        <w:spacing w:line="600" w:lineRule="exact"/>
        <w:ind w:left="480" w:right="-10"/>
        <w:rPr>
          <w:rFonts w:ascii="宋体" w:hAnsi="宋体"/>
          <w:sz w:val="24"/>
        </w:rPr>
      </w:pPr>
      <w:r>
        <w:rPr>
          <w:rFonts w:hint="eastAsia" w:ascii="宋体" w:hAnsi="宋体"/>
          <w:sz w:val="24"/>
        </w:rPr>
        <w:t>6.3通过初审；</w:t>
      </w:r>
    </w:p>
    <w:p>
      <w:pPr>
        <w:adjustRightInd w:val="0"/>
        <w:snapToGrid w:val="0"/>
        <w:spacing w:line="600" w:lineRule="exact"/>
        <w:ind w:right="-10" w:firstLine="480" w:firstLineChars="200"/>
        <w:rPr>
          <w:rFonts w:ascii="宋体" w:hAnsi="宋体"/>
          <w:sz w:val="24"/>
        </w:rPr>
      </w:pPr>
      <w:r>
        <w:rPr>
          <w:rFonts w:hint="eastAsia" w:ascii="宋体" w:hAnsi="宋体"/>
          <w:sz w:val="24"/>
        </w:rPr>
        <w:t>6.4评标委员会依据磋商文件认定的其他原则。</w:t>
      </w:r>
    </w:p>
    <w:p>
      <w:pPr>
        <w:adjustRightInd w:val="0"/>
        <w:snapToGrid w:val="0"/>
        <w:spacing w:line="600" w:lineRule="exact"/>
        <w:ind w:right="-10" w:firstLine="480" w:firstLineChars="200"/>
        <w:rPr>
          <w:rFonts w:ascii="宋体" w:hAnsi="宋体" w:cs="宋体-18030"/>
          <w:sz w:val="24"/>
        </w:rPr>
      </w:pPr>
      <w:r>
        <w:rPr>
          <w:rFonts w:hint="eastAsia" w:ascii="宋体" w:hAnsi="宋体"/>
          <w:bCs/>
          <w:sz w:val="24"/>
        </w:rPr>
        <w:t>7.</w:t>
      </w:r>
      <w:r>
        <w:rPr>
          <w:rFonts w:hint="eastAsia" w:ascii="宋体" w:hAnsi="宋体" w:cs="宋体-18030"/>
          <w:sz w:val="24"/>
        </w:rPr>
        <w:t>评标委员会对所有投标文件均采用相同程序和标准，进行评定。</w:t>
      </w:r>
    </w:p>
    <w:p>
      <w:pPr>
        <w:tabs>
          <w:tab w:val="left" w:pos="360"/>
          <w:tab w:val="left" w:pos="540"/>
          <w:tab w:val="left" w:pos="3600"/>
          <w:tab w:val="left" w:pos="3780"/>
          <w:tab w:val="left" w:pos="8460"/>
          <w:tab w:val="left" w:pos="9180"/>
        </w:tabs>
        <w:adjustRightInd w:val="0"/>
        <w:snapToGrid w:val="0"/>
        <w:spacing w:line="600" w:lineRule="exact"/>
        <w:ind w:right="-21" w:rightChars="-10" w:firstLine="361" w:firstLineChars="150"/>
        <w:jc w:val="left"/>
        <w:rPr>
          <w:rFonts w:ascii="宋体" w:hAnsi="宋体"/>
          <w:b/>
          <w:sz w:val="24"/>
        </w:rPr>
      </w:pPr>
      <w:r>
        <w:rPr>
          <w:rFonts w:ascii="宋体" w:hAnsi="宋体"/>
          <w:b/>
          <w:sz w:val="24"/>
        </w:rPr>
        <w:t>8.评审程序</w:t>
      </w:r>
    </w:p>
    <w:p>
      <w:pPr>
        <w:tabs>
          <w:tab w:val="left" w:pos="360"/>
          <w:tab w:val="left" w:pos="540"/>
          <w:tab w:val="left" w:pos="3600"/>
          <w:tab w:val="left" w:pos="3780"/>
          <w:tab w:val="left" w:pos="8460"/>
          <w:tab w:val="left" w:pos="9180"/>
        </w:tabs>
        <w:adjustRightInd w:val="0"/>
        <w:snapToGrid w:val="0"/>
        <w:spacing w:line="600" w:lineRule="exact"/>
        <w:ind w:right="-21" w:rightChars="-10" w:firstLine="360" w:firstLineChars="150"/>
        <w:jc w:val="left"/>
        <w:rPr>
          <w:rFonts w:ascii="宋体" w:hAnsi="宋体"/>
          <w:sz w:val="24"/>
        </w:rPr>
      </w:pPr>
      <w:r>
        <w:rPr>
          <w:rFonts w:ascii="宋体" w:hAnsi="宋体"/>
          <w:sz w:val="24"/>
        </w:rPr>
        <w:t>8.1</w:t>
      </w:r>
      <w:r>
        <w:rPr>
          <w:rFonts w:hint="eastAsia" w:ascii="宋体" w:hAnsi="宋体"/>
          <w:bCs/>
          <w:sz w:val="24"/>
        </w:rPr>
        <w:t>本项目采用综合评分法进行评审，在最大限度地满足磋商文件实质性要求前提下，按照磋商文件中规定的各项因素进行综合评审。</w:t>
      </w:r>
    </w:p>
    <w:p>
      <w:pPr>
        <w:tabs>
          <w:tab w:val="left" w:pos="360"/>
          <w:tab w:val="left" w:pos="540"/>
          <w:tab w:val="left" w:pos="3600"/>
          <w:tab w:val="left" w:pos="3780"/>
          <w:tab w:val="left" w:pos="8460"/>
          <w:tab w:val="left" w:pos="9180"/>
        </w:tabs>
        <w:adjustRightInd w:val="0"/>
        <w:snapToGrid w:val="0"/>
        <w:spacing w:line="600" w:lineRule="exact"/>
        <w:ind w:right="-21" w:rightChars="-10" w:firstLine="360" w:firstLineChars="150"/>
        <w:jc w:val="left"/>
        <w:rPr>
          <w:rFonts w:ascii="宋体" w:hAnsi="宋体"/>
          <w:sz w:val="24"/>
        </w:rPr>
      </w:pPr>
      <w:r>
        <w:rPr>
          <w:rFonts w:ascii="宋体" w:hAnsi="宋体"/>
          <w:sz w:val="24"/>
        </w:rPr>
        <w:t>8.2</w:t>
      </w:r>
      <w:r>
        <w:rPr>
          <w:rFonts w:hint="eastAsia" w:ascii="宋体" w:hAnsi="宋体"/>
          <w:bCs/>
          <w:sz w:val="24"/>
        </w:rPr>
        <w:t>评标委员会首先对所有投标人进行初审，初审中，评标委员会发现投标人的投标文件中对同类问题表述不一致、前后矛盾、有明显文字和计算错误的内容、有可能不符合磋商文件规定等情况需要澄清时，评标委员会将以询标的方式告知并要求投标人以书面方式进行必要的澄清、说明或补正。对于询标后判定为不符合磋商文件的投标文件，评委要提出充足的否定理由，并予以书面记录。最终对投标人初审结论分为通过和未通过。</w:t>
      </w:r>
    </w:p>
    <w:p>
      <w:pPr>
        <w:spacing w:line="600" w:lineRule="exact"/>
        <w:jc w:val="left"/>
        <w:rPr>
          <w:rFonts w:ascii="宋体" w:hAnsi="宋体"/>
          <w:sz w:val="24"/>
        </w:rPr>
      </w:pPr>
      <w:r>
        <w:rPr>
          <w:rFonts w:ascii="宋体" w:hAnsi="宋体"/>
          <w:bCs/>
          <w:sz w:val="24"/>
        </w:rPr>
        <w:t>8.3</w:t>
      </w:r>
      <w:r>
        <w:rPr>
          <w:rFonts w:hint="eastAsia" w:ascii="宋体" w:hAnsi="宋体"/>
          <w:sz w:val="24"/>
        </w:rPr>
        <w:t>评委独立评审后，评标委员会对投标人某项指标如有不同意见，按照少数服从多数的原则，确定该项指标是否通过。符合初审指标通过标准的，为有效投标。评标委员会按下表内容进行初审。</w:t>
      </w:r>
    </w:p>
    <w:p>
      <w:pPr>
        <w:spacing w:line="600" w:lineRule="exact"/>
        <w:ind w:firstLine="480"/>
        <w:jc w:val="left"/>
        <w:rPr>
          <w:rFonts w:ascii="宋体" w:hAnsi="宋体"/>
          <w:sz w:val="24"/>
        </w:rPr>
      </w:pPr>
      <w:r>
        <w:rPr>
          <w:rFonts w:ascii="宋体" w:hAnsi="宋体"/>
          <w:sz w:val="24"/>
        </w:rPr>
        <w:t>8.4初审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60"/>
        <w:gridCol w:w="2398"/>
        <w:gridCol w:w="830"/>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9854" w:type="dxa"/>
            <w:gridSpan w:val="5"/>
            <w:noWrap/>
            <w:vAlign w:val="center"/>
          </w:tcPr>
          <w:p>
            <w:pPr>
              <w:spacing w:line="560" w:lineRule="exact"/>
              <w:jc w:val="center"/>
              <w:rPr>
                <w:rFonts w:ascii="宋体" w:hAnsi="宋体"/>
                <w:b/>
                <w:sz w:val="24"/>
              </w:rPr>
            </w:pPr>
            <w:r>
              <w:rPr>
                <w:rFonts w:hint="eastAsia" w:ascii="宋体" w:hAnsi="宋体"/>
                <w:b/>
                <w:sz w:val="24"/>
              </w:rPr>
              <w:t>初审表（指标一览表）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54" w:type="dxa"/>
            <w:gridSpan w:val="5"/>
            <w:noWrap/>
            <w:vAlign w:val="center"/>
          </w:tcPr>
          <w:p>
            <w:pPr>
              <w:spacing w:line="560" w:lineRule="exact"/>
              <w:jc w:val="center"/>
              <w:rPr>
                <w:rFonts w:ascii="宋体" w:hAnsi="宋体"/>
                <w:b/>
                <w:sz w:val="24"/>
              </w:rPr>
            </w:pPr>
            <w:r>
              <w:rPr>
                <w:rFonts w:hint="eastAsia" w:ascii="宋体" w:hAnsi="宋体"/>
                <w:b/>
                <w:sz w:val="24"/>
              </w:rPr>
              <w:t>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85" w:type="dxa"/>
            <w:tcBorders>
              <w:bottom w:val="single" w:color="auto" w:sz="4" w:space="0"/>
            </w:tcBorders>
            <w:noWrap/>
            <w:vAlign w:val="center"/>
          </w:tcPr>
          <w:p>
            <w:pPr>
              <w:spacing w:line="560" w:lineRule="exact"/>
              <w:jc w:val="center"/>
              <w:rPr>
                <w:rFonts w:ascii="宋体" w:hAnsi="宋体"/>
                <w:b/>
                <w:sz w:val="24"/>
              </w:rPr>
            </w:pPr>
            <w:r>
              <w:rPr>
                <w:rFonts w:hint="eastAsia" w:ascii="宋体" w:hAnsi="宋体"/>
                <w:b/>
                <w:sz w:val="24"/>
              </w:rPr>
              <w:t>序号</w:t>
            </w:r>
          </w:p>
        </w:tc>
        <w:tc>
          <w:tcPr>
            <w:tcW w:w="1560" w:type="dxa"/>
            <w:tcBorders>
              <w:bottom w:val="single" w:color="auto" w:sz="4" w:space="0"/>
            </w:tcBorders>
            <w:noWrap/>
            <w:vAlign w:val="center"/>
          </w:tcPr>
          <w:p>
            <w:pPr>
              <w:spacing w:line="560" w:lineRule="exact"/>
              <w:jc w:val="center"/>
              <w:rPr>
                <w:rFonts w:ascii="宋体" w:hAnsi="宋体"/>
                <w:b/>
                <w:sz w:val="24"/>
              </w:rPr>
            </w:pPr>
            <w:r>
              <w:rPr>
                <w:rFonts w:hint="eastAsia" w:ascii="宋体" w:hAnsi="宋体"/>
                <w:b/>
                <w:sz w:val="24"/>
              </w:rPr>
              <w:t>指标名称</w:t>
            </w:r>
          </w:p>
        </w:tc>
        <w:tc>
          <w:tcPr>
            <w:tcW w:w="2398" w:type="dxa"/>
            <w:tcBorders>
              <w:bottom w:val="single" w:color="auto" w:sz="4" w:space="0"/>
            </w:tcBorders>
            <w:noWrap/>
            <w:vAlign w:val="center"/>
          </w:tcPr>
          <w:p>
            <w:pPr>
              <w:spacing w:line="560" w:lineRule="exact"/>
              <w:jc w:val="center"/>
              <w:rPr>
                <w:rFonts w:ascii="宋体" w:hAnsi="宋体"/>
                <w:b/>
                <w:sz w:val="24"/>
              </w:rPr>
            </w:pPr>
            <w:r>
              <w:rPr>
                <w:rFonts w:hint="eastAsia" w:ascii="宋体" w:hAnsi="宋体"/>
                <w:b/>
                <w:sz w:val="24"/>
              </w:rPr>
              <w:t>指标要求</w:t>
            </w:r>
          </w:p>
        </w:tc>
        <w:tc>
          <w:tcPr>
            <w:tcW w:w="830" w:type="dxa"/>
            <w:tcBorders>
              <w:bottom w:val="single" w:color="auto" w:sz="4" w:space="0"/>
            </w:tcBorders>
            <w:noWrap/>
            <w:vAlign w:val="center"/>
          </w:tcPr>
          <w:p>
            <w:pPr>
              <w:spacing w:line="560" w:lineRule="exact"/>
              <w:jc w:val="center"/>
              <w:rPr>
                <w:rFonts w:ascii="宋体" w:hAnsi="宋体"/>
                <w:b/>
                <w:sz w:val="24"/>
              </w:rPr>
            </w:pPr>
            <w:r>
              <w:rPr>
                <w:rFonts w:hint="eastAsia" w:ascii="宋体" w:hAnsi="宋体"/>
                <w:b/>
                <w:sz w:val="24"/>
              </w:rPr>
              <w:t>是否通过</w:t>
            </w:r>
          </w:p>
        </w:tc>
        <w:tc>
          <w:tcPr>
            <w:tcW w:w="4381" w:type="dxa"/>
            <w:tcBorders>
              <w:bottom w:val="single" w:color="auto" w:sz="4" w:space="0"/>
            </w:tcBorders>
            <w:noWrap/>
            <w:vAlign w:val="center"/>
          </w:tcPr>
          <w:p>
            <w:pPr>
              <w:spacing w:line="560" w:lineRule="exact"/>
              <w:jc w:val="center"/>
              <w:rPr>
                <w:rFonts w:ascii="宋体" w:hAnsi="宋体"/>
                <w:b/>
                <w:sz w:val="24"/>
              </w:rPr>
            </w:pPr>
            <w:r>
              <w:rPr>
                <w:rFonts w:hint="eastAsia" w:ascii="宋体" w:hAnsi="宋体"/>
                <w:b/>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85" w:type="dxa"/>
            <w:noWrap/>
            <w:vAlign w:val="center"/>
          </w:tcPr>
          <w:p>
            <w:pPr>
              <w:spacing w:line="560" w:lineRule="exact"/>
              <w:jc w:val="center"/>
              <w:rPr>
                <w:rFonts w:ascii="宋体" w:hAnsi="宋体"/>
                <w:sz w:val="24"/>
              </w:rPr>
            </w:pPr>
            <w:r>
              <w:rPr>
                <w:rFonts w:ascii="宋体" w:hAnsi="宋体"/>
                <w:sz w:val="24"/>
              </w:rPr>
              <w:t>1</w:t>
            </w:r>
          </w:p>
        </w:tc>
        <w:tc>
          <w:tcPr>
            <w:tcW w:w="1560" w:type="dxa"/>
            <w:noWrap/>
            <w:vAlign w:val="center"/>
          </w:tcPr>
          <w:p>
            <w:pPr>
              <w:spacing w:line="560" w:lineRule="exact"/>
              <w:jc w:val="center"/>
              <w:rPr>
                <w:rFonts w:ascii="宋体" w:hAnsi="宋体"/>
                <w:sz w:val="24"/>
              </w:rPr>
            </w:pPr>
            <w:r>
              <w:rPr>
                <w:rFonts w:hint="eastAsia" w:ascii="宋体" w:hAnsi="宋体"/>
                <w:sz w:val="24"/>
              </w:rPr>
              <w:t>营业执照</w:t>
            </w:r>
          </w:p>
        </w:tc>
        <w:tc>
          <w:tcPr>
            <w:tcW w:w="2398" w:type="dxa"/>
            <w:noWrap/>
            <w:vAlign w:val="center"/>
          </w:tcPr>
          <w:p>
            <w:pPr>
              <w:spacing w:line="560" w:lineRule="exact"/>
              <w:jc w:val="center"/>
              <w:rPr>
                <w:rFonts w:ascii="宋体" w:hAnsi="宋体"/>
                <w:sz w:val="24"/>
              </w:rPr>
            </w:pPr>
            <w:r>
              <w:rPr>
                <w:rFonts w:hint="eastAsia" w:ascii="宋体" w:hAnsi="宋体"/>
                <w:sz w:val="24"/>
              </w:rPr>
              <w:t>合法有效</w:t>
            </w:r>
          </w:p>
        </w:tc>
        <w:tc>
          <w:tcPr>
            <w:tcW w:w="830" w:type="dxa"/>
            <w:noWrap/>
            <w:vAlign w:val="center"/>
          </w:tcPr>
          <w:p>
            <w:pPr>
              <w:spacing w:line="560" w:lineRule="exact"/>
              <w:rPr>
                <w:rFonts w:ascii="宋体" w:hAnsi="宋体"/>
                <w:sz w:val="24"/>
              </w:rPr>
            </w:pPr>
          </w:p>
        </w:tc>
        <w:tc>
          <w:tcPr>
            <w:tcW w:w="4381" w:type="dxa"/>
            <w:vMerge w:val="restart"/>
            <w:noWrap/>
            <w:vAlign w:val="center"/>
          </w:tcPr>
          <w:p>
            <w:pPr>
              <w:spacing w:line="560" w:lineRule="exact"/>
              <w:rPr>
                <w:rFonts w:ascii="宋体" w:hAnsi="宋体"/>
                <w:sz w:val="24"/>
              </w:rPr>
            </w:pPr>
            <w:r>
              <w:rPr>
                <w:rFonts w:hint="eastAsia" w:ascii="宋体" w:hAnsi="宋体"/>
                <w:sz w:val="24"/>
              </w:rPr>
              <w:t>提供有效的营业执照（三证合一）扫描件，应完整的体现出营业执照的全部内容。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85" w:type="dxa"/>
            <w:noWrap/>
            <w:vAlign w:val="center"/>
          </w:tcPr>
          <w:p>
            <w:pPr>
              <w:spacing w:line="560" w:lineRule="exact"/>
              <w:jc w:val="center"/>
              <w:rPr>
                <w:rFonts w:ascii="宋体" w:hAnsi="宋体"/>
                <w:sz w:val="24"/>
              </w:rPr>
            </w:pPr>
            <w:r>
              <w:rPr>
                <w:rFonts w:ascii="宋体" w:hAnsi="宋体"/>
                <w:sz w:val="24"/>
              </w:rPr>
              <w:t>2</w:t>
            </w:r>
          </w:p>
        </w:tc>
        <w:tc>
          <w:tcPr>
            <w:tcW w:w="1560" w:type="dxa"/>
            <w:noWrap/>
            <w:vAlign w:val="center"/>
          </w:tcPr>
          <w:p>
            <w:pPr>
              <w:spacing w:line="560" w:lineRule="exact"/>
              <w:jc w:val="center"/>
              <w:rPr>
                <w:rFonts w:ascii="宋体" w:hAnsi="宋体"/>
                <w:sz w:val="24"/>
              </w:rPr>
            </w:pPr>
            <w:r>
              <w:rPr>
                <w:rFonts w:hint="eastAsia" w:ascii="宋体" w:hAnsi="宋体"/>
                <w:sz w:val="24"/>
              </w:rPr>
              <w:t>税务登记</w:t>
            </w:r>
          </w:p>
        </w:tc>
        <w:tc>
          <w:tcPr>
            <w:tcW w:w="2398" w:type="dxa"/>
            <w:noWrap/>
            <w:vAlign w:val="center"/>
          </w:tcPr>
          <w:p>
            <w:pPr>
              <w:spacing w:line="560" w:lineRule="exact"/>
              <w:jc w:val="center"/>
              <w:rPr>
                <w:rFonts w:ascii="宋体" w:hAnsi="宋体"/>
                <w:sz w:val="24"/>
              </w:rPr>
            </w:pPr>
            <w:r>
              <w:rPr>
                <w:rFonts w:hint="eastAsia" w:ascii="宋体" w:hAnsi="宋体"/>
                <w:sz w:val="24"/>
              </w:rPr>
              <w:t>合法有效</w:t>
            </w:r>
          </w:p>
        </w:tc>
        <w:tc>
          <w:tcPr>
            <w:tcW w:w="830" w:type="dxa"/>
            <w:noWrap/>
            <w:vAlign w:val="center"/>
          </w:tcPr>
          <w:p>
            <w:pPr>
              <w:spacing w:line="560" w:lineRule="exact"/>
              <w:rPr>
                <w:rFonts w:ascii="宋体" w:hAnsi="宋体"/>
                <w:sz w:val="24"/>
              </w:rPr>
            </w:pPr>
          </w:p>
        </w:tc>
        <w:tc>
          <w:tcPr>
            <w:tcW w:w="4381" w:type="dxa"/>
            <w:vMerge w:val="continue"/>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685" w:type="dxa"/>
            <w:noWrap/>
            <w:vAlign w:val="center"/>
          </w:tcPr>
          <w:p>
            <w:pPr>
              <w:spacing w:line="460" w:lineRule="exact"/>
              <w:jc w:val="center"/>
              <w:rPr>
                <w:rFonts w:ascii="宋体" w:hAnsi="宋体"/>
                <w:sz w:val="24"/>
              </w:rPr>
            </w:pPr>
            <w:r>
              <w:rPr>
                <w:rFonts w:ascii="宋体" w:hAnsi="宋体"/>
                <w:sz w:val="24"/>
              </w:rPr>
              <w:t>3</w:t>
            </w:r>
          </w:p>
        </w:tc>
        <w:tc>
          <w:tcPr>
            <w:tcW w:w="1560" w:type="dxa"/>
            <w:noWrap/>
            <w:vAlign w:val="center"/>
          </w:tcPr>
          <w:p>
            <w:pPr>
              <w:spacing w:line="460" w:lineRule="exact"/>
              <w:jc w:val="center"/>
              <w:rPr>
                <w:rFonts w:ascii="宋体" w:hAnsi="宋体"/>
                <w:sz w:val="24"/>
              </w:rPr>
            </w:pPr>
            <w:r>
              <w:rPr>
                <w:rFonts w:hint="eastAsia" w:ascii="宋体" w:hAnsi="宋体"/>
                <w:sz w:val="24"/>
              </w:rPr>
              <w:t>投标承诺书</w:t>
            </w:r>
          </w:p>
        </w:tc>
        <w:tc>
          <w:tcPr>
            <w:tcW w:w="2398" w:type="dxa"/>
            <w:noWrap/>
            <w:vAlign w:val="center"/>
          </w:tcPr>
          <w:p>
            <w:pPr>
              <w:spacing w:line="460" w:lineRule="exact"/>
              <w:jc w:val="center"/>
              <w:rPr>
                <w:rFonts w:ascii="宋体" w:hAnsi="宋体"/>
                <w:sz w:val="24"/>
              </w:rPr>
            </w:pPr>
            <w:r>
              <w:rPr>
                <w:rFonts w:hint="eastAsia" w:ascii="宋体" w:hAnsi="宋体"/>
                <w:sz w:val="24"/>
              </w:rPr>
              <w:t>符合磋商文件要求</w:t>
            </w:r>
          </w:p>
        </w:tc>
        <w:tc>
          <w:tcPr>
            <w:tcW w:w="830" w:type="dxa"/>
            <w:noWrap/>
            <w:vAlign w:val="center"/>
          </w:tcPr>
          <w:p>
            <w:pPr>
              <w:spacing w:line="460" w:lineRule="exact"/>
              <w:rPr>
                <w:rFonts w:ascii="宋体" w:hAnsi="宋体"/>
                <w:sz w:val="24"/>
              </w:rPr>
            </w:pPr>
          </w:p>
        </w:tc>
        <w:tc>
          <w:tcPr>
            <w:tcW w:w="4381" w:type="dxa"/>
            <w:noWrap/>
            <w:vAlign w:val="center"/>
          </w:tcPr>
          <w:p>
            <w:pPr>
              <w:spacing w:line="460" w:lineRule="exact"/>
              <w:rPr>
                <w:rFonts w:ascii="宋体" w:hAnsi="宋体"/>
                <w:sz w:val="24"/>
              </w:rPr>
            </w:pPr>
            <w:r>
              <w:rPr>
                <w:rFonts w:hint="eastAsia" w:ascii="宋体" w:hAnsi="宋体"/>
                <w:sz w:val="24"/>
              </w:rPr>
              <w:t>授权代表须与参加现场开标人员保持一致，否则投标无效。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ign w:val="center"/>
          </w:tcPr>
          <w:p>
            <w:pPr>
              <w:spacing w:line="560" w:lineRule="exact"/>
              <w:jc w:val="center"/>
              <w:rPr>
                <w:rFonts w:ascii="宋体" w:hAnsi="宋体"/>
                <w:sz w:val="24"/>
              </w:rPr>
            </w:pPr>
            <w:r>
              <w:rPr>
                <w:rFonts w:ascii="宋体" w:hAnsi="宋体"/>
                <w:sz w:val="24"/>
              </w:rPr>
              <w:t>4</w:t>
            </w:r>
          </w:p>
        </w:tc>
        <w:tc>
          <w:tcPr>
            <w:tcW w:w="1560" w:type="dxa"/>
            <w:noWrap/>
            <w:vAlign w:val="center"/>
          </w:tcPr>
          <w:p>
            <w:pPr>
              <w:spacing w:line="560" w:lineRule="exact"/>
              <w:jc w:val="center"/>
              <w:rPr>
                <w:rFonts w:ascii="宋体" w:hAnsi="宋体"/>
                <w:sz w:val="24"/>
              </w:rPr>
            </w:pPr>
            <w:r>
              <w:rPr>
                <w:rFonts w:hint="eastAsia" w:ascii="宋体" w:hAnsi="宋体"/>
                <w:sz w:val="24"/>
              </w:rPr>
              <w:t>股权结构说明书</w:t>
            </w:r>
          </w:p>
        </w:tc>
        <w:tc>
          <w:tcPr>
            <w:tcW w:w="2398" w:type="dxa"/>
            <w:noWrap/>
            <w:vAlign w:val="center"/>
          </w:tcPr>
          <w:p>
            <w:pPr>
              <w:spacing w:line="560" w:lineRule="exact"/>
              <w:jc w:val="center"/>
              <w:rPr>
                <w:rFonts w:ascii="宋体" w:hAnsi="宋体"/>
                <w:sz w:val="24"/>
              </w:rPr>
            </w:pPr>
            <w:r>
              <w:rPr>
                <w:rFonts w:hint="eastAsia" w:ascii="宋体" w:hAnsi="宋体"/>
                <w:sz w:val="24"/>
              </w:rPr>
              <w:t>符合磋商文件要求</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ign w:val="center"/>
          </w:tcPr>
          <w:p>
            <w:pPr>
              <w:spacing w:line="560" w:lineRule="exact"/>
              <w:jc w:val="center"/>
              <w:rPr>
                <w:rFonts w:ascii="宋体" w:hAnsi="宋体"/>
                <w:sz w:val="24"/>
              </w:rPr>
            </w:pPr>
            <w:r>
              <w:rPr>
                <w:rFonts w:hint="eastAsia" w:ascii="宋体" w:hAnsi="宋体"/>
                <w:sz w:val="24"/>
              </w:rPr>
              <w:t>5</w:t>
            </w:r>
          </w:p>
        </w:tc>
        <w:tc>
          <w:tcPr>
            <w:tcW w:w="1560" w:type="dxa"/>
            <w:noWrap/>
            <w:vAlign w:val="center"/>
          </w:tcPr>
          <w:p>
            <w:pPr>
              <w:spacing w:line="560" w:lineRule="exact"/>
              <w:jc w:val="center"/>
              <w:rPr>
                <w:rFonts w:ascii="宋体" w:hAnsi="宋体"/>
                <w:sz w:val="24"/>
              </w:rPr>
            </w:pPr>
            <w:r>
              <w:rPr>
                <w:rFonts w:hint="eastAsia" w:ascii="宋体" w:hAnsi="宋体"/>
                <w:sz w:val="24"/>
              </w:rPr>
              <w:t>投标保证金</w:t>
            </w:r>
          </w:p>
        </w:tc>
        <w:tc>
          <w:tcPr>
            <w:tcW w:w="2398" w:type="dxa"/>
            <w:noWrap/>
            <w:vAlign w:val="center"/>
          </w:tcPr>
          <w:p>
            <w:pPr>
              <w:spacing w:line="560" w:lineRule="exact"/>
              <w:jc w:val="center"/>
              <w:rPr>
                <w:rFonts w:ascii="宋体" w:hAnsi="宋体"/>
                <w:sz w:val="24"/>
              </w:rPr>
            </w:pPr>
            <w:r>
              <w:rPr>
                <w:rFonts w:hint="eastAsia" w:ascii="宋体" w:hAnsi="宋体"/>
                <w:sz w:val="24"/>
              </w:rPr>
              <w:t>符合磋商文件要求</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685" w:type="dxa"/>
            <w:noWrap/>
            <w:vAlign w:val="center"/>
          </w:tcPr>
          <w:p>
            <w:pPr>
              <w:spacing w:line="560" w:lineRule="exact"/>
              <w:jc w:val="center"/>
              <w:rPr>
                <w:rFonts w:ascii="宋体" w:hAnsi="宋体"/>
                <w:sz w:val="24"/>
              </w:rPr>
            </w:pPr>
            <w:r>
              <w:rPr>
                <w:rFonts w:hint="eastAsia" w:ascii="宋体" w:hAnsi="宋体"/>
                <w:sz w:val="24"/>
              </w:rPr>
              <w:t>6</w:t>
            </w:r>
          </w:p>
        </w:tc>
        <w:tc>
          <w:tcPr>
            <w:tcW w:w="1560" w:type="dxa"/>
            <w:noWrap/>
            <w:vAlign w:val="center"/>
          </w:tcPr>
          <w:p>
            <w:pPr>
              <w:spacing w:line="560" w:lineRule="exact"/>
              <w:jc w:val="center"/>
              <w:rPr>
                <w:rFonts w:ascii="宋体" w:hAnsi="宋体"/>
                <w:sz w:val="24"/>
              </w:rPr>
            </w:pPr>
            <w:r>
              <w:rPr>
                <w:rFonts w:hint="eastAsia" w:ascii="宋体" w:hAnsi="宋体"/>
                <w:sz w:val="24"/>
              </w:rPr>
              <w:t>开标一览表</w:t>
            </w:r>
          </w:p>
        </w:tc>
        <w:tc>
          <w:tcPr>
            <w:tcW w:w="2398" w:type="dxa"/>
            <w:noWrap/>
            <w:vAlign w:val="center"/>
          </w:tcPr>
          <w:p>
            <w:pPr>
              <w:spacing w:line="560" w:lineRule="exact"/>
              <w:jc w:val="center"/>
              <w:rPr>
                <w:rFonts w:ascii="宋体" w:hAnsi="宋体"/>
                <w:sz w:val="24"/>
              </w:rPr>
            </w:pPr>
            <w:r>
              <w:rPr>
                <w:rFonts w:hint="eastAsia" w:ascii="宋体" w:hAnsi="宋体"/>
                <w:sz w:val="24"/>
              </w:rPr>
              <w:t>符合磋商文件要求</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ign w:val="center"/>
          </w:tcPr>
          <w:p>
            <w:pPr>
              <w:spacing w:line="560" w:lineRule="exact"/>
              <w:jc w:val="center"/>
              <w:rPr>
                <w:rFonts w:ascii="宋体" w:hAnsi="宋体"/>
                <w:sz w:val="24"/>
              </w:rPr>
            </w:pPr>
            <w:r>
              <w:rPr>
                <w:rFonts w:hint="eastAsia" w:ascii="宋体" w:hAnsi="宋体"/>
                <w:sz w:val="24"/>
              </w:rPr>
              <w:t>7</w:t>
            </w:r>
          </w:p>
        </w:tc>
        <w:tc>
          <w:tcPr>
            <w:tcW w:w="1560" w:type="dxa"/>
            <w:noWrap/>
            <w:vAlign w:val="center"/>
          </w:tcPr>
          <w:p>
            <w:pPr>
              <w:spacing w:line="560" w:lineRule="exact"/>
              <w:jc w:val="center"/>
              <w:rPr>
                <w:rFonts w:ascii="宋体" w:hAnsi="宋体"/>
                <w:sz w:val="24"/>
              </w:rPr>
            </w:pPr>
            <w:r>
              <w:rPr>
                <w:rFonts w:hint="eastAsia" w:ascii="宋体" w:hAnsi="宋体"/>
                <w:sz w:val="24"/>
              </w:rPr>
              <w:t>投标报价</w:t>
            </w:r>
          </w:p>
        </w:tc>
        <w:tc>
          <w:tcPr>
            <w:tcW w:w="2398" w:type="dxa"/>
            <w:noWrap/>
            <w:vAlign w:val="center"/>
          </w:tcPr>
          <w:p>
            <w:pPr>
              <w:spacing w:line="560" w:lineRule="exact"/>
              <w:jc w:val="center"/>
              <w:rPr>
                <w:rFonts w:ascii="宋体" w:hAnsi="宋体"/>
                <w:sz w:val="24"/>
              </w:rPr>
            </w:pPr>
            <w:r>
              <w:rPr>
                <w:rFonts w:hint="eastAsia" w:ascii="宋体" w:hAnsi="宋体"/>
                <w:sz w:val="24"/>
              </w:rPr>
              <w:t>符合磋商文件要求</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ign w:val="center"/>
          </w:tcPr>
          <w:p>
            <w:pPr>
              <w:spacing w:line="560" w:lineRule="exact"/>
              <w:jc w:val="center"/>
              <w:rPr>
                <w:rFonts w:ascii="宋体" w:hAnsi="宋体"/>
                <w:sz w:val="24"/>
              </w:rPr>
            </w:pPr>
            <w:r>
              <w:rPr>
                <w:rFonts w:hint="eastAsia" w:ascii="宋体" w:hAnsi="宋体"/>
                <w:sz w:val="24"/>
              </w:rPr>
              <w:t>8</w:t>
            </w:r>
          </w:p>
        </w:tc>
        <w:tc>
          <w:tcPr>
            <w:tcW w:w="1560" w:type="dxa"/>
            <w:noWrap/>
            <w:vAlign w:val="center"/>
          </w:tcPr>
          <w:p>
            <w:pPr>
              <w:spacing w:line="560" w:lineRule="exact"/>
              <w:jc w:val="center"/>
              <w:rPr>
                <w:rFonts w:ascii="宋体" w:hAnsi="宋体"/>
                <w:sz w:val="24"/>
              </w:rPr>
            </w:pPr>
            <w:r>
              <w:rPr>
                <w:rFonts w:hint="eastAsia" w:ascii="宋体" w:hAnsi="宋体"/>
                <w:sz w:val="24"/>
              </w:rPr>
              <w:t>业绩</w:t>
            </w:r>
          </w:p>
        </w:tc>
        <w:tc>
          <w:tcPr>
            <w:tcW w:w="2398" w:type="dxa"/>
            <w:noWrap/>
            <w:vAlign w:val="center"/>
          </w:tcPr>
          <w:p>
            <w:pPr>
              <w:spacing w:line="560" w:lineRule="exact"/>
              <w:jc w:val="center"/>
              <w:rPr>
                <w:rFonts w:ascii="宋体" w:hAnsi="宋体"/>
                <w:sz w:val="24"/>
              </w:rPr>
            </w:pPr>
            <w:r>
              <w:rPr>
                <w:rFonts w:hint="eastAsia" w:ascii="宋体" w:hAnsi="宋体"/>
                <w:sz w:val="24"/>
              </w:rPr>
              <w:t>符合招标公告要求</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r>
              <w:rPr>
                <w:rFonts w:hint="eastAsia" w:ascii="宋体" w:hAnsi="宋体"/>
                <w:sz w:val="24"/>
              </w:rPr>
              <w:t>提供业绩证明资料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ign w:val="center"/>
          </w:tcPr>
          <w:p>
            <w:pPr>
              <w:spacing w:line="480" w:lineRule="exact"/>
              <w:jc w:val="center"/>
              <w:rPr>
                <w:rFonts w:ascii="宋体" w:hAnsi="宋体"/>
                <w:sz w:val="24"/>
              </w:rPr>
            </w:pPr>
            <w:r>
              <w:rPr>
                <w:rFonts w:hint="eastAsia" w:ascii="宋体" w:hAnsi="宋体"/>
                <w:sz w:val="24"/>
              </w:rPr>
              <w:t>9</w:t>
            </w:r>
          </w:p>
        </w:tc>
        <w:tc>
          <w:tcPr>
            <w:tcW w:w="1560" w:type="dxa"/>
            <w:noWrap/>
            <w:vAlign w:val="center"/>
          </w:tcPr>
          <w:p>
            <w:pPr>
              <w:spacing w:line="480" w:lineRule="exact"/>
              <w:jc w:val="center"/>
              <w:rPr>
                <w:rFonts w:ascii="宋体" w:hAnsi="宋体"/>
                <w:sz w:val="24"/>
              </w:rPr>
            </w:pPr>
            <w:r>
              <w:rPr>
                <w:rFonts w:hint="eastAsia" w:ascii="宋体" w:hAnsi="宋体"/>
                <w:sz w:val="24"/>
              </w:rPr>
              <w:t>投标人信用记录证明材料</w:t>
            </w:r>
          </w:p>
        </w:tc>
        <w:tc>
          <w:tcPr>
            <w:tcW w:w="2398" w:type="dxa"/>
            <w:noWrap/>
            <w:vAlign w:val="center"/>
          </w:tcPr>
          <w:p>
            <w:pPr>
              <w:spacing w:line="480" w:lineRule="exact"/>
              <w:jc w:val="center"/>
              <w:rPr>
                <w:rFonts w:ascii="宋体" w:hAnsi="宋体"/>
                <w:sz w:val="24"/>
              </w:rPr>
            </w:pPr>
            <w:r>
              <w:rPr>
                <w:rFonts w:hint="eastAsia" w:ascii="宋体" w:hAnsi="宋体"/>
                <w:sz w:val="24"/>
              </w:rPr>
              <w:t>符合磋商文件要求</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ign w:val="center"/>
          </w:tcPr>
          <w:p>
            <w:pPr>
              <w:spacing w:line="480" w:lineRule="exact"/>
              <w:jc w:val="center"/>
              <w:rPr>
                <w:rFonts w:ascii="宋体" w:hAnsi="宋体"/>
                <w:sz w:val="24"/>
              </w:rPr>
            </w:pPr>
            <w:r>
              <w:rPr>
                <w:rFonts w:hint="eastAsia" w:ascii="宋体" w:hAnsi="宋体"/>
                <w:sz w:val="24"/>
              </w:rPr>
              <w:t>10</w:t>
            </w:r>
          </w:p>
        </w:tc>
        <w:tc>
          <w:tcPr>
            <w:tcW w:w="1560" w:type="dxa"/>
            <w:noWrap/>
            <w:vAlign w:val="center"/>
          </w:tcPr>
          <w:p>
            <w:pPr>
              <w:spacing w:line="480" w:lineRule="exact"/>
              <w:jc w:val="center"/>
              <w:rPr>
                <w:rFonts w:ascii="宋体" w:hAnsi="宋体"/>
                <w:sz w:val="24"/>
              </w:rPr>
            </w:pPr>
            <w:r>
              <w:rPr>
                <w:rFonts w:hint="eastAsia" w:ascii="宋体" w:hAnsi="宋体"/>
                <w:sz w:val="24"/>
              </w:rPr>
              <w:t>标书响应情况</w:t>
            </w:r>
          </w:p>
        </w:tc>
        <w:tc>
          <w:tcPr>
            <w:tcW w:w="2398" w:type="dxa"/>
            <w:noWrap/>
            <w:vAlign w:val="center"/>
          </w:tcPr>
          <w:p>
            <w:pPr>
              <w:spacing w:line="480" w:lineRule="exact"/>
              <w:jc w:val="center"/>
              <w:rPr>
                <w:rFonts w:ascii="宋体" w:hAnsi="宋体"/>
                <w:sz w:val="24"/>
              </w:rPr>
            </w:pPr>
            <w:r>
              <w:rPr>
                <w:rFonts w:hint="eastAsia" w:ascii="宋体" w:hAnsi="宋体"/>
                <w:sz w:val="24"/>
              </w:rPr>
              <w:t>付款响应、服务期限响应等。</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ign w:val="center"/>
          </w:tcPr>
          <w:p>
            <w:pPr>
              <w:spacing w:line="440" w:lineRule="exact"/>
              <w:jc w:val="center"/>
              <w:rPr>
                <w:rFonts w:ascii="宋体" w:hAnsi="宋体"/>
                <w:sz w:val="24"/>
              </w:rPr>
            </w:pPr>
            <w:r>
              <w:rPr>
                <w:rFonts w:ascii="宋体" w:hAnsi="宋体"/>
                <w:sz w:val="24"/>
              </w:rPr>
              <w:t>1</w:t>
            </w:r>
            <w:r>
              <w:rPr>
                <w:rFonts w:hint="eastAsia" w:ascii="宋体" w:hAnsi="宋体"/>
                <w:sz w:val="24"/>
              </w:rPr>
              <w:t>1</w:t>
            </w:r>
          </w:p>
        </w:tc>
        <w:tc>
          <w:tcPr>
            <w:tcW w:w="1560" w:type="dxa"/>
            <w:noWrap/>
            <w:vAlign w:val="center"/>
          </w:tcPr>
          <w:p>
            <w:pPr>
              <w:spacing w:line="440" w:lineRule="exact"/>
              <w:jc w:val="center"/>
              <w:rPr>
                <w:rFonts w:ascii="宋体" w:hAnsi="宋体"/>
                <w:sz w:val="24"/>
              </w:rPr>
            </w:pPr>
            <w:r>
              <w:rPr>
                <w:rFonts w:hint="eastAsia" w:ascii="宋体" w:hAnsi="宋体"/>
                <w:sz w:val="24"/>
              </w:rPr>
              <w:t>标书规范性</w:t>
            </w:r>
          </w:p>
        </w:tc>
        <w:tc>
          <w:tcPr>
            <w:tcW w:w="2398" w:type="dxa"/>
            <w:noWrap/>
            <w:vAlign w:val="center"/>
          </w:tcPr>
          <w:p>
            <w:pPr>
              <w:spacing w:line="440" w:lineRule="exact"/>
              <w:jc w:val="center"/>
              <w:rPr>
                <w:rFonts w:ascii="宋体" w:hAnsi="宋体"/>
                <w:sz w:val="24"/>
              </w:rPr>
            </w:pPr>
            <w:r>
              <w:rPr>
                <w:rFonts w:hint="eastAsia" w:ascii="宋体" w:hAnsi="宋体"/>
                <w:sz w:val="24"/>
              </w:rPr>
              <w:t>无严重的编排混乱、内容不全或字迹模糊辨认不清、前后矛盾情况，对评标无实质性影响的。</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ign w:val="center"/>
          </w:tcPr>
          <w:p>
            <w:pPr>
              <w:spacing w:line="440" w:lineRule="exact"/>
              <w:jc w:val="center"/>
              <w:rPr>
                <w:rFonts w:ascii="宋体" w:hAnsi="宋体"/>
                <w:sz w:val="24"/>
              </w:rPr>
            </w:pPr>
            <w:r>
              <w:rPr>
                <w:rFonts w:ascii="宋体" w:hAnsi="宋体"/>
                <w:sz w:val="24"/>
              </w:rPr>
              <w:t>1</w:t>
            </w:r>
            <w:r>
              <w:rPr>
                <w:rFonts w:hint="eastAsia" w:ascii="宋体" w:hAnsi="宋体"/>
                <w:sz w:val="24"/>
              </w:rPr>
              <w:t>2</w:t>
            </w:r>
          </w:p>
        </w:tc>
        <w:tc>
          <w:tcPr>
            <w:tcW w:w="1560" w:type="dxa"/>
            <w:noWrap/>
            <w:vAlign w:val="center"/>
          </w:tcPr>
          <w:p>
            <w:pPr>
              <w:spacing w:line="440" w:lineRule="exact"/>
              <w:jc w:val="center"/>
              <w:rPr>
                <w:rFonts w:ascii="宋体" w:hAnsi="宋体"/>
                <w:sz w:val="24"/>
              </w:rPr>
            </w:pPr>
            <w:r>
              <w:rPr>
                <w:rFonts w:hint="eastAsia" w:ascii="宋体" w:hAnsi="宋体"/>
                <w:sz w:val="24"/>
              </w:rPr>
              <w:t>其他要求</w:t>
            </w:r>
          </w:p>
        </w:tc>
        <w:tc>
          <w:tcPr>
            <w:tcW w:w="2398" w:type="dxa"/>
            <w:noWrap/>
            <w:vAlign w:val="center"/>
          </w:tcPr>
          <w:p>
            <w:pPr>
              <w:spacing w:line="440" w:lineRule="exact"/>
              <w:jc w:val="center"/>
              <w:rPr>
                <w:rFonts w:ascii="宋体" w:hAnsi="宋体"/>
                <w:sz w:val="24"/>
              </w:rPr>
            </w:pPr>
            <w:r>
              <w:rPr>
                <w:rFonts w:hint="eastAsia" w:ascii="宋体" w:hAnsi="宋体"/>
                <w:sz w:val="24"/>
              </w:rPr>
              <w:t>上述指标中未列出，但国家相关法律法规或磋商文件有明确规定的。</w:t>
            </w:r>
          </w:p>
        </w:tc>
        <w:tc>
          <w:tcPr>
            <w:tcW w:w="830" w:type="dxa"/>
            <w:noWrap/>
            <w:vAlign w:val="center"/>
          </w:tcPr>
          <w:p>
            <w:pPr>
              <w:spacing w:line="560" w:lineRule="exact"/>
              <w:rPr>
                <w:rFonts w:ascii="宋体" w:hAnsi="宋体"/>
                <w:sz w:val="24"/>
              </w:rPr>
            </w:pPr>
          </w:p>
        </w:tc>
        <w:tc>
          <w:tcPr>
            <w:tcW w:w="4381" w:type="dxa"/>
            <w:noWrap/>
            <w:vAlign w:val="center"/>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54" w:type="dxa"/>
            <w:gridSpan w:val="5"/>
            <w:noWrap/>
            <w:vAlign w:val="center"/>
          </w:tcPr>
          <w:p>
            <w:pPr>
              <w:spacing w:line="560" w:lineRule="exact"/>
              <w:rPr>
                <w:rFonts w:ascii="宋体" w:hAnsi="宋体"/>
                <w:sz w:val="24"/>
              </w:rPr>
            </w:pPr>
            <w:r>
              <w:rPr>
                <w:rFonts w:hint="eastAsia" w:ascii="宋体" w:hAnsi="宋体"/>
                <w:sz w:val="24"/>
              </w:rPr>
              <w:t>初审指标通过标准：投标人必须通过上述全部指标。</w:t>
            </w:r>
          </w:p>
          <w:p>
            <w:pPr>
              <w:spacing w:line="560" w:lineRule="exact"/>
              <w:rPr>
                <w:rFonts w:ascii="宋体" w:hAnsi="宋体"/>
                <w:sz w:val="24"/>
              </w:rPr>
            </w:pPr>
            <w:r>
              <w:rPr>
                <w:rFonts w:hint="eastAsia" w:ascii="宋体" w:hAnsi="宋体"/>
                <w:sz w:val="24"/>
              </w:rPr>
              <w:t>评标委员会根据表中所列各项指标对投标人是否为有效标进行评审，未列入上表中的指标不得作为无效投标依据。</w:t>
            </w:r>
          </w:p>
        </w:tc>
      </w:tr>
    </w:tbl>
    <w:p>
      <w:pPr>
        <w:adjustRightInd w:val="0"/>
        <w:snapToGrid w:val="0"/>
        <w:spacing w:line="600" w:lineRule="exact"/>
        <w:ind w:right="-10"/>
        <w:rPr>
          <w:rFonts w:ascii="宋体" w:hAnsi="宋体"/>
          <w:sz w:val="24"/>
        </w:rPr>
      </w:pPr>
      <w:r>
        <w:rPr>
          <w:rFonts w:ascii="宋体" w:hAnsi="宋体"/>
          <w:sz w:val="24"/>
        </w:rPr>
        <w:t>8.5评标委员会将对所有通过初审的投标文件</w:t>
      </w:r>
      <w:r>
        <w:rPr>
          <w:rFonts w:hint="eastAsia" w:ascii="宋体" w:hAnsi="宋体"/>
          <w:sz w:val="24"/>
        </w:rPr>
        <w:t>及投标样品</w:t>
      </w:r>
      <w:r>
        <w:rPr>
          <w:rFonts w:ascii="宋体" w:hAnsi="宋体"/>
          <w:sz w:val="24"/>
        </w:rPr>
        <w:t>进行详细评审，具体如下：</w:t>
      </w:r>
    </w:p>
    <w:p>
      <w:pPr>
        <w:adjustRightInd w:val="0"/>
        <w:snapToGrid w:val="0"/>
        <w:spacing w:line="600" w:lineRule="exact"/>
        <w:ind w:right="-10" w:firstLine="480" w:firstLineChars="200"/>
        <w:rPr>
          <w:rFonts w:ascii="宋体" w:hAnsi="宋体"/>
          <w:sz w:val="24"/>
        </w:rPr>
      </w:pPr>
      <w:r>
        <w:rPr>
          <w:rFonts w:hint="eastAsia" w:ascii="宋体" w:hAnsi="宋体"/>
          <w:sz w:val="24"/>
        </w:rPr>
        <w:t>根据技术资信评分的细则，评委应对进入详细评审的所有投标文件进行评分，并分别填写打分表。</w:t>
      </w:r>
    </w:p>
    <w:p>
      <w:pPr>
        <w:spacing w:line="600" w:lineRule="exact"/>
        <w:jc w:val="left"/>
        <w:rPr>
          <w:rFonts w:ascii="宋体" w:hAnsi="宋体"/>
          <w:b/>
          <w:kern w:val="0"/>
          <w:sz w:val="24"/>
          <w:u w:val="single"/>
        </w:rPr>
      </w:pPr>
      <w:r>
        <w:rPr>
          <w:rFonts w:hint="eastAsia" w:ascii="宋体" w:hAnsi="宋体"/>
          <w:b/>
          <w:sz w:val="24"/>
          <w:u w:val="single"/>
        </w:rPr>
        <w:t>技术资信统分</w:t>
      </w:r>
      <w:r>
        <w:rPr>
          <w:rFonts w:hint="eastAsia" w:ascii="宋体" w:hAnsi="宋体"/>
          <w:b/>
          <w:kern w:val="0"/>
          <w:sz w:val="24"/>
          <w:u w:val="single"/>
        </w:rPr>
        <w:t>方法：截尾均值法，即评委会所有评委有效评分中去掉一个最高分和一个最低分，取其它评委评分的算术平均值，四舍五入精确到小数点后两位。</w:t>
      </w:r>
    </w:p>
    <w:p>
      <w:pPr>
        <w:spacing w:line="600" w:lineRule="exact"/>
        <w:jc w:val="left"/>
        <w:rPr>
          <w:rFonts w:ascii="宋体" w:hAnsi="宋体"/>
          <w:b/>
          <w:kern w:val="0"/>
          <w:sz w:val="24"/>
        </w:rPr>
      </w:pPr>
      <w:r>
        <w:rPr>
          <w:rFonts w:hint="eastAsia" w:ascii="宋体" w:hAnsi="宋体"/>
          <w:b/>
          <w:kern w:val="0"/>
          <w:sz w:val="24"/>
        </w:rPr>
        <w:t xml:space="preserve">    9.评分细则</w:t>
      </w:r>
    </w:p>
    <w:p>
      <w:pPr>
        <w:spacing w:line="600" w:lineRule="exact"/>
        <w:ind w:firstLine="495"/>
        <w:jc w:val="left"/>
        <w:rPr>
          <w:rFonts w:ascii="宋体" w:hAnsi="宋体"/>
          <w:b/>
          <w:kern w:val="0"/>
          <w:sz w:val="24"/>
        </w:rPr>
      </w:pPr>
      <w:r>
        <w:rPr>
          <w:rFonts w:hint="eastAsia" w:ascii="宋体" w:hAnsi="宋体"/>
          <w:b/>
          <w:kern w:val="0"/>
          <w:sz w:val="24"/>
        </w:rPr>
        <w:t>9.1技术资信评分细则</w:t>
      </w:r>
    </w:p>
    <w:tbl>
      <w:tblPr>
        <w:tblStyle w:val="16"/>
        <w:tblW w:w="5083" w:type="pct"/>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258"/>
        <w:gridCol w:w="7845"/>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12" w:type="pct"/>
            <w:noWrap/>
            <w:vAlign w:val="center"/>
          </w:tcPr>
          <w:p>
            <w:pPr>
              <w:spacing w:line="440" w:lineRule="exact"/>
              <w:jc w:val="center"/>
              <w:rPr>
                <w:rFonts w:ascii="宋体" w:hAnsi="宋体" w:cs="宋体"/>
                <w:b/>
                <w:kern w:val="0"/>
                <w:sz w:val="24"/>
              </w:rPr>
            </w:pPr>
            <w:r>
              <w:rPr>
                <w:rFonts w:hint="eastAsia" w:ascii="宋体" w:hAnsi="宋体" w:cs="宋体"/>
                <w:b/>
                <w:kern w:val="0"/>
                <w:sz w:val="24"/>
              </w:rPr>
              <w:t>类别</w:t>
            </w:r>
          </w:p>
        </w:tc>
        <w:tc>
          <w:tcPr>
            <w:tcW w:w="1018" w:type="pct"/>
            <w:noWrap/>
            <w:vAlign w:val="center"/>
          </w:tcPr>
          <w:p>
            <w:pPr>
              <w:spacing w:line="440" w:lineRule="exact"/>
              <w:jc w:val="center"/>
              <w:rPr>
                <w:rFonts w:ascii="宋体" w:hAnsi="宋体" w:cs="宋体"/>
                <w:b/>
                <w:kern w:val="0"/>
                <w:sz w:val="24"/>
              </w:rPr>
            </w:pPr>
            <w:r>
              <w:rPr>
                <w:rFonts w:hint="eastAsia" w:ascii="宋体" w:hAnsi="宋体" w:cs="宋体"/>
                <w:b/>
                <w:kern w:val="0"/>
                <w:sz w:val="24"/>
              </w:rPr>
              <w:t>指标名称</w:t>
            </w:r>
          </w:p>
        </w:tc>
        <w:tc>
          <w:tcPr>
            <w:tcW w:w="2775" w:type="pct"/>
            <w:noWrap/>
            <w:vAlign w:val="center"/>
          </w:tcPr>
          <w:p>
            <w:pPr>
              <w:spacing w:line="440" w:lineRule="exact"/>
              <w:jc w:val="center"/>
              <w:rPr>
                <w:rFonts w:ascii="宋体" w:hAnsi="宋体" w:cs="宋体"/>
                <w:b/>
                <w:kern w:val="0"/>
                <w:sz w:val="24"/>
              </w:rPr>
            </w:pPr>
            <w:r>
              <w:rPr>
                <w:rFonts w:hint="eastAsia" w:ascii="宋体" w:hAnsi="宋体" w:cs="宋体"/>
                <w:b/>
                <w:kern w:val="0"/>
                <w:sz w:val="24"/>
              </w:rPr>
              <w:t>指标描述</w:t>
            </w:r>
          </w:p>
        </w:tc>
        <w:tc>
          <w:tcPr>
            <w:tcW w:w="593" w:type="pct"/>
            <w:noWrap/>
            <w:vAlign w:val="center"/>
          </w:tcPr>
          <w:p>
            <w:pPr>
              <w:spacing w:line="440" w:lineRule="exact"/>
              <w:jc w:val="center"/>
              <w:rPr>
                <w:rFonts w:ascii="宋体" w:hAnsi="宋体" w:cs="宋体"/>
                <w:b/>
                <w:kern w:val="0"/>
                <w:sz w:val="24"/>
              </w:rPr>
            </w:pPr>
            <w:r>
              <w:rPr>
                <w:rFonts w:hint="eastAsia" w:ascii="宋体" w:hAnsi="宋体" w:cs="宋体"/>
                <w:b/>
                <w:kern w:val="0"/>
                <w:sz w:val="24"/>
              </w:rPr>
              <w:t>分值</w:t>
            </w:r>
          </w:p>
          <w:p>
            <w:pPr>
              <w:spacing w:line="440" w:lineRule="exact"/>
              <w:jc w:val="center"/>
              <w:rPr>
                <w:rFonts w:ascii="宋体" w:hAnsi="宋体" w:cs="宋体"/>
                <w:b/>
                <w:kern w:val="0"/>
                <w:sz w:val="24"/>
              </w:rPr>
            </w:pPr>
            <w:r>
              <w:rPr>
                <w:rFonts w:hint="eastAsia" w:ascii="宋体" w:hAnsi="宋体" w:cs="宋体"/>
                <w:b/>
                <w:kern w:val="0"/>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2" w:type="pct"/>
            <w:vMerge w:val="restart"/>
            <w:noWrap/>
            <w:vAlign w:val="center"/>
          </w:tcPr>
          <w:p>
            <w:pPr>
              <w:spacing w:line="440" w:lineRule="exact"/>
              <w:jc w:val="center"/>
              <w:rPr>
                <w:rFonts w:ascii="宋体" w:hAnsi="宋体" w:cs="宋体"/>
                <w:bCs/>
                <w:kern w:val="0"/>
                <w:sz w:val="24"/>
              </w:rPr>
            </w:pPr>
          </w:p>
          <w:p>
            <w:pPr>
              <w:spacing w:line="440" w:lineRule="exact"/>
              <w:jc w:val="center"/>
              <w:rPr>
                <w:rFonts w:ascii="宋体" w:hAnsi="宋体" w:cs="宋体"/>
                <w:bCs/>
                <w:kern w:val="0"/>
                <w:sz w:val="24"/>
              </w:rPr>
            </w:pPr>
          </w:p>
          <w:p>
            <w:pPr>
              <w:spacing w:line="440" w:lineRule="exact"/>
              <w:jc w:val="center"/>
              <w:rPr>
                <w:rFonts w:ascii="宋体" w:hAnsi="宋体" w:cs="宋体"/>
                <w:bCs/>
                <w:kern w:val="0"/>
                <w:sz w:val="24"/>
              </w:rPr>
            </w:pPr>
          </w:p>
          <w:p>
            <w:pPr>
              <w:spacing w:line="440" w:lineRule="exact"/>
              <w:jc w:val="center"/>
              <w:rPr>
                <w:rFonts w:ascii="宋体" w:hAnsi="宋体" w:cs="宋体"/>
                <w:bCs/>
                <w:kern w:val="0"/>
                <w:sz w:val="24"/>
              </w:rPr>
            </w:pPr>
          </w:p>
          <w:p>
            <w:pPr>
              <w:spacing w:line="440" w:lineRule="exact"/>
              <w:jc w:val="center"/>
              <w:rPr>
                <w:rFonts w:ascii="宋体" w:hAnsi="宋体" w:cs="宋体"/>
                <w:bCs/>
                <w:kern w:val="0"/>
                <w:sz w:val="24"/>
              </w:rPr>
            </w:pPr>
          </w:p>
          <w:p>
            <w:pPr>
              <w:spacing w:line="440" w:lineRule="exact"/>
              <w:jc w:val="center"/>
              <w:rPr>
                <w:rFonts w:ascii="宋体" w:hAnsi="宋体" w:cs="宋体"/>
                <w:bCs/>
                <w:kern w:val="0"/>
                <w:sz w:val="24"/>
              </w:rPr>
            </w:pPr>
          </w:p>
          <w:p>
            <w:pPr>
              <w:spacing w:line="440" w:lineRule="exact"/>
              <w:jc w:val="center"/>
              <w:rPr>
                <w:rFonts w:ascii="宋体" w:hAnsi="宋体" w:cs="宋体"/>
                <w:bCs/>
                <w:kern w:val="0"/>
                <w:sz w:val="24"/>
              </w:rPr>
            </w:pPr>
          </w:p>
          <w:p>
            <w:pPr>
              <w:spacing w:line="440" w:lineRule="exact"/>
              <w:jc w:val="center"/>
              <w:rPr>
                <w:rFonts w:ascii="宋体" w:hAnsi="宋体" w:cs="宋体"/>
                <w:bCs/>
                <w:kern w:val="0"/>
                <w:sz w:val="24"/>
              </w:rPr>
            </w:pPr>
            <w:r>
              <w:rPr>
                <w:rFonts w:hint="eastAsia" w:ascii="宋体" w:hAnsi="宋体" w:cs="宋体"/>
                <w:bCs/>
                <w:kern w:val="0"/>
                <w:sz w:val="24"/>
              </w:rPr>
              <w:t>技术</w:t>
            </w:r>
          </w:p>
          <w:p>
            <w:pPr>
              <w:spacing w:line="440" w:lineRule="exact"/>
              <w:jc w:val="center"/>
              <w:rPr>
                <w:rFonts w:ascii="宋体" w:hAnsi="宋体" w:cs="宋体"/>
                <w:bCs/>
                <w:kern w:val="0"/>
                <w:sz w:val="24"/>
              </w:rPr>
            </w:pPr>
            <w:r>
              <w:rPr>
                <w:rFonts w:hint="eastAsia" w:ascii="宋体" w:hAnsi="宋体" w:cs="宋体"/>
                <w:bCs/>
                <w:kern w:val="0"/>
                <w:sz w:val="24"/>
              </w:rPr>
              <w:t>部分</w:t>
            </w:r>
          </w:p>
          <w:p>
            <w:pPr>
              <w:snapToGrid w:val="0"/>
              <w:spacing w:beforeLines="20" w:afterLines="20" w:line="440" w:lineRule="exact"/>
              <w:jc w:val="center"/>
              <w:rPr>
                <w:rFonts w:ascii="宋体" w:hAnsi="宋体" w:cs="微软雅黑"/>
                <w:bCs/>
                <w:sz w:val="24"/>
              </w:rPr>
            </w:pPr>
            <w:r>
              <w:rPr>
                <w:rFonts w:ascii="宋体" w:hAnsi="宋体" w:cs="宋体"/>
                <w:bCs/>
                <w:kern w:val="0"/>
                <w:sz w:val="24"/>
              </w:rPr>
              <w:t>（</w:t>
            </w:r>
            <w:r>
              <w:rPr>
                <w:rFonts w:hint="eastAsia" w:ascii="宋体" w:hAnsi="宋体" w:cs="微软雅黑"/>
                <w:bCs/>
                <w:sz w:val="24"/>
              </w:rPr>
              <w:t>40分）</w:t>
            </w:r>
          </w:p>
          <w:p>
            <w:pPr>
              <w:spacing w:line="440" w:lineRule="exact"/>
              <w:jc w:val="center"/>
              <w:rPr>
                <w:rFonts w:ascii="宋体" w:hAnsi="宋体" w:cs="宋体"/>
                <w:b/>
                <w:kern w:val="0"/>
                <w:sz w:val="24"/>
              </w:rPr>
            </w:pPr>
          </w:p>
        </w:tc>
        <w:tc>
          <w:tcPr>
            <w:tcW w:w="1018" w:type="pct"/>
            <w:noWrap/>
            <w:vAlign w:val="center"/>
          </w:tcPr>
          <w:p>
            <w:pPr>
              <w:spacing w:line="440" w:lineRule="exact"/>
              <w:jc w:val="center"/>
              <w:rPr>
                <w:rFonts w:ascii="宋体" w:hAnsi="宋体"/>
                <w:sz w:val="24"/>
              </w:rPr>
            </w:pPr>
            <w:r>
              <w:rPr>
                <w:rFonts w:hint="eastAsia" w:ascii="宋体" w:hAnsi="宋体"/>
                <w:sz w:val="24"/>
              </w:rPr>
              <w:t>项目定位及设计理念</w:t>
            </w:r>
          </w:p>
        </w:tc>
        <w:tc>
          <w:tcPr>
            <w:tcW w:w="2775" w:type="pct"/>
            <w:noWrap/>
            <w:vAlign w:val="center"/>
          </w:tcPr>
          <w:p>
            <w:pPr>
              <w:spacing w:line="440" w:lineRule="exact"/>
              <w:rPr>
                <w:rFonts w:ascii="宋体" w:hAnsi="宋体"/>
                <w:sz w:val="24"/>
              </w:rPr>
            </w:pPr>
            <w:r>
              <w:rPr>
                <w:rFonts w:hint="eastAsia" w:ascii="宋体" w:hAnsi="宋体"/>
                <w:sz w:val="24"/>
              </w:rPr>
              <w:t>项目定位清晰准确，卖场动线及品类规划科学合理；</w:t>
            </w:r>
          </w:p>
          <w:p>
            <w:pPr>
              <w:spacing w:line="440" w:lineRule="exact"/>
              <w:rPr>
                <w:rFonts w:ascii="宋体" w:hAnsi="宋体"/>
                <w:sz w:val="24"/>
              </w:rPr>
            </w:pPr>
            <w:r>
              <w:rPr>
                <w:rFonts w:hint="eastAsia" w:ascii="宋体" w:hAnsi="宋体"/>
                <w:sz w:val="24"/>
              </w:rPr>
              <w:t>设计理念凸显企业文化内涵，时尚大方，特色分明，辨识度高。优秀的得 8≤F≤10 分；良好的得 6≤F＜8 分；一般的得 4≤F＜6 分。</w:t>
            </w:r>
          </w:p>
        </w:tc>
        <w:tc>
          <w:tcPr>
            <w:tcW w:w="593" w:type="pct"/>
            <w:noWrap/>
            <w:vAlign w:val="center"/>
          </w:tcPr>
          <w:p>
            <w:pPr>
              <w:spacing w:line="440" w:lineRule="exact"/>
              <w:jc w:val="center"/>
              <w:rPr>
                <w:rFonts w:ascii="宋体" w:hAnsi="宋体" w:cs="宋体"/>
                <w:kern w:val="0"/>
                <w:sz w:val="24"/>
              </w:rPr>
            </w:pPr>
            <w:r>
              <w:rPr>
                <w:rFonts w:hint="eastAsia" w:ascii="宋体" w:hAnsi="宋体"/>
                <w:sz w:val="24"/>
              </w:rPr>
              <w:t>10</w:t>
            </w:r>
            <w:r>
              <w:rPr>
                <w:rFonts w:hint="eastAsia" w:ascii="宋体" w:hAnsi="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2" w:type="pct"/>
            <w:vMerge w:val="continue"/>
            <w:noWrap/>
            <w:vAlign w:val="center"/>
          </w:tcPr>
          <w:p>
            <w:pPr>
              <w:spacing w:line="440" w:lineRule="exact"/>
              <w:jc w:val="center"/>
              <w:rPr>
                <w:rFonts w:ascii="宋体" w:hAnsi="宋体" w:cs="宋体"/>
                <w:b/>
                <w:kern w:val="0"/>
                <w:sz w:val="24"/>
              </w:rPr>
            </w:pPr>
          </w:p>
        </w:tc>
        <w:tc>
          <w:tcPr>
            <w:tcW w:w="1018" w:type="pct"/>
            <w:noWrap/>
            <w:vAlign w:val="center"/>
          </w:tcPr>
          <w:p>
            <w:pPr>
              <w:spacing w:line="440" w:lineRule="exact"/>
              <w:jc w:val="center"/>
              <w:rPr>
                <w:rFonts w:ascii="宋体" w:hAnsi="宋体"/>
                <w:sz w:val="24"/>
              </w:rPr>
            </w:pPr>
            <w:r>
              <w:rPr>
                <w:rFonts w:hint="eastAsia" w:ascii="宋体" w:hAnsi="宋体"/>
                <w:sz w:val="24"/>
              </w:rPr>
              <w:t>设计工作的重点难点分析与解决</w:t>
            </w:r>
          </w:p>
        </w:tc>
        <w:tc>
          <w:tcPr>
            <w:tcW w:w="2775" w:type="pct"/>
            <w:noWrap/>
            <w:vAlign w:val="center"/>
          </w:tcPr>
          <w:p>
            <w:pPr>
              <w:spacing w:line="440" w:lineRule="exact"/>
              <w:rPr>
                <w:rFonts w:ascii="宋体" w:hAnsi="宋体"/>
                <w:sz w:val="24"/>
              </w:rPr>
            </w:pPr>
            <w:r>
              <w:rPr>
                <w:rFonts w:hint="eastAsia" w:ascii="宋体" w:hAnsi="宋体"/>
                <w:sz w:val="24"/>
              </w:rPr>
              <w:t>文字简洁、简明扼要、阐述清晰、论述合理。对工程的重点、难点的分析全面、准确，重点突出，对策针对性强。优秀的得 8≤F≤10 分；良好的得 6≤F＜8 分；一般的得 4≤F＜6 分。</w:t>
            </w:r>
          </w:p>
        </w:tc>
        <w:tc>
          <w:tcPr>
            <w:tcW w:w="593" w:type="pct"/>
            <w:noWrap/>
            <w:vAlign w:val="center"/>
          </w:tcPr>
          <w:p>
            <w:pPr>
              <w:spacing w:line="440" w:lineRule="exact"/>
              <w:jc w:val="center"/>
              <w:rPr>
                <w:rFonts w:ascii="宋体" w:hAnsi="宋体" w:cs="宋体"/>
                <w:kern w:val="0"/>
                <w:sz w:val="24"/>
              </w:rPr>
            </w:pPr>
            <w:r>
              <w:rPr>
                <w:rFonts w:hint="eastAsia" w:ascii="宋体" w:hAnsi="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2" w:type="pct"/>
            <w:vMerge w:val="continue"/>
            <w:noWrap/>
            <w:vAlign w:val="center"/>
          </w:tcPr>
          <w:p>
            <w:pPr>
              <w:spacing w:line="440" w:lineRule="exact"/>
              <w:jc w:val="center"/>
              <w:rPr>
                <w:rFonts w:ascii="宋体" w:hAnsi="宋体" w:cs="宋体"/>
                <w:b/>
                <w:kern w:val="0"/>
                <w:sz w:val="24"/>
              </w:rPr>
            </w:pPr>
          </w:p>
        </w:tc>
        <w:tc>
          <w:tcPr>
            <w:tcW w:w="1018" w:type="pct"/>
            <w:noWrap/>
            <w:vAlign w:val="center"/>
          </w:tcPr>
          <w:p>
            <w:pPr>
              <w:spacing w:line="400" w:lineRule="exact"/>
              <w:jc w:val="center"/>
              <w:rPr>
                <w:rFonts w:ascii="宋体" w:hAnsi="宋体"/>
                <w:sz w:val="24"/>
              </w:rPr>
            </w:pPr>
            <w:r>
              <w:rPr>
                <w:rFonts w:hint="eastAsia" w:ascii="宋体" w:hAnsi="宋体"/>
                <w:sz w:val="24"/>
              </w:rPr>
              <w:t>对本项目的设计解读</w:t>
            </w:r>
          </w:p>
        </w:tc>
        <w:tc>
          <w:tcPr>
            <w:tcW w:w="2775" w:type="pct"/>
            <w:noWrap/>
            <w:vAlign w:val="center"/>
          </w:tcPr>
          <w:p>
            <w:pPr>
              <w:spacing w:line="440" w:lineRule="exact"/>
              <w:rPr>
                <w:rFonts w:ascii="宋体" w:hAnsi="宋体"/>
                <w:sz w:val="24"/>
              </w:rPr>
            </w:pPr>
            <w:r>
              <w:rPr>
                <w:rFonts w:hint="eastAsia" w:ascii="宋体" w:hAnsi="宋体"/>
                <w:sz w:val="24"/>
              </w:rPr>
              <w:t>根据投标人对本项目的设计解读，现场汇报进行评比。优秀的得 8≤F≤10 分；良好的得 6≤F＜8 分；一般的得 4≤F＜6 分。</w:t>
            </w:r>
          </w:p>
        </w:tc>
        <w:tc>
          <w:tcPr>
            <w:tcW w:w="593" w:type="pct"/>
            <w:noWrap/>
            <w:vAlign w:val="center"/>
          </w:tcPr>
          <w:p>
            <w:pPr>
              <w:spacing w:line="400" w:lineRule="exact"/>
              <w:ind w:left="-136" w:leftChars="-65" w:right="-78" w:rightChars="-37"/>
              <w:jc w:val="center"/>
              <w:rPr>
                <w:rFonts w:ascii="宋体" w:hAnsi="宋体"/>
                <w:sz w:val="24"/>
              </w:rPr>
            </w:pPr>
            <w:r>
              <w:rPr>
                <w:rFonts w:hint="eastAsia" w:ascii="宋体" w:hAnsi="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612" w:type="pct"/>
            <w:vMerge w:val="continue"/>
            <w:noWrap/>
            <w:vAlign w:val="center"/>
          </w:tcPr>
          <w:p>
            <w:pPr>
              <w:spacing w:line="440" w:lineRule="exact"/>
              <w:jc w:val="center"/>
              <w:rPr>
                <w:rFonts w:ascii="宋体" w:hAnsi="宋体" w:cs="宋体"/>
                <w:b/>
                <w:kern w:val="0"/>
                <w:sz w:val="24"/>
              </w:rPr>
            </w:pPr>
          </w:p>
        </w:tc>
        <w:tc>
          <w:tcPr>
            <w:tcW w:w="1018" w:type="pct"/>
            <w:noWrap/>
            <w:vAlign w:val="center"/>
          </w:tcPr>
          <w:p>
            <w:pPr>
              <w:spacing w:line="400" w:lineRule="exact"/>
              <w:jc w:val="center"/>
              <w:rPr>
                <w:rFonts w:ascii="宋体" w:hAnsi="宋体"/>
                <w:sz w:val="24"/>
              </w:rPr>
            </w:pPr>
            <w:r>
              <w:rPr>
                <w:rFonts w:hint="eastAsia" w:ascii="宋体" w:hAnsi="宋体"/>
                <w:sz w:val="24"/>
              </w:rPr>
              <w:t>质量保证措施</w:t>
            </w:r>
          </w:p>
        </w:tc>
        <w:tc>
          <w:tcPr>
            <w:tcW w:w="2775" w:type="pct"/>
            <w:noWrap/>
            <w:vAlign w:val="center"/>
          </w:tcPr>
          <w:p>
            <w:pPr>
              <w:spacing w:line="440" w:lineRule="exact"/>
              <w:rPr>
                <w:rFonts w:ascii="宋体" w:hAnsi="宋体"/>
                <w:sz w:val="24"/>
              </w:rPr>
            </w:pPr>
            <w:r>
              <w:rPr>
                <w:rFonts w:hint="eastAsia" w:ascii="宋体" w:hAnsi="宋体"/>
                <w:sz w:val="24"/>
              </w:rPr>
              <w:t>投标人建立项目负责人质量责任制，各部室分工、职责明确，不同专业协调有序，并建立严格、高效的内审制度并制定了向招标人提供优质服务的组织保证措施。优秀的得 4≤F≤5 分；良好的得 3≤F＜4 分；一般的得 2≤F＜3 分。</w:t>
            </w:r>
          </w:p>
        </w:tc>
        <w:tc>
          <w:tcPr>
            <w:tcW w:w="593" w:type="pct"/>
            <w:noWrap/>
            <w:vAlign w:val="center"/>
          </w:tcPr>
          <w:p>
            <w:pPr>
              <w:spacing w:line="400" w:lineRule="exact"/>
              <w:jc w:val="center"/>
              <w:rPr>
                <w:rFonts w:ascii="宋体" w:hAnsi="宋体"/>
                <w:i/>
                <w:iCs/>
                <w:sz w:val="24"/>
              </w:rPr>
            </w:pPr>
            <w:r>
              <w:rPr>
                <w:rFonts w:hint="eastAsia" w:ascii="宋体" w:hAnsi="宋体"/>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2" w:type="pct"/>
            <w:vMerge w:val="continue"/>
            <w:noWrap/>
            <w:vAlign w:val="center"/>
          </w:tcPr>
          <w:p>
            <w:pPr>
              <w:spacing w:line="440" w:lineRule="exact"/>
              <w:jc w:val="center"/>
              <w:rPr>
                <w:rFonts w:ascii="宋体" w:hAnsi="宋体" w:cs="宋体"/>
                <w:b/>
                <w:kern w:val="0"/>
                <w:sz w:val="24"/>
              </w:rPr>
            </w:pPr>
          </w:p>
        </w:tc>
        <w:tc>
          <w:tcPr>
            <w:tcW w:w="1018" w:type="pct"/>
            <w:noWrap/>
            <w:vAlign w:val="center"/>
          </w:tcPr>
          <w:p>
            <w:pPr>
              <w:spacing w:line="440" w:lineRule="exact"/>
              <w:jc w:val="center"/>
              <w:rPr>
                <w:rFonts w:ascii="宋体" w:hAnsi="宋体"/>
                <w:sz w:val="24"/>
              </w:rPr>
            </w:pPr>
            <w:r>
              <w:rPr>
                <w:rFonts w:hint="eastAsia" w:ascii="宋体" w:hAnsi="宋体"/>
                <w:sz w:val="24"/>
              </w:rPr>
              <w:t>合理化建议</w:t>
            </w:r>
          </w:p>
        </w:tc>
        <w:tc>
          <w:tcPr>
            <w:tcW w:w="2775" w:type="pct"/>
            <w:noWrap/>
            <w:vAlign w:val="center"/>
          </w:tcPr>
          <w:p>
            <w:pPr>
              <w:spacing w:line="440" w:lineRule="exact"/>
              <w:rPr>
                <w:rFonts w:ascii="宋体" w:hAnsi="宋体"/>
                <w:sz w:val="24"/>
              </w:rPr>
            </w:pPr>
            <w:r>
              <w:rPr>
                <w:rFonts w:hint="eastAsia" w:ascii="宋体" w:hAnsi="宋体"/>
                <w:sz w:val="24"/>
              </w:rPr>
              <w:t>针对项目的特点，提出合理化建议，且切实可行，根据额外承诺进行综合评审, 优秀的得 4≤F≤5 分；良好的得 3≤F＜4 分；一般的得 2≤F＜3 分。</w:t>
            </w:r>
          </w:p>
        </w:tc>
        <w:tc>
          <w:tcPr>
            <w:tcW w:w="593" w:type="pct"/>
            <w:noWrap/>
            <w:vAlign w:val="center"/>
          </w:tcPr>
          <w:p>
            <w:pPr>
              <w:spacing w:line="440" w:lineRule="exact"/>
              <w:jc w:val="center"/>
              <w:rPr>
                <w:rFonts w:ascii="宋体" w:hAnsi="宋体"/>
                <w:sz w:val="24"/>
              </w:rPr>
            </w:pPr>
            <w:r>
              <w:rPr>
                <w:rFonts w:hint="eastAsia" w:ascii="宋体" w:hAnsi="宋体"/>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noWrap/>
            <w:vAlign w:val="center"/>
          </w:tcPr>
          <w:p>
            <w:pPr>
              <w:pStyle w:val="13"/>
              <w:spacing w:line="440" w:lineRule="exact"/>
              <w:jc w:val="left"/>
              <w:rPr>
                <w:rFonts w:ascii="宋体" w:hAnsi="宋体" w:cs="宋体"/>
                <w:b/>
                <w:kern w:val="0"/>
                <w:sz w:val="24"/>
                <w:szCs w:val="24"/>
              </w:rPr>
            </w:pPr>
            <w:r>
              <w:rPr>
                <w:rFonts w:hint="eastAsia" w:ascii="宋体" w:hAnsi="宋体" w:cs="微软雅黑"/>
                <w:b/>
                <w:sz w:val="24"/>
                <w:szCs w:val="24"/>
              </w:rPr>
              <w:t>注：</w:t>
            </w:r>
            <w:r>
              <w:rPr>
                <w:rFonts w:hint="eastAsia" w:ascii="宋体" w:hAnsi="宋体" w:cs="微软雅黑"/>
                <w:b/>
                <w:bCs/>
                <w:sz w:val="24"/>
                <w:szCs w:val="24"/>
              </w:rPr>
              <w:t>投标人须针对以上评分细则进行现场PPT讲解，时间20分钟。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pct"/>
            <w:vMerge w:val="restart"/>
            <w:noWrap/>
            <w:vAlign w:val="center"/>
          </w:tcPr>
          <w:p>
            <w:pPr>
              <w:spacing w:line="440" w:lineRule="exact"/>
              <w:jc w:val="center"/>
              <w:rPr>
                <w:rFonts w:ascii="宋体" w:hAnsi="宋体" w:cs="宋体"/>
                <w:bCs/>
                <w:kern w:val="0"/>
                <w:sz w:val="24"/>
              </w:rPr>
            </w:pPr>
            <w:r>
              <w:rPr>
                <w:rFonts w:hint="eastAsia" w:ascii="宋体" w:hAnsi="宋体" w:cs="宋体"/>
                <w:bCs/>
                <w:kern w:val="0"/>
                <w:sz w:val="24"/>
              </w:rPr>
              <w:t>资信</w:t>
            </w:r>
          </w:p>
          <w:p>
            <w:pPr>
              <w:spacing w:line="440" w:lineRule="exact"/>
              <w:jc w:val="center"/>
              <w:rPr>
                <w:rFonts w:ascii="宋体" w:hAnsi="宋体" w:cs="宋体"/>
                <w:bCs/>
                <w:kern w:val="0"/>
                <w:sz w:val="24"/>
              </w:rPr>
            </w:pPr>
            <w:r>
              <w:rPr>
                <w:rFonts w:hint="eastAsia" w:ascii="宋体" w:hAnsi="宋体" w:cs="宋体"/>
                <w:bCs/>
                <w:kern w:val="0"/>
                <w:sz w:val="24"/>
              </w:rPr>
              <w:t>部分</w:t>
            </w:r>
          </w:p>
          <w:p>
            <w:pPr>
              <w:spacing w:line="440" w:lineRule="exact"/>
              <w:jc w:val="center"/>
              <w:rPr>
                <w:rFonts w:ascii="宋体" w:hAnsi="宋体" w:cs="宋体"/>
                <w:b/>
                <w:kern w:val="0"/>
                <w:sz w:val="24"/>
              </w:rPr>
            </w:pPr>
            <w:r>
              <w:rPr>
                <w:rFonts w:hint="eastAsia" w:ascii="宋体" w:hAnsi="宋体" w:cs="宋体"/>
                <w:bCs/>
                <w:kern w:val="0"/>
                <w:sz w:val="24"/>
              </w:rPr>
              <w:t>（</w:t>
            </w:r>
            <w:r>
              <w:rPr>
                <w:rFonts w:ascii="宋体" w:hAnsi="宋体" w:cs="宋体"/>
                <w:bCs/>
                <w:kern w:val="0"/>
                <w:sz w:val="24"/>
              </w:rPr>
              <w:t>3</w:t>
            </w:r>
            <w:r>
              <w:rPr>
                <w:rFonts w:hint="eastAsia" w:ascii="宋体" w:hAnsi="宋体" w:cs="宋体"/>
                <w:bCs/>
                <w:kern w:val="0"/>
                <w:sz w:val="24"/>
              </w:rPr>
              <w:t>0分）</w:t>
            </w:r>
          </w:p>
        </w:tc>
        <w:tc>
          <w:tcPr>
            <w:tcW w:w="1018" w:type="pct"/>
            <w:noWrap/>
            <w:vAlign w:val="center"/>
          </w:tcPr>
          <w:p>
            <w:pPr>
              <w:spacing w:line="440" w:lineRule="exact"/>
              <w:jc w:val="center"/>
              <w:rPr>
                <w:rFonts w:ascii="宋体" w:hAnsi="宋体"/>
                <w:sz w:val="24"/>
              </w:rPr>
            </w:pPr>
            <w:r>
              <w:rPr>
                <w:rFonts w:hint="eastAsia" w:ascii="宋体" w:hAnsi="宋体"/>
                <w:sz w:val="24"/>
              </w:rPr>
              <w:t>投标人业绩</w:t>
            </w:r>
          </w:p>
        </w:tc>
        <w:tc>
          <w:tcPr>
            <w:tcW w:w="2775" w:type="pct"/>
            <w:noWrap/>
          </w:tcPr>
          <w:p>
            <w:pPr>
              <w:spacing w:line="440" w:lineRule="exact"/>
              <w:jc w:val="left"/>
              <w:rPr>
                <w:rFonts w:ascii="宋体" w:hAnsi="宋体"/>
                <w:sz w:val="24"/>
              </w:rPr>
            </w:pPr>
            <w:r>
              <w:rPr>
                <w:rFonts w:hint="eastAsia" w:ascii="宋体" w:hAnsi="宋体"/>
                <w:sz w:val="24"/>
              </w:rPr>
              <w:t>投标人承接20000㎡以上购物中心或百货商场商业设计的，每个业绩获得3分，满分12分。</w:t>
            </w:r>
          </w:p>
          <w:p>
            <w:pPr>
              <w:spacing w:line="440" w:lineRule="exact"/>
              <w:jc w:val="left"/>
              <w:rPr>
                <w:rFonts w:ascii="宋体" w:hAnsi="宋体"/>
                <w:sz w:val="24"/>
              </w:rPr>
            </w:pPr>
            <w:r>
              <w:rPr>
                <w:rFonts w:hint="eastAsia" w:ascii="宋体" w:hAnsi="宋体"/>
                <w:sz w:val="24"/>
              </w:rPr>
              <w:t>注：1.资格业绩可以计入本项评分。</w:t>
            </w:r>
          </w:p>
          <w:p>
            <w:pPr>
              <w:spacing w:line="440" w:lineRule="exact"/>
              <w:ind w:firstLine="480" w:firstLineChars="200"/>
              <w:jc w:val="left"/>
              <w:rPr>
                <w:rFonts w:ascii="宋体" w:hAnsi="宋体"/>
                <w:sz w:val="24"/>
              </w:rPr>
            </w:pPr>
            <w:r>
              <w:rPr>
                <w:rFonts w:hint="eastAsia" w:ascii="宋体" w:hAnsi="宋体"/>
                <w:sz w:val="24"/>
              </w:rPr>
              <w:t>2.合同内容无面积的，须提供业主证明材料。</w:t>
            </w:r>
          </w:p>
        </w:tc>
        <w:tc>
          <w:tcPr>
            <w:tcW w:w="593" w:type="pct"/>
            <w:noWrap/>
            <w:vAlign w:val="center"/>
          </w:tcPr>
          <w:p>
            <w:pPr>
              <w:spacing w:line="440" w:lineRule="exact"/>
              <w:jc w:val="center"/>
              <w:rPr>
                <w:rFonts w:ascii="宋体" w:hAnsi="宋体" w:cs="宋体"/>
                <w:kern w:val="0"/>
                <w:sz w:val="24"/>
              </w:rPr>
            </w:pPr>
            <w:r>
              <w:rPr>
                <w:rFonts w:hint="eastAsia" w:ascii="宋体" w:hAnsi="宋体"/>
                <w:sz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12" w:type="pct"/>
            <w:vMerge w:val="continue"/>
            <w:noWrap/>
            <w:vAlign w:val="center"/>
          </w:tcPr>
          <w:p>
            <w:pPr>
              <w:spacing w:line="440" w:lineRule="exact"/>
              <w:jc w:val="center"/>
              <w:rPr>
                <w:rFonts w:ascii="宋体" w:hAnsi="宋体" w:cs="宋体"/>
                <w:b/>
                <w:kern w:val="0"/>
                <w:sz w:val="24"/>
              </w:rPr>
            </w:pPr>
          </w:p>
        </w:tc>
        <w:tc>
          <w:tcPr>
            <w:tcW w:w="1018" w:type="pct"/>
            <w:noWrap/>
            <w:vAlign w:val="center"/>
          </w:tcPr>
          <w:p>
            <w:pPr>
              <w:spacing w:line="440" w:lineRule="exact"/>
              <w:jc w:val="center"/>
              <w:rPr>
                <w:rFonts w:ascii="宋体" w:hAnsi="宋体"/>
                <w:sz w:val="24"/>
              </w:rPr>
            </w:pPr>
            <w:r>
              <w:rPr>
                <w:rFonts w:hint="eastAsia" w:ascii="宋体" w:hAnsi="宋体"/>
                <w:sz w:val="24"/>
              </w:rPr>
              <w:t>设计负责人业绩</w:t>
            </w:r>
          </w:p>
        </w:tc>
        <w:tc>
          <w:tcPr>
            <w:tcW w:w="2775" w:type="pct"/>
            <w:noWrap/>
          </w:tcPr>
          <w:p>
            <w:pPr>
              <w:spacing w:line="440" w:lineRule="exact"/>
              <w:jc w:val="left"/>
              <w:rPr>
                <w:rFonts w:ascii="宋体" w:hAnsi="宋体"/>
                <w:sz w:val="24"/>
              </w:rPr>
            </w:pPr>
            <w:r>
              <w:rPr>
                <w:rFonts w:hint="eastAsia" w:ascii="宋体" w:hAnsi="宋体"/>
                <w:sz w:val="24"/>
              </w:rPr>
              <w:t>拟派本项目设计负责人承担20000㎡以上购物中心或百货商场商业设计项目负责人的，每个业绩获得3分，满分12分。</w:t>
            </w:r>
          </w:p>
          <w:p>
            <w:pPr>
              <w:spacing w:line="440" w:lineRule="exact"/>
              <w:jc w:val="left"/>
              <w:rPr>
                <w:sz w:val="24"/>
              </w:rPr>
            </w:pPr>
            <w:r>
              <w:rPr>
                <w:rFonts w:hint="eastAsia" w:ascii="宋体" w:hAnsi="宋体"/>
                <w:sz w:val="24"/>
              </w:rPr>
              <w:t>注：合同内容无面积的，须提供业主证明材料。</w:t>
            </w:r>
          </w:p>
        </w:tc>
        <w:tc>
          <w:tcPr>
            <w:tcW w:w="593" w:type="pct"/>
            <w:noWrap/>
            <w:vAlign w:val="center"/>
          </w:tcPr>
          <w:p>
            <w:pPr>
              <w:spacing w:line="440" w:lineRule="exact"/>
              <w:jc w:val="center"/>
              <w:rPr>
                <w:rFonts w:ascii="宋体" w:hAnsi="宋体" w:cs="宋体"/>
                <w:kern w:val="0"/>
                <w:sz w:val="24"/>
              </w:rPr>
            </w:pPr>
            <w:r>
              <w:rPr>
                <w:rFonts w:hint="eastAsia" w:ascii="宋体" w:hAnsi="宋体"/>
                <w:sz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12" w:type="pct"/>
            <w:vMerge w:val="continue"/>
            <w:noWrap/>
            <w:vAlign w:val="center"/>
          </w:tcPr>
          <w:p>
            <w:pPr>
              <w:spacing w:line="440" w:lineRule="exact"/>
              <w:jc w:val="center"/>
              <w:rPr>
                <w:rFonts w:ascii="宋体" w:hAnsi="宋体" w:cs="宋体"/>
                <w:b/>
                <w:kern w:val="0"/>
                <w:sz w:val="24"/>
              </w:rPr>
            </w:pPr>
          </w:p>
        </w:tc>
        <w:tc>
          <w:tcPr>
            <w:tcW w:w="1018" w:type="pct"/>
            <w:noWrap/>
            <w:vAlign w:val="center"/>
          </w:tcPr>
          <w:p>
            <w:pPr>
              <w:spacing w:line="440" w:lineRule="exact"/>
              <w:jc w:val="center"/>
              <w:rPr>
                <w:rFonts w:ascii="宋体" w:hAnsi="宋体"/>
                <w:sz w:val="24"/>
              </w:rPr>
            </w:pPr>
            <w:r>
              <w:rPr>
                <w:rFonts w:hint="eastAsia" w:ascii="宋体" w:hAnsi="宋体"/>
                <w:sz w:val="24"/>
              </w:rPr>
              <w:t>本地化服务能力</w:t>
            </w:r>
          </w:p>
        </w:tc>
        <w:tc>
          <w:tcPr>
            <w:tcW w:w="2775" w:type="pct"/>
            <w:noWrap/>
          </w:tcPr>
          <w:p>
            <w:pPr>
              <w:spacing w:line="440" w:lineRule="exact"/>
              <w:jc w:val="left"/>
              <w:rPr>
                <w:sz w:val="24"/>
              </w:rPr>
            </w:pPr>
            <w:r>
              <w:rPr>
                <w:rFonts w:hint="eastAsia" w:ascii="宋体" w:hAnsi="宋体"/>
                <w:sz w:val="24"/>
              </w:rPr>
              <w:t>对本地化服务方案的完善性、可操作性、响应及时性以及本地化服务人员的技术能力等方面进行综合评审。 优秀的得 4≤F≤6 分；良好的得 3≤F＜4 分；一般的得 2≤F＜3 分。</w:t>
            </w:r>
          </w:p>
        </w:tc>
        <w:tc>
          <w:tcPr>
            <w:tcW w:w="593" w:type="pct"/>
            <w:noWrap/>
            <w:vAlign w:val="center"/>
          </w:tcPr>
          <w:p>
            <w:pPr>
              <w:spacing w:line="440" w:lineRule="exact"/>
              <w:jc w:val="center"/>
              <w:rPr>
                <w:rFonts w:ascii="宋体" w:hAnsi="宋体"/>
                <w:sz w:val="24"/>
              </w:rPr>
            </w:pPr>
            <w:r>
              <w:rPr>
                <w:rFonts w:hint="eastAsia" w:ascii="宋体" w:hAnsi="宋体"/>
                <w:sz w:val="24"/>
              </w:rPr>
              <w:t>6分</w:t>
            </w:r>
          </w:p>
        </w:tc>
      </w:tr>
    </w:tbl>
    <w:p>
      <w:pPr>
        <w:adjustRightInd w:val="0"/>
        <w:snapToGrid w:val="0"/>
        <w:spacing w:line="520" w:lineRule="exact"/>
        <w:ind w:right="-10" w:firstLine="482" w:firstLineChars="200"/>
        <w:rPr>
          <w:rFonts w:ascii="宋体" w:hAnsi="宋体"/>
          <w:b/>
          <w:kern w:val="0"/>
          <w:sz w:val="24"/>
        </w:rPr>
      </w:pPr>
      <w:r>
        <w:rPr>
          <w:rFonts w:hint="eastAsia" w:ascii="宋体" w:hAnsi="宋体"/>
          <w:b/>
          <w:bCs/>
          <w:sz w:val="24"/>
        </w:rPr>
        <w:t>9.2</w:t>
      </w:r>
      <w:r>
        <w:rPr>
          <w:rFonts w:hint="eastAsia" w:ascii="宋体" w:hAnsi="宋体"/>
          <w:b/>
          <w:color w:val="000000"/>
          <w:sz w:val="24"/>
        </w:rPr>
        <w:t>投标人的投标报价得分统一按照下列公式计算：</w:t>
      </w:r>
      <w:r>
        <w:rPr>
          <w:rFonts w:hint="eastAsia" w:ascii="宋体" w:hAnsi="宋体"/>
          <w:b/>
          <w:color w:val="000000"/>
          <w:kern w:val="0"/>
          <w:sz w:val="24"/>
        </w:rPr>
        <w:t>（所有计算均四舍五入精确到小数点后两位）</w:t>
      </w:r>
    </w:p>
    <w:tbl>
      <w:tblPr>
        <w:tblStyle w:val="16"/>
        <w:tblW w:w="5000"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630" w:type="pct"/>
            <w:tcBorders>
              <w:top w:val="single" w:color="auto" w:sz="4" w:space="0"/>
            </w:tcBorders>
            <w:noWrap/>
            <w:vAlign w:val="center"/>
          </w:tcPr>
          <w:p>
            <w:pPr>
              <w:snapToGrid w:val="0"/>
              <w:spacing w:beforeLines="20" w:afterLines="20"/>
              <w:jc w:val="center"/>
              <w:rPr>
                <w:rFonts w:ascii="宋体" w:hAnsi="宋体" w:cs="微软雅黑"/>
                <w:kern w:val="0"/>
                <w:sz w:val="24"/>
              </w:rPr>
            </w:pPr>
            <w:r>
              <w:rPr>
                <w:rFonts w:hint="eastAsia" w:ascii="宋体" w:hAnsi="宋体" w:cs="微软雅黑"/>
                <w:kern w:val="0"/>
                <w:sz w:val="24"/>
              </w:rPr>
              <w:t>商务</w:t>
            </w:r>
          </w:p>
          <w:p>
            <w:pPr>
              <w:snapToGrid w:val="0"/>
              <w:spacing w:beforeLines="20" w:afterLines="20"/>
              <w:jc w:val="center"/>
              <w:rPr>
                <w:rFonts w:ascii="宋体" w:hAnsi="宋体" w:cs="微软雅黑"/>
                <w:kern w:val="0"/>
                <w:sz w:val="24"/>
              </w:rPr>
            </w:pPr>
            <w:r>
              <w:rPr>
                <w:rFonts w:hint="eastAsia" w:ascii="宋体" w:hAnsi="宋体" w:cs="微软雅黑"/>
                <w:kern w:val="0"/>
                <w:sz w:val="24"/>
              </w:rPr>
              <w:t>部分</w:t>
            </w:r>
          </w:p>
          <w:p>
            <w:pPr>
              <w:snapToGrid w:val="0"/>
              <w:spacing w:beforeLines="20" w:afterLines="20"/>
              <w:jc w:val="center"/>
              <w:rPr>
                <w:rFonts w:ascii="宋体" w:hAnsi="宋体" w:cs="微软雅黑"/>
                <w:kern w:val="0"/>
                <w:sz w:val="24"/>
              </w:rPr>
            </w:pPr>
            <w:r>
              <w:rPr>
                <w:rFonts w:hint="eastAsia" w:ascii="宋体" w:hAnsi="宋体" w:cs="微软雅黑"/>
                <w:kern w:val="0"/>
                <w:sz w:val="24"/>
              </w:rPr>
              <w:t>（30分）</w:t>
            </w:r>
          </w:p>
        </w:tc>
        <w:tc>
          <w:tcPr>
            <w:tcW w:w="4370" w:type="pct"/>
            <w:noWrap/>
            <w:vAlign w:val="center"/>
          </w:tcPr>
          <w:p>
            <w:pPr>
              <w:spacing w:line="440" w:lineRule="exact"/>
              <w:jc w:val="left"/>
              <w:rPr>
                <w:rFonts w:ascii="宋体" w:hAnsi="宋体"/>
                <w:sz w:val="24"/>
              </w:rPr>
            </w:pPr>
            <w:r>
              <w:rPr>
                <w:rFonts w:hint="eastAsia" w:ascii="宋体" w:hAnsi="宋体"/>
                <w:sz w:val="24"/>
              </w:rPr>
              <w:t>1.确定评标价</w:t>
            </w:r>
          </w:p>
          <w:p>
            <w:pPr>
              <w:spacing w:line="440" w:lineRule="exact"/>
              <w:jc w:val="left"/>
              <w:rPr>
                <w:rFonts w:ascii="宋体" w:hAnsi="宋体"/>
                <w:sz w:val="24"/>
              </w:rPr>
            </w:pPr>
            <w:r>
              <w:rPr>
                <w:rFonts w:hint="eastAsia" w:ascii="宋体" w:hAnsi="宋体"/>
                <w:sz w:val="24"/>
              </w:rPr>
              <w:t>评标价=最终投标报价商务</w:t>
            </w:r>
          </w:p>
          <w:p>
            <w:pPr>
              <w:spacing w:line="440" w:lineRule="exact"/>
              <w:jc w:val="left"/>
              <w:rPr>
                <w:rFonts w:ascii="宋体" w:hAnsi="宋体"/>
                <w:sz w:val="24"/>
              </w:rPr>
            </w:pPr>
            <w:r>
              <w:rPr>
                <w:rFonts w:hint="eastAsia" w:ascii="宋体" w:hAnsi="宋体"/>
                <w:sz w:val="24"/>
              </w:rPr>
              <w:t>2.确定评标基准价部分</w:t>
            </w:r>
          </w:p>
          <w:p>
            <w:pPr>
              <w:spacing w:line="440" w:lineRule="exact"/>
              <w:jc w:val="left"/>
              <w:rPr>
                <w:rFonts w:ascii="宋体" w:hAnsi="宋体"/>
                <w:sz w:val="24"/>
              </w:rPr>
            </w:pPr>
            <w:r>
              <w:rPr>
                <w:rFonts w:hint="eastAsia" w:ascii="宋体" w:hAnsi="宋体"/>
                <w:sz w:val="24"/>
              </w:rPr>
              <w:t>以通过初审的投标文件的最低评标价作为评标基准价</w:t>
            </w:r>
          </w:p>
          <w:p>
            <w:pPr>
              <w:spacing w:line="440" w:lineRule="exact"/>
              <w:jc w:val="left"/>
              <w:rPr>
                <w:rFonts w:ascii="宋体" w:hAnsi="宋体"/>
                <w:sz w:val="24"/>
              </w:rPr>
            </w:pPr>
            <w:r>
              <w:rPr>
                <w:rFonts w:hint="eastAsia" w:ascii="宋体" w:hAnsi="宋体"/>
                <w:sz w:val="24"/>
              </w:rPr>
              <w:t>3.评标价得分计算</w:t>
            </w:r>
          </w:p>
          <w:p>
            <w:pPr>
              <w:spacing w:line="440" w:lineRule="exact"/>
              <w:jc w:val="left"/>
              <w:rPr>
                <w:rFonts w:ascii="宋体" w:hAnsi="宋体"/>
                <w:sz w:val="24"/>
              </w:rPr>
            </w:pPr>
            <w:r>
              <w:rPr>
                <w:rFonts w:hint="eastAsia" w:ascii="宋体" w:hAnsi="宋体"/>
                <w:sz w:val="24"/>
              </w:rPr>
              <w:t>评标价得分按照下列公式计算:</w:t>
            </w:r>
          </w:p>
          <w:p>
            <w:pPr>
              <w:spacing w:line="440" w:lineRule="exact"/>
              <w:jc w:val="left"/>
              <w:rPr>
                <w:rFonts w:ascii="宋体" w:hAnsi="宋体" w:cs="微软雅黑"/>
                <w:sz w:val="24"/>
              </w:rPr>
            </w:pPr>
            <w:r>
              <w:rPr>
                <w:rFonts w:hint="eastAsia" w:ascii="宋体" w:hAnsi="宋体"/>
                <w:sz w:val="24"/>
              </w:rPr>
              <w:t>评标价得分=《评标基准价/评标价)*30。</w:t>
            </w:r>
          </w:p>
        </w:tc>
      </w:tr>
    </w:tbl>
    <w:p>
      <w:pPr>
        <w:spacing w:line="640" w:lineRule="exact"/>
        <w:rPr>
          <w:rFonts w:ascii="宋体" w:hAnsi="宋体" w:cs="宋体"/>
          <w:kern w:val="0"/>
          <w:sz w:val="24"/>
        </w:rPr>
      </w:pPr>
      <w:r>
        <w:rPr>
          <w:rFonts w:hint="eastAsia" w:ascii="宋体" w:hAnsi="宋体" w:cs="宋体"/>
          <w:b/>
          <w:kern w:val="0"/>
          <w:sz w:val="24"/>
          <w:u w:val="single"/>
        </w:rPr>
        <w:t>上述指标描述，各投标人应在标书中予以清晰有效的书面体现，</w:t>
      </w:r>
      <w:r>
        <w:rPr>
          <w:rFonts w:hint="eastAsia" w:ascii="宋体" w:hAnsi="宋体" w:cs="宋体"/>
          <w:kern w:val="0"/>
          <w:sz w:val="24"/>
        </w:rPr>
        <w:t>否则招标人将计</w:t>
      </w:r>
      <w:r>
        <w:rPr>
          <w:rFonts w:ascii="宋体" w:cs="宋体"/>
          <w:kern w:val="0"/>
          <w:sz w:val="24"/>
        </w:rPr>
        <w:t>0</w:t>
      </w:r>
      <w:r>
        <w:rPr>
          <w:rFonts w:hint="eastAsia" w:ascii="宋体" w:hAnsi="宋体" w:cs="宋体"/>
          <w:kern w:val="0"/>
          <w:sz w:val="24"/>
        </w:rPr>
        <w:t>分处理。评审过程中，评委发现投标人报价明显不合理，有可能影响服务质量和不能诚信履约的，应要求投标人限期提供证明文件，否则招标人可取消该投标人中标候选资格。</w:t>
      </w:r>
    </w:p>
    <w:p>
      <w:pPr>
        <w:pStyle w:val="8"/>
        <w:spacing w:line="640" w:lineRule="exact"/>
        <w:ind w:right="-11" w:firstLine="482"/>
        <w:rPr>
          <w:rFonts w:ascii="宋体" w:hAnsi="宋体"/>
          <w:b/>
          <w:sz w:val="24"/>
        </w:rPr>
      </w:pPr>
      <w:r>
        <w:rPr>
          <w:rFonts w:hint="eastAsia" w:ascii="宋体" w:hAnsi="宋体"/>
          <w:b/>
          <w:sz w:val="24"/>
        </w:rPr>
        <w:t>10.汇总排序</w:t>
      </w:r>
    </w:p>
    <w:p>
      <w:pPr>
        <w:pStyle w:val="8"/>
        <w:spacing w:line="640" w:lineRule="exact"/>
        <w:ind w:right="-11" w:firstLine="480"/>
        <w:rPr>
          <w:rFonts w:ascii="宋体" w:hAnsi="宋体"/>
          <w:sz w:val="24"/>
        </w:rPr>
      </w:pPr>
      <w:r>
        <w:rPr>
          <w:rFonts w:hint="eastAsia" w:ascii="宋体" w:hAnsi="宋体"/>
          <w:sz w:val="24"/>
        </w:rPr>
        <w:t>10.1将每个入选投标人的技术资信得分再加上根据上面步骤计算出的商务部分得分，即为该投标人的最终得分。投标人的各项得分均四舍五入保留小数点后两位。</w:t>
      </w:r>
    </w:p>
    <w:p>
      <w:pPr>
        <w:pStyle w:val="8"/>
        <w:spacing w:line="640" w:lineRule="exact"/>
        <w:ind w:right="-11" w:firstLine="480"/>
        <w:rPr>
          <w:rFonts w:ascii="宋体" w:hAnsi="宋体"/>
          <w:sz w:val="24"/>
        </w:rPr>
      </w:pPr>
      <w:r>
        <w:rPr>
          <w:rFonts w:hint="eastAsia" w:ascii="宋体" w:hAnsi="宋体"/>
          <w:sz w:val="24"/>
        </w:rPr>
        <w:t>10.2按照入选投标人最终得分由高到低排出中标候选人。最终得分相同的，按技术、资信得分由高到低顺序排序；技术、资信得分相同的，按技术得分由高到低顺序排序；前述得分均相同的，则采取抽签方式确定其前后次序。</w:t>
      </w:r>
    </w:p>
    <w:p>
      <w:pPr>
        <w:pStyle w:val="8"/>
        <w:spacing w:line="640" w:lineRule="exact"/>
        <w:ind w:right="-11" w:firstLine="480"/>
        <w:rPr>
          <w:rFonts w:ascii="宋体" w:hAnsi="宋体"/>
          <w:sz w:val="24"/>
        </w:rPr>
      </w:pPr>
      <w:r>
        <w:rPr>
          <w:rFonts w:hint="eastAsia" w:ascii="宋体" w:hAnsi="宋体"/>
          <w:sz w:val="24"/>
        </w:rPr>
        <w:t>10.3</w:t>
      </w:r>
      <w:r>
        <w:rPr>
          <w:rFonts w:ascii="宋体" w:hAnsi="宋体"/>
          <w:sz w:val="24"/>
        </w:rPr>
        <w:t>各投标人的得分一经得出，并核对无误后，任何人不得更改。</w:t>
      </w:r>
    </w:p>
    <w:p>
      <w:pPr>
        <w:pStyle w:val="8"/>
        <w:spacing w:line="640" w:lineRule="exact"/>
        <w:ind w:right="-11" w:firstLine="480"/>
        <w:rPr>
          <w:rFonts w:ascii="宋体" w:hAnsi="宋体"/>
          <w:sz w:val="24"/>
        </w:rPr>
      </w:pPr>
      <w:r>
        <w:rPr>
          <w:rFonts w:ascii="宋体" w:hAnsi="宋体"/>
          <w:sz w:val="24"/>
        </w:rPr>
        <w:t>1</w:t>
      </w:r>
      <w:r>
        <w:rPr>
          <w:rFonts w:hint="eastAsia" w:ascii="宋体" w:hAnsi="宋体"/>
          <w:sz w:val="24"/>
        </w:rPr>
        <w:t>1.</w:t>
      </w:r>
      <w:r>
        <w:rPr>
          <w:rFonts w:ascii="宋体" w:hAnsi="宋体"/>
          <w:sz w:val="24"/>
        </w:rPr>
        <w:t>评标委员会在评标过程中发现的问题，应当及时作出处理或者向招标人提出处理建议，并作书面记录。</w:t>
      </w:r>
    </w:p>
    <w:p>
      <w:pPr>
        <w:pStyle w:val="8"/>
        <w:spacing w:line="640" w:lineRule="exact"/>
        <w:ind w:right="-11" w:firstLine="480"/>
        <w:rPr>
          <w:rFonts w:ascii="宋体" w:hAnsi="宋体"/>
          <w:sz w:val="24"/>
        </w:rPr>
      </w:pPr>
      <w:r>
        <w:rPr>
          <w:rFonts w:hint="eastAsia" w:ascii="宋体" w:hAnsi="宋体"/>
          <w:sz w:val="24"/>
        </w:rPr>
        <w:t>12.在评审过程中，评标委员会发现投标人的报价或者某些分项报价可能低于成本或者高于磋商文件设定的最高投标限价的，评标委员会将以询标的方式告知并要求投标人以书面方式进行必要的说明或补正，经评标委员会认定其报价低于成本或者高于磋商文件设定的最高投标限价的，将否决其投标。对于询标后判定为不符合磋商文件的报价，评委要提出充足的否定理由，并予以书面记录。最终对投标人的评审结论分为通过和未通过。</w:t>
      </w:r>
    </w:p>
    <w:p>
      <w:pPr>
        <w:pStyle w:val="8"/>
        <w:spacing w:line="640" w:lineRule="exact"/>
        <w:ind w:right="-11" w:firstLine="480"/>
        <w:rPr>
          <w:rFonts w:ascii="宋体" w:hAnsi="宋体"/>
          <w:sz w:val="24"/>
        </w:rPr>
      </w:pPr>
      <w:r>
        <w:rPr>
          <w:rFonts w:ascii="宋体" w:hAnsi="宋体"/>
          <w:sz w:val="24"/>
        </w:rPr>
        <w:t>1</w:t>
      </w:r>
      <w:r>
        <w:rPr>
          <w:rFonts w:hint="eastAsia" w:ascii="宋体" w:hAnsi="宋体"/>
          <w:sz w:val="24"/>
        </w:rPr>
        <w:t>3</w:t>
      </w:r>
      <w:r>
        <w:rPr>
          <w:rFonts w:ascii="宋体" w:hAnsi="宋体"/>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8"/>
        <w:spacing w:line="640" w:lineRule="exact"/>
        <w:ind w:right="-11" w:firstLine="480"/>
        <w:rPr>
          <w:rFonts w:ascii="宋体" w:hAnsi="宋体"/>
          <w:sz w:val="24"/>
        </w:rPr>
      </w:pPr>
      <w:r>
        <w:rPr>
          <w:rFonts w:hint="eastAsia" w:ascii="宋体" w:hAnsi="宋体"/>
          <w:sz w:val="24"/>
        </w:rPr>
        <w:t>14</w:t>
      </w:r>
      <w:r>
        <w:rPr>
          <w:rFonts w:ascii="宋体" w:hAnsi="宋体"/>
          <w:sz w:val="24"/>
        </w:rPr>
        <w:t>.评标委员会和评标工作人员应严格遵守国家的法律、法规和规章制度；严格按照本次</w:t>
      </w:r>
      <w:r>
        <w:rPr>
          <w:rFonts w:hint="eastAsia" w:ascii="宋体" w:hAnsi="宋体"/>
          <w:sz w:val="24"/>
        </w:rPr>
        <w:t>磋商文件</w:t>
      </w:r>
      <w:r>
        <w:rPr>
          <w:rFonts w:ascii="宋体" w:hAnsi="宋体"/>
          <w:sz w:val="24"/>
        </w:rPr>
        <w:t>进行评标；公正廉洁、不徇私情，不得损害国家利益；保护招、投标人的合法权益。</w:t>
      </w:r>
    </w:p>
    <w:p>
      <w:pPr>
        <w:spacing w:line="640" w:lineRule="exact"/>
        <w:ind w:firstLine="480"/>
        <w:rPr>
          <w:rFonts w:ascii="宋体" w:hAnsi="宋体"/>
          <w:sz w:val="24"/>
        </w:rPr>
      </w:pPr>
      <w:r>
        <w:rPr>
          <w:rFonts w:ascii="宋体" w:hAnsi="宋体"/>
          <w:sz w:val="24"/>
        </w:rPr>
        <w:t>1</w:t>
      </w:r>
      <w:r>
        <w:rPr>
          <w:rFonts w:hint="eastAsia" w:ascii="宋体" w:hAnsi="宋体"/>
          <w:sz w:val="24"/>
        </w:rPr>
        <w:t>5</w:t>
      </w:r>
      <w:r>
        <w:rPr>
          <w:rFonts w:ascii="宋体" w:hAnsi="宋体"/>
          <w:sz w:val="24"/>
        </w:rPr>
        <w:t>.在评标过程中，评委及其他评标工作人员必须对评标情况严格保密，任何人不得将评标情况透露给与投标人有关的单位和个人。</w:t>
      </w:r>
    </w:p>
    <w:p>
      <w:pPr>
        <w:pStyle w:val="2"/>
        <w:ind w:firstLine="480"/>
      </w:pPr>
    </w:p>
    <w:p>
      <w:pPr>
        <w:spacing w:line="240" w:lineRule="exact"/>
        <w:jc w:val="center"/>
        <w:rPr>
          <w:rFonts w:ascii="宋体" w:hAnsi="宋体"/>
          <w:b/>
          <w:kern w:val="0"/>
          <w:sz w:val="30"/>
          <w:szCs w:val="30"/>
        </w:rPr>
      </w:pPr>
      <w:r>
        <w:rPr>
          <w:rFonts w:ascii="宋体" w:hAnsi="宋体"/>
          <w:b/>
          <w:kern w:val="0"/>
          <w:sz w:val="30"/>
          <w:szCs w:val="30"/>
        </w:rPr>
        <w:br w:type="page"/>
      </w:r>
    </w:p>
    <w:p>
      <w:pPr>
        <w:numPr>
          <w:ilvl w:val="0"/>
          <w:numId w:val="1"/>
        </w:numPr>
        <w:spacing w:line="360" w:lineRule="auto"/>
        <w:jc w:val="center"/>
        <w:rPr>
          <w:rFonts w:ascii="宋体" w:hAnsi="宋体"/>
          <w:b/>
          <w:kern w:val="0"/>
          <w:sz w:val="24"/>
        </w:rPr>
      </w:pPr>
      <w:r>
        <w:rPr>
          <w:rFonts w:hint="eastAsia" w:ascii="宋体" w:hAnsi="宋体"/>
          <w:b/>
          <w:kern w:val="0"/>
          <w:sz w:val="24"/>
        </w:rPr>
        <w:t xml:space="preserve"> 附  件</w:t>
      </w:r>
    </w:p>
    <w:p>
      <w:pPr>
        <w:widowControl/>
        <w:spacing w:line="52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20" w:lineRule="exact"/>
        <w:jc w:val="left"/>
        <w:rPr>
          <w:rFonts w:ascii="宋体" w:hAnsi="宋体" w:cs="宋体"/>
          <w:b/>
          <w:kern w:val="0"/>
          <w:sz w:val="24"/>
        </w:rPr>
      </w:pPr>
      <w:r>
        <w:rPr>
          <w:rFonts w:hint="eastAsia" w:ascii="宋体" w:hAnsi="宋体" w:cs="宋体"/>
          <w:b/>
          <w:kern w:val="0"/>
          <w:sz w:val="24"/>
        </w:rPr>
        <w:t>致安徽百大乐普生有限责任公司：</w:t>
      </w:r>
    </w:p>
    <w:p>
      <w:pPr>
        <w:widowControl/>
        <w:spacing w:line="520" w:lineRule="exact"/>
        <w:jc w:val="left"/>
        <w:rPr>
          <w:rFonts w:ascii="宋体" w:hAnsi="宋体" w:cs="宋体"/>
          <w:kern w:val="0"/>
          <w:sz w:val="24"/>
        </w:rPr>
      </w:pPr>
      <w:r>
        <w:rPr>
          <w:rFonts w:hint="eastAsia" w:ascii="宋体" w:hAnsi="宋体" w:cs="宋体"/>
          <w:kern w:val="0"/>
          <w:sz w:val="24"/>
        </w:rPr>
        <w:t>根据贵司号磋商文件要求，我司签字代表（姓名）已被正式授权代表投标人（企业名称）提交下述文件：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⑴开标一览表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⑵分项报价表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⑶投标事项承诺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 xml:space="preserve">    同时，投标人宣布承诺如下：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⑴投标人已详细阅读全部磋商文件（含补充公告等），并理解其实质性内容，同意承担其规定的全部义务和相关责任。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⑵投标人严格按照磋商文件的规定报价，如被确定为中标人后，将全面履行合同。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⑶投标人在缴纳投标保证金后，如出现串标、毁标、中标后不签订合同等违规行为，招标人有权没收该保证金。</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2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2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企业法人（签名或签章）：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授权代表（签名）：</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二〇二三年月日</w:t>
      </w: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hint="eastAsia" w:ascii="宋体" w:hAnsi="宋体"/>
          <w:b/>
          <w:kern w:val="0"/>
          <w:sz w:val="24"/>
        </w:rPr>
      </w:pPr>
    </w:p>
    <w:p>
      <w:pPr>
        <w:jc w:val="center"/>
        <w:rPr>
          <w:rFonts w:ascii="宋体" w:hAnsi="宋体"/>
          <w:kern w:val="0"/>
          <w:sz w:val="24"/>
        </w:rPr>
      </w:pPr>
      <w:r>
        <w:rPr>
          <w:rFonts w:hint="eastAsia" w:ascii="宋体" w:hAnsi="宋体"/>
          <w:b/>
          <w:kern w:val="0"/>
          <w:sz w:val="24"/>
        </w:rPr>
        <w:t>格式2投标单位法人和授权代表身份证及联系方式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1.投标单位法人</w:t>
      </w:r>
    </w:p>
    <w:p>
      <w:pPr>
        <w:jc w:val="left"/>
        <w:rPr>
          <w:rFonts w:ascii="宋体" w:hAnsi="宋体"/>
          <w:kern w:val="0"/>
          <w:sz w:val="24"/>
        </w:rPr>
      </w:pP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0"/>
        <w:gridCol w:w="4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800" w:type="dxa"/>
            <w:noWrap/>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800" w:type="dxa"/>
            <w:noWrap/>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0" w:hRule="atLeast"/>
        </w:trPr>
        <w:tc>
          <w:tcPr>
            <w:tcW w:w="4800" w:type="dxa"/>
            <w:noWrap/>
            <w:vAlign w:val="center"/>
          </w:tcPr>
          <w:p>
            <w:pPr>
              <w:jc w:val="center"/>
              <w:rPr>
                <w:rFonts w:ascii="宋体" w:hAnsi="宋体" w:cs="Calibri"/>
                <w:kern w:val="0"/>
                <w:sz w:val="24"/>
              </w:rPr>
            </w:pPr>
          </w:p>
        </w:tc>
        <w:tc>
          <w:tcPr>
            <w:tcW w:w="4800" w:type="dxa"/>
            <w:noWrap/>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9600" w:type="dxa"/>
            <w:gridSpan w:val="2"/>
            <w:noWrap/>
            <w:vAlign w:val="center"/>
          </w:tcPr>
          <w:p>
            <w:pPr>
              <w:jc w:val="left"/>
              <w:rPr>
                <w:rFonts w:ascii="宋体" w:hAnsi="宋体" w:cs="Calibri"/>
                <w:b/>
                <w:kern w:val="0"/>
                <w:sz w:val="24"/>
              </w:rPr>
            </w:pPr>
            <w:r>
              <w:rPr>
                <w:rFonts w:hint="eastAsia" w:ascii="宋体" w:hAnsi="宋体" w:cs="Calibri"/>
                <w:b/>
                <w:kern w:val="0"/>
                <w:sz w:val="24"/>
              </w:rPr>
              <w:t>企业法人联系电话：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2.投标单位授权代表</w:t>
      </w:r>
    </w:p>
    <w:p>
      <w:pPr>
        <w:jc w:val="left"/>
        <w:rPr>
          <w:rFonts w:ascii="宋体" w:hAnsi="宋体"/>
          <w:kern w:val="0"/>
          <w:sz w:val="24"/>
        </w:rPr>
      </w:pP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0"/>
        <w:gridCol w:w="4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4800" w:type="dxa"/>
            <w:noWrap/>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800" w:type="dxa"/>
            <w:noWrap/>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1" w:hRule="atLeast"/>
        </w:trPr>
        <w:tc>
          <w:tcPr>
            <w:tcW w:w="4800" w:type="dxa"/>
            <w:noWrap/>
            <w:vAlign w:val="center"/>
          </w:tcPr>
          <w:p>
            <w:pPr>
              <w:jc w:val="center"/>
              <w:rPr>
                <w:rFonts w:ascii="宋体" w:hAnsi="宋体" w:cs="Calibri"/>
                <w:kern w:val="0"/>
                <w:sz w:val="24"/>
              </w:rPr>
            </w:pPr>
          </w:p>
        </w:tc>
        <w:tc>
          <w:tcPr>
            <w:tcW w:w="4800" w:type="dxa"/>
            <w:noWrap/>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600" w:type="dxa"/>
            <w:gridSpan w:val="2"/>
            <w:noWrap/>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rFonts w:ascii="宋体" w:hAnsi="宋体"/>
          <w:b/>
          <w:kern w:val="0"/>
          <w:sz w:val="24"/>
        </w:rPr>
      </w:pPr>
    </w:p>
    <w:p>
      <w:pPr>
        <w:jc w:val="center"/>
        <w:rPr>
          <w:b/>
          <w:kern w:val="0"/>
          <w:sz w:val="24"/>
        </w:rPr>
      </w:pPr>
    </w:p>
    <w:p>
      <w:pPr>
        <w:jc w:val="center"/>
        <w:rPr>
          <w:b/>
          <w:sz w:val="28"/>
          <w:szCs w:val="28"/>
        </w:rPr>
      </w:pPr>
      <w:r>
        <w:rPr>
          <w:rFonts w:hint="eastAsia"/>
          <w:b/>
          <w:kern w:val="0"/>
          <w:sz w:val="24"/>
        </w:rPr>
        <w:t>格式3</w:t>
      </w:r>
      <w:r>
        <w:rPr>
          <w:rFonts w:hint="eastAsia"/>
          <w:b/>
          <w:sz w:val="24"/>
        </w:rPr>
        <w:t>投标人股权结构说明书</w:t>
      </w:r>
    </w:p>
    <w:p/>
    <w:p>
      <w:pPr>
        <w:spacing w:line="720" w:lineRule="exact"/>
        <w:rPr>
          <w:rFonts w:ascii="宋体" w:hAnsi="宋体"/>
          <w:sz w:val="24"/>
        </w:rPr>
      </w:pPr>
      <w:r>
        <w:rPr>
          <w:rFonts w:hint="eastAsia" w:ascii="宋体" w:hAnsi="宋体"/>
          <w:sz w:val="24"/>
        </w:rPr>
        <w:t>为依照《中华人民共和国公司法》等法律法规成立的（企业性质）公司，公司注册资本为万元，公司股东出资比例和出资额如下：</w:t>
      </w:r>
    </w:p>
    <w:p>
      <w:pPr>
        <w:spacing w:line="720" w:lineRule="exact"/>
        <w:rPr>
          <w:rFonts w:ascii="宋体" w:hAnsi="宋体"/>
          <w:sz w:val="24"/>
        </w:rPr>
      </w:pPr>
      <w:r>
        <w:rPr>
          <w:rFonts w:hint="eastAsia" w:ascii="宋体" w:hAnsi="宋体"/>
          <w:sz w:val="24"/>
        </w:rPr>
        <w:t xml:space="preserve">    1.股东：，出资比例：%，出资额：万元；</w:t>
      </w:r>
    </w:p>
    <w:p>
      <w:pPr>
        <w:spacing w:line="720" w:lineRule="exact"/>
        <w:rPr>
          <w:rFonts w:ascii="宋体" w:hAnsi="宋体"/>
          <w:sz w:val="24"/>
        </w:rPr>
      </w:pPr>
      <w:r>
        <w:rPr>
          <w:rFonts w:hint="eastAsia" w:ascii="宋体" w:hAnsi="宋体"/>
          <w:sz w:val="24"/>
        </w:rPr>
        <w:t xml:space="preserve">    2.股东：，出资比例：%，出资额：万元；</w:t>
      </w:r>
    </w:p>
    <w:p>
      <w:pPr>
        <w:spacing w:line="720" w:lineRule="exact"/>
        <w:rPr>
          <w:rFonts w:ascii="宋体" w:hAnsi="宋体"/>
          <w:sz w:val="24"/>
        </w:rPr>
      </w:pPr>
      <w:r>
        <w:rPr>
          <w:rFonts w:hint="eastAsia" w:ascii="宋体" w:hAnsi="宋体"/>
          <w:sz w:val="24"/>
        </w:rPr>
        <w:t xml:space="preserve">    3.股东：，出资比例：%，出资额：万元；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公司总经理（负责人）姓名：联系电话：</w:t>
      </w:r>
    </w:p>
    <w:p>
      <w:pPr>
        <w:spacing w:line="720" w:lineRule="exact"/>
        <w:rPr>
          <w:rFonts w:ascii="宋体" w:hAnsi="宋体"/>
          <w:sz w:val="24"/>
        </w:rPr>
      </w:pPr>
      <w:r>
        <w:rPr>
          <w:rFonts w:hint="eastAsia" w:ascii="宋体" w:hAnsi="宋体"/>
          <w:sz w:val="24"/>
        </w:rPr>
        <w:t xml:space="preserve">    我方保证上述内容真实准确，并承担对应责任。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投标人（签章）：</w:t>
      </w:r>
    </w:p>
    <w:p>
      <w:pPr>
        <w:spacing w:line="720" w:lineRule="exact"/>
        <w:rPr>
          <w:rFonts w:ascii="宋体" w:hAnsi="宋体"/>
          <w:sz w:val="24"/>
        </w:rPr>
      </w:pPr>
      <w:r>
        <w:rPr>
          <w:rFonts w:hint="eastAsia" w:ascii="宋体" w:hAnsi="宋体"/>
          <w:sz w:val="24"/>
        </w:rPr>
        <w:t xml:space="preserve">                                         企业法人（</w:t>
      </w:r>
      <w:r>
        <w:rPr>
          <w:rFonts w:hint="eastAsia" w:ascii="宋体" w:hAnsi="宋体" w:cs="宋体"/>
          <w:kern w:val="0"/>
          <w:sz w:val="24"/>
        </w:rPr>
        <w:t>签名或签章</w:t>
      </w:r>
      <w:r>
        <w:rPr>
          <w:rFonts w:hint="eastAsia" w:ascii="宋体" w:hAnsi="宋体"/>
          <w:sz w:val="24"/>
        </w:rPr>
        <w:t>）：</w:t>
      </w:r>
    </w:p>
    <w:p>
      <w:pPr>
        <w:spacing w:line="720" w:lineRule="exact"/>
        <w:ind w:firstLine="5040" w:firstLineChars="2100"/>
        <w:rPr>
          <w:sz w:val="24"/>
        </w:rPr>
      </w:pPr>
      <w:r>
        <w:rPr>
          <w:rFonts w:hint="eastAsia" w:ascii="宋体" w:hAnsi="宋体" w:cs="宋体"/>
          <w:kern w:val="0"/>
          <w:sz w:val="24"/>
        </w:rPr>
        <w:t>二〇二三年月日</w:t>
      </w:r>
    </w:p>
    <w:p>
      <w:pPr>
        <w:jc w:val="center"/>
        <w:rPr>
          <w:kern w:val="0"/>
          <w:sz w:val="24"/>
        </w:rPr>
      </w:pPr>
    </w:p>
    <w:p>
      <w:pPr>
        <w:jc w:val="center"/>
        <w:rPr>
          <w:kern w:val="0"/>
          <w:sz w:val="24"/>
        </w:rPr>
      </w:pPr>
    </w:p>
    <w:p>
      <w:pPr>
        <w:jc w:val="center"/>
        <w:rPr>
          <w:kern w:val="0"/>
          <w:sz w:val="24"/>
        </w:rPr>
      </w:pPr>
    </w:p>
    <w:p>
      <w:pPr>
        <w:jc w:val="center"/>
        <w:rPr>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spacing w:line="400" w:lineRule="exact"/>
        <w:rPr>
          <w:rFonts w:ascii="宋体" w:hAnsi="宋体" w:cs="宋体"/>
          <w:b/>
          <w:kern w:val="0"/>
          <w:sz w:val="24"/>
        </w:rPr>
      </w:pPr>
    </w:p>
    <w:p>
      <w:pPr>
        <w:spacing w:line="400" w:lineRule="exact"/>
        <w:rPr>
          <w:rFonts w:ascii="宋体" w:hAnsi="宋体" w:cs="宋体"/>
          <w:b/>
          <w:kern w:val="0"/>
          <w:sz w:val="24"/>
        </w:rPr>
      </w:pPr>
    </w:p>
    <w:p>
      <w:pPr>
        <w:pStyle w:val="2"/>
        <w:rPr>
          <w:rFonts w:ascii="宋体" w:hAnsi="宋体" w:cs="宋体"/>
          <w:b/>
          <w:kern w:val="0"/>
          <w:sz w:val="24"/>
        </w:rPr>
      </w:pPr>
    </w:p>
    <w:p>
      <w:pPr>
        <w:pStyle w:val="2"/>
        <w:rPr>
          <w:rFonts w:ascii="宋体" w:hAnsi="宋体" w:cs="宋体"/>
          <w:b/>
          <w:kern w:val="0"/>
          <w:sz w:val="24"/>
        </w:rPr>
      </w:pPr>
    </w:p>
    <w:p>
      <w:pPr>
        <w:widowControl/>
        <w:spacing w:afterLines="100" w:line="400" w:lineRule="exact"/>
        <w:ind w:firstLine="3306" w:firstLineChars="1372"/>
        <w:rPr>
          <w:rFonts w:ascii="宋体" w:hAnsi="宋体" w:cs="宋体"/>
          <w:b/>
          <w:kern w:val="0"/>
          <w:sz w:val="24"/>
        </w:rPr>
      </w:pPr>
    </w:p>
    <w:p>
      <w:pPr>
        <w:widowControl/>
        <w:spacing w:afterLines="100" w:line="400" w:lineRule="exact"/>
        <w:ind w:firstLine="3306" w:firstLineChars="1372"/>
        <w:rPr>
          <w:rFonts w:ascii="宋体" w:hAnsi="宋体" w:cs="宋体"/>
          <w:b/>
          <w:kern w:val="0"/>
          <w:sz w:val="24"/>
        </w:rPr>
      </w:pPr>
      <w:r>
        <w:rPr>
          <w:rFonts w:hint="eastAsia" w:ascii="宋体" w:hAnsi="宋体" w:cs="宋体"/>
          <w:b/>
          <w:kern w:val="0"/>
          <w:sz w:val="24"/>
        </w:rPr>
        <w:t>格式4 投标资格证明文件</w:t>
      </w:r>
    </w:p>
    <w:p>
      <w:pPr>
        <w:widowControl/>
        <w:spacing w:line="600" w:lineRule="exac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520" w:lineRule="exact"/>
        <w:jc w:val="left"/>
        <w:rPr>
          <w:rFonts w:ascii="宋体" w:hAnsi="宋体" w:cs="宋体"/>
          <w:kern w:val="0"/>
          <w:sz w:val="24"/>
        </w:rPr>
      </w:pPr>
      <w:r>
        <w:rPr>
          <w:rFonts w:hint="eastAsia" w:ascii="宋体" w:hAnsi="宋体" w:cs="宋体"/>
          <w:kern w:val="0"/>
          <w:sz w:val="24"/>
        </w:rPr>
        <w:t>1.投标人简介及通讯方式</w:t>
      </w:r>
    </w:p>
    <w:p>
      <w:pPr>
        <w:widowControl/>
        <w:spacing w:line="520" w:lineRule="exact"/>
        <w:jc w:val="left"/>
        <w:rPr>
          <w:rFonts w:ascii="宋体" w:hAnsi="宋体" w:cs="宋体"/>
          <w:kern w:val="0"/>
          <w:sz w:val="24"/>
        </w:rPr>
      </w:pPr>
      <w:r>
        <w:rPr>
          <w:rFonts w:hint="eastAsia" w:ascii="宋体" w:hAnsi="宋体" w:cs="宋体"/>
          <w:kern w:val="0"/>
          <w:sz w:val="24"/>
        </w:rPr>
        <w:t>2.营业执照、业绩证明文件等（复印件、加盖公章）</w:t>
      </w:r>
    </w:p>
    <w:p>
      <w:pPr>
        <w:widowControl/>
        <w:spacing w:line="520" w:lineRule="exact"/>
        <w:jc w:val="left"/>
        <w:rPr>
          <w:rFonts w:ascii="宋体" w:hAnsi="宋体" w:cs="宋体"/>
          <w:kern w:val="0"/>
          <w:sz w:val="24"/>
        </w:rPr>
      </w:pPr>
      <w:r>
        <w:rPr>
          <w:rFonts w:hint="eastAsia" w:ascii="宋体" w:hAnsi="宋体" w:cs="宋体"/>
          <w:kern w:val="0"/>
          <w:sz w:val="24"/>
        </w:rPr>
        <w:t>3.开户银行名称、地址</w:t>
      </w:r>
    </w:p>
    <w:p>
      <w:pPr>
        <w:widowControl/>
        <w:spacing w:line="520" w:lineRule="exact"/>
        <w:jc w:val="left"/>
        <w:rPr>
          <w:rFonts w:ascii="宋体" w:hAnsi="宋体" w:cs="宋体"/>
          <w:kern w:val="0"/>
          <w:sz w:val="24"/>
        </w:rPr>
      </w:pPr>
      <w:r>
        <w:rPr>
          <w:rFonts w:hint="eastAsia" w:ascii="宋体" w:hAnsi="宋体" w:cs="宋体"/>
          <w:kern w:val="0"/>
          <w:sz w:val="24"/>
        </w:rPr>
        <w:t>4.投标人认为需要说明的其它情况</w:t>
      </w:r>
    </w:p>
    <w:p>
      <w:pPr>
        <w:widowControl/>
        <w:spacing w:line="500" w:lineRule="exact"/>
        <w:jc w:val="left"/>
        <w:rPr>
          <w:rFonts w:ascii="宋体" w:hAnsi="宋体" w:cs="宋体"/>
          <w:kern w:val="0"/>
          <w:sz w:val="24"/>
        </w:rPr>
      </w:pPr>
    </w:p>
    <w:p>
      <w:pPr>
        <w:widowControl/>
        <w:spacing w:line="520" w:lineRule="exact"/>
        <w:jc w:val="center"/>
        <w:rPr>
          <w:rFonts w:ascii="宋体" w:hAnsi="宋体" w:cs="宋体"/>
          <w:b/>
          <w:kern w:val="0"/>
          <w:sz w:val="24"/>
          <w:lang w:val="zh-CN"/>
        </w:rPr>
      </w:pPr>
    </w:p>
    <w:p>
      <w:pPr>
        <w:spacing w:line="400" w:lineRule="exact"/>
        <w:rPr>
          <w:rFonts w:ascii="宋体" w:hAnsi="宋体" w:cs="宋体"/>
          <w:b/>
          <w:kern w:val="0"/>
          <w:sz w:val="24"/>
        </w:rPr>
      </w:pPr>
    </w:p>
    <w:p>
      <w:pPr>
        <w:widowControl/>
        <w:spacing w:line="400" w:lineRule="exact"/>
        <w:jc w:val="center"/>
        <w:rPr>
          <w:rFonts w:ascii="宋体" w:hAnsi="宋体" w:cs="宋体"/>
          <w:b/>
          <w:kern w:val="0"/>
          <w:sz w:val="24"/>
        </w:rPr>
      </w:pPr>
    </w:p>
    <w:p>
      <w:pPr>
        <w:widowControl/>
        <w:spacing w:line="400" w:lineRule="exact"/>
        <w:jc w:val="center"/>
        <w:rPr>
          <w:rFonts w:ascii="宋体" w:hAnsi="宋体" w:cs="宋体"/>
          <w:b/>
          <w:kern w:val="0"/>
          <w:sz w:val="24"/>
        </w:rPr>
      </w:pPr>
    </w:p>
    <w:p>
      <w:pPr>
        <w:widowControl/>
        <w:spacing w:line="400" w:lineRule="exact"/>
        <w:jc w:val="center"/>
        <w:rPr>
          <w:rFonts w:ascii="宋体" w:hAnsi="宋体" w:cs="宋体"/>
          <w:b/>
          <w:kern w:val="0"/>
          <w:sz w:val="24"/>
        </w:rPr>
      </w:pPr>
      <w:r>
        <w:rPr>
          <w:rFonts w:hint="eastAsia" w:ascii="宋体" w:hAnsi="宋体" w:cs="宋体"/>
          <w:b/>
          <w:kern w:val="0"/>
          <w:sz w:val="24"/>
        </w:rPr>
        <w:t>格式5  投标承诺事项</w:t>
      </w:r>
    </w:p>
    <w:p>
      <w:pPr>
        <w:widowControl/>
        <w:spacing w:line="400" w:lineRule="exact"/>
        <w:jc w:val="center"/>
        <w:rPr>
          <w:rFonts w:ascii="宋体" w:hAnsi="宋体" w:cs="宋体"/>
          <w:b/>
          <w:kern w:val="0"/>
          <w:sz w:val="24"/>
        </w:rPr>
      </w:pPr>
    </w:p>
    <w:p>
      <w:pPr>
        <w:widowControl/>
        <w:spacing w:line="600" w:lineRule="exact"/>
        <w:jc w:val="left"/>
        <w:rPr>
          <w:rFonts w:ascii="宋体" w:hAnsi="宋体" w:cs="宋体"/>
          <w:b/>
          <w:kern w:val="0"/>
          <w:sz w:val="24"/>
        </w:rPr>
      </w:pPr>
      <w:r>
        <w:rPr>
          <w:rFonts w:hint="eastAsia" w:ascii="宋体" w:hAnsi="宋体" w:cs="宋体"/>
          <w:b/>
          <w:kern w:val="0"/>
          <w:sz w:val="24"/>
        </w:rPr>
        <w:t>内容包括如下：</w:t>
      </w:r>
    </w:p>
    <w:p>
      <w:pPr>
        <w:widowControl/>
        <w:spacing w:line="520" w:lineRule="exact"/>
        <w:jc w:val="left"/>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.对设计周期的承诺；</w:t>
      </w:r>
    </w:p>
    <w:p>
      <w:pPr>
        <w:widowControl/>
        <w:spacing w:line="520" w:lineRule="exact"/>
        <w:jc w:val="left"/>
        <w:rPr>
          <w:rFonts w:ascii="宋体" w:hAnsi="宋体" w:cs="宋体"/>
          <w:color w:val="000000"/>
          <w:kern w:val="0"/>
          <w:sz w:val="24"/>
        </w:rPr>
      </w:pPr>
      <w:r>
        <w:rPr>
          <w:rFonts w:hint="eastAsia" w:ascii="宋体" w:hAnsi="宋体" w:cs="宋体"/>
          <w:color w:val="000000"/>
          <w:kern w:val="0"/>
          <w:sz w:val="24"/>
        </w:rPr>
        <w:t>2.对后期提供增值服务的承诺；</w:t>
      </w:r>
    </w:p>
    <w:p>
      <w:pPr>
        <w:widowControl/>
        <w:spacing w:line="520" w:lineRule="exact"/>
        <w:jc w:val="left"/>
        <w:rPr>
          <w:rFonts w:ascii="宋体" w:hAnsi="宋体" w:cs="宋体"/>
          <w:color w:val="000000"/>
          <w:kern w:val="0"/>
          <w:sz w:val="24"/>
        </w:rPr>
      </w:pPr>
      <w:r>
        <w:rPr>
          <w:rFonts w:hint="eastAsia" w:ascii="宋体" w:hAnsi="宋体" w:cs="宋体"/>
          <w:color w:val="000000"/>
          <w:kern w:val="0"/>
          <w:sz w:val="24"/>
        </w:rPr>
        <w:t>3.投标人的其他承诺</w:t>
      </w:r>
    </w:p>
    <w:p>
      <w:pPr>
        <w:widowControl/>
        <w:spacing w:line="400" w:lineRule="exact"/>
        <w:ind w:firstLine="480" w:firstLineChars="200"/>
        <w:jc w:val="left"/>
        <w:rPr>
          <w:rFonts w:ascii="宋体" w:hAnsi="宋体" w:cs="宋体"/>
          <w:kern w:val="0"/>
          <w:sz w:val="24"/>
        </w:rPr>
      </w:pPr>
    </w:p>
    <w:p>
      <w:pPr>
        <w:widowControl/>
        <w:spacing w:line="400" w:lineRule="exact"/>
        <w:ind w:firstLine="480" w:firstLineChars="200"/>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pStyle w:val="2"/>
        <w:rPr>
          <w:rFonts w:hAnsi="宋体"/>
          <w:b/>
          <w:kern w:val="0"/>
          <w:sz w:val="24"/>
        </w:rPr>
      </w:pPr>
    </w:p>
    <w:p>
      <w:pPr>
        <w:pStyle w:val="2"/>
        <w:rPr>
          <w:rFonts w:hAnsi="宋体"/>
          <w:b/>
          <w:kern w:val="0"/>
          <w:sz w:val="24"/>
        </w:rPr>
      </w:pPr>
    </w:p>
    <w:p>
      <w:pPr>
        <w:pStyle w:val="2"/>
        <w:rPr>
          <w:rFonts w:hAnsi="宋体"/>
          <w:b/>
          <w:kern w:val="0"/>
          <w:sz w:val="24"/>
        </w:rPr>
      </w:pPr>
    </w:p>
    <w:p>
      <w:pPr>
        <w:pStyle w:val="2"/>
        <w:rPr>
          <w:rFonts w:hAnsi="宋体"/>
          <w:b/>
          <w:kern w:val="0"/>
          <w:sz w:val="24"/>
        </w:rPr>
      </w:pPr>
    </w:p>
    <w:p>
      <w:pPr>
        <w:pStyle w:val="2"/>
        <w:rPr>
          <w:rFonts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格式6  开标一览表</w:t>
      </w:r>
    </w:p>
    <w:p>
      <w:pPr>
        <w:widowControl/>
        <w:spacing w:line="240" w:lineRule="exact"/>
        <w:jc w:val="left"/>
        <w:rPr>
          <w:rFonts w:ascii="宋体" w:hAnsi="宋体" w:cs="宋体"/>
          <w:b/>
          <w:kern w:val="0"/>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296"/>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6861"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楷体_GB2312" w:hAnsi="宋体" w:eastAsia="楷体_GB2312" w:cs="宋体"/>
                <w:b/>
                <w:color w:val="000000"/>
                <w:kern w:val="0"/>
                <w:sz w:val="24"/>
              </w:rPr>
            </w:pPr>
            <w:r>
              <w:rPr>
                <w:rFonts w:hint="eastAsia" w:ascii="宋体" w:hAnsi="宋体"/>
                <w:b/>
                <w:bCs/>
                <w:color w:val="000000"/>
                <w:sz w:val="24"/>
              </w:rPr>
              <w:t>鼓楼银座商业主题设计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89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6861" w:type="dxa"/>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600" w:lineRule="exact"/>
              <w:jc w:val="center"/>
              <w:rPr>
                <w:rFonts w:ascii="宋体" w:hAnsi="宋体" w:cs="宋体"/>
                <w:b/>
                <w:kern w:val="0"/>
                <w:sz w:val="24"/>
              </w:rPr>
            </w:pPr>
            <w:r>
              <w:rPr>
                <w:rFonts w:hint="eastAsia" w:ascii="宋体" w:hAnsi="宋体" w:cs="宋体"/>
                <w:color w:val="000000"/>
                <w:kern w:val="0"/>
                <w:sz w:val="24"/>
                <w:szCs w:val="24"/>
              </w:rPr>
              <w:t>2023BDJTFW00007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6861" w:type="dxa"/>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4"/>
                <w:szCs w:val="28"/>
              </w:rPr>
            </w:pPr>
            <w:r>
              <w:rPr>
                <w:rFonts w:hint="eastAsia" w:ascii="宋体" w:hAnsi="宋体" w:cs="宋体"/>
                <w:kern w:val="0"/>
                <w:sz w:val="24"/>
                <w:szCs w:val="28"/>
              </w:rPr>
              <w:t>1</w:t>
            </w:r>
          </w:p>
        </w:tc>
        <w:tc>
          <w:tcPr>
            <w:tcW w:w="2296" w:type="dxa"/>
            <w:tcBorders>
              <w:top w:val="single" w:color="auto" w:sz="4" w:space="0"/>
              <w:left w:val="single" w:color="auto" w:sz="4" w:space="0"/>
              <w:right w:val="single" w:color="auto" w:sz="4" w:space="0"/>
            </w:tcBorders>
            <w:noWrap/>
            <w:vAlign w:val="center"/>
          </w:tcPr>
          <w:p>
            <w:pPr>
              <w:spacing w:line="400" w:lineRule="exact"/>
              <w:jc w:val="center"/>
              <w:rPr>
                <w:b/>
                <w:kern w:val="28"/>
                <w:sz w:val="24"/>
                <w:szCs w:val="28"/>
                <w:lang w:val="eu-ES"/>
              </w:rPr>
            </w:pPr>
            <w:r>
              <w:rPr>
                <w:rFonts w:hint="eastAsia"/>
                <w:b/>
                <w:kern w:val="28"/>
                <w:sz w:val="24"/>
                <w:szCs w:val="28"/>
                <w:lang w:val="eu-ES"/>
              </w:rPr>
              <w:t>设计标准</w:t>
            </w:r>
          </w:p>
        </w:tc>
        <w:tc>
          <w:tcPr>
            <w:tcW w:w="6861"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4"/>
                <w:szCs w:val="28"/>
              </w:rPr>
            </w:pPr>
            <w:r>
              <w:rPr>
                <w:rFonts w:hint="eastAsia" w:ascii="宋体" w:hAnsi="宋体" w:cs="宋体"/>
                <w:kern w:val="0"/>
                <w:sz w:val="24"/>
                <w:szCs w:val="28"/>
              </w:rPr>
              <w:t>是否响应磋商文件要求？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4"/>
                <w:szCs w:val="28"/>
              </w:rPr>
            </w:pPr>
            <w:r>
              <w:rPr>
                <w:rFonts w:ascii="宋体" w:hAnsi="宋体" w:cs="宋体"/>
                <w:kern w:val="0"/>
                <w:sz w:val="24"/>
                <w:szCs w:val="28"/>
              </w:rPr>
              <w:t>2</w:t>
            </w:r>
          </w:p>
        </w:tc>
        <w:tc>
          <w:tcPr>
            <w:tcW w:w="2296" w:type="dxa"/>
            <w:tcBorders>
              <w:top w:val="single" w:color="auto" w:sz="4" w:space="0"/>
              <w:left w:val="single" w:color="auto" w:sz="4" w:space="0"/>
              <w:right w:val="single" w:color="auto" w:sz="4" w:space="0"/>
            </w:tcBorders>
            <w:noWrap/>
            <w:vAlign w:val="center"/>
          </w:tcPr>
          <w:p>
            <w:pPr>
              <w:spacing w:line="400" w:lineRule="exact"/>
              <w:jc w:val="center"/>
              <w:rPr>
                <w:b/>
                <w:kern w:val="28"/>
                <w:sz w:val="24"/>
                <w:szCs w:val="28"/>
                <w:lang w:val="eu-ES"/>
              </w:rPr>
            </w:pPr>
            <w:r>
              <w:rPr>
                <w:rFonts w:hint="eastAsia"/>
                <w:b/>
                <w:kern w:val="28"/>
                <w:sz w:val="24"/>
                <w:szCs w:val="28"/>
                <w:lang w:val="eu-ES"/>
              </w:rPr>
              <w:t>设计周期</w:t>
            </w:r>
          </w:p>
        </w:tc>
        <w:tc>
          <w:tcPr>
            <w:tcW w:w="6861"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4"/>
                <w:szCs w:val="28"/>
                <w:u w:val="single"/>
              </w:rPr>
            </w:pPr>
            <w:r>
              <w:rPr>
                <w:rFonts w:hint="eastAsia" w:ascii="宋体" w:hAnsi="宋体" w:cs="宋体"/>
                <w:kern w:val="0"/>
                <w:sz w:val="24"/>
                <w:szCs w:val="28"/>
              </w:rPr>
              <w:t>是否响应磋商文件要求？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59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szCs w:val="28"/>
              </w:rPr>
            </w:pPr>
            <w:r>
              <w:rPr>
                <w:rFonts w:ascii="宋体" w:hAnsi="宋体" w:cs="宋体"/>
                <w:kern w:val="0"/>
                <w:sz w:val="24"/>
                <w:szCs w:val="28"/>
              </w:rPr>
              <w:t>3</w:t>
            </w:r>
          </w:p>
        </w:tc>
        <w:tc>
          <w:tcPr>
            <w:tcW w:w="22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b/>
                <w:kern w:val="28"/>
                <w:sz w:val="24"/>
                <w:szCs w:val="28"/>
                <w:lang w:val="eu-ES"/>
              </w:rPr>
            </w:pPr>
            <w:r>
              <w:rPr>
                <w:rFonts w:hint="eastAsia"/>
                <w:b/>
                <w:kern w:val="28"/>
                <w:sz w:val="24"/>
                <w:szCs w:val="28"/>
                <w:lang w:val="eu-ES"/>
              </w:rPr>
              <w:t>付款方式</w:t>
            </w:r>
          </w:p>
        </w:tc>
        <w:tc>
          <w:tcPr>
            <w:tcW w:w="686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szCs w:val="28"/>
                <w:u w:val="single"/>
              </w:rPr>
            </w:pPr>
            <w:r>
              <w:rPr>
                <w:rFonts w:hint="eastAsia" w:ascii="宋体" w:hAnsi="宋体" w:cs="宋体"/>
                <w:kern w:val="0"/>
                <w:sz w:val="24"/>
                <w:szCs w:val="28"/>
              </w:rPr>
              <w:t>是否响应磋商文件要求？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894"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kern w:val="28"/>
                <w:sz w:val="24"/>
                <w:szCs w:val="28"/>
                <w:lang w:val="eu-ES"/>
              </w:rPr>
            </w:pPr>
            <w:r>
              <w:rPr>
                <w:rFonts w:hint="eastAsia"/>
                <w:kern w:val="28"/>
                <w:sz w:val="24"/>
                <w:szCs w:val="28"/>
                <w:lang w:val="eu-ES"/>
              </w:rPr>
              <w:t>备注</w:t>
            </w:r>
          </w:p>
        </w:tc>
        <w:tc>
          <w:tcPr>
            <w:tcW w:w="686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szCs w:val="28"/>
              </w:rPr>
            </w:pPr>
            <w:r>
              <w:rPr>
                <w:rFonts w:hint="eastAsia" w:ascii="宋体" w:hAnsi="宋体" w:cs="宋体"/>
                <w:kern w:val="0"/>
                <w:sz w:val="24"/>
                <w:szCs w:val="28"/>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894"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b/>
                <w:kern w:val="0"/>
                <w:sz w:val="24"/>
              </w:rPr>
            </w:pPr>
            <w:r>
              <w:rPr>
                <w:rFonts w:hint="eastAsia" w:ascii="宋体" w:hAnsi="宋体" w:cs="宋体"/>
                <w:b/>
                <w:kern w:val="0"/>
                <w:sz w:val="24"/>
              </w:rPr>
              <w:t>投标报价</w:t>
            </w:r>
          </w:p>
          <w:p>
            <w:pPr>
              <w:spacing w:line="400" w:lineRule="exact"/>
              <w:jc w:val="center"/>
              <w:rPr>
                <w:rFonts w:ascii="宋体" w:hAnsi="宋体" w:cs="宋体"/>
                <w:b/>
                <w:kern w:val="0"/>
                <w:sz w:val="24"/>
              </w:rPr>
            </w:pPr>
            <w:r>
              <w:rPr>
                <w:rFonts w:hint="eastAsia" w:ascii="宋体" w:hAnsi="宋体" w:cs="宋体"/>
                <w:b/>
                <w:kern w:val="0"/>
                <w:sz w:val="24"/>
              </w:rPr>
              <w:t>（含</w:t>
            </w:r>
            <w:r>
              <w:rPr>
                <w:rFonts w:hint="eastAsia" w:ascii="宋体" w:hAnsi="宋体" w:cs="宋体"/>
                <w:b/>
                <w:kern w:val="0"/>
                <w:sz w:val="24"/>
                <w:u w:val="single"/>
              </w:rPr>
              <w:t>6</w:t>
            </w:r>
            <w:r>
              <w:rPr>
                <w:rFonts w:hint="eastAsia" w:ascii="宋体" w:hAnsi="宋体" w:cs="宋体"/>
                <w:b/>
                <w:kern w:val="0"/>
                <w:sz w:val="24"/>
              </w:rPr>
              <w:t>%增值税）</w:t>
            </w:r>
          </w:p>
        </w:tc>
        <w:tc>
          <w:tcPr>
            <w:tcW w:w="6861"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cs="宋体"/>
                <w:kern w:val="0"/>
                <w:sz w:val="24"/>
              </w:rPr>
            </w:pPr>
            <w:r>
              <w:rPr>
                <w:rFonts w:hint="eastAsia" w:ascii="宋体" w:hAnsi="宋体" w:cs="宋体"/>
                <w:kern w:val="0"/>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cs="宋体"/>
                <w:b/>
                <w:kern w:val="0"/>
                <w:sz w:val="22"/>
              </w:rPr>
            </w:pPr>
            <w:r>
              <w:rPr>
                <w:rFonts w:hint="eastAsia" w:ascii="宋体" w:hAnsi="宋体" w:cs="宋体"/>
                <w:b/>
                <w:kern w:val="0"/>
                <w:sz w:val="24"/>
              </w:rPr>
              <w:t>注：投标总报价不得高于项目概算（人民币294333.33元），否则视为无效报价。</w:t>
            </w:r>
          </w:p>
        </w:tc>
      </w:tr>
    </w:tbl>
    <w:p>
      <w:pPr>
        <w:widowControl/>
        <w:spacing w:line="800" w:lineRule="exact"/>
        <w:jc w:val="left"/>
        <w:rPr>
          <w:rFonts w:ascii="宋体" w:hAnsi="宋体" w:cs="宋体"/>
          <w:b/>
          <w:kern w:val="0"/>
          <w:sz w:val="24"/>
        </w:rPr>
      </w:pPr>
    </w:p>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授权代表（签名）：</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二〇二三年月日</w:t>
      </w:r>
    </w:p>
    <w:p>
      <w:pPr>
        <w:widowControl/>
        <w:spacing w:line="520" w:lineRule="exact"/>
        <w:rPr>
          <w:rFonts w:ascii="宋体" w:hAnsi="宋体"/>
          <w:b/>
          <w:kern w:val="0"/>
          <w:sz w:val="24"/>
        </w:rPr>
      </w:pPr>
    </w:p>
    <w:p>
      <w:pPr>
        <w:widowControl/>
        <w:spacing w:line="240" w:lineRule="exact"/>
        <w:jc w:val="center"/>
        <w:rPr>
          <w:rFonts w:ascii="宋体" w:hAnsi="宋体" w:cs="宋体"/>
          <w:b/>
          <w:kern w:val="0"/>
          <w:sz w:val="30"/>
          <w:szCs w:val="30"/>
        </w:rPr>
      </w:pPr>
      <w:r>
        <w:rPr>
          <w:rFonts w:ascii="宋体" w:hAnsi="宋体" w:cs="宋体"/>
          <w:b/>
          <w:kern w:val="0"/>
          <w:sz w:val="30"/>
          <w:szCs w:val="30"/>
        </w:rPr>
        <w:br w:type="page"/>
      </w:r>
    </w:p>
    <w:p>
      <w:pPr>
        <w:widowControl/>
        <w:spacing w:line="520" w:lineRule="exact"/>
        <w:jc w:val="center"/>
        <w:rPr>
          <w:rFonts w:ascii="宋体" w:hAnsi="宋体" w:cs="宋体"/>
          <w:b/>
          <w:kern w:val="0"/>
          <w:sz w:val="24"/>
        </w:rPr>
      </w:pPr>
      <w:r>
        <w:rPr>
          <w:rFonts w:hint="eastAsia" w:ascii="宋体" w:hAnsi="宋体" w:cs="宋体"/>
          <w:b/>
          <w:kern w:val="0"/>
          <w:sz w:val="24"/>
        </w:rPr>
        <w:t>格式7  分项报价表</w:t>
      </w:r>
    </w:p>
    <w:p>
      <w:pPr>
        <w:widowControl/>
        <w:spacing w:line="240" w:lineRule="exact"/>
        <w:jc w:val="center"/>
        <w:rPr>
          <w:rFonts w:ascii="宋体" w:hAnsi="宋体" w:cs="宋体"/>
          <w:b/>
          <w:kern w:val="0"/>
          <w:szCs w:val="21"/>
        </w:rPr>
      </w:pPr>
    </w:p>
    <w:tbl>
      <w:tblPr>
        <w:tblStyle w:val="1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025"/>
        <w:gridCol w:w="3854"/>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50" w:type="dxa"/>
            <w:noWrap/>
            <w:vAlign w:val="center"/>
          </w:tcPr>
          <w:p>
            <w:pPr>
              <w:widowControl/>
              <w:spacing w:line="440" w:lineRule="exact"/>
              <w:jc w:val="center"/>
              <w:rPr>
                <w:rFonts w:ascii="宋体" w:hAnsi="宋体"/>
                <w:b/>
                <w:kern w:val="0"/>
                <w:sz w:val="24"/>
              </w:rPr>
            </w:pPr>
            <w:r>
              <w:rPr>
                <w:rFonts w:hint="eastAsia" w:ascii="宋体" w:hAnsi="宋体"/>
                <w:b/>
                <w:kern w:val="0"/>
                <w:sz w:val="24"/>
              </w:rPr>
              <w:t>序号</w:t>
            </w:r>
          </w:p>
        </w:tc>
        <w:tc>
          <w:tcPr>
            <w:tcW w:w="2025" w:type="dxa"/>
            <w:noWrap/>
            <w:vAlign w:val="center"/>
          </w:tcPr>
          <w:p>
            <w:pPr>
              <w:spacing w:line="440" w:lineRule="exact"/>
              <w:jc w:val="center"/>
              <w:rPr>
                <w:rFonts w:ascii="宋体" w:hAnsi="宋体"/>
                <w:b/>
                <w:kern w:val="0"/>
                <w:sz w:val="24"/>
              </w:rPr>
            </w:pPr>
            <w:r>
              <w:rPr>
                <w:rFonts w:hint="eastAsia" w:ascii="宋体" w:hAnsi="宋体"/>
                <w:b/>
                <w:kern w:val="0"/>
                <w:sz w:val="24"/>
              </w:rPr>
              <w:t>设计内容</w:t>
            </w:r>
          </w:p>
        </w:tc>
        <w:tc>
          <w:tcPr>
            <w:tcW w:w="3854" w:type="dxa"/>
            <w:noWrap/>
            <w:vAlign w:val="center"/>
          </w:tcPr>
          <w:p>
            <w:pPr>
              <w:widowControl/>
              <w:spacing w:line="440" w:lineRule="exact"/>
              <w:jc w:val="center"/>
              <w:rPr>
                <w:rFonts w:ascii="宋体" w:hAnsi="宋体"/>
                <w:b/>
                <w:kern w:val="0"/>
                <w:sz w:val="24"/>
              </w:rPr>
            </w:pPr>
            <w:r>
              <w:rPr>
                <w:rFonts w:hint="eastAsia" w:ascii="宋体" w:hAnsi="宋体"/>
                <w:b/>
                <w:kern w:val="0"/>
                <w:sz w:val="24"/>
              </w:rPr>
              <w:t>设计内容</w:t>
            </w:r>
          </w:p>
        </w:tc>
        <w:tc>
          <w:tcPr>
            <w:tcW w:w="1843" w:type="dxa"/>
            <w:noWrap/>
            <w:vAlign w:val="center"/>
          </w:tcPr>
          <w:p>
            <w:pPr>
              <w:widowControl/>
              <w:spacing w:line="440" w:lineRule="exact"/>
              <w:jc w:val="center"/>
              <w:rPr>
                <w:rFonts w:ascii="宋体" w:hAnsi="宋体"/>
                <w:b/>
                <w:kern w:val="0"/>
                <w:sz w:val="24"/>
              </w:rPr>
            </w:pPr>
            <w:r>
              <w:rPr>
                <w:rFonts w:hint="eastAsia" w:ascii="宋体" w:hAnsi="宋体"/>
                <w:b/>
                <w:kern w:val="0"/>
                <w:sz w:val="24"/>
              </w:rPr>
              <w:t>单价</w:t>
            </w:r>
          </w:p>
          <w:p>
            <w:pPr>
              <w:widowControl/>
              <w:spacing w:line="440" w:lineRule="exact"/>
              <w:jc w:val="center"/>
              <w:rPr>
                <w:rFonts w:ascii="宋体" w:hAnsi="宋体"/>
                <w:b/>
                <w:kern w:val="0"/>
                <w:sz w:val="24"/>
              </w:rPr>
            </w:pPr>
            <w:r>
              <w:rPr>
                <w:rFonts w:hint="eastAsia" w:ascii="宋体" w:hAnsi="宋体"/>
                <w:b/>
                <w:kern w:val="0"/>
                <w:sz w:val="24"/>
              </w:rPr>
              <w:t>（元/平米）</w:t>
            </w:r>
          </w:p>
        </w:tc>
        <w:tc>
          <w:tcPr>
            <w:tcW w:w="1559" w:type="dxa"/>
            <w:noWrap/>
            <w:vAlign w:val="center"/>
          </w:tcPr>
          <w:p>
            <w:pPr>
              <w:widowControl/>
              <w:spacing w:line="440" w:lineRule="exact"/>
              <w:jc w:val="center"/>
              <w:rPr>
                <w:rFonts w:ascii="宋体" w:hAnsi="宋体"/>
                <w:b/>
                <w:kern w:val="0"/>
                <w:sz w:val="24"/>
              </w:rPr>
            </w:pPr>
            <w:r>
              <w:rPr>
                <w:rFonts w:hint="eastAsia" w:ascii="宋体" w:hAnsi="宋体"/>
                <w:b/>
                <w:kern w:val="0"/>
                <w:sz w:val="24"/>
              </w:rPr>
              <w:t>小计</w:t>
            </w:r>
          </w:p>
          <w:p>
            <w:pPr>
              <w:widowControl/>
              <w:spacing w:line="440" w:lineRule="exact"/>
              <w:jc w:val="center"/>
              <w:rPr>
                <w:rFonts w:ascii="宋体" w:hAnsi="宋体"/>
                <w:b/>
                <w:kern w:val="0"/>
                <w:sz w:val="24"/>
              </w:rPr>
            </w:pPr>
            <w:r>
              <w:rPr>
                <w:rFonts w:hint="eastAsia" w:ascii="宋体" w:hAnsi="宋体"/>
                <w:b/>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1</w:t>
            </w:r>
          </w:p>
        </w:tc>
        <w:tc>
          <w:tcPr>
            <w:tcW w:w="2025" w:type="dxa"/>
            <w:vMerge w:val="restart"/>
            <w:noWrap/>
            <w:vAlign w:val="center"/>
          </w:tcPr>
          <w:p>
            <w:pPr>
              <w:pStyle w:val="36"/>
              <w:spacing w:beforeLines="50" w:line="360" w:lineRule="auto"/>
              <w:ind w:firstLine="0" w:firstLineChars="0"/>
              <w:jc w:val="center"/>
              <w:rPr>
                <w:rFonts w:ascii="宋体" w:hAnsi="宋体"/>
                <w:kern w:val="0"/>
                <w:sz w:val="24"/>
              </w:rPr>
            </w:pPr>
            <w:r>
              <w:rPr>
                <w:rFonts w:hint="eastAsia" w:ascii="宋体" w:hAnsi="宋体"/>
                <w:sz w:val="24"/>
              </w:rPr>
              <w:t>概念设计方案</w:t>
            </w:r>
          </w:p>
        </w:tc>
        <w:tc>
          <w:tcPr>
            <w:tcW w:w="3854" w:type="dxa"/>
            <w:noWrap/>
            <w:vAlign w:val="center"/>
          </w:tcPr>
          <w:p>
            <w:pPr>
              <w:jc w:val="center"/>
              <w:rPr>
                <w:rFonts w:ascii="宋体" w:hAnsi="宋体"/>
                <w:sz w:val="24"/>
              </w:rPr>
            </w:pPr>
            <w:r>
              <w:rPr>
                <w:rFonts w:hint="eastAsia" w:ascii="宋体" w:hAnsi="宋体"/>
                <w:sz w:val="24"/>
              </w:rPr>
              <w:t>外立面效果、室内主题</w:t>
            </w:r>
            <w:r>
              <w:rPr>
                <w:rFonts w:ascii="宋体" w:hAnsi="宋体"/>
                <w:sz w:val="24"/>
              </w:rPr>
              <w:t>优化设计</w:t>
            </w:r>
          </w:p>
        </w:tc>
        <w:tc>
          <w:tcPr>
            <w:tcW w:w="1843" w:type="dxa"/>
            <w:vMerge w:val="restart"/>
            <w:noWrap/>
            <w:vAlign w:val="center"/>
          </w:tcPr>
          <w:p>
            <w:pPr>
              <w:rPr>
                <w:rFonts w:ascii="宋体" w:hAnsi="宋体"/>
                <w:sz w:val="24"/>
              </w:rPr>
            </w:pPr>
          </w:p>
        </w:tc>
        <w:tc>
          <w:tcPr>
            <w:tcW w:w="1559" w:type="dxa"/>
            <w:vMerge w:val="restart"/>
            <w:noWrap/>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kern w:val="0"/>
                <w:sz w:val="24"/>
              </w:rPr>
            </w:pPr>
          </w:p>
        </w:tc>
        <w:tc>
          <w:tcPr>
            <w:tcW w:w="3854" w:type="dxa"/>
            <w:noWrap/>
            <w:vAlign w:val="center"/>
          </w:tcPr>
          <w:p>
            <w:pPr>
              <w:jc w:val="center"/>
              <w:rPr>
                <w:rFonts w:ascii="宋体" w:hAnsi="宋体"/>
                <w:color w:val="000000"/>
                <w:sz w:val="24"/>
              </w:rPr>
            </w:pPr>
            <w:r>
              <w:rPr>
                <w:rFonts w:ascii="宋体" w:hAnsi="宋体"/>
                <w:color w:val="000000"/>
                <w:sz w:val="24"/>
              </w:rPr>
              <w:t>商业环境应用图形延展</w:t>
            </w:r>
          </w:p>
        </w:tc>
        <w:tc>
          <w:tcPr>
            <w:tcW w:w="1843" w:type="dxa"/>
            <w:vMerge w:val="continue"/>
            <w:noWrap/>
            <w:vAlign w:val="center"/>
          </w:tcPr>
          <w:p>
            <w:pPr>
              <w:rPr>
                <w:rFonts w:ascii="宋体" w:hAnsi="宋体"/>
                <w:color w:val="000000"/>
                <w:sz w:val="24"/>
              </w:rPr>
            </w:pPr>
          </w:p>
        </w:tc>
        <w:tc>
          <w:tcPr>
            <w:tcW w:w="1559" w:type="dxa"/>
            <w:vMerge w:val="continue"/>
            <w:noWrap/>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jc w:val="center"/>
              <w:rPr>
                <w:rFonts w:ascii="宋体" w:hAnsi="宋体"/>
                <w:sz w:val="24"/>
              </w:rPr>
            </w:pPr>
            <w:r>
              <w:rPr>
                <w:rFonts w:ascii="宋体" w:hAnsi="宋体"/>
                <w:color w:val="000000"/>
                <w:sz w:val="24"/>
              </w:rPr>
              <w:t>室内导识系统延展</w:t>
            </w:r>
          </w:p>
        </w:tc>
        <w:tc>
          <w:tcPr>
            <w:tcW w:w="1843" w:type="dxa"/>
            <w:vMerge w:val="continue"/>
            <w:noWrap/>
            <w:vAlign w:val="center"/>
          </w:tcPr>
          <w:p>
            <w:pPr>
              <w:rPr>
                <w:rFonts w:ascii="宋体" w:hAnsi="宋体"/>
                <w:sz w:val="24"/>
              </w:rPr>
            </w:pPr>
          </w:p>
        </w:tc>
        <w:tc>
          <w:tcPr>
            <w:tcW w:w="1559" w:type="dxa"/>
            <w:vMerge w:val="continue"/>
            <w:noWrap/>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2</w:t>
            </w:r>
          </w:p>
        </w:tc>
        <w:tc>
          <w:tcPr>
            <w:tcW w:w="2025" w:type="dxa"/>
            <w:vMerge w:val="restart"/>
            <w:noWrap/>
            <w:vAlign w:val="center"/>
          </w:tcPr>
          <w:p>
            <w:pPr>
              <w:spacing w:line="600" w:lineRule="exact"/>
              <w:jc w:val="center"/>
              <w:rPr>
                <w:rFonts w:ascii="宋体" w:hAnsi="宋体"/>
                <w:kern w:val="0"/>
                <w:sz w:val="24"/>
              </w:rPr>
            </w:pPr>
            <w:r>
              <w:rPr>
                <w:rFonts w:hint="eastAsia" w:ascii="宋体" w:hAnsi="宋体"/>
                <w:sz w:val="24"/>
              </w:rPr>
              <w:t>方案深化设计</w:t>
            </w:r>
          </w:p>
        </w:tc>
        <w:tc>
          <w:tcPr>
            <w:tcW w:w="3854" w:type="dxa"/>
            <w:noWrap/>
            <w:vAlign w:val="center"/>
          </w:tcPr>
          <w:p>
            <w:pPr>
              <w:widowControl/>
              <w:spacing w:line="600" w:lineRule="exact"/>
              <w:jc w:val="center"/>
              <w:rPr>
                <w:rFonts w:ascii="宋体" w:hAnsi="宋体"/>
                <w:kern w:val="0"/>
                <w:sz w:val="24"/>
              </w:rPr>
            </w:pPr>
            <w:r>
              <w:rPr>
                <w:rFonts w:hint="eastAsia" w:ascii="宋体" w:hAnsi="宋体"/>
                <w:kern w:val="0"/>
                <w:sz w:val="24"/>
              </w:rPr>
              <w:t>项目</w:t>
            </w:r>
            <w:r>
              <w:rPr>
                <w:rFonts w:ascii="宋体" w:hAnsi="宋体"/>
                <w:kern w:val="0"/>
                <w:sz w:val="24"/>
              </w:rPr>
              <w:t>主体定位</w:t>
            </w:r>
          </w:p>
        </w:tc>
        <w:tc>
          <w:tcPr>
            <w:tcW w:w="1843" w:type="dxa"/>
            <w:vMerge w:val="restart"/>
            <w:noWrap/>
            <w:vAlign w:val="center"/>
          </w:tcPr>
          <w:p>
            <w:pPr>
              <w:widowControl/>
              <w:spacing w:line="600" w:lineRule="exact"/>
              <w:rPr>
                <w:rFonts w:ascii="宋体" w:hAnsi="宋体"/>
                <w:kern w:val="0"/>
                <w:sz w:val="24"/>
              </w:rPr>
            </w:pPr>
          </w:p>
        </w:tc>
        <w:tc>
          <w:tcPr>
            <w:tcW w:w="1559" w:type="dxa"/>
            <w:vMerge w:val="restart"/>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widowControl/>
              <w:spacing w:line="600" w:lineRule="exact"/>
              <w:jc w:val="center"/>
              <w:rPr>
                <w:rFonts w:ascii="宋体" w:hAnsi="宋体"/>
                <w:kern w:val="0"/>
                <w:sz w:val="24"/>
              </w:rPr>
            </w:pPr>
            <w:r>
              <w:rPr>
                <w:rFonts w:ascii="宋体" w:hAnsi="宋体"/>
                <w:kern w:val="0"/>
                <w:sz w:val="24"/>
              </w:rPr>
              <w:t>各区域亮点打造方向</w:t>
            </w:r>
          </w:p>
        </w:tc>
        <w:tc>
          <w:tcPr>
            <w:tcW w:w="1843" w:type="dxa"/>
            <w:vMerge w:val="continue"/>
            <w:noWrap/>
            <w:vAlign w:val="center"/>
          </w:tcPr>
          <w:p>
            <w:pPr>
              <w:widowControl/>
              <w:spacing w:line="600" w:lineRule="exact"/>
              <w:rPr>
                <w:rFonts w:ascii="宋体" w:hAnsi="宋体"/>
                <w:kern w:val="0"/>
                <w:sz w:val="24"/>
              </w:rPr>
            </w:pPr>
          </w:p>
        </w:tc>
        <w:tc>
          <w:tcPr>
            <w:tcW w:w="1559" w:type="dxa"/>
            <w:vMerge w:val="continue"/>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3</w:t>
            </w:r>
          </w:p>
        </w:tc>
        <w:tc>
          <w:tcPr>
            <w:tcW w:w="2025" w:type="dxa"/>
            <w:vMerge w:val="restart"/>
            <w:noWrap/>
            <w:vAlign w:val="center"/>
          </w:tcPr>
          <w:p>
            <w:pPr>
              <w:spacing w:line="600" w:lineRule="exact"/>
              <w:jc w:val="center"/>
              <w:rPr>
                <w:rFonts w:ascii="宋体" w:hAnsi="宋体"/>
                <w:b/>
                <w:kern w:val="0"/>
                <w:sz w:val="24"/>
              </w:rPr>
            </w:pPr>
            <w:r>
              <w:rPr>
                <w:rFonts w:ascii="宋体" w:hAnsi="宋体"/>
                <w:color w:val="000000"/>
                <w:sz w:val="24"/>
              </w:rPr>
              <w:t>MD规划系统</w:t>
            </w:r>
          </w:p>
        </w:tc>
        <w:tc>
          <w:tcPr>
            <w:tcW w:w="3854" w:type="dxa"/>
            <w:noWrap/>
            <w:vAlign w:val="center"/>
          </w:tcPr>
          <w:p>
            <w:pPr>
              <w:widowControl/>
              <w:spacing w:line="600" w:lineRule="exact"/>
              <w:jc w:val="center"/>
              <w:rPr>
                <w:rFonts w:ascii="宋体" w:hAnsi="宋体"/>
                <w:kern w:val="0"/>
                <w:sz w:val="24"/>
              </w:rPr>
            </w:pPr>
            <w:r>
              <w:rPr>
                <w:rFonts w:ascii="宋体" w:hAnsi="宋体"/>
                <w:color w:val="000000"/>
                <w:sz w:val="24"/>
              </w:rPr>
              <w:t>动线（水平动线、垂直动线）规划</w:t>
            </w:r>
          </w:p>
        </w:tc>
        <w:tc>
          <w:tcPr>
            <w:tcW w:w="1843" w:type="dxa"/>
            <w:vMerge w:val="restart"/>
            <w:noWrap/>
            <w:vAlign w:val="center"/>
          </w:tcPr>
          <w:p>
            <w:pPr>
              <w:widowControl/>
              <w:spacing w:line="600" w:lineRule="exact"/>
              <w:rPr>
                <w:rFonts w:ascii="宋体" w:hAnsi="宋体"/>
                <w:kern w:val="0"/>
                <w:sz w:val="24"/>
              </w:rPr>
            </w:pPr>
          </w:p>
        </w:tc>
        <w:tc>
          <w:tcPr>
            <w:tcW w:w="1559" w:type="dxa"/>
            <w:vMerge w:val="restart"/>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widowControl/>
              <w:spacing w:line="600" w:lineRule="exact"/>
              <w:jc w:val="center"/>
              <w:rPr>
                <w:rFonts w:ascii="宋体" w:hAnsi="宋体"/>
                <w:kern w:val="0"/>
                <w:sz w:val="24"/>
              </w:rPr>
            </w:pPr>
            <w:r>
              <w:rPr>
                <w:rFonts w:hint="eastAsia" w:ascii="宋体" w:hAnsi="宋体"/>
                <w:color w:val="000000"/>
                <w:sz w:val="24"/>
              </w:rPr>
              <w:t>业态</w:t>
            </w:r>
            <w:r>
              <w:rPr>
                <w:rFonts w:ascii="宋体" w:hAnsi="宋体"/>
                <w:color w:val="000000"/>
                <w:sz w:val="24"/>
              </w:rPr>
              <w:t>分布组合</w:t>
            </w:r>
          </w:p>
        </w:tc>
        <w:tc>
          <w:tcPr>
            <w:tcW w:w="1843" w:type="dxa"/>
            <w:vMerge w:val="continue"/>
            <w:noWrap/>
            <w:vAlign w:val="center"/>
          </w:tcPr>
          <w:p>
            <w:pPr>
              <w:widowControl/>
              <w:spacing w:line="600" w:lineRule="exact"/>
              <w:rPr>
                <w:rFonts w:ascii="宋体" w:hAnsi="宋体"/>
                <w:kern w:val="0"/>
                <w:sz w:val="24"/>
              </w:rPr>
            </w:pPr>
          </w:p>
        </w:tc>
        <w:tc>
          <w:tcPr>
            <w:tcW w:w="1559" w:type="dxa"/>
            <w:vMerge w:val="continue"/>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4</w:t>
            </w:r>
          </w:p>
        </w:tc>
        <w:tc>
          <w:tcPr>
            <w:tcW w:w="2025" w:type="dxa"/>
            <w:vMerge w:val="restart"/>
            <w:noWrap/>
            <w:vAlign w:val="center"/>
          </w:tcPr>
          <w:p>
            <w:pPr>
              <w:spacing w:line="600" w:lineRule="exact"/>
              <w:jc w:val="center"/>
              <w:rPr>
                <w:rFonts w:ascii="宋体" w:hAnsi="宋体"/>
                <w:b/>
                <w:kern w:val="0"/>
                <w:sz w:val="24"/>
              </w:rPr>
            </w:pPr>
            <w:r>
              <w:rPr>
                <w:rFonts w:ascii="宋体" w:hAnsi="宋体"/>
                <w:color w:val="000000"/>
                <w:sz w:val="24"/>
              </w:rPr>
              <w:t>装饰设计系统</w:t>
            </w:r>
          </w:p>
        </w:tc>
        <w:tc>
          <w:tcPr>
            <w:tcW w:w="3854" w:type="dxa"/>
            <w:noWrap/>
            <w:vAlign w:val="center"/>
          </w:tcPr>
          <w:p>
            <w:pPr>
              <w:widowControl/>
              <w:spacing w:line="600" w:lineRule="exact"/>
              <w:jc w:val="center"/>
              <w:rPr>
                <w:rFonts w:ascii="宋体" w:hAnsi="宋体"/>
                <w:kern w:val="0"/>
                <w:sz w:val="24"/>
              </w:rPr>
            </w:pPr>
            <w:r>
              <w:rPr>
                <w:rFonts w:ascii="宋体" w:hAnsi="宋体"/>
                <w:color w:val="000000"/>
                <w:sz w:val="24"/>
              </w:rPr>
              <w:t>商业环境设计/美陈设计、指导</w:t>
            </w:r>
          </w:p>
        </w:tc>
        <w:tc>
          <w:tcPr>
            <w:tcW w:w="1843" w:type="dxa"/>
            <w:vMerge w:val="restart"/>
            <w:noWrap/>
            <w:vAlign w:val="center"/>
          </w:tcPr>
          <w:p>
            <w:pPr>
              <w:widowControl/>
              <w:spacing w:line="600" w:lineRule="exact"/>
              <w:rPr>
                <w:rFonts w:ascii="宋体" w:hAnsi="宋体"/>
                <w:kern w:val="0"/>
                <w:sz w:val="24"/>
              </w:rPr>
            </w:pPr>
          </w:p>
        </w:tc>
        <w:tc>
          <w:tcPr>
            <w:tcW w:w="1559" w:type="dxa"/>
            <w:vMerge w:val="restart"/>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widowControl/>
              <w:spacing w:line="600" w:lineRule="exact"/>
              <w:jc w:val="center"/>
              <w:rPr>
                <w:rFonts w:ascii="宋体" w:hAnsi="宋体"/>
                <w:kern w:val="0"/>
                <w:sz w:val="24"/>
              </w:rPr>
            </w:pPr>
            <w:r>
              <w:rPr>
                <w:rFonts w:ascii="宋体" w:hAnsi="宋体"/>
                <w:color w:val="000000"/>
                <w:sz w:val="24"/>
              </w:rPr>
              <w:t>装饰材料选型</w:t>
            </w:r>
          </w:p>
        </w:tc>
        <w:tc>
          <w:tcPr>
            <w:tcW w:w="1843" w:type="dxa"/>
            <w:vMerge w:val="continue"/>
            <w:noWrap/>
            <w:vAlign w:val="center"/>
          </w:tcPr>
          <w:p>
            <w:pPr>
              <w:widowControl/>
              <w:spacing w:line="600" w:lineRule="exact"/>
              <w:rPr>
                <w:rFonts w:ascii="宋体" w:hAnsi="宋体"/>
                <w:kern w:val="0"/>
                <w:sz w:val="24"/>
              </w:rPr>
            </w:pPr>
          </w:p>
        </w:tc>
        <w:tc>
          <w:tcPr>
            <w:tcW w:w="1559" w:type="dxa"/>
            <w:vMerge w:val="continue"/>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5</w:t>
            </w:r>
          </w:p>
        </w:tc>
        <w:tc>
          <w:tcPr>
            <w:tcW w:w="2025" w:type="dxa"/>
            <w:vMerge w:val="restart"/>
            <w:noWrap/>
            <w:vAlign w:val="center"/>
          </w:tcPr>
          <w:p>
            <w:pPr>
              <w:spacing w:line="600" w:lineRule="exact"/>
              <w:jc w:val="center"/>
              <w:rPr>
                <w:rFonts w:ascii="宋体" w:hAnsi="宋体"/>
                <w:b/>
                <w:kern w:val="0"/>
                <w:sz w:val="24"/>
              </w:rPr>
            </w:pPr>
            <w:r>
              <w:rPr>
                <w:rFonts w:hint="eastAsia" w:ascii="宋体" w:hAnsi="宋体"/>
                <w:sz w:val="24"/>
              </w:rPr>
              <w:t>VI室内导视设计</w:t>
            </w:r>
          </w:p>
        </w:tc>
        <w:tc>
          <w:tcPr>
            <w:tcW w:w="3854" w:type="dxa"/>
            <w:noWrap/>
            <w:vAlign w:val="center"/>
          </w:tcPr>
          <w:p>
            <w:pPr>
              <w:widowControl/>
              <w:spacing w:line="600" w:lineRule="exact"/>
              <w:jc w:val="center"/>
              <w:rPr>
                <w:rFonts w:ascii="宋体" w:hAnsi="宋体"/>
                <w:kern w:val="0"/>
                <w:sz w:val="24"/>
              </w:rPr>
            </w:pPr>
            <w:r>
              <w:rPr>
                <w:rFonts w:hint="eastAsia" w:ascii="宋体" w:hAnsi="宋体"/>
                <w:color w:val="000000"/>
                <w:sz w:val="24"/>
              </w:rPr>
              <w:t>室内</w:t>
            </w:r>
          </w:p>
        </w:tc>
        <w:tc>
          <w:tcPr>
            <w:tcW w:w="1843" w:type="dxa"/>
            <w:vMerge w:val="restart"/>
            <w:noWrap/>
            <w:vAlign w:val="center"/>
          </w:tcPr>
          <w:p>
            <w:pPr>
              <w:widowControl/>
              <w:spacing w:line="600" w:lineRule="exact"/>
              <w:rPr>
                <w:rFonts w:ascii="宋体" w:hAnsi="宋体"/>
                <w:kern w:val="0"/>
                <w:sz w:val="24"/>
              </w:rPr>
            </w:pPr>
          </w:p>
        </w:tc>
        <w:tc>
          <w:tcPr>
            <w:tcW w:w="1559" w:type="dxa"/>
            <w:vMerge w:val="restart"/>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widowControl/>
              <w:spacing w:line="600" w:lineRule="exact"/>
              <w:jc w:val="center"/>
              <w:rPr>
                <w:rFonts w:ascii="宋体" w:hAnsi="宋体"/>
                <w:kern w:val="0"/>
                <w:sz w:val="24"/>
              </w:rPr>
            </w:pPr>
            <w:r>
              <w:rPr>
                <w:rFonts w:hint="eastAsia" w:ascii="宋体" w:hAnsi="宋体"/>
                <w:kern w:val="0"/>
                <w:sz w:val="24"/>
              </w:rPr>
              <w:t>室外</w:t>
            </w:r>
          </w:p>
        </w:tc>
        <w:tc>
          <w:tcPr>
            <w:tcW w:w="1843" w:type="dxa"/>
            <w:vMerge w:val="continue"/>
            <w:noWrap/>
            <w:vAlign w:val="center"/>
          </w:tcPr>
          <w:p>
            <w:pPr>
              <w:widowControl/>
              <w:spacing w:line="600" w:lineRule="exact"/>
              <w:rPr>
                <w:rFonts w:ascii="宋体" w:hAnsi="宋体"/>
                <w:kern w:val="0"/>
                <w:sz w:val="24"/>
              </w:rPr>
            </w:pPr>
          </w:p>
        </w:tc>
        <w:tc>
          <w:tcPr>
            <w:tcW w:w="1559" w:type="dxa"/>
            <w:vMerge w:val="continue"/>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ign w:val="center"/>
          </w:tcPr>
          <w:p>
            <w:pPr>
              <w:widowControl/>
              <w:spacing w:line="600" w:lineRule="exact"/>
              <w:jc w:val="center"/>
              <w:rPr>
                <w:rFonts w:ascii="宋体" w:hAnsi="宋体"/>
                <w:kern w:val="0"/>
                <w:sz w:val="24"/>
              </w:rPr>
            </w:pPr>
            <w:r>
              <w:rPr>
                <w:rFonts w:hint="eastAsia" w:ascii="宋体" w:hAnsi="宋体"/>
                <w:kern w:val="0"/>
                <w:sz w:val="24"/>
              </w:rPr>
              <w:t>6</w:t>
            </w:r>
          </w:p>
        </w:tc>
        <w:tc>
          <w:tcPr>
            <w:tcW w:w="2025" w:type="dxa"/>
            <w:noWrap/>
            <w:vAlign w:val="center"/>
          </w:tcPr>
          <w:p>
            <w:pPr>
              <w:spacing w:line="600" w:lineRule="exact"/>
              <w:jc w:val="center"/>
              <w:rPr>
                <w:rFonts w:ascii="宋体" w:hAnsi="宋体"/>
                <w:b/>
                <w:kern w:val="0"/>
                <w:sz w:val="24"/>
              </w:rPr>
            </w:pPr>
            <w:r>
              <w:rPr>
                <w:rFonts w:ascii="宋体" w:hAnsi="宋体"/>
                <w:color w:val="000000"/>
                <w:sz w:val="24"/>
              </w:rPr>
              <w:t>照明设计系统</w:t>
            </w:r>
          </w:p>
        </w:tc>
        <w:tc>
          <w:tcPr>
            <w:tcW w:w="3854" w:type="dxa"/>
            <w:noWrap/>
            <w:vAlign w:val="center"/>
          </w:tcPr>
          <w:p>
            <w:pPr>
              <w:widowControl/>
              <w:spacing w:line="600" w:lineRule="exact"/>
              <w:jc w:val="center"/>
              <w:rPr>
                <w:rFonts w:ascii="宋体" w:hAnsi="宋体"/>
                <w:kern w:val="0"/>
                <w:sz w:val="24"/>
              </w:rPr>
            </w:pPr>
            <w:r>
              <w:rPr>
                <w:rFonts w:ascii="宋体" w:hAnsi="宋体"/>
                <w:color w:val="000000"/>
                <w:sz w:val="24"/>
              </w:rPr>
              <w:t>公共空间灯光设计/特定区域灯光设计/道具辅助灯光设计/灯光导向设计/造型灯具点缀设计</w:t>
            </w:r>
          </w:p>
        </w:tc>
        <w:tc>
          <w:tcPr>
            <w:tcW w:w="1843" w:type="dxa"/>
            <w:noWrap/>
            <w:vAlign w:val="center"/>
          </w:tcPr>
          <w:p>
            <w:pPr>
              <w:widowControl/>
              <w:spacing w:line="600" w:lineRule="exact"/>
              <w:rPr>
                <w:rFonts w:ascii="宋体" w:hAnsi="宋体"/>
                <w:kern w:val="0"/>
                <w:sz w:val="24"/>
              </w:rPr>
            </w:pPr>
          </w:p>
        </w:tc>
        <w:tc>
          <w:tcPr>
            <w:tcW w:w="1559" w:type="dxa"/>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gridSpan w:val="2"/>
            <w:noWrap/>
            <w:vAlign w:val="center"/>
          </w:tcPr>
          <w:p>
            <w:pPr>
              <w:spacing w:line="600" w:lineRule="exact"/>
              <w:jc w:val="center"/>
              <w:rPr>
                <w:rFonts w:ascii="宋体" w:hAnsi="宋体"/>
                <w:b/>
                <w:color w:val="000000"/>
                <w:sz w:val="24"/>
                <w:highlight w:val="yellow"/>
              </w:rPr>
            </w:pPr>
            <w:r>
              <w:rPr>
                <w:rFonts w:hint="eastAsia" w:ascii="宋体" w:hAnsi="宋体"/>
                <w:bCs/>
                <w:color w:val="000000"/>
                <w:sz w:val="24"/>
              </w:rPr>
              <w:t>合计</w:t>
            </w:r>
            <w:r>
              <w:rPr>
                <w:rFonts w:ascii="宋体" w:hAnsi="宋体"/>
                <w:bCs/>
                <w:color w:val="000000"/>
                <w:sz w:val="24"/>
              </w:rPr>
              <w:t>（含</w:t>
            </w:r>
            <w:r>
              <w:rPr>
                <w:rFonts w:hint="eastAsia" w:ascii="宋体" w:hAnsi="宋体"/>
                <w:bCs/>
                <w:color w:val="000000"/>
                <w:sz w:val="24"/>
                <w:u w:val="single"/>
              </w:rPr>
              <w:t>6</w:t>
            </w:r>
            <w:r>
              <w:rPr>
                <w:rFonts w:ascii="宋体" w:hAnsi="宋体"/>
                <w:bCs/>
                <w:color w:val="000000"/>
                <w:sz w:val="24"/>
              </w:rPr>
              <w:t>%增值税）</w:t>
            </w:r>
          </w:p>
        </w:tc>
        <w:tc>
          <w:tcPr>
            <w:tcW w:w="7256" w:type="dxa"/>
            <w:gridSpan w:val="3"/>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5"/>
            <w:noWrap/>
            <w:vAlign w:val="center"/>
          </w:tcPr>
          <w:p>
            <w:pPr>
              <w:widowControl/>
              <w:spacing w:line="600" w:lineRule="exact"/>
              <w:rPr>
                <w:rFonts w:ascii="宋体" w:hAnsi="宋体"/>
                <w:kern w:val="0"/>
                <w:sz w:val="24"/>
              </w:rPr>
            </w:pPr>
            <w:r>
              <w:rPr>
                <w:rFonts w:hint="eastAsia" w:ascii="宋体" w:hAnsi="宋体"/>
                <w:color w:val="000000"/>
                <w:sz w:val="24"/>
              </w:rPr>
              <w:t>备注</w:t>
            </w:r>
            <w:r>
              <w:rPr>
                <w:rFonts w:ascii="宋体" w:hAnsi="宋体"/>
                <w:color w:val="000000"/>
                <w:sz w:val="24"/>
              </w:rPr>
              <w:t>：本项目位于</w:t>
            </w:r>
            <w:r>
              <w:rPr>
                <w:rFonts w:hint="eastAsia" w:ascii="宋体" w:hAnsi="宋体"/>
                <w:sz w:val="24"/>
              </w:rPr>
              <w:t>合肥市徽州大道绿都商城B区</w:t>
            </w:r>
            <w:r>
              <w:rPr>
                <w:rFonts w:hint="eastAsia" w:ascii="宋体" w:hAnsi="宋体" w:cs="宋体"/>
                <w:kern w:val="0"/>
                <w:sz w:val="24"/>
              </w:rPr>
              <w:t>项目主题设计，地上1-6层动线、业态规划及品类组合、公共空间创意设计（中庭、卫生间、电梯和楼梯间等）效果图，外立面优化设计效果图，总设计面积约</w:t>
            </w:r>
            <w:r>
              <w:rPr>
                <w:rFonts w:ascii="宋体" w:hAnsi="宋体" w:cs="宋体"/>
                <w:kern w:val="0"/>
                <w:sz w:val="24"/>
              </w:rPr>
              <w:t>1.5</w:t>
            </w:r>
            <w:r>
              <w:rPr>
                <w:rFonts w:hint="eastAsia" w:ascii="宋体" w:hAnsi="宋体" w:cs="宋体"/>
                <w:kern w:val="0"/>
                <w:sz w:val="24"/>
              </w:rPr>
              <w:t>万平方米（最终以实际测算为准）。</w:t>
            </w:r>
          </w:p>
        </w:tc>
      </w:tr>
    </w:tbl>
    <w:p>
      <w:pPr>
        <w:widowControl/>
        <w:spacing w:line="440" w:lineRule="exact"/>
        <w:jc w:val="center"/>
        <w:rPr>
          <w:rFonts w:ascii="宋体" w:hAnsi="宋体" w:cs="宋体"/>
          <w:b/>
          <w:kern w:val="0"/>
          <w:sz w:val="24"/>
        </w:rPr>
      </w:pPr>
    </w:p>
    <w:p>
      <w:pPr>
        <w:widowControl/>
        <w:spacing w:line="400" w:lineRule="exact"/>
        <w:jc w:val="center"/>
        <w:rPr>
          <w:rFonts w:ascii="宋体" w:hAnsi="宋体" w:cs="宋体"/>
          <w:b/>
          <w:kern w:val="0"/>
          <w:sz w:val="24"/>
        </w:rPr>
      </w:pPr>
      <w:r>
        <w:rPr>
          <w:rFonts w:ascii="宋体" w:hAnsi="宋体" w:cs="宋体"/>
          <w:b/>
          <w:kern w:val="0"/>
          <w:sz w:val="24"/>
        </w:rPr>
        <w:br w:type="page"/>
      </w:r>
    </w:p>
    <w:p>
      <w:pPr>
        <w:widowControl/>
        <w:spacing w:line="520" w:lineRule="exact"/>
        <w:jc w:val="center"/>
        <w:rPr>
          <w:sz w:val="24"/>
        </w:rPr>
      </w:pPr>
      <w:r>
        <w:rPr>
          <w:rFonts w:hint="eastAsia" w:ascii="宋体" w:hAnsi="宋体" w:cs="宋体"/>
          <w:b/>
          <w:kern w:val="0"/>
          <w:sz w:val="24"/>
        </w:rPr>
        <w:t>格式8</w:t>
      </w:r>
      <w:r>
        <w:rPr>
          <w:rFonts w:hint="eastAsia" w:ascii="宋体" w:hAnsi="宋体" w:cs="宋体"/>
          <w:b/>
          <w:kern w:val="0"/>
          <w:sz w:val="24"/>
          <w:lang w:val="zh-CN"/>
        </w:rPr>
        <w:t>投标保证金退还申请书</w:t>
      </w:r>
    </w:p>
    <w:p>
      <w:pPr>
        <w:spacing w:line="560" w:lineRule="exact"/>
        <w:rPr>
          <w:rFonts w:ascii="宋体" w:hAnsi="宋体" w:cs="宋体"/>
          <w:b/>
          <w:sz w:val="24"/>
        </w:rPr>
      </w:pPr>
      <w:r>
        <w:rPr>
          <w:rFonts w:hint="eastAsia" w:ascii="宋体" w:hAnsi="宋体" w:cs="宋体"/>
          <w:b/>
          <w:sz w:val="24"/>
        </w:rPr>
        <w:t>合肥百货大楼集团股份有限公司：</w:t>
      </w:r>
    </w:p>
    <w:p>
      <w:pPr>
        <w:spacing w:line="56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2023年  月  日</w:t>
      </w:r>
      <w:r>
        <w:rPr>
          <w:rFonts w:hint="eastAsia" w:ascii="宋体" w:hAnsi="宋体" w:cs="宋体"/>
          <w:sz w:val="24"/>
        </w:rPr>
        <w:t>参加</w:t>
      </w:r>
      <w:r>
        <w:rPr>
          <w:rFonts w:hint="eastAsia" w:ascii="宋体" w:hAnsi="宋体" w:cs="宋体"/>
          <w:b/>
          <w:kern w:val="0"/>
          <w:sz w:val="24"/>
          <w:u w:val="single"/>
        </w:rPr>
        <w:t>鼓楼银座商业主题设计</w:t>
      </w:r>
      <w:r>
        <w:rPr>
          <w:rFonts w:hint="eastAsia" w:ascii="宋体" w:hAnsi="宋体" w:cs="宋体"/>
          <w:sz w:val="24"/>
        </w:rPr>
        <w:t>项目招投标，交纳保证金</w:t>
      </w:r>
      <w:r>
        <w:rPr>
          <w:rFonts w:hint="eastAsia" w:ascii="宋体" w:hAnsi="宋体" w:cs="宋体"/>
          <w:sz w:val="24"/>
          <w:u w:val="single"/>
        </w:rPr>
        <w:t>叁仟</w:t>
      </w:r>
      <w:r>
        <w:rPr>
          <w:rFonts w:hint="eastAsia" w:ascii="宋体" w:hAnsi="宋体" w:cs="宋体"/>
          <w:sz w:val="24"/>
        </w:rPr>
        <w:t>元。如我公司未中标，请将该项目投标保证金退至以下账号；如我公司中标，投标保证金退还事宜按磋商邀请约定执行。</w:t>
      </w:r>
    </w:p>
    <w:p>
      <w:pPr>
        <w:spacing w:line="560" w:lineRule="exact"/>
        <w:ind w:firstLine="460" w:firstLineChars="192"/>
        <w:rPr>
          <w:rFonts w:ascii="宋体" w:hAnsi="宋体" w:cs="宋体"/>
          <w:sz w:val="24"/>
        </w:rPr>
      </w:pPr>
      <w:r>
        <w:rPr>
          <w:rFonts w:hint="eastAsia" w:ascii="宋体" w:hAnsi="宋体" w:cs="宋体"/>
          <w:sz w:val="24"/>
        </w:rPr>
        <w:t>请予办理。</w:t>
      </w:r>
    </w:p>
    <w:p>
      <w:pPr>
        <w:spacing w:line="560" w:lineRule="exact"/>
        <w:ind w:firstLine="460" w:firstLineChars="192"/>
        <w:rPr>
          <w:rFonts w:ascii="宋体" w:hAnsi="宋体" w:cs="宋体"/>
          <w:sz w:val="24"/>
        </w:rPr>
      </w:pPr>
    </w:p>
    <w:p>
      <w:pPr>
        <w:spacing w:line="560" w:lineRule="exact"/>
        <w:ind w:firstLine="460" w:firstLineChars="192"/>
        <w:rPr>
          <w:rFonts w:ascii="宋体" w:hAnsi="宋体" w:cs="宋体"/>
          <w:sz w:val="24"/>
        </w:rPr>
      </w:pPr>
      <w:r>
        <w:rPr>
          <w:rFonts w:hint="eastAsia" w:ascii="宋体" w:hAnsi="宋体" w:cs="宋体"/>
          <w:sz w:val="24"/>
        </w:rPr>
        <w:t>户    名：</w:t>
      </w:r>
    </w:p>
    <w:p>
      <w:pPr>
        <w:spacing w:line="560" w:lineRule="exact"/>
        <w:ind w:firstLine="460" w:firstLineChars="192"/>
        <w:rPr>
          <w:rFonts w:ascii="宋体" w:hAnsi="宋体" w:cs="宋体"/>
          <w:sz w:val="24"/>
        </w:rPr>
      </w:pPr>
      <w:r>
        <w:rPr>
          <w:rFonts w:hint="eastAsia" w:ascii="宋体" w:hAnsi="宋体" w:cs="宋体"/>
          <w:sz w:val="24"/>
        </w:rPr>
        <w:t>开户银行：</w:t>
      </w:r>
    </w:p>
    <w:p>
      <w:pPr>
        <w:spacing w:line="560" w:lineRule="exact"/>
        <w:ind w:firstLine="460" w:firstLineChars="192"/>
        <w:rPr>
          <w:rFonts w:ascii="宋体" w:hAnsi="宋体" w:cs="宋体"/>
          <w:sz w:val="24"/>
        </w:rPr>
      </w:pPr>
      <w:r>
        <w:rPr>
          <w:rFonts w:hint="eastAsia" w:ascii="宋体" w:hAnsi="宋体" w:cs="宋体"/>
          <w:sz w:val="24"/>
        </w:rPr>
        <w:t>账    号：</w:t>
      </w:r>
    </w:p>
    <w:p>
      <w:pPr>
        <w:spacing w:line="560" w:lineRule="exact"/>
        <w:ind w:firstLine="460" w:firstLineChars="192"/>
        <w:rPr>
          <w:rFonts w:ascii="宋体" w:hAnsi="宋体" w:cs="宋体"/>
          <w:sz w:val="24"/>
        </w:rPr>
      </w:pPr>
      <w:r>
        <w:rPr>
          <w:rFonts w:hint="eastAsia" w:ascii="宋体" w:hAnsi="宋体" w:cs="宋体"/>
          <w:sz w:val="24"/>
        </w:rPr>
        <w:t>联系电话：</w:t>
      </w:r>
    </w:p>
    <w:tbl>
      <w:tblPr>
        <w:tblStyle w:val="16"/>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9854" w:type="dxa"/>
            <w:noWrap/>
          </w:tcPr>
          <w:p>
            <w:pPr>
              <w:spacing w:line="320" w:lineRule="exact"/>
              <w:rPr>
                <w:rFonts w:ascii="宋体" w:hAnsi="宋体" w:cs="宋体"/>
                <w:sz w:val="24"/>
              </w:rPr>
            </w:pPr>
          </w:p>
          <w:p>
            <w:pPr>
              <w:spacing w:line="320" w:lineRule="exact"/>
              <w:rPr>
                <w:rFonts w:ascii="宋体" w:hAnsi="宋体" w:cs="宋体"/>
                <w:sz w:val="24"/>
              </w:rPr>
            </w:pPr>
          </w:p>
          <w:p>
            <w:pPr>
              <w:spacing w:line="320" w:lineRule="exact"/>
              <w:jc w:val="center"/>
              <w:rPr>
                <w:rFonts w:ascii="宋体" w:hAnsi="宋体" w:cs="宋体"/>
                <w:sz w:val="24"/>
              </w:rPr>
            </w:pPr>
            <w:r>
              <w:rPr>
                <w:rFonts w:hint="eastAsia" w:ascii="宋体" w:hAnsi="宋体" w:cs="宋体"/>
                <w:sz w:val="24"/>
              </w:rPr>
              <w:t>此处粘贴转账单复印件</w:t>
            </w:r>
          </w:p>
          <w:p>
            <w:pPr>
              <w:spacing w:line="320" w:lineRule="exact"/>
              <w:rPr>
                <w:rFonts w:ascii="宋体" w:hAnsi="宋体" w:cs="宋体"/>
                <w:sz w:val="24"/>
              </w:rPr>
            </w:pPr>
          </w:p>
        </w:tc>
      </w:tr>
    </w:tbl>
    <w:p>
      <w:pPr>
        <w:spacing w:line="32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spacing w:line="320" w:lineRule="exact"/>
        <w:rPr>
          <w:rFonts w:ascii="宋体" w:hAnsi="宋体" w:cs="宋体"/>
          <w:sz w:val="24"/>
        </w:rPr>
      </w:pPr>
    </w:p>
    <w:p>
      <w:pPr>
        <w:spacing w:line="320" w:lineRule="exact"/>
        <w:ind w:firstLine="3393" w:firstLineChars="1414"/>
        <w:rPr>
          <w:rFonts w:ascii="宋体" w:hAnsi="宋体" w:cs="宋体"/>
          <w:sz w:val="24"/>
        </w:rPr>
      </w:pPr>
      <w:r>
        <w:rPr>
          <w:rFonts w:hint="eastAsia" w:ascii="宋体" w:hAnsi="宋体" w:cs="宋体"/>
          <w:sz w:val="24"/>
        </w:rPr>
        <w:t xml:space="preserve">                 投标人（签章）：</w:t>
      </w:r>
    </w:p>
    <w:p>
      <w:pPr>
        <w:spacing w:line="320" w:lineRule="exact"/>
        <w:ind w:firstLine="3393" w:firstLineChars="1414"/>
        <w:rPr>
          <w:rFonts w:ascii="宋体" w:hAnsi="宋体" w:cs="宋体"/>
          <w:sz w:val="24"/>
        </w:rPr>
      </w:pPr>
      <w:r>
        <w:rPr>
          <w:rFonts w:hint="eastAsia" w:ascii="宋体" w:hAnsi="宋体" w:cs="宋体"/>
          <w:sz w:val="24"/>
        </w:rPr>
        <w:t xml:space="preserve">                 2023年   月    日</w:t>
      </w:r>
    </w:p>
    <w:p>
      <w:pPr>
        <w:ind w:firstLine="3393" w:firstLineChars="1414"/>
        <w:rPr>
          <w:rFonts w:ascii="宋体" w:hAnsi="宋体" w:cs="宋体"/>
          <w:sz w:val="24"/>
        </w:rPr>
      </w:pPr>
    </w:p>
    <w:p>
      <w:pPr>
        <w:jc w:val="center"/>
        <w:rPr>
          <w:rFonts w:ascii="宋体" w:hAnsi="宋体" w:cs="宋体"/>
          <w:b/>
          <w:sz w:val="24"/>
        </w:rPr>
      </w:pPr>
    </w:p>
    <w:p>
      <w:pPr>
        <w:jc w:val="center"/>
        <w:rPr>
          <w:rFonts w:ascii="宋体"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2"/>
        <w:rPr>
          <w:rFonts w:hAnsi="宋体" w:cs="宋体"/>
          <w:b/>
          <w:sz w:val="24"/>
        </w:rPr>
      </w:pPr>
    </w:p>
    <w:p>
      <w:pPr>
        <w:pStyle w:val="3"/>
        <w:spacing w:line="500" w:lineRule="exact"/>
        <w:jc w:val="center"/>
        <w:rPr>
          <w:rFonts w:asciiTheme="minorEastAsia" w:hAnsiTheme="minorEastAsia" w:eastAsiaTheme="minorEastAsia" w:cstheme="minorEastAsia"/>
          <w:sz w:val="24"/>
          <w:szCs w:val="24"/>
        </w:rPr>
      </w:pPr>
      <w:bookmarkStart w:id="0" w:name="_Toc220232392"/>
      <w:r>
        <w:rPr>
          <w:rFonts w:hint="eastAsia" w:asciiTheme="minorEastAsia" w:hAnsiTheme="minorEastAsia" w:eastAsiaTheme="minorEastAsia" w:cstheme="minorEastAsia"/>
          <w:kern w:val="0"/>
          <w:sz w:val="24"/>
          <w:szCs w:val="24"/>
        </w:rPr>
        <w:t>格式</w:t>
      </w:r>
      <w:r>
        <w:rPr>
          <w:rFonts w:hint="eastAsia" w:asciiTheme="minorEastAsia" w:hAnsiTheme="minorEastAsia" w:eastAsiaTheme="minorEastAsia" w:cstheme="minorEastAsia"/>
          <w:kern w:val="0"/>
          <w:sz w:val="24"/>
          <w:szCs w:val="24"/>
          <w:lang w:val="en-US" w:eastAsia="zh-CN"/>
        </w:rPr>
        <w:t xml:space="preserve">9 </w:t>
      </w:r>
      <w:r>
        <w:rPr>
          <w:rFonts w:hint="eastAsia" w:asciiTheme="minorEastAsia" w:hAnsiTheme="minorEastAsia" w:eastAsiaTheme="minorEastAsia" w:cstheme="minorEastAsia"/>
          <w:sz w:val="24"/>
          <w:szCs w:val="24"/>
        </w:rPr>
        <w:t>合同</w:t>
      </w:r>
      <w:bookmarkEnd w:id="0"/>
      <w:r>
        <w:rPr>
          <w:rFonts w:hint="eastAsia" w:asciiTheme="minorEastAsia" w:hAnsiTheme="minorEastAsia" w:eastAsiaTheme="minorEastAsia" w:cstheme="minorEastAsia"/>
          <w:sz w:val="24"/>
          <w:szCs w:val="24"/>
        </w:rPr>
        <w:t>模板</w:t>
      </w:r>
    </w:p>
    <w:p>
      <w:pPr>
        <w:spacing w:line="276" w:lineRule="auto"/>
        <w:rPr>
          <w:rFonts w:ascii="宋体" w:hAnsi="宋体" w:cs="宋体"/>
          <w:sz w:val="22"/>
        </w:rPr>
      </w:pPr>
    </w:p>
    <w:p>
      <w:pPr>
        <w:numPr>
          <w:ilvl w:val="1"/>
          <w:numId w:val="2"/>
        </w:numPr>
        <w:spacing w:line="276" w:lineRule="auto"/>
        <w:rPr>
          <w:rFonts w:ascii="宋体" w:hAnsi="宋体" w:cs="宋体"/>
          <w:sz w:val="24"/>
        </w:rPr>
      </w:pPr>
      <w:r>
        <w:rPr>
          <w:rFonts w:hint="eastAsia" w:ascii="宋体" w:hAnsi="宋体" w:cs="宋体"/>
          <w:sz w:val="24"/>
        </w:rPr>
        <w:t xml:space="preserve">外立面优化 </w:t>
      </w:r>
    </w:p>
    <w:p>
      <w:pPr>
        <w:numPr>
          <w:ilvl w:val="1"/>
          <w:numId w:val="2"/>
        </w:numPr>
        <w:spacing w:line="276" w:lineRule="auto"/>
        <w:rPr>
          <w:rFonts w:ascii="宋体" w:hAnsi="宋体" w:cs="宋体"/>
          <w:sz w:val="24"/>
        </w:rPr>
      </w:pPr>
      <w:r>
        <w:rPr>
          <w:rFonts w:hint="eastAsia" w:ascii="宋体" w:hAnsi="宋体" w:cs="宋体"/>
          <w:sz w:val="24"/>
        </w:rPr>
        <w:t>室内设计</w:t>
      </w:r>
    </w:p>
    <w:p>
      <w:pPr>
        <w:numPr>
          <w:ilvl w:val="1"/>
          <w:numId w:val="2"/>
        </w:numPr>
        <w:spacing w:line="276" w:lineRule="auto"/>
        <w:rPr>
          <w:rFonts w:ascii="宋体" w:hAnsi="宋体" w:cs="宋体"/>
          <w:sz w:val="24"/>
        </w:rPr>
      </w:pPr>
      <w:r>
        <w:rPr>
          <w:rFonts w:hint="eastAsia" w:ascii="宋体" w:hAnsi="宋体" w:cs="宋体"/>
          <w:sz w:val="24"/>
        </w:rPr>
        <w:t>照明设计</w:t>
      </w:r>
    </w:p>
    <w:p>
      <w:pPr>
        <w:numPr>
          <w:ilvl w:val="1"/>
          <w:numId w:val="2"/>
        </w:numPr>
        <w:spacing w:line="276" w:lineRule="auto"/>
        <w:rPr>
          <w:rFonts w:ascii="宋体" w:hAnsi="宋体" w:cs="宋体"/>
          <w:sz w:val="24"/>
        </w:rPr>
      </w:pPr>
      <w:r>
        <w:rPr>
          <w:rFonts w:hint="eastAsia" w:ascii="宋体" w:hAnsi="宋体" w:cs="宋体"/>
          <w:sz w:val="24"/>
        </w:rPr>
        <w:t>室内景观和场景设计</w:t>
      </w:r>
    </w:p>
    <w:p>
      <w:pPr>
        <w:numPr>
          <w:ilvl w:val="1"/>
          <w:numId w:val="2"/>
        </w:numPr>
        <w:spacing w:line="276" w:lineRule="auto"/>
        <w:rPr>
          <w:rFonts w:ascii="宋体" w:hAnsi="宋体" w:cs="宋体"/>
          <w:sz w:val="24"/>
        </w:rPr>
      </w:pPr>
      <w:r>
        <w:rPr>
          <w:rFonts w:hint="eastAsia" w:ascii="宋体" w:hAnsi="宋体" w:cs="宋体"/>
          <w:sz w:val="24"/>
        </w:rPr>
        <w:t>导示设计</w:t>
      </w:r>
    </w:p>
    <w:p>
      <w:pPr>
        <w:rPr>
          <w:b/>
          <w:bCs/>
        </w:rPr>
      </w:pPr>
    </w:p>
    <w:p>
      <w:pPr>
        <w:pStyle w:val="3"/>
        <w:spacing w:before="0" w:after="0" w:line="500" w:lineRule="exact"/>
        <w:ind w:right="640" w:firstLine="3654" w:firstLineChars="1300"/>
        <w:rPr>
          <w:rFonts w:ascii="宋体" w:hAnsi="宋体" w:eastAsia="宋体"/>
          <w:color w:val="000000"/>
          <w:sz w:val="28"/>
          <w:szCs w:val="28"/>
        </w:rPr>
      </w:pPr>
    </w:p>
    <w:p>
      <w:pPr>
        <w:tabs>
          <w:tab w:val="left" w:pos="3975"/>
        </w:tabs>
        <w:ind w:firstLine="480" w:firstLineChars="200"/>
        <w:rPr>
          <w:sz w:val="24"/>
        </w:rPr>
      </w:pPr>
      <w:r>
        <w:rPr>
          <w:sz w:val="24"/>
        </w:rPr>
        <w:tab/>
      </w:r>
    </w:p>
    <w:p>
      <w:pPr>
        <w:ind w:firstLine="480" w:firstLineChars="200"/>
        <w:rPr>
          <w:sz w:val="24"/>
        </w:rPr>
      </w:pPr>
    </w:p>
    <w:p>
      <w:pPr>
        <w:ind w:firstLine="480" w:firstLineChars="200"/>
        <w:rPr>
          <w:sz w:val="24"/>
        </w:rPr>
      </w:pPr>
    </w:p>
    <w:p>
      <w:pPr>
        <w:ind w:firstLine="480" w:firstLineChars="200"/>
        <w:rPr>
          <w:sz w:val="24"/>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ind w:firstLine="720" w:firstLineChars="200"/>
        <w:jc w:val="center"/>
        <w:rPr>
          <w:sz w:val="36"/>
          <w:szCs w:val="36"/>
        </w:rPr>
      </w:pPr>
    </w:p>
    <w:p>
      <w:pPr>
        <w:spacing w:line="600" w:lineRule="exact"/>
        <w:ind w:left="3998" w:leftChars="304" w:hanging="3360" w:hangingChars="1050"/>
        <w:jc w:val="left"/>
        <w:rPr>
          <w:sz w:val="32"/>
          <w:szCs w:val="32"/>
        </w:rPr>
      </w:pPr>
    </w:p>
    <w:p>
      <w:pPr>
        <w:spacing w:line="600" w:lineRule="exact"/>
        <w:ind w:left="3998" w:leftChars="304" w:hanging="3360" w:hangingChars="1050"/>
        <w:jc w:val="left"/>
        <w:rPr>
          <w:sz w:val="32"/>
          <w:szCs w:val="32"/>
        </w:rPr>
      </w:pPr>
    </w:p>
    <w:p>
      <w:pPr>
        <w:spacing w:line="360" w:lineRule="auto"/>
        <w:jc w:val="center"/>
        <w:rPr>
          <w:rFonts w:ascii="宋体" w:hAnsi="宋体" w:cs="宋体"/>
          <w:sz w:val="24"/>
        </w:rPr>
      </w:pPr>
      <w:r>
        <w:rPr>
          <w:rFonts w:hint="eastAsia" w:ascii="Arial Unicode MS" w:hAnsi="宋体" w:eastAsia="Arial Unicode MS" w:cs="宋体"/>
          <w:b/>
          <w:sz w:val="44"/>
          <w:szCs w:val="44"/>
        </w:rPr>
        <w:t>专用合同条款</w:t>
      </w:r>
    </w:p>
    <w:p>
      <w:pPr>
        <w:widowControl/>
        <w:spacing w:line="360" w:lineRule="auto"/>
        <w:jc w:val="left"/>
        <w:rPr>
          <w:rFonts w:ascii="宋体" w:hAnsi="宋体" w:cs="宋体"/>
          <w:sz w:val="24"/>
        </w:rPr>
      </w:pPr>
      <w:r>
        <w:rPr>
          <w:rFonts w:hint="eastAsia" w:ascii="宋体" w:hAnsi="宋体" w:cs="宋体"/>
          <w:sz w:val="24"/>
        </w:rPr>
        <w:t>甲方：</w:t>
      </w:r>
    </w:p>
    <w:p>
      <w:pPr>
        <w:widowControl/>
        <w:spacing w:line="360" w:lineRule="auto"/>
        <w:jc w:val="left"/>
        <w:rPr>
          <w:rFonts w:ascii="宋体" w:hAnsi="宋体" w:cs="宋体"/>
          <w:sz w:val="24"/>
        </w:rPr>
      </w:pPr>
      <w:r>
        <w:rPr>
          <w:rFonts w:hint="eastAsia" w:ascii="宋体" w:hAnsi="宋体" w:cs="宋体"/>
          <w:sz w:val="24"/>
        </w:rPr>
        <w:t>乙方</w:t>
      </w:r>
      <w:r>
        <w:rPr>
          <w:rFonts w:ascii="宋体" w:hAnsi="宋体" w:cs="宋体"/>
          <w:sz w:val="24"/>
        </w:rPr>
        <w:t xml:space="preserve"> ： </w:t>
      </w:r>
    </w:p>
    <w:p>
      <w:pPr>
        <w:spacing w:line="360" w:lineRule="auto"/>
        <w:rPr>
          <w:rFonts w:ascii="宋体" w:hAnsi="宋体" w:cs="宋体"/>
          <w:sz w:val="24"/>
        </w:rPr>
      </w:pPr>
    </w:p>
    <w:p>
      <w:pPr>
        <w:pStyle w:val="2"/>
      </w:pPr>
    </w:p>
    <w:p>
      <w:pPr>
        <w:pStyle w:val="2"/>
      </w:pPr>
    </w:p>
    <w:p>
      <w:pPr>
        <w:spacing w:line="360" w:lineRule="auto"/>
        <w:rPr>
          <w:rFonts w:ascii="宋体" w:hAnsi="宋体"/>
          <w:sz w:val="22"/>
        </w:rPr>
      </w:pPr>
      <w:r>
        <w:rPr>
          <w:rFonts w:hint="eastAsia" w:ascii="宋体" w:hAnsi="宋体" w:cs="宋体"/>
          <w:sz w:val="24"/>
        </w:rPr>
        <w:t>项目名称：</w:t>
      </w:r>
      <w:r>
        <w:rPr>
          <w:rFonts w:hint="eastAsia" w:ascii="宋体" w:hAnsi="宋体"/>
          <w:sz w:val="24"/>
        </w:rPr>
        <w:t xml:space="preserve"> 合肥百大鼓楼银座商业主题设计</w:t>
      </w:r>
    </w:p>
    <w:p>
      <w:pPr>
        <w:spacing w:line="276" w:lineRule="auto"/>
        <w:rPr>
          <w:rFonts w:ascii="宋体" w:hAnsi="宋体"/>
          <w:sz w:val="24"/>
        </w:rPr>
      </w:pPr>
      <w:r>
        <w:rPr>
          <w:rFonts w:hint="eastAsia" w:ascii="宋体" w:hAnsi="宋体"/>
          <w:sz w:val="24"/>
        </w:rPr>
        <w:t>项目地址：安徽·合肥</w:t>
      </w:r>
    </w:p>
    <w:p>
      <w:pPr>
        <w:pStyle w:val="2"/>
      </w:pPr>
    </w:p>
    <w:p>
      <w:pPr>
        <w:pStyle w:val="39"/>
        <w:spacing w:line="360" w:lineRule="auto"/>
        <w:ind w:firstLine="480" w:firstLineChars="200"/>
        <w:rPr>
          <w:rFonts w:ascii="宋体" w:hAnsi="宋体" w:cs="宋体"/>
          <w:sz w:val="24"/>
        </w:rPr>
      </w:pPr>
      <w:r>
        <w:rPr>
          <w:rFonts w:hint="eastAsia" w:ascii="宋体" w:hAnsi="宋体" w:cs="宋体"/>
          <w:sz w:val="24"/>
        </w:rPr>
        <w:t>根据“</w:t>
      </w:r>
      <w:r>
        <w:rPr>
          <w:rFonts w:hint="eastAsia" w:ascii="宋体" w:hAnsi="宋体" w:cs="宋体"/>
          <w:kern w:val="0"/>
          <w:sz w:val="24"/>
        </w:rPr>
        <w:t>鼓楼银座商业主题设计项目</w:t>
      </w:r>
      <w:r>
        <w:rPr>
          <w:rFonts w:hint="eastAsia" w:ascii="宋体" w:hAnsi="宋体" w:cs="宋体"/>
          <w:sz w:val="24"/>
        </w:rPr>
        <w:t>”招标结果（项目编号：</w:t>
      </w:r>
      <w:r>
        <w:rPr>
          <w:rFonts w:hint="eastAsia" w:ascii="宋体" w:hAnsi="宋体" w:cs="宋体"/>
          <w:color w:val="000000"/>
          <w:kern w:val="0"/>
          <w:sz w:val="24"/>
          <w:szCs w:val="24"/>
        </w:rPr>
        <w:t>2023BDJTFW00007</w:t>
      </w:r>
      <w:r>
        <w:rPr>
          <w:rFonts w:hint="eastAsia" w:ascii="宋体" w:hAnsi="宋体" w:cs="宋体"/>
          <w:sz w:val="24"/>
        </w:rPr>
        <w:t>），以及《中华人民共和国民法典》等有关法律、法规和规章的规定，招标人（甲方）和中标人（乙方）在平等、自愿、协商一致的基础上，就乙方中标甲方</w:t>
      </w:r>
      <w:r>
        <w:rPr>
          <w:rFonts w:hint="eastAsia" w:ascii="宋体" w:hAnsi="宋体" w:cs="宋体"/>
          <w:kern w:val="0"/>
          <w:sz w:val="24"/>
        </w:rPr>
        <w:t>鼓楼银座商业主题设计项目</w:t>
      </w:r>
      <w:r>
        <w:rPr>
          <w:rFonts w:hint="eastAsia" w:ascii="宋体" w:hAnsi="宋体" w:cs="宋体"/>
          <w:sz w:val="24"/>
        </w:rPr>
        <w:t>相关合同事宜协商一致，订立本合同。</w:t>
      </w:r>
    </w:p>
    <w:p>
      <w:pPr>
        <w:pStyle w:val="39"/>
        <w:spacing w:line="360" w:lineRule="auto"/>
        <w:rPr>
          <w:rFonts w:ascii="宋体" w:hAnsi="宋体" w:cs="宋体"/>
          <w:sz w:val="24"/>
        </w:rPr>
      </w:pPr>
    </w:p>
    <w:p>
      <w:pPr>
        <w:spacing w:line="440" w:lineRule="exact"/>
        <w:ind w:firstLine="482" w:firstLineChars="200"/>
        <w:rPr>
          <w:rFonts w:ascii="宋体" w:hAnsi="宋体" w:cs="宋体"/>
          <w:b/>
          <w:sz w:val="24"/>
        </w:rPr>
      </w:pPr>
      <w:r>
        <w:rPr>
          <w:rFonts w:hint="eastAsia" w:ascii="宋体" w:hAnsi="宋体" w:cs="宋体"/>
          <w:b/>
          <w:sz w:val="24"/>
        </w:rPr>
        <w:t xml:space="preserve">第一条  项目理解及工作范围 </w:t>
      </w:r>
    </w:p>
    <w:p>
      <w:pPr>
        <w:spacing w:line="440" w:lineRule="exact"/>
        <w:ind w:firstLine="482" w:firstLineChars="200"/>
        <w:rPr>
          <w:rFonts w:ascii="宋体" w:hAnsi="宋体" w:cs="宋体"/>
          <w:b/>
          <w:sz w:val="24"/>
        </w:rPr>
      </w:pPr>
      <w:r>
        <w:rPr>
          <w:rFonts w:hint="eastAsia" w:ascii="宋体" w:hAnsi="宋体" w:cs="宋体"/>
          <w:b/>
          <w:sz w:val="24"/>
        </w:rPr>
        <w:t>1. 项目理解</w:t>
      </w:r>
    </w:p>
    <w:p>
      <w:pPr>
        <w:spacing w:line="440" w:lineRule="exact"/>
        <w:ind w:firstLine="480" w:firstLineChars="200"/>
        <w:rPr>
          <w:rFonts w:ascii="宋体" w:hAnsi="宋体"/>
          <w:sz w:val="24"/>
        </w:rPr>
      </w:pPr>
      <w:r>
        <w:rPr>
          <w:rFonts w:hint="eastAsia" w:ascii="宋体" w:hAnsi="宋体"/>
          <w:sz w:val="24"/>
        </w:rPr>
        <w:t>1.1项目名称：合肥百大鼓楼银座商业主题设计</w:t>
      </w:r>
    </w:p>
    <w:p>
      <w:pPr>
        <w:spacing w:line="360" w:lineRule="auto"/>
        <w:ind w:left="1799" w:leftChars="228" w:hanging="1320" w:hangingChars="550"/>
        <w:rPr>
          <w:rFonts w:ascii="宋体" w:hAnsi="宋体" w:cs="宋体"/>
          <w:kern w:val="0"/>
          <w:sz w:val="24"/>
        </w:rPr>
      </w:pPr>
      <w:r>
        <w:rPr>
          <w:rFonts w:hint="eastAsia" w:ascii="宋体" w:hAnsi="宋体"/>
          <w:sz w:val="24"/>
        </w:rPr>
        <w:t>1.2设计范围：</w:t>
      </w:r>
      <w:r>
        <w:rPr>
          <w:rFonts w:hint="eastAsia" w:ascii="宋体" w:hAnsi="宋体" w:cs="宋体"/>
          <w:kern w:val="0"/>
          <w:sz w:val="24"/>
        </w:rPr>
        <w:t>项目主题设计；地上1-6层动线（其中，1F:1676m²、2F：2494m²、3F：3297m²、4F:2327m²、5F：3837m²、6F:1165m²）</w:t>
      </w:r>
      <w:r>
        <w:rPr>
          <w:rFonts w:ascii="宋体" w:hAnsi="宋体" w:cs="宋体"/>
          <w:kern w:val="0"/>
          <w:sz w:val="24"/>
        </w:rPr>
        <w:t>，</w:t>
      </w:r>
      <w:r>
        <w:rPr>
          <w:rFonts w:hint="eastAsia" w:ascii="宋体" w:hAnsi="宋体" w:cs="宋体"/>
          <w:kern w:val="0"/>
          <w:sz w:val="24"/>
        </w:rPr>
        <w:t>公共空间设计（电梯间、扶手电梯、露台、卫生间等）；</w:t>
      </w:r>
      <w:r>
        <w:rPr>
          <w:rFonts w:ascii="宋体" w:hAnsi="宋体" w:cs="宋体"/>
          <w:kern w:val="0"/>
          <w:sz w:val="24"/>
        </w:rPr>
        <w:t>外立面优化建议，总设计面积约</w:t>
      </w:r>
      <w:r>
        <w:rPr>
          <w:rFonts w:hint="eastAsia" w:ascii="宋体" w:hAnsi="宋体" w:cs="宋体"/>
          <w:kern w:val="0"/>
          <w:sz w:val="24"/>
        </w:rPr>
        <w:t>14795</w:t>
      </w:r>
      <w:r>
        <w:rPr>
          <w:rFonts w:ascii="宋体" w:hAnsi="宋体" w:cs="宋体"/>
          <w:kern w:val="0"/>
          <w:sz w:val="24"/>
        </w:rPr>
        <w:t>平方米（最终以实际测算为准）。</w:t>
      </w:r>
    </w:p>
    <w:p>
      <w:pPr>
        <w:spacing w:line="360" w:lineRule="auto"/>
        <w:ind w:left="1799" w:leftChars="228" w:hanging="1320" w:hangingChars="550"/>
        <w:rPr>
          <w:rFonts w:ascii="宋体" w:hAnsi="宋体"/>
          <w:sz w:val="24"/>
          <w:u w:val="single"/>
        </w:rPr>
      </w:pPr>
      <w:r>
        <w:rPr>
          <w:rFonts w:hint="eastAsia" w:ascii="宋体" w:hAnsi="宋体"/>
          <w:sz w:val="24"/>
        </w:rPr>
        <w:t>1.3项目建筑面积：约</w:t>
      </w:r>
      <w:r>
        <w:rPr>
          <w:rFonts w:ascii="宋体" w:hAnsi="宋体"/>
          <w:sz w:val="24"/>
        </w:rPr>
        <w:t>1.5</w:t>
      </w:r>
      <w:r>
        <w:rPr>
          <w:rFonts w:hint="eastAsia" w:ascii="宋体" w:hAnsi="宋体"/>
          <w:sz w:val="24"/>
        </w:rPr>
        <w:t>万平方米</w:t>
      </w:r>
    </w:p>
    <w:p>
      <w:pPr>
        <w:spacing w:line="440" w:lineRule="exact"/>
        <w:ind w:firstLine="482" w:firstLineChars="200"/>
        <w:rPr>
          <w:rFonts w:ascii="宋体" w:hAnsi="宋体" w:cs="宋体"/>
          <w:b/>
          <w:sz w:val="24"/>
        </w:rPr>
      </w:pPr>
      <w:r>
        <w:rPr>
          <w:rFonts w:hint="eastAsia" w:ascii="宋体" w:hAnsi="宋体" w:cs="宋体"/>
          <w:b/>
          <w:sz w:val="24"/>
        </w:rPr>
        <w:t xml:space="preserve">2. 工作范围 </w:t>
      </w:r>
    </w:p>
    <w:p>
      <w:pPr>
        <w:spacing w:line="440" w:lineRule="exact"/>
        <w:ind w:firstLine="480" w:firstLineChars="200"/>
        <w:rPr>
          <w:rFonts w:ascii="宋体" w:hAnsi="宋体"/>
          <w:sz w:val="24"/>
        </w:rPr>
      </w:pPr>
      <w:r>
        <w:rPr>
          <w:rFonts w:hint="eastAsia" w:ascii="宋体" w:hAnsi="宋体"/>
          <w:sz w:val="24"/>
        </w:rPr>
        <w:t>2.1本合同乙方所需服务的设计内容：</w:t>
      </w:r>
    </w:p>
    <w:p>
      <w:pPr>
        <w:numPr>
          <w:ilvl w:val="255"/>
          <w:numId w:val="0"/>
        </w:numPr>
        <w:adjustRightInd w:val="0"/>
        <w:spacing w:line="440" w:lineRule="exact"/>
        <w:ind w:firstLine="480" w:firstLineChars="200"/>
        <w:rPr>
          <w:rFonts w:ascii="宋体" w:hAnsi="宋体"/>
          <w:sz w:val="24"/>
        </w:rPr>
      </w:pPr>
      <w:r>
        <w:rPr>
          <w:rFonts w:hint="eastAsia" w:ascii="宋体" w:hAnsi="宋体"/>
          <w:sz w:val="24"/>
        </w:rPr>
        <w:t>（1）室外环境设计：商业外立面设计；入口、橱窗、灯箱、招牌等设计；商业夜间照明设计（附效果图白天和夜景至装饰图）；</w:t>
      </w:r>
    </w:p>
    <w:p>
      <w:pPr>
        <w:numPr>
          <w:ilvl w:val="255"/>
          <w:numId w:val="0"/>
        </w:numPr>
        <w:adjustRightInd w:val="0"/>
        <w:spacing w:line="440" w:lineRule="exact"/>
        <w:ind w:firstLine="480" w:firstLineChars="200"/>
        <w:rPr>
          <w:rFonts w:ascii="宋体" w:hAnsi="宋体"/>
          <w:sz w:val="24"/>
        </w:rPr>
      </w:pPr>
      <w:r>
        <w:rPr>
          <w:rFonts w:hint="eastAsia" w:ascii="宋体" w:hAnsi="宋体"/>
          <w:sz w:val="24"/>
        </w:rPr>
        <w:t>（2）室内环境设计：公共空间设计；地坪设计/顶棚设计；照明设计；公共设施设计；</w:t>
      </w:r>
      <w:r>
        <w:rPr>
          <w:rFonts w:hint="eastAsia"/>
          <w:sz w:val="24"/>
        </w:rPr>
        <w:t>店内配套商业设施规划设计；</w:t>
      </w:r>
    </w:p>
    <w:p>
      <w:pPr>
        <w:numPr>
          <w:ilvl w:val="255"/>
          <w:numId w:val="0"/>
        </w:numPr>
        <w:adjustRightInd w:val="0"/>
        <w:spacing w:line="440" w:lineRule="exact"/>
        <w:ind w:firstLine="480" w:firstLineChars="200"/>
        <w:rPr>
          <w:rFonts w:ascii="宋体" w:hAnsi="宋体"/>
          <w:sz w:val="24"/>
        </w:rPr>
      </w:pPr>
      <w:r>
        <w:rPr>
          <w:rFonts w:hint="eastAsia" w:ascii="宋体" w:hAnsi="宋体"/>
          <w:sz w:val="24"/>
        </w:rPr>
        <w:t>（3）进行顶部施工图的消防、空调、水、强弱电等相关设计图纸的叠加，做好与相关设计方的设计对接、提出问题并解决图纸变更；</w:t>
      </w:r>
    </w:p>
    <w:p>
      <w:pPr>
        <w:numPr>
          <w:ilvl w:val="255"/>
          <w:numId w:val="0"/>
        </w:numPr>
        <w:adjustRightInd w:val="0"/>
        <w:spacing w:line="440" w:lineRule="exact"/>
        <w:ind w:firstLine="480" w:firstLineChars="200"/>
        <w:rPr>
          <w:rFonts w:ascii="宋体" w:hAnsi="宋体"/>
          <w:sz w:val="24"/>
        </w:rPr>
      </w:pPr>
      <w:r>
        <w:rPr>
          <w:rFonts w:hint="eastAsia" w:ascii="宋体" w:hAnsi="宋体"/>
          <w:sz w:val="24"/>
        </w:rPr>
        <w:t>（4）室内景观和场景设计；</w:t>
      </w:r>
    </w:p>
    <w:p>
      <w:pPr>
        <w:numPr>
          <w:ilvl w:val="255"/>
          <w:numId w:val="0"/>
        </w:numPr>
        <w:adjustRightInd w:val="0"/>
        <w:spacing w:line="440" w:lineRule="exact"/>
        <w:ind w:firstLine="480" w:firstLineChars="200"/>
      </w:pPr>
      <w:r>
        <w:rPr>
          <w:rFonts w:hint="eastAsia" w:ascii="宋体" w:hAnsi="宋体"/>
          <w:sz w:val="24"/>
        </w:rPr>
        <w:t>（5）导示设计。</w:t>
      </w:r>
    </w:p>
    <w:p>
      <w:pPr>
        <w:spacing w:line="440" w:lineRule="exact"/>
        <w:ind w:firstLine="482" w:firstLineChars="200"/>
        <w:rPr>
          <w:rFonts w:ascii="宋体" w:hAnsi="宋体"/>
          <w:b/>
          <w:sz w:val="24"/>
        </w:rPr>
      </w:pPr>
      <w:r>
        <w:rPr>
          <w:rFonts w:hint="eastAsia" w:ascii="宋体" w:hAnsi="宋体"/>
          <w:b/>
          <w:sz w:val="24"/>
        </w:rPr>
        <w:t>备注：</w:t>
      </w:r>
    </w:p>
    <w:p>
      <w:pPr>
        <w:pStyle w:val="39"/>
        <w:spacing w:line="440" w:lineRule="exact"/>
        <w:ind w:firstLine="480" w:firstLineChars="200"/>
        <w:rPr>
          <w:rFonts w:ascii="宋体" w:hAnsi="宋体" w:cs="宋体"/>
          <w:sz w:val="24"/>
          <w:szCs w:val="24"/>
        </w:rPr>
      </w:pPr>
      <w:r>
        <w:rPr>
          <w:rFonts w:hint="eastAsia" w:ascii="宋体" w:hAnsi="宋体" w:cs="宋体"/>
          <w:sz w:val="24"/>
          <w:szCs w:val="24"/>
        </w:rPr>
        <w:t>（1）乙方与甲方、经营团队共同协商，按照</w:t>
      </w:r>
      <w:r>
        <w:rPr>
          <w:rFonts w:ascii="宋体" w:hAnsi="宋体" w:cs="宋体"/>
          <w:sz w:val="24"/>
          <w:szCs w:val="24"/>
        </w:rPr>
        <w:t>甲方要求</w:t>
      </w:r>
      <w:r>
        <w:rPr>
          <w:rFonts w:hint="eastAsia" w:ascii="宋体" w:hAnsi="宋体" w:cs="宋体"/>
          <w:sz w:val="24"/>
          <w:szCs w:val="24"/>
        </w:rPr>
        <w:t>期限确定设计意图和项目范围，并协助甲方确定发展目标和项目内部设计的先后顺序。</w:t>
      </w:r>
    </w:p>
    <w:p>
      <w:pPr>
        <w:pStyle w:val="39"/>
        <w:spacing w:line="440" w:lineRule="exact"/>
        <w:ind w:firstLine="480" w:firstLineChars="200"/>
        <w:rPr>
          <w:rFonts w:ascii="宋体" w:hAnsi="宋体" w:cs="宋体"/>
          <w:sz w:val="24"/>
          <w:szCs w:val="24"/>
        </w:rPr>
      </w:pPr>
      <w:r>
        <w:rPr>
          <w:rFonts w:hint="eastAsia" w:ascii="宋体" w:hAnsi="宋体" w:cs="宋体"/>
          <w:sz w:val="24"/>
          <w:szCs w:val="24"/>
        </w:rPr>
        <w:t>（2）如图纸不全或变更，以现场勘验为准。</w:t>
      </w:r>
    </w:p>
    <w:p>
      <w:pPr>
        <w:pStyle w:val="39"/>
        <w:spacing w:line="440" w:lineRule="exact"/>
        <w:ind w:firstLine="480" w:firstLineChars="200"/>
        <w:rPr>
          <w:rFonts w:ascii="宋体" w:hAnsi="宋体" w:cs="宋体"/>
          <w:sz w:val="24"/>
          <w:szCs w:val="24"/>
        </w:rPr>
      </w:pPr>
      <w:r>
        <w:rPr>
          <w:rFonts w:hint="eastAsia" w:ascii="宋体" w:hAnsi="宋体" w:cs="宋体"/>
          <w:sz w:val="24"/>
          <w:szCs w:val="24"/>
        </w:rPr>
        <w:t>（3）在每阶段设计完成后，乙方将每阶段设计成果数量需满足上会及评审要求，每轮不少于3套文本（A3大小），技术图形文件提供电子CAD文件、汇报文件PPT格式、图纸文件为彩色PDF格式。并由主创设计师在甲方总部向甲方相关领导汇报，经甲方确认后方可进行下阶段工作。甲方应最迟在乙方汇报后 5个工作日内对设计成果做出是否确认意见反馈，如该时间影响甲乙双方既定的后续设计周期，则设计时间相应顺延，乙方不承担延期等违约责任，甲方需要乙方修正方案时，乙方应及时修正，并主动向甲方明确提交时间按期提交。</w:t>
      </w:r>
    </w:p>
    <w:p>
      <w:pPr>
        <w:pStyle w:val="39"/>
        <w:spacing w:line="440" w:lineRule="exact"/>
        <w:ind w:firstLine="480" w:firstLineChars="200"/>
        <w:rPr>
          <w:rFonts w:ascii="宋体" w:hAnsi="宋体" w:cs="宋体"/>
          <w:sz w:val="24"/>
          <w:szCs w:val="24"/>
        </w:rPr>
      </w:pPr>
      <w:r>
        <w:rPr>
          <w:rFonts w:hint="eastAsia" w:ascii="宋体" w:hAnsi="宋体" w:cs="宋体"/>
          <w:sz w:val="24"/>
          <w:szCs w:val="24"/>
        </w:rPr>
        <w:t>（4）项目合作期间乙方至甲方所在地进行各阶段的方案汇报，并根据汇报结论，及时修正方案，不低于（15）天施工现场配合，根据项目进度，甲方提前5天向乙方提出需求，乙方按甲方指定现场需求时间（含节假日）进行施工现场配合指导工作，费用包含在合同总费用中。</w:t>
      </w:r>
    </w:p>
    <w:p>
      <w:pPr>
        <w:spacing w:line="440" w:lineRule="exact"/>
        <w:ind w:firstLine="482" w:firstLineChars="200"/>
        <w:rPr>
          <w:rFonts w:ascii="宋体" w:hAnsi="宋体"/>
          <w:sz w:val="24"/>
        </w:rPr>
      </w:pPr>
      <w:r>
        <w:rPr>
          <w:rFonts w:hint="eastAsia" w:ascii="宋体" w:hAnsi="宋体"/>
          <w:b/>
          <w:sz w:val="24"/>
        </w:rPr>
        <w:t xml:space="preserve">3.其它乙方应完成的工作： </w:t>
      </w:r>
    </w:p>
    <w:p>
      <w:pPr>
        <w:spacing w:line="440" w:lineRule="exact"/>
        <w:ind w:firstLine="480" w:firstLineChars="200"/>
        <w:rPr>
          <w:rFonts w:ascii="宋体" w:hAnsi="宋体"/>
          <w:sz w:val="24"/>
        </w:rPr>
      </w:pPr>
      <w:r>
        <w:rPr>
          <w:rFonts w:hint="eastAsia" w:ascii="宋体" w:hAnsi="宋体"/>
          <w:sz w:val="24"/>
        </w:rPr>
        <w:t>3.1 配合其他专业的设计以及顶部图纸叠加，提出问题并解决；</w:t>
      </w:r>
    </w:p>
    <w:p>
      <w:pPr>
        <w:spacing w:line="440" w:lineRule="exact"/>
        <w:ind w:firstLine="480" w:firstLineChars="200"/>
        <w:rPr>
          <w:rFonts w:ascii="宋体" w:hAnsi="宋体"/>
          <w:sz w:val="24"/>
        </w:rPr>
      </w:pPr>
      <w:r>
        <w:rPr>
          <w:rFonts w:hint="eastAsia" w:ascii="宋体" w:hAnsi="宋体"/>
          <w:sz w:val="24"/>
        </w:rPr>
        <w:t>3.2配合甲方进行施工过程确认材料样板；</w:t>
      </w:r>
    </w:p>
    <w:p>
      <w:pPr>
        <w:spacing w:line="440" w:lineRule="exact"/>
        <w:ind w:firstLine="480" w:firstLineChars="200"/>
        <w:rPr>
          <w:rFonts w:ascii="宋体" w:hAnsi="宋体"/>
          <w:sz w:val="24"/>
        </w:rPr>
      </w:pPr>
      <w:r>
        <w:rPr>
          <w:rFonts w:hint="eastAsia" w:ascii="宋体" w:hAnsi="宋体"/>
          <w:sz w:val="24"/>
        </w:rPr>
        <w:t>3.3 配合甲方施工驻场施工过程中的设计变更；</w:t>
      </w:r>
    </w:p>
    <w:p>
      <w:pPr>
        <w:spacing w:line="440" w:lineRule="exact"/>
        <w:ind w:firstLine="480" w:firstLineChars="200"/>
        <w:rPr>
          <w:rFonts w:ascii="宋体" w:hAnsi="宋体"/>
          <w:sz w:val="24"/>
        </w:rPr>
      </w:pPr>
      <w:r>
        <w:rPr>
          <w:rFonts w:hint="eastAsia" w:ascii="宋体" w:hAnsi="宋体"/>
          <w:sz w:val="24"/>
        </w:rPr>
        <w:t>3.4 参加装修工程的竣工验收工作；</w:t>
      </w:r>
    </w:p>
    <w:p>
      <w:pPr>
        <w:spacing w:line="440" w:lineRule="exact"/>
        <w:ind w:firstLine="480" w:firstLineChars="200"/>
        <w:rPr>
          <w:rFonts w:ascii="宋体" w:hAnsi="宋体"/>
          <w:sz w:val="24"/>
        </w:rPr>
      </w:pPr>
      <w:r>
        <w:rPr>
          <w:rFonts w:hint="eastAsia" w:ascii="宋体" w:hAnsi="宋体"/>
          <w:sz w:val="24"/>
        </w:rPr>
        <w:t>3.5参加由甲方主持的需由设计方参加的相关工程会议。</w:t>
      </w:r>
    </w:p>
    <w:p>
      <w:pPr>
        <w:spacing w:line="440" w:lineRule="exact"/>
        <w:ind w:firstLine="482" w:firstLineChars="200"/>
        <w:rPr>
          <w:rFonts w:ascii="宋体" w:hAnsi="宋体" w:cs="宋体"/>
          <w:b/>
          <w:sz w:val="24"/>
        </w:rPr>
      </w:pPr>
    </w:p>
    <w:p>
      <w:pPr>
        <w:spacing w:line="440" w:lineRule="exact"/>
        <w:ind w:firstLine="482" w:firstLineChars="200"/>
        <w:rPr>
          <w:rFonts w:ascii="宋体" w:hAnsi="宋体"/>
          <w:b/>
          <w:bCs/>
          <w:sz w:val="24"/>
        </w:rPr>
      </w:pPr>
      <w:r>
        <w:rPr>
          <w:rFonts w:hint="eastAsia" w:ascii="宋体" w:hAnsi="宋体" w:cs="宋体"/>
          <w:b/>
          <w:sz w:val="24"/>
        </w:rPr>
        <w:t xml:space="preserve">第二条 设计程序及设计成果 </w:t>
      </w:r>
    </w:p>
    <w:p>
      <w:pPr>
        <w:spacing w:line="440" w:lineRule="exact"/>
        <w:ind w:firstLine="482" w:firstLineChars="200"/>
        <w:rPr>
          <w:rFonts w:ascii="宋体" w:hAnsi="宋体" w:cs="宋体"/>
          <w:b/>
          <w:sz w:val="24"/>
        </w:rPr>
      </w:pPr>
      <w:r>
        <w:rPr>
          <w:rFonts w:hint="eastAsia" w:ascii="宋体" w:hAnsi="宋体" w:cs="宋体"/>
          <w:b/>
          <w:bCs/>
          <w:sz w:val="24"/>
        </w:rPr>
        <w:t>1.</w:t>
      </w:r>
      <w:r>
        <w:rPr>
          <w:rFonts w:hint="eastAsia" w:ascii="宋体" w:hAnsi="宋体" w:cs="宋体"/>
          <w:b/>
          <w:sz w:val="24"/>
        </w:rPr>
        <w:t>室内外环境设计</w:t>
      </w:r>
    </w:p>
    <w:p>
      <w:pPr>
        <w:pStyle w:val="36"/>
        <w:numPr>
          <w:ilvl w:val="255"/>
          <w:numId w:val="0"/>
        </w:numPr>
        <w:adjustRightInd w:val="0"/>
        <w:spacing w:beforeLines="50" w:line="360" w:lineRule="auto"/>
        <w:ind w:firstLine="480" w:firstLineChars="200"/>
        <w:rPr>
          <w:rFonts w:ascii="宋体" w:hAnsi="宋体"/>
          <w:sz w:val="24"/>
        </w:rPr>
      </w:pPr>
      <w:r>
        <w:rPr>
          <w:rFonts w:hint="eastAsia" w:ascii="宋体" w:hAnsi="宋体"/>
          <w:sz w:val="24"/>
        </w:rPr>
        <w:t>1.1概念设计方案</w:t>
      </w:r>
    </w:p>
    <w:p>
      <w:pPr>
        <w:pStyle w:val="36"/>
        <w:spacing w:beforeLines="50" w:line="360" w:lineRule="auto"/>
        <w:ind w:firstLine="480"/>
        <w:rPr>
          <w:rFonts w:ascii="宋体" w:hAnsi="宋体"/>
          <w:sz w:val="24"/>
        </w:rPr>
      </w:pPr>
      <w:r>
        <w:rPr>
          <w:rFonts w:hint="eastAsia" w:ascii="宋体" w:hAnsi="宋体"/>
          <w:sz w:val="24"/>
        </w:rPr>
        <w:t>提交成果：主题设计、店内品类规划、楼层规划、动线规划。主要区域效果图周围空间、公共空间；提交上述内容的电子和纸质文件，格式为图纸部分为PDF格式，空间效果示意图为PDF或JPG格式。</w:t>
      </w:r>
    </w:p>
    <w:p>
      <w:pPr>
        <w:pStyle w:val="36"/>
        <w:numPr>
          <w:ilvl w:val="255"/>
          <w:numId w:val="0"/>
        </w:numPr>
        <w:spacing w:beforeLines="50" w:line="360" w:lineRule="auto"/>
        <w:ind w:firstLine="480" w:firstLineChars="200"/>
        <w:rPr>
          <w:rFonts w:ascii="宋体" w:hAnsi="宋体"/>
          <w:sz w:val="24"/>
        </w:rPr>
      </w:pPr>
      <w:r>
        <w:rPr>
          <w:rFonts w:hint="eastAsia" w:ascii="宋体" w:hAnsi="宋体"/>
          <w:sz w:val="24"/>
        </w:rPr>
        <w:t>1.2方案深化设计</w:t>
      </w:r>
    </w:p>
    <w:p>
      <w:pPr>
        <w:spacing w:line="440" w:lineRule="exact"/>
        <w:ind w:firstLine="480" w:firstLineChars="200"/>
        <w:rPr>
          <w:rFonts w:ascii="宋体" w:hAnsi="宋体" w:cs="宋体"/>
          <w:sz w:val="24"/>
        </w:rPr>
      </w:pPr>
      <w:r>
        <w:rPr>
          <w:rFonts w:hint="eastAsia" w:ascii="宋体" w:hAnsi="宋体"/>
          <w:sz w:val="24"/>
        </w:rPr>
        <w:t>提交深化设计成果：</w:t>
      </w:r>
      <w:r>
        <w:rPr>
          <w:rFonts w:hint="eastAsia" w:ascii="宋体" w:hAnsi="宋体" w:cs="宋体"/>
          <w:sz w:val="24"/>
        </w:rPr>
        <w:t>室内空间设计效果图、</w:t>
      </w:r>
      <w:r>
        <w:rPr>
          <w:rFonts w:hint="eastAsia" w:ascii="宋体" w:hAnsi="宋体"/>
          <w:sz w:val="24"/>
        </w:rPr>
        <w:t>室内景观和场景营造设计、小场景和特色场景设计、外立面优化（白天、夜晚）</w:t>
      </w:r>
      <w:r>
        <w:rPr>
          <w:rFonts w:hint="eastAsia" w:ascii="宋体" w:hAnsi="宋体" w:cs="宋体"/>
          <w:sz w:val="24"/>
        </w:rPr>
        <w:t>、</w:t>
      </w:r>
      <w:r>
        <w:rPr>
          <w:rFonts w:hint="eastAsia" w:ascii="宋体" w:hAnsi="宋体"/>
          <w:sz w:val="24"/>
        </w:rPr>
        <w:t>各楼层天花图、地面图、墙（柱）面图等；重点位置天花、地面的材料样板等等；提交上述内容的电子文件和纸质文件，格式为图纸PDF格式，效果图为PDF或JPG格式。</w:t>
      </w:r>
    </w:p>
    <w:p>
      <w:pPr>
        <w:pStyle w:val="36"/>
        <w:numPr>
          <w:ilvl w:val="255"/>
          <w:numId w:val="0"/>
        </w:numPr>
        <w:spacing w:line="440" w:lineRule="exact"/>
        <w:ind w:firstLine="480" w:firstLineChars="200"/>
        <w:rPr>
          <w:rFonts w:ascii="宋体" w:hAnsi="宋体" w:cs="宋体"/>
          <w:sz w:val="24"/>
        </w:rPr>
      </w:pPr>
      <w:r>
        <w:rPr>
          <w:rFonts w:hint="eastAsia" w:ascii="宋体" w:hAnsi="宋体" w:cs="宋体"/>
          <w:sz w:val="24"/>
        </w:rPr>
        <w:t>1.3施工配合</w:t>
      </w:r>
    </w:p>
    <w:p>
      <w:pPr>
        <w:pStyle w:val="36"/>
        <w:spacing w:line="440" w:lineRule="exact"/>
        <w:ind w:firstLine="480"/>
        <w:rPr>
          <w:rFonts w:ascii="宋体" w:hAnsi="宋体" w:cs="宋体"/>
          <w:sz w:val="24"/>
        </w:rPr>
      </w:pPr>
      <w:r>
        <w:rPr>
          <w:rFonts w:hint="eastAsia" w:ascii="宋体" w:hAnsi="宋体" w:cs="宋体"/>
          <w:sz w:val="24"/>
        </w:rPr>
        <w:t>配合施工图及深化制作、修改和完善；（不少于15天）有效施工驻场，施工过程中较好地根据甲方的要求调整、修改、完善主题设计及有效施工驻场，及时解决问题并按甲方要求以图纸变更联系单(附图)发给施工图单位，给予良好的施工配合；顶部施工图叠加（消防、水、弱电等），</w:t>
      </w:r>
      <w:r>
        <w:rPr>
          <w:rFonts w:hint="eastAsia" w:ascii="宋体" w:hAnsi="宋体"/>
          <w:sz w:val="24"/>
        </w:rPr>
        <w:t>相关设计问题提出并解决，图纸及时修正变更；</w:t>
      </w:r>
    </w:p>
    <w:p>
      <w:pPr>
        <w:spacing w:line="440" w:lineRule="exact"/>
        <w:ind w:firstLine="480" w:firstLineChars="200"/>
        <w:rPr>
          <w:rFonts w:ascii="宋体" w:hAnsi="宋体" w:cs="宋体"/>
          <w:sz w:val="24"/>
        </w:rPr>
      </w:pPr>
      <w:r>
        <w:rPr>
          <w:rFonts w:hint="eastAsia" w:ascii="宋体" w:hAnsi="宋体" w:cs="宋体"/>
          <w:sz w:val="24"/>
        </w:rPr>
        <w:t>1.4 提交成果：</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项目主题设计（包括但不限于定位分析如周边客群特性、竞争店优劣势、甲方经营主题定位等）</w:t>
      </w:r>
    </w:p>
    <w:p>
      <w:pPr>
        <w:numPr>
          <w:ilvl w:val="0"/>
          <w:numId w:val="3"/>
        </w:numPr>
        <w:spacing w:line="440" w:lineRule="exact"/>
        <w:ind w:firstLine="482" w:firstLineChars="200"/>
        <w:rPr>
          <w:rFonts w:ascii="宋体" w:hAnsi="宋体" w:cs="宋体"/>
          <w:sz w:val="24"/>
        </w:rPr>
      </w:pPr>
      <w:r>
        <w:rPr>
          <w:rFonts w:hint="eastAsia" w:ascii="宋体" w:hAnsi="宋体" w:cs="黑体"/>
          <w:b/>
          <w:bCs/>
          <w:sz w:val="24"/>
        </w:rPr>
        <w:t xml:space="preserve">- </w:t>
      </w:r>
      <w:r>
        <w:rPr>
          <w:rFonts w:hint="eastAsia" w:ascii="宋体" w:hAnsi="宋体" w:cs="宋体"/>
          <w:sz w:val="24"/>
        </w:rPr>
        <w:t>室内业态及动线规划设计平面图，店内主题规划平面图；</w:t>
      </w:r>
    </w:p>
    <w:p>
      <w:pPr>
        <w:numPr>
          <w:ilvl w:val="0"/>
          <w:numId w:val="3"/>
        </w:numPr>
        <w:spacing w:line="440" w:lineRule="exact"/>
        <w:ind w:firstLine="482" w:firstLineChars="200"/>
        <w:rPr>
          <w:rFonts w:ascii="宋体" w:hAnsi="宋体" w:cs="宋体"/>
          <w:sz w:val="24"/>
        </w:rPr>
      </w:pPr>
      <w:r>
        <w:rPr>
          <w:rFonts w:hint="eastAsia" w:ascii="宋体" w:hAnsi="宋体" w:cs="黑体"/>
          <w:b/>
          <w:bCs/>
          <w:sz w:val="24"/>
        </w:rPr>
        <w:t xml:space="preserve">- </w:t>
      </w:r>
      <w:r>
        <w:rPr>
          <w:rFonts w:hint="eastAsia" w:ascii="宋体" w:hAnsi="宋体" w:cs="宋体"/>
          <w:sz w:val="24"/>
        </w:rPr>
        <w:t>室内通道规划设计平面图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室内主题分割平面图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室内平面布局图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室内平面布局设计效果图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室内公共空间设计效果图（含顶、地、柱、门楣、门厅、中庭、电梯厅、总台等）</w:t>
      </w:r>
    </w:p>
    <w:p>
      <w:pPr>
        <w:numPr>
          <w:ilvl w:val="0"/>
          <w:numId w:val="3"/>
        </w:numPr>
        <w:spacing w:line="440" w:lineRule="exact"/>
        <w:ind w:firstLine="482" w:firstLineChars="200"/>
        <w:rPr>
          <w:rFonts w:ascii="宋体" w:hAnsi="宋体" w:cs="宋体"/>
          <w:sz w:val="24"/>
        </w:rPr>
      </w:pPr>
      <w:r>
        <w:rPr>
          <w:rFonts w:hint="eastAsia" w:ascii="宋体" w:hAnsi="宋体" w:cs="宋体"/>
          <w:b/>
          <w:sz w:val="24"/>
        </w:rPr>
        <w:t>-</w:t>
      </w:r>
      <w:r>
        <w:rPr>
          <w:rFonts w:hint="eastAsia" w:ascii="宋体" w:hAnsi="宋体"/>
          <w:sz w:val="24"/>
        </w:rPr>
        <w:t>室内景观和场景营造设计、小场景和特色场景设计</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天花板、地面图、墙（柱）面图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室内主题区域效果图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室内天花、灯位设计及光线分布效果图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室内地面铺装设计效果图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-灯具手册、主材手册、主材料样本样板</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室内区域制作标准平面图</w:t>
      </w:r>
    </w:p>
    <w:p>
      <w:pPr>
        <w:numPr>
          <w:ilvl w:val="0"/>
          <w:numId w:val="3"/>
        </w:numPr>
        <w:spacing w:line="440" w:lineRule="exact"/>
        <w:ind w:firstLine="480" w:firstLineChars="200"/>
        <w:rPr>
          <w:rFonts w:ascii="宋体" w:hAnsi="宋体" w:cs="宋体"/>
          <w:sz w:val="24"/>
        </w:rPr>
      </w:pPr>
      <w:r>
        <w:rPr>
          <w:rFonts w:hint="eastAsia" w:ascii="宋体" w:hAnsi="宋体" w:cs="宋体"/>
          <w:sz w:val="24"/>
        </w:rPr>
        <w:t>- 外立面优化</w:t>
      </w:r>
    </w:p>
    <w:p>
      <w:pPr>
        <w:spacing w:line="440" w:lineRule="exact"/>
        <w:ind w:firstLine="480" w:firstLineChars="200"/>
        <w:rPr>
          <w:rFonts w:ascii="宋体" w:hAnsi="宋体" w:cs="宋体"/>
          <w:sz w:val="24"/>
        </w:rPr>
      </w:pPr>
      <w:r>
        <w:rPr>
          <w:rFonts w:hint="eastAsia" w:ascii="宋体" w:hAnsi="宋体" w:cs="宋体"/>
          <w:sz w:val="24"/>
        </w:rPr>
        <w:t>1.5设计成果提交方式：</w:t>
      </w:r>
    </w:p>
    <w:p>
      <w:pPr>
        <w:spacing w:line="440" w:lineRule="exact"/>
        <w:ind w:firstLine="480" w:firstLineChars="200"/>
        <w:rPr>
          <w:rFonts w:ascii="宋体" w:hAnsi="宋体" w:cs="宋体"/>
          <w:sz w:val="24"/>
        </w:rPr>
      </w:pPr>
      <w:r>
        <w:rPr>
          <w:rFonts w:hint="eastAsia" w:ascii="宋体" w:hAnsi="宋体" w:cs="宋体"/>
          <w:bCs/>
          <w:sz w:val="24"/>
        </w:rPr>
        <w:t>汇报文件电子版1套为</w:t>
      </w:r>
      <w:r>
        <w:rPr>
          <w:rFonts w:hint="eastAsia" w:ascii="宋体" w:hAnsi="宋体" w:cs="宋体"/>
          <w:sz w:val="24"/>
        </w:rPr>
        <w:t>PPT格式，纸质版汇报图册不少于3套A3大小（A3格式）；</w:t>
      </w:r>
    </w:p>
    <w:p>
      <w:pPr>
        <w:spacing w:line="440" w:lineRule="exact"/>
        <w:ind w:firstLine="480" w:firstLineChars="200"/>
        <w:rPr>
          <w:rFonts w:ascii="宋体" w:hAnsi="宋体" w:cs="宋体"/>
          <w:sz w:val="24"/>
        </w:rPr>
      </w:pPr>
      <w:r>
        <w:rPr>
          <w:rFonts w:hint="eastAsia" w:ascii="宋体" w:hAnsi="宋体" w:cs="宋体"/>
          <w:sz w:val="24"/>
        </w:rPr>
        <w:t>图纸文件为PDF格式，技术性图形文件提供CAD文件。</w:t>
      </w:r>
    </w:p>
    <w:p>
      <w:pPr>
        <w:spacing w:line="440" w:lineRule="exact"/>
        <w:ind w:firstLine="482" w:firstLineChars="200"/>
        <w:rPr>
          <w:rFonts w:ascii="宋体" w:hAnsi="宋体" w:cs="宋体"/>
          <w:b/>
          <w:bCs/>
          <w:sz w:val="24"/>
        </w:rPr>
      </w:pPr>
      <w:r>
        <w:rPr>
          <w:rFonts w:hint="eastAsia" w:ascii="宋体" w:hAnsi="宋体" w:cs="宋体"/>
          <w:b/>
          <w:bCs/>
          <w:sz w:val="24"/>
        </w:rPr>
        <w:t xml:space="preserve">2. VI室内导视设计 </w:t>
      </w:r>
    </w:p>
    <w:p>
      <w:pPr>
        <w:spacing w:line="440" w:lineRule="exact"/>
        <w:ind w:firstLine="480" w:firstLineChars="200"/>
        <w:rPr>
          <w:rFonts w:ascii="宋体" w:hAnsi="宋体" w:cs="宋体"/>
          <w:bCs/>
          <w:sz w:val="24"/>
        </w:rPr>
      </w:pPr>
      <w:r>
        <w:rPr>
          <w:rFonts w:ascii="宋体" w:hAnsi="宋体" w:cs="宋体"/>
          <w:bCs/>
          <w:sz w:val="24"/>
        </w:rPr>
        <w:t>制作深度</w:t>
      </w:r>
      <w:r>
        <w:rPr>
          <w:rFonts w:hint="eastAsia" w:ascii="宋体" w:hAnsi="宋体" w:cs="宋体"/>
          <w:bCs/>
          <w:sz w:val="24"/>
        </w:rPr>
        <w:t>：方案设计深化到具体制作尺寸</w:t>
      </w:r>
    </w:p>
    <w:p>
      <w:pPr>
        <w:spacing w:line="440" w:lineRule="exact"/>
        <w:ind w:firstLine="482" w:firstLineChars="200"/>
        <w:rPr>
          <w:rFonts w:ascii="宋体" w:hAnsi="宋体" w:cs="宋体"/>
          <w:b/>
          <w:bCs/>
          <w:sz w:val="24"/>
        </w:rPr>
      </w:pPr>
      <w:r>
        <w:rPr>
          <w:rFonts w:hint="eastAsia" w:ascii="宋体" w:hAnsi="宋体" w:cs="宋体"/>
          <w:b/>
          <w:bCs/>
          <w:sz w:val="24"/>
        </w:rPr>
        <w:t>2.1 服务范围：</w:t>
      </w:r>
    </w:p>
    <w:p>
      <w:pPr>
        <w:spacing w:line="440" w:lineRule="exact"/>
        <w:ind w:firstLine="480" w:firstLineChars="200"/>
        <w:rPr>
          <w:rFonts w:ascii="宋体" w:hAnsi="宋体" w:cs="宋体"/>
          <w:sz w:val="24"/>
        </w:rPr>
      </w:pPr>
      <w:r>
        <w:rPr>
          <w:rFonts w:hint="eastAsia" w:ascii="宋体" w:hAnsi="宋体" w:cs="宋体"/>
          <w:sz w:val="24"/>
        </w:rPr>
        <w:t>（1）标识设计、营业时间、墙围装饰、区域类装饰、品类导视系统等。</w:t>
      </w:r>
    </w:p>
    <w:p>
      <w:pPr>
        <w:spacing w:line="440" w:lineRule="exact"/>
        <w:ind w:firstLine="480" w:firstLineChars="200"/>
        <w:rPr>
          <w:rFonts w:ascii="宋体" w:hAnsi="宋体" w:cs="宋体"/>
          <w:sz w:val="24"/>
        </w:rPr>
      </w:pPr>
      <w:r>
        <w:rPr>
          <w:rFonts w:hint="eastAsia" w:ascii="宋体" w:hAnsi="宋体" w:cs="宋体"/>
          <w:sz w:val="24"/>
        </w:rPr>
        <w:t>（2）卖场区域内及主要入口和动线节点的导示设计 。</w:t>
      </w:r>
    </w:p>
    <w:p>
      <w:pPr>
        <w:spacing w:line="440" w:lineRule="exact"/>
        <w:ind w:firstLine="482" w:firstLineChars="200"/>
        <w:rPr>
          <w:rFonts w:ascii="宋体" w:hAnsi="宋体" w:cs="宋体"/>
          <w:b/>
          <w:bCs/>
          <w:sz w:val="24"/>
        </w:rPr>
      </w:pPr>
      <w:r>
        <w:rPr>
          <w:rFonts w:hint="eastAsia" w:ascii="宋体" w:hAnsi="宋体" w:cs="宋体"/>
          <w:b/>
          <w:bCs/>
          <w:sz w:val="24"/>
        </w:rPr>
        <w:t>2.2 设计成果提交方式：</w:t>
      </w:r>
    </w:p>
    <w:p>
      <w:pPr>
        <w:spacing w:line="440" w:lineRule="exact"/>
        <w:ind w:firstLine="480" w:firstLineChars="200"/>
        <w:rPr>
          <w:rFonts w:ascii="宋体" w:hAnsi="宋体" w:cs="宋体"/>
          <w:sz w:val="24"/>
        </w:rPr>
      </w:pPr>
      <w:r>
        <w:rPr>
          <w:rFonts w:hint="eastAsia" w:ascii="宋体" w:hAnsi="宋体" w:cs="宋体"/>
          <w:bCs/>
          <w:sz w:val="24"/>
        </w:rPr>
        <w:t>汇报文件1套为</w:t>
      </w:r>
      <w:r>
        <w:rPr>
          <w:rFonts w:hint="eastAsia" w:ascii="宋体" w:hAnsi="宋体" w:cs="宋体"/>
          <w:sz w:val="24"/>
        </w:rPr>
        <w:t>PPT格式，纸质</w:t>
      </w:r>
      <w:r>
        <w:rPr>
          <w:rFonts w:hint="eastAsia" w:ascii="宋体" w:hAnsi="宋体" w:cs="宋体"/>
          <w:bCs/>
          <w:sz w:val="24"/>
        </w:rPr>
        <w:t>版整套文件不少于3套A3大小（A3格式）图纸</w:t>
      </w:r>
      <w:r>
        <w:rPr>
          <w:rFonts w:hint="eastAsia" w:ascii="宋体" w:hAnsi="宋体" w:cs="宋体"/>
          <w:sz w:val="24"/>
        </w:rPr>
        <w:t>文件为PDF格式，技术性图形文件提供CAD文件/所有图形的矢量文件，整套可编辑电子版一套。</w:t>
      </w:r>
    </w:p>
    <w:p>
      <w:pPr>
        <w:spacing w:line="440" w:lineRule="exact"/>
        <w:ind w:firstLine="482" w:firstLineChars="200"/>
        <w:rPr>
          <w:rFonts w:ascii="宋体" w:hAnsi="宋体" w:cs="宋体"/>
          <w:b/>
          <w:bCs/>
          <w:sz w:val="24"/>
        </w:rPr>
      </w:pPr>
      <w:r>
        <w:rPr>
          <w:rFonts w:hint="eastAsia" w:ascii="宋体" w:hAnsi="宋体" w:cs="宋体"/>
          <w:b/>
          <w:bCs/>
          <w:sz w:val="24"/>
        </w:rPr>
        <w:t>3.  照明设计</w:t>
      </w:r>
    </w:p>
    <w:p>
      <w:pPr>
        <w:spacing w:line="440" w:lineRule="exact"/>
        <w:ind w:firstLine="480" w:firstLineChars="200"/>
        <w:rPr>
          <w:rFonts w:ascii="宋体" w:hAnsi="宋体" w:cs="宋体"/>
          <w:bCs/>
          <w:sz w:val="24"/>
        </w:rPr>
      </w:pPr>
      <w:r>
        <w:rPr>
          <w:rFonts w:ascii="宋体" w:hAnsi="宋体" w:cs="宋体"/>
          <w:bCs/>
          <w:sz w:val="24"/>
        </w:rPr>
        <w:t>制作深度</w:t>
      </w:r>
      <w:r>
        <w:rPr>
          <w:rFonts w:hint="eastAsia" w:ascii="宋体" w:hAnsi="宋体" w:cs="宋体"/>
          <w:bCs/>
          <w:sz w:val="24"/>
        </w:rPr>
        <w:t>：概念方案设计至强电图</w:t>
      </w:r>
    </w:p>
    <w:p>
      <w:pPr>
        <w:spacing w:line="440" w:lineRule="exact"/>
        <w:ind w:firstLine="482" w:firstLineChars="200"/>
        <w:rPr>
          <w:rFonts w:ascii="宋体" w:hAnsi="宋体" w:cs="宋体"/>
          <w:b/>
          <w:bCs/>
          <w:sz w:val="24"/>
        </w:rPr>
      </w:pPr>
      <w:r>
        <w:rPr>
          <w:rFonts w:hint="eastAsia" w:ascii="宋体" w:hAnsi="宋体" w:cs="宋体"/>
          <w:b/>
          <w:bCs/>
          <w:sz w:val="24"/>
        </w:rPr>
        <w:t>3.1 服务范围：</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整体照明设计概念（含外立面优化）；</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各重点区域的照明计划观念、照明方式、照明设备、照明设备费用及电力的初步评估</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提供各区域普通照明回路与消防照明回路的灯具实际布置安排，并注意与装饰顶面设计的协调</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提供照度表及材料清单灯具手册</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道具灯光照明设计</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强电设计图纸CAD文件</w:t>
      </w:r>
    </w:p>
    <w:p>
      <w:pPr>
        <w:spacing w:line="440" w:lineRule="exact"/>
        <w:ind w:firstLine="482" w:firstLineChars="200"/>
        <w:rPr>
          <w:rFonts w:ascii="宋体" w:hAnsi="宋体" w:cs="宋体"/>
          <w:b/>
          <w:bCs/>
          <w:sz w:val="24"/>
        </w:rPr>
      </w:pPr>
      <w:r>
        <w:rPr>
          <w:rFonts w:hint="eastAsia" w:ascii="宋体" w:hAnsi="宋体" w:cs="宋体"/>
          <w:b/>
          <w:bCs/>
          <w:sz w:val="24"/>
        </w:rPr>
        <w:t>3.2 设计成果提交方式：</w:t>
      </w:r>
    </w:p>
    <w:p>
      <w:pPr>
        <w:spacing w:line="440" w:lineRule="exact"/>
        <w:ind w:firstLine="480" w:firstLineChars="200"/>
        <w:rPr>
          <w:rFonts w:ascii="宋体" w:hAnsi="宋体" w:cs="宋体"/>
          <w:b/>
          <w:bCs/>
          <w:sz w:val="24"/>
        </w:rPr>
      </w:pPr>
      <w:r>
        <w:rPr>
          <w:rFonts w:hint="eastAsia" w:ascii="宋体" w:hAnsi="宋体" w:cs="宋体"/>
          <w:bCs/>
          <w:sz w:val="24"/>
        </w:rPr>
        <w:t>汇报文件1套为</w:t>
      </w:r>
      <w:r>
        <w:rPr>
          <w:rFonts w:hint="eastAsia" w:ascii="宋体" w:hAnsi="宋体" w:cs="宋体"/>
          <w:sz w:val="24"/>
        </w:rPr>
        <w:t>PPT格式，可编辑电子文档1份所有图纸提供CAD格式电子版。</w:t>
      </w:r>
    </w:p>
    <w:p>
      <w:pPr>
        <w:spacing w:line="440" w:lineRule="exact"/>
        <w:ind w:firstLine="482" w:firstLineChars="200"/>
        <w:rPr>
          <w:rFonts w:ascii="宋体" w:hAnsi="宋体" w:cs="宋体"/>
          <w:b/>
          <w:sz w:val="24"/>
        </w:rPr>
      </w:pPr>
      <w:r>
        <w:rPr>
          <w:rFonts w:hint="eastAsia" w:ascii="宋体" w:hAnsi="宋体" w:cs="宋体"/>
          <w:b/>
          <w:bCs/>
          <w:sz w:val="24"/>
        </w:rPr>
        <w:t>4.施工配合</w:t>
      </w:r>
    </w:p>
    <w:p>
      <w:pPr>
        <w:spacing w:line="440" w:lineRule="exact"/>
        <w:ind w:firstLine="482" w:firstLineChars="200"/>
        <w:rPr>
          <w:rFonts w:ascii="宋体" w:hAnsi="宋体" w:cs="宋体"/>
          <w:b/>
          <w:bCs/>
          <w:sz w:val="24"/>
        </w:rPr>
      </w:pPr>
      <w:r>
        <w:rPr>
          <w:rFonts w:hint="eastAsia" w:ascii="宋体" w:hAnsi="宋体" w:cs="宋体"/>
          <w:b/>
          <w:bCs/>
          <w:sz w:val="24"/>
        </w:rPr>
        <w:t>服务范围</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 不少于15天）施工驻场，施工过程中较好地根据甲方的要求调整、修改、完善设计及有效施工驻场，及时解决问题并按甲方要求以图纸变更联系单(附图)发给施工图单位，给予良好的施工配合；</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阶段性现场指导（材料、施工工艺、现场勘查提前规避问题避免返工）；</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及时发现问题进行图纸修正和变更，确保现场施工按设计效果有效实施；</w:t>
      </w:r>
    </w:p>
    <w:p>
      <w:pPr>
        <w:numPr>
          <w:ilvl w:val="0"/>
          <w:numId w:val="4"/>
        </w:numPr>
        <w:spacing w:line="440" w:lineRule="exact"/>
        <w:ind w:firstLine="480" w:firstLineChars="200"/>
        <w:rPr>
          <w:rFonts w:ascii="宋体" w:hAnsi="宋体" w:cs="宋体"/>
          <w:sz w:val="24"/>
        </w:rPr>
      </w:pPr>
      <w:r>
        <w:rPr>
          <w:rFonts w:hint="eastAsia" w:ascii="宋体" w:hAnsi="宋体" w:cs="宋体"/>
          <w:sz w:val="24"/>
        </w:rPr>
        <w:t>项目阶段性验收配合；</w:t>
      </w:r>
    </w:p>
    <w:p>
      <w:pPr>
        <w:pStyle w:val="2"/>
      </w:pPr>
    </w:p>
    <w:p>
      <w:pPr>
        <w:spacing w:line="440" w:lineRule="exact"/>
        <w:ind w:firstLine="482" w:firstLineChars="200"/>
        <w:rPr>
          <w:rFonts w:ascii="宋体" w:hAnsi="宋体" w:cs="隶书"/>
          <w:sz w:val="24"/>
        </w:rPr>
      </w:pPr>
      <w:r>
        <w:rPr>
          <w:rFonts w:hint="eastAsia" w:ascii="宋体" w:hAnsi="宋体" w:cs="宋体"/>
          <w:b/>
          <w:sz w:val="24"/>
        </w:rPr>
        <w:t>第三条  设计时间安排</w:t>
      </w:r>
    </w:p>
    <w:p>
      <w:pPr>
        <w:spacing w:line="440" w:lineRule="exact"/>
        <w:ind w:firstLine="480" w:firstLineChars="200"/>
        <w:rPr>
          <w:rFonts w:ascii="宋体" w:hAnsi="宋体" w:cs="宋体"/>
          <w:sz w:val="24"/>
        </w:rPr>
      </w:pPr>
      <w:r>
        <w:rPr>
          <w:rFonts w:hint="eastAsia" w:ascii="宋体" w:hAnsi="宋体" w:cs="宋体"/>
          <w:sz w:val="24"/>
        </w:rPr>
        <w:t>以下的时间安排为设计成果提交计划。</w:t>
      </w:r>
    </w:p>
    <w:p>
      <w:pPr>
        <w:spacing w:line="440" w:lineRule="exact"/>
        <w:ind w:firstLine="480" w:firstLineChars="200"/>
        <w:rPr>
          <w:rFonts w:ascii="宋体" w:hAnsi="宋体" w:cs="宋体"/>
          <w:sz w:val="24"/>
        </w:rPr>
      </w:pPr>
      <w:r>
        <w:rPr>
          <w:rFonts w:hint="eastAsia" w:ascii="宋体" w:hAnsi="宋体" w:cs="宋体"/>
          <w:sz w:val="24"/>
        </w:rPr>
        <w:t>总设计周期为:30</w:t>
      </w:r>
      <w:r>
        <w:rPr>
          <w:rFonts w:hint="eastAsia" w:ascii="宋体" w:hAnsi="宋体" w:cs="宋体"/>
          <w:sz w:val="24"/>
          <w:u w:val="single"/>
        </w:rPr>
        <w:t xml:space="preserve">个日历日 </w:t>
      </w:r>
      <w:r>
        <w:rPr>
          <w:rFonts w:hint="eastAsia" w:ascii="宋体" w:hAnsi="宋体" w:cs="宋体"/>
          <w:sz w:val="24"/>
        </w:rPr>
        <w:t>中间不包含建筑图纸审批等非设计时间，实际设计时间节点结合甲方工程整体进程并按照甲方要求安排。以上设计周期内经甲乙双方协商确认后乙方可启动多项目并行设计工作。</w:t>
      </w:r>
    </w:p>
    <w:p>
      <w:pPr>
        <w:spacing w:line="440" w:lineRule="exact"/>
        <w:ind w:firstLine="482" w:firstLineChars="200"/>
        <w:rPr>
          <w:rFonts w:ascii="宋体" w:hAnsi="宋体" w:cs="宋体"/>
          <w:b/>
          <w:sz w:val="24"/>
        </w:rPr>
      </w:pPr>
      <w:r>
        <w:rPr>
          <w:rFonts w:hint="eastAsia" w:ascii="宋体" w:hAnsi="宋体" w:cs="宋体"/>
          <w:b/>
          <w:sz w:val="24"/>
        </w:rPr>
        <w:t>设计进程安排：</w:t>
      </w:r>
    </w:p>
    <w:p>
      <w:pPr>
        <w:spacing w:line="440" w:lineRule="exact"/>
        <w:ind w:firstLine="480" w:firstLineChars="200"/>
        <w:rPr>
          <w:rFonts w:ascii="宋体" w:hAnsi="宋体" w:cs="宋体"/>
          <w:sz w:val="24"/>
        </w:rPr>
      </w:pPr>
      <w:r>
        <w:rPr>
          <w:rFonts w:hint="eastAsia" w:ascii="宋体" w:hAnsi="宋体" w:cs="宋体"/>
          <w:sz w:val="24"/>
        </w:rPr>
        <w:t>概念设计方案阶段：（15）个日历日</w:t>
      </w:r>
    </w:p>
    <w:p>
      <w:pPr>
        <w:spacing w:line="440" w:lineRule="exact"/>
        <w:ind w:firstLine="480" w:firstLineChars="200"/>
        <w:rPr>
          <w:rFonts w:ascii="宋体" w:hAnsi="宋体" w:cs="宋体"/>
          <w:sz w:val="24"/>
        </w:rPr>
      </w:pPr>
      <w:r>
        <w:rPr>
          <w:rFonts w:hint="eastAsia" w:ascii="宋体" w:hAnsi="宋体" w:cs="宋体"/>
          <w:sz w:val="24"/>
        </w:rPr>
        <w:t>方案深化设计阶段（含导视、照明）：（15）个日历日</w:t>
      </w:r>
    </w:p>
    <w:p>
      <w:pPr>
        <w:spacing w:line="440" w:lineRule="exact"/>
        <w:ind w:firstLine="480" w:firstLineChars="200"/>
        <w:rPr>
          <w:rFonts w:ascii="宋体" w:hAnsi="宋体" w:cs="宋体"/>
          <w:sz w:val="24"/>
        </w:rPr>
      </w:pPr>
      <w:r>
        <w:rPr>
          <w:rFonts w:hint="eastAsia" w:ascii="宋体" w:hAnsi="宋体" w:cs="宋体"/>
          <w:sz w:val="24"/>
        </w:rPr>
        <w:t>各阶段成果提交及汇报时间可根据项目需要双方协商调整，并以书面形式告知。</w:t>
      </w:r>
    </w:p>
    <w:p>
      <w:pPr>
        <w:spacing w:line="440" w:lineRule="exact"/>
        <w:ind w:firstLine="480" w:firstLineChars="200"/>
        <w:rPr>
          <w:rFonts w:ascii="宋体" w:hAnsi="宋体" w:cs="宋体"/>
          <w:sz w:val="24"/>
        </w:rPr>
      </w:pPr>
      <w:r>
        <w:rPr>
          <w:rFonts w:hint="eastAsia" w:ascii="宋体" w:hAnsi="宋体" w:cs="宋体"/>
          <w:sz w:val="24"/>
        </w:rPr>
        <w:t>甲方对乙方提交的阶段性汇报文件</w:t>
      </w:r>
      <w:r>
        <w:rPr>
          <w:rFonts w:ascii="宋体" w:hAnsi="宋体" w:cs="宋体"/>
          <w:sz w:val="24"/>
        </w:rPr>
        <w:t>审核通过后，需邮件通知乙方审核结果</w:t>
      </w:r>
      <w:r>
        <w:rPr>
          <w:rFonts w:hint="eastAsia" w:ascii="宋体" w:hAnsi="宋体" w:cs="宋体"/>
          <w:sz w:val="24"/>
        </w:rPr>
        <w:t>。</w:t>
      </w:r>
      <w:r>
        <w:rPr>
          <w:rFonts w:ascii="宋体" w:hAnsi="宋体" w:cs="宋体"/>
          <w:sz w:val="24"/>
        </w:rPr>
        <w:t>乙方</w:t>
      </w:r>
      <w:r>
        <w:rPr>
          <w:rFonts w:hint="eastAsia" w:ascii="宋体" w:hAnsi="宋体" w:cs="宋体"/>
          <w:sz w:val="24"/>
        </w:rPr>
        <w:t>收</w:t>
      </w:r>
      <w:r>
        <w:rPr>
          <w:rFonts w:ascii="宋体" w:hAnsi="宋体" w:cs="宋体"/>
          <w:sz w:val="24"/>
        </w:rPr>
        <w:t>到相应阶段服务内容</w:t>
      </w:r>
      <w:r>
        <w:rPr>
          <w:rFonts w:hint="eastAsia" w:ascii="宋体" w:hAnsi="宋体" w:cs="宋体"/>
          <w:sz w:val="24"/>
        </w:rPr>
        <w:t>甲方已确认部分的，</w:t>
      </w:r>
      <w:r>
        <w:rPr>
          <w:rFonts w:ascii="宋体" w:hAnsi="宋体" w:cs="宋体"/>
          <w:sz w:val="24"/>
        </w:rPr>
        <w:t>需同步启动下一设计阶段服务内容</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因乙方原因，导致设计进度（含节点进度）延误，每延期一日乙方需承担0.3万元的违约金。</w:t>
      </w:r>
    </w:p>
    <w:p>
      <w:pPr>
        <w:pStyle w:val="2"/>
      </w:pPr>
    </w:p>
    <w:p>
      <w:pPr>
        <w:spacing w:line="440" w:lineRule="exact"/>
        <w:ind w:firstLine="482" w:firstLineChars="200"/>
        <w:rPr>
          <w:rFonts w:ascii="宋体" w:hAnsi="宋体" w:cs="隶书"/>
          <w:sz w:val="24"/>
        </w:rPr>
      </w:pPr>
      <w:r>
        <w:rPr>
          <w:rFonts w:hint="eastAsia" w:ascii="宋体" w:hAnsi="宋体" w:cs="宋体"/>
          <w:b/>
          <w:sz w:val="24"/>
        </w:rPr>
        <w:t xml:space="preserve">第四条 设计费用    </w:t>
      </w:r>
    </w:p>
    <w:p>
      <w:pPr>
        <w:spacing w:line="440" w:lineRule="exact"/>
        <w:ind w:firstLine="480" w:firstLineChars="200"/>
        <w:rPr>
          <w:rFonts w:ascii="宋体" w:hAnsi="宋体" w:cs="宋体"/>
          <w:sz w:val="24"/>
        </w:rPr>
      </w:pPr>
      <w:r>
        <w:rPr>
          <w:rFonts w:hint="eastAsia" w:ascii="宋体" w:hAnsi="宋体" w:cs="宋体"/>
          <w:sz w:val="24"/>
        </w:rPr>
        <w:t xml:space="preserve">1.本合同项目整体报价为： </w:t>
      </w:r>
    </w:p>
    <w:p>
      <w:pPr>
        <w:spacing w:line="440" w:lineRule="exact"/>
        <w:ind w:firstLine="480" w:firstLineChars="200"/>
        <w:rPr>
          <w:rFonts w:ascii="宋体" w:hAnsi="宋体" w:cs="宋体"/>
          <w:sz w:val="24"/>
        </w:rPr>
      </w:pPr>
      <w:r>
        <w:rPr>
          <w:rFonts w:hint="eastAsia" w:ascii="宋体" w:hAnsi="宋体" w:cs="宋体"/>
          <w:sz w:val="24"/>
        </w:rPr>
        <w:t>2.甲方每次付款前，乙方须按规定提前向甲方提供该期设计款项甲方已确认部分的%增值税专用发票。如乙方延迟提供增值税专用发票，则支付款时间顺延至甲方收到发票后10个工作日为止。</w:t>
      </w:r>
    </w:p>
    <w:p>
      <w:pPr>
        <w:spacing w:line="440" w:lineRule="exact"/>
        <w:ind w:firstLine="480" w:firstLineChars="200"/>
        <w:rPr>
          <w:rFonts w:ascii="宋体" w:hAnsi="宋体" w:cs="宋体"/>
          <w:sz w:val="24"/>
        </w:rPr>
      </w:pPr>
      <w:r>
        <w:rPr>
          <w:rFonts w:hint="eastAsia" w:ascii="宋体" w:hAnsi="宋体" w:cs="宋体"/>
          <w:sz w:val="24"/>
        </w:rPr>
        <w:t>3.本设计费总额一次性包死，不因项目变化而调整，设计费应包括乙方完成本项目所必须的所有成本费用和乙方应承担的一切费用，包括但不限于资料收集、调查、现场勘察、专家评审、办公、交通、保险、人员、差旅、税费、测试工具等乙方为完成本项目所需的全部费用。</w:t>
      </w:r>
    </w:p>
    <w:p>
      <w:pPr>
        <w:pStyle w:val="2"/>
      </w:pPr>
    </w:p>
    <w:p>
      <w:pPr>
        <w:spacing w:line="440" w:lineRule="exact"/>
        <w:ind w:firstLine="482" w:firstLineChars="200"/>
        <w:rPr>
          <w:rFonts w:ascii="宋体" w:hAnsi="宋体" w:cs="隶书"/>
          <w:sz w:val="24"/>
        </w:rPr>
      </w:pPr>
      <w:r>
        <w:rPr>
          <w:rFonts w:hint="eastAsia" w:ascii="宋体" w:hAnsi="宋体" w:cs="宋体"/>
          <w:b/>
          <w:sz w:val="24"/>
        </w:rPr>
        <w:t>第五条 付款进度</w:t>
      </w:r>
    </w:p>
    <w:p>
      <w:pPr>
        <w:spacing w:line="440" w:lineRule="exact"/>
        <w:ind w:firstLine="482" w:firstLineChars="200"/>
        <w:rPr>
          <w:rFonts w:ascii="宋体" w:hAnsi="宋体" w:cs="宋体"/>
          <w:b/>
          <w:sz w:val="24"/>
        </w:rPr>
      </w:pPr>
      <w:r>
        <w:rPr>
          <w:rFonts w:hint="eastAsia" w:ascii="宋体" w:hAnsi="宋体" w:cs="宋体"/>
          <w:b/>
          <w:sz w:val="24"/>
        </w:rPr>
        <w:t>设计费用付款进度：</w:t>
      </w:r>
    </w:p>
    <w:p>
      <w:pPr>
        <w:spacing w:line="440" w:lineRule="exact"/>
        <w:ind w:firstLine="482" w:firstLineChars="200"/>
        <w:rPr>
          <w:rFonts w:ascii="宋体" w:hAnsi="宋体" w:cs="宋体"/>
          <w:b/>
          <w:sz w:val="24"/>
        </w:rPr>
      </w:pPr>
      <w:r>
        <w:rPr>
          <w:rFonts w:hint="eastAsia" w:ascii="宋体" w:hAnsi="宋体" w:cs="宋体"/>
          <w:b/>
          <w:sz w:val="24"/>
        </w:rPr>
        <w:t>第一期  设计工作预付款</w:t>
      </w:r>
    </w:p>
    <w:p>
      <w:pPr>
        <w:spacing w:line="440" w:lineRule="exact"/>
        <w:ind w:firstLine="480" w:firstLineChars="200"/>
        <w:rPr>
          <w:rFonts w:ascii="宋体" w:hAnsi="宋体" w:cs="宋体"/>
          <w:sz w:val="24"/>
        </w:rPr>
      </w:pPr>
      <w:r>
        <w:rPr>
          <w:rFonts w:hint="eastAsia" w:ascii="宋体" w:hAnsi="宋体" w:cs="宋体"/>
          <w:sz w:val="24"/>
        </w:rPr>
        <w:t>合同签订后15个工作日内，付款至总设计费用的20%，即人民币：</w:t>
      </w:r>
      <w:r>
        <w:rPr>
          <w:rFonts w:hint="eastAsia" w:ascii="宋体" w:hAnsi="宋体" w:cs="宋体"/>
          <w:sz w:val="24"/>
          <w:u w:val="single"/>
        </w:rPr>
        <w:t xml:space="preserve">                 ；</w:t>
      </w:r>
    </w:p>
    <w:p>
      <w:pPr>
        <w:spacing w:line="440" w:lineRule="exact"/>
        <w:ind w:firstLine="482" w:firstLineChars="200"/>
        <w:rPr>
          <w:rFonts w:ascii="宋体" w:hAnsi="宋体" w:cs="宋体"/>
          <w:b/>
          <w:sz w:val="24"/>
        </w:rPr>
      </w:pPr>
      <w:r>
        <w:rPr>
          <w:rFonts w:hint="eastAsia" w:ascii="宋体" w:hAnsi="宋体" w:cs="宋体"/>
          <w:b/>
          <w:sz w:val="24"/>
        </w:rPr>
        <w:t>第二期  乙方按约定设计完成概念方案设计服务</w:t>
      </w:r>
    </w:p>
    <w:p>
      <w:pPr>
        <w:spacing w:line="440" w:lineRule="exact"/>
        <w:ind w:firstLine="480" w:firstLineChars="200"/>
        <w:rPr>
          <w:rFonts w:ascii="宋体" w:hAnsi="宋体" w:cs="宋体"/>
          <w:sz w:val="24"/>
        </w:rPr>
      </w:pPr>
      <w:r>
        <w:rPr>
          <w:rFonts w:hint="eastAsia" w:ascii="宋体" w:hAnsi="宋体" w:cs="宋体"/>
          <w:sz w:val="24"/>
        </w:rPr>
        <w:t>概念方案完成优化设计，并通过甲方组织的方案评审最终确认后，付款至总设计费用的50%，即人民币：</w:t>
      </w:r>
      <w:r>
        <w:rPr>
          <w:rFonts w:hint="eastAsia" w:ascii="宋体" w:hAnsi="宋体" w:cs="宋体"/>
          <w:sz w:val="24"/>
          <w:u w:val="single"/>
        </w:rPr>
        <w:t xml:space="preserve">                             ；</w:t>
      </w:r>
    </w:p>
    <w:p>
      <w:pPr>
        <w:spacing w:line="440" w:lineRule="exact"/>
        <w:ind w:firstLine="482" w:firstLineChars="200"/>
        <w:rPr>
          <w:rFonts w:ascii="宋体" w:hAnsi="宋体" w:cs="宋体"/>
          <w:b/>
          <w:sz w:val="24"/>
        </w:rPr>
      </w:pPr>
      <w:r>
        <w:rPr>
          <w:rFonts w:hint="eastAsia" w:ascii="宋体" w:hAnsi="宋体" w:cs="宋体"/>
          <w:b/>
          <w:sz w:val="24"/>
        </w:rPr>
        <w:t>第三期  乙方按约定设计完成深化方案设计服务</w:t>
      </w:r>
    </w:p>
    <w:p>
      <w:pPr>
        <w:spacing w:line="440" w:lineRule="exact"/>
        <w:ind w:firstLine="480" w:firstLineChars="200"/>
        <w:jc w:val="left"/>
        <w:rPr>
          <w:rFonts w:ascii="宋体" w:hAnsi="宋体" w:cs="宋体"/>
          <w:sz w:val="24"/>
        </w:rPr>
      </w:pPr>
      <w:r>
        <w:rPr>
          <w:rFonts w:hint="eastAsia" w:ascii="宋体" w:hAnsi="宋体" w:cs="宋体"/>
          <w:sz w:val="24"/>
        </w:rPr>
        <w:t>深化方案设计完成，并通过甲方组织的方案评审最终确认后、提交所有设计内容并甲方确认达到甲方、合同约定及政府报审通过的深度及要求后，付款至总设计费用的80%，即人民币</w:t>
      </w:r>
      <w:r>
        <w:rPr>
          <w:rFonts w:hint="eastAsia" w:ascii="宋体" w:hAnsi="宋体" w:cs="宋体"/>
          <w:sz w:val="24"/>
          <w:u w:val="single"/>
        </w:rPr>
        <w:t xml:space="preserve">                  ；</w:t>
      </w:r>
    </w:p>
    <w:p>
      <w:pPr>
        <w:spacing w:line="440" w:lineRule="exact"/>
        <w:ind w:firstLine="482" w:firstLineChars="200"/>
        <w:rPr>
          <w:rFonts w:ascii="宋体" w:hAnsi="宋体" w:cs="宋体"/>
          <w:b/>
          <w:sz w:val="24"/>
        </w:rPr>
      </w:pPr>
      <w:r>
        <w:rPr>
          <w:rFonts w:hint="eastAsia" w:ascii="宋体" w:hAnsi="宋体" w:cs="宋体"/>
          <w:b/>
          <w:sz w:val="24"/>
        </w:rPr>
        <w:t>第四期  尾款</w:t>
      </w:r>
    </w:p>
    <w:p>
      <w:pPr>
        <w:spacing w:line="440" w:lineRule="exact"/>
        <w:ind w:firstLine="480" w:firstLineChars="200"/>
        <w:rPr>
          <w:rFonts w:ascii="宋体" w:hAnsi="宋体" w:cs="宋体"/>
          <w:sz w:val="24"/>
        </w:rPr>
      </w:pPr>
      <w:r>
        <w:rPr>
          <w:rFonts w:hint="eastAsia" w:ascii="宋体" w:hAnsi="宋体" w:cs="宋体"/>
          <w:sz w:val="24"/>
        </w:rPr>
        <w:t>施工过程中，乙方按照甲方要求调整、修改、完善设计及设计图纸，指派设计人员进驻施工现场，及时解决施工过程中涉及的与设计相关的问题并按甲方要求以图纸变更联系单(附图)发给施工图单位，给予良好的施工配合，所有工程验收合格并提交设计电子文档资料，项目完成所有重装工程且正式营业后十五个工作日内，付款至总设计费用的100%，即人民币：。</w:t>
      </w:r>
    </w:p>
    <w:p>
      <w:pPr>
        <w:spacing w:line="440" w:lineRule="exact"/>
        <w:ind w:firstLine="482" w:firstLineChars="200"/>
        <w:rPr>
          <w:rFonts w:ascii="宋体" w:hAnsi="宋体" w:cs="宋体"/>
          <w:b/>
          <w:bCs/>
          <w:sz w:val="24"/>
        </w:rPr>
      </w:pPr>
      <w:r>
        <w:rPr>
          <w:rFonts w:hint="eastAsia" w:ascii="宋体" w:hAnsi="宋体" w:cs="宋体"/>
          <w:b/>
          <w:bCs/>
          <w:sz w:val="24"/>
        </w:rPr>
        <w:t>备注：</w:t>
      </w:r>
    </w:p>
    <w:p>
      <w:pPr>
        <w:spacing w:line="440" w:lineRule="exact"/>
        <w:ind w:firstLine="480" w:firstLineChars="200"/>
        <w:rPr>
          <w:rFonts w:ascii="宋体" w:hAnsi="宋体" w:cs="宋体"/>
          <w:sz w:val="24"/>
        </w:rPr>
      </w:pPr>
      <w:r>
        <w:rPr>
          <w:rFonts w:hint="eastAsia" w:ascii="宋体" w:hAnsi="宋体" w:cs="宋体"/>
          <w:sz w:val="24"/>
        </w:rPr>
        <w:t>1.乙方提交的各阶段工作成果应达到甲方、合同约定及政府报审通过的深度及要求，并提交设计文件的PDF格式文件和DWG格式文件，甲方应在收到各阶段工作成果后的5个工作日进行审核确认及意见反馈。如果未达到甲方要求、合同规定及政府报审通过的深度及要求，乙方应在10个工作日内对工作成果进行修改及完善，由此产生的费用由乙方承担。</w:t>
      </w:r>
    </w:p>
    <w:p>
      <w:pPr>
        <w:spacing w:line="440" w:lineRule="exact"/>
        <w:ind w:firstLine="480" w:firstLineChars="200"/>
        <w:rPr>
          <w:rFonts w:ascii="宋体" w:hAnsi="宋体" w:cs="宋体"/>
          <w:sz w:val="24"/>
        </w:rPr>
      </w:pPr>
      <w:r>
        <w:rPr>
          <w:rFonts w:hint="eastAsia" w:ascii="宋体" w:hAnsi="宋体" w:cs="宋体"/>
          <w:sz w:val="24"/>
        </w:rPr>
        <w:t>如果甲方确认延迟，则项目进入下一阶段的时间也相应延后。</w:t>
      </w:r>
    </w:p>
    <w:p>
      <w:pPr>
        <w:spacing w:line="440" w:lineRule="exact"/>
        <w:ind w:firstLine="480" w:firstLineChars="200"/>
        <w:rPr>
          <w:rFonts w:ascii="宋体" w:hAnsi="宋体" w:cs="宋体"/>
          <w:sz w:val="24"/>
        </w:rPr>
      </w:pPr>
      <w:r>
        <w:rPr>
          <w:rFonts w:hint="eastAsia" w:ascii="宋体" w:hAnsi="宋体" w:cs="宋体"/>
          <w:sz w:val="24"/>
        </w:rPr>
        <w:t>如果乙方修改方案满三次甲方都不满意的，甲方有权单方面终止本合同，且乙方应退还已收取的设计费用、承担合同总价30%的违约金并赔偿给甲方造成的全部损失。</w:t>
      </w:r>
    </w:p>
    <w:p>
      <w:pPr>
        <w:spacing w:line="440" w:lineRule="exact"/>
        <w:ind w:firstLine="480" w:firstLineChars="200"/>
        <w:rPr>
          <w:rFonts w:ascii="宋体" w:hAnsi="宋体" w:cs="宋体"/>
          <w:sz w:val="24"/>
        </w:rPr>
      </w:pPr>
      <w:r>
        <w:rPr>
          <w:rFonts w:hint="eastAsia" w:ascii="宋体" w:hAnsi="宋体" w:cs="宋体"/>
          <w:sz w:val="24"/>
        </w:rPr>
        <w:t>2.在阶段成果甲方审核通过后，乙方提交甲方已确认部分费用的增值税专用发票，甲方需在收到发票后10个工作日内支付阶段已确认部分的设计款。如甲方不能按照时间进度支付本阶段已确认部分设计款，则乙方有权在提出请款进度后，暂停下一阶段的设计工作。</w:t>
      </w:r>
    </w:p>
    <w:p>
      <w:pPr>
        <w:spacing w:line="440" w:lineRule="exact"/>
        <w:ind w:firstLine="482" w:firstLineChars="200"/>
        <w:rPr>
          <w:rFonts w:ascii="宋体" w:hAnsi="宋体" w:cs="宋体"/>
          <w:b/>
          <w:sz w:val="24"/>
        </w:rPr>
      </w:pPr>
    </w:p>
    <w:p>
      <w:pPr>
        <w:spacing w:line="440" w:lineRule="exact"/>
        <w:ind w:firstLine="482" w:firstLineChars="200"/>
        <w:rPr>
          <w:rFonts w:ascii="宋体" w:hAnsi="宋体" w:cs="隶书"/>
          <w:sz w:val="24"/>
        </w:rPr>
      </w:pPr>
      <w:r>
        <w:rPr>
          <w:rFonts w:hint="eastAsia" w:ascii="宋体" w:hAnsi="宋体" w:cs="宋体"/>
          <w:b/>
          <w:sz w:val="24"/>
        </w:rPr>
        <w:t xml:space="preserve">第六条  合同条款 </w:t>
      </w:r>
    </w:p>
    <w:p>
      <w:pPr>
        <w:spacing w:line="440" w:lineRule="exact"/>
        <w:ind w:firstLine="482" w:firstLineChars="200"/>
        <w:rPr>
          <w:rFonts w:ascii="宋体" w:hAnsi="宋体" w:cs="宋体"/>
          <w:b/>
          <w:sz w:val="24"/>
        </w:rPr>
      </w:pPr>
      <w:r>
        <w:rPr>
          <w:rFonts w:hint="eastAsia" w:ascii="宋体" w:hAnsi="宋体" w:cs="宋体"/>
          <w:b/>
          <w:sz w:val="24"/>
        </w:rPr>
        <w:t>1.甲方责任</w:t>
      </w:r>
    </w:p>
    <w:p>
      <w:pPr>
        <w:spacing w:line="440" w:lineRule="exact"/>
        <w:ind w:firstLine="480" w:firstLineChars="200"/>
        <w:rPr>
          <w:rFonts w:ascii="宋体" w:hAnsi="宋体" w:cs="宋体"/>
          <w:sz w:val="24"/>
        </w:rPr>
      </w:pPr>
      <w:r>
        <w:rPr>
          <w:rFonts w:hint="eastAsia" w:ascii="宋体" w:hAnsi="宋体" w:cs="宋体"/>
          <w:sz w:val="24"/>
        </w:rPr>
        <w:t>1.1甲方向乙方提交相关资料及文件，并对其完整性、正确性、及时性负责。</w:t>
      </w:r>
    </w:p>
    <w:p>
      <w:pPr>
        <w:spacing w:line="440" w:lineRule="exact"/>
        <w:ind w:firstLine="480" w:firstLineChars="200"/>
        <w:rPr>
          <w:rFonts w:ascii="宋体" w:hAnsi="宋体" w:cs="宋体"/>
          <w:sz w:val="24"/>
        </w:rPr>
      </w:pPr>
      <w:r>
        <w:rPr>
          <w:rFonts w:hint="eastAsia" w:ascii="宋体" w:hAnsi="宋体" w:cs="宋体"/>
          <w:sz w:val="24"/>
        </w:rPr>
        <w:t>1.2甲方按合同约定时间节点支付乙方设计费用。</w:t>
      </w:r>
    </w:p>
    <w:p>
      <w:pPr>
        <w:spacing w:line="440" w:lineRule="exact"/>
        <w:ind w:firstLine="480" w:firstLineChars="200"/>
        <w:rPr>
          <w:rFonts w:ascii="宋体" w:hAnsi="宋体" w:cs="宋体"/>
          <w:sz w:val="24"/>
        </w:rPr>
      </w:pPr>
      <w:r>
        <w:rPr>
          <w:rFonts w:hint="eastAsia" w:ascii="宋体" w:hAnsi="宋体" w:cs="宋体"/>
          <w:sz w:val="24"/>
        </w:rPr>
        <w:t>1.3乙方的设计属于原创文件，甲方付清某一阶段设计费后乙方提交的相应设计成果所有权及知识产权归属甲方所有。</w:t>
      </w:r>
    </w:p>
    <w:p>
      <w:pPr>
        <w:spacing w:line="440" w:lineRule="exact"/>
        <w:ind w:firstLine="482" w:firstLineChars="200"/>
        <w:rPr>
          <w:rFonts w:ascii="宋体" w:hAnsi="宋体" w:cs="宋体"/>
          <w:b/>
          <w:sz w:val="24"/>
        </w:rPr>
      </w:pPr>
      <w:r>
        <w:rPr>
          <w:rFonts w:hint="eastAsia" w:ascii="宋体" w:hAnsi="宋体" w:cs="宋体"/>
          <w:b/>
          <w:sz w:val="24"/>
        </w:rPr>
        <w:t>2. 乙方责任</w:t>
      </w:r>
    </w:p>
    <w:p>
      <w:pPr>
        <w:spacing w:line="440" w:lineRule="exact"/>
        <w:ind w:firstLine="480" w:firstLineChars="200"/>
        <w:rPr>
          <w:rFonts w:ascii="宋体" w:hAnsi="宋体" w:cs="宋体"/>
          <w:sz w:val="24"/>
        </w:rPr>
      </w:pPr>
      <w:r>
        <w:rPr>
          <w:rFonts w:hint="eastAsia" w:ascii="宋体" w:hAnsi="宋体" w:cs="宋体"/>
          <w:sz w:val="24"/>
        </w:rPr>
        <w:t>2.1乙方应按中华人民共和国技术规范、强制性规范、标准、规程及甲方提出的设计要求进行设计，按合同规定的进度要求提交质量合格的设计资料，并对其负责。如未按中华人民共和国相关技术规范、强制性规范、标准、规程及甲方提出的设计要求进行设计，</w:t>
      </w:r>
      <w:r>
        <w:rPr>
          <w:rFonts w:ascii="宋体" w:hAnsi="宋体" w:cs="宋体"/>
          <w:sz w:val="24"/>
        </w:rPr>
        <w:t>乙方赔偿甲方由此造成的</w:t>
      </w:r>
      <w:r>
        <w:rPr>
          <w:rFonts w:hint="eastAsia" w:ascii="宋体" w:hAnsi="宋体" w:cs="宋体"/>
          <w:sz w:val="24"/>
        </w:rPr>
        <w:t>包括但不限于甲方的工期拖延、工程返工、财产损失、损害赔偿等所有</w:t>
      </w:r>
      <w:r>
        <w:rPr>
          <w:rFonts w:ascii="宋体" w:hAnsi="宋体" w:cs="宋体"/>
          <w:sz w:val="24"/>
        </w:rPr>
        <w:t>损失</w:t>
      </w:r>
      <w:r>
        <w:rPr>
          <w:rFonts w:hint="eastAsia" w:ascii="宋体" w:hAnsi="宋体" w:cs="宋体"/>
          <w:sz w:val="24"/>
        </w:rPr>
        <w:t>，并按照本合同总设计费的</w:t>
      </w:r>
      <w:r>
        <w:rPr>
          <w:rFonts w:ascii="宋体" w:hAnsi="宋体" w:cs="宋体"/>
          <w:sz w:val="24"/>
        </w:rPr>
        <w:t>10%</w:t>
      </w:r>
      <w:r>
        <w:rPr>
          <w:rFonts w:hint="eastAsia" w:ascii="宋体" w:hAnsi="宋体" w:cs="宋体"/>
          <w:sz w:val="24"/>
        </w:rPr>
        <w:t>向甲方承担违约金。</w:t>
      </w:r>
    </w:p>
    <w:p>
      <w:pPr>
        <w:spacing w:line="440" w:lineRule="exact"/>
        <w:ind w:firstLine="480" w:firstLineChars="200"/>
        <w:rPr>
          <w:rFonts w:ascii="宋体" w:hAnsi="宋体" w:cs="宋体"/>
          <w:sz w:val="24"/>
        </w:rPr>
      </w:pPr>
      <w:r>
        <w:rPr>
          <w:rFonts w:hint="eastAsia" w:ascii="宋体" w:hAnsi="宋体" w:cs="宋体"/>
          <w:sz w:val="24"/>
        </w:rPr>
        <w:t>2.2乙方设计应不能超现有建筑设计荷载，若乙方设计超载，</w:t>
      </w:r>
      <w:r>
        <w:rPr>
          <w:rFonts w:ascii="宋体" w:hAnsi="宋体" w:cs="宋体"/>
          <w:sz w:val="24"/>
        </w:rPr>
        <w:t>乙方赔偿甲方由此造成的</w:t>
      </w:r>
      <w:r>
        <w:rPr>
          <w:rFonts w:hint="eastAsia" w:ascii="宋体" w:hAnsi="宋体" w:cs="宋体"/>
          <w:sz w:val="24"/>
        </w:rPr>
        <w:t>包括但不限于甲方的工期拖延、工程返工、财产损失、损害赔偿等所有</w:t>
      </w:r>
      <w:r>
        <w:rPr>
          <w:rFonts w:ascii="宋体" w:hAnsi="宋体" w:cs="宋体"/>
          <w:sz w:val="24"/>
        </w:rPr>
        <w:t>损失</w:t>
      </w:r>
      <w:r>
        <w:rPr>
          <w:rFonts w:hint="eastAsia" w:ascii="宋体" w:hAnsi="宋体" w:cs="宋体"/>
          <w:sz w:val="24"/>
        </w:rPr>
        <w:t>，并按照本合同总设计费的</w:t>
      </w:r>
      <w:r>
        <w:rPr>
          <w:rFonts w:ascii="宋体" w:hAnsi="宋体" w:cs="宋体"/>
          <w:sz w:val="24"/>
        </w:rPr>
        <w:t>10%</w:t>
      </w:r>
      <w:r>
        <w:rPr>
          <w:rFonts w:hint="eastAsia" w:ascii="宋体" w:hAnsi="宋体" w:cs="宋体"/>
          <w:sz w:val="24"/>
        </w:rPr>
        <w:t>向甲方承担违约金。</w:t>
      </w:r>
    </w:p>
    <w:p>
      <w:pPr>
        <w:spacing w:line="440" w:lineRule="exact"/>
        <w:ind w:firstLine="480" w:firstLineChars="200"/>
        <w:rPr>
          <w:rFonts w:ascii="宋体" w:hAnsi="宋体" w:cs="宋体"/>
          <w:sz w:val="24"/>
        </w:rPr>
      </w:pPr>
      <w:r>
        <w:rPr>
          <w:rFonts w:hint="eastAsia" w:ascii="宋体" w:hAnsi="宋体" w:cs="宋体"/>
          <w:sz w:val="24"/>
        </w:rPr>
        <w:t>2.3乙方应现场踏勘了解项目现场实际做合理方案设计，并负责与消防、空调等相关图纸进行叠加，提出问题及建议，并负责协调问题解决，确保方案有效实施；若乙方设计理念的实现与施工图、深化设计以及现场实施发生冲突，乙方应该负责解决；乙方驻场负责人应与施工现场保持紧密沟通，确保现场施工为正确图纸，保障甲方施工顺利进行，若乙方原因造成甲方的工期拖延、工程返工等，甲方有权就其损失向乙方索赔。</w:t>
      </w:r>
    </w:p>
    <w:p>
      <w:pPr>
        <w:spacing w:line="440" w:lineRule="exact"/>
        <w:ind w:firstLine="480" w:firstLineChars="200"/>
        <w:rPr>
          <w:rFonts w:ascii="宋体" w:hAnsi="宋体" w:cs="宋体"/>
          <w:sz w:val="24"/>
        </w:rPr>
      </w:pPr>
      <w:r>
        <w:rPr>
          <w:rFonts w:hint="eastAsia" w:ascii="宋体" w:hAnsi="宋体" w:cs="宋体"/>
          <w:sz w:val="24"/>
        </w:rPr>
        <w:t>2.4乙方交付设计资料及文件后，应按合同约定及甲方要求参加有关审查和现场答疑，根据审查结论及时做修改补充和调整。</w:t>
      </w:r>
    </w:p>
    <w:p>
      <w:pPr>
        <w:spacing w:line="440" w:lineRule="exact"/>
        <w:ind w:firstLine="480" w:firstLineChars="200"/>
        <w:rPr>
          <w:rFonts w:ascii="宋体" w:hAnsi="宋体" w:cs="宋体"/>
          <w:sz w:val="24"/>
        </w:rPr>
      </w:pPr>
      <w:r>
        <w:rPr>
          <w:rFonts w:hint="eastAsia" w:ascii="宋体" w:hAnsi="宋体" w:cs="宋体"/>
          <w:sz w:val="24"/>
        </w:rPr>
        <w:t>2.5乙方不得向第三方泄露、转让甲方提交的产品图纸等技术经济资料。如发生以上情况，并给甲方造成损失的甲方有权向乙方索赔。</w:t>
      </w:r>
    </w:p>
    <w:p>
      <w:pPr>
        <w:spacing w:line="440" w:lineRule="exact"/>
        <w:ind w:firstLine="480" w:firstLineChars="200"/>
        <w:rPr>
          <w:rFonts w:ascii="宋体" w:hAnsi="宋体" w:cs="宋体"/>
          <w:sz w:val="24"/>
        </w:rPr>
      </w:pPr>
      <w:r>
        <w:rPr>
          <w:rFonts w:hint="eastAsia" w:ascii="宋体" w:hAnsi="宋体" w:cs="宋体"/>
          <w:sz w:val="24"/>
        </w:rPr>
        <w:t>2.6乙方根据项目需要参加项目交流、汇报等工作以配合项目顺利完成。为保证汇报效果，乙方项目负责人及主要设计人员须到场。</w:t>
      </w:r>
    </w:p>
    <w:p>
      <w:pPr>
        <w:spacing w:line="440" w:lineRule="exact"/>
        <w:ind w:firstLine="480" w:firstLineChars="200"/>
        <w:rPr>
          <w:rFonts w:ascii="宋体" w:hAnsi="宋体" w:cs="宋体"/>
          <w:sz w:val="24"/>
        </w:rPr>
      </w:pPr>
      <w:r>
        <w:rPr>
          <w:rFonts w:hint="eastAsia" w:ascii="宋体" w:hAnsi="宋体" w:cs="宋体"/>
          <w:sz w:val="24"/>
        </w:rPr>
        <w:t>2.7乙方逾期提供设计方案，导致设计进度（含节点进度）延误，每延期一日乙方需承担0.3万元的违约金；逾期超过20个日历天，乙方除应按前述标准支付违约金外，甲方还有权解除合同，乙方应返还甲方已付的全部设计费，并赔偿因此给甲方造成的全部损失。</w:t>
      </w:r>
    </w:p>
    <w:p>
      <w:pPr>
        <w:spacing w:line="440" w:lineRule="exact"/>
        <w:ind w:firstLine="482" w:firstLineChars="200"/>
        <w:rPr>
          <w:rFonts w:ascii="宋体" w:hAnsi="宋体" w:cs="宋体"/>
          <w:b/>
          <w:sz w:val="24"/>
        </w:rPr>
      </w:pPr>
      <w:r>
        <w:rPr>
          <w:rFonts w:hint="eastAsia" w:ascii="宋体" w:hAnsi="宋体" w:cs="宋体"/>
          <w:b/>
          <w:sz w:val="24"/>
        </w:rPr>
        <w:t>3.额外工作量</w:t>
      </w:r>
    </w:p>
    <w:p>
      <w:pPr>
        <w:spacing w:line="440" w:lineRule="exact"/>
        <w:ind w:firstLine="480" w:firstLineChars="200"/>
        <w:rPr>
          <w:rFonts w:ascii="宋体" w:hAnsi="宋体" w:cs="宋体"/>
          <w:sz w:val="24"/>
        </w:rPr>
      </w:pPr>
      <w:r>
        <w:rPr>
          <w:rFonts w:hint="eastAsia" w:ascii="宋体" w:hAnsi="宋体" w:cs="宋体"/>
          <w:sz w:val="24"/>
        </w:rPr>
        <w:t>已按总承包设计方式报价，以满足甲方需求为基准，设计费一次性包死，乙方不得要求增加设计费，甲方除支付设计费外无需支付乙方其他任何费用。</w:t>
      </w:r>
    </w:p>
    <w:p>
      <w:pPr>
        <w:spacing w:line="440" w:lineRule="exact"/>
        <w:ind w:firstLine="482" w:firstLineChars="200"/>
        <w:rPr>
          <w:rFonts w:ascii="宋体" w:hAnsi="宋体" w:cs="宋体"/>
          <w:b/>
          <w:sz w:val="24"/>
        </w:rPr>
      </w:pPr>
      <w:r>
        <w:rPr>
          <w:rFonts w:hint="eastAsia" w:ascii="宋体" w:hAnsi="宋体" w:cs="宋体"/>
          <w:b/>
          <w:sz w:val="24"/>
        </w:rPr>
        <w:t>4.终止服务合约</w:t>
      </w:r>
    </w:p>
    <w:p>
      <w:pPr>
        <w:spacing w:line="440" w:lineRule="exact"/>
        <w:ind w:firstLine="480" w:firstLineChars="200"/>
        <w:rPr>
          <w:rFonts w:ascii="宋体" w:hAnsi="宋体" w:cs="宋体"/>
          <w:sz w:val="24"/>
        </w:rPr>
      </w:pPr>
      <w:r>
        <w:rPr>
          <w:rFonts w:hint="eastAsia" w:ascii="宋体" w:hAnsi="宋体" w:cs="宋体"/>
          <w:sz w:val="24"/>
        </w:rPr>
        <w:t>4.1如果因乙方原因而未能按合同要求完成设计工作，甲方有权单方面终止本合同，如对甲方造成其它损失，乙方应退还已收取的设计费用，</w:t>
      </w:r>
      <w:r>
        <w:rPr>
          <w:rFonts w:ascii="宋体" w:hAnsi="宋体" w:cs="宋体"/>
          <w:sz w:val="24"/>
        </w:rPr>
        <w:t>赔偿</w:t>
      </w:r>
      <w:r>
        <w:rPr>
          <w:rFonts w:hint="eastAsia" w:ascii="宋体" w:hAnsi="宋体" w:cs="宋体"/>
          <w:sz w:val="24"/>
        </w:rPr>
        <w:t>甲方</w:t>
      </w:r>
      <w:r>
        <w:rPr>
          <w:rFonts w:ascii="宋体" w:hAnsi="宋体" w:cs="宋体"/>
          <w:sz w:val="24"/>
        </w:rPr>
        <w:t>由此造成的</w:t>
      </w:r>
      <w:r>
        <w:rPr>
          <w:rFonts w:hint="eastAsia" w:ascii="宋体" w:hAnsi="宋体" w:cs="宋体"/>
          <w:sz w:val="24"/>
        </w:rPr>
        <w:t>包括但不限于甲方的工期拖延、工程返工等所有</w:t>
      </w:r>
      <w:r>
        <w:rPr>
          <w:rFonts w:ascii="宋体" w:hAnsi="宋体" w:cs="宋体"/>
          <w:sz w:val="24"/>
        </w:rPr>
        <w:t>损失</w:t>
      </w:r>
      <w:r>
        <w:rPr>
          <w:rFonts w:hint="eastAsia" w:ascii="宋体" w:hAnsi="宋体" w:cs="宋体"/>
          <w:sz w:val="24"/>
        </w:rPr>
        <w:t>，并按照本合同总设计费的</w:t>
      </w:r>
      <w:r>
        <w:rPr>
          <w:rFonts w:ascii="宋体" w:hAnsi="宋体" w:cs="宋体"/>
          <w:sz w:val="24"/>
        </w:rPr>
        <w:t>10%</w:t>
      </w:r>
      <w:r>
        <w:rPr>
          <w:rFonts w:hint="eastAsia" w:ascii="宋体" w:hAnsi="宋体" w:cs="宋体"/>
          <w:sz w:val="24"/>
        </w:rPr>
        <w:t>向甲方承担违约金。</w:t>
      </w:r>
    </w:p>
    <w:p>
      <w:pPr>
        <w:spacing w:line="440" w:lineRule="exact"/>
        <w:ind w:firstLine="480" w:firstLineChars="200"/>
        <w:rPr>
          <w:rFonts w:ascii="宋体" w:hAnsi="宋体" w:cs="宋体"/>
          <w:sz w:val="24"/>
        </w:rPr>
      </w:pPr>
      <w:r>
        <w:rPr>
          <w:rFonts w:hint="eastAsia" w:ascii="宋体" w:hAnsi="宋体" w:cs="宋体"/>
          <w:sz w:val="24"/>
        </w:rPr>
        <w:t>4.2若交付方案经三次以上修改仍未满足甲方需求的，</w:t>
      </w:r>
      <w:r>
        <w:rPr>
          <w:rFonts w:ascii="宋体" w:hAnsi="宋体" w:cs="宋体"/>
          <w:sz w:val="24"/>
        </w:rPr>
        <w:t>甲方</w:t>
      </w:r>
      <w:r>
        <w:rPr>
          <w:rFonts w:hint="eastAsia" w:ascii="宋体" w:hAnsi="宋体" w:cs="宋体"/>
          <w:sz w:val="24"/>
        </w:rPr>
        <w:t>有权单方面终止合同，</w:t>
      </w:r>
      <w:r>
        <w:rPr>
          <w:rFonts w:ascii="宋体" w:hAnsi="宋体" w:cs="宋体"/>
          <w:sz w:val="24"/>
        </w:rPr>
        <w:t>乙方</w:t>
      </w:r>
      <w:r>
        <w:rPr>
          <w:rFonts w:hint="eastAsia" w:ascii="宋体" w:hAnsi="宋体" w:cs="宋体"/>
          <w:sz w:val="24"/>
        </w:rPr>
        <w:t>应退还已收取的设计费用，</w:t>
      </w:r>
      <w:r>
        <w:rPr>
          <w:rFonts w:ascii="宋体" w:hAnsi="宋体" w:cs="宋体"/>
          <w:sz w:val="24"/>
        </w:rPr>
        <w:t>赔偿甲方由此造成的</w:t>
      </w:r>
      <w:r>
        <w:rPr>
          <w:rFonts w:hint="eastAsia" w:ascii="宋体" w:hAnsi="宋体" w:cs="宋体"/>
          <w:sz w:val="24"/>
        </w:rPr>
        <w:t>包括但不限于甲方的工期拖延、工程返工等所有</w:t>
      </w:r>
      <w:r>
        <w:rPr>
          <w:rFonts w:ascii="宋体" w:hAnsi="宋体" w:cs="宋体"/>
          <w:sz w:val="24"/>
        </w:rPr>
        <w:t>损失</w:t>
      </w:r>
      <w:r>
        <w:rPr>
          <w:rFonts w:hint="eastAsia" w:ascii="宋体" w:hAnsi="宋体" w:cs="宋体"/>
          <w:sz w:val="24"/>
        </w:rPr>
        <w:t>，并按照本合同总设计费的</w:t>
      </w:r>
      <w:r>
        <w:rPr>
          <w:rFonts w:ascii="宋体" w:hAnsi="宋体" w:cs="宋体"/>
          <w:sz w:val="24"/>
        </w:rPr>
        <w:t>10%</w:t>
      </w:r>
      <w:r>
        <w:rPr>
          <w:rFonts w:hint="eastAsia" w:ascii="宋体" w:hAnsi="宋体" w:cs="宋体"/>
          <w:sz w:val="24"/>
        </w:rPr>
        <w:t>向甲方承担违约金。</w:t>
      </w:r>
    </w:p>
    <w:p>
      <w:pPr>
        <w:spacing w:line="440" w:lineRule="exact"/>
        <w:ind w:firstLine="480" w:firstLineChars="200"/>
        <w:rPr>
          <w:rFonts w:ascii="宋体" w:hAnsi="宋体" w:cs="宋体"/>
          <w:sz w:val="24"/>
        </w:rPr>
      </w:pPr>
      <w:r>
        <w:rPr>
          <w:rFonts w:hint="eastAsia" w:ascii="宋体" w:hAnsi="宋体" w:cs="宋体"/>
          <w:sz w:val="24"/>
        </w:rPr>
        <w:t>4.3地震、台风、水灾、火灾、战争以及其它不能预见并且对发生和后果不能防止或避免的不可抗力事故，致使直接影响协议履行或者不能按照约定的条件十五天内提供事故详情及协议不能履行或部分不能履行，或者需要延期履行的理由的有效证明文件，此项证明文件应由事故发生地区的公证机关出具。按照事故对履行协议的影响程度，由双方协商决定是否解除协议，或者部分免除履行的责任，或者延期履行协议。</w:t>
      </w:r>
    </w:p>
    <w:p>
      <w:pPr>
        <w:spacing w:line="440" w:lineRule="exact"/>
        <w:ind w:firstLine="480" w:firstLineChars="200"/>
        <w:rPr>
          <w:rFonts w:ascii="宋体" w:hAnsi="宋体" w:cs="宋体"/>
          <w:sz w:val="24"/>
        </w:rPr>
      </w:pPr>
      <w:r>
        <w:rPr>
          <w:rFonts w:hint="eastAsia" w:ascii="宋体" w:hAnsi="宋体" w:cs="宋体"/>
          <w:sz w:val="24"/>
        </w:rPr>
        <w:t>4.4甲方应按时向乙方支付方案成果已确认部分的设计费，甲方延迟支付的，违约金计算方式为相应阶段已确认部分应付设计费的万分之一/天向乙方支付延迟违约金，违约金计算周期最长不超过二十个日历天，逾期超过20天的，乙方有权解除合同，不返还已收费用，并有权要求甲方赔偿相应损失，</w:t>
      </w:r>
      <w:r>
        <w:rPr>
          <w:rFonts w:ascii="宋体" w:hAnsi="宋体" w:cs="宋体"/>
          <w:sz w:val="24"/>
        </w:rPr>
        <w:t>解除合同的通知以</w:t>
      </w:r>
      <w:r>
        <w:rPr>
          <w:rFonts w:hint="eastAsia" w:ascii="宋体" w:hAnsi="宋体" w:cs="宋体"/>
          <w:sz w:val="24"/>
        </w:rPr>
        <w:t>书面函件</w:t>
      </w:r>
      <w:r>
        <w:rPr>
          <w:rFonts w:ascii="宋体" w:hAnsi="宋体" w:cs="宋体"/>
          <w:sz w:val="24"/>
        </w:rPr>
        <w:t>方式发出</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4.5乙方应</w:t>
      </w:r>
      <w:r>
        <w:rPr>
          <w:rFonts w:ascii="宋体" w:hAnsi="宋体" w:cs="宋体"/>
          <w:sz w:val="24"/>
        </w:rPr>
        <w:t>按时向甲方提交</w:t>
      </w:r>
      <w:r>
        <w:rPr>
          <w:rFonts w:hint="eastAsia" w:ascii="宋体" w:hAnsi="宋体" w:cs="宋体"/>
          <w:sz w:val="24"/>
        </w:rPr>
        <w:t>方案成果、图纸</w:t>
      </w:r>
      <w:r>
        <w:rPr>
          <w:rFonts w:ascii="宋体" w:hAnsi="宋体" w:cs="宋体"/>
          <w:sz w:val="24"/>
        </w:rPr>
        <w:t>、计划、报告或其他</w:t>
      </w:r>
      <w:r>
        <w:rPr>
          <w:rFonts w:hint="eastAsia" w:ascii="宋体" w:hAnsi="宋体" w:cs="宋体"/>
          <w:sz w:val="24"/>
        </w:rPr>
        <w:t>协议</w:t>
      </w:r>
      <w:r>
        <w:rPr>
          <w:rFonts w:ascii="宋体" w:hAnsi="宋体" w:cs="宋体"/>
          <w:sz w:val="24"/>
        </w:rPr>
        <w:t>文件，逾期超过</w:t>
      </w:r>
      <w:r>
        <w:rPr>
          <w:rFonts w:hint="eastAsia" w:ascii="宋体" w:hAnsi="宋体" w:cs="宋体"/>
          <w:sz w:val="24"/>
        </w:rPr>
        <w:t>20天</w:t>
      </w:r>
      <w:r>
        <w:rPr>
          <w:rFonts w:ascii="宋体" w:hAnsi="宋体" w:cs="宋体"/>
          <w:sz w:val="24"/>
        </w:rPr>
        <w:t>的，甲方有权解除合同并</w:t>
      </w:r>
      <w:r>
        <w:rPr>
          <w:rFonts w:hint="eastAsia" w:ascii="宋体" w:hAnsi="宋体" w:cs="宋体"/>
          <w:sz w:val="24"/>
        </w:rPr>
        <w:t>收回</w:t>
      </w:r>
      <w:r>
        <w:rPr>
          <w:rFonts w:ascii="宋体" w:hAnsi="宋体" w:cs="宋体"/>
          <w:sz w:val="24"/>
        </w:rPr>
        <w:t>已支付</w:t>
      </w:r>
      <w:r>
        <w:rPr>
          <w:rFonts w:hint="eastAsia" w:ascii="宋体" w:hAnsi="宋体" w:cs="宋体"/>
          <w:sz w:val="24"/>
        </w:rPr>
        <w:t>的设计</w:t>
      </w:r>
      <w:r>
        <w:rPr>
          <w:rFonts w:ascii="宋体" w:hAnsi="宋体" w:cs="宋体"/>
          <w:sz w:val="24"/>
        </w:rPr>
        <w:t>费</w:t>
      </w:r>
      <w:r>
        <w:rPr>
          <w:rFonts w:hint="eastAsia" w:ascii="宋体" w:hAnsi="宋体" w:cs="宋体"/>
          <w:sz w:val="24"/>
        </w:rPr>
        <w:t>、取得已交付的</w:t>
      </w:r>
      <w:r>
        <w:rPr>
          <w:rFonts w:ascii="宋体" w:hAnsi="宋体" w:cs="宋体"/>
          <w:sz w:val="24"/>
        </w:rPr>
        <w:t>设计</w:t>
      </w:r>
      <w:r>
        <w:rPr>
          <w:rFonts w:hint="eastAsia" w:ascii="宋体" w:hAnsi="宋体" w:cs="宋体"/>
          <w:sz w:val="24"/>
        </w:rPr>
        <w:t>成果的知识产权</w:t>
      </w:r>
      <w:r>
        <w:rPr>
          <w:rFonts w:ascii="宋体" w:hAnsi="宋体" w:cs="宋体"/>
          <w:sz w:val="24"/>
        </w:rPr>
        <w:t>，</w:t>
      </w:r>
      <w:r>
        <w:rPr>
          <w:rFonts w:hint="eastAsia" w:ascii="宋体" w:hAnsi="宋体" w:cs="宋体"/>
          <w:sz w:val="24"/>
        </w:rPr>
        <w:t>乙方应</w:t>
      </w:r>
      <w:r>
        <w:rPr>
          <w:rFonts w:ascii="宋体" w:hAnsi="宋体" w:cs="宋体"/>
          <w:sz w:val="24"/>
        </w:rPr>
        <w:t>赔偿</w:t>
      </w:r>
      <w:r>
        <w:rPr>
          <w:rFonts w:hint="eastAsia" w:ascii="宋体" w:hAnsi="宋体" w:cs="宋体"/>
          <w:sz w:val="24"/>
        </w:rPr>
        <w:t>甲方因</w:t>
      </w:r>
      <w:r>
        <w:rPr>
          <w:rFonts w:ascii="宋体" w:hAnsi="宋体" w:cs="宋体"/>
          <w:sz w:val="24"/>
        </w:rPr>
        <w:t>此造成的</w:t>
      </w:r>
      <w:r>
        <w:rPr>
          <w:rFonts w:hint="eastAsia" w:ascii="宋体" w:hAnsi="宋体" w:cs="宋体"/>
          <w:sz w:val="24"/>
        </w:rPr>
        <w:t>全部</w:t>
      </w:r>
      <w:r>
        <w:rPr>
          <w:rFonts w:ascii="宋体" w:hAnsi="宋体" w:cs="宋体"/>
          <w:sz w:val="24"/>
        </w:rPr>
        <w:t>损失</w:t>
      </w:r>
      <w:r>
        <w:rPr>
          <w:rFonts w:hint="eastAsia" w:ascii="宋体" w:hAnsi="宋体" w:cs="宋体"/>
          <w:sz w:val="24"/>
        </w:rPr>
        <w:t>并按照本合同总设计费的</w:t>
      </w:r>
      <w:r>
        <w:rPr>
          <w:rFonts w:ascii="宋体" w:hAnsi="宋体" w:cs="宋体"/>
          <w:sz w:val="24"/>
        </w:rPr>
        <w:t>10%</w:t>
      </w:r>
      <w:r>
        <w:rPr>
          <w:rFonts w:hint="eastAsia" w:ascii="宋体" w:hAnsi="宋体" w:cs="宋体"/>
          <w:sz w:val="24"/>
        </w:rPr>
        <w:t>向甲方承担违约金</w:t>
      </w:r>
      <w:r>
        <w:rPr>
          <w:rFonts w:ascii="宋体" w:hAnsi="宋体" w:cs="宋体"/>
          <w:sz w:val="24"/>
        </w:rPr>
        <w:t>。</w:t>
      </w:r>
    </w:p>
    <w:p>
      <w:pPr>
        <w:spacing w:line="440" w:lineRule="exact"/>
        <w:ind w:firstLine="482" w:firstLineChars="200"/>
        <w:rPr>
          <w:rFonts w:ascii="宋体" w:hAnsi="宋体" w:cs="宋体"/>
          <w:b/>
          <w:sz w:val="24"/>
        </w:rPr>
      </w:pPr>
      <w:r>
        <w:rPr>
          <w:rFonts w:hint="eastAsia" w:ascii="宋体" w:hAnsi="宋体" w:cs="宋体"/>
          <w:b/>
          <w:sz w:val="24"/>
        </w:rPr>
        <w:t xml:space="preserve">5. 保密   </w:t>
      </w:r>
    </w:p>
    <w:p>
      <w:pPr>
        <w:spacing w:line="440" w:lineRule="exact"/>
        <w:ind w:firstLine="480" w:firstLineChars="200"/>
        <w:rPr>
          <w:rFonts w:ascii="宋体" w:hAnsi="宋体" w:cs="宋体"/>
          <w:sz w:val="24"/>
        </w:rPr>
      </w:pPr>
      <w:r>
        <w:rPr>
          <w:rFonts w:hint="eastAsia" w:ascii="宋体" w:hAnsi="宋体" w:cs="宋体"/>
          <w:sz w:val="24"/>
        </w:rPr>
        <w:t>除非对方书面同意，甲乙双方不得将基于本合同及本合同项下项目而获得的关于对方的任何信息向第三方透露。如发生违约行为，违约方须按照本合同总设计费的</w:t>
      </w:r>
      <w:r>
        <w:rPr>
          <w:rFonts w:ascii="宋体" w:hAnsi="宋体" w:cs="宋体"/>
          <w:sz w:val="24"/>
        </w:rPr>
        <w:t>10%支付</w:t>
      </w:r>
      <w:r>
        <w:rPr>
          <w:rFonts w:hint="eastAsia" w:ascii="宋体" w:hAnsi="宋体" w:cs="宋体"/>
          <w:sz w:val="24"/>
        </w:rPr>
        <w:t>违约金并赔偿守约方因此遭受的全部损失。</w:t>
      </w:r>
    </w:p>
    <w:p>
      <w:pPr>
        <w:spacing w:line="440" w:lineRule="exact"/>
        <w:ind w:firstLine="482" w:firstLineChars="200"/>
        <w:rPr>
          <w:rFonts w:ascii="宋体" w:hAnsi="宋体" w:cs="宋体"/>
          <w:b/>
          <w:bCs/>
          <w:sz w:val="24"/>
        </w:rPr>
      </w:pPr>
      <w:r>
        <w:rPr>
          <w:rFonts w:hint="eastAsia" w:ascii="宋体" w:hAnsi="宋体" w:cs="宋体"/>
          <w:b/>
          <w:bCs/>
          <w:sz w:val="24"/>
        </w:rPr>
        <w:t>6.知识产权</w:t>
      </w:r>
    </w:p>
    <w:p>
      <w:pPr>
        <w:spacing w:line="440" w:lineRule="exact"/>
        <w:ind w:firstLine="480" w:firstLineChars="200"/>
        <w:rPr>
          <w:rFonts w:ascii="宋体" w:hAnsi="宋体" w:cs="宋体"/>
          <w:sz w:val="24"/>
        </w:rPr>
      </w:pPr>
      <w:r>
        <w:rPr>
          <w:rFonts w:hint="eastAsia" w:ascii="宋体" w:hAnsi="宋体" w:cs="宋体"/>
          <w:sz w:val="24"/>
        </w:rPr>
        <w:t>6.1本合同项下与项目有关的由乙方及乙方委托的并由甲方认可的国内配合设计院制作的所有图纸、计划、报告、规范、计算和其他文件的知识产权在甲方付讫相应设计费后应属于甲方专属享有。乙方仅对设计成果享有署名权。</w:t>
      </w:r>
    </w:p>
    <w:p>
      <w:pPr>
        <w:spacing w:line="440" w:lineRule="exact"/>
        <w:ind w:firstLine="480" w:firstLineChars="200"/>
        <w:rPr>
          <w:rFonts w:ascii="宋体" w:hAnsi="宋体" w:cs="宋体"/>
          <w:sz w:val="24"/>
        </w:rPr>
      </w:pPr>
      <w:r>
        <w:rPr>
          <w:rFonts w:hint="eastAsia" w:ascii="宋体" w:hAnsi="宋体" w:cs="宋体"/>
          <w:sz w:val="24"/>
        </w:rPr>
        <w:t>6.2乙方属于相应图纸、计划、报告、规范、计算和其他文件的完整的独立的制作人，保证其向甲方提交的设计成果为乙方原创，并且保证本合同下的上述文件或对上述文件的使用将不会构成对第三方著作权或其他知识产权的侵犯。乙方</w:t>
      </w:r>
      <w:r>
        <w:rPr>
          <w:rFonts w:ascii="宋体" w:hAnsi="宋体" w:cs="宋体"/>
          <w:sz w:val="24"/>
        </w:rPr>
        <w:t>提供的</w:t>
      </w:r>
      <w:r>
        <w:rPr>
          <w:rFonts w:hint="eastAsia" w:ascii="宋体" w:hAnsi="宋体" w:cs="宋体"/>
          <w:sz w:val="24"/>
        </w:rPr>
        <w:t>相应</w:t>
      </w:r>
      <w:r>
        <w:rPr>
          <w:rFonts w:ascii="宋体" w:hAnsi="宋体" w:cs="宋体"/>
          <w:sz w:val="24"/>
        </w:rPr>
        <w:t>图纸</w:t>
      </w:r>
      <w:r>
        <w:rPr>
          <w:rFonts w:hint="eastAsia" w:ascii="宋体" w:hAnsi="宋体" w:cs="宋体"/>
          <w:sz w:val="24"/>
        </w:rPr>
        <w:t>、</w:t>
      </w:r>
      <w:r>
        <w:rPr>
          <w:rFonts w:ascii="宋体" w:hAnsi="宋体" w:cs="宋体"/>
          <w:sz w:val="24"/>
        </w:rPr>
        <w:t>计划、报告、规范、计算或其他任何</w:t>
      </w:r>
      <w:r>
        <w:rPr>
          <w:rFonts w:hint="eastAsia" w:ascii="宋体" w:hAnsi="宋体" w:cs="宋体"/>
          <w:sz w:val="24"/>
        </w:rPr>
        <w:t>乙方</w:t>
      </w:r>
      <w:r>
        <w:rPr>
          <w:rFonts w:ascii="宋体" w:hAnsi="宋体" w:cs="宋体"/>
          <w:sz w:val="24"/>
        </w:rPr>
        <w:t>提交甲方文件</w:t>
      </w:r>
      <w:r>
        <w:rPr>
          <w:rFonts w:hint="eastAsia" w:ascii="宋体" w:hAnsi="宋体" w:cs="宋体"/>
          <w:sz w:val="24"/>
        </w:rPr>
        <w:t>的</w:t>
      </w:r>
      <w:r>
        <w:rPr>
          <w:rFonts w:ascii="宋体" w:hAnsi="宋体" w:cs="宋体"/>
          <w:sz w:val="24"/>
        </w:rPr>
        <w:t>部分或全部侵犯第三方合</w:t>
      </w:r>
      <w:r>
        <w:rPr>
          <w:rFonts w:hint="eastAsia" w:ascii="宋体" w:hAnsi="宋体" w:cs="宋体"/>
          <w:sz w:val="24"/>
        </w:rPr>
        <w:t>法</w:t>
      </w:r>
      <w:r>
        <w:rPr>
          <w:rFonts w:ascii="宋体" w:hAnsi="宋体" w:cs="宋体"/>
          <w:sz w:val="24"/>
        </w:rPr>
        <w:t>权益的，甲方有权</w:t>
      </w:r>
      <w:r>
        <w:rPr>
          <w:rFonts w:hint="eastAsia" w:ascii="宋体" w:hAnsi="宋体" w:cs="宋体"/>
          <w:sz w:val="24"/>
        </w:rPr>
        <w:t>单方解除</w:t>
      </w:r>
      <w:r>
        <w:rPr>
          <w:rFonts w:ascii="宋体" w:hAnsi="宋体" w:cs="宋体"/>
          <w:sz w:val="24"/>
        </w:rPr>
        <w:t>本</w:t>
      </w:r>
      <w:r>
        <w:rPr>
          <w:rFonts w:hint="eastAsia" w:ascii="宋体" w:hAnsi="宋体" w:cs="宋体"/>
          <w:sz w:val="24"/>
        </w:rPr>
        <w:t>协议</w:t>
      </w:r>
      <w:r>
        <w:rPr>
          <w:rFonts w:ascii="宋体" w:hAnsi="宋体" w:cs="宋体"/>
          <w:sz w:val="24"/>
        </w:rPr>
        <w:t>并</w:t>
      </w:r>
      <w:r>
        <w:rPr>
          <w:rFonts w:hint="eastAsia" w:ascii="宋体" w:hAnsi="宋体" w:cs="宋体"/>
          <w:sz w:val="24"/>
        </w:rPr>
        <w:t>收回</w:t>
      </w:r>
      <w:r>
        <w:rPr>
          <w:rFonts w:ascii="宋体" w:hAnsi="宋体" w:cs="宋体"/>
          <w:sz w:val="24"/>
        </w:rPr>
        <w:t>已支付</w:t>
      </w:r>
      <w:r>
        <w:rPr>
          <w:rFonts w:hint="eastAsia" w:ascii="宋体" w:hAnsi="宋体" w:cs="宋体"/>
          <w:sz w:val="24"/>
        </w:rPr>
        <w:t>的设计</w:t>
      </w:r>
      <w:r>
        <w:rPr>
          <w:rFonts w:ascii="宋体" w:hAnsi="宋体" w:cs="宋体"/>
          <w:sz w:val="24"/>
        </w:rPr>
        <w:t>费，</w:t>
      </w:r>
      <w:r>
        <w:rPr>
          <w:rFonts w:hint="eastAsia" w:ascii="宋体" w:hAnsi="宋体" w:cs="宋体"/>
          <w:sz w:val="24"/>
        </w:rPr>
        <w:t>乙方应</w:t>
      </w:r>
      <w:r>
        <w:rPr>
          <w:rFonts w:ascii="宋体" w:hAnsi="宋体" w:cs="宋体"/>
          <w:sz w:val="24"/>
        </w:rPr>
        <w:t>赔偿</w:t>
      </w:r>
      <w:r>
        <w:rPr>
          <w:rFonts w:hint="eastAsia" w:ascii="宋体" w:hAnsi="宋体" w:cs="宋体"/>
          <w:sz w:val="24"/>
        </w:rPr>
        <w:t>甲方因</w:t>
      </w:r>
      <w:r>
        <w:rPr>
          <w:rFonts w:ascii="宋体" w:hAnsi="宋体" w:cs="宋体"/>
          <w:sz w:val="24"/>
        </w:rPr>
        <w:t>此造成的</w:t>
      </w:r>
      <w:r>
        <w:rPr>
          <w:rFonts w:hint="eastAsia" w:ascii="宋体" w:hAnsi="宋体" w:cs="宋体"/>
          <w:sz w:val="24"/>
        </w:rPr>
        <w:t>全部</w:t>
      </w:r>
      <w:r>
        <w:rPr>
          <w:rFonts w:ascii="宋体" w:hAnsi="宋体" w:cs="宋体"/>
          <w:sz w:val="24"/>
        </w:rPr>
        <w:t>损失</w:t>
      </w:r>
      <w:r>
        <w:rPr>
          <w:rFonts w:hint="eastAsia" w:ascii="宋体" w:hAnsi="宋体" w:cs="宋体"/>
          <w:sz w:val="24"/>
        </w:rPr>
        <w:t>并按照本合同总设计费的</w:t>
      </w:r>
      <w:r>
        <w:rPr>
          <w:rFonts w:ascii="宋体" w:hAnsi="宋体" w:cs="宋体"/>
          <w:sz w:val="24"/>
        </w:rPr>
        <w:t>10%</w:t>
      </w:r>
      <w:r>
        <w:rPr>
          <w:rFonts w:hint="eastAsia" w:ascii="宋体" w:hAnsi="宋体" w:cs="宋体"/>
          <w:sz w:val="24"/>
        </w:rPr>
        <w:t>向甲方承担违约金</w:t>
      </w:r>
      <w:r>
        <w:rPr>
          <w:rFonts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6.3若本合同被提前终止，与项目有关的、由乙方及乙方委托的、并由甲方认可的、国内配合设计院已制作的所有图纸、计划、报告、规范、计算和其他文件的知识产权，在甲方付讫相应设计费后应属于甲方享有，乙方仅对设计成果享有署名权。</w:t>
      </w:r>
    </w:p>
    <w:p>
      <w:pPr>
        <w:spacing w:line="440" w:lineRule="exact"/>
        <w:ind w:firstLine="480" w:firstLineChars="200"/>
        <w:rPr>
          <w:rFonts w:ascii="宋体" w:hAnsi="宋体" w:cs="宋体"/>
          <w:sz w:val="24"/>
        </w:rPr>
      </w:pPr>
      <w:r>
        <w:rPr>
          <w:rFonts w:hint="eastAsia" w:ascii="宋体" w:hAnsi="宋体" w:cs="宋体"/>
          <w:sz w:val="24"/>
        </w:rPr>
        <w:t>6.4乙方在遵守本条款可行使署名权等著作人身权，对本合同设计作品仅限于以合理宣传为目的的复制、发行、展览、放映等，但不得侵犯甲方对该设计作品的享有的知识产权。</w:t>
      </w:r>
    </w:p>
    <w:p>
      <w:pPr>
        <w:spacing w:line="440" w:lineRule="exact"/>
        <w:ind w:firstLine="482" w:firstLineChars="200"/>
        <w:rPr>
          <w:rFonts w:ascii="宋体" w:hAnsi="宋体" w:cs="宋体"/>
          <w:b/>
          <w:sz w:val="24"/>
        </w:rPr>
      </w:pPr>
      <w:r>
        <w:rPr>
          <w:rFonts w:hint="eastAsia" w:ascii="宋体" w:hAnsi="宋体" w:cs="宋体"/>
          <w:b/>
          <w:sz w:val="24"/>
        </w:rPr>
        <w:t>7.合同完整性</w:t>
      </w:r>
    </w:p>
    <w:p>
      <w:pPr>
        <w:spacing w:line="440" w:lineRule="exact"/>
        <w:ind w:firstLine="480" w:firstLineChars="200"/>
        <w:rPr>
          <w:rFonts w:ascii="宋体" w:hAnsi="宋体" w:cs="宋体"/>
          <w:sz w:val="24"/>
        </w:rPr>
      </w:pPr>
      <w:r>
        <w:rPr>
          <w:rFonts w:hint="eastAsia" w:ascii="宋体" w:hAnsi="宋体" w:cs="宋体"/>
          <w:sz w:val="24"/>
        </w:rPr>
        <w:t>本合同根据双方就本项目相关事项达成一致的全部内容制定，除本合同包括的内容之外，双方在合同履行过程中就相关问题的补充、修改等均应以书面形式确认并签字。</w:t>
      </w:r>
    </w:p>
    <w:p>
      <w:pPr>
        <w:spacing w:line="440" w:lineRule="exact"/>
        <w:ind w:firstLine="482" w:firstLineChars="200"/>
        <w:rPr>
          <w:rFonts w:ascii="宋体" w:hAnsi="宋体"/>
          <w:b/>
          <w:bCs/>
          <w:sz w:val="24"/>
        </w:rPr>
      </w:pPr>
    </w:p>
    <w:p>
      <w:pPr>
        <w:spacing w:line="440" w:lineRule="exact"/>
        <w:ind w:firstLine="482" w:firstLineChars="200"/>
        <w:rPr>
          <w:rFonts w:ascii="宋体" w:hAnsi="宋体"/>
          <w:sz w:val="24"/>
        </w:rPr>
      </w:pPr>
      <w:r>
        <w:rPr>
          <w:rFonts w:hint="eastAsia" w:ascii="宋体" w:hAnsi="宋体"/>
          <w:b/>
          <w:bCs/>
          <w:sz w:val="24"/>
        </w:rPr>
        <w:t xml:space="preserve">第七条争议解决  </w:t>
      </w:r>
    </w:p>
    <w:p>
      <w:pPr>
        <w:spacing w:line="440" w:lineRule="exact"/>
        <w:ind w:firstLine="480" w:firstLineChars="200"/>
        <w:rPr>
          <w:rFonts w:ascii="宋体" w:hAnsi="宋体" w:cs="宋体"/>
          <w:sz w:val="24"/>
        </w:rPr>
      </w:pPr>
      <w:r>
        <w:rPr>
          <w:rFonts w:hint="eastAsia" w:ascii="宋体" w:hAnsi="宋体" w:cs="宋体"/>
          <w:sz w:val="24"/>
        </w:rPr>
        <w:t>合同中声明的有效期或相关规划设计以及双方之权利和义务均受中华人民共和国法律约束。在本合同任何条款的执行或解释所引起的争议，双方应及时协商解决。协商不成时双方同意应向甲方所在地人民法院起诉。</w:t>
      </w:r>
    </w:p>
    <w:p>
      <w:pPr>
        <w:spacing w:line="440" w:lineRule="exact"/>
        <w:ind w:firstLine="482" w:firstLineChars="200"/>
        <w:rPr>
          <w:rFonts w:ascii="宋体" w:hAnsi="宋体" w:cs="宋体"/>
          <w:b/>
          <w:sz w:val="24"/>
        </w:rPr>
      </w:pPr>
    </w:p>
    <w:p>
      <w:pPr>
        <w:spacing w:line="440" w:lineRule="exact"/>
        <w:ind w:firstLine="482" w:firstLineChars="200"/>
        <w:rPr>
          <w:rFonts w:ascii="宋体" w:hAnsi="宋体" w:cs="宋体"/>
          <w:b/>
          <w:sz w:val="24"/>
        </w:rPr>
      </w:pPr>
      <w:r>
        <w:rPr>
          <w:rFonts w:hint="eastAsia" w:ascii="宋体" w:hAnsi="宋体" w:cs="宋体"/>
          <w:b/>
          <w:sz w:val="24"/>
        </w:rPr>
        <w:t xml:space="preserve">第八条 其他     </w:t>
      </w:r>
    </w:p>
    <w:p>
      <w:pPr>
        <w:spacing w:line="440" w:lineRule="exact"/>
        <w:ind w:firstLine="480" w:firstLineChars="200"/>
        <w:jc w:val="left"/>
        <w:rPr>
          <w:rFonts w:ascii="宋体" w:hAnsi="宋体" w:cs="宋体"/>
          <w:sz w:val="24"/>
        </w:rPr>
      </w:pPr>
      <w:r>
        <w:rPr>
          <w:rFonts w:hint="eastAsia" w:ascii="宋体" w:hAnsi="宋体" w:cs="宋体"/>
          <w:sz w:val="24"/>
        </w:rPr>
        <w:t>1.合同未尽事宜，双方可签订补充协议作为附件，补充协议的内容为双方约定的服务范围及设计内容，且内容应不超过本合同约定的服务范围。</w:t>
      </w:r>
    </w:p>
    <w:p>
      <w:pPr>
        <w:spacing w:line="440" w:lineRule="exact"/>
        <w:ind w:firstLine="480" w:firstLineChars="200"/>
        <w:jc w:val="left"/>
        <w:rPr>
          <w:rFonts w:ascii="宋体" w:hAnsi="宋体" w:cs="宋体"/>
          <w:sz w:val="24"/>
        </w:rPr>
      </w:pPr>
      <w:r>
        <w:rPr>
          <w:rFonts w:hint="eastAsia" w:ascii="宋体" w:hAnsi="宋体" w:cs="宋体"/>
          <w:sz w:val="24"/>
        </w:rPr>
        <w:t>2.本合同一式六份，甲方三份，乙方三份，具有同等法律效力，经双方法定代表人或其委托代理人签字并加盖双方单位公章之日起生效。</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pStyle w:val="2"/>
        <w:rPr>
          <w:rFonts w:hAnsi="宋体" w:cs="宋体"/>
          <w:sz w:val="24"/>
        </w:rPr>
      </w:pPr>
    </w:p>
    <w:p>
      <w:pPr>
        <w:pStyle w:val="2"/>
        <w:rPr>
          <w:rFonts w:hAnsi="宋体" w:cs="宋体"/>
          <w:sz w:val="24"/>
        </w:rPr>
      </w:pPr>
    </w:p>
    <w:p>
      <w:pPr>
        <w:spacing w:line="440" w:lineRule="exact"/>
        <w:rPr>
          <w:rFonts w:ascii="宋体" w:hAnsi="宋体" w:cs="宋体"/>
          <w:b/>
          <w:sz w:val="24"/>
          <w:u w:val="single"/>
        </w:rPr>
      </w:pPr>
      <w:r>
        <w:rPr>
          <w:rFonts w:hint="eastAsia" w:ascii="宋体" w:hAnsi="宋体" w:cs="宋体"/>
          <w:b/>
          <w:sz w:val="24"/>
        </w:rPr>
        <w:t>甲 方：                                 乙  方：</w:t>
      </w:r>
    </w:p>
    <w:p>
      <w:pPr>
        <w:spacing w:line="440" w:lineRule="exact"/>
        <w:rPr>
          <w:rFonts w:ascii="宋体" w:hAnsi="宋体" w:cs="宋体"/>
          <w:sz w:val="24"/>
        </w:rPr>
      </w:pPr>
      <w:r>
        <w:rPr>
          <w:rFonts w:hint="eastAsia" w:ascii="宋体" w:hAnsi="宋体" w:cs="宋体"/>
          <w:sz w:val="24"/>
        </w:rPr>
        <w:t>法定代表人或授权代理人：                法定代表人或授权代理人：</w:t>
      </w:r>
    </w:p>
    <w:p>
      <w:pPr>
        <w:spacing w:line="440" w:lineRule="exact"/>
        <w:rPr>
          <w:rFonts w:ascii="宋体" w:hAnsi="宋体" w:cs="宋体"/>
          <w:sz w:val="24"/>
        </w:rPr>
      </w:pPr>
      <w:r>
        <w:rPr>
          <w:rFonts w:hint="eastAsia" w:ascii="宋体" w:hAnsi="宋体" w:cs="宋体"/>
          <w:sz w:val="24"/>
        </w:rPr>
        <w:t xml:space="preserve">日 期： 年月日          日  期：年月日   </w:t>
      </w:r>
    </w:p>
    <w:p>
      <w:pPr>
        <w:spacing w:line="440" w:lineRule="exact"/>
        <w:rPr>
          <w:rFonts w:ascii="宋体" w:hAnsi="宋体" w:cs="宋体"/>
          <w:sz w:val="24"/>
        </w:rPr>
      </w:pPr>
      <w:r>
        <w:rPr>
          <w:rFonts w:hint="eastAsia" w:ascii="宋体" w:hAnsi="宋体" w:cs="宋体"/>
          <w:sz w:val="24"/>
        </w:rPr>
        <w:t>地 址：                                 地  址：</w:t>
      </w:r>
    </w:p>
    <w:p>
      <w:pPr>
        <w:spacing w:line="440" w:lineRule="exact"/>
        <w:jc w:val="left"/>
        <w:rPr>
          <w:rFonts w:ascii="宋体" w:hAnsi="宋体" w:cs="宋体"/>
          <w:sz w:val="24"/>
        </w:rPr>
      </w:pPr>
      <w:r>
        <w:rPr>
          <w:rFonts w:hint="eastAsia" w:ascii="宋体" w:hAnsi="宋体" w:cs="宋体"/>
          <w:sz w:val="24"/>
        </w:rPr>
        <w:t>开户行：                                 开户行：</w:t>
      </w:r>
    </w:p>
    <w:p>
      <w:pPr>
        <w:spacing w:beforeLines="50" w:beforeAutospacing="1" w:afterLines="30" w:afterAutospacing="1" w:line="360" w:lineRule="auto"/>
        <w:rPr>
          <w:rFonts w:ascii="宋体" w:hAnsi="宋体" w:cs="宋体"/>
          <w:b/>
          <w:sz w:val="24"/>
        </w:rPr>
      </w:pPr>
      <w:r>
        <w:rPr>
          <w:rFonts w:hint="eastAsia" w:ascii="宋体" w:hAnsi="宋体" w:cs="宋体"/>
          <w:sz w:val="24"/>
        </w:rPr>
        <w:t>账 号：                                  账  号：</w:t>
      </w:r>
    </w:p>
    <w:p>
      <w:pPr>
        <w:spacing w:beforeLines="50" w:beforeAutospacing="1" w:afterLines="30" w:afterAutospacing="1" w:line="360" w:lineRule="auto"/>
        <w:ind w:firstLine="241" w:firstLineChars="100"/>
        <w:rPr>
          <w:rFonts w:ascii="宋体" w:hAnsi="宋体" w:cs="宋体"/>
          <w:b/>
          <w:sz w:val="24"/>
        </w:rPr>
      </w:pPr>
    </w:p>
    <w:sectPr>
      <w:headerReference r:id="rId4" w:type="first"/>
      <w:headerReference r:id="rId3"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0AFC5C-5FE6-464C-922B-EC224BADFD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8E8BAF-F6DC-4E91-8C5B-7C311ABF91F3}"/>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decorative"/>
    <w:pitch w:val="default"/>
    <w:sig w:usb0="00000000" w:usb1="00000000" w:usb2="00000000" w:usb3="00000000" w:csb0="00040000" w:csb1="00000000"/>
    <w:embedRegular r:id="rId3" w:fontKey="{1897D866-720C-427C-B60F-76F6EBC88B84}"/>
  </w:font>
  <w:font w:name="楷体">
    <w:panose1 w:val="02010609060101010101"/>
    <w:charset w:val="86"/>
    <w:family w:val="modern"/>
    <w:pitch w:val="default"/>
    <w:sig w:usb0="800002BF" w:usb1="38CF7CFA" w:usb2="00000016" w:usb3="00000000" w:csb0="00040001" w:csb1="00000000"/>
    <w:embedRegular r:id="rId4" w:fontKey="{65F2E925-632B-413F-AF18-F05C3F9FBF29}"/>
  </w:font>
  <w:font w:name="Arial">
    <w:panose1 w:val="020B0604020202020204"/>
    <w:charset w:val="00"/>
    <w:family w:val="swiss"/>
    <w:pitch w:val="default"/>
    <w:sig w:usb0="E0002EFF" w:usb1="C000785B" w:usb2="00000009" w:usb3="00000000" w:csb0="400001FF" w:csb1="FFFF0000"/>
  </w:font>
  <w:font w:name="宋体-18030">
    <w:altName w:val="宋体"/>
    <w:panose1 w:val="00000000000000000000"/>
    <w:charset w:val="86"/>
    <w:family w:val="modern"/>
    <w:pitch w:val="default"/>
    <w:sig w:usb0="00000000" w:usb1="00000000" w:usb2="000A005E" w:usb3="00000000" w:csb0="00040001" w:csb1="00000000"/>
    <w:embedRegular r:id="rId5" w:fontKey="{188F1323-369B-4767-BD75-B06EDD276106}"/>
  </w:font>
  <w:font w:name="微软雅黑">
    <w:panose1 w:val="020B0503020204020204"/>
    <w:charset w:val="86"/>
    <w:family w:val="swiss"/>
    <w:pitch w:val="default"/>
    <w:sig w:usb0="80000287" w:usb1="2ACF3C50" w:usb2="00000016" w:usb3="00000000" w:csb0="0004001F" w:csb1="00000000"/>
    <w:embedRegular r:id="rId6" w:fontKey="{BEA8AB99-1CA6-43CB-A386-FB9BDB96F57C}"/>
  </w:font>
  <w:font w:name="Arial Unicode MS">
    <w:panose1 w:val="020B0604020202020204"/>
    <w:charset w:val="86"/>
    <w:family w:val="swiss"/>
    <w:pitch w:val="default"/>
    <w:sig w:usb0="FFFFFFFF" w:usb1="E9FFFFFF" w:usb2="0000003F" w:usb3="00000000" w:csb0="603F01FF" w:csb1="FFFF0000"/>
    <w:embedRegular r:id="rId7" w:fontKey="{BE80E252-AA7A-426D-9CDF-2FD2753419ED}"/>
  </w:font>
  <w:font w:name="隶书">
    <w:panose1 w:val="02010509060101010101"/>
    <w:charset w:val="86"/>
    <w:family w:val="modern"/>
    <w:pitch w:val="default"/>
    <w:sig w:usb0="00000001" w:usb1="080E0000" w:usb2="00000000" w:usb3="00000000" w:csb0="00040000" w:csb1="00000000"/>
    <w:embedRegular r:id="rId8" w:fontKey="{EFE86143-0829-41C2-8C43-A64A67411D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p>
  <w:p>
    <w:pPr>
      <w:pStyle w:val="11"/>
      <w:framePr w:wrap="around" w:vAnchor="text" w:hAnchor="margin" w:xAlign="center" w:y="1"/>
      <w:rPr>
        <w:rStyle w:val="20"/>
      </w:rPr>
    </w:pPr>
  </w:p>
  <w:p>
    <w:pPr>
      <w:pStyle w:val="1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36</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80" w:firstLineChars="100"/>
      <w:jc w:val="both"/>
    </w:pPr>
    <w:r>
      <w:rPr>
        <w:rFonts w:hint="eastAsia"/>
      </w:rPr>
      <w:t>合肥百货大楼集团股份有限公司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安徽百大合家福连锁超市股份有限公司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7E3A3"/>
    <w:multiLevelType w:val="singleLevel"/>
    <w:tmpl w:val="CCD7E3A3"/>
    <w:lvl w:ilvl="0" w:tentative="0">
      <w:start w:val="5"/>
      <w:numFmt w:val="chineseCounting"/>
      <w:suff w:val="space"/>
      <w:lvlText w:val="第%1章"/>
      <w:lvlJc w:val="left"/>
      <w:rPr>
        <w:rFonts w:hint="eastAsia"/>
      </w:rPr>
    </w:lvl>
  </w:abstractNum>
  <w:abstractNum w:abstractNumId="1">
    <w:nsid w:val="14BA6138"/>
    <w:multiLevelType w:val="multilevel"/>
    <w:tmpl w:val="14BA61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38B2B84"/>
    <w:multiLevelType w:val="multilevel"/>
    <w:tmpl w:val="338B2B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15C252E"/>
    <w:multiLevelType w:val="multilevel"/>
    <w:tmpl w:val="715C25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00" w:hanging="360"/>
      </w:pPr>
      <w:rPr>
        <w:rFonts w:hint="eastAsia" w:ascii="宋体" w:hAnsi="宋体" w:eastAsia="宋体"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E3OTgyYzdiMmIzNTZhY2NjY2ZiNjZmODNmMWM3MGQifQ=="/>
  </w:docVars>
  <w:rsids>
    <w:rsidRoot w:val="00172A27"/>
    <w:rsid w:val="000005A1"/>
    <w:rsid w:val="00002EFE"/>
    <w:rsid w:val="00005189"/>
    <w:rsid w:val="0000522E"/>
    <w:rsid w:val="00005C4D"/>
    <w:rsid w:val="00006ADB"/>
    <w:rsid w:val="00010EE6"/>
    <w:rsid w:val="00015F4B"/>
    <w:rsid w:val="00016200"/>
    <w:rsid w:val="00020CA2"/>
    <w:rsid w:val="000233EB"/>
    <w:rsid w:val="000234E0"/>
    <w:rsid w:val="000237AF"/>
    <w:rsid w:val="00025570"/>
    <w:rsid w:val="00026710"/>
    <w:rsid w:val="00027261"/>
    <w:rsid w:val="00030C3D"/>
    <w:rsid w:val="000311DC"/>
    <w:rsid w:val="00031645"/>
    <w:rsid w:val="00031BC3"/>
    <w:rsid w:val="00032182"/>
    <w:rsid w:val="00032B2A"/>
    <w:rsid w:val="0003483F"/>
    <w:rsid w:val="000348FA"/>
    <w:rsid w:val="00034E16"/>
    <w:rsid w:val="000368EA"/>
    <w:rsid w:val="0004295B"/>
    <w:rsid w:val="0004564A"/>
    <w:rsid w:val="00045AFE"/>
    <w:rsid w:val="00046CE0"/>
    <w:rsid w:val="0004783E"/>
    <w:rsid w:val="00047C58"/>
    <w:rsid w:val="00050203"/>
    <w:rsid w:val="0005268A"/>
    <w:rsid w:val="00053627"/>
    <w:rsid w:val="00055579"/>
    <w:rsid w:val="00055FCC"/>
    <w:rsid w:val="0005739C"/>
    <w:rsid w:val="00057FA0"/>
    <w:rsid w:val="00062AB9"/>
    <w:rsid w:val="00062ACE"/>
    <w:rsid w:val="000644A4"/>
    <w:rsid w:val="00064EB8"/>
    <w:rsid w:val="000675F2"/>
    <w:rsid w:val="000728DF"/>
    <w:rsid w:val="00073ABB"/>
    <w:rsid w:val="00077775"/>
    <w:rsid w:val="00077CA5"/>
    <w:rsid w:val="00080F85"/>
    <w:rsid w:val="00081592"/>
    <w:rsid w:val="00082A43"/>
    <w:rsid w:val="00085508"/>
    <w:rsid w:val="00085FDC"/>
    <w:rsid w:val="0009007A"/>
    <w:rsid w:val="00094464"/>
    <w:rsid w:val="00097E16"/>
    <w:rsid w:val="000A0642"/>
    <w:rsid w:val="000A20A4"/>
    <w:rsid w:val="000A274B"/>
    <w:rsid w:val="000A6300"/>
    <w:rsid w:val="000A6680"/>
    <w:rsid w:val="000B1F57"/>
    <w:rsid w:val="000B4F22"/>
    <w:rsid w:val="000B5F2A"/>
    <w:rsid w:val="000B707B"/>
    <w:rsid w:val="000C4FD6"/>
    <w:rsid w:val="000C5F0B"/>
    <w:rsid w:val="000C636F"/>
    <w:rsid w:val="000D53B0"/>
    <w:rsid w:val="000D5BD3"/>
    <w:rsid w:val="000E0852"/>
    <w:rsid w:val="000E1D17"/>
    <w:rsid w:val="000E29D4"/>
    <w:rsid w:val="000E375B"/>
    <w:rsid w:val="000E3F2B"/>
    <w:rsid w:val="000E49D3"/>
    <w:rsid w:val="000E5A2A"/>
    <w:rsid w:val="000F006B"/>
    <w:rsid w:val="000F1312"/>
    <w:rsid w:val="000F4283"/>
    <w:rsid w:val="000F48AD"/>
    <w:rsid w:val="000F54DD"/>
    <w:rsid w:val="000F5B4D"/>
    <w:rsid w:val="000F5EA6"/>
    <w:rsid w:val="00102595"/>
    <w:rsid w:val="00102AA0"/>
    <w:rsid w:val="00103EA0"/>
    <w:rsid w:val="00104726"/>
    <w:rsid w:val="001078ED"/>
    <w:rsid w:val="00110490"/>
    <w:rsid w:val="001108CC"/>
    <w:rsid w:val="00111CFE"/>
    <w:rsid w:val="00114144"/>
    <w:rsid w:val="00114356"/>
    <w:rsid w:val="00114F17"/>
    <w:rsid w:val="00115B02"/>
    <w:rsid w:val="00115BEE"/>
    <w:rsid w:val="0011704A"/>
    <w:rsid w:val="00120008"/>
    <w:rsid w:val="001205F2"/>
    <w:rsid w:val="00120CF4"/>
    <w:rsid w:val="00123D51"/>
    <w:rsid w:val="00124C11"/>
    <w:rsid w:val="00130CE8"/>
    <w:rsid w:val="0013121F"/>
    <w:rsid w:val="00132D1E"/>
    <w:rsid w:val="00132FD5"/>
    <w:rsid w:val="00134D1C"/>
    <w:rsid w:val="001425E7"/>
    <w:rsid w:val="00145E22"/>
    <w:rsid w:val="00146C5E"/>
    <w:rsid w:val="00161AF5"/>
    <w:rsid w:val="00164211"/>
    <w:rsid w:val="001659E2"/>
    <w:rsid w:val="00165BF7"/>
    <w:rsid w:val="001714CB"/>
    <w:rsid w:val="00171516"/>
    <w:rsid w:val="00172A27"/>
    <w:rsid w:val="00173139"/>
    <w:rsid w:val="0017321A"/>
    <w:rsid w:val="00177606"/>
    <w:rsid w:val="00182426"/>
    <w:rsid w:val="00182B54"/>
    <w:rsid w:val="001839AA"/>
    <w:rsid w:val="0018606D"/>
    <w:rsid w:val="00193219"/>
    <w:rsid w:val="00195720"/>
    <w:rsid w:val="00196433"/>
    <w:rsid w:val="001966DC"/>
    <w:rsid w:val="001A09D0"/>
    <w:rsid w:val="001A207F"/>
    <w:rsid w:val="001A3213"/>
    <w:rsid w:val="001A7499"/>
    <w:rsid w:val="001B0A82"/>
    <w:rsid w:val="001B32D3"/>
    <w:rsid w:val="001B3561"/>
    <w:rsid w:val="001B3F08"/>
    <w:rsid w:val="001B4BF2"/>
    <w:rsid w:val="001B747D"/>
    <w:rsid w:val="001B7E3D"/>
    <w:rsid w:val="001C05AB"/>
    <w:rsid w:val="001C0AB3"/>
    <w:rsid w:val="001C17BA"/>
    <w:rsid w:val="001C2752"/>
    <w:rsid w:val="001C3720"/>
    <w:rsid w:val="001C6650"/>
    <w:rsid w:val="001C6828"/>
    <w:rsid w:val="001D49D4"/>
    <w:rsid w:val="001D4D7F"/>
    <w:rsid w:val="001D5FA6"/>
    <w:rsid w:val="001D7303"/>
    <w:rsid w:val="001E026B"/>
    <w:rsid w:val="001E2CF4"/>
    <w:rsid w:val="001E42B5"/>
    <w:rsid w:val="001E5DAD"/>
    <w:rsid w:val="001E6F85"/>
    <w:rsid w:val="001F4DAD"/>
    <w:rsid w:val="001F6892"/>
    <w:rsid w:val="001F737B"/>
    <w:rsid w:val="00200351"/>
    <w:rsid w:val="00202219"/>
    <w:rsid w:val="00204088"/>
    <w:rsid w:val="0021628C"/>
    <w:rsid w:val="0021689C"/>
    <w:rsid w:val="00216956"/>
    <w:rsid w:val="002228DD"/>
    <w:rsid w:val="002233AA"/>
    <w:rsid w:val="00225A84"/>
    <w:rsid w:val="002262CE"/>
    <w:rsid w:val="00226457"/>
    <w:rsid w:val="0022728F"/>
    <w:rsid w:val="00227657"/>
    <w:rsid w:val="00227740"/>
    <w:rsid w:val="00227A2D"/>
    <w:rsid w:val="00230EEE"/>
    <w:rsid w:val="00230F94"/>
    <w:rsid w:val="0023114A"/>
    <w:rsid w:val="00235B10"/>
    <w:rsid w:val="00235C66"/>
    <w:rsid w:val="00240961"/>
    <w:rsid w:val="002422CE"/>
    <w:rsid w:val="00242467"/>
    <w:rsid w:val="00243031"/>
    <w:rsid w:val="002430D1"/>
    <w:rsid w:val="00244DEF"/>
    <w:rsid w:val="00246236"/>
    <w:rsid w:val="0024733A"/>
    <w:rsid w:val="0025040E"/>
    <w:rsid w:val="002517B5"/>
    <w:rsid w:val="0025325B"/>
    <w:rsid w:val="00254492"/>
    <w:rsid w:val="0025475D"/>
    <w:rsid w:val="00254A51"/>
    <w:rsid w:val="00256266"/>
    <w:rsid w:val="002564EB"/>
    <w:rsid w:val="002568D8"/>
    <w:rsid w:val="002579C0"/>
    <w:rsid w:val="002602C1"/>
    <w:rsid w:val="00260E4E"/>
    <w:rsid w:val="00263F77"/>
    <w:rsid w:val="00264A3B"/>
    <w:rsid w:val="00264CFE"/>
    <w:rsid w:val="00266717"/>
    <w:rsid w:val="00275D8D"/>
    <w:rsid w:val="00280E8E"/>
    <w:rsid w:val="00281644"/>
    <w:rsid w:val="002839F5"/>
    <w:rsid w:val="00287BC5"/>
    <w:rsid w:val="0029025F"/>
    <w:rsid w:val="00292110"/>
    <w:rsid w:val="00295FA0"/>
    <w:rsid w:val="00296D1F"/>
    <w:rsid w:val="002A2775"/>
    <w:rsid w:val="002A3160"/>
    <w:rsid w:val="002A4F01"/>
    <w:rsid w:val="002A5925"/>
    <w:rsid w:val="002A5B53"/>
    <w:rsid w:val="002A6099"/>
    <w:rsid w:val="002A780A"/>
    <w:rsid w:val="002A7A50"/>
    <w:rsid w:val="002B09BA"/>
    <w:rsid w:val="002B0DF9"/>
    <w:rsid w:val="002C1724"/>
    <w:rsid w:val="002C2FBC"/>
    <w:rsid w:val="002C5419"/>
    <w:rsid w:val="002D00CC"/>
    <w:rsid w:val="002D219C"/>
    <w:rsid w:val="002D3185"/>
    <w:rsid w:val="002D31E5"/>
    <w:rsid w:val="002D3DC5"/>
    <w:rsid w:val="002D5E85"/>
    <w:rsid w:val="002D7349"/>
    <w:rsid w:val="002D7C7D"/>
    <w:rsid w:val="002E00A7"/>
    <w:rsid w:val="002E1826"/>
    <w:rsid w:val="002E48E8"/>
    <w:rsid w:val="002E5452"/>
    <w:rsid w:val="002F2F12"/>
    <w:rsid w:val="002F3D33"/>
    <w:rsid w:val="002F5434"/>
    <w:rsid w:val="002F6A11"/>
    <w:rsid w:val="00301701"/>
    <w:rsid w:val="00307947"/>
    <w:rsid w:val="00310903"/>
    <w:rsid w:val="0031511F"/>
    <w:rsid w:val="00316BC7"/>
    <w:rsid w:val="00320715"/>
    <w:rsid w:val="00321402"/>
    <w:rsid w:val="0032252B"/>
    <w:rsid w:val="00323589"/>
    <w:rsid w:val="00323DC8"/>
    <w:rsid w:val="00326A7B"/>
    <w:rsid w:val="00331700"/>
    <w:rsid w:val="003317F6"/>
    <w:rsid w:val="00332D53"/>
    <w:rsid w:val="00332F20"/>
    <w:rsid w:val="003363D5"/>
    <w:rsid w:val="00337533"/>
    <w:rsid w:val="00337786"/>
    <w:rsid w:val="003377E8"/>
    <w:rsid w:val="00337F7C"/>
    <w:rsid w:val="00340BFD"/>
    <w:rsid w:val="00341FE6"/>
    <w:rsid w:val="00344A2C"/>
    <w:rsid w:val="00344E82"/>
    <w:rsid w:val="003472FD"/>
    <w:rsid w:val="003479B5"/>
    <w:rsid w:val="003514C0"/>
    <w:rsid w:val="00352C8F"/>
    <w:rsid w:val="00352FDB"/>
    <w:rsid w:val="0035342E"/>
    <w:rsid w:val="003543BE"/>
    <w:rsid w:val="003554CF"/>
    <w:rsid w:val="00355D3B"/>
    <w:rsid w:val="0035780C"/>
    <w:rsid w:val="00357D6A"/>
    <w:rsid w:val="00360A9D"/>
    <w:rsid w:val="0036118E"/>
    <w:rsid w:val="00362454"/>
    <w:rsid w:val="00362D18"/>
    <w:rsid w:val="00363749"/>
    <w:rsid w:val="0036424C"/>
    <w:rsid w:val="00364ADB"/>
    <w:rsid w:val="003656C1"/>
    <w:rsid w:val="00371AFF"/>
    <w:rsid w:val="0037304F"/>
    <w:rsid w:val="0037405B"/>
    <w:rsid w:val="00381854"/>
    <w:rsid w:val="003820BA"/>
    <w:rsid w:val="003842AE"/>
    <w:rsid w:val="00384535"/>
    <w:rsid w:val="00390FC9"/>
    <w:rsid w:val="003941F3"/>
    <w:rsid w:val="00395DCD"/>
    <w:rsid w:val="00396FCE"/>
    <w:rsid w:val="003A0D4E"/>
    <w:rsid w:val="003A0E1F"/>
    <w:rsid w:val="003A1996"/>
    <w:rsid w:val="003A2527"/>
    <w:rsid w:val="003A359F"/>
    <w:rsid w:val="003A38D5"/>
    <w:rsid w:val="003A402B"/>
    <w:rsid w:val="003A433A"/>
    <w:rsid w:val="003A5817"/>
    <w:rsid w:val="003A61A1"/>
    <w:rsid w:val="003A7CB2"/>
    <w:rsid w:val="003B1F35"/>
    <w:rsid w:val="003B25AB"/>
    <w:rsid w:val="003B37D8"/>
    <w:rsid w:val="003B4448"/>
    <w:rsid w:val="003B6AEC"/>
    <w:rsid w:val="003B6B4C"/>
    <w:rsid w:val="003B7A1B"/>
    <w:rsid w:val="003C0948"/>
    <w:rsid w:val="003C0E30"/>
    <w:rsid w:val="003C1455"/>
    <w:rsid w:val="003C19DC"/>
    <w:rsid w:val="003C27DC"/>
    <w:rsid w:val="003C2FC0"/>
    <w:rsid w:val="003C39EB"/>
    <w:rsid w:val="003C3A68"/>
    <w:rsid w:val="003C64B5"/>
    <w:rsid w:val="003D0C53"/>
    <w:rsid w:val="003D176A"/>
    <w:rsid w:val="003E1D4E"/>
    <w:rsid w:val="003E1F6A"/>
    <w:rsid w:val="003E254E"/>
    <w:rsid w:val="003E5A3B"/>
    <w:rsid w:val="003E5C91"/>
    <w:rsid w:val="003E5CC5"/>
    <w:rsid w:val="003E5CF2"/>
    <w:rsid w:val="003E5FFB"/>
    <w:rsid w:val="003E67A2"/>
    <w:rsid w:val="003E69E8"/>
    <w:rsid w:val="003E6BE0"/>
    <w:rsid w:val="003E7B16"/>
    <w:rsid w:val="003E7B53"/>
    <w:rsid w:val="003F0E50"/>
    <w:rsid w:val="004030AB"/>
    <w:rsid w:val="004045BA"/>
    <w:rsid w:val="00407ED8"/>
    <w:rsid w:val="00410BA7"/>
    <w:rsid w:val="00412DEA"/>
    <w:rsid w:val="00420690"/>
    <w:rsid w:val="00421BE3"/>
    <w:rsid w:val="00422685"/>
    <w:rsid w:val="00423465"/>
    <w:rsid w:val="00424B3C"/>
    <w:rsid w:val="004254F5"/>
    <w:rsid w:val="00426575"/>
    <w:rsid w:val="00426AC3"/>
    <w:rsid w:val="0042705E"/>
    <w:rsid w:val="00427551"/>
    <w:rsid w:val="00433ED6"/>
    <w:rsid w:val="00434F45"/>
    <w:rsid w:val="004373F4"/>
    <w:rsid w:val="00440FE8"/>
    <w:rsid w:val="004414CF"/>
    <w:rsid w:val="00441D0F"/>
    <w:rsid w:val="00442966"/>
    <w:rsid w:val="004477B4"/>
    <w:rsid w:val="00450104"/>
    <w:rsid w:val="004506D4"/>
    <w:rsid w:val="00455A6A"/>
    <w:rsid w:val="00460050"/>
    <w:rsid w:val="0046031B"/>
    <w:rsid w:val="00462AE8"/>
    <w:rsid w:val="00463582"/>
    <w:rsid w:val="00463C11"/>
    <w:rsid w:val="0046501C"/>
    <w:rsid w:val="004654AD"/>
    <w:rsid w:val="00467673"/>
    <w:rsid w:val="0047010C"/>
    <w:rsid w:val="00473DE0"/>
    <w:rsid w:val="0048087B"/>
    <w:rsid w:val="00480DAF"/>
    <w:rsid w:val="004832DB"/>
    <w:rsid w:val="00483895"/>
    <w:rsid w:val="00484B23"/>
    <w:rsid w:val="00485D75"/>
    <w:rsid w:val="004866CB"/>
    <w:rsid w:val="00486EF9"/>
    <w:rsid w:val="004874EA"/>
    <w:rsid w:val="0049053B"/>
    <w:rsid w:val="00490A84"/>
    <w:rsid w:val="00491378"/>
    <w:rsid w:val="0049160D"/>
    <w:rsid w:val="00493BD7"/>
    <w:rsid w:val="0049722B"/>
    <w:rsid w:val="0049783B"/>
    <w:rsid w:val="004A18AC"/>
    <w:rsid w:val="004A2097"/>
    <w:rsid w:val="004A2E1D"/>
    <w:rsid w:val="004A3C65"/>
    <w:rsid w:val="004A49DC"/>
    <w:rsid w:val="004A5898"/>
    <w:rsid w:val="004A603D"/>
    <w:rsid w:val="004A7394"/>
    <w:rsid w:val="004B1F2D"/>
    <w:rsid w:val="004B2504"/>
    <w:rsid w:val="004B2BF3"/>
    <w:rsid w:val="004B53A6"/>
    <w:rsid w:val="004C1F7E"/>
    <w:rsid w:val="004C3104"/>
    <w:rsid w:val="004C3594"/>
    <w:rsid w:val="004C4B47"/>
    <w:rsid w:val="004D0807"/>
    <w:rsid w:val="004D3FDB"/>
    <w:rsid w:val="004D5B92"/>
    <w:rsid w:val="004E075E"/>
    <w:rsid w:val="004E07D9"/>
    <w:rsid w:val="004E0DE5"/>
    <w:rsid w:val="004E6D9E"/>
    <w:rsid w:val="004E7169"/>
    <w:rsid w:val="004F15FB"/>
    <w:rsid w:val="004F1A56"/>
    <w:rsid w:val="004F2E81"/>
    <w:rsid w:val="004F3662"/>
    <w:rsid w:val="004F5217"/>
    <w:rsid w:val="004F606C"/>
    <w:rsid w:val="004F6140"/>
    <w:rsid w:val="004F7517"/>
    <w:rsid w:val="005006B0"/>
    <w:rsid w:val="00500E58"/>
    <w:rsid w:val="0050292C"/>
    <w:rsid w:val="00504D7E"/>
    <w:rsid w:val="00506EBB"/>
    <w:rsid w:val="00507DD8"/>
    <w:rsid w:val="005106AE"/>
    <w:rsid w:val="00512835"/>
    <w:rsid w:val="00512AB9"/>
    <w:rsid w:val="00513AEB"/>
    <w:rsid w:val="00516343"/>
    <w:rsid w:val="00521122"/>
    <w:rsid w:val="00521DBC"/>
    <w:rsid w:val="0052570C"/>
    <w:rsid w:val="00526106"/>
    <w:rsid w:val="005300A3"/>
    <w:rsid w:val="00530601"/>
    <w:rsid w:val="005306D9"/>
    <w:rsid w:val="00530DAB"/>
    <w:rsid w:val="00532117"/>
    <w:rsid w:val="005336E9"/>
    <w:rsid w:val="005354B2"/>
    <w:rsid w:val="00536BF6"/>
    <w:rsid w:val="00537A33"/>
    <w:rsid w:val="00543074"/>
    <w:rsid w:val="00543762"/>
    <w:rsid w:val="00544453"/>
    <w:rsid w:val="00547DE8"/>
    <w:rsid w:val="00550746"/>
    <w:rsid w:val="005529A7"/>
    <w:rsid w:val="0055723D"/>
    <w:rsid w:val="00557923"/>
    <w:rsid w:val="00563550"/>
    <w:rsid w:val="00570F78"/>
    <w:rsid w:val="0057341E"/>
    <w:rsid w:val="005756E9"/>
    <w:rsid w:val="005765A0"/>
    <w:rsid w:val="0057663F"/>
    <w:rsid w:val="00577B56"/>
    <w:rsid w:val="0058073C"/>
    <w:rsid w:val="00581A4D"/>
    <w:rsid w:val="00581D8F"/>
    <w:rsid w:val="00581E39"/>
    <w:rsid w:val="00583382"/>
    <w:rsid w:val="00583506"/>
    <w:rsid w:val="005839C4"/>
    <w:rsid w:val="00583E3F"/>
    <w:rsid w:val="0058461E"/>
    <w:rsid w:val="00586AD4"/>
    <w:rsid w:val="00591F6C"/>
    <w:rsid w:val="005927FE"/>
    <w:rsid w:val="00593620"/>
    <w:rsid w:val="0059380B"/>
    <w:rsid w:val="00593DFA"/>
    <w:rsid w:val="005945FE"/>
    <w:rsid w:val="005A066A"/>
    <w:rsid w:val="005A595B"/>
    <w:rsid w:val="005A70DF"/>
    <w:rsid w:val="005B2C28"/>
    <w:rsid w:val="005B4155"/>
    <w:rsid w:val="005B4B5B"/>
    <w:rsid w:val="005B7487"/>
    <w:rsid w:val="005C0549"/>
    <w:rsid w:val="005C21C2"/>
    <w:rsid w:val="005D0498"/>
    <w:rsid w:val="005D2FBE"/>
    <w:rsid w:val="005E010E"/>
    <w:rsid w:val="005E12F7"/>
    <w:rsid w:val="005E5314"/>
    <w:rsid w:val="005E6FC9"/>
    <w:rsid w:val="005F116B"/>
    <w:rsid w:val="005F2E7D"/>
    <w:rsid w:val="005F4743"/>
    <w:rsid w:val="005F5099"/>
    <w:rsid w:val="005F6286"/>
    <w:rsid w:val="005F6757"/>
    <w:rsid w:val="005F7415"/>
    <w:rsid w:val="00600561"/>
    <w:rsid w:val="006008D2"/>
    <w:rsid w:val="00602425"/>
    <w:rsid w:val="00603C02"/>
    <w:rsid w:val="0060444D"/>
    <w:rsid w:val="0061542C"/>
    <w:rsid w:val="006208D0"/>
    <w:rsid w:val="0062093E"/>
    <w:rsid w:val="006266B6"/>
    <w:rsid w:val="006276CC"/>
    <w:rsid w:val="00630F2F"/>
    <w:rsid w:val="00633026"/>
    <w:rsid w:val="00633866"/>
    <w:rsid w:val="00633ECB"/>
    <w:rsid w:val="00634C4E"/>
    <w:rsid w:val="00635278"/>
    <w:rsid w:val="00636ADB"/>
    <w:rsid w:val="00642FB5"/>
    <w:rsid w:val="00647309"/>
    <w:rsid w:val="0065141F"/>
    <w:rsid w:val="006522ED"/>
    <w:rsid w:val="00652FB5"/>
    <w:rsid w:val="00655F18"/>
    <w:rsid w:val="00656788"/>
    <w:rsid w:val="006616B5"/>
    <w:rsid w:val="00661844"/>
    <w:rsid w:val="00662241"/>
    <w:rsid w:val="006627C7"/>
    <w:rsid w:val="006632D5"/>
    <w:rsid w:val="00665238"/>
    <w:rsid w:val="00665469"/>
    <w:rsid w:val="0066779C"/>
    <w:rsid w:val="00667BA0"/>
    <w:rsid w:val="00670002"/>
    <w:rsid w:val="0067031F"/>
    <w:rsid w:val="00671CAA"/>
    <w:rsid w:val="00672A01"/>
    <w:rsid w:val="00672E68"/>
    <w:rsid w:val="00675041"/>
    <w:rsid w:val="00677D21"/>
    <w:rsid w:val="00680327"/>
    <w:rsid w:val="006827FA"/>
    <w:rsid w:val="0068477A"/>
    <w:rsid w:val="00685D2C"/>
    <w:rsid w:val="00690216"/>
    <w:rsid w:val="00690C19"/>
    <w:rsid w:val="006941D0"/>
    <w:rsid w:val="0069435B"/>
    <w:rsid w:val="0069670E"/>
    <w:rsid w:val="006970F4"/>
    <w:rsid w:val="006A0C69"/>
    <w:rsid w:val="006A4D8F"/>
    <w:rsid w:val="006B1121"/>
    <w:rsid w:val="006B738F"/>
    <w:rsid w:val="006C0B0D"/>
    <w:rsid w:val="006C0C94"/>
    <w:rsid w:val="006C3A55"/>
    <w:rsid w:val="006C6278"/>
    <w:rsid w:val="006C6B99"/>
    <w:rsid w:val="006D2BEC"/>
    <w:rsid w:val="006D4370"/>
    <w:rsid w:val="006D4FCC"/>
    <w:rsid w:val="006D62DD"/>
    <w:rsid w:val="006D7142"/>
    <w:rsid w:val="006E05E9"/>
    <w:rsid w:val="006E1183"/>
    <w:rsid w:val="006E53EE"/>
    <w:rsid w:val="006F458D"/>
    <w:rsid w:val="006F521B"/>
    <w:rsid w:val="006F52C2"/>
    <w:rsid w:val="006F6826"/>
    <w:rsid w:val="00700C41"/>
    <w:rsid w:val="007010B6"/>
    <w:rsid w:val="00701D48"/>
    <w:rsid w:val="007027E9"/>
    <w:rsid w:val="00702978"/>
    <w:rsid w:val="007051C7"/>
    <w:rsid w:val="00705AA0"/>
    <w:rsid w:val="00706862"/>
    <w:rsid w:val="007076DE"/>
    <w:rsid w:val="00710254"/>
    <w:rsid w:val="00710549"/>
    <w:rsid w:val="00711189"/>
    <w:rsid w:val="0071164E"/>
    <w:rsid w:val="00712AD0"/>
    <w:rsid w:val="0071566A"/>
    <w:rsid w:val="00715C02"/>
    <w:rsid w:val="00717F6A"/>
    <w:rsid w:val="00721F11"/>
    <w:rsid w:val="00722A34"/>
    <w:rsid w:val="00724766"/>
    <w:rsid w:val="00725FC8"/>
    <w:rsid w:val="00726553"/>
    <w:rsid w:val="00731DAD"/>
    <w:rsid w:val="00732F84"/>
    <w:rsid w:val="007339D5"/>
    <w:rsid w:val="00734E7A"/>
    <w:rsid w:val="00740C32"/>
    <w:rsid w:val="0074237C"/>
    <w:rsid w:val="00744CFA"/>
    <w:rsid w:val="007472B3"/>
    <w:rsid w:val="00751D8D"/>
    <w:rsid w:val="0075248D"/>
    <w:rsid w:val="0075296F"/>
    <w:rsid w:val="00752A9E"/>
    <w:rsid w:val="00753EE5"/>
    <w:rsid w:val="00755E68"/>
    <w:rsid w:val="00756B50"/>
    <w:rsid w:val="00757C90"/>
    <w:rsid w:val="007620CC"/>
    <w:rsid w:val="007627B5"/>
    <w:rsid w:val="00764193"/>
    <w:rsid w:val="00764C23"/>
    <w:rsid w:val="00765D03"/>
    <w:rsid w:val="00767A70"/>
    <w:rsid w:val="007704A0"/>
    <w:rsid w:val="007711A0"/>
    <w:rsid w:val="00771B85"/>
    <w:rsid w:val="007735A7"/>
    <w:rsid w:val="00773932"/>
    <w:rsid w:val="007748A4"/>
    <w:rsid w:val="00775C5C"/>
    <w:rsid w:val="00775FA9"/>
    <w:rsid w:val="00780D9D"/>
    <w:rsid w:val="00785813"/>
    <w:rsid w:val="0079085F"/>
    <w:rsid w:val="00791D5B"/>
    <w:rsid w:val="0079647E"/>
    <w:rsid w:val="007A2214"/>
    <w:rsid w:val="007A2D10"/>
    <w:rsid w:val="007A4849"/>
    <w:rsid w:val="007A4EA2"/>
    <w:rsid w:val="007A583B"/>
    <w:rsid w:val="007A6DAE"/>
    <w:rsid w:val="007B047A"/>
    <w:rsid w:val="007B2272"/>
    <w:rsid w:val="007B3028"/>
    <w:rsid w:val="007B53D9"/>
    <w:rsid w:val="007B57C2"/>
    <w:rsid w:val="007B611F"/>
    <w:rsid w:val="007B61B0"/>
    <w:rsid w:val="007B6D64"/>
    <w:rsid w:val="007C031F"/>
    <w:rsid w:val="007C0FBD"/>
    <w:rsid w:val="007C15C5"/>
    <w:rsid w:val="007C25E3"/>
    <w:rsid w:val="007C40AB"/>
    <w:rsid w:val="007C480C"/>
    <w:rsid w:val="007C5161"/>
    <w:rsid w:val="007C7141"/>
    <w:rsid w:val="007C7DC2"/>
    <w:rsid w:val="007D34C2"/>
    <w:rsid w:val="007D437B"/>
    <w:rsid w:val="007D70C4"/>
    <w:rsid w:val="007E24A6"/>
    <w:rsid w:val="007E2ADE"/>
    <w:rsid w:val="007F1820"/>
    <w:rsid w:val="007F1838"/>
    <w:rsid w:val="007F63B7"/>
    <w:rsid w:val="007F7087"/>
    <w:rsid w:val="0080058F"/>
    <w:rsid w:val="00801E93"/>
    <w:rsid w:val="008046FD"/>
    <w:rsid w:val="008053EC"/>
    <w:rsid w:val="00806924"/>
    <w:rsid w:val="00807613"/>
    <w:rsid w:val="00812AB2"/>
    <w:rsid w:val="0081321F"/>
    <w:rsid w:val="00814E01"/>
    <w:rsid w:val="00815E9E"/>
    <w:rsid w:val="00816BD5"/>
    <w:rsid w:val="008203D2"/>
    <w:rsid w:val="00821E0A"/>
    <w:rsid w:val="0082212E"/>
    <w:rsid w:val="0082286C"/>
    <w:rsid w:val="00823C74"/>
    <w:rsid w:val="00824051"/>
    <w:rsid w:val="008317F9"/>
    <w:rsid w:val="00831C3F"/>
    <w:rsid w:val="00834363"/>
    <w:rsid w:val="00840088"/>
    <w:rsid w:val="0084382B"/>
    <w:rsid w:val="00845915"/>
    <w:rsid w:val="0084782A"/>
    <w:rsid w:val="00847CE0"/>
    <w:rsid w:val="00852559"/>
    <w:rsid w:val="008527CF"/>
    <w:rsid w:val="00852EC5"/>
    <w:rsid w:val="00854BA1"/>
    <w:rsid w:val="00854BCD"/>
    <w:rsid w:val="008553A1"/>
    <w:rsid w:val="00857C5D"/>
    <w:rsid w:val="008608A7"/>
    <w:rsid w:val="00860F95"/>
    <w:rsid w:val="00862DE6"/>
    <w:rsid w:val="008648BA"/>
    <w:rsid w:val="00865C6C"/>
    <w:rsid w:val="0086760A"/>
    <w:rsid w:val="00867A57"/>
    <w:rsid w:val="00871668"/>
    <w:rsid w:val="00871A6D"/>
    <w:rsid w:val="00872736"/>
    <w:rsid w:val="008753CF"/>
    <w:rsid w:val="00875CA6"/>
    <w:rsid w:val="00875ED7"/>
    <w:rsid w:val="00880DC0"/>
    <w:rsid w:val="00881E47"/>
    <w:rsid w:val="008867CE"/>
    <w:rsid w:val="008906B4"/>
    <w:rsid w:val="00892C63"/>
    <w:rsid w:val="00893DC5"/>
    <w:rsid w:val="00897FA9"/>
    <w:rsid w:val="008A0CE7"/>
    <w:rsid w:val="008A201C"/>
    <w:rsid w:val="008A7182"/>
    <w:rsid w:val="008B0B28"/>
    <w:rsid w:val="008B1577"/>
    <w:rsid w:val="008B1D94"/>
    <w:rsid w:val="008B2B09"/>
    <w:rsid w:val="008B44C2"/>
    <w:rsid w:val="008C2202"/>
    <w:rsid w:val="008C3976"/>
    <w:rsid w:val="008C5A82"/>
    <w:rsid w:val="008D0468"/>
    <w:rsid w:val="008D10BC"/>
    <w:rsid w:val="008D1671"/>
    <w:rsid w:val="008D36C7"/>
    <w:rsid w:val="008D75FA"/>
    <w:rsid w:val="008E0561"/>
    <w:rsid w:val="008E183C"/>
    <w:rsid w:val="008E3B68"/>
    <w:rsid w:val="008E4865"/>
    <w:rsid w:val="008E4E1E"/>
    <w:rsid w:val="008F3135"/>
    <w:rsid w:val="008F347F"/>
    <w:rsid w:val="008F3908"/>
    <w:rsid w:val="008F482B"/>
    <w:rsid w:val="008F6077"/>
    <w:rsid w:val="00900968"/>
    <w:rsid w:val="009026A0"/>
    <w:rsid w:val="009048FC"/>
    <w:rsid w:val="00905177"/>
    <w:rsid w:val="00905205"/>
    <w:rsid w:val="0091172E"/>
    <w:rsid w:val="009156A5"/>
    <w:rsid w:val="00916714"/>
    <w:rsid w:val="00916A65"/>
    <w:rsid w:val="009203F4"/>
    <w:rsid w:val="00920C45"/>
    <w:rsid w:val="009212B5"/>
    <w:rsid w:val="00921566"/>
    <w:rsid w:val="0092264D"/>
    <w:rsid w:val="00924E2B"/>
    <w:rsid w:val="00926125"/>
    <w:rsid w:val="009264D5"/>
    <w:rsid w:val="009317F2"/>
    <w:rsid w:val="0093252A"/>
    <w:rsid w:val="009347B1"/>
    <w:rsid w:val="00936A4A"/>
    <w:rsid w:val="00937793"/>
    <w:rsid w:val="00937B51"/>
    <w:rsid w:val="00937ECF"/>
    <w:rsid w:val="00940640"/>
    <w:rsid w:val="00940661"/>
    <w:rsid w:val="0094073C"/>
    <w:rsid w:val="00940836"/>
    <w:rsid w:val="00940A6A"/>
    <w:rsid w:val="00940D41"/>
    <w:rsid w:val="009412C5"/>
    <w:rsid w:val="009415AF"/>
    <w:rsid w:val="00944C0D"/>
    <w:rsid w:val="0094502B"/>
    <w:rsid w:val="00947050"/>
    <w:rsid w:val="00947721"/>
    <w:rsid w:val="009512C3"/>
    <w:rsid w:val="00953E2D"/>
    <w:rsid w:val="00954577"/>
    <w:rsid w:val="00955A97"/>
    <w:rsid w:val="00955E0A"/>
    <w:rsid w:val="009564A3"/>
    <w:rsid w:val="00961AE5"/>
    <w:rsid w:val="009677A0"/>
    <w:rsid w:val="00970545"/>
    <w:rsid w:val="0097078F"/>
    <w:rsid w:val="0097462B"/>
    <w:rsid w:val="009750E0"/>
    <w:rsid w:val="00975544"/>
    <w:rsid w:val="00976A0D"/>
    <w:rsid w:val="00980C9E"/>
    <w:rsid w:val="00981FB4"/>
    <w:rsid w:val="0098211E"/>
    <w:rsid w:val="0098354B"/>
    <w:rsid w:val="0098424A"/>
    <w:rsid w:val="00985D66"/>
    <w:rsid w:val="009868A7"/>
    <w:rsid w:val="00992288"/>
    <w:rsid w:val="00994561"/>
    <w:rsid w:val="009A0F22"/>
    <w:rsid w:val="009A1583"/>
    <w:rsid w:val="009A226D"/>
    <w:rsid w:val="009A4E11"/>
    <w:rsid w:val="009B09F4"/>
    <w:rsid w:val="009B1379"/>
    <w:rsid w:val="009B7792"/>
    <w:rsid w:val="009C08ED"/>
    <w:rsid w:val="009C5136"/>
    <w:rsid w:val="009C5E29"/>
    <w:rsid w:val="009D11B9"/>
    <w:rsid w:val="009D17D7"/>
    <w:rsid w:val="009D18A5"/>
    <w:rsid w:val="009D2DCE"/>
    <w:rsid w:val="009D305E"/>
    <w:rsid w:val="009E0C43"/>
    <w:rsid w:val="009E2306"/>
    <w:rsid w:val="009E4B7A"/>
    <w:rsid w:val="009E5D42"/>
    <w:rsid w:val="009E6816"/>
    <w:rsid w:val="009E686F"/>
    <w:rsid w:val="009E6A18"/>
    <w:rsid w:val="009F37BF"/>
    <w:rsid w:val="009F4ACC"/>
    <w:rsid w:val="009F7E73"/>
    <w:rsid w:val="00A01560"/>
    <w:rsid w:val="00A04ED0"/>
    <w:rsid w:val="00A0787C"/>
    <w:rsid w:val="00A10419"/>
    <w:rsid w:val="00A105DA"/>
    <w:rsid w:val="00A14112"/>
    <w:rsid w:val="00A17D23"/>
    <w:rsid w:val="00A210F9"/>
    <w:rsid w:val="00A227BA"/>
    <w:rsid w:val="00A23909"/>
    <w:rsid w:val="00A23B96"/>
    <w:rsid w:val="00A248F8"/>
    <w:rsid w:val="00A272D3"/>
    <w:rsid w:val="00A32BAC"/>
    <w:rsid w:val="00A3351E"/>
    <w:rsid w:val="00A34458"/>
    <w:rsid w:val="00A3445B"/>
    <w:rsid w:val="00A3475A"/>
    <w:rsid w:val="00A34B29"/>
    <w:rsid w:val="00A35B3D"/>
    <w:rsid w:val="00A36077"/>
    <w:rsid w:val="00A36F75"/>
    <w:rsid w:val="00A40DA4"/>
    <w:rsid w:val="00A4556E"/>
    <w:rsid w:val="00A4790A"/>
    <w:rsid w:val="00A505C4"/>
    <w:rsid w:val="00A5316A"/>
    <w:rsid w:val="00A557C3"/>
    <w:rsid w:val="00A56EA1"/>
    <w:rsid w:val="00A60D36"/>
    <w:rsid w:val="00A614D6"/>
    <w:rsid w:val="00A6529B"/>
    <w:rsid w:val="00A6607A"/>
    <w:rsid w:val="00A66A98"/>
    <w:rsid w:val="00A71A5E"/>
    <w:rsid w:val="00A72341"/>
    <w:rsid w:val="00A73C40"/>
    <w:rsid w:val="00A73DEE"/>
    <w:rsid w:val="00A755B5"/>
    <w:rsid w:val="00A75B9D"/>
    <w:rsid w:val="00A75EC1"/>
    <w:rsid w:val="00A75F0A"/>
    <w:rsid w:val="00A82C4A"/>
    <w:rsid w:val="00A83B19"/>
    <w:rsid w:val="00A849FC"/>
    <w:rsid w:val="00A85DED"/>
    <w:rsid w:val="00A87224"/>
    <w:rsid w:val="00A87CA8"/>
    <w:rsid w:val="00A91018"/>
    <w:rsid w:val="00A91F51"/>
    <w:rsid w:val="00AA052F"/>
    <w:rsid w:val="00AA2083"/>
    <w:rsid w:val="00AA37C8"/>
    <w:rsid w:val="00AA63C4"/>
    <w:rsid w:val="00AB1F93"/>
    <w:rsid w:val="00AB29CD"/>
    <w:rsid w:val="00AB3958"/>
    <w:rsid w:val="00AB670D"/>
    <w:rsid w:val="00AB7E6D"/>
    <w:rsid w:val="00AC3DEA"/>
    <w:rsid w:val="00AC4B06"/>
    <w:rsid w:val="00AC76C4"/>
    <w:rsid w:val="00AD1611"/>
    <w:rsid w:val="00AD271F"/>
    <w:rsid w:val="00AD3513"/>
    <w:rsid w:val="00AD6748"/>
    <w:rsid w:val="00AD7412"/>
    <w:rsid w:val="00AD7B9A"/>
    <w:rsid w:val="00AD7E73"/>
    <w:rsid w:val="00AE0080"/>
    <w:rsid w:val="00AE28FB"/>
    <w:rsid w:val="00AE2C86"/>
    <w:rsid w:val="00AE4FDC"/>
    <w:rsid w:val="00AE5E27"/>
    <w:rsid w:val="00AE78F0"/>
    <w:rsid w:val="00AE7B36"/>
    <w:rsid w:val="00AE7E12"/>
    <w:rsid w:val="00AF1144"/>
    <w:rsid w:val="00AF164B"/>
    <w:rsid w:val="00AF5BDE"/>
    <w:rsid w:val="00AF6C85"/>
    <w:rsid w:val="00B01A65"/>
    <w:rsid w:val="00B05BB5"/>
    <w:rsid w:val="00B11D2D"/>
    <w:rsid w:val="00B12B56"/>
    <w:rsid w:val="00B13F54"/>
    <w:rsid w:val="00B14101"/>
    <w:rsid w:val="00B17477"/>
    <w:rsid w:val="00B1764F"/>
    <w:rsid w:val="00B21260"/>
    <w:rsid w:val="00B2426A"/>
    <w:rsid w:val="00B26B08"/>
    <w:rsid w:val="00B26CF8"/>
    <w:rsid w:val="00B26FDE"/>
    <w:rsid w:val="00B303AA"/>
    <w:rsid w:val="00B30BE7"/>
    <w:rsid w:val="00B31027"/>
    <w:rsid w:val="00B32149"/>
    <w:rsid w:val="00B35FAC"/>
    <w:rsid w:val="00B3771E"/>
    <w:rsid w:val="00B37DEB"/>
    <w:rsid w:val="00B37F9C"/>
    <w:rsid w:val="00B405B8"/>
    <w:rsid w:val="00B41B77"/>
    <w:rsid w:val="00B43163"/>
    <w:rsid w:val="00B46465"/>
    <w:rsid w:val="00B468B1"/>
    <w:rsid w:val="00B47ACE"/>
    <w:rsid w:val="00B509DE"/>
    <w:rsid w:val="00B509FD"/>
    <w:rsid w:val="00B523FF"/>
    <w:rsid w:val="00B5252C"/>
    <w:rsid w:val="00B52645"/>
    <w:rsid w:val="00B52884"/>
    <w:rsid w:val="00B53348"/>
    <w:rsid w:val="00B53962"/>
    <w:rsid w:val="00B55434"/>
    <w:rsid w:val="00B60728"/>
    <w:rsid w:val="00B60D76"/>
    <w:rsid w:val="00B61129"/>
    <w:rsid w:val="00B62F0B"/>
    <w:rsid w:val="00B634F6"/>
    <w:rsid w:val="00B6573B"/>
    <w:rsid w:val="00B67431"/>
    <w:rsid w:val="00B7023A"/>
    <w:rsid w:val="00B7189B"/>
    <w:rsid w:val="00B72338"/>
    <w:rsid w:val="00B7254E"/>
    <w:rsid w:val="00B76C48"/>
    <w:rsid w:val="00B76F3D"/>
    <w:rsid w:val="00B77F7C"/>
    <w:rsid w:val="00B80828"/>
    <w:rsid w:val="00B81200"/>
    <w:rsid w:val="00B829A4"/>
    <w:rsid w:val="00B83E53"/>
    <w:rsid w:val="00B87B61"/>
    <w:rsid w:val="00B91C6B"/>
    <w:rsid w:val="00B92BD8"/>
    <w:rsid w:val="00B92EE4"/>
    <w:rsid w:val="00B940BC"/>
    <w:rsid w:val="00B9644E"/>
    <w:rsid w:val="00BA240D"/>
    <w:rsid w:val="00BA288C"/>
    <w:rsid w:val="00BA378E"/>
    <w:rsid w:val="00BA563E"/>
    <w:rsid w:val="00BB49D4"/>
    <w:rsid w:val="00BB5E7F"/>
    <w:rsid w:val="00BB6C7E"/>
    <w:rsid w:val="00BB7238"/>
    <w:rsid w:val="00BB72B5"/>
    <w:rsid w:val="00BC442B"/>
    <w:rsid w:val="00BC5909"/>
    <w:rsid w:val="00BC6692"/>
    <w:rsid w:val="00BD2116"/>
    <w:rsid w:val="00BD4085"/>
    <w:rsid w:val="00BE05B3"/>
    <w:rsid w:val="00BE09DC"/>
    <w:rsid w:val="00BE0B1E"/>
    <w:rsid w:val="00BE14FB"/>
    <w:rsid w:val="00BE4632"/>
    <w:rsid w:val="00BE466C"/>
    <w:rsid w:val="00BE5D74"/>
    <w:rsid w:val="00BF104D"/>
    <w:rsid w:val="00BF1435"/>
    <w:rsid w:val="00BF2034"/>
    <w:rsid w:val="00BF45BB"/>
    <w:rsid w:val="00C0140E"/>
    <w:rsid w:val="00C02CA6"/>
    <w:rsid w:val="00C03BC9"/>
    <w:rsid w:val="00C04AFE"/>
    <w:rsid w:val="00C04BB5"/>
    <w:rsid w:val="00C059E2"/>
    <w:rsid w:val="00C064F1"/>
    <w:rsid w:val="00C126C0"/>
    <w:rsid w:val="00C12D80"/>
    <w:rsid w:val="00C17685"/>
    <w:rsid w:val="00C20004"/>
    <w:rsid w:val="00C21544"/>
    <w:rsid w:val="00C231C3"/>
    <w:rsid w:val="00C24A11"/>
    <w:rsid w:val="00C25E83"/>
    <w:rsid w:val="00C26D9B"/>
    <w:rsid w:val="00C27ED1"/>
    <w:rsid w:val="00C34192"/>
    <w:rsid w:val="00C374E4"/>
    <w:rsid w:val="00C37636"/>
    <w:rsid w:val="00C41375"/>
    <w:rsid w:val="00C425BE"/>
    <w:rsid w:val="00C42826"/>
    <w:rsid w:val="00C429AE"/>
    <w:rsid w:val="00C42AC0"/>
    <w:rsid w:val="00C4418B"/>
    <w:rsid w:val="00C514FA"/>
    <w:rsid w:val="00C529A5"/>
    <w:rsid w:val="00C542AE"/>
    <w:rsid w:val="00C54862"/>
    <w:rsid w:val="00C54A0B"/>
    <w:rsid w:val="00C55CD0"/>
    <w:rsid w:val="00C56CD7"/>
    <w:rsid w:val="00C6278D"/>
    <w:rsid w:val="00C6550A"/>
    <w:rsid w:val="00C66019"/>
    <w:rsid w:val="00C717C7"/>
    <w:rsid w:val="00C725D2"/>
    <w:rsid w:val="00C74EAF"/>
    <w:rsid w:val="00C82EC7"/>
    <w:rsid w:val="00C84E04"/>
    <w:rsid w:val="00C851AC"/>
    <w:rsid w:val="00C86A71"/>
    <w:rsid w:val="00C92E88"/>
    <w:rsid w:val="00C93E89"/>
    <w:rsid w:val="00C96040"/>
    <w:rsid w:val="00CA0876"/>
    <w:rsid w:val="00CA1213"/>
    <w:rsid w:val="00CA1C77"/>
    <w:rsid w:val="00CA2619"/>
    <w:rsid w:val="00CA3957"/>
    <w:rsid w:val="00CA6F99"/>
    <w:rsid w:val="00CA75B7"/>
    <w:rsid w:val="00CB053C"/>
    <w:rsid w:val="00CB12F2"/>
    <w:rsid w:val="00CB2899"/>
    <w:rsid w:val="00CB55A0"/>
    <w:rsid w:val="00CB6DF5"/>
    <w:rsid w:val="00CB7348"/>
    <w:rsid w:val="00CC042B"/>
    <w:rsid w:val="00CC13DD"/>
    <w:rsid w:val="00CC2537"/>
    <w:rsid w:val="00CC3015"/>
    <w:rsid w:val="00CC3EC3"/>
    <w:rsid w:val="00CC47DD"/>
    <w:rsid w:val="00CC4A2D"/>
    <w:rsid w:val="00CC54BB"/>
    <w:rsid w:val="00CC66F7"/>
    <w:rsid w:val="00CC68C8"/>
    <w:rsid w:val="00CC6E5B"/>
    <w:rsid w:val="00CC7A16"/>
    <w:rsid w:val="00CD1001"/>
    <w:rsid w:val="00CD10F0"/>
    <w:rsid w:val="00CD14DB"/>
    <w:rsid w:val="00CD1B0C"/>
    <w:rsid w:val="00CD3067"/>
    <w:rsid w:val="00CD58E8"/>
    <w:rsid w:val="00CD5945"/>
    <w:rsid w:val="00CD7106"/>
    <w:rsid w:val="00CD78AA"/>
    <w:rsid w:val="00CE2450"/>
    <w:rsid w:val="00CE6BEC"/>
    <w:rsid w:val="00CF0C12"/>
    <w:rsid w:val="00CF12D7"/>
    <w:rsid w:val="00CF2BDC"/>
    <w:rsid w:val="00CF563E"/>
    <w:rsid w:val="00D036AC"/>
    <w:rsid w:val="00D050FB"/>
    <w:rsid w:val="00D068D8"/>
    <w:rsid w:val="00D0732B"/>
    <w:rsid w:val="00D100A6"/>
    <w:rsid w:val="00D15C64"/>
    <w:rsid w:val="00D21AF2"/>
    <w:rsid w:val="00D2308B"/>
    <w:rsid w:val="00D247EB"/>
    <w:rsid w:val="00D252AE"/>
    <w:rsid w:val="00D30C71"/>
    <w:rsid w:val="00D31218"/>
    <w:rsid w:val="00D32A6E"/>
    <w:rsid w:val="00D32D31"/>
    <w:rsid w:val="00D37F11"/>
    <w:rsid w:val="00D4419A"/>
    <w:rsid w:val="00D444CC"/>
    <w:rsid w:val="00D473AC"/>
    <w:rsid w:val="00D56834"/>
    <w:rsid w:val="00D572B8"/>
    <w:rsid w:val="00D66483"/>
    <w:rsid w:val="00D66BDB"/>
    <w:rsid w:val="00D66EF3"/>
    <w:rsid w:val="00D7347A"/>
    <w:rsid w:val="00D80C9A"/>
    <w:rsid w:val="00D835C9"/>
    <w:rsid w:val="00D840A3"/>
    <w:rsid w:val="00D852BA"/>
    <w:rsid w:val="00D9139C"/>
    <w:rsid w:val="00D91C7A"/>
    <w:rsid w:val="00D935A6"/>
    <w:rsid w:val="00D94540"/>
    <w:rsid w:val="00DA5923"/>
    <w:rsid w:val="00DA5F27"/>
    <w:rsid w:val="00DA6A3E"/>
    <w:rsid w:val="00DA7092"/>
    <w:rsid w:val="00DB182F"/>
    <w:rsid w:val="00DB56F2"/>
    <w:rsid w:val="00DB6404"/>
    <w:rsid w:val="00DC1510"/>
    <w:rsid w:val="00DC2D80"/>
    <w:rsid w:val="00DC56B6"/>
    <w:rsid w:val="00DD1209"/>
    <w:rsid w:val="00DD1275"/>
    <w:rsid w:val="00DD2A0F"/>
    <w:rsid w:val="00DD399C"/>
    <w:rsid w:val="00DD5AB6"/>
    <w:rsid w:val="00DD7563"/>
    <w:rsid w:val="00DD7EA2"/>
    <w:rsid w:val="00DE11D0"/>
    <w:rsid w:val="00DE5227"/>
    <w:rsid w:val="00DE6C01"/>
    <w:rsid w:val="00DE702C"/>
    <w:rsid w:val="00DF184F"/>
    <w:rsid w:val="00DF6ED2"/>
    <w:rsid w:val="00E014A8"/>
    <w:rsid w:val="00E01F2F"/>
    <w:rsid w:val="00E02205"/>
    <w:rsid w:val="00E028CB"/>
    <w:rsid w:val="00E03CA7"/>
    <w:rsid w:val="00E04811"/>
    <w:rsid w:val="00E06762"/>
    <w:rsid w:val="00E10019"/>
    <w:rsid w:val="00E11E17"/>
    <w:rsid w:val="00E129B8"/>
    <w:rsid w:val="00E13744"/>
    <w:rsid w:val="00E13B23"/>
    <w:rsid w:val="00E148A3"/>
    <w:rsid w:val="00E158E5"/>
    <w:rsid w:val="00E2140C"/>
    <w:rsid w:val="00E33DF6"/>
    <w:rsid w:val="00E37388"/>
    <w:rsid w:val="00E3751F"/>
    <w:rsid w:val="00E37537"/>
    <w:rsid w:val="00E41A7E"/>
    <w:rsid w:val="00E41D89"/>
    <w:rsid w:val="00E4489F"/>
    <w:rsid w:val="00E50515"/>
    <w:rsid w:val="00E5106E"/>
    <w:rsid w:val="00E515C3"/>
    <w:rsid w:val="00E52D26"/>
    <w:rsid w:val="00E55661"/>
    <w:rsid w:val="00E626AF"/>
    <w:rsid w:val="00E668FA"/>
    <w:rsid w:val="00E674C8"/>
    <w:rsid w:val="00E71774"/>
    <w:rsid w:val="00E719DA"/>
    <w:rsid w:val="00E71BC4"/>
    <w:rsid w:val="00E724D6"/>
    <w:rsid w:val="00E72D98"/>
    <w:rsid w:val="00E75039"/>
    <w:rsid w:val="00E756DC"/>
    <w:rsid w:val="00E765F6"/>
    <w:rsid w:val="00E77FF7"/>
    <w:rsid w:val="00E80D0E"/>
    <w:rsid w:val="00E81513"/>
    <w:rsid w:val="00E83547"/>
    <w:rsid w:val="00E86F96"/>
    <w:rsid w:val="00E90623"/>
    <w:rsid w:val="00E90F4D"/>
    <w:rsid w:val="00E928AD"/>
    <w:rsid w:val="00E9509F"/>
    <w:rsid w:val="00E9627C"/>
    <w:rsid w:val="00E966CF"/>
    <w:rsid w:val="00E96DB0"/>
    <w:rsid w:val="00EA2458"/>
    <w:rsid w:val="00EA32CE"/>
    <w:rsid w:val="00EA38E7"/>
    <w:rsid w:val="00EA5278"/>
    <w:rsid w:val="00EA6AE4"/>
    <w:rsid w:val="00EB1058"/>
    <w:rsid w:val="00EB2F75"/>
    <w:rsid w:val="00EB4FCA"/>
    <w:rsid w:val="00EB5C2C"/>
    <w:rsid w:val="00EB603B"/>
    <w:rsid w:val="00EB60FE"/>
    <w:rsid w:val="00EB66CA"/>
    <w:rsid w:val="00EC0840"/>
    <w:rsid w:val="00EC0D7F"/>
    <w:rsid w:val="00EC0E1C"/>
    <w:rsid w:val="00EC1BE5"/>
    <w:rsid w:val="00EC2B59"/>
    <w:rsid w:val="00EC488E"/>
    <w:rsid w:val="00EC5959"/>
    <w:rsid w:val="00EC5F4E"/>
    <w:rsid w:val="00EC792C"/>
    <w:rsid w:val="00ED12EE"/>
    <w:rsid w:val="00ED2E95"/>
    <w:rsid w:val="00ED33C7"/>
    <w:rsid w:val="00ED370A"/>
    <w:rsid w:val="00ED39F7"/>
    <w:rsid w:val="00ED3CF2"/>
    <w:rsid w:val="00ED4A3A"/>
    <w:rsid w:val="00ED5831"/>
    <w:rsid w:val="00EE1117"/>
    <w:rsid w:val="00EE19CC"/>
    <w:rsid w:val="00EE25D3"/>
    <w:rsid w:val="00EE30E8"/>
    <w:rsid w:val="00EE357C"/>
    <w:rsid w:val="00EE39C7"/>
    <w:rsid w:val="00EE6E31"/>
    <w:rsid w:val="00EE7699"/>
    <w:rsid w:val="00EE7A24"/>
    <w:rsid w:val="00EF2E2D"/>
    <w:rsid w:val="00EF3965"/>
    <w:rsid w:val="00EF407B"/>
    <w:rsid w:val="00EF62EC"/>
    <w:rsid w:val="00EF6B62"/>
    <w:rsid w:val="00EF6E21"/>
    <w:rsid w:val="00F0123E"/>
    <w:rsid w:val="00F0212A"/>
    <w:rsid w:val="00F028DB"/>
    <w:rsid w:val="00F02F81"/>
    <w:rsid w:val="00F047BC"/>
    <w:rsid w:val="00F06976"/>
    <w:rsid w:val="00F150F7"/>
    <w:rsid w:val="00F2139A"/>
    <w:rsid w:val="00F21A9C"/>
    <w:rsid w:val="00F261A7"/>
    <w:rsid w:val="00F31553"/>
    <w:rsid w:val="00F3546F"/>
    <w:rsid w:val="00F36565"/>
    <w:rsid w:val="00F367DD"/>
    <w:rsid w:val="00F36FA9"/>
    <w:rsid w:val="00F40016"/>
    <w:rsid w:val="00F407E2"/>
    <w:rsid w:val="00F40C5B"/>
    <w:rsid w:val="00F42204"/>
    <w:rsid w:val="00F42F04"/>
    <w:rsid w:val="00F45821"/>
    <w:rsid w:val="00F46024"/>
    <w:rsid w:val="00F46BD9"/>
    <w:rsid w:val="00F475A7"/>
    <w:rsid w:val="00F47F9E"/>
    <w:rsid w:val="00F50946"/>
    <w:rsid w:val="00F55664"/>
    <w:rsid w:val="00F556E6"/>
    <w:rsid w:val="00F55701"/>
    <w:rsid w:val="00F56AE8"/>
    <w:rsid w:val="00F57395"/>
    <w:rsid w:val="00F615EE"/>
    <w:rsid w:val="00F637D8"/>
    <w:rsid w:val="00F642F0"/>
    <w:rsid w:val="00F65C8D"/>
    <w:rsid w:val="00F73A04"/>
    <w:rsid w:val="00F74E00"/>
    <w:rsid w:val="00F7597E"/>
    <w:rsid w:val="00F762BC"/>
    <w:rsid w:val="00F77070"/>
    <w:rsid w:val="00F851CC"/>
    <w:rsid w:val="00F8649B"/>
    <w:rsid w:val="00F916DB"/>
    <w:rsid w:val="00F919D4"/>
    <w:rsid w:val="00F937E7"/>
    <w:rsid w:val="00F93B7E"/>
    <w:rsid w:val="00F95E30"/>
    <w:rsid w:val="00FA63E6"/>
    <w:rsid w:val="00FA702A"/>
    <w:rsid w:val="00FA729B"/>
    <w:rsid w:val="00FB0A9B"/>
    <w:rsid w:val="00FB25EC"/>
    <w:rsid w:val="00FB47F3"/>
    <w:rsid w:val="00FB5208"/>
    <w:rsid w:val="00FB530B"/>
    <w:rsid w:val="00FC0D61"/>
    <w:rsid w:val="00FC1DA4"/>
    <w:rsid w:val="00FC2C31"/>
    <w:rsid w:val="00FC7267"/>
    <w:rsid w:val="00FC78CE"/>
    <w:rsid w:val="00FD371C"/>
    <w:rsid w:val="00FD5B7F"/>
    <w:rsid w:val="00FD6811"/>
    <w:rsid w:val="00FE10EA"/>
    <w:rsid w:val="00FE6632"/>
    <w:rsid w:val="01157726"/>
    <w:rsid w:val="026E5E10"/>
    <w:rsid w:val="02D63B17"/>
    <w:rsid w:val="03130587"/>
    <w:rsid w:val="03957E4F"/>
    <w:rsid w:val="03A53B02"/>
    <w:rsid w:val="03A857EB"/>
    <w:rsid w:val="06643B1C"/>
    <w:rsid w:val="06822C25"/>
    <w:rsid w:val="06A20FC1"/>
    <w:rsid w:val="06E17D3B"/>
    <w:rsid w:val="06E23AB3"/>
    <w:rsid w:val="07C136C9"/>
    <w:rsid w:val="08AA5AD4"/>
    <w:rsid w:val="095A742F"/>
    <w:rsid w:val="095B05BB"/>
    <w:rsid w:val="09955B16"/>
    <w:rsid w:val="09DE52B8"/>
    <w:rsid w:val="0ABC463E"/>
    <w:rsid w:val="0B2B77D7"/>
    <w:rsid w:val="0B3E28E6"/>
    <w:rsid w:val="0C131FBB"/>
    <w:rsid w:val="0CE65DB2"/>
    <w:rsid w:val="0E374E0A"/>
    <w:rsid w:val="0FA1275E"/>
    <w:rsid w:val="0FDB157D"/>
    <w:rsid w:val="0FEE5277"/>
    <w:rsid w:val="10A64993"/>
    <w:rsid w:val="121A2D20"/>
    <w:rsid w:val="1340095F"/>
    <w:rsid w:val="136A6086"/>
    <w:rsid w:val="14C44CA4"/>
    <w:rsid w:val="14D964F6"/>
    <w:rsid w:val="14F03AD0"/>
    <w:rsid w:val="15F230E6"/>
    <w:rsid w:val="16AA22BF"/>
    <w:rsid w:val="18470AF1"/>
    <w:rsid w:val="193A32DB"/>
    <w:rsid w:val="1AFD138A"/>
    <w:rsid w:val="1C101B1C"/>
    <w:rsid w:val="1C8C20A0"/>
    <w:rsid w:val="1D9060FA"/>
    <w:rsid w:val="1DF428DD"/>
    <w:rsid w:val="1EA26876"/>
    <w:rsid w:val="1F2A172B"/>
    <w:rsid w:val="1F371B39"/>
    <w:rsid w:val="1FEB1241"/>
    <w:rsid w:val="1FF04855"/>
    <w:rsid w:val="20514B81"/>
    <w:rsid w:val="224A6B9C"/>
    <w:rsid w:val="22571F8F"/>
    <w:rsid w:val="22B76A43"/>
    <w:rsid w:val="2369515C"/>
    <w:rsid w:val="236A7867"/>
    <w:rsid w:val="247E43DB"/>
    <w:rsid w:val="247F49B2"/>
    <w:rsid w:val="24B93C93"/>
    <w:rsid w:val="253A3071"/>
    <w:rsid w:val="2629095F"/>
    <w:rsid w:val="273870AC"/>
    <w:rsid w:val="286133E5"/>
    <w:rsid w:val="28D02702"/>
    <w:rsid w:val="2AFC4894"/>
    <w:rsid w:val="2B45448D"/>
    <w:rsid w:val="2BC730F4"/>
    <w:rsid w:val="2BE42462"/>
    <w:rsid w:val="2C7F7D91"/>
    <w:rsid w:val="2CC47801"/>
    <w:rsid w:val="2D9671E8"/>
    <w:rsid w:val="300F4AF8"/>
    <w:rsid w:val="308E6568"/>
    <w:rsid w:val="30FC114A"/>
    <w:rsid w:val="31EE5C0F"/>
    <w:rsid w:val="33893357"/>
    <w:rsid w:val="36435A6D"/>
    <w:rsid w:val="3656754F"/>
    <w:rsid w:val="36761D47"/>
    <w:rsid w:val="37021484"/>
    <w:rsid w:val="37226B12"/>
    <w:rsid w:val="37D82C03"/>
    <w:rsid w:val="39462149"/>
    <w:rsid w:val="39472B23"/>
    <w:rsid w:val="3A703CB3"/>
    <w:rsid w:val="3AA22001"/>
    <w:rsid w:val="3AC22EF7"/>
    <w:rsid w:val="3BB32AA0"/>
    <w:rsid w:val="3C250662"/>
    <w:rsid w:val="3D597924"/>
    <w:rsid w:val="3DD86C32"/>
    <w:rsid w:val="3E993244"/>
    <w:rsid w:val="3EBB7211"/>
    <w:rsid w:val="3EDF29B7"/>
    <w:rsid w:val="3EF40282"/>
    <w:rsid w:val="3F152A8D"/>
    <w:rsid w:val="3F210504"/>
    <w:rsid w:val="405A2129"/>
    <w:rsid w:val="42122117"/>
    <w:rsid w:val="42FF4ACA"/>
    <w:rsid w:val="43A27995"/>
    <w:rsid w:val="43A97571"/>
    <w:rsid w:val="43F5509A"/>
    <w:rsid w:val="44970918"/>
    <w:rsid w:val="44A6643B"/>
    <w:rsid w:val="455C6204"/>
    <w:rsid w:val="459A7375"/>
    <w:rsid w:val="45C53DA9"/>
    <w:rsid w:val="469F45FA"/>
    <w:rsid w:val="46D02A05"/>
    <w:rsid w:val="47A36FA7"/>
    <w:rsid w:val="480321E6"/>
    <w:rsid w:val="492D5972"/>
    <w:rsid w:val="494D6B4F"/>
    <w:rsid w:val="49FE4528"/>
    <w:rsid w:val="4A5E657A"/>
    <w:rsid w:val="4ADF3B5F"/>
    <w:rsid w:val="4B0803B7"/>
    <w:rsid w:val="4BD2094E"/>
    <w:rsid w:val="4BDB7584"/>
    <w:rsid w:val="4CEC4311"/>
    <w:rsid w:val="4D9C11A0"/>
    <w:rsid w:val="4F4421E2"/>
    <w:rsid w:val="4F7F4642"/>
    <w:rsid w:val="50903060"/>
    <w:rsid w:val="50E6454A"/>
    <w:rsid w:val="51057B3F"/>
    <w:rsid w:val="519A02E5"/>
    <w:rsid w:val="51CB2747"/>
    <w:rsid w:val="520903BB"/>
    <w:rsid w:val="52BB2625"/>
    <w:rsid w:val="535B1FF7"/>
    <w:rsid w:val="536D782E"/>
    <w:rsid w:val="53EE096F"/>
    <w:rsid w:val="54EB1352"/>
    <w:rsid w:val="56293A3C"/>
    <w:rsid w:val="56445CDB"/>
    <w:rsid w:val="57284198"/>
    <w:rsid w:val="578E4942"/>
    <w:rsid w:val="584D6EAE"/>
    <w:rsid w:val="585A2440"/>
    <w:rsid w:val="58F05D47"/>
    <w:rsid w:val="59AE5E2F"/>
    <w:rsid w:val="5A9304C2"/>
    <w:rsid w:val="5AAC0A13"/>
    <w:rsid w:val="5AE345FD"/>
    <w:rsid w:val="5B7A511B"/>
    <w:rsid w:val="5B8A3673"/>
    <w:rsid w:val="5BBB524E"/>
    <w:rsid w:val="5BEC7E8A"/>
    <w:rsid w:val="5C5075AD"/>
    <w:rsid w:val="5C5D48E3"/>
    <w:rsid w:val="5C727933"/>
    <w:rsid w:val="5C77744D"/>
    <w:rsid w:val="5C9B5940"/>
    <w:rsid w:val="5DF14932"/>
    <w:rsid w:val="5E26485E"/>
    <w:rsid w:val="5F014F67"/>
    <w:rsid w:val="60436F72"/>
    <w:rsid w:val="607C7302"/>
    <w:rsid w:val="60F15F42"/>
    <w:rsid w:val="624136C7"/>
    <w:rsid w:val="62C03E1E"/>
    <w:rsid w:val="62F858BD"/>
    <w:rsid w:val="641F4B74"/>
    <w:rsid w:val="64E42D48"/>
    <w:rsid w:val="64F51D88"/>
    <w:rsid w:val="659A7589"/>
    <w:rsid w:val="65C415C7"/>
    <w:rsid w:val="662F59A5"/>
    <w:rsid w:val="66C8504F"/>
    <w:rsid w:val="67D54704"/>
    <w:rsid w:val="68263E9E"/>
    <w:rsid w:val="687914FA"/>
    <w:rsid w:val="68C301C4"/>
    <w:rsid w:val="695D4F45"/>
    <w:rsid w:val="6A2B6EAE"/>
    <w:rsid w:val="6A464572"/>
    <w:rsid w:val="6A9C2A7B"/>
    <w:rsid w:val="6C4E3B06"/>
    <w:rsid w:val="6CF63A92"/>
    <w:rsid w:val="6D056FFD"/>
    <w:rsid w:val="6D196605"/>
    <w:rsid w:val="6DC6202A"/>
    <w:rsid w:val="6EAE500D"/>
    <w:rsid w:val="6EC91F38"/>
    <w:rsid w:val="6EEB3FD1"/>
    <w:rsid w:val="70FF1FB5"/>
    <w:rsid w:val="7100559D"/>
    <w:rsid w:val="713D663A"/>
    <w:rsid w:val="715E0A8A"/>
    <w:rsid w:val="71B257C7"/>
    <w:rsid w:val="739A6F14"/>
    <w:rsid w:val="73B25FFE"/>
    <w:rsid w:val="73F76F74"/>
    <w:rsid w:val="74626AE3"/>
    <w:rsid w:val="749A61FE"/>
    <w:rsid w:val="74E61BA3"/>
    <w:rsid w:val="75923A1B"/>
    <w:rsid w:val="75956A44"/>
    <w:rsid w:val="771F6F0D"/>
    <w:rsid w:val="78372035"/>
    <w:rsid w:val="79E454CE"/>
    <w:rsid w:val="7B9652C4"/>
    <w:rsid w:val="7C29613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4"/>
    <w:qFormat/>
    <w:uiPriority w:val="0"/>
    <w:pPr>
      <w:keepNext/>
      <w:keepLines/>
      <w:spacing w:line="416" w:lineRule="auto"/>
      <w:jc w:val="center"/>
      <w:outlineLvl w:val="2"/>
    </w:pPr>
    <w:rPr>
      <w:rFonts w:ascii="宋体" w:hAnsi="Times New Roman"/>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9"/>
    <w:qFormat/>
    <w:uiPriority w:val="0"/>
    <w:rPr>
      <w:rFonts w:ascii="宋体" w:hAnsi="Times New Roman"/>
      <w:sz w:val="18"/>
      <w:szCs w:val="18"/>
    </w:rPr>
  </w:style>
  <w:style w:type="paragraph" w:styleId="5">
    <w:name w:val="Document Map"/>
    <w:basedOn w:val="1"/>
    <w:semiHidden/>
    <w:qFormat/>
    <w:uiPriority w:val="0"/>
    <w:pPr>
      <w:shd w:val="clear" w:color="auto" w:fill="000080"/>
    </w:pPr>
  </w:style>
  <w:style w:type="paragraph" w:styleId="6">
    <w:name w:val="annotation text"/>
    <w:basedOn w:val="1"/>
    <w:link w:val="25"/>
    <w:qFormat/>
    <w:uiPriority w:val="99"/>
    <w:pPr>
      <w:jc w:val="left"/>
    </w:pPr>
    <w:rPr>
      <w:rFonts w:ascii="Times New Roman" w:hAnsi="Times New Roman"/>
    </w:rPr>
  </w:style>
  <w:style w:type="paragraph" w:styleId="7">
    <w:name w:val="Body Text"/>
    <w:basedOn w:val="1"/>
    <w:link w:val="26"/>
    <w:qFormat/>
    <w:uiPriority w:val="0"/>
    <w:pPr>
      <w:spacing w:after="120"/>
    </w:pPr>
    <w:rPr>
      <w:rFonts w:ascii="Times New Roman" w:hAnsi="Times New Roman"/>
    </w:rPr>
  </w:style>
  <w:style w:type="paragraph" w:styleId="8">
    <w:name w:val="Body Text Indent"/>
    <w:basedOn w:val="1"/>
    <w:qFormat/>
    <w:uiPriority w:val="0"/>
    <w:pPr>
      <w:ind w:firstLine="560" w:firstLineChars="200"/>
    </w:pPr>
    <w:rPr>
      <w:sz w:val="28"/>
    </w:rPr>
  </w:style>
  <w:style w:type="paragraph" w:styleId="9">
    <w:name w:val="Plain Text"/>
    <w:basedOn w:val="1"/>
    <w:link w:val="27"/>
    <w:qFormat/>
    <w:uiPriority w:val="0"/>
    <w:rPr>
      <w:rFonts w:ascii="宋体" w:hAnsi="Courier New"/>
      <w:spacing w:val="-20"/>
      <w:w w:val="50"/>
      <w:szCs w:val="20"/>
    </w:rPr>
  </w:style>
  <w:style w:type="paragraph" w:styleId="10">
    <w:name w:val="Date"/>
    <w:basedOn w:val="1"/>
    <w:next w:val="1"/>
    <w:link w:val="28"/>
    <w:qFormat/>
    <w:uiPriority w:val="0"/>
    <w:rPr>
      <w:rFonts w:ascii="Times New Roman" w:hAnsi="Times New Roman"/>
      <w:b/>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rPr>
      <w:szCs w:val="22"/>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6"/>
    <w:next w:val="6"/>
    <w:link w:val="30"/>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Hyperlink"/>
    <w:qFormat/>
    <w:uiPriority w:val="0"/>
    <w:rPr>
      <w:color w:val="0000FF"/>
      <w:u w:val="single"/>
    </w:rPr>
  </w:style>
  <w:style w:type="character" w:styleId="22">
    <w:name w:val="annotation reference"/>
    <w:qFormat/>
    <w:uiPriority w:val="99"/>
    <w:rPr>
      <w:sz w:val="21"/>
      <w:szCs w:val="21"/>
    </w:rPr>
  </w:style>
  <w:style w:type="character" w:customStyle="1" w:styleId="23">
    <w:name w:val="标题 2 Char"/>
    <w:link w:val="3"/>
    <w:qFormat/>
    <w:uiPriority w:val="9"/>
    <w:rPr>
      <w:rFonts w:ascii="等线 Light" w:hAnsi="等线 Light" w:eastAsia="等线 Light"/>
      <w:b/>
      <w:bCs/>
      <w:kern w:val="2"/>
      <w:sz w:val="32"/>
      <w:szCs w:val="32"/>
    </w:rPr>
  </w:style>
  <w:style w:type="character" w:customStyle="1" w:styleId="24">
    <w:name w:val="标题 3 Char"/>
    <w:link w:val="4"/>
    <w:qFormat/>
    <w:uiPriority w:val="0"/>
    <w:rPr>
      <w:rFonts w:ascii="宋体" w:eastAsia="宋体"/>
      <w:b/>
      <w:bCs/>
      <w:kern w:val="2"/>
      <w:sz w:val="32"/>
      <w:szCs w:val="32"/>
      <w:lang w:val="en-US" w:eastAsia="zh-CN" w:bidi="ar-SA"/>
    </w:rPr>
  </w:style>
  <w:style w:type="character" w:customStyle="1" w:styleId="25">
    <w:name w:val="批注文字 Char"/>
    <w:link w:val="6"/>
    <w:qFormat/>
    <w:uiPriority w:val="99"/>
    <w:rPr>
      <w:kern w:val="2"/>
      <w:sz w:val="21"/>
      <w:szCs w:val="24"/>
    </w:rPr>
  </w:style>
  <w:style w:type="character" w:customStyle="1" w:styleId="26">
    <w:name w:val="正文文本 Char"/>
    <w:link w:val="7"/>
    <w:qFormat/>
    <w:uiPriority w:val="0"/>
    <w:rPr>
      <w:kern w:val="2"/>
      <w:sz w:val="21"/>
      <w:szCs w:val="24"/>
    </w:rPr>
  </w:style>
  <w:style w:type="character" w:customStyle="1" w:styleId="27">
    <w:name w:val="纯文本 Char"/>
    <w:link w:val="9"/>
    <w:semiHidden/>
    <w:qFormat/>
    <w:uiPriority w:val="0"/>
    <w:rPr>
      <w:rFonts w:ascii="宋体" w:hAnsi="Courier New" w:eastAsia="宋体"/>
      <w:spacing w:val="-20"/>
      <w:w w:val="50"/>
      <w:kern w:val="2"/>
      <w:sz w:val="21"/>
      <w:lang w:val="en-US" w:eastAsia="zh-CN" w:bidi="ar-SA"/>
    </w:rPr>
  </w:style>
  <w:style w:type="character" w:customStyle="1" w:styleId="28">
    <w:name w:val="日期 Char"/>
    <w:link w:val="10"/>
    <w:qFormat/>
    <w:uiPriority w:val="0"/>
    <w:rPr>
      <w:rFonts w:eastAsia="宋体"/>
      <w:b/>
      <w:kern w:val="2"/>
      <w:sz w:val="28"/>
      <w:lang w:val="en-US" w:eastAsia="zh-CN" w:bidi="ar-SA"/>
    </w:rPr>
  </w:style>
  <w:style w:type="character" w:customStyle="1" w:styleId="29">
    <w:name w:val="批注框文本 Char"/>
    <w:link w:val="2"/>
    <w:qFormat/>
    <w:uiPriority w:val="0"/>
    <w:rPr>
      <w:rFonts w:ascii="宋体"/>
      <w:kern w:val="2"/>
      <w:sz w:val="18"/>
      <w:szCs w:val="18"/>
    </w:rPr>
  </w:style>
  <w:style w:type="character" w:customStyle="1" w:styleId="30">
    <w:name w:val="批注主题 Char"/>
    <w:link w:val="15"/>
    <w:qFormat/>
    <w:uiPriority w:val="0"/>
    <w:rPr>
      <w:b/>
      <w:bCs/>
      <w:kern w:val="2"/>
      <w:sz w:val="21"/>
      <w:szCs w:val="24"/>
    </w:rPr>
  </w:style>
  <w:style w:type="character" w:customStyle="1" w:styleId="31">
    <w:name w:val="NormalCharacter"/>
    <w:semiHidden/>
    <w:qFormat/>
    <w:uiPriority w:val="0"/>
  </w:style>
  <w:style w:type="paragraph" w:customStyle="1" w:styleId="32">
    <w:name w:val="Char"/>
    <w:basedOn w:val="1"/>
    <w:qFormat/>
    <w:uiPriority w:val="0"/>
    <w:pPr>
      <w:spacing w:line="360" w:lineRule="auto"/>
    </w:pPr>
    <w:rPr>
      <w:rFonts w:ascii="Tahoma" w:hAnsi="Tahoma"/>
      <w:sz w:val="24"/>
      <w:szCs w:val="20"/>
    </w:rPr>
  </w:style>
  <w:style w:type="paragraph" w:customStyle="1" w:styleId="33">
    <w:name w:val="xl31"/>
    <w:basedOn w:val="1"/>
    <w:qFormat/>
    <w:uiPriority w:val="0"/>
    <w:pPr>
      <w:widowControl/>
      <w:spacing w:beforeAutospacing="1" w:afterAutospacing="1"/>
      <w:jc w:val="center"/>
    </w:pPr>
    <w:rPr>
      <w:rFonts w:ascii="宋体" w:hAnsi="宋体"/>
      <w:b/>
      <w:bCs/>
      <w:kern w:val="0"/>
      <w:sz w:val="28"/>
      <w:szCs w:val="28"/>
    </w:rPr>
  </w:style>
  <w:style w:type="paragraph" w:customStyle="1" w:styleId="34">
    <w:name w:val="p0"/>
    <w:basedOn w:val="1"/>
    <w:qFormat/>
    <w:uiPriority w:val="0"/>
    <w:pPr>
      <w:widowControl/>
    </w:pPr>
    <w:rPr>
      <w:kern w:val="0"/>
      <w:szCs w:val="21"/>
    </w:rPr>
  </w:style>
  <w:style w:type="paragraph" w:customStyle="1" w:styleId="35">
    <w:name w:val="Char Char Char Char Char Char Char1 Char"/>
    <w:basedOn w:val="1"/>
    <w:qFormat/>
    <w:uiPriority w:val="0"/>
    <w:rPr>
      <w:rFonts w:ascii="Tahoma" w:hAnsi="Tahoma"/>
      <w:sz w:val="24"/>
      <w:szCs w:val="20"/>
    </w:rPr>
  </w:style>
  <w:style w:type="paragraph" w:styleId="36">
    <w:name w:val="List Paragraph"/>
    <w:basedOn w:val="1"/>
    <w:qFormat/>
    <w:uiPriority w:val="1"/>
    <w:pPr>
      <w:ind w:firstLine="420" w:firstLineChars="200"/>
    </w:pPr>
    <w:rPr>
      <w:szCs w:val="22"/>
    </w:rPr>
  </w:style>
  <w:style w:type="paragraph" w:customStyle="1" w:styleId="37">
    <w:name w:val="彩色列表 - 强调文字颜色 11"/>
    <w:basedOn w:val="1"/>
    <w:qFormat/>
    <w:uiPriority w:val="99"/>
    <w:pPr>
      <w:ind w:firstLine="420" w:firstLineChars="200"/>
    </w:pPr>
    <w:rPr>
      <w:szCs w:val="21"/>
    </w:rPr>
  </w:style>
  <w:style w:type="paragraph" w:customStyle="1" w:styleId="38">
    <w:name w:val="列出段落1"/>
    <w:basedOn w:val="1"/>
    <w:qFormat/>
    <w:uiPriority w:val="1"/>
    <w:pPr>
      <w:ind w:firstLine="420" w:firstLineChars="200"/>
    </w:pPr>
    <w:rPr>
      <w:szCs w:val="22"/>
    </w:rPr>
  </w:style>
  <w:style w:type="paragraph" w:styleId="39">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36</Pages>
  <Words>17465</Words>
  <Characters>18285</Characters>
  <Lines>142</Lines>
  <Paragraphs>40</Paragraphs>
  <TotalTime>6</TotalTime>
  <ScaleCrop>false</ScaleCrop>
  <LinksUpToDate>false</LinksUpToDate>
  <CharactersWithSpaces>19263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2020-03-06T07:29:00Z</dcterms:created>
  <dc:creator>安全保卫部</dc:creator>
  <cp:lastModifiedBy>zxj</cp:lastModifiedBy>
  <cp:lastPrinted>2023-06-28T01:45:00Z</cp:lastPrinted>
  <dcterms:modified xsi:type="dcterms:W3CDTF">2023-07-15T04:01:38Z</dcterms:modified>
  <dc:title>安徽百大合家福连锁超市股份有限公司</dc:title>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193FBA6D180145D084EF2ED6FB0EC770_13</vt:lpwstr>
  </property>
</Properties>
</file>