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jc w:val="center"/>
        <w:rPr>
          <w:rFonts w:ascii="宋体" w:hAnsi="宋体" w:eastAsia="宋体" w:cs="宋体"/>
          <w:b/>
          <w:bCs/>
          <w:sz w:val="28"/>
          <w:szCs w:val="28"/>
        </w:rPr>
      </w:pPr>
    </w:p>
    <w:p>
      <w:pPr>
        <w:spacing w:line="500" w:lineRule="exact"/>
        <w:jc w:val="center"/>
        <w:rPr>
          <w:rFonts w:ascii="宋体" w:hAnsi="宋体" w:eastAsia="宋体" w:cs="宋体"/>
          <w:b/>
          <w:bCs/>
          <w:sz w:val="36"/>
          <w:szCs w:val="36"/>
        </w:rPr>
      </w:pPr>
      <w:r>
        <w:rPr>
          <w:rFonts w:hint="eastAsia" w:ascii="宋体" w:hAnsi="宋体" w:eastAsia="宋体" w:cs="宋体"/>
          <w:b/>
          <w:bCs/>
          <w:sz w:val="36"/>
          <w:szCs w:val="36"/>
          <w:lang w:val="en-US" w:eastAsia="zh-CN"/>
        </w:rPr>
        <w:t>合肥百大合家悦菜市场管理有限责任公司</w:t>
      </w:r>
    </w:p>
    <w:p>
      <w:pPr>
        <w:jc w:val="center"/>
        <w:rPr>
          <w:rFonts w:ascii="宋体" w:hAnsi="宋体" w:eastAsia="宋体" w:cs="宋体"/>
          <w:b/>
          <w:bCs/>
          <w:sz w:val="28"/>
          <w:szCs w:val="28"/>
        </w:rPr>
      </w:pPr>
      <w:r>
        <w:rPr>
          <w:rFonts w:hint="eastAsia" w:ascii="宋体" w:hAnsi="宋体" w:eastAsia="宋体" w:cs="宋体"/>
          <w:b/>
          <w:bCs/>
          <w:sz w:val="28"/>
          <w:szCs w:val="28"/>
          <w:lang w:val="en-US" w:eastAsia="zh-CN"/>
        </w:rPr>
        <w:br w:type="textWrapping"/>
      </w:r>
      <w:r>
        <w:rPr>
          <w:rFonts w:hint="eastAsia" w:ascii="宋体" w:hAnsi="宋体" w:eastAsia="宋体" w:cs="宋体"/>
          <w:b/>
          <w:bCs/>
          <w:sz w:val="28"/>
          <w:szCs w:val="28"/>
          <w:lang w:val="en-US" w:eastAsia="zh-CN"/>
        </w:rPr>
        <w:t>百大合家悦康园菜市场2023-2024年电梯维保</w:t>
      </w:r>
      <w:r>
        <w:rPr>
          <w:rFonts w:hint="eastAsia" w:ascii="宋体" w:hAnsi="宋体" w:eastAsia="宋体" w:cs="宋体"/>
          <w:b/>
          <w:bCs/>
          <w:sz w:val="28"/>
          <w:szCs w:val="28"/>
        </w:rPr>
        <w:t>项目市场竞价文件</w:t>
      </w:r>
    </w:p>
    <w:p>
      <w:pPr>
        <w:spacing w:line="240" w:lineRule="exact"/>
        <w:jc w:val="center"/>
        <w:rPr>
          <w:rFonts w:ascii="宋体" w:hAnsi="宋体" w:eastAsia="宋体" w:cs="宋体"/>
          <w:b/>
          <w:bCs/>
          <w:sz w:val="28"/>
          <w:szCs w:val="28"/>
        </w:rPr>
      </w:pPr>
    </w:p>
    <w:p>
      <w:pPr>
        <w:widowControl/>
        <w:spacing w:line="400" w:lineRule="exact"/>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cstheme="minorEastAsia"/>
          <w:kern w:val="0"/>
          <w:sz w:val="24"/>
          <w:lang w:val="en-US" w:eastAsia="zh-CN"/>
        </w:rPr>
        <w:t>合肥百大合家悦菜市场管理有限责任公司</w:t>
      </w:r>
      <w:r>
        <w:rPr>
          <w:rFonts w:hint="eastAsia" w:asciiTheme="minorEastAsia" w:hAnsiTheme="minorEastAsia" w:eastAsiaTheme="minorEastAsia" w:cstheme="minorEastAsia"/>
          <w:spacing w:val="-4"/>
          <w:kern w:val="0"/>
          <w:sz w:val="24"/>
        </w:rPr>
        <w:t>（以下简称：百大</w:t>
      </w:r>
      <w:r>
        <w:rPr>
          <w:rFonts w:hint="eastAsia" w:asciiTheme="minorEastAsia" w:hAnsiTheme="minorEastAsia" w:cstheme="minorEastAsia"/>
          <w:spacing w:val="-4"/>
          <w:kern w:val="0"/>
          <w:sz w:val="24"/>
          <w:lang w:val="en-US" w:eastAsia="zh-CN"/>
        </w:rPr>
        <w:t>合家悦</w:t>
      </w:r>
      <w:r>
        <w:rPr>
          <w:rFonts w:hint="eastAsia" w:asciiTheme="minorEastAsia" w:hAnsiTheme="minorEastAsia" w:eastAsiaTheme="minorEastAsia" w:cstheme="minorEastAsia"/>
          <w:spacing w:val="-4"/>
          <w:kern w:val="0"/>
          <w:sz w:val="24"/>
        </w:rPr>
        <w:t>）现对</w:t>
      </w:r>
      <w:r>
        <w:rPr>
          <w:rFonts w:hint="eastAsia" w:asciiTheme="minorEastAsia" w:hAnsiTheme="minorEastAsia" w:cstheme="minorEastAsia"/>
          <w:spacing w:val="-4"/>
          <w:kern w:val="0"/>
          <w:sz w:val="24"/>
          <w:lang w:val="en-US" w:eastAsia="zh-CN"/>
        </w:rPr>
        <w:t>康园菜市场</w:t>
      </w:r>
      <w:r>
        <w:rPr>
          <w:rFonts w:hint="eastAsia" w:asciiTheme="minorEastAsia" w:hAnsiTheme="minorEastAsia" w:eastAsiaTheme="minorEastAsia" w:cstheme="minorEastAsia"/>
          <w:spacing w:val="-4"/>
          <w:kern w:val="0"/>
          <w:sz w:val="24"/>
          <w:lang w:val="en-US" w:eastAsia="zh-CN"/>
        </w:rPr>
        <w:t>2023-202</w:t>
      </w:r>
      <w:r>
        <w:rPr>
          <w:rFonts w:hint="eastAsia" w:asciiTheme="minorEastAsia" w:hAnsiTheme="minorEastAsia" w:cstheme="minorEastAsia"/>
          <w:spacing w:val="-4"/>
          <w:kern w:val="0"/>
          <w:sz w:val="24"/>
          <w:lang w:val="en-US" w:eastAsia="zh-CN"/>
        </w:rPr>
        <w:t>4</w:t>
      </w:r>
      <w:r>
        <w:rPr>
          <w:rFonts w:hint="eastAsia" w:asciiTheme="minorEastAsia" w:hAnsiTheme="minorEastAsia" w:eastAsiaTheme="minorEastAsia" w:cstheme="minorEastAsia"/>
          <w:spacing w:val="-4"/>
          <w:kern w:val="0"/>
          <w:sz w:val="24"/>
          <w:lang w:val="en-US" w:eastAsia="zh-CN"/>
        </w:rPr>
        <w:t>年电梯维保</w:t>
      </w:r>
      <w:r>
        <w:rPr>
          <w:rFonts w:hint="eastAsia" w:asciiTheme="minorEastAsia" w:hAnsiTheme="minorEastAsia" w:eastAsiaTheme="minorEastAsia" w:cstheme="minorEastAsia"/>
          <w:spacing w:val="-4"/>
          <w:kern w:val="0"/>
          <w:sz w:val="24"/>
        </w:rPr>
        <w:t>项目进行市场竞价，诚邀具</w:t>
      </w:r>
      <w:r>
        <w:rPr>
          <w:rFonts w:hint="eastAsia" w:asciiTheme="minorEastAsia" w:hAnsiTheme="minorEastAsia" w:eastAsiaTheme="minorEastAsia" w:cstheme="minorEastAsia"/>
          <w:kern w:val="0"/>
          <w:sz w:val="24"/>
        </w:rPr>
        <w:t>有相关资质的专业公司</w:t>
      </w:r>
      <w:r>
        <w:rPr>
          <w:rFonts w:hint="eastAsia" w:asciiTheme="minorEastAsia" w:hAnsiTheme="minorEastAsia" w:eastAsiaTheme="minorEastAsia" w:cstheme="minorEastAsia"/>
          <w:sz w:val="24"/>
        </w:rPr>
        <w:t>参与报价</w:t>
      </w:r>
      <w:r>
        <w:rPr>
          <w:rFonts w:hint="eastAsia" w:asciiTheme="minorEastAsia" w:hAnsiTheme="minorEastAsia" w:eastAsiaTheme="minorEastAsia" w:cstheme="minorEastAsia"/>
          <w:kern w:val="0"/>
          <w:sz w:val="24"/>
        </w:rPr>
        <w:t>。</w:t>
      </w:r>
    </w:p>
    <w:p>
      <w:pPr>
        <w:widowControl/>
        <w:spacing w:line="400" w:lineRule="exact"/>
        <w:ind w:firstLine="482" w:firstLineChars="200"/>
        <w:jc w:val="left"/>
        <w:rPr>
          <w:rFonts w:ascii="宋体" w:hAnsi="宋体" w:cs="宋体"/>
          <w:b/>
          <w:kern w:val="0"/>
          <w:sz w:val="24"/>
        </w:rPr>
      </w:pPr>
      <w:r>
        <w:rPr>
          <w:rFonts w:hint="eastAsia" w:ascii="宋体" w:hAnsi="宋体" w:cs="宋体"/>
          <w:b/>
          <w:kern w:val="0"/>
          <w:sz w:val="24"/>
        </w:rPr>
        <w:t>一、项目简介</w:t>
      </w:r>
    </w:p>
    <w:p>
      <w:pPr>
        <w:widowControl/>
        <w:spacing w:line="400" w:lineRule="exact"/>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1.项目名称：</w:t>
      </w:r>
      <w:r>
        <w:rPr>
          <w:rFonts w:hint="eastAsia" w:asciiTheme="minorEastAsia" w:hAnsiTheme="minorEastAsia" w:eastAsiaTheme="minorEastAsia" w:cstheme="minorEastAsia"/>
          <w:kern w:val="0"/>
          <w:sz w:val="24"/>
          <w:lang w:eastAsia="zh-CN"/>
        </w:rPr>
        <w:t>百大</w:t>
      </w:r>
      <w:r>
        <w:rPr>
          <w:rFonts w:hint="eastAsia" w:asciiTheme="minorEastAsia" w:hAnsiTheme="minorEastAsia" w:cstheme="minorEastAsia"/>
          <w:kern w:val="0"/>
          <w:sz w:val="24"/>
          <w:lang w:val="en-US" w:eastAsia="zh-CN"/>
        </w:rPr>
        <w:t>合家悦康园菜市场</w:t>
      </w:r>
      <w:r>
        <w:rPr>
          <w:rFonts w:hint="eastAsia" w:asciiTheme="minorEastAsia" w:hAnsiTheme="minorEastAsia" w:eastAsiaTheme="minorEastAsia" w:cstheme="minorEastAsia"/>
          <w:kern w:val="0"/>
          <w:sz w:val="24"/>
          <w:lang w:val="en-US" w:eastAsia="zh-CN"/>
        </w:rPr>
        <w:t>2023-202</w:t>
      </w:r>
      <w:r>
        <w:rPr>
          <w:rFonts w:hint="eastAsia" w:asciiTheme="minorEastAsia" w:hAnsiTheme="minorEastAsia" w:cstheme="minorEastAsia"/>
          <w:kern w:val="0"/>
          <w:sz w:val="24"/>
          <w:lang w:val="en-US" w:eastAsia="zh-CN"/>
        </w:rPr>
        <w:t>4</w:t>
      </w:r>
      <w:r>
        <w:rPr>
          <w:rFonts w:hint="eastAsia" w:asciiTheme="minorEastAsia" w:hAnsiTheme="minorEastAsia" w:eastAsiaTheme="minorEastAsia" w:cstheme="minorEastAsia"/>
          <w:kern w:val="0"/>
          <w:sz w:val="24"/>
          <w:lang w:val="en-US" w:eastAsia="zh-CN"/>
        </w:rPr>
        <w:t>年电梯维保项目</w:t>
      </w:r>
      <w:r>
        <w:rPr>
          <w:rFonts w:hint="eastAsia" w:asciiTheme="minorEastAsia" w:hAnsiTheme="minorEastAsia" w:eastAsiaTheme="minorEastAsia" w:cstheme="minorEastAsia"/>
          <w:spacing w:val="-4"/>
          <w:kern w:val="0"/>
          <w:sz w:val="24"/>
        </w:rPr>
        <w:t>（编号：</w:t>
      </w:r>
      <w:r>
        <w:rPr>
          <w:rFonts w:hint="eastAsia" w:asciiTheme="minorEastAsia" w:hAnsiTheme="minorEastAsia" w:cstheme="minorEastAsia"/>
          <w:spacing w:val="-4"/>
          <w:kern w:val="0"/>
          <w:sz w:val="24"/>
          <w:lang w:val="en-US" w:eastAsia="zh-CN"/>
        </w:rPr>
        <w:t>HJYKY230531</w:t>
      </w:r>
      <w:r>
        <w:rPr>
          <w:rFonts w:hint="eastAsia" w:asciiTheme="minorEastAsia" w:hAnsiTheme="minorEastAsia" w:eastAsiaTheme="minorEastAsia" w:cstheme="minorEastAsia"/>
          <w:spacing w:val="-4"/>
          <w:kern w:val="0"/>
          <w:sz w:val="24"/>
        </w:rPr>
        <w:t>）</w:t>
      </w:r>
    </w:p>
    <w:p>
      <w:pPr>
        <w:spacing w:line="400" w:lineRule="exact"/>
        <w:ind w:firstLine="480" w:firstLineChars="200"/>
        <w:rPr>
          <w:rFonts w:hint="default"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rPr>
        <w:t>2.项目地址：</w:t>
      </w:r>
      <w:r>
        <w:rPr>
          <w:rFonts w:hint="eastAsia" w:asciiTheme="minorEastAsia" w:hAnsiTheme="minorEastAsia" w:cstheme="minorEastAsia"/>
          <w:kern w:val="0"/>
          <w:sz w:val="24"/>
          <w:lang w:val="en-US" w:eastAsia="zh-CN"/>
        </w:rPr>
        <w:t>包河区滨湖康园南区北门旁</w:t>
      </w:r>
    </w:p>
    <w:p>
      <w:pPr>
        <w:spacing w:line="400" w:lineRule="exact"/>
        <w:ind w:firstLine="480" w:firstLineChars="200"/>
        <w:rPr>
          <w:rFonts w:hint="eastAsia" w:asciiTheme="minorEastAsia" w:hAnsiTheme="minorEastAsia" w:eastAsiaTheme="minorEastAsia" w:cstheme="minorEastAsia"/>
          <w:b w:val="0"/>
          <w:bCs w:val="0"/>
          <w:kern w:val="0"/>
          <w:sz w:val="24"/>
        </w:rPr>
      </w:pPr>
      <w:r>
        <w:rPr>
          <w:rFonts w:hint="eastAsia" w:asciiTheme="minorEastAsia" w:hAnsiTheme="minorEastAsia" w:eastAsiaTheme="minorEastAsia" w:cstheme="minorEastAsia"/>
          <w:kern w:val="0"/>
          <w:sz w:val="24"/>
        </w:rPr>
        <w:t>3.项目概算：人民币</w:t>
      </w:r>
      <w:r>
        <w:rPr>
          <w:rFonts w:hint="eastAsia" w:asciiTheme="minorEastAsia" w:hAnsiTheme="minorEastAsia" w:cstheme="minorEastAsia"/>
          <w:kern w:val="0"/>
          <w:sz w:val="24"/>
          <w:lang w:val="en-US" w:eastAsia="zh-CN"/>
        </w:rPr>
        <w:t>19000</w:t>
      </w:r>
      <w:r>
        <w:rPr>
          <w:rFonts w:hint="eastAsia" w:asciiTheme="minorEastAsia" w:hAnsiTheme="minorEastAsia" w:eastAsiaTheme="minorEastAsia" w:cstheme="minorEastAsia"/>
          <w:kern w:val="0"/>
          <w:sz w:val="24"/>
        </w:rPr>
        <w:t>元</w:t>
      </w:r>
      <w:r>
        <w:rPr>
          <w:rFonts w:hint="eastAsia" w:asciiTheme="minorEastAsia" w:hAnsiTheme="minorEastAsia" w:eastAsiaTheme="minorEastAsia" w:cstheme="minorEastAsia"/>
          <w:b w:val="0"/>
          <w:bCs w:val="0"/>
          <w:kern w:val="0"/>
          <w:sz w:val="24"/>
        </w:rPr>
        <w:t>。报价不得高于项目概算，否则视为无效报价。</w:t>
      </w:r>
    </w:p>
    <w:p>
      <w:pPr>
        <w:spacing w:line="400" w:lineRule="exact"/>
        <w:ind w:firstLine="472" w:firstLineChars="196"/>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二、竞价人要求及报价文件组成要求</w:t>
      </w:r>
    </w:p>
    <w:p>
      <w:pPr>
        <w:spacing w:line="400" w:lineRule="exact"/>
        <w:ind w:firstLine="470" w:firstLineChars="196"/>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kern w:val="0"/>
          <w:sz w:val="24"/>
        </w:rPr>
        <w:t>具有独立法人和一般纳税人资格</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rPr>
        <w:t>具有本地化服务能力。</w:t>
      </w:r>
    </w:p>
    <w:p>
      <w:pPr>
        <w:spacing w:line="400" w:lineRule="exact"/>
        <w:ind w:firstLine="470" w:firstLineChars="196"/>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val="0"/>
          <w:bCs/>
          <w:sz w:val="24"/>
          <w:lang w:val="en-US" w:eastAsia="zh-CN"/>
        </w:rPr>
        <w:t>2</w:t>
      </w:r>
      <w:r>
        <w:rPr>
          <w:rFonts w:hint="eastAsia" w:asciiTheme="minorEastAsia" w:hAnsiTheme="minorEastAsia" w:eastAsiaTheme="minorEastAsia" w:cstheme="minorEastAsia"/>
          <w:b w:val="0"/>
          <w:bCs/>
          <w:sz w:val="24"/>
        </w:rPr>
        <w:t>.报价时须提供上述资质文件（复印件加盖</w:t>
      </w:r>
      <w:r>
        <w:rPr>
          <w:rFonts w:hint="eastAsia" w:asciiTheme="minorEastAsia" w:hAnsiTheme="minorEastAsia" w:eastAsiaTheme="minorEastAsia" w:cstheme="minorEastAsia"/>
          <w:b w:val="0"/>
          <w:bCs/>
          <w:sz w:val="24"/>
          <w:lang w:eastAsia="zh-CN"/>
        </w:rPr>
        <w:t>公章</w:t>
      </w:r>
      <w:r>
        <w:rPr>
          <w:rFonts w:hint="eastAsia" w:asciiTheme="minorEastAsia" w:hAnsiTheme="minorEastAsia" w:eastAsiaTheme="minorEastAsia" w:cstheme="minorEastAsia"/>
          <w:b w:val="0"/>
          <w:bCs/>
          <w:sz w:val="24"/>
        </w:rPr>
        <w:t>），以及开标一览表</w:t>
      </w:r>
      <w:r>
        <w:rPr>
          <w:rFonts w:hint="eastAsia" w:asciiTheme="minorEastAsia" w:hAnsiTheme="minorEastAsia" w:eastAsiaTheme="minorEastAsia" w:cstheme="minorEastAsia"/>
          <w:b w:val="0"/>
          <w:bCs/>
          <w:sz w:val="24"/>
          <w:lang w:eastAsia="zh-CN"/>
        </w:rPr>
        <w:t>及服务承诺书</w:t>
      </w:r>
      <w:r>
        <w:rPr>
          <w:rFonts w:hint="eastAsia" w:asciiTheme="minorEastAsia" w:hAnsiTheme="minorEastAsia" w:eastAsiaTheme="minorEastAsia" w:cstheme="minorEastAsia"/>
          <w:b w:val="0"/>
          <w:bCs/>
          <w:sz w:val="24"/>
        </w:rPr>
        <w:t>；</w:t>
      </w:r>
      <w:r>
        <w:rPr>
          <w:rFonts w:hint="eastAsia" w:asciiTheme="minorEastAsia" w:hAnsiTheme="minorEastAsia" w:eastAsiaTheme="minorEastAsia" w:cstheme="minorEastAsia"/>
          <w:b/>
          <w:sz w:val="24"/>
        </w:rPr>
        <w:t xml:space="preserve"> </w:t>
      </w:r>
    </w:p>
    <w:p>
      <w:pPr>
        <w:pStyle w:val="12"/>
        <w:spacing w:before="0" w:beforeAutospacing="0" w:after="0" w:afterAutospacing="0" w:line="520" w:lineRule="exact"/>
        <w:ind w:left="479" w:leftChars="228" w:firstLine="0" w:firstLineChars="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三、</w:t>
      </w:r>
      <w:r>
        <w:rPr>
          <w:rFonts w:hint="eastAsia" w:asciiTheme="minorEastAsia" w:hAnsiTheme="minorEastAsia" w:eastAsiaTheme="minorEastAsia" w:cstheme="minorEastAsia"/>
          <w:b/>
          <w:sz w:val="24"/>
          <w:lang w:eastAsia="zh-CN"/>
        </w:rPr>
        <w:t>维保</w:t>
      </w:r>
      <w:r>
        <w:rPr>
          <w:rFonts w:hint="eastAsia" w:asciiTheme="minorEastAsia" w:hAnsiTheme="minorEastAsia" w:eastAsiaTheme="minorEastAsia" w:cstheme="minorEastAsia"/>
          <w:b/>
          <w:sz w:val="24"/>
        </w:rPr>
        <w:t>要求</w:t>
      </w:r>
    </w:p>
    <w:p>
      <w:pPr>
        <w:pStyle w:val="12"/>
        <w:spacing w:before="0" w:beforeAutospacing="0" w:after="0" w:afterAutospacing="0" w:line="520" w:lineRule="exact"/>
        <w:ind w:firstLine="480" w:firstLineChars="200"/>
        <w:rPr>
          <w:rFonts w:hint="default"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1.维保期限自 2023 年5月1日起至 2024 年4月30日止。维保内容1台货梯及2台扶梯。</w:t>
      </w:r>
    </w:p>
    <w:p>
      <w:pPr>
        <w:pStyle w:val="12"/>
        <w:spacing w:before="0" w:beforeAutospacing="0" w:after="0" w:afterAutospacing="0" w:line="520" w:lineRule="exact"/>
        <w:ind w:firstLine="480" w:firstLineChars="200"/>
        <w:rPr>
          <w:rFonts w:hint="eastAsia" w:ascii="宋体" w:hAnsi="宋体" w:cs="宋体" w:eastAsia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2.中标人应保证本项目所有电梯处于正常运行状态，须提供全年365天24小时的应急响应服务。所有日常维保作业，不得影响商场正常营</w:t>
      </w:r>
      <w:r>
        <w:rPr>
          <w:rFonts w:hint="eastAsia" w:ascii="宋体" w:hAnsi="宋体" w:cs="宋体" w:eastAsiaTheme="minorEastAsia"/>
          <w:kern w:val="0"/>
          <w:sz w:val="24"/>
          <w:szCs w:val="24"/>
          <w:lang w:val="en-US" w:eastAsia="zh-CN" w:bidi="ar-SA"/>
        </w:rPr>
        <w:t>业。</w:t>
      </w:r>
    </w:p>
    <w:p>
      <w:pPr>
        <w:widowControl/>
        <w:shd w:val="clear" w:color="auto" w:fill="FFFFFF"/>
        <w:spacing w:line="520" w:lineRule="exact"/>
        <w:ind w:firstLine="480" w:firstLineChars="200"/>
        <w:jc w:val="left"/>
        <w:rPr>
          <w:rFonts w:hint="eastAsia" w:ascii="宋体" w:hAnsi="宋体" w:cs="宋体" w:eastAsiaTheme="minorEastAsia"/>
          <w:kern w:val="0"/>
          <w:sz w:val="24"/>
          <w:szCs w:val="24"/>
          <w:lang w:val="en-US" w:eastAsia="zh-CN" w:bidi="ar-SA"/>
        </w:rPr>
      </w:pPr>
      <w:r>
        <w:rPr>
          <w:rFonts w:hint="eastAsia" w:ascii="宋体" w:hAnsi="宋体" w:cs="宋体"/>
          <w:kern w:val="0"/>
          <w:sz w:val="24"/>
          <w:szCs w:val="24"/>
          <w:lang w:val="en-US" w:eastAsia="zh-CN" w:bidi="ar-SA"/>
        </w:rPr>
        <w:t>3.</w:t>
      </w:r>
      <w:r>
        <w:rPr>
          <w:rFonts w:hint="eastAsia" w:ascii="宋体" w:hAnsi="宋体" w:cs="宋体" w:eastAsiaTheme="minorEastAsia"/>
          <w:kern w:val="0"/>
          <w:sz w:val="24"/>
          <w:szCs w:val="24"/>
          <w:lang w:val="en-US" w:eastAsia="zh-CN" w:bidi="ar-SA"/>
        </w:rPr>
        <w:t>按照《电梯使用管理与维护保养规则》及其有关安全技术规范以及合同电梯产品安装使用维护说明书的要求，制定维保方案，确保其维保电梯的安全性能；</w:t>
      </w:r>
    </w:p>
    <w:p>
      <w:pPr>
        <w:widowControl/>
        <w:shd w:val="clear" w:color="auto" w:fill="FFFFFF"/>
        <w:spacing w:line="520" w:lineRule="exact"/>
        <w:jc w:val="left"/>
        <w:rPr>
          <w:rFonts w:hint="eastAsia" w:ascii="宋体" w:hAnsi="宋体" w:cs="宋体" w:eastAsiaTheme="minorEastAsia"/>
          <w:kern w:val="0"/>
          <w:sz w:val="24"/>
          <w:szCs w:val="24"/>
          <w:lang w:val="en-US" w:eastAsia="zh-CN" w:bidi="ar-SA"/>
        </w:rPr>
      </w:pPr>
      <w:r>
        <w:rPr>
          <w:rFonts w:hint="eastAsia" w:ascii="宋体" w:hAnsi="宋体" w:cs="宋体" w:eastAsiaTheme="minorEastAsia"/>
          <w:kern w:val="0"/>
          <w:sz w:val="24"/>
          <w:szCs w:val="24"/>
          <w:lang w:val="en-US" w:eastAsia="zh-CN" w:bidi="ar-SA"/>
        </w:rPr>
        <w:t>　　</w:t>
      </w:r>
      <w:r>
        <w:rPr>
          <w:rFonts w:hint="eastAsia" w:ascii="宋体" w:hAnsi="宋体" w:cs="宋体"/>
          <w:kern w:val="0"/>
          <w:sz w:val="24"/>
          <w:szCs w:val="24"/>
          <w:lang w:val="en-US" w:eastAsia="zh-CN" w:bidi="ar-SA"/>
        </w:rPr>
        <w:t>4.</w:t>
      </w:r>
      <w:r>
        <w:rPr>
          <w:rFonts w:hint="eastAsia" w:ascii="宋体" w:hAnsi="宋体" w:cs="宋体" w:eastAsiaTheme="minorEastAsia"/>
          <w:kern w:val="0"/>
          <w:sz w:val="24"/>
          <w:szCs w:val="24"/>
          <w:lang w:val="en-US" w:eastAsia="zh-CN" w:bidi="ar-SA"/>
        </w:rPr>
        <w:t>制定应急措施和救援预案，每半年至少针对招标人的不同类别（类型）电梯进行一次应急演练；</w:t>
      </w:r>
    </w:p>
    <w:p>
      <w:pPr>
        <w:widowControl/>
        <w:shd w:val="clear" w:color="auto" w:fill="FFFFFF"/>
        <w:spacing w:line="520" w:lineRule="exact"/>
        <w:jc w:val="left"/>
        <w:rPr>
          <w:rFonts w:hint="eastAsia" w:ascii="宋体" w:hAnsi="宋体" w:cs="宋体" w:eastAsiaTheme="minorEastAsia"/>
          <w:kern w:val="0"/>
          <w:sz w:val="24"/>
          <w:szCs w:val="24"/>
          <w:lang w:val="en-US" w:eastAsia="zh-CN" w:bidi="ar-SA"/>
        </w:rPr>
      </w:pPr>
      <w:r>
        <w:rPr>
          <w:rFonts w:hint="eastAsia" w:ascii="宋体" w:hAnsi="宋体" w:cs="宋体" w:eastAsiaTheme="minorEastAsia"/>
          <w:kern w:val="0"/>
          <w:sz w:val="24"/>
          <w:szCs w:val="24"/>
          <w:lang w:val="en-US" w:eastAsia="zh-CN" w:bidi="ar-SA"/>
        </w:rPr>
        <w:t>　　</w:t>
      </w:r>
      <w:r>
        <w:rPr>
          <w:rFonts w:hint="eastAsia" w:ascii="宋体" w:hAnsi="宋体" w:cs="宋体"/>
          <w:kern w:val="0"/>
          <w:sz w:val="24"/>
          <w:szCs w:val="24"/>
          <w:lang w:val="en-US" w:eastAsia="zh-CN" w:bidi="ar-SA"/>
        </w:rPr>
        <w:t>5.</w:t>
      </w:r>
      <w:r>
        <w:rPr>
          <w:rFonts w:hint="eastAsia" w:ascii="宋体" w:hAnsi="宋体" w:cs="宋体" w:eastAsiaTheme="minorEastAsia"/>
          <w:kern w:val="0"/>
          <w:sz w:val="24"/>
          <w:szCs w:val="24"/>
          <w:lang w:val="en-US" w:eastAsia="zh-CN" w:bidi="ar-SA"/>
        </w:rPr>
        <w:t>设立24小时维保值班电话，保证接到故障通知后及时予以排除，接到电梯困人故障报告后，维修人员及时抵达所维保电梯所在地实施现场救援，抵达时间不超过30min；如接到招标人通知后未能按时处理的，招标人有权委托他人处理，由此产生的一切费用及招标人受到的损失均由中标人承担。超过半小时中标人不能派人员到现场进行处理的，每拖延1小时按200元/每次承担违约责任。</w:t>
      </w:r>
    </w:p>
    <w:p>
      <w:pPr>
        <w:pStyle w:val="12"/>
        <w:spacing w:before="0" w:beforeAutospacing="0" w:after="0" w:afterAutospacing="0" w:line="520" w:lineRule="exact"/>
        <w:rPr>
          <w:rFonts w:hint="eastAsia" w:ascii="宋体" w:hAnsi="宋体" w:cs="宋体" w:eastAsiaTheme="minorEastAsia"/>
          <w:kern w:val="0"/>
          <w:sz w:val="24"/>
          <w:szCs w:val="24"/>
          <w:lang w:val="en-US" w:eastAsia="zh-CN" w:bidi="ar-SA"/>
        </w:rPr>
      </w:pPr>
      <w:r>
        <w:rPr>
          <w:rFonts w:hint="eastAsia" w:ascii="宋体" w:hAnsi="宋体" w:cs="宋体" w:eastAsiaTheme="minorEastAsia"/>
          <w:kern w:val="0"/>
          <w:sz w:val="24"/>
          <w:szCs w:val="24"/>
          <w:lang w:val="en-US" w:eastAsia="zh-CN" w:bidi="ar-SA"/>
        </w:rPr>
        <w:t xml:space="preserve">   </w:t>
      </w:r>
      <w:r>
        <w:rPr>
          <w:rFonts w:hint="eastAsia" w:cs="宋体" w:eastAsiaTheme="minorEastAsia"/>
          <w:kern w:val="0"/>
          <w:sz w:val="24"/>
          <w:szCs w:val="24"/>
          <w:lang w:val="en-US" w:eastAsia="zh-CN" w:bidi="ar-SA"/>
        </w:rPr>
        <w:t xml:space="preserve"> 6.</w:t>
      </w:r>
      <w:r>
        <w:rPr>
          <w:rFonts w:hint="eastAsia" w:ascii="宋体" w:hAnsi="宋体" w:cs="宋体" w:eastAsiaTheme="minorEastAsia"/>
          <w:kern w:val="0"/>
          <w:sz w:val="24"/>
          <w:szCs w:val="24"/>
          <w:lang w:val="en-US" w:eastAsia="zh-CN" w:bidi="ar-SA"/>
        </w:rPr>
        <w:t>对电梯发生的故障等情况，及时进行详细的记录，并以书面形式提供给投标人，由投标人签字确认。每个年度，中标人须对全部电梯设备进行一次综合性的检查和试验，调整主要的部件，安全功能装置的测试，量度偏差及彻底清理主要部件，通过国家有关部门验收并取得电梯运行合格证。</w:t>
      </w:r>
    </w:p>
    <w:p>
      <w:pPr>
        <w:widowControl/>
        <w:shd w:val="clear" w:color="auto" w:fill="FFFFFF"/>
        <w:spacing w:line="520" w:lineRule="exact"/>
        <w:ind w:firstLine="480" w:firstLineChars="200"/>
        <w:jc w:val="left"/>
        <w:rPr>
          <w:rFonts w:hint="eastAsia" w:ascii="宋体" w:hAnsi="宋体" w:cs="宋体" w:eastAsiaTheme="minorEastAsia"/>
          <w:kern w:val="0"/>
          <w:sz w:val="24"/>
          <w:szCs w:val="24"/>
          <w:lang w:val="en-US" w:eastAsia="zh-CN" w:bidi="ar-SA"/>
        </w:rPr>
      </w:pPr>
      <w:r>
        <w:rPr>
          <w:rFonts w:hint="eastAsia" w:ascii="宋体" w:hAnsi="宋体" w:cs="宋体"/>
          <w:kern w:val="0"/>
          <w:sz w:val="24"/>
          <w:szCs w:val="24"/>
          <w:lang w:val="en-US" w:eastAsia="zh-CN" w:bidi="ar-SA"/>
        </w:rPr>
        <w:t>7.</w:t>
      </w:r>
      <w:r>
        <w:rPr>
          <w:rFonts w:hint="eastAsia" w:ascii="宋体" w:hAnsi="宋体" w:cs="宋体" w:eastAsiaTheme="minorEastAsia"/>
          <w:kern w:val="0"/>
          <w:sz w:val="24"/>
          <w:szCs w:val="24"/>
          <w:lang w:val="en-US" w:eastAsia="zh-CN" w:bidi="ar-SA"/>
        </w:rPr>
        <w:t>协助招标人建立每部电梯的维保记录，并且归入招标人电梯技术档案；</w:t>
      </w:r>
    </w:p>
    <w:p>
      <w:pPr>
        <w:widowControl/>
        <w:shd w:val="clear" w:color="auto" w:fill="FFFFFF"/>
        <w:spacing w:line="520" w:lineRule="exact"/>
        <w:ind w:firstLine="480" w:firstLineChars="200"/>
        <w:jc w:val="left"/>
        <w:rPr>
          <w:rFonts w:hint="eastAsia" w:ascii="宋体" w:hAnsi="宋体" w:cs="宋体" w:eastAsiaTheme="minorEastAsia"/>
          <w:kern w:val="0"/>
          <w:sz w:val="24"/>
          <w:szCs w:val="24"/>
          <w:lang w:val="en-US" w:eastAsia="zh-CN" w:bidi="ar-SA"/>
        </w:rPr>
      </w:pPr>
      <w:r>
        <w:rPr>
          <w:rFonts w:hint="eastAsia" w:ascii="宋体" w:hAnsi="宋体" w:cs="宋体"/>
          <w:kern w:val="0"/>
          <w:sz w:val="24"/>
          <w:szCs w:val="24"/>
          <w:lang w:val="en-US" w:eastAsia="zh-CN" w:bidi="ar-SA"/>
        </w:rPr>
        <w:t>8.</w:t>
      </w:r>
      <w:r>
        <w:rPr>
          <w:rFonts w:hint="eastAsia" w:ascii="宋体" w:hAnsi="宋体" w:cs="宋体" w:eastAsiaTheme="minorEastAsia"/>
          <w:kern w:val="0"/>
          <w:sz w:val="24"/>
          <w:szCs w:val="24"/>
          <w:lang w:val="en-US" w:eastAsia="zh-CN" w:bidi="ar-SA"/>
        </w:rPr>
        <w:t>协助招标人制定电梯的安全管理制度和应急救援预案；</w:t>
      </w:r>
    </w:p>
    <w:p>
      <w:pPr>
        <w:widowControl/>
        <w:shd w:val="clear" w:color="auto" w:fill="FFFFFF"/>
        <w:spacing w:line="520" w:lineRule="exact"/>
        <w:ind w:firstLine="480" w:firstLineChars="200"/>
        <w:jc w:val="left"/>
        <w:rPr>
          <w:rFonts w:hint="eastAsia" w:ascii="宋体" w:hAnsi="宋体" w:cs="宋体" w:eastAsiaTheme="minorEastAsia"/>
          <w:kern w:val="0"/>
          <w:sz w:val="24"/>
          <w:szCs w:val="24"/>
          <w:lang w:val="en-US" w:eastAsia="zh-CN" w:bidi="ar-SA"/>
        </w:rPr>
      </w:pPr>
      <w:r>
        <w:rPr>
          <w:rFonts w:hint="eastAsia" w:ascii="宋体" w:hAnsi="宋体" w:cs="宋体"/>
          <w:kern w:val="0"/>
          <w:sz w:val="24"/>
          <w:szCs w:val="24"/>
          <w:lang w:val="en-US" w:eastAsia="zh-CN" w:bidi="ar-SA"/>
        </w:rPr>
        <w:t>9.</w:t>
      </w:r>
      <w:r>
        <w:rPr>
          <w:rFonts w:hint="eastAsia" w:ascii="宋体" w:hAnsi="宋体" w:cs="宋体" w:eastAsiaTheme="minorEastAsia"/>
          <w:kern w:val="0"/>
          <w:sz w:val="24"/>
          <w:szCs w:val="24"/>
          <w:lang w:val="en-US" w:eastAsia="zh-CN" w:bidi="ar-SA"/>
        </w:rPr>
        <w:t>对承担维保的作业人员进行安全教育与培训，按照特种设备作业人员考核要求，组织取得具有电梯维修项目的《特种设备作业人员证》，培训和考核记录存档备查；中标人在维护保养期间，须遵守招标人一切管理制度。随时向招标人提供与电梯有关的技术咨询等服务，负责对招标人安全管理人员进行电梯操作培训。维修保养时须有2人以上持证人员作业，维保合同期间内的一切安全责任由中标方负责。</w:t>
      </w:r>
    </w:p>
    <w:p>
      <w:pPr>
        <w:widowControl/>
        <w:shd w:val="clear" w:color="auto" w:fill="FFFFFF"/>
        <w:spacing w:line="520" w:lineRule="exact"/>
        <w:jc w:val="left"/>
        <w:rPr>
          <w:rFonts w:hint="eastAsia" w:ascii="宋体" w:hAnsi="宋体" w:cs="宋体" w:eastAsiaTheme="minorEastAsia"/>
          <w:kern w:val="0"/>
          <w:sz w:val="24"/>
          <w:szCs w:val="24"/>
          <w:lang w:val="en-US" w:eastAsia="zh-CN" w:bidi="ar-SA"/>
        </w:rPr>
      </w:pPr>
      <w:r>
        <w:rPr>
          <w:rFonts w:hint="eastAsia" w:ascii="宋体" w:hAnsi="宋体" w:cs="宋体" w:eastAsiaTheme="minorEastAsia"/>
          <w:kern w:val="0"/>
          <w:sz w:val="24"/>
          <w:szCs w:val="24"/>
          <w:lang w:val="en-US" w:eastAsia="zh-CN" w:bidi="ar-SA"/>
        </w:rPr>
        <w:t>　　</w:t>
      </w:r>
      <w:r>
        <w:rPr>
          <w:rFonts w:hint="eastAsia" w:ascii="宋体" w:hAnsi="宋体" w:cs="宋体"/>
          <w:kern w:val="0"/>
          <w:sz w:val="24"/>
          <w:szCs w:val="24"/>
          <w:lang w:val="en-US" w:eastAsia="zh-CN" w:bidi="ar-SA"/>
        </w:rPr>
        <w:t>10.</w:t>
      </w:r>
      <w:r>
        <w:rPr>
          <w:rFonts w:hint="eastAsia" w:ascii="宋体" w:hAnsi="宋体" w:cs="宋体" w:eastAsiaTheme="minorEastAsia"/>
          <w:kern w:val="0"/>
          <w:sz w:val="24"/>
          <w:szCs w:val="24"/>
          <w:lang w:val="en-US" w:eastAsia="zh-CN" w:bidi="ar-SA"/>
        </w:rPr>
        <w:t>每年度至少进行1次自行检查，自行检查在特种设备检验检测机构进行定期检验之前进行，自行检查项目根据使用状况情况决定，但是不少于《电梯使用管理与维护保养规则》年度维保和电梯定期检验规定的项目及其内容，并且向招标人出具有自行检查和审核人员的签字、加盖中标人单位公章或者其它专用章的自行检查记录或者报告；</w:t>
      </w:r>
    </w:p>
    <w:p>
      <w:pPr>
        <w:widowControl/>
        <w:shd w:val="clear" w:color="auto" w:fill="FFFFFF"/>
        <w:spacing w:line="520" w:lineRule="exact"/>
        <w:jc w:val="left"/>
        <w:rPr>
          <w:rFonts w:hint="eastAsia" w:ascii="宋体" w:hAnsi="宋体" w:cs="宋体" w:eastAsiaTheme="minorEastAsia"/>
          <w:kern w:val="0"/>
          <w:sz w:val="24"/>
          <w:szCs w:val="24"/>
          <w:lang w:val="en-US" w:eastAsia="zh-CN" w:bidi="ar-SA"/>
        </w:rPr>
      </w:pPr>
      <w:r>
        <w:rPr>
          <w:rFonts w:hint="eastAsia" w:ascii="宋体" w:hAnsi="宋体" w:cs="宋体" w:eastAsiaTheme="minorEastAsia"/>
          <w:kern w:val="0"/>
          <w:sz w:val="24"/>
          <w:szCs w:val="24"/>
          <w:lang w:val="en-US" w:eastAsia="zh-CN" w:bidi="ar-SA"/>
        </w:rPr>
        <w:t xml:space="preserve">　  </w:t>
      </w:r>
      <w:r>
        <w:rPr>
          <w:rFonts w:hint="eastAsia" w:ascii="宋体" w:hAnsi="宋体" w:cs="宋体"/>
          <w:kern w:val="0"/>
          <w:sz w:val="24"/>
          <w:szCs w:val="24"/>
          <w:lang w:val="en-US" w:eastAsia="zh-CN" w:bidi="ar-SA"/>
        </w:rPr>
        <w:t>11.</w:t>
      </w:r>
      <w:r>
        <w:rPr>
          <w:rFonts w:hint="eastAsia" w:ascii="宋体" w:hAnsi="宋体" w:cs="宋体" w:eastAsiaTheme="minorEastAsia"/>
          <w:kern w:val="0"/>
          <w:sz w:val="24"/>
          <w:szCs w:val="24"/>
          <w:lang w:val="en-US" w:eastAsia="zh-CN" w:bidi="ar-SA"/>
        </w:rPr>
        <w:t>安排维保人员配合特种设备检验检测机构进行电梯的定期检验及网上申报；如果维保合同期内有更换使用单位的变更事宜需中标方安排维保人员全力配合变更事宜；</w:t>
      </w:r>
    </w:p>
    <w:p>
      <w:pPr>
        <w:pStyle w:val="12"/>
        <w:spacing w:before="0" w:beforeAutospacing="0" w:after="0" w:afterAutospacing="0" w:line="520" w:lineRule="exact"/>
        <w:ind w:firstLine="443"/>
        <w:rPr>
          <w:rFonts w:hint="eastAsia" w:ascii="宋体" w:hAnsi="宋体" w:cs="宋体" w:eastAsiaTheme="minorEastAsia"/>
          <w:kern w:val="0"/>
          <w:sz w:val="24"/>
          <w:szCs w:val="24"/>
          <w:lang w:val="en-US" w:eastAsia="zh-CN" w:bidi="ar-SA"/>
        </w:rPr>
      </w:pPr>
      <w:r>
        <w:rPr>
          <w:rFonts w:hint="eastAsia" w:cs="宋体" w:eastAsiaTheme="minorEastAsia"/>
          <w:kern w:val="0"/>
          <w:sz w:val="24"/>
          <w:szCs w:val="24"/>
          <w:lang w:val="en-US" w:eastAsia="zh-CN" w:bidi="ar-SA"/>
        </w:rPr>
        <w:t>12.</w:t>
      </w:r>
      <w:r>
        <w:rPr>
          <w:rFonts w:hint="eastAsia" w:ascii="宋体" w:hAnsi="宋体" w:cs="宋体" w:eastAsiaTheme="minorEastAsia"/>
          <w:kern w:val="0"/>
          <w:sz w:val="24"/>
          <w:szCs w:val="24"/>
          <w:lang w:val="en-US" w:eastAsia="zh-CN" w:bidi="ar-SA"/>
        </w:rPr>
        <w:t>维保期内应按《电梯使用管理与维护保养规则》规定的半月、季度、半年、年度保养项目和电梯制造单位技术文件所要求的特殊保养项目，以及电梯安全运行相关的其他项目，中标人派出保养人员定期对招标人上述的电梯进行保养，做好逐台电梯保养记录。</w:t>
      </w:r>
    </w:p>
    <w:p>
      <w:pPr>
        <w:spacing w:line="520" w:lineRule="exact"/>
        <w:ind w:firstLine="480" w:firstLineChars="200"/>
        <w:rPr>
          <w:rFonts w:hint="eastAsia" w:ascii="宋体" w:hAnsi="宋体" w:cs="宋体" w:eastAsiaTheme="minorEastAsia"/>
          <w:kern w:val="0"/>
          <w:sz w:val="24"/>
          <w:szCs w:val="24"/>
          <w:lang w:val="en-US" w:eastAsia="zh-CN" w:bidi="ar-SA"/>
        </w:rPr>
      </w:pPr>
      <w:r>
        <w:rPr>
          <w:rFonts w:hint="eastAsia" w:ascii="宋体" w:hAnsi="宋体" w:cs="宋体"/>
          <w:kern w:val="0"/>
          <w:sz w:val="24"/>
          <w:szCs w:val="24"/>
          <w:lang w:val="en-US" w:eastAsia="zh-CN" w:bidi="ar-SA"/>
        </w:rPr>
        <w:t>13.</w:t>
      </w:r>
      <w:r>
        <w:rPr>
          <w:rFonts w:hint="eastAsia" w:ascii="宋体" w:hAnsi="宋体" w:cs="宋体" w:eastAsiaTheme="minorEastAsia"/>
          <w:kern w:val="0"/>
          <w:sz w:val="24"/>
          <w:szCs w:val="24"/>
          <w:lang w:val="en-US" w:eastAsia="zh-CN" w:bidi="ar-SA"/>
        </w:rPr>
        <w:t>在维保过程中，发现事故隐患及时告知招标人。如须更换电梯零件，一般易损件应做个列表（包含费用）给招标人，以便发现问题及时更换处理，对于不易损坏的电梯零件中标人应及时通知招标人，并出具专业的书面报告报送招标人确认。如因投标人维保不当造成的设备损坏需要更换配件或维修的，由投标人承担全部费用。</w:t>
      </w:r>
    </w:p>
    <w:p>
      <w:pPr>
        <w:spacing w:line="520" w:lineRule="exact"/>
        <w:ind w:firstLine="480" w:firstLineChars="200"/>
        <w:rPr>
          <w:rFonts w:hint="eastAsia" w:ascii="宋体" w:hAnsi="宋体" w:cs="宋体" w:eastAsiaTheme="minorEastAsia"/>
          <w:kern w:val="0"/>
          <w:sz w:val="24"/>
          <w:szCs w:val="24"/>
          <w:lang w:val="en-US" w:eastAsia="zh-CN" w:bidi="ar-SA"/>
        </w:rPr>
      </w:pPr>
      <w:r>
        <w:rPr>
          <w:rFonts w:hint="eastAsia" w:ascii="宋体" w:hAnsi="宋体" w:cs="宋体"/>
          <w:kern w:val="0"/>
          <w:sz w:val="24"/>
          <w:szCs w:val="24"/>
          <w:lang w:val="en-US" w:eastAsia="zh-CN" w:bidi="ar-SA"/>
        </w:rPr>
        <w:t>14.</w:t>
      </w:r>
      <w:r>
        <w:rPr>
          <w:rFonts w:hint="eastAsia" w:ascii="宋体" w:hAnsi="宋体" w:cs="宋体" w:eastAsiaTheme="minorEastAsia"/>
          <w:kern w:val="0"/>
          <w:sz w:val="24"/>
          <w:szCs w:val="24"/>
          <w:lang w:val="en-US" w:eastAsia="zh-CN" w:bidi="ar-SA"/>
        </w:rPr>
        <w:t>日常维护保养应遵守的标准（如有最新标准，执行新标准）：</w:t>
      </w:r>
    </w:p>
    <w:p>
      <w:pPr>
        <w:spacing w:line="520" w:lineRule="exact"/>
        <w:rPr>
          <w:rFonts w:hint="eastAsia" w:ascii="宋体" w:hAnsi="宋体" w:cs="宋体" w:eastAsiaTheme="minorEastAsia"/>
          <w:kern w:val="0"/>
          <w:sz w:val="24"/>
          <w:szCs w:val="24"/>
          <w:lang w:val="en-US" w:eastAsia="zh-CN" w:bidi="ar-SA"/>
        </w:rPr>
      </w:pPr>
      <w:r>
        <w:rPr>
          <w:rFonts w:hint="eastAsia" w:ascii="宋体" w:hAnsi="宋体" w:cs="宋体" w:eastAsiaTheme="minorEastAsia"/>
          <w:kern w:val="0"/>
          <w:sz w:val="24"/>
          <w:szCs w:val="24"/>
          <w:lang w:val="en-US" w:eastAsia="zh-CN" w:bidi="ar-SA"/>
        </w:rPr>
        <w:t xml:space="preserve">    ①电梯使用管理与维护保养规则TSG T5002-2017</w:t>
      </w:r>
    </w:p>
    <w:p>
      <w:pPr>
        <w:spacing w:line="520" w:lineRule="exact"/>
        <w:rPr>
          <w:rFonts w:hint="eastAsia" w:ascii="宋体" w:hAnsi="宋体" w:cs="宋体" w:eastAsiaTheme="minorEastAsia"/>
          <w:kern w:val="0"/>
          <w:sz w:val="24"/>
          <w:szCs w:val="24"/>
          <w:lang w:val="en-US" w:eastAsia="zh-CN" w:bidi="ar-SA"/>
        </w:rPr>
      </w:pPr>
      <w:r>
        <w:rPr>
          <w:rFonts w:hint="eastAsia" w:ascii="宋体" w:hAnsi="宋体" w:cs="宋体" w:eastAsiaTheme="minorEastAsia"/>
          <w:kern w:val="0"/>
          <w:sz w:val="24"/>
          <w:szCs w:val="24"/>
          <w:lang w:val="en-US" w:eastAsia="zh-CN" w:bidi="ar-SA"/>
        </w:rPr>
        <w:t xml:space="preserve">    ②电梯维修规范GB/T 18775-2009</w:t>
      </w:r>
    </w:p>
    <w:p>
      <w:pPr>
        <w:spacing w:line="520" w:lineRule="exact"/>
        <w:ind w:left="240" w:hanging="240" w:hangingChars="100"/>
        <w:rPr>
          <w:rFonts w:hint="eastAsia" w:ascii="宋体" w:hAnsi="宋体" w:cs="宋体" w:eastAsiaTheme="minorEastAsia"/>
          <w:kern w:val="0"/>
          <w:sz w:val="24"/>
          <w:szCs w:val="24"/>
          <w:lang w:val="en-US" w:eastAsia="zh-CN" w:bidi="ar-SA"/>
        </w:rPr>
      </w:pPr>
      <w:r>
        <w:rPr>
          <w:rFonts w:hint="eastAsia" w:ascii="宋体" w:hAnsi="宋体" w:cs="宋体" w:eastAsiaTheme="minorEastAsia"/>
          <w:kern w:val="0"/>
          <w:sz w:val="24"/>
          <w:szCs w:val="24"/>
          <w:lang w:val="en-US" w:eastAsia="zh-CN" w:bidi="ar-SA"/>
        </w:rPr>
        <w:t xml:space="preserve">    ③电梯监督检验和定期检验规则-曳引与强制驱动电梯TSG  T7001-2009 含1号、2号、3号修改单</w:t>
      </w:r>
    </w:p>
    <w:p>
      <w:pPr>
        <w:spacing w:line="520" w:lineRule="exact"/>
        <w:rPr>
          <w:rFonts w:hint="eastAsia" w:ascii="宋体" w:hAnsi="宋体" w:cs="宋体" w:eastAsiaTheme="minorEastAsia"/>
          <w:kern w:val="0"/>
          <w:sz w:val="24"/>
          <w:szCs w:val="24"/>
          <w:lang w:val="en-US" w:eastAsia="zh-CN" w:bidi="ar-SA"/>
        </w:rPr>
      </w:pPr>
      <w:r>
        <w:rPr>
          <w:rFonts w:hint="eastAsia" w:ascii="宋体" w:hAnsi="宋体" w:cs="宋体" w:eastAsiaTheme="minorEastAsia"/>
          <w:kern w:val="0"/>
          <w:sz w:val="24"/>
          <w:szCs w:val="24"/>
          <w:lang w:val="en-US" w:eastAsia="zh-CN" w:bidi="ar-SA"/>
        </w:rPr>
        <w:t xml:space="preserve">    ④电梯监督检验和定期检验规则-自动扶梯与自动人行道TSG T7005-2012</w:t>
      </w:r>
    </w:p>
    <w:p>
      <w:pPr>
        <w:spacing w:line="520" w:lineRule="exact"/>
        <w:ind w:firstLine="480"/>
        <w:rPr>
          <w:rFonts w:hint="eastAsia" w:ascii="宋体" w:hAnsi="宋体" w:cs="宋体" w:eastAsiaTheme="minorEastAsia"/>
          <w:kern w:val="0"/>
          <w:sz w:val="24"/>
          <w:szCs w:val="24"/>
          <w:lang w:val="en-US" w:eastAsia="zh-CN" w:bidi="ar-SA"/>
        </w:rPr>
      </w:pPr>
      <w:r>
        <w:rPr>
          <w:rFonts w:hint="eastAsia" w:ascii="宋体" w:hAnsi="宋体" w:cs="宋体" w:eastAsiaTheme="minorEastAsia"/>
          <w:kern w:val="0"/>
          <w:sz w:val="24"/>
          <w:szCs w:val="24"/>
          <w:lang w:val="en-US" w:eastAsia="zh-CN" w:bidi="ar-SA"/>
        </w:rPr>
        <w:t>⑤特种设备安装改造维修许可规则</w:t>
      </w:r>
    </w:p>
    <w:p>
      <w:pPr>
        <w:spacing w:line="520" w:lineRule="exact"/>
        <w:ind w:firstLine="480"/>
        <w:rPr>
          <w:rFonts w:hint="eastAsia" w:ascii="宋体" w:hAnsi="宋体" w:cs="宋体" w:eastAsiaTheme="minorEastAsia"/>
          <w:kern w:val="0"/>
          <w:sz w:val="24"/>
          <w:szCs w:val="24"/>
          <w:lang w:val="en-US" w:eastAsia="zh-CN" w:bidi="ar-SA"/>
        </w:rPr>
      </w:pPr>
      <w:r>
        <w:rPr>
          <w:rFonts w:hint="eastAsia" w:ascii="宋体" w:hAnsi="宋体" w:cs="宋体" w:eastAsiaTheme="minorEastAsia"/>
          <w:kern w:val="0"/>
          <w:sz w:val="24"/>
          <w:szCs w:val="24"/>
          <w:lang w:val="en-US" w:eastAsia="zh-CN" w:bidi="ar-SA"/>
        </w:rPr>
        <w:t>⑥合肥市电梯安全监督管理办法</w:t>
      </w:r>
    </w:p>
    <w:p>
      <w:pPr>
        <w:spacing w:line="520" w:lineRule="exact"/>
        <w:ind w:firstLine="480"/>
        <w:rPr>
          <w:rFonts w:hint="eastAsia" w:ascii="宋体" w:hAnsi="宋体" w:cs="宋体" w:eastAsiaTheme="minorEastAsia"/>
          <w:kern w:val="0"/>
          <w:sz w:val="24"/>
          <w:szCs w:val="24"/>
          <w:lang w:val="en-US" w:eastAsia="zh-CN" w:bidi="ar-SA"/>
        </w:rPr>
      </w:pPr>
      <w:r>
        <w:rPr>
          <w:rFonts w:hint="eastAsia" w:ascii="宋体" w:hAnsi="宋体" w:cs="宋体" w:eastAsiaTheme="minorEastAsia"/>
          <w:kern w:val="0"/>
          <w:sz w:val="24"/>
          <w:szCs w:val="24"/>
          <w:lang w:val="en-US" w:eastAsia="zh-CN" w:bidi="ar-SA"/>
        </w:rPr>
        <w:t>⑦电梯安装使用维护说明书</w:t>
      </w:r>
    </w:p>
    <w:p>
      <w:pPr>
        <w:spacing w:line="520" w:lineRule="exact"/>
        <w:rPr>
          <w:rFonts w:ascii="宋体" w:hAnsi="宋体" w:cs="宋体"/>
          <w:b/>
          <w:sz w:val="24"/>
        </w:rPr>
      </w:pPr>
      <w:r>
        <w:rPr>
          <w:rFonts w:hint="eastAsia" w:ascii="宋体" w:hAnsi="宋体" w:cs="宋体" w:eastAsiaTheme="minorEastAsia"/>
          <w:kern w:val="0"/>
          <w:sz w:val="24"/>
          <w:szCs w:val="24"/>
          <w:lang w:val="en-US" w:eastAsia="zh-CN" w:bidi="ar-SA"/>
        </w:rPr>
        <w:t xml:space="preserve">    ⑧本项目维保合同</w:t>
      </w:r>
    </w:p>
    <w:p>
      <w:pPr>
        <w:pStyle w:val="19"/>
        <w:spacing w:line="400" w:lineRule="exact"/>
        <w:ind w:firstLine="480"/>
        <w:jc w:val="left"/>
        <w:rPr>
          <w:rFonts w:ascii="宋体" w:hAnsi="宋体"/>
          <w:b/>
          <w:sz w:val="24"/>
          <w:szCs w:val="24"/>
        </w:rPr>
      </w:pPr>
      <w:r>
        <w:rPr>
          <w:rFonts w:hint="eastAsia" w:ascii="宋体" w:hAnsi="宋体"/>
          <w:b/>
          <w:sz w:val="24"/>
          <w:szCs w:val="24"/>
          <w:lang w:eastAsia="zh-CN"/>
        </w:rPr>
        <w:t>四</w:t>
      </w:r>
      <w:r>
        <w:rPr>
          <w:rFonts w:hint="eastAsia" w:ascii="宋体" w:hAnsi="宋体"/>
          <w:b/>
          <w:sz w:val="24"/>
          <w:szCs w:val="24"/>
        </w:rPr>
        <w:t>、合同主要条款（详见附件二《合同模板》）</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1.</w:t>
      </w:r>
      <w:r>
        <w:rPr>
          <w:rFonts w:hint="eastAsia" w:ascii="宋体" w:hAnsi="宋体" w:cs="宋体"/>
          <w:kern w:val="0"/>
          <w:sz w:val="24"/>
          <w:lang w:eastAsia="zh-CN"/>
        </w:rPr>
        <w:t>维保</w:t>
      </w:r>
      <w:r>
        <w:rPr>
          <w:rFonts w:hint="eastAsia" w:ascii="宋体" w:hAnsi="宋体" w:cs="宋体"/>
          <w:kern w:val="0"/>
          <w:sz w:val="24"/>
        </w:rPr>
        <w:t>时间：</w:t>
      </w:r>
      <w:r>
        <w:rPr>
          <w:rFonts w:hint="eastAsia" w:ascii="宋体" w:hAnsi="宋体" w:cs="宋体" w:eastAsiaTheme="minorEastAsia"/>
          <w:kern w:val="0"/>
          <w:sz w:val="24"/>
          <w:szCs w:val="24"/>
          <w:lang w:val="en-US" w:eastAsia="zh-CN" w:bidi="ar-SA"/>
        </w:rPr>
        <w:t>自 2023 年</w:t>
      </w:r>
      <w:r>
        <w:rPr>
          <w:rFonts w:hint="eastAsia" w:ascii="宋体" w:hAnsi="宋体" w:cs="宋体"/>
          <w:kern w:val="0"/>
          <w:sz w:val="24"/>
          <w:szCs w:val="24"/>
          <w:lang w:val="en-US" w:eastAsia="zh-CN" w:bidi="ar-SA"/>
        </w:rPr>
        <w:t>5</w:t>
      </w:r>
      <w:r>
        <w:rPr>
          <w:rFonts w:hint="eastAsia" w:ascii="宋体" w:hAnsi="宋体" w:cs="宋体" w:eastAsiaTheme="minorEastAsia"/>
          <w:kern w:val="0"/>
          <w:sz w:val="24"/>
          <w:szCs w:val="24"/>
          <w:lang w:val="en-US" w:eastAsia="zh-CN" w:bidi="ar-SA"/>
        </w:rPr>
        <w:t>月</w:t>
      </w:r>
      <w:r>
        <w:rPr>
          <w:rFonts w:hint="eastAsia" w:ascii="宋体" w:hAnsi="宋体" w:cs="宋体"/>
          <w:kern w:val="0"/>
          <w:sz w:val="24"/>
          <w:szCs w:val="24"/>
          <w:lang w:val="en-US" w:eastAsia="zh-CN" w:bidi="ar-SA"/>
        </w:rPr>
        <w:t>1</w:t>
      </w:r>
      <w:r>
        <w:rPr>
          <w:rFonts w:hint="eastAsia" w:ascii="宋体" w:hAnsi="宋体" w:cs="宋体" w:eastAsiaTheme="minorEastAsia"/>
          <w:kern w:val="0"/>
          <w:sz w:val="24"/>
          <w:szCs w:val="24"/>
          <w:lang w:val="en-US" w:eastAsia="zh-CN" w:bidi="ar-SA"/>
        </w:rPr>
        <w:t>日起至 202</w:t>
      </w:r>
      <w:r>
        <w:rPr>
          <w:rFonts w:hint="eastAsia" w:ascii="宋体" w:hAnsi="宋体" w:cs="宋体"/>
          <w:kern w:val="0"/>
          <w:sz w:val="24"/>
          <w:szCs w:val="24"/>
          <w:lang w:val="en-US" w:eastAsia="zh-CN" w:bidi="ar-SA"/>
        </w:rPr>
        <w:t>4</w:t>
      </w:r>
      <w:r>
        <w:rPr>
          <w:rFonts w:hint="eastAsia" w:ascii="宋体" w:hAnsi="宋体" w:cs="宋体" w:eastAsiaTheme="minorEastAsia"/>
          <w:kern w:val="0"/>
          <w:sz w:val="24"/>
          <w:szCs w:val="24"/>
          <w:lang w:val="en-US" w:eastAsia="zh-CN" w:bidi="ar-SA"/>
        </w:rPr>
        <w:t xml:space="preserve"> 年</w:t>
      </w:r>
      <w:r>
        <w:rPr>
          <w:rFonts w:hint="eastAsia" w:ascii="宋体" w:hAnsi="宋体" w:cs="宋体"/>
          <w:kern w:val="0"/>
          <w:sz w:val="24"/>
          <w:szCs w:val="24"/>
          <w:lang w:val="en-US" w:eastAsia="zh-CN" w:bidi="ar-SA"/>
        </w:rPr>
        <w:t>4</w:t>
      </w:r>
      <w:r>
        <w:rPr>
          <w:rFonts w:hint="eastAsia" w:ascii="宋体" w:hAnsi="宋体" w:cs="宋体" w:eastAsiaTheme="minorEastAsia"/>
          <w:kern w:val="0"/>
          <w:sz w:val="24"/>
          <w:szCs w:val="24"/>
          <w:lang w:val="en-US" w:eastAsia="zh-CN" w:bidi="ar-SA"/>
        </w:rPr>
        <w:t>月</w:t>
      </w:r>
      <w:r>
        <w:rPr>
          <w:rFonts w:hint="eastAsia" w:ascii="宋体" w:hAnsi="宋体" w:cs="宋体"/>
          <w:kern w:val="0"/>
          <w:sz w:val="24"/>
          <w:szCs w:val="24"/>
          <w:lang w:val="en-US" w:eastAsia="zh-CN" w:bidi="ar-SA"/>
        </w:rPr>
        <w:t>30</w:t>
      </w:r>
      <w:r>
        <w:rPr>
          <w:rFonts w:hint="eastAsia" w:ascii="宋体" w:hAnsi="宋体" w:cs="宋体" w:eastAsiaTheme="minorEastAsia"/>
          <w:kern w:val="0"/>
          <w:sz w:val="24"/>
          <w:szCs w:val="24"/>
          <w:lang w:val="en-US" w:eastAsia="zh-CN" w:bidi="ar-SA"/>
        </w:rPr>
        <w:t>日止</w:t>
      </w:r>
      <w:r>
        <w:rPr>
          <w:rFonts w:hint="eastAsia" w:ascii="宋体" w:hAnsi="宋体" w:cs="宋体"/>
          <w:kern w:val="0"/>
          <w:sz w:val="24"/>
        </w:rPr>
        <w:t>。</w:t>
      </w:r>
    </w:p>
    <w:p>
      <w:pPr>
        <w:spacing w:line="520" w:lineRule="exact"/>
        <w:ind w:firstLine="480" w:firstLineChars="200"/>
        <w:jc w:val="left"/>
        <w:rPr>
          <w:rFonts w:ascii="宋体" w:hAnsi="宋体" w:cs="宋体"/>
          <w:kern w:val="0"/>
          <w:sz w:val="24"/>
        </w:rPr>
      </w:pPr>
      <w:r>
        <w:rPr>
          <w:rFonts w:hint="eastAsia" w:ascii="宋体" w:hAnsi="宋体" w:cs="宋体"/>
          <w:kern w:val="0"/>
          <w:sz w:val="24"/>
        </w:rPr>
        <w:t>2.付款方式</w:t>
      </w:r>
      <w:r>
        <w:rPr>
          <w:rFonts w:hint="eastAsia" w:ascii="宋体" w:hAnsi="宋体" w:cs="宋体"/>
          <w:b/>
          <w:kern w:val="0"/>
          <w:sz w:val="24"/>
        </w:rPr>
        <w:t>：</w:t>
      </w:r>
      <w:r>
        <w:rPr>
          <w:rFonts w:hint="eastAsia" w:ascii="宋体" w:hAnsi="宋体" w:cs="宋体"/>
          <w:kern w:val="0"/>
          <w:sz w:val="24"/>
        </w:rPr>
        <w:t>合同生效且乙方有效履约满6个月，甲方支付乙方单年度维保费用的50%；合同期满一年时，甲方在乙方有效完成年度</w:t>
      </w:r>
      <w:r>
        <w:rPr>
          <w:rFonts w:hint="eastAsia" w:ascii="宋体" w:hAnsi="宋体" w:cs="宋体"/>
          <w:color w:val="000000"/>
          <w:kern w:val="0"/>
          <w:sz w:val="24"/>
        </w:rPr>
        <w:t>全面维护保养</w:t>
      </w:r>
      <w:r>
        <w:rPr>
          <w:rFonts w:hint="eastAsia" w:ascii="宋体" w:hAnsi="宋体" w:cs="宋体"/>
          <w:color w:val="000000"/>
          <w:kern w:val="0"/>
          <w:sz w:val="24"/>
          <w:lang w:val="en-US" w:eastAsia="zh-CN"/>
        </w:rPr>
        <w:t>及电梯年检合格</w:t>
      </w:r>
      <w:r>
        <w:rPr>
          <w:rFonts w:hint="eastAsia" w:ascii="宋体" w:hAnsi="宋体" w:cs="宋体"/>
          <w:color w:val="000000"/>
          <w:kern w:val="0"/>
          <w:sz w:val="24"/>
        </w:rPr>
        <w:t>后付清</w:t>
      </w:r>
      <w:r>
        <w:rPr>
          <w:rFonts w:hint="eastAsia" w:ascii="宋体" w:hAnsi="宋体" w:cs="宋体"/>
          <w:kern w:val="0"/>
          <w:sz w:val="24"/>
        </w:rPr>
        <w:t>年度维保费用</w:t>
      </w:r>
      <w:r>
        <w:rPr>
          <w:rFonts w:hint="eastAsia" w:ascii="宋体" w:hAnsi="宋体" w:cs="宋体"/>
          <w:color w:val="000000"/>
          <w:kern w:val="0"/>
          <w:sz w:val="24"/>
        </w:rPr>
        <w:t>50%余款</w:t>
      </w:r>
      <w:r>
        <w:rPr>
          <w:rFonts w:hint="eastAsia" w:ascii="宋体" w:hAnsi="宋体" w:cs="宋体"/>
          <w:kern w:val="0"/>
          <w:sz w:val="24"/>
        </w:rPr>
        <w:t>。甲方每次付款前乙方须先出具6%增值税专用发票。</w:t>
      </w:r>
    </w:p>
    <w:p>
      <w:pPr>
        <w:pStyle w:val="19"/>
        <w:spacing w:line="400" w:lineRule="exact"/>
        <w:ind w:firstLine="480"/>
        <w:jc w:val="left"/>
        <w:rPr>
          <w:rFonts w:ascii="宋体" w:hAnsi="宋体" w:cs="宋体"/>
          <w:sz w:val="24"/>
        </w:rPr>
      </w:pPr>
      <w:r>
        <w:rPr>
          <w:rFonts w:hint="eastAsia" w:ascii="宋体" w:hAnsi="宋体"/>
          <w:b/>
          <w:sz w:val="24"/>
          <w:szCs w:val="24"/>
          <w:lang w:eastAsia="zh-CN"/>
        </w:rPr>
        <w:t>五</w:t>
      </w:r>
      <w:r>
        <w:rPr>
          <w:rFonts w:hint="eastAsia" w:ascii="宋体" w:hAnsi="宋体"/>
          <w:b/>
          <w:sz w:val="24"/>
          <w:szCs w:val="24"/>
        </w:rPr>
        <w:t>、报价方式：</w:t>
      </w:r>
      <w:r>
        <w:rPr>
          <w:rFonts w:hint="eastAsia" w:ascii="宋体" w:hAnsi="宋体"/>
          <w:sz w:val="24"/>
          <w:szCs w:val="24"/>
        </w:rPr>
        <w:t>统一按照附件一《报价一栏表》进行报价，并</w:t>
      </w:r>
      <w:r>
        <w:rPr>
          <w:rFonts w:hint="eastAsia" w:ascii="宋体" w:hAnsi="宋体" w:cs="宋体"/>
          <w:sz w:val="24"/>
        </w:rPr>
        <w:t>密封加盖公章后在开标时间内送达开标地点。</w:t>
      </w:r>
    </w:p>
    <w:p>
      <w:pPr>
        <w:widowControl/>
        <w:spacing w:line="400" w:lineRule="exact"/>
        <w:ind w:firstLine="482" w:firstLineChars="200"/>
        <w:jc w:val="left"/>
        <w:rPr>
          <w:rFonts w:ascii="宋体" w:hAnsi="宋体" w:cs="宋体"/>
          <w:kern w:val="0"/>
          <w:sz w:val="24"/>
        </w:rPr>
      </w:pPr>
      <w:r>
        <w:rPr>
          <w:rFonts w:hint="eastAsia" w:ascii="宋体" w:hAnsi="宋体"/>
          <w:b/>
          <w:sz w:val="24"/>
          <w:lang w:eastAsia="zh-CN"/>
        </w:rPr>
        <w:t>六</w:t>
      </w:r>
      <w:r>
        <w:rPr>
          <w:rFonts w:hint="eastAsia" w:ascii="宋体" w:hAnsi="宋体"/>
          <w:b/>
          <w:sz w:val="24"/>
        </w:rPr>
        <w:t>、</w:t>
      </w:r>
      <w:r>
        <w:rPr>
          <w:rFonts w:hint="eastAsia" w:cs="Times New Roman" w:asciiTheme="majorEastAsia" w:hAnsiTheme="majorEastAsia" w:eastAsiaTheme="majorEastAsia"/>
          <w:b/>
          <w:kern w:val="0"/>
          <w:sz w:val="24"/>
        </w:rPr>
        <w:t>竞价报送截止时间</w:t>
      </w:r>
      <w:r>
        <w:rPr>
          <w:rFonts w:hint="eastAsia" w:ascii="宋体" w:hAnsi="宋体" w:eastAsia="宋体" w:cs="Times New Roman"/>
          <w:b/>
          <w:kern w:val="0"/>
          <w:sz w:val="24"/>
        </w:rPr>
        <w:t>：</w:t>
      </w:r>
      <w:r>
        <w:rPr>
          <w:rFonts w:hint="eastAsia" w:ascii="宋体" w:hAnsi="宋体" w:eastAsia="宋体" w:cs="Times New Roman"/>
          <w:kern w:val="0"/>
          <w:sz w:val="24"/>
        </w:rPr>
        <w:t>20</w:t>
      </w:r>
      <w:r>
        <w:rPr>
          <w:rFonts w:hint="eastAsia" w:ascii="宋体" w:hAnsi="宋体" w:eastAsia="宋体" w:cs="Times New Roman"/>
          <w:kern w:val="0"/>
          <w:sz w:val="24"/>
          <w:lang w:val="en-US" w:eastAsia="zh-CN"/>
        </w:rPr>
        <w:t>23</w:t>
      </w:r>
      <w:r>
        <w:rPr>
          <w:rFonts w:hint="eastAsia" w:ascii="宋体" w:hAnsi="宋体" w:eastAsia="宋体" w:cs="Times New Roman"/>
          <w:kern w:val="0"/>
          <w:sz w:val="24"/>
        </w:rPr>
        <w:t>年</w:t>
      </w:r>
      <w:r>
        <w:rPr>
          <w:rFonts w:hint="eastAsia" w:ascii="宋体" w:hAnsi="宋体" w:eastAsia="宋体" w:cs="Times New Roman"/>
          <w:kern w:val="0"/>
          <w:sz w:val="24"/>
          <w:lang w:val="en-US" w:eastAsia="zh-CN"/>
        </w:rPr>
        <w:t>6</w:t>
      </w:r>
      <w:r>
        <w:rPr>
          <w:rFonts w:hint="eastAsia" w:ascii="宋体" w:hAnsi="宋体" w:eastAsia="宋体" w:cs="Times New Roman"/>
          <w:kern w:val="0"/>
          <w:sz w:val="24"/>
        </w:rPr>
        <w:t>月</w:t>
      </w:r>
      <w:r>
        <w:rPr>
          <w:rFonts w:hint="eastAsia" w:ascii="宋体" w:hAnsi="宋体" w:eastAsia="宋体" w:cs="Times New Roman"/>
          <w:kern w:val="0"/>
          <w:sz w:val="24"/>
          <w:lang w:val="en-US" w:eastAsia="zh-CN"/>
        </w:rPr>
        <w:t>15</w:t>
      </w:r>
      <w:bookmarkStart w:id="0" w:name="_GoBack"/>
      <w:bookmarkEnd w:id="0"/>
      <w:r>
        <w:rPr>
          <w:rFonts w:hint="eastAsia" w:ascii="宋体" w:hAnsi="宋体" w:eastAsia="宋体" w:cs="Times New Roman"/>
          <w:kern w:val="0"/>
          <w:sz w:val="24"/>
        </w:rPr>
        <w:t>日9:00（如有调整，另行调整）</w:t>
      </w:r>
    </w:p>
    <w:p>
      <w:pPr>
        <w:pStyle w:val="19"/>
        <w:spacing w:line="400" w:lineRule="exact"/>
        <w:ind w:firstLine="480"/>
        <w:jc w:val="left"/>
        <w:rPr>
          <w:rFonts w:hint="default" w:ascii="宋体" w:hAnsi="宋体" w:eastAsia="宋体"/>
          <w:sz w:val="24"/>
          <w:szCs w:val="24"/>
          <w:lang w:val="en-US" w:eastAsia="zh-CN"/>
        </w:rPr>
      </w:pPr>
      <w:r>
        <w:rPr>
          <w:rFonts w:hint="eastAsia" w:ascii="宋体" w:hAnsi="宋体"/>
          <w:b/>
          <w:sz w:val="24"/>
          <w:szCs w:val="24"/>
        </w:rPr>
        <w:t xml:space="preserve">    </w:t>
      </w:r>
      <w:r>
        <w:rPr>
          <w:rFonts w:hint="eastAsia" w:asciiTheme="majorEastAsia" w:hAnsiTheme="majorEastAsia" w:eastAsiaTheme="majorEastAsia"/>
          <w:b/>
          <w:sz w:val="24"/>
          <w:szCs w:val="24"/>
        </w:rPr>
        <w:t>竞价报送地点</w:t>
      </w:r>
      <w:r>
        <w:rPr>
          <w:rFonts w:hint="eastAsia" w:ascii="宋体" w:hAnsi="宋体"/>
          <w:b/>
          <w:sz w:val="24"/>
          <w:szCs w:val="24"/>
        </w:rPr>
        <w:t>：</w:t>
      </w:r>
      <w:r>
        <w:rPr>
          <w:rFonts w:hint="eastAsia" w:ascii="宋体" w:hAnsi="宋体"/>
          <w:sz w:val="24"/>
        </w:rPr>
        <w:t>合肥市</w:t>
      </w:r>
      <w:r>
        <w:rPr>
          <w:rFonts w:hint="eastAsia" w:ascii="宋体" w:hAnsi="宋体"/>
          <w:sz w:val="24"/>
          <w:lang w:val="en-US" w:eastAsia="zh-CN"/>
        </w:rPr>
        <w:t>蜀山区黄山路596号合肥百大集团12楼</w:t>
      </w:r>
    </w:p>
    <w:p>
      <w:pPr>
        <w:spacing w:line="400" w:lineRule="exact"/>
        <w:ind w:firstLine="472" w:firstLineChars="196"/>
        <w:rPr>
          <w:rFonts w:hint="eastAsia" w:ascii="宋体" w:hAnsi="宋体"/>
          <w:sz w:val="24"/>
        </w:rPr>
      </w:pPr>
      <w:r>
        <w:rPr>
          <w:rFonts w:hint="eastAsia" w:ascii="宋体" w:hAnsi="宋体" w:cs="宋体"/>
          <w:b/>
          <w:kern w:val="0"/>
          <w:sz w:val="24"/>
          <w:lang w:eastAsia="zh-CN"/>
        </w:rPr>
        <w:t>七</w:t>
      </w:r>
      <w:r>
        <w:rPr>
          <w:rFonts w:hint="eastAsia" w:ascii="宋体" w:hAnsi="宋体" w:cs="宋体"/>
          <w:b/>
          <w:kern w:val="0"/>
          <w:sz w:val="24"/>
        </w:rPr>
        <w:t>、</w:t>
      </w:r>
      <w:r>
        <w:rPr>
          <w:rFonts w:hint="eastAsia" w:ascii="宋体" w:hAnsi="宋体"/>
          <w:b/>
          <w:kern w:val="0"/>
          <w:sz w:val="24"/>
        </w:rPr>
        <w:t>联 系 人：</w:t>
      </w:r>
      <w:r>
        <w:rPr>
          <w:rFonts w:hint="eastAsia" w:ascii="宋体" w:hAnsi="宋体"/>
          <w:b/>
          <w:kern w:val="0"/>
          <w:sz w:val="24"/>
          <w:lang w:val="en-US" w:eastAsia="zh-CN"/>
        </w:rPr>
        <w:t>项</w:t>
      </w:r>
      <w:r>
        <w:rPr>
          <w:rFonts w:hint="eastAsia" w:ascii="宋体" w:hAnsi="宋体"/>
          <w:b/>
          <w:kern w:val="0"/>
          <w:sz w:val="24"/>
          <w:lang w:eastAsia="zh-CN"/>
        </w:rPr>
        <w:t>工</w:t>
      </w:r>
      <w:r>
        <w:rPr>
          <w:rFonts w:hint="eastAsia" w:ascii="宋体" w:hAnsi="宋体"/>
          <w:b/>
          <w:kern w:val="0"/>
          <w:sz w:val="24"/>
          <w:lang w:val="en-US" w:eastAsia="zh-CN"/>
        </w:rPr>
        <w:t xml:space="preserve"> 15156886181</w:t>
      </w:r>
      <w:r>
        <w:rPr>
          <w:rFonts w:hint="eastAsia" w:ascii="宋体" w:hAnsi="宋体"/>
          <w:sz w:val="24"/>
        </w:rPr>
        <w:t>；</w:t>
      </w:r>
    </w:p>
    <w:p>
      <w:pPr>
        <w:spacing w:line="400" w:lineRule="exact"/>
        <w:ind w:firstLine="470" w:firstLineChars="196"/>
        <w:rPr>
          <w:rFonts w:hint="eastAsia" w:ascii="宋体" w:hAnsi="宋体"/>
          <w:sz w:val="24"/>
        </w:rPr>
      </w:pPr>
    </w:p>
    <w:p>
      <w:pPr>
        <w:spacing w:line="400" w:lineRule="exact"/>
        <w:ind w:firstLine="470" w:firstLineChars="196"/>
        <w:rPr>
          <w:rFonts w:ascii="宋体" w:hAnsi="宋体"/>
          <w:sz w:val="24"/>
        </w:rPr>
      </w:pPr>
    </w:p>
    <w:p>
      <w:pPr>
        <w:spacing w:line="400" w:lineRule="exact"/>
        <w:ind w:left="7164" w:hanging="7164" w:hangingChars="2985"/>
        <w:jc w:val="center"/>
        <w:rPr>
          <w:sz w:val="24"/>
        </w:rPr>
      </w:pPr>
      <w:r>
        <w:rPr>
          <w:rFonts w:hint="eastAsia"/>
          <w:sz w:val="24"/>
        </w:rPr>
        <w:t xml:space="preserve">                                             </w:t>
      </w:r>
      <w:r>
        <w:rPr>
          <w:rFonts w:hint="eastAsia"/>
          <w:sz w:val="24"/>
          <w:lang w:val="en-US" w:eastAsia="zh-CN"/>
        </w:rPr>
        <w:t>合肥百大合家悦菜市场管理有限责任公司</w:t>
      </w:r>
      <w:r>
        <w:rPr>
          <w:rFonts w:hint="eastAsia"/>
          <w:sz w:val="24"/>
        </w:rPr>
        <w:t xml:space="preserve">                                                      </w:t>
      </w:r>
    </w:p>
    <w:p>
      <w:pPr>
        <w:spacing w:line="400" w:lineRule="exact"/>
        <w:ind w:left="7164" w:hanging="7164" w:hangingChars="2985"/>
        <w:jc w:val="center"/>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2023</w:t>
      </w:r>
      <w:r>
        <w:rPr>
          <w:rFonts w:hint="eastAsia" w:ascii="宋体" w:hAnsi="宋体" w:eastAsia="宋体" w:cs="宋体"/>
          <w:sz w:val="24"/>
        </w:rPr>
        <w:t xml:space="preserve"> 年</w:t>
      </w:r>
      <w:r>
        <w:rPr>
          <w:rFonts w:hint="eastAsia" w:ascii="宋体" w:hAnsi="宋体" w:eastAsia="宋体" w:cs="宋体"/>
          <w:sz w:val="24"/>
          <w:lang w:val="en-US" w:eastAsia="zh-CN"/>
        </w:rPr>
        <w:t>6</w:t>
      </w:r>
      <w:r>
        <w:rPr>
          <w:rFonts w:hint="eastAsia" w:ascii="宋体" w:hAnsi="宋体" w:eastAsia="宋体" w:cs="宋体"/>
          <w:sz w:val="24"/>
        </w:rPr>
        <w:t>月</w:t>
      </w:r>
      <w:r>
        <w:rPr>
          <w:rFonts w:hint="eastAsia" w:ascii="宋体" w:hAnsi="宋体" w:eastAsia="宋体" w:cs="宋体"/>
          <w:sz w:val="24"/>
          <w:lang w:val="en-US" w:eastAsia="zh-CN"/>
        </w:rPr>
        <w:t>6</w:t>
      </w:r>
      <w:r>
        <w:rPr>
          <w:rFonts w:hint="eastAsia" w:ascii="宋体" w:hAnsi="宋体" w:eastAsia="宋体" w:cs="宋体"/>
          <w:sz w:val="24"/>
        </w:rPr>
        <w:t>日</w:t>
      </w:r>
    </w:p>
    <w:p>
      <w:pPr>
        <w:jc w:val="center"/>
        <w:rPr>
          <w:rFonts w:ascii="宋体" w:hAnsi="宋体"/>
          <w:b/>
          <w:kern w:val="0"/>
          <w:sz w:val="24"/>
        </w:rPr>
      </w:pPr>
    </w:p>
    <w:p>
      <w:pPr>
        <w:jc w:val="center"/>
        <w:rPr>
          <w:rFonts w:hint="eastAsia" w:ascii="宋体" w:hAnsi="宋体"/>
          <w:b/>
          <w:kern w:val="0"/>
          <w:sz w:val="24"/>
        </w:rPr>
      </w:pPr>
    </w:p>
    <w:p>
      <w:pPr>
        <w:jc w:val="center"/>
        <w:rPr>
          <w:rFonts w:hint="eastAsia" w:ascii="宋体" w:hAnsi="宋体"/>
          <w:b/>
          <w:kern w:val="0"/>
          <w:sz w:val="24"/>
        </w:rPr>
      </w:pPr>
    </w:p>
    <w:p>
      <w:pPr>
        <w:jc w:val="center"/>
        <w:rPr>
          <w:rFonts w:hint="eastAsia" w:ascii="宋体" w:hAnsi="宋体"/>
          <w:b/>
          <w:kern w:val="0"/>
          <w:sz w:val="24"/>
        </w:rPr>
      </w:pPr>
    </w:p>
    <w:p>
      <w:pPr>
        <w:jc w:val="center"/>
        <w:rPr>
          <w:rFonts w:hint="eastAsia" w:ascii="宋体" w:hAnsi="宋体"/>
          <w:b/>
          <w:kern w:val="0"/>
          <w:sz w:val="24"/>
        </w:rPr>
      </w:pPr>
    </w:p>
    <w:p>
      <w:pPr>
        <w:jc w:val="center"/>
        <w:rPr>
          <w:rFonts w:hint="eastAsia" w:ascii="宋体" w:hAnsi="宋体"/>
          <w:b/>
          <w:kern w:val="0"/>
          <w:sz w:val="24"/>
        </w:rPr>
      </w:pPr>
    </w:p>
    <w:p>
      <w:pPr>
        <w:jc w:val="center"/>
        <w:rPr>
          <w:rFonts w:hint="eastAsia" w:ascii="宋体" w:hAnsi="宋体"/>
          <w:b/>
          <w:kern w:val="0"/>
          <w:sz w:val="24"/>
        </w:rPr>
      </w:pPr>
    </w:p>
    <w:p>
      <w:pPr>
        <w:jc w:val="center"/>
        <w:rPr>
          <w:rFonts w:hint="eastAsia" w:ascii="宋体" w:hAnsi="宋体"/>
          <w:b/>
          <w:kern w:val="0"/>
          <w:sz w:val="24"/>
        </w:rPr>
      </w:pPr>
    </w:p>
    <w:p>
      <w:pPr>
        <w:jc w:val="center"/>
        <w:rPr>
          <w:rFonts w:hint="eastAsia" w:ascii="宋体" w:hAnsi="宋体"/>
          <w:b/>
          <w:kern w:val="0"/>
          <w:sz w:val="24"/>
        </w:rPr>
      </w:pPr>
    </w:p>
    <w:p>
      <w:pPr>
        <w:jc w:val="center"/>
        <w:rPr>
          <w:rFonts w:hint="eastAsia" w:ascii="宋体" w:hAnsi="宋体"/>
          <w:b/>
          <w:kern w:val="0"/>
          <w:sz w:val="24"/>
        </w:rPr>
      </w:pPr>
    </w:p>
    <w:p>
      <w:pPr>
        <w:jc w:val="center"/>
        <w:rPr>
          <w:rFonts w:hint="eastAsia" w:ascii="宋体" w:hAnsi="宋体"/>
          <w:b/>
          <w:kern w:val="0"/>
          <w:sz w:val="24"/>
        </w:rPr>
      </w:pPr>
    </w:p>
    <w:p>
      <w:pPr>
        <w:jc w:val="center"/>
        <w:rPr>
          <w:rFonts w:hint="eastAsia" w:ascii="宋体" w:hAnsi="宋体"/>
          <w:b/>
          <w:kern w:val="0"/>
          <w:sz w:val="24"/>
        </w:rPr>
      </w:pPr>
    </w:p>
    <w:p>
      <w:pPr>
        <w:jc w:val="center"/>
        <w:rPr>
          <w:rFonts w:hint="eastAsia" w:ascii="宋体" w:hAnsi="宋体"/>
          <w:b/>
          <w:kern w:val="0"/>
          <w:sz w:val="24"/>
        </w:rPr>
      </w:pPr>
    </w:p>
    <w:p>
      <w:pPr>
        <w:jc w:val="center"/>
        <w:rPr>
          <w:rFonts w:hint="eastAsia" w:ascii="宋体" w:hAnsi="宋体"/>
          <w:b/>
          <w:kern w:val="0"/>
          <w:sz w:val="24"/>
        </w:rPr>
      </w:pPr>
    </w:p>
    <w:p>
      <w:pPr>
        <w:jc w:val="both"/>
        <w:rPr>
          <w:rFonts w:hint="eastAsia" w:ascii="宋体" w:hAnsi="宋体"/>
          <w:b/>
          <w:kern w:val="0"/>
          <w:sz w:val="24"/>
        </w:rPr>
      </w:pPr>
    </w:p>
    <w:p>
      <w:pPr>
        <w:jc w:val="center"/>
        <w:rPr>
          <w:rFonts w:hint="eastAsia" w:ascii="宋体" w:hAnsi="宋体"/>
          <w:b/>
          <w:kern w:val="0"/>
          <w:sz w:val="24"/>
        </w:rPr>
      </w:pPr>
    </w:p>
    <w:p>
      <w:pPr>
        <w:jc w:val="center"/>
        <w:rPr>
          <w:rFonts w:ascii="宋体" w:hAnsi="宋体" w:eastAsia="宋体" w:cs="Times New Roman"/>
          <w:b/>
          <w:kern w:val="0"/>
          <w:sz w:val="24"/>
        </w:rPr>
      </w:pPr>
      <w:r>
        <w:rPr>
          <w:rFonts w:hint="eastAsia" w:ascii="宋体" w:hAnsi="宋体"/>
          <w:b/>
          <w:kern w:val="0"/>
          <w:sz w:val="24"/>
        </w:rPr>
        <w:t>附件一、</w:t>
      </w:r>
      <w:r>
        <w:rPr>
          <w:rFonts w:hint="eastAsia" w:ascii="宋体" w:hAnsi="宋体" w:eastAsia="宋体" w:cs="Times New Roman"/>
          <w:b/>
          <w:kern w:val="0"/>
          <w:sz w:val="24"/>
        </w:rPr>
        <w:t>报价一览表</w:t>
      </w:r>
    </w:p>
    <w:p>
      <w:pPr>
        <w:widowControl/>
        <w:spacing w:line="240" w:lineRule="exact"/>
        <w:jc w:val="left"/>
        <w:rPr>
          <w:rFonts w:ascii="宋体" w:hAnsi="宋体" w:eastAsia="宋体" w:cs="宋体"/>
          <w:b/>
          <w:kern w:val="0"/>
          <w:sz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2161"/>
        <w:gridCol w:w="6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759"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inorEastAsia" w:hAnsiTheme="minorEastAsia"/>
                <w:b/>
                <w:kern w:val="0"/>
                <w:sz w:val="24"/>
              </w:rPr>
            </w:pPr>
            <w:r>
              <w:rPr>
                <w:rFonts w:hint="eastAsia" w:cs="宋体" w:asciiTheme="minorEastAsia" w:hAnsiTheme="minorEastAsia"/>
                <w:b/>
                <w:kern w:val="0"/>
                <w:sz w:val="24"/>
              </w:rPr>
              <w:t>项目名称</w:t>
            </w:r>
          </w:p>
        </w:tc>
        <w:tc>
          <w:tcPr>
            <w:tcW w:w="6996"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hint="default" w:cs="宋体" w:asciiTheme="minorEastAsia" w:hAnsiTheme="minorEastAsia"/>
                <w:b/>
                <w:kern w:val="0"/>
                <w:sz w:val="24"/>
                <w:lang w:val="en-US"/>
              </w:rPr>
            </w:pPr>
            <w:r>
              <w:rPr>
                <w:rFonts w:hint="eastAsia" w:ascii="宋体" w:hAnsi="宋体" w:cs="宋体"/>
                <w:kern w:val="0"/>
                <w:sz w:val="24"/>
                <w:lang w:val="en-US" w:eastAsia="zh-CN"/>
              </w:rPr>
              <w:t>百大合家悦康园菜市场2023-2024年电梯维保项目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759"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inorEastAsia" w:hAnsiTheme="minorEastAsia"/>
                <w:b/>
                <w:kern w:val="0"/>
                <w:sz w:val="24"/>
              </w:rPr>
            </w:pPr>
            <w:r>
              <w:rPr>
                <w:rFonts w:hint="eastAsia" w:cs="宋体" w:asciiTheme="minorEastAsia" w:hAnsiTheme="minorEastAsia"/>
                <w:b/>
                <w:kern w:val="0"/>
                <w:sz w:val="24"/>
              </w:rPr>
              <w:t>项目编号</w:t>
            </w:r>
          </w:p>
        </w:tc>
        <w:tc>
          <w:tcPr>
            <w:tcW w:w="6996"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hint="default" w:cs="宋体" w:asciiTheme="minorEastAsia" w:hAnsiTheme="minorEastAsia" w:eastAsiaTheme="minorEastAsia"/>
                <w:b/>
                <w:kern w:val="0"/>
                <w:sz w:val="24"/>
                <w:lang w:val="en-US" w:eastAsia="zh-CN"/>
              </w:rPr>
            </w:pPr>
            <w:r>
              <w:rPr>
                <w:rFonts w:hint="eastAsia" w:asciiTheme="minorEastAsia" w:hAnsiTheme="minorEastAsia" w:cstheme="minorEastAsia"/>
                <w:spacing w:val="-4"/>
                <w:kern w:val="0"/>
                <w:sz w:val="24"/>
                <w:lang w:val="en-US" w:eastAsia="zh-CN"/>
              </w:rPr>
              <w:t>HJYKY230531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759"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inorEastAsia" w:hAnsiTheme="minorEastAsia"/>
                <w:b/>
                <w:kern w:val="0"/>
                <w:sz w:val="24"/>
              </w:rPr>
            </w:pPr>
            <w:r>
              <w:rPr>
                <w:rFonts w:hint="eastAsia" w:cs="宋体" w:asciiTheme="minorEastAsia" w:hAnsiTheme="minorEastAsia"/>
                <w:b/>
                <w:kern w:val="0"/>
                <w:sz w:val="24"/>
              </w:rPr>
              <w:t>报价人全称</w:t>
            </w:r>
          </w:p>
        </w:tc>
        <w:tc>
          <w:tcPr>
            <w:tcW w:w="6996"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cs="宋体" w:asciiTheme="minorEastAsia" w:hAnsiTheme="min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cs="宋体" w:asciiTheme="minorEastAsia" w:hAnsiTheme="minorEastAsia"/>
                <w:b/>
                <w:kern w:val="0"/>
                <w:sz w:val="24"/>
              </w:rPr>
            </w:pPr>
            <w:r>
              <w:rPr>
                <w:rFonts w:hint="eastAsia" w:cs="宋体" w:asciiTheme="minorEastAsia" w:hAnsiTheme="minorEastAsia"/>
                <w:b/>
                <w:kern w:val="0"/>
                <w:sz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inorEastAsia" w:hAnsiTheme="minorEastAsia"/>
                <w:kern w:val="0"/>
                <w:sz w:val="24"/>
              </w:rPr>
            </w:pPr>
            <w:r>
              <w:rPr>
                <w:rFonts w:hint="eastAsia" w:cs="宋体" w:asciiTheme="minorEastAsia" w:hAnsiTheme="minorEastAsia"/>
                <w:kern w:val="0"/>
                <w:sz w:val="24"/>
              </w:rPr>
              <w:t>1</w:t>
            </w:r>
          </w:p>
        </w:tc>
        <w:tc>
          <w:tcPr>
            <w:tcW w:w="216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inorEastAsia" w:hAnsiTheme="minorEastAsia"/>
                <w:b/>
                <w:bCs/>
                <w:kern w:val="28"/>
                <w:sz w:val="24"/>
                <w:lang w:val="eu-ES"/>
              </w:rPr>
            </w:pPr>
            <w:r>
              <w:rPr>
                <w:rFonts w:hint="eastAsia"/>
                <w:b/>
                <w:bCs/>
                <w:kern w:val="28"/>
                <w:sz w:val="24"/>
                <w:lang w:val="eu-ES"/>
              </w:rPr>
              <w:t>维保质量承诺</w:t>
            </w:r>
          </w:p>
        </w:tc>
        <w:tc>
          <w:tcPr>
            <w:tcW w:w="6996"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hint="eastAsia" w:ascii="宋体" w:hAnsi="宋体" w:cs="宋体" w:eastAsiaTheme="minorEastAsia"/>
                <w:kern w:val="0"/>
                <w:sz w:val="24"/>
                <w:szCs w:val="24"/>
                <w:lang w:val="en-US" w:eastAsia="zh-CN" w:bidi="ar-SA"/>
              </w:rPr>
            </w:pPr>
            <w:r>
              <w:rPr>
                <w:rFonts w:hint="eastAsia" w:ascii="宋体" w:hAnsi="宋体" w:cs="宋体"/>
                <w:kern w:val="0"/>
                <w:sz w:val="24"/>
              </w:rPr>
              <w:t>是否响应招标文件要求？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inorEastAsia" w:hAnsiTheme="minorEastAsia"/>
                <w:kern w:val="0"/>
                <w:sz w:val="24"/>
              </w:rPr>
            </w:pPr>
            <w:r>
              <w:rPr>
                <w:rFonts w:hint="eastAsia" w:cs="宋体" w:asciiTheme="minorEastAsia" w:hAnsiTheme="minorEastAsia"/>
                <w:kern w:val="0"/>
                <w:sz w:val="24"/>
              </w:rPr>
              <w:t>2</w:t>
            </w:r>
          </w:p>
        </w:tc>
        <w:tc>
          <w:tcPr>
            <w:tcW w:w="216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inorEastAsia" w:hAnsiTheme="minorEastAsia"/>
                <w:b/>
                <w:bCs/>
                <w:kern w:val="28"/>
                <w:sz w:val="24"/>
                <w:lang w:val="eu-ES"/>
              </w:rPr>
            </w:pPr>
            <w:r>
              <w:rPr>
                <w:rFonts w:hint="eastAsia"/>
                <w:b/>
                <w:bCs/>
                <w:kern w:val="28"/>
                <w:sz w:val="24"/>
                <w:lang w:val="eu-ES"/>
              </w:rPr>
              <w:t>应急响应承诺</w:t>
            </w:r>
          </w:p>
        </w:tc>
        <w:tc>
          <w:tcPr>
            <w:tcW w:w="6996"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hint="eastAsia" w:ascii="宋体" w:hAnsi="宋体" w:cs="宋体" w:eastAsiaTheme="minorEastAsia"/>
                <w:color w:val="FF0000"/>
                <w:kern w:val="0"/>
                <w:sz w:val="24"/>
                <w:szCs w:val="24"/>
                <w:lang w:val="en-US" w:eastAsia="zh-CN" w:bidi="ar-SA"/>
              </w:rPr>
            </w:pPr>
            <w:r>
              <w:rPr>
                <w:rFonts w:hint="eastAsia" w:ascii="宋体" w:hAnsi="宋体" w:cs="宋体"/>
                <w:kern w:val="0"/>
                <w:sz w:val="24"/>
              </w:rPr>
              <w:t>是否响应招标文件要求？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inorEastAsia" w:hAnsiTheme="minorEastAsia"/>
                <w:kern w:val="0"/>
                <w:sz w:val="24"/>
              </w:rPr>
            </w:pPr>
            <w:r>
              <w:rPr>
                <w:rFonts w:hint="eastAsia" w:cs="宋体" w:asciiTheme="minorEastAsia" w:hAnsiTheme="minorEastAsia"/>
                <w:kern w:val="0"/>
                <w:sz w:val="24"/>
              </w:rPr>
              <w:t>3</w:t>
            </w:r>
          </w:p>
        </w:tc>
        <w:tc>
          <w:tcPr>
            <w:tcW w:w="216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inorEastAsia" w:hAnsiTheme="minorEastAsia"/>
                <w:b/>
                <w:bCs/>
                <w:kern w:val="28"/>
                <w:sz w:val="24"/>
                <w:lang w:val="eu-ES"/>
              </w:rPr>
            </w:pPr>
            <w:r>
              <w:rPr>
                <w:rFonts w:hint="eastAsia"/>
                <w:b/>
                <w:bCs/>
                <w:kern w:val="28"/>
                <w:sz w:val="24"/>
                <w:lang w:val="eu-ES"/>
              </w:rPr>
              <w:t>付款方式</w:t>
            </w:r>
          </w:p>
        </w:tc>
        <w:tc>
          <w:tcPr>
            <w:tcW w:w="6996"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eastAsiaTheme="minorEastAsia"/>
                <w:color w:val="FF0000"/>
                <w:kern w:val="0"/>
                <w:sz w:val="24"/>
                <w:szCs w:val="24"/>
                <w:lang w:val="en-US" w:eastAsia="zh-CN" w:bidi="ar-SA"/>
              </w:rPr>
            </w:pPr>
            <w:r>
              <w:rPr>
                <w:rFonts w:hint="eastAsia" w:ascii="宋体" w:hAnsi="宋体" w:cs="宋体"/>
                <w:kern w:val="0"/>
                <w:sz w:val="24"/>
              </w:rPr>
              <w:t>是否响应招标文件要求？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inorEastAsia" w:hAnsiTheme="minorEastAsia"/>
                <w:kern w:val="0"/>
                <w:sz w:val="24"/>
              </w:rPr>
            </w:pPr>
            <w:r>
              <w:rPr>
                <w:rFonts w:hint="eastAsia" w:cs="宋体" w:asciiTheme="minorEastAsia" w:hAnsiTheme="minorEastAsia"/>
                <w:kern w:val="0"/>
                <w:sz w:val="24"/>
              </w:rPr>
              <w:t>4</w:t>
            </w:r>
          </w:p>
        </w:tc>
        <w:tc>
          <w:tcPr>
            <w:tcW w:w="216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inorEastAsia" w:hAnsiTheme="minorEastAsia"/>
                <w:b/>
                <w:kern w:val="28"/>
                <w:sz w:val="24"/>
                <w:lang w:val="eu-ES"/>
              </w:rPr>
            </w:pPr>
            <w:r>
              <w:rPr>
                <w:rFonts w:hint="eastAsia" w:cs="Times New Roman" w:asciiTheme="minorEastAsia" w:hAnsiTheme="minorEastAsia"/>
                <w:b/>
                <w:kern w:val="28"/>
                <w:sz w:val="24"/>
                <w:lang w:val="eu-ES"/>
              </w:rPr>
              <w:t>备注</w:t>
            </w:r>
          </w:p>
        </w:tc>
        <w:tc>
          <w:tcPr>
            <w:tcW w:w="6996"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eastAsiaTheme="minorEastAsia"/>
                <w:kern w:val="0"/>
                <w:sz w:val="24"/>
                <w:szCs w:val="24"/>
                <w:lang w:val="en-US" w:eastAsia="zh-CN" w:bidi="ar-SA"/>
              </w:rPr>
            </w:pPr>
            <w:r>
              <w:rPr>
                <w:rFonts w:hint="eastAsia" w:ascii="宋体" w:hAnsi="宋体" w:cs="宋体"/>
                <w:kern w:val="0"/>
                <w:sz w:val="24"/>
              </w:rPr>
              <w:t>上述内容如符合本项目要求填写“响应”即可。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rPr>
                <w:rFonts w:cs="宋体" w:asciiTheme="minorEastAsia" w:hAnsiTheme="minorEastAsia"/>
                <w:kern w:val="0"/>
                <w:sz w:val="24"/>
              </w:rPr>
            </w:pPr>
            <w:r>
              <w:rPr>
                <w:rFonts w:hint="eastAsia" w:cs="宋体" w:asciiTheme="minorEastAsia" w:hAnsiTheme="minorEastAsia"/>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598" w:type="dxa"/>
            <w:tcBorders>
              <w:top w:val="single" w:color="auto" w:sz="4" w:space="0"/>
              <w:left w:val="single" w:color="auto" w:sz="4" w:space="0"/>
              <w:right w:val="single" w:color="auto" w:sz="4" w:space="0"/>
            </w:tcBorders>
            <w:vAlign w:val="center"/>
          </w:tcPr>
          <w:p>
            <w:pPr>
              <w:widowControl/>
              <w:spacing w:line="500" w:lineRule="exact"/>
              <w:jc w:val="center"/>
              <w:rPr>
                <w:rFonts w:hint="default" w:cs="宋体" w:asciiTheme="minorEastAsia" w:hAnsiTheme="minorEastAsia" w:eastAsiaTheme="minorEastAsia"/>
                <w:kern w:val="0"/>
                <w:sz w:val="24"/>
                <w:lang w:val="en-US" w:eastAsia="zh-CN"/>
              </w:rPr>
            </w:pPr>
            <w:r>
              <w:rPr>
                <w:rFonts w:hint="eastAsia" w:cs="宋体" w:asciiTheme="minorEastAsia" w:hAnsiTheme="minorEastAsia"/>
                <w:kern w:val="0"/>
                <w:sz w:val="24"/>
                <w:lang w:val="en-US" w:eastAsia="zh-CN"/>
              </w:rPr>
              <w:t>1</w:t>
            </w:r>
          </w:p>
        </w:tc>
        <w:tc>
          <w:tcPr>
            <w:tcW w:w="2161" w:type="dxa"/>
            <w:tcBorders>
              <w:top w:val="single" w:color="auto" w:sz="4" w:space="0"/>
              <w:left w:val="single" w:color="auto" w:sz="4" w:space="0"/>
              <w:right w:val="single" w:color="auto" w:sz="4" w:space="0"/>
            </w:tcBorders>
            <w:vAlign w:val="center"/>
          </w:tcPr>
          <w:p>
            <w:pPr>
              <w:spacing w:line="500" w:lineRule="exact"/>
              <w:jc w:val="center"/>
              <w:rPr>
                <w:rFonts w:cs="宋体" w:asciiTheme="minorEastAsia" w:hAnsiTheme="minorEastAsia"/>
                <w:color w:val="FF0000"/>
                <w:kern w:val="0"/>
                <w:sz w:val="24"/>
              </w:rPr>
            </w:pPr>
            <w:r>
              <w:rPr>
                <w:rFonts w:hint="eastAsia" w:cs="宋体" w:asciiTheme="minorEastAsia" w:hAnsiTheme="minorEastAsia"/>
                <w:kern w:val="0"/>
                <w:sz w:val="24"/>
              </w:rPr>
              <w:t>总报价</w:t>
            </w:r>
          </w:p>
        </w:tc>
        <w:tc>
          <w:tcPr>
            <w:tcW w:w="6996" w:type="dxa"/>
            <w:tcBorders>
              <w:top w:val="single" w:color="auto" w:sz="4" w:space="0"/>
              <w:left w:val="single" w:color="auto" w:sz="4" w:space="0"/>
              <w:right w:val="single" w:color="auto" w:sz="4" w:space="0"/>
            </w:tcBorders>
            <w:vAlign w:val="center"/>
          </w:tcPr>
          <w:p>
            <w:pPr>
              <w:widowControl/>
              <w:spacing w:line="500" w:lineRule="exact"/>
              <w:rPr>
                <w:rFonts w:cs="宋体" w:asciiTheme="minorEastAsia" w:hAnsiTheme="minorEastAsia"/>
                <w:kern w:val="0"/>
                <w:sz w:val="24"/>
                <w:u w:val="single"/>
              </w:rPr>
            </w:pPr>
            <w:r>
              <w:rPr>
                <w:rFonts w:hint="eastAsia" w:cs="宋体" w:asciiTheme="minorEastAsia" w:hAnsiTheme="minorEastAsia"/>
                <w:kern w:val="0"/>
                <w:sz w:val="24"/>
              </w:rPr>
              <w:t>大写：</w:t>
            </w:r>
            <w:r>
              <w:rPr>
                <w:rFonts w:hint="eastAsia" w:cs="宋体" w:asciiTheme="minorEastAsia" w:hAnsiTheme="minorEastAsia"/>
                <w:kern w:val="0"/>
                <w:sz w:val="24"/>
                <w:u w:val="single"/>
              </w:rPr>
              <w:t xml:space="preserve">人民币                     </w:t>
            </w:r>
            <w:r>
              <w:rPr>
                <w:rFonts w:hint="eastAsia" w:cs="宋体" w:asciiTheme="minorEastAsia" w:hAnsiTheme="minorEastAsia"/>
                <w:kern w:val="0"/>
                <w:sz w:val="24"/>
                <w:u w:val="single"/>
                <w:lang w:val="en-US" w:eastAsia="zh-CN"/>
              </w:rPr>
              <w:t xml:space="preserve"> </w:t>
            </w:r>
            <w:r>
              <w:rPr>
                <w:rFonts w:hint="eastAsia" w:cs="宋体" w:asciiTheme="minorEastAsia" w:hAnsiTheme="minorEastAsia"/>
                <w:kern w:val="0"/>
                <w:sz w:val="24"/>
                <w:u w:val="single"/>
              </w:rPr>
              <w:t xml:space="preserve">     ；</w:t>
            </w:r>
          </w:p>
          <w:p>
            <w:pPr>
              <w:spacing w:line="500" w:lineRule="exact"/>
              <w:rPr>
                <w:rFonts w:cs="宋体" w:asciiTheme="minorEastAsia" w:hAnsiTheme="minorEastAsia"/>
                <w:kern w:val="0"/>
                <w:sz w:val="24"/>
              </w:rPr>
            </w:pPr>
            <w:r>
              <w:rPr>
                <w:rFonts w:hint="eastAsia" w:cs="宋体" w:asciiTheme="minorEastAsia" w:hAnsiTheme="minorEastAsia"/>
                <w:kern w:val="0"/>
                <w:sz w:val="24"/>
              </w:rPr>
              <w:t>小写：￥</w:t>
            </w:r>
            <w:r>
              <w:rPr>
                <w:rFonts w:hint="eastAsia" w:cs="宋体" w:asciiTheme="minorEastAsia" w:hAnsiTheme="minorEastAsia"/>
                <w:kern w:val="0"/>
                <w:sz w:val="24"/>
                <w:u w:val="single"/>
              </w:rPr>
              <w:t xml:space="preserve">                          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5" w:hRule="atLeast"/>
          <w:jc w:val="center"/>
        </w:trPr>
        <w:tc>
          <w:tcPr>
            <w:tcW w:w="598"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inorEastAsia" w:hAnsiTheme="minorEastAsia"/>
                <w:kern w:val="0"/>
                <w:sz w:val="24"/>
              </w:rPr>
            </w:pPr>
            <w:r>
              <w:rPr>
                <w:rFonts w:hint="eastAsia" w:cs="宋体" w:asciiTheme="minorEastAsia" w:hAnsiTheme="minorEastAsia"/>
                <w:kern w:val="0"/>
                <w:sz w:val="24"/>
              </w:rPr>
              <w:t>2</w:t>
            </w:r>
          </w:p>
        </w:tc>
        <w:tc>
          <w:tcPr>
            <w:tcW w:w="2161" w:type="dxa"/>
            <w:tcBorders>
              <w:top w:val="single" w:color="auto" w:sz="4" w:space="0"/>
              <w:left w:val="single" w:color="auto" w:sz="4" w:space="0"/>
              <w:right w:val="single" w:color="auto" w:sz="4" w:space="0"/>
            </w:tcBorders>
            <w:vAlign w:val="center"/>
          </w:tcPr>
          <w:p>
            <w:pPr>
              <w:spacing w:line="500" w:lineRule="exact"/>
              <w:jc w:val="center"/>
              <w:rPr>
                <w:rFonts w:cs="宋体" w:asciiTheme="minorEastAsia" w:hAnsiTheme="minorEastAsia"/>
                <w:kern w:val="0"/>
                <w:sz w:val="24"/>
              </w:rPr>
            </w:pPr>
            <w:r>
              <w:rPr>
                <w:rFonts w:hint="eastAsia" w:cs="Times New Roman" w:asciiTheme="minorEastAsia" w:hAnsiTheme="minorEastAsia"/>
                <w:kern w:val="28"/>
                <w:sz w:val="24"/>
                <w:lang w:val="eu-ES"/>
              </w:rPr>
              <w:t>备 注</w:t>
            </w:r>
          </w:p>
        </w:tc>
        <w:tc>
          <w:tcPr>
            <w:tcW w:w="6996" w:type="dxa"/>
            <w:tcBorders>
              <w:top w:val="single" w:color="auto" w:sz="4" w:space="0"/>
              <w:left w:val="single" w:color="auto" w:sz="4" w:space="0"/>
              <w:right w:val="single" w:color="auto" w:sz="4" w:space="0"/>
            </w:tcBorders>
            <w:vAlign w:val="center"/>
          </w:tcPr>
          <w:p>
            <w:pPr>
              <w:widowControl/>
              <w:spacing w:line="500" w:lineRule="exact"/>
              <w:rPr>
                <w:rFonts w:hint="eastAsia" w:cs="宋体" w:asciiTheme="minorEastAsia" w:hAnsiTheme="minorEastAsia" w:eastAsiaTheme="minorEastAsia"/>
                <w:b/>
                <w:kern w:val="0"/>
                <w:sz w:val="24"/>
                <w:lang w:eastAsia="zh-CN"/>
              </w:rPr>
            </w:pPr>
            <w:r>
              <w:rPr>
                <w:rFonts w:hint="eastAsia" w:ascii="宋体" w:hAnsi="宋体" w:cs="宋体"/>
                <w:b/>
                <w:kern w:val="0"/>
                <w:sz w:val="24"/>
              </w:rPr>
              <w:t>注：投标总报价不得高于项目概算（人</w:t>
            </w:r>
            <w:r>
              <w:rPr>
                <w:rFonts w:hint="eastAsia" w:ascii="宋体" w:hAnsi="宋体" w:cs="宋体"/>
                <w:b/>
                <w:color w:val="000000" w:themeColor="text1"/>
                <w:kern w:val="0"/>
                <w:sz w:val="24"/>
                <w14:textFill>
                  <w14:solidFill>
                    <w14:schemeClr w14:val="tx1"/>
                  </w14:solidFill>
                </w14:textFill>
              </w:rPr>
              <w:t>民币</w:t>
            </w:r>
            <w:r>
              <w:rPr>
                <w:rFonts w:hint="eastAsia" w:ascii="宋体" w:hAnsi="宋体" w:cs="宋体"/>
                <w:b/>
                <w:color w:val="000000" w:themeColor="text1"/>
                <w:kern w:val="0"/>
                <w:sz w:val="24"/>
                <w:lang w:val="en-US" w:eastAsia="zh-CN"/>
                <w14:textFill>
                  <w14:solidFill>
                    <w14:schemeClr w14:val="tx1"/>
                  </w14:solidFill>
                </w14:textFill>
              </w:rPr>
              <w:t>19000</w:t>
            </w:r>
            <w:r>
              <w:rPr>
                <w:rFonts w:hint="eastAsia" w:ascii="宋体" w:hAnsi="宋体" w:cs="宋体"/>
                <w:b/>
                <w:color w:val="000000" w:themeColor="text1"/>
                <w:kern w:val="0"/>
                <w:sz w:val="24"/>
                <w14:textFill>
                  <w14:solidFill>
                    <w14:schemeClr w14:val="tx1"/>
                  </w14:solidFill>
                </w14:textFill>
              </w:rPr>
              <w:t>元）</w:t>
            </w:r>
            <w:r>
              <w:rPr>
                <w:rFonts w:hint="eastAsia" w:ascii="宋体" w:hAnsi="宋体" w:cs="宋体"/>
                <w:b/>
                <w:color w:val="0000FF"/>
                <w:kern w:val="0"/>
                <w:sz w:val="24"/>
              </w:rPr>
              <w:t>，</w:t>
            </w:r>
            <w:r>
              <w:rPr>
                <w:rFonts w:hint="eastAsia" w:ascii="宋体" w:hAnsi="宋体" w:cs="宋体"/>
                <w:b/>
                <w:kern w:val="0"/>
                <w:sz w:val="24"/>
              </w:rPr>
              <w:t>否则视为废标。</w:t>
            </w:r>
          </w:p>
        </w:tc>
      </w:tr>
    </w:tbl>
    <w:p>
      <w:pPr>
        <w:widowControl/>
        <w:spacing w:line="800" w:lineRule="exact"/>
        <w:jc w:val="left"/>
        <w:rPr>
          <w:rFonts w:ascii="宋体" w:hAnsi="宋体" w:eastAsia="宋体" w:cs="宋体"/>
          <w:b/>
          <w:kern w:val="0"/>
          <w:sz w:val="24"/>
        </w:rPr>
      </w:pPr>
    </w:p>
    <w:p>
      <w:pPr>
        <w:widowControl/>
        <w:spacing w:line="800" w:lineRule="exact"/>
        <w:jc w:val="left"/>
        <w:rPr>
          <w:rFonts w:ascii="宋体" w:hAnsi="宋体" w:eastAsia="宋体" w:cs="宋体"/>
          <w:b/>
          <w:kern w:val="0"/>
          <w:sz w:val="24"/>
        </w:rPr>
      </w:pPr>
      <w:r>
        <w:rPr>
          <w:rFonts w:hint="eastAsia" w:ascii="宋体" w:hAnsi="宋体" w:eastAsia="宋体" w:cs="宋体"/>
          <w:b/>
          <w:kern w:val="0"/>
          <w:sz w:val="24"/>
        </w:rPr>
        <w:t>投标人（签章）：                                授权代表（签字）：</w:t>
      </w:r>
    </w:p>
    <w:p>
      <w:pPr>
        <w:widowControl/>
        <w:spacing w:line="800" w:lineRule="exact"/>
        <w:jc w:val="left"/>
        <w:rPr>
          <w:rFonts w:ascii="宋体" w:hAnsi="宋体" w:eastAsia="宋体" w:cs="宋体"/>
          <w:b/>
          <w:kern w:val="0"/>
          <w:sz w:val="24"/>
        </w:rPr>
      </w:pPr>
    </w:p>
    <w:p>
      <w:pPr>
        <w:widowControl/>
        <w:spacing w:line="800" w:lineRule="exact"/>
        <w:jc w:val="left"/>
        <w:rPr>
          <w:rFonts w:ascii="宋体" w:hAnsi="宋体" w:eastAsia="宋体" w:cs="宋体"/>
          <w:b/>
          <w:kern w:val="0"/>
          <w:sz w:val="24"/>
        </w:rPr>
      </w:pPr>
      <w:r>
        <w:rPr>
          <w:rFonts w:hint="eastAsia" w:ascii="宋体" w:hAnsi="宋体" w:eastAsia="宋体" w:cs="宋体"/>
          <w:b/>
          <w:kern w:val="0"/>
          <w:sz w:val="24"/>
        </w:rPr>
        <w:t>联系方式：                                      二〇</w:t>
      </w:r>
      <w:r>
        <w:rPr>
          <w:rFonts w:hint="eastAsia" w:ascii="宋体" w:hAnsi="宋体" w:eastAsia="宋体" w:cs="宋体"/>
          <w:b/>
          <w:kern w:val="0"/>
          <w:sz w:val="24"/>
          <w:lang w:eastAsia="zh-CN"/>
        </w:rPr>
        <w:t>二三</w:t>
      </w:r>
      <w:r>
        <w:rPr>
          <w:rFonts w:hint="eastAsia" w:ascii="宋体" w:hAnsi="宋体" w:eastAsia="宋体" w:cs="宋体"/>
          <w:b/>
          <w:kern w:val="0"/>
          <w:sz w:val="24"/>
        </w:rPr>
        <w:t>年</w:t>
      </w:r>
      <w:r>
        <w:rPr>
          <w:rFonts w:hint="eastAsia" w:ascii="宋体" w:hAnsi="宋体" w:eastAsia="宋体" w:cs="宋体"/>
          <w:b/>
          <w:kern w:val="0"/>
          <w:sz w:val="24"/>
          <w:u w:val="single"/>
        </w:rPr>
        <w:t xml:space="preserve">   </w:t>
      </w:r>
      <w:r>
        <w:rPr>
          <w:rFonts w:hint="eastAsia" w:ascii="宋体" w:hAnsi="宋体" w:eastAsia="宋体" w:cs="宋体"/>
          <w:b/>
          <w:kern w:val="0"/>
          <w:sz w:val="24"/>
        </w:rPr>
        <w:t>月</w:t>
      </w:r>
      <w:r>
        <w:rPr>
          <w:rFonts w:hint="eastAsia" w:ascii="宋体" w:hAnsi="宋体" w:eastAsia="宋体" w:cs="宋体"/>
          <w:b/>
          <w:kern w:val="0"/>
          <w:sz w:val="24"/>
          <w:u w:val="single"/>
        </w:rPr>
        <w:t xml:space="preserve">   </w:t>
      </w:r>
      <w:r>
        <w:rPr>
          <w:rFonts w:hint="eastAsia" w:ascii="宋体" w:hAnsi="宋体" w:eastAsia="宋体" w:cs="宋体"/>
          <w:b/>
          <w:kern w:val="0"/>
          <w:sz w:val="24"/>
        </w:rPr>
        <w:t>日</w:t>
      </w:r>
    </w:p>
    <w:p>
      <w:pPr>
        <w:widowControl/>
        <w:spacing w:line="440" w:lineRule="exact"/>
        <w:rPr>
          <w:rFonts w:ascii="宋体" w:hAnsi="宋体" w:eastAsia="宋体" w:cs="宋体"/>
          <w:b/>
          <w:kern w:val="0"/>
          <w:sz w:val="24"/>
        </w:rPr>
      </w:pPr>
    </w:p>
    <w:p>
      <w:pPr>
        <w:widowControl/>
        <w:spacing w:line="440" w:lineRule="exact"/>
        <w:rPr>
          <w:rFonts w:ascii="宋体" w:hAnsi="宋体" w:eastAsia="宋体" w:cs="Times New Roman"/>
          <w:b/>
          <w:sz w:val="24"/>
        </w:rPr>
      </w:pPr>
      <w:r>
        <w:rPr>
          <w:rFonts w:hint="eastAsia" w:ascii="宋体" w:hAnsi="宋体" w:eastAsia="宋体" w:cs="宋体"/>
          <w:b/>
          <w:kern w:val="0"/>
          <w:sz w:val="24"/>
        </w:rPr>
        <w:t>注：1.采购</w:t>
      </w:r>
      <w:r>
        <w:rPr>
          <w:rFonts w:hint="eastAsia" w:ascii="宋体" w:hAnsi="宋体" w:eastAsia="宋体" w:cs="Times New Roman"/>
          <w:b/>
          <w:sz w:val="24"/>
        </w:rPr>
        <w:t>人不建议报价人采用总价优惠或以总价百分比优惠的方式进行报价，其优惠须直接计算并体现在报价中。</w:t>
      </w:r>
    </w:p>
    <w:p>
      <w:pPr>
        <w:spacing w:line="440" w:lineRule="exact"/>
        <w:rPr>
          <w:rFonts w:ascii="宋体" w:hAnsi="宋体" w:eastAsia="宋体" w:cs="Times New Roman"/>
          <w:b/>
          <w:kern w:val="0"/>
          <w:sz w:val="24"/>
        </w:rPr>
      </w:pPr>
      <w:r>
        <w:rPr>
          <w:rFonts w:hint="eastAsia" w:ascii="宋体" w:hAnsi="宋体" w:eastAsia="宋体" w:cs="Times New Roman"/>
          <w:b/>
          <w:kern w:val="0"/>
          <w:sz w:val="24"/>
        </w:rPr>
        <w:t xml:space="preserve">    2.报价时须按照本文件要求提供完整的足以证明报价人资质和产品技术参数的资料，如相关资料提供不全视为无效报价。</w:t>
      </w:r>
    </w:p>
    <w:p>
      <w:pPr>
        <w:spacing w:line="360" w:lineRule="auto"/>
        <w:jc w:val="both"/>
        <w:rPr>
          <w:rFonts w:hint="eastAsia" w:ascii="宋体" w:hAnsi="宋体" w:eastAsia="宋体" w:cs="宋体"/>
          <w:b/>
          <w:sz w:val="24"/>
        </w:rPr>
      </w:pPr>
    </w:p>
    <w:p>
      <w:pPr>
        <w:spacing w:line="360" w:lineRule="auto"/>
        <w:jc w:val="center"/>
        <w:rPr>
          <w:rFonts w:hint="eastAsia" w:ascii="宋体" w:hAnsi="宋体" w:eastAsia="宋体" w:cs="宋体"/>
          <w:b/>
          <w:sz w:val="24"/>
        </w:rPr>
      </w:pPr>
    </w:p>
    <w:p>
      <w:pPr>
        <w:spacing w:line="360" w:lineRule="auto"/>
        <w:jc w:val="center"/>
        <w:rPr>
          <w:rFonts w:ascii="宋体" w:hAnsi="宋体" w:eastAsia="宋体" w:cs="宋体"/>
          <w:b/>
          <w:sz w:val="24"/>
        </w:rPr>
      </w:pPr>
      <w:r>
        <w:rPr>
          <w:rFonts w:hint="eastAsia" w:ascii="宋体" w:hAnsi="宋体" w:eastAsia="宋体" w:cs="宋体"/>
          <w:b/>
          <w:sz w:val="24"/>
        </w:rPr>
        <w:t>附件二、《合同模板》</w:t>
      </w:r>
    </w:p>
    <w:p>
      <w:pPr>
        <w:spacing w:line="360" w:lineRule="auto"/>
        <w:rPr>
          <w:rFonts w:ascii="宋体" w:hAnsi="宋体" w:eastAsia="宋体" w:cs="宋体"/>
          <w:sz w:val="24"/>
        </w:rPr>
      </w:pPr>
    </w:p>
    <w:p>
      <w:pPr>
        <w:widowControl/>
        <w:tabs>
          <w:tab w:val="center" w:pos="4568"/>
          <w:tab w:val="left" w:pos="7410"/>
          <w:tab w:val="right" w:pos="9136"/>
        </w:tabs>
        <w:autoSpaceDE w:val="0"/>
        <w:autoSpaceDN w:val="0"/>
        <w:spacing w:line="240" w:lineRule="exact"/>
        <w:jc w:val="center"/>
        <w:textAlignment w:val="bottom"/>
        <w:rPr>
          <w:rFonts w:hint="eastAsia" w:ascii="宋体" w:hAnsi="宋体" w:cs="宋体"/>
          <w:b/>
          <w:sz w:val="24"/>
        </w:rPr>
      </w:pPr>
    </w:p>
    <w:p>
      <w:pPr>
        <w:widowControl/>
        <w:jc w:val="center"/>
        <w:rPr>
          <w:rFonts w:ascii="Tahoma" w:hAnsi="Tahoma" w:cs="Tahoma"/>
          <w:kern w:val="0"/>
          <w:sz w:val="44"/>
          <w:szCs w:val="44"/>
        </w:rPr>
      </w:pPr>
      <w:r>
        <w:rPr>
          <w:rFonts w:hint="eastAsia" w:ascii="Tahoma" w:hAnsi="Tahoma" w:cs="Tahoma"/>
          <w:kern w:val="0"/>
          <w:sz w:val="44"/>
          <w:szCs w:val="44"/>
        </w:rPr>
        <w:t>安徽省</w:t>
      </w:r>
      <w:r>
        <w:fldChar w:fldCharType="begin"/>
      </w:r>
      <w:r>
        <w:instrText xml:space="preserve"> HYPERLINK "http://www.30otis.com" \t "_blank" </w:instrText>
      </w:r>
      <w:r>
        <w:fldChar w:fldCharType="separate"/>
      </w:r>
      <w:r>
        <w:rPr>
          <w:rFonts w:ascii="Tahoma" w:hAnsi="Tahoma" w:cs="Tahoma"/>
          <w:kern w:val="0"/>
          <w:sz w:val="44"/>
          <w:szCs w:val="44"/>
        </w:rPr>
        <w:t>电梯</w:t>
      </w:r>
      <w:r>
        <w:rPr>
          <w:rFonts w:ascii="Tahoma" w:hAnsi="Tahoma" w:cs="Tahoma"/>
          <w:kern w:val="0"/>
          <w:sz w:val="44"/>
          <w:szCs w:val="44"/>
        </w:rPr>
        <w:fldChar w:fldCharType="end"/>
      </w:r>
      <w:r>
        <w:rPr>
          <w:rFonts w:ascii="Tahoma" w:hAnsi="Tahoma" w:cs="Tahoma"/>
          <w:kern w:val="0"/>
          <w:sz w:val="44"/>
          <w:szCs w:val="44"/>
        </w:rPr>
        <w:t>维保合同</w:t>
      </w:r>
    </w:p>
    <w:p>
      <w:pPr>
        <w:widowControl/>
        <w:jc w:val="left"/>
        <w:rPr>
          <w:rFonts w:ascii="Tahoma" w:hAnsi="Tahoma" w:cs="Tahoma"/>
          <w:kern w:val="0"/>
          <w:sz w:val="44"/>
          <w:szCs w:val="44"/>
        </w:rPr>
      </w:pPr>
    </w:p>
    <w:p>
      <w:pPr>
        <w:widowControl/>
        <w:jc w:val="left"/>
        <w:rPr>
          <w:rFonts w:ascii="Tahoma" w:hAnsi="Tahoma" w:cs="Tahoma"/>
          <w:kern w:val="0"/>
          <w:sz w:val="44"/>
          <w:szCs w:val="44"/>
        </w:rPr>
      </w:pPr>
    </w:p>
    <w:p>
      <w:pPr>
        <w:widowControl/>
        <w:jc w:val="left"/>
        <w:rPr>
          <w:rFonts w:ascii="Tahoma" w:hAnsi="Tahoma" w:cs="Tahoma"/>
          <w:kern w:val="0"/>
          <w:sz w:val="44"/>
          <w:szCs w:val="44"/>
        </w:rPr>
      </w:pPr>
    </w:p>
    <w:p>
      <w:pPr>
        <w:widowControl/>
        <w:jc w:val="left"/>
        <w:rPr>
          <w:rFonts w:ascii="Tahoma" w:hAnsi="Tahoma" w:cs="Tahoma"/>
          <w:kern w:val="0"/>
          <w:sz w:val="44"/>
          <w:szCs w:val="44"/>
        </w:rPr>
      </w:pPr>
    </w:p>
    <w:p>
      <w:pPr>
        <w:widowControl/>
        <w:jc w:val="left"/>
        <w:rPr>
          <w:rFonts w:ascii="Tahoma" w:hAnsi="Tahoma" w:cs="Tahoma"/>
          <w:kern w:val="0"/>
          <w:sz w:val="44"/>
          <w:szCs w:val="44"/>
        </w:rPr>
      </w:pPr>
    </w:p>
    <w:p>
      <w:pPr>
        <w:widowControl/>
        <w:jc w:val="left"/>
        <w:rPr>
          <w:rFonts w:ascii="Tahoma" w:hAnsi="Tahoma" w:cs="Tahoma"/>
          <w:kern w:val="0"/>
          <w:sz w:val="44"/>
          <w:szCs w:val="44"/>
        </w:rPr>
      </w:pPr>
    </w:p>
    <w:p>
      <w:pPr>
        <w:widowControl/>
        <w:jc w:val="left"/>
        <w:rPr>
          <w:rFonts w:ascii="Tahoma" w:hAnsi="Tahoma" w:cs="Tahoma"/>
          <w:kern w:val="0"/>
          <w:sz w:val="44"/>
          <w:szCs w:val="44"/>
        </w:rPr>
      </w:pPr>
    </w:p>
    <w:p>
      <w:pPr>
        <w:widowControl/>
        <w:jc w:val="left"/>
        <w:rPr>
          <w:rFonts w:ascii="Tahoma" w:hAnsi="Tahoma" w:cs="Tahoma"/>
          <w:kern w:val="0"/>
          <w:sz w:val="44"/>
          <w:szCs w:val="44"/>
        </w:rPr>
      </w:pPr>
    </w:p>
    <w:p>
      <w:pPr>
        <w:widowControl/>
        <w:jc w:val="left"/>
        <w:rPr>
          <w:rFonts w:ascii="Tahoma" w:hAnsi="Tahoma" w:cs="Tahoma"/>
          <w:kern w:val="0"/>
          <w:sz w:val="44"/>
          <w:szCs w:val="44"/>
        </w:rPr>
      </w:pPr>
    </w:p>
    <w:p>
      <w:pPr>
        <w:widowControl/>
        <w:jc w:val="left"/>
        <w:rPr>
          <w:rFonts w:ascii="Tahoma" w:hAnsi="Tahoma" w:cs="Tahoma"/>
          <w:kern w:val="0"/>
          <w:sz w:val="44"/>
          <w:szCs w:val="44"/>
        </w:rPr>
      </w:pPr>
    </w:p>
    <w:p>
      <w:pPr>
        <w:widowControl/>
        <w:jc w:val="center"/>
        <w:rPr>
          <w:rFonts w:ascii="Tahoma" w:hAnsi="Tahoma" w:cs="Tahoma"/>
          <w:kern w:val="0"/>
          <w:sz w:val="32"/>
          <w:szCs w:val="32"/>
        </w:rPr>
      </w:pPr>
    </w:p>
    <w:p>
      <w:pPr>
        <w:widowControl/>
        <w:jc w:val="center"/>
        <w:rPr>
          <w:rFonts w:ascii="Tahoma" w:hAnsi="Tahoma" w:cs="Tahoma"/>
          <w:kern w:val="0"/>
          <w:sz w:val="32"/>
          <w:szCs w:val="32"/>
        </w:rPr>
      </w:pPr>
    </w:p>
    <w:p>
      <w:pPr>
        <w:widowControl/>
        <w:jc w:val="center"/>
        <w:rPr>
          <w:rFonts w:ascii="Tahoma" w:hAnsi="Tahoma" w:cs="Tahoma"/>
          <w:kern w:val="0"/>
          <w:sz w:val="32"/>
          <w:szCs w:val="32"/>
        </w:rPr>
      </w:pPr>
    </w:p>
    <w:p>
      <w:pPr>
        <w:widowControl/>
        <w:jc w:val="center"/>
        <w:rPr>
          <w:rFonts w:ascii="Tahoma" w:hAnsi="Tahoma" w:cs="Tahoma"/>
          <w:kern w:val="0"/>
          <w:sz w:val="32"/>
          <w:szCs w:val="32"/>
        </w:rPr>
      </w:pPr>
    </w:p>
    <w:p>
      <w:pPr>
        <w:widowControl/>
        <w:jc w:val="center"/>
        <w:rPr>
          <w:rFonts w:ascii="Tahoma" w:hAnsi="Tahoma" w:cs="Tahoma"/>
          <w:kern w:val="0"/>
          <w:sz w:val="32"/>
          <w:szCs w:val="32"/>
        </w:rPr>
      </w:pPr>
    </w:p>
    <w:p>
      <w:pPr>
        <w:widowControl/>
        <w:jc w:val="center"/>
        <w:rPr>
          <w:rFonts w:hint="eastAsia" w:ascii="Tahoma" w:hAnsi="Tahoma" w:cs="Tahoma"/>
          <w:kern w:val="0"/>
          <w:sz w:val="32"/>
          <w:szCs w:val="32"/>
        </w:rPr>
      </w:pPr>
    </w:p>
    <w:p>
      <w:pPr>
        <w:widowControl/>
        <w:jc w:val="center"/>
        <w:rPr>
          <w:rFonts w:hint="eastAsia" w:ascii="Tahoma" w:hAnsi="Tahoma" w:cs="Tahoma"/>
          <w:kern w:val="0"/>
          <w:sz w:val="32"/>
          <w:szCs w:val="32"/>
        </w:rPr>
      </w:pPr>
    </w:p>
    <w:p>
      <w:pPr>
        <w:widowControl/>
        <w:jc w:val="center"/>
        <w:rPr>
          <w:rFonts w:hint="eastAsia" w:ascii="Tahoma" w:hAnsi="Tahoma" w:cs="Tahoma"/>
          <w:kern w:val="0"/>
          <w:sz w:val="32"/>
          <w:szCs w:val="32"/>
        </w:rPr>
      </w:pPr>
    </w:p>
    <w:p>
      <w:pPr>
        <w:widowControl/>
        <w:jc w:val="center"/>
        <w:rPr>
          <w:rFonts w:hint="eastAsia" w:ascii="Tahoma" w:hAnsi="Tahoma" w:cs="Tahoma"/>
          <w:kern w:val="0"/>
          <w:sz w:val="32"/>
          <w:szCs w:val="32"/>
        </w:rPr>
      </w:pPr>
    </w:p>
    <w:p>
      <w:pPr>
        <w:widowControl/>
        <w:jc w:val="center"/>
        <w:rPr>
          <w:rFonts w:hint="eastAsia" w:ascii="Tahoma" w:hAnsi="Tahoma" w:cs="Tahoma"/>
          <w:kern w:val="0"/>
          <w:sz w:val="32"/>
          <w:szCs w:val="32"/>
        </w:rPr>
      </w:pPr>
    </w:p>
    <w:p>
      <w:pPr>
        <w:widowControl/>
        <w:jc w:val="center"/>
        <w:rPr>
          <w:rFonts w:ascii="Tahoma" w:hAnsi="Tahoma" w:cs="Tahoma"/>
          <w:kern w:val="0"/>
          <w:sz w:val="32"/>
          <w:szCs w:val="32"/>
        </w:rPr>
      </w:pPr>
    </w:p>
    <w:p>
      <w:pPr>
        <w:widowControl/>
        <w:jc w:val="center"/>
        <w:rPr>
          <w:rFonts w:ascii="Tahoma" w:hAnsi="Tahoma" w:cs="Tahoma"/>
          <w:kern w:val="0"/>
          <w:sz w:val="32"/>
          <w:szCs w:val="32"/>
        </w:rPr>
      </w:pPr>
      <w:r>
        <w:rPr>
          <w:rFonts w:hint="eastAsia" w:ascii="Tahoma" w:hAnsi="Tahoma" w:cs="Tahoma"/>
          <w:kern w:val="0"/>
          <w:sz w:val="32"/>
          <w:szCs w:val="32"/>
        </w:rPr>
        <w:t>安徽省质量技术监督局  安徽省工商行政管理局  制定</w:t>
      </w:r>
    </w:p>
    <w:p>
      <w:pPr>
        <w:widowControl/>
        <w:jc w:val="center"/>
        <w:rPr>
          <w:rFonts w:ascii="黑体" w:hAnsi="Tahoma" w:eastAsia="黑体" w:cs="Tahoma"/>
          <w:kern w:val="0"/>
          <w:sz w:val="44"/>
          <w:szCs w:val="44"/>
        </w:rPr>
      </w:pPr>
    </w:p>
    <w:p>
      <w:pPr>
        <w:spacing w:line="240" w:lineRule="exact"/>
        <w:jc w:val="center"/>
        <w:rPr>
          <w:rFonts w:hint="eastAsia" w:ascii="仿宋_GB2312" w:hAnsi="宋体" w:eastAsia="仿宋_GB2312" w:cs="宋体"/>
          <w:b/>
          <w:kern w:val="0"/>
          <w:sz w:val="32"/>
          <w:szCs w:val="32"/>
        </w:rPr>
      </w:pPr>
      <w:r>
        <w:rPr>
          <w:rFonts w:ascii="仿宋_GB2312" w:hAnsi="宋体" w:eastAsia="仿宋_GB2312" w:cs="宋体"/>
          <w:b/>
          <w:kern w:val="0"/>
          <w:sz w:val="32"/>
          <w:szCs w:val="32"/>
        </w:rPr>
        <w:br w:type="page"/>
      </w:r>
    </w:p>
    <w:p>
      <w:pPr>
        <w:spacing w:line="240" w:lineRule="exact"/>
        <w:jc w:val="center"/>
        <w:rPr>
          <w:rFonts w:hint="eastAsia" w:ascii="仿宋_GB2312" w:hAnsi="宋体" w:eastAsia="仿宋_GB2312" w:cs="宋体"/>
          <w:b/>
          <w:kern w:val="0"/>
          <w:sz w:val="32"/>
          <w:szCs w:val="32"/>
        </w:rPr>
      </w:pPr>
    </w:p>
    <w:p>
      <w:pPr>
        <w:widowControl/>
        <w:jc w:val="center"/>
        <w:rPr>
          <w:rFonts w:hint="eastAsia" w:ascii="黑体" w:hAnsi="Tahoma" w:eastAsia="黑体" w:cs="Tahoma"/>
          <w:kern w:val="0"/>
          <w:sz w:val="44"/>
          <w:szCs w:val="44"/>
        </w:rPr>
      </w:pPr>
      <w:r>
        <w:rPr>
          <w:rFonts w:hint="eastAsia" w:ascii="黑体" w:hAnsi="Tahoma" w:eastAsia="黑体" w:cs="Tahoma"/>
          <w:kern w:val="0"/>
          <w:sz w:val="44"/>
          <w:szCs w:val="44"/>
        </w:rPr>
        <w:t>说</w:t>
      </w:r>
      <w:r>
        <w:rPr>
          <w:rFonts w:hint="eastAsia" w:ascii="Tahoma" w:hAnsi="Tahoma" w:eastAsia="黑体" w:cs="Tahoma"/>
          <w:kern w:val="0"/>
          <w:sz w:val="44"/>
          <w:szCs w:val="44"/>
        </w:rPr>
        <w:t>  </w:t>
      </w:r>
      <w:r>
        <w:rPr>
          <w:rFonts w:hint="eastAsia" w:ascii="黑体" w:hAnsi="Tahoma" w:eastAsia="黑体" w:cs="Tahoma"/>
          <w:kern w:val="0"/>
          <w:sz w:val="44"/>
          <w:szCs w:val="44"/>
        </w:rPr>
        <w:t xml:space="preserve"> 明</w:t>
      </w:r>
    </w:p>
    <w:p>
      <w:pPr>
        <w:widowControl/>
        <w:jc w:val="center"/>
        <w:rPr>
          <w:rFonts w:hint="eastAsia" w:ascii="黑体" w:hAnsi="Tahoma" w:eastAsia="黑体" w:cs="Tahoma"/>
          <w:kern w:val="0"/>
          <w:sz w:val="44"/>
          <w:szCs w:val="44"/>
        </w:rPr>
      </w:pPr>
    </w:p>
    <w:p>
      <w:pPr>
        <w:widowControl/>
        <w:spacing w:line="600" w:lineRule="exact"/>
        <w:ind w:firstLine="560" w:firstLineChars="200"/>
        <w:jc w:val="left"/>
        <w:rPr>
          <w:rFonts w:hint="eastAsia" w:ascii="宋体" w:hAnsi="宋体" w:cs="Tahoma"/>
          <w:kern w:val="0"/>
          <w:sz w:val="28"/>
          <w:szCs w:val="28"/>
        </w:rPr>
      </w:pPr>
      <w:r>
        <w:rPr>
          <w:rFonts w:ascii="宋体" w:hAnsi="宋体" w:cs="Tahoma"/>
          <w:kern w:val="0"/>
          <w:sz w:val="28"/>
          <w:szCs w:val="28"/>
        </w:rPr>
        <w:t>1</w:t>
      </w:r>
      <w:r>
        <w:rPr>
          <w:rFonts w:hint="eastAsia" w:ascii="宋体" w:hAnsi="宋体" w:cs="Tahoma"/>
          <w:kern w:val="0"/>
          <w:sz w:val="28"/>
          <w:szCs w:val="28"/>
        </w:rPr>
        <w:t>.</w:t>
      </w:r>
      <w:r>
        <w:rPr>
          <w:rFonts w:ascii="宋体" w:hAnsi="宋体" w:cs="Tahoma"/>
          <w:kern w:val="0"/>
          <w:sz w:val="28"/>
          <w:szCs w:val="28"/>
        </w:rPr>
        <w:t>本合同为示范文本，推荐合同双方自愿选择使用，合同双方可在不违法律、法规和有关安全技术规范规定的前提下，对本合同的条款进行协商修改。</w:t>
      </w:r>
    </w:p>
    <w:p>
      <w:pPr>
        <w:widowControl/>
        <w:spacing w:line="600" w:lineRule="exact"/>
        <w:ind w:firstLine="560" w:firstLineChars="200"/>
        <w:jc w:val="left"/>
        <w:rPr>
          <w:rFonts w:hint="eastAsia" w:ascii="宋体" w:hAnsi="宋体" w:cs="Tahoma"/>
          <w:kern w:val="0"/>
          <w:sz w:val="28"/>
          <w:szCs w:val="28"/>
        </w:rPr>
      </w:pPr>
      <w:r>
        <w:rPr>
          <w:rFonts w:ascii="宋体" w:hAnsi="宋体" w:cs="Tahoma"/>
          <w:kern w:val="0"/>
          <w:sz w:val="28"/>
          <w:szCs w:val="28"/>
        </w:rPr>
        <w:t>2</w:t>
      </w:r>
      <w:r>
        <w:rPr>
          <w:rFonts w:hint="eastAsia" w:ascii="宋体" w:hAnsi="宋体" w:cs="Tahoma"/>
          <w:kern w:val="0"/>
          <w:sz w:val="28"/>
          <w:szCs w:val="28"/>
        </w:rPr>
        <w:t>.</w:t>
      </w:r>
      <w:r>
        <w:rPr>
          <w:rFonts w:ascii="宋体" w:hAnsi="宋体" w:cs="Tahoma"/>
          <w:kern w:val="0"/>
          <w:sz w:val="28"/>
          <w:szCs w:val="28"/>
        </w:rPr>
        <w:t>本合同所述</w:t>
      </w:r>
      <w:r>
        <w:rPr>
          <w:rFonts w:ascii="宋体" w:hAnsi="宋体" w:cs="Tahoma"/>
          <w:kern w:val="0"/>
          <w:sz w:val="28"/>
          <w:szCs w:val="28"/>
        </w:rPr>
        <w:fldChar w:fldCharType="begin"/>
      </w:r>
      <w:r>
        <w:rPr>
          <w:rFonts w:ascii="宋体" w:hAnsi="宋体" w:cs="Tahoma"/>
          <w:kern w:val="0"/>
          <w:sz w:val="28"/>
          <w:szCs w:val="28"/>
        </w:rPr>
        <w:instrText xml:space="preserve"> HYPERLINK "http://www.30otis.com" \t "_blank" </w:instrText>
      </w:r>
      <w:r>
        <w:rPr>
          <w:rFonts w:ascii="宋体" w:hAnsi="宋体" w:cs="Tahoma"/>
          <w:kern w:val="0"/>
          <w:sz w:val="28"/>
          <w:szCs w:val="28"/>
        </w:rPr>
        <w:fldChar w:fldCharType="separate"/>
      </w:r>
      <w:r>
        <w:rPr>
          <w:rFonts w:ascii="宋体" w:hAnsi="宋体" w:cs="Tahoma"/>
          <w:kern w:val="0"/>
          <w:sz w:val="28"/>
          <w:szCs w:val="28"/>
        </w:rPr>
        <w:t>电梯</w:t>
      </w:r>
      <w:r>
        <w:rPr>
          <w:rFonts w:ascii="宋体" w:hAnsi="宋体" w:cs="Tahoma"/>
          <w:kern w:val="0"/>
          <w:sz w:val="28"/>
          <w:szCs w:val="28"/>
        </w:rPr>
        <w:fldChar w:fldCharType="end"/>
      </w:r>
      <w:r>
        <w:rPr>
          <w:rFonts w:ascii="宋体" w:hAnsi="宋体" w:cs="Tahoma"/>
          <w:kern w:val="0"/>
          <w:sz w:val="28"/>
          <w:szCs w:val="28"/>
        </w:rPr>
        <w:t>包括乘客电梯、载货电梯、液压电梯、杂物电梯、自动扶梯与自动人行道。</w:t>
      </w:r>
    </w:p>
    <w:p>
      <w:pPr>
        <w:widowControl/>
        <w:spacing w:line="600" w:lineRule="exact"/>
        <w:ind w:firstLine="560" w:firstLineChars="200"/>
        <w:jc w:val="left"/>
        <w:rPr>
          <w:rFonts w:hint="eastAsia" w:ascii="宋体" w:hAnsi="宋体" w:cs="Tahoma"/>
          <w:kern w:val="0"/>
          <w:sz w:val="28"/>
          <w:szCs w:val="28"/>
        </w:rPr>
      </w:pPr>
      <w:r>
        <w:rPr>
          <w:rFonts w:hint="eastAsia" w:ascii="宋体" w:hAnsi="宋体" w:cs="Tahoma"/>
          <w:kern w:val="0"/>
          <w:sz w:val="28"/>
          <w:szCs w:val="28"/>
        </w:rPr>
        <w:t>3.使用单位，即电梯使用管理者，是指具有电梯管理权利和义务的单位或个人。</w:t>
      </w:r>
    </w:p>
    <w:p>
      <w:pPr>
        <w:widowControl/>
        <w:spacing w:line="600" w:lineRule="exact"/>
        <w:ind w:firstLine="560" w:firstLineChars="200"/>
        <w:jc w:val="left"/>
        <w:rPr>
          <w:rFonts w:hint="eastAsia" w:ascii="宋体" w:hAnsi="宋体" w:cs="Tahoma"/>
          <w:kern w:val="0"/>
          <w:sz w:val="28"/>
          <w:szCs w:val="28"/>
        </w:rPr>
      </w:pPr>
      <w:r>
        <w:rPr>
          <w:rFonts w:hint="eastAsia" w:ascii="宋体" w:hAnsi="宋体" w:cs="Tahoma"/>
          <w:kern w:val="0"/>
          <w:sz w:val="28"/>
          <w:szCs w:val="28"/>
        </w:rPr>
        <w:t>4.</w:t>
      </w:r>
      <w:r>
        <w:rPr>
          <w:rFonts w:ascii="宋体" w:hAnsi="宋体" w:cs="Tahoma"/>
          <w:kern w:val="0"/>
          <w:sz w:val="28"/>
          <w:szCs w:val="28"/>
        </w:rPr>
        <w:t>维保单位，是指取得相应电梯</w:t>
      </w:r>
      <w:r>
        <w:rPr>
          <w:rFonts w:hint="eastAsia" w:ascii="宋体" w:hAnsi="宋体" w:cs="Tahoma"/>
          <w:kern w:val="0"/>
          <w:sz w:val="28"/>
          <w:szCs w:val="28"/>
        </w:rPr>
        <w:t>维护保养资质</w:t>
      </w:r>
      <w:r>
        <w:rPr>
          <w:rFonts w:ascii="宋体" w:hAnsi="宋体" w:cs="Tahoma"/>
          <w:kern w:val="0"/>
          <w:sz w:val="28"/>
          <w:szCs w:val="28"/>
        </w:rPr>
        <w:t>，在本</w:t>
      </w:r>
      <w:r>
        <w:rPr>
          <w:rFonts w:hint="eastAsia" w:ascii="宋体" w:hAnsi="宋体" w:cs="Tahoma"/>
          <w:kern w:val="0"/>
          <w:sz w:val="28"/>
          <w:szCs w:val="28"/>
        </w:rPr>
        <w:t>地</w:t>
      </w:r>
      <w:r>
        <w:rPr>
          <w:rFonts w:ascii="宋体" w:hAnsi="宋体" w:cs="Tahoma"/>
          <w:kern w:val="0"/>
          <w:sz w:val="28"/>
          <w:szCs w:val="28"/>
        </w:rPr>
        <w:t>从事电梯维保</w:t>
      </w:r>
      <w:r>
        <w:rPr>
          <w:rFonts w:hint="eastAsia" w:ascii="宋体" w:hAnsi="宋体" w:cs="Tahoma"/>
          <w:kern w:val="0"/>
          <w:sz w:val="28"/>
          <w:szCs w:val="28"/>
        </w:rPr>
        <w:t>服务</w:t>
      </w:r>
      <w:r>
        <w:rPr>
          <w:rFonts w:ascii="宋体" w:hAnsi="宋体" w:cs="Tahoma"/>
          <w:kern w:val="0"/>
          <w:sz w:val="28"/>
          <w:szCs w:val="28"/>
        </w:rPr>
        <w:t>的单位。</w:t>
      </w:r>
    </w:p>
    <w:p>
      <w:pPr>
        <w:widowControl/>
        <w:spacing w:line="600" w:lineRule="exact"/>
        <w:ind w:firstLine="560" w:firstLineChars="200"/>
        <w:jc w:val="left"/>
        <w:rPr>
          <w:rFonts w:hint="eastAsia" w:ascii="宋体" w:hAnsi="宋体" w:cs="Tahoma"/>
          <w:kern w:val="0"/>
          <w:sz w:val="28"/>
          <w:szCs w:val="28"/>
        </w:rPr>
      </w:pPr>
      <w:r>
        <w:rPr>
          <w:rFonts w:hint="eastAsia" w:ascii="宋体" w:hAnsi="宋体" w:cs="Tahoma"/>
          <w:kern w:val="0"/>
          <w:sz w:val="28"/>
          <w:szCs w:val="28"/>
        </w:rPr>
        <w:t>5.</w:t>
      </w:r>
      <w:r>
        <w:rPr>
          <w:rFonts w:ascii="宋体" w:hAnsi="宋体" w:cs="Tahoma"/>
          <w:kern w:val="0"/>
          <w:sz w:val="28"/>
          <w:szCs w:val="28"/>
        </w:rPr>
        <w:t>日常维保，是指对电梯进行检查和清洁、润滑、调整、更换易损件等日常维护和保养性工作。（其中清洁、润滑不包括部件的解体，调整和更换易损件不应改变任何电梯性能参数。）</w:t>
      </w:r>
    </w:p>
    <w:p>
      <w:pPr>
        <w:widowControl/>
        <w:spacing w:line="600" w:lineRule="exact"/>
        <w:ind w:firstLine="560" w:firstLineChars="200"/>
        <w:jc w:val="left"/>
        <w:rPr>
          <w:rFonts w:hint="eastAsia" w:ascii="宋体" w:hAnsi="宋体" w:cs="Tahoma"/>
          <w:kern w:val="0"/>
          <w:sz w:val="28"/>
          <w:szCs w:val="28"/>
        </w:rPr>
      </w:pPr>
      <w:r>
        <w:rPr>
          <w:rFonts w:hint="eastAsia" w:ascii="宋体" w:hAnsi="宋体" w:cs="Tahoma"/>
          <w:kern w:val="0"/>
          <w:sz w:val="28"/>
          <w:szCs w:val="28"/>
        </w:rPr>
        <w:t>6.</w:t>
      </w:r>
      <w:r>
        <w:rPr>
          <w:rFonts w:ascii="宋体" w:hAnsi="宋体" w:cs="Tahoma"/>
          <w:kern w:val="0"/>
          <w:sz w:val="28"/>
          <w:szCs w:val="28"/>
        </w:rPr>
        <w:t>保养时间，是指每次完成保养项目所需的现场工作时间；不包括在现场维保时，发现电梯存在问题时需要通过增加维保项目（内容）予以解决的时间。</w:t>
      </w:r>
    </w:p>
    <w:p>
      <w:pPr>
        <w:widowControl/>
        <w:spacing w:line="600" w:lineRule="exact"/>
        <w:ind w:firstLine="560" w:firstLineChars="200"/>
        <w:jc w:val="left"/>
        <w:rPr>
          <w:rFonts w:hint="eastAsia" w:ascii="宋体" w:hAnsi="宋体" w:cs="Tahoma"/>
          <w:kern w:val="0"/>
          <w:sz w:val="28"/>
          <w:szCs w:val="28"/>
        </w:rPr>
      </w:pPr>
      <w:r>
        <w:rPr>
          <w:rFonts w:hint="eastAsia" w:ascii="宋体" w:hAnsi="宋体" w:cs="Tahoma"/>
          <w:kern w:val="0"/>
          <w:sz w:val="28"/>
          <w:szCs w:val="28"/>
        </w:rPr>
        <w:t>7.</w:t>
      </w:r>
      <w:r>
        <w:rPr>
          <w:rFonts w:ascii="宋体" w:hAnsi="宋体" w:cs="Tahoma"/>
          <w:kern w:val="0"/>
          <w:sz w:val="28"/>
          <w:szCs w:val="28"/>
        </w:rPr>
        <w:t>本合同不含电梯重大</w:t>
      </w:r>
      <w:r>
        <w:rPr>
          <w:rFonts w:hint="eastAsia" w:ascii="宋体" w:hAnsi="宋体" w:cs="Tahoma"/>
          <w:kern w:val="0"/>
          <w:sz w:val="28"/>
          <w:szCs w:val="28"/>
        </w:rPr>
        <w:t>修理</w:t>
      </w:r>
      <w:r>
        <w:rPr>
          <w:rFonts w:ascii="宋体" w:hAnsi="宋体" w:cs="Tahoma"/>
          <w:kern w:val="0"/>
          <w:sz w:val="28"/>
          <w:szCs w:val="28"/>
        </w:rPr>
        <w:t>、改造项目，如需重大</w:t>
      </w:r>
      <w:r>
        <w:rPr>
          <w:rFonts w:hint="eastAsia" w:ascii="宋体" w:hAnsi="宋体" w:cs="Tahoma"/>
          <w:kern w:val="0"/>
          <w:sz w:val="28"/>
          <w:szCs w:val="28"/>
        </w:rPr>
        <w:t>修理</w:t>
      </w:r>
      <w:r>
        <w:rPr>
          <w:rFonts w:ascii="宋体" w:hAnsi="宋体" w:cs="Tahoma"/>
          <w:kern w:val="0"/>
          <w:sz w:val="28"/>
          <w:szCs w:val="28"/>
        </w:rPr>
        <w:t>、改造，应另签合同或协议。（电梯的</w:t>
      </w:r>
      <w:r>
        <w:rPr>
          <w:rFonts w:hint="eastAsia" w:ascii="宋体" w:hAnsi="宋体" w:cs="Tahoma"/>
          <w:kern w:val="0"/>
          <w:sz w:val="28"/>
          <w:szCs w:val="28"/>
        </w:rPr>
        <w:t>修理</w:t>
      </w:r>
      <w:r>
        <w:rPr>
          <w:rFonts w:ascii="宋体" w:hAnsi="宋体" w:cs="Tahoma"/>
          <w:kern w:val="0"/>
          <w:sz w:val="28"/>
          <w:szCs w:val="28"/>
        </w:rPr>
        <w:t>、重大</w:t>
      </w:r>
      <w:r>
        <w:rPr>
          <w:rFonts w:hint="eastAsia" w:ascii="宋体" w:hAnsi="宋体" w:cs="Tahoma"/>
          <w:kern w:val="0"/>
          <w:sz w:val="28"/>
          <w:szCs w:val="28"/>
        </w:rPr>
        <w:t>修理</w:t>
      </w:r>
      <w:r>
        <w:rPr>
          <w:rFonts w:ascii="宋体" w:hAnsi="宋体" w:cs="Tahoma"/>
          <w:kern w:val="0"/>
          <w:sz w:val="28"/>
          <w:szCs w:val="28"/>
        </w:rPr>
        <w:t>、改造的定义详见：国务院特种设备</w:t>
      </w:r>
      <w:r>
        <w:rPr>
          <w:rFonts w:hint="eastAsia" w:ascii="宋体" w:hAnsi="宋体" w:cs="Tahoma"/>
          <w:kern w:val="0"/>
          <w:sz w:val="28"/>
          <w:szCs w:val="28"/>
        </w:rPr>
        <w:t>安全</w:t>
      </w:r>
      <w:r>
        <w:rPr>
          <w:rFonts w:ascii="宋体" w:hAnsi="宋体" w:cs="Tahoma"/>
          <w:kern w:val="0"/>
          <w:sz w:val="28"/>
          <w:szCs w:val="28"/>
        </w:rPr>
        <w:t>监督管理部门关于电梯施工类别划分的规定）。</w:t>
      </w:r>
    </w:p>
    <w:p>
      <w:pPr>
        <w:spacing w:line="240" w:lineRule="exact"/>
        <w:jc w:val="center"/>
        <w:rPr>
          <w:rFonts w:hint="eastAsia" w:ascii="仿宋_GB2312" w:hAnsi="宋体" w:eastAsia="仿宋_GB2312" w:cs="宋体"/>
          <w:b/>
          <w:kern w:val="0"/>
          <w:sz w:val="32"/>
          <w:szCs w:val="32"/>
        </w:rPr>
      </w:pPr>
    </w:p>
    <w:p>
      <w:pPr>
        <w:spacing w:line="240" w:lineRule="exact"/>
        <w:jc w:val="center"/>
        <w:rPr>
          <w:rFonts w:hint="eastAsia" w:ascii="仿宋_GB2312" w:hAnsi="宋体" w:eastAsia="仿宋_GB2312" w:cs="宋体"/>
          <w:b/>
          <w:kern w:val="0"/>
          <w:sz w:val="32"/>
          <w:szCs w:val="32"/>
        </w:rPr>
      </w:pPr>
    </w:p>
    <w:p>
      <w:pPr>
        <w:spacing w:line="240" w:lineRule="exact"/>
        <w:jc w:val="center"/>
        <w:rPr>
          <w:rFonts w:hint="eastAsia" w:ascii="仿宋_GB2312" w:hAnsi="宋体" w:eastAsia="仿宋_GB2312" w:cs="宋体"/>
          <w:b/>
          <w:kern w:val="0"/>
          <w:sz w:val="32"/>
          <w:szCs w:val="32"/>
        </w:rPr>
      </w:pPr>
    </w:p>
    <w:p>
      <w:pPr>
        <w:spacing w:line="240" w:lineRule="exact"/>
        <w:jc w:val="center"/>
        <w:rPr>
          <w:rFonts w:hint="eastAsia" w:ascii="仿宋_GB2312" w:hAnsi="宋体" w:eastAsia="仿宋_GB2312" w:cs="宋体"/>
          <w:b/>
          <w:kern w:val="0"/>
          <w:sz w:val="32"/>
          <w:szCs w:val="32"/>
        </w:rPr>
      </w:pPr>
    </w:p>
    <w:p>
      <w:pPr>
        <w:spacing w:line="240" w:lineRule="exact"/>
        <w:jc w:val="center"/>
        <w:rPr>
          <w:rFonts w:hint="eastAsia" w:ascii="仿宋_GB2312" w:hAnsi="宋体" w:eastAsia="仿宋_GB2312" w:cs="宋体"/>
          <w:b/>
          <w:kern w:val="0"/>
          <w:sz w:val="32"/>
          <w:szCs w:val="32"/>
        </w:rPr>
      </w:pPr>
    </w:p>
    <w:p>
      <w:pPr>
        <w:spacing w:line="240" w:lineRule="exact"/>
        <w:jc w:val="center"/>
        <w:rPr>
          <w:rFonts w:hint="eastAsia" w:ascii="仿宋_GB2312" w:hAnsi="宋体" w:eastAsia="仿宋_GB2312" w:cs="宋体"/>
          <w:b/>
          <w:kern w:val="0"/>
          <w:sz w:val="32"/>
          <w:szCs w:val="32"/>
        </w:rPr>
      </w:pPr>
    </w:p>
    <w:p>
      <w:pPr>
        <w:spacing w:line="240" w:lineRule="exact"/>
        <w:jc w:val="center"/>
        <w:rPr>
          <w:rFonts w:hint="eastAsia" w:ascii="仿宋_GB2312" w:hAnsi="宋体" w:eastAsia="仿宋_GB2312" w:cs="宋体"/>
          <w:b/>
          <w:kern w:val="0"/>
          <w:sz w:val="32"/>
          <w:szCs w:val="32"/>
        </w:rPr>
      </w:pPr>
    </w:p>
    <w:p>
      <w:pPr>
        <w:spacing w:line="240" w:lineRule="exact"/>
        <w:jc w:val="center"/>
        <w:rPr>
          <w:rFonts w:hint="eastAsia" w:ascii="仿宋_GB2312" w:hAnsi="宋体" w:eastAsia="仿宋_GB2312" w:cs="宋体"/>
          <w:b/>
          <w:kern w:val="0"/>
          <w:sz w:val="32"/>
          <w:szCs w:val="32"/>
        </w:rPr>
      </w:pPr>
    </w:p>
    <w:p>
      <w:pPr>
        <w:spacing w:line="240" w:lineRule="exact"/>
        <w:jc w:val="center"/>
        <w:rPr>
          <w:rFonts w:hint="eastAsia" w:ascii="仿宋_GB2312" w:hAnsi="宋体" w:eastAsia="仿宋_GB2312" w:cs="宋体"/>
          <w:b/>
          <w:kern w:val="0"/>
          <w:sz w:val="32"/>
          <w:szCs w:val="32"/>
        </w:rPr>
      </w:pPr>
    </w:p>
    <w:p>
      <w:pPr>
        <w:spacing w:line="240" w:lineRule="exact"/>
        <w:jc w:val="center"/>
        <w:rPr>
          <w:rFonts w:hint="eastAsia" w:ascii="仿宋_GB2312" w:hAnsi="宋体" w:eastAsia="仿宋_GB2312" w:cs="宋体"/>
          <w:b/>
          <w:kern w:val="0"/>
          <w:sz w:val="32"/>
          <w:szCs w:val="32"/>
        </w:rPr>
      </w:pPr>
    </w:p>
    <w:p>
      <w:pPr>
        <w:spacing w:line="240" w:lineRule="exact"/>
        <w:jc w:val="center"/>
        <w:rPr>
          <w:rFonts w:hint="eastAsia" w:ascii="仿宋_GB2312" w:hAnsi="宋体" w:eastAsia="仿宋_GB2312" w:cs="宋体"/>
          <w:b/>
          <w:kern w:val="0"/>
          <w:sz w:val="32"/>
          <w:szCs w:val="32"/>
        </w:rPr>
      </w:pPr>
    </w:p>
    <w:p>
      <w:pPr>
        <w:spacing w:line="360" w:lineRule="auto"/>
        <w:jc w:val="center"/>
        <w:rPr>
          <w:rStyle w:val="25"/>
          <w:rFonts w:ascii="宋体" w:hAnsi="宋体"/>
          <w:b/>
          <w:kern w:val="0"/>
          <w:sz w:val="32"/>
          <w:szCs w:val="32"/>
        </w:rPr>
      </w:pPr>
      <w:r>
        <w:rPr>
          <w:rStyle w:val="25"/>
          <w:rFonts w:ascii="宋体" w:hAnsi="宋体"/>
          <w:b/>
          <w:kern w:val="0"/>
          <w:sz w:val="32"/>
          <w:szCs w:val="32"/>
        </w:rPr>
        <w:t>安徽省电梯维护保养合同</w:t>
      </w:r>
    </w:p>
    <w:p>
      <w:pPr>
        <w:rPr>
          <w:rStyle w:val="25"/>
          <w:rFonts w:ascii="宋体" w:hAnsi="宋体"/>
          <w:b/>
          <w:kern w:val="0"/>
          <w:sz w:val="24"/>
        </w:rPr>
      </w:pPr>
    </w:p>
    <w:p>
      <w:pPr>
        <w:spacing w:line="360" w:lineRule="auto"/>
        <w:jc w:val="left"/>
        <w:rPr>
          <w:rFonts w:ascii="宋体" w:hAnsi="宋体" w:cs="宋体"/>
          <w:b/>
          <w:kern w:val="0"/>
          <w:sz w:val="24"/>
        </w:rPr>
      </w:pPr>
      <w:r>
        <w:rPr>
          <w:rFonts w:hint="eastAsia" w:ascii="宋体" w:hAnsi="宋体" w:cs="宋体"/>
          <w:b/>
          <w:kern w:val="0"/>
          <w:sz w:val="24"/>
        </w:rPr>
        <w:t xml:space="preserve">使用单位（甲方）  </w:t>
      </w:r>
      <w:r>
        <w:rPr>
          <w:rFonts w:hint="eastAsia" w:ascii="宋体" w:hAnsi="宋体" w:cs="宋体"/>
          <w:b/>
          <w:kern w:val="0"/>
          <w:sz w:val="24"/>
          <w:highlight w:val="none"/>
          <w:lang w:val="en-US" w:eastAsia="zh-CN"/>
        </w:rPr>
        <w:t>合肥百大合家悦菜市场管理有限责任公司</w:t>
      </w:r>
      <w:r>
        <w:rPr>
          <w:rFonts w:hint="eastAsia" w:ascii="宋体" w:hAnsi="宋体" w:cs="宋体"/>
          <w:b/>
          <w:kern w:val="0"/>
          <w:sz w:val="24"/>
        </w:rPr>
        <w:t xml:space="preserve">        </w:t>
      </w:r>
    </w:p>
    <w:p>
      <w:pPr>
        <w:spacing w:line="360" w:lineRule="auto"/>
        <w:jc w:val="left"/>
        <w:rPr>
          <w:rFonts w:ascii="宋体" w:hAnsi="宋体" w:cs="宋体"/>
          <w:kern w:val="0"/>
          <w:sz w:val="24"/>
          <w:u w:val="single"/>
        </w:rPr>
      </w:pPr>
      <w:r>
        <w:rPr>
          <w:rFonts w:hint="eastAsia" w:ascii="宋体" w:hAnsi="宋体" w:cs="宋体"/>
          <w:b/>
          <w:kern w:val="0"/>
          <w:sz w:val="24"/>
        </w:rPr>
        <w:t xml:space="preserve">维保单位（乙方）  </w:t>
      </w:r>
      <w:r>
        <w:rPr>
          <w:rFonts w:hint="eastAsia" w:ascii="宋体" w:hAnsi="宋体" w:cs="宋体"/>
          <w:b/>
          <w:kern w:val="0"/>
          <w:sz w:val="24"/>
          <w:u w:val="single"/>
          <w:lang w:val="en-US" w:eastAsia="zh-CN"/>
        </w:rPr>
        <w:t xml:space="preserve">                                    </w:t>
      </w:r>
      <w:r>
        <w:rPr>
          <w:rFonts w:hint="eastAsia" w:ascii="宋体" w:hAnsi="宋体" w:cs="宋体"/>
          <w:b/>
          <w:kern w:val="0"/>
          <w:sz w:val="24"/>
        </w:rPr>
        <w:t xml:space="preserve">                            </w:t>
      </w:r>
    </w:p>
    <w:p>
      <w:pPr>
        <w:spacing w:line="360" w:lineRule="auto"/>
        <w:ind w:firstLine="480" w:firstLineChars="200"/>
        <w:rPr>
          <w:rStyle w:val="25"/>
          <w:rFonts w:ascii="宋体" w:hAnsi="宋体"/>
          <w:b/>
          <w:kern w:val="0"/>
          <w:sz w:val="24"/>
        </w:rPr>
      </w:pPr>
      <w:r>
        <w:rPr>
          <w:rStyle w:val="25"/>
          <w:rFonts w:ascii="宋体" w:hAnsi="宋体"/>
          <w:kern w:val="0"/>
          <w:sz w:val="24"/>
        </w:rPr>
        <w:t>为贯彻“安全生产，预防为主”的方针，保障电梯安全运行，防止事故发生，依照《中华人民共和国合同法》、《中华人民共和国特种设备安全法》、《特种设备安全监察条例》、《电梯维护保养规则》（TSG T5002-2017）等规定，遵循平等、自愿、公平和诚实信用的原则，经甲乙双方协商订立本合同。</w:t>
      </w:r>
    </w:p>
    <w:p>
      <w:pPr>
        <w:spacing w:line="360" w:lineRule="auto"/>
        <w:ind w:firstLine="482" w:firstLineChars="200"/>
        <w:rPr>
          <w:rStyle w:val="25"/>
          <w:rFonts w:ascii="宋体" w:hAnsi="宋体"/>
          <w:kern w:val="0"/>
          <w:sz w:val="24"/>
        </w:rPr>
      </w:pPr>
      <w:r>
        <w:rPr>
          <w:rStyle w:val="25"/>
          <w:rFonts w:hint="eastAsia" w:ascii="宋体" w:hAnsi="宋体"/>
          <w:b/>
          <w:kern w:val="0"/>
          <w:sz w:val="24"/>
        </w:rPr>
        <w:t xml:space="preserve">第一条  </w:t>
      </w:r>
      <w:r>
        <w:rPr>
          <w:rFonts w:hint="eastAsia" w:ascii="宋体" w:hAnsi="宋体" w:cs="宋体"/>
          <w:kern w:val="0"/>
          <w:sz w:val="24"/>
        </w:rPr>
        <w:t>乙方为本合同附件一《电梯保养时间和保养费明细表》中列明的电梯提供维保和紧急救援服务。保养项目应覆盖《电梯使用管理与维护保养规则》规定的半月、季度、半年、年度保养项目，电梯制造单位技术文件所要求的特殊保养项目，及与电梯安全运行相关的其他项目。</w:t>
      </w:r>
    </w:p>
    <w:p>
      <w:pPr>
        <w:spacing w:line="360" w:lineRule="auto"/>
        <w:ind w:left="1" w:firstLine="479" w:firstLineChars="199"/>
        <w:rPr>
          <w:rFonts w:ascii="宋体" w:hAnsi="宋体" w:cs="宋体"/>
          <w:kern w:val="0"/>
          <w:sz w:val="24"/>
        </w:rPr>
      </w:pPr>
      <w:r>
        <w:rPr>
          <w:rStyle w:val="25"/>
          <w:rFonts w:ascii="宋体" w:hAnsi="宋体"/>
          <w:b/>
          <w:kern w:val="0"/>
          <w:sz w:val="24"/>
        </w:rPr>
        <w:t xml:space="preserve">第二条  </w:t>
      </w:r>
      <w:r>
        <w:rPr>
          <w:rStyle w:val="25"/>
          <w:rFonts w:ascii="宋体" w:hAnsi="宋体"/>
          <w:kern w:val="0"/>
          <w:sz w:val="24"/>
        </w:rPr>
        <w:t>乙方提供维护保养服务的方式：</w:t>
      </w:r>
    </w:p>
    <w:p>
      <w:pPr>
        <w:spacing w:line="360" w:lineRule="auto"/>
        <w:ind w:firstLine="480" w:firstLineChars="200"/>
        <w:rPr>
          <w:rFonts w:ascii="宋体" w:hAnsi="宋体" w:cs="宋体"/>
          <w:kern w:val="0"/>
          <w:sz w:val="24"/>
        </w:rPr>
      </w:pPr>
      <w:r>
        <w:rPr>
          <w:rFonts w:hint="eastAsia" w:ascii="宋体" w:hAnsi="宋体" w:cs="宋体"/>
          <w:kern w:val="0"/>
          <w:sz w:val="24"/>
        </w:rPr>
        <w:t>□清包：只提供维保所需工具和劳务，不提供任何免费电梯零部件；</w:t>
      </w:r>
    </w:p>
    <w:p>
      <w:pPr>
        <w:spacing w:line="360" w:lineRule="auto"/>
        <w:ind w:firstLine="480" w:firstLineChars="200"/>
        <w:rPr>
          <w:rFonts w:ascii="宋体" w:hAnsi="宋体" w:cs="宋体"/>
          <w:kern w:val="0"/>
          <w:sz w:val="24"/>
        </w:rPr>
      </w:pPr>
      <w:r>
        <w:rPr>
          <w:rFonts w:hint="eastAsia" w:ascii="宋体" w:hAnsi="宋体" w:cs="宋体"/>
          <w:kern w:val="0"/>
          <w:sz w:val="24"/>
        </w:rPr>
        <w:sym w:font="Wingdings" w:char="00FE"/>
      </w:r>
      <w:r>
        <w:rPr>
          <w:rFonts w:hint="eastAsia" w:ascii="宋体" w:hAnsi="宋体" w:cs="宋体"/>
          <w:kern w:val="0"/>
          <w:sz w:val="24"/>
        </w:rPr>
        <w:t>半包：提供维保所需工具和劳务，并免费提供单价在人民币</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rPr>
        <w:t>元以下（含本数）电梯零部件；</w:t>
      </w:r>
    </w:p>
    <w:p>
      <w:pPr>
        <w:spacing w:line="360" w:lineRule="auto"/>
        <w:ind w:firstLine="480" w:firstLineChars="200"/>
        <w:rPr>
          <w:rFonts w:ascii="宋体" w:hAnsi="宋体" w:cs="宋体"/>
          <w:kern w:val="0"/>
          <w:sz w:val="24"/>
        </w:rPr>
      </w:pPr>
      <w:r>
        <w:rPr>
          <w:rFonts w:hint="eastAsia" w:ascii="宋体" w:hAnsi="宋体" w:cs="宋体"/>
          <w:kern w:val="0"/>
          <w:sz w:val="24"/>
          <w:lang w:eastAsia="zh-CN"/>
        </w:rPr>
        <w:t>□</w:t>
      </w:r>
      <w:r>
        <w:rPr>
          <w:rFonts w:hint="eastAsia" w:ascii="宋体" w:hAnsi="宋体" w:cs="宋体"/>
          <w:kern w:val="0"/>
          <w:sz w:val="24"/>
        </w:rPr>
        <w:t>全包：提供维保所需工具和劳务，并免费提供大部分电梯零部件。</w:t>
      </w:r>
    </w:p>
    <w:p>
      <w:pPr>
        <w:spacing w:line="360" w:lineRule="auto"/>
        <w:ind w:firstLine="480" w:firstLineChars="200"/>
        <w:rPr>
          <w:rStyle w:val="25"/>
          <w:rFonts w:ascii="宋体" w:hAnsi="宋体"/>
          <w:sz w:val="24"/>
        </w:rPr>
      </w:pPr>
      <w:r>
        <w:rPr>
          <w:rFonts w:hint="eastAsia" w:ascii="宋体" w:hAnsi="宋体" w:cs="宋体"/>
          <w:kern w:val="0"/>
          <w:sz w:val="24"/>
        </w:rPr>
        <w:t>服务方式为清包或半包的，乙方应提供本合同电梯设备保养和维修所需零部件的价格和人工费用明细表，经甲方确认后作为合同附件并附设备保养和维修所需零部件的价格表；全包的，应在本合同中列明哪些部件和维修工作的费用需甲方另行支付。</w:t>
      </w:r>
    </w:p>
    <w:p>
      <w:pPr>
        <w:spacing w:line="360" w:lineRule="auto"/>
        <w:ind w:left="1" w:firstLine="479" w:firstLineChars="199"/>
        <w:rPr>
          <w:rStyle w:val="25"/>
          <w:rFonts w:ascii="宋体" w:hAnsi="宋体"/>
          <w:kern w:val="0"/>
          <w:sz w:val="24"/>
        </w:rPr>
      </w:pPr>
      <w:r>
        <w:rPr>
          <w:rStyle w:val="25"/>
          <w:rFonts w:ascii="宋体" w:hAnsi="宋体"/>
          <w:b/>
          <w:kern w:val="0"/>
          <w:sz w:val="24"/>
        </w:rPr>
        <w:t xml:space="preserve">第三条  </w:t>
      </w:r>
      <w:r>
        <w:rPr>
          <w:rStyle w:val="25"/>
          <w:rFonts w:ascii="宋体" w:hAnsi="宋体"/>
          <w:kern w:val="0"/>
          <w:sz w:val="24"/>
        </w:rPr>
        <w:t>维护保养期限</w:t>
      </w:r>
    </w:p>
    <w:p>
      <w:pPr>
        <w:spacing w:line="360" w:lineRule="auto"/>
        <w:ind w:firstLine="480" w:firstLineChars="200"/>
        <w:rPr>
          <w:rStyle w:val="25"/>
          <w:rFonts w:ascii="宋体" w:hAnsi="宋体"/>
          <w:b/>
          <w:kern w:val="0"/>
          <w:sz w:val="24"/>
        </w:rPr>
      </w:pPr>
      <w:r>
        <w:rPr>
          <w:rStyle w:val="25"/>
          <w:rFonts w:ascii="宋体" w:hAnsi="宋体"/>
          <w:kern w:val="0"/>
          <w:sz w:val="24"/>
        </w:rPr>
        <w:t>本合同约定维护保养期限自</w:t>
      </w:r>
      <w:r>
        <w:rPr>
          <w:rStyle w:val="25"/>
          <w:rFonts w:ascii="宋体" w:hAnsi="宋体"/>
          <w:kern w:val="0"/>
          <w:sz w:val="24"/>
          <w:highlight w:val="none"/>
          <w:u w:val="single"/>
        </w:rPr>
        <w:t xml:space="preserve"> </w:t>
      </w:r>
      <w:r>
        <w:rPr>
          <w:rStyle w:val="25"/>
          <w:rFonts w:hint="eastAsia" w:ascii="宋体" w:hAnsi="宋体"/>
          <w:kern w:val="0"/>
          <w:sz w:val="24"/>
          <w:highlight w:val="none"/>
          <w:u w:val="single"/>
          <w:lang w:val="en-US" w:eastAsia="zh-CN"/>
        </w:rPr>
        <w:t>2023</w:t>
      </w:r>
      <w:r>
        <w:rPr>
          <w:rStyle w:val="25"/>
          <w:rFonts w:hint="eastAsia" w:ascii="宋体" w:hAnsi="宋体"/>
          <w:kern w:val="0"/>
          <w:sz w:val="24"/>
          <w:highlight w:val="none"/>
          <w:u w:val="single"/>
        </w:rPr>
        <w:t xml:space="preserve"> </w:t>
      </w:r>
      <w:r>
        <w:rPr>
          <w:rStyle w:val="25"/>
          <w:rFonts w:ascii="宋体" w:hAnsi="宋体"/>
          <w:kern w:val="0"/>
          <w:sz w:val="24"/>
          <w:highlight w:val="none"/>
        </w:rPr>
        <w:t>年</w:t>
      </w:r>
      <w:r>
        <w:rPr>
          <w:rStyle w:val="25"/>
          <w:rFonts w:ascii="宋体" w:hAnsi="宋体"/>
          <w:kern w:val="0"/>
          <w:sz w:val="24"/>
          <w:highlight w:val="none"/>
          <w:u w:val="single"/>
        </w:rPr>
        <w:t xml:space="preserve"> </w:t>
      </w:r>
      <w:r>
        <w:rPr>
          <w:rStyle w:val="25"/>
          <w:rFonts w:hint="eastAsia" w:ascii="宋体" w:hAnsi="宋体"/>
          <w:kern w:val="0"/>
          <w:sz w:val="24"/>
          <w:highlight w:val="none"/>
          <w:u w:val="single"/>
          <w:lang w:val="en-US" w:eastAsia="zh-CN"/>
        </w:rPr>
        <w:t>5</w:t>
      </w:r>
      <w:r>
        <w:rPr>
          <w:rStyle w:val="25"/>
          <w:rFonts w:ascii="宋体" w:hAnsi="宋体"/>
          <w:kern w:val="0"/>
          <w:sz w:val="24"/>
          <w:highlight w:val="none"/>
          <w:u w:val="single"/>
        </w:rPr>
        <w:t xml:space="preserve"> </w:t>
      </w:r>
      <w:r>
        <w:rPr>
          <w:rStyle w:val="25"/>
          <w:rFonts w:ascii="宋体" w:hAnsi="宋体"/>
          <w:kern w:val="0"/>
          <w:sz w:val="24"/>
          <w:highlight w:val="none"/>
        </w:rPr>
        <w:t>月</w:t>
      </w:r>
      <w:r>
        <w:rPr>
          <w:rStyle w:val="25"/>
          <w:rFonts w:hint="eastAsia" w:ascii="宋体" w:hAnsi="宋体"/>
          <w:kern w:val="0"/>
          <w:sz w:val="24"/>
          <w:highlight w:val="none"/>
          <w:u w:val="single"/>
        </w:rPr>
        <w:t xml:space="preserve"> </w:t>
      </w:r>
      <w:r>
        <w:rPr>
          <w:rStyle w:val="25"/>
          <w:rFonts w:hint="eastAsia" w:ascii="宋体" w:hAnsi="宋体"/>
          <w:kern w:val="0"/>
          <w:sz w:val="24"/>
          <w:highlight w:val="none"/>
          <w:u w:val="single"/>
          <w:lang w:val="en-US" w:eastAsia="zh-CN"/>
        </w:rPr>
        <w:t>1</w:t>
      </w:r>
      <w:r>
        <w:rPr>
          <w:rStyle w:val="25"/>
          <w:rFonts w:hint="eastAsia" w:ascii="宋体" w:hAnsi="宋体"/>
          <w:kern w:val="0"/>
          <w:sz w:val="24"/>
          <w:highlight w:val="none"/>
          <w:u w:val="single"/>
        </w:rPr>
        <w:t xml:space="preserve"> </w:t>
      </w:r>
      <w:r>
        <w:rPr>
          <w:rStyle w:val="25"/>
          <w:rFonts w:ascii="宋体" w:hAnsi="宋体"/>
          <w:kern w:val="0"/>
          <w:sz w:val="24"/>
          <w:highlight w:val="none"/>
        </w:rPr>
        <w:t>日起至</w:t>
      </w:r>
      <w:r>
        <w:rPr>
          <w:rStyle w:val="25"/>
          <w:rFonts w:ascii="宋体" w:hAnsi="宋体"/>
          <w:kern w:val="0"/>
          <w:sz w:val="24"/>
          <w:highlight w:val="none"/>
          <w:u w:val="single"/>
        </w:rPr>
        <w:t xml:space="preserve"> </w:t>
      </w:r>
      <w:r>
        <w:rPr>
          <w:rStyle w:val="25"/>
          <w:rFonts w:hint="eastAsia" w:ascii="宋体" w:hAnsi="宋体"/>
          <w:kern w:val="0"/>
          <w:sz w:val="24"/>
          <w:highlight w:val="none"/>
          <w:u w:val="single"/>
          <w:lang w:val="en-US" w:eastAsia="zh-CN"/>
        </w:rPr>
        <w:t>2024</w:t>
      </w:r>
      <w:r>
        <w:rPr>
          <w:rStyle w:val="25"/>
          <w:rFonts w:hint="eastAsia" w:ascii="宋体" w:hAnsi="宋体"/>
          <w:kern w:val="0"/>
          <w:sz w:val="24"/>
          <w:highlight w:val="none"/>
          <w:u w:val="single"/>
        </w:rPr>
        <w:t xml:space="preserve"> </w:t>
      </w:r>
      <w:r>
        <w:rPr>
          <w:rStyle w:val="25"/>
          <w:rFonts w:ascii="宋体" w:hAnsi="宋体"/>
          <w:kern w:val="0"/>
          <w:sz w:val="24"/>
          <w:highlight w:val="none"/>
        </w:rPr>
        <w:t>年</w:t>
      </w:r>
      <w:r>
        <w:rPr>
          <w:rStyle w:val="25"/>
          <w:rFonts w:hint="eastAsia" w:ascii="宋体" w:hAnsi="宋体"/>
          <w:kern w:val="0"/>
          <w:sz w:val="24"/>
          <w:highlight w:val="none"/>
          <w:u w:val="single"/>
        </w:rPr>
        <w:t xml:space="preserve"> </w:t>
      </w:r>
      <w:r>
        <w:rPr>
          <w:rStyle w:val="25"/>
          <w:rFonts w:hint="eastAsia" w:ascii="宋体" w:hAnsi="宋体"/>
          <w:kern w:val="0"/>
          <w:sz w:val="24"/>
          <w:highlight w:val="none"/>
          <w:u w:val="single"/>
          <w:lang w:val="en-US" w:eastAsia="zh-CN"/>
        </w:rPr>
        <w:t xml:space="preserve">4 </w:t>
      </w:r>
      <w:r>
        <w:rPr>
          <w:rStyle w:val="25"/>
          <w:rFonts w:ascii="宋体" w:hAnsi="宋体"/>
          <w:kern w:val="0"/>
          <w:sz w:val="24"/>
          <w:highlight w:val="none"/>
        </w:rPr>
        <w:t>月</w:t>
      </w:r>
      <w:r>
        <w:rPr>
          <w:rStyle w:val="25"/>
          <w:rFonts w:ascii="宋体" w:hAnsi="宋体"/>
          <w:kern w:val="0"/>
          <w:sz w:val="24"/>
          <w:highlight w:val="none"/>
          <w:u w:val="single"/>
        </w:rPr>
        <w:t xml:space="preserve"> </w:t>
      </w:r>
      <w:r>
        <w:rPr>
          <w:rStyle w:val="25"/>
          <w:rFonts w:hint="eastAsia" w:ascii="宋体" w:hAnsi="宋体"/>
          <w:kern w:val="0"/>
          <w:sz w:val="24"/>
          <w:highlight w:val="none"/>
          <w:u w:val="single"/>
          <w:lang w:val="en-US" w:eastAsia="zh-CN"/>
        </w:rPr>
        <w:t>30</w:t>
      </w:r>
      <w:r>
        <w:rPr>
          <w:rStyle w:val="25"/>
          <w:rFonts w:ascii="宋体" w:hAnsi="宋体"/>
          <w:kern w:val="0"/>
          <w:sz w:val="24"/>
          <w:highlight w:val="none"/>
          <w:u w:val="single"/>
        </w:rPr>
        <w:t xml:space="preserve"> </w:t>
      </w:r>
      <w:r>
        <w:rPr>
          <w:rStyle w:val="25"/>
          <w:rFonts w:ascii="宋体" w:hAnsi="宋体"/>
          <w:kern w:val="0"/>
          <w:sz w:val="24"/>
          <w:highlight w:val="none"/>
        </w:rPr>
        <w:t>日</w:t>
      </w:r>
      <w:r>
        <w:rPr>
          <w:rStyle w:val="25"/>
          <w:rFonts w:ascii="宋体" w:hAnsi="宋体"/>
          <w:kern w:val="0"/>
          <w:sz w:val="24"/>
        </w:rPr>
        <w:t xml:space="preserve">止，期限届满后续约的，应于期限届满前壹个月重新签订合同。 </w:t>
      </w:r>
    </w:p>
    <w:p>
      <w:pPr>
        <w:spacing w:line="360" w:lineRule="auto"/>
        <w:ind w:left="479"/>
        <w:rPr>
          <w:rStyle w:val="25"/>
          <w:rFonts w:ascii="宋体" w:hAnsi="宋体"/>
          <w:kern w:val="0"/>
          <w:sz w:val="24"/>
        </w:rPr>
      </w:pPr>
      <w:r>
        <w:rPr>
          <w:rStyle w:val="25"/>
          <w:rFonts w:ascii="宋体" w:hAnsi="宋体"/>
          <w:b/>
          <w:kern w:val="0"/>
          <w:sz w:val="24"/>
        </w:rPr>
        <w:t xml:space="preserve">第四条  </w:t>
      </w:r>
      <w:r>
        <w:rPr>
          <w:rStyle w:val="25"/>
          <w:rFonts w:ascii="宋体" w:hAnsi="宋体"/>
          <w:kern w:val="0"/>
          <w:sz w:val="24"/>
        </w:rPr>
        <w:t>电梯设备型号、台数及维护保费用</w:t>
      </w:r>
    </w:p>
    <w:p>
      <w:pPr>
        <w:rPr>
          <w:rStyle w:val="25"/>
          <w:rFonts w:ascii="宋体" w:hAnsi="宋体"/>
          <w:sz w:val="24"/>
        </w:rPr>
      </w:pPr>
      <w:r>
        <w:rPr>
          <w:rStyle w:val="25"/>
          <w:rFonts w:ascii="宋体" w:hAnsi="宋体"/>
          <w:sz w:val="24"/>
        </w:rPr>
        <w:t>人民币单位：元</w:t>
      </w:r>
    </w:p>
    <w:tbl>
      <w:tblPr>
        <w:tblStyle w:val="13"/>
        <w:tblpPr w:leftFromText="180" w:rightFromText="180" w:vertAnchor="text" w:horzAnchor="page" w:tblpX="1916" w:tblpY="234"/>
        <w:tblOverlap w:val="never"/>
        <w:tblW w:w="88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4"/>
        <w:gridCol w:w="1608"/>
        <w:gridCol w:w="2291"/>
        <w:gridCol w:w="1592"/>
        <w:gridCol w:w="18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0" w:hRule="atLeast"/>
        </w:trPr>
        <w:tc>
          <w:tcPr>
            <w:tcW w:w="1554" w:type="dxa"/>
            <w:tcBorders>
              <w:top w:val="single" w:color="000000" w:sz="4" w:space="0"/>
              <w:left w:val="single" w:color="000000" w:sz="4" w:space="0"/>
              <w:bottom w:val="single" w:color="000000" w:sz="4" w:space="0"/>
              <w:right w:val="single" w:color="000000" w:sz="4" w:space="0"/>
            </w:tcBorders>
            <w:vAlign w:val="center"/>
          </w:tcPr>
          <w:p>
            <w:pPr>
              <w:jc w:val="center"/>
              <w:rPr>
                <w:rStyle w:val="25"/>
                <w:rFonts w:ascii="宋体" w:hAnsi="宋体" w:cs="宋体"/>
                <w:sz w:val="24"/>
              </w:rPr>
            </w:pPr>
            <w:r>
              <w:rPr>
                <w:rStyle w:val="25"/>
                <w:rFonts w:hint="eastAsia" w:ascii="宋体" w:hAnsi="宋体" w:cs="宋体"/>
                <w:sz w:val="24"/>
              </w:rPr>
              <w:t>电梯名称</w:t>
            </w:r>
          </w:p>
        </w:tc>
        <w:tc>
          <w:tcPr>
            <w:tcW w:w="1608" w:type="dxa"/>
            <w:tcBorders>
              <w:top w:val="single" w:color="000000" w:sz="4" w:space="0"/>
              <w:left w:val="single" w:color="000000" w:sz="4" w:space="0"/>
              <w:bottom w:val="single" w:color="000000" w:sz="4" w:space="0"/>
              <w:right w:val="single" w:color="000000" w:sz="4" w:space="0"/>
            </w:tcBorders>
            <w:vAlign w:val="center"/>
          </w:tcPr>
          <w:p>
            <w:pPr>
              <w:jc w:val="center"/>
              <w:rPr>
                <w:rStyle w:val="25"/>
                <w:rFonts w:ascii="宋体" w:hAnsi="宋体" w:cs="宋体"/>
                <w:sz w:val="24"/>
              </w:rPr>
            </w:pPr>
            <w:r>
              <w:rPr>
                <w:rStyle w:val="25"/>
                <w:rFonts w:hint="eastAsia" w:ascii="宋体" w:hAnsi="宋体" w:cs="宋体"/>
                <w:sz w:val="24"/>
              </w:rPr>
              <w:t>数量（台）</w:t>
            </w:r>
          </w:p>
        </w:tc>
        <w:tc>
          <w:tcPr>
            <w:tcW w:w="2291" w:type="dxa"/>
            <w:tcBorders>
              <w:top w:val="single" w:color="000000" w:sz="4" w:space="0"/>
              <w:left w:val="single" w:color="000000" w:sz="4" w:space="0"/>
              <w:bottom w:val="single" w:color="000000" w:sz="4" w:space="0"/>
              <w:right w:val="single" w:color="000000" w:sz="4" w:space="0"/>
            </w:tcBorders>
            <w:vAlign w:val="center"/>
          </w:tcPr>
          <w:p>
            <w:pPr>
              <w:jc w:val="center"/>
              <w:rPr>
                <w:rStyle w:val="25"/>
                <w:rFonts w:ascii="宋体" w:hAnsi="宋体" w:cs="宋体"/>
                <w:sz w:val="24"/>
              </w:rPr>
            </w:pPr>
            <w:r>
              <w:rPr>
                <w:rStyle w:val="25"/>
                <w:rFonts w:hint="eastAsia" w:ascii="宋体" w:hAnsi="宋体" w:cs="宋体"/>
                <w:sz w:val="24"/>
              </w:rPr>
              <w:t>单价（元/台/年）</w:t>
            </w:r>
          </w:p>
        </w:tc>
        <w:tc>
          <w:tcPr>
            <w:tcW w:w="1592" w:type="dxa"/>
            <w:tcBorders>
              <w:top w:val="single" w:color="000000" w:sz="4" w:space="0"/>
              <w:left w:val="single" w:color="000000" w:sz="4" w:space="0"/>
              <w:bottom w:val="single" w:color="000000" w:sz="4" w:space="0"/>
              <w:right w:val="single" w:color="000000" w:sz="4" w:space="0"/>
            </w:tcBorders>
            <w:vAlign w:val="center"/>
          </w:tcPr>
          <w:p>
            <w:pPr>
              <w:jc w:val="center"/>
              <w:rPr>
                <w:rStyle w:val="25"/>
                <w:rFonts w:ascii="宋体" w:hAnsi="宋体" w:cs="宋体"/>
                <w:sz w:val="24"/>
              </w:rPr>
            </w:pPr>
            <w:r>
              <w:rPr>
                <w:rStyle w:val="25"/>
                <w:rFonts w:hint="eastAsia" w:ascii="宋体" w:hAnsi="宋体" w:cs="宋体"/>
                <w:sz w:val="24"/>
              </w:rPr>
              <w:t>合计（元/年）</w:t>
            </w:r>
          </w:p>
        </w:tc>
        <w:tc>
          <w:tcPr>
            <w:tcW w:w="1832" w:type="dxa"/>
            <w:tcBorders>
              <w:top w:val="single" w:color="000000" w:sz="4" w:space="0"/>
              <w:left w:val="single" w:color="000000" w:sz="4" w:space="0"/>
              <w:bottom w:val="single" w:color="000000" w:sz="4" w:space="0"/>
              <w:right w:val="single" w:color="000000" w:sz="4" w:space="0"/>
            </w:tcBorders>
            <w:vAlign w:val="center"/>
          </w:tcPr>
          <w:p>
            <w:pPr>
              <w:jc w:val="center"/>
              <w:rPr>
                <w:rStyle w:val="25"/>
                <w:rFonts w:hint="eastAsia" w:ascii="宋体" w:hAnsi="宋体" w:eastAsia="宋体" w:cs="宋体"/>
                <w:sz w:val="24"/>
                <w:lang w:eastAsia="zh-CN"/>
              </w:rPr>
            </w:pPr>
            <w:r>
              <w:rPr>
                <w:rStyle w:val="25"/>
                <w:rFonts w:hint="eastAsia" w:ascii="宋体" w:hAnsi="宋体" w:cs="宋体"/>
                <w:sz w:val="24"/>
                <w:lang w:eastAsia="zh-CN"/>
              </w:rPr>
              <w:t>合同总额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1554" w:type="dxa"/>
            <w:tcBorders>
              <w:top w:val="single" w:color="000000" w:sz="4" w:space="0"/>
              <w:left w:val="single" w:color="000000" w:sz="4" w:space="0"/>
              <w:bottom w:val="single" w:color="000000" w:sz="4" w:space="0"/>
              <w:right w:val="single" w:color="000000" w:sz="4" w:space="0"/>
            </w:tcBorders>
            <w:vAlign w:val="center"/>
          </w:tcPr>
          <w:p>
            <w:pPr>
              <w:jc w:val="center"/>
              <w:rPr>
                <w:rStyle w:val="25"/>
                <w:rFonts w:hint="eastAsia" w:ascii="宋体" w:hAnsi="宋体" w:eastAsia="宋体" w:cs="宋体"/>
                <w:sz w:val="24"/>
                <w:lang w:val="en-US" w:eastAsia="zh-CN"/>
              </w:rPr>
            </w:pPr>
            <w:r>
              <w:rPr>
                <w:rStyle w:val="25"/>
                <w:rFonts w:hint="eastAsia" w:ascii="宋体" w:hAnsi="宋体" w:cs="宋体"/>
                <w:sz w:val="24"/>
                <w:lang w:val="en-US" w:eastAsia="zh-CN"/>
              </w:rPr>
              <w:t>1-1扶梯</w:t>
            </w:r>
          </w:p>
        </w:tc>
        <w:tc>
          <w:tcPr>
            <w:tcW w:w="1608" w:type="dxa"/>
            <w:tcBorders>
              <w:top w:val="single" w:color="000000" w:sz="4" w:space="0"/>
              <w:left w:val="single" w:color="000000" w:sz="4" w:space="0"/>
              <w:bottom w:val="single" w:color="000000" w:sz="4" w:space="0"/>
              <w:right w:val="single" w:color="000000" w:sz="4" w:space="0"/>
            </w:tcBorders>
            <w:vAlign w:val="center"/>
          </w:tcPr>
          <w:p>
            <w:pPr>
              <w:jc w:val="center"/>
              <w:rPr>
                <w:rStyle w:val="25"/>
                <w:rFonts w:hint="eastAsia" w:ascii="宋体" w:hAnsi="宋体" w:eastAsia="宋体" w:cs="宋体"/>
                <w:sz w:val="24"/>
                <w:lang w:val="en-US" w:eastAsia="zh-CN"/>
              </w:rPr>
            </w:pPr>
            <w:r>
              <w:rPr>
                <w:rStyle w:val="25"/>
                <w:rFonts w:hint="eastAsia" w:ascii="宋体" w:hAnsi="宋体" w:cs="宋体"/>
                <w:sz w:val="24"/>
                <w:lang w:val="en-US" w:eastAsia="zh-CN"/>
              </w:rPr>
              <w:t>1</w:t>
            </w:r>
          </w:p>
        </w:tc>
        <w:tc>
          <w:tcPr>
            <w:tcW w:w="2291" w:type="dxa"/>
            <w:tcBorders>
              <w:top w:val="single" w:color="000000" w:sz="4" w:space="0"/>
              <w:left w:val="single" w:color="000000" w:sz="4" w:space="0"/>
              <w:bottom w:val="single" w:color="000000" w:sz="4" w:space="0"/>
              <w:right w:val="single" w:color="000000" w:sz="4" w:space="0"/>
            </w:tcBorders>
            <w:vAlign w:val="center"/>
          </w:tcPr>
          <w:p>
            <w:pPr>
              <w:jc w:val="center"/>
              <w:rPr>
                <w:rStyle w:val="25"/>
                <w:rFonts w:hint="default" w:ascii="宋体" w:hAnsi="宋体" w:eastAsia="宋体" w:cs="宋体"/>
                <w:sz w:val="24"/>
                <w:lang w:val="en-US" w:eastAsia="zh-CN"/>
              </w:rPr>
            </w:pPr>
          </w:p>
        </w:tc>
        <w:tc>
          <w:tcPr>
            <w:tcW w:w="1592" w:type="dxa"/>
            <w:tcBorders>
              <w:top w:val="single" w:color="000000" w:sz="4" w:space="0"/>
              <w:left w:val="single" w:color="000000" w:sz="4" w:space="0"/>
              <w:bottom w:val="single" w:color="000000" w:sz="4" w:space="0"/>
              <w:right w:val="single" w:color="000000" w:sz="4" w:space="0"/>
            </w:tcBorders>
            <w:vAlign w:val="center"/>
          </w:tcPr>
          <w:p>
            <w:pPr>
              <w:jc w:val="center"/>
              <w:rPr>
                <w:rStyle w:val="25"/>
                <w:rFonts w:hint="default" w:ascii="宋体" w:hAnsi="宋体" w:eastAsia="宋体" w:cs="宋体"/>
                <w:sz w:val="24"/>
                <w:lang w:val="en-US" w:eastAsia="zh-CN"/>
              </w:rPr>
            </w:pPr>
          </w:p>
        </w:tc>
        <w:tc>
          <w:tcPr>
            <w:tcW w:w="1832" w:type="dxa"/>
            <w:vMerge w:val="restart"/>
            <w:tcBorders>
              <w:top w:val="single" w:color="000000" w:sz="4" w:space="0"/>
              <w:left w:val="single" w:color="000000" w:sz="4" w:space="0"/>
              <w:right w:val="single" w:color="000000" w:sz="4" w:space="0"/>
            </w:tcBorders>
            <w:vAlign w:val="center"/>
          </w:tcPr>
          <w:p>
            <w:pPr>
              <w:jc w:val="center"/>
              <w:rPr>
                <w:rStyle w:val="25"/>
                <w:rFonts w:hint="default" w:ascii="宋体" w:hAnsi="宋体" w:eastAsia="宋体" w:cs="宋体"/>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1554" w:type="dxa"/>
            <w:tcBorders>
              <w:top w:val="single" w:color="000000" w:sz="4" w:space="0"/>
              <w:left w:val="single" w:color="000000" w:sz="4" w:space="0"/>
              <w:bottom w:val="single" w:color="000000" w:sz="4" w:space="0"/>
              <w:right w:val="single" w:color="000000" w:sz="4" w:space="0"/>
            </w:tcBorders>
            <w:vAlign w:val="center"/>
          </w:tcPr>
          <w:p>
            <w:pPr>
              <w:jc w:val="center"/>
              <w:rPr>
                <w:rStyle w:val="25"/>
                <w:rFonts w:ascii="宋体" w:hAnsi="宋体" w:cs="宋体"/>
                <w:sz w:val="24"/>
              </w:rPr>
            </w:pPr>
            <w:r>
              <w:rPr>
                <w:rStyle w:val="25"/>
                <w:rFonts w:hint="eastAsia" w:ascii="宋体" w:hAnsi="宋体" w:cs="宋体"/>
                <w:sz w:val="24"/>
                <w:lang w:val="en-US" w:eastAsia="zh-CN"/>
              </w:rPr>
              <w:t>1-2扶梯</w:t>
            </w:r>
          </w:p>
        </w:tc>
        <w:tc>
          <w:tcPr>
            <w:tcW w:w="1608" w:type="dxa"/>
            <w:tcBorders>
              <w:top w:val="single" w:color="000000" w:sz="4" w:space="0"/>
              <w:left w:val="single" w:color="000000" w:sz="4" w:space="0"/>
              <w:bottom w:val="single" w:color="000000" w:sz="4" w:space="0"/>
              <w:right w:val="single" w:color="000000" w:sz="4" w:space="0"/>
            </w:tcBorders>
            <w:vAlign w:val="center"/>
          </w:tcPr>
          <w:p>
            <w:pPr>
              <w:jc w:val="center"/>
              <w:rPr>
                <w:rStyle w:val="25"/>
                <w:rFonts w:hint="eastAsia" w:ascii="宋体" w:hAnsi="宋体" w:eastAsia="宋体" w:cs="宋体"/>
                <w:sz w:val="24"/>
                <w:lang w:val="en-US" w:eastAsia="zh-CN"/>
              </w:rPr>
            </w:pPr>
            <w:r>
              <w:rPr>
                <w:rStyle w:val="25"/>
                <w:rFonts w:hint="eastAsia" w:ascii="宋体" w:hAnsi="宋体" w:cs="宋体"/>
                <w:sz w:val="24"/>
                <w:lang w:val="en-US" w:eastAsia="zh-CN"/>
              </w:rPr>
              <w:t>1</w:t>
            </w:r>
          </w:p>
        </w:tc>
        <w:tc>
          <w:tcPr>
            <w:tcW w:w="2291" w:type="dxa"/>
            <w:tcBorders>
              <w:top w:val="single" w:color="000000" w:sz="4" w:space="0"/>
              <w:left w:val="single" w:color="000000" w:sz="4" w:space="0"/>
              <w:bottom w:val="single" w:color="000000" w:sz="4" w:space="0"/>
              <w:right w:val="single" w:color="000000" w:sz="4" w:space="0"/>
            </w:tcBorders>
            <w:vAlign w:val="center"/>
          </w:tcPr>
          <w:p>
            <w:pPr>
              <w:jc w:val="center"/>
              <w:rPr>
                <w:rStyle w:val="25"/>
                <w:rFonts w:hint="default" w:ascii="宋体" w:hAnsi="宋体" w:eastAsia="宋体" w:cs="宋体"/>
                <w:sz w:val="24"/>
                <w:lang w:val="en-US" w:eastAsia="zh-CN"/>
              </w:rPr>
            </w:pPr>
          </w:p>
        </w:tc>
        <w:tc>
          <w:tcPr>
            <w:tcW w:w="1592" w:type="dxa"/>
            <w:tcBorders>
              <w:top w:val="single" w:color="000000" w:sz="4" w:space="0"/>
              <w:left w:val="single" w:color="000000" w:sz="4" w:space="0"/>
              <w:bottom w:val="single" w:color="000000" w:sz="4" w:space="0"/>
              <w:right w:val="single" w:color="000000" w:sz="4" w:space="0"/>
            </w:tcBorders>
            <w:vAlign w:val="center"/>
          </w:tcPr>
          <w:p>
            <w:pPr>
              <w:jc w:val="center"/>
              <w:rPr>
                <w:rStyle w:val="25"/>
                <w:rFonts w:hint="default" w:ascii="宋体" w:hAnsi="宋体" w:eastAsia="宋体" w:cs="宋体"/>
                <w:sz w:val="24"/>
                <w:lang w:val="en-US" w:eastAsia="zh-CN"/>
              </w:rPr>
            </w:pPr>
          </w:p>
        </w:tc>
        <w:tc>
          <w:tcPr>
            <w:tcW w:w="1832" w:type="dxa"/>
            <w:vMerge w:val="continue"/>
            <w:tcBorders>
              <w:left w:val="single" w:color="000000" w:sz="4" w:space="0"/>
              <w:right w:val="single" w:color="000000" w:sz="4" w:space="0"/>
            </w:tcBorders>
            <w:vAlign w:val="center"/>
          </w:tcPr>
          <w:p>
            <w:pPr>
              <w:rPr>
                <w:rStyle w:val="25"/>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7" w:hRule="atLeast"/>
        </w:trPr>
        <w:tc>
          <w:tcPr>
            <w:tcW w:w="1554" w:type="dxa"/>
            <w:tcBorders>
              <w:top w:val="single" w:color="000000" w:sz="4" w:space="0"/>
              <w:left w:val="single" w:color="000000" w:sz="4" w:space="0"/>
              <w:bottom w:val="single" w:color="000000" w:sz="4" w:space="0"/>
              <w:right w:val="single" w:color="000000" w:sz="4" w:space="0"/>
            </w:tcBorders>
            <w:vAlign w:val="center"/>
          </w:tcPr>
          <w:p>
            <w:pPr>
              <w:jc w:val="center"/>
              <w:rPr>
                <w:rStyle w:val="25"/>
                <w:rFonts w:hint="eastAsia" w:ascii="宋体" w:hAnsi="宋体" w:cs="宋体"/>
                <w:sz w:val="24"/>
                <w:lang w:val="en-US" w:eastAsia="zh-CN"/>
              </w:rPr>
            </w:pPr>
            <w:r>
              <w:rPr>
                <w:rStyle w:val="25"/>
                <w:rFonts w:hint="eastAsia" w:ascii="宋体" w:hAnsi="宋体" w:cs="宋体"/>
                <w:sz w:val="24"/>
                <w:lang w:val="en-US" w:eastAsia="zh-CN"/>
              </w:rPr>
              <w:t>西楼货梯</w:t>
            </w:r>
          </w:p>
        </w:tc>
        <w:tc>
          <w:tcPr>
            <w:tcW w:w="1608" w:type="dxa"/>
            <w:tcBorders>
              <w:top w:val="single" w:color="000000" w:sz="4" w:space="0"/>
              <w:left w:val="single" w:color="000000" w:sz="4" w:space="0"/>
              <w:bottom w:val="single" w:color="000000" w:sz="4" w:space="0"/>
              <w:right w:val="single" w:color="000000" w:sz="4" w:space="0"/>
            </w:tcBorders>
            <w:vAlign w:val="center"/>
          </w:tcPr>
          <w:p>
            <w:pPr>
              <w:jc w:val="center"/>
              <w:rPr>
                <w:rStyle w:val="25"/>
                <w:rFonts w:hint="eastAsia" w:ascii="宋体" w:hAnsi="宋体" w:eastAsia="宋体" w:cs="宋体"/>
                <w:sz w:val="24"/>
                <w:lang w:val="en-US" w:eastAsia="zh-CN"/>
              </w:rPr>
            </w:pPr>
            <w:r>
              <w:rPr>
                <w:rStyle w:val="25"/>
                <w:rFonts w:hint="eastAsia" w:ascii="宋体" w:hAnsi="宋体" w:cs="宋体"/>
                <w:sz w:val="24"/>
                <w:lang w:val="en-US" w:eastAsia="zh-CN"/>
              </w:rPr>
              <w:t>1</w:t>
            </w:r>
          </w:p>
        </w:tc>
        <w:tc>
          <w:tcPr>
            <w:tcW w:w="2291" w:type="dxa"/>
            <w:tcBorders>
              <w:top w:val="single" w:color="000000" w:sz="4" w:space="0"/>
              <w:left w:val="single" w:color="000000" w:sz="4" w:space="0"/>
              <w:bottom w:val="single" w:color="000000" w:sz="4" w:space="0"/>
              <w:right w:val="single" w:color="000000" w:sz="4" w:space="0"/>
            </w:tcBorders>
            <w:vAlign w:val="center"/>
          </w:tcPr>
          <w:p>
            <w:pPr>
              <w:jc w:val="center"/>
              <w:rPr>
                <w:rStyle w:val="25"/>
                <w:rFonts w:hint="default" w:ascii="宋体" w:hAnsi="宋体" w:eastAsia="宋体" w:cs="宋体"/>
                <w:sz w:val="24"/>
                <w:lang w:val="en-US" w:eastAsia="zh-CN"/>
              </w:rPr>
            </w:pPr>
          </w:p>
        </w:tc>
        <w:tc>
          <w:tcPr>
            <w:tcW w:w="1592" w:type="dxa"/>
            <w:tcBorders>
              <w:top w:val="single" w:color="000000" w:sz="4" w:space="0"/>
              <w:left w:val="single" w:color="000000" w:sz="4" w:space="0"/>
              <w:bottom w:val="single" w:color="000000" w:sz="4" w:space="0"/>
              <w:right w:val="single" w:color="000000" w:sz="4" w:space="0"/>
            </w:tcBorders>
            <w:vAlign w:val="center"/>
          </w:tcPr>
          <w:p>
            <w:pPr>
              <w:jc w:val="center"/>
              <w:rPr>
                <w:rStyle w:val="25"/>
                <w:rFonts w:hint="default" w:ascii="宋体" w:hAnsi="宋体" w:eastAsia="宋体" w:cs="宋体"/>
                <w:sz w:val="24"/>
                <w:lang w:val="en-US" w:eastAsia="zh-CN"/>
              </w:rPr>
            </w:pPr>
          </w:p>
        </w:tc>
        <w:tc>
          <w:tcPr>
            <w:tcW w:w="1832" w:type="dxa"/>
            <w:vMerge w:val="continue"/>
            <w:tcBorders>
              <w:left w:val="single" w:color="000000" w:sz="4" w:space="0"/>
              <w:bottom w:val="single" w:color="000000" w:sz="4" w:space="0"/>
              <w:right w:val="single" w:color="000000" w:sz="4" w:space="0"/>
            </w:tcBorders>
            <w:vAlign w:val="center"/>
          </w:tcPr>
          <w:p>
            <w:pPr>
              <w:rPr>
                <w:rStyle w:val="25"/>
                <w:rFonts w:hint="default" w:ascii="宋体" w:hAnsi="宋体" w:cs="宋体"/>
                <w:sz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7" w:hRule="atLeast"/>
        </w:trPr>
        <w:tc>
          <w:tcPr>
            <w:tcW w:w="1554" w:type="dxa"/>
            <w:tcBorders>
              <w:top w:val="single" w:color="000000" w:sz="4" w:space="0"/>
              <w:left w:val="single" w:color="000000" w:sz="4" w:space="0"/>
              <w:bottom w:val="single" w:color="000000" w:sz="4" w:space="0"/>
              <w:right w:val="single" w:color="000000" w:sz="4" w:space="0"/>
            </w:tcBorders>
            <w:vAlign w:val="center"/>
          </w:tcPr>
          <w:p>
            <w:pPr>
              <w:jc w:val="center"/>
              <w:rPr>
                <w:rStyle w:val="25"/>
                <w:rFonts w:ascii="宋体" w:hAnsi="宋体" w:cs="宋体"/>
                <w:sz w:val="24"/>
              </w:rPr>
            </w:pPr>
            <w:r>
              <w:rPr>
                <w:rStyle w:val="25"/>
                <w:rFonts w:hint="eastAsia" w:ascii="宋体" w:hAnsi="宋体" w:cs="宋体"/>
                <w:sz w:val="24"/>
              </w:rPr>
              <w:t>合 计</w:t>
            </w:r>
          </w:p>
        </w:tc>
        <w:tc>
          <w:tcPr>
            <w:tcW w:w="7323" w:type="dxa"/>
            <w:gridSpan w:val="4"/>
            <w:tcBorders>
              <w:top w:val="single" w:color="000000" w:sz="4" w:space="0"/>
              <w:left w:val="single" w:color="000000" w:sz="4" w:space="0"/>
              <w:bottom w:val="single" w:color="000000" w:sz="4" w:space="0"/>
              <w:right w:val="single" w:color="000000" w:sz="4" w:space="0"/>
            </w:tcBorders>
            <w:vAlign w:val="center"/>
          </w:tcPr>
          <w:p>
            <w:pPr>
              <w:jc w:val="center"/>
              <w:rPr>
                <w:rStyle w:val="25"/>
                <w:rFonts w:hint="eastAsia" w:ascii="宋体" w:hAnsi="宋体" w:eastAsia="宋体" w:cs="宋体"/>
                <w:lang w:eastAsia="zh-CN"/>
              </w:rPr>
            </w:pPr>
            <w:r>
              <w:rPr>
                <w:rStyle w:val="25"/>
                <w:rFonts w:hint="eastAsia" w:ascii="宋体" w:hAnsi="宋体" w:cs="宋体"/>
              </w:rPr>
              <w:t>大写：</w:t>
            </w:r>
            <w:r>
              <w:rPr>
                <w:rStyle w:val="25"/>
                <w:rFonts w:hint="eastAsia" w:ascii="宋体" w:hAnsi="宋体" w:cs="宋体"/>
                <w:u w:val="single"/>
                <w:lang w:val="en-US" w:eastAsia="zh-CN"/>
              </w:rPr>
              <w:t xml:space="preserve">                 </w:t>
            </w:r>
          </w:p>
        </w:tc>
      </w:tr>
    </w:tbl>
    <w:p>
      <w:pPr>
        <w:pStyle w:val="2"/>
      </w:pPr>
    </w:p>
    <w:p/>
    <w:p>
      <w:pPr>
        <w:pStyle w:val="2"/>
      </w:pPr>
    </w:p>
    <w:p/>
    <w:p>
      <w:pPr>
        <w:pStyle w:val="2"/>
      </w:pPr>
    </w:p>
    <w:p>
      <w:pPr>
        <w:spacing w:line="360" w:lineRule="auto"/>
        <w:ind w:firstLine="480" w:firstLineChars="200"/>
        <w:rPr>
          <w:rStyle w:val="25"/>
          <w:rFonts w:hint="eastAsia" w:ascii="宋体" w:hAnsi="宋体" w:cs="宋体"/>
          <w:kern w:val="0"/>
          <w:sz w:val="24"/>
          <w:lang w:val="en-US" w:eastAsia="zh-CN"/>
        </w:rPr>
      </w:pPr>
      <w:r>
        <w:rPr>
          <w:rStyle w:val="25"/>
          <w:rFonts w:hint="eastAsia" w:ascii="宋体" w:hAnsi="宋体" w:cs="宋体"/>
          <w:kern w:val="0"/>
          <w:sz w:val="24"/>
        </w:rPr>
        <w:t>共</w:t>
      </w:r>
      <w:r>
        <w:rPr>
          <w:rStyle w:val="25"/>
          <w:rFonts w:hint="eastAsia" w:ascii="宋体" w:hAnsi="宋体" w:cs="宋体"/>
          <w:kern w:val="0"/>
          <w:sz w:val="24"/>
          <w:u w:val="single"/>
        </w:rPr>
        <w:t xml:space="preserve"> </w:t>
      </w:r>
      <w:r>
        <w:rPr>
          <w:rStyle w:val="25"/>
          <w:rFonts w:hint="eastAsia" w:ascii="宋体" w:hAnsi="宋体" w:cs="宋体"/>
          <w:kern w:val="0"/>
          <w:sz w:val="24"/>
          <w:u w:val="single"/>
          <w:lang w:val="en-US" w:eastAsia="zh-CN"/>
        </w:rPr>
        <w:t xml:space="preserve"> 3</w:t>
      </w:r>
      <w:r>
        <w:rPr>
          <w:rStyle w:val="25"/>
          <w:rFonts w:hint="eastAsia" w:ascii="宋体" w:hAnsi="宋体" w:cs="宋体"/>
          <w:kern w:val="0"/>
          <w:sz w:val="24"/>
          <w:u w:val="single"/>
        </w:rPr>
        <w:t xml:space="preserve">  </w:t>
      </w:r>
      <w:r>
        <w:rPr>
          <w:rStyle w:val="25"/>
          <w:rFonts w:hint="eastAsia" w:ascii="宋体" w:hAnsi="宋体" w:cs="宋体"/>
          <w:kern w:val="0"/>
          <w:sz w:val="24"/>
        </w:rPr>
        <w:t>台电梯，总计人民币</w:t>
      </w:r>
      <w:r>
        <w:rPr>
          <w:rStyle w:val="25"/>
          <w:rFonts w:hint="eastAsia" w:ascii="宋体" w:hAnsi="宋体" w:cs="宋体"/>
          <w:kern w:val="0"/>
          <w:sz w:val="24"/>
          <w:u w:val="single"/>
        </w:rPr>
        <w:t xml:space="preserve"> </w:t>
      </w:r>
      <w:r>
        <w:rPr>
          <w:rStyle w:val="25"/>
          <w:rFonts w:hint="eastAsia" w:ascii="宋体" w:hAnsi="宋体" w:cs="宋体"/>
          <w:kern w:val="0"/>
          <w:sz w:val="24"/>
          <w:u w:val="single"/>
          <w:lang w:val="en-US" w:eastAsia="zh-CN"/>
        </w:rPr>
        <w:t xml:space="preserve">        </w:t>
      </w:r>
      <w:r>
        <w:rPr>
          <w:rStyle w:val="25"/>
          <w:rFonts w:hint="eastAsia" w:ascii="宋体" w:hAnsi="宋体" w:cs="宋体"/>
          <w:kern w:val="0"/>
          <w:sz w:val="24"/>
        </w:rPr>
        <w:t>元，大写：</w:t>
      </w:r>
      <w:r>
        <w:rPr>
          <w:rStyle w:val="25"/>
          <w:rFonts w:hint="eastAsia" w:ascii="宋体" w:hAnsi="宋体" w:cs="宋体"/>
          <w:kern w:val="0"/>
          <w:sz w:val="24"/>
          <w:u w:val="single"/>
          <w:lang w:val="en-US" w:eastAsia="zh-CN"/>
        </w:rPr>
        <w:t xml:space="preserve">                     </w:t>
      </w:r>
      <w:r>
        <w:rPr>
          <w:rStyle w:val="25"/>
          <w:rFonts w:hint="eastAsia" w:ascii="宋体" w:hAnsi="宋体" w:cs="宋体"/>
          <w:kern w:val="0"/>
          <w:sz w:val="24"/>
        </w:rPr>
        <w:t xml:space="preserve"> </w:t>
      </w:r>
      <w:r>
        <w:rPr>
          <w:rStyle w:val="25"/>
          <w:rFonts w:hint="eastAsia" w:ascii="宋体" w:hAnsi="宋体" w:cs="宋体"/>
          <w:kern w:val="0"/>
          <w:sz w:val="24"/>
          <w:lang w:val="en-US" w:eastAsia="zh-CN"/>
        </w:rPr>
        <w:t>。</w:t>
      </w:r>
    </w:p>
    <w:p>
      <w:pPr>
        <w:pStyle w:val="2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default"/>
          <w:lang w:val="en-US" w:eastAsia="zh-CN"/>
        </w:rPr>
      </w:pPr>
      <w:r>
        <w:rPr>
          <w:rStyle w:val="25"/>
          <w:rFonts w:hint="eastAsia" w:ascii="宋体" w:hAnsi="宋体" w:cs="宋体"/>
          <w:kern w:val="0"/>
          <w:sz w:val="24"/>
        </w:rPr>
        <w:t>备注：</w:t>
      </w:r>
      <w:r>
        <w:rPr>
          <w:rStyle w:val="25"/>
          <w:rFonts w:hint="eastAsia" w:ascii="宋体" w:hAnsi="宋体" w:cs="宋体"/>
          <w:color w:val="FF0000"/>
          <w:kern w:val="0"/>
          <w:sz w:val="24"/>
        </w:rPr>
        <w:t>免费提供6%的增值税专用发票</w:t>
      </w:r>
      <w:r>
        <w:rPr>
          <w:rStyle w:val="25"/>
          <w:rFonts w:hint="eastAsia" w:ascii="宋体" w:hAnsi="宋体" w:cs="宋体"/>
          <w:kern w:val="0"/>
          <w:sz w:val="24"/>
        </w:rPr>
        <w:t>，免费提供正常维保所需的劳务和工具，</w:t>
      </w:r>
      <w:r>
        <w:rPr>
          <w:rStyle w:val="25"/>
          <w:rFonts w:hint="eastAsia" w:ascii="宋体" w:hAnsi="宋体" w:cs="宋体"/>
          <w:color w:val="FF0000"/>
          <w:kern w:val="0"/>
          <w:sz w:val="24"/>
        </w:rPr>
        <w:t>以及免费提供</w:t>
      </w:r>
      <w:r>
        <w:rPr>
          <w:rStyle w:val="25"/>
          <w:rFonts w:hint="eastAsia" w:ascii="宋体" w:hAnsi="宋体" w:cs="宋体"/>
          <w:color w:val="FF0000"/>
          <w:kern w:val="0"/>
          <w:sz w:val="24"/>
          <w:lang w:val="en-US" w:eastAsia="zh-CN"/>
        </w:rPr>
        <w:t>1000</w:t>
      </w:r>
      <w:r>
        <w:rPr>
          <w:rStyle w:val="25"/>
          <w:rFonts w:hint="eastAsia" w:ascii="宋体" w:hAnsi="宋体" w:cs="宋体"/>
          <w:color w:val="FF0000"/>
          <w:kern w:val="0"/>
          <w:sz w:val="24"/>
        </w:rPr>
        <w:t>元（含本数）以下的电梯零配件。</w:t>
      </w:r>
    </w:p>
    <w:p>
      <w:pPr>
        <w:spacing w:line="360" w:lineRule="auto"/>
        <w:ind w:firstLine="482" w:firstLineChars="200"/>
        <w:rPr>
          <w:rStyle w:val="25"/>
          <w:rFonts w:ascii="宋体" w:hAnsi="宋体"/>
          <w:b/>
          <w:kern w:val="0"/>
          <w:sz w:val="24"/>
        </w:rPr>
      </w:pPr>
      <w:r>
        <w:rPr>
          <w:rStyle w:val="25"/>
          <w:rFonts w:ascii="宋体" w:hAnsi="宋体"/>
          <w:b/>
          <w:kern w:val="0"/>
          <w:sz w:val="24"/>
        </w:rPr>
        <w:t>第五条 结算</w:t>
      </w:r>
    </w:p>
    <w:p>
      <w:pPr>
        <w:spacing w:line="360" w:lineRule="auto"/>
        <w:ind w:firstLine="480" w:firstLineChars="200"/>
        <w:rPr>
          <w:rStyle w:val="25"/>
          <w:rFonts w:ascii="宋体" w:hAnsi="宋体"/>
          <w:kern w:val="0"/>
          <w:sz w:val="24"/>
          <w:u w:val="single"/>
        </w:rPr>
      </w:pPr>
      <w:r>
        <w:rPr>
          <w:rStyle w:val="25"/>
          <w:rFonts w:ascii="宋体" w:hAnsi="宋体"/>
          <w:kern w:val="0"/>
          <w:sz w:val="24"/>
        </w:rPr>
        <w:t>1、</w:t>
      </w:r>
      <w:r>
        <w:rPr>
          <w:rStyle w:val="25"/>
          <w:rFonts w:hint="eastAsia" w:ascii="宋体" w:hAnsi="宋体"/>
          <w:kern w:val="0"/>
          <w:sz w:val="24"/>
        </w:rPr>
        <w:t>甲</w:t>
      </w:r>
      <w:r>
        <w:rPr>
          <w:rStyle w:val="25"/>
          <w:rFonts w:ascii="宋体" w:hAnsi="宋体"/>
          <w:kern w:val="0"/>
          <w:sz w:val="24"/>
        </w:rPr>
        <w:t>方按</w:t>
      </w:r>
      <w:r>
        <w:rPr>
          <w:rStyle w:val="25"/>
          <w:rFonts w:ascii="宋体" w:hAnsi="宋体"/>
          <w:b/>
          <w:kern w:val="0"/>
          <w:sz w:val="24"/>
        </w:rPr>
        <w:t>（</w:t>
      </w:r>
      <w:r>
        <w:rPr>
          <w:rStyle w:val="25"/>
          <w:rFonts w:ascii="宋体" w:hAnsi="宋体"/>
          <w:sz w:val="24"/>
        </w:rPr>
        <w:t>□</w:t>
      </w:r>
      <w:r>
        <w:rPr>
          <w:rStyle w:val="25"/>
          <w:rFonts w:ascii="宋体" w:hAnsi="宋体"/>
          <w:kern w:val="0"/>
          <w:sz w:val="24"/>
        </w:rPr>
        <w:t>月</w:t>
      </w:r>
      <w:r>
        <w:rPr>
          <w:rStyle w:val="25"/>
          <w:rFonts w:hint="eastAsia" w:ascii="宋体" w:hAnsi="宋体"/>
          <w:sz w:val="24"/>
          <w:lang w:eastAsia="zh-CN"/>
        </w:rPr>
        <w:t>□</w:t>
      </w:r>
      <w:r>
        <w:rPr>
          <w:rStyle w:val="25"/>
          <w:rFonts w:ascii="宋体" w:hAnsi="宋体"/>
          <w:kern w:val="0"/>
          <w:sz w:val="24"/>
        </w:rPr>
        <w:t>季</w:t>
      </w:r>
      <w:r>
        <w:rPr>
          <w:rStyle w:val="25"/>
          <w:rFonts w:hint="eastAsia" w:ascii="宋体" w:hAnsi="宋体"/>
          <w:sz w:val="24"/>
          <w:lang w:eastAsia="zh-CN"/>
        </w:rPr>
        <w:t>☑</w:t>
      </w:r>
      <w:r>
        <w:rPr>
          <w:rStyle w:val="25"/>
          <w:rFonts w:ascii="宋体" w:hAnsi="宋体"/>
          <w:kern w:val="0"/>
          <w:sz w:val="24"/>
        </w:rPr>
        <w:t>半年</w:t>
      </w:r>
      <w:r>
        <w:rPr>
          <w:rStyle w:val="25"/>
          <w:rFonts w:ascii="宋体" w:hAnsi="宋体"/>
          <w:sz w:val="24"/>
        </w:rPr>
        <w:t>□</w:t>
      </w:r>
      <w:r>
        <w:rPr>
          <w:rStyle w:val="25"/>
          <w:rFonts w:ascii="宋体" w:hAnsi="宋体"/>
          <w:kern w:val="0"/>
          <w:sz w:val="24"/>
        </w:rPr>
        <w:t xml:space="preserve">年 </w:t>
      </w:r>
      <w:r>
        <w:rPr>
          <w:rStyle w:val="25"/>
          <w:rFonts w:ascii="宋体" w:hAnsi="宋体"/>
          <w:b/>
          <w:kern w:val="0"/>
          <w:sz w:val="24"/>
        </w:rPr>
        <w:t>）</w:t>
      </w:r>
      <w:r>
        <w:rPr>
          <w:rStyle w:val="25"/>
          <w:rFonts w:ascii="宋体" w:hAnsi="宋体"/>
          <w:kern w:val="0"/>
          <w:sz w:val="24"/>
        </w:rPr>
        <w:t>支付维保费，具体支付时间和金额为：</w:t>
      </w:r>
      <w:r>
        <w:rPr>
          <w:rStyle w:val="25"/>
          <w:rFonts w:hint="eastAsia" w:ascii="宋体" w:hAnsi="宋体"/>
          <w:kern w:val="0"/>
          <w:sz w:val="24"/>
          <w:u w:val="none"/>
          <w:lang w:val="en-US" w:eastAsia="zh-CN"/>
        </w:rPr>
        <w:t>半年</w:t>
      </w:r>
      <w:r>
        <w:rPr>
          <w:rStyle w:val="25"/>
          <w:rFonts w:ascii="宋体" w:hAnsi="宋体"/>
          <w:kern w:val="0"/>
          <w:sz w:val="24"/>
          <w:u w:val="none"/>
        </w:rPr>
        <w:t>支付</w:t>
      </w:r>
      <w:r>
        <w:rPr>
          <w:rStyle w:val="25"/>
          <w:rFonts w:hint="eastAsia" w:ascii="宋体" w:hAnsi="宋体"/>
          <w:kern w:val="0"/>
          <w:sz w:val="24"/>
          <w:u w:val="none"/>
          <w:lang w:val="en-US" w:eastAsia="zh-CN"/>
        </w:rPr>
        <w:t>50％维保费</w:t>
      </w:r>
      <w:r>
        <w:rPr>
          <w:rStyle w:val="25"/>
          <w:rFonts w:ascii="宋体" w:hAnsi="宋体"/>
          <w:kern w:val="0"/>
          <w:sz w:val="24"/>
          <w:u w:val="none"/>
        </w:rPr>
        <w:t>，完成维保工作</w:t>
      </w:r>
      <w:r>
        <w:rPr>
          <w:rStyle w:val="25"/>
          <w:rFonts w:hint="eastAsia" w:ascii="宋体" w:hAnsi="宋体"/>
          <w:kern w:val="0"/>
          <w:sz w:val="24"/>
          <w:u w:val="none"/>
        </w:rPr>
        <w:t>且电梯年检合格</w:t>
      </w:r>
      <w:r>
        <w:rPr>
          <w:rStyle w:val="25"/>
          <w:rFonts w:ascii="宋体" w:hAnsi="宋体"/>
          <w:kern w:val="0"/>
          <w:sz w:val="24"/>
          <w:u w:val="none"/>
        </w:rPr>
        <w:t>，乙方</w:t>
      </w:r>
      <w:r>
        <w:rPr>
          <w:rStyle w:val="25"/>
          <w:rFonts w:hint="eastAsia" w:ascii="宋体" w:hAnsi="宋体" w:cs="Times New Roman"/>
          <w:kern w:val="0"/>
          <w:sz w:val="24"/>
          <w:u w:val="none"/>
          <w:lang w:val="en-US" w:eastAsia="zh-CN"/>
        </w:rPr>
        <w:t>提供</w:t>
      </w:r>
      <w:r>
        <w:rPr>
          <w:rStyle w:val="25"/>
          <w:rFonts w:hint="eastAsia" w:ascii="宋体" w:hAnsi="宋体" w:cs="Times New Roman"/>
          <w:kern w:val="0"/>
          <w:sz w:val="24"/>
          <w:highlight w:val="none"/>
          <w:u w:val="none"/>
          <w:lang w:val="en-US" w:eastAsia="zh-CN"/>
        </w:rPr>
        <w:t>6％的增值税专用发票以及相关资料</w:t>
      </w:r>
      <w:r>
        <w:rPr>
          <w:rStyle w:val="25"/>
          <w:rFonts w:ascii="宋体" w:hAnsi="宋体"/>
          <w:kern w:val="0"/>
          <w:sz w:val="24"/>
          <w:u w:val="none"/>
        </w:rPr>
        <w:t>后10日内</w:t>
      </w:r>
      <w:r>
        <w:rPr>
          <w:rStyle w:val="25"/>
          <w:rFonts w:hint="eastAsia" w:ascii="宋体" w:hAnsi="宋体"/>
          <w:kern w:val="0"/>
          <w:sz w:val="24"/>
          <w:u w:val="none"/>
          <w:lang w:eastAsia="zh-CN"/>
        </w:rPr>
        <w:t>，</w:t>
      </w:r>
      <w:r>
        <w:rPr>
          <w:rStyle w:val="25"/>
          <w:rFonts w:ascii="宋体" w:hAnsi="宋体"/>
          <w:kern w:val="0"/>
          <w:sz w:val="24"/>
          <w:u w:val="none"/>
        </w:rPr>
        <w:t>将</w:t>
      </w:r>
      <w:r>
        <w:rPr>
          <w:rStyle w:val="25"/>
          <w:rFonts w:hint="eastAsia" w:ascii="宋体" w:hAnsi="宋体"/>
          <w:kern w:val="0"/>
          <w:sz w:val="24"/>
          <w:u w:val="none"/>
          <w:lang w:val="en-US" w:eastAsia="zh-CN"/>
        </w:rPr>
        <w:t>余下</w:t>
      </w:r>
      <w:r>
        <w:rPr>
          <w:rStyle w:val="25"/>
          <w:rFonts w:hint="eastAsia" w:ascii="宋体" w:hAnsi="宋体"/>
          <w:kern w:val="0"/>
          <w:sz w:val="24"/>
          <w:u w:val="none"/>
        </w:rPr>
        <w:t>50％维保费</w:t>
      </w:r>
      <w:r>
        <w:rPr>
          <w:rStyle w:val="25"/>
          <w:rFonts w:ascii="宋体" w:hAnsi="宋体"/>
          <w:kern w:val="0"/>
          <w:sz w:val="24"/>
          <w:u w:val="none"/>
        </w:rPr>
        <w:t>付入乙方账户内</w:t>
      </w:r>
      <w:r>
        <w:rPr>
          <w:rStyle w:val="25"/>
          <w:rFonts w:hint="eastAsia" w:ascii="宋体" w:hAnsi="宋体"/>
          <w:kern w:val="0"/>
          <w:sz w:val="24"/>
          <w:u w:val="none"/>
        </w:rPr>
        <w:t>，每</w:t>
      </w:r>
      <w:r>
        <w:rPr>
          <w:rStyle w:val="25"/>
          <w:rFonts w:hint="eastAsia" w:ascii="宋体" w:hAnsi="宋体"/>
          <w:kern w:val="0"/>
          <w:sz w:val="24"/>
          <w:u w:val="none"/>
          <w:lang w:val="en-US" w:eastAsia="zh-CN"/>
        </w:rPr>
        <w:t>半年</w:t>
      </w:r>
      <w:r>
        <w:rPr>
          <w:rStyle w:val="25"/>
          <w:rFonts w:hint="eastAsia" w:ascii="宋体" w:hAnsi="宋体"/>
          <w:kern w:val="0"/>
          <w:sz w:val="24"/>
          <w:u w:val="none"/>
        </w:rPr>
        <w:t>应支付维保费用</w:t>
      </w:r>
      <w:r>
        <w:rPr>
          <w:rStyle w:val="25"/>
          <w:rFonts w:hint="eastAsia" w:ascii="宋体" w:hAnsi="宋体"/>
          <w:kern w:val="0"/>
          <w:sz w:val="24"/>
          <w:u w:val="single"/>
          <w:lang w:val="en-US" w:eastAsia="zh-CN"/>
        </w:rPr>
        <w:t xml:space="preserve">       </w:t>
      </w:r>
      <w:r>
        <w:rPr>
          <w:rStyle w:val="25"/>
          <w:rFonts w:hint="eastAsia" w:ascii="宋体" w:hAnsi="宋体" w:cs="宋体"/>
          <w:kern w:val="0"/>
          <w:sz w:val="24"/>
          <w:u w:val="none"/>
        </w:rPr>
        <w:t>元</w:t>
      </w:r>
      <w:r>
        <w:rPr>
          <w:rStyle w:val="25"/>
          <w:rFonts w:hint="eastAsia" w:ascii="宋体" w:hAnsi="宋体" w:cs="宋体"/>
          <w:kern w:val="0"/>
          <w:sz w:val="24"/>
        </w:rPr>
        <w:t>。</w:t>
      </w:r>
    </w:p>
    <w:p>
      <w:pPr>
        <w:spacing w:line="360" w:lineRule="auto"/>
        <w:ind w:firstLine="480" w:firstLineChars="200"/>
        <w:rPr>
          <w:rStyle w:val="25"/>
          <w:rFonts w:ascii="宋体" w:hAnsi="宋体"/>
          <w:kern w:val="0"/>
          <w:sz w:val="24"/>
        </w:rPr>
      </w:pPr>
      <w:r>
        <w:rPr>
          <w:rStyle w:val="25"/>
          <w:rFonts w:ascii="宋体" w:hAnsi="宋体"/>
          <w:kern w:val="0"/>
          <w:sz w:val="24"/>
        </w:rPr>
        <w:t>2、</w:t>
      </w:r>
      <w:r>
        <w:rPr>
          <w:rStyle w:val="25"/>
          <w:rFonts w:hint="eastAsia" w:ascii="宋体" w:hAnsi="宋体"/>
          <w:kern w:val="0"/>
          <w:sz w:val="24"/>
        </w:rPr>
        <w:t>甲</w:t>
      </w:r>
      <w:r>
        <w:rPr>
          <w:rStyle w:val="25"/>
          <w:rFonts w:ascii="宋体" w:hAnsi="宋体"/>
          <w:kern w:val="0"/>
          <w:sz w:val="24"/>
        </w:rPr>
        <w:t>方需支付零部件费用的，支付时间为当次维保结束后的十个工作日之内</w:t>
      </w:r>
      <w:r>
        <w:rPr>
          <w:rStyle w:val="25"/>
          <w:rFonts w:hint="eastAsia" w:ascii="宋体" w:hAnsi="宋体"/>
          <w:kern w:val="0"/>
          <w:sz w:val="24"/>
          <w:lang w:eastAsia="zh-CN"/>
        </w:rPr>
        <w:t>，</w:t>
      </w:r>
      <w:r>
        <w:rPr>
          <w:rStyle w:val="25"/>
          <w:rFonts w:hint="eastAsia" w:ascii="宋体" w:hAnsi="宋体" w:cs="Times New Roman"/>
          <w:kern w:val="0"/>
          <w:sz w:val="24"/>
          <w:highlight w:val="none"/>
          <w:lang w:val="en-US" w:eastAsia="zh-CN"/>
        </w:rPr>
        <w:t>乙方提前10日提供13％的增值税专用发票以及相关资料给甲方</w:t>
      </w:r>
      <w:r>
        <w:rPr>
          <w:rStyle w:val="25"/>
          <w:rFonts w:ascii="宋体" w:hAnsi="宋体"/>
          <w:kern w:val="0"/>
          <w:sz w:val="24"/>
        </w:rPr>
        <w:t>。</w:t>
      </w:r>
    </w:p>
    <w:p>
      <w:pPr>
        <w:spacing w:line="360" w:lineRule="auto"/>
        <w:ind w:firstLine="480" w:firstLineChars="200"/>
        <w:rPr>
          <w:rStyle w:val="25"/>
          <w:rFonts w:ascii="宋体" w:hAnsi="宋体"/>
          <w:sz w:val="24"/>
        </w:rPr>
      </w:pPr>
      <w:r>
        <w:rPr>
          <w:rStyle w:val="25"/>
          <w:rFonts w:ascii="宋体" w:hAnsi="宋体"/>
          <w:kern w:val="0"/>
          <w:sz w:val="24"/>
        </w:rPr>
        <w:t>3、支付方式：</w:t>
      </w:r>
      <w:r>
        <w:rPr>
          <w:rStyle w:val="25"/>
          <w:rFonts w:ascii="宋体" w:hAnsi="宋体"/>
          <w:sz w:val="24"/>
        </w:rPr>
        <w:t>汇到乙方指定帐户</w:t>
      </w:r>
    </w:p>
    <w:p>
      <w:pPr>
        <w:pStyle w:val="6"/>
        <w:spacing w:line="360" w:lineRule="auto"/>
        <w:ind w:firstLine="480" w:firstLineChars="200"/>
      </w:pPr>
      <w:r>
        <w:rPr>
          <w:rFonts w:hint="eastAsia"/>
        </w:rPr>
        <w:t>账户名：</w:t>
      </w:r>
    </w:p>
    <w:p>
      <w:pPr>
        <w:pStyle w:val="6"/>
        <w:spacing w:line="360" w:lineRule="auto"/>
        <w:ind w:firstLine="480" w:firstLineChars="200"/>
      </w:pPr>
      <w:r>
        <w:t>开户行：</w:t>
      </w:r>
    </w:p>
    <w:p>
      <w:pPr>
        <w:pStyle w:val="6"/>
        <w:spacing w:line="360" w:lineRule="auto"/>
        <w:ind w:firstLine="480" w:firstLineChars="200"/>
      </w:pPr>
      <w:r>
        <w:rPr>
          <w:rFonts w:hint="eastAsia"/>
        </w:rPr>
        <w:t>帐  号：</w:t>
      </w:r>
    </w:p>
    <w:p>
      <w:pPr>
        <w:spacing w:line="360" w:lineRule="auto"/>
        <w:ind w:firstLine="482" w:firstLineChars="200"/>
        <w:rPr>
          <w:rStyle w:val="25"/>
          <w:rFonts w:ascii="宋体" w:hAnsi="宋体"/>
          <w:b/>
          <w:kern w:val="0"/>
          <w:sz w:val="24"/>
          <w:u w:val="single"/>
        </w:rPr>
      </w:pPr>
      <w:r>
        <w:rPr>
          <w:rStyle w:val="25"/>
          <w:rFonts w:ascii="宋体" w:hAnsi="宋体"/>
          <w:b/>
          <w:sz w:val="24"/>
        </w:rPr>
        <w:t>第</w:t>
      </w:r>
      <w:r>
        <w:rPr>
          <w:rStyle w:val="25"/>
          <w:rFonts w:ascii="宋体" w:hAnsi="宋体"/>
          <w:b/>
          <w:kern w:val="0"/>
          <w:sz w:val="24"/>
        </w:rPr>
        <w:t>六</w:t>
      </w:r>
      <w:r>
        <w:rPr>
          <w:rStyle w:val="25"/>
          <w:rFonts w:ascii="宋体" w:hAnsi="宋体"/>
          <w:b/>
          <w:sz w:val="24"/>
        </w:rPr>
        <w:t xml:space="preserve">条  </w:t>
      </w:r>
      <w:r>
        <w:rPr>
          <w:rStyle w:val="25"/>
          <w:rFonts w:ascii="宋体" w:hAnsi="宋体"/>
          <w:sz w:val="24"/>
        </w:rPr>
        <w:t>甲方权利、义务</w:t>
      </w:r>
    </w:p>
    <w:p>
      <w:pPr>
        <w:spacing w:line="360" w:lineRule="auto"/>
        <w:ind w:firstLine="361" w:firstLineChars="150"/>
        <w:rPr>
          <w:rStyle w:val="25"/>
          <w:rFonts w:ascii="宋体" w:hAnsi="宋体"/>
          <w:b/>
          <w:sz w:val="24"/>
        </w:rPr>
      </w:pPr>
      <w:r>
        <w:rPr>
          <w:rStyle w:val="25"/>
          <w:rFonts w:ascii="宋体" w:hAnsi="宋体"/>
          <w:b/>
          <w:sz w:val="24"/>
        </w:rPr>
        <w:t>（一）权利</w:t>
      </w:r>
    </w:p>
    <w:p>
      <w:pPr>
        <w:spacing w:line="360" w:lineRule="auto"/>
        <w:ind w:firstLine="480" w:firstLineChars="200"/>
        <w:rPr>
          <w:rStyle w:val="25"/>
          <w:rFonts w:ascii="宋体" w:hAnsi="宋体"/>
          <w:sz w:val="24"/>
        </w:rPr>
      </w:pPr>
      <w:r>
        <w:rPr>
          <w:rStyle w:val="25"/>
          <w:rFonts w:ascii="宋体" w:hAnsi="宋体"/>
          <w:sz w:val="24"/>
        </w:rPr>
        <w:t>1、有权监督检查乙方依照合同约定实施维保计划的情况，监督经乙方维保后的</w:t>
      </w:r>
      <w:r>
        <w:rPr>
          <w:rStyle w:val="25"/>
          <w:rFonts w:ascii="宋体" w:hAnsi="宋体"/>
          <w:kern w:val="0"/>
          <w:sz w:val="24"/>
        </w:rPr>
        <w:t>电梯是否符合法律法规、安全技术规范、强制性标准和电梯制造单位的技术要求，监督电梯安全性能是否良好。</w:t>
      </w:r>
    </w:p>
    <w:p>
      <w:pPr>
        <w:numPr>
          <w:ilvl w:val="0"/>
          <w:numId w:val="1"/>
        </w:numPr>
        <w:spacing w:line="360" w:lineRule="auto"/>
        <w:ind w:firstLine="480" w:firstLineChars="200"/>
        <w:rPr>
          <w:rStyle w:val="25"/>
          <w:rFonts w:ascii="宋体" w:hAnsi="宋体"/>
          <w:sz w:val="24"/>
        </w:rPr>
      </w:pPr>
      <w:r>
        <w:rPr>
          <w:rStyle w:val="25"/>
          <w:rFonts w:ascii="宋体" w:hAnsi="宋体"/>
          <w:sz w:val="24"/>
        </w:rPr>
        <w:t>有权检查受乙方委派为本单位电梯提供维保服务人员的持证上岗情况，有权拒绝无证人员开展维保活动。有权要求乙方人员服从本单位现场安全管理，对不服从现场安全管理的乙方人员，有权要求乙方更换人员。</w:t>
      </w:r>
    </w:p>
    <w:p>
      <w:pPr>
        <w:numPr>
          <w:ilvl w:val="0"/>
          <w:numId w:val="1"/>
        </w:numPr>
        <w:spacing w:line="360" w:lineRule="auto"/>
        <w:ind w:firstLine="480" w:firstLineChars="200"/>
        <w:rPr>
          <w:rStyle w:val="25"/>
          <w:rFonts w:ascii="宋体" w:hAnsi="宋体"/>
          <w:sz w:val="24"/>
        </w:rPr>
      </w:pPr>
      <w:r>
        <w:rPr>
          <w:rStyle w:val="25"/>
          <w:rFonts w:ascii="宋体" w:hAnsi="宋体"/>
          <w:sz w:val="24"/>
        </w:rPr>
        <w:t>除国家规定的法定监督检验与定期检验外，有权委托特种设备检验机构或第三方中介机构对乙方按照合同约定实施维保工作的情况进行评定。</w:t>
      </w:r>
    </w:p>
    <w:p>
      <w:pPr>
        <w:spacing w:line="360" w:lineRule="auto"/>
        <w:ind w:firstLine="482" w:firstLineChars="200"/>
        <w:rPr>
          <w:rStyle w:val="25"/>
          <w:rFonts w:ascii="宋体" w:hAnsi="宋体"/>
          <w:b/>
          <w:sz w:val="24"/>
        </w:rPr>
      </w:pPr>
      <w:r>
        <w:rPr>
          <w:rStyle w:val="25"/>
          <w:rFonts w:ascii="宋体" w:hAnsi="宋体"/>
          <w:b/>
          <w:sz w:val="24"/>
        </w:rPr>
        <w:t>（二）义务</w:t>
      </w:r>
    </w:p>
    <w:p>
      <w:pPr>
        <w:spacing w:line="360" w:lineRule="auto"/>
        <w:ind w:firstLine="480" w:firstLineChars="200"/>
        <w:rPr>
          <w:rStyle w:val="25"/>
          <w:rFonts w:ascii="宋体" w:hAnsi="宋体"/>
          <w:kern w:val="0"/>
          <w:sz w:val="24"/>
        </w:rPr>
      </w:pPr>
      <w:r>
        <w:rPr>
          <w:rStyle w:val="25"/>
          <w:rFonts w:ascii="宋体" w:hAnsi="宋体"/>
          <w:kern w:val="0"/>
          <w:sz w:val="24"/>
        </w:rPr>
        <w:t>1、建立电梯安全运行的相关管理机构、制度，确保制度、人员、资金落实到位。</w:t>
      </w:r>
    </w:p>
    <w:p>
      <w:pPr>
        <w:spacing w:line="360" w:lineRule="auto"/>
        <w:ind w:firstLine="480" w:firstLineChars="200"/>
        <w:rPr>
          <w:rStyle w:val="25"/>
          <w:rFonts w:ascii="宋体" w:hAnsi="宋体"/>
          <w:kern w:val="0"/>
          <w:sz w:val="24"/>
        </w:rPr>
      </w:pPr>
      <w:r>
        <w:rPr>
          <w:rStyle w:val="25"/>
          <w:rFonts w:ascii="宋体" w:hAnsi="宋体"/>
          <w:kern w:val="0"/>
          <w:sz w:val="24"/>
        </w:rPr>
        <w:t>2、按照合同约定按期支付维保和零部件款。</w:t>
      </w:r>
    </w:p>
    <w:p>
      <w:pPr>
        <w:spacing w:line="360" w:lineRule="auto"/>
        <w:ind w:firstLine="480" w:firstLineChars="200"/>
        <w:rPr>
          <w:rStyle w:val="25"/>
          <w:rFonts w:ascii="宋体" w:hAnsi="宋体"/>
          <w:kern w:val="0"/>
          <w:sz w:val="24"/>
        </w:rPr>
      </w:pPr>
      <w:r>
        <w:rPr>
          <w:rStyle w:val="25"/>
          <w:rFonts w:ascii="宋体" w:hAnsi="宋体"/>
          <w:kern w:val="0"/>
          <w:sz w:val="24"/>
        </w:rPr>
        <w:t>3、</w:t>
      </w:r>
      <w:r>
        <w:rPr>
          <w:rStyle w:val="25"/>
          <w:rFonts w:ascii="宋体" w:hAnsi="宋体"/>
          <w:sz w:val="24"/>
        </w:rPr>
        <w:t>配备持有电梯安全管理员资格证件的人员</w:t>
      </w:r>
      <w:r>
        <w:rPr>
          <w:rStyle w:val="25"/>
          <w:rFonts w:ascii="宋体" w:hAnsi="宋体"/>
          <w:kern w:val="0"/>
          <w:sz w:val="24"/>
        </w:rPr>
        <w:t>负责电梯的日常安全管理工作，并在更换电梯管理人员时及时通知乙方。督促</w:t>
      </w:r>
      <w:r>
        <w:rPr>
          <w:rStyle w:val="25"/>
          <w:rFonts w:ascii="宋体" w:hAnsi="宋体"/>
          <w:sz w:val="24"/>
        </w:rPr>
        <w:t>电梯安全管理人员</w:t>
      </w:r>
      <w:r>
        <w:rPr>
          <w:rStyle w:val="25"/>
          <w:rFonts w:ascii="宋体" w:hAnsi="宋体"/>
          <w:kern w:val="0"/>
          <w:sz w:val="24"/>
        </w:rPr>
        <w:t>按照电梯使用检查表完成电梯的日常检查工作和每月检查工作，并严格按照电梯钥匙使用管理有关要求对电梯钥匙进行管理，实行钥匙领用登记，不将电梯钥匙交给非持证人员使用。</w:t>
      </w:r>
    </w:p>
    <w:p>
      <w:pPr>
        <w:numPr>
          <w:ilvl w:val="0"/>
          <w:numId w:val="1"/>
        </w:numPr>
        <w:spacing w:line="360" w:lineRule="auto"/>
        <w:ind w:firstLine="480" w:firstLineChars="200"/>
        <w:rPr>
          <w:rStyle w:val="25"/>
          <w:rFonts w:ascii="宋体" w:hAnsi="宋体"/>
          <w:sz w:val="24"/>
        </w:rPr>
      </w:pPr>
      <w:r>
        <w:rPr>
          <w:rStyle w:val="25"/>
          <w:rFonts w:ascii="宋体" w:hAnsi="宋体"/>
          <w:kern w:val="0"/>
          <w:sz w:val="24"/>
        </w:rPr>
        <w:t>督促</w:t>
      </w:r>
      <w:r>
        <w:rPr>
          <w:rStyle w:val="25"/>
          <w:rFonts w:ascii="宋体" w:hAnsi="宋体"/>
          <w:sz w:val="24"/>
        </w:rPr>
        <w:t>电梯安全管理人员</w:t>
      </w:r>
      <w:r>
        <w:rPr>
          <w:rStyle w:val="25"/>
          <w:rFonts w:ascii="宋体" w:hAnsi="宋体"/>
          <w:kern w:val="0"/>
          <w:sz w:val="24"/>
        </w:rPr>
        <w:t>现场监督检查乙方的电梯保养工作过程和结果、对乙方的维保记录、修理记录签字确认，</w:t>
      </w:r>
      <w:r>
        <w:rPr>
          <w:rStyle w:val="25"/>
          <w:rFonts w:ascii="宋体" w:hAnsi="宋体"/>
          <w:sz w:val="24"/>
        </w:rPr>
        <w:t>签收乙方提交的与电梯维保工作有关的文件。</w:t>
      </w:r>
    </w:p>
    <w:p>
      <w:pPr>
        <w:numPr>
          <w:ilvl w:val="0"/>
          <w:numId w:val="1"/>
        </w:numPr>
        <w:spacing w:line="360" w:lineRule="auto"/>
        <w:ind w:firstLine="480" w:firstLineChars="200"/>
        <w:rPr>
          <w:rStyle w:val="25"/>
          <w:rFonts w:ascii="宋体" w:hAnsi="宋体"/>
          <w:sz w:val="24"/>
        </w:rPr>
      </w:pPr>
      <w:r>
        <w:rPr>
          <w:rStyle w:val="25"/>
          <w:rFonts w:ascii="宋体" w:hAnsi="宋体"/>
          <w:kern w:val="0"/>
          <w:sz w:val="24"/>
        </w:rPr>
        <w:t>电梯发生故障或异常情况时应当立即停止使用，并做好相关安全防护措施。在电梯的日常使用时间内，确保值班人员可靠接收求救电话、警铃装置发出的求救信号，及时通知乙方抢修，并详细记录相关工作的具体时间。</w:t>
      </w:r>
    </w:p>
    <w:p>
      <w:pPr>
        <w:numPr>
          <w:ilvl w:val="0"/>
          <w:numId w:val="1"/>
        </w:numPr>
        <w:spacing w:line="360" w:lineRule="auto"/>
        <w:ind w:firstLine="480" w:firstLineChars="200"/>
        <w:rPr>
          <w:rStyle w:val="25"/>
          <w:rFonts w:ascii="宋体" w:hAnsi="宋体"/>
          <w:kern w:val="0"/>
          <w:sz w:val="24"/>
        </w:rPr>
      </w:pPr>
      <w:r>
        <w:rPr>
          <w:rStyle w:val="25"/>
          <w:rFonts w:ascii="宋体" w:hAnsi="宋体"/>
          <w:sz w:val="24"/>
        </w:rPr>
        <w:t>制订有关电梯的应急救援预案（如：电梯困人、消防、电梯水浸、自动扶梯人身伤害等）。每年至少一次定期开展应急救援演练，确保应急系统运行有效。</w:t>
      </w:r>
    </w:p>
    <w:p>
      <w:pPr>
        <w:spacing w:line="360" w:lineRule="auto"/>
        <w:ind w:firstLine="480" w:firstLineChars="200"/>
        <w:rPr>
          <w:rStyle w:val="25"/>
          <w:rFonts w:ascii="宋体" w:hAnsi="宋体"/>
          <w:kern w:val="0"/>
          <w:sz w:val="24"/>
        </w:rPr>
      </w:pPr>
      <w:r>
        <w:rPr>
          <w:rStyle w:val="25"/>
          <w:rFonts w:ascii="宋体" w:hAnsi="宋体"/>
          <w:kern w:val="0"/>
          <w:sz w:val="24"/>
        </w:rPr>
        <w:t>7、保证电梯供电、消防、防雷、通风等系统安全可靠，满足国家标准规定。</w:t>
      </w:r>
    </w:p>
    <w:p>
      <w:pPr>
        <w:spacing w:line="360" w:lineRule="auto"/>
        <w:ind w:firstLine="480" w:firstLineChars="200"/>
        <w:rPr>
          <w:rStyle w:val="25"/>
          <w:rFonts w:ascii="宋体" w:hAnsi="宋体"/>
          <w:kern w:val="0"/>
          <w:sz w:val="24"/>
        </w:rPr>
      </w:pPr>
      <w:r>
        <w:rPr>
          <w:rStyle w:val="25"/>
          <w:rFonts w:ascii="宋体" w:hAnsi="宋体"/>
          <w:kern w:val="0"/>
          <w:sz w:val="24"/>
        </w:rPr>
        <w:t>8、为乙方提供维保所需的工作环境。保证机房、井道、底坑无漏水、渗水现象。通往机房、底坑、滑轮间、井道安全门的通道畅通、照明充分；确保作业环境中应由甲方提供的安全防护措施到位，避免无关人员进入。</w:t>
      </w:r>
    </w:p>
    <w:p>
      <w:pPr>
        <w:numPr>
          <w:ilvl w:val="0"/>
          <w:numId w:val="2"/>
        </w:numPr>
        <w:spacing w:line="360" w:lineRule="auto"/>
        <w:ind w:firstLine="480" w:firstLineChars="200"/>
        <w:rPr>
          <w:rStyle w:val="25"/>
          <w:rFonts w:ascii="宋体" w:hAnsi="宋体"/>
          <w:kern w:val="0"/>
          <w:sz w:val="24"/>
        </w:rPr>
      </w:pPr>
      <w:r>
        <w:rPr>
          <w:rStyle w:val="25"/>
          <w:rFonts w:ascii="宋体" w:hAnsi="宋体"/>
          <w:sz w:val="24"/>
        </w:rPr>
        <w:t>采取有效措施监控电梯使用情况，积极主动开展文明乘梯宣传活动，及时制止乘客不文明乘梯行为或恶意破坏电梯的行为。</w:t>
      </w:r>
    </w:p>
    <w:p>
      <w:pPr>
        <w:spacing w:line="360" w:lineRule="auto"/>
        <w:ind w:firstLine="480" w:firstLineChars="200"/>
        <w:rPr>
          <w:rStyle w:val="25"/>
          <w:rFonts w:ascii="宋体" w:hAnsi="宋体"/>
          <w:kern w:val="0"/>
          <w:sz w:val="24"/>
        </w:rPr>
      </w:pPr>
      <w:r>
        <w:rPr>
          <w:rStyle w:val="25"/>
          <w:rFonts w:ascii="宋体" w:hAnsi="宋体"/>
          <w:sz w:val="24"/>
        </w:rPr>
        <w:t>10、未经</w:t>
      </w:r>
      <w:r>
        <w:rPr>
          <w:rStyle w:val="25"/>
          <w:rFonts w:ascii="宋体" w:hAnsi="宋体"/>
          <w:kern w:val="0"/>
          <w:sz w:val="24"/>
        </w:rPr>
        <w:t>乙方书面许可不得允许非乙方人员从事与电梯维保有关的工作。</w:t>
      </w:r>
    </w:p>
    <w:p>
      <w:pPr>
        <w:spacing w:line="360" w:lineRule="auto"/>
        <w:ind w:firstLine="480" w:firstLineChars="200"/>
        <w:rPr>
          <w:rStyle w:val="25"/>
          <w:rFonts w:ascii="宋体" w:hAnsi="宋体"/>
          <w:kern w:val="0"/>
          <w:sz w:val="24"/>
        </w:rPr>
      </w:pPr>
      <w:r>
        <w:rPr>
          <w:rStyle w:val="25"/>
          <w:rFonts w:ascii="宋体" w:hAnsi="宋体"/>
          <w:sz w:val="24"/>
        </w:rPr>
        <w:t>11、应认真审核乙方</w:t>
      </w:r>
      <w:r>
        <w:rPr>
          <w:rStyle w:val="25"/>
          <w:rFonts w:ascii="宋体" w:hAnsi="宋体"/>
          <w:kern w:val="0"/>
          <w:sz w:val="24"/>
        </w:rPr>
        <w:t>书面提出的更换电梯零部件要求，并在乙方书面要求的期限内书面予以答复。</w:t>
      </w:r>
    </w:p>
    <w:p>
      <w:pPr>
        <w:numPr>
          <w:ilvl w:val="0"/>
          <w:numId w:val="3"/>
        </w:numPr>
        <w:spacing w:line="360" w:lineRule="auto"/>
        <w:ind w:firstLine="480" w:firstLineChars="200"/>
        <w:rPr>
          <w:rStyle w:val="25"/>
          <w:rFonts w:ascii="宋体" w:hAnsi="宋体"/>
          <w:b/>
          <w:sz w:val="24"/>
        </w:rPr>
      </w:pPr>
      <w:r>
        <w:rPr>
          <w:rStyle w:val="25"/>
          <w:rFonts w:ascii="宋体" w:hAnsi="宋体"/>
          <w:kern w:val="0"/>
          <w:sz w:val="24"/>
        </w:rPr>
        <w:t>电梯因不可抗拒因素（如战争、火灾、水浸、风暴和地震等）所造成设备损坏、丢失的，自行承担全部责任。</w:t>
      </w:r>
    </w:p>
    <w:p>
      <w:pPr>
        <w:spacing w:line="360" w:lineRule="auto"/>
        <w:ind w:firstLine="482" w:firstLineChars="200"/>
        <w:rPr>
          <w:rStyle w:val="25"/>
          <w:rFonts w:ascii="宋体" w:hAnsi="宋体"/>
          <w:b/>
          <w:sz w:val="24"/>
        </w:rPr>
      </w:pPr>
      <w:r>
        <w:rPr>
          <w:rStyle w:val="25"/>
          <w:rFonts w:ascii="宋体" w:hAnsi="宋体"/>
          <w:b/>
          <w:sz w:val="24"/>
        </w:rPr>
        <w:t xml:space="preserve">第七条  </w:t>
      </w:r>
      <w:r>
        <w:rPr>
          <w:rStyle w:val="25"/>
          <w:rFonts w:ascii="宋体" w:hAnsi="宋体"/>
          <w:sz w:val="24"/>
        </w:rPr>
        <w:t>乙方权利、义务</w:t>
      </w:r>
    </w:p>
    <w:p>
      <w:pPr>
        <w:spacing w:line="360" w:lineRule="auto"/>
        <w:ind w:firstLine="482" w:firstLineChars="200"/>
        <w:rPr>
          <w:rStyle w:val="25"/>
          <w:rFonts w:ascii="宋体" w:hAnsi="宋体"/>
          <w:b/>
          <w:sz w:val="24"/>
        </w:rPr>
      </w:pPr>
      <w:r>
        <w:rPr>
          <w:rStyle w:val="25"/>
          <w:rFonts w:ascii="宋体" w:hAnsi="宋体"/>
          <w:b/>
          <w:kern w:val="0"/>
          <w:sz w:val="24"/>
        </w:rPr>
        <w:t>（一）</w:t>
      </w:r>
      <w:r>
        <w:rPr>
          <w:rStyle w:val="25"/>
          <w:rFonts w:ascii="宋体" w:hAnsi="宋体"/>
          <w:b/>
          <w:sz w:val="24"/>
        </w:rPr>
        <w:t>权利</w:t>
      </w:r>
    </w:p>
    <w:p>
      <w:pPr>
        <w:spacing w:line="360" w:lineRule="auto"/>
        <w:rPr>
          <w:rStyle w:val="25"/>
          <w:rFonts w:ascii="宋体" w:hAnsi="宋体"/>
          <w:sz w:val="24"/>
        </w:rPr>
      </w:pPr>
      <w:r>
        <w:rPr>
          <w:rStyle w:val="25"/>
          <w:rFonts w:ascii="宋体" w:hAnsi="宋体"/>
          <w:sz w:val="24"/>
        </w:rPr>
        <w:t xml:space="preserve">     1、有权要求甲方提供维保所需的工作环境，查询电梯相关资料。</w:t>
      </w:r>
    </w:p>
    <w:p>
      <w:pPr>
        <w:spacing w:line="360" w:lineRule="auto"/>
        <w:ind w:left="840" w:hanging="840"/>
        <w:rPr>
          <w:rStyle w:val="25"/>
          <w:rFonts w:ascii="宋体" w:hAnsi="宋体"/>
          <w:sz w:val="24"/>
        </w:rPr>
      </w:pPr>
      <w:r>
        <w:rPr>
          <w:rStyle w:val="25"/>
          <w:rFonts w:ascii="宋体" w:hAnsi="宋体"/>
          <w:sz w:val="24"/>
        </w:rPr>
        <w:t xml:space="preserve">     2、当电梯存在事故隐患时，乙方有权采取停梯措施及阻止冒险作业的权利。</w:t>
      </w:r>
    </w:p>
    <w:p>
      <w:pPr>
        <w:spacing w:line="360" w:lineRule="auto"/>
        <w:ind w:firstLine="480" w:firstLineChars="200"/>
        <w:rPr>
          <w:rStyle w:val="25"/>
          <w:rFonts w:ascii="宋体" w:hAnsi="宋体"/>
          <w:sz w:val="24"/>
        </w:rPr>
      </w:pPr>
      <w:r>
        <w:rPr>
          <w:rStyle w:val="25"/>
          <w:rFonts w:ascii="宋体" w:hAnsi="宋体"/>
          <w:sz w:val="24"/>
        </w:rPr>
        <w:t xml:space="preserve"> 3、有权拒绝甲方提出的影响电梯安全运行的要求。</w:t>
      </w:r>
    </w:p>
    <w:p>
      <w:pPr>
        <w:spacing w:line="360" w:lineRule="auto"/>
        <w:ind w:left="840" w:leftChars="228" w:hanging="361"/>
        <w:rPr>
          <w:rStyle w:val="25"/>
          <w:rFonts w:ascii="宋体" w:hAnsi="宋体"/>
          <w:b/>
          <w:sz w:val="24"/>
        </w:rPr>
      </w:pPr>
      <w:r>
        <w:rPr>
          <w:rStyle w:val="25"/>
          <w:rFonts w:ascii="宋体" w:hAnsi="宋体"/>
          <w:b/>
          <w:sz w:val="24"/>
        </w:rPr>
        <w:t>（二）义务</w:t>
      </w:r>
    </w:p>
    <w:p>
      <w:pPr>
        <w:spacing w:line="360" w:lineRule="auto"/>
        <w:ind w:firstLine="540" w:firstLineChars="225"/>
        <w:rPr>
          <w:rStyle w:val="25"/>
          <w:rFonts w:ascii="宋体" w:hAnsi="宋体"/>
          <w:sz w:val="24"/>
        </w:rPr>
      </w:pPr>
      <w:r>
        <w:rPr>
          <w:rStyle w:val="25"/>
          <w:rFonts w:ascii="宋体" w:hAnsi="宋体"/>
          <w:sz w:val="24"/>
        </w:rPr>
        <w:t>1、</w:t>
      </w:r>
      <w:r>
        <w:rPr>
          <w:rStyle w:val="25"/>
          <w:rFonts w:ascii="宋体" w:hAnsi="宋体"/>
          <w:kern w:val="0"/>
          <w:sz w:val="24"/>
        </w:rPr>
        <w:t>乙方实施维保后的电梯应符合安全技术规范、强制性标准和电梯制造单位的技术要求。</w:t>
      </w:r>
    </w:p>
    <w:p>
      <w:pPr>
        <w:numPr>
          <w:ilvl w:val="0"/>
          <w:numId w:val="4"/>
        </w:numPr>
        <w:spacing w:line="360" w:lineRule="auto"/>
        <w:ind w:firstLine="480" w:firstLineChars="200"/>
        <w:rPr>
          <w:rStyle w:val="25"/>
          <w:rFonts w:ascii="宋体" w:hAnsi="宋体"/>
          <w:kern w:val="0"/>
          <w:sz w:val="24"/>
        </w:rPr>
      </w:pPr>
      <w:r>
        <w:rPr>
          <w:rStyle w:val="25"/>
          <w:rFonts w:ascii="宋体" w:hAnsi="宋体"/>
          <w:kern w:val="0"/>
          <w:sz w:val="24"/>
        </w:rPr>
        <w:t>乙方提供24小时的紧急救援服务</w:t>
      </w:r>
      <w:r>
        <w:rPr>
          <w:rStyle w:val="25"/>
          <w:rFonts w:hint="eastAsia" w:ascii="宋体" w:hAnsi="宋体"/>
          <w:kern w:val="0"/>
          <w:sz w:val="24"/>
        </w:rPr>
        <w:t>，</w:t>
      </w:r>
      <w:r>
        <w:rPr>
          <w:rStyle w:val="25"/>
          <w:rFonts w:ascii="宋体" w:hAnsi="宋体"/>
          <w:kern w:val="0"/>
          <w:sz w:val="24"/>
        </w:rPr>
        <w:t>乙方维保负责人:</w:t>
      </w:r>
      <w:r>
        <w:rPr>
          <w:rStyle w:val="25"/>
          <w:rFonts w:ascii="宋体" w:hAnsi="宋体"/>
          <w:kern w:val="0"/>
          <w:sz w:val="24"/>
          <w:u w:val="single"/>
        </w:rPr>
        <w:t xml:space="preserve">  </w:t>
      </w:r>
      <w:r>
        <w:rPr>
          <w:rStyle w:val="25"/>
          <w:rFonts w:hint="eastAsia" w:ascii="宋体" w:hAnsi="宋体"/>
          <w:kern w:val="0"/>
          <w:sz w:val="24"/>
          <w:u w:val="single"/>
          <w:lang w:val="en-US" w:eastAsia="zh-CN"/>
        </w:rPr>
        <w:t xml:space="preserve">      </w:t>
      </w:r>
      <w:r>
        <w:rPr>
          <w:rStyle w:val="25"/>
          <w:rFonts w:ascii="宋体" w:hAnsi="宋体"/>
          <w:kern w:val="0"/>
          <w:sz w:val="24"/>
          <w:u w:val="single"/>
        </w:rPr>
        <w:t xml:space="preserve"> </w:t>
      </w:r>
      <w:r>
        <w:rPr>
          <w:rStyle w:val="25"/>
          <w:rFonts w:ascii="宋体" w:hAnsi="宋体"/>
          <w:kern w:val="0"/>
          <w:sz w:val="24"/>
        </w:rPr>
        <w:t>，联系电话:</w:t>
      </w:r>
      <w:r>
        <w:rPr>
          <w:rStyle w:val="25"/>
          <w:rFonts w:hint="eastAsia" w:ascii="宋体" w:hAnsi="宋体"/>
          <w:kern w:val="0"/>
          <w:sz w:val="24"/>
          <w:lang w:val="en-US" w:eastAsia="zh-CN"/>
        </w:rPr>
        <w:t xml:space="preserve"> </w:t>
      </w:r>
      <w:r>
        <w:rPr>
          <w:rStyle w:val="25"/>
          <w:rFonts w:hint="eastAsia" w:ascii="宋体" w:hAnsi="宋体"/>
          <w:kern w:val="0"/>
          <w:sz w:val="24"/>
          <w:u w:val="single"/>
          <w:lang w:val="en-US" w:eastAsia="zh-CN"/>
        </w:rPr>
        <w:t xml:space="preserve">                 </w:t>
      </w:r>
      <w:r>
        <w:rPr>
          <w:rStyle w:val="25"/>
          <w:rFonts w:ascii="宋体" w:hAnsi="宋体"/>
          <w:kern w:val="0"/>
          <w:sz w:val="24"/>
        </w:rPr>
        <w:t>；24小时紧急救援服务热线电话：</w:t>
      </w:r>
      <w:r>
        <w:rPr>
          <w:rStyle w:val="25"/>
          <w:rFonts w:hint="eastAsia" w:ascii="宋体" w:hAnsi="宋体"/>
          <w:kern w:val="0"/>
          <w:sz w:val="24"/>
          <w:u w:val="single"/>
          <w:lang w:val="en-US" w:eastAsia="zh-CN"/>
        </w:rPr>
        <w:t xml:space="preserve">           </w:t>
      </w:r>
      <w:r>
        <w:rPr>
          <w:rStyle w:val="25"/>
          <w:rFonts w:ascii="宋体" w:hAnsi="宋体"/>
          <w:kern w:val="0"/>
          <w:sz w:val="24"/>
          <w:u w:val="single"/>
        </w:rPr>
        <w:t xml:space="preserve"> </w:t>
      </w:r>
      <w:r>
        <w:rPr>
          <w:rStyle w:val="25"/>
          <w:rFonts w:ascii="宋体" w:hAnsi="宋体"/>
          <w:kern w:val="0"/>
          <w:sz w:val="24"/>
        </w:rPr>
        <w:t>。当电梯发生困人故障，乙方应在接到甲方通知后</w:t>
      </w:r>
      <w:r>
        <w:rPr>
          <w:rStyle w:val="25"/>
          <w:rFonts w:hint="eastAsia" w:ascii="宋体" w:hAnsi="宋体"/>
          <w:kern w:val="0"/>
          <w:sz w:val="24"/>
          <w:u w:val="single"/>
        </w:rPr>
        <w:t xml:space="preserve"> </w:t>
      </w:r>
      <w:r>
        <w:rPr>
          <w:rStyle w:val="25"/>
          <w:rFonts w:ascii="宋体" w:hAnsi="宋体"/>
          <w:kern w:val="0"/>
          <w:sz w:val="24"/>
          <w:u w:val="single"/>
        </w:rPr>
        <w:t>30</w:t>
      </w:r>
      <w:r>
        <w:rPr>
          <w:rStyle w:val="25"/>
          <w:rFonts w:hint="eastAsia" w:ascii="宋体" w:hAnsi="宋体"/>
          <w:kern w:val="0"/>
          <w:sz w:val="24"/>
          <w:u w:val="single"/>
        </w:rPr>
        <w:t xml:space="preserve"> </w:t>
      </w:r>
      <w:r>
        <w:rPr>
          <w:rStyle w:val="25"/>
          <w:rFonts w:ascii="宋体" w:hAnsi="宋体"/>
          <w:kern w:val="0"/>
          <w:sz w:val="24"/>
        </w:rPr>
        <w:t>分钟内赶赴现场实施紧急救援；电梯发生其他故障，乙方应在接到甲方通知后</w:t>
      </w:r>
      <w:r>
        <w:rPr>
          <w:rStyle w:val="25"/>
          <w:rFonts w:ascii="宋体" w:hAnsi="宋体"/>
          <w:kern w:val="0"/>
          <w:sz w:val="24"/>
          <w:u w:val="single"/>
        </w:rPr>
        <w:t xml:space="preserve"> 60 </w:t>
      </w:r>
      <w:r>
        <w:rPr>
          <w:rStyle w:val="25"/>
          <w:rFonts w:ascii="宋体" w:hAnsi="宋体"/>
          <w:kern w:val="0"/>
          <w:sz w:val="24"/>
        </w:rPr>
        <w:t>分钟内赶到现场实施抢修。</w:t>
      </w:r>
    </w:p>
    <w:p>
      <w:pPr>
        <w:numPr>
          <w:ilvl w:val="0"/>
          <w:numId w:val="4"/>
        </w:numPr>
        <w:spacing w:line="360" w:lineRule="auto"/>
        <w:ind w:left="1" w:firstLine="480"/>
        <w:jc w:val="left"/>
        <w:rPr>
          <w:rStyle w:val="25"/>
          <w:rFonts w:ascii="宋体" w:hAnsi="宋体"/>
          <w:sz w:val="24"/>
        </w:rPr>
      </w:pPr>
      <w:r>
        <w:rPr>
          <w:rStyle w:val="25"/>
          <w:rFonts w:ascii="宋体" w:hAnsi="宋体"/>
          <w:sz w:val="24"/>
        </w:rPr>
        <w:t>根据电梯的使用情况和设备状况，经双方协商确认后，提供全年保养计划和各项定期保养计划的具体实施时间表。每台每次保养时间不得少于合同约定的相应最少保养时间。如需调整原保养计划，应提前</w:t>
      </w:r>
      <w:r>
        <w:rPr>
          <w:rStyle w:val="25"/>
          <w:rFonts w:ascii="宋体" w:hAnsi="宋体"/>
          <w:sz w:val="24"/>
          <w:u w:val="single"/>
        </w:rPr>
        <w:t xml:space="preserve"> 3 </w:t>
      </w:r>
      <w:r>
        <w:rPr>
          <w:rStyle w:val="25"/>
          <w:rFonts w:ascii="宋体" w:hAnsi="宋体"/>
          <w:sz w:val="24"/>
        </w:rPr>
        <w:t xml:space="preserve">日通知甲方并经甲方同意后方可调整，但应保证保养时间间隔不得超过15日； </w:t>
      </w:r>
    </w:p>
    <w:p>
      <w:pPr>
        <w:spacing w:line="360" w:lineRule="auto"/>
        <w:ind w:firstLine="480" w:firstLineChars="200"/>
        <w:jc w:val="left"/>
        <w:rPr>
          <w:rStyle w:val="25"/>
          <w:rFonts w:ascii="宋体" w:hAnsi="宋体"/>
          <w:sz w:val="24"/>
        </w:rPr>
      </w:pPr>
      <w:r>
        <w:rPr>
          <w:rStyle w:val="25"/>
          <w:rFonts w:hint="eastAsia" w:ascii="宋体" w:hAnsi="宋体"/>
          <w:kern w:val="0"/>
          <w:sz w:val="24"/>
        </w:rPr>
        <w:t>4、</w:t>
      </w:r>
      <w:r>
        <w:rPr>
          <w:rStyle w:val="25"/>
          <w:rFonts w:ascii="宋体" w:hAnsi="宋体"/>
          <w:kern w:val="0"/>
          <w:sz w:val="24"/>
        </w:rPr>
        <w:t>现场作业人员应当取得相应的《特种设备作业人员证》。</w:t>
      </w:r>
      <w:r>
        <w:rPr>
          <w:rStyle w:val="25"/>
          <w:rFonts w:ascii="宋体" w:hAnsi="宋体"/>
          <w:sz w:val="24"/>
        </w:rPr>
        <w:t>为有效实施保养计划，乙方应安排熟悉所维保电梯原理、结构、性能、安全要求的特种设备作业人员负责维保工作，并督促其严格按照产品工艺要求、安全及技术规范进行维保。</w:t>
      </w:r>
    </w:p>
    <w:p>
      <w:pPr>
        <w:spacing w:line="360" w:lineRule="auto"/>
        <w:ind w:firstLine="480" w:firstLineChars="200"/>
        <w:rPr>
          <w:rStyle w:val="25"/>
          <w:rFonts w:ascii="宋体" w:hAnsi="宋体"/>
          <w:kern w:val="0"/>
          <w:sz w:val="24"/>
        </w:rPr>
      </w:pPr>
      <w:r>
        <w:rPr>
          <w:rStyle w:val="25"/>
          <w:rFonts w:hint="eastAsia" w:ascii="宋体" w:hAnsi="宋体"/>
          <w:kern w:val="0"/>
          <w:sz w:val="24"/>
        </w:rPr>
        <w:t>5、</w:t>
      </w:r>
      <w:r>
        <w:rPr>
          <w:rStyle w:val="25"/>
          <w:rFonts w:ascii="宋体" w:hAnsi="宋体"/>
          <w:kern w:val="0"/>
          <w:sz w:val="24"/>
        </w:rPr>
        <w:t>作业过程中应服从甲方现场安全管理，落实现场安全防护措施，保证作业安全。需要安全监护作业的内容应书面告知甲方，作业时，作业人员不得少于二人。</w:t>
      </w:r>
    </w:p>
    <w:p>
      <w:pPr>
        <w:spacing w:line="360" w:lineRule="auto"/>
        <w:ind w:firstLine="480" w:firstLineChars="200"/>
        <w:rPr>
          <w:rStyle w:val="25"/>
          <w:rFonts w:ascii="宋体" w:hAnsi="宋体"/>
          <w:sz w:val="24"/>
        </w:rPr>
      </w:pPr>
      <w:r>
        <w:rPr>
          <w:rStyle w:val="25"/>
          <w:rFonts w:hint="eastAsia" w:ascii="宋体" w:hAnsi="宋体"/>
          <w:kern w:val="0"/>
          <w:sz w:val="24"/>
        </w:rPr>
        <w:t>6、</w:t>
      </w:r>
      <w:r>
        <w:rPr>
          <w:rStyle w:val="25"/>
          <w:rFonts w:ascii="宋体" w:hAnsi="宋体"/>
          <w:kern w:val="0"/>
          <w:sz w:val="24"/>
        </w:rPr>
        <w:t>现场需采取停梯措施时，应立即通知甲方并及时组织抢修。</w:t>
      </w:r>
    </w:p>
    <w:p>
      <w:pPr>
        <w:spacing w:line="360" w:lineRule="auto"/>
        <w:ind w:firstLine="480" w:firstLineChars="200"/>
        <w:rPr>
          <w:rStyle w:val="25"/>
          <w:rFonts w:ascii="宋体" w:hAnsi="宋体"/>
          <w:sz w:val="24"/>
        </w:rPr>
      </w:pPr>
      <w:r>
        <w:rPr>
          <w:rStyle w:val="25"/>
          <w:rFonts w:ascii="宋体" w:hAnsi="宋体"/>
          <w:kern w:val="0"/>
          <w:sz w:val="24"/>
        </w:rPr>
        <w:t>7、</w:t>
      </w:r>
      <w:r>
        <w:rPr>
          <w:rStyle w:val="25"/>
          <w:rFonts w:ascii="宋体" w:hAnsi="宋体"/>
          <w:sz w:val="24"/>
        </w:rPr>
        <w:t>根据甲方的故障统计记录，乙方应至少每季度一次提出故障分析报告。报告中应包含电梯故障的统计分析、整改措施和预防措施，以及有关电梯使用管理的合理化建议。</w:t>
      </w:r>
    </w:p>
    <w:p>
      <w:pPr>
        <w:numPr>
          <w:ilvl w:val="0"/>
          <w:numId w:val="5"/>
        </w:numPr>
        <w:spacing w:line="360" w:lineRule="auto"/>
        <w:ind w:firstLine="480" w:firstLineChars="200"/>
        <w:rPr>
          <w:rStyle w:val="25"/>
          <w:rFonts w:ascii="宋体" w:hAnsi="宋体"/>
          <w:sz w:val="24"/>
        </w:rPr>
      </w:pPr>
      <w:r>
        <w:rPr>
          <w:rStyle w:val="25"/>
          <w:rFonts w:ascii="宋体" w:hAnsi="宋体"/>
          <w:sz w:val="24"/>
        </w:rPr>
        <w:t>协助甲方建立健全安全管理制度、安全技术档案、应急救援预案，配合甲方开展应急救援演练。</w:t>
      </w:r>
    </w:p>
    <w:p>
      <w:pPr>
        <w:numPr>
          <w:ilvl w:val="0"/>
          <w:numId w:val="5"/>
        </w:numPr>
        <w:spacing w:line="360" w:lineRule="auto"/>
        <w:ind w:firstLine="480"/>
        <w:rPr>
          <w:rStyle w:val="25"/>
          <w:rFonts w:ascii="宋体" w:hAnsi="宋体"/>
          <w:sz w:val="24"/>
        </w:rPr>
      </w:pPr>
      <w:r>
        <w:rPr>
          <w:rStyle w:val="25"/>
          <w:rFonts w:ascii="宋体" w:hAnsi="宋体"/>
          <w:sz w:val="24"/>
        </w:rPr>
        <w:t>不得以任何形式将维保工作非法分包、转包。</w:t>
      </w:r>
    </w:p>
    <w:p>
      <w:pPr>
        <w:numPr>
          <w:ilvl w:val="0"/>
          <w:numId w:val="5"/>
        </w:numPr>
        <w:spacing w:line="360" w:lineRule="auto"/>
        <w:ind w:firstLine="480"/>
        <w:rPr>
          <w:rStyle w:val="25"/>
          <w:rFonts w:ascii="宋体" w:hAnsi="宋体"/>
          <w:color w:val="000000"/>
          <w:sz w:val="24"/>
        </w:rPr>
      </w:pPr>
      <w:r>
        <w:rPr>
          <w:rStyle w:val="25"/>
          <w:rFonts w:ascii="宋体" w:hAnsi="宋体"/>
          <w:color w:val="000000"/>
          <w:kern w:val="0"/>
          <w:sz w:val="24"/>
        </w:rPr>
        <w:t>在电梯使用标志所标注的下次检验日期届满前１个月，向特种设备检验机构提出定期检验申请，甲方予以配合。</w:t>
      </w:r>
    </w:p>
    <w:p>
      <w:pPr>
        <w:spacing w:line="360" w:lineRule="auto"/>
        <w:ind w:firstLine="482" w:firstLineChars="200"/>
        <w:rPr>
          <w:rStyle w:val="25"/>
          <w:rFonts w:ascii="宋体" w:hAnsi="宋体"/>
          <w:b/>
          <w:sz w:val="24"/>
        </w:rPr>
      </w:pPr>
      <w:r>
        <w:rPr>
          <w:rStyle w:val="25"/>
          <w:rFonts w:ascii="宋体" w:hAnsi="宋体"/>
          <w:b/>
          <w:sz w:val="24"/>
        </w:rPr>
        <w:t xml:space="preserve">第八条  </w:t>
      </w:r>
      <w:r>
        <w:rPr>
          <w:rStyle w:val="25"/>
          <w:rFonts w:ascii="宋体" w:hAnsi="宋体"/>
          <w:sz w:val="24"/>
        </w:rPr>
        <w:t>其他约定</w:t>
      </w:r>
    </w:p>
    <w:p>
      <w:pPr>
        <w:spacing w:line="360" w:lineRule="auto"/>
        <w:ind w:firstLine="480" w:firstLineChars="200"/>
        <w:rPr>
          <w:rStyle w:val="25"/>
          <w:rFonts w:ascii="宋体" w:hAnsi="宋体"/>
          <w:kern w:val="0"/>
          <w:sz w:val="24"/>
        </w:rPr>
      </w:pPr>
      <w:r>
        <w:rPr>
          <w:rStyle w:val="25"/>
          <w:rFonts w:ascii="宋体" w:hAnsi="宋体"/>
          <w:kern w:val="0"/>
          <w:sz w:val="24"/>
        </w:rPr>
        <w:t>1、乙方已于</w:t>
      </w:r>
      <w:r>
        <w:rPr>
          <w:rStyle w:val="25"/>
          <w:rFonts w:hint="eastAsia" w:ascii="宋体" w:hAnsi="宋体"/>
          <w:kern w:val="0"/>
          <w:sz w:val="24"/>
          <w:u w:val="single"/>
          <w:lang w:val="en-US" w:eastAsia="zh-CN"/>
        </w:rPr>
        <w:t xml:space="preserve">       </w:t>
      </w:r>
      <w:r>
        <w:rPr>
          <w:rStyle w:val="25"/>
          <w:rFonts w:ascii="宋体" w:hAnsi="宋体"/>
          <w:kern w:val="0"/>
          <w:sz w:val="24"/>
          <w:u w:val="single"/>
        </w:rPr>
        <w:t xml:space="preserve"> </w:t>
      </w:r>
      <w:r>
        <w:rPr>
          <w:rStyle w:val="25"/>
          <w:rFonts w:hint="eastAsia" w:ascii="宋体" w:hAnsi="宋体"/>
          <w:kern w:val="0"/>
          <w:sz w:val="24"/>
          <w:u w:val="single"/>
          <w:lang w:val="en-US" w:eastAsia="zh-CN"/>
        </w:rPr>
        <w:t xml:space="preserve"> </w:t>
      </w:r>
      <w:r>
        <w:rPr>
          <w:rStyle w:val="25"/>
          <w:rFonts w:ascii="宋体" w:hAnsi="宋体"/>
          <w:kern w:val="0"/>
          <w:sz w:val="24"/>
          <w:u w:val="single"/>
        </w:rPr>
        <w:t xml:space="preserve"> </w:t>
      </w:r>
      <w:r>
        <w:rPr>
          <w:rStyle w:val="25"/>
          <w:rFonts w:ascii="宋体" w:hAnsi="宋体"/>
          <w:kern w:val="0"/>
          <w:sz w:val="24"/>
        </w:rPr>
        <w:t>年</w:t>
      </w:r>
      <w:r>
        <w:rPr>
          <w:rStyle w:val="25"/>
          <w:rFonts w:hint="eastAsia" w:ascii="宋体" w:hAnsi="宋体"/>
          <w:kern w:val="0"/>
          <w:sz w:val="24"/>
          <w:u w:val="single"/>
          <w:lang w:val="en-US" w:eastAsia="zh-CN"/>
        </w:rPr>
        <w:t xml:space="preserve">  </w:t>
      </w:r>
      <w:r>
        <w:rPr>
          <w:rStyle w:val="25"/>
          <w:rFonts w:ascii="宋体" w:hAnsi="宋体"/>
          <w:kern w:val="0"/>
          <w:sz w:val="24"/>
          <w:u w:val="single"/>
        </w:rPr>
        <w:t xml:space="preserve"> </w:t>
      </w:r>
      <w:r>
        <w:rPr>
          <w:rStyle w:val="25"/>
          <w:rFonts w:hint="eastAsia" w:ascii="宋体" w:hAnsi="宋体"/>
          <w:kern w:val="0"/>
          <w:sz w:val="24"/>
          <w:u w:val="single"/>
          <w:lang w:val="en-US" w:eastAsia="zh-CN"/>
        </w:rPr>
        <w:t xml:space="preserve"> </w:t>
      </w:r>
      <w:r>
        <w:rPr>
          <w:rStyle w:val="25"/>
          <w:rFonts w:ascii="宋体" w:hAnsi="宋体"/>
          <w:kern w:val="0"/>
          <w:sz w:val="24"/>
          <w:u w:val="single"/>
        </w:rPr>
        <w:t xml:space="preserve"> </w:t>
      </w:r>
      <w:r>
        <w:rPr>
          <w:rStyle w:val="25"/>
          <w:rFonts w:hint="eastAsia" w:ascii="宋体" w:hAnsi="宋体"/>
          <w:kern w:val="0"/>
          <w:sz w:val="24"/>
          <w:u w:val="single"/>
          <w:lang w:val="en-US" w:eastAsia="zh-CN"/>
        </w:rPr>
        <w:t xml:space="preserve"> </w:t>
      </w:r>
      <w:r>
        <w:rPr>
          <w:rStyle w:val="25"/>
          <w:rFonts w:ascii="宋体" w:hAnsi="宋体"/>
          <w:kern w:val="0"/>
          <w:sz w:val="24"/>
        </w:rPr>
        <w:t>月</w:t>
      </w:r>
      <w:r>
        <w:rPr>
          <w:rStyle w:val="25"/>
          <w:rFonts w:ascii="宋体" w:hAnsi="宋体"/>
          <w:kern w:val="0"/>
          <w:sz w:val="24"/>
          <w:u w:val="single"/>
        </w:rPr>
        <w:t xml:space="preserve"> </w:t>
      </w:r>
      <w:r>
        <w:rPr>
          <w:rStyle w:val="25"/>
          <w:rFonts w:hint="eastAsia" w:ascii="宋体" w:hAnsi="宋体"/>
          <w:kern w:val="0"/>
          <w:sz w:val="24"/>
          <w:u w:val="single"/>
          <w:lang w:val="en-US" w:eastAsia="zh-CN"/>
        </w:rPr>
        <w:t xml:space="preserve">   </w:t>
      </w:r>
      <w:r>
        <w:rPr>
          <w:rStyle w:val="25"/>
          <w:rFonts w:hint="eastAsia" w:ascii="宋体" w:hAnsi="宋体"/>
          <w:kern w:val="0"/>
          <w:sz w:val="24"/>
          <w:u w:val="single"/>
        </w:rPr>
        <w:t xml:space="preserve">  </w:t>
      </w:r>
      <w:r>
        <w:rPr>
          <w:rStyle w:val="25"/>
          <w:rFonts w:ascii="宋体" w:hAnsi="宋体"/>
          <w:kern w:val="0"/>
          <w:sz w:val="24"/>
        </w:rPr>
        <w:t>日对本合同约定的电梯进行了详细的检查，检查结果已经甲方签字确认，并作为电梯现状记录由甲、乙双方保存。</w:t>
      </w:r>
    </w:p>
    <w:p>
      <w:pPr>
        <w:numPr>
          <w:ilvl w:val="0"/>
          <w:numId w:val="6"/>
        </w:numPr>
        <w:spacing w:line="360" w:lineRule="auto"/>
        <w:ind w:firstLine="480" w:firstLineChars="200"/>
        <w:rPr>
          <w:rStyle w:val="25"/>
          <w:rFonts w:ascii="宋体" w:hAnsi="宋体"/>
          <w:sz w:val="24"/>
        </w:rPr>
      </w:pPr>
      <w:r>
        <w:rPr>
          <w:rStyle w:val="25"/>
          <w:rFonts w:ascii="宋体" w:hAnsi="宋体"/>
          <w:sz w:val="24"/>
        </w:rPr>
        <w:t>甲方要求乙方提供本合同约定内容以外服务的，如强化保养、增加保养频次、安全保障需求、</w:t>
      </w:r>
      <w:r>
        <w:rPr>
          <w:rStyle w:val="25"/>
          <w:rFonts w:ascii="宋体" w:hAnsi="宋体"/>
          <w:kern w:val="0"/>
          <w:sz w:val="24"/>
        </w:rPr>
        <w:t>驻场作业服务、</w:t>
      </w:r>
      <w:r>
        <w:rPr>
          <w:rStyle w:val="25"/>
          <w:rFonts w:ascii="宋体" w:hAnsi="宋体"/>
          <w:sz w:val="24"/>
        </w:rPr>
        <w:t>增加检测内容和频次</w:t>
      </w:r>
      <w:r>
        <w:rPr>
          <w:rStyle w:val="25"/>
          <w:rFonts w:ascii="宋体" w:hAnsi="宋体"/>
          <w:kern w:val="0"/>
          <w:sz w:val="24"/>
        </w:rPr>
        <w:t>等，</w:t>
      </w:r>
      <w:r>
        <w:rPr>
          <w:rStyle w:val="25"/>
          <w:rFonts w:ascii="宋体" w:hAnsi="宋体"/>
          <w:sz w:val="24"/>
        </w:rPr>
        <w:t>双方均应以书面形式另行约定。</w:t>
      </w:r>
    </w:p>
    <w:p>
      <w:pPr>
        <w:numPr>
          <w:ilvl w:val="0"/>
          <w:numId w:val="6"/>
        </w:numPr>
        <w:spacing w:line="360" w:lineRule="auto"/>
        <w:ind w:firstLine="480" w:firstLineChars="200"/>
        <w:rPr>
          <w:rStyle w:val="25"/>
          <w:rFonts w:ascii="宋体" w:hAnsi="宋体"/>
          <w:kern w:val="0"/>
          <w:sz w:val="24"/>
        </w:rPr>
      </w:pPr>
      <w:r>
        <w:rPr>
          <w:rStyle w:val="25"/>
          <w:rFonts w:ascii="宋体" w:hAnsi="宋体"/>
          <w:sz w:val="24"/>
        </w:rPr>
        <w:t>维保记录是记载电梯运行、维护、保养的依据。每台电梯均应当建立独立的</w:t>
      </w:r>
      <w:r>
        <w:rPr>
          <w:rStyle w:val="25"/>
          <w:rFonts w:ascii="宋体" w:hAnsi="宋体"/>
          <w:kern w:val="0"/>
          <w:sz w:val="24"/>
        </w:rPr>
        <w:t>维保记录。维保记录应当一式两份，甲乙双方各保存一份，保存时间为4 年。维修与抢修记录均应当长期保存。</w:t>
      </w:r>
    </w:p>
    <w:p>
      <w:pPr>
        <w:spacing w:line="360" w:lineRule="auto"/>
        <w:ind w:firstLine="482" w:firstLineChars="200"/>
        <w:rPr>
          <w:rStyle w:val="25"/>
          <w:rFonts w:ascii="宋体" w:hAnsi="宋体"/>
          <w:b/>
          <w:sz w:val="24"/>
        </w:rPr>
      </w:pPr>
      <w:r>
        <w:rPr>
          <w:rStyle w:val="25"/>
          <w:rFonts w:ascii="宋体" w:hAnsi="宋体"/>
          <w:b/>
          <w:sz w:val="24"/>
        </w:rPr>
        <w:t xml:space="preserve">第九条  </w:t>
      </w:r>
      <w:r>
        <w:rPr>
          <w:rStyle w:val="25"/>
          <w:rFonts w:ascii="宋体" w:hAnsi="宋体"/>
          <w:sz w:val="24"/>
        </w:rPr>
        <w:t>违约责任</w:t>
      </w:r>
    </w:p>
    <w:p>
      <w:pPr>
        <w:spacing w:line="360" w:lineRule="auto"/>
        <w:ind w:firstLine="480" w:firstLineChars="200"/>
        <w:rPr>
          <w:rStyle w:val="25"/>
          <w:rFonts w:ascii="宋体" w:hAnsi="宋体"/>
          <w:sz w:val="24"/>
        </w:rPr>
      </w:pPr>
      <w:r>
        <w:rPr>
          <w:rStyle w:val="25"/>
          <w:rFonts w:ascii="宋体" w:hAnsi="宋体"/>
          <w:sz w:val="24"/>
        </w:rPr>
        <w:t>1、一方当事人未按约定履行义务给对方造成直接损失的，应当承担相应责任。</w:t>
      </w:r>
    </w:p>
    <w:p>
      <w:pPr>
        <w:spacing w:line="360" w:lineRule="auto"/>
        <w:ind w:firstLine="480" w:firstLineChars="200"/>
        <w:rPr>
          <w:rStyle w:val="25"/>
          <w:rFonts w:ascii="宋体" w:hAnsi="宋体"/>
          <w:sz w:val="24"/>
        </w:rPr>
      </w:pPr>
      <w:r>
        <w:rPr>
          <w:rStyle w:val="25"/>
          <w:rFonts w:ascii="宋体" w:hAnsi="宋体"/>
          <w:sz w:val="24"/>
        </w:rPr>
        <w:t>2、一方当事人无法继续履行合同，应当及时通知对方，并承担因合同解除而给对方造成的直接经济损失。</w:t>
      </w:r>
    </w:p>
    <w:p>
      <w:pPr>
        <w:numPr>
          <w:ilvl w:val="0"/>
          <w:numId w:val="7"/>
        </w:numPr>
        <w:spacing w:line="360" w:lineRule="auto"/>
        <w:ind w:firstLine="480" w:firstLineChars="200"/>
        <w:rPr>
          <w:rStyle w:val="25"/>
          <w:rFonts w:ascii="宋体" w:hAnsi="宋体"/>
          <w:sz w:val="24"/>
        </w:rPr>
      </w:pPr>
      <w:r>
        <w:rPr>
          <w:rStyle w:val="25"/>
          <w:rFonts w:ascii="宋体" w:hAnsi="宋体"/>
          <w:sz w:val="24"/>
        </w:rPr>
        <w:t>甲方无正当理由未按照约定期限支付费用的，经双方确认为无正当理由</w:t>
      </w:r>
      <w:r>
        <w:rPr>
          <w:rStyle w:val="25"/>
          <w:rFonts w:hint="eastAsia" w:ascii="宋体" w:hAnsi="宋体"/>
          <w:sz w:val="24"/>
        </w:rPr>
        <w:t>每延误一日应当向乙方支付延误部分费用</w:t>
      </w:r>
      <w:r>
        <w:rPr>
          <w:rStyle w:val="25"/>
          <w:rFonts w:hint="eastAsia" w:ascii="宋体" w:hAnsi="宋体"/>
          <w:sz w:val="24"/>
          <w:u w:val="single"/>
        </w:rPr>
        <w:t xml:space="preserve"> 1% </w:t>
      </w:r>
      <w:r>
        <w:rPr>
          <w:rStyle w:val="25"/>
          <w:rFonts w:hint="eastAsia" w:ascii="宋体" w:hAnsi="宋体"/>
          <w:sz w:val="24"/>
        </w:rPr>
        <w:t>的违约金，</w:t>
      </w:r>
      <w:r>
        <w:rPr>
          <w:rStyle w:val="25"/>
          <w:rFonts w:ascii="宋体" w:hAnsi="宋体"/>
          <w:sz w:val="24"/>
        </w:rPr>
        <w:t>延误</w:t>
      </w:r>
      <w:r>
        <w:rPr>
          <w:rStyle w:val="25"/>
          <w:rFonts w:hint="eastAsia" w:ascii="宋体" w:hAnsi="宋体"/>
          <w:sz w:val="24"/>
          <w:u w:val="single"/>
          <w:lang w:val="en-US" w:eastAsia="zh-CN"/>
        </w:rPr>
        <w:t xml:space="preserve"> </w:t>
      </w:r>
      <w:r>
        <w:rPr>
          <w:rStyle w:val="25"/>
          <w:rFonts w:ascii="宋体" w:hAnsi="宋体"/>
          <w:sz w:val="24"/>
          <w:u w:val="single"/>
        </w:rPr>
        <w:t xml:space="preserve">30 </w:t>
      </w:r>
      <w:r>
        <w:rPr>
          <w:rStyle w:val="25"/>
          <w:rFonts w:ascii="宋体" w:hAnsi="宋体"/>
          <w:sz w:val="24"/>
        </w:rPr>
        <w:t>日后乙方有权暂停维保服务，直至费用支付完毕</w:t>
      </w:r>
      <w:r>
        <w:rPr>
          <w:rStyle w:val="25"/>
          <w:rFonts w:hint="eastAsia" w:ascii="宋体" w:hAnsi="宋体"/>
          <w:sz w:val="24"/>
        </w:rPr>
        <w:t>。</w:t>
      </w:r>
      <w:r>
        <w:rPr>
          <w:rStyle w:val="25"/>
          <w:rFonts w:ascii="宋体" w:hAnsi="宋体"/>
          <w:sz w:val="24"/>
        </w:rPr>
        <w:t>超过双方约定期限</w:t>
      </w:r>
      <w:r>
        <w:rPr>
          <w:rStyle w:val="25"/>
          <w:rFonts w:ascii="宋体" w:hAnsi="宋体"/>
          <w:sz w:val="24"/>
          <w:u w:val="single"/>
        </w:rPr>
        <w:t xml:space="preserve"> 90 </w:t>
      </w:r>
      <w:r>
        <w:rPr>
          <w:rStyle w:val="25"/>
          <w:rFonts w:ascii="宋体" w:hAnsi="宋体"/>
          <w:sz w:val="24"/>
        </w:rPr>
        <w:t>日时，本合同自动终止，赔偿事项依照合同法规定执行。</w:t>
      </w:r>
    </w:p>
    <w:p>
      <w:pPr>
        <w:numPr>
          <w:ilvl w:val="0"/>
          <w:numId w:val="7"/>
        </w:numPr>
        <w:spacing w:line="360" w:lineRule="auto"/>
        <w:ind w:firstLine="480" w:firstLineChars="200"/>
        <w:rPr>
          <w:rStyle w:val="25"/>
          <w:rFonts w:ascii="宋体" w:hAnsi="宋体"/>
          <w:sz w:val="24"/>
        </w:rPr>
      </w:pPr>
      <w:r>
        <w:rPr>
          <w:rStyle w:val="25"/>
          <w:rFonts w:ascii="宋体" w:hAnsi="宋体"/>
          <w:sz w:val="24"/>
        </w:rPr>
        <w:t>除维保工作不到位外，因电梯使用管理原因导致人身伤亡或设备损坏、零部件丢失的，由甲方自行承担全部责任。</w:t>
      </w:r>
    </w:p>
    <w:p>
      <w:pPr>
        <w:spacing w:line="360" w:lineRule="auto"/>
        <w:ind w:firstLine="480" w:firstLineChars="200"/>
        <w:rPr>
          <w:rStyle w:val="25"/>
          <w:rFonts w:ascii="宋体" w:hAnsi="宋体"/>
          <w:kern w:val="0"/>
          <w:sz w:val="24"/>
        </w:rPr>
      </w:pPr>
      <w:r>
        <w:rPr>
          <w:rStyle w:val="25"/>
          <w:rFonts w:ascii="宋体" w:hAnsi="宋体"/>
          <w:kern w:val="0"/>
          <w:sz w:val="24"/>
        </w:rPr>
        <w:t>5、若未按乙方的书面要求期限同意更换应该更换的电梯零部件而导致电梯故障或存在安全隐患的，</w:t>
      </w:r>
      <w:r>
        <w:rPr>
          <w:rStyle w:val="25"/>
          <w:rFonts w:ascii="宋体" w:hAnsi="宋体"/>
          <w:sz w:val="24"/>
        </w:rPr>
        <w:t>由甲方</w:t>
      </w:r>
      <w:r>
        <w:rPr>
          <w:rStyle w:val="25"/>
          <w:rFonts w:ascii="宋体" w:hAnsi="宋体"/>
          <w:kern w:val="0"/>
          <w:sz w:val="24"/>
        </w:rPr>
        <w:t>自行承担责任。</w:t>
      </w:r>
    </w:p>
    <w:p>
      <w:pPr>
        <w:spacing w:line="360" w:lineRule="auto"/>
        <w:rPr>
          <w:rStyle w:val="25"/>
          <w:rFonts w:ascii="宋体" w:hAnsi="宋体"/>
          <w:sz w:val="24"/>
        </w:rPr>
      </w:pPr>
      <w:r>
        <w:rPr>
          <w:rStyle w:val="25"/>
          <w:rFonts w:ascii="宋体" w:hAnsi="宋体"/>
          <w:sz w:val="24"/>
        </w:rPr>
        <w:t xml:space="preserve">    6、在电梯维保作业过程中因维保原因导致人身伤亡或设备损坏、零部件丢失的，由乙方承担全部民事责任。</w:t>
      </w:r>
    </w:p>
    <w:p>
      <w:pPr>
        <w:spacing w:line="360" w:lineRule="auto"/>
        <w:ind w:firstLine="480" w:firstLineChars="200"/>
        <w:rPr>
          <w:rStyle w:val="25"/>
          <w:rFonts w:ascii="宋体" w:hAnsi="宋体"/>
          <w:sz w:val="24"/>
          <w:u w:val="single"/>
        </w:rPr>
      </w:pPr>
      <w:r>
        <w:rPr>
          <w:rStyle w:val="25"/>
          <w:rFonts w:ascii="宋体" w:hAnsi="宋体"/>
          <w:sz w:val="24"/>
        </w:rPr>
        <w:t>7、因维保原因导致电梯检验不合格的，由乙方承担电梯复检费用。</w:t>
      </w:r>
    </w:p>
    <w:p>
      <w:pPr>
        <w:spacing w:line="360" w:lineRule="auto"/>
        <w:ind w:firstLine="482" w:firstLineChars="200"/>
        <w:rPr>
          <w:rStyle w:val="25"/>
          <w:rFonts w:ascii="宋体" w:hAnsi="宋体"/>
          <w:b/>
          <w:sz w:val="24"/>
        </w:rPr>
      </w:pPr>
      <w:r>
        <w:rPr>
          <w:rStyle w:val="25"/>
          <w:rFonts w:ascii="宋体" w:hAnsi="宋体"/>
          <w:b/>
          <w:sz w:val="24"/>
        </w:rPr>
        <w:t xml:space="preserve">第十条  </w:t>
      </w:r>
      <w:r>
        <w:rPr>
          <w:rStyle w:val="25"/>
          <w:rFonts w:ascii="宋体" w:hAnsi="宋体"/>
          <w:sz w:val="24"/>
        </w:rPr>
        <w:t>合同的解除</w:t>
      </w:r>
    </w:p>
    <w:p>
      <w:pPr>
        <w:spacing w:line="360" w:lineRule="auto"/>
        <w:ind w:firstLine="480" w:firstLineChars="200"/>
        <w:rPr>
          <w:rStyle w:val="25"/>
          <w:rFonts w:ascii="宋体" w:hAnsi="宋体"/>
          <w:sz w:val="24"/>
        </w:rPr>
      </w:pPr>
      <w:r>
        <w:rPr>
          <w:rStyle w:val="25"/>
          <w:rFonts w:ascii="宋体" w:hAnsi="宋体"/>
          <w:sz w:val="24"/>
        </w:rPr>
        <w:t>（一）甲乙双方协商一致，可以解除合同。</w:t>
      </w:r>
    </w:p>
    <w:p>
      <w:pPr>
        <w:spacing w:line="360" w:lineRule="auto"/>
        <w:ind w:firstLine="480" w:firstLineChars="200"/>
        <w:rPr>
          <w:rStyle w:val="25"/>
          <w:rFonts w:ascii="宋体" w:hAnsi="宋体"/>
          <w:sz w:val="24"/>
        </w:rPr>
      </w:pPr>
      <w:r>
        <w:rPr>
          <w:rStyle w:val="25"/>
          <w:rFonts w:ascii="宋体" w:hAnsi="宋体"/>
          <w:sz w:val="24"/>
        </w:rPr>
        <w:t>（二）任何一方违约导致合同无法继续履行的，另一方可以解除合同。此外</w:t>
      </w:r>
      <w:r>
        <w:rPr>
          <w:rStyle w:val="25"/>
          <w:rFonts w:hint="eastAsia" w:ascii="宋体" w:hAnsi="宋体"/>
          <w:sz w:val="24"/>
          <w:lang w:eastAsia="zh-CN"/>
        </w:rPr>
        <w:t>，</w:t>
      </w:r>
      <w:r>
        <w:rPr>
          <w:rStyle w:val="25"/>
          <w:rFonts w:ascii="宋体" w:hAnsi="宋体"/>
          <w:sz w:val="24"/>
        </w:rPr>
        <w:t>任何一方不得单方解除合同。</w:t>
      </w:r>
    </w:p>
    <w:p>
      <w:pPr>
        <w:spacing w:line="360" w:lineRule="auto"/>
        <w:ind w:firstLine="482" w:firstLineChars="200"/>
        <w:rPr>
          <w:rStyle w:val="25"/>
          <w:rFonts w:ascii="宋体" w:hAnsi="宋体"/>
          <w:b/>
          <w:sz w:val="24"/>
        </w:rPr>
      </w:pPr>
      <w:r>
        <w:rPr>
          <w:rStyle w:val="25"/>
          <w:rFonts w:ascii="宋体" w:hAnsi="宋体"/>
          <w:b/>
          <w:sz w:val="24"/>
        </w:rPr>
        <w:t xml:space="preserve">第十一条  </w:t>
      </w:r>
      <w:r>
        <w:rPr>
          <w:rStyle w:val="25"/>
          <w:rFonts w:ascii="宋体" w:hAnsi="宋体"/>
          <w:sz w:val="24"/>
        </w:rPr>
        <w:t>争议解决方式</w:t>
      </w:r>
    </w:p>
    <w:p>
      <w:pPr>
        <w:spacing w:line="360" w:lineRule="auto"/>
        <w:ind w:firstLine="480" w:firstLineChars="200"/>
        <w:rPr>
          <w:rStyle w:val="25"/>
          <w:rFonts w:ascii="宋体" w:hAnsi="宋体"/>
          <w:sz w:val="24"/>
        </w:rPr>
      </w:pPr>
      <w:r>
        <w:rPr>
          <w:rStyle w:val="25"/>
          <w:rFonts w:ascii="宋体" w:hAnsi="宋体"/>
          <w:sz w:val="24"/>
        </w:rPr>
        <w:t>本合同在履行过程中发生的争议，由双方当事人协商解决或向有关部门申请调解，协商、调解不成的，按照下列第</w:t>
      </w:r>
      <w:r>
        <w:rPr>
          <w:rStyle w:val="25"/>
          <w:rFonts w:ascii="宋体" w:hAnsi="宋体"/>
          <w:sz w:val="24"/>
          <w:u w:val="single"/>
        </w:rPr>
        <w:t>（一）</w:t>
      </w:r>
      <w:r>
        <w:rPr>
          <w:rStyle w:val="25"/>
          <w:rFonts w:ascii="宋体" w:hAnsi="宋体"/>
          <w:sz w:val="24"/>
        </w:rPr>
        <w:t>种方式解决（任选一种）：</w:t>
      </w:r>
    </w:p>
    <w:p>
      <w:pPr>
        <w:spacing w:line="360" w:lineRule="auto"/>
        <w:ind w:firstLine="480" w:firstLineChars="200"/>
        <w:rPr>
          <w:rStyle w:val="25"/>
          <w:rFonts w:ascii="宋体" w:hAnsi="宋体"/>
          <w:sz w:val="24"/>
        </w:rPr>
      </w:pPr>
      <w:r>
        <w:rPr>
          <w:rStyle w:val="25"/>
          <w:rFonts w:ascii="宋体" w:hAnsi="宋体"/>
          <w:sz w:val="24"/>
        </w:rPr>
        <w:t xml:space="preserve">（一）依法向 </w:t>
      </w:r>
      <w:r>
        <w:rPr>
          <w:rStyle w:val="25"/>
          <w:rFonts w:ascii="宋体" w:hAnsi="宋体"/>
          <w:sz w:val="24"/>
          <w:u w:val="single"/>
        </w:rPr>
        <w:t xml:space="preserve"> 当地 </w:t>
      </w:r>
      <w:r>
        <w:rPr>
          <w:rStyle w:val="25"/>
          <w:rFonts w:ascii="宋体" w:hAnsi="宋体"/>
          <w:sz w:val="24"/>
        </w:rPr>
        <w:t>人民法院起诉；</w:t>
      </w:r>
    </w:p>
    <w:p>
      <w:pPr>
        <w:spacing w:line="360" w:lineRule="auto"/>
        <w:ind w:firstLine="480" w:firstLineChars="200"/>
        <w:rPr>
          <w:rStyle w:val="25"/>
          <w:rFonts w:ascii="宋体" w:hAnsi="宋体"/>
          <w:sz w:val="24"/>
        </w:rPr>
      </w:pPr>
      <w:r>
        <w:rPr>
          <w:rStyle w:val="25"/>
          <w:rFonts w:ascii="宋体" w:hAnsi="宋体"/>
          <w:sz w:val="24"/>
        </w:rPr>
        <w:t xml:space="preserve">（二）提交 </w:t>
      </w:r>
      <w:r>
        <w:rPr>
          <w:rStyle w:val="25"/>
          <w:rFonts w:ascii="宋体" w:hAnsi="宋体"/>
          <w:sz w:val="24"/>
          <w:u w:val="single"/>
        </w:rPr>
        <w:t xml:space="preserve">          </w:t>
      </w:r>
      <w:r>
        <w:rPr>
          <w:rStyle w:val="25"/>
          <w:rFonts w:ascii="宋体" w:hAnsi="宋体"/>
          <w:sz w:val="24"/>
        </w:rPr>
        <w:t>仲裁委员会仲裁。</w:t>
      </w:r>
    </w:p>
    <w:p>
      <w:pPr>
        <w:spacing w:line="360" w:lineRule="auto"/>
        <w:ind w:firstLine="482" w:firstLineChars="200"/>
        <w:rPr>
          <w:rStyle w:val="25"/>
          <w:rFonts w:ascii="宋体" w:hAnsi="宋体"/>
          <w:b/>
          <w:sz w:val="24"/>
        </w:rPr>
      </w:pPr>
      <w:r>
        <w:rPr>
          <w:rStyle w:val="25"/>
          <w:rFonts w:ascii="宋体" w:hAnsi="宋体"/>
          <w:b/>
          <w:sz w:val="24"/>
        </w:rPr>
        <w:t xml:space="preserve">第十二条 </w:t>
      </w:r>
      <w:r>
        <w:rPr>
          <w:rStyle w:val="25"/>
          <w:rFonts w:ascii="宋体" w:hAnsi="宋体"/>
          <w:sz w:val="24"/>
        </w:rPr>
        <w:t xml:space="preserve"> 附则</w:t>
      </w:r>
    </w:p>
    <w:p>
      <w:pPr>
        <w:spacing w:line="360" w:lineRule="auto"/>
        <w:ind w:left="1" w:firstLine="477" w:firstLineChars="199"/>
        <w:rPr>
          <w:rStyle w:val="25"/>
          <w:rFonts w:ascii="宋体" w:hAnsi="宋体"/>
          <w:sz w:val="24"/>
          <w:u w:val="single"/>
        </w:rPr>
      </w:pPr>
      <w:r>
        <w:rPr>
          <w:rStyle w:val="25"/>
          <w:rFonts w:ascii="宋体" w:hAnsi="宋体"/>
          <w:sz w:val="24"/>
        </w:rPr>
        <w:t>本合同生效后，双方对合同内容的变更或补充应采取书面形式，并经双方签字盖章确认，作为本合同的附件。附件与本合同具有同等的法律效力。</w:t>
      </w:r>
    </w:p>
    <w:p>
      <w:pPr>
        <w:spacing w:line="360" w:lineRule="auto"/>
        <w:ind w:firstLine="600" w:firstLineChars="250"/>
        <w:rPr>
          <w:rStyle w:val="25"/>
          <w:rFonts w:ascii="宋体" w:hAnsi="宋体"/>
          <w:sz w:val="24"/>
        </w:rPr>
      </w:pPr>
      <w:r>
        <w:rPr>
          <w:rStyle w:val="25"/>
          <w:rFonts w:ascii="宋体" w:hAnsi="宋体"/>
          <w:sz w:val="24"/>
        </w:rPr>
        <w:t>本合同一式</w:t>
      </w:r>
      <w:r>
        <w:rPr>
          <w:rStyle w:val="25"/>
          <w:rFonts w:ascii="宋体" w:hAnsi="宋体"/>
          <w:sz w:val="24"/>
          <w:u w:val="single"/>
        </w:rPr>
        <w:t xml:space="preserve"> </w:t>
      </w:r>
      <w:r>
        <w:rPr>
          <w:rStyle w:val="25"/>
          <w:rFonts w:hint="eastAsia" w:ascii="宋体" w:hAnsi="宋体"/>
          <w:sz w:val="24"/>
          <w:u w:val="single"/>
        </w:rPr>
        <w:t>肆</w:t>
      </w:r>
      <w:r>
        <w:rPr>
          <w:rStyle w:val="25"/>
          <w:rFonts w:ascii="宋体" w:hAnsi="宋体"/>
          <w:sz w:val="24"/>
          <w:u w:val="single"/>
        </w:rPr>
        <w:t xml:space="preserve"> </w:t>
      </w:r>
      <w:r>
        <w:rPr>
          <w:rStyle w:val="25"/>
          <w:rFonts w:ascii="宋体" w:hAnsi="宋体"/>
          <w:sz w:val="24"/>
        </w:rPr>
        <w:t>份，甲方执</w:t>
      </w:r>
      <w:r>
        <w:rPr>
          <w:rStyle w:val="25"/>
          <w:rFonts w:ascii="宋体" w:hAnsi="宋体"/>
          <w:sz w:val="24"/>
          <w:u w:val="single"/>
        </w:rPr>
        <w:t xml:space="preserve"> 贰 </w:t>
      </w:r>
      <w:r>
        <w:rPr>
          <w:rStyle w:val="25"/>
          <w:rFonts w:ascii="宋体" w:hAnsi="宋体"/>
          <w:sz w:val="24"/>
        </w:rPr>
        <w:t>份，乙方执</w:t>
      </w:r>
      <w:r>
        <w:rPr>
          <w:rStyle w:val="25"/>
          <w:rFonts w:ascii="宋体" w:hAnsi="宋体"/>
          <w:sz w:val="24"/>
          <w:u w:val="single"/>
        </w:rPr>
        <w:t xml:space="preserve"> 贰 </w:t>
      </w:r>
      <w:r>
        <w:rPr>
          <w:rStyle w:val="25"/>
          <w:rFonts w:ascii="宋体" w:hAnsi="宋体"/>
          <w:sz w:val="24"/>
        </w:rPr>
        <w:t>份，具有同等法律效力。</w:t>
      </w:r>
    </w:p>
    <w:p>
      <w:pPr>
        <w:pStyle w:val="26"/>
      </w:pPr>
    </w:p>
    <w:p>
      <w:pPr>
        <w:spacing w:line="360" w:lineRule="auto"/>
        <w:rPr>
          <w:rStyle w:val="25"/>
          <w:rFonts w:ascii="宋体" w:hAnsi="宋体"/>
          <w:kern w:val="0"/>
          <w:sz w:val="24"/>
        </w:rPr>
      </w:pPr>
      <w:r>
        <w:rPr>
          <w:rStyle w:val="25"/>
          <w:rFonts w:ascii="宋体" w:hAnsi="宋体"/>
          <w:b/>
          <w:sz w:val="24"/>
        </w:rPr>
        <w:t>甲方：（签章）                          乙方：（签章）</w:t>
      </w:r>
      <w:r>
        <w:rPr>
          <w:rStyle w:val="25"/>
          <w:rFonts w:ascii="宋体" w:hAnsi="宋体"/>
          <w:kern w:val="0"/>
          <w:sz w:val="24"/>
        </w:rPr>
        <w:t xml:space="preserve">                      </w:t>
      </w:r>
      <w:r>
        <w:rPr>
          <w:rStyle w:val="25"/>
          <w:rFonts w:ascii="宋体" w:hAnsi="宋体"/>
          <w:sz w:val="24"/>
        </w:rPr>
        <w:t xml:space="preserve">                              </w:t>
      </w:r>
    </w:p>
    <w:p>
      <w:pPr>
        <w:spacing w:line="360" w:lineRule="auto"/>
        <w:rPr>
          <w:rStyle w:val="25"/>
          <w:rFonts w:ascii="宋体" w:hAnsi="宋体"/>
          <w:kern w:val="0"/>
          <w:sz w:val="24"/>
        </w:rPr>
      </w:pPr>
      <w:r>
        <w:rPr>
          <w:rStyle w:val="25"/>
          <w:rFonts w:ascii="宋体" w:hAnsi="宋体"/>
          <w:kern w:val="0"/>
          <w:sz w:val="24"/>
        </w:rPr>
        <w:t>法定代表人或委托代理人：               法定代表人或委托代理人：</w:t>
      </w:r>
    </w:p>
    <w:p>
      <w:pPr>
        <w:spacing w:line="360" w:lineRule="auto"/>
        <w:rPr>
          <w:rStyle w:val="25"/>
          <w:rFonts w:ascii="宋体" w:hAnsi="宋体"/>
          <w:kern w:val="0"/>
          <w:sz w:val="24"/>
        </w:rPr>
      </w:pPr>
    </w:p>
    <w:p>
      <w:pPr>
        <w:spacing w:line="360" w:lineRule="auto"/>
        <w:rPr>
          <w:rStyle w:val="25"/>
          <w:rFonts w:ascii="宋体" w:hAnsi="宋体"/>
          <w:kern w:val="0"/>
          <w:sz w:val="24"/>
        </w:rPr>
      </w:pPr>
      <w:r>
        <w:rPr>
          <w:rStyle w:val="25"/>
          <w:rFonts w:ascii="宋体" w:hAnsi="宋体"/>
          <w:kern w:val="0"/>
          <w:sz w:val="24"/>
        </w:rPr>
        <w:t>联系电话：                             联系电话：</w:t>
      </w:r>
    </w:p>
    <w:p>
      <w:pPr>
        <w:spacing w:line="360" w:lineRule="auto"/>
        <w:rPr>
          <w:rStyle w:val="25"/>
          <w:rFonts w:ascii="宋体" w:hAnsi="宋体"/>
          <w:kern w:val="0"/>
          <w:sz w:val="24"/>
        </w:rPr>
      </w:pPr>
      <w:r>
        <w:rPr>
          <w:rStyle w:val="25"/>
          <w:rFonts w:ascii="宋体" w:hAnsi="宋体"/>
          <w:kern w:val="0"/>
          <w:sz w:val="24"/>
        </w:rPr>
        <w:t xml:space="preserve">传真：                                 传真：   </w:t>
      </w:r>
    </w:p>
    <w:p>
      <w:pPr>
        <w:ind w:left="5760" w:hanging="5760"/>
        <w:rPr>
          <w:rStyle w:val="25"/>
          <w:rFonts w:ascii="宋体" w:hAnsi="宋体"/>
          <w:kern w:val="0"/>
          <w:sz w:val="24"/>
        </w:rPr>
      </w:pPr>
      <w:r>
        <w:rPr>
          <w:rStyle w:val="25"/>
          <w:rFonts w:ascii="宋体" w:hAnsi="宋体"/>
          <w:kern w:val="0"/>
          <w:sz w:val="24"/>
        </w:rPr>
        <w:t xml:space="preserve">开户银行：                             开户银行： </w:t>
      </w:r>
    </w:p>
    <w:p>
      <w:pPr>
        <w:spacing w:line="360" w:lineRule="auto"/>
        <w:rPr>
          <w:rStyle w:val="25"/>
          <w:rFonts w:ascii="宋体" w:hAnsi="宋体"/>
          <w:kern w:val="0"/>
          <w:sz w:val="24"/>
        </w:rPr>
      </w:pPr>
      <w:r>
        <w:rPr>
          <w:rStyle w:val="25"/>
          <w:rFonts w:ascii="宋体" w:hAnsi="宋体"/>
          <w:kern w:val="0"/>
          <w:sz w:val="24"/>
        </w:rPr>
        <w:t xml:space="preserve">账号：                                 账号： </w:t>
      </w:r>
    </w:p>
    <w:p>
      <w:pPr>
        <w:spacing w:line="360" w:lineRule="auto"/>
        <w:rPr>
          <w:rStyle w:val="25"/>
          <w:rFonts w:ascii="宋体" w:hAnsi="宋体"/>
          <w:kern w:val="0"/>
          <w:sz w:val="24"/>
        </w:rPr>
      </w:pPr>
    </w:p>
    <w:p>
      <w:pPr>
        <w:spacing w:line="360" w:lineRule="auto"/>
      </w:pPr>
      <w:r>
        <w:rPr>
          <w:rStyle w:val="25"/>
          <w:rFonts w:ascii="宋体" w:hAnsi="宋体"/>
          <w:kern w:val="0"/>
          <w:sz w:val="24"/>
        </w:rPr>
        <w:t xml:space="preserve"> 年    月    日                           年    月    日</w:t>
      </w:r>
    </w:p>
    <w:p>
      <w:pPr>
        <w:pStyle w:val="2"/>
      </w:pPr>
    </w:p>
    <w:p>
      <w:pPr>
        <w:spacing w:line="440" w:lineRule="exact"/>
        <w:rPr>
          <w:rFonts w:ascii="宋体" w:hAnsi="宋体" w:cs="宋体"/>
          <w:kern w:val="0"/>
          <w:sz w:val="24"/>
        </w:rPr>
      </w:pPr>
      <w:r>
        <w:rPr>
          <w:rFonts w:hint="eastAsia" w:ascii="宋体" w:hAnsi="宋体"/>
          <w:sz w:val="24"/>
        </w:rPr>
        <w:t xml:space="preserve">                            </w:t>
      </w:r>
    </w:p>
    <w:p>
      <w:pPr>
        <w:spacing w:line="440" w:lineRule="exact"/>
        <w:rPr>
          <w:rFonts w:hint="eastAsia" w:ascii="宋体" w:hAnsi="宋体"/>
          <w:b/>
          <w:sz w:val="24"/>
        </w:rPr>
      </w:pPr>
      <w:r>
        <w:rPr>
          <w:rFonts w:hint="eastAsia" w:ascii="宋体" w:hAnsi="宋体" w:cs="宋体"/>
          <w:kern w:val="0"/>
          <w:sz w:val="24"/>
        </w:rPr>
        <w:t xml:space="preserve">    </w:t>
      </w:r>
    </w:p>
    <w:p>
      <w:pPr>
        <w:widowControl/>
        <w:tabs>
          <w:tab w:val="center" w:pos="4568"/>
          <w:tab w:val="left" w:pos="7410"/>
          <w:tab w:val="right" w:pos="9136"/>
        </w:tabs>
        <w:autoSpaceDE w:val="0"/>
        <w:autoSpaceDN w:val="0"/>
        <w:spacing w:line="560" w:lineRule="exact"/>
        <w:jc w:val="center"/>
        <w:textAlignment w:val="bottom"/>
        <w:rPr>
          <w:rFonts w:ascii="宋体" w:hAnsi="宋体"/>
          <w:b/>
          <w:sz w:val="36"/>
          <w:szCs w:val="36"/>
        </w:rPr>
        <w:sectPr>
          <w:pgSz w:w="11906" w:h="16838"/>
          <w:pgMar w:top="1440" w:right="1080" w:bottom="1440" w:left="1080" w:header="851" w:footer="992" w:gutter="0"/>
          <w:cols w:space="720" w:num="1"/>
          <w:docGrid w:linePitch="312" w:charSpace="0"/>
        </w:sectPr>
      </w:pPr>
    </w:p>
    <w:p>
      <w:pPr>
        <w:spacing w:line="360" w:lineRule="auto"/>
        <w:ind w:firstLine="480" w:firstLineChars="200"/>
        <w:rPr>
          <w:rFonts w:hint="eastAsia" w:ascii="仿宋_GB2312" w:eastAsia="仿宋_GB2312"/>
          <w:b/>
          <w:sz w:val="24"/>
        </w:rPr>
      </w:pPr>
      <w:r>
        <w:rPr>
          <w:rFonts w:hint="eastAsia" w:ascii="仿宋_GB2312" w:eastAsia="仿宋_GB2312"/>
          <w:b/>
          <w:sz w:val="24"/>
        </w:rPr>
        <w:t xml:space="preserve">附件一： </w:t>
      </w:r>
    </w:p>
    <w:p>
      <w:pPr>
        <w:spacing w:line="360" w:lineRule="auto"/>
        <w:jc w:val="center"/>
        <w:rPr>
          <w:rFonts w:hint="eastAsia" w:ascii="仿宋_GB2312" w:hAnsi="宋体" w:eastAsia="仿宋_GB2312"/>
          <w:b/>
          <w:sz w:val="32"/>
          <w:szCs w:val="32"/>
        </w:rPr>
      </w:pPr>
      <w:r>
        <w:rPr>
          <w:rFonts w:hint="eastAsia" w:ascii="仿宋_GB2312" w:hAnsi="宋体" w:eastAsia="仿宋_GB2312"/>
          <w:b/>
          <w:sz w:val="32"/>
          <w:szCs w:val="32"/>
        </w:rPr>
        <w:t>电梯保养时间及保养费明细表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781"/>
        <w:gridCol w:w="1845"/>
        <w:gridCol w:w="1845"/>
        <w:gridCol w:w="1866"/>
        <w:gridCol w:w="2200"/>
        <w:gridCol w:w="781"/>
        <w:gridCol w:w="781"/>
        <w:gridCol w:w="781"/>
        <w:gridCol w:w="781"/>
        <w:gridCol w:w="2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886" w:type="dxa"/>
            <w:vMerge w:val="restart"/>
            <w:noWrap w:val="0"/>
            <w:vAlign w:val="center"/>
          </w:tcPr>
          <w:p>
            <w:pPr>
              <w:spacing w:line="520" w:lineRule="exact"/>
              <w:jc w:val="center"/>
              <w:rPr>
                <w:rFonts w:hint="eastAsia"/>
                <w:b/>
              </w:rPr>
            </w:pPr>
            <w:r>
              <w:rPr>
                <w:rFonts w:hint="eastAsia"/>
                <w:b/>
              </w:rPr>
              <w:t>序号</w:t>
            </w:r>
          </w:p>
        </w:tc>
        <w:tc>
          <w:tcPr>
            <w:tcW w:w="781" w:type="dxa"/>
            <w:vMerge w:val="restart"/>
            <w:noWrap w:val="0"/>
            <w:vAlign w:val="center"/>
          </w:tcPr>
          <w:p>
            <w:pPr>
              <w:spacing w:line="520" w:lineRule="exact"/>
              <w:jc w:val="center"/>
              <w:rPr>
                <w:rFonts w:hint="eastAsia"/>
                <w:b/>
              </w:rPr>
            </w:pPr>
            <w:r>
              <w:rPr>
                <w:rFonts w:hint="eastAsia"/>
                <w:b/>
              </w:rPr>
              <w:t>梯号</w:t>
            </w:r>
          </w:p>
        </w:tc>
        <w:tc>
          <w:tcPr>
            <w:tcW w:w="1845" w:type="dxa"/>
            <w:vMerge w:val="restart"/>
            <w:noWrap w:val="0"/>
            <w:vAlign w:val="center"/>
          </w:tcPr>
          <w:p>
            <w:pPr>
              <w:spacing w:line="520" w:lineRule="exact"/>
              <w:jc w:val="center"/>
              <w:rPr>
                <w:rFonts w:hint="eastAsia"/>
                <w:b/>
              </w:rPr>
            </w:pPr>
            <w:r>
              <w:rPr>
                <w:rFonts w:hint="eastAsia"/>
                <w:b/>
              </w:rPr>
              <w:t>注册代码</w:t>
            </w:r>
          </w:p>
        </w:tc>
        <w:tc>
          <w:tcPr>
            <w:tcW w:w="1845" w:type="dxa"/>
            <w:vMerge w:val="restart"/>
            <w:noWrap w:val="0"/>
            <w:vAlign w:val="center"/>
          </w:tcPr>
          <w:p>
            <w:pPr>
              <w:spacing w:line="520" w:lineRule="exact"/>
              <w:jc w:val="center"/>
              <w:rPr>
                <w:rFonts w:hint="eastAsia"/>
                <w:b/>
              </w:rPr>
            </w:pPr>
            <w:r>
              <w:rPr>
                <w:rFonts w:hint="eastAsia"/>
                <w:b/>
              </w:rPr>
              <w:t>规格型号</w:t>
            </w:r>
          </w:p>
        </w:tc>
        <w:tc>
          <w:tcPr>
            <w:tcW w:w="1866" w:type="dxa"/>
            <w:vMerge w:val="restart"/>
            <w:noWrap w:val="0"/>
            <w:vAlign w:val="center"/>
          </w:tcPr>
          <w:p>
            <w:pPr>
              <w:spacing w:line="520" w:lineRule="exact"/>
              <w:jc w:val="center"/>
              <w:rPr>
                <w:rFonts w:hint="eastAsia"/>
                <w:b/>
              </w:rPr>
            </w:pPr>
            <w:r>
              <w:rPr>
                <w:rFonts w:hint="eastAsia"/>
                <w:b/>
              </w:rPr>
              <w:t>（层/站/门）</w:t>
            </w:r>
          </w:p>
          <w:p>
            <w:pPr>
              <w:spacing w:line="520" w:lineRule="exact"/>
              <w:jc w:val="center"/>
              <w:rPr>
                <w:rFonts w:hint="eastAsia"/>
                <w:b/>
              </w:rPr>
            </w:pPr>
            <w:r>
              <w:rPr>
                <w:rFonts w:hint="eastAsia"/>
                <w:b/>
              </w:rPr>
              <w:t>（提升高度/角度）</w:t>
            </w:r>
          </w:p>
        </w:tc>
        <w:tc>
          <w:tcPr>
            <w:tcW w:w="2200" w:type="dxa"/>
            <w:vMerge w:val="restart"/>
            <w:noWrap w:val="0"/>
            <w:vAlign w:val="center"/>
          </w:tcPr>
          <w:p>
            <w:pPr>
              <w:spacing w:line="520" w:lineRule="exact"/>
              <w:jc w:val="center"/>
              <w:rPr>
                <w:rFonts w:hint="eastAsia"/>
                <w:b/>
              </w:rPr>
            </w:pPr>
            <w:r>
              <w:rPr>
                <w:rFonts w:hint="eastAsia"/>
                <w:b/>
              </w:rPr>
              <w:t>安装地点</w:t>
            </w:r>
          </w:p>
        </w:tc>
        <w:tc>
          <w:tcPr>
            <w:tcW w:w="3124" w:type="dxa"/>
            <w:gridSpan w:val="4"/>
            <w:noWrap w:val="0"/>
            <w:vAlign w:val="center"/>
          </w:tcPr>
          <w:p>
            <w:pPr>
              <w:spacing w:line="520" w:lineRule="exact"/>
              <w:jc w:val="center"/>
              <w:rPr>
                <w:rFonts w:hint="eastAsia"/>
                <w:b/>
              </w:rPr>
            </w:pPr>
            <w:r>
              <w:rPr>
                <w:rFonts w:hint="eastAsia"/>
                <w:b/>
              </w:rPr>
              <w:t>保养时间(分钟)</w:t>
            </w:r>
          </w:p>
        </w:tc>
        <w:tc>
          <w:tcPr>
            <w:tcW w:w="2239" w:type="dxa"/>
            <w:vMerge w:val="restart"/>
            <w:noWrap w:val="0"/>
            <w:vAlign w:val="center"/>
          </w:tcPr>
          <w:p>
            <w:pPr>
              <w:spacing w:line="520" w:lineRule="exact"/>
              <w:jc w:val="center"/>
              <w:rPr>
                <w:rFonts w:hint="eastAsia"/>
                <w:b/>
              </w:rPr>
            </w:pPr>
            <w:r>
              <w:rPr>
                <w:rFonts w:hint="eastAsia"/>
                <w:b/>
              </w:rPr>
              <w:t>保养金额（元/月）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886" w:type="dxa"/>
            <w:vMerge w:val="continue"/>
            <w:noWrap w:val="0"/>
            <w:vAlign w:val="center"/>
          </w:tcPr>
          <w:p>
            <w:pPr>
              <w:spacing w:line="520" w:lineRule="exact"/>
              <w:jc w:val="center"/>
              <w:rPr>
                <w:rFonts w:hint="eastAsia"/>
                <w:b/>
              </w:rPr>
            </w:pPr>
          </w:p>
        </w:tc>
        <w:tc>
          <w:tcPr>
            <w:tcW w:w="781" w:type="dxa"/>
            <w:vMerge w:val="continue"/>
            <w:noWrap w:val="0"/>
            <w:vAlign w:val="center"/>
          </w:tcPr>
          <w:p>
            <w:pPr>
              <w:spacing w:line="520" w:lineRule="exact"/>
              <w:jc w:val="center"/>
              <w:rPr>
                <w:rFonts w:hint="eastAsia"/>
                <w:b/>
              </w:rPr>
            </w:pPr>
          </w:p>
        </w:tc>
        <w:tc>
          <w:tcPr>
            <w:tcW w:w="1845" w:type="dxa"/>
            <w:vMerge w:val="continue"/>
            <w:noWrap w:val="0"/>
            <w:vAlign w:val="center"/>
          </w:tcPr>
          <w:p>
            <w:pPr>
              <w:spacing w:line="520" w:lineRule="exact"/>
              <w:jc w:val="center"/>
              <w:rPr>
                <w:rFonts w:hint="eastAsia"/>
                <w:b/>
              </w:rPr>
            </w:pPr>
          </w:p>
        </w:tc>
        <w:tc>
          <w:tcPr>
            <w:tcW w:w="1845" w:type="dxa"/>
            <w:vMerge w:val="continue"/>
            <w:noWrap w:val="0"/>
            <w:vAlign w:val="center"/>
          </w:tcPr>
          <w:p>
            <w:pPr>
              <w:spacing w:line="520" w:lineRule="exact"/>
              <w:jc w:val="center"/>
              <w:rPr>
                <w:rFonts w:hint="eastAsia"/>
                <w:b/>
              </w:rPr>
            </w:pPr>
          </w:p>
        </w:tc>
        <w:tc>
          <w:tcPr>
            <w:tcW w:w="1866" w:type="dxa"/>
            <w:vMerge w:val="continue"/>
            <w:noWrap w:val="0"/>
            <w:vAlign w:val="center"/>
          </w:tcPr>
          <w:p>
            <w:pPr>
              <w:spacing w:line="520" w:lineRule="exact"/>
              <w:jc w:val="center"/>
              <w:rPr>
                <w:rFonts w:hint="eastAsia"/>
                <w:b/>
              </w:rPr>
            </w:pPr>
          </w:p>
        </w:tc>
        <w:tc>
          <w:tcPr>
            <w:tcW w:w="2200" w:type="dxa"/>
            <w:vMerge w:val="continue"/>
            <w:noWrap w:val="0"/>
            <w:vAlign w:val="center"/>
          </w:tcPr>
          <w:p>
            <w:pPr>
              <w:spacing w:line="520" w:lineRule="exact"/>
              <w:jc w:val="center"/>
              <w:rPr>
                <w:rFonts w:hint="eastAsia"/>
                <w:b/>
              </w:rPr>
            </w:pPr>
          </w:p>
        </w:tc>
        <w:tc>
          <w:tcPr>
            <w:tcW w:w="781" w:type="dxa"/>
            <w:noWrap w:val="0"/>
            <w:vAlign w:val="center"/>
          </w:tcPr>
          <w:p>
            <w:pPr>
              <w:spacing w:line="520" w:lineRule="exact"/>
              <w:jc w:val="center"/>
              <w:rPr>
                <w:rFonts w:hint="eastAsia"/>
                <w:b/>
              </w:rPr>
            </w:pPr>
            <w:r>
              <w:rPr>
                <w:rFonts w:hint="eastAsia"/>
                <w:b/>
              </w:rPr>
              <w:t>半月</w:t>
            </w:r>
          </w:p>
        </w:tc>
        <w:tc>
          <w:tcPr>
            <w:tcW w:w="781" w:type="dxa"/>
            <w:noWrap w:val="0"/>
            <w:vAlign w:val="center"/>
          </w:tcPr>
          <w:p>
            <w:pPr>
              <w:spacing w:line="520" w:lineRule="exact"/>
              <w:jc w:val="center"/>
              <w:rPr>
                <w:rFonts w:hint="eastAsia"/>
                <w:b/>
              </w:rPr>
            </w:pPr>
            <w:r>
              <w:rPr>
                <w:rFonts w:hint="eastAsia"/>
                <w:b/>
              </w:rPr>
              <w:t>季度</w:t>
            </w:r>
          </w:p>
        </w:tc>
        <w:tc>
          <w:tcPr>
            <w:tcW w:w="781" w:type="dxa"/>
            <w:noWrap w:val="0"/>
            <w:vAlign w:val="center"/>
          </w:tcPr>
          <w:p>
            <w:pPr>
              <w:spacing w:line="520" w:lineRule="exact"/>
              <w:jc w:val="center"/>
              <w:rPr>
                <w:rFonts w:hint="eastAsia"/>
                <w:b/>
              </w:rPr>
            </w:pPr>
            <w:r>
              <w:rPr>
                <w:rFonts w:hint="eastAsia"/>
                <w:b/>
              </w:rPr>
              <w:t>半年</w:t>
            </w:r>
          </w:p>
        </w:tc>
        <w:tc>
          <w:tcPr>
            <w:tcW w:w="781" w:type="dxa"/>
            <w:noWrap w:val="0"/>
            <w:vAlign w:val="center"/>
          </w:tcPr>
          <w:p>
            <w:pPr>
              <w:spacing w:line="520" w:lineRule="exact"/>
              <w:jc w:val="center"/>
              <w:rPr>
                <w:rFonts w:hint="eastAsia"/>
                <w:b/>
              </w:rPr>
            </w:pPr>
            <w:r>
              <w:rPr>
                <w:rFonts w:hint="eastAsia"/>
                <w:b/>
              </w:rPr>
              <w:t>一年</w:t>
            </w:r>
          </w:p>
        </w:tc>
        <w:tc>
          <w:tcPr>
            <w:tcW w:w="2239" w:type="dxa"/>
            <w:vMerge w:val="continue"/>
            <w:noWrap w:val="0"/>
            <w:vAlign w:val="center"/>
          </w:tcPr>
          <w:p>
            <w:pPr>
              <w:spacing w:line="520" w:lineRule="exact"/>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noWrap w:val="0"/>
            <w:vAlign w:val="center"/>
          </w:tcPr>
          <w:p>
            <w:pPr>
              <w:spacing w:line="520" w:lineRule="exact"/>
              <w:jc w:val="center"/>
              <w:rPr>
                <w:rFonts w:hint="eastAsia"/>
                <w:b/>
              </w:rPr>
            </w:pPr>
          </w:p>
        </w:tc>
        <w:tc>
          <w:tcPr>
            <w:tcW w:w="781" w:type="dxa"/>
            <w:noWrap w:val="0"/>
            <w:vAlign w:val="center"/>
          </w:tcPr>
          <w:p>
            <w:pPr>
              <w:spacing w:line="520" w:lineRule="exact"/>
              <w:jc w:val="center"/>
              <w:rPr>
                <w:rFonts w:hint="eastAsia"/>
                <w:b/>
              </w:rPr>
            </w:pPr>
          </w:p>
        </w:tc>
        <w:tc>
          <w:tcPr>
            <w:tcW w:w="1845" w:type="dxa"/>
            <w:noWrap w:val="0"/>
            <w:vAlign w:val="center"/>
          </w:tcPr>
          <w:p>
            <w:pPr>
              <w:spacing w:line="520" w:lineRule="exact"/>
              <w:jc w:val="center"/>
              <w:rPr>
                <w:rFonts w:hint="eastAsia"/>
                <w:b/>
              </w:rPr>
            </w:pPr>
          </w:p>
        </w:tc>
        <w:tc>
          <w:tcPr>
            <w:tcW w:w="1845" w:type="dxa"/>
            <w:noWrap w:val="0"/>
            <w:vAlign w:val="center"/>
          </w:tcPr>
          <w:p>
            <w:pPr>
              <w:spacing w:line="520" w:lineRule="exact"/>
              <w:jc w:val="center"/>
              <w:rPr>
                <w:rFonts w:hint="eastAsia"/>
                <w:b/>
              </w:rPr>
            </w:pPr>
          </w:p>
        </w:tc>
        <w:tc>
          <w:tcPr>
            <w:tcW w:w="1866" w:type="dxa"/>
            <w:noWrap w:val="0"/>
            <w:vAlign w:val="center"/>
          </w:tcPr>
          <w:p>
            <w:pPr>
              <w:spacing w:line="520" w:lineRule="exact"/>
              <w:jc w:val="center"/>
              <w:rPr>
                <w:rFonts w:hint="eastAsia"/>
                <w:b/>
              </w:rPr>
            </w:pPr>
          </w:p>
        </w:tc>
        <w:tc>
          <w:tcPr>
            <w:tcW w:w="2200" w:type="dxa"/>
            <w:noWrap w:val="0"/>
            <w:vAlign w:val="center"/>
          </w:tcPr>
          <w:p>
            <w:pPr>
              <w:spacing w:line="520" w:lineRule="exact"/>
              <w:jc w:val="center"/>
              <w:rPr>
                <w:rFonts w:hint="eastAsia"/>
                <w:b/>
              </w:rPr>
            </w:pPr>
          </w:p>
        </w:tc>
        <w:tc>
          <w:tcPr>
            <w:tcW w:w="781" w:type="dxa"/>
            <w:noWrap w:val="0"/>
            <w:vAlign w:val="center"/>
          </w:tcPr>
          <w:p>
            <w:pPr>
              <w:spacing w:line="520" w:lineRule="exact"/>
              <w:jc w:val="center"/>
              <w:rPr>
                <w:rFonts w:hint="eastAsia"/>
                <w:b/>
              </w:rPr>
            </w:pPr>
          </w:p>
        </w:tc>
        <w:tc>
          <w:tcPr>
            <w:tcW w:w="781" w:type="dxa"/>
            <w:noWrap w:val="0"/>
            <w:vAlign w:val="center"/>
          </w:tcPr>
          <w:p>
            <w:pPr>
              <w:spacing w:line="520" w:lineRule="exact"/>
              <w:jc w:val="center"/>
              <w:rPr>
                <w:rFonts w:hint="eastAsia"/>
                <w:b/>
              </w:rPr>
            </w:pPr>
          </w:p>
        </w:tc>
        <w:tc>
          <w:tcPr>
            <w:tcW w:w="781" w:type="dxa"/>
            <w:noWrap w:val="0"/>
            <w:vAlign w:val="center"/>
          </w:tcPr>
          <w:p>
            <w:pPr>
              <w:spacing w:line="520" w:lineRule="exact"/>
              <w:jc w:val="center"/>
              <w:rPr>
                <w:rFonts w:hint="eastAsia"/>
                <w:b/>
              </w:rPr>
            </w:pPr>
          </w:p>
        </w:tc>
        <w:tc>
          <w:tcPr>
            <w:tcW w:w="781" w:type="dxa"/>
            <w:noWrap w:val="0"/>
            <w:vAlign w:val="center"/>
          </w:tcPr>
          <w:p>
            <w:pPr>
              <w:spacing w:line="520" w:lineRule="exact"/>
              <w:jc w:val="center"/>
              <w:rPr>
                <w:rFonts w:hint="eastAsia"/>
                <w:b/>
              </w:rPr>
            </w:pPr>
          </w:p>
        </w:tc>
        <w:tc>
          <w:tcPr>
            <w:tcW w:w="2239" w:type="dxa"/>
            <w:noWrap w:val="0"/>
            <w:vAlign w:val="center"/>
          </w:tcPr>
          <w:p>
            <w:pPr>
              <w:spacing w:line="520" w:lineRule="exact"/>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noWrap w:val="0"/>
            <w:vAlign w:val="center"/>
          </w:tcPr>
          <w:p>
            <w:pPr>
              <w:spacing w:line="520" w:lineRule="exact"/>
              <w:jc w:val="center"/>
              <w:rPr>
                <w:rFonts w:hint="eastAsia"/>
                <w:b/>
              </w:rPr>
            </w:pPr>
          </w:p>
        </w:tc>
        <w:tc>
          <w:tcPr>
            <w:tcW w:w="781" w:type="dxa"/>
            <w:noWrap w:val="0"/>
            <w:vAlign w:val="center"/>
          </w:tcPr>
          <w:p>
            <w:pPr>
              <w:spacing w:line="520" w:lineRule="exact"/>
              <w:jc w:val="center"/>
              <w:rPr>
                <w:rFonts w:hint="eastAsia"/>
                <w:b/>
              </w:rPr>
            </w:pPr>
          </w:p>
        </w:tc>
        <w:tc>
          <w:tcPr>
            <w:tcW w:w="1845" w:type="dxa"/>
            <w:noWrap w:val="0"/>
            <w:vAlign w:val="center"/>
          </w:tcPr>
          <w:p>
            <w:pPr>
              <w:spacing w:line="520" w:lineRule="exact"/>
              <w:jc w:val="center"/>
              <w:rPr>
                <w:rFonts w:hint="eastAsia"/>
                <w:b/>
              </w:rPr>
            </w:pPr>
          </w:p>
        </w:tc>
        <w:tc>
          <w:tcPr>
            <w:tcW w:w="1845" w:type="dxa"/>
            <w:noWrap w:val="0"/>
            <w:vAlign w:val="center"/>
          </w:tcPr>
          <w:p>
            <w:pPr>
              <w:spacing w:line="520" w:lineRule="exact"/>
              <w:jc w:val="center"/>
              <w:rPr>
                <w:rFonts w:hint="eastAsia"/>
                <w:b/>
              </w:rPr>
            </w:pPr>
          </w:p>
        </w:tc>
        <w:tc>
          <w:tcPr>
            <w:tcW w:w="1866" w:type="dxa"/>
            <w:noWrap w:val="0"/>
            <w:vAlign w:val="center"/>
          </w:tcPr>
          <w:p>
            <w:pPr>
              <w:spacing w:line="520" w:lineRule="exact"/>
              <w:jc w:val="center"/>
              <w:rPr>
                <w:rFonts w:hint="eastAsia"/>
                <w:b/>
              </w:rPr>
            </w:pPr>
          </w:p>
        </w:tc>
        <w:tc>
          <w:tcPr>
            <w:tcW w:w="2200" w:type="dxa"/>
            <w:noWrap w:val="0"/>
            <w:vAlign w:val="center"/>
          </w:tcPr>
          <w:p>
            <w:pPr>
              <w:spacing w:line="520" w:lineRule="exact"/>
              <w:jc w:val="center"/>
              <w:rPr>
                <w:rFonts w:hint="eastAsia"/>
                <w:b/>
              </w:rPr>
            </w:pPr>
          </w:p>
        </w:tc>
        <w:tc>
          <w:tcPr>
            <w:tcW w:w="781" w:type="dxa"/>
            <w:noWrap w:val="0"/>
            <w:vAlign w:val="center"/>
          </w:tcPr>
          <w:p>
            <w:pPr>
              <w:spacing w:line="520" w:lineRule="exact"/>
              <w:jc w:val="center"/>
              <w:rPr>
                <w:rFonts w:hint="eastAsia"/>
                <w:b/>
              </w:rPr>
            </w:pPr>
          </w:p>
        </w:tc>
        <w:tc>
          <w:tcPr>
            <w:tcW w:w="781" w:type="dxa"/>
            <w:noWrap w:val="0"/>
            <w:vAlign w:val="center"/>
          </w:tcPr>
          <w:p>
            <w:pPr>
              <w:spacing w:line="520" w:lineRule="exact"/>
              <w:jc w:val="center"/>
              <w:rPr>
                <w:rFonts w:hint="eastAsia"/>
                <w:b/>
              </w:rPr>
            </w:pPr>
          </w:p>
        </w:tc>
        <w:tc>
          <w:tcPr>
            <w:tcW w:w="781" w:type="dxa"/>
            <w:noWrap w:val="0"/>
            <w:vAlign w:val="center"/>
          </w:tcPr>
          <w:p>
            <w:pPr>
              <w:spacing w:line="520" w:lineRule="exact"/>
              <w:jc w:val="center"/>
              <w:rPr>
                <w:rFonts w:hint="eastAsia"/>
                <w:b/>
              </w:rPr>
            </w:pPr>
          </w:p>
        </w:tc>
        <w:tc>
          <w:tcPr>
            <w:tcW w:w="781" w:type="dxa"/>
            <w:noWrap w:val="0"/>
            <w:vAlign w:val="center"/>
          </w:tcPr>
          <w:p>
            <w:pPr>
              <w:spacing w:line="520" w:lineRule="exact"/>
              <w:jc w:val="center"/>
              <w:rPr>
                <w:rFonts w:hint="eastAsia"/>
                <w:b/>
              </w:rPr>
            </w:pPr>
          </w:p>
        </w:tc>
        <w:tc>
          <w:tcPr>
            <w:tcW w:w="2239" w:type="dxa"/>
            <w:noWrap w:val="0"/>
            <w:vAlign w:val="center"/>
          </w:tcPr>
          <w:p>
            <w:pPr>
              <w:spacing w:line="520" w:lineRule="exact"/>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noWrap w:val="0"/>
            <w:vAlign w:val="center"/>
          </w:tcPr>
          <w:p>
            <w:pPr>
              <w:spacing w:line="520" w:lineRule="exact"/>
              <w:jc w:val="center"/>
              <w:rPr>
                <w:rFonts w:hint="eastAsia"/>
                <w:b/>
              </w:rPr>
            </w:pPr>
          </w:p>
        </w:tc>
        <w:tc>
          <w:tcPr>
            <w:tcW w:w="781" w:type="dxa"/>
            <w:noWrap w:val="0"/>
            <w:vAlign w:val="center"/>
          </w:tcPr>
          <w:p>
            <w:pPr>
              <w:spacing w:line="520" w:lineRule="exact"/>
              <w:jc w:val="center"/>
              <w:rPr>
                <w:rFonts w:hint="eastAsia"/>
                <w:b/>
              </w:rPr>
            </w:pPr>
          </w:p>
        </w:tc>
        <w:tc>
          <w:tcPr>
            <w:tcW w:w="1845" w:type="dxa"/>
            <w:noWrap w:val="0"/>
            <w:vAlign w:val="center"/>
          </w:tcPr>
          <w:p>
            <w:pPr>
              <w:spacing w:line="520" w:lineRule="exact"/>
              <w:jc w:val="center"/>
              <w:rPr>
                <w:rFonts w:hint="eastAsia"/>
                <w:b/>
              </w:rPr>
            </w:pPr>
          </w:p>
        </w:tc>
        <w:tc>
          <w:tcPr>
            <w:tcW w:w="1845" w:type="dxa"/>
            <w:noWrap w:val="0"/>
            <w:vAlign w:val="center"/>
          </w:tcPr>
          <w:p>
            <w:pPr>
              <w:spacing w:line="520" w:lineRule="exact"/>
              <w:jc w:val="center"/>
              <w:rPr>
                <w:rFonts w:hint="eastAsia"/>
                <w:b/>
              </w:rPr>
            </w:pPr>
          </w:p>
        </w:tc>
        <w:tc>
          <w:tcPr>
            <w:tcW w:w="1866" w:type="dxa"/>
            <w:noWrap w:val="0"/>
            <w:vAlign w:val="center"/>
          </w:tcPr>
          <w:p>
            <w:pPr>
              <w:spacing w:line="520" w:lineRule="exact"/>
              <w:jc w:val="center"/>
              <w:rPr>
                <w:rFonts w:hint="eastAsia"/>
                <w:b/>
              </w:rPr>
            </w:pPr>
          </w:p>
        </w:tc>
        <w:tc>
          <w:tcPr>
            <w:tcW w:w="2200" w:type="dxa"/>
            <w:noWrap w:val="0"/>
            <w:vAlign w:val="center"/>
          </w:tcPr>
          <w:p>
            <w:pPr>
              <w:spacing w:line="520" w:lineRule="exact"/>
              <w:jc w:val="center"/>
              <w:rPr>
                <w:rFonts w:hint="eastAsia"/>
                <w:b/>
              </w:rPr>
            </w:pPr>
          </w:p>
        </w:tc>
        <w:tc>
          <w:tcPr>
            <w:tcW w:w="781" w:type="dxa"/>
            <w:noWrap w:val="0"/>
            <w:vAlign w:val="center"/>
          </w:tcPr>
          <w:p>
            <w:pPr>
              <w:spacing w:line="520" w:lineRule="exact"/>
              <w:jc w:val="center"/>
              <w:rPr>
                <w:rFonts w:hint="eastAsia"/>
                <w:b/>
              </w:rPr>
            </w:pPr>
          </w:p>
        </w:tc>
        <w:tc>
          <w:tcPr>
            <w:tcW w:w="781" w:type="dxa"/>
            <w:noWrap w:val="0"/>
            <w:vAlign w:val="center"/>
          </w:tcPr>
          <w:p>
            <w:pPr>
              <w:spacing w:line="520" w:lineRule="exact"/>
              <w:jc w:val="center"/>
              <w:rPr>
                <w:rFonts w:hint="eastAsia"/>
                <w:b/>
              </w:rPr>
            </w:pPr>
          </w:p>
        </w:tc>
        <w:tc>
          <w:tcPr>
            <w:tcW w:w="781" w:type="dxa"/>
            <w:noWrap w:val="0"/>
            <w:vAlign w:val="center"/>
          </w:tcPr>
          <w:p>
            <w:pPr>
              <w:spacing w:line="520" w:lineRule="exact"/>
              <w:jc w:val="center"/>
              <w:rPr>
                <w:rFonts w:hint="eastAsia"/>
                <w:b/>
              </w:rPr>
            </w:pPr>
          </w:p>
        </w:tc>
        <w:tc>
          <w:tcPr>
            <w:tcW w:w="781" w:type="dxa"/>
            <w:noWrap w:val="0"/>
            <w:vAlign w:val="center"/>
          </w:tcPr>
          <w:p>
            <w:pPr>
              <w:spacing w:line="520" w:lineRule="exact"/>
              <w:jc w:val="center"/>
              <w:rPr>
                <w:rFonts w:hint="eastAsia"/>
                <w:b/>
              </w:rPr>
            </w:pPr>
          </w:p>
        </w:tc>
        <w:tc>
          <w:tcPr>
            <w:tcW w:w="2239" w:type="dxa"/>
            <w:noWrap w:val="0"/>
            <w:vAlign w:val="center"/>
          </w:tcPr>
          <w:p>
            <w:pPr>
              <w:spacing w:line="520" w:lineRule="exact"/>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noWrap w:val="0"/>
            <w:vAlign w:val="center"/>
          </w:tcPr>
          <w:p>
            <w:pPr>
              <w:spacing w:line="520" w:lineRule="exact"/>
              <w:jc w:val="center"/>
              <w:rPr>
                <w:rFonts w:hint="eastAsia"/>
                <w:b/>
              </w:rPr>
            </w:pPr>
          </w:p>
        </w:tc>
        <w:tc>
          <w:tcPr>
            <w:tcW w:w="781" w:type="dxa"/>
            <w:noWrap w:val="0"/>
            <w:vAlign w:val="center"/>
          </w:tcPr>
          <w:p>
            <w:pPr>
              <w:spacing w:line="520" w:lineRule="exact"/>
              <w:jc w:val="center"/>
              <w:rPr>
                <w:rFonts w:hint="eastAsia"/>
                <w:b/>
              </w:rPr>
            </w:pPr>
          </w:p>
        </w:tc>
        <w:tc>
          <w:tcPr>
            <w:tcW w:w="1845" w:type="dxa"/>
            <w:noWrap w:val="0"/>
            <w:vAlign w:val="center"/>
          </w:tcPr>
          <w:p>
            <w:pPr>
              <w:spacing w:line="520" w:lineRule="exact"/>
              <w:jc w:val="center"/>
              <w:rPr>
                <w:rFonts w:hint="eastAsia"/>
                <w:b/>
              </w:rPr>
            </w:pPr>
          </w:p>
        </w:tc>
        <w:tc>
          <w:tcPr>
            <w:tcW w:w="1845" w:type="dxa"/>
            <w:noWrap w:val="0"/>
            <w:vAlign w:val="center"/>
          </w:tcPr>
          <w:p>
            <w:pPr>
              <w:spacing w:line="520" w:lineRule="exact"/>
              <w:jc w:val="center"/>
              <w:rPr>
                <w:rFonts w:hint="eastAsia"/>
                <w:b/>
              </w:rPr>
            </w:pPr>
          </w:p>
        </w:tc>
        <w:tc>
          <w:tcPr>
            <w:tcW w:w="1866" w:type="dxa"/>
            <w:noWrap w:val="0"/>
            <w:vAlign w:val="center"/>
          </w:tcPr>
          <w:p>
            <w:pPr>
              <w:spacing w:line="520" w:lineRule="exact"/>
              <w:jc w:val="center"/>
              <w:rPr>
                <w:rFonts w:hint="eastAsia"/>
                <w:b/>
              </w:rPr>
            </w:pPr>
          </w:p>
        </w:tc>
        <w:tc>
          <w:tcPr>
            <w:tcW w:w="2200" w:type="dxa"/>
            <w:noWrap w:val="0"/>
            <w:vAlign w:val="center"/>
          </w:tcPr>
          <w:p>
            <w:pPr>
              <w:spacing w:line="520" w:lineRule="exact"/>
              <w:jc w:val="center"/>
              <w:rPr>
                <w:rFonts w:hint="eastAsia"/>
                <w:b/>
              </w:rPr>
            </w:pPr>
          </w:p>
        </w:tc>
        <w:tc>
          <w:tcPr>
            <w:tcW w:w="781" w:type="dxa"/>
            <w:noWrap w:val="0"/>
            <w:vAlign w:val="center"/>
          </w:tcPr>
          <w:p>
            <w:pPr>
              <w:spacing w:line="520" w:lineRule="exact"/>
              <w:jc w:val="center"/>
              <w:rPr>
                <w:rFonts w:hint="eastAsia"/>
                <w:b/>
              </w:rPr>
            </w:pPr>
          </w:p>
        </w:tc>
        <w:tc>
          <w:tcPr>
            <w:tcW w:w="781" w:type="dxa"/>
            <w:noWrap w:val="0"/>
            <w:vAlign w:val="center"/>
          </w:tcPr>
          <w:p>
            <w:pPr>
              <w:spacing w:line="520" w:lineRule="exact"/>
              <w:jc w:val="center"/>
              <w:rPr>
                <w:rFonts w:hint="eastAsia"/>
                <w:b/>
              </w:rPr>
            </w:pPr>
          </w:p>
        </w:tc>
        <w:tc>
          <w:tcPr>
            <w:tcW w:w="781" w:type="dxa"/>
            <w:noWrap w:val="0"/>
            <w:vAlign w:val="center"/>
          </w:tcPr>
          <w:p>
            <w:pPr>
              <w:spacing w:line="520" w:lineRule="exact"/>
              <w:jc w:val="center"/>
              <w:rPr>
                <w:rFonts w:hint="eastAsia"/>
                <w:b/>
              </w:rPr>
            </w:pPr>
          </w:p>
        </w:tc>
        <w:tc>
          <w:tcPr>
            <w:tcW w:w="781" w:type="dxa"/>
            <w:noWrap w:val="0"/>
            <w:vAlign w:val="center"/>
          </w:tcPr>
          <w:p>
            <w:pPr>
              <w:spacing w:line="520" w:lineRule="exact"/>
              <w:jc w:val="center"/>
              <w:rPr>
                <w:rFonts w:hint="eastAsia"/>
                <w:b/>
              </w:rPr>
            </w:pPr>
          </w:p>
        </w:tc>
        <w:tc>
          <w:tcPr>
            <w:tcW w:w="2239" w:type="dxa"/>
            <w:noWrap w:val="0"/>
            <w:vAlign w:val="center"/>
          </w:tcPr>
          <w:p>
            <w:pPr>
              <w:spacing w:line="520" w:lineRule="exact"/>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noWrap w:val="0"/>
            <w:vAlign w:val="center"/>
          </w:tcPr>
          <w:p>
            <w:pPr>
              <w:spacing w:line="520" w:lineRule="exact"/>
              <w:jc w:val="center"/>
              <w:rPr>
                <w:rFonts w:hint="eastAsia"/>
                <w:b/>
              </w:rPr>
            </w:pPr>
          </w:p>
        </w:tc>
        <w:tc>
          <w:tcPr>
            <w:tcW w:w="781" w:type="dxa"/>
            <w:noWrap w:val="0"/>
            <w:vAlign w:val="center"/>
          </w:tcPr>
          <w:p>
            <w:pPr>
              <w:spacing w:line="520" w:lineRule="exact"/>
              <w:jc w:val="center"/>
              <w:rPr>
                <w:rFonts w:hint="eastAsia"/>
                <w:b/>
              </w:rPr>
            </w:pPr>
          </w:p>
        </w:tc>
        <w:tc>
          <w:tcPr>
            <w:tcW w:w="1845" w:type="dxa"/>
            <w:noWrap w:val="0"/>
            <w:vAlign w:val="center"/>
          </w:tcPr>
          <w:p>
            <w:pPr>
              <w:spacing w:line="520" w:lineRule="exact"/>
              <w:jc w:val="center"/>
              <w:rPr>
                <w:rFonts w:hint="eastAsia"/>
                <w:b/>
              </w:rPr>
            </w:pPr>
          </w:p>
        </w:tc>
        <w:tc>
          <w:tcPr>
            <w:tcW w:w="1845" w:type="dxa"/>
            <w:noWrap w:val="0"/>
            <w:vAlign w:val="center"/>
          </w:tcPr>
          <w:p>
            <w:pPr>
              <w:spacing w:line="520" w:lineRule="exact"/>
              <w:jc w:val="center"/>
              <w:rPr>
                <w:rFonts w:hint="eastAsia"/>
                <w:b/>
              </w:rPr>
            </w:pPr>
          </w:p>
        </w:tc>
        <w:tc>
          <w:tcPr>
            <w:tcW w:w="1866" w:type="dxa"/>
            <w:noWrap w:val="0"/>
            <w:vAlign w:val="center"/>
          </w:tcPr>
          <w:p>
            <w:pPr>
              <w:spacing w:line="520" w:lineRule="exact"/>
              <w:jc w:val="center"/>
              <w:rPr>
                <w:rFonts w:hint="eastAsia"/>
                <w:b/>
              </w:rPr>
            </w:pPr>
          </w:p>
        </w:tc>
        <w:tc>
          <w:tcPr>
            <w:tcW w:w="2200" w:type="dxa"/>
            <w:noWrap w:val="0"/>
            <w:vAlign w:val="center"/>
          </w:tcPr>
          <w:p>
            <w:pPr>
              <w:spacing w:line="520" w:lineRule="exact"/>
              <w:jc w:val="center"/>
              <w:rPr>
                <w:rFonts w:hint="eastAsia"/>
                <w:b/>
              </w:rPr>
            </w:pPr>
          </w:p>
        </w:tc>
        <w:tc>
          <w:tcPr>
            <w:tcW w:w="781" w:type="dxa"/>
            <w:noWrap w:val="0"/>
            <w:vAlign w:val="center"/>
          </w:tcPr>
          <w:p>
            <w:pPr>
              <w:spacing w:line="520" w:lineRule="exact"/>
              <w:jc w:val="center"/>
              <w:rPr>
                <w:rFonts w:hint="eastAsia"/>
                <w:b/>
              </w:rPr>
            </w:pPr>
          </w:p>
        </w:tc>
        <w:tc>
          <w:tcPr>
            <w:tcW w:w="781" w:type="dxa"/>
            <w:noWrap w:val="0"/>
            <w:vAlign w:val="center"/>
          </w:tcPr>
          <w:p>
            <w:pPr>
              <w:spacing w:line="520" w:lineRule="exact"/>
              <w:jc w:val="center"/>
              <w:rPr>
                <w:rFonts w:hint="eastAsia"/>
                <w:b/>
              </w:rPr>
            </w:pPr>
          </w:p>
        </w:tc>
        <w:tc>
          <w:tcPr>
            <w:tcW w:w="781" w:type="dxa"/>
            <w:noWrap w:val="0"/>
            <w:vAlign w:val="center"/>
          </w:tcPr>
          <w:p>
            <w:pPr>
              <w:spacing w:line="520" w:lineRule="exact"/>
              <w:jc w:val="center"/>
              <w:rPr>
                <w:rFonts w:hint="eastAsia"/>
                <w:b/>
              </w:rPr>
            </w:pPr>
          </w:p>
        </w:tc>
        <w:tc>
          <w:tcPr>
            <w:tcW w:w="781" w:type="dxa"/>
            <w:noWrap w:val="0"/>
            <w:vAlign w:val="center"/>
          </w:tcPr>
          <w:p>
            <w:pPr>
              <w:spacing w:line="520" w:lineRule="exact"/>
              <w:jc w:val="center"/>
              <w:rPr>
                <w:rFonts w:hint="eastAsia"/>
                <w:b/>
              </w:rPr>
            </w:pPr>
          </w:p>
        </w:tc>
        <w:tc>
          <w:tcPr>
            <w:tcW w:w="2239" w:type="dxa"/>
            <w:noWrap w:val="0"/>
            <w:vAlign w:val="center"/>
          </w:tcPr>
          <w:p>
            <w:pPr>
              <w:spacing w:line="520" w:lineRule="exact"/>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noWrap w:val="0"/>
            <w:vAlign w:val="center"/>
          </w:tcPr>
          <w:p>
            <w:pPr>
              <w:spacing w:line="520" w:lineRule="exact"/>
              <w:jc w:val="center"/>
              <w:rPr>
                <w:rFonts w:hint="eastAsia"/>
                <w:b/>
              </w:rPr>
            </w:pPr>
          </w:p>
        </w:tc>
        <w:tc>
          <w:tcPr>
            <w:tcW w:w="781" w:type="dxa"/>
            <w:noWrap w:val="0"/>
            <w:vAlign w:val="center"/>
          </w:tcPr>
          <w:p>
            <w:pPr>
              <w:spacing w:line="520" w:lineRule="exact"/>
              <w:jc w:val="center"/>
              <w:rPr>
                <w:rFonts w:hint="eastAsia"/>
                <w:b/>
              </w:rPr>
            </w:pPr>
          </w:p>
        </w:tc>
        <w:tc>
          <w:tcPr>
            <w:tcW w:w="1845" w:type="dxa"/>
            <w:noWrap w:val="0"/>
            <w:vAlign w:val="center"/>
          </w:tcPr>
          <w:p>
            <w:pPr>
              <w:spacing w:line="520" w:lineRule="exact"/>
              <w:jc w:val="center"/>
              <w:rPr>
                <w:rFonts w:hint="eastAsia"/>
                <w:b/>
              </w:rPr>
            </w:pPr>
          </w:p>
        </w:tc>
        <w:tc>
          <w:tcPr>
            <w:tcW w:w="1845" w:type="dxa"/>
            <w:noWrap w:val="0"/>
            <w:vAlign w:val="center"/>
          </w:tcPr>
          <w:p>
            <w:pPr>
              <w:spacing w:line="520" w:lineRule="exact"/>
              <w:jc w:val="center"/>
              <w:rPr>
                <w:rFonts w:hint="eastAsia"/>
                <w:b/>
              </w:rPr>
            </w:pPr>
          </w:p>
        </w:tc>
        <w:tc>
          <w:tcPr>
            <w:tcW w:w="1866" w:type="dxa"/>
            <w:noWrap w:val="0"/>
            <w:vAlign w:val="center"/>
          </w:tcPr>
          <w:p>
            <w:pPr>
              <w:spacing w:line="520" w:lineRule="exact"/>
              <w:jc w:val="center"/>
              <w:rPr>
                <w:rFonts w:hint="eastAsia"/>
                <w:b/>
              </w:rPr>
            </w:pPr>
          </w:p>
        </w:tc>
        <w:tc>
          <w:tcPr>
            <w:tcW w:w="2200" w:type="dxa"/>
            <w:noWrap w:val="0"/>
            <w:vAlign w:val="center"/>
          </w:tcPr>
          <w:p>
            <w:pPr>
              <w:spacing w:line="520" w:lineRule="exact"/>
              <w:jc w:val="center"/>
              <w:rPr>
                <w:rFonts w:hint="eastAsia"/>
                <w:b/>
              </w:rPr>
            </w:pPr>
          </w:p>
        </w:tc>
        <w:tc>
          <w:tcPr>
            <w:tcW w:w="781" w:type="dxa"/>
            <w:noWrap w:val="0"/>
            <w:vAlign w:val="center"/>
          </w:tcPr>
          <w:p>
            <w:pPr>
              <w:spacing w:line="520" w:lineRule="exact"/>
              <w:jc w:val="center"/>
              <w:rPr>
                <w:rFonts w:hint="eastAsia"/>
                <w:b/>
              </w:rPr>
            </w:pPr>
          </w:p>
        </w:tc>
        <w:tc>
          <w:tcPr>
            <w:tcW w:w="781" w:type="dxa"/>
            <w:noWrap w:val="0"/>
            <w:vAlign w:val="center"/>
          </w:tcPr>
          <w:p>
            <w:pPr>
              <w:spacing w:line="520" w:lineRule="exact"/>
              <w:jc w:val="center"/>
              <w:rPr>
                <w:rFonts w:hint="eastAsia"/>
                <w:b/>
              </w:rPr>
            </w:pPr>
          </w:p>
        </w:tc>
        <w:tc>
          <w:tcPr>
            <w:tcW w:w="781" w:type="dxa"/>
            <w:noWrap w:val="0"/>
            <w:vAlign w:val="center"/>
          </w:tcPr>
          <w:p>
            <w:pPr>
              <w:spacing w:line="520" w:lineRule="exact"/>
              <w:jc w:val="center"/>
              <w:rPr>
                <w:rFonts w:hint="eastAsia"/>
                <w:b/>
              </w:rPr>
            </w:pPr>
          </w:p>
        </w:tc>
        <w:tc>
          <w:tcPr>
            <w:tcW w:w="781" w:type="dxa"/>
            <w:noWrap w:val="0"/>
            <w:vAlign w:val="center"/>
          </w:tcPr>
          <w:p>
            <w:pPr>
              <w:spacing w:line="520" w:lineRule="exact"/>
              <w:jc w:val="center"/>
              <w:rPr>
                <w:rFonts w:hint="eastAsia"/>
                <w:b/>
              </w:rPr>
            </w:pPr>
          </w:p>
        </w:tc>
        <w:tc>
          <w:tcPr>
            <w:tcW w:w="2239" w:type="dxa"/>
            <w:noWrap w:val="0"/>
            <w:vAlign w:val="center"/>
          </w:tcPr>
          <w:p>
            <w:pPr>
              <w:spacing w:line="520" w:lineRule="exact"/>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noWrap w:val="0"/>
            <w:vAlign w:val="center"/>
          </w:tcPr>
          <w:p>
            <w:pPr>
              <w:spacing w:line="520" w:lineRule="exact"/>
              <w:jc w:val="center"/>
              <w:rPr>
                <w:rFonts w:hint="eastAsia"/>
                <w:b/>
              </w:rPr>
            </w:pPr>
          </w:p>
        </w:tc>
        <w:tc>
          <w:tcPr>
            <w:tcW w:w="781" w:type="dxa"/>
            <w:noWrap w:val="0"/>
            <w:vAlign w:val="center"/>
          </w:tcPr>
          <w:p>
            <w:pPr>
              <w:spacing w:line="520" w:lineRule="exact"/>
              <w:jc w:val="center"/>
              <w:rPr>
                <w:rFonts w:hint="eastAsia"/>
                <w:b/>
              </w:rPr>
            </w:pPr>
          </w:p>
        </w:tc>
        <w:tc>
          <w:tcPr>
            <w:tcW w:w="1845" w:type="dxa"/>
            <w:noWrap w:val="0"/>
            <w:vAlign w:val="center"/>
          </w:tcPr>
          <w:p>
            <w:pPr>
              <w:spacing w:line="520" w:lineRule="exact"/>
              <w:jc w:val="center"/>
              <w:rPr>
                <w:rFonts w:hint="eastAsia"/>
                <w:b/>
              </w:rPr>
            </w:pPr>
          </w:p>
        </w:tc>
        <w:tc>
          <w:tcPr>
            <w:tcW w:w="1845" w:type="dxa"/>
            <w:noWrap w:val="0"/>
            <w:vAlign w:val="center"/>
          </w:tcPr>
          <w:p>
            <w:pPr>
              <w:spacing w:line="520" w:lineRule="exact"/>
              <w:jc w:val="center"/>
              <w:rPr>
                <w:rFonts w:hint="eastAsia"/>
                <w:b/>
              </w:rPr>
            </w:pPr>
          </w:p>
        </w:tc>
        <w:tc>
          <w:tcPr>
            <w:tcW w:w="1866" w:type="dxa"/>
            <w:noWrap w:val="0"/>
            <w:vAlign w:val="center"/>
          </w:tcPr>
          <w:p>
            <w:pPr>
              <w:spacing w:line="520" w:lineRule="exact"/>
              <w:jc w:val="center"/>
              <w:rPr>
                <w:rFonts w:hint="eastAsia"/>
                <w:b/>
              </w:rPr>
            </w:pPr>
          </w:p>
        </w:tc>
        <w:tc>
          <w:tcPr>
            <w:tcW w:w="2200" w:type="dxa"/>
            <w:noWrap w:val="0"/>
            <w:vAlign w:val="center"/>
          </w:tcPr>
          <w:p>
            <w:pPr>
              <w:spacing w:line="520" w:lineRule="exact"/>
              <w:jc w:val="center"/>
              <w:rPr>
                <w:rFonts w:hint="eastAsia"/>
                <w:b/>
              </w:rPr>
            </w:pPr>
          </w:p>
        </w:tc>
        <w:tc>
          <w:tcPr>
            <w:tcW w:w="781" w:type="dxa"/>
            <w:noWrap w:val="0"/>
            <w:vAlign w:val="center"/>
          </w:tcPr>
          <w:p>
            <w:pPr>
              <w:spacing w:line="520" w:lineRule="exact"/>
              <w:jc w:val="center"/>
              <w:rPr>
                <w:rFonts w:hint="eastAsia"/>
                <w:b/>
              </w:rPr>
            </w:pPr>
          </w:p>
        </w:tc>
        <w:tc>
          <w:tcPr>
            <w:tcW w:w="781" w:type="dxa"/>
            <w:noWrap w:val="0"/>
            <w:vAlign w:val="center"/>
          </w:tcPr>
          <w:p>
            <w:pPr>
              <w:spacing w:line="520" w:lineRule="exact"/>
              <w:jc w:val="center"/>
              <w:rPr>
                <w:rFonts w:hint="eastAsia"/>
                <w:b/>
              </w:rPr>
            </w:pPr>
          </w:p>
        </w:tc>
        <w:tc>
          <w:tcPr>
            <w:tcW w:w="781" w:type="dxa"/>
            <w:noWrap w:val="0"/>
            <w:vAlign w:val="center"/>
          </w:tcPr>
          <w:p>
            <w:pPr>
              <w:spacing w:line="520" w:lineRule="exact"/>
              <w:jc w:val="center"/>
              <w:rPr>
                <w:rFonts w:hint="eastAsia"/>
                <w:b/>
              </w:rPr>
            </w:pPr>
          </w:p>
        </w:tc>
        <w:tc>
          <w:tcPr>
            <w:tcW w:w="781" w:type="dxa"/>
            <w:noWrap w:val="0"/>
            <w:vAlign w:val="center"/>
          </w:tcPr>
          <w:p>
            <w:pPr>
              <w:spacing w:line="520" w:lineRule="exact"/>
              <w:jc w:val="center"/>
              <w:rPr>
                <w:rFonts w:hint="eastAsia"/>
                <w:b/>
              </w:rPr>
            </w:pPr>
          </w:p>
        </w:tc>
        <w:tc>
          <w:tcPr>
            <w:tcW w:w="2239" w:type="dxa"/>
            <w:noWrap w:val="0"/>
            <w:vAlign w:val="center"/>
          </w:tcPr>
          <w:p>
            <w:pPr>
              <w:spacing w:line="520" w:lineRule="exact"/>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noWrap w:val="0"/>
            <w:vAlign w:val="center"/>
          </w:tcPr>
          <w:p>
            <w:pPr>
              <w:spacing w:line="520" w:lineRule="exact"/>
              <w:jc w:val="center"/>
              <w:rPr>
                <w:rFonts w:hint="eastAsia"/>
                <w:b/>
              </w:rPr>
            </w:pPr>
          </w:p>
        </w:tc>
        <w:tc>
          <w:tcPr>
            <w:tcW w:w="781" w:type="dxa"/>
            <w:noWrap w:val="0"/>
            <w:vAlign w:val="center"/>
          </w:tcPr>
          <w:p>
            <w:pPr>
              <w:spacing w:line="520" w:lineRule="exact"/>
              <w:jc w:val="center"/>
              <w:rPr>
                <w:rFonts w:hint="eastAsia"/>
                <w:b/>
              </w:rPr>
            </w:pPr>
          </w:p>
        </w:tc>
        <w:tc>
          <w:tcPr>
            <w:tcW w:w="1845" w:type="dxa"/>
            <w:noWrap w:val="0"/>
            <w:vAlign w:val="center"/>
          </w:tcPr>
          <w:p>
            <w:pPr>
              <w:spacing w:line="520" w:lineRule="exact"/>
              <w:jc w:val="center"/>
              <w:rPr>
                <w:rFonts w:hint="eastAsia"/>
                <w:b/>
              </w:rPr>
            </w:pPr>
          </w:p>
        </w:tc>
        <w:tc>
          <w:tcPr>
            <w:tcW w:w="1845" w:type="dxa"/>
            <w:noWrap w:val="0"/>
            <w:vAlign w:val="center"/>
          </w:tcPr>
          <w:p>
            <w:pPr>
              <w:spacing w:line="520" w:lineRule="exact"/>
              <w:jc w:val="center"/>
              <w:rPr>
                <w:rFonts w:hint="eastAsia"/>
                <w:b/>
              </w:rPr>
            </w:pPr>
          </w:p>
        </w:tc>
        <w:tc>
          <w:tcPr>
            <w:tcW w:w="1866" w:type="dxa"/>
            <w:noWrap w:val="0"/>
            <w:vAlign w:val="center"/>
          </w:tcPr>
          <w:p>
            <w:pPr>
              <w:spacing w:line="520" w:lineRule="exact"/>
              <w:jc w:val="center"/>
              <w:rPr>
                <w:rFonts w:hint="eastAsia"/>
                <w:b/>
              </w:rPr>
            </w:pPr>
          </w:p>
        </w:tc>
        <w:tc>
          <w:tcPr>
            <w:tcW w:w="2200" w:type="dxa"/>
            <w:noWrap w:val="0"/>
            <w:vAlign w:val="center"/>
          </w:tcPr>
          <w:p>
            <w:pPr>
              <w:spacing w:line="520" w:lineRule="exact"/>
              <w:jc w:val="center"/>
              <w:rPr>
                <w:rFonts w:hint="eastAsia"/>
                <w:b/>
              </w:rPr>
            </w:pPr>
          </w:p>
        </w:tc>
        <w:tc>
          <w:tcPr>
            <w:tcW w:w="781" w:type="dxa"/>
            <w:noWrap w:val="0"/>
            <w:vAlign w:val="center"/>
          </w:tcPr>
          <w:p>
            <w:pPr>
              <w:spacing w:line="520" w:lineRule="exact"/>
              <w:jc w:val="center"/>
              <w:rPr>
                <w:rFonts w:hint="eastAsia"/>
                <w:b/>
              </w:rPr>
            </w:pPr>
          </w:p>
        </w:tc>
        <w:tc>
          <w:tcPr>
            <w:tcW w:w="781" w:type="dxa"/>
            <w:noWrap w:val="0"/>
            <w:vAlign w:val="center"/>
          </w:tcPr>
          <w:p>
            <w:pPr>
              <w:spacing w:line="520" w:lineRule="exact"/>
              <w:jc w:val="center"/>
              <w:rPr>
                <w:rFonts w:hint="eastAsia"/>
                <w:b/>
              </w:rPr>
            </w:pPr>
          </w:p>
        </w:tc>
        <w:tc>
          <w:tcPr>
            <w:tcW w:w="781" w:type="dxa"/>
            <w:noWrap w:val="0"/>
            <w:vAlign w:val="center"/>
          </w:tcPr>
          <w:p>
            <w:pPr>
              <w:spacing w:line="520" w:lineRule="exact"/>
              <w:jc w:val="center"/>
              <w:rPr>
                <w:rFonts w:hint="eastAsia"/>
                <w:b/>
              </w:rPr>
            </w:pPr>
          </w:p>
        </w:tc>
        <w:tc>
          <w:tcPr>
            <w:tcW w:w="781" w:type="dxa"/>
            <w:noWrap w:val="0"/>
            <w:vAlign w:val="center"/>
          </w:tcPr>
          <w:p>
            <w:pPr>
              <w:spacing w:line="520" w:lineRule="exact"/>
              <w:jc w:val="center"/>
              <w:rPr>
                <w:rFonts w:hint="eastAsia"/>
                <w:b/>
              </w:rPr>
            </w:pPr>
          </w:p>
        </w:tc>
        <w:tc>
          <w:tcPr>
            <w:tcW w:w="2239" w:type="dxa"/>
            <w:noWrap w:val="0"/>
            <w:vAlign w:val="center"/>
          </w:tcPr>
          <w:p>
            <w:pPr>
              <w:spacing w:line="520" w:lineRule="exact"/>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noWrap w:val="0"/>
            <w:vAlign w:val="center"/>
          </w:tcPr>
          <w:p>
            <w:pPr>
              <w:spacing w:line="520" w:lineRule="exact"/>
              <w:jc w:val="center"/>
              <w:rPr>
                <w:rFonts w:hint="eastAsia"/>
                <w:b/>
              </w:rPr>
            </w:pPr>
          </w:p>
        </w:tc>
        <w:tc>
          <w:tcPr>
            <w:tcW w:w="781" w:type="dxa"/>
            <w:noWrap w:val="0"/>
            <w:vAlign w:val="center"/>
          </w:tcPr>
          <w:p>
            <w:pPr>
              <w:spacing w:line="520" w:lineRule="exact"/>
              <w:jc w:val="center"/>
              <w:rPr>
                <w:rFonts w:hint="eastAsia"/>
                <w:b/>
              </w:rPr>
            </w:pPr>
          </w:p>
        </w:tc>
        <w:tc>
          <w:tcPr>
            <w:tcW w:w="1845" w:type="dxa"/>
            <w:noWrap w:val="0"/>
            <w:vAlign w:val="center"/>
          </w:tcPr>
          <w:p>
            <w:pPr>
              <w:spacing w:line="520" w:lineRule="exact"/>
              <w:jc w:val="center"/>
              <w:rPr>
                <w:rFonts w:hint="eastAsia"/>
                <w:b/>
              </w:rPr>
            </w:pPr>
          </w:p>
        </w:tc>
        <w:tc>
          <w:tcPr>
            <w:tcW w:w="1845" w:type="dxa"/>
            <w:noWrap w:val="0"/>
            <w:vAlign w:val="center"/>
          </w:tcPr>
          <w:p>
            <w:pPr>
              <w:spacing w:line="520" w:lineRule="exact"/>
              <w:jc w:val="center"/>
              <w:rPr>
                <w:rFonts w:hint="eastAsia"/>
                <w:b/>
              </w:rPr>
            </w:pPr>
          </w:p>
        </w:tc>
        <w:tc>
          <w:tcPr>
            <w:tcW w:w="1866" w:type="dxa"/>
            <w:noWrap w:val="0"/>
            <w:vAlign w:val="center"/>
          </w:tcPr>
          <w:p>
            <w:pPr>
              <w:spacing w:line="520" w:lineRule="exact"/>
              <w:jc w:val="center"/>
              <w:rPr>
                <w:rFonts w:hint="eastAsia"/>
                <w:b/>
              </w:rPr>
            </w:pPr>
          </w:p>
        </w:tc>
        <w:tc>
          <w:tcPr>
            <w:tcW w:w="2200" w:type="dxa"/>
            <w:noWrap w:val="0"/>
            <w:vAlign w:val="center"/>
          </w:tcPr>
          <w:p>
            <w:pPr>
              <w:spacing w:line="520" w:lineRule="exact"/>
              <w:jc w:val="center"/>
              <w:rPr>
                <w:rFonts w:hint="eastAsia"/>
                <w:b/>
              </w:rPr>
            </w:pPr>
          </w:p>
        </w:tc>
        <w:tc>
          <w:tcPr>
            <w:tcW w:w="781" w:type="dxa"/>
            <w:noWrap w:val="0"/>
            <w:vAlign w:val="center"/>
          </w:tcPr>
          <w:p>
            <w:pPr>
              <w:spacing w:line="520" w:lineRule="exact"/>
              <w:jc w:val="center"/>
              <w:rPr>
                <w:rFonts w:hint="eastAsia"/>
                <w:b/>
              </w:rPr>
            </w:pPr>
          </w:p>
        </w:tc>
        <w:tc>
          <w:tcPr>
            <w:tcW w:w="781" w:type="dxa"/>
            <w:noWrap w:val="0"/>
            <w:vAlign w:val="center"/>
          </w:tcPr>
          <w:p>
            <w:pPr>
              <w:spacing w:line="520" w:lineRule="exact"/>
              <w:jc w:val="center"/>
              <w:rPr>
                <w:rFonts w:hint="eastAsia"/>
                <w:b/>
              </w:rPr>
            </w:pPr>
          </w:p>
        </w:tc>
        <w:tc>
          <w:tcPr>
            <w:tcW w:w="781" w:type="dxa"/>
            <w:noWrap w:val="0"/>
            <w:vAlign w:val="center"/>
          </w:tcPr>
          <w:p>
            <w:pPr>
              <w:spacing w:line="520" w:lineRule="exact"/>
              <w:jc w:val="center"/>
              <w:rPr>
                <w:rFonts w:hint="eastAsia"/>
                <w:b/>
              </w:rPr>
            </w:pPr>
          </w:p>
        </w:tc>
        <w:tc>
          <w:tcPr>
            <w:tcW w:w="781" w:type="dxa"/>
            <w:noWrap w:val="0"/>
            <w:vAlign w:val="center"/>
          </w:tcPr>
          <w:p>
            <w:pPr>
              <w:spacing w:line="520" w:lineRule="exact"/>
              <w:jc w:val="center"/>
              <w:rPr>
                <w:rFonts w:hint="eastAsia"/>
                <w:b/>
              </w:rPr>
            </w:pPr>
          </w:p>
        </w:tc>
        <w:tc>
          <w:tcPr>
            <w:tcW w:w="2239" w:type="dxa"/>
            <w:noWrap w:val="0"/>
            <w:vAlign w:val="center"/>
          </w:tcPr>
          <w:p>
            <w:pPr>
              <w:spacing w:line="520" w:lineRule="exact"/>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noWrap w:val="0"/>
            <w:vAlign w:val="center"/>
          </w:tcPr>
          <w:p>
            <w:pPr>
              <w:spacing w:line="520" w:lineRule="exact"/>
              <w:jc w:val="center"/>
              <w:rPr>
                <w:rFonts w:hint="eastAsia"/>
                <w:b/>
              </w:rPr>
            </w:pPr>
          </w:p>
        </w:tc>
        <w:tc>
          <w:tcPr>
            <w:tcW w:w="781" w:type="dxa"/>
            <w:noWrap w:val="0"/>
            <w:vAlign w:val="center"/>
          </w:tcPr>
          <w:p>
            <w:pPr>
              <w:spacing w:line="520" w:lineRule="exact"/>
              <w:jc w:val="center"/>
              <w:rPr>
                <w:rFonts w:hint="eastAsia"/>
                <w:b/>
              </w:rPr>
            </w:pPr>
          </w:p>
        </w:tc>
        <w:tc>
          <w:tcPr>
            <w:tcW w:w="1845" w:type="dxa"/>
            <w:noWrap w:val="0"/>
            <w:vAlign w:val="center"/>
          </w:tcPr>
          <w:p>
            <w:pPr>
              <w:spacing w:line="520" w:lineRule="exact"/>
              <w:jc w:val="center"/>
              <w:rPr>
                <w:rFonts w:hint="eastAsia"/>
                <w:b/>
              </w:rPr>
            </w:pPr>
          </w:p>
        </w:tc>
        <w:tc>
          <w:tcPr>
            <w:tcW w:w="1845" w:type="dxa"/>
            <w:noWrap w:val="0"/>
            <w:vAlign w:val="center"/>
          </w:tcPr>
          <w:p>
            <w:pPr>
              <w:spacing w:line="520" w:lineRule="exact"/>
              <w:jc w:val="center"/>
              <w:rPr>
                <w:rFonts w:hint="eastAsia"/>
                <w:b/>
              </w:rPr>
            </w:pPr>
          </w:p>
        </w:tc>
        <w:tc>
          <w:tcPr>
            <w:tcW w:w="1866" w:type="dxa"/>
            <w:noWrap w:val="0"/>
            <w:vAlign w:val="center"/>
          </w:tcPr>
          <w:p>
            <w:pPr>
              <w:spacing w:line="520" w:lineRule="exact"/>
              <w:jc w:val="center"/>
              <w:rPr>
                <w:rFonts w:hint="eastAsia"/>
                <w:b/>
              </w:rPr>
            </w:pPr>
          </w:p>
        </w:tc>
        <w:tc>
          <w:tcPr>
            <w:tcW w:w="2200" w:type="dxa"/>
            <w:noWrap w:val="0"/>
            <w:vAlign w:val="center"/>
          </w:tcPr>
          <w:p>
            <w:pPr>
              <w:spacing w:line="520" w:lineRule="exact"/>
              <w:jc w:val="center"/>
              <w:rPr>
                <w:rFonts w:hint="eastAsia"/>
                <w:b/>
              </w:rPr>
            </w:pPr>
          </w:p>
        </w:tc>
        <w:tc>
          <w:tcPr>
            <w:tcW w:w="781" w:type="dxa"/>
            <w:noWrap w:val="0"/>
            <w:vAlign w:val="center"/>
          </w:tcPr>
          <w:p>
            <w:pPr>
              <w:spacing w:line="520" w:lineRule="exact"/>
              <w:jc w:val="center"/>
              <w:rPr>
                <w:rFonts w:hint="eastAsia"/>
                <w:b/>
              </w:rPr>
            </w:pPr>
          </w:p>
        </w:tc>
        <w:tc>
          <w:tcPr>
            <w:tcW w:w="781" w:type="dxa"/>
            <w:noWrap w:val="0"/>
            <w:vAlign w:val="center"/>
          </w:tcPr>
          <w:p>
            <w:pPr>
              <w:spacing w:line="520" w:lineRule="exact"/>
              <w:jc w:val="center"/>
              <w:rPr>
                <w:rFonts w:hint="eastAsia"/>
                <w:b/>
              </w:rPr>
            </w:pPr>
          </w:p>
        </w:tc>
        <w:tc>
          <w:tcPr>
            <w:tcW w:w="781" w:type="dxa"/>
            <w:noWrap w:val="0"/>
            <w:vAlign w:val="center"/>
          </w:tcPr>
          <w:p>
            <w:pPr>
              <w:spacing w:line="520" w:lineRule="exact"/>
              <w:jc w:val="center"/>
              <w:rPr>
                <w:rFonts w:hint="eastAsia"/>
                <w:b/>
              </w:rPr>
            </w:pPr>
          </w:p>
        </w:tc>
        <w:tc>
          <w:tcPr>
            <w:tcW w:w="781" w:type="dxa"/>
            <w:noWrap w:val="0"/>
            <w:vAlign w:val="center"/>
          </w:tcPr>
          <w:p>
            <w:pPr>
              <w:spacing w:line="520" w:lineRule="exact"/>
              <w:jc w:val="center"/>
              <w:rPr>
                <w:rFonts w:hint="eastAsia"/>
                <w:b/>
              </w:rPr>
            </w:pPr>
          </w:p>
        </w:tc>
        <w:tc>
          <w:tcPr>
            <w:tcW w:w="2239" w:type="dxa"/>
            <w:noWrap w:val="0"/>
            <w:vAlign w:val="center"/>
          </w:tcPr>
          <w:p>
            <w:pPr>
              <w:spacing w:line="520" w:lineRule="exact"/>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7" w:type="dxa"/>
            <w:gridSpan w:val="10"/>
            <w:noWrap w:val="0"/>
            <w:vAlign w:val="center"/>
          </w:tcPr>
          <w:p>
            <w:pPr>
              <w:spacing w:line="520" w:lineRule="exact"/>
              <w:jc w:val="center"/>
              <w:rPr>
                <w:rFonts w:hint="eastAsia"/>
                <w:b/>
              </w:rPr>
            </w:pPr>
            <w:r>
              <w:rPr>
                <w:rFonts w:hint="eastAsia"/>
                <w:b/>
              </w:rPr>
              <w:t>共     台，每月保养金额合计：</w:t>
            </w:r>
          </w:p>
        </w:tc>
        <w:tc>
          <w:tcPr>
            <w:tcW w:w="2239" w:type="dxa"/>
            <w:noWrap w:val="0"/>
            <w:vAlign w:val="center"/>
          </w:tcPr>
          <w:p>
            <w:pPr>
              <w:spacing w:line="520" w:lineRule="exact"/>
              <w:jc w:val="center"/>
              <w:rPr>
                <w:rFonts w:hint="eastAsia"/>
                <w:b/>
              </w:rPr>
            </w:pPr>
          </w:p>
        </w:tc>
      </w:tr>
    </w:tbl>
    <w:p>
      <w:pPr>
        <w:widowControl/>
        <w:jc w:val="center"/>
        <w:rPr>
          <w:rFonts w:hint="eastAsia"/>
        </w:rPr>
      </w:pPr>
    </w:p>
    <w:p>
      <w:pPr>
        <w:spacing w:line="360" w:lineRule="auto"/>
        <w:rPr>
          <w:rFonts w:ascii="宋体" w:hAnsi="宋体" w:eastAsia="宋体" w:cs="宋体"/>
          <w:sz w:val="24"/>
        </w:rPr>
      </w:pPr>
    </w:p>
    <w:sectPr>
      <w:headerReference r:id="rId3" w:type="default"/>
      <w:footerReference r:id="rId4" w:type="default"/>
      <w:pgSz w:w="16838" w:h="11906" w:orient="landscape"/>
      <w:pgMar w:top="1134" w:right="1134" w:bottom="1134"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364"/>
      </w:tabs>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3505" cy="1397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rFonts w:eastAsia="宋体"/>
                              <w:sz w:val="18"/>
                            </w:rPr>
                          </w:pP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1pt;width:8.15pt;mso-position-horizontal:center;mso-position-horizontal-relative:margin;mso-wrap-style:none;z-index:251659264;mso-width-relative:page;mso-height-relative:page;" filled="f" stroked="f" coordsize="21600,21600" o:gfxdata="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DIhRzQAAAAAwEAAA8AAAAAAAAAAQAgAAAAIgAA&#10;AGRycy9kb3ducmV2LnhtbFBLAQIUABQAAAAIAIdO4kCsxFEn1wEAALADAAAOAAAAAAAAAAEAIAAA&#10;AB8BAABkcnMvZTJvRG9jLnhtbFBLBQYAAAAABgAGAFkBAABoBQAAAAA=&#10;">
              <v:fill on="f" focussize="0,0"/>
              <v:stroke on="f"/>
              <v:imagedata o:title=""/>
              <o:lock v:ext="edit" aspectratio="f"/>
              <v:textbox inset="0mm,0mm,0mm,0mm" style="mso-fit-shape-to-text:t;">
                <w:txbxContent>
                  <w:p>
                    <w:pPr>
                      <w:snapToGrid w:val="0"/>
                      <w:rPr>
                        <w:rFonts w:eastAsia="宋体"/>
                        <w:sz w:val="18"/>
                      </w:rPr>
                    </w:pPr>
                  </w:p>
                </w:txbxContent>
              </v:textbox>
            </v:shape>
          </w:pict>
        </mc:Fallback>
      </mc:AlternateContent>
    </w:r>
    <w:r>
      <w:rPr>
        <w:rFonts w:hint="eastAsia"/>
        <w:sz w:val="24"/>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9BC590"/>
    <w:multiLevelType w:val="singleLevel"/>
    <w:tmpl w:val="549BC590"/>
    <w:lvl w:ilvl="0" w:tentative="0">
      <w:start w:val="2"/>
      <w:numFmt w:val="decimal"/>
      <w:suff w:val="nothing"/>
      <w:lvlText w:val="%1、"/>
      <w:lvlJc w:val="left"/>
      <w:pPr>
        <w:widowControl/>
        <w:textAlignment w:val="baseline"/>
      </w:pPr>
    </w:lvl>
  </w:abstractNum>
  <w:abstractNum w:abstractNumId="1">
    <w:nsid w:val="549BC613"/>
    <w:multiLevelType w:val="singleLevel"/>
    <w:tmpl w:val="549BC613"/>
    <w:lvl w:ilvl="0" w:tentative="0">
      <w:start w:val="9"/>
      <w:numFmt w:val="decimal"/>
      <w:suff w:val="nothing"/>
      <w:lvlText w:val="%1、"/>
      <w:lvlJc w:val="left"/>
      <w:pPr>
        <w:widowControl/>
        <w:textAlignment w:val="baseline"/>
      </w:pPr>
    </w:lvl>
  </w:abstractNum>
  <w:abstractNum w:abstractNumId="2">
    <w:nsid w:val="549BC631"/>
    <w:multiLevelType w:val="singleLevel"/>
    <w:tmpl w:val="549BC631"/>
    <w:lvl w:ilvl="0" w:tentative="0">
      <w:start w:val="12"/>
      <w:numFmt w:val="decimal"/>
      <w:suff w:val="nothing"/>
      <w:lvlText w:val="%1、"/>
      <w:lvlJc w:val="left"/>
      <w:pPr>
        <w:widowControl/>
        <w:textAlignment w:val="baseline"/>
      </w:pPr>
    </w:lvl>
  </w:abstractNum>
  <w:abstractNum w:abstractNumId="3">
    <w:nsid w:val="549CED3E"/>
    <w:multiLevelType w:val="singleLevel"/>
    <w:tmpl w:val="549CED3E"/>
    <w:lvl w:ilvl="0" w:tentative="0">
      <w:start w:val="2"/>
      <w:numFmt w:val="decimal"/>
      <w:suff w:val="nothing"/>
      <w:lvlText w:val="%1、"/>
      <w:lvlJc w:val="left"/>
      <w:pPr>
        <w:widowControl/>
        <w:textAlignment w:val="baseline"/>
      </w:pPr>
    </w:lvl>
  </w:abstractNum>
  <w:abstractNum w:abstractNumId="4">
    <w:nsid w:val="549CEDC5"/>
    <w:multiLevelType w:val="singleLevel"/>
    <w:tmpl w:val="549CEDC5"/>
    <w:lvl w:ilvl="0" w:tentative="0">
      <w:start w:val="8"/>
      <w:numFmt w:val="decimal"/>
      <w:suff w:val="nothing"/>
      <w:lvlText w:val="%1、"/>
      <w:lvlJc w:val="left"/>
      <w:pPr>
        <w:widowControl/>
        <w:textAlignment w:val="baseline"/>
      </w:pPr>
    </w:lvl>
  </w:abstractNum>
  <w:abstractNum w:abstractNumId="5">
    <w:nsid w:val="549CEE03"/>
    <w:multiLevelType w:val="singleLevel"/>
    <w:tmpl w:val="549CEE03"/>
    <w:lvl w:ilvl="0" w:tentative="0">
      <w:start w:val="2"/>
      <w:numFmt w:val="decimal"/>
      <w:suff w:val="nothing"/>
      <w:lvlText w:val="%1、"/>
      <w:lvlJc w:val="left"/>
      <w:pPr>
        <w:widowControl/>
        <w:textAlignment w:val="baseline"/>
      </w:pPr>
    </w:lvl>
  </w:abstractNum>
  <w:abstractNum w:abstractNumId="6">
    <w:nsid w:val="549CF30C"/>
    <w:multiLevelType w:val="singleLevel"/>
    <w:tmpl w:val="549CF30C"/>
    <w:lvl w:ilvl="0" w:tentative="0">
      <w:start w:val="3"/>
      <w:numFmt w:val="decimal"/>
      <w:suff w:val="nothing"/>
      <w:lvlText w:val="%1、"/>
      <w:lvlJc w:val="left"/>
      <w:pPr>
        <w:widowControl/>
        <w:textAlignment w:val="baseline"/>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5MGZjZDQ4YWE4NjkxNTE4NjUzZjJjY2FhYWZkOWQifQ=="/>
  </w:docVars>
  <w:rsids>
    <w:rsidRoot w:val="001966DD"/>
    <w:rsid w:val="00005295"/>
    <w:rsid w:val="00015A5F"/>
    <w:rsid w:val="00021F09"/>
    <w:rsid w:val="00024AB5"/>
    <w:rsid w:val="00032E01"/>
    <w:rsid w:val="00056AF6"/>
    <w:rsid w:val="00083389"/>
    <w:rsid w:val="000A2E3E"/>
    <w:rsid w:val="000B0766"/>
    <w:rsid w:val="000C00F9"/>
    <w:rsid w:val="000C7255"/>
    <w:rsid w:val="000D19DD"/>
    <w:rsid w:val="000D27D2"/>
    <w:rsid w:val="000F697B"/>
    <w:rsid w:val="000F73E6"/>
    <w:rsid w:val="00111456"/>
    <w:rsid w:val="001344C5"/>
    <w:rsid w:val="00152FDE"/>
    <w:rsid w:val="00190143"/>
    <w:rsid w:val="001966DD"/>
    <w:rsid w:val="001E3D3A"/>
    <w:rsid w:val="001F3CCF"/>
    <w:rsid w:val="00216E35"/>
    <w:rsid w:val="002552C8"/>
    <w:rsid w:val="0026140E"/>
    <w:rsid w:val="002A65B9"/>
    <w:rsid w:val="002A6F69"/>
    <w:rsid w:val="002F0524"/>
    <w:rsid w:val="002F26D3"/>
    <w:rsid w:val="003106D4"/>
    <w:rsid w:val="00312DEA"/>
    <w:rsid w:val="003529FE"/>
    <w:rsid w:val="00364B0B"/>
    <w:rsid w:val="003753B0"/>
    <w:rsid w:val="003A4C49"/>
    <w:rsid w:val="003A5277"/>
    <w:rsid w:val="003B2D06"/>
    <w:rsid w:val="003C3976"/>
    <w:rsid w:val="003E1AF7"/>
    <w:rsid w:val="003E40BA"/>
    <w:rsid w:val="003F698A"/>
    <w:rsid w:val="00403579"/>
    <w:rsid w:val="004174B5"/>
    <w:rsid w:val="0042097A"/>
    <w:rsid w:val="00452F43"/>
    <w:rsid w:val="00457C87"/>
    <w:rsid w:val="00475C19"/>
    <w:rsid w:val="004923F1"/>
    <w:rsid w:val="00495B9C"/>
    <w:rsid w:val="004A01F5"/>
    <w:rsid w:val="004B48C8"/>
    <w:rsid w:val="004E258E"/>
    <w:rsid w:val="004F15BD"/>
    <w:rsid w:val="004F65FC"/>
    <w:rsid w:val="00533992"/>
    <w:rsid w:val="00534128"/>
    <w:rsid w:val="0053610F"/>
    <w:rsid w:val="0053689C"/>
    <w:rsid w:val="005479A2"/>
    <w:rsid w:val="005479F2"/>
    <w:rsid w:val="00561B7B"/>
    <w:rsid w:val="005701A8"/>
    <w:rsid w:val="00587097"/>
    <w:rsid w:val="00594AD4"/>
    <w:rsid w:val="005A12E9"/>
    <w:rsid w:val="005A24D1"/>
    <w:rsid w:val="005B292B"/>
    <w:rsid w:val="005B77AB"/>
    <w:rsid w:val="005D0C96"/>
    <w:rsid w:val="005D2992"/>
    <w:rsid w:val="005E029D"/>
    <w:rsid w:val="005E66DB"/>
    <w:rsid w:val="005F0A3C"/>
    <w:rsid w:val="005F0B7D"/>
    <w:rsid w:val="00610C81"/>
    <w:rsid w:val="00613E7B"/>
    <w:rsid w:val="00615922"/>
    <w:rsid w:val="00615BE8"/>
    <w:rsid w:val="006338A8"/>
    <w:rsid w:val="006415D5"/>
    <w:rsid w:val="00642C25"/>
    <w:rsid w:val="00650286"/>
    <w:rsid w:val="006553D9"/>
    <w:rsid w:val="006A1360"/>
    <w:rsid w:val="006A3492"/>
    <w:rsid w:val="006A5527"/>
    <w:rsid w:val="006B09A4"/>
    <w:rsid w:val="006C1B44"/>
    <w:rsid w:val="006E3E9F"/>
    <w:rsid w:val="006F6D3C"/>
    <w:rsid w:val="00706078"/>
    <w:rsid w:val="00725D4C"/>
    <w:rsid w:val="00733153"/>
    <w:rsid w:val="00740055"/>
    <w:rsid w:val="00774E8E"/>
    <w:rsid w:val="00783C16"/>
    <w:rsid w:val="00796DBC"/>
    <w:rsid w:val="007A1A30"/>
    <w:rsid w:val="007A70A4"/>
    <w:rsid w:val="007C3519"/>
    <w:rsid w:val="007D4972"/>
    <w:rsid w:val="007E05F0"/>
    <w:rsid w:val="007E0C6A"/>
    <w:rsid w:val="007F2B4E"/>
    <w:rsid w:val="007F521B"/>
    <w:rsid w:val="008270CD"/>
    <w:rsid w:val="008621D3"/>
    <w:rsid w:val="008654F1"/>
    <w:rsid w:val="008663F3"/>
    <w:rsid w:val="00876E1D"/>
    <w:rsid w:val="008A1CAF"/>
    <w:rsid w:val="008A1EE1"/>
    <w:rsid w:val="008C07E6"/>
    <w:rsid w:val="008D510E"/>
    <w:rsid w:val="008D5D76"/>
    <w:rsid w:val="008D75BF"/>
    <w:rsid w:val="0090105D"/>
    <w:rsid w:val="00905ADF"/>
    <w:rsid w:val="009362A6"/>
    <w:rsid w:val="00977EFB"/>
    <w:rsid w:val="00980EEA"/>
    <w:rsid w:val="009B14FD"/>
    <w:rsid w:val="009C7D4E"/>
    <w:rsid w:val="009E1FAC"/>
    <w:rsid w:val="00A276E2"/>
    <w:rsid w:val="00A41FBD"/>
    <w:rsid w:val="00A527D0"/>
    <w:rsid w:val="00A5332A"/>
    <w:rsid w:val="00A5637A"/>
    <w:rsid w:val="00A56DE6"/>
    <w:rsid w:val="00A64F45"/>
    <w:rsid w:val="00A85833"/>
    <w:rsid w:val="00AA16E4"/>
    <w:rsid w:val="00AA2A5B"/>
    <w:rsid w:val="00AD0933"/>
    <w:rsid w:val="00AD3F74"/>
    <w:rsid w:val="00AD5210"/>
    <w:rsid w:val="00AE7A7F"/>
    <w:rsid w:val="00B572B9"/>
    <w:rsid w:val="00B945CC"/>
    <w:rsid w:val="00B95457"/>
    <w:rsid w:val="00BC0FF5"/>
    <w:rsid w:val="00C17101"/>
    <w:rsid w:val="00C3292B"/>
    <w:rsid w:val="00C46870"/>
    <w:rsid w:val="00C47D6D"/>
    <w:rsid w:val="00C506BB"/>
    <w:rsid w:val="00CC3391"/>
    <w:rsid w:val="00CF39AA"/>
    <w:rsid w:val="00CF7EF8"/>
    <w:rsid w:val="00D40804"/>
    <w:rsid w:val="00D50693"/>
    <w:rsid w:val="00D96A1B"/>
    <w:rsid w:val="00DB1AD0"/>
    <w:rsid w:val="00DC3DE9"/>
    <w:rsid w:val="00E158CE"/>
    <w:rsid w:val="00E2632F"/>
    <w:rsid w:val="00E4738D"/>
    <w:rsid w:val="00E5620E"/>
    <w:rsid w:val="00E60BC1"/>
    <w:rsid w:val="00EC06D5"/>
    <w:rsid w:val="00ED0C7B"/>
    <w:rsid w:val="00EF499F"/>
    <w:rsid w:val="00F12749"/>
    <w:rsid w:val="00F607A3"/>
    <w:rsid w:val="00F8624E"/>
    <w:rsid w:val="00F87B39"/>
    <w:rsid w:val="00F97C2C"/>
    <w:rsid w:val="00FB0AD5"/>
    <w:rsid w:val="00FD1C2E"/>
    <w:rsid w:val="00FD4D12"/>
    <w:rsid w:val="00FD528D"/>
    <w:rsid w:val="01EF3859"/>
    <w:rsid w:val="06292779"/>
    <w:rsid w:val="09F50422"/>
    <w:rsid w:val="0AD14216"/>
    <w:rsid w:val="0BFC7099"/>
    <w:rsid w:val="0DEA5E4E"/>
    <w:rsid w:val="19CD20B3"/>
    <w:rsid w:val="1CD502E3"/>
    <w:rsid w:val="1F61088A"/>
    <w:rsid w:val="22EB6952"/>
    <w:rsid w:val="24065C87"/>
    <w:rsid w:val="270441D6"/>
    <w:rsid w:val="2E751877"/>
    <w:rsid w:val="2F4A5A86"/>
    <w:rsid w:val="377A6A03"/>
    <w:rsid w:val="3B3C3D05"/>
    <w:rsid w:val="43E52EB2"/>
    <w:rsid w:val="45534C6A"/>
    <w:rsid w:val="48E02CA0"/>
    <w:rsid w:val="4BC21808"/>
    <w:rsid w:val="515E50B1"/>
    <w:rsid w:val="52104BE6"/>
    <w:rsid w:val="547C3014"/>
    <w:rsid w:val="589D660D"/>
    <w:rsid w:val="5BA85FDA"/>
    <w:rsid w:val="5CC654BC"/>
    <w:rsid w:val="5E8B2D0C"/>
    <w:rsid w:val="62512CDA"/>
    <w:rsid w:val="6331762E"/>
    <w:rsid w:val="635B7DDD"/>
    <w:rsid w:val="65702FD5"/>
    <w:rsid w:val="6623246D"/>
    <w:rsid w:val="66A42B43"/>
    <w:rsid w:val="67DA6442"/>
    <w:rsid w:val="6CFD33D3"/>
    <w:rsid w:val="751A753E"/>
    <w:rsid w:val="76E75BDA"/>
    <w:rsid w:val="77462317"/>
    <w:rsid w:val="791A16D4"/>
    <w:rsid w:val="7A1969A8"/>
    <w:rsid w:val="7A50285F"/>
    <w:rsid w:val="7B772C7A"/>
    <w:rsid w:val="7C8E25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link w:val="23"/>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Calibri" w:hAnsi="Calibri"/>
    </w:rPr>
  </w:style>
  <w:style w:type="paragraph" w:styleId="3">
    <w:name w:val="Body Text Indent"/>
    <w:basedOn w:val="1"/>
    <w:next w:val="4"/>
    <w:link w:val="21"/>
    <w:qFormat/>
    <w:uiPriority w:val="0"/>
    <w:pPr>
      <w:ind w:firstLine="560" w:firstLineChars="200"/>
    </w:pPr>
    <w:rPr>
      <w:rFonts w:ascii="Times New Roman" w:hAnsi="Times New Roman" w:eastAsia="宋体" w:cs="Times New Roman"/>
      <w:sz w:val="28"/>
    </w:rPr>
  </w:style>
  <w:style w:type="paragraph" w:styleId="4">
    <w:name w:val="envelope return"/>
    <w:basedOn w:val="1"/>
    <w:qFormat/>
    <w:uiPriority w:val="0"/>
    <w:pPr>
      <w:snapToGrid w:val="0"/>
    </w:pPr>
    <w:rPr>
      <w:rFonts w:ascii="Arial" w:hAnsi="Arial"/>
      <w:szCs w:val="20"/>
    </w:rPr>
  </w:style>
  <w:style w:type="paragraph" w:styleId="6">
    <w:name w:val="toa heading"/>
    <w:basedOn w:val="1"/>
    <w:next w:val="1"/>
    <w:qFormat/>
    <w:uiPriority w:val="0"/>
    <w:rPr>
      <w:rFonts w:ascii="Arial" w:hAnsi="Arial"/>
      <w:sz w:val="24"/>
    </w:rPr>
  </w:style>
  <w:style w:type="paragraph" w:styleId="7">
    <w:name w:val="Date"/>
    <w:basedOn w:val="1"/>
    <w:next w:val="1"/>
    <w:link w:val="20"/>
    <w:qFormat/>
    <w:uiPriority w:val="0"/>
    <w:pPr>
      <w:ind w:left="100" w:leftChars="2500"/>
    </w:pPr>
  </w:style>
  <w:style w:type="paragraph" w:styleId="8">
    <w:name w:val="Body Text Indent 2"/>
    <w:basedOn w:val="1"/>
    <w:link w:val="22"/>
    <w:qFormat/>
    <w:uiPriority w:val="0"/>
    <w:pPr>
      <w:spacing w:after="120" w:line="480" w:lineRule="auto"/>
      <w:ind w:left="420" w:leftChars="200"/>
    </w:pPr>
  </w:style>
  <w:style w:type="paragraph" w:styleId="9">
    <w:name w:val="Balloon Text"/>
    <w:basedOn w:val="1"/>
    <w:link w:val="18"/>
    <w:qFormat/>
    <w:uiPriority w:val="0"/>
    <w:rPr>
      <w:sz w:val="18"/>
      <w:szCs w:val="18"/>
    </w:rPr>
  </w:style>
  <w:style w:type="paragraph" w:styleId="10">
    <w:name w:val="footer"/>
    <w:basedOn w:val="1"/>
    <w:link w:val="17"/>
    <w:qFormat/>
    <w:uiPriority w:val="0"/>
    <w:pPr>
      <w:tabs>
        <w:tab w:val="center" w:pos="4153"/>
        <w:tab w:val="right" w:pos="8306"/>
      </w:tabs>
      <w:snapToGrid w:val="0"/>
      <w:jc w:val="left"/>
    </w:pPr>
    <w:rPr>
      <w:sz w:val="18"/>
      <w:szCs w:val="18"/>
    </w:rPr>
  </w:style>
  <w:style w:type="paragraph" w:styleId="11">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5">
    <w:name w:val="Hyperlink"/>
    <w:basedOn w:val="14"/>
    <w:qFormat/>
    <w:uiPriority w:val="0"/>
    <w:rPr>
      <w:color w:val="0000FF"/>
      <w:u w:val="single"/>
    </w:rPr>
  </w:style>
  <w:style w:type="character" w:customStyle="1" w:styleId="16">
    <w:name w:val="页眉 Char"/>
    <w:basedOn w:val="14"/>
    <w:link w:val="11"/>
    <w:qFormat/>
    <w:uiPriority w:val="99"/>
    <w:rPr>
      <w:rFonts w:asciiTheme="minorHAnsi" w:hAnsiTheme="minorHAnsi" w:eastAsiaTheme="minorEastAsia" w:cstheme="minorBidi"/>
      <w:kern w:val="2"/>
      <w:sz w:val="18"/>
      <w:szCs w:val="18"/>
    </w:rPr>
  </w:style>
  <w:style w:type="character" w:customStyle="1" w:styleId="17">
    <w:name w:val="页脚 Char"/>
    <w:basedOn w:val="14"/>
    <w:link w:val="10"/>
    <w:qFormat/>
    <w:uiPriority w:val="0"/>
    <w:rPr>
      <w:rFonts w:asciiTheme="minorHAnsi" w:hAnsiTheme="minorHAnsi" w:eastAsiaTheme="minorEastAsia" w:cstheme="minorBidi"/>
      <w:kern w:val="2"/>
      <w:sz w:val="18"/>
      <w:szCs w:val="18"/>
    </w:rPr>
  </w:style>
  <w:style w:type="character" w:customStyle="1" w:styleId="18">
    <w:name w:val="批注框文本 Char"/>
    <w:basedOn w:val="14"/>
    <w:link w:val="9"/>
    <w:qFormat/>
    <w:uiPriority w:val="0"/>
    <w:rPr>
      <w:rFonts w:asciiTheme="minorHAnsi" w:hAnsiTheme="minorHAnsi" w:eastAsiaTheme="minorEastAsia" w:cstheme="minorBidi"/>
      <w:kern w:val="2"/>
      <w:sz w:val="18"/>
      <w:szCs w:val="18"/>
    </w:rPr>
  </w:style>
  <w:style w:type="paragraph" w:customStyle="1" w:styleId="19">
    <w:name w:val="p0"/>
    <w:basedOn w:val="1"/>
    <w:qFormat/>
    <w:uiPriority w:val="0"/>
    <w:pPr>
      <w:widowControl/>
    </w:pPr>
    <w:rPr>
      <w:rFonts w:ascii="Times New Roman" w:hAnsi="Times New Roman" w:eastAsia="宋体" w:cs="Times New Roman"/>
      <w:kern w:val="0"/>
      <w:szCs w:val="21"/>
    </w:rPr>
  </w:style>
  <w:style w:type="character" w:customStyle="1" w:styleId="20">
    <w:name w:val="日期 Char"/>
    <w:basedOn w:val="14"/>
    <w:link w:val="7"/>
    <w:qFormat/>
    <w:uiPriority w:val="0"/>
    <w:rPr>
      <w:rFonts w:asciiTheme="minorHAnsi" w:hAnsiTheme="minorHAnsi" w:eastAsiaTheme="minorEastAsia" w:cstheme="minorBidi"/>
      <w:kern w:val="2"/>
      <w:sz w:val="21"/>
      <w:szCs w:val="24"/>
    </w:rPr>
  </w:style>
  <w:style w:type="character" w:customStyle="1" w:styleId="21">
    <w:name w:val="正文文本缩进 Char"/>
    <w:basedOn w:val="14"/>
    <w:link w:val="3"/>
    <w:qFormat/>
    <w:uiPriority w:val="0"/>
    <w:rPr>
      <w:kern w:val="2"/>
      <w:sz w:val="28"/>
      <w:szCs w:val="24"/>
    </w:rPr>
  </w:style>
  <w:style w:type="character" w:customStyle="1" w:styleId="22">
    <w:name w:val="正文文本缩进 2 Char"/>
    <w:basedOn w:val="14"/>
    <w:link w:val="8"/>
    <w:qFormat/>
    <w:uiPriority w:val="0"/>
    <w:rPr>
      <w:rFonts w:asciiTheme="minorHAnsi" w:hAnsiTheme="minorHAnsi" w:eastAsiaTheme="minorEastAsia" w:cstheme="minorBidi"/>
      <w:kern w:val="2"/>
      <w:sz w:val="21"/>
      <w:szCs w:val="24"/>
    </w:rPr>
  </w:style>
  <w:style w:type="character" w:customStyle="1" w:styleId="23">
    <w:name w:val="标题 2 Char"/>
    <w:basedOn w:val="14"/>
    <w:link w:val="5"/>
    <w:qFormat/>
    <w:uiPriority w:val="0"/>
    <w:rPr>
      <w:rFonts w:ascii="Arial" w:hAnsi="Arial" w:eastAsia="黑体"/>
      <w:b/>
      <w:bCs/>
      <w:kern w:val="2"/>
      <w:sz w:val="32"/>
      <w:szCs w:val="32"/>
    </w:rPr>
  </w:style>
  <w:style w:type="paragraph" w:customStyle="1" w:styleId="24">
    <w:name w:val="Char Char Char Char Char Char Char1 Char"/>
    <w:basedOn w:val="1"/>
    <w:qFormat/>
    <w:uiPriority w:val="0"/>
    <w:rPr>
      <w:rFonts w:ascii="Tahoma" w:hAnsi="Tahoma" w:eastAsia="宋体" w:cs="Times New Roman"/>
      <w:sz w:val="24"/>
      <w:szCs w:val="20"/>
    </w:rPr>
  </w:style>
  <w:style w:type="character" w:customStyle="1" w:styleId="25">
    <w:name w:val="NormalCharacter"/>
    <w:qFormat/>
    <w:uiPriority w:val="0"/>
  </w:style>
  <w:style w:type="paragraph" w:customStyle="1" w:styleId="26">
    <w:name w:val="Heading2"/>
    <w:basedOn w:val="1"/>
    <w:next w:val="1"/>
    <w:qFormat/>
    <w:uiPriority w:val="0"/>
    <w:pPr>
      <w:spacing w:after="16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13</Pages>
  <Words>6476</Words>
  <Characters>6709</Characters>
  <Lines>40</Lines>
  <Paragraphs>11</Paragraphs>
  <TotalTime>16</TotalTime>
  <ScaleCrop>false</ScaleCrop>
  <LinksUpToDate>false</LinksUpToDate>
  <CharactersWithSpaces>7646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2018-01-24T07:02:00Z</dcterms:created>
  <dc:creator>ww</dc:creator>
  <cp:lastModifiedBy>桀</cp:lastModifiedBy>
  <cp:lastPrinted>2018-05-23T07:27:00Z</cp:lastPrinted>
  <dcterms:modified xsi:type="dcterms:W3CDTF">2023-06-09T03:29:52Z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D8DAE02640E744FF94728E6AE1FFB81A_13</vt:lpwstr>
  </property>
</Properties>
</file>