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宋体" w:hAnsi="宋体" w:cs="宋体"/>
          <w:b/>
          <w:color w:val="000000"/>
          <w:kern w:val="0"/>
          <w:sz w:val="40"/>
          <w:szCs w:val="40"/>
        </w:rPr>
      </w:pPr>
    </w:p>
    <w:p>
      <w:pPr>
        <w:widowControl/>
        <w:spacing w:line="520" w:lineRule="exact"/>
        <w:jc w:val="center"/>
        <w:rPr>
          <w:rFonts w:ascii="宋体" w:hAnsi="宋体" w:cs="宋体"/>
          <w:b/>
          <w:color w:val="000000"/>
          <w:kern w:val="0"/>
          <w:sz w:val="40"/>
          <w:szCs w:val="40"/>
        </w:rPr>
      </w:pPr>
    </w:p>
    <w:p>
      <w:pPr>
        <w:widowControl/>
        <w:spacing w:line="520" w:lineRule="exact"/>
        <w:jc w:val="center"/>
        <w:rPr>
          <w:rFonts w:ascii="宋体" w:hAnsi="宋体" w:cs="宋体"/>
          <w:b/>
          <w:color w:val="000000"/>
          <w:kern w:val="0"/>
          <w:sz w:val="40"/>
          <w:szCs w:val="40"/>
        </w:rPr>
      </w:pPr>
      <w:r>
        <w:rPr>
          <w:rFonts w:hint="eastAsia" w:ascii="宋体" w:hAnsi="宋体" w:cs="宋体"/>
          <w:b/>
          <w:color w:val="000000"/>
          <w:kern w:val="0"/>
          <w:sz w:val="40"/>
          <w:szCs w:val="40"/>
        </w:rPr>
        <w:t>合肥百货大楼集团铜陵合百商厦有限责任公司</w:t>
      </w:r>
    </w:p>
    <w:p>
      <w:pPr>
        <w:widowControl/>
        <w:spacing w:line="520" w:lineRule="exact"/>
        <w:jc w:val="center"/>
        <w:rPr>
          <w:rFonts w:ascii="宋体" w:hAnsi="宋体" w:cs="宋体"/>
          <w:b/>
          <w:color w:val="000000"/>
          <w:kern w:val="0"/>
          <w:sz w:val="40"/>
          <w:szCs w:val="40"/>
        </w:rPr>
      </w:pPr>
    </w:p>
    <w:p>
      <w:pPr>
        <w:widowControl/>
        <w:spacing w:line="520" w:lineRule="exact"/>
        <w:jc w:val="center"/>
        <w:rPr>
          <w:rFonts w:ascii="宋体" w:hAnsi="宋体" w:cs="宋体"/>
          <w:b/>
          <w:color w:val="000000"/>
          <w:kern w:val="0"/>
          <w:sz w:val="40"/>
          <w:szCs w:val="40"/>
        </w:rPr>
      </w:pPr>
      <w:r>
        <w:rPr>
          <w:rFonts w:hint="eastAsia" w:ascii="宋体" w:hAnsi="宋体" w:cs="宋体"/>
          <w:b/>
          <w:color w:val="000000"/>
          <w:kern w:val="0"/>
          <w:sz w:val="40"/>
          <w:szCs w:val="40"/>
        </w:rPr>
        <w:t>中央空调系统冷却塔采购及安装</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pStyle w:val="2"/>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ascii="宋体" w:hAnsi="宋体" w:cs="宋体"/>
          <w:bCs/>
          <w:color w:val="FF0000"/>
          <w:kern w:val="0"/>
          <w:sz w:val="32"/>
          <w:szCs w:val="32"/>
        </w:rPr>
      </w:pPr>
      <w:r>
        <w:rPr>
          <w:rFonts w:hint="eastAsia" w:ascii="宋体" w:hAnsi="宋体" w:cs="宋体"/>
          <w:bCs/>
          <w:color w:val="000000"/>
          <w:kern w:val="0"/>
          <w:sz w:val="32"/>
          <w:szCs w:val="32"/>
        </w:rPr>
        <w:t>编号：</w:t>
      </w:r>
      <w:r>
        <w:rPr>
          <w:rFonts w:hint="eastAsia" w:ascii="宋体" w:hAnsi="宋体" w:cs="宋体"/>
          <w:bCs/>
          <w:kern w:val="0"/>
          <w:sz w:val="32"/>
          <w:szCs w:val="32"/>
        </w:rPr>
        <w:t>HBZ-220</w:t>
      </w:r>
      <w:r>
        <w:rPr>
          <w:rFonts w:hint="eastAsia" w:ascii="宋体" w:hAnsi="宋体" w:cs="宋体"/>
          <w:bCs/>
          <w:kern w:val="0"/>
          <w:sz w:val="32"/>
          <w:szCs w:val="32"/>
          <w:lang w:val="en-US" w:eastAsia="zh-CN"/>
        </w:rPr>
        <w:t>45</w:t>
      </w:r>
      <w:r>
        <w:rPr>
          <w:rFonts w:hint="eastAsia" w:ascii="宋体" w:hAnsi="宋体" w:cs="宋体"/>
          <w:bCs/>
          <w:kern w:val="0"/>
          <w:sz w:val="32"/>
          <w:szCs w:val="32"/>
        </w:rPr>
        <w:t>-TLBD03</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招标需求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合同</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第五章  《附件》（投标文件格式等）</w:t>
      </w:r>
    </w:p>
    <w:p>
      <w:pPr>
        <w:widowControl/>
        <w:spacing w:line="520" w:lineRule="exact"/>
        <w:jc w:val="center"/>
        <w:rPr>
          <w:rFonts w:ascii="宋体" w:hAnsi="宋体" w:cs="宋体"/>
          <w:color w:val="000000"/>
          <w:kern w:val="0"/>
          <w:sz w:val="28"/>
          <w:szCs w:val="28"/>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kern w:val="0"/>
          <w:sz w:val="28"/>
          <w:szCs w:val="28"/>
        </w:rPr>
        <w:t>二〇二二年</w:t>
      </w:r>
      <w:r>
        <w:rPr>
          <w:rFonts w:hint="eastAsia" w:ascii="宋体" w:hAnsi="宋体" w:cs="宋体"/>
          <w:kern w:val="0"/>
          <w:sz w:val="28"/>
          <w:szCs w:val="28"/>
          <w:lang w:eastAsia="zh-CN"/>
        </w:rPr>
        <w:t>九</w:t>
      </w:r>
      <w:r>
        <w:rPr>
          <w:rFonts w:hint="eastAsia" w:ascii="宋体" w:hAnsi="宋体" w:cs="宋体"/>
          <w:kern w:val="0"/>
          <w:sz w:val="28"/>
          <w:szCs w:val="28"/>
        </w:rPr>
        <w:t>月</w:t>
      </w:r>
    </w:p>
    <w:p>
      <w:pPr>
        <w:widowControl/>
        <w:shd w:val="clear" w:color="auto" w:fill="FFFFFF"/>
        <w:spacing w:line="420" w:lineRule="exact"/>
        <w:rPr>
          <w:rFonts w:ascii="黑体" w:hAnsi="宋体" w:eastAsia="黑体" w:cs="宋体"/>
          <w:b/>
          <w:color w:val="000000"/>
          <w:kern w:val="0"/>
          <w:sz w:val="28"/>
          <w:szCs w:val="28"/>
          <w:lang w:val="zh-CN"/>
        </w:rPr>
      </w:pPr>
    </w:p>
    <w:p>
      <w:pPr>
        <w:widowControl/>
        <w:shd w:val="clear" w:color="auto" w:fill="FFFFFF"/>
        <w:spacing w:line="520" w:lineRule="exact"/>
        <w:jc w:val="center"/>
        <w:rPr>
          <w:rFonts w:ascii="宋体" w:hAnsi="宋体"/>
          <w:b/>
          <w:bCs/>
          <w:color w:val="000000"/>
          <w:kern w:val="0"/>
          <w:sz w:val="32"/>
          <w:szCs w:val="32"/>
        </w:rPr>
      </w:pPr>
    </w:p>
    <w:p>
      <w:pPr>
        <w:widowControl/>
        <w:shd w:val="clear" w:color="auto" w:fill="FFFFFF"/>
        <w:spacing w:line="520" w:lineRule="exact"/>
        <w:jc w:val="center"/>
        <w:rPr>
          <w:rFonts w:ascii="宋体" w:hAnsi="宋体"/>
          <w:b/>
          <w:bCs/>
          <w:color w:val="000000"/>
          <w:kern w:val="0"/>
          <w:sz w:val="32"/>
          <w:szCs w:val="32"/>
        </w:rPr>
        <w:sectPr>
          <w:pgSz w:w="11906" w:h="16838"/>
          <w:pgMar w:top="1134" w:right="1134" w:bottom="1134" w:left="1134" w:header="851" w:footer="992" w:gutter="0"/>
          <w:pgNumType w:start="1"/>
          <w:cols w:space="425" w:num="1"/>
          <w:docGrid w:type="lines" w:linePitch="312" w:charSpace="0"/>
        </w:sectPr>
      </w:pPr>
    </w:p>
    <w:p>
      <w:pPr>
        <w:widowControl/>
        <w:shd w:val="clear" w:color="auto" w:fill="FFFFFF"/>
        <w:spacing w:line="520" w:lineRule="exact"/>
        <w:jc w:val="center"/>
        <w:rPr>
          <w:rFonts w:ascii="宋体" w:hAnsi="宋体"/>
          <w:b/>
          <w:bCs/>
          <w:color w:val="000000"/>
          <w:kern w:val="0"/>
          <w:sz w:val="32"/>
          <w:szCs w:val="32"/>
        </w:rPr>
      </w:pPr>
      <w:r>
        <w:rPr>
          <w:rFonts w:hint="eastAsia" w:ascii="宋体" w:hAnsi="宋体"/>
          <w:b/>
          <w:bCs/>
          <w:color w:val="000000"/>
          <w:kern w:val="0"/>
          <w:sz w:val="32"/>
          <w:szCs w:val="32"/>
        </w:rPr>
        <w:t>第一章  投标邀请</w:t>
      </w:r>
    </w:p>
    <w:p>
      <w:pPr>
        <w:widowControl/>
        <w:spacing w:line="520" w:lineRule="exact"/>
        <w:jc w:val="center"/>
        <w:rPr>
          <w:rFonts w:ascii="宋体" w:hAnsi="宋体"/>
          <w:b/>
          <w:bCs/>
          <w:color w:val="000000"/>
          <w:kern w:val="0"/>
          <w:sz w:val="24"/>
        </w:rPr>
      </w:pPr>
    </w:p>
    <w:p>
      <w:pPr>
        <w:widowControl/>
        <w:spacing w:line="500" w:lineRule="exact"/>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rPr>
        <w:t>合肥百货大楼集团铜陵合百商厦有限责任公司</w:t>
      </w:r>
      <w:r>
        <w:rPr>
          <w:rFonts w:hint="eastAsia" w:cs="宋体" w:asciiTheme="minorEastAsia" w:hAnsiTheme="minorEastAsia" w:eastAsiaTheme="minorEastAsia"/>
          <w:spacing w:val="-4"/>
          <w:kern w:val="0"/>
          <w:sz w:val="24"/>
        </w:rPr>
        <w:t>（以下简称：铜陵百大），现对</w:t>
      </w:r>
      <w:r>
        <w:rPr>
          <w:rFonts w:hint="eastAsia" w:cs="宋体" w:asciiTheme="minorEastAsia" w:hAnsiTheme="minorEastAsia" w:eastAsiaTheme="minorEastAsia"/>
          <w:kern w:val="0"/>
          <w:sz w:val="24"/>
        </w:rPr>
        <w:t>中央空调系统冷却塔采购及安装项目进行招标，</w:t>
      </w:r>
      <w:r>
        <w:rPr>
          <w:rFonts w:hint="eastAsia" w:cs="宋体" w:asciiTheme="minorEastAsia" w:hAnsiTheme="minorEastAsia" w:eastAsiaTheme="minorEastAsia"/>
          <w:kern w:val="0"/>
          <w:sz w:val="24"/>
          <w:lang w:val="zh-CN"/>
        </w:rPr>
        <w:t>诚邀具有相关资质的专业公司参与竞标。</w:t>
      </w:r>
    </w:p>
    <w:p>
      <w:pPr>
        <w:widowControl/>
        <w:shd w:val="clear" w:color="auto" w:fill="FFFFFF"/>
        <w:spacing w:line="500" w:lineRule="exact"/>
        <w:jc w:val="left"/>
        <w:rPr>
          <w:rFonts w:asciiTheme="minorEastAsia" w:hAnsiTheme="minorEastAsia" w:eastAsiaTheme="minorEastAsia"/>
          <w:b/>
          <w:bCs/>
          <w:kern w:val="0"/>
          <w:sz w:val="24"/>
        </w:rPr>
      </w:pPr>
      <w:r>
        <w:rPr>
          <w:rFonts w:hint="eastAsia" w:asciiTheme="minorEastAsia" w:hAnsiTheme="minorEastAsia" w:eastAsiaTheme="minorEastAsia"/>
          <w:b/>
          <w:bCs/>
          <w:spacing w:val="-10"/>
          <w:kern w:val="0"/>
          <w:sz w:val="24"/>
        </w:rPr>
        <w:t xml:space="preserve"> 一、</w:t>
      </w:r>
      <w:r>
        <w:rPr>
          <w:rFonts w:hint="eastAsia" w:asciiTheme="minorEastAsia" w:hAnsiTheme="minorEastAsia" w:eastAsiaTheme="minorEastAsia"/>
          <w:b/>
          <w:bCs/>
          <w:kern w:val="0"/>
          <w:sz w:val="24"/>
        </w:rPr>
        <w:t>招标简介</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1.项目名称：铜陵百大中央空调系统冷却塔采购及安装</w:t>
      </w:r>
    </w:p>
    <w:p>
      <w:pPr>
        <w:widowControl/>
        <w:spacing w:line="500" w:lineRule="exact"/>
        <w:ind w:firstLine="480" w:firstLineChars="200"/>
        <w:jc w:val="left"/>
        <w:rPr>
          <w:rFonts w:asciiTheme="minorEastAsia" w:hAnsiTheme="minorEastAsia" w:eastAsiaTheme="minorEastAsia"/>
          <w:color w:val="FF0000"/>
          <w:sz w:val="24"/>
        </w:rPr>
      </w:pPr>
      <w:r>
        <w:rPr>
          <w:rFonts w:hint="eastAsia" w:cs="宋体" w:asciiTheme="minorEastAsia" w:hAnsiTheme="minorEastAsia" w:eastAsiaTheme="minorEastAsia"/>
          <w:kern w:val="0"/>
          <w:sz w:val="24"/>
        </w:rPr>
        <w:t>2.项目编号:</w:t>
      </w:r>
      <w:r>
        <w:rPr>
          <w:rFonts w:hint="eastAsia" w:cs="宋体" w:asciiTheme="minorEastAsia" w:hAnsiTheme="minorEastAsia" w:eastAsiaTheme="minorEastAsia"/>
          <w:bCs/>
          <w:kern w:val="0"/>
          <w:sz w:val="24"/>
        </w:rPr>
        <w:t>HBZ-220</w:t>
      </w:r>
      <w:r>
        <w:rPr>
          <w:rFonts w:hint="eastAsia" w:cs="宋体" w:asciiTheme="minorEastAsia" w:hAnsiTheme="minorEastAsia" w:eastAsiaTheme="minorEastAsia"/>
          <w:bCs/>
          <w:kern w:val="0"/>
          <w:sz w:val="24"/>
          <w:lang w:val="en-US" w:eastAsia="zh-CN"/>
        </w:rPr>
        <w:t>45</w:t>
      </w:r>
      <w:r>
        <w:rPr>
          <w:rFonts w:hint="eastAsia" w:cs="宋体" w:asciiTheme="minorEastAsia" w:hAnsiTheme="minorEastAsia" w:eastAsiaTheme="minorEastAsia"/>
          <w:bCs/>
          <w:kern w:val="0"/>
          <w:sz w:val="24"/>
        </w:rPr>
        <w:t>-TLBD03</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3.项目地址：铜陵市长江中路785号</w:t>
      </w:r>
    </w:p>
    <w:p>
      <w:pPr>
        <w:spacing w:line="500" w:lineRule="exact"/>
        <w:ind w:firstLine="480" w:firstLineChars="200"/>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4.项目概算：</w:t>
      </w:r>
      <w:r>
        <w:rPr>
          <w:rFonts w:hint="eastAsia" w:asciiTheme="minorEastAsia" w:hAnsiTheme="minorEastAsia" w:eastAsiaTheme="minorEastAsia"/>
          <w:sz w:val="24"/>
        </w:rPr>
        <w:t>500000元</w:t>
      </w:r>
    </w:p>
    <w:p>
      <w:pPr>
        <w:widowControl/>
        <w:shd w:val="clear" w:color="auto" w:fill="FFFFFF"/>
        <w:spacing w:line="500" w:lineRule="exact"/>
        <w:rPr>
          <w:rFonts w:asciiTheme="minorEastAsia" w:hAnsiTheme="minorEastAsia" w:eastAsiaTheme="minorEastAsia"/>
          <w:color w:val="000000"/>
          <w:kern w:val="0"/>
          <w:sz w:val="24"/>
        </w:rPr>
      </w:pPr>
      <w:r>
        <w:rPr>
          <w:rFonts w:hint="eastAsia" w:asciiTheme="minorEastAsia" w:hAnsiTheme="minorEastAsia" w:eastAsiaTheme="minorEastAsia"/>
          <w:b/>
          <w:bCs/>
          <w:color w:val="000000"/>
          <w:kern w:val="0"/>
          <w:sz w:val="24"/>
        </w:rPr>
        <w:t>二、投标人要求</w:t>
      </w:r>
    </w:p>
    <w:p>
      <w:pPr>
        <w:spacing w:line="500" w:lineRule="exact"/>
        <w:ind w:firstLine="480" w:firstLineChars="200"/>
        <w:rPr>
          <w:rFonts w:cs="宋体" w:asciiTheme="minorEastAsia" w:hAnsiTheme="minorEastAsia" w:eastAsiaTheme="minorEastAsia"/>
          <w:kern w:val="0"/>
          <w:sz w:val="24"/>
        </w:rPr>
      </w:pPr>
      <w:r>
        <w:rPr>
          <w:rFonts w:hint="eastAsia" w:asciiTheme="minorEastAsia" w:hAnsiTheme="minorEastAsia" w:eastAsiaTheme="minorEastAsia"/>
          <w:sz w:val="24"/>
        </w:rPr>
        <w:t>1.</w:t>
      </w:r>
      <w:r>
        <w:rPr>
          <w:rFonts w:hint="eastAsia" w:asciiTheme="minorEastAsia" w:hAnsiTheme="minorEastAsia" w:eastAsiaTheme="minorEastAsia"/>
          <w:kern w:val="0"/>
          <w:sz w:val="24"/>
        </w:rPr>
        <w:t>投标人</w:t>
      </w:r>
      <w:r>
        <w:rPr>
          <w:rFonts w:hint="eastAsia" w:cs="宋体" w:asciiTheme="minorEastAsia" w:hAnsiTheme="minorEastAsia" w:eastAsiaTheme="minorEastAsia"/>
          <w:kern w:val="0"/>
          <w:sz w:val="24"/>
        </w:rPr>
        <w:t>具有独立法人和一般纳税人资格。</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2.投标人须具有</w:t>
      </w:r>
      <w:r>
        <w:rPr>
          <w:rFonts w:hint="eastAsia" w:asciiTheme="minorEastAsia" w:hAnsiTheme="minorEastAsia" w:eastAsiaTheme="minorEastAsia"/>
          <w:sz w:val="24"/>
        </w:rPr>
        <w:t>机电设备安装专业承包三级及以上资质，且具有有效的安全生产许可证</w:t>
      </w:r>
      <w:r>
        <w:rPr>
          <w:rFonts w:hint="eastAsia" w:asciiTheme="minorEastAsia" w:hAnsiTheme="minorEastAsia" w:eastAsiaTheme="minorEastAsia"/>
          <w:kern w:val="0"/>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3.投标人</w:t>
      </w:r>
      <w:r>
        <w:rPr>
          <w:rFonts w:hint="eastAsia" w:asciiTheme="minorEastAsia" w:hAnsiTheme="minorEastAsia" w:eastAsiaTheme="minorEastAsia"/>
          <w:sz w:val="24"/>
        </w:rPr>
        <w:t>拟委任项目经理须具备机电工程专业二级及以上注册建造师资格，具备有效的安全生产考核合格证书（B类）。</w:t>
      </w:r>
    </w:p>
    <w:p>
      <w:pPr>
        <w:widowControl/>
        <w:spacing w:line="5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4.提供2019年1月1日至今一份</w:t>
      </w:r>
      <w:r>
        <w:rPr>
          <w:rFonts w:hint="eastAsia" w:cs="宋体" w:asciiTheme="minorEastAsia" w:hAnsiTheme="minorEastAsia" w:eastAsiaTheme="minorEastAsia"/>
          <w:kern w:val="0"/>
          <w:sz w:val="24"/>
        </w:rPr>
        <w:t>冷却塔采购及安装</w:t>
      </w:r>
      <w:r>
        <w:rPr>
          <w:rFonts w:hint="eastAsia" w:asciiTheme="minorEastAsia" w:hAnsiTheme="minorEastAsia" w:eastAsiaTheme="minorEastAsia"/>
          <w:sz w:val="24"/>
        </w:rPr>
        <w:t>业绩合同。</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投标人须符合下列</w:t>
      </w:r>
      <w:r>
        <w:rPr>
          <w:rFonts w:hint="eastAsia" w:asciiTheme="minorEastAsia" w:hAnsiTheme="minorEastAsia" w:eastAsiaTheme="minorEastAsia"/>
          <w:sz w:val="24"/>
        </w:rPr>
        <w:t>情形之一</w:t>
      </w:r>
      <w:r>
        <w:rPr>
          <w:rFonts w:asciiTheme="minorEastAsia" w:hAnsiTheme="minorEastAsia" w:eastAsiaTheme="minorEastAsia"/>
          <w:sz w:val="24"/>
        </w:rPr>
        <w:t>（以</w:t>
      </w:r>
      <w:r>
        <w:rPr>
          <w:rFonts w:hint="eastAsia" w:asciiTheme="minorEastAsia" w:hAnsiTheme="minorEastAsia" w:eastAsiaTheme="minorEastAsia"/>
          <w:sz w:val="24"/>
        </w:rPr>
        <w:t>开标当日现场</w:t>
      </w:r>
      <w:r>
        <w:rPr>
          <w:rFonts w:asciiTheme="minorEastAsia" w:hAnsiTheme="minorEastAsia" w:eastAsiaTheme="minorEastAsia"/>
          <w:sz w:val="24"/>
        </w:rPr>
        <w:t>在“安徽合肥公共资源交易中心”网站http://ggzy.hefei.gov.cn/pgt/exposureDesk.html查询信息为准</w:t>
      </w:r>
      <w:r>
        <w:rPr>
          <w:rFonts w:hint="eastAsia" w:asciiTheme="minorEastAsia" w:hAnsiTheme="minorEastAsia" w:eastAsiaTheme="minorEastAsia"/>
          <w:sz w:val="24"/>
        </w:rPr>
        <w:t>。如网站未收录被查询企业信息视为不存在以下不良行为记录。</w:t>
      </w:r>
      <w:r>
        <w:rPr>
          <w:rFonts w:asciiTheme="minorEastAsia" w:hAnsiTheme="minorEastAsia" w:eastAsiaTheme="minorEastAsia"/>
          <w:sz w:val="24"/>
        </w:rPr>
        <w:t>）：</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5.1</w:t>
      </w:r>
      <w:r>
        <w:rPr>
          <w:rFonts w:asciiTheme="minorEastAsia" w:hAnsiTheme="minorEastAsia" w:eastAsiaTheme="minorEastAsia"/>
          <w:sz w:val="24"/>
        </w:rPr>
        <w:t>开标日前两年内未被合肥市及其所辖县（市）公共资源交易监督管理局记不良行为记录或记不良行为记录累计未满10分的。 </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5.2</w:t>
      </w:r>
      <w:r>
        <w:rPr>
          <w:rFonts w:asciiTheme="minorEastAsia" w:hAnsiTheme="minorEastAsia" w:eastAsiaTheme="minorEastAsia"/>
          <w:sz w:val="24"/>
        </w:rPr>
        <w:t>最近一次被合肥市及其所辖县（市）公共资源交易监督管理局记不良行为记录累计记分达10分(含10分)到15分且公布日距开标日超过6个月。 </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5.3</w:t>
      </w:r>
      <w:r>
        <w:rPr>
          <w:rFonts w:asciiTheme="minorEastAsia" w:hAnsiTheme="minorEastAsia" w:eastAsiaTheme="minorEastAsia"/>
          <w:sz w:val="24"/>
        </w:rPr>
        <w:t>最近一次被合肥市及其所辖县（市）公共资源交易监督管理局记不良行为记录累计记分达15分(含15分)到20分且公布日距开标日超过12个月。 </w:t>
      </w:r>
    </w:p>
    <w:p>
      <w:pPr>
        <w:widowControl/>
        <w:spacing w:line="500" w:lineRule="exact"/>
        <w:ind w:firstLine="480"/>
        <w:jc w:val="left"/>
        <w:rPr>
          <w:rFonts w:asciiTheme="minorEastAsia" w:hAnsiTheme="minorEastAsia" w:eastAsiaTheme="minorEastAsia"/>
          <w:bCs/>
          <w:sz w:val="24"/>
        </w:rPr>
      </w:pPr>
      <w:r>
        <w:rPr>
          <w:rFonts w:hint="eastAsia" w:asciiTheme="minorEastAsia" w:hAnsiTheme="minorEastAsia" w:eastAsiaTheme="minorEastAsia"/>
          <w:sz w:val="24"/>
        </w:rPr>
        <w:t>5.4</w:t>
      </w:r>
      <w:r>
        <w:rPr>
          <w:rFonts w:asciiTheme="minorEastAsia" w:hAnsiTheme="minorEastAsia" w:eastAsiaTheme="minorEastAsia"/>
          <w:sz w:val="24"/>
        </w:rPr>
        <w:t>最近一次被合肥市及其所辖县（市）公共资源交易监督管理局记不良行为记录累计记分达20分(含20分)及以上且公布日距开标日超过24个月。</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bCs/>
          <w:sz w:val="24"/>
        </w:rPr>
        <w:t>6.</w:t>
      </w:r>
      <w:r>
        <w:rPr>
          <w:rFonts w:asciiTheme="minorEastAsia" w:hAnsiTheme="minorEastAsia" w:eastAsiaTheme="minorEastAsia"/>
          <w:kern w:val="0"/>
          <w:sz w:val="24"/>
        </w:rPr>
        <w:t>投标人</w:t>
      </w:r>
      <w:r>
        <w:rPr>
          <w:rFonts w:hint="eastAsia" w:asciiTheme="minorEastAsia" w:hAnsiTheme="minorEastAsia" w:eastAsiaTheme="minorEastAsia"/>
          <w:kern w:val="0"/>
          <w:sz w:val="24"/>
        </w:rPr>
        <w:t>不得</w:t>
      </w:r>
      <w:r>
        <w:rPr>
          <w:rFonts w:asciiTheme="minorEastAsia" w:hAnsiTheme="minorEastAsia" w:eastAsiaTheme="minorEastAsia"/>
          <w:kern w:val="0"/>
          <w:sz w:val="24"/>
        </w:rPr>
        <w:t>存在以下不良信用记录情形之一（</w:t>
      </w:r>
      <w:r>
        <w:rPr>
          <w:rFonts w:asciiTheme="minorEastAsia" w:hAnsiTheme="minorEastAsia" w:eastAsiaTheme="minorEastAsia"/>
          <w:sz w:val="24"/>
        </w:rPr>
        <w:t>以</w:t>
      </w:r>
      <w:r>
        <w:rPr>
          <w:rFonts w:hint="eastAsia" w:asciiTheme="minorEastAsia" w:hAnsiTheme="minorEastAsia" w:eastAsiaTheme="minorEastAsia"/>
          <w:sz w:val="24"/>
        </w:rPr>
        <w:t>开标当日现场</w:t>
      </w:r>
      <w:r>
        <w:rPr>
          <w:rFonts w:asciiTheme="minorEastAsia" w:hAnsiTheme="minorEastAsia" w:eastAsiaTheme="minorEastAsia"/>
          <w:sz w:val="24"/>
        </w:rPr>
        <w:t>在“信用中国”网站http://www.creditchina.gov.cn/查询信息为准</w:t>
      </w:r>
      <w:r>
        <w:rPr>
          <w:rFonts w:hint="eastAsia" w:asciiTheme="minorEastAsia" w:hAnsiTheme="minorEastAsia" w:eastAsiaTheme="minorEastAsia"/>
          <w:sz w:val="24"/>
        </w:rPr>
        <w:t>。如网站未收录被查询企业信息视为不存在以下不良信用记录。</w:t>
      </w:r>
      <w:r>
        <w:rPr>
          <w:rFonts w:asciiTheme="minorEastAsia" w:hAnsiTheme="minorEastAsia" w:eastAsiaTheme="minorEastAsia"/>
          <w:kern w:val="0"/>
          <w:sz w:val="24"/>
        </w:rPr>
        <w:t>）：</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6.1</w:t>
      </w:r>
      <w:r>
        <w:rPr>
          <w:rFonts w:asciiTheme="minorEastAsia" w:hAnsiTheme="minorEastAsia" w:eastAsiaTheme="minorEastAsia"/>
          <w:sz w:val="24"/>
        </w:rPr>
        <w:t>投标人被人民法院列入失信被执行人的。</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6.2</w:t>
      </w:r>
      <w:r>
        <w:rPr>
          <w:rFonts w:asciiTheme="minorEastAsia" w:hAnsiTheme="minorEastAsia" w:eastAsiaTheme="minorEastAsia"/>
          <w:sz w:val="24"/>
        </w:rPr>
        <w:t>投标人被列入政府采购严重违法失信名单的。</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6.3</w:t>
      </w:r>
      <w:r>
        <w:rPr>
          <w:rFonts w:asciiTheme="minorEastAsia" w:hAnsiTheme="minorEastAsia" w:eastAsiaTheme="minorEastAsia"/>
          <w:sz w:val="24"/>
        </w:rPr>
        <w:t>投标人被工商行政管理部门列入企业经营异常名录的。</w:t>
      </w:r>
    </w:p>
    <w:p>
      <w:pPr>
        <w:widowControl/>
        <w:spacing w:line="500" w:lineRule="exact"/>
        <w:ind w:firstLine="480"/>
        <w:jc w:val="left"/>
        <w:rPr>
          <w:rFonts w:asciiTheme="minorEastAsia" w:hAnsiTheme="minorEastAsia" w:eastAsiaTheme="minorEastAsia"/>
          <w:sz w:val="24"/>
        </w:rPr>
      </w:pPr>
      <w:r>
        <w:rPr>
          <w:rFonts w:hint="eastAsia" w:asciiTheme="minorEastAsia" w:hAnsiTheme="minorEastAsia" w:eastAsiaTheme="minorEastAsia"/>
          <w:sz w:val="24"/>
        </w:rPr>
        <w:t>6.4</w:t>
      </w:r>
      <w:r>
        <w:rPr>
          <w:rFonts w:asciiTheme="minorEastAsia" w:hAnsiTheme="minorEastAsia" w:eastAsiaTheme="minorEastAsia"/>
          <w:sz w:val="24"/>
        </w:rPr>
        <w:t>投标人被税务部门列入重大税收违法案件当事人名单的。</w:t>
      </w:r>
    </w:p>
    <w:p>
      <w:pPr>
        <w:widowControl/>
        <w:spacing w:line="500" w:lineRule="exact"/>
        <w:ind w:firstLine="480"/>
        <w:jc w:val="left"/>
        <w:rPr>
          <w:rFonts w:asciiTheme="minorEastAsia" w:hAnsiTheme="minorEastAsia" w:eastAsiaTheme="minorEastAsia"/>
          <w:bCs/>
          <w:sz w:val="24"/>
        </w:rPr>
      </w:pPr>
      <w:r>
        <w:rPr>
          <w:rFonts w:hint="eastAsia" w:asciiTheme="minorEastAsia" w:hAnsiTheme="minorEastAsia" w:eastAsiaTheme="minorEastAsia"/>
          <w:sz w:val="24"/>
        </w:rPr>
        <w:t>7.</w:t>
      </w:r>
      <w:r>
        <w:rPr>
          <w:rFonts w:hint="eastAsia" w:asciiTheme="minorEastAsia" w:hAnsiTheme="minorEastAsia" w:eastAsiaTheme="minorEastAsia"/>
          <w:bCs/>
          <w:sz w:val="24"/>
        </w:rPr>
        <w:t>本项目不接受联合体投标。</w:t>
      </w:r>
    </w:p>
    <w:p>
      <w:pPr>
        <w:spacing w:line="500" w:lineRule="exact"/>
        <w:ind w:firstLine="482" w:firstLineChars="200"/>
        <w:rPr>
          <w:rFonts w:asciiTheme="minorEastAsia" w:hAnsiTheme="minorEastAsia" w:eastAsiaTheme="minorEastAsia"/>
          <w:bCs/>
          <w:sz w:val="24"/>
        </w:rPr>
      </w:pPr>
      <w:r>
        <w:rPr>
          <w:rFonts w:hint="eastAsia" w:asciiTheme="minorEastAsia" w:hAnsiTheme="minorEastAsia" w:eastAsiaTheme="minorEastAsia"/>
          <w:b/>
          <w:sz w:val="24"/>
        </w:rPr>
        <w:t>注：</w:t>
      </w:r>
      <w:r>
        <w:rPr>
          <w:rFonts w:hint="eastAsia" w:asciiTheme="minorEastAsia" w:hAnsiTheme="minorEastAsia" w:eastAsiaTheme="minorEastAsia"/>
          <w:b/>
          <w:sz w:val="24"/>
          <w:u w:val="single"/>
        </w:rPr>
        <w:t>报名时请提供</w:t>
      </w:r>
      <w:r>
        <w:rPr>
          <w:rFonts w:hint="eastAsia" w:cs="宋体" w:asciiTheme="minorEastAsia" w:hAnsiTheme="minorEastAsia" w:eastAsiaTheme="minorEastAsia"/>
          <w:b/>
          <w:kern w:val="0"/>
          <w:sz w:val="24"/>
          <w:u w:val="single"/>
        </w:rPr>
        <w:t>以上证明文件复印件（加盖公章），投标时做入投标文件</w:t>
      </w:r>
      <w:r>
        <w:rPr>
          <w:rFonts w:hint="eastAsia" w:cs="宋体" w:asciiTheme="minorEastAsia" w:hAnsiTheme="minorEastAsia" w:eastAsiaTheme="minorEastAsia"/>
          <w:b/>
          <w:kern w:val="0"/>
          <w:sz w:val="24"/>
        </w:rPr>
        <w:t>；</w:t>
      </w:r>
    </w:p>
    <w:p>
      <w:pPr>
        <w:spacing w:line="50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三、标书领取</w:t>
      </w:r>
    </w:p>
    <w:p>
      <w:pPr>
        <w:widowControl/>
        <w:spacing w:line="500" w:lineRule="exact"/>
        <w:ind w:firstLine="120" w:firstLineChars="50"/>
        <w:jc w:val="left"/>
        <w:rPr>
          <w:rFonts w:cs="宋体" w:asciiTheme="minorEastAsia" w:hAnsiTheme="minorEastAsia" w:eastAsiaTheme="minorEastAsia"/>
          <w:color w:val="FF0000"/>
          <w:kern w:val="0"/>
          <w:sz w:val="24"/>
        </w:rPr>
      </w:pPr>
      <w:r>
        <w:rPr>
          <w:rFonts w:hint="eastAsia" w:cs="宋体" w:asciiTheme="minorEastAsia" w:hAnsiTheme="minorEastAsia" w:eastAsiaTheme="minorEastAsia"/>
          <w:kern w:val="0"/>
          <w:sz w:val="24"/>
        </w:rPr>
        <w:t xml:space="preserve">   1.领取日期：</w:t>
      </w:r>
      <w:r>
        <w:rPr>
          <w:rFonts w:hint="eastAsia" w:cs="宋体" w:asciiTheme="minorEastAsia" w:hAnsiTheme="minorEastAsia" w:eastAsiaTheme="minorEastAsia"/>
          <w:color w:val="auto"/>
          <w:kern w:val="0"/>
          <w:sz w:val="24"/>
        </w:rPr>
        <w:t>2022年</w:t>
      </w:r>
      <w:r>
        <w:rPr>
          <w:rFonts w:hint="eastAsia" w:cs="宋体" w:asciiTheme="minorEastAsia" w:hAnsiTheme="minorEastAsia" w:eastAsiaTheme="minorEastAsia"/>
          <w:color w:val="auto"/>
          <w:kern w:val="0"/>
          <w:sz w:val="24"/>
          <w:lang w:val="en-US" w:eastAsia="zh-CN"/>
        </w:rPr>
        <w:t>9</w:t>
      </w:r>
      <w:r>
        <w:rPr>
          <w:rFonts w:hint="eastAsia" w:cs="宋体" w:asciiTheme="minorEastAsia" w:hAnsiTheme="minorEastAsia" w:eastAsiaTheme="minorEastAsia"/>
          <w:color w:val="auto"/>
          <w:kern w:val="0"/>
          <w:sz w:val="24"/>
        </w:rPr>
        <w:t>月</w:t>
      </w:r>
      <w:r>
        <w:rPr>
          <w:rFonts w:hint="eastAsia" w:cs="宋体" w:asciiTheme="minorEastAsia" w:hAnsiTheme="minorEastAsia" w:eastAsiaTheme="minorEastAsia"/>
          <w:color w:val="auto"/>
          <w:kern w:val="0"/>
          <w:sz w:val="24"/>
          <w:lang w:val="en-US" w:eastAsia="zh-CN"/>
        </w:rPr>
        <w:t>8</w:t>
      </w:r>
      <w:r>
        <w:rPr>
          <w:rFonts w:hint="eastAsia" w:cs="宋体" w:asciiTheme="minorEastAsia" w:hAnsiTheme="minorEastAsia" w:eastAsiaTheme="minorEastAsia"/>
          <w:color w:val="auto"/>
          <w:kern w:val="0"/>
          <w:sz w:val="24"/>
        </w:rPr>
        <w:t>日—2022年</w:t>
      </w:r>
      <w:r>
        <w:rPr>
          <w:rFonts w:hint="eastAsia" w:cs="宋体" w:asciiTheme="minorEastAsia" w:hAnsiTheme="minorEastAsia" w:eastAsiaTheme="minorEastAsia"/>
          <w:color w:val="auto"/>
          <w:kern w:val="0"/>
          <w:sz w:val="24"/>
          <w:lang w:val="en-US" w:eastAsia="zh-CN"/>
        </w:rPr>
        <w:t>9</w:t>
      </w:r>
      <w:r>
        <w:rPr>
          <w:rFonts w:hint="eastAsia" w:cs="宋体" w:asciiTheme="minorEastAsia" w:hAnsiTheme="minorEastAsia" w:eastAsiaTheme="minorEastAsia"/>
          <w:color w:val="auto"/>
          <w:kern w:val="0"/>
          <w:sz w:val="24"/>
        </w:rPr>
        <w:t>月</w:t>
      </w:r>
      <w:r>
        <w:rPr>
          <w:rFonts w:hint="eastAsia" w:cs="宋体" w:asciiTheme="minorEastAsia" w:hAnsiTheme="minorEastAsia" w:eastAsiaTheme="minorEastAsia"/>
          <w:color w:val="auto"/>
          <w:kern w:val="0"/>
          <w:sz w:val="24"/>
          <w:lang w:val="en-US" w:eastAsia="zh-CN"/>
        </w:rPr>
        <w:t>22</w:t>
      </w:r>
      <w:r>
        <w:rPr>
          <w:rFonts w:hint="eastAsia" w:cs="宋体" w:asciiTheme="minorEastAsia" w:hAnsiTheme="minorEastAsia" w:eastAsiaTheme="minorEastAsia"/>
          <w:color w:val="auto"/>
          <w:kern w:val="0"/>
          <w:sz w:val="24"/>
        </w:rPr>
        <w:t>日</w:t>
      </w:r>
    </w:p>
    <w:p>
      <w:pPr>
        <w:pStyle w:val="17"/>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2.领取方法：登录百大网站</w:t>
      </w:r>
      <w:r>
        <w:fldChar w:fldCharType="begin"/>
      </w:r>
      <w:r>
        <w:instrText xml:space="preserve">HYPERLINK "http://www.hfbh.com.cn"</w:instrText>
      </w:r>
      <w:r>
        <w:fldChar w:fldCharType="separate"/>
      </w:r>
      <w:r>
        <w:rPr>
          <w:rFonts w:hint="eastAsia" w:asciiTheme="minorEastAsia" w:hAnsiTheme="minorEastAsia" w:eastAsiaTheme="minorEastAsia"/>
          <w:sz w:val="24"/>
          <w:szCs w:val="24"/>
        </w:rPr>
        <w:t>www.hfbh.com.cn</w:t>
      </w:r>
      <w:r>
        <w:fldChar w:fldCharType="end"/>
      </w:r>
      <w:r>
        <w:rPr>
          <w:rFonts w:hint="eastAsia" w:asciiTheme="minorEastAsia" w:hAnsiTheme="minorEastAsia" w:eastAsiaTheme="minorEastAsia"/>
          <w:sz w:val="24"/>
          <w:szCs w:val="24"/>
        </w:rPr>
        <w:t>→服务中心→招标公告，页面末端点击链接下载标书（下载标书的投标单位按要求参加资格审查）。</w:t>
      </w:r>
    </w:p>
    <w:p>
      <w:pPr>
        <w:widowControl/>
        <w:shd w:val="clear" w:color="auto" w:fill="FFFFFF"/>
        <w:spacing w:line="500" w:lineRule="exact"/>
        <w:ind w:left="902" w:leftChars="200" w:hanging="482" w:hangingChars="200"/>
        <w:jc w:val="left"/>
        <w:rPr>
          <w:rFonts w:cs="宋体" w:asciiTheme="minorEastAsia" w:hAnsiTheme="minorEastAsia" w:eastAsiaTheme="minorEastAsia"/>
          <w:b/>
          <w:bCs/>
          <w:kern w:val="0"/>
          <w:sz w:val="24"/>
          <w:lang w:val="zh-CN"/>
        </w:rPr>
      </w:pPr>
      <w:r>
        <w:rPr>
          <w:rFonts w:hint="eastAsia" w:cs="宋体" w:asciiTheme="minorEastAsia" w:hAnsiTheme="minorEastAsia" w:eastAsiaTheme="minorEastAsia"/>
          <w:b/>
          <w:bCs/>
          <w:kern w:val="0"/>
          <w:sz w:val="24"/>
          <w:lang w:val="zh-CN"/>
        </w:rPr>
        <w:t>四、资格预审</w:t>
      </w:r>
    </w:p>
    <w:p>
      <w:pPr>
        <w:widowControl/>
        <w:shd w:val="clear" w:color="auto" w:fill="FFFFFF"/>
        <w:spacing w:line="500" w:lineRule="exact"/>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color w:val="auto"/>
          <w:kern w:val="0"/>
          <w:sz w:val="24"/>
          <w:lang w:val="zh-CN"/>
        </w:rPr>
        <w:t>2022年</w:t>
      </w:r>
      <w:r>
        <w:rPr>
          <w:rFonts w:hint="eastAsia" w:cs="宋体" w:asciiTheme="minorEastAsia" w:hAnsiTheme="minorEastAsia" w:eastAsiaTheme="minorEastAsia"/>
          <w:color w:val="auto"/>
          <w:kern w:val="0"/>
          <w:sz w:val="24"/>
          <w:lang w:val="en-US" w:eastAsia="zh-CN"/>
        </w:rPr>
        <w:t>9</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lang w:val="en-US" w:eastAsia="zh-CN"/>
        </w:rPr>
        <w:t>23</w:t>
      </w:r>
      <w:r>
        <w:rPr>
          <w:rFonts w:hint="eastAsia" w:cs="宋体" w:asciiTheme="minorEastAsia" w:hAnsiTheme="minorEastAsia" w:eastAsiaTheme="minorEastAsia"/>
          <w:color w:val="auto"/>
          <w:kern w:val="0"/>
          <w:sz w:val="24"/>
          <w:lang w:val="zh-CN"/>
        </w:rPr>
        <w:t>日12:00</w:t>
      </w:r>
      <w:r>
        <w:rPr>
          <w:rFonts w:hint="eastAsia" w:cs="宋体" w:asciiTheme="minorEastAsia" w:hAnsiTheme="minorEastAsia" w:eastAsiaTheme="minorEastAsia"/>
          <w:kern w:val="0"/>
          <w:sz w:val="24"/>
          <w:lang w:val="zh-CN"/>
        </w:rPr>
        <w:t>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left="902" w:leftChars="200" w:hanging="482" w:hangingChars="200"/>
        <w:jc w:val="left"/>
        <w:rPr>
          <w:rFonts w:cs="宋体" w:asciiTheme="minorEastAsia" w:hAnsiTheme="minorEastAsia" w:eastAsiaTheme="minorEastAsia"/>
          <w:b/>
          <w:bCs/>
          <w:kern w:val="0"/>
          <w:sz w:val="24"/>
          <w:lang w:val="zh-CN"/>
        </w:rPr>
      </w:pPr>
      <w:r>
        <w:rPr>
          <w:rFonts w:hint="eastAsia" w:cs="宋体" w:asciiTheme="minorEastAsia" w:hAnsiTheme="minorEastAsia" w:eastAsiaTheme="minorEastAsia"/>
          <w:b/>
          <w:bCs/>
          <w:kern w:val="0"/>
          <w:sz w:val="24"/>
          <w:lang w:val="zh-CN"/>
        </w:rPr>
        <w:t>五、投标保证金 </w:t>
      </w:r>
    </w:p>
    <w:p>
      <w:pPr>
        <w:widowControl/>
        <w:shd w:val="clear" w:color="auto" w:fill="FFFFFF"/>
        <w:spacing w:line="500" w:lineRule="exact"/>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2022年</w:t>
      </w:r>
      <w:r>
        <w:rPr>
          <w:rFonts w:hint="eastAsia" w:cs="宋体" w:asciiTheme="minorEastAsia" w:hAnsiTheme="minorEastAsia" w:eastAsiaTheme="minorEastAsia"/>
          <w:kern w:val="0"/>
          <w:sz w:val="24"/>
          <w:lang w:val="en-US" w:eastAsia="zh-CN"/>
        </w:rPr>
        <w:t>9</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lang w:val="en-US" w:eastAsia="zh-CN"/>
        </w:rPr>
        <w:t>26</w:t>
      </w:r>
      <w:r>
        <w:rPr>
          <w:rFonts w:hint="eastAsia" w:cs="宋体" w:asciiTheme="minorEastAsia" w:hAnsiTheme="minorEastAsia" w:eastAsiaTheme="minorEastAsia"/>
          <w:kern w:val="0"/>
          <w:sz w:val="24"/>
          <w:lang w:val="zh-CN"/>
        </w:rPr>
        <w:t>日16:00前（以实际到账时间为准）通过转账的方式缴纳投标保证金</w:t>
      </w:r>
      <w:r>
        <w:rPr>
          <w:rFonts w:hint="eastAsia" w:cs="宋体" w:asciiTheme="minorEastAsia" w:hAnsiTheme="minorEastAsia" w:eastAsiaTheme="minorEastAsia"/>
          <w:b/>
          <w:bCs/>
          <w:kern w:val="0"/>
          <w:sz w:val="24"/>
          <w:lang w:val="zh-CN"/>
        </w:rPr>
        <w:t>伍仟元整</w:t>
      </w:r>
      <w:r>
        <w:rPr>
          <w:rFonts w:hint="eastAsia" w:cs="宋体" w:asciiTheme="minorEastAsia" w:hAnsiTheme="minorEastAsia" w:eastAsiaTheme="minorEastAsia"/>
          <w:kern w:val="0"/>
          <w:sz w:val="24"/>
          <w:lang w:val="zh-CN"/>
        </w:rPr>
        <w:t>，如中标，该保证金待投标单位缴纳履约保证金后无息退还；如未中标，招标结束后无息退还。</w:t>
      </w:r>
    </w:p>
    <w:p>
      <w:pPr>
        <w:widowControl/>
        <w:shd w:val="clear" w:color="auto" w:fill="FFFFFF"/>
        <w:spacing w:line="500" w:lineRule="exact"/>
        <w:ind w:left="420" w:leftChars="200"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zh-CN"/>
        </w:rPr>
        <w:t>名称：合肥百货大楼集团铜陵合百商厦有限责任公司</w:t>
      </w:r>
    </w:p>
    <w:p>
      <w:pPr>
        <w:widowControl/>
        <w:shd w:val="clear" w:color="auto" w:fill="FFFFFF"/>
        <w:spacing w:line="500" w:lineRule="exact"/>
        <w:ind w:left="420" w:leftChars="200"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2.开户行：中国工商银行铜陵百大支行</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3.账号：1308020029200036377</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（转帐时请备注“铜陵百大冷却塔采购安装投标保证金”）</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4.下列任何情况发生，投标保证金将不予退还：</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（1）在开标之日后投标人擅自撤回投标的；</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（2）中标人不按规定与招标人签订合同的；</w:t>
      </w:r>
    </w:p>
    <w:p>
      <w:pPr>
        <w:widowControl/>
        <w:shd w:val="clear" w:color="auto" w:fill="FFFFFF"/>
        <w:spacing w:line="500" w:lineRule="exact"/>
        <w:ind w:left="899" w:leftChars="4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（3）中标人不按规定提交履约保证金的；</w:t>
      </w:r>
    </w:p>
    <w:p>
      <w:pPr>
        <w:widowControl/>
        <w:shd w:val="clear" w:color="auto" w:fill="FFFFFF"/>
        <w:spacing w:line="500" w:lineRule="exact"/>
        <w:ind w:left="899" w:leftChars="428"/>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（4）投标文件中提供虚假文件骗取中标的。</w:t>
      </w:r>
    </w:p>
    <w:p>
      <w:pPr>
        <w:pStyle w:val="11"/>
        <w:shd w:val="clear" w:color="auto" w:fill="FFFFFF"/>
        <w:spacing w:before="0" w:beforeAutospacing="0" w:after="0" w:afterAutospacing="0" w:line="500" w:lineRule="exact"/>
        <w:ind w:firstLine="451"/>
        <w:jc w:val="both"/>
        <w:rPr>
          <w:rFonts w:asciiTheme="minorEastAsia" w:hAnsiTheme="minorEastAsia" w:eastAsiaTheme="minorEastAsia"/>
          <w:color w:val="333333"/>
        </w:rPr>
      </w:pPr>
      <w:r>
        <w:rPr>
          <w:rStyle w:val="15"/>
          <w:rFonts w:hint="eastAsia" w:asciiTheme="minorEastAsia" w:hAnsiTheme="minorEastAsia" w:eastAsiaTheme="minorEastAsia"/>
          <w:color w:val="333333"/>
        </w:rPr>
        <w:t>六</w:t>
      </w:r>
      <w:r>
        <w:rPr>
          <w:rStyle w:val="15"/>
          <w:rFonts w:asciiTheme="minorEastAsia" w:hAnsiTheme="minorEastAsia" w:eastAsiaTheme="minorEastAsia"/>
          <w:color w:val="333333"/>
        </w:rPr>
        <w:t>、现场踏勘</w:t>
      </w:r>
    </w:p>
    <w:p>
      <w:pPr>
        <w:pStyle w:val="11"/>
        <w:shd w:val="clear" w:color="auto" w:fill="FFFFFF"/>
        <w:spacing w:before="250" w:beforeAutospacing="0" w:after="250" w:afterAutospacing="0" w:line="500" w:lineRule="exact"/>
        <w:ind w:firstLine="451"/>
        <w:jc w:val="both"/>
        <w:rPr>
          <w:rFonts w:asciiTheme="minorEastAsia" w:hAnsiTheme="minorEastAsia" w:eastAsiaTheme="minorEastAsia"/>
          <w:color w:val="333333"/>
        </w:rPr>
      </w:pPr>
      <w:r>
        <w:rPr>
          <w:rFonts w:asciiTheme="minorEastAsia" w:hAnsiTheme="minorEastAsia" w:eastAsiaTheme="minorEastAsia"/>
          <w:color w:val="333333"/>
        </w:rPr>
        <w:t>投标人</w:t>
      </w:r>
      <w:r>
        <w:rPr>
          <w:rFonts w:hint="eastAsia" w:asciiTheme="minorEastAsia" w:hAnsiTheme="minorEastAsia" w:eastAsiaTheme="minorEastAsia"/>
          <w:color w:val="333333"/>
        </w:rPr>
        <w:t>需</w:t>
      </w:r>
      <w:r>
        <w:rPr>
          <w:rFonts w:asciiTheme="minorEastAsia" w:hAnsiTheme="minorEastAsia" w:eastAsiaTheme="minorEastAsia"/>
          <w:color w:val="333333"/>
        </w:rPr>
        <w:t>自行踏勘现场，核实项目</w:t>
      </w:r>
      <w:r>
        <w:rPr>
          <w:rFonts w:hint="eastAsia" w:asciiTheme="minorEastAsia" w:hAnsiTheme="minorEastAsia" w:eastAsiaTheme="minorEastAsia"/>
          <w:color w:val="333333"/>
        </w:rPr>
        <w:t>工程</w:t>
      </w:r>
      <w:r>
        <w:rPr>
          <w:rFonts w:asciiTheme="minorEastAsia" w:hAnsiTheme="minorEastAsia" w:eastAsiaTheme="minorEastAsia"/>
          <w:color w:val="333333"/>
        </w:rPr>
        <w:t>现场，并承担考察现场的自身费用。对投标人递交的投标文件，视为投标人已对现场进行了充分考察，并充分考虑了项目实施中的各种现场因素。经招标人允许，投标人可以踏勘目的进入招标人的项目现场，但投标人不得因此使招标人承担有关的责任和蒙受损失，投标人应承担踏勘现场所引起的一切责任和风险。</w:t>
      </w:r>
    </w:p>
    <w:p>
      <w:pPr>
        <w:widowControl/>
        <w:shd w:val="clear" w:color="auto" w:fill="FFFFFF"/>
        <w:spacing w:line="500" w:lineRule="exact"/>
        <w:ind w:left="902" w:leftChars="200" w:hanging="482" w:hanging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bCs/>
          <w:kern w:val="0"/>
          <w:sz w:val="24"/>
          <w:lang w:val="zh-CN"/>
        </w:rPr>
        <w:t>七、开标时间：</w:t>
      </w:r>
      <w:r>
        <w:rPr>
          <w:rFonts w:hint="eastAsia" w:cs="宋体" w:asciiTheme="minorEastAsia" w:hAnsiTheme="minorEastAsia" w:eastAsiaTheme="minorEastAsia"/>
          <w:kern w:val="0"/>
          <w:sz w:val="24"/>
        </w:rPr>
        <w:t>2022</w:t>
      </w:r>
      <w:r>
        <w:rPr>
          <w:rFonts w:hint="eastAsia" w:cs="宋体" w:asciiTheme="minorEastAsia" w:hAnsiTheme="minorEastAsia" w:eastAsiaTheme="minorEastAsia"/>
          <w:kern w:val="0"/>
          <w:sz w:val="24"/>
          <w:lang w:val="zh-CN"/>
        </w:rPr>
        <w:t>年</w:t>
      </w:r>
      <w:r>
        <w:rPr>
          <w:rFonts w:hint="eastAsia" w:cs="宋体" w:asciiTheme="minorEastAsia" w:hAnsiTheme="minorEastAsia" w:eastAsiaTheme="minorEastAsia"/>
          <w:kern w:val="0"/>
          <w:sz w:val="24"/>
          <w:lang w:val="en-US" w:eastAsia="zh-CN"/>
        </w:rPr>
        <w:t>9</w:t>
      </w:r>
      <w:r>
        <w:rPr>
          <w:rFonts w:hint="eastAsia" w:cs="宋体" w:asciiTheme="minorEastAsia" w:hAnsiTheme="minorEastAsia" w:eastAsiaTheme="minorEastAsia"/>
          <w:kern w:val="0"/>
          <w:sz w:val="24"/>
          <w:lang w:val="zh-CN"/>
        </w:rPr>
        <w:t>月</w:t>
      </w:r>
      <w:r>
        <w:rPr>
          <w:rFonts w:hint="eastAsia" w:cs="宋体" w:asciiTheme="minorEastAsia" w:hAnsiTheme="minorEastAsia" w:eastAsiaTheme="minorEastAsia"/>
          <w:kern w:val="0"/>
          <w:sz w:val="24"/>
          <w:lang w:val="en-US" w:eastAsia="zh-CN"/>
        </w:rPr>
        <w:t>27</w:t>
      </w:r>
      <w:r>
        <w:rPr>
          <w:rFonts w:hint="eastAsia" w:cs="宋体" w:asciiTheme="minorEastAsia" w:hAnsiTheme="minorEastAsia" w:eastAsiaTheme="minorEastAsia"/>
          <w:kern w:val="0"/>
          <w:sz w:val="24"/>
          <w:lang w:val="zh-CN"/>
        </w:rPr>
        <w:t>日</w:t>
      </w: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lang w:val="zh-CN"/>
        </w:rPr>
        <w:t>:00（如有调整，另行通知）</w:t>
      </w:r>
    </w:p>
    <w:p>
      <w:pPr>
        <w:widowControl/>
        <w:shd w:val="clear" w:color="auto" w:fill="FFFFFF"/>
        <w:spacing w:line="500" w:lineRule="exact"/>
        <w:ind w:left="899" w:leftChars="428"/>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bCs/>
          <w:kern w:val="0"/>
          <w:sz w:val="24"/>
          <w:lang w:val="zh-CN"/>
        </w:rPr>
        <w:t>开标地点：</w:t>
      </w:r>
      <w:r>
        <w:rPr>
          <w:rFonts w:hint="eastAsia" w:cs="宋体" w:asciiTheme="minorEastAsia" w:hAnsiTheme="minorEastAsia" w:eastAsiaTheme="minorEastAsia"/>
          <w:kern w:val="0"/>
          <w:sz w:val="24"/>
          <w:lang w:val="zh-CN"/>
        </w:rPr>
        <w:t>合肥市黄山路596号合肥百大集团12</w:t>
      </w:r>
      <w:r>
        <w:rPr>
          <w:rFonts w:hint="eastAsia" w:cs="宋体" w:asciiTheme="minorEastAsia" w:hAnsiTheme="minorEastAsia" w:eastAsiaTheme="minorEastAsia"/>
          <w:kern w:val="0"/>
          <w:sz w:val="24"/>
        </w:rPr>
        <w:t>09</w:t>
      </w:r>
      <w:r>
        <w:rPr>
          <w:rFonts w:hint="eastAsia" w:cs="宋体" w:asciiTheme="minorEastAsia" w:hAnsiTheme="minorEastAsia" w:eastAsiaTheme="minorEastAsia"/>
          <w:kern w:val="0"/>
          <w:sz w:val="24"/>
          <w:lang w:val="zh-CN"/>
        </w:rPr>
        <w:t>室</w:t>
      </w:r>
    </w:p>
    <w:p>
      <w:pPr>
        <w:widowControl/>
        <w:shd w:val="clear" w:color="auto" w:fill="FFFFFF"/>
        <w:spacing w:line="500" w:lineRule="exact"/>
        <w:ind w:left="902" w:leftChars="200" w:hanging="482" w:hanging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bCs/>
          <w:kern w:val="0"/>
          <w:sz w:val="24"/>
          <w:lang w:val="zh-CN"/>
        </w:rPr>
        <w:t>八、联 系 人：</w:t>
      </w:r>
      <w:r>
        <w:rPr>
          <w:rFonts w:hint="eastAsia" w:cs="宋体" w:asciiTheme="minorEastAsia" w:hAnsiTheme="minorEastAsia" w:eastAsiaTheme="minorEastAsia"/>
          <w:kern w:val="0"/>
          <w:sz w:val="24"/>
          <w:lang w:val="zh-CN"/>
        </w:rPr>
        <w:t>朱工 0551-65771025（资格审查）</w:t>
      </w:r>
      <w:r>
        <w:rPr>
          <w:rFonts w:hint="eastAsia" w:cs="宋体" w:asciiTheme="minorEastAsia" w:hAnsiTheme="minorEastAsia" w:eastAsiaTheme="minorEastAsia"/>
          <w:sz w:val="24"/>
          <w:shd w:val="clear" w:color="auto" w:fill="FFFFFF"/>
        </w:rPr>
        <w:t> </w:t>
      </w:r>
      <w:r>
        <w:rPr>
          <w:rFonts w:hint="eastAsia" w:cs="宋体" w:asciiTheme="minorEastAsia" w:hAnsiTheme="minorEastAsia" w:eastAsiaTheme="minorEastAsia"/>
          <w:kern w:val="0"/>
          <w:sz w:val="24"/>
          <w:lang w:val="zh-CN"/>
        </w:rPr>
        <w:t>邮箱：277351016@qq.com</w:t>
      </w:r>
    </w:p>
    <w:p>
      <w:pPr>
        <w:widowControl/>
        <w:spacing w:line="500" w:lineRule="exact"/>
        <w:ind w:firstLine="2160" w:firstLineChars="9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孙工</w:t>
      </w:r>
      <w:r>
        <w:rPr>
          <w:rFonts w:hint="eastAsia" w:cs="宋体" w:asciiTheme="minorEastAsia" w:hAnsiTheme="minorEastAsia" w:eastAsiaTheme="minorEastAsia"/>
          <w:kern w:val="0"/>
          <w:sz w:val="24"/>
        </w:rPr>
        <w:t>0562-2818206</w:t>
      </w:r>
      <w:r>
        <w:rPr>
          <w:rFonts w:hint="eastAsia" w:cs="宋体" w:asciiTheme="minorEastAsia" w:hAnsiTheme="minorEastAsia" w:eastAsiaTheme="minorEastAsia"/>
          <w:kern w:val="0"/>
          <w:sz w:val="24"/>
          <w:lang w:val="zh-CN"/>
        </w:rPr>
        <w:t>（项目咨询）</w:t>
      </w: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jc w:val="center"/>
        <w:rPr>
          <w:rFonts w:asciiTheme="minorEastAsia" w:hAnsiTheme="minorEastAsia" w:eastAsiaTheme="minorEastAsia"/>
          <w:b/>
          <w:kern w:val="0"/>
          <w:sz w:val="24"/>
        </w:rPr>
      </w:pPr>
    </w:p>
    <w:p>
      <w:pPr>
        <w:spacing w:line="500" w:lineRule="exact"/>
        <w:ind w:left="479" w:leftChars="228"/>
        <w:jc w:val="center"/>
        <w:rPr>
          <w:rFonts w:asciiTheme="minorEastAsia" w:hAnsiTheme="minorEastAsia" w:eastAsiaTheme="minorEastAsia"/>
          <w:b/>
          <w:kern w:val="0"/>
          <w:sz w:val="24"/>
        </w:rPr>
      </w:pPr>
    </w:p>
    <w:p>
      <w:pPr>
        <w:spacing w:line="500" w:lineRule="exact"/>
        <w:ind w:left="479" w:leftChars="228"/>
        <w:jc w:val="center"/>
        <w:rPr>
          <w:rFonts w:asciiTheme="minorEastAsia" w:hAnsiTheme="minorEastAsia" w:eastAsiaTheme="minorEastAsia"/>
          <w:b/>
          <w:kern w:val="0"/>
          <w:sz w:val="24"/>
        </w:rPr>
      </w:pPr>
    </w:p>
    <w:p>
      <w:pPr>
        <w:spacing w:line="500" w:lineRule="exact"/>
        <w:ind w:left="479" w:leftChars="228"/>
        <w:jc w:val="center"/>
        <w:rPr>
          <w:rFonts w:asciiTheme="minorEastAsia" w:hAnsiTheme="minorEastAsia" w:eastAsiaTheme="minorEastAsia"/>
          <w:b/>
          <w:kern w:val="0"/>
          <w:sz w:val="24"/>
        </w:rPr>
      </w:pPr>
    </w:p>
    <w:p>
      <w:pPr>
        <w:widowControl/>
        <w:shd w:val="clear" w:color="auto" w:fill="FFFFFF"/>
        <w:spacing w:line="520" w:lineRule="exact"/>
        <w:jc w:val="center"/>
        <w:rPr>
          <w:rFonts w:ascii="宋体" w:hAnsi="宋体"/>
          <w:b/>
          <w:bCs/>
          <w:color w:val="000000"/>
          <w:kern w:val="0"/>
          <w:sz w:val="32"/>
          <w:szCs w:val="32"/>
        </w:rPr>
      </w:pPr>
      <w:r>
        <w:rPr>
          <w:rFonts w:hint="eastAsia" w:ascii="宋体" w:hAnsi="宋体"/>
          <w:b/>
          <w:bCs/>
          <w:color w:val="000000"/>
          <w:kern w:val="0"/>
          <w:sz w:val="32"/>
          <w:szCs w:val="32"/>
        </w:rPr>
        <w:t>第二章  投标须知</w:t>
      </w:r>
    </w:p>
    <w:p>
      <w:pPr>
        <w:spacing w:line="500" w:lineRule="exact"/>
        <w:rPr>
          <w:rFonts w:asciiTheme="minorEastAsia" w:hAnsiTheme="minorEastAsia" w:eastAsiaTheme="minorEastAsia"/>
          <w:b/>
          <w:kern w:val="0"/>
          <w:sz w:val="24"/>
        </w:rPr>
      </w:pP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一、说明及注意事项</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1.投标文件的编写要求</w:t>
      </w:r>
    </w:p>
    <w:p>
      <w:pPr>
        <w:spacing w:line="5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1.1投标人须以招标人正式发布的《招标文件》为制作《投标文件》的依据；</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1.2</w:t>
      </w:r>
      <w:r>
        <w:rPr>
          <w:rFonts w:hint="eastAsia" w:asciiTheme="minorEastAsia" w:hAnsiTheme="minorEastAsia" w:eastAsiaTheme="minorEastAsia"/>
          <w:kern w:val="0"/>
          <w:sz w:val="24"/>
        </w:rPr>
        <w:t>投标人应仔细阅读招标文件的所有内容，按招标文件的要求提供投标文件，并保证所提供的全部资料真实有效；</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1.3</w:t>
      </w:r>
      <w:r>
        <w:rPr>
          <w:rFonts w:hint="eastAsia" w:asciiTheme="minorEastAsia" w:hAnsiTheme="minorEastAsia" w:eastAsiaTheme="minorEastAsia"/>
          <w:kern w:val="0"/>
          <w:sz w:val="24"/>
        </w:rPr>
        <w:t>投标文件的书面内容不得涂抹或改写；</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1.4满足本招标文件规定的其它要求。</w:t>
      </w: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2.投标文件由以下部分构成</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2.1</w:t>
      </w:r>
      <w:r>
        <w:rPr>
          <w:rFonts w:hint="eastAsia" w:asciiTheme="minorEastAsia" w:hAnsiTheme="minorEastAsia" w:eastAsiaTheme="minorEastAsia"/>
          <w:kern w:val="0"/>
          <w:sz w:val="24"/>
        </w:rPr>
        <w:t>投标承诺书、开标一览表、分项报价表、产品技术偏离表、投标事项承诺等；</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2.2</w:t>
      </w:r>
      <w:r>
        <w:rPr>
          <w:rFonts w:hint="eastAsia" w:asciiTheme="minorEastAsia" w:hAnsiTheme="minorEastAsia" w:eastAsiaTheme="minorEastAsia"/>
          <w:kern w:val="0"/>
          <w:sz w:val="24"/>
        </w:rPr>
        <w:t>投标人资质证明文件、法人和授权代表人身份证复印件；</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2.3投标人</w:t>
      </w:r>
      <w:r>
        <w:rPr>
          <w:rFonts w:hint="eastAsia" w:asciiTheme="minorEastAsia" w:hAnsiTheme="minorEastAsia" w:eastAsiaTheme="minorEastAsia"/>
          <w:kern w:val="0"/>
          <w:sz w:val="24"/>
        </w:rPr>
        <w:t>同类项目合同及投标人其它说明文件等；</w:t>
      </w: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3.投标报价说明</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3.1</w:t>
      </w:r>
      <w:r>
        <w:rPr>
          <w:rFonts w:hint="eastAsia" w:asciiTheme="minorEastAsia" w:hAnsiTheme="minorEastAsia" w:eastAsiaTheme="minorEastAsia"/>
          <w:kern w:val="0"/>
          <w:sz w:val="24"/>
        </w:rPr>
        <w:t>除招标文件中另有规定外，计量单位为我国法定计量单位；投标报价、服务费结算一律使用人民币；</w:t>
      </w:r>
    </w:p>
    <w:p>
      <w:pPr>
        <w:spacing w:line="500" w:lineRule="exact"/>
        <w:ind w:firstLine="480"/>
        <w:rPr>
          <w:rFonts w:asciiTheme="minorEastAsia" w:hAnsiTheme="minorEastAsia" w:eastAsiaTheme="minorEastAsia"/>
          <w:sz w:val="24"/>
        </w:rPr>
      </w:pPr>
      <w:r>
        <w:rPr>
          <w:rFonts w:hint="eastAsia" w:asciiTheme="minorEastAsia" w:hAnsiTheme="minorEastAsia" w:eastAsiaTheme="minorEastAsia"/>
          <w:bCs/>
          <w:kern w:val="0"/>
          <w:sz w:val="24"/>
        </w:rPr>
        <w:t>3.2</w:t>
      </w:r>
      <w:r>
        <w:rPr>
          <w:rFonts w:hint="eastAsia" w:asciiTheme="minorEastAsia" w:hAnsiTheme="minorEastAsia" w:eastAsiaTheme="minorEastAsia"/>
          <w:sz w:val="24"/>
        </w:rPr>
        <w:t>投标人自行承担投标文件编制、递交、现场踏勘所涉及的一切费用。</w:t>
      </w:r>
    </w:p>
    <w:p>
      <w:pPr>
        <w:widowControl/>
        <w:spacing w:line="500" w:lineRule="exact"/>
        <w:ind w:firstLine="48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3.3本次投标报价是指标的物送达招标人指定地点（详见第三章采购、安装需求）并安装调试，经甲方验收合格后开据增值税专用发票（13%税率）的价格。报价不得高于项目概算，否则视为无效投标。</w:t>
      </w:r>
    </w:p>
    <w:p>
      <w:pPr>
        <w:widowControl/>
        <w:spacing w:line="500" w:lineRule="exact"/>
        <w:ind w:firstLine="480"/>
        <w:jc w:val="left"/>
        <w:rPr>
          <w:rFonts w:asciiTheme="minorEastAsia" w:hAnsiTheme="minorEastAsia" w:eastAsiaTheme="minorEastAsia"/>
          <w:bCs/>
          <w:sz w:val="24"/>
        </w:rPr>
      </w:pPr>
      <w:r>
        <w:rPr>
          <w:rFonts w:hint="eastAsia" w:cs="宋体" w:asciiTheme="minorEastAsia" w:hAnsiTheme="minorEastAsia" w:eastAsiaTheme="minorEastAsia"/>
          <w:bCs/>
          <w:kern w:val="0"/>
          <w:sz w:val="24"/>
        </w:rPr>
        <w:t>3.4</w:t>
      </w:r>
      <w:r>
        <w:rPr>
          <w:rFonts w:hint="eastAsia" w:asciiTheme="minorEastAsia" w:hAnsiTheme="minorEastAsia" w:eastAsiaTheme="minorEastAsia"/>
          <w:bCs/>
          <w:sz w:val="24"/>
        </w:rPr>
        <w:t>投标人应充分考虑地理位置、道路运输、垂直吊装、装卸、施工条件、食宿差旅费、垃圾处理费、登高作业安全措施费、配电连接、维保及任何其它足以影响投标报价的情况，须充分考虑风险因素并计入投标报价，中标后任何因疏忽或误解项目情况而导致的费用增加，投标人自行承担。旧冷却塔拆除、处置不包括在内。</w:t>
      </w:r>
    </w:p>
    <w:p>
      <w:pPr>
        <w:widowControl/>
        <w:spacing w:line="500" w:lineRule="exact"/>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pPr>
        <w:widowControl/>
        <w:spacing w:line="500" w:lineRule="exact"/>
        <w:ind w:firstLine="465"/>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5.投标人在交付保证金后，如出现串标、毁标、中标后不签订合同或在履行合同时出现违约行为，招标人有权不予退还投标保证金，并将投标人记入百大集团及招标人招投标黑名单。</w:t>
      </w:r>
    </w:p>
    <w:p>
      <w:pPr>
        <w:spacing w:line="50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二、投标文件的递交</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1.投标文件的密封和标记</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1.1投标文件应密封，并在封面注明投标项目名称、招标编号、投标单位名称等信息；</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1.2投标文件要求：</w:t>
      </w:r>
      <w:r>
        <w:rPr>
          <w:rFonts w:hint="eastAsia" w:asciiTheme="minorEastAsia" w:hAnsiTheme="minorEastAsia" w:eastAsiaTheme="minorEastAsia"/>
          <w:b/>
          <w:kern w:val="0"/>
          <w:sz w:val="24"/>
        </w:rPr>
        <w:t>胶装，正、副本各一份</w:t>
      </w:r>
      <w:r>
        <w:rPr>
          <w:rFonts w:hint="eastAsia" w:asciiTheme="minorEastAsia" w:hAnsiTheme="minorEastAsia" w:eastAsiaTheme="minorEastAsia"/>
          <w:kern w:val="0"/>
          <w:sz w:val="24"/>
        </w:rPr>
        <w:t>。</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2.投标文件的递交、修改和撤回。</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2.1投标人应在投标截止时间前将密封合格的投标文件送达开标现场；</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2.2投标人递交投标文件后不得修改或撤回投标文件。</w:t>
      </w:r>
    </w:p>
    <w:p>
      <w:pPr>
        <w:widowControl/>
        <w:spacing w:line="50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三、开标、评标和定标</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1.评标原则：遵循国家有关法律、法规，客观、公正地对待所有投标人，以招标文件作为评标的基本依据；凡涉及审查、评估和比较投标文件以及定标等意见，均不得向投标人及与评标有关的人员透露。</w:t>
      </w:r>
    </w:p>
    <w:p>
      <w:pPr>
        <w:spacing w:line="540" w:lineRule="exact"/>
        <w:ind w:firstLine="480" w:firstLineChars="200"/>
        <w:rPr>
          <w:rFonts w:ascii="宋体" w:hAnsi="宋体"/>
          <w:kern w:val="0"/>
          <w:sz w:val="24"/>
        </w:rPr>
      </w:pPr>
      <w:r>
        <w:rPr>
          <w:rFonts w:hint="eastAsia" w:cs="宋体" w:asciiTheme="minorEastAsia" w:hAnsiTheme="minorEastAsia" w:eastAsiaTheme="minorEastAsia"/>
          <w:kern w:val="0"/>
          <w:sz w:val="24"/>
        </w:rPr>
        <w:t>2.</w:t>
      </w:r>
      <w:r>
        <w:rPr>
          <w:rFonts w:hint="eastAsia" w:ascii="宋体" w:hAnsi="宋体" w:cs="宋体"/>
          <w:bCs/>
          <w:color w:val="000000"/>
          <w:kern w:val="0"/>
          <w:sz w:val="24"/>
        </w:rPr>
        <w:t>招标人会按投标邀请中拟定的时间和地点开标，届时请与投标书一致的被授权代表本人到开标现场参与开标，如因疫情原因采用远程开标的，授权代表人可以不到现场参与开标。</w:t>
      </w:r>
    </w:p>
    <w:p>
      <w:pPr>
        <w:widowControl/>
        <w:spacing w:line="500" w:lineRule="exact"/>
        <w:ind w:firstLine="480" w:firstLineChars="200"/>
        <w:jc w:val="lef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3.</w:t>
      </w:r>
      <w:r>
        <w:rPr>
          <w:rFonts w:hint="eastAsia" w:ascii="宋体" w:hAnsi="宋体"/>
          <w:kern w:val="0"/>
          <w:sz w:val="24"/>
        </w:rPr>
        <w:t>开标时，查验投标文件的密封状况，确认无误后拆封唱标</w:t>
      </w:r>
      <w:r>
        <w:rPr>
          <w:rFonts w:hint="eastAsia" w:cs="宋体" w:asciiTheme="minorEastAsia" w:hAnsiTheme="minorEastAsia" w:eastAsiaTheme="minorEastAsia"/>
          <w:kern w:val="0"/>
          <w:sz w:val="24"/>
        </w:rPr>
        <w:t>。</w:t>
      </w:r>
    </w:p>
    <w:p>
      <w:pPr>
        <w:spacing w:line="500" w:lineRule="exact"/>
        <w:rPr>
          <w:rFonts w:asciiTheme="minorEastAsia" w:hAnsiTheme="minorEastAsia" w:eastAsiaTheme="minorEastAsia"/>
          <w:b/>
          <w:color w:val="FF0000"/>
          <w:kern w:val="0"/>
          <w:sz w:val="24"/>
          <w:highlight w:val="yellow"/>
        </w:rPr>
      </w:pPr>
      <w:r>
        <w:rPr>
          <w:rFonts w:hint="eastAsia" w:asciiTheme="minorEastAsia" w:hAnsiTheme="minorEastAsia" w:eastAsiaTheme="minorEastAsia"/>
          <w:b/>
          <w:kern w:val="0"/>
          <w:sz w:val="24"/>
        </w:rPr>
        <w:t>4.</w:t>
      </w:r>
      <w:r>
        <w:rPr>
          <w:rFonts w:hint="eastAsia" w:cs="宋体" w:asciiTheme="minorEastAsia" w:hAnsiTheme="minorEastAsia" w:eastAsiaTheme="minorEastAsia"/>
          <w:b/>
          <w:kern w:val="0"/>
          <w:sz w:val="24"/>
        </w:rPr>
        <w:t>本项目评标采用有效最低价法，即资格审查、商务标、技术标均经评审通过的有效最低价的投标人为中标候选人。</w:t>
      </w:r>
    </w:p>
    <w:p>
      <w:pPr>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5.</w:t>
      </w:r>
      <w:r>
        <w:rPr>
          <w:rFonts w:hint="eastAsia" w:ascii="宋体" w:hAnsi="宋体"/>
          <w:kern w:val="0"/>
          <w:sz w:val="24"/>
        </w:rPr>
        <w:t>招标人不承诺报价最低者可以中标，也不向落标的投标人退还投标文件</w:t>
      </w:r>
      <w:r>
        <w:rPr>
          <w:rFonts w:hint="eastAsia" w:asciiTheme="minorEastAsia" w:hAnsiTheme="minorEastAsia" w:eastAsiaTheme="minorEastAsia"/>
          <w:kern w:val="0"/>
          <w:sz w:val="24"/>
        </w:rPr>
        <w:t>。</w:t>
      </w:r>
    </w:p>
    <w:p>
      <w:pPr>
        <w:spacing w:line="500" w:lineRule="exact"/>
        <w:ind w:firstLine="480" w:firstLineChars="200"/>
        <w:rPr>
          <w:rFonts w:cs="宋体" w:asciiTheme="minorEastAsia" w:hAnsiTheme="minorEastAsia" w:eastAsiaTheme="minorEastAsia"/>
          <w:b/>
          <w:color w:val="000000"/>
          <w:kern w:val="0"/>
          <w:sz w:val="24"/>
        </w:rPr>
      </w:pPr>
      <w:r>
        <w:rPr>
          <w:rFonts w:hint="eastAsia" w:cs="宋体" w:asciiTheme="minorEastAsia" w:hAnsiTheme="minorEastAsia" w:eastAsiaTheme="minorEastAsia"/>
          <w:bCs/>
          <w:color w:val="000000"/>
          <w:kern w:val="0"/>
          <w:sz w:val="24"/>
        </w:rPr>
        <w:t>6</w:t>
      </w:r>
      <w:r>
        <w:rPr>
          <w:rFonts w:hint="eastAsia" w:cs="宋体" w:asciiTheme="minorEastAsia" w:hAnsiTheme="minorEastAsia" w:eastAsiaTheme="minorEastAsia"/>
          <w:b/>
          <w:color w:val="000000"/>
          <w:kern w:val="0"/>
          <w:sz w:val="24"/>
        </w:rPr>
        <w:t>.</w:t>
      </w:r>
      <w:r>
        <w:rPr>
          <w:rFonts w:hint="eastAsia" w:ascii="宋体" w:hAnsi="宋体" w:cs="宋体"/>
          <w:bCs/>
          <w:color w:val="000000"/>
          <w:kern w:val="0"/>
          <w:sz w:val="24"/>
        </w:rPr>
        <w:t>评审中，评委会发现投标人的投标文件中对同类问题表述不一致、前后矛盾、有明显文字和计算错误的内容、有可能不符合招标文件规定等情况需要澄清时，评委会将以询标（现场或电话）的方式告知并要求投标人以书面或电话方式进行必要的澄清、说明或补正。投标人的澄清、说明或者补正应当留有记录，但不得超出投标文件的范围或者改变投标文件的实质性内容，并由其法定代表人或被授权的代表签字（远程开标的以通话记录或信息截图为准）。对于询标后的投标文件是否符合招标文件要求，由评委会做出最终评审通过或未通过</w:t>
      </w:r>
      <w:r>
        <w:rPr>
          <w:rFonts w:hint="eastAsia" w:cs="宋体" w:asciiTheme="minorEastAsia" w:hAnsiTheme="minorEastAsia" w:eastAsiaTheme="minorEastAsia"/>
          <w:sz w:val="24"/>
        </w:rPr>
        <w:t>。</w:t>
      </w:r>
    </w:p>
    <w:p>
      <w:pPr>
        <w:spacing w:line="500" w:lineRule="exact"/>
        <w:ind w:firstLine="482" w:firstLineChars="200"/>
        <w:rPr>
          <w:rFonts w:asciiTheme="minorEastAsia" w:hAnsiTheme="minorEastAsia" w:eastAsiaTheme="minorEastAsia"/>
          <w:kern w:val="0"/>
          <w:sz w:val="24"/>
        </w:rPr>
      </w:pPr>
      <w:r>
        <w:rPr>
          <w:rFonts w:hint="eastAsia" w:asciiTheme="minorEastAsia" w:hAnsiTheme="minorEastAsia" w:eastAsiaTheme="minorEastAsia"/>
          <w:b/>
          <w:bCs/>
          <w:kern w:val="0"/>
          <w:sz w:val="24"/>
        </w:rPr>
        <w:t>7.有下列情况之一的投标文件为无效投标：</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7.1未按本须知投标要求进行报价的；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7.2未加盖投标人公章的；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7.3投标文件无法定代表人或委托代理人签字、盖章的；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7.4不满足招标文件合格投标人要求的；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7.5严重违反招标纪律的；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7.6投标文件字迹潦草、模糊致使无法辨认的；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7.7投标单位在一份投标文件中，报有两个或多个不同报价，且未书面声明以哪个报价为准的；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7.8投标文件存在错项、缺漏项的；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7.9</w:t>
      </w:r>
      <w:r>
        <w:rPr>
          <w:rFonts w:hint="eastAsia" w:ascii="宋体" w:hAnsi="宋体"/>
          <w:kern w:val="0"/>
          <w:sz w:val="24"/>
        </w:rPr>
        <w:t>投标报价超过项目概算的</w:t>
      </w:r>
      <w:r>
        <w:rPr>
          <w:rFonts w:hint="eastAsia" w:asciiTheme="minorEastAsia" w:hAnsiTheme="minorEastAsia" w:eastAsiaTheme="minorEastAsia"/>
          <w:kern w:val="0"/>
          <w:sz w:val="24"/>
        </w:rPr>
        <w:t>；</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7.10评委委员会评议认为构成废标的其他情况。</w:t>
      </w:r>
    </w:p>
    <w:p>
      <w:pPr>
        <w:spacing w:line="50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8.二次招标</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00" w:lineRule="exact"/>
        <w:ind w:firstLine="482" w:firstLineChars="200"/>
        <w:rPr>
          <w:rFonts w:asciiTheme="minorEastAsia" w:hAnsiTheme="minorEastAsia" w:eastAsiaTheme="minorEastAsia"/>
          <w:kern w:val="0"/>
          <w:sz w:val="24"/>
        </w:rPr>
      </w:pPr>
      <w:r>
        <w:rPr>
          <w:rFonts w:hint="eastAsia" w:asciiTheme="minorEastAsia" w:hAnsiTheme="minorEastAsia" w:eastAsiaTheme="minorEastAsia"/>
          <w:b/>
          <w:bCs/>
          <w:kern w:val="0"/>
          <w:sz w:val="24"/>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四、投标文件的澄清</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2.重要的澄清应是书面的，但不得对投标内容进行实质性修改。</w:t>
      </w: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五、合同的确定</w:t>
      </w:r>
    </w:p>
    <w:p>
      <w:pPr>
        <w:spacing w:line="500" w:lineRule="exact"/>
        <w:rPr>
          <w:rFonts w:asciiTheme="minorEastAsia" w:hAnsiTheme="minorEastAsia" w:eastAsiaTheme="minorEastAsia"/>
          <w:b/>
          <w:kern w:val="0"/>
          <w:sz w:val="24"/>
        </w:rPr>
      </w:pPr>
      <w:r>
        <w:rPr>
          <w:rFonts w:hint="eastAsia" w:asciiTheme="minorEastAsia" w:hAnsiTheme="minorEastAsia" w:eastAsiaTheme="minorEastAsia"/>
          <w:bCs/>
          <w:kern w:val="0"/>
          <w:sz w:val="24"/>
        </w:rPr>
        <w:t xml:space="preserve"> 1.合同签订</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1.1确定中标人及相关事宜后，甲方（招标人）、乙方（中标人）签订合同；</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1.2招标文件、中标人的投标文件（含澄清文件）均为签订合同不可分割的一部分；</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1.3招标人在授予合同时有权对标的物的数量予以适当的增加或减少；</w:t>
      </w:r>
    </w:p>
    <w:p>
      <w:pPr>
        <w:spacing w:line="500" w:lineRule="exact"/>
        <w:ind w:firstLine="480" w:firstLineChars="200"/>
        <w:rPr>
          <w:rFonts w:asciiTheme="minorEastAsia" w:hAnsiTheme="minorEastAsia" w:eastAsiaTheme="minorEastAsia"/>
          <w:b/>
          <w:kern w:val="0"/>
          <w:sz w:val="24"/>
        </w:rPr>
      </w:pPr>
      <w:r>
        <w:rPr>
          <w:rFonts w:hint="eastAsia" w:asciiTheme="minorEastAsia" w:hAnsiTheme="minorEastAsia" w:eastAsiaTheme="minorEastAsia"/>
          <w:bCs/>
          <w:kern w:val="0"/>
          <w:sz w:val="24"/>
        </w:rPr>
        <w:t>2.合同条款</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2.1详见附件四《合同》，合同签订以此为准；</w:t>
      </w:r>
    </w:p>
    <w:p>
      <w:pPr>
        <w:spacing w:line="500" w:lineRule="exact"/>
        <w:rPr>
          <w:rFonts w:asciiTheme="minorEastAsia" w:hAnsiTheme="minorEastAsia" w:eastAsiaTheme="minorEastAsia"/>
          <w:bCs/>
          <w:kern w:val="0"/>
          <w:sz w:val="24"/>
        </w:rPr>
      </w:pPr>
      <w:r>
        <w:rPr>
          <w:rFonts w:hint="eastAsia" w:asciiTheme="minorEastAsia" w:hAnsiTheme="minorEastAsia" w:eastAsiaTheme="minorEastAsia"/>
          <w:bCs/>
          <w:kern w:val="0"/>
          <w:sz w:val="24"/>
        </w:rPr>
        <w:t xml:space="preserve"> 3.合同执行</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3.1甲乙双方严格按合同条款执行；</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3.2因特殊原因不能按时交货，乙方应在合同规定的交货期限内书面告知甲方；</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3.3如需变更合同内容，甲乙双方协商后再定；</w:t>
      </w:r>
    </w:p>
    <w:p>
      <w:pPr>
        <w:spacing w:line="500" w:lineRule="exact"/>
        <w:ind w:firstLine="480"/>
        <w:rPr>
          <w:rFonts w:asciiTheme="minorEastAsia" w:hAnsiTheme="minorEastAsia" w:eastAsiaTheme="minorEastAsia"/>
          <w:kern w:val="0"/>
          <w:sz w:val="24"/>
        </w:rPr>
      </w:pPr>
      <w:r>
        <w:rPr>
          <w:rFonts w:hint="eastAsia" w:asciiTheme="minorEastAsia" w:hAnsiTheme="minorEastAsia" w:eastAsiaTheme="minorEastAsia"/>
          <w:kern w:val="0"/>
          <w:sz w:val="24"/>
        </w:rPr>
        <w:t>3.4无特殊原因乙方拒不履行合同，招标人可单方面取消其中标资格，并追究违约责任，同时履约保证金不予退还，且我司将拒不接洽随后的同类型招标。</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60" w:lineRule="exact"/>
        <w:ind w:firstLine="480"/>
        <w:jc w:val="left"/>
      </w:pPr>
      <w:r>
        <w:rPr>
          <w:rFonts w:hint="eastAsia" w:ascii="宋体" w:hAnsi="宋体" w:cs="宋体"/>
          <w:kern w:val="0"/>
          <w:sz w:val="24"/>
        </w:rPr>
        <w:t>中标人需在合同签订前以转账方式缴纳履约保证金，金额为合同签约价的10%，</w:t>
      </w:r>
      <w:r>
        <w:rPr>
          <w:rFonts w:hint="eastAsia" w:ascii="Verdana" w:hAnsi="Verdana" w:cs="宋体"/>
          <w:color w:val="000000"/>
          <w:kern w:val="0"/>
          <w:sz w:val="24"/>
        </w:rPr>
        <w:t>待质保期满且乙方无违约行为后退还。</w:t>
      </w:r>
    </w:p>
    <w:p>
      <w:pPr>
        <w:spacing w:line="500" w:lineRule="exac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七、特别提示</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1.2020年1月24日，安徽省新型冠状病毒感染的肺炎疫情防控应急指挥部决定，启动安徽省重大公共卫生事件一级响应，投标人在投标前已充分了解并清楚知晓肺炎疫情及影响。</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2.因投标人在签订合同时对肺炎疫情及影响已经可以合理预见，肺炎疫情及影响属于合同总价包含的风险范围，投标人在投标报价时已经充分考虑，不再另行计取。</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供货日期以招标人发出的指令为准；投标人应当知悉，如安徽省有关主管部门仍未终结本次重大公共卫生事件应急响应，可能导致项目无法按计划开展维保服务；投标人应当充分考虑因肺炎疫情及影响导致迟延供货的风险，投标人承诺不因迟延开展向招标人主张变更或解除合同。</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500" w:lineRule="exact"/>
        <w:jc w:val="left"/>
        <w:rPr>
          <w:rFonts w:asciiTheme="minorEastAsia" w:hAnsiTheme="minorEastAsia" w:eastAsiaTheme="minorEastAsia"/>
          <w:b/>
          <w:sz w:val="24"/>
        </w:rPr>
      </w:pPr>
      <w:r>
        <w:rPr>
          <w:rFonts w:hint="eastAsia" w:asciiTheme="minorEastAsia" w:hAnsiTheme="minorEastAsia" w:eastAsiaTheme="minorEastAsia"/>
          <w:kern w:val="0"/>
          <w:sz w:val="24"/>
        </w:rPr>
        <w:t xml:space="preserve">    5.采购过程中，不得因肺炎疫情及影响导致材料价格上涨、材料采购困难、施工人员组织困难、疫情防治需要等情况拖延或影响合同工期，确有影响的，应及时采取一切有效措施弥补损失，确保按期保质完成项目采购安装服务工作，投标人应综合考虑、慎重报价，中标后不予调整。</w:t>
      </w: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pStyle w:val="2"/>
      </w:pPr>
    </w:p>
    <w:p>
      <w:pPr>
        <w:spacing w:line="500" w:lineRule="exact"/>
        <w:ind w:left="479" w:leftChars="228"/>
        <w:rPr>
          <w:rFonts w:asciiTheme="minorEastAsia" w:hAnsiTheme="minorEastAsia" w:eastAsiaTheme="minorEastAsia"/>
          <w:b/>
          <w:kern w:val="0"/>
          <w:sz w:val="24"/>
        </w:rPr>
      </w:pPr>
    </w:p>
    <w:p>
      <w:pPr>
        <w:spacing w:line="500" w:lineRule="exact"/>
        <w:ind w:left="479" w:leftChars="228"/>
        <w:rPr>
          <w:rFonts w:asciiTheme="minorEastAsia" w:hAnsiTheme="minorEastAsia" w:eastAsiaTheme="minorEastAsia"/>
          <w:b/>
          <w:kern w:val="0"/>
          <w:sz w:val="24"/>
        </w:rPr>
      </w:pPr>
    </w:p>
    <w:p>
      <w:pPr>
        <w:numPr>
          <w:ilvl w:val="0"/>
          <w:numId w:val="1"/>
        </w:numPr>
        <w:spacing w:line="500" w:lineRule="exact"/>
        <w:jc w:val="center"/>
        <w:rPr>
          <w:rFonts w:ascii="宋体" w:hAnsi="宋体"/>
          <w:b/>
          <w:bCs/>
          <w:color w:val="000000"/>
          <w:kern w:val="0"/>
          <w:sz w:val="28"/>
          <w:szCs w:val="28"/>
        </w:rPr>
      </w:pPr>
      <w:r>
        <w:rPr>
          <w:rFonts w:hint="eastAsia" w:ascii="宋体" w:hAnsi="宋体"/>
          <w:b/>
          <w:bCs/>
          <w:color w:val="000000"/>
          <w:kern w:val="0"/>
          <w:sz w:val="28"/>
          <w:szCs w:val="28"/>
        </w:rPr>
        <w:t>招标需求</w:t>
      </w:r>
      <w:bookmarkStart w:id="0" w:name="_Toc486253611"/>
      <w:bookmarkStart w:id="1" w:name="_Toc486254518"/>
      <w:bookmarkStart w:id="2" w:name="_Toc484762213"/>
      <w:bookmarkStart w:id="3" w:name="_Toc486433794"/>
    </w:p>
    <w:p>
      <w:pPr>
        <w:pStyle w:val="2"/>
      </w:pPr>
    </w:p>
    <w:p>
      <w:pPr>
        <w:pStyle w:val="19"/>
        <w:spacing w:line="500" w:lineRule="exact"/>
        <w:ind w:firstLine="419" w:firstLineChars="174"/>
        <w:rPr>
          <w:rFonts w:asciiTheme="minorEastAsia" w:hAnsiTheme="minorEastAsia" w:eastAsiaTheme="minorEastAsia"/>
          <w:b/>
          <w:sz w:val="24"/>
          <w:szCs w:val="24"/>
        </w:rPr>
      </w:pPr>
      <w:r>
        <w:rPr>
          <w:rFonts w:hint="eastAsia" w:asciiTheme="minorEastAsia" w:hAnsiTheme="minorEastAsia" w:eastAsiaTheme="minorEastAsia"/>
          <w:b/>
          <w:kern w:val="0"/>
          <w:sz w:val="24"/>
          <w:szCs w:val="24"/>
        </w:rPr>
        <w:t>一、说明及注意事项</w:t>
      </w:r>
    </w:p>
    <w:p>
      <w:pPr>
        <w:pStyle w:val="19"/>
        <w:spacing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1.本需求中提出的技术方案仅为参考，如无明确限制，投标人可以进行优化，提供满足用户实际需要的更优（或者性能实质上不低于的）技术方案或者设备配置，且此方案或配置须经评标委员会审核认可。</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bCs/>
          <w:sz w:val="24"/>
        </w:rPr>
        <w:t>为有助于投标人选择投标产品，项目需求中提供了推荐品牌（或型号）、参考品牌（</w:t>
      </w:r>
      <w:r>
        <w:rPr>
          <w:rFonts w:hint="eastAsia" w:asciiTheme="minorEastAsia" w:hAnsiTheme="minorEastAsia" w:eastAsiaTheme="minorEastAsia"/>
          <w:sz w:val="24"/>
        </w:rPr>
        <w:t>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Theme="minorEastAsia" w:hAnsiTheme="minorEastAsia" w:eastAsiaTheme="minorEastAsia"/>
          <w:b/>
          <w:sz w:val="24"/>
        </w:rPr>
        <w:cr/>
      </w:r>
      <w:r>
        <w:rPr>
          <w:rFonts w:hint="eastAsia" w:asciiTheme="minorEastAsia" w:hAnsiTheme="minorEastAsia" w:eastAsiaTheme="minorEastAsia"/>
          <w:bCs/>
          <w:sz w:val="24"/>
        </w:rPr>
        <w:t>3.</w:t>
      </w:r>
      <w:r>
        <w:rPr>
          <w:rFonts w:hint="eastAsia" w:asciiTheme="minorEastAsia" w:hAnsiTheme="minorEastAsia" w:eastAsiaTheme="minorEastAsia"/>
          <w:sz w:val="24"/>
        </w:rPr>
        <w:t>投标人应当在投标文件中列出完成本项目并通过验收所需的所有各项服务等明细表及全部费用。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w:t>
      </w:r>
    </w:p>
    <w:p>
      <w:pPr>
        <w:spacing w:line="5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招标需求要求提供的检测报告、原厂授权、质保函、证书、检测报告，环保体系认证、职业健康安全体系国际认证、OSHAS18001国际认证，所投型号产品须CTI认证等，均不作为初审要求，投标人须在投标文件中承诺将于合同签订前向招标人提供招标需求中要求的资料，否则按自愿放弃中标资格并承担由此带来的一切后果。</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5.改造施工期间不停止营业，中标单位在施工时，应有保持现有各项系统不受损坏的妥善措施，不得影响其他系统的正常使用，否则投标人自行承担一切后果。</w:t>
      </w:r>
    </w:p>
    <w:p>
      <w:pPr>
        <w:spacing w:line="50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二、项目概述</w:t>
      </w:r>
    </w:p>
    <w:p>
      <w:pPr>
        <w:spacing w:line="5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本项目现有一组（三台）冷却塔，自2008安装使用至今已有14年。经现场勘查，部分框架开始腐蚀。填料（散热片）严重老化，表面有污渍，附着粘结在一起，散热效果下降明显。驱动部件开机异响严重，玻璃钢等部件出现多处龟裂，存在安全隐患。</w:t>
      </w:r>
    </w:p>
    <w:p>
      <w:pPr>
        <w:spacing w:line="5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2.本次采购及安装一组（三台）冷却塔，采用方形横流式低噪声冷却塔，G≥400m³/h*3，进水温度：37℃，出水温度：32℃，湿球温度：28℃。</w:t>
      </w:r>
    </w:p>
    <w:p>
      <w:pPr>
        <w:widowControl/>
        <w:spacing w:line="500" w:lineRule="exact"/>
        <w:ind w:firstLine="120" w:firstLineChars="5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三、技术要求</w:t>
      </w:r>
    </w:p>
    <w:p>
      <w:pPr>
        <w:spacing w:line="500" w:lineRule="exact"/>
        <w:ind w:firstLine="480" w:firstLineChars="2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1.冷却塔的整体性能应满足下列要求</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1.1.塔体采用钢框架，所有钢构件需要符合国家标准（提供相关质量证明），不接受冷镀锌或油漆防腐）。塔体结构连接螺栓采用镀锌钢材质；塔体框架结构应保证塔体在安装、运行后的稳定性，符合铜陵地区的抗风、抗震要求；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1.2.投标商应提供冷却塔对水质的要求，阐述不同水质对冷却效果和冷却塔寿命的影响以及冷却水保养具体措施。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1.3.杜绝风短路而对冷却塔降温性能的影响并设有检修门及检修走道。检修门材质为不锈钢。</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1.4.冷却塔必须配置能到塔顶的爬梯（带护笼）及塔顶护栏，风机上方必须配置安全防护网。塔顶应设置防止人员坠落的热浸镀锌钢材G235（Z700）围栏。围栏按照相关国家标准高度为1200mm，下部设置有高于100mm的踢脚板，防止高空坠物。</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1.5.冷却塔应配备合理的配水系统、集水盘水位控制器(四连杆机制、不锈钢浮球)。</w:t>
      </w:r>
    </w:p>
    <w:p>
      <w:pPr>
        <w:spacing w:line="500" w:lineRule="exact"/>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2.性能要求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2.1.在电压正常波动范围内能正常启动和运转，机组在使用现场组装后，应进行检查和试运转。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2.2.应提供根据热力测试资料计算的热力性能曲线，供在非标准设计工况时确定冷却塔的有关参数。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2.3.冷却塔热力性能≥100%，并提供检验报告。</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2.4.除了部分转动部件在正常寿命期间更换外，其余的材料和部件应在正常情况下运行不少于15年。</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2.5.电机采用冷却塔专用电机，防护等级为IP55，绝缘等级F级，防水性能好。符合I.E.C相关标准。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2.6 所有动力部件均承载在塔体钢结构上，不允许承载在风筒上。</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3.具体要求 </w:t>
      </w:r>
    </w:p>
    <w:p>
      <w:pPr>
        <w:spacing w:line="500" w:lineRule="exact"/>
        <w:ind w:firstLine="480" w:firstLineChars="200"/>
        <w:jc w:val="left"/>
        <w:rPr>
          <w:rFonts w:cs="宋体" w:asciiTheme="minorEastAsia" w:hAnsiTheme="minorEastAsia" w:eastAsiaTheme="minorEastAsia"/>
          <w:b/>
          <w:sz w:val="24"/>
        </w:rPr>
      </w:pPr>
      <w:r>
        <w:rPr>
          <w:rFonts w:hint="eastAsia" w:cs="宋体" w:asciiTheme="minorEastAsia" w:hAnsiTheme="minorEastAsia" w:eastAsiaTheme="minorEastAsia"/>
          <w:bCs/>
          <w:sz w:val="24"/>
        </w:rPr>
        <w:t>3.1.冷却塔塔体</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3.1.1.冷却塔应坚固、稳定性好，具有防腐蚀能力，整塔使用寿命不小于15年。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3.1.2.塔体外壳采用优质玻璃钢材料。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3.1.3.采用现场安装方式，设计时应考虑便于运输及安装。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3.1.4.塔顶层面板应有足够强度，满足检修安装要求。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3.1.5.风筒采用下沉式SMC模压风筒。上部风筒应配合风机和电机安装位置设计，风筒上应设置热镀锌钢网，防止异物坠落，保护风机。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3.1.6.塔体应设计有热浸镀锌钢爬梯（带护笼），方便对塔的上部进行维护保养。 </w:t>
      </w:r>
    </w:p>
    <w:p>
      <w:pPr>
        <w:spacing w:line="500" w:lineRule="exact"/>
        <w:ind w:firstLine="480" w:firstLineChars="200"/>
        <w:jc w:val="left"/>
        <w:rPr>
          <w:rFonts w:cs="宋体" w:asciiTheme="minorEastAsia" w:hAnsiTheme="minorEastAsia" w:eastAsiaTheme="minorEastAsia"/>
          <w:b/>
          <w:sz w:val="24"/>
        </w:rPr>
      </w:pPr>
      <w:r>
        <w:rPr>
          <w:rFonts w:hint="eastAsia" w:cs="宋体" w:asciiTheme="minorEastAsia" w:hAnsiTheme="minorEastAsia" w:eastAsiaTheme="minorEastAsia"/>
          <w:bCs/>
          <w:sz w:val="24"/>
        </w:rPr>
        <w:t>3.2.冷却塔储水盆</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3.2.1.储水盘采用强化玻璃钢制造，不受季节变化影响。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3.2.2.储水盆在贮水后应无渗漏现象。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3.2.3.储水盆的容水量及高度应保证在启动冷却泵后不出现水被抽空现象及停泵后不出现大量水溢流现象。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3.2.4.集水盆应有内大截面连通设计。</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3.2.5.储水盆应设有自动给水装置及阀门、手动补水口、出水口、满水溢流口、排污口。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3.2.6 冷却塔储水盆与塔体一体式，不得采用支脚形式的底部框架，不得采用小型集水兜(或集水斗)形式。</w:t>
      </w:r>
    </w:p>
    <w:p>
      <w:pPr>
        <w:spacing w:line="50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3.3.冷却塔配水系统</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3.3.1.冷却水布水均匀布洒在填料顶部。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3.3.2.采用重力池加喷头布水模式，选用的喷头应为大口径，不堵塞，内部无活动件，免维护时间长，正常使用寿命应大于15年，冷却水能与空气在填料中充分热交换。应控制冷却塔的漂水率，配置的收水系统应具有高收水效率和低空气阻力，漂水率应不大于0.001%。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5.3.3.重力布水池应配有布水池盖板，盖板采用Z700热浸镀锌钢材质，防止水的污染以及异物进入布水池而堵塞喷头，同时避免阳光直射，抑制布水池内藻类植物生长同时可阻断塔内淋水噪声的传播，减少淋水噪声。 </w:t>
      </w:r>
    </w:p>
    <w:p>
      <w:pPr>
        <w:spacing w:line="500" w:lineRule="exact"/>
        <w:ind w:firstLine="480" w:firstLineChars="200"/>
        <w:jc w:val="left"/>
        <w:rPr>
          <w:rFonts w:cs="宋体" w:asciiTheme="minorEastAsia" w:hAnsiTheme="minorEastAsia" w:eastAsiaTheme="minorEastAsia"/>
          <w:b/>
          <w:sz w:val="24"/>
        </w:rPr>
      </w:pPr>
      <w:r>
        <w:rPr>
          <w:rFonts w:hint="eastAsia" w:cs="宋体" w:asciiTheme="minorEastAsia" w:hAnsiTheme="minorEastAsia" w:eastAsiaTheme="minorEastAsia"/>
          <w:bCs/>
          <w:sz w:val="24"/>
        </w:rPr>
        <w:t>3.4.冷却塔配淋水填料</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3.4.1填料采用优质改性PVC真空吸塑成型，再生料将不被接受，填料基片厚度不小于0.3mm，采用梯形波填料，水在填料表面停留时间长，呈水膜状流动，热交换均匀，噪音低，填料本身设计有收水结构，漂水率不大于0.0001%。阻燃氧指数不小于40%，达到国家B1难燃等级，提供近两年填料具有CMA标识检测机构的建筑材料及燃烧性能B1级检测报告。</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3.4.2.冷却塔填料采用三合一蜂窝悬挂式自带收水功能填料。可在50度下水温可长期稳定工作，50度水温不变型。设计寿命大于15年。填料采用悬挂式安装，填料底部悬空，以防止藻类物质和细菌的生长。（投标文件注明填料安装方式）。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3.4.3.能提供最佳的空气与热水的接触面而产生最有效的热交换作用。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3.4.4.填料设计宜易于安装和取出清洗，不准采用易燃胶水粘接。 </w:t>
      </w:r>
    </w:p>
    <w:p>
      <w:pPr>
        <w:spacing w:line="500" w:lineRule="exact"/>
        <w:ind w:firstLine="480" w:firstLineChars="20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xml:space="preserve">3.5.冷却塔风机及电机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3.5.1.风机特性参数应符合设计工况要求，其主要配件（如电机、减速器）应符合有关技术规定。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3.5.2.风机应采用高效率、高强度、低噪音轴流式风机，风机叶片材料为铝合金，要求强度可靠，表面光洁，各截面过渡均匀、无裂纹、缺口、毛刺、气泡等缺陷。</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3.5.3.风机正常时应在高效率区段工作。风机组装前叶片应进行静平衡试验，并按“刚性转子平衡精度”，</w:t>
      </w:r>
      <w:r>
        <w:rPr>
          <w:rFonts w:hint="eastAsia" w:cs="宋体" w:asciiTheme="minorEastAsia" w:hAnsiTheme="minorEastAsia" w:eastAsiaTheme="minorEastAsia"/>
          <w:bCs/>
          <w:sz w:val="24"/>
        </w:rPr>
        <w:t>取G6.3等级，</w:t>
      </w:r>
      <w:r>
        <w:rPr>
          <w:rFonts w:hint="eastAsia" w:cs="宋体" w:asciiTheme="minorEastAsia" w:hAnsiTheme="minorEastAsia" w:eastAsiaTheme="minorEastAsia"/>
          <w:sz w:val="24"/>
        </w:rPr>
        <w:t xml:space="preserve">叶片平衡后应定位、编号。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3.5.4.风机轴承应便于调整、维护，润滑剂更换的维修时间表应在维修手册内提供。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3.5.5.风机传动系统采用齿轮传动或皮带传动，如皮带传动，皮带轮应与风机同时进行静平衡试验，皮带传动应当满足连续工作和 150%轴功率。正常使用寿命要求大于10000小时。皮带减速器内配置品牌轴承。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3.5.6.电机380V/50Hz,防护等级为IP55，绝缘等级F级。电机应能满足存储和连续运行。电动机的电流值，不应超过额定电流值。电机功率满足要求。</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3.6.紧固件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冷却塔塔体紧固件,采用镀锌钢材质。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3.7.冷却塔调试和试运行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3.7.1.乙方应派有经验的技术人员到现场进行调试工作，直到设备可投入正常运行，其费用已包括在合同总价内。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3.7.2.在开始安装之前，乙方所有冷却塔图纸及技术资料必须提供完整，经甲方确认后才可进入安装工程。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3.7.3. 乙方提供检查、调试过程中所需的特殊工具，调试剂和易损件，并自带专用仪器、仪表。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3.7.4. 乙方应在现场对设备进行调试和试运行，以检验其设计、制作、操作性和功能等方面的情况。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3.7.5.设备安装完毕，应在甲方工程师的监督下，进行试运行前的测试，以证明其可以投入试运行。 </w:t>
      </w:r>
    </w:p>
    <w:p>
      <w:pPr>
        <w:spacing w:line="5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3.7.6. 乙方调试工程师在现场调试时，必须对甲方的操作人员进行现场运行操作、常规故障处理，简单维护等方面进行培训，使其能胜任设备日常运行维护的工作。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4、冷却塔调试和试运行</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4.1乙方应派有经验的技术人员到现场进行调试工作，直到设备可投入正常运行，其费用已包括在合同总价内。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4.2.在开始安装之前，乙方所有冷却塔图纸及技术资料必须提供完整，经甲方确认后才可进入安装工程。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4.3乙方提供检查、调试过程中所需的特殊工具，调试剂和易损件，并自带专用仪器、仪表。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4.4乙方应在现场对设备进行调试和试运行，以检验其设计、制作、操作性和功能等方面的情况。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4.5设备安装完毕，应在甲方工程师的监督下，进行试运行前的测试，以证明其可以投入试运行。 </w:t>
      </w:r>
    </w:p>
    <w:p>
      <w:pPr>
        <w:spacing w:line="500" w:lineRule="exact"/>
        <w:ind w:firstLine="424" w:firstLineChars="177"/>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4.6乙方调试工程师在现场调试时，必须对甲方的操作人员进行现场运行操作、常规故障处理，简单维护等方面进行培训，使其能胜任设备日常运行维护的工作。 </w:t>
      </w:r>
    </w:p>
    <w:p>
      <w:pPr>
        <w:widowControl/>
        <w:spacing w:line="500" w:lineRule="exact"/>
        <w:ind w:firstLine="360" w:firstLineChars="150"/>
        <w:rPr>
          <w:rFonts w:cs="宋体" w:asciiTheme="minorEastAsia" w:hAnsiTheme="minorEastAsia" w:eastAsiaTheme="minorEastAsia"/>
          <w:bCs/>
          <w:sz w:val="24"/>
        </w:rPr>
      </w:pPr>
      <w:r>
        <w:rPr>
          <w:rFonts w:hint="eastAsia" w:cs="宋体" w:asciiTheme="minorEastAsia" w:hAnsiTheme="minorEastAsia" w:eastAsiaTheme="minorEastAsia"/>
          <w:bCs/>
          <w:sz w:val="24"/>
        </w:rPr>
        <w:t>5、冷却塔主要技术参数</w:t>
      </w:r>
    </w:p>
    <w:p>
      <w:pPr>
        <w:widowControl/>
        <w:spacing w:line="500" w:lineRule="exact"/>
        <w:ind w:firstLine="120" w:firstLineChars="50"/>
        <w:jc w:val="center"/>
        <w:rPr>
          <w:rFonts w:ascii="宋体" w:hAnsi="宋体" w:cs="宋体"/>
          <w:b/>
          <w:kern w:val="0"/>
          <w:sz w:val="24"/>
        </w:rPr>
      </w:pPr>
      <w:r>
        <w:rPr>
          <w:rFonts w:hint="eastAsia" w:ascii="宋体" w:hAnsi="宋体" w:cs="宋体"/>
          <w:b/>
          <w:kern w:val="0"/>
          <w:sz w:val="24"/>
        </w:rPr>
        <w:t>产品技术偏离表</w:t>
      </w:r>
    </w:p>
    <w:p>
      <w:pPr>
        <w:spacing w:line="160" w:lineRule="exact"/>
        <w:rPr>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8"/>
        <w:gridCol w:w="2952"/>
        <w:gridCol w:w="3150"/>
        <w:gridCol w:w="19"/>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7" w:hRule="exact"/>
          <w:jc w:val="center"/>
        </w:trPr>
        <w:tc>
          <w:tcPr>
            <w:tcW w:w="698" w:type="dxa"/>
            <w:tcMar>
              <w:top w:w="57" w:type="dxa"/>
              <w:bottom w:w="57" w:type="dxa"/>
            </w:tcMar>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948" w:type="dxa"/>
            <w:tcMar>
              <w:top w:w="57" w:type="dxa"/>
              <w:bottom w:w="57" w:type="dxa"/>
            </w:tcMar>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内  容</w:t>
            </w:r>
          </w:p>
        </w:tc>
        <w:tc>
          <w:tcPr>
            <w:tcW w:w="3169" w:type="dxa"/>
            <w:gridSpan w:val="2"/>
            <w:tcMar>
              <w:top w:w="57" w:type="dxa"/>
              <w:bottom w:w="57" w:type="dxa"/>
            </w:tcMar>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招标要求参数</w:t>
            </w:r>
          </w:p>
        </w:tc>
        <w:tc>
          <w:tcPr>
            <w:tcW w:w="2858" w:type="dxa"/>
            <w:tcMar>
              <w:top w:w="57" w:type="dxa"/>
              <w:bottom w:w="57" w:type="dxa"/>
            </w:tcMar>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投标产品参数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9" w:hRule="exact"/>
          <w:jc w:val="center"/>
        </w:trPr>
        <w:tc>
          <w:tcPr>
            <w:tcW w:w="698" w:type="dxa"/>
            <w:tcMar>
              <w:top w:w="57" w:type="dxa"/>
              <w:bottom w:w="57" w:type="dxa"/>
            </w:tcMar>
            <w:vAlign w:val="center"/>
          </w:tcPr>
          <w:p>
            <w:pPr>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2948" w:type="dxa"/>
            <w:tcMar>
              <w:top w:w="57" w:type="dxa"/>
              <w:bottom w:w="57" w:type="dxa"/>
            </w:tcMar>
            <w:vAlign w:val="center"/>
          </w:tcPr>
          <w:p>
            <w:pPr>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设计总要求</w:t>
            </w:r>
          </w:p>
        </w:tc>
        <w:tc>
          <w:tcPr>
            <w:tcW w:w="3169" w:type="dxa"/>
            <w:gridSpan w:val="2"/>
            <w:tcMar>
              <w:top w:w="57" w:type="dxa"/>
              <w:bottom w:w="57" w:type="dxa"/>
            </w:tcMar>
            <w:vAlign w:val="center"/>
          </w:tcPr>
          <w:p>
            <w:pPr>
              <w:jc w:val="center"/>
              <w:rPr>
                <w:rFonts w:cs="宋体" w:asciiTheme="minorEastAsia" w:hAnsiTheme="minorEastAsia" w:eastAsiaTheme="minorEastAsia"/>
                <w:b/>
                <w:color w:val="FF0000"/>
                <w:sz w:val="24"/>
              </w:rPr>
            </w:pPr>
            <w:r>
              <w:rPr>
                <w:rFonts w:hint="eastAsia" w:cs="宋体" w:asciiTheme="minorEastAsia" w:hAnsiTheme="minorEastAsia" w:eastAsiaTheme="minorEastAsia"/>
                <w:sz w:val="24"/>
              </w:rPr>
              <w:t>单组循环水量≥400</w:t>
            </w:r>
            <w:r>
              <w:rPr>
                <w:rFonts w:hint="eastAsia" w:cs="宋体" w:asciiTheme="minorEastAsia" w:hAnsiTheme="minorEastAsia" w:eastAsiaTheme="minorEastAsia"/>
                <w:kern w:val="0"/>
                <w:sz w:val="24"/>
              </w:rPr>
              <w:t xml:space="preserve"> M</w:t>
            </w:r>
            <w:r>
              <w:rPr>
                <w:rFonts w:hint="eastAsia" w:cs="宋体" w:asciiTheme="minorEastAsia" w:hAnsiTheme="minorEastAsia" w:eastAsiaTheme="minorEastAsia"/>
                <w:kern w:val="0"/>
                <w:sz w:val="24"/>
                <w:vertAlign w:val="superscript"/>
              </w:rPr>
              <w:t>3</w:t>
            </w:r>
            <w:r>
              <w:rPr>
                <w:rFonts w:hint="eastAsia" w:cs="宋体" w:asciiTheme="minorEastAsia" w:hAnsiTheme="minorEastAsia" w:eastAsiaTheme="minorEastAsia"/>
                <w:kern w:val="0"/>
                <w:sz w:val="24"/>
              </w:rPr>
              <w:t>/H*3 配电量</w:t>
            </w:r>
            <w:r>
              <w:rPr>
                <w:rFonts w:hint="eastAsia" w:cs="宋体" w:asciiTheme="minorEastAsia" w:hAnsiTheme="minorEastAsia" w:eastAsiaTheme="minorEastAsia"/>
                <w:sz w:val="24"/>
              </w:rPr>
              <w:t>≤15kW</w:t>
            </w:r>
          </w:p>
        </w:tc>
        <w:tc>
          <w:tcPr>
            <w:tcW w:w="2858" w:type="dxa"/>
            <w:tcMar>
              <w:top w:w="57" w:type="dxa"/>
              <w:bottom w:w="57" w:type="dxa"/>
            </w:tcMar>
            <w:vAlign w:val="center"/>
          </w:tcPr>
          <w:p>
            <w:pPr>
              <w:jc w:val="center"/>
              <w:rPr>
                <w:rFonts w:cs="宋体" w:asciiTheme="minorEastAsia" w:hAnsiTheme="minorEastAsia" w:eastAsiaTheme="minorEastAsia"/>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exact"/>
          <w:jc w:val="center"/>
        </w:trPr>
        <w:tc>
          <w:tcPr>
            <w:tcW w:w="9673" w:type="dxa"/>
            <w:gridSpan w:val="5"/>
            <w:tcMar>
              <w:top w:w="57" w:type="dxa"/>
              <w:bottom w:w="57" w:type="dxa"/>
            </w:tcMar>
            <w:vAlign w:val="center"/>
          </w:tcPr>
          <w:p>
            <w:pPr>
              <w:rPr>
                <w:rFonts w:cs="宋体" w:asciiTheme="minorEastAsia" w:hAnsiTheme="minorEastAsia" w:eastAsiaTheme="minorEastAsia"/>
                <w:sz w:val="24"/>
              </w:rPr>
            </w:pPr>
            <w:r>
              <w:rPr>
                <w:rFonts w:hint="eastAsia" w:cs="宋体" w:asciiTheme="minorEastAsia" w:hAnsiTheme="minorEastAsia" w:eastAsiaTheme="minorEastAsia"/>
                <w:sz w:val="24"/>
              </w:rPr>
              <w:t>一、基本参数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7"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塔型</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方形横流式玻璃钢冷却塔</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0"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品牌、型号</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产地/生产厂家</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6"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塔体扬程</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0"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塔体抗风压kgf/m2</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150kgf/m2</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塔体抗震烈系数</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抗7级地震基本烈度</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蒸发损失%</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飘水损失%</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标准测点Dm处噪音</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Dm处≤65dB(A)</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自重/运行重量kg</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exact"/>
          <w:jc w:val="center"/>
        </w:trPr>
        <w:tc>
          <w:tcPr>
            <w:tcW w:w="69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948" w:type="dxa"/>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外形尺寸</w:t>
            </w:r>
          </w:p>
        </w:tc>
        <w:tc>
          <w:tcPr>
            <w:tcW w:w="3169" w:type="dxa"/>
            <w:gridSpan w:val="2"/>
            <w:tcMar>
              <w:top w:w="57" w:type="dxa"/>
              <w:bottom w:w="57" w:type="dxa"/>
            </w:tcMar>
            <w:vAlign w:val="center"/>
          </w:tcPr>
          <w:p>
            <w:pPr>
              <w:spacing w:line="5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L、W、H（mm）</w:t>
            </w:r>
          </w:p>
        </w:tc>
        <w:tc>
          <w:tcPr>
            <w:tcW w:w="2858" w:type="dxa"/>
            <w:tcMar>
              <w:top w:w="57" w:type="dxa"/>
              <w:bottom w:w="57" w:type="dxa"/>
            </w:tcMar>
            <w:vAlign w:val="center"/>
          </w:tcPr>
          <w:p>
            <w:pPr>
              <w:spacing w:line="5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9673" w:type="dxa"/>
            <w:gridSpan w:val="5"/>
            <w:tcMar>
              <w:top w:w="57" w:type="dxa"/>
              <w:bottom w:w="57" w:type="dxa"/>
            </w:tcMar>
            <w:vAlign w:val="center"/>
          </w:tcPr>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流量</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Q</w:t>
            </w:r>
            <w:r>
              <w:rPr>
                <w:rFonts w:ascii="Arial" w:hAnsi="Arial" w:cs="Arial"/>
                <w:color w:val="333333"/>
                <w:sz w:val="20"/>
                <w:szCs w:val="20"/>
                <w:shd w:val="clear" w:color="auto" w:fill="FFFFFF"/>
              </w:rPr>
              <w:t>≥</w:t>
            </w:r>
            <w:r>
              <w:rPr>
                <w:rFonts w:hint="eastAsia" w:cs="宋体" w:asciiTheme="minorEastAsia" w:hAnsiTheme="minorEastAsia" w:eastAsiaTheme="minorEastAsia"/>
                <w:sz w:val="24"/>
              </w:rPr>
              <w:t>400m3/h*3</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进水温度/出水温度/湿球温度</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t1=37℃/ t2= 32℃/τ=28℃</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播水方式</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喷头式布水系统</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进水盖板</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须有播水盆盖板</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塔内维修走道</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防滑型，宽度≥300mm</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9673" w:type="dxa"/>
            <w:gridSpan w:val="5"/>
            <w:tcMar>
              <w:top w:w="57" w:type="dxa"/>
              <w:bottom w:w="57" w:type="dxa"/>
            </w:tcMar>
            <w:vAlign w:val="center"/>
          </w:tcPr>
          <w:p>
            <w:pPr>
              <w:rPr>
                <w:rFonts w:cs="宋体" w:asciiTheme="minorEastAsia" w:hAnsiTheme="minorEastAsia" w:eastAsiaTheme="minorEastAsia"/>
                <w:sz w:val="24"/>
              </w:rPr>
            </w:pPr>
            <w:r>
              <w:rPr>
                <w:rFonts w:hint="eastAsia" w:cs="宋体" w:asciiTheme="minorEastAsia" w:hAnsiTheme="minorEastAsia" w:eastAsiaTheme="minorEastAsia"/>
                <w:sz w:val="24"/>
              </w:rPr>
              <w:t>三、电机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52"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推荐品牌</w:t>
            </w:r>
          </w:p>
        </w:tc>
        <w:tc>
          <w:tcPr>
            <w:tcW w:w="3165"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西门子贝得、东元、ABB</w:t>
            </w:r>
          </w:p>
        </w:tc>
        <w:tc>
          <w:tcPr>
            <w:tcW w:w="2858" w:type="dxa"/>
            <w:tcMar>
              <w:top w:w="57" w:type="dxa"/>
              <w:bottom w:w="57" w:type="dxa"/>
            </w:tcMar>
            <w:vAlign w:val="center"/>
          </w:tcPr>
          <w:p>
            <w:pP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6"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额定功率（每台）kW</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≤15kW</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电机防护等级 / 绝缘等级</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IP55 / F</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电源（相数/电压/频率）</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380V / 3Φ / 50Hz</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exact"/>
          <w:jc w:val="center"/>
        </w:trPr>
        <w:tc>
          <w:tcPr>
            <w:tcW w:w="9673" w:type="dxa"/>
            <w:gridSpan w:val="5"/>
            <w:tcMar>
              <w:top w:w="57" w:type="dxa"/>
              <w:bottom w:w="57" w:type="dxa"/>
            </w:tcMar>
            <w:vAlign w:val="center"/>
          </w:tcPr>
          <w:p>
            <w:pPr>
              <w:jc w:val="left"/>
              <w:rPr>
                <w:rFonts w:cs="宋体" w:asciiTheme="minorEastAsia" w:hAnsiTheme="minorEastAsia" w:eastAsiaTheme="minorEastAsia"/>
                <w:sz w:val="24"/>
              </w:rPr>
            </w:pPr>
            <w:r>
              <w:rPr>
                <w:rFonts w:hint="eastAsia" w:cs="宋体" w:asciiTheme="minorEastAsia" w:hAnsiTheme="minorEastAsia" w:eastAsiaTheme="minorEastAsia"/>
                <w:sz w:val="24"/>
              </w:rPr>
              <w:t>四、风机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推荐品牌</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8"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风量  m3/h</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5"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风叶材料</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双层铝合金机翼，铝合金叶片</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风叶直径 / 类型</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风机转数rpm/min</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风机轴承寿命</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≥10000小时</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9673" w:type="dxa"/>
            <w:gridSpan w:val="5"/>
            <w:tcMar>
              <w:top w:w="57" w:type="dxa"/>
              <w:bottom w:w="57" w:type="dxa"/>
            </w:tcMar>
            <w:vAlign w:val="center"/>
          </w:tcPr>
          <w:p>
            <w:pPr>
              <w:rPr>
                <w:rFonts w:cs="宋体" w:asciiTheme="minorEastAsia" w:hAnsiTheme="minorEastAsia" w:eastAsiaTheme="minorEastAsia"/>
                <w:sz w:val="24"/>
              </w:rPr>
            </w:pPr>
            <w:r>
              <w:rPr>
                <w:rFonts w:hint="eastAsia" w:cs="宋体" w:asciiTheme="minorEastAsia" w:hAnsiTheme="minorEastAsia" w:eastAsiaTheme="minorEastAsia"/>
                <w:sz w:val="24"/>
              </w:rPr>
              <w:t>五、减速机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推荐品牌</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6"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传动类型</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皮带传动</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轴承</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6"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油封</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4" w:hRule="exact"/>
          <w:jc w:val="center"/>
        </w:trPr>
        <w:tc>
          <w:tcPr>
            <w:tcW w:w="9673" w:type="dxa"/>
            <w:gridSpan w:val="5"/>
            <w:tcMar>
              <w:top w:w="57" w:type="dxa"/>
              <w:bottom w:w="57" w:type="dxa"/>
            </w:tcMar>
            <w:vAlign w:val="center"/>
          </w:tcPr>
          <w:p>
            <w:pPr>
              <w:rPr>
                <w:rFonts w:cs="宋体" w:asciiTheme="minorEastAsia" w:hAnsiTheme="minorEastAsia" w:eastAsiaTheme="minorEastAsia"/>
                <w:sz w:val="24"/>
              </w:rPr>
            </w:pPr>
            <w:r>
              <w:rPr>
                <w:rFonts w:hint="eastAsia" w:cs="宋体" w:asciiTheme="minorEastAsia" w:hAnsiTheme="minorEastAsia" w:eastAsiaTheme="minorEastAsia"/>
                <w:sz w:val="24"/>
              </w:rPr>
              <w:t>六、材料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壳体、顺风板及检修门材质</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FRP</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填料材质</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PVC片悬挂式（原生料）</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exac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塔体结构钢防腐方式</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支架热浸镀锌</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6" w:hRule="atLeas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爬梯</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热浸镀锌钢</w:t>
            </w:r>
          </w:p>
        </w:tc>
        <w:tc>
          <w:tcPr>
            <w:tcW w:w="2858" w:type="dxa"/>
            <w:tcMar>
              <w:top w:w="57" w:type="dxa"/>
              <w:bottom w:w="57" w:type="dxa"/>
            </w:tcMar>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69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948" w:type="dxa"/>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设备防火性能</w:t>
            </w:r>
          </w:p>
        </w:tc>
        <w:tc>
          <w:tcPr>
            <w:tcW w:w="3169" w:type="dxa"/>
            <w:gridSpan w:val="2"/>
            <w:tcMar>
              <w:top w:w="57" w:type="dxa"/>
              <w:bottom w:w="57"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1.填料片的氧指数</w:t>
            </w: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2.玻璃钢板的氧指数</w:t>
            </w:r>
          </w:p>
        </w:tc>
        <w:tc>
          <w:tcPr>
            <w:tcW w:w="2858" w:type="dxa"/>
            <w:tcMar>
              <w:top w:w="57" w:type="dxa"/>
              <w:bottom w:w="57" w:type="dxa"/>
            </w:tcMar>
            <w:vAlign w:val="center"/>
          </w:tcPr>
          <w:p>
            <w:pPr>
              <w:jc w:val="center"/>
              <w:rPr>
                <w:rFonts w:cs="宋体" w:asciiTheme="minorEastAsia" w:hAnsiTheme="minorEastAsia" w:eastAsiaTheme="minorEastAsia"/>
                <w:color w:val="FF0000"/>
                <w:sz w:val="24"/>
              </w:rPr>
            </w:pPr>
          </w:p>
        </w:tc>
      </w:tr>
      <w:bookmarkEnd w:id="0"/>
      <w:bookmarkEnd w:id="1"/>
      <w:bookmarkEnd w:id="2"/>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9673" w:type="dxa"/>
            <w:gridSpan w:val="5"/>
            <w:vAlign w:val="center"/>
          </w:tcPr>
          <w:p>
            <w:pPr>
              <w:tabs>
                <w:tab w:val="left" w:pos="2760"/>
              </w:tabs>
              <w:adjustRightInd w:val="0"/>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七、</w:t>
            </w:r>
            <w:r>
              <w:rPr>
                <w:rFonts w:hint="eastAsia" w:cs="宋体" w:asciiTheme="minorEastAsia" w:hAnsiTheme="minorEastAsia" w:eastAsiaTheme="minorEastAsia"/>
                <w:sz w:val="24"/>
              </w:rPr>
              <w:t>控制柜（</w:t>
            </w:r>
            <w:r>
              <w:rPr>
                <w:rFonts w:hint="eastAsia" w:cs="宋体" w:asciiTheme="minorEastAsia" w:hAnsiTheme="minorEastAsia" w:eastAsiaTheme="minorEastAsia"/>
                <w:bCs/>
                <w:sz w:val="24"/>
              </w:rPr>
              <w:t>△</w:t>
            </w:r>
            <w:r>
              <w:rPr>
                <w:rFonts w:hint="eastAsia" w:cs="宋体" w:asciiTheme="minorEastAsia" w:hAnsiTheme="minorEastAsia" w:eastAsiaTheme="minorEastAsia"/>
                <w:sz w:val="24"/>
              </w:rPr>
              <w:t>三角启动）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698" w:type="dxa"/>
            <w:vAlign w:val="center"/>
          </w:tcPr>
          <w:p>
            <w:pPr>
              <w:pStyle w:val="5"/>
              <w:spacing w:line="400" w:lineRule="exact"/>
              <w:ind w:left="0" w:leftChars="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p>
        </w:tc>
        <w:tc>
          <w:tcPr>
            <w:tcW w:w="2948" w:type="dxa"/>
            <w:vAlign w:val="center"/>
          </w:tcPr>
          <w:p>
            <w:pPr>
              <w:pStyle w:val="5"/>
              <w:spacing w:line="400" w:lineRule="exact"/>
              <w:ind w:left="0" w:leftChars="0"/>
              <w:jc w:val="center"/>
              <w:rPr>
                <w:rFonts w:cs="Times New Roman"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元器件推荐品牌</w:t>
            </w:r>
          </w:p>
        </w:tc>
        <w:tc>
          <w:tcPr>
            <w:tcW w:w="3169" w:type="dxa"/>
            <w:gridSpan w:val="2"/>
            <w:vAlign w:val="center"/>
          </w:tcPr>
          <w:p>
            <w:pPr>
              <w:pStyle w:val="5"/>
              <w:spacing w:line="400" w:lineRule="exact"/>
              <w:ind w:left="0" w:leftChars="0"/>
              <w:jc w:val="center"/>
              <w:rPr>
                <w:rFonts w:cs="Times New Roman"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ABB、施耐德、西门子</w:t>
            </w:r>
          </w:p>
        </w:tc>
        <w:tc>
          <w:tcPr>
            <w:tcW w:w="2858" w:type="dxa"/>
            <w:vAlign w:val="center"/>
          </w:tcPr>
          <w:p>
            <w:pPr>
              <w:pStyle w:val="5"/>
              <w:spacing w:line="400" w:lineRule="exact"/>
              <w:ind w:left="0" w:leftChars="0"/>
              <w:jc w:val="center"/>
              <w:rPr>
                <w:rFonts w:cs="Times New Roman" w:asciiTheme="minorEastAsia" w:hAnsiTheme="minorEastAsia" w:eastAsiaTheme="minorEastAsia"/>
                <w:color w:val="FFFF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673" w:type="dxa"/>
            <w:gridSpan w:val="5"/>
            <w:vAlign w:val="center"/>
          </w:tcPr>
          <w:p>
            <w:pPr>
              <w:pStyle w:val="5"/>
              <w:spacing w:line="400" w:lineRule="exact"/>
              <w:ind w:left="0" w:leftChars="0"/>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八、</w:t>
            </w:r>
            <w:r>
              <w:rPr>
                <w:rFonts w:hint="eastAsia" w:cs="宋体" w:asciiTheme="minorEastAsia" w:hAnsiTheme="minorEastAsia" w:eastAsiaTheme="minorEastAsia"/>
                <w:sz w:val="24"/>
                <w:szCs w:val="24"/>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800" w:type="dxa"/>
            <w:gridSpan w:val="3"/>
            <w:tcBorders>
              <w:top w:val="single" w:color="auto" w:sz="4" w:space="0"/>
              <w:right w:val="single" w:color="auto" w:sz="4" w:space="0"/>
            </w:tcBorders>
            <w:vAlign w:val="center"/>
          </w:tcPr>
          <w:p>
            <w:pPr>
              <w:adjustRightInd w:val="0"/>
              <w:spacing w:line="400" w:lineRule="exact"/>
              <w:ind w:firstLine="1200" w:firstLineChars="500"/>
              <w:rPr>
                <w:rFonts w:cs="宋体" w:asciiTheme="minorEastAsia" w:hAnsiTheme="minorEastAsia" w:eastAsiaTheme="minorEastAsia"/>
                <w:sz w:val="24"/>
              </w:rPr>
            </w:pPr>
            <w:r>
              <w:rPr>
                <w:rFonts w:hint="eastAsia" w:cs="宋体" w:asciiTheme="minorEastAsia" w:hAnsiTheme="minorEastAsia" w:eastAsiaTheme="minorEastAsia"/>
                <w:sz w:val="24"/>
              </w:rPr>
              <w:t>通过GB/T7190.1-2008检测</w:t>
            </w:r>
          </w:p>
        </w:tc>
        <w:tc>
          <w:tcPr>
            <w:tcW w:w="2873" w:type="dxa"/>
            <w:gridSpan w:val="2"/>
            <w:tcBorders>
              <w:left w:val="single" w:color="auto" w:sz="4" w:space="0"/>
            </w:tcBorders>
            <w:vAlign w:val="center"/>
          </w:tcPr>
          <w:p>
            <w:pPr>
              <w:adjustRightInd w:val="0"/>
              <w:spacing w:line="400" w:lineRule="exact"/>
              <w:rPr>
                <w:rFonts w:cs="宋体" w:asciiTheme="minorEastAsia" w:hAnsiTheme="minorEastAsia" w:eastAsiaTheme="minorEastAsia"/>
                <w:sz w:val="24"/>
              </w:rPr>
            </w:pPr>
          </w:p>
        </w:tc>
      </w:tr>
    </w:tbl>
    <w:p>
      <w:pPr>
        <w:widowControl/>
        <w:spacing w:line="500" w:lineRule="exact"/>
        <w:ind w:firstLine="120" w:firstLineChars="50"/>
        <w:jc w:val="left"/>
        <w:rPr>
          <w:rFonts w:ascii="宋体" w:hAnsi="宋体" w:cs="宋体"/>
          <w:bCs/>
          <w:kern w:val="0"/>
          <w:sz w:val="24"/>
        </w:rPr>
      </w:pPr>
    </w:p>
    <w:p>
      <w:pPr>
        <w:widowControl/>
        <w:spacing w:line="160" w:lineRule="exact"/>
        <w:jc w:val="center"/>
        <w:rPr>
          <w:rFonts w:ascii="宋体" w:hAnsi="宋体" w:cs="宋体"/>
          <w:b/>
          <w:kern w:val="0"/>
          <w:sz w:val="32"/>
          <w:szCs w:val="32"/>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jc w:val="center"/>
        <w:rPr>
          <w:rFonts w:ascii="宋体" w:hAnsi="宋体"/>
          <w:b/>
          <w:kern w:val="0"/>
          <w:sz w:val="28"/>
          <w:szCs w:val="28"/>
        </w:rPr>
      </w:pPr>
    </w:p>
    <w:p>
      <w:pPr>
        <w:pStyle w:val="2"/>
      </w:pPr>
    </w:p>
    <w:p>
      <w:pPr>
        <w:jc w:val="center"/>
        <w:rPr>
          <w:rFonts w:ascii="宋体" w:hAnsi="宋体" w:cs="宋体"/>
          <w:b/>
          <w:sz w:val="28"/>
          <w:szCs w:val="28"/>
        </w:rPr>
      </w:pPr>
      <w:r>
        <w:rPr>
          <w:rFonts w:hint="eastAsia" w:ascii="宋体" w:hAnsi="宋体"/>
          <w:b/>
          <w:kern w:val="0"/>
          <w:sz w:val="28"/>
          <w:szCs w:val="28"/>
        </w:rPr>
        <w:t>第四章</w:t>
      </w:r>
      <w:r>
        <w:rPr>
          <w:rFonts w:hint="eastAsia" w:ascii="宋体" w:hAnsi="宋体" w:cs="宋体"/>
          <w:b/>
          <w:sz w:val="28"/>
          <w:szCs w:val="28"/>
        </w:rPr>
        <w:t xml:space="preserve">  合  同</w:t>
      </w:r>
    </w:p>
    <w:p>
      <w:pPr>
        <w:widowControl/>
        <w:tabs>
          <w:tab w:val="center" w:pos="4568"/>
          <w:tab w:val="left" w:pos="7410"/>
          <w:tab w:val="right" w:pos="9136"/>
        </w:tabs>
        <w:autoSpaceDE w:val="0"/>
        <w:autoSpaceDN w:val="0"/>
        <w:spacing w:line="720" w:lineRule="exact"/>
        <w:jc w:val="center"/>
        <w:textAlignment w:val="bottom"/>
        <w:rPr>
          <w:rFonts w:asciiTheme="minorEastAsia" w:hAnsiTheme="minorEastAsia" w:eastAsiaTheme="minorEastAsia"/>
          <w:b/>
          <w:sz w:val="28"/>
          <w:szCs w:val="28"/>
        </w:rPr>
      </w:pPr>
      <w:r>
        <w:rPr>
          <w:rFonts w:hint="eastAsia" w:asciiTheme="minorEastAsia" w:hAnsiTheme="minorEastAsia" w:eastAsiaTheme="minorEastAsia"/>
          <w:b/>
          <w:sz w:val="28"/>
          <w:szCs w:val="28"/>
        </w:rPr>
        <w:t>合肥百货大楼集团铜陵合百商厦有限责任公司</w:t>
      </w:r>
    </w:p>
    <w:p>
      <w:pPr>
        <w:widowControl/>
        <w:tabs>
          <w:tab w:val="center" w:pos="4568"/>
          <w:tab w:val="left" w:pos="7410"/>
          <w:tab w:val="right" w:pos="9136"/>
        </w:tabs>
        <w:autoSpaceDE w:val="0"/>
        <w:autoSpaceDN w:val="0"/>
        <w:spacing w:line="720" w:lineRule="exact"/>
        <w:jc w:val="center"/>
        <w:textAlignment w:val="bottom"/>
        <w:rPr>
          <w:rFonts w:asciiTheme="minorEastAsia" w:hAnsiTheme="minorEastAsia" w:eastAsiaTheme="minorEastAsia"/>
          <w:b/>
          <w:sz w:val="28"/>
          <w:szCs w:val="28"/>
        </w:rPr>
      </w:pPr>
      <w:r>
        <w:rPr>
          <w:rFonts w:hint="eastAsia" w:asciiTheme="minorEastAsia" w:hAnsiTheme="minorEastAsia" w:eastAsiaTheme="minorEastAsia"/>
          <w:b/>
          <w:sz w:val="28"/>
          <w:szCs w:val="28"/>
        </w:rPr>
        <w:t>冷却塔采购及安装合同</w:t>
      </w:r>
    </w:p>
    <w:p>
      <w:pPr>
        <w:tabs>
          <w:tab w:val="left" w:pos="360"/>
          <w:tab w:val="left" w:pos="540"/>
          <w:tab w:val="left" w:pos="3600"/>
          <w:tab w:val="left" w:pos="3780"/>
          <w:tab w:val="left" w:pos="8460"/>
          <w:tab w:val="left" w:pos="9180"/>
        </w:tabs>
        <w:adjustRightInd w:val="0"/>
        <w:snapToGrid w:val="0"/>
        <w:spacing w:line="500" w:lineRule="exact"/>
        <w:ind w:right="-21" w:rightChars="-10"/>
        <w:rPr>
          <w:rFonts w:ascii="宋体" w:hAnsi="宋体"/>
          <w:sz w:val="24"/>
          <w:u w:val="single"/>
        </w:rPr>
      </w:pPr>
      <w:r>
        <w:rPr>
          <w:rFonts w:ascii="宋体" w:hAnsi="宋体"/>
          <w:sz w:val="24"/>
        </w:rPr>
        <w:t>甲方（</w:t>
      </w:r>
      <w:r>
        <w:rPr>
          <w:rFonts w:hint="eastAsia" w:ascii="宋体" w:hAnsi="宋体"/>
          <w:sz w:val="24"/>
        </w:rPr>
        <w:t>招标人</w:t>
      </w:r>
      <w:r>
        <w:rPr>
          <w:rFonts w:ascii="宋体" w:hAnsi="宋体"/>
          <w:sz w:val="24"/>
        </w:rPr>
        <w:t>）：</w:t>
      </w:r>
    </w:p>
    <w:p>
      <w:pPr>
        <w:spacing w:line="500" w:lineRule="exact"/>
        <w:rPr>
          <w:rFonts w:ascii="宋体" w:hAnsi="宋体"/>
          <w:sz w:val="24"/>
        </w:rPr>
      </w:pPr>
      <w:r>
        <w:rPr>
          <w:rFonts w:ascii="宋体" w:hAnsi="宋体"/>
          <w:sz w:val="24"/>
        </w:rPr>
        <w:t>乙方（</w:t>
      </w:r>
      <w:r>
        <w:rPr>
          <w:rFonts w:hint="eastAsia" w:ascii="宋体" w:hAnsi="宋体"/>
          <w:sz w:val="24"/>
        </w:rPr>
        <w:t>中标人</w:t>
      </w:r>
      <w:r>
        <w:rPr>
          <w:rFonts w:ascii="宋体" w:hAnsi="宋体"/>
          <w:sz w:val="24"/>
        </w:rPr>
        <w:t>）</w:t>
      </w:r>
      <w:r>
        <w:rPr>
          <w:rFonts w:hint="eastAsia" w:ascii="宋体" w:hAnsi="宋体"/>
          <w:sz w:val="24"/>
        </w:rPr>
        <w:t>：</w:t>
      </w:r>
    </w:p>
    <w:p>
      <w:pPr>
        <w:spacing w:line="500" w:lineRule="exact"/>
        <w:rPr>
          <w:rFonts w:ascii="宋体" w:hAnsi="宋体"/>
          <w:sz w:val="24"/>
        </w:rPr>
      </w:pPr>
      <w:r>
        <w:rPr>
          <w:rFonts w:hint="eastAsia" w:ascii="宋体" w:hAnsi="宋体"/>
          <w:sz w:val="24"/>
        </w:rPr>
        <w:t>项目名称：</w:t>
      </w:r>
      <w:r>
        <w:rPr>
          <w:rFonts w:hint="eastAsia" w:cs="宋体" w:asciiTheme="minorEastAsia" w:hAnsiTheme="minorEastAsia" w:eastAsiaTheme="minorEastAsia"/>
          <w:kern w:val="0"/>
          <w:sz w:val="24"/>
        </w:rPr>
        <w:t>铜陵百大中央空调系统冷却塔采购及安装</w:t>
      </w:r>
    </w:p>
    <w:p>
      <w:pPr>
        <w:spacing w:line="500" w:lineRule="exact"/>
        <w:rPr>
          <w:rFonts w:ascii="宋体" w:hAnsi="宋体"/>
          <w:color w:val="000000"/>
          <w:sz w:val="24"/>
        </w:rPr>
      </w:pPr>
      <w:r>
        <w:rPr>
          <w:rFonts w:hint="eastAsia" w:ascii="宋体" w:hAnsi="宋体"/>
          <w:color w:val="000000"/>
          <w:sz w:val="24"/>
        </w:rPr>
        <w:t>项目编号：</w:t>
      </w:r>
      <w:r>
        <w:rPr>
          <w:rFonts w:hint="eastAsia" w:ascii="宋体" w:hAnsi="宋体" w:cs="宋体"/>
          <w:bCs/>
          <w:color w:val="000000"/>
          <w:kern w:val="0"/>
          <w:sz w:val="24"/>
        </w:rPr>
        <w:t>HBZ-220</w:t>
      </w:r>
      <w:r>
        <w:rPr>
          <w:rFonts w:hint="eastAsia" w:ascii="宋体" w:hAnsi="宋体" w:cs="宋体"/>
          <w:bCs/>
          <w:color w:val="000000"/>
          <w:kern w:val="0"/>
          <w:sz w:val="24"/>
          <w:lang w:val="en-US" w:eastAsia="zh-CN"/>
        </w:rPr>
        <w:t>45</w:t>
      </w:r>
      <w:r>
        <w:rPr>
          <w:rFonts w:hint="eastAsia" w:ascii="宋体" w:hAnsi="宋体" w:cs="宋体"/>
          <w:bCs/>
          <w:color w:val="000000"/>
          <w:kern w:val="0"/>
          <w:sz w:val="24"/>
        </w:rPr>
        <w:t>-TLBD03</w:t>
      </w:r>
    </w:p>
    <w:p>
      <w:pPr>
        <w:spacing w:beforeLines="50" w:beforeAutospacing="1" w:afterLines="30" w:afterAutospacing="1" w:line="500" w:lineRule="exact"/>
        <w:ind w:firstLine="460" w:firstLineChars="192"/>
        <w:rPr>
          <w:rFonts w:ascii="宋体" w:hAnsi="宋体"/>
          <w:color w:val="000000"/>
          <w:sz w:val="24"/>
        </w:rPr>
      </w:pPr>
      <w:r>
        <w:rPr>
          <w:rFonts w:hint="eastAsia" w:ascii="宋体" w:hAnsi="宋体"/>
          <w:color w:val="000000"/>
          <w:sz w:val="24"/>
        </w:rPr>
        <w:t>本项目采用</w:t>
      </w:r>
      <w:r>
        <w:rPr>
          <w:rFonts w:hint="eastAsia" w:ascii="宋体" w:hAnsi="宋体"/>
          <w:color w:val="000000"/>
          <w:sz w:val="24"/>
          <w:u w:val="single"/>
        </w:rPr>
        <w:t>公开招标</w:t>
      </w:r>
      <w:r>
        <w:rPr>
          <w:rFonts w:hint="eastAsia" w:ascii="宋体" w:hAnsi="宋体"/>
          <w:color w:val="000000"/>
          <w:sz w:val="24"/>
        </w:rPr>
        <w:t>方式，经本项目评审委员会认真评审，决定将采购合同授予乙方。为进一步明确双方的责任，确保合同的顺利履行，</w:t>
      </w: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》之规定，经甲乙双方充分协商，特订立</w:t>
      </w:r>
      <w:r>
        <w:rPr>
          <w:rFonts w:hint="eastAsia" w:ascii="宋体" w:hAnsi="宋体"/>
          <w:color w:val="000000"/>
          <w:sz w:val="24"/>
        </w:rPr>
        <w:t>本</w:t>
      </w:r>
      <w:r>
        <w:rPr>
          <w:rFonts w:ascii="宋体" w:hAnsi="宋体"/>
          <w:color w:val="000000"/>
          <w:sz w:val="24"/>
        </w:rPr>
        <w:t>合同，以便共同遵守。</w:t>
      </w:r>
    </w:p>
    <w:p>
      <w:pPr>
        <w:pStyle w:val="3"/>
        <w:spacing w:line="500" w:lineRule="exact"/>
        <w:jc w:val="both"/>
        <w:rPr>
          <w:rFonts w:hAnsi="宋体"/>
          <w:color w:val="000000"/>
          <w:sz w:val="24"/>
          <w:szCs w:val="24"/>
        </w:rPr>
      </w:pPr>
      <w:r>
        <w:rPr>
          <w:rFonts w:hAnsi="宋体"/>
          <w:b w:val="0"/>
          <w:bCs w:val="0"/>
          <w:color w:val="000000"/>
          <w:sz w:val="24"/>
          <w:szCs w:val="24"/>
        </w:rPr>
        <w:t>第一条</w:t>
      </w:r>
      <w:r>
        <w:rPr>
          <w:rFonts w:hAnsi="宋体"/>
          <w:color w:val="000000"/>
          <w:sz w:val="24"/>
          <w:szCs w:val="24"/>
        </w:rPr>
        <w:t> 产品的名称、品种、规格</w:t>
      </w:r>
      <w:r>
        <w:rPr>
          <w:rFonts w:hint="eastAsia" w:hAnsi="宋体"/>
          <w:color w:val="000000"/>
          <w:sz w:val="24"/>
          <w:szCs w:val="24"/>
        </w:rPr>
        <w:t>、数量和价格：</w:t>
      </w:r>
    </w:p>
    <w:p>
      <w:pPr>
        <w:widowControl/>
        <w:spacing w:line="520" w:lineRule="exact"/>
        <w:ind w:left="6115" w:hanging="6115" w:hangingChars="2548"/>
        <w:jc w:val="right"/>
        <w:rPr>
          <w:rFonts w:ascii="宋体" w:hAnsi="宋体" w:cs="宋体"/>
          <w:kern w:val="0"/>
          <w:sz w:val="24"/>
        </w:rPr>
      </w:pPr>
      <w:r>
        <w:rPr>
          <w:rFonts w:hint="eastAsia" w:ascii="宋体" w:hAnsi="宋体" w:cs="宋体"/>
          <w:kern w:val="0"/>
          <w:sz w:val="24"/>
        </w:rPr>
        <w:t xml:space="preserve">  单位：人民币元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15"/>
        <w:gridCol w:w="708"/>
        <w:gridCol w:w="709"/>
        <w:gridCol w:w="851"/>
        <w:gridCol w:w="855"/>
        <w:gridCol w:w="1005"/>
        <w:gridCol w:w="1065"/>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87" w:type="dxa"/>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915" w:type="dxa"/>
            <w:vAlign w:val="center"/>
          </w:tcPr>
          <w:p>
            <w:pPr>
              <w:jc w:val="center"/>
              <w:rPr>
                <w:rFonts w:ascii="宋体" w:hAnsi="宋体"/>
                <w:b/>
                <w:szCs w:val="21"/>
              </w:rPr>
            </w:pPr>
            <w:r>
              <w:rPr>
                <w:rFonts w:hint="eastAsia" w:ascii="宋体" w:hAnsi="宋体"/>
                <w:b/>
                <w:szCs w:val="21"/>
              </w:rPr>
              <w:t>设备名称</w:t>
            </w:r>
          </w:p>
        </w:tc>
        <w:tc>
          <w:tcPr>
            <w:tcW w:w="708" w:type="dxa"/>
            <w:vAlign w:val="center"/>
          </w:tcPr>
          <w:p>
            <w:pPr>
              <w:jc w:val="center"/>
              <w:rPr>
                <w:rFonts w:ascii="宋体" w:hAnsi="宋体"/>
                <w:b/>
                <w:szCs w:val="21"/>
              </w:rPr>
            </w:pPr>
            <w:r>
              <w:rPr>
                <w:rFonts w:hint="eastAsia" w:ascii="宋体" w:hAnsi="宋体"/>
                <w:b/>
                <w:szCs w:val="21"/>
              </w:rPr>
              <w:t>规格</w:t>
            </w:r>
          </w:p>
        </w:tc>
        <w:tc>
          <w:tcPr>
            <w:tcW w:w="709" w:type="dxa"/>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851" w:type="dxa"/>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855" w:type="dxa"/>
            <w:vAlign w:val="center"/>
          </w:tcPr>
          <w:p>
            <w:pPr>
              <w:widowControl/>
              <w:jc w:val="center"/>
              <w:rPr>
                <w:rFonts w:ascii="宋体" w:hAnsi="宋体" w:cs="宋体"/>
                <w:b/>
                <w:bCs/>
                <w:kern w:val="0"/>
                <w:szCs w:val="21"/>
              </w:rPr>
            </w:pPr>
            <w:r>
              <w:rPr>
                <w:rFonts w:hint="eastAsia" w:ascii="宋体" w:hAnsi="宋体" w:cs="宋体"/>
                <w:b/>
                <w:bCs/>
                <w:kern w:val="0"/>
                <w:szCs w:val="21"/>
              </w:rPr>
              <w:t>含税</w:t>
            </w:r>
          </w:p>
          <w:p>
            <w:pPr>
              <w:widowControl/>
              <w:jc w:val="center"/>
              <w:rPr>
                <w:rFonts w:ascii="宋体" w:hAnsi="宋体" w:cs="宋体"/>
                <w:b/>
                <w:bCs/>
                <w:kern w:val="0"/>
                <w:szCs w:val="21"/>
              </w:rPr>
            </w:pPr>
            <w:r>
              <w:rPr>
                <w:rFonts w:hint="eastAsia" w:ascii="宋体" w:hAnsi="宋体" w:cs="宋体"/>
                <w:b/>
                <w:bCs/>
                <w:kern w:val="0"/>
                <w:szCs w:val="21"/>
              </w:rPr>
              <w:t>单价</w:t>
            </w:r>
          </w:p>
        </w:tc>
        <w:tc>
          <w:tcPr>
            <w:tcW w:w="1005" w:type="dxa"/>
            <w:vAlign w:val="center"/>
          </w:tcPr>
          <w:p>
            <w:pPr>
              <w:widowControl/>
              <w:jc w:val="center"/>
              <w:rPr>
                <w:rFonts w:ascii="宋体" w:hAnsi="宋体" w:cs="宋体"/>
                <w:b/>
                <w:bCs/>
                <w:kern w:val="0"/>
                <w:szCs w:val="21"/>
              </w:rPr>
            </w:pPr>
            <w:r>
              <w:rPr>
                <w:rFonts w:hint="eastAsia" w:ascii="宋体" w:hAnsi="宋体" w:cs="宋体"/>
                <w:b/>
                <w:bCs/>
                <w:kern w:val="0"/>
                <w:szCs w:val="21"/>
              </w:rPr>
              <w:t>含税</w:t>
            </w:r>
          </w:p>
          <w:p>
            <w:pPr>
              <w:widowControl/>
              <w:jc w:val="center"/>
              <w:rPr>
                <w:rFonts w:ascii="宋体" w:hAnsi="宋体" w:cs="宋体"/>
                <w:b/>
                <w:bCs/>
                <w:kern w:val="0"/>
                <w:szCs w:val="21"/>
              </w:rPr>
            </w:pPr>
            <w:r>
              <w:rPr>
                <w:rFonts w:hint="eastAsia" w:ascii="宋体" w:hAnsi="宋体" w:cs="宋体"/>
                <w:b/>
                <w:bCs/>
                <w:kern w:val="0"/>
                <w:szCs w:val="21"/>
              </w:rPr>
              <w:t>小计</w:t>
            </w:r>
          </w:p>
        </w:tc>
        <w:tc>
          <w:tcPr>
            <w:tcW w:w="1065" w:type="dxa"/>
            <w:vAlign w:val="center"/>
          </w:tcPr>
          <w:p>
            <w:pPr>
              <w:widowControl/>
              <w:jc w:val="center"/>
              <w:rPr>
                <w:rFonts w:ascii="宋体" w:hAnsi="宋体" w:cs="宋体"/>
                <w:b/>
                <w:bCs/>
                <w:kern w:val="0"/>
                <w:szCs w:val="21"/>
              </w:rPr>
            </w:pPr>
            <w:r>
              <w:rPr>
                <w:rFonts w:hint="eastAsia" w:ascii="宋体" w:hAnsi="宋体" w:cs="宋体"/>
                <w:b/>
                <w:bCs/>
                <w:kern w:val="0"/>
                <w:szCs w:val="21"/>
              </w:rPr>
              <w:t>投标品牌、型号（必填）</w:t>
            </w:r>
          </w:p>
        </w:tc>
        <w:tc>
          <w:tcPr>
            <w:tcW w:w="1752" w:type="dxa"/>
            <w:vAlign w:val="center"/>
          </w:tcPr>
          <w:p>
            <w:pPr>
              <w:widowControl/>
              <w:jc w:val="center"/>
              <w:rPr>
                <w:rFonts w:ascii="宋体" w:hAnsi="宋体"/>
                <w:b/>
                <w:bCs/>
                <w:kern w:val="0"/>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87" w:type="dxa"/>
            <w:vAlign w:val="center"/>
          </w:tcPr>
          <w:p>
            <w:pPr>
              <w:pStyle w:val="23"/>
              <w:widowControl w:val="0"/>
              <w:rPr>
                <w:rFonts w:cs="宋体"/>
                <w:bCs w:val="0"/>
                <w:kern w:val="2"/>
                <w:sz w:val="24"/>
                <w:szCs w:val="24"/>
              </w:rPr>
            </w:pPr>
          </w:p>
        </w:tc>
        <w:tc>
          <w:tcPr>
            <w:tcW w:w="1915" w:type="dxa"/>
            <w:vAlign w:val="center"/>
          </w:tcPr>
          <w:p>
            <w:pPr>
              <w:jc w:val="center"/>
              <w:rPr>
                <w:rFonts w:ascii="宋体" w:hAnsi="宋体" w:cs="宋体"/>
                <w:b/>
                <w:sz w:val="24"/>
              </w:rPr>
            </w:pPr>
          </w:p>
        </w:tc>
        <w:tc>
          <w:tcPr>
            <w:tcW w:w="708" w:type="dxa"/>
            <w:vAlign w:val="center"/>
          </w:tcPr>
          <w:p>
            <w:pPr>
              <w:jc w:val="center"/>
              <w:rPr>
                <w:rFonts w:ascii="宋体" w:hAnsi="宋体" w:cs="宋体"/>
                <w:b/>
                <w:sz w:val="24"/>
              </w:rPr>
            </w:pPr>
          </w:p>
        </w:tc>
        <w:tc>
          <w:tcPr>
            <w:tcW w:w="709" w:type="dxa"/>
            <w:vAlign w:val="center"/>
          </w:tcPr>
          <w:p>
            <w:pPr>
              <w:jc w:val="center"/>
              <w:rPr>
                <w:rFonts w:ascii="宋体" w:hAnsi="宋体" w:cs="宋体"/>
                <w:b/>
                <w:sz w:val="24"/>
              </w:rPr>
            </w:pPr>
          </w:p>
        </w:tc>
        <w:tc>
          <w:tcPr>
            <w:tcW w:w="851" w:type="dxa"/>
            <w:vAlign w:val="center"/>
          </w:tcPr>
          <w:p>
            <w:pPr>
              <w:jc w:val="center"/>
              <w:rPr>
                <w:rFonts w:ascii="宋体" w:hAnsi="宋体" w:cs="宋体"/>
                <w:b/>
                <w:sz w:val="24"/>
              </w:rPr>
            </w:pPr>
          </w:p>
        </w:tc>
        <w:tc>
          <w:tcPr>
            <w:tcW w:w="855" w:type="dxa"/>
            <w:vAlign w:val="center"/>
          </w:tcPr>
          <w:p>
            <w:pPr>
              <w:jc w:val="center"/>
              <w:rPr>
                <w:rFonts w:ascii="宋体" w:hAnsi="宋体" w:cs="宋体"/>
                <w:b/>
                <w:sz w:val="24"/>
              </w:rPr>
            </w:pPr>
          </w:p>
        </w:tc>
        <w:tc>
          <w:tcPr>
            <w:tcW w:w="1005" w:type="dxa"/>
            <w:vAlign w:val="center"/>
          </w:tcPr>
          <w:p>
            <w:pPr>
              <w:jc w:val="center"/>
              <w:rPr>
                <w:rFonts w:ascii="宋体" w:hAnsi="宋体" w:cs="宋体"/>
                <w:b/>
                <w:sz w:val="24"/>
              </w:rPr>
            </w:pPr>
          </w:p>
        </w:tc>
        <w:tc>
          <w:tcPr>
            <w:tcW w:w="1065" w:type="dxa"/>
            <w:vAlign w:val="center"/>
          </w:tcPr>
          <w:p>
            <w:pPr>
              <w:jc w:val="center"/>
              <w:rPr>
                <w:rFonts w:ascii="宋体" w:hAnsi="宋体" w:cs="宋体"/>
                <w:b/>
                <w:sz w:val="24"/>
              </w:rPr>
            </w:pPr>
          </w:p>
        </w:tc>
        <w:tc>
          <w:tcPr>
            <w:tcW w:w="1752"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tcBorders>
              <w:bottom w:val="single" w:color="auto" w:sz="4" w:space="0"/>
            </w:tcBorders>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87" w:type="dxa"/>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r>
              <w:rPr>
                <w:rFonts w:hint="eastAsia" w:ascii="宋体" w:hAnsi="宋体" w:cs="宋体"/>
                <w:szCs w:val="24"/>
              </w:rPr>
              <w:t>其他费用……</w:t>
            </w: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r>
              <w:rPr>
                <w:rFonts w:hint="eastAsia" w:ascii="宋体" w:hAnsi="宋体" w:cs="宋体"/>
                <w:szCs w:val="24"/>
              </w:rPr>
              <w:t>合计</w:t>
            </w: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752"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747" w:type="dxa"/>
            <w:gridSpan w:val="9"/>
            <w:vAlign w:val="center"/>
          </w:tcPr>
          <w:p>
            <w:pPr>
              <w:widowControl/>
              <w:spacing w:line="400" w:lineRule="exact"/>
              <w:jc w:val="left"/>
              <w:rPr>
                <w:rFonts w:ascii="宋体" w:hAnsi="宋体" w:cs="宋体"/>
                <w:b/>
                <w:sz w:val="24"/>
              </w:rPr>
            </w:pPr>
            <w:r>
              <w:rPr>
                <w:rFonts w:hint="eastAsia" w:ascii="宋体" w:hAnsi="宋体" w:cs="宋体"/>
                <w:color w:val="000000"/>
                <w:kern w:val="0"/>
                <w:sz w:val="24"/>
              </w:rPr>
              <w:t>备注：以上价格是指标的物送达招标人指定地点并安装调试经甲方验收合格后开据增值税专用发票</w:t>
            </w:r>
            <w:r>
              <w:rPr>
                <w:rFonts w:hint="eastAsia" w:ascii="宋体" w:hAnsi="宋体" w:cs="宋体"/>
                <w:b/>
                <w:color w:val="000000"/>
                <w:kern w:val="0"/>
                <w:sz w:val="24"/>
              </w:rPr>
              <w:t>（13%税率）</w:t>
            </w:r>
            <w:r>
              <w:rPr>
                <w:rFonts w:hint="eastAsia" w:ascii="宋体" w:hAnsi="宋体" w:cs="宋体"/>
                <w:color w:val="000000"/>
                <w:kern w:val="0"/>
                <w:sz w:val="24"/>
              </w:rPr>
              <w:t>及两年免费质保的价格，包括但不限于</w:t>
            </w:r>
            <w:r>
              <w:rPr>
                <w:rFonts w:hint="eastAsia" w:ascii="宋体" w:hAnsi="宋体" w:cs="宋体"/>
                <w:bCs/>
                <w:sz w:val="24"/>
              </w:rPr>
              <w:t>道路运输、垂直吊装、装卸、施工条件、食宿差旅费、垃圾处理费、登高作业安全措施费、配电连接、维保等与本合同相关的一切费用及风险。</w:t>
            </w:r>
          </w:p>
        </w:tc>
      </w:tr>
    </w:tbl>
    <w:p>
      <w:pPr>
        <w:widowControl/>
        <w:shd w:val="clear" w:color="auto" w:fill="FFFFFF"/>
        <w:spacing w:line="400" w:lineRule="atLeast"/>
        <w:rPr>
          <w:rFonts w:ascii="宋体" w:hAnsi="宋体"/>
          <w:b/>
          <w:bCs/>
          <w:kern w:val="0"/>
          <w:sz w:val="24"/>
        </w:rPr>
      </w:pPr>
    </w:p>
    <w:p>
      <w:pPr>
        <w:spacing w:beforeLines="50" w:beforeAutospacing="1" w:afterLines="30" w:afterAutospacing="1" w:line="480" w:lineRule="exact"/>
        <w:rPr>
          <w:rFonts w:asciiTheme="minorEastAsia" w:hAnsiTheme="minorEastAsia" w:eastAsiaTheme="minorEastAsia"/>
          <w:b/>
          <w:bCs/>
          <w:sz w:val="24"/>
        </w:rPr>
      </w:pPr>
    </w:p>
    <w:p>
      <w:p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b/>
          <w:bCs/>
          <w:sz w:val="24"/>
        </w:rPr>
        <w:t xml:space="preserve">第二条  </w:t>
      </w:r>
      <w:r>
        <w:rPr>
          <w:rFonts w:asciiTheme="minorEastAsia" w:hAnsiTheme="minorEastAsia" w:eastAsiaTheme="minorEastAsia"/>
          <w:sz w:val="24"/>
        </w:rPr>
        <w:t>产品的技术标准（包括质量要求），按下列第（</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项执行：</w:t>
      </w:r>
    </w:p>
    <w:p>
      <w:p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按国家标准执行；（2）按部颁标准执行；（3）</w:t>
      </w:r>
      <w:r>
        <w:rPr>
          <w:rFonts w:hint="eastAsia" w:asciiTheme="minorEastAsia" w:hAnsiTheme="minorEastAsia" w:eastAsiaTheme="minorEastAsia"/>
          <w:sz w:val="24"/>
        </w:rPr>
        <w:t>若无以上标准，则应不低于同行业质量标准；（4）</w:t>
      </w:r>
      <w:r>
        <w:rPr>
          <w:rFonts w:asciiTheme="minorEastAsia" w:hAnsiTheme="minorEastAsia" w:eastAsiaTheme="minorEastAsia"/>
          <w:sz w:val="24"/>
        </w:rPr>
        <w:t>有特殊要求的，按甲乙双方在合同中商定的技术条件、样品或补充的技术要求执行</w:t>
      </w:r>
      <w:r>
        <w:rPr>
          <w:rFonts w:hint="eastAsia" w:asciiTheme="minorEastAsia" w:hAnsiTheme="minorEastAsia" w:eastAsiaTheme="minorEastAsia"/>
          <w:sz w:val="24"/>
        </w:rPr>
        <w:t>；</w:t>
      </w:r>
    </w:p>
    <w:p>
      <w:pPr>
        <w:spacing w:beforeLines="50" w:beforeAutospacing="1" w:afterLines="30" w:afterAutospacing="1" w:line="480" w:lineRule="exact"/>
        <w:ind w:firstLine="448" w:firstLineChars="187"/>
        <w:rPr>
          <w:rFonts w:asciiTheme="minorEastAsia" w:hAnsiTheme="minorEastAsia" w:eastAsiaTheme="minorEastAsia"/>
          <w:sz w:val="24"/>
        </w:rPr>
      </w:pPr>
      <w:r>
        <w:rPr>
          <w:rFonts w:hint="eastAsia" w:asciiTheme="minorEastAsia" w:hAnsiTheme="minorEastAsia" w:eastAsiaTheme="minorEastAsia"/>
          <w:sz w:val="24"/>
        </w:rPr>
        <w:t>乙方提供和交付的货物技术标准应与招标文件规定的技术标准相一致。若技术标准中无相应规定，所投货物应符合相应的国际标准或原产地国家有关部门最新颁布的相应的正式标准。</w:t>
      </w:r>
    </w:p>
    <w:p>
      <w:pPr>
        <w:spacing w:beforeLines="50" w:beforeAutospacing="1" w:afterLines="30" w:afterAutospacing="1" w:line="480" w:lineRule="exact"/>
        <w:ind w:firstLine="448" w:firstLineChars="187"/>
        <w:rPr>
          <w:rFonts w:asciiTheme="minorEastAsia" w:hAnsiTheme="minorEastAsia" w:eastAsiaTheme="minorEastAsia"/>
          <w:sz w:val="24"/>
        </w:rPr>
      </w:pPr>
      <w:r>
        <w:rPr>
          <w:rFonts w:hint="eastAsia" w:asciiTheme="minorEastAsia" w:hAnsiTheme="minorEastAsia" w:eastAsiaTheme="minorEastAsia"/>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7"/>
        <w:spacing w:before="100" w:beforeAutospacing="1" w:afterLines="30" w:afterAutospacing="1" w:line="480" w:lineRule="exact"/>
        <w:ind w:left="0" w:leftChars="0"/>
        <w:rPr>
          <w:rFonts w:asciiTheme="minorEastAsia" w:hAnsiTheme="minorEastAsia" w:eastAsiaTheme="minorEastAsia"/>
          <w:sz w:val="24"/>
        </w:rPr>
      </w:pPr>
      <w:r>
        <w:rPr>
          <w:rFonts w:hint="eastAsia" w:asciiTheme="minorEastAsia" w:hAnsiTheme="minorEastAsia" w:eastAsiaTheme="minorEastAsia"/>
          <w:b/>
          <w:bCs/>
          <w:sz w:val="24"/>
        </w:rPr>
        <w:t>第</w:t>
      </w:r>
      <w:r>
        <w:rPr>
          <w:rFonts w:asciiTheme="minorEastAsia" w:hAnsiTheme="minorEastAsia" w:eastAsiaTheme="minorEastAsia"/>
          <w:b/>
          <w:bCs/>
          <w:sz w:val="24"/>
        </w:rPr>
        <w:t>三</w:t>
      </w:r>
      <w:r>
        <w:rPr>
          <w:rFonts w:hint="eastAsia" w:asciiTheme="minorEastAsia" w:hAnsiTheme="minorEastAsia" w:eastAsiaTheme="minorEastAsia"/>
          <w:b/>
          <w:bCs/>
          <w:sz w:val="24"/>
        </w:rPr>
        <w:t xml:space="preserve">条  </w:t>
      </w:r>
      <w:r>
        <w:rPr>
          <w:rFonts w:asciiTheme="minorEastAsia" w:hAnsiTheme="minorEastAsia" w:eastAsiaTheme="minorEastAsia"/>
          <w:sz w:val="24"/>
        </w:rPr>
        <w:t>产品的包装标准和包装物的供应与回收</w:t>
      </w:r>
      <w:r>
        <w:rPr>
          <w:rFonts w:hint="eastAsia" w:asciiTheme="minorEastAsia" w:hAnsiTheme="minorEastAsia" w:eastAsiaTheme="minorEastAsia"/>
          <w:sz w:val="24"/>
          <w:u w:val="single"/>
        </w:rPr>
        <w:t>原厂原包装，包装不回收</w:t>
      </w:r>
      <w:r>
        <w:rPr>
          <w:rFonts w:asciiTheme="minorEastAsia" w:hAnsiTheme="minorEastAsia" w:eastAsiaTheme="minorEastAsia"/>
          <w:sz w:val="24"/>
          <w:u w:val="single"/>
        </w:rPr>
        <w:t> </w:t>
      </w:r>
      <w:r>
        <w:rPr>
          <w:rFonts w:hint="eastAsia" w:asciiTheme="minorEastAsia" w:hAnsiTheme="minorEastAsia" w:eastAsiaTheme="minorEastAsia"/>
          <w:sz w:val="24"/>
        </w:rPr>
        <w:t>。乙方所供货物的制造商原装出厂包装箱与设备出场批号一致。</w:t>
      </w:r>
    </w:p>
    <w:p>
      <w:pPr>
        <w:spacing w:beforeLines="50" w:beforeAutospacing="1" w:afterLines="30" w:afterAutospacing="1" w:line="480" w:lineRule="exact"/>
        <w:rPr>
          <w:rFonts w:asciiTheme="minorEastAsia" w:hAnsiTheme="minorEastAsia" w:eastAsiaTheme="minorEastAsia"/>
          <w:sz w:val="24"/>
        </w:rPr>
      </w:pPr>
      <w:r>
        <w:rPr>
          <w:rFonts w:asciiTheme="minorEastAsia" w:hAnsiTheme="minorEastAsia" w:eastAsiaTheme="minorEastAsia"/>
          <w:sz w:val="24"/>
        </w:rPr>
        <w:t>（国家或业务主管部门有技术规定的，按技术规定执行；国家与业务主管部门无技术规定的，由甲乙双方商定。）</w:t>
      </w:r>
    </w:p>
    <w:p>
      <w:p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sz w:val="24"/>
        </w:rPr>
        <w:t>【注：合同中约定的包装标准应与乙方在投标书中承诺的一致，且投标书应作为合同附件与合同具有同等法律效力。】</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包装必须与运输方式相适应，包装方式的确定及包装费用均由乙方负责，由于不适当的包装而造成货物在运输过程中有任何损坏、丢失由乙方负责。</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货物在验收合格前的保险由乙方负责，并负责其派出的现场服务人员人身意外保险。</w:t>
      </w:r>
    </w:p>
    <w:p>
      <w:pPr>
        <w:spacing w:beforeLines="50" w:beforeAutospacing="1" w:afterLines="30" w:afterAutospacing="1" w:line="400" w:lineRule="exact"/>
        <w:rPr>
          <w:rFonts w:asciiTheme="minorEastAsia" w:hAnsiTheme="minorEastAsia" w:eastAsiaTheme="minorEastAsia"/>
          <w:sz w:val="24"/>
        </w:rPr>
      </w:pPr>
      <w:r>
        <w:rPr>
          <w:rFonts w:hint="eastAsia" w:asciiTheme="minorEastAsia" w:hAnsiTheme="minorEastAsia" w:eastAsiaTheme="minorEastAsia"/>
          <w:b/>
          <w:bCs/>
          <w:sz w:val="24"/>
        </w:rPr>
        <w:t xml:space="preserve">第四条  </w:t>
      </w:r>
      <w:r>
        <w:rPr>
          <w:rFonts w:asciiTheme="minorEastAsia" w:hAnsiTheme="minorEastAsia" w:eastAsiaTheme="minorEastAsia"/>
          <w:sz w:val="24"/>
        </w:rPr>
        <w:t>产品的交货方法、到货地点</w:t>
      </w:r>
      <w:r>
        <w:rPr>
          <w:rFonts w:hint="eastAsia" w:asciiTheme="minorEastAsia" w:hAnsiTheme="minorEastAsia" w:eastAsiaTheme="minorEastAsia"/>
          <w:sz w:val="24"/>
        </w:rPr>
        <w:t>和交货期限</w:t>
      </w:r>
    </w:p>
    <w:p>
      <w:pPr>
        <w:spacing w:beforeLines="50" w:beforeAutospacing="1" w:afterLines="30" w:afterAutospacing="1" w:line="400" w:lineRule="exac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交货方法，按下列第（</w:t>
      </w:r>
      <w:r>
        <w:rPr>
          <w:rFonts w:hint="eastAsia" w:asciiTheme="minorEastAsia" w:hAnsiTheme="minorEastAsia" w:eastAsiaTheme="minorEastAsia"/>
          <w:sz w:val="24"/>
        </w:rPr>
        <w:t xml:space="preserve"> 1</w:t>
      </w:r>
      <w:r>
        <w:rPr>
          <w:rFonts w:asciiTheme="minorEastAsia" w:hAnsiTheme="minorEastAsia" w:eastAsiaTheme="minorEastAsia"/>
          <w:sz w:val="24"/>
        </w:rPr>
        <w:t xml:space="preserve"> ）项执行：</w:t>
      </w:r>
    </w:p>
    <w:p>
      <w:pPr>
        <w:numPr>
          <w:ilvl w:val="0"/>
          <w:numId w:val="2"/>
        </w:numPr>
        <w:spacing w:beforeLines="50" w:beforeAutospacing="1" w:afterLines="30" w:afterAutospacing="1" w:line="400" w:lineRule="exact"/>
        <w:rPr>
          <w:rFonts w:asciiTheme="minorEastAsia" w:hAnsiTheme="minorEastAsia" w:eastAsiaTheme="minorEastAsia"/>
          <w:sz w:val="24"/>
        </w:rPr>
      </w:pPr>
      <w:r>
        <w:rPr>
          <w:rFonts w:asciiTheme="minorEastAsia" w:hAnsiTheme="minorEastAsia" w:eastAsiaTheme="minorEastAsia"/>
          <w:sz w:val="24"/>
        </w:rPr>
        <w:t>乙方送货</w:t>
      </w:r>
      <w:r>
        <w:rPr>
          <w:rFonts w:hint="eastAsia" w:asciiTheme="minorEastAsia" w:hAnsiTheme="minorEastAsia" w:eastAsiaTheme="minorEastAsia"/>
          <w:sz w:val="24"/>
        </w:rPr>
        <w:t>上门；</w:t>
      </w:r>
      <w:r>
        <w:rPr>
          <w:rFonts w:asciiTheme="minorEastAsia" w:hAnsiTheme="minorEastAsia" w:eastAsiaTheme="minorEastAsia"/>
          <w:sz w:val="24"/>
        </w:rPr>
        <w:t>（2）乙方代运；（3）甲方自提自运。</w:t>
      </w:r>
    </w:p>
    <w:p>
      <w:pPr>
        <w:spacing w:beforeLines="50" w:beforeAutospacing="1" w:afterLines="30" w:afterAutospacing="1" w:line="400" w:lineRule="exac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到货地点</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铜陵市长江中路785号          </w:t>
      </w:r>
      <w:r>
        <w:rPr>
          <w:rFonts w:hint="eastAsia" w:asciiTheme="minorEastAsia" w:hAnsiTheme="minorEastAsia" w:eastAsiaTheme="minorEastAsia"/>
          <w:sz w:val="24"/>
        </w:rPr>
        <w:t>（安装并调试。)</w:t>
      </w:r>
    </w:p>
    <w:p>
      <w:pPr>
        <w:spacing w:beforeLines="50" w:beforeAutospacing="1" w:afterLines="30" w:afterAutospacing="1" w:line="400" w:lineRule="exac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产品</w:t>
      </w:r>
      <w:r>
        <w:rPr>
          <w:rFonts w:hint="eastAsia" w:asciiTheme="minorEastAsia" w:hAnsiTheme="minorEastAsia" w:eastAsiaTheme="minorEastAsia"/>
          <w:sz w:val="24"/>
        </w:rPr>
        <w:t>的交货期限：</w:t>
      </w:r>
      <w:r>
        <w:rPr>
          <w:rFonts w:asciiTheme="minorEastAsia" w:hAnsiTheme="minorEastAsia" w:eastAsiaTheme="minorEastAsia"/>
          <w:sz w:val="24"/>
          <w:u w:val="single"/>
        </w:rPr>
        <w:t> </w:t>
      </w:r>
      <w:r>
        <w:rPr>
          <w:rFonts w:hint="eastAsia" w:asciiTheme="minorEastAsia" w:hAnsiTheme="minorEastAsia" w:eastAsiaTheme="minorEastAsia"/>
          <w:sz w:val="24"/>
          <w:u w:val="single"/>
        </w:rPr>
        <w:t>2022年12月15日前</w:t>
      </w:r>
      <w:r>
        <w:rPr>
          <w:rFonts w:asciiTheme="minorEastAsia" w:hAnsiTheme="minorEastAsia" w:eastAsiaTheme="minorEastAsia"/>
          <w:sz w:val="24"/>
          <w:u w:val="single"/>
        </w:rPr>
        <w:t> </w:t>
      </w:r>
      <w:r>
        <w:rPr>
          <w:rFonts w:asciiTheme="minorEastAsia" w:hAnsiTheme="minorEastAsia" w:eastAsiaTheme="minorEastAsia"/>
          <w:sz w:val="24"/>
        </w:rPr>
        <w:t>。</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4.安装调试期限：</w:t>
      </w:r>
      <w:r>
        <w:rPr>
          <w:rFonts w:asciiTheme="minorEastAsia" w:hAnsiTheme="minorEastAsia" w:eastAsiaTheme="minorEastAsia"/>
          <w:sz w:val="24"/>
          <w:u w:val="single"/>
        </w:rPr>
        <w:t> </w:t>
      </w:r>
      <w:r>
        <w:rPr>
          <w:rFonts w:hint="eastAsia" w:asciiTheme="minorEastAsia" w:hAnsiTheme="minorEastAsia" w:eastAsiaTheme="minorEastAsia"/>
          <w:sz w:val="24"/>
          <w:u w:val="single"/>
        </w:rPr>
        <w:t>2023年3月15日前完成安装及调试并申请甲方进行验收</w:t>
      </w:r>
      <w:r>
        <w:rPr>
          <w:rFonts w:asciiTheme="minorEastAsia" w:hAnsiTheme="minorEastAsia" w:eastAsiaTheme="minorEastAsia"/>
          <w:sz w:val="24"/>
          <w:u w:val="single"/>
        </w:rPr>
        <w:t> </w:t>
      </w:r>
      <w:r>
        <w:rPr>
          <w:rFonts w:asciiTheme="minorEastAsia" w:hAnsiTheme="minorEastAsia" w:eastAsiaTheme="minorEastAsia"/>
          <w:sz w:val="24"/>
        </w:rPr>
        <w:t>。</w:t>
      </w:r>
    </w:p>
    <w:p>
      <w:p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b/>
          <w:bCs/>
          <w:sz w:val="24"/>
        </w:rPr>
        <w:t>第五条</w:t>
      </w:r>
      <w:r>
        <w:rPr>
          <w:rFonts w:hint="eastAsia" w:asciiTheme="minorEastAsia" w:hAnsiTheme="minorEastAsia" w:eastAsiaTheme="minorEastAsia"/>
          <w:sz w:val="24"/>
        </w:rPr>
        <w:t xml:space="preserve">  合同总价款</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合同总价款（大小写）： 。合同总价款包含货物及所需附件购置费、包装费、运输费、人工费、保险费、安装调试费（出具具有法律消防检测报告）、各种税费、资料费、售后服务费、技术服务与支持费及合同实施过程中的不可预见费用等全部费用。除上述费用外，甲方无需为履行本合同承担其他任何费用。</w:t>
      </w:r>
    </w:p>
    <w:p>
      <w:pPr>
        <w:numPr>
          <w:ilvl w:val="0"/>
          <w:numId w:val="3"/>
        </w:num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sz w:val="24"/>
        </w:rPr>
        <w:t xml:space="preserve">付款条件 </w:t>
      </w:r>
    </w:p>
    <w:p>
      <w:pPr>
        <w:spacing w:line="480" w:lineRule="exact"/>
        <w:ind w:firstLine="448" w:firstLineChars="187"/>
        <w:rPr>
          <w:rFonts w:asciiTheme="minorEastAsia" w:hAnsiTheme="minorEastAsia" w:eastAsiaTheme="minorEastAsia"/>
          <w:sz w:val="24"/>
        </w:rPr>
      </w:pPr>
      <w:r>
        <w:rPr>
          <w:rFonts w:hint="eastAsia" w:asciiTheme="minorEastAsia" w:hAnsiTheme="minorEastAsia" w:eastAsiaTheme="minorEastAsia"/>
          <w:sz w:val="24"/>
        </w:rPr>
        <w:t>1. 本合同以人民币付款。</w:t>
      </w:r>
    </w:p>
    <w:p>
      <w:pPr>
        <w:spacing w:line="480" w:lineRule="exact"/>
        <w:ind w:firstLine="420"/>
        <w:rPr>
          <w:rFonts w:asciiTheme="minorEastAsia" w:hAnsiTheme="minorEastAsia" w:eastAsiaTheme="minorEastAsia"/>
          <w:sz w:val="24"/>
          <w:highlight w:val="cyan"/>
        </w:rPr>
      </w:pPr>
      <w:r>
        <w:rPr>
          <w:rFonts w:hint="eastAsia" w:asciiTheme="minorEastAsia" w:hAnsiTheme="minorEastAsia" w:eastAsiaTheme="minorEastAsia"/>
          <w:sz w:val="24"/>
        </w:rPr>
        <w:t>2. 具体付款方式：</w:t>
      </w:r>
    </w:p>
    <w:p>
      <w:pPr>
        <w:pStyle w:val="24"/>
        <w:spacing w:line="480" w:lineRule="exact"/>
        <w:ind w:firstLine="420"/>
        <w:rPr>
          <w:rFonts w:asciiTheme="minorEastAsia" w:hAnsiTheme="minorEastAsia" w:eastAsiaTheme="minorEastAsia"/>
          <w:bCs/>
          <w:szCs w:val="24"/>
        </w:rPr>
      </w:pPr>
      <w:r>
        <w:rPr>
          <w:rFonts w:hint="eastAsia" w:asciiTheme="minorEastAsia" w:hAnsiTheme="minorEastAsia" w:eastAsiaTheme="minorEastAsia"/>
          <w:bCs/>
          <w:szCs w:val="24"/>
        </w:rPr>
        <w:t>⑴ 乙方使用农民工施工时依照下列方式付款：</w:t>
      </w:r>
    </w:p>
    <w:p>
      <w:pPr>
        <w:pStyle w:val="24"/>
        <w:numPr>
          <w:ilvl w:val="0"/>
          <w:numId w:val="4"/>
        </w:numPr>
        <w:spacing w:line="480" w:lineRule="exact"/>
        <w:rPr>
          <w:rFonts w:cs="宋体" w:asciiTheme="minorEastAsia" w:hAnsiTheme="minorEastAsia" w:eastAsiaTheme="minorEastAsia"/>
          <w:bCs/>
          <w:szCs w:val="24"/>
        </w:rPr>
      </w:pPr>
      <w:r>
        <w:rPr>
          <w:rFonts w:hint="eastAsia" w:cs="宋体" w:asciiTheme="minorEastAsia" w:hAnsiTheme="minorEastAsia" w:eastAsiaTheme="minorEastAsia"/>
          <w:bCs/>
          <w:szCs w:val="24"/>
        </w:rPr>
        <w:t>货物到场验收合格后支付相应设备款的30%；</w:t>
      </w:r>
    </w:p>
    <w:p>
      <w:pPr>
        <w:pStyle w:val="24"/>
        <w:numPr>
          <w:ilvl w:val="0"/>
          <w:numId w:val="4"/>
        </w:numPr>
        <w:spacing w:line="480" w:lineRule="exact"/>
        <w:rPr>
          <w:rFonts w:cs="宋体" w:asciiTheme="minorEastAsia" w:hAnsiTheme="minorEastAsia" w:eastAsiaTheme="minorEastAsia"/>
          <w:bCs/>
          <w:szCs w:val="24"/>
        </w:rPr>
      </w:pPr>
      <w:r>
        <w:rPr>
          <w:rFonts w:hint="eastAsia" w:cs="宋体" w:asciiTheme="minorEastAsia" w:hAnsiTheme="minorEastAsia" w:eastAsiaTheme="minorEastAsia"/>
          <w:bCs/>
          <w:szCs w:val="24"/>
        </w:rPr>
        <w:t>项目整体验收合格后支付至合同总金额的60%，其中扣除至验收日当月已支付未扣回的全部农民工工资；</w:t>
      </w:r>
    </w:p>
    <w:p>
      <w:pPr>
        <w:pStyle w:val="24"/>
        <w:numPr>
          <w:ilvl w:val="0"/>
          <w:numId w:val="4"/>
        </w:numPr>
        <w:spacing w:line="480" w:lineRule="exact"/>
        <w:rPr>
          <w:rFonts w:cs="宋体" w:asciiTheme="minorEastAsia" w:hAnsiTheme="minorEastAsia" w:eastAsiaTheme="minorEastAsia"/>
          <w:bCs/>
          <w:szCs w:val="24"/>
        </w:rPr>
      </w:pPr>
      <w:r>
        <w:rPr>
          <w:rFonts w:hint="eastAsia" w:cs="宋体" w:asciiTheme="minorEastAsia" w:hAnsiTheme="minorEastAsia" w:eastAsiaTheme="minorEastAsia"/>
          <w:bCs/>
          <w:szCs w:val="24"/>
        </w:rPr>
        <w:t>决算审计后付至审计额的95%，余款作为质保金，质保期满（2年）后15个工作日内付清（无息）。</w:t>
      </w:r>
    </w:p>
    <w:p>
      <w:pPr>
        <w:spacing w:line="480" w:lineRule="exact"/>
        <w:ind w:firstLine="420"/>
        <w:rPr>
          <w:rFonts w:asciiTheme="minorEastAsia" w:hAnsiTheme="minorEastAsia" w:eastAsiaTheme="minorEastAsia"/>
          <w:bCs/>
          <w:sz w:val="24"/>
        </w:rPr>
      </w:pPr>
      <w:r>
        <w:rPr>
          <w:rFonts w:hint="eastAsia" w:asciiTheme="minorEastAsia" w:hAnsiTheme="minorEastAsia" w:eastAsiaTheme="minorEastAsia"/>
          <w:bCs/>
          <w:sz w:val="24"/>
        </w:rPr>
        <w:t>⑵ 乙方使用自有员工施工时依照下列方式付款：</w:t>
      </w:r>
    </w:p>
    <w:p>
      <w:pPr>
        <w:spacing w:line="480" w:lineRule="exact"/>
        <w:ind w:firstLine="420"/>
        <w:rPr>
          <w:rFonts w:asciiTheme="minorEastAsia" w:hAnsiTheme="minorEastAsia" w:eastAsiaTheme="minorEastAsia"/>
          <w:bCs/>
          <w:color w:val="000000"/>
          <w:sz w:val="24"/>
        </w:rPr>
      </w:pPr>
      <w:r>
        <w:rPr>
          <w:rFonts w:hint="eastAsia" w:asciiTheme="minorEastAsia" w:hAnsiTheme="minorEastAsia" w:eastAsiaTheme="minorEastAsia"/>
          <w:bCs/>
          <w:sz w:val="24"/>
        </w:rPr>
        <w:t>货物到场验收合格</w:t>
      </w:r>
      <w:r>
        <w:rPr>
          <w:rFonts w:hint="eastAsia" w:asciiTheme="minorEastAsia" w:hAnsiTheme="minorEastAsia" w:eastAsiaTheme="minorEastAsia"/>
          <w:bCs/>
          <w:color w:val="000000"/>
          <w:sz w:val="24"/>
        </w:rPr>
        <w:t>后支付相应合同总价款的30%；项目整体验收合格后支付至合同总价款的60%；决算审计后付至审计额的95%，余款作为质保金，质保期满（2年）后15个工作日内付清（无息）。</w:t>
      </w:r>
    </w:p>
    <w:p>
      <w:pPr>
        <w:spacing w:line="480" w:lineRule="exact"/>
        <w:ind w:left="480" w:leftChars="200" w:hanging="60" w:hangingChars="25"/>
        <w:rPr>
          <w:rFonts w:asciiTheme="minorEastAsia" w:hAnsiTheme="minorEastAsia" w:eastAsiaTheme="minorEastAsia"/>
          <w:color w:val="000000"/>
          <w:sz w:val="24"/>
        </w:rPr>
      </w:pPr>
      <w:r>
        <w:rPr>
          <w:rFonts w:hint="eastAsia" w:asciiTheme="minorEastAsia" w:hAnsiTheme="minorEastAsia" w:eastAsiaTheme="minorEastAsia"/>
          <w:color w:val="000000"/>
          <w:sz w:val="24"/>
        </w:rPr>
        <w:t>3.税率要求：</w:t>
      </w:r>
    </w:p>
    <w:p>
      <w:pPr>
        <w:spacing w:line="480" w:lineRule="exact"/>
        <w:ind w:firstLine="420"/>
        <w:rPr>
          <w:rFonts w:cs="Arial Unicode MS" w:asciiTheme="minorEastAsia" w:hAnsiTheme="minorEastAsia" w:eastAsiaTheme="minorEastAsia"/>
          <w:color w:val="000000"/>
          <w:sz w:val="24"/>
        </w:rPr>
      </w:pPr>
      <w:r>
        <w:rPr>
          <w:rFonts w:hint="eastAsia" w:cs="Arial Unicode MS" w:asciiTheme="minorEastAsia" w:hAnsiTheme="minorEastAsia" w:eastAsiaTheme="minorEastAsia"/>
          <w:color w:val="000000"/>
          <w:sz w:val="24"/>
        </w:rPr>
        <w:t>每次付款前乙方需向甲方提供</w:t>
      </w:r>
      <w:r>
        <w:rPr>
          <w:rFonts w:hint="eastAsia" w:cs="Arial Unicode MS" w:asciiTheme="minorEastAsia" w:hAnsiTheme="minorEastAsia" w:eastAsiaTheme="minorEastAsia"/>
          <w:bCs/>
          <w:color w:val="000000"/>
          <w:sz w:val="24"/>
        </w:rPr>
        <w:t>13%</w:t>
      </w:r>
      <w:r>
        <w:rPr>
          <w:rFonts w:hint="eastAsia" w:cs="Arial Unicode MS" w:asciiTheme="minorEastAsia" w:hAnsiTheme="minorEastAsia" w:eastAsiaTheme="minorEastAsia"/>
          <w:color w:val="000000"/>
          <w:sz w:val="24"/>
        </w:rPr>
        <w:t>的等额增值税专用发票，否则甲方有权拒绝付款且不视为违约。合同执行期间如遇国家税率调整，未付金额按新的税率开具等额增值税发票，如税率下浮的，甲方有权扣除因税率调整产生的差额部分。</w:t>
      </w:r>
    </w:p>
    <w:p>
      <w:pPr>
        <w:numPr>
          <w:ilvl w:val="0"/>
          <w:numId w:val="3"/>
        </w:numPr>
        <w:spacing w:beforeLines="5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sz w:val="24"/>
        </w:rPr>
        <w:t>施工人员及农民工工资管理</w:t>
      </w:r>
    </w:p>
    <w:p>
      <w:pPr>
        <w:tabs>
          <w:tab w:val="left" w:pos="284"/>
          <w:tab w:val="left" w:pos="1680"/>
        </w:tabs>
        <w:spacing w:line="480" w:lineRule="exact"/>
        <w:rPr>
          <w:rFonts w:cs="宋体" w:asciiTheme="minorEastAsia" w:hAnsiTheme="minorEastAsia" w:eastAsiaTheme="minorEastAsia"/>
          <w:b/>
          <w:sz w:val="24"/>
        </w:rPr>
      </w:pPr>
      <w:r>
        <w:rPr>
          <w:rFonts w:cs="宋体" w:asciiTheme="minorEastAsia" w:hAnsiTheme="minorEastAsia" w:eastAsiaTheme="minorEastAsia"/>
          <w:b/>
          <w:sz w:val="24"/>
        </w:rPr>
        <w:tab/>
      </w:r>
      <w:r>
        <w:rPr>
          <w:rFonts w:hint="eastAsia" w:asciiTheme="minorEastAsia" w:hAnsiTheme="minorEastAsia" w:eastAsiaTheme="minorEastAsia"/>
          <w:sz w:val="24"/>
        </w:rPr>
        <w:t>1.乙方</w:t>
      </w:r>
      <w:r>
        <w:rPr>
          <w:rFonts w:asciiTheme="minorEastAsia" w:hAnsiTheme="minorEastAsia" w:eastAsiaTheme="minorEastAsia"/>
          <w:sz w:val="24"/>
        </w:rPr>
        <w:t>须严格遵守</w:t>
      </w:r>
      <w:r>
        <w:rPr>
          <w:rFonts w:hint="eastAsia" w:asciiTheme="minorEastAsia" w:hAnsiTheme="minorEastAsia" w:eastAsiaTheme="minorEastAsia"/>
          <w:sz w:val="24"/>
        </w:rPr>
        <w:t>合建（</w:t>
      </w:r>
      <w:r>
        <w:rPr>
          <w:rFonts w:asciiTheme="minorEastAsia" w:hAnsiTheme="minorEastAsia" w:eastAsiaTheme="minorEastAsia"/>
          <w:sz w:val="24"/>
        </w:rPr>
        <w:t>2019）224号文件《关于进一步落实房屋</w:t>
      </w:r>
      <w:r>
        <w:rPr>
          <w:rFonts w:hint="eastAsia" w:asciiTheme="minorEastAsia" w:hAnsiTheme="minorEastAsia" w:eastAsiaTheme="minorEastAsia"/>
          <w:sz w:val="24"/>
        </w:rPr>
        <w:t>建筑和市政基础设施工程建筑工人实名制管理工作的通知》的规定，依托“合肥市建设行业监管综合服务平台”（合肥市工程建设云平台）开展项目建筑工人实名信息登记、认证、考勤、工资代发及数据上传等实名制相关工作。</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2.乙方在工程实施过程中用工行为，必须严格执行国家及地方政府的有关规定，依法签订劳动合同；严格按照《合肥市建设领域农民工工资专用账户管理意见》（合政办[2013]55号文件）的规定，执行农民工工资发放。</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3．本工程农民工工资实行专用账户管理，承包人设立的专用账户开户行为</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，账号：</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4.本工程工资性工程款计算公式：工资性工程款=合同金额X30%；</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5.发包人甲方在监理人签发开工报告后10日内，将首月工资性工程预付款转入承包人开立的农民工工资专用账户。之后发包人于每月25日前将工资性工程进度款(当月已完工程量的安装工程性工程款的30%，不含设备款)转入农民工工资专用账户。</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6.发包人于每月25日前将工资性工程进度款转入农民工工资专用账户。</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7.承包人每月25日前上报本工程农民工工资清单，每月10日前委托开设农民工工资专用账户的银行支付农民工工资。</w:t>
      </w:r>
    </w:p>
    <w:p>
      <w:pPr>
        <w:spacing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8.工程竣工后，经项目部农民工维权组确认无农民工工资拖欠后，发、承双方办理农民工工资专用账户撤销手续，农民工工资专用账户余额划至本合同约定的承包人账户。</w:t>
      </w:r>
    </w:p>
    <w:p>
      <w:pPr>
        <w:snapToGrid w:val="0"/>
        <w:spacing w:beforeLines="30"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9.工程竣工验收后，承包人在申请支付至签约合同价60%工程款时，须提供农民工工资结清证明，否则发包人将相关款项支付至农民工工资专户。</w:t>
      </w:r>
    </w:p>
    <w:p>
      <w:pPr>
        <w:snapToGrid w:val="0"/>
        <w:spacing w:beforeLines="30" w:line="480" w:lineRule="exact"/>
        <w:ind w:firstLine="420"/>
        <w:rPr>
          <w:rFonts w:asciiTheme="minorEastAsia" w:hAnsiTheme="minorEastAsia" w:eastAsiaTheme="minorEastAsia"/>
          <w:bCs/>
          <w:sz w:val="24"/>
        </w:rPr>
      </w:pPr>
      <w:r>
        <w:rPr>
          <w:rFonts w:hint="eastAsia" w:asciiTheme="minorEastAsia" w:hAnsiTheme="minorEastAsia" w:eastAsiaTheme="minorEastAsia"/>
          <w:bCs/>
          <w:sz w:val="24"/>
        </w:rPr>
        <w:t>10.若承包人施工人员全部为其本公司员工，在合同签订前，须提供本项目施工人员最近一个月的相关社保证明，并提交发包人备案，则上述第七条内容双方无须再约定，付款方式按照第六条第2款第（2）项内容签订合同。</w:t>
      </w:r>
    </w:p>
    <w:p>
      <w:pPr>
        <w:numPr>
          <w:ilvl w:val="0"/>
          <w:numId w:val="3"/>
        </w:numPr>
        <w:spacing w:beforeLines="50" w:beforeAutospacing="1" w:afterLines="30" w:afterAutospacing="1" w:line="480" w:lineRule="exact"/>
        <w:rPr>
          <w:rFonts w:asciiTheme="minorEastAsia" w:hAnsiTheme="minorEastAsia" w:eastAsiaTheme="minorEastAsia"/>
          <w:sz w:val="24"/>
        </w:rPr>
      </w:pPr>
      <w:r>
        <w:rPr>
          <w:rFonts w:asciiTheme="minorEastAsia" w:hAnsiTheme="minorEastAsia" w:eastAsiaTheme="minorEastAsia"/>
          <w:sz w:val="24"/>
        </w:rPr>
        <w:t>验收方法</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1.乙方安装调试后，出具图纸或技术资料，在</w:t>
      </w:r>
      <w:r>
        <w:rPr>
          <w:rFonts w:hint="eastAsia" w:asciiTheme="minorEastAsia" w:hAnsiTheme="minorEastAsia" w:eastAsiaTheme="minorEastAsia"/>
          <w:sz w:val="24"/>
          <w:u w:val="single"/>
        </w:rPr>
        <w:t xml:space="preserve">  15   </w:t>
      </w:r>
      <w:r>
        <w:rPr>
          <w:rFonts w:hint="eastAsia" w:asciiTheme="minorEastAsia" w:hAnsiTheme="minorEastAsia" w:eastAsiaTheme="minorEastAsia"/>
          <w:sz w:val="24"/>
        </w:rPr>
        <w:t>天内通知甲方组织验收。验收不合格的，乙方应负责重新提供达到本合同约定的质量要求的产品。</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甲方验收时，应成立三人以上（由甲、乙双方、甲方资产管理人、技术人员、财务等相关人员组成）验收小组，明确责任，严格依照招标文件、中标（成交）通知书、合同及相关验收规范进行核对、验收，形成验收结论，并出具书面验收报告。</w:t>
      </w:r>
    </w:p>
    <w:p>
      <w:pPr>
        <w:pStyle w:val="5"/>
        <w:spacing w:before="100" w:beforeAutospacing="1" w:afterLines="30" w:afterAutospacing="1" w:line="48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3.涉及安全、消防、环保等其他需要由质检或行业主管部门进行验收的项目，必须邀请相关部门或相关专家参与验收。</w:t>
      </w:r>
    </w:p>
    <w:p>
      <w:pPr>
        <w:spacing w:beforeLines="50" w:beforeAutospacing="1" w:afterLines="30" w:afterAutospacing="1" w:line="48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4.检测、验收费用均由乙方承担。</w:t>
      </w:r>
    </w:p>
    <w:p>
      <w:pPr>
        <w:pStyle w:val="5"/>
        <w:spacing w:before="100" w:beforeAutospacing="1" w:afterLines="30" w:afterAutospacing="1" w:line="480" w:lineRule="exact"/>
        <w:ind w:firstLine="482"/>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甲、乙双方应严格履行合同有关条款，如果验收过程中发现乙方擅自变更合同标的物，将拒绝通过验收，由此引起的一后果及损失由乙方承担。</w:t>
      </w:r>
    </w:p>
    <w:p>
      <w:pPr>
        <w:spacing w:beforeLines="50" w:beforeAutospacing="1" w:afterLines="30" w:afterAutospacing="1" w:line="480" w:lineRule="exact"/>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第九条</w:t>
      </w:r>
      <w:r>
        <w:rPr>
          <w:rFonts w:hint="eastAsia" w:asciiTheme="minorEastAsia" w:hAnsiTheme="minorEastAsia" w:eastAsiaTheme="minorEastAsia"/>
          <w:sz w:val="24"/>
        </w:rPr>
        <w:t xml:space="preserve">  乙方应提供完善周到的技术支持和售后服务，否则甲方有权视情节轻重从乙方的履约保证金中扣除部分或全部补偿甲方。</w:t>
      </w:r>
    </w:p>
    <w:p>
      <w:pPr>
        <w:spacing w:beforeLines="50" w:beforeAutospacing="1" w:afterLines="30" w:afterAutospacing="1" w:line="480" w:lineRule="exact"/>
        <w:ind w:firstLine="460" w:firstLineChars="192"/>
        <w:rPr>
          <w:rFonts w:asciiTheme="minorEastAsia" w:hAnsiTheme="minorEastAsia" w:eastAsiaTheme="minorEastAsia"/>
          <w:sz w:val="24"/>
        </w:rPr>
      </w:pPr>
      <w:r>
        <w:rPr>
          <w:rFonts w:hint="eastAsia" w:asciiTheme="minorEastAsia" w:hAnsiTheme="minorEastAsia" w:eastAsiaTheme="minorEastAsia"/>
          <w:sz w:val="24"/>
        </w:rPr>
        <w:t>1.乙方对其所提供的货物免费</w:t>
      </w:r>
      <w:r>
        <w:rPr>
          <w:rFonts w:hint="eastAsia" w:asciiTheme="minorEastAsia" w:hAnsiTheme="minorEastAsia" w:eastAsiaTheme="minorEastAsia"/>
          <w:color w:val="000000"/>
          <w:sz w:val="24"/>
        </w:rPr>
        <w:t>质保</w:t>
      </w:r>
      <w:r>
        <w:rPr>
          <w:rFonts w:hint="eastAsia" w:asciiTheme="minorEastAsia" w:hAnsiTheme="minorEastAsia" w:eastAsiaTheme="minorEastAsia"/>
          <w:sz w:val="24"/>
          <w:u w:val="single"/>
        </w:rPr>
        <w:t>贰</w:t>
      </w:r>
      <w:r>
        <w:rPr>
          <w:rFonts w:hint="eastAsia" w:asciiTheme="minorEastAsia" w:hAnsiTheme="minorEastAsia" w:eastAsiaTheme="minorEastAsia"/>
          <w:sz w:val="24"/>
        </w:rPr>
        <w:t>年</w:t>
      </w:r>
      <w:r>
        <w:rPr>
          <w:rFonts w:hint="eastAsia" w:asciiTheme="minorEastAsia" w:hAnsiTheme="minorEastAsia" w:eastAsiaTheme="minorEastAsia"/>
          <w:color w:val="000000"/>
          <w:sz w:val="24"/>
        </w:rPr>
        <w:t>，质</w:t>
      </w:r>
      <w:r>
        <w:rPr>
          <w:rFonts w:hint="eastAsia" w:asciiTheme="minorEastAsia" w:hAnsiTheme="minorEastAsia" w:eastAsiaTheme="minorEastAsia"/>
          <w:sz w:val="24"/>
        </w:rPr>
        <w:t>保期从</w:t>
      </w:r>
      <w:r>
        <w:rPr>
          <w:rFonts w:hint="eastAsia" w:asciiTheme="minorEastAsia" w:hAnsiTheme="minorEastAsia" w:eastAsiaTheme="minorEastAsia"/>
          <w:sz w:val="24"/>
          <w:u w:val="single"/>
        </w:rPr>
        <w:t xml:space="preserve">  乙方竣工并经甲方验收合格之日  </w:t>
      </w:r>
      <w:r>
        <w:rPr>
          <w:rFonts w:hint="eastAsia" w:asciiTheme="minorEastAsia" w:hAnsiTheme="minorEastAsia" w:eastAsiaTheme="minorEastAsia"/>
          <w:sz w:val="24"/>
        </w:rPr>
        <w:t>开始起算。质保期间，乙方应在接到报修通知后</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天内上门维修，负责更换有瑕疵的货物、部件或提供相应的质量保证期内的服务。由此造成的损失，甲方保留索赔的权利。</w:t>
      </w:r>
    </w:p>
    <w:p>
      <w:pPr>
        <w:spacing w:beforeLines="50" w:beforeAutospacing="1" w:afterLines="30" w:afterAutospacing="1" w:line="480" w:lineRule="exact"/>
        <w:ind w:firstLine="460" w:firstLineChars="192"/>
        <w:rPr>
          <w:rFonts w:asciiTheme="minorEastAsia" w:hAnsiTheme="minorEastAsia" w:eastAsiaTheme="minorEastAsia"/>
          <w:sz w:val="24"/>
        </w:rPr>
      </w:pPr>
      <w:r>
        <w:rPr>
          <w:rFonts w:hint="eastAsia" w:asciiTheme="minorEastAsia" w:hAnsiTheme="minorEastAsia" w:eastAsiaTheme="minorEastAsia"/>
          <w:sz w:val="24"/>
        </w:rPr>
        <w:t>如果乙方在收到报修通知后</w:t>
      </w:r>
      <w:r>
        <w:rPr>
          <w:rFonts w:hint="eastAsia" w:asciiTheme="minorEastAsia" w:hAnsiTheme="minorEastAsia" w:eastAsiaTheme="minorEastAsia"/>
          <w:sz w:val="24"/>
          <w:u w:val="single"/>
        </w:rPr>
        <w:t xml:space="preserve">   3   </w:t>
      </w:r>
      <w:r>
        <w:rPr>
          <w:rFonts w:hint="eastAsia" w:asciiTheme="minorEastAsia" w:hAnsiTheme="minorEastAsia" w:eastAsiaTheme="minorEastAsia"/>
          <w:sz w:val="24"/>
        </w:rPr>
        <w:t>天内没有弥补缺陷，甲方可采取必要的补救措施，但费用和风险由乙方承担。</w:t>
      </w:r>
    </w:p>
    <w:p>
      <w:pPr>
        <w:pStyle w:val="7"/>
        <w:spacing w:before="100" w:beforeAutospacing="1" w:afterLines="30" w:afterAutospacing="1" w:line="480" w:lineRule="exact"/>
        <w:rPr>
          <w:rFonts w:asciiTheme="minorEastAsia" w:hAnsiTheme="minorEastAsia" w:eastAsiaTheme="minorEastAsia"/>
          <w:sz w:val="24"/>
        </w:rPr>
      </w:pPr>
      <w:r>
        <w:rPr>
          <w:rFonts w:hint="eastAsia" w:asciiTheme="minorEastAsia" w:hAnsiTheme="minorEastAsia" w:eastAsiaTheme="minorEastAsia"/>
          <w:sz w:val="24"/>
        </w:rPr>
        <w:t>2.质保期届满后，乙方应对其提供的货物负有维修维保义务，但所涉及的费用由甲方承担。</w:t>
      </w:r>
    </w:p>
    <w:p>
      <w:pPr>
        <w:spacing w:beforeLines="50" w:beforeAutospacing="1" w:afterLines="30" w:afterAutospacing="1" w:line="480" w:lineRule="exact"/>
        <w:rPr>
          <w:rFonts w:asciiTheme="minorEastAsia" w:hAnsiTheme="minorEastAsia" w:eastAsiaTheme="minorEastAsia"/>
          <w:sz w:val="24"/>
        </w:rPr>
      </w:pPr>
      <w:r>
        <w:rPr>
          <w:rFonts w:asciiTheme="minorEastAsia" w:hAnsiTheme="minorEastAsia" w:eastAsiaTheme="minorEastAsia"/>
          <w:b/>
          <w:bCs/>
          <w:sz w:val="24"/>
        </w:rPr>
        <w:t>第</w:t>
      </w:r>
      <w:r>
        <w:rPr>
          <w:rFonts w:hint="eastAsia" w:asciiTheme="minorEastAsia" w:hAnsiTheme="minorEastAsia" w:eastAsiaTheme="minorEastAsia"/>
          <w:b/>
          <w:bCs/>
          <w:sz w:val="24"/>
        </w:rPr>
        <w:t>十</w:t>
      </w:r>
      <w:r>
        <w:rPr>
          <w:rFonts w:asciiTheme="minorEastAsia" w:hAnsiTheme="minorEastAsia" w:eastAsiaTheme="minorEastAsia"/>
          <w:b/>
          <w:bCs/>
          <w:sz w:val="24"/>
        </w:rPr>
        <w:t>条</w:t>
      </w:r>
      <w:r>
        <w:rPr>
          <w:rFonts w:asciiTheme="minorEastAsia" w:hAnsiTheme="minorEastAsia" w:eastAsiaTheme="minorEastAsia"/>
          <w:sz w:val="24"/>
        </w:rPr>
        <w:t>  乙方的违约责任</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1.乙方不能交货的，应向甲方偿付不能交货部分货款的</w:t>
      </w:r>
      <w:r>
        <w:rPr>
          <w:rFonts w:hint="eastAsia" w:asciiTheme="minorEastAsia" w:hAnsiTheme="minorEastAsia" w:eastAsiaTheme="minorEastAsia"/>
          <w:sz w:val="24"/>
          <w:u w:val="single"/>
        </w:rPr>
        <w:t>20</w:t>
      </w:r>
      <w:r>
        <w:rPr>
          <w:rFonts w:asciiTheme="minorEastAsia" w:hAnsiTheme="minorEastAsia" w:eastAsiaTheme="minorEastAsia"/>
          <w:sz w:val="24"/>
          <w:u w:val="single"/>
        </w:rPr>
        <w:t>%</w:t>
      </w:r>
      <w:r>
        <w:rPr>
          <w:rFonts w:asciiTheme="minorEastAsia" w:hAnsiTheme="minorEastAsia" w:eastAsiaTheme="minorEastAsia"/>
          <w:sz w:val="24"/>
        </w:rPr>
        <w:t>的违约金</w:t>
      </w:r>
      <w:r>
        <w:rPr>
          <w:rFonts w:hint="eastAsia" w:asciiTheme="minorEastAsia" w:hAnsiTheme="minorEastAsia" w:eastAsiaTheme="minorEastAsia"/>
          <w:sz w:val="24"/>
        </w:rPr>
        <w:t>，并赔偿因此给甲方造成的全部损失。</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乙方所交产品不符合合同规定的，</w:t>
      </w:r>
      <w:r>
        <w:rPr>
          <w:rFonts w:hint="eastAsia" w:asciiTheme="minorEastAsia" w:hAnsiTheme="minorEastAsia" w:eastAsiaTheme="minorEastAsia"/>
          <w:sz w:val="24"/>
        </w:rPr>
        <w:t>应根据产品的具体情况，由乙方负责包换或包修，并承担修理、调换或退货而支付的实际费用</w:t>
      </w:r>
      <w:r>
        <w:rPr>
          <w:rFonts w:asciiTheme="minorEastAsia" w:hAnsiTheme="minorEastAsia" w:eastAsiaTheme="minorEastAsia"/>
          <w:sz w:val="24"/>
        </w:rPr>
        <w:t>,</w:t>
      </w:r>
      <w:r>
        <w:rPr>
          <w:rFonts w:hint="eastAsia" w:asciiTheme="minorEastAsia" w:hAnsiTheme="minorEastAsia" w:eastAsiaTheme="minorEastAsia"/>
          <w:sz w:val="24"/>
        </w:rPr>
        <w:t>同时，乙方应按规定，对更换件相应延长质量保证期，并赔偿甲方相应的损失。乙方不能修理或者不能调换的，按不能交货处理。</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asciiTheme="minorEastAsia" w:hAnsiTheme="minorEastAsia" w:eastAsiaTheme="minorEastAsia"/>
          <w:sz w:val="24"/>
        </w:rPr>
        <w:t>每件货物包装箱内应附一份详细装箱单和质量证书。为进口件的，应出具报关手续和原产地、原产工厂证明和商检证明等证明文件。</w:t>
      </w:r>
    </w:p>
    <w:p>
      <w:pPr>
        <w:spacing w:before="100" w:beforeAutospacing="1" w:after="10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4.如果乙方没有按照规定的时间交货、完成设备安装和提供服务，甲方将对其扣以违约金，违约金应从货款中扣除，违约金应按每周迟交货物或未提供服务价格的</w:t>
      </w:r>
      <w:r>
        <w:rPr>
          <w:rFonts w:asciiTheme="minorEastAsia" w:hAnsiTheme="minorEastAsia" w:eastAsiaTheme="minorEastAsia"/>
          <w:sz w:val="24"/>
        </w:rPr>
        <w:t>0.5%</w:t>
      </w:r>
      <w:r>
        <w:rPr>
          <w:rFonts w:hint="eastAsia" w:asciiTheme="minorEastAsia" w:hAnsiTheme="minorEastAsia" w:eastAsiaTheme="minorEastAsia"/>
          <w:sz w:val="24"/>
        </w:rPr>
        <w:t>计收。但违约金的最高限额为迟交货物或提供服务合同价的5%。一周按7天计算，不足7天按一周计算。如果达到最高限额，甲方有权考虑终止合同，由此给甲方造成的损失由乙方承担</w:t>
      </w:r>
      <w:r>
        <w:rPr>
          <w:rFonts w:asciiTheme="minorEastAsia" w:hAnsiTheme="minorEastAsia" w:eastAsiaTheme="minorEastAsia"/>
          <w:sz w:val="24"/>
        </w:rPr>
        <w:t>。</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乙方提前交货的产品、多交的产品和不符合合同规定的产品，甲方在代保管期内实际支付的保管、保养等费用以及非因甲方保管不善而发生的损失，应当由乙方承担。</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6.乙方应对其所提供的货物承担所有权担保责任，并应保证甲方在中华人民共和国内使用该货物时不侵犯第三人的知识产权。否则乙方应承担由此引起的一切法律责任及费用。</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7.任何一方未经对方同意而单方面终止合同的，应向对方赔偿相当于本合同总价款</w:t>
      </w:r>
      <w:r>
        <w:rPr>
          <w:rFonts w:hint="eastAsia" w:asciiTheme="minorEastAsia" w:hAnsiTheme="minorEastAsia" w:eastAsiaTheme="minorEastAsia"/>
          <w:sz w:val="24"/>
          <w:u w:val="single"/>
        </w:rPr>
        <w:t xml:space="preserve">   5   %</w:t>
      </w:r>
      <w:r>
        <w:rPr>
          <w:rFonts w:hint="eastAsia" w:asciiTheme="minorEastAsia" w:hAnsiTheme="minorEastAsia" w:eastAsiaTheme="minorEastAsia"/>
          <w:sz w:val="24"/>
        </w:rPr>
        <w:t>违约金。</w:t>
      </w:r>
    </w:p>
    <w:p>
      <w:pPr>
        <w:spacing w:beforeLines="50" w:beforeAutospacing="1" w:afterLines="30" w:afterAutospacing="1" w:line="480" w:lineRule="exact"/>
        <w:ind w:firstLine="361" w:firstLineChars="150"/>
        <w:rPr>
          <w:rFonts w:asciiTheme="minorEastAsia" w:hAnsiTheme="minorEastAsia" w:eastAsiaTheme="minorEastAsia"/>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一</w:t>
      </w:r>
      <w:r>
        <w:rPr>
          <w:rFonts w:asciiTheme="minorEastAsia" w:hAnsiTheme="minorEastAsia" w:eastAsiaTheme="minorEastAsia"/>
          <w:b/>
          <w:bCs/>
          <w:sz w:val="24"/>
        </w:rPr>
        <w:t>条</w:t>
      </w:r>
      <w:r>
        <w:rPr>
          <w:rFonts w:asciiTheme="minorEastAsia" w:hAnsiTheme="minorEastAsia" w:eastAsiaTheme="minorEastAsia"/>
          <w:sz w:val="24"/>
        </w:rPr>
        <w:t>  甲方的违约责任</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甲方</w:t>
      </w:r>
      <w:r>
        <w:rPr>
          <w:rFonts w:hint="eastAsia" w:asciiTheme="minorEastAsia" w:hAnsiTheme="minorEastAsia" w:eastAsiaTheme="minorEastAsia"/>
          <w:sz w:val="24"/>
        </w:rPr>
        <w:t>无故</w:t>
      </w:r>
      <w:r>
        <w:rPr>
          <w:rFonts w:asciiTheme="minorEastAsia" w:hAnsiTheme="minorEastAsia" w:eastAsiaTheme="minorEastAsia"/>
          <w:sz w:val="24"/>
        </w:rPr>
        <w:t>中途退货，应向乙方偿付退货部分货款</w:t>
      </w:r>
      <w:r>
        <w:rPr>
          <w:rFonts w:hint="eastAsia" w:asciiTheme="minorEastAsia" w:hAnsiTheme="minorEastAsia" w:eastAsiaTheme="minorEastAsia"/>
          <w:sz w:val="24"/>
          <w:u w:val="single"/>
        </w:rPr>
        <w:t xml:space="preserve"> 2% </w:t>
      </w:r>
      <w:r>
        <w:rPr>
          <w:rFonts w:asciiTheme="minorEastAsia" w:hAnsiTheme="minorEastAsia" w:eastAsiaTheme="minorEastAsia"/>
          <w:sz w:val="24"/>
        </w:rPr>
        <w:t>的违约金。</w:t>
      </w:r>
    </w:p>
    <w:p>
      <w:pPr>
        <w:spacing w:beforeLines="50" w:beforeAutospacing="1" w:afterLines="3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甲方违反合同规定拒绝接货的，应当承担由此造成的损失。</w:t>
      </w:r>
    </w:p>
    <w:p>
      <w:pPr>
        <w:spacing w:beforeLines="50" w:beforeAutospacing="1" w:afterLines="30" w:afterAutospacing="1" w:line="480" w:lineRule="exact"/>
        <w:ind w:firstLine="482" w:firstLineChars="200"/>
        <w:rPr>
          <w:rFonts w:asciiTheme="minorEastAsia" w:hAnsiTheme="minorEastAsia" w:eastAsiaTheme="minorEastAsia"/>
          <w:b/>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二</w:t>
      </w:r>
      <w:r>
        <w:rPr>
          <w:rFonts w:asciiTheme="minorEastAsia" w:hAnsiTheme="minorEastAsia" w:eastAsiaTheme="minorEastAsia"/>
          <w:b/>
          <w:bCs/>
          <w:sz w:val="24"/>
        </w:rPr>
        <w:t>条 </w:t>
      </w:r>
      <w:r>
        <w:rPr>
          <w:rFonts w:asciiTheme="minorEastAsia" w:hAnsiTheme="minorEastAsia" w:eastAsiaTheme="minorEastAsia"/>
          <w:sz w:val="24"/>
        </w:rPr>
        <w:t xml:space="preserve"> 不可抗力</w:t>
      </w:r>
    </w:p>
    <w:p>
      <w:pPr>
        <w:spacing w:before="100" w:beforeAutospacing="1" w:after="100" w:afterAutospacing="1" w:line="480" w:lineRule="exact"/>
        <w:ind w:firstLine="549"/>
        <w:rPr>
          <w:rFonts w:asciiTheme="minorEastAsia" w:hAnsiTheme="minorEastAsia" w:eastAsiaTheme="minorEastAsia"/>
          <w:sz w:val="24"/>
        </w:rPr>
      </w:pPr>
      <w:r>
        <w:rPr>
          <w:rFonts w:hint="eastAsia" w:asciiTheme="minorEastAsia" w:hAnsiTheme="minorEastAsia" w:eastAsiaTheme="minorEastAsia"/>
          <w:sz w:val="24"/>
        </w:rPr>
        <w:t>1.如果双方任何一方由于受诸如战争、严重火灾、洪水、台风、地震、疫情等不可抗力的事故，致使影响合同履行时，履行合同的期限应予以延长，延长的期限应相当于事故所影响的时间。不可抗力事故系指</w:t>
      </w:r>
      <w:r>
        <w:rPr>
          <w:rFonts w:asciiTheme="minorEastAsia" w:hAnsiTheme="minorEastAsia" w:eastAsiaTheme="minorEastAsia"/>
          <w:sz w:val="24"/>
        </w:rPr>
        <w:t>甲乙</w:t>
      </w:r>
      <w:r>
        <w:rPr>
          <w:rFonts w:hint="eastAsia" w:asciiTheme="minorEastAsia" w:hAnsiTheme="minorEastAsia" w:eastAsiaTheme="minorEastAsia"/>
          <w:sz w:val="24"/>
        </w:rPr>
        <w:t>双方在缔结合同时所不能预见的，并且它的发生及其后果是无法避免和无法克服的事故。</w:t>
      </w:r>
    </w:p>
    <w:p>
      <w:pPr>
        <w:spacing w:before="100" w:beforeAutospacing="1" w:after="100" w:afterAutospacing="1" w:line="480" w:lineRule="exact"/>
        <w:ind w:firstLine="549"/>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100" w:beforeAutospacing="1" w:after="100" w:afterAutospacing="1" w:line="480" w:lineRule="exact"/>
        <w:ind w:firstLine="482" w:firstLineChars="200"/>
        <w:rPr>
          <w:rFonts w:asciiTheme="minorEastAsia" w:hAnsiTheme="minorEastAsia" w:eastAsiaTheme="minorEastAsia"/>
          <w:b/>
          <w:bCs/>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三</w:t>
      </w:r>
      <w:r>
        <w:rPr>
          <w:rFonts w:asciiTheme="minorEastAsia" w:hAnsiTheme="minorEastAsia" w:eastAsiaTheme="minorEastAsia"/>
          <w:b/>
          <w:bCs/>
          <w:sz w:val="24"/>
        </w:rPr>
        <w:t>条</w:t>
      </w:r>
      <w:r>
        <w:rPr>
          <w:rFonts w:hint="eastAsia" w:asciiTheme="minorEastAsia" w:hAnsiTheme="minorEastAsia" w:eastAsiaTheme="minorEastAsia"/>
          <w:b/>
          <w:bCs/>
          <w:sz w:val="24"/>
        </w:rPr>
        <w:t xml:space="preserve">  </w:t>
      </w:r>
      <w:r>
        <w:rPr>
          <w:rFonts w:hint="eastAsia" w:asciiTheme="minorEastAsia" w:hAnsiTheme="minorEastAsia" w:eastAsiaTheme="minorEastAsia"/>
          <w:sz w:val="24"/>
        </w:rPr>
        <w:t>履约保证金</w:t>
      </w:r>
    </w:p>
    <w:p>
      <w:pPr>
        <w:spacing w:before="100" w:beforeAutospacing="1" w:after="10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1.本项目履约保证金为</w:t>
      </w:r>
      <w:r>
        <w:rPr>
          <w:rFonts w:hint="eastAsia" w:asciiTheme="minorEastAsia" w:hAnsiTheme="minorEastAsia" w:eastAsiaTheme="minorEastAsia"/>
          <w:sz w:val="24"/>
          <w:u w:val="single"/>
        </w:rPr>
        <w:t>(人民币                )</w:t>
      </w:r>
      <w:r>
        <w:rPr>
          <w:rFonts w:hint="eastAsia" w:asciiTheme="minorEastAsia" w:hAnsiTheme="minorEastAsia" w:eastAsiaTheme="minorEastAsia"/>
          <w:sz w:val="24"/>
        </w:rPr>
        <w:t>,乙方应于合同签订前向甲方缴纳，</w:t>
      </w:r>
      <w:r>
        <w:rPr>
          <w:rFonts w:hint="eastAsia" w:asciiTheme="minorEastAsia" w:hAnsiTheme="minorEastAsia" w:eastAsiaTheme="minorEastAsia"/>
          <w:sz w:val="24"/>
          <w:u w:val="single"/>
        </w:rPr>
        <w:t>竣工验收合格之后7日</w:t>
      </w:r>
      <w:r>
        <w:rPr>
          <w:rFonts w:hint="eastAsia" w:asciiTheme="minorEastAsia" w:hAnsiTheme="minorEastAsia" w:eastAsiaTheme="minorEastAsia"/>
          <w:sz w:val="24"/>
        </w:rPr>
        <w:t>内无息退还。</w:t>
      </w:r>
    </w:p>
    <w:p>
      <w:pPr>
        <w:spacing w:before="100" w:beforeAutospacing="1" w:after="10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2.乙方未能履行其合同规定的任何义务，甲方有权从履约保证金中取得补偿。</w:t>
      </w:r>
    </w:p>
    <w:p>
      <w:pPr>
        <w:spacing w:before="100" w:beforeAutospacing="1" w:after="100" w:afterAutospacing="1" w:line="480" w:lineRule="exact"/>
        <w:ind w:firstLine="482" w:firstLineChars="200"/>
        <w:rPr>
          <w:rFonts w:asciiTheme="minorEastAsia" w:hAnsiTheme="minorEastAsia" w:eastAsiaTheme="minorEastAsia"/>
          <w:b/>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四</w:t>
      </w:r>
      <w:r>
        <w:rPr>
          <w:rFonts w:asciiTheme="minorEastAsia" w:hAnsiTheme="minorEastAsia" w:eastAsiaTheme="minorEastAsia"/>
          <w:b/>
          <w:bCs/>
          <w:sz w:val="24"/>
        </w:rPr>
        <w:t>条</w:t>
      </w:r>
      <w:r>
        <w:rPr>
          <w:rFonts w:hint="eastAsia" w:asciiTheme="minorEastAsia" w:hAnsiTheme="minorEastAsia" w:eastAsiaTheme="minorEastAsia"/>
          <w:b/>
          <w:bCs/>
          <w:sz w:val="24"/>
        </w:rPr>
        <w:t xml:space="preserve">  </w:t>
      </w:r>
      <w:r>
        <w:rPr>
          <w:rFonts w:hint="eastAsia" w:asciiTheme="minorEastAsia" w:hAnsiTheme="minorEastAsia" w:eastAsiaTheme="minorEastAsia"/>
          <w:bCs/>
          <w:sz w:val="24"/>
        </w:rPr>
        <w:t>转让与分包</w:t>
      </w:r>
    </w:p>
    <w:p>
      <w:pPr>
        <w:spacing w:before="100" w:beforeAutospacing="1" w:after="10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1.除甲方事先书面同意外，乙方不得部分转让或全部转让其应履行的合同义务。</w:t>
      </w:r>
    </w:p>
    <w:p>
      <w:pPr>
        <w:spacing w:before="100" w:beforeAutospacing="1" w:after="100" w:afterAutospacing="1"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2.乙方应在投标文件中或以其他书面形式对甲方确认本合同项下所授予的所有分包合同。但该确认不解除乙方承担的本合同下的任何责任或义务。意即在本合同项下，乙方对甲方负总责。</w:t>
      </w:r>
    </w:p>
    <w:p>
      <w:pPr>
        <w:spacing w:before="100" w:beforeAutospacing="1" w:after="100" w:afterAutospacing="1" w:line="480" w:lineRule="exact"/>
        <w:ind w:firstLine="482" w:firstLineChars="200"/>
        <w:rPr>
          <w:rFonts w:asciiTheme="minorEastAsia" w:hAnsiTheme="minorEastAsia" w:eastAsiaTheme="minorEastAsia"/>
          <w:bCs/>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五</w:t>
      </w:r>
      <w:r>
        <w:rPr>
          <w:rFonts w:asciiTheme="minorEastAsia" w:hAnsiTheme="minorEastAsia" w:eastAsiaTheme="minorEastAsia"/>
          <w:b/>
          <w:bCs/>
          <w:sz w:val="24"/>
        </w:rPr>
        <w:t>条</w:t>
      </w:r>
      <w:r>
        <w:rPr>
          <w:rFonts w:hint="eastAsia" w:asciiTheme="minorEastAsia" w:hAnsiTheme="minorEastAsia" w:eastAsiaTheme="minorEastAsia"/>
          <w:b/>
          <w:bCs/>
          <w:sz w:val="24"/>
        </w:rPr>
        <w:t xml:space="preserve">  </w:t>
      </w:r>
      <w:r>
        <w:rPr>
          <w:rFonts w:hint="eastAsia" w:asciiTheme="minorEastAsia" w:hAnsiTheme="minorEastAsia" w:eastAsiaTheme="minorEastAsia"/>
          <w:bCs/>
          <w:sz w:val="24"/>
        </w:rPr>
        <w:t>合同文件及资料的使用</w:t>
      </w:r>
    </w:p>
    <w:p>
      <w:pPr>
        <w:spacing w:before="100" w:beforeAutospacing="1" w:after="100" w:afterAutospacing="1" w:line="480" w:lineRule="exact"/>
        <w:ind w:firstLine="420"/>
        <w:rPr>
          <w:rFonts w:asciiTheme="minorEastAsia" w:hAnsiTheme="minorEastAsia" w:eastAsiaTheme="minorEastAsia"/>
          <w:sz w:val="24"/>
        </w:rPr>
      </w:pPr>
      <w:r>
        <w:rPr>
          <w:rFonts w:hint="eastAsia" w:asciiTheme="minorEastAsia" w:hAnsiTheme="minorEastAsia" w:eastAsiaTheme="minorEastAsia"/>
          <w:sz w:val="24"/>
        </w:rPr>
        <w:t>1.乙方在未经甲方书面同意的情况下，不得将合同、合同中的规定、有关计划、图纸、样本或甲方为上述内容向乙方提供的资料透露给任何人。</w:t>
      </w:r>
    </w:p>
    <w:p>
      <w:pPr>
        <w:kinsoku w:val="0"/>
        <w:overflowPunct w:val="0"/>
        <w:spacing w:line="480" w:lineRule="exact"/>
        <w:ind w:left="8" w:right="137" w:firstLine="412"/>
        <w:rPr>
          <w:rFonts w:asciiTheme="minorEastAsia" w:hAnsiTheme="minorEastAsia" w:eastAsiaTheme="minorEastAsia"/>
          <w:sz w:val="24"/>
        </w:rPr>
      </w:pPr>
      <w:r>
        <w:rPr>
          <w:rFonts w:hint="eastAsia" w:asciiTheme="minorEastAsia" w:hAnsiTheme="minorEastAsia" w:eastAsiaTheme="minorEastAsia"/>
          <w:sz w:val="24"/>
        </w:rPr>
        <w:t>2.除非执行合同需要，在事先未得到甲方同意的情况下，乙方不得使用前款所列的任何文件和资料。</w:t>
      </w:r>
    </w:p>
    <w:p>
      <w:pPr>
        <w:spacing w:beforeLines="50" w:beforeAutospacing="1" w:afterLines="30" w:afterAutospacing="1" w:line="480" w:lineRule="exact"/>
        <w:ind w:firstLine="482" w:firstLineChars="200"/>
        <w:rPr>
          <w:rFonts w:asciiTheme="minorEastAsia" w:hAnsiTheme="minorEastAsia" w:eastAsiaTheme="minorEastAsia"/>
          <w:sz w:val="24"/>
        </w:rPr>
      </w:pPr>
      <w:r>
        <w:rPr>
          <w:rFonts w:asciiTheme="minorEastAsia" w:hAnsiTheme="minorEastAsia" w:eastAsiaTheme="minorEastAsia"/>
          <w:b/>
          <w:bCs/>
          <w:sz w:val="24"/>
        </w:rPr>
        <w:t>第十</w:t>
      </w:r>
      <w:r>
        <w:rPr>
          <w:rFonts w:hint="eastAsia" w:asciiTheme="minorEastAsia" w:hAnsiTheme="minorEastAsia" w:eastAsiaTheme="minorEastAsia"/>
          <w:b/>
          <w:bCs/>
          <w:sz w:val="24"/>
        </w:rPr>
        <w:t>六</w:t>
      </w:r>
      <w:r>
        <w:rPr>
          <w:rFonts w:asciiTheme="minorEastAsia" w:hAnsiTheme="minorEastAsia" w:eastAsiaTheme="minorEastAsia"/>
          <w:b/>
          <w:bCs/>
          <w:sz w:val="24"/>
        </w:rPr>
        <w:t>条 </w:t>
      </w:r>
      <w:r>
        <w:rPr>
          <w:rFonts w:asciiTheme="minorEastAsia" w:hAnsiTheme="minorEastAsia" w:eastAsiaTheme="minorEastAsia"/>
          <w:sz w:val="24"/>
        </w:rPr>
        <w:t xml:space="preserve"> 其他</w:t>
      </w:r>
      <w:r>
        <w:rPr>
          <w:rFonts w:asciiTheme="minorEastAsia" w:hAnsiTheme="minorEastAsia" w:eastAsiaTheme="minorEastAsia"/>
          <w:sz w:val="24"/>
          <w:u w:val="single"/>
        </w:rPr>
        <w:t>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w:t>
      </w:r>
      <w:r>
        <w:rPr>
          <w:rFonts w:asciiTheme="minorEastAsia" w:hAnsiTheme="minorEastAsia" w:eastAsiaTheme="minorEastAsia"/>
          <w:sz w:val="24"/>
        </w:rPr>
        <w:t>。</w:t>
      </w:r>
    </w:p>
    <w:p>
      <w:pPr>
        <w:spacing w:beforeLines="50" w:beforeAutospacing="1" w:afterLines="30" w:afterAutospacing="1" w:line="480" w:lineRule="exact"/>
        <w:ind w:firstLine="460" w:firstLineChars="192"/>
        <w:rPr>
          <w:rFonts w:asciiTheme="minorEastAsia" w:hAnsiTheme="minorEastAsia" w:eastAsiaTheme="minorEastAsia"/>
          <w:sz w:val="24"/>
        </w:rPr>
      </w:pPr>
      <w:r>
        <w:rPr>
          <w:rFonts w:asciiTheme="minorEastAsia" w:hAnsiTheme="minorEastAsia" w:eastAsiaTheme="minorEastAsia"/>
          <w:sz w:val="24"/>
        </w:rPr>
        <w:t>按本合同规定应该偿付的违约金、赔偿金、保管保养费和各种经济损失，应当在明确责任后</w:t>
      </w:r>
      <w:r>
        <w:rPr>
          <w:rFonts w:hint="eastAsia" w:asciiTheme="minorEastAsia" w:hAnsiTheme="minorEastAsia" w:eastAsiaTheme="minorEastAsia"/>
          <w:sz w:val="24"/>
        </w:rPr>
        <w:t>10</w:t>
      </w:r>
      <w:r>
        <w:rPr>
          <w:rFonts w:asciiTheme="minorEastAsia" w:hAnsiTheme="minorEastAsia" w:eastAsiaTheme="minorEastAsia"/>
          <w:sz w:val="24"/>
        </w:rPr>
        <w:t>天内付清，否则按逾期付款处理。</w:t>
      </w:r>
    </w:p>
    <w:p>
      <w:pPr>
        <w:spacing w:beforeLines="50" w:beforeAutospacing="1" w:afterLines="30" w:afterAutospacing="1" w:line="480" w:lineRule="exact"/>
        <w:ind w:firstLine="460" w:firstLineChars="192"/>
        <w:rPr>
          <w:rFonts w:asciiTheme="minorEastAsia" w:hAnsiTheme="minorEastAsia" w:eastAsiaTheme="minorEastAsia"/>
          <w:sz w:val="24"/>
        </w:rPr>
      </w:pPr>
      <w:r>
        <w:rPr>
          <w:rFonts w:asciiTheme="minorEastAsia" w:hAnsiTheme="minorEastAsia" w:eastAsiaTheme="minorEastAsia"/>
          <w:sz w:val="24"/>
        </w:rPr>
        <w:t>本合同如发生纠纷，当事人双方应当及时协商解决，协商不成时，任何一方均可请</w:t>
      </w:r>
      <w:r>
        <w:rPr>
          <w:rFonts w:hint="eastAsia" w:asciiTheme="minorEastAsia" w:hAnsiTheme="minorEastAsia" w:eastAsiaTheme="minorEastAsia"/>
          <w:sz w:val="24"/>
        </w:rPr>
        <w:t>采购管理机关</w:t>
      </w:r>
      <w:r>
        <w:rPr>
          <w:rFonts w:asciiTheme="minorEastAsia" w:hAnsiTheme="minorEastAsia" w:eastAsiaTheme="minorEastAsia"/>
          <w:sz w:val="24"/>
        </w:rPr>
        <w:t>调解，调解不成，按以下第（</w:t>
      </w:r>
      <w:r>
        <w:rPr>
          <w:rFonts w:hint="eastAsia" w:asciiTheme="minorEastAsia" w:hAnsiTheme="minorEastAsia" w:eastAsiaTheme="minorEastAsia"/>
          <w:sz w:val="24"/>
        </w:rPr>
        <w:t xml:space="preserve">2 </w:t>
      </w:r>
      <w:r>
        <w:rPr>
          <w:rFonts w:asciiTheme="minorEastAsia" w:hAnsiTheme="minorEastAsia" w:eastAsiaTheme="minorEastAsia"/>
          <w:sz w:val="24"/>
        </w:rPr>
        <w:t>）项方式处理：（1）</w:t>
      </w:r>
      <w:r>
        <w:rPr>
          <w:rFonts w:hint="eastAsia" w:asciiTheme="minorEastAsia" w:hAnsiTheme="minorEastAsia" w:eastAsiaTheme="minorEastAsia"/>
          <w:sz w:val="24"/>
        </w:rPr>
        <w:t>根据《中华人民共和国仲裁法》的规定向</w:t>
      </w:r>
      <w:r>
        <w:rPr>
          <w:rFonts w:hint="eastAsia" w:asciiTheme="minorEastAsia" w:hAnsiTheme="minorEastAsia" w:eastAsiaTheme="minorEastAsia"/>
          <w:b/>
          <w:bCs/>
          <w:sz w:val="24"/>
          <w:u w:val="single"/>
        </w:rPr>
        <w:t>铜陵仲裁委员会</w:t>
      </w:r>
      <w:r>
        <w:rPr>
          <w:rFonts w:hint="eastAsia" w:asciiTheme="minorEastAsia" w:hAnsiTheme="minorEastAsia" w:eastAsiaTheme="minorEastAsia"/>
          <w:sz w:val="24"/>
        </w:rPr>
        <w:t>申请仲裁。</w:t>
      </w:r>
      <w:r>
        <w:rPr>
          <w:rFonts w:asciiTheme="minorEastAsia" w:hAnsiTheme="minorEastAsia" w:eastAsiaTheme="minorEastAsia"/>
          <w:sz w:val="24"/>
        </w:rPr>
        <w:t>（2）向</w:t>
      </w:r>
      <w:r>
        <w:rPr>
          <w:rFonts w:hint="eastAsia" w:asciiTheme="minorEastAsia" w:hAnsiTheme="minorEastAsia" w:eastAsiaTheme="minorEastAsia"/>
          <w:sz w:val="24"/>
        </w:rPr>
        <w:t>甲方所在地</w:t>
      </w:r>
      <w:r>
        <w:rPr>
          <w:rFonts w:asciiTheme="minorEastAsia" w:hAnsiTheme="minorEastAsia" w:eastAsiaTheme="minorEastAsia"/>
          <w:sz w:val="24"/>
        </w:rPr>
        <w:t>人民法院起诉。</w:t>
      </w:r>
    </w:p>
    <w:p>
      <w:pPr>
        <w:spacing w:beforeLines="50" w:afterLines="30" w:line="480" w:lineRule="exact"/>
        <w:ind w:firstLine="482" w:firstLineChars="200"/>
        <w:rPr>
          <w:rFonts w:asciiTheme="minorEastAsia" w:hAnsiTheme="minorEastAsia" w:eastAsiaTheme="minorEastAsia"/>
          <w:color w:val="000000"/>
          <w:sz w:val="24"/>
        </w:rPr>
      </w:pPr>
      <w:r>
        <w:rPr>
          <w:rFonts w:hint="eastAsia" w:asciiTheme="minorEastAsia" w:hAnsiTheme="minorEastAsia" w:eastAsiaTheme="minorEastAsia"/>
          <w:b/>
          <w:bCs/>
          <w:color w:val="000000"/>
          <w:sz w:val="24"/>
        </w:rPr>
        <w:t>第十七条</w:t>
      </w:r>
      <w:r>
        <w:rPr>
          <w:rFonts w:asciiTheme="minorEastAsia" w:hAnsiTheme="minorEastAsia" w:eastAsiaTheme="minorEastAsia"/>
          <w:b/>
          <w:bCs/>
          <w:color w:val="000000"/>
          <w:sz w:val="24"/>
        </w:rPr>
        <w:t> </w:t>
      </w:r>
      <w:r>
        <w:rPr>
          <w:rFonts w:hint="eastAsia" w:asciiTheme="minorEastAsia" w:hAnsiTheme="minorEastAsia" w:eastAsiaTheme="minorEastAsia"/>
          <w:color w:val="000000"/>
          <w:sz w:val="24"/>
        </w:rPr>
        <w:t>本合同自甲乙双方当事人签字盖章后生效。本合同一式肆份，甲乙双方各执贰份。</w:t>
      </w:r>
      <w:r>
        <w:rPr>
          <w:rFonts w:hint="eastAsia" w:asciiTheme="minorEastAsia" w:hAnsiTheme="minorEastAsia" w:eastAsiaTheme="minorEastAsia"/>
          <w:bCs/>
          <w:sz w:val="24"/>
        </w:rPr>
        <w:t>甲乙双方必须严格按照招标文件、投标文件及有关承诺签订合同，不得擅自变更。</w:t>
      </w:r>
    </w:p>
    <w:p>
      <w:pPr>
        <w:spacing w:beforeLines="50" w:afterLines="30" w:line="480" w:lineRule="exact"/>
        <w:ind w:firstLine="472" w:firstLineChars="196"/>
        <w:rPr>
          <w:rFonts w:asciiTheme="minorEastAsia" w:hAnsiTheme="minorEastAsia" w:eastAsiaTheme="minorEastAsia"/>
          <w:color w:val="000000"/>
          <w:sz w:val="24"/>
        </w:rPr>
      </w:pPr>
      <w:r>
        <w:rPr>
          <w:rFonts w:hint="eastAsia" w:asciiTheme="minorEastAsia" w:hAnsiTheme="minorEastAsia" w:eastAsiaTheme="minorEastAsia"/>
          <w:b/>
          <w:bCs/>
          <w:sz w:val="24"/>
        </w:rPr>
        <w:t xml:space="preserve">第十八条 </w:t>
      </w:r>
      <w:r>
        <w:rPr>
          <w:rFonts w:hint="eastAsia" w:asciiTheme="minorEastAsia" w:hAnsiTheme="minorEastAsia" w:eastAsiaTheme="minorEastAsia"/>
          <w:color w:val="000000"/>
          <w:sz w:val="24"/>
        </w:rPr>
        <w:t>合同执行期内，甲乙双方均不得随意变更或解除合同。合同如有未尽事宜，须经双方共同协商，做出补充规定，补充规定与本合同具有同等效力，也可按照中华人民共和国《民法典》的规定执行。</w:t>
      </w:r>
    </w:p>
    <w:p>
      <w:pPr>
        <w:widowControl/>
        <w:spacing w:line="480" w:lineRule="exact"/>
        <w:ind w:firstLine="482" w:firstLineChars="200"/>
        <w:jc w:val="left"/>
        <w:rPr>
          <w:rFonts w:asciiTheme="minorEastAsia" w:hAnsiTheme="minorEastAsia" w:eastAsiaTheme="minorEastAsia"/>
          <w:sz w:val="24"/>
        </w:rPr>
      </w:pPr>
      <w:r>
        <w:rPr>
          <w:rFonts w:hint="eastAsia" w:asciiTheme="minorEastAsia" w:hAnsiTheme="minorEastAsia" w:eastAsiaTheme="minorEastAsia"/>
          <w:b/>
          <w:bCs/>
          <w:sz w:val="24"/>
        </w:rPr>
        <w:t xml:space="preserve">第十九条 </w:t>
      </w:r>
      <w:r>
        <w:rPr>
          <w:rFonts w:asciiTheme="minorEastAsia" w:hAnsiTheme="minorEastAsia" w:eastAsiaTheme="minorEastAsia"/>
          <w:sz w:val="24"/>
        </w:rPr>
        <w:t>下列关</w:t>
      </w:r>
      <w:r>
        <w:rPr>
          <w:rFonts w:asciiTheme="minorEastAsia" w:hAnsiTheme="minorEastAsia" w:eastAsiaTheme="minorEastAsia"/>
          <w:spacing w:val="-36"/>
          <w:sz w:val="24"/>
        </w:rPr>
        <w:t>于</w:t>
      </w:r>
      <w:r>
        <w:rPr>
          <w:rFonts w:hint="eastAsia" w:asciiTheme="minorEastAsia" w:hAnsiTheme="minorEastAsia" w:eastAsiaTheme="minorEastAsia"/>
          <w:spacing w:val="-3"/>
          <w:sz w:val="24"/>
        </w:rPr>
        <w:t>“</w:t>
      </w:r>
      <w:r>
        <w:rPr>
          <w:rFonts w:hint="eastAsia" w:cs="宋体" w:asciiTheme="minorEastAsia" w:hAnsiTheme="minorEastAsia" w:eastAsiaTheme="minorEastAsia"/>
          <w:kern w:val="0"/>
          <w:sz w:val="24"/>
        </w:rPr>
        <w:t>铜陵百大冷却塔采购及安装</w:t>
      </w:r>
      <w:r>
        <w:rPr>
          <w:rFonts w:hint="eastAsia" w:asciiTheme="minorEastAsia" w:hAnsiTheme="minorEastAsia" w:eastAsiaTheme="minorEastAsia"/>
          <w:spacing w:val="-3"/>
          <w:sz w:val="24"/>
        </w:rPr>
        <w:t>”</w:t>
      </w:r>
      <w:r>
        <w:rPr>
          <w:rFonts w:asciiTheme="minorEastAsia" w:hAnsiTheme="minorEastAsia" w:eastAsiaTheme="minorEastAsia"/>
          <w:sz w:val="24"/>
        </w:rPr>
        <w:t>招标文件及有关附件均是本合同不可分割的组成部分</w:t>
      </w:r>
      <w:r>
        <w:rPr>
          <w:rFonts w:asciiTheme="minorEastAsia" w:hAnsiTheme="minorEastAsia" w:eastAsiaTheme="minorEastAsia"/>
          <w:spacing w:val="-46"/>
          <w:sz w:val="24"/>
        </w:rPr>
        <w:t>，</w:t>
      </w:r>
      <w:r>
        <w:rPr>
          <w:rFonts w:asciiTheme="minorEastAsia" w:hAnsiTheme="minorEastAsia" w:eastAsiaTheme="minorEastAsia"/>
          <w:sz w:val="24"/>
        </w:rPr>
        <w:t>这些文件包括但不限于：（1）招标文</w:t>
      </w:r>
      <w:r>
        <w:rPr>
          <w:rFonts w:asciiTheme="minorEastAsia" w:hAnsiTheme="minorEastAsia" w:eastAsiaTheme="minorEastAsia"/>
          <w:spacing w:val="-46"/>
          <w:sz w:val="24"/>
        </w:rPr>
        <w:t>件</w:t>
      </w:r>
      <w:r>
        <w:rPr>
          <w:rFonts w:asciiTheme="minorEastAsia" w:hAnsiTheme="minorEastAsia" w:eastAsiaTheme="minorEastAsia"/>
          <w:sz w:val="24"/>
        </w:rPr>
        <w:t>（2）乙方提供的投标文</w:t>
      </w:r>
      <w:r>
        <w:rPr>
          <w:rFonts w:asciiTheme="minorEastAsia" w:hAnsiTheme="minorEastAsia" w:eastAsiaTheme="minorEastAsia"/>
          <w:spacing w:val="-15"/>
          <w:sz w:val="24"/>
        </w:rPr>
        <w:t>件</w:t>
      </w:r>
      <w:r>
        <w:rPr>
          <w:rFonts w:asciiTheme="minorEastAsia" w:hAnsiTheme="minorEastAsia" w:eastAsiaTheme="minorEastAsia"/>
          <w:sz w:val="24"/>
        </w:rPr>
        <w:t>（3</w:t>
      </w:r>
      <w:r>
        <w:rPr>
          <w:rFonts w:asciiTheme="minorEastAsia" w:hAnsiTheme="minorEastAsia" w:eastAsiaTheme="minorEastAsia"/>
          <w:spacing w:val="-15"/>
          <w:sz w:val="24"/>
        </w:rPr>
        <w:t>）</w:t>
      </w:r>
      <w:r>
        <w:rPr>
          <w:rFonts w:asciiTheme="minorEastAsia" w:hAnsiTheme="minorEastAsia" w:eastAsiaTheme="minorEastAsia"/>
          <w:sz w:val="24"/>
        </w:rPr>
        <w:t>服务承诺</w:t>
      </w:r>
      <w:r>
        <w:rPr>
          <w:rFonts w:asciiTheme="minorEastAsia" w:hAnsiTheme="minorEastAsia" w:eastAsiaTheme="minorEastAsia"/>
          <w:spacing w:val="-135"/>
          <w:sz w:val="24"/>
        </w:rPr>
        <w:t>；</w:t>
      </w:r>
      <w:r>
        <w:rPr>
          <w:rFonts w:asciiTheme="minorEastAsia" w:hAnsiTheme="minorEastAsia" w:eastAsiaTheme="minorEastAsia"/>
          <w:sz w:val="24"/>
        </w:rPr>
        <w:t>（4</w:t>
      </w:r>
      <w:r>
        <w:rPr>
          <w:rFonts w:asciiTheme="minorEastAsia" w:hAnsiTheme="minorEastAsia" w:eastAsiaTheme="minorEastAsia"/>
          <w:spacing w:val="-15"/>
          <w:sz w:val="24"/>
        </w:rPr>
        <w:t>）</w:t>
      </w:r>
      <w:r>
        <w:rPr>
          <w:rFonts w:asciiTheme="minorEastAsia" w:hAnsiTheme="minorEastAsia" w:eastAsiaTheme="minorEastAsia"/>
          <w:spacing w:val="2"/>
          <w:sz w:val="24"/>
        </w:rPr>
        <w:t>甲</w:t>
      </w:r>
      <w:r>
        <w:rPr>
          <w:rFonts w:asciiTheme="minorEastAsia" w:hAnsiTheme="minorEastAsia" w:eastAsiaTheme="minorEastAsia"/>
          <w:sz w:val="24"/>
        </w:rPr>
        <w:t>乙双方商定的其他文件</w:t>
      </w:r>
      <w:r>
        <w:rPr>
          <w:rFonts w:asciiTheme="minorEastAsia" w:hAnsiTheme="minorEastAsia" w:eastAsiaTheme="minorEastAsia"/>
          <w:spacing w:val="-15"/>
          <w:sz w:val="24"/>
        </w:rPr>
        <w:t>。</w:t>
      </w:r>
      <w:r>
        <w:rPr>
          <w:rFonts w:asciiTheme="minorEastAsia" w:hAnsiTheme="minorEastAsia" w:eastAsiaTheme="minorEastAsia"/>
          <w:sz w:val="24"/>
        </w:rPr>
        <w:t>以上附件顺序在前的具有优先解释权。</w:t>
      </w:r>
    </w:p>
    <w:p>
      <w:pPr>
        <w:kinsoku w:val="0"/>
        <w:overflowPunct w:val="0"/>
        <w:spacing w:line="480" w:lineRule="exact"/>
        <w:rPr>
          <w:rFonts w:asciiTheme="minorEastAsia" w:hAnsiTheme="minorEastAsia" w:eastAsiaTheme="minorEastAsia"/>
          <w:sz w:val="24"/>
        </w:rPr>
      </w:pPr>
    </w:p>
    <w:p>
      <w:pPr>
        <w:kinsoku w:val="0"/>
        <w:overflowPunct w:val="0"/>
        <w:spacing w:line="480" w:lineRule="exact"/>
        <w:ind w:right="788"/>
        <w:rPr>
          <w:rFonts w:asciiTheme="minorEastAsia" w:hAnsiTheme="minorEastAsia" w:eastAsiaTheme="minorEastAsia"/>
          <w:sz w:val="24"/>
        </w:rPr>
      </w:pPr>
    </w:p>
    <w:p>
      <w:pPr>
        <w:kinsoku w:val="0"/>
        <w:overflowPunct w:val="0"/>
        <w:spacing w:line="480" w:lineRule="exact"/>
        <w:ind w:right="788"/>
        <w:rPr>
          <w:rFonts w:asciiTheme="minorEastAsia" w:hAnsiTheme="minorEastAsia" w:eastAsiaTheme="minorEastAsia"/>
          <w:sz w:val="24"/>
        </w:rPr>
      </w:pPr>
    </w:p>
    <w:p>
      <w:pPr>
        <w:kinsoku w:val="0"/>
        <w:overflowPunct w:val="0"/>
        <w:spacing w:line="480" w:lineRule="exact"/>
        <w:ind w:right="788"/>
        <w:rPr>
          <w:rFonts w:asciiTheme="minorEastAsia" w:hAnsiTheme="minorEastAsia" w:eastAsiaTheme="minorEastAsia"/>
          <w:sz w:val="24"/>
        </w:rPr>
      </w:pPr>
      <w:r>
        <w:rPr>
          <w:rFonts w:asciiTheme="minorEastAsia" w:hAnsiTheme="minorEastAsia" w:eastAsiaTheme="minorEastAsia"/>
          <w:sz w:val="24"/>
        </w:rPr>
        <w:t>招标</w:t>
      </w:r>
      <w:r>
        <w:rPr>
          <w:rFonts w:asciiTheme="minorEastAsia" w:hAnsiTheme="minorEastAsia" w:eastAsiaTheme="minorEastAsia"/>
          <w:spacing w:val="-43"/>
          <w:sz w:val="24"/>
        </w:rPr>
        <w:t>人</w:t>
      </w:r>
      <w:r>
        <w:rPr>
          <w:rFonts w:asciiTheme="minorEastAsia" w:hAnsiTheme="minorEastAsia" w:eastAsiaTheme="minorEastAsia"/>
          <w:sz w:val="24"/>
        </w:rPr>
        <w:t>（甲方</w:t>
      </w:r>
      <w:r>
        <w:rPr>
          <w:rFonts w:asciiTheme="minorEastAsia" w:hAnsiTheme="minorEastAsia" w:eastAsiaTheme="minorEastAsia"/>
          <w:spacing w:val="-120"/>
          <w:sz w:val="24"/>
        </w:rPr>
        <w:t>）</w:t>
      </w:r>
      <w:r>
        <w:rPr>
          <w:rFonts w:asciiTheme="minorEastAsia" w:hAnsiTheme="minorEastAsia" w:eastAsiaTheme="minorEastAsia"/>
          <w:sz w:val="24"/>
        </w:rPr>
        <w:t xml:space="preserve">  ：（</w:t>
      </w:r>
      <w:r>
        <w:rPr>
          <w:rFonts w:asciiTheme="minorEastAsia" w:hAnsiTheme="minorEastAsia" w:eastAsiaTheme="minorEastAsia"/>
          <w:spacing w:val="-3"/>
          <w:sz w:val="24"/>
        </w:rPr>
        <w:t>公</w:t>
      </w:r>
      <w:r>
        <w:rPr>
          <w:rFonts w:asciiTheme="minorEastAsia" w:hAnsiTheme="minorEastAsia" w:eastAsiaTheme="minorEastAsia"/>
          <w:sz w:val="24"/>
        </w:rPr>
        <w:t>章</w:t>
      </w:r>
      <w:r>
        <w:rPr>
          <w:rFonts w:asciiTheme="minorEastAsia" w:hAnsiTheme="minorEastAsia" w:eastAsiaTheme="minorEastAsia"/>
          <w:spacing w:val="-44"/>
          <w:sz w:val="24"/>
        </w:rPr>
        <w:t>）</w:t>
      </w:r>
      <w:r>
        <w:rPr>
          <w:rFonts w:hint="eastAsia" w:asciiTheme="minorEastAsia" w:hAnsiTheme="minorEastAsia" w:eastAsiaTheme="minorEastAsia"/>
          <w:spacing w:val="-44"/>
          <w:sz w:val="24"/>
        </w:rPr>
        <w:t xml:space="preserve">                                                 </w:t>
      </w:r>
      <w:r>
        <w:rPr>
          <w:rFonts w:asciiTheme="minorEastAsia" w:hAnsiTheme="minorEastAsia" w:eastAsiaTheme="minorEastAsia"/>
          <w:sz w:val="24"/>
        </w:rPr>
        <w:t>供货</w:t>
      </w:r>
      <w:r>
        <w:rPr>
          <w:rFonts w:asciiTheme="minorEastAsia" w:hAnsiTheme="minorEastAsia" w:eastAsiaTheme="minorEastAsia"/>
          <w:spacing w:val="-44"/>
          <w:sz w:val="24"/>
        </w:rPr>
        <w:t>人</w:t>
      </w:r>
      <w:r>
        <w:rPr>
          <w:rFonts w:asciiTheme="minorEastAsia" w:hAnsiTheme="minorEastAsia" w:eastAsiaTheme="minorEastAsia"/>
          <w:sz w:val="24"/>
        </w:rPr>
        <w:t>（乙方</w:t>
      </w:r>
      <w:r>
        <w:rPr>
          <w:rFonts w:asciiTheme="minorEastAsia" w:hAnsiTheme="minorEastAsia" w:eastAsiaTheme="minorEastAsia"/>
          <w:spacing w:val="-120"/>
          <w:sz w:val="24"/>
        </w:rPr>
        <w:t>）</w:t>
      </w:r>
      <w:r>
        <w:rPr>
          <w:rFonts w:asciiTheme="minorEastAsia" w:hAnsiTheme="minorEastAsia" w:eastAsiaTheme="minorEastAsia"/>
          <w:sz w:val="24"/>
        </w:rPr>
        <w:t xml:space="preserve">   ：（公 章）  </w:t>
      </w:r>
    </w:p>
    <w:p>
      <w:pPr>
        <w:kinsoku w:val="0"/>
        <w:overflowPunct w:val="0"/>
        <w:spacing w:line="480" w:lineRule="exact"/>
        <w:rPr>
          <w:rFonts w:asciiTheme="minorEastAsia" w:hAnsiTheme="minorEastAsia" w:eastAsiaTheme="minorEastAsia"/>
          <w:sz w:val="24"/>
        </w:rPr>
      </w:pPr>
      <w:r>
        <w:rPr>
          <w:rFonts w:asciiTheme="minorEastAsia" w:hAnsiTheme="minorEastAsia" w:eastAsiaTheme="minorEastAsia"/>
          <w:sz w:val="24"/>
        </w:rPr>
        <w:t xml:space="preserve">地址：                      </w:t>
      </w:r>
      <w:r>
        <w:rPr>
          <w:rFonts w:hint="eastAsia" w:asciiTheme="minorEastAsia" w:hAnsiTheme="minorEastAsia" w:eastAsiaTheme="minorEastAsia"/>
          <w:sz w:val="24"/>
        </w:rPr>
        <w:t xml:space="preserve">        </w:t>
      </w:r>
      <w:r>
        <w:rPr>
          <w:rFonts w:asciiTheme="minorEastAsia" w:hAnsiTheme="minorEastAsia" w:eastAsiaTheme="minorEastAsia"/>
          <w:sz w:val="24"/>
        </w:rPr>
        <w:t>地址：</w:t>
      </w:r>
    </w:p>
    <w:p>
      <w:pPr>
        <w:spacing w:line="480" w:lineRule="exact"/>
        <w:rPr>
          <w:rFonts w:asciiTheme="minorEastAsia" w:hAnsiTheme="minorEastAsia" w:eastAsiaTheme="minorEastAsia"/>
          <w:b/>
          <w:bCs/>
          <w:sz w:val="24"/>
        </w:rPr>
      </w:pPr>
      <w:r>
        <w:rPr>
          <w:rFonts w:hint="eastAsia" w:asciiTheme="minorEastAsia" w:hAnsiTheme="minorEastAsia" w:eastAsiaTheme="minorEastAsia"/>
          <w:sz w:val="24"/>
        </w:rPr>
        <w:t>法人代表：                          法人代表：</w:t>
      </w:r>
    </w:p>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委托代理人：                        委托代理人：</w:t>
      </w:r>
    </w:p>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开户银行：                          开户银行：</w:t>
      </w:r>
    </w:p>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账号：                                账号：</w:t>
      </w:r>
    </w:p>
    <w:p>
      <w:pPr>
        <w:tabs>
          <w:tab w:val="left" w:pos="2066"/>
        </w:tabs>
        <w:spacing w:line="480" w:lineRule="exact"/>
        <w:ind w:firstLine="1440" w:firstLineChars="600"/>
        <w:rPr>
          <w:rFonts w:hint="eastAsia" w:asciiTheme="minorEastAsia" w:hAnsiTheme="minorEastAsia" w:eastAsiaTheme="minorEastAsia"/>
          <w:sz w:val="24"/>
        </w:rPr>
      </w:pPr>
    </w:p>
    <w:p>
      <w:pPr>
        <w:tabs>
          <w:tab w:val="left" w:pos="2066"/>
        </w:tabs>
        <w:spacing w:line="480" w:lineRule="exact"/>
        <w:ind w:firstLine="1440" w:firstLineChars="600"/>
        <w:rPr>
          <w:rFonts w:hint="eastAsia" w:asciiTheme="minorEastAsia" w:hAnsiTheme="minorEastAsia" w:eastAsiaTheme="minorEastAsia"/>
          <w:sz w:val="24"/>
        </w:rPr>
      </w:pPr>
    </w:p>
    <w:p>
      <w:pPr>
        <w:tabs>
          <w:tab w:val="left" w:pos="2066"/>
        </w:tabs>
        <w:spacing w:line="480" w:lineRule="exact"/>
        <w:ind w:firstLine="1440" w:firstLineChars="600"/>
        <w:rPr>
          <w:rFonts w:asciiTheme="minorEastAsia" w:hAnsiTheme="minorEastAsia" w:eastAsiaTheme="minorEastAsia"/>
          <w:sz w:val="24"/>
        </w:rPr>
      </w:pPr>
      <w:r>
        <w:rPr>
          <w:rFonts w:hint="eastAsia" w:asciiTheme="minorEastAsia" w:hAnsiTheme="minorEastAsia" w:eastAsiaTheme="minorEastAsia"/>
          <w:sz w:val="24"/>
        </w:rPr>
        <w:t>年  月  日                                年  月  日</w:t>
      </w:r>
    </w:p>
    <w:p>
      <w:pPr>
        <w:widowControl/>
        <w:tabs>
          <w:tab w:val="center" w:pos="4568"/>
          <w:tab w:val="left" w:pos="7410"/>
          <w:tab w:val="right" w:pos="9136"/>
        </w:tabs>
        <w:autoSpaceDE w:val="0"/>
        <w:autoSpaceDN w:val="0"/>
        <w:spacing w:line="480" w:lineRule="exact"/>
        <w:jc w:val="center"/>
        <w:textAlignment w:val="bottom"/>
        <w:rPr>
          <w:rFonts w:asciiTheme="minorEastAsia" w:hAnsiTheme="minorEastAsia" w:eastAsiaTheme="minorEastAsia"/>
          <w:b/>
          <w:color w:val="FF0000"/>
          <w:sz w:val="24"/>
        </w:rPr>
      </w:pPr>
    </w:p>
    <w:p>
      <w:pPr>
        <w:widowControl/>
        <w:spacing w:line="480" w:lineRule="exact"/>
        <w:ind w:firstLine="1807" w:firstLineChars="750"/>
        <w:rPr>
          <w:rFonts w:asciiTheme="minorEastAsia" w:hAnsiTheme="minorEastAsia" w:eastAsiaTheme="minorEastAsia"/>
          <w:b/>
          <w:bCs/>
          <w:sz w:val="24"/>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widowControl/>
        <w:spacing w:line="520" w:lineRule="exact"/>
        <w:ind w:firstLine="1807" w:firstLineChars="750"/>
        <w:rPr>
          <w:rFonts w:asciiTheme="minorEastAsia" w:hAnsiTheme="minorEastAsia" w:eastAsiaTheme="minorEastAsia"/>
          <w:b/>
          <w:bCs/>
          <w:sz w:val="24"/>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pStyle w:val="2"/>
        <w:rPr>
          <w:rFonts w:asciiTheme="minorEastAsia" w:hAnsiTheme="minorEastAsia" w:eastAsiaTheme="minorEastAsia"/>
          <w:b/>
          <w:bCs/>
        </w:rPr>
      </w:pPr>
    </w:p>
    <w:p>
      <w:pPr>
        <w:widowControl/>
        <w:spacing w:line="520" w:lineRule="exact"/>
        <w:ind w:firstLine="2249" w:firstLineChars="700"/>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第五章  《附件》（投标文件格式等）</w:t>
      </w:r>
    </w:p>
    <w:p>
      <w:pPr>
        <w:widowControl/>
        <w:spacing w:line="520" w:lineRule="exact"/>
        <w:jc w:val="center"/>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一、投标文件格式</w:t>
      </w:r>
    </w:p>
    <w:p>
      <w:pPr>
        <w:widowControl/>
        <w:spacing w:line="52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格式1  投标承诺书</w:t>
      </w:r>
    </w:p>
    <w:p>
      <w:pPr>
        <w:widowControl/>
        <w:spacing w:line="500" w:lineRule="exact"/>
        <w:jc w:val="left"/>
        <w:rPr>
          <w:rFonts w:hint="eastAsia" w:cs="宋体" w:asciiTheme="minorEastAsia" w:hAnsiTheme="minorEastAsia" w:eastAsiaTheme="minorEastAsia"/>
          <w:b/>
          <w:kern w:val="0"/>
          <w:sz w:val="24"/>
        </w:rPr>
      </w:pPr>
    </w:p>
    <w:p>
      <w:pPr>
        <w:widowControl/>
        <w:spacing w:line="5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w:t>
      </w:r>
      <w:r>
        <w:rPr>
          <w:rFonts w:hint="eastAsia" w:cs="宋体" w:asciiTheme="minorEastAsia" w:hAnsiTheme="minorEastAsia" w:eastAsiaTheme="minorEastAsia"/>
          <w:b/>
          <w:sz w:val="24"/>
        </w:rPr>
        <w:t>合肥百货大楼集团铜陵合百商厦有限责任公司</w:t>
      </w:r>
      <w:r>
        <w:rPr>
          <w:rFonts w:hint="eastAsia" w:cs="宋体" w:asciiTheme="minorEastAsia" w:hAnsiTheme="minorEastAsia" w:eastAsiaTheme="minorEastAsia"/>
          <w:b/>
          <w:kern w:val="0"/>
          <w:sz w:val="24"/>
        </w:rPr>
        <w:t>：</w:t>
      </w:r>
    </w:p>
    <w:p>
      <w:pPr>
        <w:widowControl/>
        <w:spacing w:line="500" w:lineRule="exact"/>
        <w:ind w:firstLine="720" w:firstLineChars="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根据贵司招标文件要求，我司签字代表（姓名）已被正式授权代表（单位全称）提交下述文件：</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1.开标一览表</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2.分项报价表</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3.投标事项承诺</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4.投标资格证明文件</w:t>
      </w:r>
    </w:p>
    <w:p>
      <w:pPr>
        <w:widowControl/>
        <w:spacing w:line="50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w:t>
      </w:r>
    </w:p>
    <w:p>
      <w:pPr>
        <w:widowControl/>
        <w:spacing w:line="5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同时，签字代表宣布承诺如下：</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⑴投标人已详细阅读全部招标文件（含修改文件），并理解其实质性内容，同意承担其规定的全部义务和相关责任。</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⑵投标人严格按照招标文件的规定报价，如被确定为中标人后，将全面履行合同。</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⑶投标人在交付保证金后，如出现串标、毁标、中标后不签订合同等违规行为，招标人有权对该保证金不予退还。</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⑷</w:t>
      </w:r>
      <w:r>
        <w:rPr>
          <w:rFonts w:cs="宋体" w:asciiTheme="minorEastAsia" w:hAnsiTheme="minorEastAsia" w:eastAsiaTheme="minorEastAsia"/>
          <w:color w:val="000000"/>
          <w:kern w:val="0"/>
          <w:sz w:val="24"/>
        </w:rPr>
        <w:t>投标人近三年</w:t>
      </w:r>
      <w:r>
        <w:rPr>
          <w:rFonts w:hint="eastAsia" w:cs="宋体" w:asciiTheme="minorEastAsia" w:hAnsiTheme="minorEastAsia" w:eastAsiaTheme="minorEastAsia"/>
          <w:color w:val="000000"/>
          <w:kern w:val="0"/>
          <w:sz w:val="24"/>
        </w:rPr>
        <w:t>来</w:t>
      </w:r>
      <w:r>
        <w:rPr>
          <w:rFonts w:cs="宋体" w:asciiTheme="minorEastAsia" w:hAnsiTheme="minorEastAsia" w:eastAsiaTheme="minorEastAsia"/>
          <w:color w:val="000000"/>
          <w:kern w:val="0"/>
          <w:sz w:val="24"/>
        </w:rPr>
        <w:t>没有骗取中标和严重违约及重大质量、安全问题</w:t>
      </w:r>
      <w:r>
        <w:rPr>
          <w:rFonts w:hint="eastAsia" w:cs="宋体" w:asciiTheme="minorEastAsia" w:hAnsiTheme="minorEastAsia" w:eastAsiaTheme="minorEastAsia"/>
          <w:color w:val="000000"/>
          <w:kern w:val="0"/>
          <w:sz w:val="24"/>
        </w:rPr>
        <w:t>。</w:t>
      </w:r>
    </w:p>
    <w:p>
      <w:pPr>
        <w:widowControl/>
        <w:spacing w:line="5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⑸投标人完全理解招标人不以最低报价作为确定中标人唯一标准的评定标方式。</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cs="宋体" w:asciiTheme="minorEastAsia" w:hAnsiTheme="minorEastAsia" w:eastAsiaTheme="minorEastAsia"/>
          <w:kern w:val="0"/>
          <w:sz w:val="24"/>
        </w:rPr>
        <w:t>特此</w:t>
      </w:r>
      <w:r>
        <w:rPr>
          <w:rFonts w:hint="eastAsia" w:ascii="宋体" w:hAnsi="宋体" w:cs="宋体"/>
          <w:kern w:val="0"/>
          <w:sz w:val="24"/>
        </w:rPr>
        <w:t>承诺</w:t>
      </w:r>
    </w:p>
    <w:p>
      <w:pPr>
        <w:widowControl/>
        <w:spacing w:line="500" w:lineRule="exact"/>
        <w:ind w:left="840" w:leftChars="400"/>
        <w:jc w:val="left"/>
        <w:rPr>
          <w:rFonts w:ascii="宋体" w:hAnsi="宋体" w:cs="宋体"/>
          <w:kern w:val="0"/>
          <w:sz w:val="24"/>
        </w:rPr>
      </w:pP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企业法人（签名或签章）：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授权代表（签名）：</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二〇二二年月日</w:t>
      </w:r>
    </w:p>
    <w:p>
      <w:pPr>
        <w:spacing w:line="420" w:lineRule="exact"/>
        <w:jc w:val="center"/>
        <w:rPr>
          <w:rFonts w:ascii="宋体" w:hAnsi="宋体"/>
          <w:b/>
          <w:kern w:val="0"/>
          <w:sz w:val="24"/>
        </w:rPr>
      </w:pPr>
    </w:p>
    <w:p>
      <w:pPr>
        <w:jc w:val="center"/>
        <w:rPr>
          <w:b/>
          <w:kern w:val="0"/>
          <w:sz w:val="24"/>
        </w:rPr>
      </w:pPr>
      <w:r>
        <w:rPr>
          <w:b/>
          <w:kern w:val="0"/>
          <w:sz w:val="24"/>
        </w:rPr>
        <w:br w:type="page"/>
      </w:r>
    </w:p>
    <w:p>
      <w:pPr>
        <w:jc w:val="center"/>
        <w:rPr>
          <w:b/>
          <w:kern w:val="0"/>
          <w:sz w:val="24"/>
        </w:rPr>
      </w:pPr>
    </w:p>
    <w:p>
      <w:pPr>
        <w:jc w:val="center"/>
        <w:rPr>
          <w:rFonts w:ascii="宋体" w:hAnsi="宋体"/>
          <w:b/>
          <w:kern w:val="0"/>
          <w:sz w:val="24"/>
        </w:rPr>
      </w:pPr>
      <w:r>
        <w:rPr>
          <w:rFonts w:hint="eastAsia" w:ascii="宋体" w:hAnsi="宋体" w:cs="宋体"/>
          <w:b/>
          <w:kern w:val="0"/>
          <w:sz w:val="24"/>
        </w:rPr>
        <w:t>格式</w:t>
      </w:r>
      <w:r>
        <w:rPr>
          <w:rFonts w:hint="eastAsia"/>
          <w:b/>
          <w:kern w:val="0"/>
          <w:sz w:val="24"/>
        </w:rPr>
        <w:t xml:space="preserve">2 </w:t>
      </w:r>
      <w:r>
        <w:rPr>
          <w:rFonts w:hint="eastAsia" w:ascii="宋体" w:hAnsi="宋体"/>
          <w:b/>
          <w:kern w:val="0"/>
          <w:sz w:val="24"/>
        </w:rPr>
        <w:t>开标一览表</w:t>
      </w:r>
    </w:p>
    <w:p>
      <w:pPr>
        <w:widowControl/>
        <w:spacing w:line="240" w:lineRule="exact"/>
        <w:jc w:val="left"/>
        <w:rPr>
          <w:rFonts w:ascii="宋体" w:hAnsi="宋体" w:cs="宋体"/>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180"/>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cs="宋体" w:asciiTheme="minorEastAsia" w:hAnsiTheme="minorEastAsia" w:eastAsiaTheme="minorEastAsia"/>
                <w:kern w:val="0"/>
                <w:sz w:val="24"/>
              </w:rPr>
              <w:t>铜陵百大中央空调系统冷却塔采购及安装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Cs/>
                <w:kern w:val="0"/>
                <w:sz w:val="24"/>
              </w:rPr>
              <w:t>HBZ-220</w:t>
            </w:r>
            <w:r>
              <w:rPr>
                <w:rFonts w:hint="eastAsia" w:ascii="宋体" w:hAnsi="宋体" w:cs="宋体"/>
                <w:bCs/>
                <w:kern w:val="0"/>
                <w:sz w:val="24"/>
                <w:lang w:val="en-US" w:eastAsia="zh-CN"/>
              </w:rPr>
              <w:t>45</w:t>
            </w:r>
            <w:r>
              <w:rPr>
                <w:rFonts w:hint="eastAsia" w:ascii="宋体" w:hAnsi="宋体" w:cs="宋体"/>
                <w:bCs/>
                <w:kern w:val="0"/>
                <w:sz w:val="24"/>
              </w:rPr>
              <w:t>-TLBD03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839"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交货期</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bookmarkStart w:id="4" w:name="_GoBack"/>
            <w:bookmarkEnd w:id="4"/>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8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质保期</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8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8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  注</w:t>
            </w:r>
          </w:p>
        </w:tc>
        <w:tc>
          <w:tcPr>
            <w:tcW w:w="7057"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上述承诺如符合本项目要求，填写“响应”即可。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8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2782" w:type="dxa"/>
            <w:gridSpan w:val="2"/>
            <w:tcBorders>
              <w:top w:val="single" w:color="auto" w:sz="4" w:space="0"/>
              <w:left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投标报价</w:t>
            </w:r>
          </w:p>
        </w:tc>
        <w:tc>
          <w:tcPr>
            <w:tcW w:w="7057"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520" w:lineRule="exact"/>
              <w:rPr>
                <w:rFonts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9839"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kern w:val="28"/>
                <w:sz w:val="24"/>
                <w:lang w:val="eu-ES"/>
              </w:rPr>
              <w:t>注：投标报价不得高于本项目概算（</w:t>
            </w:r>
            <w:r>
              <w:rPr>
                <w:rFonts w:hint="eastAsia" w:ascii="宋体" w:hAnsi="宋体" w:cs="宋体"/>
                <w:kern w:val="0"/>
                <w:sz w:val="24"/>
              </w:rPr>
              <w:t>人民币</w:t>
            </w:r>
            <w:r>
              <w:rPr>
                <w:rFonts w:hint="eastAsia" w:ascii="宋体" w:hAnsi="宋体" w:cs="宋体"/>
                <w:kern w:val="0"/>
                <w:sz w:val="24"/>
                <w:u w:val="single"/>
              </w:rPr>
              <w:t>500000</w:t>
            </w:r>
            <w:r>
              <w:rPr>
                <w:rFonts w:hint="eastAsia" w:ascii="宋体" w:hAnsi="宋体" w:cs="宋体"/>
                <w:kern w:val="0"/>
                <w:sz w:val="24"/>
              </w:rPr>
              <w:t>元</w:t>
            </w:r>
            <w:r>
              <w:rPr>
                <w:rFonts w:hint="eastAsia"/>
                <w:color w:val="FF0000"/>
                <w:kern w:val="28"/>
                <w:sz w:val="24"/>
                <w:lang w:val="eu-ES"/>
              </w:rPr>
              <w:t>）</w:t>
            </w:r>
            <w:r>
              <w:rPr>
                <w:rFonts w:hint="eastAsia"/>
                <w:kern w:val="28"/>
                <w:sz w:val="24"/>
                <w:lang w:val="eu-ES"/>
              </w:rPr>
              <w:t>，否则视为无效投标。</w:t>
            </w:r>
          </w:p>
        </w:tc>
      </w:tr>
    </w:tbl>
    <w:p>
      <w:pPr>
        <w:widowControl/>
        <w:spacing w:line="80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二〇二二年月日</w:t>
      </w:r>
    </w:p>
    <w:p>
      <w:pPr>
        <w:widowControl/>
        <w:spacing w:line="460" w:lineRule="exact"/>
        <w:rPr>
          <w:rFonts w:ascii="宋体" w:hAnsi="宋体" w:cs="宋体"/>
          <w:b/>
          <w:kern w:val="0"/>
          <w:sz w:val="24"/>
        </w:rPr>
      </w:pPr>
    </w:p>
    <w:p>
      <w:pPr>
        <w:widowControl/>
        <w:spacing w:line="460" w:lineRule="exact"/>
        <w:rPr>
          <w:rFonts w:ascii="宋体" w:hAnsi="宋体" w:cs="宋体"/>
          <w:b/>
          <w:kern w:val="0"/>
          <w:sz w:val="24"/>
        </w:rPr>
      </w:pPr>
    </w:p>
    <w:p>
      <w:pPr>
        <w:widowControl/>
        <w:spacing w:line="460" w:lineRule="exact"/>
        <w:rPr>
          <w:rFonts w:ascii="宋体" w:hAnsi="宋体" w:cs="宋体"/>
          <w:b/>
          <w:kern w:val="0"/>
          <w:sz w:val="24"/>
        </w:rPr>
      </w:pPr>
    </w:p>
    <w:p>
      <w:pPr>
        <w:widowControl/>
        <w:spacing w:line="400" w:lineRule="exact"/>
        <w:jc w:val="center"/>
        <w:rPr>
          <w:rFonts w:ascii="宋体" w:hAnsi="宋体" w:cs="宋体"/>
          <w:b/>
          <w:color w:val="FF0000"/>
          <w:kern w:val="0"/>
          <w:sz w:val="24"/>
        </w:rPr>
      </w:pPr>
    </w:p>
    <w:p>
      <w:pPr>
        <w:widowControl/>
        <w:spacing w:line="520" w:lineRule="exact"/>
        <w:ind w:left="6139" w:hanging="6139" w:hangingChars="2548"/>
        <w:jc w:val="center"/>
        <w:rPr>
          <w:rFonts w:ascii="宋体" w:hAnsi="宋体" w:cs="宋体"/>
          <w:b/>
          <w:kern w:val="0"/>
          <w:sz w:val="24"/>
        </w:rPr>
      </w:pPr>
      <w:r>
        <w:rPr>
          <w:rFonts w:hint="eastAsia" w:ascii="宋体" w:hAnsi="宋体" w:cs="宋体"/>
          <w:b/>
          <w:kern w:val="0"/>
          <w:sz w:val="24"/>
        </w:rPr>
        <w:t>格式3  分项报价表</w:t>
      </w:r>
    </w:p>
    <w:p>
      <w:pPr>
        <w:widowControl/>
        <w:spacing w:line="520" w:lineRule="exact"/>
        <w:ind w:left="6139" w:hanging="6139" w:hangingChars="2548"/>
        <w:rPr>
          <w:rFonts w:ascii="宋体" w:hAnsi="宋体" w:cs="宋体"/>
          <w:b/>
          <w:kern w:val="0"/>
          <w:sz w:val="24"/>
        </w:rPr>
      </w:pPr>
      <w:r>
        <w:rPr>
          <w:rFonts w:hint="eastAsia" w:ascii="宋体" w:hAnsi="宋体" w:cs="宋体"/>
          <w:b/>
          <w:kern w:val="0"/>
          <w:sz w:val="24"/>
        </w:rPr>
        <w:t>投标人：（盖章）            单位：人民币元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915"/>
        <w:gridCol w:w="708"/>
        <w:gridCol w:w="709"/>
        <w:gridCol w:w="851"/>
        <w:gridCol w:w="855"/>
        <w:gridCol w:w="1005"/>
        <w:gridCol w:w="106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87" w:type="dxa"/>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915" w:type="dxa"/>
            <w:vAlign w:val="center"/>
          </w:tcPr>
          <w:p>
            <w:pPr>
              <w:jc w:val="center"/>
              <w:rPr>
                <w:rFonts w:ascii="宋体" w:hAnsi="宋体"/>
                <w:b/>
                <w:szCs w:val="21"/>
              </w:rPr>
            </w:pPr>
            <w:r>
              <w:rPr>
                <w:rFonts w:hint="eastAsia" w:ascii="宋体" w:hAnsi="宋体"/>
                <w:b/>
                <w:szCs w:val="21"/>
              </w:rPr>
              <w:t>设备名称</w:t>
            </w:r>
          </w:p>
        </w:tc>
        <w:tc>
          <w:tcPr>
            <w:tcW w:w="708" w:type="dxa"/>
            <w:vAlign w:val="center"/>
          </w:tcPr>
          <w:p>
            <w:pPr>
              <w:jc w:val="center"/>
              <w:rPr>
                <w:rFonts w:ascii="宋体" w:hAnsi="宋体"/>
                <w:b/>
                <w:szCs w:val="21"/>
              </w:rPr>
            </w:pPr>
            <w:r>
              <w:rPr>
                <w:rFonts w:hint="eastAsia" w:ascii="宋体" w:hAnsi="宋体"/>
                <w:b/>
                <w:szCs w:val="21"/>
              </w:rPr>
              <w:t>规格</w:t>
            </w:r>
          </w:p>
        </w:tc>
        <w:tc>
          <w:tcPr>
            <w:tcW w:w="709" w:type="dxa"/>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851" w:type="dxa"/>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855" w:type="dxa"/>
            <w:vAlign w:val="center"/>
          </w:tcPr>
          <w:p>
            <w:pPr>
              <w:widowControl/>
              <w:jc w:val="center"/>
              <w:rPr>
                <w:rFonts w:ascii="宋体" w:hAnsi="宋体" w:cs="宋体"/>
                <w:b/>
                <w:bCs/>
                <w:kern w:val="0"/>
                <w:szCs w:val="21"/>
              </w:rPr>
            </w:pPr>
            <w:r>
              <w:rPr>
                <w:rFonts w:hint="eastAsia" w:ascii="宋体" w:hAnsi="宋体" w:cs="宋体"/>
                <w:b/>
                <w:bCs/>
                <w:kern w:val="0"/>
                <w:szCs w:val="21"/>
              </w:rPr>
              <w:t>含税</w:t>
            </w:r>
          </w:p>
          <w:p>
            <w:pPr>
              <w:widowControl/>
              <w:jc w:val="center"/>
              <w:rPr>
                <w:rFonts w:ascii="宋体" w:hAnsi="宋体" w:cs="宋体"/>
                <w:b/>
                <w:bCs/>
                <w:kern w:val="0"/>
                <w:szCs w:val="21"/>
              </w:rPr>
            </w:pPr>
            <w:r>
              <w:rPr>
                <w:rFonts w:hint="eastAsia" w:ascii="宋体" w:hAnsi="宋体" w:cs="宋体"/>
                <w:b/>
                <w:bCs/>
                <w:kern w:val="0"/>
                <w:szCs w:val="21"/>
              </w:rPr>
              <w:t>单价</w:t>
            </w:r>
          </w:p>
        </w:tc>
        <w:tc>
          <w:tcPr>
            <w:tcW w:w="1005" w:type="dxa"/>
            <w:vAlign w:val="center"/>
          </w:tcPr>
          <w:p>
            <w:pPr>
              <w:widowControl/>
              <w:jc w:val="center"/>
              <w:rPr>
                <w:rFonts w:ascii="宋体" w:hAnsi="宋体" w:cs="宋体"/>
                <w:b/>
                <w:bCs/>
                <w:kern w:val="0"/>
                <w:szCs w:val="21"/>
              </w:rPr>
            </w:pPr>
            <w:r>
              <w:rPr>
                <w:rFonts w:hint="eastAsia" w:ascii="宋体" w:hAnsi="宋体" w:cs="宋体"/>
                <w:b/>
                <w:bCs/>
                <w:kern w:val="0"/>
                <w:szCs w:val="21"/>
              </w:rPr>
              <w:t>含税</w:t>
            </w:r>
          </w:p>
          <w:p>
            <w:pPr>
              <w:widowControl/>
              <w:jc w:val="center"/>
              <w:rPr>
                <w:rFonts w:ascii="宋体" w:hAnsi="宋体" w:cs="宋体"/>
                <w:b/>
                <w:bCs/>
                <w:kern w:val="0"/>
                <w:szCs w:val="21"/>
              </w:rPr>
            </w:pPr>
            <w:r>
              <w:rPr>
                <w:rFonts w:hint="eastAsia" w:ascii="宋体" w:hAnsi="宋体" w:cs="宋体"/>
                <w:b/>
                <w:bCs/>
                <w:kern w:val="0"/>
                <w:szCs w:val="21"/>
              </w:rPr>
              <w:t>小计</w:t>
            </w:r>
          </w:p>
        </w:tc>
        <w:tc>
          <w:tcPr>
            <w:tcW w:w="1065" w:type="dxa"/>
            <w:vAlign w:val="center"/>
          </w:tcPr>
          <w:p>
            <w:pPr>
              <w:widowControl/>
              <w:jc w:val="center"/>
              <w:rPr>
                <w:rFonts w:ascii="宋体" w:hAnsi="宋体" w:cs="宋体"/>
                <w:b/>
                <w:bCs/>
                <w:kern w:val="0"/>
                <w:szCs w:val="21"/>
              </w:rPr>
            </w:pPr>
            <w:r>
              <w:rPr>
                <w:rFonts w:hint="eastAsia" w:ascii="宋体" w:hAnsi="宋体" w:cs="宋体"/>
                <w:b/>
                <w:bCs/>
                <w:kern w:val="0"/>
                <w:szCs w:val="21"/>
              </w:rPr>
              <w:t>投标品牌、型号（必填）</w:t>
            </w:r>
          </w:p>
        </w:tc>
        <w:tc>
          <w:tcPr>
            <w:tcW w:w="1470" w:type="dxa"/>
            <w:vAlign w:val="center"/>
          </w:tcPr>
          <w:p>
            <w:pPr>
              <w:widowControl/>
              <w:jc w:val="center"/>
              <w:rPr>
                <w:rFonts w:ascii="宋体" w:hAnsi="宋体"/>
                <w:b/>
                <w:bCs/>
                <w:kern w:val="0"/>
                <w:szCs w:val="21"/>
              </w:rPr>
            </w:pPr>
            <w:r>
              <w:rPr>
                <w:rFonts w:hint="eastAsia" w:ascii="宋体" w:hAnsi="宋体"/>
                <w:b/>
                <w:bCs/>
                <w:szCs w:val="21"/>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87" w:type="dxa"/>
            <w:vAlign w:val="center"/>
          </w:tcPr>
          <w:p>
            <w:pPr>
              <w:pStyle w:val="23"/>
              <w:widowControl w:val="0"/>
              <w:rPr>
                <w:rFonts w:cs="宋体"/>
                <w:bCs w:val="0"/>
                <w:kern w:val="2"/>
                <w:sz w:val="24"/>
                <w:szCs w:val="24"/>
              </w:rPr>
            </w:pPr>
          </w:p>
        </w:tc>
        <w:tc>
          <w:tcPr>
            <w:tcW w:w="1915" w:type="dxa"/>
            <w:vAlign w:val="center"/>
          </w:tcPr>
          <w:p>
            <w:pPr>
              <w:jc w:val="center"/>
              <w:rPr>
                <w:rFonts w:ascii="宋体" w:hAnsi="宋体" w:cs="宋体"/>
                <w:b/>
                <w:sz w:val="24"/>
              </w:rPr>
            </w:pPr>
          </w:p>
        </w:tc>
        <w:tc>
          <w:tcPr>
            <w:tcW w:w="708" w:type="dxa"/>
            <w:vAlign w:val="center"/>
          </w:tcPr>
          <w:p>
            <w:pPr>
              <w:jc w:val="center"/>
              <w:rPr>
                <w:rFonts w:ascii="宋体" w:hAnsi="宋体" w:cs="宋体"/>
                <w:b/>
                <w:sz w:val="24"/>
              </w:rPr>
            </w:pPr>
          </w:p>
        </w:tc>
        <w:tc>
          <w:tcPr>
            <w:tcW w:w="709" w:type="dxa"/>
            <w:vAlign w:val="center"/>
          </w:tcPr>
          <w:p>
            <w:pPr>
              <w:jc w:val="center"/>
              <w:rPr>
                <w:rFonts w:ascii="宋体" w:hAnsi="宋体" w:cs="宋体"/>
                <w:b/>
                <w:sz w:val="24"/>
              </w:rPr>
            </w:pPr>
          </w:p>
        </w:tc>
        <w:tc>
          <w:tcPr>
            <w:tcW w:w="851" w:type="dxa"/>
            <w:vAlign w:val="center"/>
          </w:tcPr>
          <w:p>
            <w:pPr>
              <w:jc w:val="center"/>
              <w:rPr>
                <w:rFonts w:ascii="宋体" w:hAnsi="宋体" w:cs="宋体"/>
                <w:b/>
                <w:sz w:val="24"/>
              </w:rPr>
            </w:pPr>
          </w:p>
        </w:tc>
        <w:tc>
          <w:tcPr>
            <w:tcW w:w="855" w:type="dxa"/>
            <w:vAlign w:val="center"/>
          </w:tcPr>
          <w:p>
            <w:pPr>
              <w:jc w:val="center"/>
              <w:rPr>
                <w:rFonts w:ascii="宋体" w:hAnsi="宋体" w:cs="宋体"/>
                <w:b/>
                <w:sz w:val="24"/>
              </w:rPr>
            </w:pPr>
          </w:p>
        </w:tc>
        <w:tc>
          <w:tcPr>
            <w:tcW w:w="1005" w:type="dxa"/>
            <w:vAlign w:val="center"/>
          </w:tcPr>
          <w:p>
            <w:pPr>
              <w:jc w:val="center"/>
              <w:rPr>
                <w:rFonts w:ascii="宋体" w:hAnsi="宋体" w:cs="宋体"/>
                <w:b/>
                <w:sz w:val="24"/>
              </w:rPr>
            </w:pPr>
          </w:p>
        </w:tc>
        <w:tc>
          <w:tcPr>
            <w:tcW w:w="1065" w:type="dxa"/>
            <w:vAlign w:val="center"/>
          </w:tcPr>
          <w:p>
            <w:pPr>
              <w:jc w:val="center"/>
              <w:rPr>
                <w:rFonts w:ascii="宋体" w:hAnsi="宋体" w:cs="宋体"/>
                <w:b/>
                <w:sz w:val="24"/>
              </w:rPr>
            </w:pPr>
          </w:p>
        </w:tc>
        <w:tc>
          <w:tcPr>
            <w:tcW w:w="1470"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tcBorders>
              <w:bottom w:val="single" w:color="auto" w:sz="4" w:space="0"/>
            </w:tcBorders>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87" w:type="dxa"/>
            <w:vAlign w:val="center"/>
          </w:tcPr>
          <w:p>
            <w:pPr>
              <w:jc w:val="center"/>
              <w:rPr>
                <w:rFonts w:ascii="宋体" w:hAnsi="宋体" w:cs="宋体"/>
                <w:sz w:val="24"/>
              </w:rPr>
            </w:pPr>
          </w:p>
        </w:tc>
        <w:tc>
          <w:tcPr>
            <w:tcW w:w="1915" w:type="dxa"/>
            <w:vAlign w:val="center"/>
          </w:tcPr>
          <w:p>
            <w:pPr>
              <w:jc w:val="center"/>
              <w:rPr>
                <w:rFonts w:ascii="宋体" w:hAnsi="宋体" w:cs="宋体"/>
                <w:sz w:val="24"/>
              </w:rPr>
            </w:pPr>
          </w:p>
        </w:tc>
        <w:tc>
          <w:tcPr>
            <w:tcW w:w="708" w:type="dxa"/>
            <w:vAlign w:val="center"/>
          </w:tcPr>
          <w:p>
            <w:pPr>
              <w:jc w:val="center"/>
              <w:rPr>
                <w:rFonts w:ascii="宋体" w:hAnsi="宋体" w:cs="宋体"/>
                <w:sz w:val="24"/>
              </w:rPr>
            </w:pPr>
          </w:p>
        </w:tc>
        <w:tc>
          <w:tcPr>
            <w:tcW w:w="709" w:type="dxa"/>
            <w:vAlign w:val="center"/>
          </w:tcPr>
          <w:p>
            <w:pPr>
              <w:jc w:val="center"/>
              <w:rPr>
                <w:rFonts w:ascii="宋体" w:hAnsi="宋体" w:cs="宋体"/>
                <w:sz w:val="24"/>
              </w:rPr>
            </w:pPr>
          </w:p>
        </w:tc>
        <w:tc>
          <w:tcPr>
            <w:tcW w:w="851" w:type="dxa"/>
            <w:vAlign w:val="center"/>
          </w:tcPr>
          <w:p>
            <w:pPr>
              <w:jc w:val="center"/>
              <w:rPr>
                <w:rFonts w:ascii="宋体" w:hAnsi="宋体" w:cs="宋体"/>
                <w:sz w:val="24"/>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r>
              <w:rPr>
                <w:rFonts w:hint="eastAsia" w:ascii="宋体" w:hAnsi="宋体" w:cs="宋体"/>
                <w:szCs w:val="24"/>
              </w:rPr>
              <w:t>其他费用……</w:t>
            </w: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s="宋体"/>
                <w:sz w:val="24"/>
              </w:rPr>
            </w:pPr>
          </w:p>
        </w:tc>
        <w:tc>
          <w:tcPr>
            <w:tcW w:w="1915" w:type="dxa"/>
            <w:vAlign w:val="center"/>
          </w:tcPr>
          <w:p>
            <w:pPr>
              <w:pStyle w:val="24"/>
              <w:jc w:val="center"/>
              <w:rPr>
                <w:rFonts w:ascii="宋体" w:hAnsi="宋体" w:cs="宋体"/>
                <w:szCs w:val="24"/>
              </w:rPr>
            </w:pPr>
            <w:r>
              <w:rPr>
                <w:rFonts w:hint="eastAsia" w:ascii="宋体" w:hAnsi="宋体" w:cs="宋体"/>
                <w:szCs w:val="24"/>
              </w:rPr>
              <w:t>合计</w:t>
            </w:r>
          </w:p>
        </w:tc>
        <w:tc>
          <w:tcPr>
            <w:tcW w:w="708" w:type="dxa"/>
            <w:vAlign w:val="center"/>
          </w:tcPr>
          <w:p>
            <w:pPr>
              <w:pStyle w:val="24"/>
              <w:jc w:val="center"/>
              <w:rPr>
                <w:rFonts w:ascii="宋体" w:hAnsi="宋体" w:cs="宋体"/>
                <w:szCs w:val="24"/>
              </w:rPr>
            </w:pPr>
          </w:p>
        </w:tc>
        <w:tc>
          <w:tcPr>
            <w:tcW w:w="709" w:type="dxa"/>
            <w:vAlign w:val="center"/>
          </w:tcPr>
          <w:p>
            <w:pPr>
              <w:pStyle w:val="24"/>
              <w:jc w:val="center"/>
              <w:rPr>
                <w:rFonts w:ascii="宋体" w:hAnsi="宋体" w:cs="宋体"/>
                <w:szCs w:val="24"/>
              </w:rPr>
            </w:pPr>
          </w:p>
        </w:tc>
        <w:tc>
          <w:tcPr>
            <w:tcW w:w="851" w:type="dxa"/>
            <w:vAlign w:val="center"/>
          </w:tcPr>
          <w:p>
            <w:pPr>
              <w:pStyle w:val="24"/>
              <w:rPr>
                <w:rFonts w:ascii="宋体" w:hAnsi="宋体" w:cs="宋体"/>
              </w:rPr>
            </w:pPr>
          </w:p>
        </w:tc>
        <w:tc>
          <w:tcPr>
            <w:tcW w:w="855" w:type="dxa"/>
            <w:vAlign w:val="center"/>
          </w:tcPr>
          <w:p>
            <w:pPr>
              <w:jc w:val="center"/>
              <w:rPr>
                <w:rFonts w:ascii="宋体" w:hAnsi="宋体" w:cs="宋体"/>
                <w:sz w:val="24"/>
              </w:rPr>
            </w:pPr>
          </w:p>
        </w:tc>
        <w:tc>
          <w:tcPr>
            <w:tcW w:w="1005" w:type="dxa"/>
            <w:vAlign w:val="center"/>
          </w:tcPr>
          <w:p>
            <w:pPr>
              <w:jc w:val="center"/>
              <w:rPr>
                <w:rFonts w:ascii="宋体" w:hAnsi="宋体" w:cs="宋体"/>
                <w:sz w:val="24"/>
              </w:rPr>
            </w:pPr>
          </w:p>
        </w:tc>
        <w:tc>
          <w:tcPr>
            <w:tcW w:w="1065" w:type="dxa"/>
            <w:vAlign w:val="center"/>
          </w:tcPr>
          <w:p>
            <w:pPr>
              <w:jc w:val="center"/>
              <w:rPr>
                <w:rFonts w:ascii="宋体" w:hAnsi="宋体" w:cs="宋体"/>
                <w:sz w:val="24"/>
              </w:rPr>
            </w:pPr>
          </w:p>
        </w:tc>
        <w:tc>
          <w:tcPr>
            <w:tcW w:w="1470"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465" w:type="dxa"/>
            <w:gridSpan w:val="9"/>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备注：</w:t>
            </w:r>
          </w:p>
          <w:p>
            <w:pPr>
              <w:widowControl/>
              <w:spacing w:line="500" w:lineRule="exact"/>
              <w:jc w:val="left"/>
              <w:rPr>
                <w:rFonts w:ascii="宋体" w:hAnsi="宋体" w:cs="宋体"/>
                <w:color w:val="000000"/>
                <w:kern w:val="0"/>
                <w:sz w:val="22"/>
                <w:szCs w:val="22"/>
              </w:rPr>
            </w:pPr>
            <w:r>
              <w:rPr>
                <w:rFonts w:hint="eastAsia" w:ascii="宋体" w:hAnsi="宋体" w:cs="宋体"/>
                <w:color w:val="000000"/>
                <w:kern w:val="0"/>
                <w:sz w:val="22"/>
                <w:szCs w:val="22"/>
              </w:rPr>
              <w:t>1.投标报价是指标的物送达招标人指定地点并安装调试经甲方验收合格后开据增值税专用发票</w:t>
            </w:r>
            <w:r>
              <w:rPr>
                <w:rFonts w:hint="eastAsia" w:ascii="宋体" w:hAnsi="宋体" w:cs="宋体"/>
                <w:bCs/>
                <w:color w:val="000000"/>
                <w:kern w:val="0"/>
                <w:sz w:val="22"/>
                <w:szCs w:val="22"/>
              </w:rPr>
              <w:t>（13%税率）</w:t>
            </w:r>
            <w:r>
              <w:rPr>
                <w:rFonts w:hint="eastAsia" w:ascii="宋体" w:hAnsi="宋体" w:cs="宋体"/>
                <w:color w:val="000000"/>
                <w:kern w:val="0"/>
                <w:sz w:val="22"/>
                <w:szCs w:val="22"/>
              </w:rPr>
              <w:t>及两年免费质保的价格。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2.投标报价不得高于项目概算，否则视为废标。  </w:t>
            </w:r>
          </w:p>
          <w:p>
            <w:pPr>
              <w:widowControl/>
              <w:spacing w:line="500" w:lineRule="exact"/>
              <w:jc w:val="left"/>
              <w:rPr>
                <w:rFonts w:ascii="宋体" w:hAnsi="宋体" w:cs="宋体"/>
                <w:color w:val="000000"/>
                <w:kern w:val="0"/>
                <w:sz w:val="22"/>
                <w:szCs w:val="22"/>
              </w:rPr>
            </w:pPr>
            <w:r>
              <w:rPr>
                <w:rFonts w:hint="eastAsia" w:ascii="宋体" w:hAnsi="宋体" w:cs="宋体"/>
                <w:color w:val="000000"/>
                <w:kern w:val="0"/>
                <w:sz w:val="22"/>
                <w:szCs w:val="22"/>
              </w:rPr>
              <w:t>3.</w:t>
            </w:r>
            <w:r>
              <w:rPr>
                <w:rFonts w:hint="eastAsia" w:ascii="宋体" w:hAnsi="宋体" w:cs="宋体"/>
                <w:sz w:val="22"/>
                <w:szCs w:val="22"/>
              </w:rPr>
              <w:t>投标人应充分考虑地理位置、道路运输、垂直吊装、装卸、施工条件、食宿差旅费、垃圾处理费、登高作业安全措施费、配电连接、维保及任何其它足以影响投标报价的情况，须充分考虑风险因素并计入投标报价，中标后任何因疏忽或误解项目情况而导致的费用增加，投标人自行承担。</w:t>
            </w:r>
          </w:p>
          <w:p>
            <w:pPr>
              <w:spacing w:line="500" w:lineRule="exact"/>
              <w:jc w:val="left"/>
              <w:rPr>
                <w:rFonts w:ascii="宋体" w:hAnsi="宋体" w:cs="宋体"/>
                <w:sz w:val="24"/>
              </w:rPr>
            </w:pPr>
            <w:r>
              <w:rPr>
                <w:rFonts w:hint="eastAsia" w:ascii="宋体" w:hAnsi="宋体" w:cs="宋体"/>
                <w:color w:val="000000"/>
                <w:kern w:val="0"/>
                <w:sz w:val="22"/>
                <w:szCs w:val="22"/>
              </w:rPr>
              <w:t>4.报价不得有缺漏项和算术性错误，投标品牌型号及响应偏离情况必须填写，否则将可能视为无效报价。</w:t>
            </w:r>
          </w:p>
        </w:tc>
      </w:tr>
    </w:tbl>
    <w:p>
      <w:pPr>
        <w:widowControl/>
        <w:shd w:val="clear" w:color="auto" w:fill="FFFFFF"/>
        <w:spacing w:line="400" w:lineRule="atLeast"/>
        <w:rPr>
          <w:rFonts w:ascii="宋体" w:hAnsi="宋体"/>
          <w:b/>
          <w:bCs/>
          <w:kern w:val="0"/>
          <w:sz w:val="24"/>
        </w:rPr>
      </w:pPr>
    </w:p>
    <w:p>
      <w:pPr>
        <w:widowControl/>
        <w:spacing w:line="520" w:lineRule="exact"/>
        <w:jc w:val="center"/>
        <w:rPr>
          <w:rFonts w:ascii="宋体" w:hAnsi="宋体" w:cs="宋体"/>
          <w:b/>
          <w:color w:val="FF0000"/>
          <w:kern w:val="0"/>
          <w:sz w:val="24"/>
        </w:rPr>
      </w:pPr>
    </w:p>
    <w:p>
      <w:pPr>
        <w:widowControl/>
        <w:spacing w:line="400" w:lineRule="exact"/>
        <w:jc w:val="center"/>
        <w:rPr>
          <w:rFonts w:ascii="宋体" w:hAnsi="宋体" w:cs="宋体"/>
          <w:b/>
          <w:kern w:val="0"/>
          <w:sz w:val="24"/>
        </w:rPr>
      </w:pPr>
      <w:r>
        <w:rPr>
          <w:rFonts w:ascii="宋体" w:hAnsi="宋体" w:cs="宋体"/>
          <w:b/>
          <w:color w:val="FF0000"/>
          <w:kern w:val="0"/>
          <w:sz w:val="24"/>
        </w:rPr>
        <w:br w:type="page"/>
      </w:r>
    </w:p>
    <w:p>
      <w:pPr>
        <w:widowControl/>
        <w:spacing w:line="520" w:lineRule="exact"/>
        <w:jc w:val="center"/>
        <w:rPr>
          <w:rFonts w:ascii="宋体" w:hAnsi="宋体" w:cs="宋体"/>
          <w:kern w:val="0"/>
          <w:sz w:val="24"/>
        </w:rPr>
      </w:pPr>
      <w:r>
        <w:rPr>
          <w:rFonts w:hint="eastAsia" w:ascii="宋体" w:hAnsi="宋体" w:cs="宋体"/>
          <w:b/>
          <w:kern w:val="0"/>
          <w:sz w:val="24"/>
        </w:rPr>
        <w:t>格式4  投标承诺事项</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r>
        <w:rPr>
          <w:rFonts w:hint="eastAsia" w:ascii="宋体" w:hAnsi="宋体" w:cs="宋体"/>
          <w:b/>
          <w:kern w:val="0"/>
          <w:sz w:val="24"/>
        </w:rPr>
        <w:t>内容包括如下：</w:t>
      </w:r>
    </w:p>
    <w:p>
      <w:pPr>
        <w:widowControl/>
        <w:spacing w:line="500" w:lineRule="exact"/>
        <w:jc w:val="left"/>
        <w:rPr>
          <w:rFonts w:ascii="宋体" w:hAnsi="宋体" w:cs="宋体"/>
          <w:kern w:val="0"/>
          <w:sz w:val="24"/>
        </w:rPr>
      </w:pPr>
      <w:r>
        <w:rPr>
          <w:rFonts w:hint="eastAsia" w:ascii="宋体" w:hAnsi="宋体" w:cs="宋体"/>
          <w:kern w:val="0"/>
          <w:sz w:val="24"/>
        </w:rPr>
        <w:t>1.对交货期的承诺；</w:t>
      </w:r>
    </w:p>
    <w:p>
      <w:pPr>
        <w:widowControl/>
        <w:spacing w:line="500" w:lineRule="exact"/>
        <w:jc w:val="left"/>
        <w:rPr>
          <w:rFonts w:ascii="宋体" w:hAnsi="宋体" w:cs="宋体"/>
          <w:kern w:val="0"/>
          <w:sz w:val="24"/>
        </w:rPr>
      </w:pPr>
      <w:r>
        <w:rPr>
          <w:rFonts w:hint="eastAsia" w:ascii="宋体" w:hAnsi="宋体" w:cs="宋体"/>
          <w:kern w:val="0"/>
          <w:sz w:val="24"/>
        </w:rPr>
        <w:t>2.对产品质量和售后服务的承诺；</w:t>
      </w:r>
    </w:p>
    <w:p>
      <w:pPr>
        <w:pStyle w:val="2"/>
        <w:spacing w:line="500" w:lineRule="exact"/>
      </w:pPr>
      <w:r>
        <w:rPr>
          <w:rFonts w:hint="eastAsia" w:hAnsi="宋体" w:cs="宋体"/>
        </w:rPr>
        <w:t>3.合同签订前提供材料的承诺（详见P9招标需求）</w:t>
      </w:r>
    </w:p>
    <w:p>
      <w:pPr>
        <w:widowControl/>
        <w:spacing w:line="500" w:lineRule="exact"/>
        <w:jc w:val="left"/>
        <w:rPr>
          <w:rFonts w:ascii="宋体" w:hAnsi="宋体" w:cs="宋体"/>
          <w:kern w:val="0"/>
          <w:sz w:val="24"/>
        </w:rPr>
      </w:pPr>
      <w:r>
        <w:rPr>
          <w:rFonts w:hint="eastAsia" w:ascii="宋体" w:hAnsi="宋体" w:cs="宋体"/>
          <w:kern w:val="0"/>
          <w:sz w:val="24"/>
        </w:rPr>
        <w:t>4.投标人的其他承诺</w:t>
      </w: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color w:val="000000"/>
          <w:kern w:val="0"/>
          <w:szCs w:val="21"/>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b/>
          <w:kern w:val="0"/>
          <w:sz w:val="24"/>
        </w:rPr>
      </w:pPr>
    </w:p>
    <w:p>
      <w:pPr>
        <w:widowControl/>
        <w:spacing w:line="460" w:lineRule="exact"/>
        <w:jc w:val="center"/>
        <w:rPr>
          <w:rFonts w:ascii="宋体" w:hAnsi="宋体" w:cs="宋体"/>
          <w:kern w:val="0"/>
          <w:sz w:val="24"/>
        </w:rPr>
      </w:pPr>
      <w:r>
        <w:rPr>
          <w:rFonts w:hint="eastAsia" w:ascii="宋体" w:hAnsi="宋体" w:cs="宋体"/>
          <w:b/>
          <w:kern w:val="0"/>
          <w:sz w:val="24"/>
        </w:rPr>
        <w:t>二、投标资格证明文件</w:t>
      </w:r>
    </w:p>
    <w:p>
      <w:pPr>
        <w:widowControl/>
        <w:spacing w:line="460" w:lineRule="exact"/>
        <w:jc w:val="left"/>
        <w:rPr>
          <w:rFonts w:ascii="宋体" w:hAnsi="宋体" w:cs="宋体"/>
          <w:b/>
          <w:kern w:val="0"/>
          <w:sz w:val="24"/>
        </w:rPr>
      </w:pPr>
    </w:p>
    <w:p>
      <w:pPr>
        <w:widowControl/>
        <w:spacing w:line="460" w:lineRule="exact"/>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60" w:lineRule="exact"/>
        <w:jc w:val="left"/>
        <w:rPr>
          <w:rFonts w:ascii="宋体" w:hAnsi="宋体" w:cs="宋体"/>
          <w:kern w:val="0"/>
          <w:sz w:val="24"/>
        </w:rPr>
      </w:pPr>
      <w:r>
        <w:rPr>
          <w:rFonts w:hint="eastAsia" w:ascii="宋体" w:hAnsi="宋体" w:cs="宋体"/>
          <w:kern w:val="0"/>
          <w:sz w:val="24"/>
        </w:rPr>
        <w:t>1.</w:t>
      </w:r>
      <w:r>
        <w:rPr>
          <w:rFonts w:hint="eastAsia" w:ascii="宋体" w:hAnsi="宋体" w:cs="宋体"/>
          <w:bCs/>
          <w:kern w:val="0"/>
          <w:sz w:val="24"/>
        </w:rPr>
        <w:t>投标人简介、通讯方式</w:t>
      </w:r>
    </w:p>
    <w:p>
      <w:pPr>
        <w:widowControl/>
        <w:spacing w:line="460" w:lineRule="exact"/>
        <w:jc w:val="left"/>
        <w:rPr>
          <w:rFonts w:ascii="宋体" w:hAnsi="宋体" w:cs="宋体"/>
          <w:kern w:val="0"/>
          <w:sz w:val="24"/>
        </w:rPr>
      </w:pPr>
      <w:r>
        <w:rPr>
          <w:rFonts w:hint="eastAsia" w:ascii="宋体" w:hAnsi="宋体" w:cs="宋体"/>
          <w:kern w:val="0"/>
          <w:sz w:val="24"/>
        </w:rPr>
        <w:t>2.与标的物有关的情况</w:t>
      </w:r>
    </w:p>
    <w:p>
      <w:pPr>
        <w:widowControl/>
        <w:spacing w:line="460" w:lineRule="exact"/>
        <w:jc w:val="left"/>
        <w:rPr>
          <w:rFonts w:ascii="宋体" w:hAnsi="宋体" w:cs="宋体"/>
          <w:kern w:val="0"/>
          <w:sz w:val="24"/>
        </w:rPr>
      </w:pPr>
      <w:r>
        <w:rPr>
          <w:rFonts w:hint="eastAsia" w:ascii="宋体" w:hAnsi="宋体" w:cs="宋体"/>
          <w:kern w:val="0"/>
          <w:sz w:val="24"/>
        </w:rPr>
        <w:t>3.开户银行名称及地址</w:t>
      </w:r>
    </w:p>
    <w:p>
      <w:pPr>
        <w:widowControl/>
        <w:spacing w:line="460" w:lineRule="exact"/>
        <w:jc w:val="left"/>
        <w:rPr>
          <w:rFonts w:ascii="宋体" w:hAnsi="宋体" w:cs="宋体"/>
          <w:kern w:val="0"/>
          <w:sz w:val="24"/>
        </w:rPr>
      </w:pPr>
      <w:r>
        <w:rPr>
          <w:rFonts w:hint="eastAsia" w:ascii="宋体" w:hAnsi="宋体" w:cs="宋体"/>
          <w:kern w:val="0"/>
          <w:sz w:val="24"/>
        </w:rPr>
        <w:t>4.投标人认为需要说明的其它情况</w:t>
      </w:r>
    </w:p>
    <w:p>
      <w:pPr>
        <w:widowControl/>
        <w:spacing w:line="400" w:lineRule="exact"/>
        <w:ind w:left="4801" w:leftChars="2286" w:firstLine="960" w:firstLineChars="400"/>
        <w:jc w:val="left"/>
        <w:rPr>
          <w:rFonts w:ascii="宋体" w:hAnsi="宋体" w:cs="宋体"/>
          <w:kern w:val="0"/>
          <w:sz w:val="24"/>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line="640" w:lineRule="exact"/>
        <w:rPr>
          <w:rFonts w:ascii="宋体" w:hAnsi="宋体" w:cs="宋体"/>
          <w:b/>
          <w:sz w:val="24"/>
        </w:rPr>
      </w:pPr>
      <w:r>
        <w:rPr>
          <w:rFonts w:hint="eastAsia" w:ascii="宋体" w:hAnsi="宋体" w:cs="宋体"/>
          <w:b/>
          <w:sz w:val="24"/>
        </w:rPr>
        <w:t>合肥百货大楼集团铜陵合百商厦有限责任公司：</w:t>
      </w:r>
    </w:p>
    <w:p>
      <w:pPr>
        <w:spacing w:line="64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2022年  月  日</w:t>
      </w:r>
      <w:r>
        <w:rPr>
          <w:rFonts w:hint="eastAsia" w:ascii="宋体" w:hAnsi="宋体" w:cs="宋体"/>
          <w:sz w:val="24"/>
        </w:rPr>
        <w:t>参加</w:t>
      </w:r>
      <w:r>
        <w:rPr>
          <w:rFonts w:hint="eastAsia" w:ascii="宋体" w:hAnsi="宋体" w:cs="宋体"/>
          <w:sz w:val="24"/>
          <w:u w:val="single"/>
        </w:rPr>
        <w:t xml:space="preserve"> 铜陵百大中央空调系统冷却塔采购及安装</w:t>
      </w:r>
      <w:r>
        <w:rPr>
          <w:rFonts w:hint="eastAsia" w:ascii="宋体" w:hAnsi="宋体" w:cs="宋体"/>
          <w:sz w:val="24"/>
        </w:rPr>
        <w:t>项目招投标，交纳保证金</w:t>
      </w:r>
      <w:r>
        <w:rPr>
          <w:rFonts w:hint="eastAsia" w:ascii="宋体" w:hAnsi="宋体"/>
          <w:b/>
          <w:kern w:val="0"/>
          <w:sz w:val="24"/>
          <w:u w:val="single"/>
        </w:rPr>
        <w:t>伍仟</w:t>
      </w:r>
      <w:r>
        <w:rPr>
          <w:rFonts w:hint="eastAsia" w:ascii="宋体" w:hAnsi="宋体" w:cs="宋体"/>
          <w:sz w:val="24"/>
        </w:rPr>
        <w:t>元。如我公司未中标，请将该项目投标保证金退至以下账号；如我公司中标，投标保证金退还事宜按投标邀请约定执行。</w:t>
      </w:r>
    </w:p>
    <w:p>
      <w:pPr>
        <w:spacing w:line="640" w:lineRule="exact"/>
        <w:ind w:firstLine="460" w:firstLineChars="192"/>
        <w:rPr>
          <w:rFonts w:ascii="宋体" w:hAnsi="宋体" w:cs="宋体"/>
          <w:sz w:val="24"/>
        </w:rPr>
      </w:pPr>
      <w:r>
        <w:rPr>
          <w:rFonts w:hint="eastAsia" w:ascii="宋体" w:hAnsi="宋体" w:cs="宋体"/>
          <w:sz w:val="24"/>
        </w:rPr>
        <w:t>请予办理。</w:t>
      </w:r>
    </w:p>
    <w:p>
      <w:pPr>
        <w:spacing w:line="640" w:lineRule="exact"/>
        <w:ind w:firstLine="460" w:firstLineChars="192"/>
        <w:rPr>
          <w:rFonts w:ascii="宋体" w:hAnsi="宋体" w:cs="宋体"/>
          <w:sz w:val="24"/>
        </w:rPr>
      </w:pPr>
      <w:r>
        <w:rPr>
          <w:rFonts w:hint="eastAsia" w:ascii="宋体" w:hAnsi="宋体" w:cs="宋体"/>
          <w:sz w:val="24"/>
        </w:rPr>
        <w:t>户    名：</w:t>
      </w:r>
    </w:p>
    <w:p>
      <w:pPr>
        <w:spacing w:line="640" w:lineRule="exact"/>
        <w:ind w:firstLine="460" w:firstLineChars="192"/>
        <w:rPr>
          <w:rFonts w:ascii="宋体" w:hAnsi="宋体" w:cs="宋体"/>
          <w:sz w:val="24"/>
        </w:rPr>
      </w:pPr>
      <w:r>
        <w:rPr>
          <w:rFonts w:hint="eastAsia" w:ascii="宋体" w:hAnsi="宋体" w:cs="宋体"/>
          <w:sz w:val="24"/>
        </w:rPr>
        <w:t>开户银行：</w:t>
      </w:r>
    </w:p>
    <w:p>
      <w:pPr>
        <w:spacing w:line="640" w:lineRule="exact"/>
        <w:ind w:firstLine="460" w:firstLineChars="192"/>
        <w:rPr>
          <w:rFonts w:ascii="宋体" w:hAnsi="宋体" w:cs="宋体"/>
          <w:sz w:val="24"/>
        </w:rPr>
      </w:pPr>
      <w:r>
        <w:rPr>
          <w:rFonts w:hint="eastAsia" w:ascii="宋体" w:hAnsi="宋体" w:cs="宋体"/>
          <w:sz w:val="24"/>
        </w:rPr>
        <w:t>帐    号：</w:t>
      </w:r>
    </w:p>
    <w:p>
      <w:pPr>
        <w:spacing w:line="640" w:lineRule="exact"/>
        <w:ind w:firstLine="460" w:firstLineChars="192"/>
        <w:rPr>
          <w:rFonts w:ascii="宋体" w:hAnsi="宋体" w:cs="宋体"/>
          <w:sz w:val="24"/>
        </w:rPr>
      </w:pPr>
      <w:r>
        <w:rPr>
          <w:rFonts w:hint="eastAsia" w:ascii="宋体" w:hAnsi="宋体" w:cs="宋体"/>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854" w:type="dxa"/>
          </w:tcPr>
          <w:p>
            <w:pPr>
              <w:spacing w:line="640" w:lineRule="exact"/>
              <w:rPr>
                <w:rFonts w:ascii="宋体" w:hAnsi="宋体" w:cs="宋体"/>
                <w:sz w:val="24"/>
              </w:rPr>
            </w:pPr>
          </w:p>
          <w:p>
            <w:pPr>
              <w:spacing w:line="640" w:lineRule="exact"/>
              <w:rPr>
                <w:rFonts w:ascii="宋体" w:hAnsi="宋体" w:cs="宋体"/>
                <w:sz w:val="24"/>
              </w:rPr>
            </w:pPr>
          </w:p>
          <w:p>
            <w:pPr>
              <w:spacing w:line="640" w:lineRule="exact"/>
              <w:jc w:val="center"/>
              <w:rPr>
                <w:rFonts w:ascii="宋体" w:hAnsi="宋体" w:cs="宋体"/>
                <w:sz w:val="24"/>
              </w:rPr>
            </w:pPr>
            <w:r>
              <w:rPr>
                <w:rFonts w:hint="eastAsia" w:ascii="宋体" w:hAnsi="宋体" w:cs="宋体"/>
                <w:sz w:val="24"/>
                <w:highlight w:val="yellow"/>
              </w:rPr>
              <w:t>此处粘贴转账单截图或复印件</w:t>
            </w:r>
          </w:p>
          <w:p>
            <w:pPr>
              <w:spacing w:line="640" w:lineRule="exact"/>
              <w:rPr>
                <w:rFonts w:ascii="宋体" w:hAnsi="宋体" w:cs="宋体"/>
                <w:sz w:val="24"/>
              </w:rPr>
            </w:pPr>
          </w:p>
          <w:p>
            <w:pPr>
              <w:spacing w:line="640" w:lineRule="exact"/>
              <w:rPr>
                <w:rFonts w:ascii="宋体" w:hAnsi="宋体" w:cs="宋体"/>
                <w:sz w:val="24"/>
              </w:rPr>
            </w:pPr>
          </w:p>
          <w:p>
            <w:pPr>
              <w:spacing w:line="640" w:lineRule="exact"/>
              <w:rPr>
                <w:rFonts w:ascii="宋体" w:hAnsi="宋体" w:cs="宋体"/>
                <w:sz w:val="24"/>
              </w:rPr>
            </w:pPr>
          </w:p>
        </w:tc>
      </w:tr>
    </w:tbl>
    <w:p>
      <w:pPr>
        <w:spacing w:line="64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640" w:lineRule="exact"/>
        <w:rPr>
          <w:rFonts w:ascii="宋体" w:hAnsi="宋体" w:cs="宋体"/>
          <w:sz w:val="24"/>
        </w:rPr>
      </w:pPr>
    </w:p>
    <w:p>
      <w:pPr>
        <w:spacing w:line="640" w:lineRule="exact"/>
        <w:ind w:firstLine="3393" w:firstLineChars="1414"/>
        <w:rPr>
          <w:rFonts w:ascii="宋体" w:hAnsi="宋体" w:cs="宋体"/>
          <w:sz w:val="24"/>
          <w:u w:val="single"/>
        </w:rPr>
      </w:pPr>
      <w:r>
        <w:rPr>
          <w:rFonts w:hint="eastAsia" w:ascii="宋体" w:hAnsi="宋体" w:cs="宋体"/>
          <w:sz w:val="24"/>
        </w:rPr>
        <w:t xml:space="preserve">                 投标人签章：</w:t>
      </w:r>
    </w:p>
    <w:p>
      <w:pPr>
        <w:spacing w:line="640" w:lineRule="exact"/>
        <w:ind w:firstLine="3393" w:firstLineChars="1414"/>
        <w:rPr>
          <w:rFonts w:ascii="宋体" w:hAnsi="宋体" w:cs="宋体"/>
          <w:sz w:val="24"/>
        </w:rPr>
      </w:pPr>
      <w:r>
        <w:rPr>
          <w:rFonts w:hint="eastAsia" w:ascii="宋体" w:hAnsi="宋体" w:cs="宋体"/>
          <w:sz w:val="24"/>
        </w:rPr>
        <w:t xml:space="preserve">                 2022年月日</w:t>
      </w:r>
    </w:p>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72581"/>
    <w:multiLevelType w:val="singleLevel"/>
    <w:tmpl w:val="BA072581"/>
    <w:lvl w:ilvl="0" w:tentative="0">
      <w:start w:val="3"/>
      <w:numFmt w:val="chineseCounting"/>
      <w:suff w:val="space"/>
      <w:lvlText w:val="第%1章"/>
      <w:lvlJc w:val="left"/>
      <w:rPr>
        <w:rFonts w:hint="eastAsia"/>
      </w:rPr>
    </w:lvl>
  </w:abstractNum>
  <w:abstractNum w:abstractNumId="1">
    <w:nsid w:val="1A9D35FD"/>
    <w:multiLevelType w:val="multilevel"/>
    <w:tmpl w:val="1A9D35F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D717F6"/>
    <w:multiLevelType w:val="multilevel"/>
    <w:tmpl w:val="45D717F6"/>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1440E20"/>
    <w:multiLevelType w:val="multilevel"/>
    <w:tmpl w:val="71440E2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cwNzlhYjg3YjgyYTkwY2M0ZTg4NWJlZjBhNGY0OGIifQ=="/>
  </w:docVars>
  <w:rsids>
    <w:rsidRoot w:val="00645470"/>
    <w:rsid w:val="00022653"/>
    <w:rsid w:val="0003026D"/>
    <w:rsid w:val="000875F3"/>
    <w:rsid w:val="0008792D"/>
    <w:rsid w:val="00132893"/>
    <w:rsid w:val="001814B5"/>
    <w:rsid w:val="00182307"/>
    <w:rsid w:val="00184B12"/>
    <w:rsid w:val="0018693B"/>
    <w:rsid w:val="0019201D"/>
    <w:rsid w:val="00196930"/>
    <w:rsid w:val="001D4BFE"/>
    <w:rsid w:val="001F6F32"/>
    <w:rsid w:val="0028340C"/>
    <w:rsid w:val="00295445"/>
    <w:rsid w:val="002A4843"/>
    <w:rsid w:val="002A4D73"/>
    <w:rsid w:val="002B21C7"/>
    <w:rsid w:val="002E7324"/>
    <w:rsid w:val="002F296E"/>
    <w:rsid w:val="003232B5"/>
    <w:rsid w:val="00326683"/>
    <w:rsid w:val="00337116"/>
    <w:rsid w:val="00342DDE"/>
    <w:rsid w:val="003B01AD"/>
    <w:rsid w:val="003B0F2D"/>
    <w:rsid w:val="003B4A96"/>
    <w:rsid w:val="003B6B3B"/>
    <w:rsid w:val="003C796B"/>
    <w:rsid w:val="003D3052"/>
    <w:rsid w:val="003D35FC"/>
    <w:rsid w:val="003F1722"/>
    <w:rsid w:val="0040137C"/>
    <w:rsid w:val="00417EF4"/>
    <w:rsid w:val="00434DE5"/>
    <w:rsid w:val="00480A3B"/>
    <w:rsid w:val="004A4D33"/>
    <w:rsid w:val="004C08B4"/>
    <w:rsid w:val="004D652E"/>
    <w:rsid w:val="00536752"/>
    <w:rsid w:val="00577F38"/>
    <w:rsid w:val="005B5978"/>
    <w:rsid w:val="005D2274"/>
    <w:rsid w:val="00613B95"/>
    <w:rsid w:val="00631004"/>
    <w:rsid w:val="00645470"/>
    <w:rsid w:val="006465F1"/>
    <w:rsid w:val="00655F20"/>
    <w:rsid w:val="006630C7"/>
    <w:rsid w:val="00677080"/>
    <w:rsid w:val="00686956"/>
    <w:rsid w:val="006B0AB5"/>
    <w:rsid w:val="00764630"/>
    <w:rsid w:val="00792D2E"/>
    <w:rsid w:val="007D13BF"/>
    <w:rsid w:val="007D2693"/>
    <w:rsid w:val="007D5B6D"/>
    <w:rsid w:val="00800A43"/>
    <w:rsid w:val="0083338A"/>
    <w:rsid w:val="00856B63"/>
    <w:rsid w:val="008576DA"/>
    <w:rsid w:val="0086083F"/>
    <w:rsid w:val="0088641C"/>
    <w:rsid w:val="008B483A"/>
    <w:rsid w:val="008D08C9"/>
    <w:rsid w:val="0091009D"/>
    <w:rsid w:val="009241D3"/>
    <w:rsid w:val="00957E53"/>
    <w:rsid w:val="00966018"/>
    <w:rsid w:val="00970BC5"/>
    <w:rsid w:val="00996F01"/>
    <w:rsid w:val="009A13B3"/>
    <w:rsid w:val="00A0236E"/>
    <w:rsid w:val="00A1344D"/>
    <w:rsid w:val="00A269D3"/>
    <w:rsid w:val="00AB2A47"/>
    <w:rsid w:val="00AD4C1A"/>
    <w:rsid w:val="00AE211F"/>
    <w:rsid w:val="00B15D12"/>
    <w:rsid w:val="00B30956"/>
    <w:rsid w:val="00B51A9E"/>
    <w:rsid w:val="00B574A2"/>
    <w:rsid w:val="00B60666"/>
    <w:rsid w:val="00B81974"/>
    <w:rsid w:val="00BD0B3D"/>
    <w:rsid w:val="00BE14F6"/>
    <w:rsid w:val="00BF4D5B"/>
    <w:rsid w:val="00C22BBC"/>
    <w:rsid w:val="00C24F15"/>
    <w:rsid w:val="00C345DE"/>
    <w:rsid w:val="00C41C5B"/>
    <w:rsid w:val="00C67CFE"/>
    <w:rsid w:val="00C81725"/>
    <w:rsid w:val="00C8439F"/>
    <w:rsid w:val="00C938C7"/>
    <w:rsid w:val="00CC233A"/>
    <w:rsid w:val="00D21EDC"/>
    <w:rsid w:val="00D269C5"/>
    <w:rsid w:val="00D54DC6"/>
    <w:rsid w:val="00D5694B"/>
    <w:rsid w:val="00D7279A"/>
    <w:rsid w:val="00DA276F"/>
    <w:rsid w:val="00DC3C73"/>
    <w:rsid w:val="00DC7CA0"/>
    <w:rsid w:val="00DD3B28"/>
    <w:rsid w:val="00DE4B31"/>
    <w:rsid w:val="00DE61CC"/>
    <w:rsid w:val="00E1167B"/>
    <w:rsid w:val="00E903DD"/>
    <w:rsid w:val="00ED0E2A"/>
    <w:rsid w:val="00EF18B7"/>
    <w:rsid w:val="00F84D36"/>
    <w:rsid w:val="00FD04B4"/>
    <w:rsid w:val="012D0479"/>
    <w:rsid w:val="01A96179"/>
    <w:rsid w:val="03885E3A"/>
    <w:rsid w:val="039B791C"/>
    <w:rsid w:val="04277401"/>
    <w:rsid w:val="04455294"/>
    <w:rsid w:val="04BB2603"/>
    <w:rsid w:val="04EC189A"/>
    <w:rsid w:val="05797FCB"/>
    <w:rsid w:val="05930833"/>
    <w:rsid w:val="05A827C4"/>
    <w:rsid w:val="06825846"/>
    <w:rsid w:val="06B91B76"/>
    <w:rsid w:val="06DD024B"/>
    <w:rsid w:val="071D4ED9"/>
    <w:rsid w:val="07504EC1"/>
    <w:rsid w:val="08364679"/>
    <w:rsid w:val="08F05B60"/>
    <w:rsid w:val="09151F1E"/>
    <w:rsid w:val="091A12E3"/>
    <w:rsid w:val="09412D13"/>
    <w:rsid w:val="09B35FA1"/>
    <w:rsid w:val="0B17438C"/>
    <w:rsid w:val="0BBE4199"/>
    <w:rsid w:val="0C933984"/>
    <w:rsid w:val="0CCC4574"/>
    <w:rsid w:val="0DC55E46"/>
    <w:rsid w:val="0DCD2DC7"/>
    <w:rsid w:val="0DD170D0"/>
    <w:rsid w:val="0F7F00F1"/>
    <w:rsid w:val="0FC226D4"/>
    <w:rsid w:val="10625C40"/>
    <w:rsid w:val="10945E1E"/>
    <w:rsid w:val="10B33229"/>
    <w:rsid w:val="114F61E9"/>
    <w:rsid w:val="115B2DE0"/>
    <w:rsid w:val="1170063A"/>
    <w:rsid w:val="11804A2B"/>
    <w:rsid w:val="12266F4A"/>
    <w:rsid w:val="12B57AF8"/>
    <w:rsid w:val="13ED085D"/>
    <w:rsid w:val="14033D19"/>
    <w:rsid w:val="14BC3B96"/>
    <w:rsid w:val="15103D30"/>
    <w:rsid w:val="15205ED3"/>
    <w:rsid w:val="152534E9"/>
    <w:rsid w:val="17326754"/>
    <w:rsid w:val="17365E81"/>
    <w:rsid w:val="18003D99"/>
    <w:rsid w:val="183074FD"/>
    <w:rsid w:val="196D1903"/>
    <w:rsid w:val="1A562397"/>
    <w:rsid w:val="1AEE0821"/>
    <w:rsid w:val="1B0D2AD9"/>
    <w:rsid w:val="1BE836C0"/>
    <w:rsid w:val="1C771F9A"/>
    <w:rsid w:val="1CEF1A2D"/>
    <w:rsid w:val="1D157584"/>
    <w:rsid w:val="1D9F1A8B"/>
    <w:rsid w:val="1F1E7A62"/>
    <w:rsid w:val="1F2B5BA0"/>
    <w:rsid w:val="1F797D51"/>
    <w:rsid w:val="1FF561AE"/>
    <w:rsid w:val="20132E05"/>
    <w:rsid w:val="202C3D0E"/>
    <w:rsid w:val="203A70E2"/>
    <w:rsid w:val="210F2308"/>
    <w:rsid w:val="21203A88"/>
    <w:rsid w:val="212C5BFF"/>
    <w:rsid w:val="22B45EAC"/>
    <w:rsid w:val="234E6301"/>
    <w:rsid w:val="23D42CAA"/>
    <w:rsid w:val="24226165"/>
    <w:rsid w:val="24E0742D"/>
    <w:rsid w:val="25E71733"/>
    <w:rsid w:val="2604714B"/>
    <w:rsid w:val="26E72CF4"/>
    <w:rsid w:val="26ED5E31"/>
    <w:rsid w:val="274041B2"/>
    <w:rsid w:val="278C389C"/>
    <w:rsid w:val="27EB6814"/>
    <w:rsid w:val="280C22E7"/>
    <w:rsid w:val="280D2781"/>
    <w:rsid w:val="28214BB3"/>
    <w:rsid w:val="283C0E1E"/>
    <w:rsid w:val="28BE1833"/>
    <w:rsid w:val="28D74F4B"/>
    <w:rsid w:val="2AC1560A"/>
    <w:rsid w:val="2AD52E64"/>
    <w:rsid w:val="2B0E388C"/>
    <w:rsid w:val="2B1719D5"/>
    <w:rsid w:val="2BF13CCD"/>
    <w:rsid w:val="2C7F752B"/>
    <w:rsid w:val="2D807C7A"/>
    <w:rsid w:val="2DB21CF7"/>
    <w:rsid w:val="2EBC0352"/>
    <w:rsid w:val="2F2D326E"/>
    <w:rsid w:val="2F6A2714"/>
    <w:rsid w:val="2FD03ECC"/>
    <w:rsid w:val="326954EA"/>
    <w:rsid w:val="328A09D8"/>
    <w:rsid w:val="33707BCD"/>
    <w:rsid w:val="33AF4B9A"/>
    <w:rsid w:val="341449FD"/>
    <w:rsid w:val="346A0AC1"/>
    <w:rsid w:val="34E70363"/>
    <w:rsid w:val="35496928"/>
    <w:rsid w:val="35A41DB0"/>
    <w:rsid w:val="35F920FC"/>
    <w:rsid w:val="373D28D9"/>
    <w:rsid w:val="383C2774"/>
    <w:rsid w:val="395D2BAD"/>
    <w:rsid w:val="396F0447"/>
    <w:rsid w:val="39E473D0"/>
    <w:rsid w:val="39FA3DA9"/>
    <w:rsid w:val="3A290B99"/>
    <w:rsid w:val="3A5C3FFC"/>
    <w:rsid w:val="3A7C0681"/>
    <w:rsid w:val="3AA65ADC"/>
    <w:rsid w:val="3AD924FC"/>
    <w:rsid w:val="3B0F5F1E"/>
    <w:rsid w:val="3B6E533A"/>
    <w:rsid w:val="3BB52F69"/>
    <w:rsid w:val="3BE73E92"/>
    <w:rsid w:val="3CA32DC2"/>
    <w:rsid w:val="3CB245EF"/>
    <w:rsid w:val="3CF655E7"/>
    <w:rsid w:val="3CFD4BC8"/>
    <w:rsid w:val="3CFE624A"/>
    <w:rsid w:val="3F267504"/>
    <w:rsid w:val="3F301AC1"/>
    <w:rsid w:val="3F8A2017"/>
    <w:rsid w:val="3FA94B93"/>
    <w:rsid w:val="40A84E4B"/>
    <w:rsid w:val="40DC4AF4"/>
    <w:rsid w:val="41B355CC"/>
    <w:rsid w:val="41D852BC"/>
    <w:rsid w:val="42FA1A56"/>
    <w:rsid w:val="435B2648"/>
    <w:rsid w:val="44AC09A1"/>
    <w:rsid w:val="44DA6A6B"/>
    <w:rsid w:val="47152B0E"/>
    <w:rsid w:val="483D231C"/>
    <w:rsid w:val="48897310"/>
    <w:rsid w:val="48B63E7D"/>
    <w:rsid w:val="49226B2C"/>
    <w:rsid w:val="4A893617"/>
    <w:rsid w:val="4A8A55C1"/>
    <w:rsid w:val="4A987CDE"/>
    <w:rsid w:val="4B04507B"/>
    <w:rsid w:val="4B047121"/>
    <w:rsid w:val="4BB723E6"/>
    <w:rsid w:val="4BE46664"/>
    <w:rsid w:val="4C0B2731"/>
    <w:rsid w:val="4CB15087"/>
    <w:rsid w:val="4E2F6BAB"/>
    <w:rsid w:val="4E616639"/>
    <w:rsid w:val="4F754A92"/>
    <w:rsid w:val="50067498"/>
    <w:rsid w:val="501222E0"/>
    <w:rsid w:val="507E2733"/>
    <w:rsid w:val="50BE6FAF"/>
    <w:rsid w:val="50CA6717"/>
    <w:rsid w:val="511856D5"/>
    <w:rsid w:val="514B3CFC"/>
    <w:rsid w:val="51D55B14"/>
    <w:rsid w:val="51E241AA"/>
    <w:rsid w:val="51E67581"/>
    <w:rsid w:val="51F17F8E"/>
    <w:rsid w:val="523C53F3"/>
    <w:rsid w:val="524B7D2C"/>
    <w:rsid w:val="529C2335"/>
    <w:rsid w:val="531D4431"/>
    <w:rsid w:val="537860E5"/>
    <w:rsid w:val="53B67A4E"/>
    <w:rsid w:val="53E2021C"/>
    <w:rsid w:val="55342CF9"/>
    <w:rsid w:val="56356D29"/>
    <w:rsid w:val="56E02369"/>
    <w:rsid w:val="57362D58"/>
    <w:rsid w:val="574D00A2"/>
    <w:rsid w:val="57D52571"/>
    <w:rsid w:val="588E2720"/>
    <w:rsid w:val="589A2E73"/>
    <w:rsid w:val="59E7033A"/>
    <w:rsid w:val="5B9B5880"/>
    <w:rsid w:val="5BAB3FE9"/>
    <w:rsid w:val="5BAC7D91"/>
    <w:rsid w:val="5BD46EBF"/>
    <w:rsid w:val="5C902F0B"/>
    <w:rsid w:val="5CB07109"/>
    <w:rsid w:val="5CEE6D21"/>
    <w:rsid w:val="5D390310"/>
    <w:rsid w:val="5DC7295C"/>
    <w:rsid w:val="5E082F75"/>
    <w:rsid w:val="5E451AD3"/>
    <w:rsid w:val="5FF7504F"/>
    <w:rsid w:val="60082DB8"/>
    <w:rsid w:val="60830691"/>
    <w:rsid w:val="60E07891"/>
    <w:rsid w:val="612E5056"/>
    <w:rsid w:val="61EA2ECE"/>
    <w:rsid w:val="620D2336"/>
    <w:rsid w:val="62856942"/>
    <w:rsid w:val="62DB5FDE"/>
    <w:rsid w:val="62E65CBC"/>
    <w:rsid w:val="63961928"/>
    <w:rsid w:val="63C35C2A"/>
    <w:rsid w:val="645C36D2"/>
    <w:rsid w:val="64763CBE"/>
    <w:rsid w:val="655D7702"/>
    <w:rsid w:val="65ED4F2A"/>
    <w:rsid w:val="65EE02F9"/>
    <w:rsid w:val="66080EF4"/>
    <w:rsid w:val="66091638"/>
    <w:rsid w:val="663A2BAA"/>
    <w:rsid w:val="663D12E2"/>
    <w:rsid w:val="66994F5E"/>
    <w:rsid w:val="66BC5441"/>
    <w:rsid w:val="678418BE"/>
    <w:rsid w:val="68EF720B"/>
    <w:rsid w:val="69FD3262"/>
    <w:rsid w:val="6A8B3CB8"/>
    <w:rsid w:val="6AE03B49"/>
    <w:rsid w:val="6AE12B83"/>
    <w:rsid w:val="6B00125C"/>
    <w:rsid w:val="6B6E08BB"/>
    <w:rsid w:val="6C7643B3"/>
    <w:rsid w:val="6C981E56"/>
    <w:rsid w:val="6CBF6EF4"/>
    <w:rsid w:val="6CEB1A97"/>
    <w:rsid w:val="6D050DAB"/>
    <w:rsid w:val="6D7F460B"/>
    <w:rsid w:val="6DA22A9E"/>
    <w:rsid w:val="6DB66549"/>
    <w:rsid w:val="6E761835"/>
    <w:rsid w:val="6E7F4B8D"/>
    <w:rsid w:val="6E82642B"/>
    <w:rsid w:val="6F390465"/>
    <w:rsid w:val="6F4638FD"/>
    <w:rsid w:val="705A140E"/>
    <w:rsid w:val="707D6EAA"/>
    <w:rsid w:val="708C46A0"/>
    <w:rsid w:val="7113715A"/>
    <w:rsid w:val="71884F77"/>
    <w:rsid w:val="71997D14"/>
    <w:rsid w:val="71E33685"/>
    <w:rsid w:val="71F87130"/>
    <w:rsid w:val="725B321B"/>
    <w:rsid w:val="72A2659A"/>
    <w:rsid w:val="735344DF"/>
    <w:rsid w:val="735859AD"/>
    <w:rsid w:val="73873876"/>
    <w:rsid w:val="741D2E7E"/>
    <w:rsid w:val="74BA06CD"/>
    <w:rsid w:val="7555340F"/>
    <w:rsid w:val="75E0022C"/>
    <w:rsid w:val="75ED300A"/>
    <w:rsid w:val="76740D08"/>
    <w:rsid w:val="769E386F"/>
    <w:rsid w:val="76BD26F7"/>
    <w:rsid w:val="771633E5"/>
    <w:rsid w:val="772B3B04"/>
    <w:rsid w:val="773553C0"/>
    <w:rsid w:val="77F9150C"/>
    <w:rsid w:val="788220A2"/>
    <w:rsid w:val="799D3807"/>
    <w:rsid w:val="79AE27CB"/>
    <w:rsid w:val="79C97604"/>
    <w:rsid w:val="7A756E44"/>
    <w:rsid w:val="7A995229"/>
    <w:rsid w:val="7AF62AFF"/>
    <w:rsid w:val="7DE642E1"/>
    <w:rsid w:val="7E135600"/>
    <w:rsid w:val="7EB86D91"/>
    <w:rsid w:val="7FA06711"/>
    <w:rsid w:val="7FA77AA0"/>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8"/>
    <w:qFormat/>
    <w:uiPriority w:val="0"/>
    <w:pPr>
      <w:keepNext/>
      <w:keepLines/>
      <w:spacing w:before="260" w:after="260" w:line="416" w:lineRule="auto"/>
      <w:jc w:val="center"/>
      <w:outlineLvl w:val="2"/>
    </w:pPr>
    <w:rPr>
      <w:rFonts w:ascii="宋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4">
    <w:name w:val="annotation text"/>
    <w:basedOn w:val="1"/>
    <w:link w:val="29"/>
    <w:semiHidden/>
    <w:unhideWhenUsed/>
    <w:qFormat/>
    <w:uiPriority w:val="99"/>
    <w:pPr>
      <w:jc w:val="left"/>
    </w:pPr>
  </w:style>
  <w:style w:type="paragraph" w:styleId="5">
    <w:name w:val="Body Text Indent"/>
    <w:basedOn w:val="1"/>
    <w:link w:val="26"/>
    <w:qFormat/>
    <w:uiPriority w:val="0"/>
    <w:pPr>
      <w:spacing w:after="120"/>
      <w:ind w:left="420" w:leftChars="200"/>
    </w:pPr>
    <w:rPr>
      <w:rFonts w:cstheme="minorBidi"/>
      <w:szCs w:val="22"/>
    </w:rPr>
  </w:style>
  <w:style w:type="paragraph" w:styleId="6">
    <w:name w:val="Plain Text"/>
    <w:basedOn w:val="1"/>
    <w:link w:val="22"/>
    <w:qFormat/>
    <w:uiPriority w:val="0"/>
    <w:rPr>
      <w:rFonts w:ascii="宋体" w:hAnsi="Courier New"/>
      <w:szCs w:val="21"/>
    </w:rPr>
  </w:style>
  <w:style w:type="paragraph" w:styleId="7">
    <w:name w:val="Body Text Indent 2"/>
    <w:basedOn w:val="1"/>
    <w:link w:val="27"/>
    <w:qFormat/>
    <w:uiPriority w:val="0"/>
    <w:pPr>
      <w:spacing w:after="120" w:line="480" w:lineRule="auto"/>
      <w:ind w:left="420" w:leftChars="200"/>
    </w:pPr>
  </w:style>
  <w:style w:type="paragraph" w:styleId="8">
    <w:name w:val="Balloon Text"/>
    <w:basedOn w:val="1"/>
    <w:link w:val="28"/>
    <w:semiHidden/>
    <w:unhideWhenUsed/>
    <w:qFormat/>
    <w:uiPriority w:val="99"/>
    <w:rPr>
      <w:sz w:val="18"/>
      <w:szCs w:val="18"/>
    </w:rPr>
  </w:style>
  <w:style w:type="paragraph" w:styleId="9">
    <w:name w:val="footer"/>
    <w:basedOn w:val="1"/>
    <w:link w:val="21"/>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30"/>
    <w:semiHidden/>
    <w:unhideWhenUsed/>
    <w:uiPriority w:val="99"/>
    <w:rPr>
      <w:b/>
      <w:bCs/>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paragraph" w:customStyle="1" w:styleId="17">
    <w:name w:val="p0"/>
    <w:basedOn w:val="1"/>
    <w:qFormat/>
    <w:uiPriority w:val="0"/>
    <w:pPr>
      <w:widowControl/>
    </w:pPr>
    <w:rPr>
      <w:kern w:val="0"/>
      <w:szCs w:val="21"/>
    </w:rPr>
  </w:style>
  <w:style w:type="character" w:customStyle="1" w:styleId="18">
    <w:name w:val="标题 3 Char"/>
    <w:basedOn w:val="14"/>
    <w:link w:val="3"/>
    <w:qFormat/>
    <w:uiPriority w:val="0"/>
    <w:rPr>
      <w:rFonts w:ascii="宋体" w:hAnsi="Times New Roman" w:eastAsia="宋体" w:cs="Times New Roman"/>
      <w:b/>
      <w:bCs/>
      <w:sz w:val="32"/>
      <w:szCs w:val="32"/>
    </w:rPr>
  </w:style>
  <w:style w:type="paragraph" w:styleId="19">
    <w:name w:val="List Paragraph"/>
    <w:basedOn w:val="1"/>
    <w:qFormat/>
    <w:uiPriority w:val="34"/>
    <w:pPr>
      <w:ind w:firstLine="420" w:firstLineChars="200"/>
    </w:pPr>
    <w:rPr>
      <w:szCs w:val="20"/>
    </w:rPr>
  </w:style>
  <w:style w:type="character" w:customStyle="1" w:styleId="20">
    <w:name w:val="页眉 Char"/>
    <w:basedOn w:val="14"/>
    <w:link w:val="10"/>
    <w:semiHidden/>
    <w:uiPriority w:val="99"/>
    <w:rPr>
      <w:rFonts w:ascii="Times New Roman" w:hAnsi="Times New Roman" w:eastAsia="宋体" w:cs="Times New Roman"/>
      <w:sz w:val="18"/>
      <w:szCs w:val="18"/>
    </w:rPr>
  </w:style>
  <w:style w:type="character" w:customStyle="1" w:styleId="21">
    <w:name w:val="页脚 Char"/>
    <w:basedOn w:val="14"/>
    <w:link w:val="9"/>
    <w:semiHidden/>
    <w:qFormat/>
    <w:uiPriority w:val="99"/>
    <w:rPr>
      <w:rFonts w:ascii="Times New Roman" w:hAnsi="Times New Roman" w:eastAsia="宋体" w:cs="Times New Roman"/>
      <w:sz w:val="18"/>
      <w:szCs w:val="18"/>
    </w:rPr>
  </w:style>
  <w:style w:type="character" w:customStyle="1" w:styleId="22">
    <w:name w:val="纯文本 Char"/>
    <w:basedOn w:val="14"/>
    <w:link w:val="6"/>
    <w:qFormat/>
    <w:uiPriority w:val="0"/>
    <w:rPr>
      <w:rFonts w:ascii="宋体" w:hAnsi="Courier New" w:eastAsia="宋体" w:cs="Times New Roman"/>
      <w:szCs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4">
    <w:name w:val="Char Char Char Char Char Char Char1 Char"/>
    <w:basedOn w:val="1"/>
    <w:qFormat/>
    <w:uiPriority w:val="0"/>
    <w:rPr>
      <w:rFonts w:ascii="Tahoma" w:hAnsi="Tahoma"/>
      <w:sz w:val="24"/>
      <w:szCs w:val="20"/>
    </w:rPr>
  </w:style>
  <w:style w:type="character" w:customStyle="1" w:styleId="25">
    <w:name w:val="正文文本缩进 Char"/>
    <w:basedOn w:val="14"/>
    <w:link w:val="5"/>
    <w:uiPriority w:val="0"/>
    <w:rPr>
      <w:rFonts w:ascii="Times New Roman" w:hAnsi="Times New Roman" w:eastAsia="宋体"/>
    </w:rPr>
  </w:style>
  <w:style w:type="character" w:customStyle="1" w:styleId="26">
    <w:name w:val="正文文本缩进 Char1"/>
    <w:basedOn w:val="14"/>
    <w:link w:val="5"/>
    <w:semiHidden/>
    <w:qFormat/>
    <w:uiPriority w:val="99"/>
    <w:rPr>
      <w:rFonts w:ascii="Times New Roman" w:hAnsi="Times New Roman" w:eastAsia="宋体" w:cs="Times New Roman"/>
      <w:szCs w:val="24"/>
    </w:rPr>
  </w:style>
  <w:style w:type="character" w:customStyle="1" w:styleId="27">
    <w:name w:val="正文文本缩进 2 Char"/>
    <w:basedOn w:val="14"/>
    <w:link w:val="7"/>
    <w:qFormat/>
    <w:uiPriority w:val="0"/>
    <w:rPr>
      <w:rFonts w:ascii="Times New Roman" w:hAnsi="Times New Roman" w:eastAsia="宋体" w:cs="Times New Roman"/>
      <w:szCs w:val="24"/>
    </w:rPr>
  </w:style>
  <w:style w:type="character" w:customStyle="1" w:styleId="28">
    <w:name w:val="批注框文本 Char"/>
    <w:basedOn w:val="14"/>
    <w:link w:val="8"/>
    <w:semiHidden/>
    <w:qFormat/>
    <w:uiPriority w:val="99"/>
    <w:rPr>
      <w:rFonts w:ascii="Times New Roman" w:hAnsi="Times New Roman" w:eastAsia="宋体" w:cs="Times New Roman"/>
      <w:kern w:val="2"/>
      <w:sz w:val="18"/>
      <w:szCs w:val="18"/>
    </w:rPr>
  </w:style>
  <w:style w:type="character" w:customStyle="1" w:styleId="29">
    <w:name w:val="批注文字 Char"/>
    <w:basedOn w:val="14"/>
    <w:link w:val="4"/>
    <w:semiHidden/>
    <w:qFormat/>
    <w:uiPriority w:val="99"/>
    <w:rPr>
      <w:kern w:val="2"/>
      <w:sz w:val="21"/>
      <w:szCs w:val="24"/>
    </w:rPr>
  </w:style>
  <w:style w:type="character" w:customStyle="1" w:styleId="30">
    <w:name w:val="批注主题 Char"/>
    <w:basedOn w:val="29"/>
    <w:link w:val="1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DDEE1-5C73-4B20-852D-020A2C9E976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14470</Words>
  <Characters>15455</Characters>
  <Lines>123</Lines>
  <Paragraphs>34</Paragraphs>
  <TotalTime>143</TotalTime>
  <ScaleCrop>false</ScaleCrop>
  <LinksUpToDate>false</LinksUpToDate>
  <CharactersWithSpaces>16425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2022-06-06T08:11:00Z</dcterms:created>
  <dc:creator>Administrator</dc:creator>
  <cp:lastModifiedBy>着迷</cp:lastModifiedBy>
  <cp:lastPrinted>2022-07-19T04:05:00Z</cp:lastPrinted>
  <dcterms:modified xsi:type="dcterms:W3CDTF">2022-09-08T02:48:49Z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7A5A6124390642E690866EF46E6A9905</vt:lpwstr>
  </property>
</Properties>
</file>