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72"/>
          <w:szCs w:val="20"/>
        </w:rPr>
      </w:pP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jc w:val="center"/>
        <w:rPr>
          <w:rFonts w:ascii="楷体_GB2312" w:hAnsi="宋体" w:eastAsia="楷体_GB2312" w:cs="宋体"/>
          <w:b/>
          <w:color w:val="000000"/>
          <w:kern w:val="0"/>
          <w:sz w:val="44"/>
          <w:szCs w:val="44"/>
        </w:rPr>
      </w:pPr>
      <w:r>
        <w:rPr>
          <w:rFonts w:hint="eastAsia" w:ascii="楷体_GB2312" w:hAnsi="宋体" w:eastAsia="楷体_GB2312" w:cs="宋体"/>
          <w:b/>
          <w:color w:val="000000"/>
          <w:kern w:val="0"/>
          <w:sz w:val="44"/>
          <w:szCs w:val="44"/>
        </w:rPr>
        <w:t>合肥百货大楼集团股份有限公司</w:t>
      </w: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宋体" w:hAnsi="宋体" w:cs="宋体"/>
          <w:b/>
          <w:kern w:val="0"/>
          <w:sz w:val="36"/>
          <w:szCs w:val="36"/>
        </w:rPr>
      </w:pPr>
    </w:p>
    <w:p>
      <w:pPr>
        <w:widowControl/>
        <w:jc w:val="center"/>
        <w:rPr>
          <w:rFonts w:ascii="宋体" w:hAnsi="宋体" w:cs="宋体"/>
          <w:b/>
          <w:kern w:val="0"/>
          <w:sz w:val="36"/>
          <w:szCs w:val="36"/>
        </w:rPr>
      </w:pPr>
      <w:r>
        <w:rPr>
          <w:rFonts w:hint="eastAsia" w:ascii="宋体" w:hAnsi="宋体" w:cs="宋体"/>
          <w:b/>
          <w:kern w:val="0"/>
          <w:sz w:val="36"/>
          <w:szCs w:val="36"/>
        </w:rPr>
        <w:t>稳定就业员工技能培训服务</w:t>
      </w:r>
    </w:p>
    <w:p>
      <w:pPr>
        <w:widowControl/>
        <w:spacing w:line="520" w:lineRule="exact"/>
        <w:jc w:val="center"/>
        <w:rPr>
          <w:rFonts w:ascii="宋体" w:hAnsi="宋体" w:cs="宋体"/>
          <w:b/>
          <w:kern w:val="0"/>
          <w:sz w:val="36"/>
          <w:szCs w:val="36"/>
        </w:rPr>
      </w:pPr>
    </w:p>
    <w:p>
      <w:pPr>
        <w:widowControl/>
        <w:spacing w:line="520" w:lineRule="exact"/>
        <w:jc w:val="center"/>
        <w:rPr>
          <w:rFonts w:ascii="宋体" w:hAnsi="宋体" w:cs="宋体"/>
          <w:b/>
          <w:kern w:val="0"/>
          <w:sz w:val="36"/>
          <w:szCs w:val="36"/>
        </w:rPr>
      </w:pPr>
    </w:p>
    <w:p>
      <w:pPr>
        <w:pStyle w:val="3"/>
        <w:ind w:firstLine="560"/>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3200" w:firstLineChars="1000"/>
        <w:jc w:val="left"/>
        <w:rPr>
          <w:rFonts w:ascii="宋体" w:hAnsi="宋体" w:cs="宋体"/>
          <w:bCs/>
          <w:color w:val="000000"/>
          <w:kern w:val="0"/>
          <w:sz w:val="32"/>
          <w:szCs w:val="32"/>
        </w:rPr>
      </w:pPr>
      <w:r>
        <w:rPr>
          <w:rFonts w:hint="eastAsia" w:ascii="宋体" w:hAnsi="宋体" w:cs="宋体"/>
          <w:bCs/>
          <w:color w:val="000000"/>
          <w:kern w:val="0"/>
          <w:sz w:val="32"/>
          <w:szCs w:val="32"/>
        </w:rPr>
        <w:t>编号：HBZ-220</w:t>
      </w:r>
      <w:r>
        <w:rPr>
          <w:rFonts w:hint="eastAsia" w:ascii="宋体" w:hAnsi="宋体" w:cs="宋体"/>
          <w:bCs/>
          <w:color w:val="000000"/>
          <w:kern w:val="0"/>
          <w:sz w:val="32"/>
          <w:szCs w:val="32"/>
          <w:lang w:val="en-US" w:eastAsia="zh-CN"/>
        </w:rPr>
        <w:t>22</w:t>
      </w:r>
      <w:r>
        <w:rPr>
          <w:rFonts w:hint="eastAsia" w:ascii="宋体" w:hAnsi="宋体" w:cs="宋体"/>
          <w:bCs/>
          <w:color w:val="000000"/>
          <w:kern w:val="0"/>
          <w:sz w:val="32"/>
          <w:szCs w:val="32"/>
        </w:rPr>
        <w:t>-JT03</w:t>
      </w:r>
    </w:p>
    <w:p>
      <w:pPr>
        <w:widowControl/>
        <w:spacing w:line="520" w:lineRule="exact"/>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第三章  《招标需求》</w:t>
      </w:r>
    </w:p>
    <w:p>
      <w:pPr>
        <w:pStyle w:val="2"/>
        <w:ind w:firstLine="2240" w:firstLineChars="800"/>
        <w:rPr>
          <w:rFonts w:hAnsi="宋体" w:cs="宋体"/>
          <w:sz w:val="28"/>
          <w:szCs w:val="28"/>
        </w:rPr>
      </w:pPr>
      <w:r>
        <w:rPr>
          <w:rFonts w:hint="eastAsia" w:hAnsi="宋体" w:cs="宋体"/>
          <w:sz w:val="28"/>
          <w:szCs w:val="28"/>
        </w:rPr>
        <w:t>第四章  《附件》（投标文件格式等）</w:t>
      </w: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spacing w:line="500" w:lineRule="exact"/>
        <w:jc w:val="center"/>
        <w:rPr>
          <w:rFonts w:ascii="宋体" w:hAnsi="宋体" w:cs="宋体"/>
          <w:color w:val="000000"/>
          <w:kern w:val="0"/>
          <w:sz w:val="30"/>
          <w:szCs w:val="30"/>
        </w:rPr>
      </w:pPr>
      <w:r>
        <w:rPr>
          <w:rFonts w:hint="eastAsia" w:ascii="宋体" w:hAnsi="宋体" w:cs="宋体"/>
          <w:color w:val="000000"/>
          <w:kern w:val="0"/>
          <w:sz w:val="30"/>
          <w:szCs w:val="30"/>
        </w:rPr>
        <w:t>二〇二二年五月</w:t>
      </w:r>
    </w:p>
    <w:p>
      <w:pPr>
        <w:spacing w:line="500" w:lineRule="exact"/>
        <w:jc w:val="center"/>
        <w:rPr>
          <w:rFonts w:ascii="宋体" w:hAnsi="宋体"/>
          <w:b/>
          <w:kern w:val="0"/>
          <w:sz w:val="28"/>
          <w:szCs w:val="28"/>
        </w:rPr>
        <w:sectPr>
          <w:headerReference r:id="rId4" w:type="first"/>
          <w:headerReference r:id="rId3" w:type="default"/>
          <w:footerReference r:id="rId5" w:type="default"/>
          <w:footerReference r:id="rId6" w:type="even"/>
          <w:pgSz w:w="11906" w:h="16838"/>
          <w:pgMar w:top="1134" w:right="1134" w:bottom="1134" w:left="1134" w:header="851" w:footer="992" w:gutter="0"/>
          <w:pgNumType w:start="1"/>
          <w:cols w:space="720" w:num="1"/>
          <w:docGrid w:type="lines" w:linePitch="312" w:charSpace="0"/>
        </w:sectPr>
      </w:pPr>
    </w:p>
    <w:p>
      <w:pPr>
        <w:pStyle w:val="2"/>
      </w:pPr>
    </w:p>
    <w:p>
      <w:pPr>
        <w:widowControl/>
        <w:spacing w:line="520" w:lineRule="exact"/>
        <w:jc w:val="center"/>
        <w:outlineLvl w:val="0"/>
        <w:rPr>
          <w:rFonts w:ascii="宋体" w:hAnsi="宋体" w:cs="宋体"/>
          <w:b/>
          <w:color w:val="000000"/>
          <w:kern w:val="0"/>
          <w:sz w:val="32"/>
          <w:szCs w:val="32"/>
        </w:rPr>
      </w:pPr>
      <w:r>
        <w:rPr>
          <w:rFonts w:hint="eastAsia" w:ascii="宋体" w:hAnsi="宋体" w:cs="宋体"/>
          <w:b/>
          <w:color w:val="000000"/>
          <w:kern w:val="0"/>
          <w:sz w:val="32"/>
          <w:szCs w:val="32"/>
        </w:rPr>
        <w:t>第一章  投标邀请</w:t>
      </w:r>
    </w:p>
    <w:p>
      <w:pPr>
        <w:widowControl/>
        <w:spacing w:line="460" w:lineRule="exact"/>
        <w:ind w:firstLine="480" w:firstLineChars="200"/>
        <w:rPr>
          <w:rFonts w:ascii="宋体" w:hAnsi="宋体" w:cs="宋体"/>
          <w:color w:val="000000"/>
          <w:kern w:val="0"/>
          <w:sz w:val="24"/>
        </w:rPr>
      </w:pPr>
    </w:p>
    <w:p>
      <w:pPr>
        <w:widowControl/>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合肥百货大楼集团股份有限公司（以下简称：百大集团）现对集团及下属成员企业稳定就业员工技能培训服务项目进行公开招标，诚邀具有相关资质的专业公司参与竞标。</w:t>
      </w:r>
    </w:p>
    <w:p>
      <w:pPr>
        <w:widowControl/>
        <w:spacing w:line="520" w:lineRule="exact"/>
        <w:jc w:val="left"/>
        <w:rPr>
          <w:rFonts w:ascii="宋体" w:hAnsi="宋体" w:cs="宋体"/>
          <w:b/>
          <w:color w:val="000000"/>
          <w:kern w:val="0"/>
          <w:sz w:val="24"/>
        </w:rPr>
      </w:pPr>
      <w:r>
        <w:rPr>
          <w:rFonts w:hint="eastAsia" w:ascii="宋体" w:hAnsi="宋体" w:cs="宋体"/>
          <w:b/>
          <w:color w:val="000000"/>
          <w:spacing w:val="-10"/>
          <w:kern w:val="0"/>
          <w:sz w:val="24"/>
        </w:rPr>
        <w:t>一、</w:t>
      </w:r>
      <w:r>
        <w:rPr>
          <w:rFonts w:hint="eastAsia" w:ascii="宋体" w:hAnsi="宋体" w:cs="宋体"/>
          <w:b/>
          <w:color w:val="000000"/>
          <w:kern w:val="0"/>
          <w:sz w:val="24"/>
        </w:rPr>
        <w:t>招标简介</w:t>
      </w:r>
    </w:p>
    <w:p>
      <w:pPr>
        <w:widowControl/>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1.项目名称：</w:t>
      </w:r>
      <w:bookmarkStart w:id="0" w:name="_Hlk102244708"/>
      <w:r>
        <w:rPr>
          <w:rFonts w:hint="eastAsia" w:ascii="宋体" w:hAnsi="宋体" w:cs="宋体"/>
          <w:color w:val="000000"/>
          <w:kern w:val="0"/>
          <w:sz w:val="24"/>
        </w:rPr>
        <w:t>百大集团稳定就业员工技能培训服务</w:t>
      </w:r>
      <w:bookmarkEnd w:id="0"/>
    </w:p>
    <w:p>
      <w:pPr>
        <w:widowControl/>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2.项目编号：HBZ-220</w:t>
      </w:r>
      <w:r>
        <w:rPr>
          <w:rFonts w:hint="eastAsia" w:ascii="宋体" w:hAnsi="宋体" w:cs="宋体"/>
          <w:color w:val="000000"/>
          <w:kern w:val="0"/>
          <w:sz w:val="24"/>
          <w:lang w:val="en-US" w:eastAsia="zh-CN"/>
        </w:rPr>
        <w:t>22</w:t>
      </w:r>
      <w:r>
        <w:rPr>
          <w:rFonts w:hint="eastAsia" w:ascii="宋体" w:hAnsi="宋体" w:cs="宋体"/>
          <w:color w:val="000000"/>
          <w:kern w:val="0"/>
          <w:sz w:val="24"/>
        </w:rPr>
        <w:t>-JT03</w:t>
      </w:r>
    </w:p>
    <w:p>
      <w:pPr>
        <w:widowControl/>
        <w:spacing w:line="520" w:lineRule="exact"/>
        <w:ind w:firstLine="480" w:firstLineChars="200"/>
        <w:rPr>
          <w:rFonts w:ascii="宋体" w:hAnsi="宋体" w:cs="宋体"/>
          <w:kern w:val="0"/>
          <w:sz w:val="24"/>
        </w:rPr>
      </w:pPr>
      <w:r>
        <w:rPr>
          <w:rFonts w:hint="eastAsia" w:ascii="宋体" w:hAnsi="宋体" w:cs="宋体"/>
          <w:kern w:val="0"/>
          <w:sz w:val="24"/>
        </w:rPr>
        <w:t>3.项目概况</w:t>
      </w:r>
      <w:r>
        <w:rPr>
          <w:rFonts w:hint="eastAsia" w:ascii="宋体" w:hAnsi="宋体" w:cs="宋体"/>
          <w:color w:val="000000"/>
          <w:kern w:val="0"/>
          <w:sz w:val="24"/>
        </w:rPr>
        <w:t>：根据合肥市发改委等8部门《关于印发合肥市加大援企稳岗力度支持批零住餐旅游企业稳定发展若干政策实施细则的通知》（合发改贸服[2022] 361号）的文件精神，对稳岗就业职工开展技能培训并发放培训补贴。招标人委托本次培训服务，中标人按照通知要求制定培训教学计划并组织实施，保证培训的有效性并在规定时间内完成19家企业培训补贴申报工作。</w:t>
      </w:r>
    </w:p>
    <w:p>
      <w:pPr>
        <w:widowControl/>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4.项目概算：61.5万元</w:t>
      </w:r>
    </w:p>
    <w:p>
      <w:pPr>
        <w:widowControl/>
        <w:spacing w:line="520" w:lineRule="exact"/>
        <w:jc w:val="left"/>
        <w:rPr>
          <w:rFonts w:ascii="宋体" w:hAnsi="宋体" w:cs="宋体"/>
          <w:b/>
          <w:color w:val="000000"/>
          <w:kern w:val="0"/>
          <w:sz w:val="24"/>
        </w:rPr>
      </w:pPr>
      <w:r>
        <w:rPr>
          <w:rFonts w:hint="eastAsia" w:ascii="宋体" w:hAnsi="宋体" w:cs="宋体"/>
          <w:b/>
          <w:color w:val="000000"/>
          <w:kern w:val="0"/>
          <w:sz w:val="24"/>
        </w:rPr>
        <w:t>二、投标人要求</w:t>
      </w:r>
    </w:p>
    <w:p>
      <w:pPr>
        <w:widowControl/>
        <w:spacing w:line="520" w:lineRule="exact"/>
        <w:ind w:firstLine="470" w:firstLineChars="196"/>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kern w:val="0"/>
          <w:sz w:val="24"/>
        </w:rPr>
        <w:t>具有独立法人资格</w:t>
      </w:r>
      <w:r>
        <w:rPr>
          <w:rFonts w:hint="eastAsia" w:ascii="宋体" w:hAnsi="宋体" w:cs="宋体"/>
          <w:color w:val="000000"/>
          <w:kern w:val="0"/>
          <w:sz w:val="24"/>
        </w:rPr>
        <w:t>，营业执照经营范围包含培训机构内容。</w:t>
      </w:r>
    </w:p>
    <w:p>
      <w:pPr>
        <w:widowControl/>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sz w:val="24"/>
        </w:rPr>
        <w:t>2017年1月1日以来（以合同签订日期为准），</w:t>
      </w:r>
      <w:r>
        <w:rPr>
          <w:rFonts w:hint="eastAsia" w:ascii="宋体" w:hAnsi="宋体" w:cs="宋体"/>
          <w:color w:val="000000"/>
          <w:kern w:val="0"/>
          <w:sz w:val="24"/>
        </w:rPr>
        <w:t>投标人具有培训类服务业绩。</w:t>
      </w:r>
    </w:p>
    <w:p>
      <w:pPr>
        <w:spacing w:line="520" w:lineRule="exact"/>
        <w:ind w:firstLine="480" w:firstLineChars="200"/>
        <w:rPr>
          <w:rFonts w:ascii="宋体" w:cs="宋体"/>
          <w:kern w:val="0"/>
          <w:sz w:val="24"/>
        </w:rPr>
      </w:pPr>
      <w:r>
        <w:rPr>
          <w:rFonts w:hint="eastAsia" w:ascii="宋体" w:hAnsi="宋体" w:cs="宋体"/>
          <w:kern w:val="0"/>
          <w:sz w:val="24"/>
        </w:rPr>
        <w:t>3.投标人须符合下列情形之一（以在</w:t>
      </w:r>
      <w:r>
        <w:rPr>
          <w:rFonts w:hint="eastAsia" w:ascii="宋体" w:cs="宋体"/>
          <w:kern w:val="0"/>
          <w:sz w:val="24"/>
        </w:rPr>
        <w:t>“</w:t>
      </w:r>
      <w:r>
        <w:rPr>
          <w:rFonts w:hint="eastAsia" w:ascii="宋体" w:hAnsi="宋体" w:cs="宋体"/>
          <w:kern w:val="0"/>
          <w:sz w:val="24"/>
        </w:rPr>
        <w:t>安徽合肥公共资源交易中心</w:t>
      </w:r>
      <w:r>
        <w:rPr>
          <w:rFonts w:hint="eastAsia" w:ascii="宋体" w:cs="宋体"/>
          <w:kern w:val="0"/>
          <w:sz w:val="24"/>
        </w:rPr>
        <w:t>”</w:t>
      </w:r>
      <w:r>
        <w:rPr>
          <w:rFonts w:hint="eastAsia" w:ascii="宋体" w:hAnsi="宋体" w:cs="宋体"/>
          <w:kern w:val="0"/>
          <w:sz w:val="24"/>
        </w:rPr>
        <w:t>网站</w:t>
      </w:r>
      <w:r>
        <w:rPr>
          <w:rFonts w:ascii="宋体" w:hAnsi="宋体" w:cs="宋体"/>
          <w:kern w:val="0"/>
          <w:sz w:val="24"/>
        </w:rPr>
        <w:t>http://ggzy.hefei.gov.cn/pgt/exposureDesk.html</w:t>
      </w:r>
      <w:r>
        <w:rPr>
          <w:rFonts w:hint="eastAsia" w:ascii="宋体" w:hAnsi="宋体" w:cs="宋体"/>
          <w:kern w:val="0"/>
          <w:sz w:val="24"/>
        </w:rPr>
        <w:t>查询信息为准）：</w:t>
      </w:r>
      <w:r>
        <w:rPr>
          <w:rFonts w:ascii="宋体" w:cs="宋体"/>
          <w:kern w:val="0"/>
          <w:sz w:val="24"/>
        </w:rPr>
        <w:br w:type="textWrapping"/>
      </w:r>
      <w:r>
        <w:rPr>
          <w:rFonts w:ascii="宋体" w:hAnsi="宋体" w:cs="宋体"/>
          <w:kern w:val="0"/>
          <w:sz w:val="24"/>
        </w:rPr>
        <w:t xml:space="preserve">    1</w:t>
      </w:r>
      <w:r>
        <w:rPr>
          <w:rFonts w:hint="eastAsia" w:ascii="宋体" w:hAnsi="宋体" w:cs="宋体"/>
          <w:kern w:val="0"/>
          <w:sz w:val="24"/>
        </w:rPr>
        <w:t>）开标日前两年内未被合肥市及其所辖县（市）公共资源交易监督管理局记不良行为记录或记不良行为记录累计未满</w:t>
      </w:r>
      <w:r>
        <w:rPr>
          <w:rFonts w:ascii="宋体" w:hAnsi="宋体" w:cs="宋体"/>
          <w:kern w:val="0"/>
          <w:sz w:val="24"/>
        </w:rPr>
        <w:t>10</w:t>
      </w:r>
      <w:r>
        <w:rPr>
          <w:rFonts w:hint="eastAsia" w:ascii="宋体" w:hAnsi="宋体" w:cs="宋体"/>
          <w:kern w:val="0"/>
          <w:sz w:val="24"/>
        </w:rPr>
        <w:t>分的。</w:t>
      </w:r>
      <w:r>
        <w:rPr>
          <w:rFonts w:ascii="宋体" w:cs="宋体"/>
          <w:kern w:val="0"/>
          <w:sz w:val="24"/>
        </w:rPr>
        <w:t> </w:t>
      </w:r>
      <w:r>
        <w:rPr>
          <w:rFonts w:ascii="宋体" w:cs="宋体"/>
          <w:kern w:val="0"/>
          <w:sz w:val="24"/>
        </w:rPr>
        <w:br w:type="textWrapping"/>
      </w:r>
      <w:r>
        <w:rPr>
          <w:rFonts w:ascii="宋体" w:hAnsi="宋体" w:cs="宋体"/>
          <w:kern w:val="0"/>
          <w:sz w:val="24"/>
        </w:rPr>
        <w:t xml:space="preserve">    2</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15</w:t>
      </w:r>
      <w:r>
        <w:rPr>
          <w:rFonts w:hint="eastAsia" w:ascii="宋体" w:hAnsi="宋体" w:cs="宋体"/>
          <w:kern w:val="0"/>
          <w:sz w:val="24"/>
        </w:rPr>
        <w:t>分且公布日距开标日超过</w:t>
      </w:r>
      <w:r>
        <w:rPr>
          <w:rFonts w:ascii="宋体" w:hAnsi="宋体" w:cs="宋体"/>
          <w:kern w:val="0"/>
          <w:sz w:val="24"/>
        </w:rPr>
        <w:t>6</w:t>
      </w:r>
      <w:r>
        <w:rPr>
          <w:rFonts w:hint="eastAsia" w:ascii="宋体" w:hAnsi="宋体" w:cs="宋体"/>
          <w:kern w:val="0"/>
          <w:sz w:val="24"/>
        </w:rPr>
        <w:t>个月。</w:t>
      </w:r>
      <w:r>
        <w:rPr>
          <w:rFonts w:ascii="宋体" w:cs="宋体"/>
          <w:kern w:val="0"/>
          <w:sz w:val="24"/>
        </w:rPr>
        <w:t> </w:t>
      </w:r>
      <w:r>
        <w:rPr>
          <w:rFonts w:ascii="宋体" w:cs="宋体"/>
          <w:kern w:val="0"/>
          <w:sz w:val="24"/>
        </w:rPr>
        <w:br w:type="textWrapping"/>
      </w:r>
      <w:r>
        <w:rPr>
          <w:rFonts w:ascii="宋体" w:hAnsi="宋体" w:cs="宋体"/>
          <w:kern w:val="0"/>
          <w:sz w:val="24"/>
        </w:rPr>
        <w:t xml:space="preserve">    3</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20</w:t>
      </w:r>
      <w:r>
        <w:rPr>
          <w:rFonts w:hint="eastAsia" w:ascii="宋体" w:hAnsi="宋体" w:cs="宋体"/>
          <w:kern w:val="0"/>
          <w:sz w:val="24"/>
        </w:rPr>
        <w:t>分且公布日距开标日超过</w:t>
      </w:r>
      <w:r>
        <w:rPr>
          <w:rFonts w:ascii="宋体" w:hAnsi="宋体" w:cs="宋体"/>
          <w:kern w:val="0"/>
          <w:sz w:val="24"/>
        </w:rPr>
        <w:t>12</w:t>
      </w:r>
      <w:r>
        <w:rPr>
          <w:rFonts w:hint="eastAsia" w:ascii="宋体" w:hAnsi="宋体" w:cs="宋体"/>
          <w:kern w:val="0"/>
          <w:sz w:val="24"/>
        </w:rPr>
        <w:t>个月。</w:t>
      </w:r>
      <w:r>
        <w:rPr>
          <w:rFonts w:ascii="宋体" w:cs="宋体"/>
          <w:kern w:val="0"/>
          <w:sz w:val="24"/>
        </w:rPr>
        <w:t> </w:t>
      </w:r>
      <w:r>
        <w:rPr>
          <w:rFonts w:ascii="宋体" w:cs="宋体"/>
          <w:kern w:val="0"/>
          <w:sz w:val="24"/>
        </w:rPr>
        <w:br w:type="textWrapping"/>
      </w:r>
      <w:r>
        <w:rPr>
          <w:rFonts w:ascii="宋体" w:hAnsi="宋体" w:cs="宋体"/>
          <w:kern w:val="0"/>
          <w:sz w:val="24"/>
        </w:rPr>
        <w:t xml:space="preserve">    4</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及以上且公布日距开标日超过</w:t>
      </w:r>
      <w:r>
        <w:rPr>
          <w:rFonts w:ascii="宋体" w:hAnsi="宋体" w:cs="宋体"/>
          <w:kern w:val="0"/>
          <w:sz w:val="24"/>
        </w:rPr>
        <w:t>24</w:t>
      </w:r>
      <w:r>
        <w:rPr>
          <w:rFonts w:hint="eastAsia" w:ascii="宋体" w:hAnsi="宋体" w:cs="宋体"/>
          <w:kern w:val="0"/>
          <w:sz w:val="24"/>
        </w:rPr>
        <w:t>个月。</w:t>
      </w:r>
    </w:p>
    <w:p>
      <w:pPr>
        <w:spacing w:line="520" w:lineRule="exact"/>
        <w:ind w:left="420" w:leftChars="200" w:firstLine="120" w:firstLineChars="50"/>
        <w:rPr>
          <w:rFonts w:ascii="宋体" w:hAnsi="宋体" w:cs="宋体"/>
          <w:color w:val="000000"/>
          <w:kern w:val="0"/>
          <w:sz w:val="24"/>
        </w:rPr>
      </w:pPr>
      <w:r>
        <w:rPr>
          <w:rFonts w:hint="eastAsia" w:ascii="宋体" w:hAnsi="宋体"/>
          <w:sz w:val="24"/>
        </w:rPr>
        <w:t>4.投标人存在以下不良信用记录情形之一的，不得推荐为中标候选人，不得确定为中标人（以在</w:t>
      </w:r>
      <w:r>
        <w:rPr>
          <w:rFonts w:hint="eastAsia" w:ascii="宋体"/>
          <w:sz w:val="24"/>
        </w:rPr>
        <w:t>“</w:t>
      </w:r>
      <w:r>
        <w:rPr>
          <w:rFonts w:hint="eastAsia" w:ascii="宋体" w:hAnsi="宋体"/>
          <w:sz w:val="24"/>
        </w:rPr>
        <w:t>信用中国</w:t>
      </w:r>
      <w:r>
        <w:rPr>
          <w:rFonts w:hint="eastAsia" w:ascii="宋体"/>
          <w:sz w:val="24"/>
        </w:rPr>
        <w:t>”</w:t>
      </w:r>
      <w:r>
        <w:rPr>
          <w:rFonts w:hint="eastAsia" w:ascii="宋体" w:hAnsi="宋体"/>
          <w:sz w:val="24"/>
        </w:rPr>
        <w:t>网站</w:t>
      </w:r>
      <w:r>
        <w:rPr>
          <w:rFonts w:ascii="宋体" w:hAnsi="宋体"/>
          <w:sz w:val="24"/>
        </w:rPr>
        <w:t>http://www.creditchina.gov.cn/</w:t>
      </w:r>
      <w:r>
        <w:rPr>
          <w:rFonts w:hint="eastAsia" w:ascii="宋体" w:hAnsi="宋体"/>
          <w:sz w:val="24"/>
        </w:rPr>
        <w:t>查询信息为准）：</w:t>
      </w:r>
      <w:r>
        <w:rPr>
          <w:rFonts w:ascii="宋体"/>
          <w:sz w:val="24"/>
        </w:rPr>
        <w:br w:type="textWrapping"/>
      </w:r>
      <w:r>
        <w:rPr>
          <w:rFonts w:ascii="宋体" w:hAnsi="宋体"/>
          <w:sz w:val="24"/>
        </w:rPr>
        <w:t xml:space="preserve"> 1)</w:t>
      </w:r>
      <w:r>
        <w:rPr>
          <w:rFonts w:hint="eastAsia" w:ascii="宋体" w:hAnsi="宋体"/>
          <w:sz w:val="24"/>
        </w:rPr>
        <w:t>投标人被人民法院列入失信被执行人的。</w:t>
      </w:r>
      <w:r>
        <w:rPr>
          <w:rFonts w:ascii="宋体"/>
          <w:sz w:val="24"/>
        </w:rPr>
        <w:br w:type="textWrapping"/>
      </w:r>
      <w:r>
        <w:rPr>
          <w:rFonts w:ascii="宋体" w:hAnsi="宋体"/>
          <w:sz w:val="24"/>
        </w:rPr>
        <w:t xml:space="preserve"> 2)</w:t>
      </w:r>
      <w:r>
        <w:rPr>
          <w:rFonts w:hint="eastAsia" w:ascii="宋体" w:hAnsi="宋体"/>
          <w:sz w:val="24"/>
        </w:rPr>
        <w:t>投标人被列入政府采购严重违法失信名单的。</w:t>
      </w:r>
      <w:r>
        <w:rPr>
          <w:rFonts w:ascii="宋体"/>
          <w:sz w:val="24"/>
        </w:rPr>
        <w:t> </w:t>
      </w:r>
      <w:r>
        <w:rPr>
          <w:rFonts w:ascii="宋体"/>
          <w:sz w:val="24"/>
        </w:rPr>
        <w:br w:type="textWrapping"/>
      </w:r>
      <w:r>
        <w:rPr>
          <w:rFonts w:ascii="宋体" w:hAnsi="宋体"/>
          <w:sz w:val="24"/>
        </w:rPr>
        <w:t xml:space="preserve"> 3)</w:t>
      </w:r>
      <w:r>
        <w:rPr>
          <w:rFonts w:hint="eastAsia" w:ascii="宋体" w:hAnsi="宋体"/>
          <w:sz w:val="24"/>
        </w:rPr>
        <w:t>投标人被工商行政管理部门列入企业经营异常名录的。</w:t>
      </w:r>
      <w:r>
        <w:rPr>
          <w:rFonts w:ascii="宋体"/>
          <w:sz w:val="24"/>
        </w:rPr>
        <w:br w:type="textWrapping"/>
      </w:r>
      <w:r>
        <w:rPr>
          <w:rFonts w:ascii="宋体" w:hAnsi="宋体"/>
          <w:sz w:val="24"/>
        </w:rPr>
        <w:t xml:space="preserve"> 4)</w:t>
      </w:r>
      <w:r>
        <w:rPr>
          <w:rFonts w:hint="eastAsia" w:ascii="宋体" w:hAnsi="宋体"/>
          <w:sz w:val="24"/>
        </w:rPr>
        <w:t>投标人被税务部门列入重大税收违法案件当事人名单的。</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5.本次招标不接受联合体投标。</w:t>
      </w:r>
    </w:p>
    <w:p>
      <w:pPr>
        <w:widowControl/>
        <w:spacing w:line="520" w:lineRule="exact"/>
        <w:jc w:val="left"/>
        <w:rPr>
          <w:rFonts w:ascii="宋体" w:hAnsi="宋体" w:cs="宋体"/>
          <w:b/>
          <w:color w:val="000000"/>
          <w:sz w:val="24"/>
        </w:rPr>
      </w:pPr>
      <w:r>
        <w:rPr>
          <w:rFonts w:hint="eastAsia" w:ascii="宋体" w:hAnsi="宋体" w:cs="宋体"/>
          <w:b/>
          <w:color w:val="000000"/>
          <w:sz w:val="24"/>
        </w:rPr>
        <w:t>三、标书领取日期及方法</w:t>
      </w:r>
    </w:p>
    <w:p>
      <w:pPr>
        <w:widowControl/>
        <w:spacing w:line="520" w:lineRule="exact"/>
        <w:ind w:firstLine="480" w:firstLineChars="200"/>
        <w:rPr>
          <w:rFonts w:ascii="宋体" w:hAnsi="宋体" w:cs="宋体"/>
          <w:kern w:val="0"/>
          <w:sz w:val="24"/>
        </w:rPr>
      </w:pPr>
      <w:r>
        <w:rPr>
          <w:rFonts w:hint="eastAsia" w:ascii="宋体" w:hAnsi="宋体" w:cs="宋体"/>
          <w:kern w:val="0"/>
          <w:sz w:val="24"/>
        </w:rPr>
        <w:t>1.领取日期：2022年05月</w:t>
      </w:r>
      <w:r>
        <w:rPr>
          <w:rFonts w:hint="eastAsia" w:ascii="宋体" w:hAnsi="宋体" w:cs="宋体"/>
          <w:kern w:val="0"/>
          <w:sz w:val="24"/>
          <w:lang w:val="en-US" w:eastAsia="zh-CN"/>
        </w:rPr>
        <w:t>06</w:t>
      </w:r>
      <w:r>
        <w:rPr>
          <w:rFonts w:hint="eastAsia" w:ascii="宋体" w:hAnsi="宋体" w:cs="宋体"/>
          <w:kern w:val="0"/>
          <w:sz w:val="24"/>
        </w:rPr>
        <w:t>日—2022年05月</w:t>
      </w:r>
      <w:r>
        <w:rPr>
          <w:rFonts w:hint="eastAsia" w:ascii="宋体" w:hAnsi="宋体" w:cs="宋体"/>
          <w:kern w:val="0"/>
          <w:sz w:val="24"/>
          <w:lang w:val="en-US" w:eastAsia="zh-CN"/>
        </w:rPr>
        <w:t>13</w:t>
      </w:r>
      <w:r>
        <w:rPr>
          <w:rFonts w:hint="eastAsia" w:ascii="宋体" w:hAnsi="宋体" w:cs="宋体"/>
          <w:kern w:val="0"/>
          <w:sz w:val="24"/>
        </w:rPr>
        <w:t xml:space="preserve"> 日17:30</w:t>
      </w:r>
    </w:p>
    <w:p>
      <w:pPr>
        <w:widowControl/>
        <w:spacing w:line="520" w:lineRule="exact"/>
        <w:ind w:firstLine="480" w:firstLineChars="200"/>
        <w:rPr>
          <w:rFonts w:ascii="宋体" w:hAnsi="宋体" w:cs="宋体"/>
          <w:kern w:val="0"/>
          <w:sz w:val="24"/>
        </w:rPr>
      </w:pPr>
      <w:r>
        <w:rPr>
          <w:rFonts w:hint="eastAsia" w:ascii="宋体" w:hAnsi="宋体" w:cs="宋体"/>
          <w:kern w:val="0"/>
          <w:sz w:val="24"/>
        </w:rPr>
        <w:t>2.领取方法：登录网站</w:t>
      </w:r>
      <w:r>
        <w:fldChar w:fldCharType="begin"/>
      </w:r>
      <w:r>
        <w:instrText xml:space="preserve"> HYPERLINK "http://www.hfbh.com.cn/" </w:instrText>
      </w:r>
      <w:r>
        <w:fldChar w:fldCharType="separate"/>
      </w:r>
      <w:r>
        <w:rPr>
          <w:rFonts w:hint="eastAsia" w:ascii="宋体" w:hAnsi="宋体" w:cs="宋体"/>
          <w:kern w:val="0"/>
          <w:sz w:val="24"/>
        </w:rPr>
        <w:t>www.hfbh.com.cn</w:t>
      </w:r>
      <w:r>
        <w:rPr>
          <w:rFonts w:hint="eastAsia" w:ascii="宋体" w:hAnsi="宋体" w:cs="宋体"/>
          <w:kern w:val="0"/>
          <w:sz w:val="24"/>
        </w:rPr>
        <w:fldChar w:fldCharType="end"/>
      </w:r>
      <w:r>
        <w:rPr>
          <w:rFonts w:hint="eastAsia" w:ascii="宋体" w:hAnsi="宋体" w:cs="宋体"/>
          <w:kern w:val="0"/>
          <w:sz w:val="24"/>
        </w:rPr>
        <w:t>下载标书（下载标书的投标单位按要求参加资格审查）。</w:t>
      </w:r>
    </w:p>
    <w:p>
      <w:pPr>
        <w:widowControl/>
        <w:spacing w:line="520" w:lineRule="exact"/>
        <w:rPr>
          <w:rFonts w:ascii="宋体" w:hAnsi="宋体" w:cs="宋体"/>
          <w:b/>
          <w:color w:val="000000"/>
          <w:kern w:val="0"/>
          <w:sz w:val="24"/>
        </w:rPr>
      </w:pPr>
      <w:r>
        <w:rPr>
          <w:rFonts w:hint="eastAsia" w:ascii="宋体" w:hAnsi="宋体" w:cs="宋体"/>
          <w:b/>
          <w:color w:val="000000"/>
          <w:kern w:val="0"/>
          <w:sz w:val="24"/>
        </w:rPr>
        <w:t>四、资格预审</w:t>
      </w:r>
    </w:p>
    <w:p>
      <w:pPr>
        <w:widowControl/>
        <w:spacing w:line="520" w:lineRule="exact"/>
        <w:ind w:firstLine="480" w:firstLineChars="200"/>
        <w:rPr>
          <w:rFonts w:ascii="宋体" w:hAnsi="宋体" w:cs="宋体"/>
          <w:bCs/>
          <w:color w:val="000000"/>
          <w:kern w:val="0"/>
          <w:sz w:val="24"/>
        </w:rPr>
      </w:pPr>
      <w:r>
        <w:rPr>
          <w:rFonts w:hint="eastAsia" w:ascii="宋体" w:hAnsi="宋体" w:cs="宋体"/>
          <w:bCs/>
          <w:color w:val="000000"/>
          <w:kern w:val="0"/>
          <w:sz w:val="24"/>
        </w:rPr>
        <w:t>2022年05月</w:t>
      </w:r>
      <w:r>
        <w:rPr>
          <w:rFonts w:hint="eastAsia" w:ascii="宋体" w:hAnsi="宋体" w:cs="宋体"/>
          <w:bCs/>
          <w:color w:val="000000"/>
          <w:kern w:val="0"/>
          <w:sz w:val="24"/>
          <w:lang w:val="en-US" w:eastAsia="zh-CN"/>
        </w:rPr>
        <w:t>13</w:t>
      </w:r>
      <w:r>
        <w:rPr>
          <w:rFonts w:hint="eastAsia" w:ascii="宋体" w:hAnsi="宋体" w:cs="宋体"/>
          <w:bCs/>
          <w:color w:val="000000"/>
          <w:kern w:val="0"/>
          <w:sz w:val="24"/>
        </w:rPr>
        <w:t>日12:00之前将本章第二条“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pPr>
        <w:widowControl/>
        <w:spacing w:line="520" w:lineRule="exact"/>
        <w:rPr>
          <w:rFonts w:ascii="宋体" w:hAnsi="宋体" w:cs="宋体"/>
          <w:b/>
          <w:color w:val="000000"/>
          <w:kern w:val="0"/>
          <w:sz w:val="24"/>
        </w:rPr>
      </w:pPr>
      <w:r>
        <w:rPr>
          <w:rFonts w:hint="eastAsia" w:ascii="宋体" w:hAnsi="宋体" w:cs="宋体"/>
          <w:b/>
          <w:color w:val="000000"/>
          <w:kern w:val="0"/>
          <w:sz w:val="24"/>
        </w:rPr>
        <w:t xml:space="preserve">五、投标保证金  </w:t>
      </w:r>
    </w:p>
    <w:p>
      <w:pPr>
        <w:spacing w:line="520" w:lineRule="exact"/>
        <w:ind w:firstLine="360" w:firstLineChars="150"/>
        <w:rPr>
          <w:rFonts w:ascii="宋体" w:hAnsi="宋体" w:cs="宋体"/>
          <w:color w:val="000000"/>
          <w:kern w:val="0"/>
          <w:sz w:val="24"/>
        </w:rPr>
      </w:pPr>
      <w:r>
        <w:rPr>
          <w:rFonts w:hint="eastAsia" w:ascii="宋体" w:hAnsi="宋体" w:cs="宋体"/>
          <w:color w:val="000000"/>
          <w:kern w:val="0"/>
          <w:sz w:val="24"/>
        </w:rPr>
        <w:t>2022年05月</w:t>
      </w:r>
      <w:r>
        <w:rPr>
          <w:rFonts w:hint="eastAsia" w:ascii="宋体" w:hAnsi="宋体" w:cs="宋体"/>
          <w:color w:val="000000"/>
          <w:kern w:val="0"/>
          <w:sz w:val="24"/>
          <w:lang w:val="en-US" w:eastAsia="zh-CN"/>
        </w:rPr>
        <w:t>13</w:t>
      </w:r>
      <w:r>
        <w:rPr>
          <w:rFonts w:hint="eastAsia" w:ascii="宋体" w:hAnsi="宋体" w:cs="宋体"/>
          <w:color w:val="000000"/>
          <w:kern w:val="0"/>
          <w:sz w:val="24"/>
        </w:rPr>
        <w:t>日16:00前（以实际到账时间为准）通过转账的方式缴纳投标保证金</w:t>
      </w:r>
      <w:r>
        <w:rPr>
          <w:rFonts w:hint="eastAsia" w:ascii="宋体" w:hAnsi="宋体" w:cs="宋体"/>
          <w:b/>
          <w:bCs/>
          <w:color w:val="000000"/>
          <w:kern w:val="0"/>
          <w:sz w:val="24"/>
        </w:rPr>
        <w:t>伍仟元整</w:t>
      </w:r>
      <w:r>
        <w:rPr>
          <w:rFonts w:hint="eastAsia" w:ascii="宋体" w:hAnsi="宋体" w:cs="宋体"/>
          <w:color w:val="000000"/>
          <w:kern w:val="0"/>
          <w:sz w:val="24"/>
        </w:rPr>
        <w:t>，如中标，该保证金待投标单位缴纳履约保证金后无息退还；如未中标，招标结束后无息退还。</w:t>
      </w:r>
    </w:p>
    <w:p>
      <w:pPr>
        <w:widowControl/>
        <w:spacing w:line="52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转账资料：</w:t>
      </w:r>
    </w:p>
    <w:p>
      <w:pPr>
        <w:widowControl/>
        <w:spacing w:line="52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1.名  称：合肥百货大楼集团股份有限公司</w:t>
      </w:r>
    </w:p>
    <w:p>
      <w:pPr>
        <w:widowControl/>
        <w:spacing w:line="52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2.开户行：中国建设银行股份有限公司合肥濉溪路支行  </w:t>
      </w:r>
    </w:p>
    <w:p>
      <w:pPr>
        <w:widowControl/>
        <w:spacing w:line="520" w:lineRule="exact"/>
        <w:ind w:firstLine="480" w:firstLineChars="200"/>
        <w:rPr>
          <w:rFonts w:ascii="宋体" w:hAnsi="宋体" w:cs="宋体"/>
          <w:bCs/>
          <w:color w:val="000000"/>
          <w:kern w:val="0"/>
          <w:sz w:val="24"/>
        </w:rPr>
      </w:pPr>
      <w:r>
        <w:rPr>
          <w:rFonts w:hint="eastAsia" w:ascii="宋体" w:hAnsi="宋体" w:cs="宋体"/>
          <w:bCs/>
          <w:color w:val="000000"/>
          <w:kern w:val="0"/>
          <w:sz w:val="24"/>
        </w:rPr>
        <w:t>3.帐 号：34050146380800000974 （转帐时请备注“</w:t>
      </w:r>
      <w:r>
        <w:rPr>
          <w:rFonts w:hint="eastAsia" w:ascii="宋体" w:hAnsi="宋体" w:cs="宋体"/>
          <w:color w:val="000000"/>
          <w:kern w:val="0"/>
          <w:sz w:val="24"/>
        </w:rPr>
        <w:t>百大集团稳定就业员工技能培训服务投标保证金</w:t>
      </w:r>
      <w:r>
        <w:rPr>
          <w:rFonts w:hint="eastAsia" w:ascii="宋体" w:hAnsi="宋体" w:cs="宋体"/>
          <w:bCs/>
          <w:color w:val="000000"/>
          <w:kern w:val="0"/>
          <w:sz w:val="24"/>
        </w:rPr>
        <w:t>”）</w:t>
      </w:r>
    </w:p>
    <w:p>
      <w:pPr>
        <w:widowControl/>
        <w:spacing w:line="52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4.下列任何情况发生，投标保证金将不予退还：</w:t>
      </w:r>
    </w:p>
    <w:p>
      <w:pPr>
        <w:widowControl/>
        <w:spacing w:line="52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4.1在开标之日后投标人擅自撤回投标的；</w:t>
      </w:r>
    </w:p>
    <w:p>
      <w:pPr>
        <w:widowControl/>
        <w:spacing w:line="52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4.2中标人不按规定与招标人签订合同的；</w:t>
      </w:r>
    </w:p>
    <w:p>
      <w:pPr>
        <w:widowControl/>
        <w:spacing w:line="52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4.3中标人不按规定提交履约保证金的；</w:t>
      </w:r>
    </w:p>
    <w:p>
      <w:pPr>
        <w:widowControl/>
        <w:spacing w:line="52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4.4投标文件中提供虚假文件骗取中标的。</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六、开标时间：</w:t>
      </w:r>
      <w:r>
        <w:rPr>
          <w:rFonts w:hint="eastAsia" w:ascii="宋体" w:hAnsi="宋体" w:cs="宋体"/>
          <w:color w:val="000000"/>
          <w:kern w:val="0"/>
          <w:sz w:val="24"/>
        </w:rPr>
        <w:t>2022年05月</w:t>
      </w:r>
      <w:r>
        <w:rPr>
          <w:rFonts w:hint="eastAsia" w:ascii="宋体" w:hAnsi="宋体" w:cs="宋体"/>
          <w:color w:val="000000"/>
          <w:kern w:val="0"/>
          <w:sz w:val="24"/>
          <w:lang w:val="en-US" w:eastAsia="zh-CN"/>
        </w:rPr>
        <w:t>16</w:t>
      </w:r>
      <w:r>
        <w:rPr>
          <w:rFonts w:hint="eastAsia" w:ascii="宋体" w:hAnsi="宋体" w:cs="宋体"/>
          <w:color w:val="000000"/>
          <w:kern w:val="0"/>
          <w:sz w:val="24"/>
        </w:rPr>
        <w:t>日14:30（如有调整，另行通知）</w:t>
      </w:r>
    </w:p>
    <w:p>
      <w:pPr>
        <w:spacing w:line="520" w:lineRule="exact"/>
        <w:ind w:firstLine="482" w:firstLineChars="200"/>
        <w:rPr>
          <w:rFonts w:ascii="宋体" w:hAnsi="宋体" w:cs="宋体"/>
          <w:color w:val="000000"/>
          <w:sz w:val="24"/>
        </w:rPr>
      </w:pPr>
      <w:r>
        <w:rPr>
          <w:rFonts w:hint="eastAsia" w:ascii="宋体" w:hAnsi="宋体" w:cs="宋体"/>
          <w:b/>
          <w:bCs/>
          <w:color w:val="000000"/>
          <w:kern w:val="0"/>
          <w:sz w:val="24"/>
        </w:rPr>
        <w:t>开标地点</w:t>
      </w:r>
      <w:r>
        <w:rPr>
          <w:rFonts w:hint="eastAsia" w:ascii="宋体" w:hAnsi="宋体" w:cs="宋体"/>
          <w:color w:val="000000"/>
          <w:kern w:val="0"/>
          <w:sz w:val="24"/>
        </w:rPr>
        <w:t>：</w:t>
      </w:r>
      <w:r>
        <w:rPr>
          <w:rFonts w:hint="eastAsia" w:ascii="宋体" w:hAnsi="宋体" w:cs="宋体"/>
          <w:color w:val="000000"/>
          <w:sz w:val="24"/>
        </w:rPr>
        <w:t>合肥市黄山路596号合肥百大集团1209室</w:t>
      </w:r>
    </w:p>
    <w:p>
      <w:pPr>
        <w:spacing w:line="520" w:lineRule="exact"/>
        <w:rPr>
          <w:rFonts w:ascii="宋体" w:hAnsi="宋体" w:cs="宋体"/>
          <w:kern w:val="0"/>
          <w:sz w:val="24"/>
        </w:rPr>
      </w:pPr>
      <w:r>
        <w:rPr>
          <w:rFonts w:hint="eastAsia" w:ascii="宋体" w:hAnsi="宋体" w:cs="宋体"/>
          <w:b/>
          <w:color w:val="000000"/>
          <w:kern w:val="0"/>
          <w:sz w:val="24"/>
        </w:rPr>
        <w:t>七、联系方式：</w:t>
      </w:r>
      <w:r>
        <w:rPr>
          <w:rFonts w:hint="eastAsia" w:ascii="宋体" w:hAnsi="宋体" w:cs="宋体"/>
          <w:kern w:val="0"/>
          <w:sz w:val="24"/>
        </w:rPr>
        <w:t>（资质审查）朱  工0551－65771025 邮箱：277351016@qq.com</w:t>
      </w:r>
    </w:p>
    <w:p>
      <w:pPr>
        <w:spacing w:line="520" w:lineRule="exact"/>
        <w:ind w:firstLine="960" w:firstLineChars="400"/>
        <w:rPr>
          <w:rFonts w:hAnsi="宋体" w:cs="宋体"/>
          <w:b/>
          <w:sz w:val="32"/>
          <w:szCs w:val="32"/>
        </w:rPr>
      </w:pPr>
      <w:r>
        <w:rPr>
          <w:rFonts w:hint="eastAsia" w:ascii="宋体" w:hAnsi="宋体" w:cs="宋体"/>
          <w:kern w:val="0"/>
          <w:sz w:val="24"/>
        </w:rPr>
        <w:t xml:space="preserve">      </w:t>
      </w:r>
      <w:r>
        <w:rPr>
          <w:rFonts w:hint="eastAsia" w:ascii="宋体" w:hAnsi="宋体" w:cs="宋体"/>
          <w:color w:val="FF0000"/>
          <w:kern w:val="0"/>
          <w:sz w:val="24"/>
        </w:rPr>
        <w:t xml:space="preserve"> </w:t>
      </w:r>
      <w:r>
        <w:rPr>
          <w:rFonts w:hint="eastAsia" w:ascii="宋体" w:hAnsi="宋体" w:cs="宋体"/>
          <w:kern w:val="0"/>
          <w:sz w:val="24"/>
        </w:rPr>
        <w:t>(项目咨询) 胡  工0551－65771017</w:t>
      </w:r>
    </w:p>
    <w:p>
      <w:pPr>
        <w:pStyle w:val="2"/>
        <w:rPr>
          <w:rFonts w:hAnsi="宋体" w:cs="宋体"/>
          <w:b/>
          <w:sz w:val="32"/>
          <w:szCs w:val="32"/>
        </w:rPr>
      </w:pPr>
    </w:p>
    <w:p>
      <w:pPr>
        <w:pStyle w:val="2"/>
        <w:rPr>
          <w:rFonts w:hAnsi="宋体" w:cs="宋体"/>
          <w:b/>
          <w:sz w:val="32"/>
          <w:szCs w:val="32"/>
        </w:rPr>
        <w:sectPr>
          <w:footerReference r:id="rId7" w:type="default"/>
          <w:pgSz w:w="11906" w:h="16838"/>
          <w:pgMar w:top="1134" w:right="1134" w:bottom="1134" w:left="1134" w:header="851" w:footer="992" w:gutter="0"/>
          <w:pgNumType w:start="1"/>
          <w:cols w:space="720" w:num="1"/>
          <w:docGrid w:type="lines" w:linePitch="312" w:charSpace="0"/>
        </w:sectPr>
      </w:pPr>
    </w:p>
    <w:p>
      <w:pPr>
        <w:widowControl/>
        <w:numPr>
          <w:ilvl w:val="0"/>
          <w:numId w:val="1"/>
        </w:numPr>
        <w:spacing w:line="600" w:lineRule="exact"/>
        <w:jc w:val="center"/>
        <w:outlineLvl w:val="0"/>
        <w:rPr>
          <w:rFonts w:ascii="宋体" w:hAnsi="宋体" w:cs="宋体"/>
          <w:b/>
          <w:color w:val="000000"/>
          <w:kern w:val="0"/>
          <w:sz w:val="32"/>
          <w:szCs w:val="32"/>
        </w:rPr>
      </w:pPr>
      <w:r>
        <w:rPr>
          <w:rFonts w:hint="eastAsia" w:ascii="宋体" w:hAnsi="宋体" w:cs="宋体"/>
          <w:b/>
          <w:color w:val="000000"/>
          <w:kern w:val="0"/>
          <w:sz w:val="32"/>
          <w:szCs w:val="32"/>
        </w:rPr>
        <w:t xml:space="preserve"> 投标须知</w:t>
      </w:r>
    </w:p>
    <w:p>
      <w:pPr>
        <w:pStyle w:val="2"/>
      </w:pPr>
    </w:p>
    <w:p>
      <w:pPr>
        <w:spacing w:line="520" w:lineRule="exact"/>
        <w:ind w:firstLine="361" w:firstLineChars="150"/>
        <w:outlineLvl w:val="1"/>
        <w:rPr>
          <w:rFonts w:ascii="宋体" w:hAnsi="宋体"/>
          <w:b/>
          <w:sz w:val="24"/>
          <w:szCs w:val="32"/>
        </w:rPr>
      </w:pPr>
      <w:r>
        <w:rPr>
          <w:rFonts w:hint="eastAsia" w:ascii="宋体" w:hAnsi="宋体"/>
          <w:b/>
          <w:sz w:val="24"/>
          <w:szCs w:val="32"/>
        </w:rPr>
        <w:t>一、说明及注意事项</w:t>
      </w:r>
    </w:p>
    <w:p>
      <w:pPr>
        <w:spacing w:line="520" w:lineRule="exact"/>
        <w:ind w:firstLine="361" w:firstLineChars="150"/>
        <w:rPr>
          <w:rFonts w:ascii="宋体" w:hAnsi="宋体"/>
          <w:b/>
          <w:sz w:val="24"/>
          <w:szCs w:val="32"/>
        </w:rPr>
      </w:pPr>
      <w:r>
        <w:rPr>
          <w:rFonts w:hint="eastAsia" w:ascii="宋体" w:hAnsi="宋体"/>
          <w:b/>
          <w:sz w:val="24"/>
          <w:szCs w:val="32"/>
        </w:rPr>
        <w:t>1.投标文件的编写要求</w:t>
      </w:r>
    </w:p>
    <w:p>
      <w:pPr>
        <w:spacing w:line="520" w:lineRule="exact"/>
        <w:ind w:firstLine="360" w:firstLineChars="150"/>
        <w:rPr>
          <w:rFonts w:ascii="宋体" w:hAnsi="宋体"/>
          <w:sz w:val="24"/>
          <w:szCs w:val="32"/>
        </w:rPr>
      </w:pPr>
      <w:r>
        <w:rPr>
          <w:rFonts w:hint="eastAsia" w:ascii="宋体" w:hAnsi="宋体"/>
          <w:sz w:val="24"/>
          <w:szCs w:val="32"/>
        </w:rPr>
        <w:t>1.1投标人须以招标人正式发布的《招标文件》为制作《投标文件》的依据；</w:t>
      </w:r>
    </w:p>
    <w:p>
      <w:pPr>
        <w:spacing w:line="520" w:lineRule="exact"/>
        <w:ind w:firstLine="360" w:firstLineChars="150"/>
        <w:rPr>
          <w:rFonts w:ascii="宋体" w:hAnsi="宋体"/>
          <w:sz w:val="24"/>
          <w:szCs w:val="32"/>
        </w:rPr>
      </w:pPr>
      <w:r>
        <w:rPr>
          <w:rFonts w:hint="eastAsia" w:ascii="宋体" w:hAnsi="宋体"/>
          <w:sz w:val="24"/>
          <w:szCs w:val="32"/>
        </w:rPr>
        <w:t>1.2投标人应仔细阅读招标文件的所有内容，按招标文件的要求提供投标文件，并保证所提供的全部资料真实有效；</w:t>
      </w:r>
    </w:p>
    <w:p>
      <w:pPr>
        <w:spacing w:line="520" w:lineRule="exact"/>
        <w:ind w:firstLine="360" w:firstLineChars="150"/>
        <w:rPr>
          <w:rFonts w:ascii="宋体" w:hAnsi="宋体"/>
          <w:sz w:val="24"/>
          <w:szCs w:val="32"/>
        </w:rPr>
      </w:pPr>
      <w:r>
        <w:rPr>
          <w:rFonts w:hint="eastAsia" w:ascii="宋体" w:hAnsi="宋体"/>
          <w:sz w:val="24"/>
          <w:szCs w:val="32"/>
        </w:rPr>
        <w:t>1.3投标文件的书面内容不得涂抹或改写；</w:t>
      </w:r>
    </w:p>
    <w:p>
      <w:pPr>
        <w:spacing w:line="520" w:lineRule="exact"/>
        <w:ind w:firstLine="360" w:firstLineChars="150"/>
        <w:rPr>
          <w:rFonts w:ascii="宋体" w:hAnsi="宋体"/>
          <w:sz w:val="24"/>
          <w:szCs w:val="32"/>
        </w:rPr>
      </w:pPr>
      <w:r>
        <w:rPr>
          <w:rFonts w:hint="eastAsia" w:ascii="宋体" w:hAnsi="宋体"/>
          <w:sz w:val="24"/>
          <w:szCs w:val="32"/>
        </w:rPr>
        <w:t>1.4满足本招标文件规定的其它要求。</w:t>
      </w:r>
    </w:p>
    <w:p>
      <w:pPr>
        <w:spacing w:line="520" w:lineRule="exact"/>
        <w:ind w:firstLine="361" w:firstLineChars="150"/>
        <w:rPr>
          <w:rFonts w:ascii="宋体" w:hAnsi="宋体"/>
          <w:b/>
          <w:sz w:val="24"/>
          <w:szCs w:val="32"/>
        </w:rPr>
      </w:pPr>
      <w:r>
        <w:rPr>
          <w:rFonts w:hint="eastAsia" w:ascii="宋体" w:hAnsi="宋体"/>
          <w:b/>
          <w:sz w:val="24"/>
          <w:szCs w:val="32"/>
        </w:rPr>
        <w:t>2.投标文件由以下部分构成</w:t>
      </w:r>
    </w:p>
    <w:p>
      <w:pPr>
        <w:spacing w:line="520" w:lineRule="exact"/>
        <w:ind w:firstLine="360" w:firstLineChars="150"/>
        <w:rPr>
          <w:rFonts w:ascii="宋体" w:hAnsi="宋体"/>
          <w:sz w:val="24"/>
          <w:szCs w:val="32"/>
        </w:rPr>
      </w:pPr>
      <w:r>
        <w:rPr>
          <w:rFonts w:hint="eastAsia" w:ascii="宋体" w:hAnsi="宋体"/>
          <w:sz w:val="24"/>
          <w:szCs w:val="32"/>
        </w:rPr>
        <w:t>2.1投标承诺书、开标一览表、分项报价表、投标事项承诺等；</w:t>
      </w:r>
    </w:p>
    <w:p>
      <w:pPr>
        <w:spacing w:line="520" w:lineRule="exact"/>
        <w:ind w:firstLine="360" w:firstLineChars="150"/>
        <w:rPr>
          <w:rFonts w:ascii="宋体" w:hAnsi="宋体"/>
          <w:sz w:val="24"/>
          <w:szCs w:val="32"/>
        </w:rPr>
      </w:pPr>
      <w:r>
        <w:rPr>
          <w:rFonts w:hint="eastAsia" w:ascii="宋体" w:hAnsi="宋体"/>
          <w:sz w:val="24"/>
          <w:szCs w:val="32"/>
        </w:rPr>
        <w:t>2.2投标人资质证明文件、法人和授权代表人身份证复印件；</w:t>
      </w:r>
    </w:p>
    <w:p>
      <w:pPr>
        <w:spacing w:line="520" w:lineRule="exact"/>
        <w:ind w:firstLine="360" w:firstLineChars="150"/>
        <w:rPr>
          <w:rFonts w:ascii="宋体" w:hAnsi="宋体"/>
          <w:sz w:val="24"/>
          <w:szCs w:val="32"/>
        </w:rPr>
      </w:pPr>
      <w:r>
        <w:rPr>
          <w:rFonts w:ascii="宋体" w:hAnsi="宋体"/>
          <w:sz w:val="24"/>
          <w:szCs w:val="32"/>
        </w:rPr>
        <w:t>2.3</w:t>
      </w:r>
      <w:r>
        <w:rPr>
          <w:rFonts w:hint="eastAsia" w:ascii="宋体" w:hAnsi="宋体"/>
          <w:sz w:val="24"/>
          <w:szCs w:val="32"/>
        </w:rPr>
        <w:t>投标人需提供详细的培训服务方案，须符合项目实际需求。</w:t>
      </w:r>
    </w:p>
    <w:p>
      <w:pPr>
        <w:spacing w:line="520" w:lineRule="exact"/>
        <w:ind w:firstLine="360" w:firstLineChars="150"/>
        <w:rPr>
          <w:rFonts w:ascii="宋体" w:hAnsi="宋体"/>
          <w:sz w:val="24"/>
          <w:szCs w:val="32"/>
        </w:rPr>
      </w:pPr>
      <w:r>
        <w:rPr>
          <w:rFonts w:ascii="宋体" w:hAnsi="宋体"/>
          <w:sz w:val="24"/>
          <w:szCs w:val="32"/>
        </w:rPr>
        <w:t>2.4</w:t>
      </w:r>
      <w:r>
        <w:rPr>
          <w:rFonts w:hint="eastAsia" w:ascii="宋体" w:hAnsi="宋体"/>
          <w:sz w:val="24"/>
          <w:szCs w:val="32"/>
        </w:rPr>
        <w:t>投标人同类项目合同及投标人其它说明文件等；</w:t>
      </w:r>
    </w:p>
    <w:p>
      <w:pPr>
        <w:spacing w:line="520" w:lineRule="exact"/>
        <w:ind w:firstLine="361" w:firstLineChars="150"/>
        <w:rPr>
          <w:rFonts w:ascii="宋体" w:hAnsi="宋体"/>
          <w:b/>
          <w:sz w:val="24"/>
          <w:szCs w:val="32"/>
        </w:rPr>
      </w:pPr>
      <w:r>
        <w:rPr>
          <w:rFonts w:hint="eastAsia" w:ascii="宋体" w:hAnsi="宋体"/>
          <w:b/>
          <w:sz w:val="24"/>
          <w:szCs w:val="32"/>
        </w:rPr>
        <w:t>3.投标报价说明</w:t>
      </w:r>
    </w:p>
    <w:p>
      <w:pPr>
        <w:spacing w:line="520" w:lineRule="exact"/>
        <w:ind w:firstLine="360" w:firstLineChars="150"/>
        <w:rPr>
          <w:rFonts w:ascii="宋体" w:hAnsi="宋体"/>
          <w:sz w:val="24"/>
          <w:szCs w:val="32"/>
        </w:rPr>
      </w:pPr>
      <w:r>
        <w:rPr>
          <w:rFonts w:hint="eastAsia" w:ascii="宋体" w:hAnsi="宋体"/>
          <w:sz w:val="24"/>
          <w:szCs w:val="32"/>
        </w:rPr>
        <w:t>3.1除招标文件中另有规定外，计量单位为我国法定计量单位；投标报价、服务费结算一律使用人民币；</w:t>
      </w:r>
    </w:p>
    <w:p>
      <w:pPr>
        <w:spacing w:line="520" w:lineRule="exact"/>
        <w:ind w:firstLine="360" w:firstLineChars="150"/>
        <w:rPr>
          <w:rFonts w:ascii="宋体" w:hAnsi="宋体"/>
          <w:sz w:val="24"/>
          <w:szCs w:val="32"/>
        </w:rPr>
      </w:pPr>
      <w:r>
        <w:rPr>
          <w:rFonts w:hint="eastAsia" w:ascii="宋体" w:hAnsi="宋体"/>
          <w:sz w:val="24"/>
          <w:szCs w:val="32"/>
        </w:rPr>
        <w:t>3.2投标人自行承担投标文件编制、递交、现场踏勘所涉及的一切费用。</w:t>
      </w:r>
    </w:p>
    <w:p>
      <w:pPr>
        <w:spacing w:line="520" w:lineRule="exact"/>
        <w:ind w:firstLine="360" w:firstLineChars="150"/>
        <w:rPr>
          <w:rFonts w:ascii="宋体" w:hAnsi="宋体"/>
          <w:sz w:val="24"/>
          <w:szCs w:val="32"/>
        </w:rPr>
      </w:pPr>
      <w:r>
        <w:rPr>
          <w:rFonts w:hint="eastAsia" w:ascii="宋体" w:hAnsi="宋体"/>
          <w:sz w:val="24"/>
          <w:szCs w:val="32"/>
        </w:rPr>
        <w:t>3.3投标报价是指完成招标文件要求的技能培训服务，确保招标人获得人社部门发放的培训补贴资金</w:t>
      </w:r>
      <w:r>
        <w:rPr>
          <w:rFonts w:hint="eastAsia"/>
        </w:rPr>
        <w:t>，并</w:t>
      </w:r>
      <w:r>
        <w:rPr>
          <w:rFonts w:hint="eastAsia" w:ascii="宋体" w:hAnsi="宋体"/>
          <w:sz w:val="24"/>
          <w:szCs w:val="32"/>
        </w:rPr>
        <w:t>开具3%增值税专用发票</w:t>
      </w:r>
      <w:r>
        <w:rPr>
          <w:rFonts w:hint="eastAsia" w:ascii="宋体" w:hAnsi="宋体" w:cs="宋体"/>
          <w:color w:val="000000"/>
          <w:kern w:val="0"/>
          <w:sz w:val="24"/>
        </w:rPr>
        <w:t>(培训类)</w:t>
      </w:r>
      <w:r>
        <w:rPr>
          <w:rFonts w:hint="eastAsia" w:ascii="宋体" w:hAnsi="宋体"/>
          <w:sz w:val="24"/>
          <w:szCs w:val="32"/>
        </w:rPr>
        <w:t>的价格。</w:t>
      </w:r>
    </w:p>
    <w:p>
      <w:pPr>
        <w:spacing w:line="520" w:lineRule="exact"/>
        <w:ind w:firstLine="360" w:firstLineChars="150"/>
        <w:rPr>
          <w:rFonts w:ascii="宋体" w:hAnsi="宋体"/>
          <w:sz w:val="24"/>
          <w:szCs w:val="32"/>
        </w:rPr>
      </w:pPr>
      <w:r>
        <w:rPr>
          <w:rFonts w:hint="eastAsia" w:ascii="宋体" w:hAnsi="宋体"/>
          <w:color w:val="000000"/>
          <w:sz w:val="24"/>
          <w:szCs w:val="32"/>
        </w:rPr>
        <w:t>4.</w:t>
      </w:r>
      <w:r>
        <w:rPr>
          <w:rFonts w:hint="eastAsia" w:ascii="宋体" w:hAnsi="宋体"/>
          <w:sz w:val="24"/>
          <w:szCs w:val="32"/>
        </w:rPr>
        <w:t>请投标人接到招标文件后,认真审阅和全面理解招标文件中所有的须知、条件、格式、条款，如果投标人的投标文件不符合招标文件要求，该投标文件将被拒绝，责任自负。</w:t>
      </w:r>
    </w:p>
    <w:p>
      <w:pPr>
        <w:spacing w:line="520" w:lineRule="exact"/>
        <w:ind w:firstLine="360" w:firstLineChars="150"/>
        <w:rPr>
          <w:rFonts w:ascii="宋体" w:hAnsi="宋体"/>
          <w:sz w:val="24"/>
          <w:szCs w:val="32"/>
        </w:rPr>
      </w:pPr>
      <w:r>
        <w:rPr>
          <w:rFonts w:hint="eastAsia" w:ascii="宋体" w:hAnsi="宋体"/>
          <w:color w:val="000000"/>
          <w:sz w:val="24"/>
          <w:szCs w:val="32"/>
        </w:rPr>
        <w:t>5.</w:t>
      </w:r>
      <w:r>
        <w:rPr>
          <w:rFonts w:hint="eastAsia" w:ascii="宋体" w:hAnsi="宋体"/>
          <w:sz w:val="24"/>
          <w:szCs w:val="32"/>
        </w:rPr>
        <w:t>投标人在交付投标保证金后，如出现串标、毁标、中标后不签订合同或在履行合同时出现违约行为，招标人有权没收投标保证金并记入百大集团招投标黑名单；资审通过放弃投标的请在开标前3日内以书面形式告知招标人，否则没收投标保证金。</w:t>
      </w:r>
    </w:p>
    <w:p>
      <w:pPr>
        <w:spacing w:line="520" w:lineRule="exact"/>
        <w:ind w:firstLine="361" w:firstLineChars="150"/>
        <w:outlineLvl w:val="1"/>
        <w:rPr>
          <w:rFonts w:ascii="宋体" w:hAnsi="宋体"/>
          <w:b/>
          <w:sz w:val="24"/>
          <w:szCs w:val="32"/>
        </w:rPr>
      </w:pPr>
      <w:r>
        <w:rPr>
          <w:rFonts w:hint="eastAsia" w:ascii="宋体" w:hAnsi="宋体"/>
          <w:b/>
          <w:sz w:val="24"/>
          <w:szCs w:val="32"/>
        </w:rPr>
        <w:t>二、投标文件的递交</w:t>
      </w:r>
    </w:p>
    <w:p>
      <w:pPr>
        <w:spacing w:line="520" w:lineRule="exact"/>
        <w:ind w:firstLine="360" w:firstLineChars="150"/>
        <w:outlineLvl w:val="2"/>
        <w:rPr>
          <w:rFonts w:ascii="宋体" w:hAnsi="宋体"/>
          <w:sz w:val="24"/>
          <w:szCs w:val="32"/>
        </w:rPr>
      </w:pPr>
      <w:r>
        <w:rPr>
          <w:rFonts w:hint="eastAsia" w:ascii="宋体" w:hAnsi="宋体"/>
          <w:sz w:val="24"/>
          <w:szCs w:val="32"/>
        </w:rPr>
        <w:t>1.投标文件的密封和标记</w:t>
      </w:r>
    </w:p>
    <w:p>
      <w:pPr>
        <w:spacing w:line="520" w:lineRule="exact"/>
        <w:ind w:firstLine="360" w:firstLineChars="150"/>
        <w:rPr>
          <w:rFonts w:ascii="宋体" w:hAnsi="宋体"/>
          <w:sz w:val="24"/>
          <w:szCs w:val="32"/>
        </w:rPr>
      </w:pPr>
      <w:r>
        <w:rPr>
          <w:rFonts w:hint="eastAsia" w:ascii="宋体" w:hAnsi="宋体"/>
          <w:sz w:val="24"/>
          <w:szCs w:val="32"/>
        </w:rPr>
        <w:t>1.1投标文件应密封并在封口加贴封条，并在封面注明招标编号、投标项目、投标单位等；同时，在密封处加盖骑缝章；</w:t>
      </w:r>
    </w:p>
    <w:p>
      <w:pPr>
        <w:spacing w:line="520" w:lineRule="exact"/>
        <w:ind w:firstLine="360" w:firstLineChars="150"/>
        <w:rPr>
          <w:rFonts w:ascii="宋体" w:hAnsi="宋体"/>
          <w:b/>
          <w:sz w:val="24"/>
          <w:szCs w:val="32"/>
        </w:rPr>
      </w:pPr>
      <w:r>
        <w:rPr>
          <w:rFonts w:hint="eastAsia" w:ascii="宋体" w:hAnsi="宋体"/>
          <w:sz w:val="24"/>
          <w:szCs w:val="32"/>
        </w:rPr>
        <w:t>1.2投标文件要求：</w:t>
      </w:r>
      <w:r>
        <w:rPr>
          <w:rFonts w:hint="eastAsia" w:ascii="宋体" w:hAnsi="宋体"/>
          <w:b/>
          <w:sz w:val="24"/>
          <w:szCs w:val="32"/>
        </w:rPr>
        <w:t>胶装，正、副本各一份，PDF电子版一份。</w:t>
      </w:r>
    </w:p>
    <w:p>
      <w:pPr>
        <w:spacing w:line="520" w:lineRule="exact"/>
        <w:ind w:firstLine="360" w:firstLineChars="150"/>
        <w:outlineLvl w:val="2"/>
        <w:rPr>
          <w:rFonts w:ascii="宋体" w:hAnsi="宋体"/>
          <w:sz w:val="24"/>
          <w:szCs w:val="32"/>
        </w:rPr>
      </w:pPr>
      <w:r>
        <w:rPr>
          <w:rFonts w:hint="eastAsia" w:ascii="宋体" w:hAnsi="宋体"/>
          <w:sz w:val="24"/>
          <w:szCs w:val="32"/>
        </w:rPr>
        <w:t>2.投标文件的递交、修改和撤回。</w:t>
      </w:r>
    </w:p>
    <w:p>
      <w:pPr>
        <w:spacing w:line="520" w:lineRule="exact"/>
        <w:ind w:firstLine="360" w:firstLineChars="150"/>
        <w:rPr>
          <w:rFonts w:ascii="宋体" w:hAnsi="宋体"/>
          <w:sz w:val="24"/>
          <w:szCs w:val="32"/>
        </w:rPr>
      </w:pPr>
      <w:r>
        <w:rPr>
          <w:rFonts w:hint="eastAsia" w:ascii="宋体" w:hAnsi="宋体"/>
          <w:sz w:val="24"/>
          <w:szCs w:val="32"/>
        </w:rPr>
        <w:t>2.1投标人应在开标前将密封合格的投标文件送达开标现场；</w:t>
      </w:r>
    </w:p>
    <w:p>
      <w:pPr>
        <w:spacing w:line="520" w:lineRule="exact"/>
        <w:ind w:firstLine="360" w:firstLineChars="150"/>
        <w:rPr>
          <w:rFonts w:ascii="宋体" w:hAnsi="宋体"/>
          <w:sz w:val="24"/>
          <w:szCs w:val="32"/>
        </w:rPr>
      </w:pPr>
      <w:r>
        <w:rPr>
          <w:rFonts w:hint="eastAsia" w:ascii="宋体" w:hAnsi="宋体"/>
          <w:sz w:val="24"/>
          <w:szCs w:val="32"/>
        </w:rPr>
        <w:t>2.2投标人递交投标文件后，不得修改或撤回投标文件。</w:t>
      </w:r>
    </w:p>
    <w:p>
      <w:pPr>
        <w:spacing w:line="520" w:lineRule="exact"/>
        <w:ind w:firstLine="361" w:firstLineChars="150"/>
        <w:outlineLvl w:val="1"/>
        <w:rPr>
          <w:rFonts w:ascii="宋体" w:hAnsi="宋体"/>
          <w:b/>
          <w:sz w:val="24"/>
          <w:szCs w:val="32"/>
        </w:rPr>
      </w:pPr>
      <w:r>
        <w:rPr>
          <w:rFonts w:hint="eastAsia" w:ascii="宋体" w:hAnsi="宋体"/>
          <w:b/>
          <w:sz w:val="24"/>
          <w:szCs w:val="32"/>
        </w:rPr>
        <w:t>三、开标、评标和定标</w:t>
      </w:r>
    </w:p>
    <w:p>
      <w:pPr>
        <w:spacing w:line="520" w:lineRule="exact"/>
        <w:ind w:firstLine="360" w:firstLineChars="150"/>
        <w:rPr>
          <w:rFonts w:ascii="宋体" w:hAnsi="宋体"/>
          <w:sz w:val="24"/>
          <w:szCs w:val="32"/>
        </w:rPr>
      </w:pPr>
      <w:r>
        <w:rPr>
          <w:rFonts w:hint="eastAsia" w:ascii="宋体" w:hAnsi="宋体"/>
          <w:sz w:val="24"/>
          <w:szCs w:val="32"/>
        </w:rPr>
        <w:t>1.评标原则：遵循国家有关法律、法规，客观、公正地对待所有投标人，以招标文件作为评标的基本依据；凡涉及审查、评估和比较投标文件以及定标等意见，均不得向投标人及与评标无关的人员透露。</w:t>
      </w:r>
    </w:p>
    <w:p>
      <w:pPr>
        <w:spacing w:line="520" w:lineRule="exact"/>
        <w:ind w:firstLine="360" w:firstLineChars="150"/>
        <w:rPr>
          <w:rFonts w:ascii="宋体" w:hAnsi="宋体"/>
          <w:sz w:val="24"/>
          <w:szCs w:val="32"/>
        </w:rPr>
      </w:pPr>
      <w:r>
        <w:rPr>
          <w:rFonts w:hint="eastAsia" w:ascii="宋体" w:hAnsi="宋体"/>
          <w:sz w:val="24"/>
          <w:szCs w:val="32"/>
        </w:rPr>
        <w:t>2.招标管理委员会按投标邀请中拟定的时间和地点开标，届时请与投标书一致的被授权代表本人到开标现场参与开标（</w:t>
      </w:r>
      <w:r>
        <w:rPr>
          <w:rFonts w:hint="eastAsia" w:ascii="宋体" w:hAnsi="宋体"/>
          <w:b/>
          <w:sz w:val="24"/>
          <w:szCs w:val="32"/>
        </w:rPr>
        <w:t>被授权代表须出示身份证原件</w:t>
      </w:r>
      <w:r>
        <w:rPr>
          <w:rFonts w:hint="eastAsia" w:ascii="宋体" w:hAnsi="宋体"/>
          <w:sz w:val="24"/>
          <w:szCs w:val="32"/>
        </w:rPr>
        <w:t>）。被授权代表逾期未到达开标现场，且未提前书面说明将视为弃权，投标保证金不予退还。</w:t>
      </w:r>
    </w:p>
    <w:p>
      <w:pPr>
        <w:spacing w:line="520" w:lineRule="exact"/>
        <w:ind w:firstLine="360" w:firstLineChars="150"/>
        <w:rPr>
          <w:rFonts w:ascii="宋体" w:hAnsi="宋体"/>
          <w:sz w:val="24"/>
          <w:szCs w:val="32"/>
        </w:rPr>
      </w:pPr>
      <w:r>
        <w:rPr>
          <w:rFonts w:hint="eastAsia" w:ascii="宋体" w:hAnsi="宋体"/>
          <w:sz w:val="24"/>
          <w:szCs w:val="32"/>
        </w:rPr>
        <w:t>3.开标时，查验投标文件的密封状况，确认无误后拆封唱标。</w:t>
      </w:r>
    </w:p>
    <w:p>
      <w:pPr>
        <w:spacing w:line="520" w:lineRule="exact"/>
        <w:ind w:firstLine="361" w:firstLineChars="150"/>
        <w:rPr>
          <w:rStyle w:val="12"/>
          <w:rFonts w:ascii="宋体" w:hAnsi="宋体"/>
          <w:b w:val="0"/>
          <w:sz w:val="24"/>
          <w:szCs w:val="32"/>
        </w:rPr>
      </w:pPr>
      <w:r>
        <w:rPr>
          <w:rFonts w:hint="eastAsia" w:ascii="宋体" w:hAnsi="宋体"/>
          <w:b/>
          <w:color w:val="000000"/>
          <w:sz w:val="24"/>
          <w:szCs w:val="32"/>
        </w:rPr>
        <w:t>4.</w:t>
      </w:r>
      <w:r>
        <w:rPr>
          <w:rFonts w:hint="eastAsia" w:ascii="宋体" w:hAnsi="宋体"/>
          <w:b/>
          <w:sz w:val="24"/>
          <w:szCs w:val="32"/>
        </w:rPr>
        <w:t>本项目评标采用有效最低价法，即资格审查、商务标、技术标均评审通过无错项、缺漏项的有效投标报价最低的投标人为中标候选人。</w:t>
      </w:r>
    </w:p>
    <w:p>
      <w:pPr>
        <w:spacing w:line="520" w:lineRule="exact"/>
        <w:ind w:firstLine="360" w:firstLineChars="150"/>
        <w:rPr>
          <w:rFonts w:ascii="宋体" w:hAnsi="宋体"/>
          <w:bCs/>
          <w:sz w:val="24"/>
          <w:szCs w:val="32"/>
        </w:rPr>
      </w:pPr>
      <w:r>
        <w:rPr>
          <w:rFonts w:hint="eastAsia" w:ascii="宋体" w:hAnsi="宋体"/>
          <w:bCs/>
          <w:sz w:val="24"/>
          <w:szCs w:val="32"/>
        </w:rPr>
        <w:t>5.招标人不承诺报价最低者可以中标，也不向落标的投标人退还投标文件。</w:t>
      </w:r>
    </w:p>
    <w:p>
      <w:pPr>
        <w:spacing w:line="520" w:lineRule="exact"/>
        <w:ind w:firstLine="360" w:firstLineChars="150"/>
        <w:rPr>
          <w:rFonts w:ascii="宋体" w:hAnsi="宋体"/>
          <w:b/>
          <w:color w:val="000000"/>
          <w:sz w:val="24"/>
          <w:szCs w:val="32"/>
        </w:rPr>
      </w:pPr>
      <w:r>
        <w:rPr>
          <w:rFonts w:hint="eastAsia" w:ascii="宋体" w:hAnsi="宋体"/>
          <w:color w:val="000000"/>
          <w:sz w:val="24"/>
          <w:szCs w:val="32"/>
        </w:rPr>
        <w:t>6.</w:t>
      </w:r>
      <w:r>
        <w:rPr>
          <w:rFonts w:hint="eastAsia" w:ascii="宋体" w:hAnsi="宋体"/>
          <w:sz w:val="24"/>
          <w:szCs w:val="32"/>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20" w:lineRule="exact"/>
        <w:ind w:firstLine="361" w:firstLineChars="150"/>
        <w:rPr>
          <w:rFonts w:ascii="宋体" w:hAnsi="宋体"/>
          <w:b/>
          <w:sz w:val="24"/>
          <w:szCs w:val="32"/>
        </w:rPr>
      </w:pPr>
      <w:r>
        <w:rPr>
          <w:rFonts w:hint="eastAsia" w:ascii="宋体" w:hAnsi="宋体"/>
          <w:b/>
          <w:sz w:val="24"/>
          <w:szCs w:val="32"/>
        </w:rPr>
        <w:t>7.有下列情况之一的投标文件为废标：</w:t>
      </w:r>
    </w:p>
    <w:p>
      <w:pPr>
        <w:spacing w:line="520" w:lineRule="exact"/>
        <w:ind w:firstLine="360" w:firstLineChars="150"/>
        <w:rPr>
          <w:rFonts w:ascii="宋体" w:hAnsi="宋体"/>
          <w:sz w:val="24"/>
          <w:szCs w:val="32"/>
        </w:rPr>
      </w:pPr>
      <w:r>
        <w:rPr>
          <w:rFonts w:hint="eastAsia" w:ascii="宋体" w:hAnsi="宋体"/>
          <w:sz w:val="24"/>
          <w:szCs w:val="32"/>
        </w:rPr>
        <w:t>7.1未按本须知投标要求进行报价的；</w:t>
      </w:r>
    </w:p>
    <w:p>
      <w:pPr>
        <w:spacing w:line="520" w:lineRule="exact"/>
        <w:ind w:firstLine="360" w:firstLineChars="150"/>
        <w:rPr>
          <w:rFonts w:ascii="宋体" w:hAnsi="宋体"/>
          <w:sz w:val="24"/>
          <w:szCs w:val="32"/>
        </w:rPr>
      </w:pPr>
      <w:r>
        <w:rPr>
          <w:rFonts w:hint="eastAsia" w:ascii="宋体" w:hAnsi="宋体"/>
          <w:sz w:val="24"/>
          <w:szCs w:val="32"/>
        </w:rPr>
        <w:t>7.2未加盖投标人公章的；</w:t>
      </w:r>
    </w:p>
    <w:p>
      <w:pPr>
        <w:spacing w:line="520" w:lineRule="exact"/>
        <w:ind w:firstLine="360" w:firstLineChars="150"/>
        <w:rPr>
          <w:rFonts w:ascii="宋体" w:hAnsi="宋体"/>
          <w:sz w:val="24"/>
          <w:szCs w:val="32"/>
        </w:rPr>
      </w:pPr>
      <w:r>
        <w:rPr>
          <w:rFonts w:hint="eastAsia" w:ascii="宋体" w:hAnsi="宋体"/>
          <w:sz w:val="24"/>
          <w:szCs w:val="32"/>
        </w:rPr>
        <w:t>7.3投标文件无法定代表人或委托代理人签字、盖章的；</w:t>
      </w:r>
    </w:p>
    <w:p>
      <w:pPr>
        <w:spacing w:line="520" w:lineRule="exact"/>
        <w:ind w:firstLine="360" w:firstLineChars="150"/>
        <w:rPr>
          <w:rFonts w:ascii="宋体" w:hAnsi="宋体"/>
          <w:sz w:val="24"/>
          <w:szCs w:val="32"/>
        </w:rPr>
      </w:pPr>
      <w:r>
        <w:rPr>
          <w:rFonts w:hint="eastAsia" w:ascii="宋体" w:hAnsi="宋体"/>
          <w:sz w:val="24"/>
          <w:szCs w:val="32"/>
        </w:rPr>
        <w:t>7.4严重违反招标纪律的；</w:t>
      </w:r>
    </w:p>
    <w:p>
      <w:pPr>
        <w:spacing w:line="520" w:lineRule="exact"/>
        <w:ind w:firstLine="360" w:firstLineChars="150"/>
        <w:rPr>
          <w:rFonts w:ascii="宋体" w:hAnsi="宋体"/>
          <w:sz w:val="24"/>
          <w:szCs w:val="32"/>
        </w:rPr>
      </w:pPr>
      <w:r>
        <w:rPr>
          <w:rFonts w:hint="eastAsia" w:ascii="宋体" w:hAnsi="宋体"/>
          <w:sz w:val="24"/>
          <w:szCs w:val="32"/>
        </w:rPr>
        <w:t>7.5投标文件字迹潦草、模糊致使无法辨认的；</w:t>
      </w:r>
    </w:p>
    <w:p>
      <w:pPr>
        <w:spacing w:line="520" w:lineRule="exact"/>
        <w:ind w:firstLine="360" w:firstLineChars="150"/>
        <w:rPr>
          <w:rFonts w:ascii="宋体" w:hAnsi="宋体"/>
          <w:sz w:val="24"/>
          <w:szCs w:val="32"/>
        </w:rPr>
      </w:pPr>
      <w:r>
        <w:rPr>
          <w:rFonts w:hint="eastAsia" w:ascii="宋体" w:hAnsi="宋体"/>
          <w:sz w:val="24"/>
          <w:szCs w:val="32"/>
        </w:rPr>
        <w:t>7.6投标单位在一份投标文件中，报有两个或多个不同报价，且未书面声明以哪个报价为准的；</w:t>
      </w:r>
    </w:p>
    <w:p>
      <w:pPr>
        <w:spacing w:line="520" w:lineRule="exact"/>
        <w:ind w:firstLine="360" w:firstLineChars="150"/>
        <w:rPr>
          <w:rFonts w:ascii="宋体" w:hAnsi="宋体"/>
          <w:sz w:val="24"/>
          <w:szCs w:val="32"/>
        </w:rPr>
      </w:pPr>
      <w:r>
        <w:rPr>
          <w:rFonts w:hint="eastAsia" w:ascii="宋体" w:hAnsi="宋体"/>
          <w:sz w:val="24"/>
          <w:szCs w:val="32"/>
        </w:rPr>
        <w:t>7.7投标文件存在错项、缺漏项的；</w:t>
      </w:r>
    </w:p>
    <w:p>
      <w:pPr>
        <w:spacing w:line="520" w:lineRule="exact"/>
        <w:ind w:firstLine="360" w:firstLineChars="150"/>
        <w:rPr>
          <w:rFonts w:ascii="宋体" w:hAnsi="宋体"/>
          <w:sz w:val="24"/>
          <w:szCs w:val="32"/>
        </w:rPr>
      </w:pPr>
      <w:r>
        <w:rPr>
          <w:rFonts w:hint="eastAsia" w:ascii="宋体" w:hAnsi="宋体"/>
          <w:sz w:val="24"/>
          <w:szCs w:val="32"/>
        </w:rPr>
        <w:t>7.8评委委员会评议认为构成废标的其他情况；</w:t>
      </w:r>
    </w:p>
    <w:p>
      <w:pPr>
        <w:spacing w:line="520" w:lineRule="exact"/>
        <w:ind w:firstLine="360" w:firstLineChars="150"/>
        <w:rPr>
          <w:rFonts w:ascii="宋体" w:hAnsi="宋体"/>
          <w:sz w:val="24"/>
          <w:szCs w:val="32"/>
        </w:rPr>
      </w:pPr>
      <w:r>
        <w:rPr>
          <w:rFonts w:hint="eastAsia" w:ascii="宋体" w:hAnsi="宋体"/>
          <w:sz w:val="24"/>
          <w:szCs w:val="32"/>
        </w:rPr>
        <w:t>7.9其他未实质性响应招标文件要求的。</w:t>
      </w:r>
    </w:p>
    <w:p>
      <w:pPr>
        <w:spacing w:line="520" w:lineRule="exact"/>
        <w:ind w:firstLine="361" w:firstLineChars="150"/>
        <w:rPr>
          <w:rFonts w:ascii="宋体" w:hAnsi="宋体"/>
          <w:b/>
          <w:sz w:val="24"/>
          <w:szCs w:val="32"/>
        </w:rPr>
      </w:pPr>
      <w:r>
        <w:rPr>
          <w:rFonts w:hint="eastAsia" w:ascii="宋体" w:hAnsi="宋体"/>
          <w:b/>
          <w:sz w:val="24"/>
          <w:szCs w:val="32"/>
        </w:rPr>
        <w:t>8.二次招标</w:t>
      </w:r>
    </w:p>
    <w:p>
      <w:pPr>
        <w:spacing w:line="520" w:lineRule="exact"/>
        <w:ind w:firstLine="360" w:firstLineChars="150"/>
        <w:rPr>
          <w:rFonts w:ascii="宋体" w:hAnsi="宋体"/>
          <w:sz w:val="24"/>
          <w:szCs w:val="32"/>
        </w:rPr>
      </w:pPr>
      <w:r>
        <w:rPr>
          <w:rFonts w:hint="eastAsia" w:ascii="宋体" w:hAnsi="宋体"/>
          <w:sz w:val="24"/>
          <w:szCs w:val="32"/>
        </w:rPr>
        <w:t>8.1如项目流标，招标人根据情况可能发布二次公告，进行二次招标。二次招标如符合专业条件的投标人或对招标文件作实质响应的投标人只有两家，评委会将视情况现场转为竞争性谈判；</w:t>
      </w:r>
    </w:p>
    <w:p>
      <w:pPr>
        <w:spacing w:line="520" w:lineRule="exact"/>
        <w:ind w:firstLine="360" w:firstLineChars="150"/>
        <w:rPr>
          <w:rFonts w:ascii="宋体" w:hAnsi="宋体"/>
          <w:sz w:val="24"/>
          <w:szCs w:val="32"/>
        </w:rPr>
      </w:pPr>
      <w:r>
        <w:rPr>
          <w:rFonts w:hint="eastAsia" w:ascii="宋体" w:hAnsi="宋体"/>
          <w:sz w:val="24"/>
          <w:szCs w:val="32"/>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20" w:lineRule="exact"/>
        <w:ind w:firstLine="360" w:firstLineChars="150"/>
        <w:rPr>
          <w:rFonts w:ascii="宋体" w:hAnsi="宋体"/>
          <w:sz w:val="24"/>
          <w:szCs w:val="32"/>
        </w:rPr>
      </w:pPr>
      <w:r>
        <w:rPr>
          <w:rFonts w:hint="eastAsia" w:ascii="宋体" w:hAnsi="宋体"/>
          <w:sz w:val="24"/>
          <w:szCs w:val="32"/>
        </w:rPr>
        <w:t>8.3前次招标流标后，投标人如继续参加二次投标，投标保证金无需重复缴纳。如不参加二次投标的投标人须书面告知招标人，招标人在规定时间内予以退还投标保证金。</w:t>
      </w:r>
    </w:p>
    <w:p>
      <w:pPr>
        <w:spacing w:line="520" w:lineRule="exact"/>
        <w:ind w:firstLine="360" w:firstLineChars="150"/>
        <w:rPr>
          <w:rFonts w:ascii="宋体" w:hAnsi="宋体"/>
          <w:bCs/>
          <w:sz w:val="24"/>
          <w:szCs w:val="32"/>
        </w:rPr>
      </w:pPr>
      <w:r>
        <w:rPr>
          <w:rFonts w:hint="eastAsia" w:ascii="宋体" w:hAnsi="宋体"/>
          <w:bCs/>
          <w:sz w:val="24"/>
          <w:szCs w:val="32"/>
        </w:rPr>
        <w:t>9.招标人依据公开、公平、公正原则进行评定标，投标人若认为本次招标过程中存在有违“三公”原则的，可向监标人书面投诉（只接受书面投诉）；联系地址：合肥市黄山路596号A楼1509室  百大集团纪委案管审理室。</w:t>
      </w:r>
    </w:p>
    <w:p>
      <w:pPr>
        <w:spacing w:line="520" w:lineRule="exact"/>
        <w:ind w:firstLine="361" w:firstLineChars="150"/>
        <w:outlineLvl w:val="1"/>
        <w:rPr>
          <w:rFonts w:ascii="宋体" w:hAnsi="宋体"/>
          <w:b/>
          <w:sz w:val="24"/>
          <w:szCs w:val="32"/>
        </w:rPr>
      </w:pPr>
      <w:r>
        <w:rPr>
          <w:rFonts w:hint="eastAsia" w:ascii="宋体" w:hAnsi="宋体"/>
          <w:b/>
          <w:sz w:val="24"/>
          <w:szCs w:val="32"/>
        </w:rPr>
        <w:t>四、投标文件的澄清</w:t>
      </w:r>
    </w:p>
    <w:p>
      <w:pPr>
        <w:spacing w:line="520" w:lineRule="exact"/>
        <w:ind w:firstLine="360" w:firstLineChars="150"/>
        <w:rPr>
          <w:rFonts w:ascii="宋体" w:hAnsi="宋体"/>
          <w:sz w:val="24"/>
          <w:szCs w:val="32"/>
        </w:rPr>
      </w:pPr>
      <w:r>
        <w:rPr>
          <w:rFonts w:hint="eastAsia" w:ascii="宋体" w:hAnsi="宋体"/>
          <w:sz w:val="24"/>
          <w:szCs w:val="32"/>
        </w:rPr>
        <w:t>1.为有助于投标文件的审查、评估和比较，招标人有权向投标人质疑并请投标人澄清其投标内容。投标人应当按照招标人通知的时间、地点，指派专人进行答疑和澄清。</w:t>
      </w:r>
    </w:p>
    <w:p>
      <w:pPr>
        <w:spacing w:line="520" w:lineRule="exact"/>
        <w:ind w:firstLine="360" w:firstLineChars="150"/>
        <w:rPr>
          <w:rFonts w:ascii="宋体" w:hAnsi="宋体"/>
          <w:sz w:val="24"/>
          <w:szCs w:val="32"/>
        </w:rPr>
      </w:pPr>
      <w:r>
        <w:rPr>
          <w:rFonts w:hint="eastAsia" w:ascii="宋体" w:hAnsi="宋体"/>
          <w:sz w:val="24"/>
          <w:szCs w:val="32"/>
        </w:rPr>
        <w:t>2.重要的澄清应是书面的，但不得对投标内容进行实质性修改。</w:t>
      </w:r>
    </w:p>
    <w:p>
      <w:pPr>
        <w:spacing w:line="520" w:lineRule="exact"/>
        <w:ind w:firstLine="361" w:firstLineChars="150"/>
        <w:outlineLvl w:val="1"/>
        <w:rPr>
          <w:rFonts w:ascii="宋体" w:hAnsi="宋体"/>
          <w:b/>
          <w:sz w:val="24"/>
          <w:szCs w:val="32"/>
        </w:rPr>
      </w:pPr>
      <w:r>
        <w:rPr>
          <w:rFonts w:hint="eastAsia" w:ascii="宋体" w:hAnsi="宋体"/>
          <w:b/>
          <w:sz w:val="24"/>
          <w:szCs w:val="32"/>
        </w:rPr>
        <w:t>五、合同的确定</w:t>
      </w:r>
    </w:p>
    <w:p>
      <w:pPr>
        <w:spacing w:line="520" w:lineRule="exact"/>
        <w:ind w:firstLine="361" w:firstLineChars="150"/>
        <w:outlineLvl w:val="2"/>
        <w:rPr>
          <w:rFonts w:ascii="宋体" w:hAnsi="宋体"/>
          <w:b/>
          <w:sz w:val="24"/>
          <w:szCs w:val="32"/>
        </w:rPr>
      </w:pPr>
      <w:r>
        <w:rPr>
          <w:rFonts w:hint="eastAsia" w:ascii="宋体" w:hAnsi="宋体"/>
          <w:b/>
          <w:sz w:val="24"/>
          <w:szCs w:val="32"/>
        </w:rPr>
        <w:t>1.合同签订</w:t>
      </w:r>
    </w:p>
    <w:p>
      <w:pPr>
        <w:spacing w:line="520" w:lineRule="exact"/>
        <w:ind w:firstLine="360" w:firstLineChars="150"/>
        <w:rPr>
          <w:rFonts w:ascii="宋体" w:hAnsi="宋体"/>
          <w:sz w:val="24"/>
          <w:szCs w:val="32"/>
        </w:rPr>
      </w:pPr>
      <w:r>
        <w:rPr>
          <w:rFonts w:hint="eastAsia" w:ascii="宋体" w:hAnsi="宋体"/>
          <w:sz w:val="24"/>
          <w:szCs w:val="32"/>
        </w:rPr>
        <w:t>1.1确定中标人及相关事宜后，甲方（招标人）、乙方（中标人）签订合同；</w:t>
      </w:r>
    </w:p>
    <w:p>
      <w:pPr>
        <w:spacing w:line="520" w:lineRule="exact"/>
        <w:ind w:firstLine="360" w:firstLineChars="150"/>
        <w:rPr>
          <w:rFonts w:ascii="宋体" w:hAnsi="宋体"/>
          <w:sz w:val="24"/>
          <w:szCs w:val="32"/>
        </w:rPr>
      </w:pPr>
      <w:r>
        <w:rPr>
          <w:rFonts w:hint="eastAsia" w:ascii="宋体" w:hAnsi="宋体"/>
          <w:sz w:val="24"/>
          <w:szCs w:val="32"/>
        </w:rPr>
        <w:t>1.2招标文件、中标人的投标文件（含澄清文件）均为签订合同不可分割的一部分；</w:t>
      </w:r>
    </w:p>
    <w:p>
      <w:pPr>
        <w:spacing w:line="520" w:lineRule="exact"/>
        <w:ind w:firstLine="360" w:firstLineChars="150"/>
        <w:rPr>
          <w:rFonts w:ascii="宋体" w:hAnsi="宋体"/>
          <w:sz w:val="24"/>
          <w:szCs w:val="32"/>
        </w:rPr>
      </w:pPr>
      <w:r>
        <w:rPr>
          <w:rFonts w:hint="eastAsia" w:ascii="宋体" w:hAnsi="宋体"/>
          <w:sz w:val="24"/>
          <w:szCs w:val="32"/>
        </w:rPr>
        <w:t>1.3招标人在授予合同时有权对标的物的数量予以适当的增加或减少；</w:t>
      </w:r>
    </w:p>
    <w:p>
      <w:pPr>
        <w:spacing w:line="520" w:lineRule="exact"/>
        <w:ind w:firstLine="360" w:firstLineChars="150"/>
        <w:rPr>
          <w:rFonts w:ascii="宋体" w:hAnsi="宋体"/>
          <w:sz w:val="24"/>
          <w:szCs w:val="32"/>
        </w:rPr>
      </w:pPr>
      <w:r>
        <w:rPr>
          <w:rFonts w:hint="eastAsia" w:ascii="宋体" w:hAnsi="宋体"/>
          <w:sz w:val="24"/>
          <w:szCs w:val="32"/>
        </w:rPr>
        <w:t>1.4中标人如无特殊原因不与招标人签订合同的，招标人可单方面取消其中标资格，并追究其责任，同时投标保证金不予退还。</w:t>
      </w:r>
    </w:p>
    <w:p>
      <w:pPr>
        <w:widowControl/>
        <w:spacing w:line="520" w:lineRule="exact"/>
        <w:ind w:firstLine="480" w:firstLineChars="200"/>
        <w:jc w:val="left"/>
      </w:pPr>
      <w:r>
        <w:rPr>
          <w:rFonts w:hint="eastAsia" w:ascii="宋体" w:hAnsi="宋体" w:cs="宋体"/>
          <w:sz w:val="24"/>
          <w:szCs w:val="32"/>
        </w:rPr>
        <w:t>1.5</w:t>
      </w:r>
      <w:r>
        <w:rPr>
          <w:rFonts w:hint="eastAsia" w:ascii="宋体" w:hAnsi="宋体" w:cs="宋体"/>
          <w:kern w:val="0"/>
          <w:sz w:val="24"/>
        </w:rPr>
        <w:t>本次招标为合肥百货大楼集团股份有限公司和下属企业</w:t>
      </w:r>
      <w:r>
        <w:rPr>
          <w:rFonts w:hint="eastAsia" w:ascii="宋体" w:hAnsi="宋体" w:cs="宋体"/>
          <w:color w:val="000000"/>
          <w:kern w:val="0"/>
          <w:sz w:val="24"/>
        </w:rPr>
        <w:t>技能培训</w:t>
      </w:r>
      <w:r>
        <w:rPr>
          <w:rFonts w:hint="eastAsia" w:ascii="宋体" w:hAnsi="宋体" w:cs="宋体"/>
          <w:kern w:val="0"/>
          <w:sz w:val="24"/>
        </w:rPr>
        <w:t>服务项目，合同由合肥百货大楼集团股份有限公司和下属子公司分别与中标人签订并执行。</w:t>
      </w:r>
    </w:p>
    <w:p>
      <w:pPr>
        <w:spacing w:line="520" w:lineRule="exact"/>
        <w:ind w:firstLine="361" w:firstLineChars="150"/>
        <w:outlineLvl w:val="2"/>
        <w:rPr>
          <w:rFonts w:ascii="宋体" w:hAnsi="宋体"/>
          <w:b/>
          <w:sz w:val="24"/>
          <w:szCs w:val="32"/>
        </w:rPr>
      </w:pPr>
      <w:r>
        <w:rPr>
          <w:rFonts w:hint="eastAsia" w:ascii="宋体" w:hAnsi="宋体"/>
          <w:b/>
          <w:sz w:val="24"/>
          <w:szCs w:val="32"/>
        </w:rPr>
        <w:t>2.合同条款</w:t>
      </w:r>
    </w:p>
    <w:p>
      <w:pPr>
        <w:spacing w:line="520" w:lineRule="exact"/>
        <w:ind w:firstLine="360" w:firstLineChars="150"/>
        <w:rPr>
          <w:rFonts w:ascii="宋体" w:hAnsi="宋体"/>
          <w:sz w:val="24"/>
          <w:szCs w:val="32"/>
        </w:rPr>
      </w:pPr>
      <w:r>
        <w:rPr>
          <w:rFonts w:hint="eastAsia" w:ascii="宋体" w:hAnsi="宋体"/>
          <w:sz w:val="24"/>
          <w:szCs w:val="32"/>
        </w:rPr>
        <w:t>2.1详见附件《合同模板》，合同签订以此为准；</w:t>
      </w:r>
    </w:p>
    <w:p>
      <w:pPr>
        <w:spacing w:line="520" w:lineRule="exact"/>
        <w:ind w:firstLine="361" w:firstLineChars="150"/>
        <w:outlineLvl w:val="2"/>
        <w:rPr>
          <w:rFonts w:ascii="宋体" w:hAnsi="宋体"/>
          <w:b/>
          <w:sz w:val="24"/>
          <w:szCs w:val="32"/>
        </w:rPr>
      </w:pPr>
      <w:r>
        <w:rPr>
          <w:rFonts w:hint="eastAsia" w:ascii="宋体" w:hAnsi="宋体"/>
          <w:b/>
          <w:sz w:val="24"/>
          <w:szCs w:val="32"/>
        </w:rPr>
        <w:t>3.合同执行</w:t>
      </w:r>
    </w:p>
    <w:p>
      <w:pPr>
        <w:spacing w:line="520" w:lineRule="exact"/>
        <w:ind w:firstLine="360" w:firstLineChars="150"/>
        <w:rPr>
          <w:rFonts w:ascii="宋体" w:hAnsi="宋体"/>
          <w:sz w:val="24"/>
          <w:szCs w:val="32"/>
        </w:rPr>
      </w:pPr>
      <w:r>
        <w:rPr>
          <w:rFonts w:hint="eastAsia" w:ascii="宋体" w:hAnsi="宋体"/>
          <w:sz w:val="24"/>
          <w:szCs w:val="32"/>
        </w:rPr>
        <w:t>3.1甲乙双方严格按合同条款执行；</w:t>
      </w:r>
    </w:p>
    <w:p>
      <w:pPr>
        <w:spacing w:line="520" w:lineRule="exact"/>
        <w:ind w:firstLine="360" w:firstLineChars="150"/>
        <w:rPr>
          <w:rFonts w:ascii="宋体" w:hAnsi="宋体"/>
          <w:sz w:val="24"/>
          <w:szCs w:val="32"/>
        </w:rPr>
      </w:pPr>
      <w:r>
        <w:rPr>
          <w:rFonts w:hint="eastAsia" w:ascii="宋体" w:hAnsi="宋体"/>
          <w:sz w:val="24"/>
          <w:szCs w:val="32"/>
        </w:rPr>
        <w:t>3.2如需变更合同内容，甲乙双方协商后再定；</w:t>
      </w:r>
    </w:p>
    <w:p>
      <w:pPr>
        <w:spacing w:line="520" w:lineRule="exact"/>
        <w:ind w:firstLine="360" w:firstLineChars="150"/>
        <w:rPr>
          <w:rFonts w:ascii="宋体" w:hAnsi="宋体"/>
          <w:sz w:val="24"/>
          <w:szCs w:val="32"/>
        </w:rPr>
      </w:pPr>
      <w:r>
        <w:rPr>
          <w:rFonts w:hint="eastAsia" w:ascii="宋体" w:hAnsi="宋体"/>
          <w:sz w:val="24"/>
          <w:szCs w:val="32"/>
        </w:rPr>
        <w:t>3.3无特殊原因乙方拒不履行合同，招标人可单方面取消其中标资格，并追究违约责任，同时履约保证金不予退还，且我司将拒不接洽随后的同类型招标。</w:t>
      </w:r>
    </w:p>
    <w:p>
      <w:pPr>
        <w:spacing w:line="520" w:lineRule="exact"/>
        <w:ind w:firstLine="361" w:firstLineChars="150"/>
        <w:outlineLvl w:val="1"/>
        <w:rPr>
          <w:rFonts w:ascii="宋体" w:hAnsi="宋体"/>
          <w:b/>
          <w:sz w:val="24"/>
          <w:szCs w:val="32"/>
        </w:rPr>
      </w:pPr>
      <w:r>
        <w:rPr>
          <w:rFonts w:hint="eastAsia" w:ascii="宋体" w:hAnsi="宋体"/>
          <w:b/>
          <w:sz w:val="24"/>
          <w:szCs w:val="32"/>
        </w:rPr>
        <w:t>六、履约保证金</w:t>
      </w:r>
    </w:p>
    <w:p>
      <w:pPr>
        <w:spacing w:line="520" w:lineRule="exact"/>
        <w:ind w:firstLine="360" w:firstLineChars="150"/>
        <w:rPr>
          <w:rFonts w:ascii="宋体" w:hAnsi="宋体"/>
          <w:sz w:val="24"/>
          <w:szCs w:val="32"/>
        </w:rPr>
      </w:pPr>
      <w:r>
        <w:rPr>
          <w:rFonts w:hint="eastAsia" w:ascii="宋体" w:hAnsi="宋体"/>
          <w:sz w:val="24"/>
          <w:szCs w:val="32"/>
        </w:rPr>
        <w:t>中标人在合同签订前需转账缴纳履约保证金</w:t>
      </w:r>
      <w:r>
        <w:rPr>
          <w:rFonts w:hint="eastAsia" w:ascii="宋体" w:hAnsi="宋体" w:cs="宋体"/>
          <w:color w:val="000000"/>
          <w:kern w:val="0"/>
          <w:sz w:val="24"/>
        </w:rPr>
        <w:t>伍仟元整（转账资料同投标保证金），</w:t>
      </w:r>
      <w:r>
        <w:rPr>
          <w:rFonts w:hint="eastAsia" w:ascii="宋体" w:hAnsi="宋体"/>
          <w:sz w:val="24"/>
          <w:szCs w:val="32"/>
        </w:rPr>
        <w:t>否则招标人有权不签订合同并取消其中标资格。履约保证金在所有需求企业收到培训补贴，合同履约完成后10个工作日内无息退还。</w:t>
      </w:r>
    </w:p>
    <w:p>
      <w:pPr>
        <w:spacing w:line="520" w:lineRule="exact"/>
        <w:ind w:firstLine="361" w:firstLineChars="150"/>
        <w:outlineLvl w:val="1"/>
        <w:rPr>
          <w:rFonts w:ascii="宋体" w:hAnsi="宋体"/>
          <w:b/>
          <w:sz w:val="24"/>
          <w:szCs w:val="32"/>
        </w:rPr>
      </w:pPr>
      <w:r>
        <w:rPr>
          <w:rFonts w:hint="eastAsia" w:ascii="宋体" w:hAnsi="宋体"/>
          <w:b/>
          <w:sz w:val="24"/>
          <w:szCs w:val="32"/>
        </w:rPr>
        <w:t>七、特别提示</w:t>
      </w:r>
    </w:p>
    <w:p>
      <w:pPr>
        <w:spacing w:line="520" w:lineRule="exact"/>
        <w:ind w:firstLine="360" w:firstLineChars="150"/>
        <w:rPr>
          <w:rFonts w:ascii="宋体" w:hAnsi="宋体"/>
          <w:sz w:val="24"/>
          <w:szCs w:val="32"/>
        </w:rPr>
      </w:pPr>
      <w:r>
        <w:rPr>
          <w:rFonts w:hint="eastAsia" w:ascii="宋体" w:hAnsi="宋体"/>
          <w:sz w:val="24"/>
          <w:szCs w:val="32"/>
        </w:rPr>
        <w:t>1.2020年1月24日，安徽省新型冠状病毒感染的肺炎疫情防控应急指挥部决定，启动安徽省重大公共卫生事件一级响应，投标人在投标前已充分了解并清楚知晓肺炎疫情及影响。</w:t>
      </w:r>
    </w:p>
    <w:p>
      <w:pPr>
        <w:spacing w:line="520" w:lineRule="exact"/>
        <w:ind w:firstLine="360" w:firstLineChars="150"/>
        <w:rPr>
          <w:rFonts w:ascii="宋体" w:hAnsi="宋体"/>
          <w:sz w:val="24"/>
          <w:szCs w:val="32"/>
        </w:rPr>
      </w:pPr>
      <w:r>
        <w:rPr>
          <w:rFonts w:hint="eastAsia" w:ascii="宋体" w:hAnsi="宋体"/>
          <w:sz w:val="24"/>
          <w:szCs w:val="32"/>
        </w:rPr>
        <w:t>2.因投标人在签订合同时对冠状肺炎疫情及影响已经可以合理预见，冠状肺炎疫情及影响属于合同总价包含的风险范围，投标人在投标报价时已经充分考虑，不再另行计取。</w:t>
      </w:r>
    </w:p>
    <w:p>
      <w:pPr>
        <w:spacing w:line="520" w:lineRule="exact"/>
        <w:ind w:firstLine="360" w:firstLineChars="150"/>
        <w:rPr>
          <w:rFonts w:ascii="宋体" w:hAnsi="宋体"/>
          <w:sz w:val="24"/>
          <w:szCs w:val="32"/>
        </w:rPr>
      </w:pPr>
      <w:r>
        <w:rPr>
          <w:rFonts w:hint="eastAsia" w:ascii="宋体" w:hAnsi="宋体"/>
          <w:sz w:val="24"/>
          <w:szCs w:val="32"/>
        </w:rPr>
        <w:t>3.服务日期以招标人发出的指令为准；投标人应当知悉，如安徽省有关主管部门仍未终结本次重大公共卫生事件应急响应，可能导致项目无法按计划开展服务；投标人应当充分考虑因肺炎疫情及影响导致迟延提供服务的风险，投标人承诺不因迟延开展服务向招标人主张变更或解除合同。</w:t>
      </w:r>
    </w:p>
    <w:p>
      <w:pPr>
        <w:spacing w:line="520" w:lineRule="exact"/>
        <w:ind w:firstLine="360" w:firstLineChars="150"/>
        <w:rPr>
          <w:rFonts w:ascii="宋体" w:hAnsi="宋体"/>
          <w:sz w:val="24"/>
          <w:szCs w:val="32"/>
        </w:rPr>
      </w:pPr>
      <w:r>
        <w:rPr>
          <w:rFonts w:hint="eastAsia" w:ascii="宋体" w:hAnsi="宋体"/>
          <w:sz w:val="24"/>
          <w:szCs w:val="32"/>
        </w:rPr>
        <w:t>4.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520" w:lineRule="exact"/>
        <w:ind w:firstLine="360" w:firstLineChars="150"/>
        <w:rPr>
          <w:rFonts w:ascii="宋体" w:hAnsi="宋体"/>
          <w:sz w:val="24"/>
          <w:szCs w:val="32"/>
        </w:rPr>
      </w:pPr>
      <w:r>
        <w:rPr>
          <w:rFonts w:hint="eastAsia" w:ascii="宋体" w:hAnsi="宋体"/>
          <w:sz w:val="24"/>
          <w:szCs w:val="32"/>
        </w:rPr>
        <w:t>5.服务过程中，不得因肺炎疫情及影响导致培训人员组织困难、疫情防治需要等情况拖延或影响合同服务，确有影响的，应及时采取一切有效措施弥补损失，确保按期保质完成项目服务，投标人应综合考虑、慎重报价，中标后不予调整。</w:t>
      </w:r>
    </w:p>
    <w:p>
      <w:pPr>
        <w:widowControl/>
        <w:spacing w:line="500" w:lineRule="exact"/>
        <w:jc w:val="left"/>
        <w:rPr>
          <w:rFonts w:ascii="宋体" w:hAnsi="宋体" w:cs="宋体"/>
          <w:b/>
          <w:color w:val="000000"/>
          <w:kern w:val="0"/>
          <w:sz w:val="24"/>
        </w:rPr>
      </w:pPr>
    </w:p>
    <w:p>
      <w:pPr>
        <w:widowControl/>
        <w:spacing w:line="500" w:lineRule="exact"/>
        <w:jc w:val="left"/>
        <w:rPr>
          <w:rFonts w:ascii="宋体" w:hAnsi="宋体" w:cs="宋体"/>
          <w:b/>
          <w:color w:val="000000"/>
          <w:kern w:val="0"/>
          <w:sz w:val="24"/>
        </w:rPr>
      </w:pPr>
    </w:p>
    <w:p>
      <w:pPr>
        <w:widowControl/>
        <w:spacing w:line="500" w:lineRule="exact"/>
        <w:jc w:val="left"/>
        <w:rPr>
          <w:rFonts w:ascii="宋体" w:hAnsi="宋体" w:cs="宋体"/>
          <w:b/>
          <w:color w:val="000000"/>
          <w:kern w:val="0"/>
          <w:sz w:val="24"/>
        </w:rPr>
      </w:pPr>
    </w:p>
    <w:p>
      <w:pPr>
        <w:widowControl/>
        <w:spacing w:line="500" w:lineRule="exact"/>
        <w:jc w:val="left"/>
        <w:rPr>
          <w:rFonts w:ascii="宋体" w:hAnsi="宋体" w:cs="宋体"/>
          <w:b/>
          <w:color w:val="000000"/>
          <w:kern w:val="0"/>
          <w:sz w:val="24"/>
        </w:rPr>
      </w:pPr>
    </w:p>
    <w:p>
      <w:pPr>
        <w:widowControl/>
        <w:spacing w:line="500" w:lineRule="exact"/>
        <w:jc w:val="left"/>
        <w:rPr>
          <w:rFonts w:ascii="宋体" w:hAnsi="宋体" w:cs="宋体"/>
          <w:b/>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widowControl/>
        <w:spacing w:line="500" w:lineRule="exact"/>
        <w:jc w:val="left"/>
        <w:rPr>
          <w:rFonts w:ascii="宋体" w:hAnsi="宋体" w:cs="宋体"/>
          <w:color w:val="000000"/>
          <w:kern w:val="0"/>
          <w:sz w:val="24"/>
        </w:rPr>
      </w:pPr>
    </w:p>
    <w:p>
      <w:pPr>
        <w:pStyle w:val="3"/>
        <w:ind w:firstLine="480"/>
        <w:rPr>
          <w:rFonts w:ascii="宋体" w:hAnsi="宋体" w:cs="宋体"/>
          <w:color w:val="000000"/>
          <w:kern w:val="0"/>
          <w:sz w:val="24"/>
        </w:rPr>
      </w:pPr>
    </w:p>
    <w:p>
      <w:pPr>
        <w:pStyle w:val="3"/>
        <w:ind w:firstLine="480"/>
        <w:rPr>
          <w:rFonts w:ascii="宋体" w:hAnsi="宋体" w:cs="宋体"/>
          <w:color w:val="000000"/>
          <w:kern w:val="0"/>
          <w:sz w:val="24"/>
        </w:rPr>
      </w:pPr>
    </w:p>
    <w:p>
      <w:pPr>
        <w:pStyle w:val="3"/>
        <w:ind w:firstLine="480"/>
        <w:rPr>
          <w:rFonts w:ascii="宋体" w:hAnsi="宋体" w:cs="宋体"/>
          <w:color w:val="000000"/>
          <w:kern w:val="0"/>
          <w:sz w:val="24"/>
        </w:rPr>
      </w:pPr>
    </w:p>
    <w:p>
      <w:pPr>
        <w:pStyle w:val="3"/>
        <w:ind w:firstLine="480"/>
        <w:rPr>
          <w:rFonts w:ascii="宋体" w:hAnsi="宋体" w:cs="宋体"/>
          <w:color w:val="000000"/>
          <w:kern w:val="0"/>
          <w:sz w:val="24"/>
        </w:rPr>
      </w:pPr>
    </w:p>
    <w:p>
      <w:pPr>
        <w:pStyle w:val="3"/>
        <w:ind w:firstLine="480"/>
        <w:rPr>
          <w:rFonts w:ascii="宋体" w:hAnsi="宋体" w:cs="宋体"/>
          <w:color w:val="000000"/>
          <w:kern w:val="0"/>
          <w:sz w:val="24"/>
        </w:rPr>
      </w:pPr>
    </w:p>
    <w:p>
      <w:pPr>
        <w:pStyle w:val="3"/>
        <w:ind w:firstLine="480"/>
        <w:rPr>
          <w:rFonts w:ascii="宋体" w:hAnsi="宋体" w:cs="宋体"/>
          <w:color w:val="000000"/>
          <w:kern w:val="0"/>
          <w:sz w:val="24"/>
        </w:rPr>
      </w:pPr>
    </w:p>
    <w:p>
      <w:pPr>
        <w:pStyle w:val="3"/>
        <w:ind w:firstLine="480"/>
        <w:rPr>
          <w:rFonts w:ascii="宋体" w:hAnsi="宋体" w:cs="宋体"/>
          <w:color w:val="000000"/>
          <w:kern w:val="0"/>
          <w:sz w:val="24"/>
        </w:rPr>
      </w:pPr>
    </w:p>
    <w:p>
      <w:pPr>
        <w:pStyle w:val="3"/>
        <w:ind w:firstLine="480"/>
        <w:rPr>
          <w:rFonts w:ascii="宋体" w:hAnsi="宋体" w:cs="宋体"/>
          <w:color w:val="000000"/>
          <w:kern w:val="0"/>
          <w:sz w:val="24"/>
        </w:rPr>
      </w:pPr>
    </w:p>
    <w:p>
      <w:pPr>
        <w:pStyle w:val="3"/>
        <w:ind w:firstLine="480"/>
        <w:rPr>
          <w:rFonts w:ascii="宋体" w:hAnsi="宋体" w:cs="宋体"/>
          <w:color w:val="000000"/>
          <w:kern w:val="0"/>
          <w:sz w:val="24"/>
        </w:rPr>
      </w:pPr>
    </w:p>
    <w:p>
      <w:pPr>
        <w:pStyle w:val="3"/>
        <w:ind w:firstLine="480"/>
        <w:rPr>
          <w:rFonts w:ascii="宋体" w:hAnsi="宋体" w:cs="宋体"/>
          <w:color w:val="000000"/>
          <w:kern w:val="0"/>
          <w:sz w:val="24"/>
        </w:rPr>
        <w:sectPr>
          <w:pgSz w:w="11906" w:h="16838"/>
          <w:pgMar w:top="1134" w:right="1134" w:bottom="1134" w:left="1134" w:header="851" w:footer="992" w:gutter="0"/>
          <w:cols w:space="720" w:num="1"/>
          <w:docGrid w:type="lines" w:linePitch="312" w:charSpace="0"/>
        </w:sectPr>
      </w:pPr>
    </w:p>
    <w:p>
      <w:pPr>
        <w:widowControl/>
        <w:numPr>
          <w:ilvl w:val="0"/>
          <w:numId w:val="2"/>
        </w:numPr>
        <w:tabs>
          <w:tab w:val="left" w:pos="4200"/>
        </w:tabs>
        <w:spacing w:line="600" w:lineRule="exact"/>
        <w:jc w:val="center"/>
        <w:outlineLvl w:val="0"/>
        <w:rPr>
          <w:rFonts w:ascii="宋体" w:hAnsi="宋体" w:cs="宋体"/>
          <w:b/>
          <w:color w:val="000000"/>
          <w:kern w:val="0"/>
          <w:sz w:val="32"/>
          <w:szCs w:val="32"/>
        </w:rPr>
      </w:pPr>
      <w:r>
        <w:rPr>
          <w:rFonts w:hint="eastAsia" w:ascii="宋体" w:hAnsi="宋体" w:cs="宋体"/>
          <w:b/>
          <w:color w:val="000000"/>
          <w:kern w:val="0"/>
          <w:sz w:val="32"/>
          <w:szCs w:val="32"/>
        </w:rPr>
        <w:t xml:space="preserve"> 招标需求</w:t>
      </w:r>
    </w:p>
    <w:p>
      <w:pPr>
        <w:pStyle w:val="2"/>
        <w:spacing w:line="520" w:lineRule="exact"/>
      </w:pPr>
    </w:p>
    <w:p>
      <w:pPr>
        <w:widowControl/>
        <w:spacing w:line="520" w:lineRule="exact"/>
        <w:jc w:val="left"/>
        <w:rPr>
          <w:rFonts w:ascii="宋体" w:hAnsi="宋体" w:cs="宋体"/>
          <w:b/>
          <w:bCs/>
          <w:color w:val="000000"/>
          <w:kern w:val="0"/>
          <w:sz w:val="24"/>
        </w:rPr>
      </w:pPr>
      <w:r>
        <w:rPr>
          <w:rFonts w:hint="eastAsia" w:ascii="宋体" w:hAnsi="宋体" w:cs="宋体"/>
          <w:b/>
          <w:bCs/>
          <w:color w:val="000000"/>
          <w:kern w:val="0"/>
          <w:sz w:val="24"/>
        </w:rPr>
        <w:t>一、 技能培训要求</w:t>
      </w:r>
    </w:p>
    <w:p>
      <w:pPr>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 xml:space="preserve">）培训内容：包括卫生防疫、艾滋病防治、消防安全、食品安全、科学素质等公共知识，其它培训内容由单位根据本企业实际需要自行确定。 </w:t>
      </w:r>
    </w:p>
    <w:p>
      <w:pPr>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 xml:space="preserve">）培训课时：单个企业培训不少于 </w:t>
      </w:r>
      <w:r>
        <w:rPr>
          <w:rFonts w:ascii="宋体" w:hAnsi="宋体" w:cs="宋体"/>
          <w:color w:val="000000"/>
          <w:kern w:val="0"/>
          <w:sz w:val="24"/>
        </w:rPr>
        <w:t xml:space="preserve">24 </w:t>
      </w:r>
      <w:r>
        <w:rPr>
          <w:rFonts w:hint="eastAsia" w:ascii="宋体" w:hAnsi="宋体" w:cs="宋体"/>
          <w:color w:val="000000"/>
          <w:kern w:val="0"/>
          <w:sz w:val="24"/>
        </w:rPr>
        <w:t>个课时（每课时为</w:t>
      </w:r>
      <w:r>
        <w:rPr>
          <w:rFonts w:ascii="宋体" w:hAnsi="宋体" w:cs="宋体"/>
          <w:color w:val="000000"/>
          <w:kern w:val="0"/>
          <w:sz w:val="24"/>
        </w:rPr>
        <w:t xml:space="preserve">45 </w:t>
      </w:r>
      <w:r>
        <w:rPr>
          <w:rFonts w:hint="eastAsia" w:ascii="宋体" w:hAnsi="宋体" w:cs="宋体"/>
          <w:color w:val="000000"/>
          <w:kern w:val="0"/>
          <w:sz w:val="24"/>
        </w:rPr>
        <w:t xml:space="preserve">分钟，课间休息可根据情况安排），理论、实操课时比例为 </w:t>
      </w:r>
      <w:r>
        <w:rPr>
          <w:rFonts w:ascii="宋体" w:hAnsi="宋体" w:cs="宋体"/>
          <w:color w:val="000000"/>
          <w:kern w:val="0"/>
          <w:sz w:val="24"/>
        </w:rPr>
        <w:t>4:6</w:t>
      </w:r>
      <w:r>
        <w:rPr>
          <w:rFonts w:hint="eastAsia" w:ascii="宋体" w:hAnsi="宋体" w:cs="宋体"/>
          <w:color w:val="000000"/>
          <w:kern w:val="0"/>
          <w:sz w:val="24"/>
        </w:rPr>
        <w:t xml:space="preserve">。 </w:t>
      </w:r>
    </w:p>
    <w:p>
      <w:pPr>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）培训方式：培训采取理论</w:t>
      </w:r>
      <w:r>
        <w:rPr>
          <w:rFonts w:ascii="宋体" w:hAnsi="宋体" w:cs="宋体"/>
          <w:color w:val="000000"/>
          <w:kern w:val="0"/>
          <w:sz w:val="24"/>
        </w:rPr>
        <w:t>+</w:t>
      </w:r>
      <w:r>
        <w:rPr>
          <w:rFonts w:hint="eastAsia" w:ascii="宋体" w:hAnsi="宋体" w:cs="宋体"/>
          <w:color w:val="000000"/>
          <w:kern w:val="0"/>
          <w:sz w:val="24"/>
        </w:rPr>
        <w:t>实操的方式进行，可采取线下或线上培训方式开展。线上培训理论课程选择</w:t>
      </w:r>
      <w:r>
        <w:rPr>
          <w:rFonts w:ascii="宋体" w:hAnsi="宋体" w:cs="宋体"/>
          <w:color w:val="000000"/>
          <w:kern w:val="0"/>
          <w:sz w:val="24"/>
        </w:rPr>
        <w:t>“</w:t>
      </w:r>
      <w:r>
        <w:rPr>
          <w:rFonts w:hint="eastAsia" w:ascii="宋体" w:hAnsi="宋体" w:cs="宋体"/>
          <w:color w:val="000000"/>
          <w:kern w:val="0"/>
          <w:sz w:val="24"/>
        </w:rPr>
        <w:t>工业和信息化技术技能人才网上学习平台</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w:t>
      </w:r>
      <w:r>
        <w:rPr>
          <w:rFonts w:hint="eastAsia" w:ascii="宋体" w:hAnsi="宋体" w:cs="宋体"/>
          <w:color w:val="000000"/>
          <w:kern w:val="0"/>
          <w:sz w:val="24"/>
        </w:rPr>
        <w:t>技能强国</w:t>
      </w:r>
      <w:r>
        <w:rPr>
          <w:rFonts w:ascii="宋体" w:hAnsi="宋体" w:cs="宋体"/>
          <w:color w:val="000000"/>
          <w:kern w:val="0"/>
          <w:sz w:val="24"/>
        </w:rPr>
        <w:t>-</w:t>
      </w:r>
      <w:r>
        <w:rPr>
          <w:rFonts w:hint="eastAsia" w:ascii="宋体" w:hAnsi="宋体" w:cs="宋体"/>
          <w:color w:val="000000"/>
          <w:kern w:val="0"/>
          <w:sz w:val="24"/>
        </w:rPr>
        <w:t xml:space="preserve">全国产业工人 </w:t>
      </w:r>
    </w:p>
    <w:p>
      <w:pPr>
        <w:spacing w:line="360" w:lineRule="auto"/>
        <w:jc w:val="left"/>
        <w:rPr>
          <w:rFonts w:ascii="宋体" w:hAnsi="宋体" w:cs="宋体"/>
          <w:color w:val="000000"/>
          <w:kern w:val="0"/>
          <w:sz w:val="24"/>
        </w:rPr>
      </w:pPr>
      <w:r>
        <w:rPr>
          <w:rFonts w:hint="eastAsia" w:ascii="宋体" w:hAnsi="宋体" w:cs="宋体"/>
          <w:color w:val="000000"/>
          <w:kern w:val="0"/>
          <w:sz w:val="24"/>
        </w:rPr>
        <w:t>技能学习平台</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w:t>
      </w:r>
      <w:r>
        <w:rPr>
          <w:rFonts w:hint="eastAsia" w:ascii="宋体" w:hAnsi="宋体" w:cs="宋体"/>
          <w:color w:val="000000"/>
          <w:kern w:val="0"/>
          <w:sz w:val="24"/>
        </w:rPr>
        <w:t>学习强国技能频道</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w:t>
      </w:r>
      <w:r>
        <w:rPr>
          <w:rFonts w:hint="eastAsia" w:ascii="宋体" w:hAnsi="宋体" w:cs="宋体"/>
          <w:color w:val="000000"/>
          <w:kern w:val="0"/>
          <w:sz w:val="24"/>
        </w:rPr>
        <w:t>中国职业培训在线</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w:t>
      </w:r>
      <w:r>
        <w:rPr>
          <w:rFonts w:hint="eastAsia" w:ascii="宋体" w:hAnsi="宋体" w:cs="宋体"/>
          <w:color w:val="000000"/>
          <w:kern w:val="0"/>
          <w:sz w:val="24"/>
        </w:rPr>
        <w:t>中国国家人事人才培训网</w:t>
      </w:r>
      <w:r>
        <w:rPr>
          <w:rFonts w:ascii="宋体" w:hAnsi="宋体" w:cs="宋体"/>
          <w:color w:val="000000"/>
          <w:kern w:val="0"/>
          <w:sz w:val="24"/>
        </w:rPr>
        <w:t>”</w:t>
      </w:r>
      <w:r>
        <w:rPr>
          <w:rFonts w:hint="eastAsia" w:ascii="宋体" w:hAnsi="宋体" w:cs="宋体"/>
          <w:color w:val="000000"/>
          <w:kern w:val="0"/>
          <w:sz w:val="24"/>
        </w:rPr>
        <w:t xml:space="preserve">等人社部认定的线上平台课程的，按平台课程标定的课时计算，非上述指定平台外的线上培训课程按实际学习时长计算课时。实操培训由各单位根据培训内容，采取线下方式进行，也可通过网上或仿真模拟等方式进行。确需进行线下培训的，可结合员工的生产岗位进行，也可相对集中，集中开展线下培训的，严格执行疫情防控要求。 </w:t>
      </w:r>
    </w:p>
    <w:p>
      <w:pPr>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）结业考核：培训结束后，根据培训内容确定结业考核方式和考核内容，经当地人社部门同意后组织开展，考核结果及时录入信息管理系统。</w:t>
      </w:r>
    </w:p>
    <w:p>
      <w:pPr>
        <w:pStyle w:val="2"/>
        <w:spacing w:line="360" w:lineRule="auto"/>
      </w:pPr>
      <w:r>
        <w:rPr>
          <w:rFonts w:hint="eastAsia"/>
        </w:rPr>
        <w:t xml:space="preserve">    5）乙方提供培训的内容、师资及课时等应严格按照《</w:t>
      </w:r>
      <w:r>
        <w:rPr>
          <w:rFonts w:hint="eastAsia" w:hAnsi="宋体" w:cs="宋体"/>
        </w:rPr>
        <w:t>关于印发合肥市加大援企稳岗力度支持批零住餐旅游企业稳定发展若干政策实施细则的通知》等文件要求执行。</w:t>
      </w:r>
    </w:p>
    <w:p>
      <w:pPr>
        <w:pStyle w:val="2"/>
        <w:spacing w:line="520" w:lineRule="exact"/>
        <w:rPr>
          <w:b/>
          <w:bCs/>
        </w:rPr>
      </w:pPr>
      <w:r>
        <w:rPr>
          <w:rFonts w:hint="eastAsia"/>
          <w:b/>
          <w:bCs/>
        </w:rPr>
        <w:t>二、其他要求</w:t>
      </w:r>
    </w:p>
    <w:p>
      <w:pPr>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1.付款方式:招标人及下属企业获得政府部门支付的培训补贴后，向中标人支付培训费用（该费用包含乙方所有与本次培训相关的开支：开班申报、线上课程费用、教师课酬交通费用、组织考试费用等）。如果招标人及下属企业受训员工中的全部或部分未能获得政策补贴，对于未能获得政府补贴的受训员工，招标人及下属企业不支付培训费用。 </w:t>
      </w:r>
    </w:p>
    <w:p>
      <w:pPr>
        <w:spacing w:line="520" w:lineRule="exact"/>
        <w:ind w:firstLine="480" w:firstLineChars="200"/>
        <w:jc w:val="left"/>
        <w:rPr>
          <w:rFonts w:ascii="宋体" w:hAnsi="宋体" w:cs="宋体"/>
          <w:color w:val="FF0000"/>
          <w:kern w:val="0"/>
          <w:sz w:val="24"/>
        </w:rPr>
      </w:pPr>
      <w:r>
        <w:rPr>
          <w:rFonts w:hint="eastAsia" w:ascii="宋体" w:hAnsi="宋体" w:cs="宋体"/>
          <w:color w:val="000000"/>
          <w:kern w:val="0"/>
          <w:sz w:val="24"/>
        </w:rPr>
        <w:t>2.服务地点:19家需求企业指定地点。</w:t>
      </w:r>
    </w:p>
    <w:p>
      <w:pPr>
        <w:spacing w:line="520" w:lineRule="exact"/>
        <w:jc w:val="left"/>
      </w:pPr>
      <w:r>
        <w:rPr>
          <w:rFonts w:hint="eastAsia" w:ascii="宋体" w:hAnsi="宋体" w:cs="宋体"/>
          <w:color w:val="000000"/>
          <w:kern w:val="0"/>
          <w:sz w:val="24"/>
        </w:rPr>
        <w:t xml:space="preserve">    3.服务期限:2022年6月30日前完成所有企业培训、考核及培训补贴资料上报。</w:t>
      </w:r>
    </w:p>
    <w:p>
      <w:pPr>
        <w:pStyle w:val="2"/>
        <w:spacing w:line="520" w:lineRule="exact"/>
        <w:rPr>
          <w:b/>
          <w:bCs/>
        </w:rPr>
      </w:pPr>
      <w:r>
        <w:rPr>
          <w:rFonts w:hint="eastAsia"/>
          <w:b/>
          <w:bCs/>
        </w:rPr>
        <w:t>三、需求企业列表</w:t>
      </w:r>
    </w:p>
    <w:p>
      <w:pPr>
        <w:jc w:val="center"/>
        <w:rPr>
          <w:b/>
          <w:sz w:val="32"/>
          <w:szCs w:val="32"/>
        </w:rPr>
      </w:pPr>
      <w:r>
        <w:rPr>
          <w:rFonts w:hint="eastAsia"/>
          <w:b/>
          <w:sz w:val="32"/>
          <w:szCs w:val="32"/>
        </w:rPr>
        <w:t>百大集团及下属企业参与技能补贴培训联络表</w:t>
      </w:r>
    </w:p>
    <w:tbl>
      <w:tblPr>
        <w:tblStyle w:val="9"/>
        <w:tblW w:w="9497" w:type="dxa"/>
        <w:jc w:val="center"/>
        <w:tblLayout w:type="fixed"/>
        <w:tblCellMar>
          <w:top w:w="0" w:type="dxa"/>
          <w:left w:w="108" w:type="dxa"/>
          <w:bottom w:w="0" w:type="dxa"/>
          <w:right w:w="108" w:type="dxa"/>
        </w:tblCellMar>
      </w:tblPr>
      <w:tblGrid>
        <w:gridCol w:w="531"/>
        <w:gridCol w:w="3971"/>
        <w:gridCol w:w="2329"/>
        <w:gridCol w:w="1291"/>
        <w:gridCol w:w="1375"/>
      </w:tblGrid>
      <w:tr>
        <w:tblPrEx>
          <w:tblCellMar>
            <w:top w:w="0" w:type="dxa"/>
            <w:left w:w="108" w:type="dxa"/>
            <w:bottom w:w="0" w:type="dxa"/>
            <w:right w:w="108" w:type="dxa"/>
          </w:tblCellMar>
        </w:tblPrEx>
        <w:trPr>
          <w:trHeight w:val="90"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39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公司全称</w:t>
            </w:r>
          </w:p>
        </w:tc>
        <w:tc>
          <w:tcPr>
            <w:tcW w:w="23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公司地址</w:t>
            </w:r>
          </w:p>
        </w:tc>
        <w:tc>
          <w:tcPr>
            <w:tcW w:w="129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Cs w:val="21"/>
              </w:rPr>
            </w:pPr>
            <w:r>
              <w:rPr>
                <w:rFonts w:hint="eastAsia" w:ascii="宋体" w:hAnsi="宋体" w:cs="宋体"/>
                <w:b/>
                <w:bCs/>
                <w:kern w:val="0"/>
                <w:szCs w:val="21"/>
              </w:rPr>
              <w:t>项目对接人</w:t>
            </w:r>
          </w:p>
        </w:tc>
        <w:tc>
          <w:tcPr>
            <w:tcW w:w="13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Cs w:val="21"/>
              </w:rPr>
            </w:pPr>
            <w:r>
              <w:rPr>
                <w:rFonts w:hint="eastAsia" w:ascii="宋体" w:hAnsi="宋体" w:cs="宋体"/>
                <w:b/>
                <w:bCs/>
                <w:kern w:val="0"/>
                <w:szCs w:val="21"/>
              </w:rPr>
              <w:t>联系方式</w:t>
            </w:r>
          </w:p>
        </w:tc>
      </w:tr>
      <w:tr>
        <w:tblPrEx>
          <w:tblCellMar>
            <w:top w:w="0" w:type="dxa"/>
            <w:left w:w="108" w:type="dxa"/>
            <w:bottom w:w="0" w:type="dxa"/>
            <w:right w:w="108" w:type="dxa"/>
          </w:tblCellMar>
        </w:tblPrEx>
        <w:trPr>
          <w:trHeight w:val="796"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合肥百货大楼集团股份有限公司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合肥市黄山路596号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胡静梅</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65771017</w:t>
            </w:r>
          </w:p>
        </w:tc>
      </w:tr>
      <w:tr>
        <w:tblPrEx>
          <w:tblCellMar>
            <w:top w:w="0" w:type="dxa"/>
            <w:left w:w="108" w:type="dxa"/>
            <w:bottom w:w="0" w:type="dxa"/>
            <w:right w:w="108" w:type="dxa"/>
          </w:tblCellMar>
        </w:tblPrEx>
        <w:trPr>
          <w:trHeight w:val="644"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2</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合肥鼓楼商厦有限责任公司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合肥市宿州路96号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张  喆</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FF0000"/>
                <w:kern w:val="0"/>
                <w:szCs w:val="21"/>
              </w:rPr>
            </w:pPr>
            <w:r>
              <w:rPr>
                <w:rFonts w:ascii="宋体" w:hAnsi="宋体"/>
              </w:rPr>
              <w:t>62687015</w:t>
            </w:r>
          </w:p>
        </w:tc>
      </w:tr>
      <w:tr>
        <w:tblPrEx>
          <w:tblCellMar>
            <w:top w:w="0" w:type="dxa"/>
            <w:left w:w="108" w:type="dxa"/>
            <w:bottom w:w="0" w:type="dxa"/>
            <w:right w:w="108" w:type="dxa"/>
          </w:tblCellMar>
        </w:tblPrEx>
        <w:trPr>
          <w:trHeight w:val="773"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3</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合肥百货大楼集团商业大厦有限责任公司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合肥市金寨路1168号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王丽君</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63633113</w:t>
            </w:r>
          </w:p>
        </w:tc>
      </w:tr>
      <w:tr>
        <w:tblPrEx>
          <w:tblCellMar>
            <w:top w:w="0" w:type="dxa"/>
            <w:left w:w="108" w:type="dxa"/>
            <w:bottom w:w="0" w:type="dxa"/>
            <w:right w:w="108" w:type="dxa"/>
          </w:tblCellMar>
        </w:tblPrEx>
        <w:trPr>
          <w:trHeight w:val="633"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4</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安徽百大中央购物中心有限公司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合肥市庐阳区长江中路369号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邵  丽</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62851607</w:t>
            </w:r>
          </w:p>
        </w:tc>
      </w:tr>
      <w:tr>
        <w:tblPrEx>
          <w:tblCellMar>
            <w:top w:w="0" w:type="dxa"/>
            <w:left w:w="108" w:type="dxa"/>
            <w:bottom w:w="0" w:type="dxa"/>
            <w:right w:w="108" w:type="dxa"/>
          </w:tblCellMar>
        </w:tblPrEx>
        <w:trPr>
          <w:trHeight w:val="813"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5</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安徽百大乐普生商厦有限责任公司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合肥市徽州大道绿都商城B区</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汪蓉蓉</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62686819</w:t>
            </w:r>
          </w:p>
        </w:tc>
      </w:tr>
      <w:tr>
        <w:tblPrEx>
          <w:tblCellMar>
            <w:top w:w="0" w:type="dxa"/>
            <w:left w:w="108" w:type="dxa"/>
            <w:bottom w:w="0" w:type="dxa"/>
            <w:right w:w="108" w:type="dxa"/>
          </w:tblCellMar>
        </w:tblPrEx>
        <w:trPr>
          <w:trHeight w:val="535"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合肥鼓楼高新商厦有限责任公司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合肥市长江西路689号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王梦颖</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65373108</w:t>
            </w:r>
          </w:p>
        </w:tc>
      </w:tr>
      <w:tr>
        <w:tblPrEx>
          <w:tblCellMar>
            <w:top w:w="0" w:type="dxa"/>
            <w:left w:w="108" w:type="dxa"/>
            <w:bottom w:w="0" w:type="dxa"/>
            <w:right w:w="108" w:type="dxa"/>
          </w:tblCellMar>
        </w:tblPrEx>
        <w:trPr>
          <w:trHeight w:val="813"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7</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合肥百大滨湖购物中心有限责任公司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合肥市包河区徽州大道5566号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宫  珂</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65816505</w:t>
            </w:r>
          </w:p>
        </w:tc>
      </w:tr>
      <w:tr>
        <w:tblPrEx>
          <w:tblCellMar>
            <w:top w:w="0" w:type="dxa"/>
            <w:left w:w="108" w:type="dxa"/>
            <w:bottom w:w="0" w:type="dxa"/>
            <w:right w:w="108" w:type="dxa"/>
          </w:tblCellMar>
        </w:tblPrEx>
        <w:trPr>
          <w:trHeight w:val="663" w:hRule="atLeast"/>
          <w:jc w:val="center"/>
        </w:trPr>
        <w:tc>
          <w:tcPr>
            <w:tcW w:w="531" w:type="dxa"/>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8</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安徽百大合家福连锁超市股份有限公司</w:t>
            </w:r>
          </w:p>
        </w:tc>
        <w:tc>
          <w:tcPr>
            <w:tcW w:w="2329"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kern w:val="0"/>
                <w:szCs w:val="21"/>
              </w:rPr>
            </w:pPr>
            <w:r>
              <w:rPr>
                <w:rFonts w:hint="eastAsia" w:ascii="宋体" w:hAnsi="宋体" w:cs="宋体"/>
                <w:kern w:val="0"/>
                <w:szCs w:val="21"/>
              </w:rPr>
              <w:t>合肥市沿河路118号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陈  华</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63453887</w:t>
            </w:r>
          </w:p>
        </w:tc>
      </w:tr>
      <w:tr>
        <w:tblPrEx>
          <w:tblCellMar>
            <w:top w:w="0" w:type="dxa"/>
            <w:left w:w="108" w:type="dxa"/>
            <w:bottom w:w="0" w:type="dxa"/>
            <w:right w:w="108" w:type="dxa"/>
          </w:tblCellMar>
        </w:tblPrEx>
        <w:trPr>
          <w:trHeight w:val="813" w:hRule="atLeast"/>
          <w:jc w:val="center"/>
        </w:trPr>
        <w:tc>
          <w:tcPr>
            <w:tcW w:w="531"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合肥蜀山合家福连锁超市有限公司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合肥市高新区长江西路与天通路交口</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陈  华</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63453887</w:t>
            </w:r>
          </w:p>
        </w:tc>
      </w:tr>
      <w:tr>
        <w:tblPrEx>
          <w:tblCellMar>
            <w:top w:w="0" w:type="dxa"/>
            <w:left w:w="108" w:type="dxa"/>
            <w:bottom w:w="0" w:type="dxa"/>
            <w:right w:w="108" w:type="dxa"/>
          </w:tblCellMar>
        </w:tblPrEx>
        <w:trPr>
          <w:trHeight w:val="798" w:hRule="atLeast"/>
          <w:jc w:val="center"/>
        </w:trPr>
        <w:tc>
          <w:tcPr>
            <w:tcW w:w="531"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安徽百大合家福连锁超市股份有限公司肥西百大店</w:t>
            </w:r>
          </w:p>
        </w:tc>
        <w:tc>
          <w:tcPr>
            <w:tcW w:w="2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肥西县上派镇百大购物广场A座</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陈  华</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63453887</w:t>
            </w:r>
          </w:p>
        </w:tc>
      </w:tr>
      <w:tr>
        <w:tblPrEx>
          <w:tblCellMar>
            <w:top w:w="0" w:type="dxa"/>
            <w:left w:w="108" w:type="dxa"/>
            <w:bottom w:w="0" w:type="dxa"/>
            <w:right w:w="108" w:type="dxa"/>
          </w:tblCellMar>
        </w:tblPrEx>
        <w:trPr>
          <w:trHeight w:val="682" w:hRule="atLeast"/>
          <w:jc w:val="center"/>
        </w:trPr>
        <w:tc>
          <w:tcPr>
            <w:tcW w:w="531" w:type="dxa"/>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11</w:t>
            </w:r>
          </w:p>
        </w:tc>
        <w:tc>
          <w:tcPr>
            <w:tcW w:w="3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安徽百大电器连锁有限公司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合肥市长江路124号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章恒玲</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62686058</w:t>
            </w:r>
          </w:p>
        </w:tc>
      </w:tr>
      <w:tr>
        <w:tblPrEx>
          <w:tblCellMar>
            <w:top w:w="0" w:type="dxa"/>
            <w:left w:w="108" w:type="dxa"/>
            <w:bottom w:w="0" w:type="dxa"/>
            <w:right w:w="108" w:type="dxa"/>
          </w:tblCellMar>
        </w:tblPrEx>
        <w:trPr>
          <w:trHeight w:val="708" w:hRule="atLeast"/>
          <w:jc w:val="center"/>
        </w:trPr>
        <w:tc>
          <w:tcPr>
            <w:tcW w:w="531"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w:t>
            </w:r>
          </w:p>
        </w:tc>
        <w:tc>
          <w:tcPr>
            <w:tcW w:w="3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合肥博百劳务咨询服务有限责任公司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合肥市沿河路中央花园116号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章恒玲</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62686058</w:t>
            </w:r>
          </w:p>
        </w:tc>
      </w:tr>
      <w:tr>
        <w:tblPrEx>
          <w:tblCellMar>
            <w:top w:w="0" w:type="dxa"/>
            <w:left w:w="108" w:type="dxa"/>
            <w:bottom w:w="0" w:type="dxa"/>
            <w:right w:w="108" w:type="dxa"/>
          </w:tblCellMar>
        </w:tblPrEx>
        <w:trPr>
          <w:trHeight w:val="738" w:hRule="atLeast"/>
          <w:jc w:val="center"/>
        </w:trPr>
        <w:tc>
          <w:tcPr>
            <w:tcW w:w="531"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13</w:t>
            </w:r>
          </w:p>
        </w:tc>
        <w:tc>
          <w:tcPr>
            <w:tcW w:w="3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安徽百大众信通讯设备有限公司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合肥市沿河路中央花园116号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章恒玲</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62686058</w:t>
            </w:r>
          </w:p>
        </w:tc>
      </w:tr>
      <w:tr>
        <w:tblPrEx>
          <w:tblCellMar>
            <w:top w:w="0" w:type="dxa"/>
            <w:left w:w="108" w:type="dxa"/>
            <w:bottom w:w="0" w:type="dxa"/>
            <w:right w:w="108" w:type="dxa"/>
          </w:tblCellMar>
        </w:tblPrEx>
        <w:trPr>
          <w:trHeight w:val="813" w:hRule="atLeast"/>
          <w:jc w:val="center"/>
        </w:trPr>
        <w:tc>
          <w:tcPr>
            <w:tcW w:w="531" w:type="dxa"/>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14</w:t>
            </w:r>
          </w:p>
        </w:tc>
        <w:tc>
          <w:tcPr>
            <w:tcW w:w="3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合肥周谷堆农产品批发市场股份有限公司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合肥市瑶海区大兴镇钟油坊路与和平路交口</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俞凌霄</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62970017</w:t>
            </w:r>
          </w:p>
        </w:tc>
      </w:tr>
      <w:tr>
        <w:tblPrEx>
          <w:tblCellMar>
            <w:top w:w="0" w:type="dxa"/>
            <w:left w:w="108" w:type="dxa"/>
            <w:bottom w:w="0" w:type="dxa"/>
            <w:right w:w="108" w:type="dxa"/>
          </w:tblCellMar>
        </w:tblPrEx>
        <w:trPr>
          <w:trHeight w:val="1188"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15</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合肥百大合家悦菜市场管理有限责任公司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合肥市瑶海区和平路街道铜陵路169号万和新城广场1层108号</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夏  露</w:t>
            </w:r>
          </w:p>
        </w:tc>
        <w:tc>
          <w:tcPr>
            <w:tcW w:w="13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65771093</w:t>
            </w:r>
          </w:p>
        </w:tc>
      </w:tr>
      <w:tr>
        <w:tblPrEx>
          <w:tblCellMar>
            <w:top w:w="0" w:type="dxa"/>
            <w:left w:w="108" w:type="dxa"/>
            <w:bottom w:w="0" w:type="dxa"/>
            <w:right w:w="108" w:type="dxa"/>
          </w:tblCellMar>
        </w:tblPrEx>
        <w:trPr>
          <w:trHeight w:val="1049"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16</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安徽合家康农产品加工配送有限公司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合肥市瑶海区大兴镇月亮湾路周谷堆粮油冷冻区内</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王  娟</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65981300</w:t>
            </w:r>
          </w:p>
        </w:tc>
      </w:tr>
      <w:tr>
        <w:tblPrEx>
          <w:tblCellMar>
            <w:top w:w="0" w:type="dxa"/>
            <w:left w:w="108" w:type="dxa"/>
            <w:bottom w:w="0" w:type="dxa"/>
            <w:right w:w="108" w:type="dxa"/>
          </w:tblCellMar>
        </w:tblPrEx>
        <w:trPr>
          <w:trHeight w:val="813" w:hRule="atLeast"/>
          <w:jc w:val="center"/>
        </w:trPr>
        <w:tc>
          <w:tcPr>
            <w:tcW w:w="5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17</w:t>
            </w:r>
          </w:p>
        </w:tc>
        <w:tc>
          <w:tcPr>
            <w:tcW w:w="39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合肥合鑫商贸有限公司</w:t>
            </w:r>
          </w:p>
        </w:tc>
        <w:tc>
          <w:tcPr>
            <w:tcW w:w="232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合肥市黄山路596号百大行政楼4楼</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郑雪梅</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65618285</w:t>
            </w:r>
          </w:p>
        </w:tc>
      </w:tr>
      <w:tr>
        <w:tblPrEx>
          <w:tblCellMar>
            <w:top w:w="0" w:type="dxa"/>
            <w:left w:w="108" w:type="dxa"/>
            <w:bottom w:w="0" w:type="dxa"/>
            <w:right w:w="108" w:type="dxa"/>
          </w:tblCellMar>
        </w:tblPrEx>
        <w:trPr>
          <w:trHeight w:val="813" w:hRule="atLeast"/>
          <w:jc w:val="center"/>
        </w:trPr>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w:t>
            </w:r>
          </w:p>
        </w:tc>
        <w:tc>
          <w:tcPr>
            <w:tcW w:w="3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合肥百大购物中心有限责任公司</w:t>
            </w:r>
          </w:p>
        </w:tc>
        <w:tc>
          <w:tcPr>
            <w:tcW w:w="2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肥西县上派镇巢湖路与派河大道交口</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季红梅</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68881808</w:t>
            </w:r>
          </w:p>
        </w:tc>
      </w:tr>
      <w:tr>
        <w:tblPrEx>
          <w:tblCellMar>
            <w:top w:w="0" w:type="dxa"/>
            <w:left w:w="108" w:type="dxa"/>
            <w:bottom w:w="0" w:type="dxa"/>
            <w:right w:w="108" w:type="dxa"/>
          </w:tblCellMar>
        </w:tblPrEx>
        <w:trPr>
          <w:trHeight w:val="701" w:hRule="atLeast"/>
          <w:jc w:val="center"/>
        </w:trPr>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19</w:t>
            </w:r>
          </w:p>
        </w:tc>
        <w:tc>
          <w:tcPr>
            <w:tcW w:w="3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巢湖百大购物中心有限责任公司</w:t>
            </w:r>
          </w:p>
        </w:tc>
        <w:tc>
          <w:tcPr>
            <w:tcW w:w="2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巢湖市人民路与团结路交口东南角</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杨  静</w:t>
            </w:r>
          </w:p>
        </w:tc>
        <w:tc>
          <w:tcPr>
            <w:tcW w:w="13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82618516</w:t>
            </w:r>
          </w:p>
        </w:tc>
      </w:tr>
    </w:tbl>
    <w:p>
      <w:pPr>
        <w:pStyle w:val="2"/>
        <w:rPr>
          <w:rFonts w:hAnsi="宋体" w:cs="宋体"/>
          <w:szCs w:val="24"/>
        </w:rPr>
        <w:sectPr>
          <w:pgSz w:w="11906" w:h="16838"/>
          <w:pgMar w:top="1134" w:right="1134" w:bottom="1134" w:left="1134" w:header="851" w:footer="992" w:gutter="0"/>
          <w:cols w:space="720" w:num="1"/>
          <w:docGrid w:type="lines" w:linePitch="312" w:charSpace="0"/>
        </w:sectPr>
      </w:pPr>
    </w:p>
    <w:p>
      <w:pPr>
        <w:widowControl/>
        <w:spacing w:line="520" w:lineRule="exact"/>
        <w:jc w:val="center"/>
        <w:outlineLvl w:val="0"/>
        <w:rPr>
          <w:rFonts w:ascii="宋体" w:hAnsi="宋体" w:cs="宋体"/>
          <w:b/>
          <w:color w:val="000000"/>
          <w:kern w:val="0"/>
          <w:sz w:val="32"/>
          <w:szCs w:val="32"/>
        </w:rPr>
      </w:pPr>
      <w:r>
        <w:rPr>
          <w:rFonts w:hint="eastAsia" w:ascii="宋体" w:hAnsi="宋体" w:cs="宋体"/>
          <w:b/>
          <w:color w:val="000000"/>
          <w:kern w:val="0"/>
          <w:sz w:val="32"/>
          <w:szCs w:val="32"/>
        </w:rPr>
        <w:t>第四章  附  件</w:t>
      </w: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一、投标文件格式</w:t>
      </w:r>
    </w:p>
    <w:p>
      <w:pPr>
        <w:widowControl/>
        <w:spacing w:line="520" w:lineRule="exact"/>
        <w:jc w:val="center"/>
        <w:outlineLvl w:val="0"/>
        <w:rPr>
          <w:rFonts w:ascii="宋体" w:hAnsi="宋体" w:cs="宋体"/>
          <w:b/>
          <w:color w:val="000000"/>
          <w:kern w:val="0"/>
          <w:sz w:val="24"/>
        </w:rPr>
      </w:pPr>
      <w:r>
        <w:rPr>
          <w:rFonts w:hint="eastAsia" w:ascii="宋体" w:hAnsi="宋体" w:cs="宋体"/>
          <w:b/>
          <w:color w:val="000000"/>
          <w:kern w:val="0"/>
          <w:sz w:val="24"/>
        </w:rPr>
        <w:t>格式1  投标承诺书</w:t>
      </w:r>
    </w:p>
    <w:p>
      <w:pPr>
        <w:widowControl/>
        <w:spacing w:line="520" w:lineRule="exact"/>
        <w:jc w:val="center"/>
        <w:rPr>
          <w:rFonts w:ascii="宋体" w:hAnsi="宋体" w:cs="宋体"/>
          <w:b/>
          <w:color w:val="000000"/>
          <w:kern w:val="0"/>
          <w:sz w:val="24"/>
        </w:rPr>
      </w:pPr>
    </w:p>
    <w:p>
      <w:pPr>
        <w:widowControl/>
        <w:spacing w:line="520" w:lineRule="exact"/>
        <w:jc w:val="left"/>
        <w:rPr>
          <w:rFonts w:ascii="宋体" w:hAnsi="宋体" w:cs="宋体"/>
          <w:b/>
          <w:kern w:val="0"/>
          <w:sz w:val="24"/>
        </w:rPr>
      </w:pPr>
      <w:r>
        <w:rPr>
          <w:rFonts w:hint="eastAsia" w:ascii="宋体" w:hAnsi="宋体" w:cs="宋体"/>
          <w:b/>
          <w:kern w:val="0"/>
          <w:sz w:val="24"/>
        </w:rPr>
        <w:t>致</w:t>
      </w:r>
      <w:r>
        <w:rPr>
          <w:rFonts w:hint="eastAsia" w:ascii="宋体" w:hAnsi="宋体" w:cs="宋体"/>
          <w:b/>
          <w:color w:val="000000"/>
          <w:kern w:val="0"/>
          <w:sz w:val="24"/>
        </w:rPr>
        <w:t>合肥百货大楼集团股份有限公司</w:t>
      </w:r>
      <w:r>
        <w:rPr>
          <w:rFonts w:hint="eastAsia" w:ascii="宋体" w:hAnsi="宋体" w:cs="宋体"/>
          <w:b/>
          <w:kern w:val="0"/>
          <w:sz w:val="24"/>
        </w:rPr>
        <w:t>：</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 xml:space="preserve">根据贵司号招标文件要求，我司签字代表 </w:t>
      </w:r>
      <w:r>
        <w:rPr>
          <w:rFonts w:hint="eastAsia" w:ascii="宋体" w:hAnsi="宋体" w:cs="宋体"/>
          <w:kern w:val="0"/>
          <w:sz w:val="24"/>
          <w:u w:val="single"/>
        </w:rPr>
        <w:t xml:space="preserve">              </w:t>
      </w:r>
      <w:r>
        <w:rPr>
          <w:rFonts w:hint="eastAsia" w:ascii="宋体" w:hAnsi="宋体" w:cs="宋体"/>
          <w:kern w:val="0"/>
          <w:sz w:val="24"/>
        </w:rPr>
        <w:t>（姓名、职务）已被正式授权代表投标人</w:t>
      </w:r>
      <w:r>
        <w:rPr>
          <w:rFonts w:hint="eastAsia" w:ascii="宋体" w:hAnsi="宋体" w:cs="宋体"/>
          <w:kern w:val="0"/>
          <w:sz w:val="24"/>
          <w:u w:val="single"/>
        </w:rPr>
        <w:t xml:space="preserve">                </w:t>
      </w:r>
      <w:r>
        <w:rPr>
          <w:rFonts w:hint="eastAsia" w:ascii="宋体" w:hAnsi="宋体" w:cs="宋体"/>
          <w:kern w:val="0"/>
          <w:sz w:val="24"/>
        </w:rPr>
        <w:t>（投标人名称）提交下述文件：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⑶投标事项承诺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⑷投标资格证明文件</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20" w:lineRule="exact"/>
        <w:ind w:firstLine="480"/>
        <w:jc w:val="left"/>
        <w:rPr>
          <w:rFonts w:ascii="宋体" w:hAnsi="宋体" w:cs="宋体"/>
          <w:kern w:val="0"/>
          <w:sz w:val="24"/>
        </w:rPr>
      </w:pPr>
      <w:r>
        <w:rPr>
          <w:rFonts w:hint="eastAsia" w:ascii="宋体" w:hAnsi="宋体" w:cs="宋体"/>
          <w:kern w:val="0"/>
          <w:sz w:val="24"/>
        </w:rPr>
        <w:t>⑸投标人同意提供招标人可能要求的与其投标有关的一切数据或资料。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(6)投标人承诺按照《合肥市发改委等8部门关于印发合肥市加大援企稳岗力度支持批零住餐旅游企业稳定发展若干政策实施细则的通知》(合发改贸服361号)关于疫情期间稳定就业培训文件标准执行。</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特此承诺</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二〇二二年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520" w:lineRule="exact"/>
        <w:jc w:val="center"/>
        <w:outlineLvl w:val="0"/>
        <w:rPr>
          <w:rFonts w:ascii="宋体" w:hAnsi="宋体" w:cs="宋体"/>
          <w:b/>
          <w:color w:val="000000"/>
          <w:kern w:val="0"/>
          <w:sz w:val="24"/>
        </w:rPr>
      </w:pPr>
      <w:r>
        <w:rPr>
          <w:rFonts w:hint="eastAsia" w:ascii="宋体" w:hAnsi="宋体" w:cs="宋体"/>
          <w:b/>
          <w:color w:val="000000"/>
          <w:kern w:val="0"/>
          <w:sz w:val="24"/>
        </w:rPr>
        <w:t>格式2  开标一览表</w:t>
      </w:r>
    </w:p>
    <w:p>
      <w:pPr>
        <w:widowControl/>
        <w:spacing w:line="520" w:lineRule="exact"/>
        <w:jc w:val="left"/>
        <w:rPr>
          <w:rFonts w:ascii="宋体" w:hAnsi="宋体" w:cs="宋体"/>
          <w:b/>
          <w:color w:val="000000"/>
          <w:kern w:val="0"/>
          <w:sz w:val="24"/>
        </w:rPr>
      </w:pPr>
    </w:p>
    <w:tbl>
      <w:tblPr>
        <w:tblStyle w:val="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177"/>
        <w:gridCol w:w="6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05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项目名称</w:t>
            </w:r>
          </w:p>
        </w:tc>
        <w:tc>
          <w:tcPr>
            <w:tcW w:w="658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color w:val="000000"/>
                <w:kern w:val="0"/>
                <w:sz w:val="24"/>
              </w:rPr>
              <w:t>百大集团稳定就业员工技能培训服务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05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招标编号</w:t>
            </w:r>
          </w:p>
        </w:tc>
        <w:tc>
          <w:tcPr>
            <w:tcW w:w="658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Cs/>
                <w:color w:val="000000"/>
                <w:kern w:val="0"/>
                <w:sz w:val="24"/>
              </w:rPr>
            </w:pPr>
            <w:r>
              <w:rPr>
                <w:rFonts w:hint="eastAsia" w:ascii="宋体" w:hAnsi="宋体" w:cs="宋体"/>
                <w:bCs/>
                <w:color w:val="000000"/>
                <w:kern w:val="0"/>
                <w:sz w:val="24"/>
              </w:rPr>
              <w:t>H</w:t>
            </w:r>
            <w:r>
              <w:rPr>
                <w:rFonts w:ascii="宋体" w:hAnsi="宋体" w:cs="宋体"/>
                <w:bCs/>
                <w:color w:val="000000"/>
                <w:kern w:val="0"/>
                <w:sz w:val="24"/>
              </w:rPr>
              <w:t>BZ-220</w:t>
            </w:r>
            <w:r>
              <w:rPr>
                <w:rFonts w:hint="eastAsia" w:ascii="宋体" w:hAnsi="宋体" w:cs="宋体"/>
                <w:bCs/>
                <w:color w:val="000000"/>
                <w:kern w:val="0"/>
                <w:sz w:val="24"/>
                <w:lang w:val="en-US" w:eastAsia="zh-CN"/>
              </w:rPr>
              <w:t>22</w:t>
            </w:r>
            <w:r>
              <w:rPr>
                <w:rFonts w:ascii="宋体" w:hAnsi="宋体" w:cs="宋体"/>
                <w:bCs/>
                <w:color w:val="000000"/>
                <w:kern w:val="0"/>
                <w:sz w:val="24"/>
              </w:rPr>
              <w:t>-JT03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05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投标人全称</w:t>
            </w:r>
          </w:p>
        </w:tc>
        <w:tc>
          <w:tcPr>
            <w:tcW w:w="658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640"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color w:val="000000"/>
                <w:kern w:val="0"/>
                <w:sz w:val="24"/>
              </w:rPr>
            </w:pPr>
            <w:r>
              <w:rPr>
                <w:rFonts w:hint="eastAsia" w:ascii="宋体" w:hAnsi="宋体" w:cs="宋体"/>
                <w:b/>
                <w:color w:val="000000"/>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217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服务内容</w:t>
            </w:r>
          </w:p>
        </w:tc>
        <w:tc>
          <w:tcPr>
            <w:tcW w:w="658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color w:val="000000"/>
                <w:kern w:val="0"/>
                <w:sz w:val="24"/>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2</w:t>
            </w:r>
          </w:p>
        </w:tc>
        <w:tc>
          <w:tcPr>
            <w:tcW w:w="217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服务期限</w:t>
            </w:r>
          </w:p>
        </w:tc>
        <w:tc>
          <w:tcPr>
            <w:tcW w:w="658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color w:val="000000"/>
                <w:kern w:val="0"/>
                <w:sz w:val="24"/>
              </w:rPr>
              <w:t>是否响应招标</w:t>
            </w:r>
            <w:bookmarkStart w:id="1" w:name="_GoBack"/>
            <w:bookmarkEnd w:id="1"/>
            <w:r>
              <w:rPr>
                <w:rFonts w:hint="eastAsia" w:ascii="宋体" w:hAnsi="宋体" w:cs="宋体"/>
                <w:color w:val="000000"/>
                <w:kern w:val="0"/>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3</w:t>
            </w:r>
          </w:p>
        </w:tc>
        <w:tc>
          <w:tcPr>
            <w:tcW w:w="217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rPr>
            </w:pPr>
            <w:r>
              <w:rPr>
                <w:rFonts w:hint="eastAsia"/>
                <w:color w:val="000000"/>
                <w:kern w:val="28"/>
                <w:sz w:val="24"/>
              </w:rPr>
              <w:t>付款方式</w:t>
            </w:r>
          </w:p>
        </w:tc>
        <w:tc>
          <w:tcPr>
            <w:tcW w:w="658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000000"/>
                <w:kern w:val="0"/>
                <w:sz w:val="24"/>
              </w:rPr>
            </w:pPr>
            <w:r>
              <w:rPr>
                <w:rFonts w:hint="eastAsia" w:ascii="宋体" w:hAnsi="宋体" w:cs="宋体"/>
                <w:color w:val="000000"/>
                <w:kern w:val="0"/>
                <w:sz w:val="24"/>
              </w:rPr>
              <w:t>是否响应招标文件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9640"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color w:val="000000"/>
                <w:kern w:val="0"/>
                <w:sz w:val="24"/>
              </w:rPr>
            </w:pPr>
            <w:r>
              <w:rPr>
                <w:rFonts w:hint="eastAsia" w:ascii="宋体" w:hAnsi="宋体" w:cs="宋体"/>
                <w:b/>
                <w:color w:val="000000"/>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atLeast"/>
          <w:jc w:val="center"/>
        </w:trPr>
        <w:tc>
          <w:tcPr>
            <w:tcW w:w="882" w:type="dxa"/>
            <w:tcBorders>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217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color w:val="000000"/>
                <w:kern w:val="0"/>
                <w:sz w:val="24"/>
              </w:rPr>
            </w:pPr>
            <w:r>
              <w:rPr>
                <w:rFonts w:hint="eastAsia" w:ascii="宋体" w:hAnsi="宋体" w:cs="宋体"/>
                <w:color w:val="000000"/>
                <w:kern w:val="0"/>
                <w:sz w:val="24"/>
              </w:rPr>
              <w:t>投标报价</w:t>
            </w:r>
          </w:p>
        </w:tc>
        <w:tc>
          <w:tcPr>
            <w:tcW w:w="6581"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color w:val="000000"/>
                <w:sz w:val="24"/>
              </w:rPr>
            </w:pPr>
            <w:r>
              <w:rPr>
                <w:rFonts w:hint="eastAsia" w:ascii="宋体"/>
                <w:color w:val="000000"/>
                <w:sz w:val="24"/>
              </w:rPr>
              <w:t>大写：人民币</w:t>
            </w:r>
            <w:r>
              <w:rPr>
                <w:rFonts w:hint="eastAsia" w:ascii="宋体"/>
                <w:color w:val="000000"/>
                <w:sz w:val="24"/>
                <w:u w:val="single"/>
              </w:rPr>
              <w:t xml:space="preserve">                  </w:t>
            </w:r>
            <w:r>
              <w:rPr>
                <w:rFonts w:hint="eastAsia" w:ascii="宋体"/>
                <w:color w:val="000000"/>
                <w:sz w:val="24"/>
              </w:rPr>
              <w:t>元；</w:t>
            </w:r>
          </w:p>
          <w:p>
            <w:pPr>
              <w:spacing w:line="520" w:lineRule="exact"/>
              <w:rPr>
                <w:rFonts w:ascii="宋体"/>
                <w:color w:val="000000"/>
                <w:sz w:val="24"/>
              </w:rPr>
            </w:pPr>
            <w:r>
              <w:rPr>
                <w:rFonts w:hint="eastAsia" w:ascii="宋体"/>
                <w:color w:val="000000"/>
                <w:sz w:val="24"/>
              </w:rPr>
              <w:t>小写：￥</w:t>
            </w:r>
            <w:r>
              <w:rPr>
                <w:rFonts w:hint="eastAsia" w:ascii="宋体"/>
                <w:color w:val="00000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3059"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b/>
                <w:bCs/>
                <w:color w:val="000000"/>
                <w:kern w:val="28"/>
                <w:sz w:val="24"/>
              </w:rPr>
            </w:pPr>
            <w:r>
              <w:rPr>
                <w:rFonts w:hint="eastAsia"/>
                <w:b/>
                <w:bCs/>
                <w:color w:val="000000"/>
                <w:kern w:val="28"/>
                <w:sz w:val="24"/>
              </w:rPr>
              <w:t>备注</w:t>
            </w:r>
          </w:p>
        </w:tc>
        <w:tc>
          <w:tcPr>
            <w:tcW w:w="658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bCs/>
                <w:color w:val="000000"/>
                <w:kern w:val="0"/>
                <w:sz w:val="24"/>
              </w:rPr>
            </w:pPr>
            <w:r>
              <w:rPr>
                <w:rFonts w:hint="eastAsia" w:ascii="宋体" w:hAnsi="宋体" w:cs="宋体"/>
                <w:b/>
                <w:bCs/>
                <w:sz w:val="24"/>
              </w:rPr>
              <w:t>投标报价不得高于项目概算61.5万元，否则视为废标；</w:t>
            </w:r>
          </w:p>
        </w:tc>
      </w:tr>
    </w:tbl>
    <w:p>
      <w:pPr>
        <w:widowControl/>
        <w:spacing w:line="800" w:lineRule="exact"/>
        <w:jc w:val="left"/>
        <w:rPr>
          <w:rFonts w:ascii="宋体" w:hAnsi="宋体" w:cs="宋体"/>
          <w:b/>
          <w:color w:val="000000"/>
          <w:kern w:val="0"/>
          <w:sz w:val="24"/>
        </w:rPr>
      </w:pPr>
    </w:p>
    <w:p>
      <w:pPr>
        <w:widowControl/>
        <w:spacing w:line="800" w:lineRule="exact"/>
        <w:jc w:val="left"/>
        <w:rPr>
          <w:rFonts w:ascii="宋体" w:hAnsi="宋体" w:cs="宋体"/>
          <w:b/>
          <w:color w:val="000000"/>
          <w:kern w:val="0"/>
          <w:sz w:val="24"/>
        </w:rPr>
      </w:pPr>
      <w:r>
        <w:rPr>
          <w:rFonts w:hint="eastAsia" w:ascii="宋体" w:hAnsi="宋体" w:cs="宋体"/>
          <w:b/>
          <w:color w:val="000000"/>
          <w:kern w:val="0"/>
          <w:sz w:val="24"/>
        </w:rPr>
        <w:t>投标人（签章）：                                授权代表（签字）：</w:t>
      </w:r>
    </w:p>
    <w:p>
      <w:pPr>
        <w:widowControl/>
        <w:spacing w:line="800" w:lineRule="exact"/>
        <w:jc w:val="left"/>
        <w:rPr>
          <w:rFonts w:ascii="宋体" w:hAnsi="宋体" w:cs="宋体"/>
          <w:b/>
          <w:color w:val="000000"/>
          <w:kern w:val="0"/>
          <w:sz w:val="24"/>
        </w:rPr>
      </w:pPr>
      <w:r>
        <w:rPr>
          <w:rFonts w:hint="eastAsia" w:ascii="宋体" w:hAnsi="宋体" w:cs="宋体"/>
          <w:b/>
          <w:color w:val="000000"/>
          <w:kern w:val="0"/>
          <w:sz w:val="24"/>
        </w:rPr>
        <w:t>联系方式：                                      二〇二二年</w:t>
      </w:r>
      <w:r>
        <w:rPr>
          <w:rFonts w:hint="eastAsia" w:ascii="宋体" w:hAnsi="宋体" w:cs="宋体"/>
          <w:b/>
          <w:color w:val="000000"/>
          <w:kern w:val="0"/>
          <w:sz w:val="24"/>
          <w:u w:val="single"/>
        </w:rPr>
        <w:t xml:space="preserve">   </w:t>
      </w:r>
      <w:r>
        <w:rPr>
          <w:rFonts w:hint="eastAsia" w:ascii="宋体" w:hAnsi="宋体" w:cs="宋体"/>
          <w:b/>
          <w:color w:val="000000"/>
          <w:kern w:val="0"/>
          <w:sz w:val="24"/>
        </w:rPr>
        <w:t>月</w:t>
      </w:r>
      <w:r>
        <w:rPr>
          <w:rFonts w:hint="eastAsia" w:ascii="宋体" w:hAnsi="宋体" w:cs="宋体"/>
          <w:b/>
          <w:color w:val="000000"/>
          <w:kern w:val="0"/>
          <w:sz w:val="24"/>
          <w:u w:val="single"/>
        </w:rPr>
        <w:t xml:space="preserve">   </w:t>
      </w:r>
      <w:r>
        <w:rPr>
          <w:rFonts w:hint="eastAsia" w:ascii="宋体" w:hAnsi="宋体" w:cs="宋体"/>
          <w:b/>
          <w:color w:val="000000"/>
          <w:kern w:val="0"/>
          <w:sz w:val="24"/>
        </w:rPr>
        <w:t>日</w:t>
      </w:r>
    </w:p>
    <w:p>
      <w:pPr>
        <w:pStyle w:val="2"/>
        <w:rPr>
          <w:rFonts w:hAnsi="宋体" w:cs="宋体"/>
          <w:b/>
        </w:rPr>
      </w:pPr>
    </w:p>
    <w:p>
      <w:pPr>
        <w:pStyle w:val="2"/>
        <w:rPr>
          <w:rFonts w:hAnsi="宋体" w:cs="宋体"/>
          <w:b/>
        </w:rPr>
      </w:pPr>
    </w:p>
    <w:p>
      <w:pPr>
        <w:pStyle w:val="2"/>
        <w:rPr>
          <w:rFonts w:hAnsi="宋体" w:cs="宋体"/>
          <w:b/>
        </w:rPr>
      </w:pPr>
    </w:p>
    <w:p>
      <w:pPr>
        <w:pStyle w:val="2"/>
        <w:rPr>
          <w:rFonts w:hAnsi="宋体" w:cs="宋体"/>
          <w:b/>
        </w:rPr>
        <w:sectPr>
          <w:pgSz w:w="11906" w:h="16838"/>
          <w:pgMar w:top="1134" w:right="1134" w:bottom="1134" w:left="1134" w:header="851" w:footer="992" w:gutter="0"/>
          <w:cols w:space="720" w:num="1"/>
          <w:docGrid w:type="lines" w:linePitch="312" w:charSpace="0"/>
        </w:sectPr>
      </w:pPr>
    </w:p>
    <w:p>
      <w:pPr>
        <w:widowControl/>
        <w:spacing w:line="520" w:lineRule="exact"/>
        <w:jc w:val="center"/>
        <w:outlineLvl w:val="0"/>
        <w:rPr>
          <w:rFonts w:ascii="宋体" w:hAnsi="宋体" w:cs="宋体"/>
          <w:b/>
          <w:color w:val="000000"/>
          <w:kern w:val="0"/>
          <w:sz w:val="24"/>
        </w:rPr>
      </w:pPr>
    </w:p>
    <w:p>
      <w:pPr>
        <w:widowControl/>
        <w:spacing w:line="520" w:lineRule="exact"/>
        <w:jc w:val="center"/>
        <w:outlineLvl w:val="0"/>
        <w:rPr>
          <w:rFonts w:ascii="宋体" w:hAnsi="宋体" w:cs="宋体"/>
          <w:b/>
          <w:color w:val="000000"/>
          <w:kern w:val="0"/>
          <w:sz w:val="24"/>
        </w:rPr>
      </w:pPr>
      <w:r>
        <w:rPr>
          <w:rFonts w:hint="eastAsia" w:ascii="宋体" w:hAnsi="宋体" w:cs="宋体"/>
          <w:b/>
          <w:color w:val="000000"/>
          <w:kern w:val="0"/>
          <w:sz w:val="24"/>
        </w:rPr>
        <w:t>格式3 分项报价表</w:t>
      </w:r>
    </w:p>
    <w:tbl>
      <w:tblPr>
        <w:tblStyle w:val="9"/>
        <w:tblpPr w:leftFromText="180" w:rightFromText="180" w:vertAnchor="text" w:horzAnchor="page" w:tblpX="1223" w:tblpY="515"/>
        <w:tblW w:w="14377" w:type="dxa"/>
        <w:tblInd w:w="0" w:type="dxa"/>
        <w:tblLayout w:type="fixed"/>
        <w:tblCellMar>
          <w:top w:w="0" w:type="dxa"/>
          <w:left w:w="108" w:type="dxa"/>
          <w:bottom w:w="0" w:type="dxa"/>
          <w:right w:w="108" w:type="dxa"/>
        </w:tblCellMar>
      </w:tblPr>
      <w:tblGrid>
        <w:gridCol w:w="755"/>
        <w:gridCol w:w="2447"/>
        <w:gridCol w:w="3645"/>
        <w:gridCol w:w="2446"/>
        <w:gridCol w:w="1562"/>
        <w:gridCol w:w="2263"/>
        <w:gridCol w:w="1259"/>
      </w:tblGrid>
      <w:tr>
        <w:tblPrEx>
          <w:tblCellMar>
            <w:top w:w="0" w:type="dxa"/>
            <w:left w:w="108" w:type="dxa"/>
            <w:bottom w:w="0" w:type="dxa"/>
            <w:right w:w="108" w:type="dxa"/>
          </w:tblCellMar>
        </w:tblPrEx>
        <w:trPr>
          <w:trHeight w:val="686" w:hRule="atLeast"/>
        </w:trPr>
        <w:tc>
          <w:tcPr>
            <w:tcW w:w="755"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2447" w:type="dxa"/>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项目名称</w:t>
            </w:r>
          </w:p>
        </w:tc>
        <w:tc>
          <w:tcPr>
            <w:tcW w:w="3645"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课程名称/课时</w:t>
            </w:r>
          </w:p>
        </w:tc>
        <w:tc>
          <w:tcPr>
            <w:tcW w:w="2446"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单价（元/人）</w:t>
            </w:r>
          </w:p>
        </w:tc>
        <w:tc>
          <w:tcPr>
            <w:tcW w:w="1562"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人数</w:t>
            </w:r>
          </w:p>
        </w:tc>
        <w:tc>
          <w:tcPr>
            <w:tcW w:w="2263"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小计</w:t>
            </w:r>
          </w:p>
        </w:tc>
        <w:tc>
          <w:tcPr>
            <w:tcW w:w="1259"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928" w:hRule="atLeast"/>
        </w:trPr>
        <w:tc>
          <w:tcPr>
            <w:tcW w:w="755" w:type="dxa"/>
            <w:vMerge w:val="restart"/>
            <w:tcBorders>
              <w:top w:val="single" w:color="auto" w:sz="8" w:space="0"/>
              <w:left w:val="single" w:color="auto" w:sz="8" w:space="0"/>
              <w:right w:val="single" w:color="auto" w:sz="8"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p>
            <w:pPr>
              <w:widowControl/>
              <w:jc w:val="center"/>
              <w:rPr>
                <w:rFonts w:ascii="宋体" w:hAnsi="宋体" w:cs="宋体"/>
                <w:kern w:val="0"/>
                <w:sz w:val="22"/>
                <w:szCs w:val="22"/>
              </w:rPr>
            </w:pPr>
          </w:p>
        </w:tc>
        <w:tc>
          <w:tcPr>
            <w:tcW w:w="2447" w:type="dxa"/>
            <w:vMerge w:val="restart"/>
            <w:tcBorders>
              <w:top w:val="single" w:color="auto" w:sz="8" w:space="0"/>
              <w:left w:val="single" w:color="auto"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 w:val="24"/>
              </w:rPr>
              <w:t>百大集团稳定就业员工技能培训服务</w:t>
            </w:r>
          </w:p>
        </w:tc>
        <w:tc>
          <w:tcPr>
            <w:tcW w:w="364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left"/>
              <w:rPr>
                <w:rFonts w:ascii="宋体" w:hAnsi="宋体" w:cs="宋体"/>
                <w:kern w:val="0"/>
                <w:sz w:val="24"/>
              </w:rPr>
            </w:pPr>
          </w:p>
        </w:tc>
        <w:tc>
          <w:tcPr>
            <w:tcW w:w="2446"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kern w:val="0"/>
                <w:sz w:val="24"/>
              </w:rPr>
            </w:pPr>
          </w:p>
        </w:tc>
        <w:tc>
          <w:tcPr>
            <w:tcW w:w="1562" w:type="dxa"/>
            <w:vMerge w:val="restart"/>
            <w:tcBorders>
              <w:top w:val="single" w:color="auto" w:sz="8" w:space="0"/>
              <w:left w:val="single" w:color="auto" w:sz="8" w:space="0"/>
              <w:right w:val="single" w:color="auto" w:sz="8"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3000</w:t>
            </w:r>
          </w:p>
        </w:tc>
        <w:tc>
          <w:tcPr>
            <w:tcW w:w="2263" w:type="dxa"/>
            <w:tcBorders>
              <w:top w:val="single" w:color="auto" w:sz="8" w:space="0"/>
              <w:left w:val="single" w:color="auto" w:sz="4" w:space="0"/>
              <w:bottom w:val="single" w:color="auto" w:sz="8" w:space="0"/>
              <w:right w:val="single" w:color="auto" w:sz="8" w:space="0"/>
            </w:tcBorders>
            <w:shd w:val="clear" w:color="000000" w:fill="FFFFFF"/>
          </w:tcPr>
          <w:p>
            <w:pPr>
              <w:widowControl/>
              <w:jc w:val="center"/>
              <w:rPr>
                <w:rFonts w:ascii="宋体" w:hAnsi="宋体" w:cs="宋体"/>
                <w:b/>
                <w:bCs/>
                <w:kern w:val="0"/>
                <w:sz w:val="24"/>
              </w:rPr>
            </w:pPr>
          </w:p>
        </w:tc>
        <w:tc>
          <w:tcPr>
            <w:tcW w:w="1259"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897" w:hRule="atLeast"/>
        </w:trPr>
        <w:tc>
          <w:tcPr>
            <w:tcW w:w="755" w:type="dxa"/>
            <w:vMerge w:val="continue"/>
            <w:tcBorders>
              <w:left w:val="single" w:color="auto" w:sz="8" w:space="0"/>
              <w:right w:val="single" w:color="auto" w:sz="8" w:space="0"/>
            </w:tcBorders>
            <w:vAlign w:val="center"/>
          </w:tcPr>
          <w:p>
            <w:pPr>
              <w:widowControl/>
              <w:jc w:val="center"/>
              <w:rPr>
                <w:rFonts w:ascii="宋体" w:hAnsi="宋体" w:cs="宋体"/>
                <w:kern w:val="0"/>
                <w:sz w:val="22"/>
                <w:szCs w:val="22"/>
              </w:rPr>
            </w:pPr>
          </w:p>
        </w:tc>
        <w:tc>
          <w:tcPr>
            <w:tcW w:w="2447" w:type="dxa"/>
            <w:vMerge w:val="continue"/>
            <w:tcBorders>
              <w:left w:val="single" w:color="auto" w:sz="8" w:space="0"/>
              <w:right w:val="single" w:color="auto" w:sz="4" w:space="0"/>
            </w:tcBorders>
            <w:vAlign w:val="center"/>
          </w:tcPr>
          <w:p>
            <w:pPr>
              <w:widowControl/>
              <w:jc w:val="left"/>
              <w:rPr>
                <w:rFonts w:ascii="宋体" w:hAnsi="宋体" w:cs="宋体"/>
                <w:kern w:val="0"/>
                <w:sz w:val="24"/>
              </w:rPr>
            </w:pPr>
          </w:p>
        </w:tc>
        <w:tc>
          <w:tcPr>
            <w:tcW w:w="3645" w:type="dxa"/>
            <w:tcBorders>
              <w:top w:val="single" w:color="auto" w:sz="8" w:space="0"/>
              <w:left w:val="single" w:color="auto" w:sz="4" w:space="0"/>
              <w:bottom w:val="single" w:color="auto" w:sz="8" w:space="0"/>
              <w:right w:val="single" w:color="auto" w:sz="8" w:space="0"/>
            </w:tcBorders>
            <w:vAlign w:val="center"/>
          </w:tcPr>
          <w:p>
            <w:pPr>
              <w:widowControl/>
              <w:jc w:val="left"/>
              <w:rPr>
                <w:rFonts w:ascii="宋体" w:hAnsi="宋体" w:cs="宋体"/>
                <w:kern w:val="0"/>
                <w:sz w:val="24"/>
              </w:rPr>
            </w:pPr>
          </w:p>
        </w:tc>
        <w:tc>
          <w:tcPr>
            <w:tcW w:w="244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p>
        </w:tc>
        <w:tc>
          <w:tcPr>
            <w:tcW w:w="1562"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2263" w:type="dxa"/>
            <w:tcBorders>
              <w:top w:val="single" w:color="auto" w:sz="8" w:space="0"/>
              <w:left w:val="single" w:color="auto" w:sz="4" w:space="0"/>
              <w:bottom w:val="single" w:color="auto" w:sz="8" w:space="0"/>
              <w:right w:val="single" w:color="auto" w:sz="8" w:space="0"/>
            </w:tcBorders>
          </w:tcPr>
          <w:p>
            <w:pPr>
              <w:widowControl/>
              <w:jc w:val="center"/>
              <w:rPr>
                <w:rFonts w:ascii="宋体" w:hAnsi="宋体" w:cs="宋体"/>
                <w:kern w:val="0"/>
                <w:sz w:val="22"/>
                <w:szCs w:val="22"/>
              </w:rPr>
            </w:pPr>
          </w:p>
        </w:tc>
        <w:tc>
          <w:tcPr>
            <w:tcW w:w="12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883" w:hRule="atLeast"/>
        </w:trPr>
        <w:tc>
          <w:tcPr>
            <w:tcW w:w="755" w:type="dxa"/>
            <w:vMerge w:val="continue"/>
            <w:tcBorders>
              <w:left w:val="single" w:color="auto" w:sz="8" w:space="0"/>
              <w:right w:val="single" w:color="auto" w:sz="8" w:space="0"/>
            </w:tcBorders>
            <w:vAlign w:val="center"/>
          </w:tcPr>
          <w:p>
            <w:pPr>
              <w:widowControl/>
              <w:jc w:val="center"/>
              <w:rPr>
                <w:rFonts w:ascii="宋体" w:hAnsi="宋体" w:cs="宋体"/>
                <w:kern w:val="0"/>
                <w:sz w:val="22"/>
                <w:szCs w:val="22"/>
              </w:rPr>
            </w:pPr>
          </w:p>
        </w:tc>
        <w:tc>
          <w:tcPr>
            <w:tcW w:w="2447" w:type="dxa"/>
            <w:vMerge w:val="continue"/>
            <w:tcBorders>
              <w:left w:val="single" w:color="auto" w:sz="8" w:space="0"/>
              <w:right w:val="single" w:color="auto" w:sz="4" w:space="0"/>
            </w:tcBorders>
            <w:vAlign w:val="center"/>
          </w:tcPr>
          <w:p>
            <w:pPr>
              <w:widowControl/>
              <w:jc w:val="center"/>
              <w:rPr>
                <w:rFonts w:ascii="宋体" w:hAnsi="宋体" w:cs="宋体"/>
                <w:kern w:val="0"/>
                <w:sz w:val="24"/>
              </w:rPr>
            </w:pPr>
          </w:p>
        </w:tc>
        <w:tc>
          <w:tcPr>
            <w:tcW w:w="3645" w:type="dxa"/>
            <w:tcBorders>
              <w:top w:val="single" w:color="auto" w:sz="8" w:space="0"/>
              <w:left w:val="single" w:color="auto" w:sz="4" w:space="0"/>
              <w:bottom w:val="single" w:color="auto" w:sz="8" w:space="0"/>
              <w:right w:val="single" w:color="auto" w:sz="8" w:space="0"/>
            </w:tcBorders>
            <w:vAlign w:val="center"/>
          </w:tcPr>
          <w:p>
            <w:pPr>
              <w:widowControl/>
              <w:jc w:val="left"/>
              <w:rPr>
                <w:rFonts w:ascii="宋体" w:hAnsi="宋体" w:cs="宋体"/>
                <w:kern w:val="0"/>
                <w:sz w:val="24"/>
              </w:rPr>
            </w:pPr>
          </w:p>
        </w:tc>
        <w:tc>
          <w:tcPr>
            <w:tcW w:w="244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p>
        </w:tc>
        <w:tc>
          <w:tcPr>
            <w:tcW w:w="1562"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2263" w:type="dxa"/>
            <w:tcBorders>
              <w:top w:val="single" w:color="auto" w:sz="8" w:space="0"/>
              <w:left w:val="single" w:color="auto" w:sz="4" w:space="0"/>
              <w:bottom w:val="single" w:color="auto" w:sz="8" w:space="0"/>
              <w:right w:val="single" w:color="auto" w:sz="8" w:space="0"/>
            </w:tcBorders>
          </w:tcPr>
          <w:p>
            <w:pPr>
              <w:widowControl/>
              <w:jc w:val="center"/>
              <w:rPr>
                <w:rFonts w:ascii="宋体" w:hAnsi="宋体" w:cs="宋体"/>
                <w:kern w:val="0"/>
                <w:sz w:val="22"/>
                <w:szCs w:val="22"/>
              </w:rPr>
            </w:pPr>
          </w:p>
        </w:tc>
        <w:tc>
          <w:tcPr>
            <w:tcW w:w="12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926" w:hRule="atLeast"/>
        </w:trPr>
        <w:tc>
          <w:tcPr>
            <w:tcW w:w="755" w:type="dxa"/>
            <w:vMerge w:val="continue"/>
            <w:tcBorders>
              <w:left w:val="single" w:color="auto" w:sz="8" w:space="0"/>
              <w:right w:val="single" w:color="auto" w:sz="8" w:space="0"/>
            </w:tcBorders>
            <w:vAlign w:val="center"/>
          </w:tcPr>
          <w:p>
            <w:pPr>
              <w:widowControl/>
              <w:jc w:val="center"/>
              <w:rPr>
                <w:rFonts w:ascii="宋体" w:hAnsi="宋体" w:cs="宋体"/>
                <w:kern w:val="0"/>
                <w:sz w:val="22"/>
                <w:szCs w:val="22"/>
              </w:rPr>
            </w:pPr>
          </w:p>
        </w:tc>
        <w:tc>
          <w:tcPr>
            <w:tcW w:w="2447" w:type="dxa"/>
            <w:vMerge w:val="continue"/>
            <w:tcBorders>
              <w:left w:val="single" w:color="auto" w:sz="8" w:space="0"/>
              <w:right w:val="single" w:color="auto" w:sz="4" w:space="0"/>
            </w:tcBorders>
            <w:vAlign w:val="center"/>
          </w:tcPr>
          <w:p>
            <w:pPr>
              <w:widowControl/>
              <w:jc w:val="left"/>
              <w:rPr>
                <w:rFonts w:ascii="宋体" w:hAnsi="宋体" w:cs="宋体"/>
                <w:kern w:val="0"/>
                <w:sz w:val="24"/>
              </w:rPr>
            </w:pPr>
          </w:p>
        </w:tc>
        <w:tc>
          <w:tcPr>
            <w:tcW w:w="3645" w:type="dxa"/>
            <w:tcBorders>
              <w:top w:val="single" w:color="auto" w:sz="8" w:space="0"/>
              <w:left w:val="single" w:color="auto" w:sz="4" w:space="0"/>
              <w:bottom w:val="single" w:color="auto" w:sz="8" w:space="0"/>
              <w:right w:val="single" w:color="auto" w:sz="8" w:space="0"/>
            </w:tcBorders>
            <w:vAlign w:val="center"/>
          </w:tcPr>
          <w:p>
            <w:pPr>
              <w:widowControl/>
              <w:jc w:val="left"/>
              <w:rPr>
                <w:rFonts w:ascii="宋体" w:hAnsi="宋体" w:cs="宋体"/>
                <w:kern w:val="0"/>
                <w:sz w:val="24"/>
              </w:rPr>
            </w:pPr>
          </w:p>
        </w:tc>
        <w:tc>
          <w:tcPr>
            <w:tcW w:w="244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p>
        </w:tc>
        <w:tc>
          <w:tcPr>
            <w:tcW w:w="1562"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2263" w:type="dxa"/>
            <w:tcBorders>
              <w:top w:val="single" w:color="auto" w:sz="8" w:space="0"/>
              <w:left w:val="single" w:color="auto" w:sz="4" w:space="0"/>
              <w:bottom w:val="single" w:color="auto" w:sz="8" w:space="0"/>
              <w:right w:val="single" w:color="auto" w:sz="8" w:space="0"/>
            </w:tcBorders>
          </w:tcPr>
          <w:p>
            <w:pPr>
              <w:widowControl/>
              <w:jc w:val="center"/>
              <w:rPr>
                <w:rFonts w:ascii="宋体" w:hAnsi="宋体" w:cs="宋体"/>
                <w:kern w:val="0"/>
                <w:sz w:val="22"/>
                <w:szCs w:val="22"/>
              </w:rPr>
            </w:pPr>
          </w:p>
        </w:tc>
        <w:tc>
          <w:tcPr>
            <w:tcW w:w="12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926" w:hRule="atLeast"/>
        </w:trPr>
        <w:tc>
          <w:tcPr>
            <w:tcW w:w="755" w:type="dxa"/>
            <w:vMerge w:val="continue"/>
            <w:tcBorders>
              <w:left w:val="single" w:color="auto" w:sz="8" w:space="0"/>
              <w:bottom w:val="single" w:color="auto" w:sz="4" w:space="0"/>
              <w:right w:val="single" w:color="auto" w:sz="8" w:space="0"/>
            </w:tcBorders>
            <w:vAlign w:val="center"/>
          </w:tcPr>
          <w:p>
            <w:pPr>
              <w:widowControl/>
              <w:jc w:val="center"/>
              <w:rPr>
                <w:rFonts w:ascii="宋体" w:hAnsi="宋体" w:cs="宋体"/>
                <w:kern w:val="0"/>
                <w:sz w:val="22"/>
                <w:szCs w:val="22"/>
              </w:rPr>
            </w:pPr>
          </w:p>
        </w:tc>
        <w:tc>
          <w:tcPr>
            <w:tcW w:w="2447" w:type="dxa"/>
            <w:vMerge w:val="continue"/>
            <w:tcBorders>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3645" w:type="dxa"/>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p>
        </w:tc>
        <w:tc>
          <w:tcPr>
            <w:tcW w:w="2446"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kern w:val="0"/>
                <w:sz w:val="24"/>
              </w:rPr>
            </w:pPr>
          </w:p>
        </w:tc>
        <w:tc>
          <w:tcPr>
            <w:tcW w:w="1562" w:type="dxa"/>
            <w:vMerge w:val="continue"/>
            <w:tcBorders>
              <w:left w:val="single" w:color="auto" w:sz="8" w:space="0"/>
              <w:bottom w:val="single" w:color="auto" w:sz="4" w:space="0"/>
              <w:right w:val="single" w:color="auto" w:sz="8" w:space="0"/>
            </w:tcBorders>
            <w:vAlign w:val="center"/>
          </w:tcPr>
          <w:p>
            <w:pPr>
              <w:widowControl/>
              <w:jc w:val="center"/>
              <w:rPr>
                <w:rFonts w:ascii="宋体" w:hAnsi="宋体" w:cs="宋体"/>
                <w:kern w:val="0"/>
                <w:sz w:val="24"/>
              </w:rPr>
            </w:pPr>
          </w:p>
        </w:tc>
        <w:tc>
          <w:tcPr>
            <w:tcW w:w="2263" w:type="dxa"/>
            <w:tcBorders>
              <w:top w:val="single" w:color="auto" w:sz="8" w:space="0"/>
              <w:left w:val="single" w:color="auto" w:sz="4" w:space="0"/>
              <w:bottom w:val="single" w:color="auto" w:sz="4" w:space="0"/>
              <w:right w:val="single" w:color="auto" w:sz="8" w:space="0"/>
            </w:tcBorders>
          </w:tcPr>
          <w:p>
            <w:pPr>
              <w:widowControl/>
              <w:jc w:val="center"/>
              <w:rPr>
                <w:rFonts w:ascii="宋体" w:hAnsi="宋体" w:cs="宋体"/>
                <w:kern w:val="0"/>
                <w:sz w:val="22"/>
                <w:szCs w:val="22"/>
              </w:rPr>
            </w:pPr>
          </w:p>
        </w:tc>
        <w:tc>
          <w:tcPr>
            <w:tcW w:w="1259"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686" w:hRule="atLeast"/>
        </w:trPr>
        <w:tc>
          <w:tcPr>
            <w:tcW w:w="68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b/>
                <w:bCs/>
                <w:kern w:val="0"/>
                <w:sz w:val="24"/>
              </w:rPr>
              <w:t>合计（含税）</w:t>
            </w:r>
          </w:p>
        </w:tc>
        <w:tc>
          <w:tcPr>
            <w:tcW w:w="2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b/>
                <w:sz w:val="24"/>
              </w:rPr>
              <w:t>以上单价合计不得高于205元/人</w:t>
            </w:r>
          </w:p>
        </w:tc>
        <w:tc>
          <w:tcPr>
            <w:tcW w:w="15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26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2"/>
                <w:szCs w:val="22"/>
              </w:rPr>
            </w:pPr>
          </w:p>
        </w:tc>
        <w:tc>
          <w:tcPr>
            <w:tcW w:w="12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r>
    </w:tbl>
    <w:p>
      <w:pPr>
        <w:pStyle w:val="2"/>
        <w:rPr>
          <w:rFonts w:hAnsi="宋体" w:cs="宋体"/>
          <w:b/>
        </w:rPr>
      </w:pPr>
    </w:p>
    <w:p>
      <w:pPr>
        <w:pStyle w:val="2"/>
        <w:spacing w:line="400" w:lineRule="exact"/>
        <w:rPr>
          <w:rFonts w:hAnsi="宋体" w:cs="宋体"/>
          <w:b/>
          <w:szCs w:val="24"/>
        </w:rPr>
      </w:pPr>
      <w:r>
        <w:rPr>
          <w:rFonts w:hint="eastAsia" w:hAnsi="宋体" w:cs="宋体"/>
          <w:b/>
          <w:szCs w:val="24"/>
        </w:rPr>
        <w:t>备注：1.分项报价表中合计单价不得高于205元/人，否则视为废标。</w:t>
      </w:r>
    </w:p>
    <w:p>
      <w:pPr>
        <w:pStyle w:val="2"/>
        <w:spacing w:line="400" w:lineRule="exact"/>
        <w:ind w:firstLine="723" w:firstLineChars="300"/>
        <w:rPr>
          <w:rFonts w:hAnsi="宋体" w:cs="宋体"/>
          <w:b/>
          <w:szCs w:val="24"/>
        </w:rPr>
      </w:pPr>
      <w:r>
        <w:rPr>
          <w:rFonts w:hint="eastAsia" w:hAnsi="宋体" w:cs="宋体"/>
          <w:b/>
          <w:szCs w:val="24"/>
        </w:rPr>
        <w:t>2.表格中人数为模拟数量，最终按照实际发生数量按实结算。</w:t>
      </w:r>
    </w:p>
    <w:p>
      <w:pPr>
        <w:pStyle w:val="2"/>
        <w:rPr>
          <w:rFonts w:hAnsi="宋体" w:cs="宋体"/>
          <w:b/>
          <w:szCs w:val="21"/>
        </w:rPr>
      </w:pPr>
    </w:p>
    <w:p>
      <w:pPr>
        <w:pStyle w:val="2"/>
        <w:rPr>
          <w:rFonts w:hAnsi="宋体" w:cs="宋体"/>
          <w:b/>
        </w:rPr>
      </w:pPr>
    </w:p>
    <w:p>
      <w:pPr>
        <w:pStyle w:val="2"/>
        <w:rPr>
          <w:rFonts w:hAnsi="宋体" w:cs="宋体"/>
          <w:b/>
        </w:rPr>
        <w:sectPr>
          <w:pgSz w:w="16838" w:h="11906" w:orient="landscape"/>
          <w:pgMar w:top="1134" w:right="1134" w:bottom="1134" w:left="1134" w:header="851" w:footer="992" w:gutter="0"/>
          <w:cols w:space="0" w:num="1"/>
          <w:docGrid w:type="lines" w:linePitch="321" w:charSpace="0"/>
        </w:sectPr>
      </w:pPr>
    </w:p>
    <w:p>
      <w:pPr>
        <w:pStyle w:val="2"/>
        <w:rPr>
          <w:rFonts w:hAnsi="宋体" w:cs="宋体"/>
          <w:b/>
        </w:rPr>
      </w:pPr>
    </w:p>
    <w:p>
      <w:pPr>
        <w:widowControl/>
        <w:spacing w:line="480" w:lineRule="exact"/>
        <w:jc w:val="center"/>
        <w:rPr>
          <w:rFonts w:ascii="宋体" w:hAnsi="宋体" w:cs="宋体"/>
          <w:b/>
          <w:color w:val="000000"/>
          <w:kern w:val="0"/>
          <w:sz w:val="24"/>
        </w:rPr>
      </w:pPr>
      <w:r>
        <w:rPr>
          <w:rFonts w:hint="eastAsia" w:ascii="宋体" w:hAnsi="宋体" w:cs="宋体"/>
          <w:b/>
          <w:color w:val="000000"/>
          <w:kern w:val="0"/>
          <w:sz w:val="24"/>
        </w:rPr>
        <w:t>二、投标资格证明文件</w:t>
      </w:r>
    </w:p>
    <w:p>
      <w:pPr>
        <w:widowControl/>
        <w:spacing w:line="480" w:lineRule="exact"/>
        <w:rPr>
          <w:rFonts w:ascii="宋体" w:hAnsi="宋体" w:cs="宋体"/>
          <w:b/>
          <w:color w:val="000000"/>
          <w:kern w:val="0"/>
          <w:sz w:val="24"/>
        </w:rPr>
      </w:pPr>
    </w:p>
    <w:p>
      <w:pPr>
        <w:widowControl/>
        <w:spacing w:line="400" w:lineRule="exact"/>
        <w:ind w:firstLine="472" w:firstLineChars="196"/>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480" w:firstLineChars="200"/>
        <w:jc w:val="left"/>
        <w:outlineLvl w:val="0"/>
        <w:rPr>
          <w:rFonts w:ascii="宋体" w:hAnsi="宋体" w:cs="宋体"/>
          <w:kern w:val="0"/>
          <w:sz w:val="24"/>
        </w:rPr>
      </w:pPr>
      <w:r>
        <w:rPr>
          <w:rFonts w:hint="eastAsia" w:ascii="宋体" w:hAnsi="宋体" w:cs="宋体"/>
          <w:kern w:val="0"/>
          <w:sz w:val="24"/>
        </w:rPr>
        <w:t>1、</w:t>
      </w:r>
      <w:r>
        <w:rPr>
          <w:rFonts w:hint="eastAsia" w:ascii="宋体" w:hAnsi="宋体" w:cs="宋体"/>
          <w:bCs/>
          <w:kern w:val="0"/>
          <w:sz w:val="24"/>
        </w:rPr>
        <w:t>投标人简介、通讯方式</w:t>
      </w:r>
    </w:p>
    <w:p>
      <w:pPr>
        <w:widowControl/>
        <w:spacing w:line="400" w:lineRule="exact"/>
        <w:ind w:firstLine="480" w:firstLineChars="200"/>
        <w:jc w:val="left"/>
        <w:outlineLvl w:val="0"/>
        <w:rPr>
          <w:rFonts w:ascii="宋体" w:hAnsi="宋体" w:cs="宋体"/>
          <w:kern w:val="0"/>
          <w:sz w:val="24"/>
        </w:rPr>
      </w:pPr>
      <w:r>
        <w:rPr>
          <w:rFonts w:hint="eastAsia" w:ascii="宋体" w:hAnsi="宋体" w:cs="宋体"/>
          <w:kern w:val="0"/>
          <w:sz w:val="24"/>
        </w:rPr>
        <w:t>2、与标的物有关的情况</w:t>
      </w:r>
    </w:p>
    <w:p>
      <w:pPr>
        <w:widowControl/>
        <w:spacing w:line="400" w:lineRule="exact"/>
        <w:ind w:firstLine="480" w:firstLineChars="200"/>
        <w:jc w:val="left"/>
        <w:outlineLvl w:val="0"/>
        <w:rPr>
          <w:rFonts w:ascii="宋体" w:hAnsi="宋体" w:cs="宋体"/>
          <w:kern w:val="0"/>
          <w:sz w:val="24"/>
        </w:rPr>
      </w:pPr>
      <w:r>
        <w:rPr>
          <w:rFonts w:hint="eastAsia" w:ascii="宋体" w:hAnsi="宋体" w:cs="宋体"/>
          <w:kern w:val="0"/>
          <w:sz w:val="24"/>
        </w:rPr>
        <w:t>3、开户银行名称及地址</w:t>
      </w:r>
    </w:p>
    <w:p>
      <w:pPr>
        <w:widowControl/>
        <w:spacing w:line="400" w:lineRule="exact"/>
        <w:ind w:firstLine="480" w:firstLineChars="200"/>
        <w:jc w:val="left"/>
        <w:outlineLvl w:val="0"/>
        <w:rPr>
          <w:rFonts w:ascii="宋体" w:hAnsi="宋体" w:cs="宋体"/>
          <w:kern w:val="0"/>
          <w:sz w:val="24"/>
        </w:rPr>
      </w:pPr>
      <w:r>
        <w:rPr>
          <w:rFonts w:hint="eastAsia" w:ascii="宋体" w:hAnsi="宋体" w:cs="宋体"/>
          <w:kern w:val="0"/>
          <w:sz w:val="24"/>
        </w:rPr>
        <w:t>4、投标人认为需要说明的其它情况</w:t>
      </w:r>
    </w:p>
    <w:p>
      <w:pPr>
        <w:spacing w:line="480" w:lineRule="exact"/>
        <w:rPr>
          <w:rFonts w:ascii="宋体" w:hAnsi="宋体" w:cs="宋体"/>
          <w:color w:val="000000"/>
          <w:kern w:val="0"/>
          <w:sz w:val="24"/>
        </w:rPr>
      </w:pPr>
    </w:p>
    <w:p>
      <w:pPr>
        <w:widowControl/>
        <w:spacing w:line="520" w:lineRule="exact"/>
        <w:jc w:val="center"/>
        <w:rPr>
          <w:rFonts w:ascii="宋体" w:hAnsi="宋体" w:cs="宋体"/>
          <w:b/>
          <w:color w:val="000000"/>
          <w:kern w:val="0"/>
          <w:sz w:val="24"/>
          <w:lang w:val="zh-CN"/>
        </w:rPr>
        <w:sectPr>
          <w:pgSz w:w="11906" w:h="16838"/>
          <w:pgMar w:top="1134" w:right="1134" w:bottom="1134" w:left="1134" w:header="851" w:footer="992" w:gutter="0"/>
          <w:cols w:space="0" w:num="1"/>
          <w:docGrid w:type="lines" w:linePitch="321" w:charSpace="0"/>
        </w:sectPr>
      </w:pPr>
    </w:p>
    <w:p>
      <w:pPr>
        <w:widowControl/>
        <w:spacing w:line="520" w:lineRule="exact"/>
        <w:jc w:val="center"/>
        <w:rPr>
          <w:rFonts w:ascii="宋体" w:hAnsi="宋体"/>
          <w:b/>
          <w:color w:val="000000"/>
          <w:sz w:val="24"/>
        </w:rPr>
      </w:pPr>
      <w:r>
        <w:rPr>
          <w:rFonts w:hint="eastAsia" w:ascii="宋体" w:hAnsi="宋体" w:cs="宋体"/>
          <w:b/>
          <w:color w:val="000000"/>
          <w:kern w:val="0"/>
          <w:sz w:val="24"/>
          <w:lang w:val="zh-CN"/>
        </w:rPr>
        <w:t>三、</w:t>
      </w:r>
      <w:r>
        <w:rPr>
          <w:rFonts w:hint="eastAsia" w:ascii="宋体" w:hAnsi="宋体"/>
          <w:b/>
          <w:color w:val="000000"/>
          <w:sz w:val="24"/>
        </w:rPr>
        <w:t>百大集团及下属企业技能培训服务方案</w:t>
      </w:r>
    </w:p>
    <w:p>
      <w:pPr>
        <w:widowControl/>
        <w:spacing w:line="520" w:lineRule="exact"/>
        <w:jc w:val="center"/>
        <w:outlineLvl w:val="0"/>
        <w:rPr>
          <w:rFonts w:ascii="宋体" w:hAnsi="宋体"/>
          <w:b/>
          <w:color w:val="000000"/>
          <w:sz w:val="24"/>
        </w:rPr>
      </w:pPr>
      <w:r>
        <w:rPr>
          <w:rFonts w:hint="eastAsia" w:ascii="宋体" w:hAnsi="宋体"/>
          <w:b/>
          <w:color w:val="000000"/>
          <w:sz w:val="24"/>
        </w:rPr>
        <w:t>（格式自定）</w:t>
      </w:r>
    </w:p>
    <w:p>
      <w:pPr>
        <w:widowControl/>
        <w:spacing w:line="520" w:lineRule="exact"/>
        <w:rPr>
          <w:rFonts w:ascii="宋体" w:hAnsi="宋体"/>
          <w:b/>
          <w:color w:val="000000"/>
          <w:sz w:val="24"/>
        </w:rPr>
      </w:pPr>
    </w:p>
    <w:p>
      <w:pPr>
        <w:pStyle w:val="2"/>
        <w:rPr>
          <w:rFonts w:hAnsi="宋体"/>
          <w:b/>
        </w:rPr>
      </w:pPr>
    </w:p>
    <w:p>
      <w:pPr>
        <w:pStyle w:val="2"/>
        <w:rPr>
          <w:rFonts w:hAnsi="宋体"/>
          <w:b/>
        </w:rPr>
      </w:pPr>
    </w:p>
    <w:p>
      <w:pPr>
        <w:pStyle w:val="2"/>
        <w:rPr>
          <w:rFonts w:hAnsi="宋体"/>
          <w:b/>
        </w:rPr>
      </w:pPr>
    </w:p>
    <w:p>
      <w:pPr>
        <w:pStyle w:val="2"/>
        <w:rPr>
          <w:rFonts w:hAnsi="宋体"/>
          <w:b/>
        </w:rPr>
      </w:pPr>
    </w:p>
    <w:p>
      <w:pPr>
        <w:widowControl/>
        <w:spacing w:line="520" w:lineRule="exact"/>
        <w:jc w:val="center"/>
        <w:rPr>
          <w:rFonts w:ascii="宋体" w:hAnsi="宋体" w:cs="宋体"/>
          <w:b/>
          <w:kern w:val="0"/>
          <w:sz w:val="24"/>
          <w:lang w:val="zh-CN"/>
        </w:rPr>
        <w:sectPr>
          <w:pgSz w:w="11906" w:h="16838"/>
          <w:pgMar w:top="1134" w:right="1134" w:bottom="1134" w:left="1134" w:header="851" w:footer="992" w:gutter="0"/>
          <w:cols w:space="0" w:num="1"/>
          <w:docGrid w:type="lines" w:linePitch="321" w:charSpace="0"/>
        </w:sectPr>
      </w:pPr>
    </w:p>
    <w:p>
      <w:pPr>
        <w:widowControl/>
        <w:spacing w:line="520" w:lineRule="exact"/>
        <w:jc w:val="center"/>
        <w:rPr>
          <w:sz w:val="28"/>
          <w:szCs w:val="28"/>
        </w:rPr>
      </w:pPr>
      <w:r>
        <w:rPr>
          <w:rFonts w:hint="eastAsia" w:ascii="宋体" w:hAnsi="宋体" w:cs="宋体"/>
          <w:b/>
          <w:kern w:val="0"/>
          <w:sz w:val="24"/>
          <w:lang w:val="zh-CN"/>
        </w:rPr>
        <w:t>四、投标保证金退还申请书</w:t>
      </w:r>
    </w:p>
    <w:p>
      <w:pPr>
        <w:spacing w:beforeLines="150" w:line="520" w:lineRule="exact"/>
        <w:rPr>
          <w:rFonts w:ascii="宋体" w:hAnsi="宋体" w:cs="宋体"/>
          <w:sz w:val="24"/>
        </w:rPr>
      </w:pPr>
      <w:r>
        <w:rPr>
          <w:rFonts w:hint="eastAsia" w:ascii="宋体" w:hAnsi="宋体" w:cs="宋体"/>
          <w:sz w:val="24"/>
        </w:rPr>
        <w:t>合肥百货大楼集团股份有限公司：</w:t>
      </w:r>
    </w:p>
    <w:p>
      <w:pPr>
        <w:spacing w:line="52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2022 年  月  日</w:t>
      </w:r>
      <w:r>
        <w:rPr>
          <w:rFonts w:hint="eastAsia" w:ascii="宋体" w:hAnsi="宋体" w:cs="宋体"/>
          <w:sz w:val="24"/>
        </w:rPr>
        <w:t>参加项目招投标，交纳保证金</w:t>
      </w:r>
      <w:r>
        <w:rPr>
          <w:rFonts w:hint="eastAsia" w:ascii="宋体" w:hAnsi="宋体" w:cs="宋体"/>
          <w:sz w:val="24"/>
          <w:u w:val="single"/>
        </w:rPr>
        <w:t xml:space="preserve">  5000</w:t>
      </w:r>
      <w:r>
        <w:rPr>
          <w:rFonts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outlineLvl w:val="0"/>
        <w:rPr>
          <w:rFonts w:ascii="宋体" w:hAnsi="宋体" w:cs="宋体"/>
          <w:b/>
          <w:bCs/>
          <w:sz w:val="24"/>
        </w:rPr>
      </w:pPr>
      <w:r>
        <w:rPr>
          <w:rFonts w:hint="eastAsia" w:ascii="宋体" w:hAnsi="宋体" w:cs="宋体"/>
          <w:b/>
          <w:bCs/>
          <w:sz w:val="24"/>
        </w:rPr>
        <w:t>注：投标人需在开标前将申请书交给招标人，申请书不用密封在标书内。</w:t>
      </w:r>
    </w:p>
    <w:p>
      <w:pPr>
        <w:rPr>
          <w:rFonts w:ascii="宋体" w:hAnsi="宋体" w:cs="宋体"/>
          <w:sz w:val="28"/>
          <w:szCs w:val="28"/>
        </w:rPr>
      </w:pPr>
    </w:p>
    <w:p>
      <w:pPr>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w:t>
      </w:r>
    </w:p>
    <w:p>
      <w:pPr>
        <w:ind w:firstLine="3393" w:firstLineChars="1414"/>
        <w:rPr>
          <w:rFonts w:ascii="宋体" w:hAnsi="宋体" w:cs="宋体"/>
          <w:sz w:val="24"/>
        </w:rPr>
      </w:pPr>
      <w:r>
        <w:rPr>
          <w:rFonts w:hint="eastAsia" w:ascii="宋体" w:hAnsi="宋体" w:cs="宋体"/>
          <w:sz w:val="24"/>
        </w:rPr>
        <w:t xml:space="preserve">                 2022 年   月    日 </w:t>
      </w:r>
    </w:p>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p>
    <w:p>
      <w:pPr>
        <w:pStyle w:val="2"/>
        <w:rPr>
          <w:rFonts w:hAnsi="宋体" w:cs="宋体"/>
        </w:rPr>
      </w:pPr>
    </w:p>
    <w:p>
      <w:pPr>
        <w:pStyle w:val="2"/>
        <w:rPr>
          <w:rFonts w:hAnsi="宋体" w:cs="宋体"/>
        </w:rPr>
      </w:pPr>
    </w:p>
    <w:p>
      <w:pPr>
        <w:pStyle w:val="2"/>
        <w:rPr>
          <w:rFonts w:hAnsi="宋体" w:cs="宋体"/>
        </w:rPr>
        <w:sectPr>
          <w:pgSz w:w="11906" w:h="16838"/>
          <w:pgMar w:top="1134" w:right="1134" w:bottom="1134" w:left="1134" w:header="851" w:footer="992" w:gutter="0"/>
          <w:cols w:space="0" w:num="1"/>
          <w:docGrid w:type="lines" w:linePitch="321" w:charSpace="0"/>
        </w:sectPr>
      </w:pPr>
    </w:p>
    <w:p>
      <w:pPr>
        <w:ind w:firstLine="3393" w:firstLineChars="1414"/>
        <w:rPr>
          <w:rFonts w:ascii="宋体" w:hAnsi="宋体" w:cs="宋体"/>
          <w:sz w:val="24"/>
        </w:rPr>
      </w:pPr>
    </w:p>
    <w:p>
      <w:pPr>
        <w:widowControl/>
        <w:numPr>
          <w:ilvl w:val="0"/>
          <w:numId w:val="3"/>
        </w:numPr>
        <w:spacing w:line="520" w:lineRule="exact"/>
        <w:jc w:val="center"/>
        <w:rPr>
          <w:rFonts w:ascii="宋体" w:hAnsi="宋体" w:cs="宋体"/>
          <w:b/>
          <w:kern w:val="0"/>
          <w:sz w:val="24"/>
        </w:rPr>
      </w:pPr>
      <w:r>
        <w:rPr>
          <w:rFonts w:hint="eastAsia" w:ascii="宋体" w:hAnsi="宋体" w:cs="宋体"/>
          <w:b/>
          <w:kern w:val="0"/>
          <w:sz w:val="24"/>
        </w:rPr>
        <w:t>合同模版</w:t>
      </w:r>
    </w:p>
    <w:p>
      <w:pPr>
        <w:pStyle w:val="2"/>
        <w:rPr>
          <w:rFonts w:hAnsi="宋体" w:cs="宋体"/>
          <w:b/>
        </w:rPr>
      </w:pPr>
    </w:p>
    <w:p>
      <w:pPr>
        <w:jc w:val="center"/>
        <w:outlineLvl w:val="0"/>
        <w:rPr>
          <w:rFonts w:ascii="宋体" w:hAnsi="宋体" w:cs="宋体"/>
          <w:b/>
          <w:bCs/>
          <w:sz w:val="36"/>
          <w:szCs w:val="36"/>
        </w:rPr>
      </w:pPr>
      <w:r>
        <w:rPr>
          <w:rFonts w:hint="eastAsia" w:ascii="宋体" w:hAnsi="宋体" w:cs="宋体"/>
          <w:b/>
          <w:bCs/>
          <w:sz w:val="36"/>
          <w:szCs w:val="36"/>
        </w:rPr>
        <w:t>合肥百货大楼集团股份有限公司</w:t>
      </w:r>
    </w:p>
    <w:p>
      <w:pPr>
        <w:pStyle w:val="3"/>
        <w:ind w:firstLine="723"/>
        <w:jc w:val="center"/>
        <w:outlineLvl w:val="0"/>
        <w:rPr>
          <w:rFonts w:ascii="宋体" w:hAnsi="宋体" w:eastAsia="宋体" w:cs="宋体"/>
          <w:b/>
          <w:bCs/>
          <w:sz w:val="36"/>
          <w:szCs w:val="36"/>
        </w:rPr>
      </w:pPr>
      <w:r>
        <w:rPr>
          <w:rFonts w:hint="eastAsia" w:ascii="宋体" w:hAnsi="宋体" w:eastAsia="宋体" w:cs="宋体"/>
          <w:b/>
          <w:bCs/>
          <w:sz w:val="36"/>
          <w:szCs w:val="36"/>
        </w:rPr>
        <w:t>及下属企业技能培训服务项目服务合同</w:t>
      </w:r>
    </w:p>
    <w:p>
      <w:pPr>
        <w:pStyle w:val="3"/>
        <w:ind w:firstLine="0" w:firstLineChars="0"/>
        <w:rPr>
          <w:rFonts w:ascii="宋体" w:hAnsi="宋体" w:eastAsia="宋体" w:cs="宋体"/>
          <w:sz w:val="24"/>
        </w:rPr>
      </w:pPr>
    </w:p>
    <w:p>
      <w:pPr>
        <w:widowControl/>
        <w:spacing w:line="360" w:lineRule="auto"/>
        <w:jc w:val="left"/>
      </w:pPr>
      <w:r>
        <w:rPr>
          <w:rFonts w:hint="eastAsia" w:ascii="宋体" w:hAnsi="宋体" w:cs="宋体"/>
          <w:color w:val="000000"/>
          <w:kern w:val="0"/>
          <w:sz w:val="24"/>
        </w:rPr>
        <w:t>项目名称：</w:t>
      </w:r>
      <w:r>
        <w:rPr>
          <w:rFonts w:hint="eastAsia" w:ascii="宋体" w:hAnsi="宋体" w:cs="宋体"/>
          <w:color w:val="000000"/>
          <w:kern w:val="0"/>
          <w:sz w:val="24"/>
          <w:u w:val="single"/>
        </w:rPr>
        <w:t xml:space="preserve">                                                   </w:t>
      </w:r>
      <w:r>
        <w:rPr>
          <w:rFonts w:hint="eastAsia" w:ascii="宋体" w:hAnsi="宋体" w:cs="宋体"/>
          <w:color w:val="000000"/>
          <w:kern w:val="0"/>
          <w:sz w:val="25"/>
          <w:szCs w:val="25"/>
        </w:rPr>
        <w:t xml:space="preserve"> </w:t>
      </w:r>
    </w:p>
    <w:p>
      <w:pPr>
        <w:widowControl/>
        <w:spacing w:line="360" w:lineRule="auto"/>
        <w:jc w:val="left"/>
        <w:rPr>
          <w:u w:val="single"/>
        </w:rPr>
      </w:pPr>
      <w:r>
        <w:rPr>
          <w:rFonts w:hint="eastAsia" w:ascii="宋体" w:hAnsi="宋体" w:cs="宋体"/>
          <w:color w:val="000000"/>
          <w:kern w:val="0"/>
          <w:sz w:val="24"/>
        </w:rPr>
        <w:t>项目编号：</w:t>
      </w:r>
      <w:r>
        <w:rPr>
          <w:rFonts w:hint="eastAsia" w:ascii="宋体" w:hAnsi="宋体" w:cs="宋体"/>
          <w:color w:val="000000"/>
          <w:kern w:val="0"/>
          <w:sz w:val="24"/>
          <w:u w:val="single"/>
        </w:rPr>
        <w:t xml:space="preserve">                                                    </w:t>
      </w:r>
    </w:p>
    <w:p>
      <w:pPr>
        <w:widowControl/>
        <w:spacing w:line="360" w:lineRule="auto"/>
        <w:jc w:val="left"/>
      </w:pPr>
      <w:r>
        <w:rPr>
          <w:rFonts w:hint="eastAsia" w:ascii="宋体" w:hAnsi="宋体" w:cs="宋体"/>
          <w:color w:val="000000"/>
          <w:kern w:val="0"/>
          <w:sz w:val="24"/>
        </w:rPr>
        <w:t>甲方（采购人）：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p>
    <w:p>
      <w:pPr>
        <w:widowControl/>
        <w:spacing w:line="360" w:lineRule="auto"/>
        <w:jc w:val="left"/>
      </w:pPr>
      <w:r>
        <w:rPr>
          <w:rFonts w:hint="eastAsia" w:ascii="宋体" w:hAnsi="宋体" w:cs="宋体"/>
          <w:color w:val="000000"/>
          <w:kern w:val="0"/>
          <w:sz w:val="24"/>
        </w:rPr>
        <w:t>乙方（中标人）：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p>
    <w:p>
      <w:pPr>
        <w:widowControl/>
        <w:spacing w:line="360" w:lineRule="auto"/>
        <w:jc w:val="left"/>
      </w:pPr>
      <w:r>
        <w:rPr>
          <w:rFonts w:hint="eastAsia" w:ascii="宋体" w:hAnsi="宋体" w:cs="宋体"/>
          <w:color w:val="000000"/>
          <w:kern w:val="0"/>
          <w:sz w:val="24"/>
        </w:rPr>
        <w:t>签订地：</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p>
    <w:p>
      <w:pPr>
        <w:widowControl/>
        <w:spacing w:line="360" w:lineRule="auto"/>
        <w:jc w:val="left"/>
      </w:pPr>
      <w:r>
        <w:rPr>
          <w:rFonts w:hint="eastAsia" w:ascii="宋体" w:hAnsi="宋体" w:cs="宋体"/>
          <w:color w:val="000000"/>
          <w:kern w:val="0"/>
          <w:sz w:val="24"/>
        </w:rPr>
        <w:t>签订日期：</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年</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月 </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日 </w:t>
      </w:r>
    </w:p>
    <w:p>
      <w:pPr>
        <w:widowControl/>
        <w:spacing w:line="360" w:lineRule="auto"/>
        <w:ind w:left="210" w:leftChars="100" w:firstLine="240" w:firstLineChars="100"/>
        <w:jc w:val="left"/>
      </w:pPr>
      <w:r>
        <w:rPr>
          <w:rFonts w:hint="eastAsia" w:ascii="宋体" w:hAnsi="宋体" w:cs="宋体"/>
          <w:color w:val="000000"/>
          <w:kern w:val="0"/>
          <w:sz w:val="24"/>
        </w:rPr>
        <w:t xml:space="preserve">合肥百货大楼集团股份有限公司（以下简称：甲方）通过招标方式采购服务，经评定，（中标人名称）（以下简称：乙方）为本项目中标人，现按照招标文件确定的事项签订本合同。 </w:t>
      </w:r>
    </w:p>
    <w:p>
      <w:pPr>
        <w:widowControl/>
        <w:spacing w:line="360" w:lineRule="auto"/>
        <w:ind w:firstLine="480" w:firstLineChars="200"/>
        <w:jc w:val="left"/>
      </w:pPr>
      <w:r>
        <w:rPr>
          <w:rFonts w:hint="eastAsia" w:ascii="宋体" w:hAnsi="宋体" w:cs="宋体"/>
          <w:color w:val="000000"/>
          <w:kern w:val="0"/>
          <w:sz w:val="24"/>
        </w:rPr>
        <w:t xml:space="preserve">根据《中华人民共和国民法典》等相关法律法规之规定，按照平等、自愿、公平和诚实信用的原则，经甲方和乙方协商一致，约定以下合同条款，以兹共同遵守、全面履行。 </w:t>
      </w:r>
    </w:p>
    <w:p>
      <w:pPr>
        <w:widowControl/>
        <w:spacing w:line="360" w:lineRule="auto"/>
        <w:ind w:firstLine="482" w:firstLineChars="200"/>
        <w:jc w:val="left"/>
      </w:pPr>
      <w:r>
        <w:rPr>
          <w:rFonts w:hint="eastAsia" w:ascii="宋体" w:hAnsi="宋体" w:cs="宋体"/>
          <w:b/>
          <w:bCs/>
          <w:color w:val="000000"/>
          <w:kern w:val="0"/>
          <w:sz w:val="24"/>
        </w:rPr>
        <w:t xml:space="preserve">1.1 合同组成部分 </w:t>
      </w:r>
    </w:p>
    <w:p>
      <w:pPr>
        <w:widowControl/>
        <w:spacing w:line="360" w:lineRule="auto"/>
        <w:ind w:firstLine="480" w:firstLineChars="200"/>
        <w:jc w:val="left"/>
      </w:pPr>
      <w:r>
        <w:rPr>
          <w:rFonts w:hint="eastAsia" w:ascii="宋体" w:hAnsi="宋体" w:cs="宋体"/>
          <w:color w:val="000000"/>
          <w:kern w:val="0"/>
          <w:sz w:val="24"/>
        </w:rPr>
        <w:t xml:space="preserve">下列文件为本合同的组成部分，并构成一个整体，需综合解释、相互补充。 </w:t>
      </w:r>
    </w:p>
    <w:p>
      <w:pPr>
        <w:widowControl/>
        <w:spacing w:line="360" w:lineRule="auto"/>
        <w:ind w:firstLine="480" w:firstLineChars="200"/>
        <w:jc w:val="left"/>
      </w:pPr>
      <w:r>
        <w:rPr>
          <w:rFonts w:hint="eastAsia" w:ascii="宋体" w:hAnsi="宋体" w:cs="宋体"/>
          <w:color w:val="000000"/>
          <w:kern w:val="0"/>
          <w:sz w:val="24"/>
        </w:rPr>
        <w:t xml:space="preserve">如果下列文件内容出现不一致的情形，那么在保证按照采购文件确定的事项前提下，组成本合同的多个文件的优先适用顺序如下： </w:t>
      </w:r>
    </w:p>
    <w:p>
      <w:pPr>
        <w:widowControl/>
        <w:spacing w:line="360" w:lineRule="auto"/>
        <w:ind w:firstLine="480" w:firstLineChars="200"/>
        <w:jc w:val="left"/>
      </w:pPr>
      <w:r>
        <w:rPr>
          <w:rFonts w:hint="eastAsia" w:ascii="宋体" w:hAnsi="宋体" w:cs="宋体"/>
          <w:color w:val="000000"/>
          <w:kern w:val="0"/>
          <w:sz w:val="24"/>
        </w:rPr>
        <w:t xml:space="preserve">1.1.1 本合同及其补充合同、变更协议； </w:t>
      </w:r>
    </w:p>
    <w:p>
      <w:pPr>
        <w:widowControl/>
        <w:spacing w:line="360" w:lineRule="auto"/>
        <w:ind w:firstLine="480" w:firstLineChars="200"/>
        <w:jc w:val="left"/>
      </w:pPr>
      <w:r>
        <w:rPr>
          <w:rFonts w:hint="eastAsia" w:ascii="宋体" w:hAnsi="宋体" w:cs="宋体"/>
          <w:color w:val="000000"/>
          <w:kern w:val="0"/>
          <w:sz w:val="24"/>
        </w:rPr>
        <w:t xml:space="preserve">1.1.2 中标通知书； </w:t>
      </w:r>
    </w:p>
    <w:p>
      <w:pPr>
        <w:widowControl/>
        <w:spacing w:line="360" w:lineRule="auto"/>
        <w:ind w:firstLine="480" w:firstLineChars="200"/>
        <w:jc w:val="left"/>
      </w:pPr>
      <w:r>
        <w:rPr>
          <w:rFonts w:hint="eastAsia" w:ascii="宋体" w:hAnsi="宋体" w:cs="宋体"/>
          <w:color w:val="000000"/>
          <w:kern w:val="0"/>
          <w:sz w:val="24"/>
        </w:rPr>
        <w:t xml:space="preserve">1.1.3 投标文件（含澄清或者说明文件）； </w:t>
      </w:r>
    </w:p>
    <w:p>
      <w:pPr>
        <w:widowControl/>
        <w:spacing w:line="360" w:lineRule="auto"/>
        <w:ind w:firstLine="480" w:firstLineChars="200"/>
        <w:jc w:val="left"/>
      </w:pPr>
      <w:r>
        <w:rPr>
          <w:rFonts w:hint="eastAsia" w:ascii="宋体" w:hAnsi="宋体" w:cs="宋体"/>
          <w:color w:val="000000"/>
          <w:kern w:val="0"/>
          <w:sz w:val="24"/>
        </w:rPr>
        <w:t xml:space="preserve">1.1.4 招标文件（含澄清或者修改文件）； </w:t>
      </w:r>
    </w:p>
    <w:p>
      <w:pPr>
        <w:widowControl/>
        <w:spacing w:line="360" w:lineRule="auto"/>
        <w:ind w:firstLine="480" w:firstLineChars="200"/>
        <w:jc w:val="left"/>
      </w:pPr>
      <w:r>
        <w:rPr>
          <w:rFonts w:hint="eastAsia" w:ascii="宋体" w:hAnsi="宋体" w:cs="宋体"/>
          <w:color w:val="000000"/>
          <w:kern w:val="0"/>
          <w:sz w:val="24"/>
        </w:rPr>
        <w:t xml:space="preserve">1.1.5 其他相关采购文件。 </w:t>
      </w:r>
    </w:p>
    <w:p>
      <w:pPr>
        <w:widowControl/>
        <w:spacing w:line="360" w:lineRule="auto"/>
        <w:ind w:firstLine="482" w:firstLineChars="200"/>
        <w:jc w:val="left"/>
      </w:pPr>
      <w:r>
        <w:rPr>
          <w:rFonts w:hint="eastAsia" w:ascii="宋体" w:hAnsi="宋体" w:cs="宋体"/>
          <w:b/>
          <w:bCs/>
          <w:color w:val="000000"/>
          <w:kern w:val="0"/>
          <w:sz w:val="24"/>
        </w:rPr>
        <w:t xml:space="preserve">1.2 服务 </w:t>
      </w:r>
    </w:p>
    <w:p>
      <w:pPr>
        <w:widowControl/>
        <w:spacing w:line="360" w:lineRule="auto"/>
        <w:ind w:firstLine="480" w:firstLineChars="200"/>
        <w:jc w:val="left"/>
      </w:pPr>
      <w:r>
        <w:rPr>
          <w:rFonts w:hint="eastAsia" w:ascii="宋体" w:hAnsi="宋体" w:cs="宋体"/>
          <w:color w:val="000000"/>
          <w:kern w:val="0"/>
          <w:sz w:val="24"/>
        </w:rPr>
        <w:t xml:space="preserve">1.2.1 服务名称：乙方根据合肥市发改委等8部门《关于印发合肥市加大援企稳岗力度支持批零住餐旅游企业稳定发展若干政策实施细则的通知》（合发改贸服[2022] 361号）的文件精神，为甲方提供稳岗就业技能培训； </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1.2.2 服务内容：乙方为甲方提供稳岗就业技能专业培训，包括</w:t>
      </w:r>
      <w:r>
        <w:rPr>
          <w:rFonts w:hint="eastAsia" w:ascii="宋体" w:hAnsi="宋体"/>
          <w:sz w:val="24"/>
        </w:rPr>
        <w:t>卫生防疫、消防安全、食品安全、科学素质等公共知识和不少于四个一线工种等专业培训内容</w:t>
      </w:r>
      <w:r>
        <w:rPr>
          <w:rFonts w:hint="eastAsia" w:ascii="宋体" w:hAnsi="宋体" w:cs="宋体"/>
          <w:color w:val="000000"/>
          <w:kern w:val="0"/>
          <w:sz w:val="24"/>
        </w:rPr>
        <w:t>。</w:t>
      </w:r>
    </w:p>
    <w:p>
      <w:pPr>
        <w:spacing w:line="360" w:lineRule="auto"/>
        <w:ind w:firstLine="720" w:firstLineChars="300"/>
        <w:rPr>
          <w:rFonts w:ascii="宋体" w:hAnsi="宋体" w:cs="宋体"/>
          <w:color w:val="000000"/>
          <w:kern w:val="0"/>
          <w:sz w:val="24"/>
        </w:rPr>
      </w:pPr>
      <w:r>
        <w:rPr>
          <w:rFonts w:hint="eastAsia" w:ascii="宋体" w:hAnsi="宋体" w:cs="宋体"/>
          <w:color w:val="000000"/>
          <w:kern w:val="0"/>
          <w:sz w:val="24"/>
        </w:rPr>
        <w:t>1.2.3 服务质量：乙方</w:t>
      </w:r>
      <w:r>
        <w:rPr>
          <w:rFonts w:hint="eastAsia" w:ascii="宋体" w:hAnsi="宋体"/>
          <w:sz w:val="24"/>
        </w:rPr>
        <w:t>保证培训内容的有效性并在规定时间内帮助甲方完成培训补贴资金申报</w:t>
      </w:r>
      <w:r>
        <w:rPr>
          <w:rFonts w:hint="eastAsia" w:ascii="宋体" w:hAnsi="宋体" w:cs="宋体"/>
          <w:color w:val="000000"/>
          <w:kern w:val="0"/>
          <w:sz w:val="24"/>
        </w:rPr>
        <w:t xml:space="preserve">。 </w:t>
      </w:r>
    </w:p>
    <w:p>
      <w:pPr>
        <w:spacing w:line="360" w:lineRule="auto"/>
        <w:ind w:firstLine="720" w:firstLineChars="300"/>
        <w:rPr>
          <w:rFonts w:ascii="宋体" w:hAnsi="宋体"/>
          <w:sz w:val="24"/>
        </w:rPr>
      </w:pPr>
      <w:r>
        <w:rPr>
          <w:rFonts w:hint="eastAsia" w:ascii="宋体" w:hAnsi="宋体" w:cs="宋体"/>
          <w:kern w:val="0"/>
          <w:sz w:val="24"/>
        </w:rPr>
        <w:t>乙方</w:t>
      </w:r>
      <w:r>
        <w:rPr>
          <w:rFonts w:hint="eastAsia" w:ascii="宋体" w:hAnsi="宋体"/>
          <w:sz w:val="24"/>
        </w:rPr>
        <w:t>按照《</w:t>
      </w:r>
      <w:r>
        <w:rPr>
          <w:rFonts w:hint="eastAsia" w:ascii="宋体" w:hAnsi="宋体" w:cs="宋体"/>
          <w:kern w:val="0"/>
          <w:sz w:val="24"/>
        </w:rPr>
        <w:t>关于印发合肥市加大援企稳岗力度支持批零住餐旅游企业稳定发展若干政策实施细则的通知》</w:t>
      </w:r>
      <w:r>
        <w:rPr>
          <w:rFonts w:hint="eastAsia" w:ascii="宋体" w:hAnsi="宋体"/>
          <w:sz w:val="24"/>
        </w:rPr>
        <w:t>及本协议要求，制定培训教学计划等，经同意后实施；乙方负责对参训人员进行培训并将考核结果及时录入信息管理系统；乙方负责此次培训申报的外围协调和沟通工作；乙方保证培训内容的有效性并在规定时间内完成培训补贴资金申报；培训结束后乙方向甲方提供本次培训全程资料一套。</w:t>
      </w:r>
      <w:r>
        <w:rPr>
          <w:rFonts w:hint="eastAsia" w:ascii="宋体" w:hAnsi="宋体" w:cs="宋体"/>
          <w:kern w:val="0"/>
          <w:sz w:val="24"/>
        </w:rPr>
        <w:t xml:space="preserve"> </w:t>
      </w:r>
    </w:p>
    <w:p>
      <w:pPr>
        <w:widowControl/>
        <w:spacing w:line="360" w:lineRule="auto"/>
        <w:ind w:firstLine="482" w:firstLineChars="200"/>
        <w:jc w:val="left"/>
      </w:pPr>
      <w:r>
        <w:rPr>
          <w:rFonts w:hint="eastAsia" w:ascii="宋体" w:hAnsi="宋体" w:cs="宋体"/>
          <w:b/>
          <w:bCs/>
          <w:color w:val="000000"/>
          <w:kern w:val="0"/>
          <w:sz w:val="24"/>
        </w:rPr>
        <w:t xml:space="preserve">1.3 价款 </w:t>
      </w:r>
    </w:p>
    <w:p>
      <w:pPr>
        <w:widowControl/>
        <w:spacing w:line="360" w:lineRule="auto"/>
        <w:ind w:firstLine="480" w:firstLineChars="200"/>
        <w:jc w:val="left"/>
      </w:pPr>
      <w:r>
        <w:rPr>
          <w:rFonts w:hint="eastAsia" w:ascii="宋体" w:hAnsi="宋体" w:cs="宋体"/>
          <w:color w:val="000000"/>
          <w:kern w:val="0"/>
          <w:sz w:val="24"/>
        </w:rPr>
        <w:t>本合同总价为：￥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元（大写：人民币</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元）。 </w:t>
      </w:r>
    </w:p>
    <w:p>
      <w:pPr>
        <w:widowControl/>
        <w:spacing w:line="360" w:lineRule="auto"/>
        <w:ind w:firstLine="482" w:firstLineChars="200"/>
        <w:jc w:val="left"/>
      </w:pPr>
      <w:r>
        <w:rPr>
          <w:rFonts w:hint="eastAsia" w:ascii="宋体" w:hAnsi="宋体" w:cs="宋体"/>
          <w:b/>
          <w:bCs/>
          <w:color w:val="000000"/>
          <w:kern w:val="0"/>
          <w:sz w:val="24"/>
        </w:rPr>
        <w:t xml:space="preserve">1.4 付款方式和发票开具方式 </w:t>
      </w:r>
    </w:p>
    <w:p>
      <w:pPr>
        <w:widowControl/>
        <w:spacing w:line="360" w:lineRule="auto"/>
        <w:ind w:firstLine="480" w:firstLineChars="200"/>
        <w:jc w:val="left"/>
        <w:rPr>
          <w:sz w:val="24"/>
        </w:rPr>
      </w:pPr>
      <w:r>
        <w:rPr>
          <w:rFonts w:hint="eastAsia" w:ascii="宋体" w:hAnsi="宋体" w:cs="宋体"/>
          <w:color w:val="000000"/>
          <w:kern w:val="0"/>
          <w:sz w:val="24"/>
        </w:rPr>
        <w:t>1.4.1 付款方式：</w:t>
      </w:r>
      <w:r>
        <w:rPr>
          <w:rFonts w:hint="eastAsia" w:ascii="宋体" w:hAnsi="宋体"/>
          <w:sz w:val="24"/>
        </w:rPr>
        <w:t>甲方获得政府部门支付的培训补贴后，甲方向乙方支付</w:t>
      </w:r>
      <w:r>
        <w:rPr>
          <w:rFonts w:hint="eastAsia" w:ascii="宋体" w:hAnsi="宋体"/>
          <w:sz w:val="24"/>
          <w:u w:val="single"/>
        </w:rPr>
        <w:t xml:space="preserve">     </w:t>
      </w:r>
      <w:r>
        <w:rPr>
          <w:rFonts w:hint="eastAsia" w:ascii="宋体" w:hAnsi="宋体"/>
          <w:sz w:val="24"/>
        </w:rPr>
        <w:t>元/人的培训费用（该费用包含乙方所有与本次培训相关的开支：</w:t>
      </w:r>
      <w:r>
        <w:rPr>
          <w:rFonts w:hint="eastAsia"/>
          <w:sz w:val="24"/>
        </w:rPr>
        <w:t>开班申报、线上课程费用、教师课酬交通费用、组织考试费用等</w:t>
      </w:r>
      <w:r>
        <w:rPr>
          <w:rFonts w:hint="eastAsia" w:ascii="宋体" w:hAnsi="宋体"/>
          <w:sz w:val="24"/>
        </w:rPr>
        <w:t>）。如果甲方受训员工中的全部或部分未能获得政策补贴，对于未能获得政府补贴的受训员工，甲方不支付培训费用。</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1.4.2 发票开具方式：</w:t>
      </w:r>
      <w:r>
        <w:rPr>
          <w:rFonts w:hint="eastAsia" w:ascii="宋体" w:hAnsi="宋体"/>
          <w:sz w:val="24"/>
        </w:rPr>
        <w:t>甲方在收到培训补贴后7日内通知乙方，由乙方提供培训类发票（税率为3%）</w:t>
      </w:r>
      <w:r>
        <w:rPr>
          <w:rFonts w:hint="eastAsia" w:ascii="宋体" w:hAnsi="宋体" w:cs="宋体"/>
          <w:color w:val="000000"/>
          <w:kern w:val="0"/>
          <w:sz w:val="24"/>
        </w:rPr>
        <w:t xml:space="preserve">。 </w:t>
      </w:r>
    </w:p>
    <w:p>
      <w:pPr>
        <w:spacing w:line="520" w:lineRule="exact"/>
        <w:ind w:firstLine="360" w:firstLineChars="150"/>
        <w:rPr>
          <w:rFonts w:asciiTheme="majorEastAsia" w:hAnsiTheme="majorEastAsia" w:eastAsiaTheme="majorEastAsia"/>
          <w:sz w:val="24"/>
          <w:szCs w:val="32"/>
        </w:rPr>
      </w:pPr>
      <w:r>
        <w:rPr>
          <w:rFonts w:hint="eastAsia" w:hAnsi="宋体" w:cs="宋体"/>
          <w:color w:val="000000"/>
          <w:kern w:val="0"/>
          <w:sz w:val="24"/>
        </w:rPr>
        <w:t xml:space="preserve"> </w:t>
      </w:r>
      <w:r>
        <w:rPr>
          <w:rFonts w:hint="eastAsia" w:ascii="宋体" w:hAnsi="宋体" w:cs="宋体"/>
          <w:color w:val="000000"/>
          <w:kern w:val="0"/>
          <w:sz w:val="24"/>
        </w:rPr>
        <w:t>1.4.3履约保证金：乙方需在合同签订前缴纳履约保证金，履约保证金金额为伍仟元整,</w:t>
      </w:r>
      <w:r>
        <w:rPr>
          <w:rFonts w:hint="eastAsia" w:asciiTheme="majorEastAsia" w:hAnsiTheme="majorEastAsia" w:eastAsiaTheme="majorEastAsia"/>
          <w:sz w:val="24"/>
          <w:szCs w:val="32"/>
        </w:rPr>
        <w:t>履约保证金在所有需求企业收到培训补贴，合同履约完成后10个工作日内无息退还。</w:t>
      </w:r>
    </w:p>
    <w:p>
      <w:pPr>
        <w:widowControl/>
        <w:spacing w:line="360" w:lineRule="auto"/>
        <w:ind w:firstLine="482" w:firstLineChars="200"/>
        <w:jc w:val="left"/>
      </w:pPr>
      <w:r>
        <w:rPr>
          <w:rFonts w:hint="eastAsia" w:ascii="宋体" w:hAnsi="宋体" w:cs="宋体"/>
          <w:b/>
          <w:bCs/>
          <w:color w:val="000000"/>
          <w:kern w:val="0"/>
          <w:sz w:val="24"/>
        </w:rPr>
        <w:t xml:space="preserve">1.5 服务期限、地点和方式 </w:t>
      </w:r>
    </w:p>
    <w:p>
      <w:pPr>
        <w:widowControl/>
        <w:spacing w:line="360" w:lineRule="auto"/>
        <w:ind w:firstLine="480" w:firstLineChars="200"/>
        <w:jc w:val="left"/>
      </w:pPr>
      <w:r>
        <w:rPr>
          <w:rFonts w:hint="eastAsia" w:ascii="宋体" w:hAnsi="宋体" w:cs="宋体"/>
          <w:color w:val="000000"/>
          <w:kern w:val="0"/>
          <w:sz w:val="24"/>
        </w:rPr>
        <w:t>1.5.1 服务期限：</w:t>
      </w:r>
      <w:r>
        <w:rPr>
          <w:rFonts w:hint="eastAsia" w:ascii="宋体" w:hAnsi="宋体"/>
          <w:sz w:val="24"/>
        </w:rPr>
        <w:t>培训开展时间为2022年   月  日--2022年   月   日</w:t>
      </w:r>
      <w:r>
        <w:rPr>
          <w:rFonts w:hint="eastAsia" w:ascii="宋体" w:hAnsi="宋体" w:cs="宋体"/>
          <w:color w:val="000000"/>
          <w:kern w:val="0"/>
          <w:sz w:val="24"/>
        </w:rPr>
        <w:t xml:space="preserve">。 </w:t>
      </w:r>
    </w:p>
    <w:p>
      <w:pPr>
        <w:widowControl/>
        <w:spacing w:line="360" w:lineRule="auto"/>
        <w:ind w:firstLine="480" w:firstLineChars="200"/>
        <w:jc w:val="left"/>
      </w:pPr>
      <w:r>
        <w:rPr>
          <w:rFonts w:hint="eastAsia" w:ascii="宋体" w:hAnsi="宋体" w:cs="宋体"/>
          <w:color w:val="000000"/>
          <w:kern w:val="0"/>
          <w:sz w:val="24"/>
        </w:rPr>
        <w:t xml:space="preserve">1.5.2 服务地点：甲方旗下各成员企业； </w:t>
      </w:r>
    </w:p>
    <w:p>
      <w:pPr>
        <w:widowControl/>
        <w:spacing w:line="360" w:lineRule="auto"/>
        <w:ind w:firstLine="480" w:firstLineChars="200"/>
        <w:jc w:val="left"/>
        <w:rPr>
          <w:sz w:val="24"/>
        </w:rPr>
      </w:pPr>
      <w:r>
        <w:rPr>
          <w:rFonts w:hint="eastAsia" w:ascii="宋体" w:hAnsi="宋体" w:cs="宋体"/>
          <w:color w:val="000000"/>
          <w:kern w:val="0"/>
          <w:sz w:val="24"/>
        </w:rPr>
        <w:t>1.5.3 服务方式：乙方提供的</w:t>
      </w:r>
      <w:r>
        <w:rPr>
          <w:rFonts w:hint="eastAsia" w:ascii="宋体" w:hAnsi="宋体"/>
          <w:sz w:val="24"/>
        </w:rPr>
        <w:t>培训采取线上理论课程学习+线下实操的方式进行。线上课程应选取人社部认定的平台课程，按平台课程标定的课时计算；实操培训应根据培训内容，采取线下方式进行</w:t>
      </w:r>
      <w:r>
        <w:rPr>
          <w:rFonts w:hint="eastAsia" w:ascii="宋体" w:hAnsi="宋体" w:cs="宋体"/>
          <w:color w:val="000000"/>
          <w:kern w:val="0"/>
          <w:sz w:val="24"/>
        </w:rPr>
        <w:t>。</w:t>
      </w:r>
      <w:r>
        <w:rPr>
          <w:rFonts w:hint="eastAsia" w:ascii="宋体" w:hAnsi="宋体"/>
          <w:sz w:val="24"/>
        </w:rPr>
        <w:t>培训总课时不少于24个课时（每课时为45分钟，课间休息可根据情况安排），理论课时不少于9.5课时，实操课时不少于14.5课时。</w:t>
      </w:r>
    </w:p>
    <w:p>
      <w:pPr>
        <w:widowControl/>
        <w:spacing w:line="360" w:lineRule="auto"/>
        <w:ind w:firstLine="482" w:firstLineChars="200"/>
        <w:jc w:val="left"/>
      </w:pPr>
      <w:r>
        <w:rPr>
          <w:rFonts w:hint="eastAsia" w:ascii="宋体" w:hAnsi="宋体" w:cs="宋体"/>
          <w:b/>
          <w:bCs/>
          <w:color w:val="000000"/>
          <w:kern w:val="0"/>
          <w:sz w:val="24"/>
        </w:rPr>
        <w:t xml:space="preserve">1.6 违约责任 </w:t>
      </w:r>
    </w:p>
    <w:p>
      <w:pPr>
        <w:widowControl/>
        <w:spacing w:line="360" w:lineRule="auto"/>
        <w:ind w:firstLine="480" w:firstLineChars="200"/>
        <w:jc w:val="left"/>
      </w:pPr>
      <w:r>
        <w:rPr>
          <w:rFonts w:hint="eastAsia" w:ascii="宋体" w:hAnsi="宋体" w:cs="宋体"/>
          <w:color w:val="000000"/>
          <w:kern w:val="0"/>
          <w:sz w:val="24"/>
        </w:rPr>
        <w:t>1.6.1 除不可抗力外，如果乙方没有按照本合同约定的期限、地点和方式履行，甲方有权要求乙方支付违约金并赔偿因此遭受的全部损失，违约金按每迟延履行一日的应提供而未提供服务价格的</w:t>
      </w:r>
      <w:r>
        <w:rPr>
          <w:rFonts w:hint="eastAsia" w:ascii="宋体" w:hAnsi="宋体" w:cs="宋体"/>
          <w:color w:val="000000"/>
          <w:kern w:val="0"/>
          <w:sz w:val="24"/>
          <w:u w:val="single"/>
        </w:rPr>
        <w:t xml:space="preserve"> 2</w:t>
      </w:r>
      <w:r>
        <w:rPr>
          <w:rFonts w:hint="eastAsia" w:ascii="宋体" w:hAnsi="宋体" w:cs="宋体"/>
          <w:color w:val="000000"/>
          <w:kern w:val="0"/>
          <w:sz w:val="24"/>
        </w:rPr>
        <w:t>%计算，最高限额为本合同总价的</w:t>
      </w:r>
      <w:r>
        <w:rPr>
          <w:rFonts w:hint="eastAsia" w:ascii="宋体" w:hAnsi="宋体" w:cs="宋体"/>
          <w:color w:val="000000"/>
          <w:kern w:val="0"/>
          <w:sz w:val="24"/>
          <w:u w:val="single"/>
        </w:rPr>
        <w:t xml:space="preserve"> 30</w:t>
      </w:r>
      <w:r>
        <w:rPr>
          <w:rFonts w:hint="eastAsia" w:ascii="宋体" w:hAnsi="宋体" w:cs="宋体"/>
          <w:color w:val="000000"/>
          <w:kern w:val="0"/>
          <w:sz w:val="24"/>
        </w:rPr>
        <w:t xml:space="preserve">%；迟延履行的违约金计算数额达到前述最高限额之日起，甲方有权在要求乙方支付违约金、赔偿损失的同时，书面通知乙方解除本合同； </w:t>
      </w:r>
    </w:p>
    <w:p>
      <w:pPr>
        <w:widowControl/>
        <w:spacing w:line="360" w:lineRule="auto"/>
        <w:ind w:firstLine="480" w:firstLineChars="200"/>
        <w:jc w:val="left"/>
      </w:pPr>
      <w:r>
        <w:rPr>
          <w:rFonts w:hint="eastAsia" w:ascii="宋体" w:hAnsi="宋体" w:cs="宋体"/>
          <w:color w:val="000000"/>
          <w:kern w:val="0"/>
          <w:sz w:val="24"/>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kern w:val="0"/>
          <w:sz w:val="24"/>
          <w:u w:val="single"/>
        </w:rPr>
        <w:t xml:space="preserve"> 2 </w:t>
      </w:r>
      <w:r>
        <w:rPr>
          <w:rFonts w:hint="eastAsia" w:ascii="宋体" w:hAnsi="宋体" w:cs="宋体"/>
          <w:color w:val="000000"/>
          <w:kern w:val="0"/>
          <w:sz w:val="24"/>
        </w:rPr>
        <w:t>%计算，最高限额为本合同总价的</w:t>
      </w:r>
      <w:r>
        <w:rPr>
          <w:rFonts w:hint="eastAsia" w:ascii="宋体" w:hAnsi="宋体" w:cs="宋体"/>
          <w:color w:val="000000"/>
          <w:kern w:val="0"/>
          <w:sz w:val="24"/>
          <w:u w:val="single"/>
        </w:rPr>
        <w:t xml:space="preserve"> 30 </w:t>
      </w:r>
      <w:r>
        <w:rPr>
          <w:rFonts w:hint="eastAsia" w:ascii="宋体" w:hAnsi="宋体" w:cs="宋体"/>
          <w:color w:val="000000"/>
          <w:kern w:val="0"/>
          <w:sz w:val="24"/>
        </w:rPr>
        <w:t xml:space="preserve">%；迟延付款的违约金计算数额达到前述最高限额之日起，乙方有权在要求甲方支付违约金的同时，书面通知甲方解除本合同； </w:t>
      </w:r>
    </w:p>
    <w:p>
      <w:pPr>
        <w:widowControl/>
        <w:spacing w:line="360" w:lineRule="auto"/>
        <w:ind w:firstLine="480" w:firstLineChars="200"/>
        <w:jc w:val="left"/>
      </w:pPr>
      <w:r>
        <w:rPr>
          <w:rFonts w:hint="eastAsia" w:ascii="宋体" w:hAnsi="宋体" w:cs="宋体"/>
          <w:color w:val="000000"/>
          <w:kern w:val="0"/>
          <w:sz w:val="24"/>
        </w:rPr>
        <w:t xml:space="preserve">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并要求赔偿因此遭受的全部损失； </w:t>
      </w:r>
    </w:p>
    <w:p>
      <w:pPr>
        <w:widowControl/>
        <w:spacing w:line="360" w:lineRule="auto"/>
        <w:ind w:firstLine="480" w:firstLineChars="200"/>
        <w:jc w:val="left"/>
      </w:pPr>
      <w:r>
        <w:rPr>
          <w:rFonts w:hint="eastAsia" w:ascii="宋体" w:hAnsi="宋体" w:cs="宋体"/>
          <w:color w:val="000000"/>
          <w:kern w:val="0"/>
          <w:sz w:val="24"/>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pPr>
        <w:widowControl/>
        <w:spacing w:line="360" w:lineRule="auto"/>
        <w:ind w:firstLine="480" w:firstLineChars="200"/>
        <w:jc w:val="left"/>
      </w:pPr>
      <w:r>
        <w:rPr>
          <w:rFonts w:hint="eastAsia" w:ascii="宋体" w:hAnsi="宋体" w:cs="宋体"/>
          <w:color w:val="000000"/>
          <w:kern w:val="0"/>
          <w:sz w:val="24"/>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pPr>
        <w:widowControl/>
        <w:spacing w:line="360" w:lineRule="auto"/>
        <w:ind w:firstLine="480" w:firstLineChars="200"/>
        <w:jc w:val="left"/>
      </w:pPr>
      <w:r>
        <w:rPr>
          <w:rFonts w:hint="eastAsia" w:ascii="宋体" w:hAnsi="宋体" w:cs="宋体"/>
          <w:color w:val="000000"/>
          <w:kern w:val="0"/>
          <w:sz w:val="24"/>
        </w:rPr>
        <w:t xml:space="preserve">1.6.6 如果出现政府采购监督管理部门在处理投诉事项期间，书面通知甲方暂停采购活动的情形，或者询问或质疑事项可能影响中标结果的，导致甲方中止履行合同的情形，均不视为甲方违约。 </w:t>
      </w:r>
    </w:p>
    <w:p>
      <w:pPr>
        <w:widowControl/>
        <w:spacing w:line="360" w:lineRule="auto"/>
        <w:ind w:firstLine="482" w:firstLineChars="200"/>
        <w:jc w:val="left"/>
      </w:pPr>
      <w:r>
        <w:rPr>
          <w:rFonts w:hint="eastAsia" w:ascii="宋体" w:hAnsi="宋体" w:cs="宋体"/>
          <w:b/>
          <w:bCs/>
          <w:color w:val="000000"/>
          <w:kern w:val="0"/>
          <w:sz w:val="24"/>
        </w:rPr>
        <w:t xml:space="preserve">1.7 合同争议的解决 </w:t>
      </w:r>
    </w:p>
    <w:p>
      <w:pPr>
        <w:widowControl/>
        <w:spacing w:line="360" w:lineRule="auto"/>
        <w:ind w:firstLine="480" w:firstLineChars="200"/>
        <w:jc w:val="left"/>
      </w:pPr>
      <w:r>
        <w:rPr>
          <w:rFonts w:hint="eastAsia" w:ascii="宋体" w:hAnsi="宋体" w:cs="宋体"/>
          <w:color w:val="000000"/>
          <w:kern w:val="0"/>
          <w:sz w:val="24"/>
        </w:rPr>
        <w:t>本合同履行过程中发生的任何争议，双方当事人均可通过和解或者调解解决；不愿和解、调解或者和解、调解不成的，可以选择下列第</w:t>
      </w:r>
      <w:r>
        <w:rPr>
          <w:rFonts w:hint="eastAsia" w:ascii="宋体" w:hAnsi="宋体" w:cs="宋体"/>
          <w:color w:val="000000"/>
          <w:kern w:val="0"/>
          <w:sz w:val="24"/>
          <w:u w:val="single"/>
        </w:rPr>
        <w:t xml:space="preserve"> </w:t>
      </w:r>
      <w:r>
        <w:rPr>
          <w:rFonts w:ascii="宋体" w:hAnsi="宋体" w:cs="宋体"/>
          <w:color w:val="000000"/>
          <w:kern w:val="0"/>
          <w:sz w:val="24"/>
          <w:u w:val="single"/>
        </w:rPr>
        <w:t>2</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种方式解决： </w:t>
      </w:r>
    </w:p>
    <w:p>
      <w:pPr>
        <w:widowControl/>
        <w:spacing w:line="360" w:lineRule="auto"/>
        <w:ind w:firstLine="480" w:firstLineChars="200"/>
        <w:jc w:val="left"/>
      </w:pPr>
      <w:r>
        <w:rPr>
          <w:rFonts w:hint="eastAsia" w:ascii="宋体" w:hAnsi="宋体" w:cs="宋体"/>
          <w:color w:val="000000"/>
          <w:kern w:val="0"/>
          <w:sz w:val="24"/>
        </w:rPr>
        <w:t>1</w:t>
      </w:r>
      <w:r>
        <w:rPr>
          <w:rFonts w:ascii="宋体" w:hAnsi="宋体" w:cs="宋体"/>
          <w:color w:val="000000"/>
          <w:kern w:val="0"/>
          <w:sz w:val="24"/>
        </w:rPr>
        <w:t>.</w:t>
      </w:r>
      <w:r>
        <w:rPr>
          <w:rFonts w:hint="eastAsia" w:ascii="宋体" w:hAnsi="宋体" w:cs="宋体"/>
          <w:color w:val="000000"/>
          <w:kern w:val="0"/>
          <w:sz w:val="24"/>
        </w:rPr>
        <w:t xml:space="preserve">将争议提交仲裁委员会依申请仲裁时其现行有效的仲裁规则裁决； </w:t>
      </w:r>
    </w:p>
    <w:p>
      <w:pPr>
        <w:widowControl/>
        <w:spacing w:line="360" w:lineRule="auto"/>
        <w:ind w:firstLine="480" w:firstLineChars="200"/>
        <w:jc w:val="left"/>
      </w:pP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 xml:space="preserve">向甲方所在地人民法院起诉。 </w:t>
      </w:r>
    </w:p>
    <w:p>
      <w:pPr>
        <w:widowControl/>
        <w:spacing w:line="360" w:lineRule="auto"/>
        <w:ind w:firstLine="482" w:firstLineChars="200"/>
        <w:jc w:val="left"/>
      </w:pPr>
      <w:r>
        <w:rPr>
          <w:rFonts w:hint="eastAsia" w:ascii="宋体" w:hAnsi="宋体" w:cs="宋体"/>
          <w:b/>
          <w:bCs/>
          <w:color w:val="000000"/>
          <w:kern w:val="0"/>
          <w:sz w:val="24"/>
        </w:rPr>
        <w:t xml:space="preserve">1.8 合同生效 </w:t>
      </w:r>
    </w:p>
    <w:p>
      <w:pPr>
        <w:widowControl/>
        <w:spacing w:line="360" w:lineRule="auto"/>
        <w:ind w:firstLine="480" w:firstLineChars="200"/>
        <w:jc w:val="left"/>
      </w:pPr>
      <w:r>
        <w:rPr>
          <w:rFonts w:hint="eastAsia" w:ascii="宋体" w:hAnsi="宋体" w:cs="宋体"/>
          <w:color w:val="000000"/>
          <w:kern w:val="0"/>
          <w:sz w:val="24"/>
        </w:rPr>
        <w:t xml:space="preserve">本合同自双方当事人盖章时生效。 </w:t>
      </w:r>
    </w:p>
    <w:p>
      <w:pPr>
        <w:widowControl/>
        <w:spacing w:line="360" w:lineRule="auto"/>
        <w:jc w:val="left"/>
        <w:rPr>
          <w:rFonts w:ascii="宋体" w:hAnsi="宋体" w:cs="宋体"/>
          <w:color w:val="000000"/>
          <w:kern w:val="0"/>
          <w:sz w:val="24"/>
        </w:rPr>
      </w:pPr>
    </w:p>
    <w:p>
      <w:pPr>
        <w:widowControl/>
        <w:spacing w:line="360" w:lineRule="auto"/>
        <w:jc w:val="left"/>
      </w:pPr>
      <w:r>
        <w:rPr>
          <w:rFonts w:hint="eastAsia" w:ascii="宋体" w:hAnsi="宋体" w:cs="宋体"/>
          <w:color w:val="000000"/>
          <w:kern w:val="0"/>
          <w:sz w:val="24"/>
        </w:rPr>
        <w:t>甲 方：</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（单位盖章）        乙方：</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（单位盖章） </w:t>
      </w:r>
    </w:p>
    <w:p>
      <w:pPr>
        <w:widowControl/>
        <w:spacing w:line="360" w:lineRule="auto"/>
        <w:jc w:val="left"/>
        <w:rPr>
          <w:rFonts w:ascii="宋体" w:hAnsi="宋体" w:cs="宋体"/>
          <w:color w:val="000000"/>
          <w:kern w:val="0"/>
          <w:sz w:val="24"/>
          <w:u w:val="single"/>
        </w:rPr>
      </w:pPr>
      <w:r>
        <w:rPr>
          <w:rFonts w:hint="eastAsia" w:ascii="宋体" w:hAnsi="宋体" w:cs="宋体"/>
          <w:color w:val="000000"/>
          <w:kern w:val="0"/>
          <w:sz w:val="24"/>
        </w:rPr>
        <w:t>法定代表人或授权代表（签字）：</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法定代表人或授权代表（签字）：</w:t>
      </w:r>
      <w:r>
        <w:rPr>
          <w:rFonts w:hint="eastAsia" w:ascii="宋体" w:hAnsi="宋体" w:cs="宋体"/>
          <w:color w:val="000000"/>
          <w:kern w:val="0"/>
          <w:sz w:val="24"/>
          <w:u w:val="single"/>
        </w:rPr>
        <w:t xml:space="preserve">                        </w:t>
      </w:r>
    </w:p>
    <w:p>
      <w:pPr>
        <w:widowControl/>
        <w:spacing w:line="360" w:lineRule="auto"/>
        <w:jc w:val="left"/>
      </w:pPr>
      <w:r>
        <w:rPr>
          <w:rFonts w:hint="eastAsia" w:ascii="宋体" w:hAnsi="宋体" w:cs="宋体"/>
          <w:color w:val="000000"/>
          <w:kern w:val="0"/>
          <w:sz w:val="24"/>
        </w:rPr>
        <w:t>时间：</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年</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月</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日            时间：</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年</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月</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日</w:t>
      </w:r>
    </w:p>
    <w:p>
      <w:pPr>
        <w:spacing w:line="360" w:lineRule="auto"/>
        <w:jc w:val="left"/>
        <w:rPr>
          <w:rFonts w:ascii="Batang" w:hAnsi="Batang"/>
          <w:b/>
          <w:sz w:val="28"/>
          <w:szCs w:val="28"/>
        </w:rPr>
      </w:pPr>
    </w:p>
    <w:p>
      <w:pPr>
        <w:pStyle w:val="2"/>
        <w:rPr>
          <w:rFonts w:ascii="Batang" w:hAnsi="Batang"/>
          <w:b/>
          <w:sz w:val="28"/>
          <w:szCs w:val="28"/>
        </w:rPr>
      </w:pPr>
    </w:p>
    <w:p>
      <w:pPr>
        <w:pStyle w:val="2"/>
        <w:rPr>
          <w:rFonts w:ascii="Batang" w:hAnsi="Batang"/>
          <w:b/>
          <w:sz w:val="28"/>
          <w:szCs w:val="28"/>
        </w:rPr>
        <w:sectPr>
          <w:pgSz w:w="11906" w:h="16838"/>
          <w:pgMar w:top="1134" w:right="1134" w:bottom="1134" w:left="1134" w:header="851" w:footer="992" w:gutter="0"/>
          <w:cols w:space="0" w:num="1"/>
          <w:docGrid w:type="lines" w:linePitch="321" w:charSpace="0"/>
        </w:sectPr>
      </w:pPr>
    </w:p>
    <w:p>
      <w:pPr>
        <w:pStyle w:val="2"/>
      </w:pPr>
    </w:p>
    <w:p>
      <w:pPr>
        <w:jc w:val="center"/>
        <w:outlineLvl w:val="0"/>
        <w:rPr>
          <w:rFonts w:ascii="Batang" w:hAnsi="Batang"/>
          <w:b/>
          <w:sz w:val="28"/>
          <w:szCs w:val="28"/>
        </w:rPr>
      </w:pPr>
      <w:r>
        <w:rPr>
          <w:rFonts w:hint="eastAsia" w:ascii="宋体" w:hAnsi="宋体" w:cs="宋体"/>
          <w:b/>
          <w:bCs/>
          <w:color w:val="000000"/>
          <w:kern w:val="0"/>
          <w:sz w:val="28"/>
          <w:szCs w:val="28"/>
        </w:rPr>
        <w:t>百大集团及下属企业技能培训服务项目服务</w:t>
      </w:r>
      <w:r>
        <w:rPr>
          <w:rFonts w:hint="eastAsia" w:ascii="宋体" w:hAnsi="宋体" w:cs="宋体"/>
          <w:b/>
          <w:sz w:val="28"/>
          <w:szCs w:val="28"/>
        </w:rPr>
        <w:t>内容及报价附表</w:t>
      </w:r>
      <w:r>
        <w:rPr>
          <w:rFonts w:hint="eastAsia" w:ascii="Batang" w:hAnsi="Batang"/>
          <w:b/>
          <w:sz w:val="28"/>
          <w:szCs w:val="28"/>
        </w:rPr>
        <w:t>：</w:t>
      </w:r>
    </w:p>
    <w:p>
      <w:pPr>
        <w:jc w:val="center"/>
        <w:outlineLvl w:val="0"/>
        <w:rPr>
          <w:rFonts w:ascii="Batang" w:hAnsi="Batang"/>
          <w:b/>
          <w:sz w:val="28"/>
          <w:szCs w:val="28"/>
        </w:rPr>
      </w:pPr>
      <w:r>
        <w:rPr>
          <w:rFonts w:hint="eastAsia" w:ascii="Batang" w:hAnsi="Batang"/>
          <w:b/>
          <w:sz w:val="28"/>
          <w:szCs w:val="28"/>
          <w:u w:val="single"/>
        </w:rPr>
        <w:t xml:space="preserve">          </w:t>
      </w:r>
      <w:r>
        <w:rPr>
          <w:rFonts w:hint="eastAsia" w:ascii="Batang" w:hAnsi="Batang"/>
          <w:b/>
          <w:sz w:val="28"/>
          <w:szCs w:val="28"/>
        </w:rPr>
        <w:t>公司服务内容及报价</w:t>
      </w:r>
    </w:p>
    <w:p>
      <w:pPr>
        <w:pStyle w:val="2"/>
        <w:rPr>
          <w:rFonts w:hAnsi="宋体" w:cs="宋体"/>
        </w:rPr>
      </w:pPr>
    </w:p>
    <w:tbl>
      <w:tblPr>
        <w:tblStyle w:val="9"/>
        <w:tblpPr w:leftFromText="180" w:rightFromText="180" w:vertAnchor="text" w:horzAnchor="page" w:tblpX="1223" w:tblpY="515"/>
        <w:tblW w:w="14453" w:type="dxa"/>
        <w:tblInd w:w="0" w:type="dxa"/>
        <w:tblLayout w:type="fixed"/>
        <w:tblCellMar>
          <w:top w:w="0" w:type="dxa"/>
          <w:left w:w="108" w:type="dxa"/>
          <w:bottom w:w="0" w:type="dxa"/>
          <w:right w:w="108" w:type="dxa"/>
        </w:tblCellMar>
      </w:tblPr>
      <w:tblGrid>
        <w:gridCol w:w="2228"/>
        <w:gridCol w:w="2925"/>
        <w:gridCol w:w="2565"/>
        <w:gridCol w:w="1980"/>
        <w:gridCol w:w="3255"/>
        <w:gridCol w:w="1500"/>
      </w:tblGrid>
      <w:tr>
        <w:tblPrEx>
          <w:tblCellMar>
            <w:top w:w="0" w:type="dxa"/>
            <w:left w:w="108" w:type="dxa"/>
            <w:bottom w:w="0" w:type="dxa"/>
            <w:right w:w="108" w:type="dxa"/>
          </w:tblCellMar>
        </w:tblPrEx>
        <w:trPr>
          <w:trHeight w:val="585" w:hRule="atLeast"/>
        </w:trPr>
        <w:tc>
          <w:tcPr>
            <w:tcW w:w="2228" w:type="dxa"/>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企业名称</w:t>
            </w:r>
          </w:p>
        </w:tc>
        <w:tc>
          <w:tcPr>
            <w:tcW w:w="2925"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课程名称/课时</w:t>
            </w:r>
          </w:p>
        </w:tc>
        <w:tc>
          <w:tcPr>
            <w:tcW w:w="2565" w:type="dxa"/>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单价（元/人）</w:t>
            </w:r>
          </w:p>
        </w:tc>
        <w:tc>
          <w:tcPr>
            <w:tcW w:w="1980" w:type="dxa"/>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人数</w:t>
            </w:r>
          </w:p>
        </w:tc>
        <w:tc>
          <w:tcPr>
            <w:tcW w:w="3255"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小计</w:t>
            </w:r>
          </w:p>
        </w:tc>
        <w:tc>
          <w:tcPr>
            <w:tcW w:w="150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890" w:hRule="atLeast"/>
        </w:trPr>
        <w:tc>
          <w:tcPr>
            <w:tcW w:w="2228" w:type="dxa"/>
            <w:vMerge w:val="restart"/>
            <w:tcBorders>
              <w:top w:val="single" w:color="auto" w:sz="8" w:space="0"/>
              <w:left w:val="single" w:color="auto" w:sz="8" w:space="0"/>
              <w:right w:val="single" w:color="auto" w:sz="4" w:space="0"/>
            </w:tcBorders>
            <w:shd w:val="clear" w:color="auto" w:fill="auto"/>
            <w:vAlign w:val="center"/>
          </w:tcPr>
          <w:p>
            <w:pPr>
              <w:widowControl/>
              <w:jc w:val="center"/>
              <w:rPr>
                <w:rFonts w:ascii="宋体" w:hAnsi="宋体" w:cs="宋体"/>
                <w:kern w:val="0"/>
                <w:sz w:val="22"/>
                <w:szCs w:val="22"/>
              </w:rPr>
            </w:pPr>
          </w:p>
          <w:p>
            <w:pPr>
              <w:widowControl/>
              <w:jc w:val="center"/>
              <w:rPr>
                <w:rFonts w:ascii="宋体" w:hAnsi="宋体" w:cs="宋体"/>
                <w:kern w:val="0"/>
                <w:sz w:val="24"/>
              </w:rPr>
            </w:pPr>
          </w:p>
        </w:tc>
        <w:tc>
          <w:tcPr>
            <w:tcW w:w="2925"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left"/>
              <w:rPr>
                <w:rFonts w:ascii="宋体" w:hAnsi="宋体" w:cs="宋体"/>
                <w:kern w:val="0"/>
                <w:sz w:val="24"/>
              </w:rPr>
            </w:pPr>
          </w:p>
        </w:tc>
        <w:tc>
          <w:tcPr>
            <w:tcW w:w="25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p>
        </w:tc>
        <w:tc>
          <w:tcPr>
            <w:tcW w:w="1980" w:type="dxa"/>
            <w:tcBorders>
              <w:top w:val="single" w:color="auto" w:sz="8" w:space="0"/>
              <w:left w:val="single" w:color="auto" w:sz="4" w:space="0"/>
              <w:bottom w:val="single" w:color="auto" w:sz="8" w:space="0"/>
              <w:right w:val="single" w:color="auto" w:sz="4" w:space="0"/>
            </w:tcBorders>
            <w:shd w:val="clear" w:color="000000" w:fill="FFFFFF"/>
          </w:tcPr>
          <w:p>
            <w:pPr>
              <w:widowControl/>
              <w:jc w:val="center"/>
              <w:rPr>
                <w:rFonts w:ascii="宋体" w:hAnsi="宋体" w:cs="宋体"/>
                <w:b/>
                <w:bCs/>
                <w:kern w:val="0"/>
                <w:sz w:val="24"/>
              </w:rPr>
            </w:pPr>
          </w:p>
        </w:tc>
        <w:tc>
          <w:tcPr>
            <w:tcW w:w="3255" w:type="dxa"/>
            <w:tcBorders>
              <w:top w:val="single" w:color="auto" w:sz="8" w:space="0"/>
              <w:left w:val="single" w:color="auto" w:sz="4" w:space="0"/>
              <w:bottom w:val="single" w:color="auto" w:sz="8" w:space="0"/>
              <w:right w:val="single" w:color="auto" w:sz="8" w:space="0"/>
            </w:tcBorders>
            <w:shd w:val="clear" w:color="000000" w:fill="FFFFFF"/>
          </w:tcPr>
          <w:p>
            <w:pPr>
              <w:widowControl/>
              <w:jc w:val="center"/>
              <w:rPr>
                <w:rFonts w:ascii="宋体" w:hAnsi="宋体" w:cs="宋体"/>
                <w:b/>
                <w:bCs/>
                <w:kern w:val="0"/>
                <w:sz w:val="24"/>
              </w:rPr>
            </w:pPr>
          </w:p>
        </w:tc>
        <w:tc>
          <w:tcPr>
            <w:tcW w:w="150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bCs/>
                <w:kern w:val="0"/>
                <w:sz w:val="24"/>
              </w:rPr>
            </w:pPr>
          </w:p>
        </w:tc>
      </w:tr>
      <w:tr>
        <w:tblPrEx>
          <w:tblCellMar>
            <w:top w:w="0" w:type="dxa"/>
            <w:left w:w="108" w:type="dxa"/>
            <w:bottom w:w="0" w:type="dxa"/>
            <w:right w:w="108" w:type="dxa"/>
          </w:tblCellMar>
        </w:tblPrEx>
        <w:trPr>
          <w:trHeight w:val="858" w:hRule="atLeast"/>
        </w:trPr>
        <w:tc>
          <w:tcPr>
            <w:tcW w:w="2228" w:type="dxa"/>
            <w:vMerge w:val="continue"/>
            <w:tcBorders>
              <w:left w:val="single" w:color="auto" w:sz="8" w:space="0"/>
              <w:right w:val="single" w:color="auto" w:sz="4" w:space="0"/>
            </w:tcBorders>
            <w:vAlign w:val="center"/>
          </w:tcPr>
          <w:p>
            <w:pPr>
              <w:widowControl/>
              <w:jc w:val="left"/>
              <w:rPr>
                <w:rFonts w:ascii="宋体" w:hAnsi="宋体" w:cs="宋体"/>
                <w:kern w:val="0"/>
                <w:sz w:val="24"/>
              </w:rPr>
            </w:pPr>
          </w:p>
        </w:tc>
        <w:tc>
          <w:tcPr>
            <w:tcW w:w="2925" w:type="dxa"/>
            <w:tcBorders>
              <w:top w:val="single" w:color="auto" w:sz="8" w:space="0"/>
              <w:left w:val="single" w:color="auto" w:sz="4" w:space="0"/>
              <w:bottom w:val="single" w:color="auto" w:sz="8" w:space="0"/>
              <w:right w:val="single" w:color="auto" w:sz="4" w:space="0"/>
            </w:tcBorders>
            <w:vAlign w:val="center"/>
          </w:tcPr>
          <w:p>
            <w:pPr>
              <w:widowControl/>
              <w:jc w:val="left"/>
              <w:rPr>
                <w:rFonts w:ascii="宋体" w:hAnsi="宋体" w:cs="宋体"/>
                <w:kern w:val="0"/>
                <w:sz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980" w:type="dxa"/>
            <w:tcBorders>
              <w:top w:val="single" w:color="auto" w:sz="8" w:space="0"/>
              <w:left w:val="single" w:color="auto" w:sz="4" w:space="0"/>
              <w:bottom w:val="single" w:color="auto" w:sz="8" w:space="0"/>
              <w:right w:val="single" w:color="auto" w:sz="4" w:space="0"/>
            </w:tcBorders>
          </w:tcPr>
          <w:p>
            <w:pPr>
              <w:widowControl/>
              <w:jc w:val="center"/>
              <w:rPr>
                <w:rFonts w:ascii="宋体" w:hAnsi="宋体" w:cs="宋体"/>
                <w:kern w:val="0"/>
                <w:sz w:val="22"/>
                <w:szCs w:val="22"/>
              </w:rPr>
            </w:pPr>
          </w:p>
        </w:tc>
        <w:tc>
          <w:tcPr>
            <w:tcW w:w="3255" w:type="dxa"/>
            <w:tcBorders>
              <w:top w:val="single" w:color="auto" w:sz="8" w:space="0"/>
              <w:left w:val="single" w:color="auto" w:sz="4" w:space="0"/>
              <w:bottom w:val="single" w:color="auto" w:sz="8" w:space="0"/>
              <w:right w:val="single" w:color="auto" w:sz="8" w:space="0"/>
            </w:tcBorders>
          </w:tcPr>
          <w:p>
            <w:pPr>
              <w:widowControl/>
              <w:jc w:val="center"/>
              <w:rPr>
                <w:rFonts w:ascii="宋体" w:hAnsi="宋体" w:cs="宋体"/>
                <w:kern w:val="0"/>
                <w:sz w:val="22"/>
                <w:szCs w:val="22"/>
              </w:rPr>
            </w:pPr>
          </w:p>
        </w:tc>
        <w:tc>
          <w:tcPr>
            <w:tcW w:w="15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843" w:hRule="atLeast"/>
        </w:trPr>
        <w:tc>
          <w:tcPr>
            <w:tcW w:w="2228" w:type="dxa"/>
            <w:vMerge w:val="continue"/>
            <w:tcBorders>
              <w:left w:val="single" w:color="auto" w:sz="8" w:space="0"/>
              <w:right w:val="single" w:color="auto" w:sz="4" w:space="0"/>
            </w:tcBorders>
            <w:vAlign w:val="center"/>
          </w:tcPr>
          <w:p>
            <w:pPr>
              <w:widowControl/>
              <w:jc w:val="center"/>
              <w:rPr>
                <w:rFonts w:ascii="宋体" w:hAnsi="宋体" w:cs="宋体"/>
                <w:kern w:val="0"/>
                <w:sz w:val="24"/>
              </w:rPr>
            </w:pPr>
          </w:p>
        </w:tc>
        <w:tc>
          <w:tcPr>
            <w:tcW w:w="2925" w:type="dxa"/>
            <w:tcBorders>
              <w:top w:val="single" w:color="auto" w:sz="8" w:space="0"/>
              <w:left w:val="single" w:color="auto" w:sz="4" w:space="0"/>
              <w:bottom w:val="single" w:color="auto" w:sz="8" w:space="0"/>
              <w:right w:val="single" w:color="auto" w:sz="4" w:space="0"/>
            </w:tcBorders>
            <w:vAlign w:val="center"/>
          </w:tcPr>
          <w:p>
            <w:pPr>
              <w:widowControl/>
              <w:jc w:val="left"/>
              <w:rPr>
                <w:rFonts w:ascii="宋体" w:hAnsi="宋体" w:cs="宋体"/>
                <w:kern w:val="0"/>
                <w:sz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980" w:type="dxa"/>
            <w:tcBorders>
              <w:top w:val="single" w:color="auto" w:sz="8" w:space="0"/>
              <w:left w:val="single" w:color="auto" w:sz="4" w:space="0"/>
              <w:bottom w:val="single" w:color="auto" w:sz="8" w:space="0"/>
              <w:right w:val="single" w:color="auto" w:sz="4" w:space="0"/>
            </w:tcBorders>
          </w:tcPr>
          <w:p>
            <w:pPr>
              <w:widowControl/>
              <w:jc w:val="center"/>
              <w:rPr>
                <w:rFonts w:ascii="宋体" w:hAnsi="宋体" w:cs="宋体"/>
                <w:kern w:val="0"/>
                <w:sz w:val="22"/>
                <w:szCs w:val="22"/>
              </w:rPr>
            </w:pPr>
          </w:p>
        </w:tc>
        <w:tc>
          <w:tcPr>
            <w:tcW w:w="3255" w:type="dxa"/>
            <w:tcBorders>
              <w:top w:val="single" w:color="auto" w:sz="8" w:space="0"/>
              <w:left w:val="single" w:color="auto" w:sz="4" w:space="0"/>
              <w:bottom w:val="single" w:color="auto" w:sz="8" w:space="0"/>
              <w:right w:val="single" w:color="auto" w:sz="8" w:space="0"/>
            </w:tcBorders>
          </w:tcPr>
          <w:p>
            <w:pPr>
              <w:widowControl/>
              <w:jc w:val="center"/>
              <w:rPr>
                <w:rFonts w:ascii="宋体" w:hAnsi="宋体" w:cs="宋体"/>
                <w:kern w:val="0"/>
                <w:sz w:val="22"/>
                <w:szCs w:val="22"/>
              </w:rPr>
            </w:pPr>
          </w:p>
        </w:tc>
        <w:tc>
          <w:tcPr>
            <w:tcW w:w="15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888" w:hRule="atLeast"/>
        </w:trPr>
        <w:tc>
          <w:tcPr>
            <w:tcW w:w="2228" w:type="dxa"/>
            <w:vMerge w:val="continue"/>
            <w:tcBorders>
              <w:left w:val="single" w:color="auto" w:sz="8" w:space="0"/>
              <w:right w:val="single" w:color="auto" w:sz="4" w:space="0"/>
            </w:tcBorders>
            <w:vAlign w:val="center"/>
          </w:tcPr>
          <w:p>
            <w:pPr>
              <w:widowControl/>
              <w:jc w:val="left"/>
              <w:rPr>
                <w:rFonts w:ascii="宋体" w:hAnsi="宋体" w:cs="宋体"/>
                <w:kern w:val="0"/>
                <w:sz w:val="24"/>
              </w:rPr>
            </w:pPr>
          </w:p>
        </w:tc>
        <w:tc>
          <w:tcPr>
            <w:tcW w:w="2925" w:type="dxa"/>
            <w:tcBorders>
              <w:top w:val="single" w:color="auto" w:sz="8" w:space="0"/>
              <w:left w:val="single" w:color="auto" w:sz="4" w:space="0"/>
              <w:bottom w:val="single" w:color="auto" w:sz="8" w:space="0"/>
              <w:right w:val="single" w:color="auto" w:sz="4" w:space="0"/>
            </w:tcBorders>
            <w:vAlign w:val="center"/>
          </w:tcPr>
          <w:p>
            <w:pPr>
              <w:widowControl/>
              <w:jc w:val="left"/>
              <w:rPr>
                <w:rFonts w:ascii="宋体" w:hAnsi="宋体" w:cs="宋体"/>
                <w:kern w:val="0"/>
                <w:sz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980" w:type="dxa"/>
            <w:tcBorders>
              <w:top w:val="single" w:color="auto" w:sz="8" w:space="0"/>
              <w:left w:val="single" w:color="auto" w:sz="4" w:space="0"/>
              <w:bottom w:val="single" w:color="auto" w:sz="8" w:space="0"/>
              <w:right w:val="single" w:color="auto" w:sz="4" w:space="0"/>
            </w:tcBorders>
          </w:tcPr>
          <w:p>
            <w:pPr>
              <w:widowControl/>
              <w:jc w:val="center"/>
              <w:rPr>
                <w:rFonts w:ascii="宋体" w:hAnsi="宋体" w:cs="宋体"/>
                <w:kern w:val="0"/>
                <w:sz w:val="22"/>
                <w:szCs w:val="22"/>
              </w:rPr>
            </w:pPr>
          </w:p>
        </w:tc>
        <w:tc>
          <w:tcPr>
            <w:tcW w:w="3255" w:type="dxa"/>
            <w:tcBorders>
              <w:top w:val="single" w:color="auto" w:sz="8" w:space="0"/>
              <w:left w:val="single" w:color="auto" w:sz="4" w:space="0"/>
              <w:bottom w:val="single" w:color="auto" w:sz="8" w:space="0"/>
              <w:right w:val="single" w:color="auto" w:sz="8" w:space="0"/>
            </w:tcBorders>
          </w:tcPr>
          <w:p>
            <w:pPr>
              <w:widowControl/>
              <w:jc w:val="center"/>
              <w:rPr>
                <w:rFonts w:ascii="宋体" w:hAnsi="宋体" w:cs="宋体"/>
                <w:kern w:val="0"/>
                <w:sz w:val="22"/>
                <w:szCs w:val="22"/>
              </w:rPr>
            </w:pPr>
          </w:p>
        </w:tc>
        <w:tc>
          <w:tcPr>
            <w:tcW w:w="15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888" w:hRule="atLeast"/>
        </w:trPr>
        <w:tc>
          <w:tcPr>
            <w:tcW w:w="2228" w:type="dxa"/>
            <w:vMerge w:val="continue"/>
            <w:tcBorders>
              <w:left w:val="single" w:color="auto" w:sz="8" w:space="0"/>
              <w:bottom w:val="single" w:color="auto" w:sz="8" w:space="0"/>
              <w:right w:val="single" w:color="auto" w:sz="4" w:space="0"/>
            </w:tcBorders>
            <w:vAlign w:val="center"/>
          </w:tcPr>
          <w:p>
            <w:pPr>
              <w:widowControl/>
              <w:jc w:val="left"/>
              <w:rPr>
                <w:rFonts w:ascii="宋体" w:hAnsi="宋体" w:cs="宋体"/>
                <w:kern w:val="0"/>
                <w:sz w:val="24"/>
              </w:rPr>
            </w:pPr>
          </w:p>
        </w:tc>
        <w:tc>
          <w:tcPr>
            <w:tcW w:w="2925" w:type="dxa"/>
            <w:tcBorders>
              <w:top w:val="single" w:color="auto" w:sz="8" w:space="0"/>
              <w:left w:val="single" w:color="auto" w:sz="4" w:space="0"/>
              <w:bottom w:val="single" w:color="auto" w:sz="8" w:space="0"/>
              <w:right w:val="single" w:color="auto" w:sz="4" w:space="0"/>
            </w:tcBorders>
            <w:vAlign w:val="center"/>
          </w:tcPr>
          <w:p>
            <w:pPr>
              <w:widowControl/>
              <w:jc w:val="left"/>
              <w:rPr>
                <w:rFonts w:ascii="宋体" w:hAnsi="宋体" w:cs="宋体"/>
                <w:kern w:val="0"/>
                <w:sz w:val="24"/>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980" w:type="dxa"/>
            <w:tcBorders>
              <w:top w:val="single" w:color="auto" w:sz="8" w:space="0"/>
              <w:left w:val="single" w:color="auto" w:sz="4" w:space="0"/>
              <w:bottom w:val="single" w:color="auto" w:sz="8" w:space="0"/>
              <w:right w:val="single" w:color="auto" w:sz="4" w:space="0"/>
            </w:tcBorders>
          </w:tcPr>
          <w:p>
            <w:pPr>
              <w:widowControl/>
              <w:jc w:val="center"/>
              <w:rPr>
                <w:rFonts w:ascii="宋体" w:hAnsi="宋体" w:cs="宋体"/>
                <w:kern w:val="0"/>
                <w:sz w:val="22"/>
                <w:szCs w:val="22"/>
              </w:rPr>
            </w:pPr>
          </w:p>
        </w:tc>
        <w:tc>
          <w:tcPr>
            <w:tcW w:w="3255" w:type="dxa"/>
            <w:tcBorders>
              <w:top w:val="single" w:color="auto" w:sz="8" w:space="0"/>
              <w:left w:val="single" w:color="auto" w:sz="4" w:space="0"/>
              <w:bottom w:val="single" w:color="auto" w:sz="8" w:space="0"/>
              <w:right w:val="single" w:color="auto" w:sz="8" w:space="0"/>
            </w:tcBorders>
          </w:tcPr>
          <w:p>
            <w:pPr>
              <w:widowControl/>
              <w:jc w:val="center"/>
              <w:rPr>
                <w:rFonts w:ascii="宋体" w:hAnsi="宋体" w:cs="宋体"/>
                <w:kern w:val="0"/>
                <w:sz w:val="22"/>
                <w:szCs w:val="22"/>
              </w:rPr>
            </w:pPr>
          </w:p>
        </w:tc>
        <w:tc>
          <w:tcPr>
            <w:tcW w:w="15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888" w:hRule="atLeast"/>
        </w:trPr>
        <w:tc>
          <w:tcPr>
            <w:tcW w:w="515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b/>
                <w:bCs/>
                <w:kern w:val="0"/>
                <w:sz w:val="24"/>
              </w:rPr>
              <w:t>合计（含税）</w:t>
            </w:r>
          </w:p>
        </w:tc>
        <w:tc>
          <w:tcPr>
            <w:tcW w:w="2565" w:type="dxa"/>
            <w:tcBorders>
              <w:top w:val="single" w:color="auto" w:sz="4"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p>
        </w:tc>
        <w:tc>
          <w:tcPr>
            <w:tcW w:w="1980" w:type="dxa"/>
            <w:tcBorders>
              <w:top w:val="single" w:color="auto" w:sz="8" w:space="0"/>
              <w:left w:val="single" w:color="auto" w:sz="8" w:space="0"/>
              <w:bottom w:val="single" w:color="auto" w:sz="8" w:space="0"/>
              <w:right w:val="single" w:color="auto" w:sz="4" w:space="0"/>
            </w:tcBorders>
          </w:tcPr>
          <w:p>
            <w:pPr>
              <w:widowControl/>
              <w:jc w:val="center"/>
              <w:rPr>
                <w:rFonts w:ascii="宋体" w:hAnsi="宋体" w:cs="宋体"/>
                <w:kern w:val="0"/>
                <w:sz w:val="22"/>
                <w:szCs w:val="22"/>
              </w:rPr>
            </w:pPr>
          </w:p>
        </w:tc>
        <w:tc>
          <w:tcPr>
            <w:tcW w:w="3255" w:type="dxa"/>
            <w:tcBorders>
              <w:top w:val="single" w:color="auto" w:sz="8" w:space="0"/>
              <w:left w:val="single" w:color="auto" w:sz="4" w:space="0"/>
              <w:bottom w:val="single" w:color="auto" w:sz="8" w:space="0"/>
              <w:right w:val="single" w:color="auto" w:sz="8" w:space="0"/>
            </w:tcBorders>
          </w:tcPr>
          <w:p>
            <w:pPr>
              <w:widowControl/>
              <w:jc w:val="center"/>
              <w:rPr>
                <w:rFonts w:ascii="宋体" w:hAnsi="宋体" w:cs="宋体"/>
                <w:kern w:val="0"/>
                <w:sz w:val="22"/>
                <w:szCs w:val="22"/>
              </w:rPr>
            </w:pPr>
          </w:p>
        </w:tc>
        <w:tc>
          <w:tcPr>
            <w:tcW w:w="15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2"/>
                <w:szCs w:val="22"/>
              </w:rPr>
            </w:pPr>
          </w:p>
        </w:tc>
      </w:tr>
    </w:tbl>
    <w:p>
      <w:pPr>
        <w:pStyle w:val="2"/>
        <w:rPr>
          <w:rFonts w:hAnsi="宋体" w:cs="宋体"/>
        </w:rPr>
        <w:sectPr>
          <w:pgSz w:w="16838" w:h="11906" w:orient="landscape"/>
          <w:pgMar w:top="1134" w:right="1134" w:bottom="1134" w:left="1134" w:header="851" w:footer="992" w:gutter="0"/>
          <w:cols w:space="0" w:num="1"/>
          <w:docGrid w:type="lines" w:linePitch="321" w:charSpace="0"/>
        </w:sectPr>
      </w:pPr>
    </w:p>
    <w:p>
      <w:pPr>
        <w:numPr>
          <w:ilvl w:val="0"/>
          <w:numId w:val="3"/>
        </w:numPr>
        <w:spacing w:line="500" w:lineRule="atLeast"/>
        <w:jc w:val="center"/>
        <w:rPr>
          <w:rFonts w:ascii="宋体" w:hAnsi="宋体" w:cs="宋体"/>
          <w:b/>
          <w:color w:val="000000"/>
          <w:sz w:val="24"/>
          <w:szCs w:val="21"/>
        </w:rPr>
      </w:pPr>
      <w:r>
        <w:rPr>
          <w:rFonts w:hint="eastAsia" w:ascii="宋体" w:hAnsi="宋体" w:cs="宋体"/>
          <w:b/>
          <w:color w:val="000000"/>
          <w:sz w:val="24"/>
          <w:szCs w:val="21"/>
        </w:rPr>
        <w:t>合肥百货大楼集团股份有限公司百大集团及下属企业</w:t>
      </w:r>
      <w:r>
        <w:rPr>
          <w:rFonts w:hint="eastAsia" w:ascii="宋体" w:hAnsi="宋体" w:cs="宋体"/>
          <w:b/>
          <w:bCs/>
          <w:color w:val="000000"/>
          <w:kern w:val="0"/>
          <w:sz w:val="28"/>
          <w:szCs w:val="28"/>
        </w:rPr>
        <w:t>技能培训服务课时表</w:t>
      </w:r>
    </w:p>
    <w:tbl>
      <w:tblPr>
        <w:tblStyle w:val="9"/>
        <w:tblW w:w="14220" w:type="dxa"/>
        <w:tblInd w:w="93" w:type="dxa"/>
        <w:tblLayout w:type="fixed"/>
        <w:tblCellMar>
          <w:top w:w="0" w:type="dxa"/>
          <w:left w:w="108" w:type="dxa"/>
          <w:bottom w:w="0" w:type="dxa"/>
          <w:right w:w="108" w:type="dxa"/>
        </w:tblCellMar>
      </w:tblPr>
      <w:tblGrid>
        <w:gridCol w:w="784"/>
        <w:gridCol w:w="1998"/>
        <w:gridCol w:w="3528"/>
        <w:gridCol w:w="2276"/>
        <w:gridCol w:w="1835"/>
        <w:gridCol w:w="1735"/>
        <w:gridCol w:w="2064"/>
      </w:tblGrid>
      <w:tr>
        <w:tblPrEx>
          <w:tblCellMar>
            <w:top w:w="0" w:type="dxa"/>
            <w:left w:w="108" w:type="dxa"/>
            <w:bottom w:w="0" w:type="dxa"/>
            <w:right w:w="108" w:type="dxa"/>
          </w:tblCellMar>
        </w:tblPrEx>
        <w:trPr>
          <w:trHeight w:val="602" w:hRule="atLeast"/>
        </w:trPr>
        <w:tc>
          <w:tcPr>
            <w:tcW w:w="14220" w:type="dxa"/>
            <w:gridSpan w:val="7"/>
            <w:tcBorders>
              <w:top w:val="nil"/>
              <w:left w:val="nil"/>
              <w:bottom w:val="nil"/>
              <w:right w:val="nil"/>
            </w:tcBorders>
            <w:vAlign w:val="center"/>
          </w:tcPr>
          <w:p>
            <w:pPr>
              <w:widowControl/>
              <w:jc w:val="left"/>
              <w:textAlignment w:val="center"/>
              <w:rPr>
                <w:rFonts w:ascii="黑体" w:hAnsi="宋体" w:eastAsia="黑体" w:cs="黑体"/>
                <w:color w:val="000000"/>
                <w:sz w:val="32"/>
                <w:szCs w:val="32"/>
              </w:rPr>
            </w:pPr>
          </w:p>
        </w:tc>
      </w:tr>
      <w:tr>
        <w:tblPrEx>
          <w:tblCellMar>
            <w:top w:w="0" w:type="dxa"/>
            <w:left w:w="108" w:type="dxa"/>
            <w:bottom w:w="0" w:type="dxa"/>
            <w:right w:w="108" w:type="dxa"/>
          </w:tblCellMar>
        </w:tblPrEx>
        <w:trPr>
          <w:trHeight w:val="1171" w:hRule="atLeast"/>
        </w:trPr>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b/>
                <w:bCs/>
                <w:color w:val="000000"/>
                <w:sz w:val="28"/>
                <w:szCs w:val="28"/>
              </w:rPr>
            </w:pPr>
            <w:r>
              <w:rPr>
                <w:rFonts w:hint="eastAsia" w:ascii="仿宋_GB2312" w:hAnsi="Arial" w:eastAsia="仿宋_GB2312" w:cs="仿宋_GB2312"/>
                <w:b/>
                <w:bCs/>
                <w:color w:val="000000"/>
                <w:kern w:val="0"/>
                <w:sz w:val="28"/>
                <w:szCs w:val="28"/>
              </w:rPr>
              <w:t>序号</w:t>
            </w:r>
          </w:p>
        </w:tc>
        <w:tc>
          <w:tcPr>
            <w:tcW w:w="1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b/>
                <w:bCs/>
                <w:color w:val="000000"/>
                <w:sz w:val="28"/>
                <w:szCs w:val="28"/>
              </w:rPr>
            </w:pPr>
            <w:r>
              <w:rPr>
                <w:rFonts w:hint="eastAsia" w:ascii="仿宋_GB2312" w:hAnsi="Arial" w:eastAsia="仿宋_GB2312" w:cs="仿宋_GB2312"/>
                <w:b/>
                <w:bCs/>
                <w:color w:val="000000"/>
                <w:kern w:val="0"/>
                <w:sz w:val="28"/>
                <w:szCs w:val="28"/>
              </w:rPr>
              <w:t>门店名称</w:t>
            </w:r>
          </w:p>
        </w:tc>
        <w:tc>
          <w:tcPr>
            <w:tcW w:w="35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b/>
                <w:bCs/>
                <w:color w:val="000000"/>
                <w:sz w:val="28"/>
                <w:szCs w:val="28"/>
              </w:rPr>
            </w:pPr>
            <w:r>
              <w:rPr>
                <w:rFonts w:hint="eastAsia" w:ascii="仿宋_GB2312" w:hAnsi="Arial" w:eastAsia="仿宋_GB2312" w:cs="仿宋_GB2312"/>
                <w:b/>
                <w:bCs/>
                <w:color w:val="000000"/>
                <w:kern w:val="0"/>
                <w:sz w:val="28"/>
                <w:szCs w:val="28"/>
              </w:rPr>
              <w:t>地址</w:t>
            </w:r>
          </w:p>
        </w:tc>
        <w:tc>
          <w:tcPr>
            <w:tcW w:w="2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b/>
                <w:bCs/>
                <w:color w:val="000000"/>
                <w:sz w:val="28"/>
                <w:szCs w:val="28"/>
              </w:rPr>
            </w:pPr>
            <w:r>
              <w:rPr>
                <w:rFonts w:hint="eastAsia" w:ascii="仿宋_GB2312" w:hAnsi="Arial" w:eastAsia="仿宋_GB2312" w:cs="仿宋_GB2312"/>
                <w:b/>
                <w:bCs/>
                <w:color w:val="000000"/>
                <w:sz w:val="28"/>
                <w:szCs w:val="28"/>
              </w:rPr>
              <w:t>培训类型</w:t>
            </w:r>
          </w:p>
        </w:tc>
        <w:tc>
          <w:tcPr>
            <w:tcW w:w="1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b/>
                <w:bCs/>
                <w:color w:val="000000"/>
                <w:sz w:val="28"/>
                <w:szCs w:val="28"/>
              </w:rPr>
            </w:pPr>
            <w:r>
              <w:rPr>
                <w:rFonts w:hint="eastAsia" w:ascii="仿宋_GB2312" w:hAnsi="Arial" w:eastAsia="仿宋_GB2312" w:cs="仿宋_GB2312"/>
                <w:b/>
                <w:bCs/>
                <w:color w:val="000000"/>
                <w:kern w:val="0"/>
                <w:sz w:val="28"/>
                <w:szCs w:val="28"/>
              </w:rPr>
              <w:t>课时</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b/>
                <w:bCs/>
                <w:color w:val="000000"/>
                <w:sz w:val="28"/>
                <w:szCs w:val="28"/>
              </w:rPr>
            </w:pPr>
            <w:r>
              <w:rPr>
                <w:rFonts w:hint="eastAsia" w:ascii="仿宋_GB2312" w:hAnsi="Arial" w:eastAsia="仿宋_GB2312" w:cs="仿宋_GB2312"/>
                <w:b/>
                <w:bCs/>
                <w:color w:val="000000"/>
                <w:kern w:val="0"/>
                <w:sz w:val="28"/>
                <w:szCs w:val="28"/>
              </w:rPr>
              <w:t>人员</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b/>
                <w:bCs/>
                <w:color w:val="000000"/>
                <w:sz w:val="28"/>
                <w:szCs w:val="28"/>
              </w:rPr>
            </w:pPr>
            <w:r>
              <w:rPr>
                <w:rFonts w:hint="eastAsia" w:ascii="仿宋_GB2312" w:hAnsi="Arial" w:eastAsia="仿宋_GB2312" w:cs="仿宋_GB2312"/>
                <w:b/>
                <w:bCs/>
                <w:color w:val="000000"/>
                <w:kern w:val="0"/>
                <w:sz w:val="28"/>
                <w:szCs w:val="28"/>
              </w:rPr>
              <w:t>备注</w:t>
            </w:r>
          </w:p>
        </w:tc>
      </w:tr>
      <w:tr>
        <w:tblPrEx>
          <w:tblCellMar>
            <w:top w:w="0" w:type="dxa"/>
            <w:left w:w="108" w:type="dxa"/>
            <w:bottom w:w="0" w:type="dxa"/>
            <w:right w:w="108" w:type="dxa"/>
          </w:tblCellMar>
        </w:tblPrEx>
        <w:trPr>
          <w:trHeight w:val="1193" w:hRule="atLeast"/>
        </w:trPr>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r>
              <w:rPr>
                <w:rFonts w:hint="eastAsia" w:ascii="仿宋_GB2312" w:hAnsi="Arial" w:eastAsia="仿宋_GB2312" w:cs="仿宋_GB2312"/>
                <w:color w:val="000000"/>
                <w:kern w:val="0"/>
                <w:sz w:val="28"/>
                <w:szCs w:val="28"/>
              </w:rPr>
              <w:t>1</w:t>
            </w:r>
          </w:p>
        </w:tc>
        <w:tc>
          <w:tcPr>
            <w:tcW w:w="19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r>
              <w:rPr>
                <w:rFonts w:hint="eastAsia" w:ascii="仿宋_GB2312" w:hAnsi="Arial" w:eastAsia="仿宋_GB2312" w:cs="仿宋_GB2312"/>
                <w:color w:val="000000"/>
                <w:kern w:val="0"/>
                <w:sz w:val="28"/>
                <w:szCs w:val="28"/>
              </w:rPr>
              <w:t>集团公司</w:t>
            </w:r>
          </w:p>
        </w:tc>
        <w:tc>
          <w:tcPr>
            <w:tcW w:w="352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r>
              <w:rPr>
                <w:rFonts w:hint="eastAsia" w:ascii="仿宋_GB2312" w:hAnsi="Arial" w:eastAsia="仿宋_GB2312" w:cs="仿宋_GB2312"/>
                <w:color w:val="000000"/>
                <w:kern w:val="0"/>
                <w:sz w:val="28"/>
                <w:szCs w:val="28"/>
              </w:rPr>
              <w:t>合肥市蜀山区黄山路596号</w:t>
            </w:r>
          </w:p>
        </w:tc>
        <w:tc>
          <w:tcPr>
            <w:tcW w:w="2276"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835"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735"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r>
      <w:tr>
        <w:tblPrEx>
          <w:tblCellMar>
            <w:top w:w="0" w:type="dxa"/>
            <w:left w:w="108" w:type="dxa"/>
            <w:bottom w:w="0" w:type="dxa"/>
            <w:right w:w="108" w:type="dxa"/>
          </w:tblCellMar>
        </w:tblPrEx>
        <w:trPr>
          <w:trHeight w:val="1212" w:hRule="atLeast"/>
        </w:trPr>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r>
              <w:rPr>
                <w:rFonts w:hint="eastAsia" w:ascii="仿宋_GB2312" w:hAnsi="Arial" w:eastAsia="仿宋_GB2312" w:cs="仿宋_GB2312"/>
                <w:color w:val="000000"/>
                <w:kern w:val="0"/>
                <w:sz w:val="28"/>
                <w:szCs w:val="28"/>
              </w:rPr>
              <w:t>2</w:t>
            </w:r>
          </w:p>
        </w:tc>
        <w:tc>
          <w:tcPr>
            <w:tcW w:w="199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r>
              <w:rPr>
                <w:rFonts w:hint="eastAsia" w:ascii="仿宋_GB2312" w:hAnsi="Arial" w:eastAsia="仿宋_GB2312" w:cs="仿宋_GB2312"/>
                <w:color w:val="000000"/>
                <w:kern w:val="0"/>
                <w:sz w:val="28"/>
                <w:szCs w:val="28"/>
              </w:rPr>
              <w:t>周谷堆</w:t>
            </w:r>
          </w:p>
        </w:tc>
        <w:tc>
          <w:tcPr>
            <w:tcW w:w="35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r>
              <w:rPr>
                <w:rFonts w:hint="eastAsia" w:ascii="仿宋_GB2312" w:hAnsi="Arial" w:eastAsia="仿宋_GB2312" w:cs="仿宋_GB2312"/>
                <w:color w:val="000000"/>
                <w:kern w:val="0"/>
                <w:sz w:val="28"/>
                <w:szCs w:val="28"/>
              </w:rPr>
              <w:t>合肥市瑶海区和平路与钟油坊路交叉路口</w:t>
            </w:r>
          </w:p>
        </w:tc>
        <w:tc>
          <w:tcPr>
            <w:tcW w:w="2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r>
      <w:tr>
        <w:tblPrEx>
          <w:tblCellMar>
            <w:top w:w="0" w:type="dxa"/>
            <w:left w:w="108" w:type="dxa"/>
            <w:bottom w:w="0" w:type="dxa"/>
            <w:right w:w="108" w:type="dxa"/>
          </w:tblCellMar>
        </w:tblPrEx>
        <w:trPr>
          <w:trHeight w:val="1262" w:hRule="atLeast"/>
        </w:trPr>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r>
              <w:rPr>
                <w:rFonts w:hint="eastAsia" w:ascii="仿宋_GB2312" w:hAnsi="Arial" w:eastAsia="仿宋_GB2312" w:cs="仿宋_GB2312"/>
                <w:color w:val="000000"/>
                <w:kern w:val="0"/>
                <w:sz w:val="28"/>
                <w:szCs w:val="28"/>
              </w:rPr>
              <w:t>3</w:t>
            </w:r>
          </w:p>
        </w:tc>
        <w:tc>
          <w:tcPr>
            <w:tcW w:w="1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35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Arial" w:eastAsia="仿宋_GB2312" w:cs="仿宋_GB2312"/>
                <w:color w:val="000000"/>
                <w:sz w:val="28"/>
                <w:szCs w:val="28"/>
              </w:rPr>
            </w:pPr>
          </w:p>
        </w:tc>
        <w:tc>
          <w:tcPr>
            <w:tcW w:w="2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r>
      <w:tr>
        <w:tblPrEx>
          <w:tblCellMar>
            <w:top w:w="0" w:type="dxa"/>
            <w:left w:w="108" w:type="dxa"/>
            <w:bottom w:w="0" w:type="dxa"/>
            <w:right w:w="108" w:type="dxa"/>
          </w:tblCellMar>
        </w:tblPrEx>
        <w:trPr>
          <w:trHeight w:val="1262" w:hRule="atLeast"/>
        </w:trPr>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kern w:val="0"/>
                <w:sz w:val="28"/>
                <w:szCs w:val="28"/>
              </w:rPr>
            </w:pPr>
            <w:r>
              <w:rPr>
                <w:rFonts w:hint="eastAsia" w:ascii="仿宋_GB2312" w:hAnsi="Arial" w:eastAsia="仿宋_GB2312" w:cs="仿宋_GB2312"/>
                <w:color w:val="000000"/>
                <w:kern w:val="0"/>
                <w:sz w:val="28"/>
                <w:szCs w:val="28"/>
              </w:rPr>
              <w:t>4</w:t>
            </w:r>
          </w:p>
        </w:tc>
        <w:tc>
          <w:tcPr>
            <w:tcW w:w="1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kern w:val="0"/>
                <w:sz w:val="28"/>
                <w:szCs w:val="28"/>
              </w:rPr>
            </w:pPr>
          </w:p>
        </w:tc>
        <w:tc>
          <w:tcPr>
            <w:tcW w:w="35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Arial" w:eastAsia="仿宋_GB2312" w:cs="仿宋_GB2312"/>
                <w:color w:val="000000"/>
                <w:sz w:val="28"/>
                <w:szCs w:val="28"/>
              </w:rPr>
            </w:pPr>
          </w:p>
        </w:tc>
        <w:tc>
          <w:tcPr>
            <w:tcW w:w="2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r>
      <w:tr>
        <w:tblPrEx>
          <w:tblCellMar>
            <w:top w:w="0" w:type="dxa"/>
            <w:left w:w="108" w:type="dxa"/>
            <w:bottom w:w="0" w:type="dxa"/>
            <w:right w:w="108" w:type="dxa"/>
          </w:tblCellMar>
        </w:tblPrEx>
        <w:trPr>
          <w:trHeight w:val="1281" w:hRule="atLeast"/>
        </w:trPr>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kern w:val="0"/>
                <w:sz w:val="28"/>
                <w:szCs w:val="28"/>
              </w:rPr>
            </w:pPr>
            <w:r>
              <w:rPr>
                <w:rFonts w:hint="eastAsia" w:ascii="仿宋_GB2312" w:hAnsi="Arial" w:eastAsia="仿宋_GB2312" w:cs="仿宋_GB2312"/>
                <w:color w:val="000000"/>
                <w:kern w:val="0"/>
                <w:sz w:val="28"/>
                <w:szCs w:val="28"/>
              </w:rPr>
              <w:t>5</w:t>
            </w:r>
          </w:p>
        </w:tc>
        <w:tc>
          <w:tcPr>
            <w:tcW w:w="1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kern w:val="0"/>
                <w:sz w:val="28"/>
                <w:szCs w:val="28"/>
              </w:rPr>
            </w:pPr>
            <w:r>
              <w:rPr>
                <w:rFonts w:hint="eastAsia" w:ascii="仿宋_GB2312" w:hAnsi="Arial" w:eastAsia="仿宋_GB2312" w:cs="仿宋_GB2312"/>
                <w:color w:val="000000"/>
                <w:kern w:val="0"/>
                <w:sz w:val="28"/>
                <w:szCs w:val="28"/>
              </w:rPr>
              <w:t>……</w:t>
            </w:r>
          </w:p>
        </w:tc>
        <w:tc>
          <w:tcPr>
            <w:tcW w:w="35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Arial" w:eastAsia="仿宋_GB2312" w:cs="仿宋_GB2312"/>
                <w:color w:val="000000"/>
                <w:sz w:val="28"/>
                <w:szCs w:val="28"/>
              </w:rPr>
            </w:pPr>
          </w:p>
        </w:tc>
        <w:tc>
          <w:tcPr>
            <w:tcW w:w="2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 w:val="28"/>
                <w:szCs w:val="28"/>
              </w:rPr>
            </w:pPr>
          </w:p>
        </w:tc>
      </w:tr>
    </w:tbl>
    <w:p/>
    <w:sectPr>
      <w:pgSz w:w="16838" w:h="11906" w:orient="landscape"/>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rPr>
    </w:pPr>
  </w:p>
  <w:p>
    <w:pPr>
      <w:pStyle w:val="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rPr>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1SNf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hkMvcD/ztMeI4ecrUYYSdGuPzZZ7TqqX9+NfPVY+/&#10;1/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S1SNfTAQAApgMAAA4AAAAAAAAAAQAgAAAA&#10;IgEAAGRycy9lMm9Eb2MueG1sUEsFBgAAAAAGAAYAWQEAAGcFAAAAAA==&#10;">
          <v:path/>
          <v:fill on="f" focussize="0,0"/>
          <v:stroke on="f" weight="1.2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12</w:t>
                </w:r>
                <w:r>
                  <w:fldChar w:fldCharType="end"/>
                </w:r>
              </w:p>
            </w:txbxContent>
          </v:textbox>
        </v:shape>
      </w:pict>
    </w:r>
  </w:p>
  <w:p>
    <w:pPr>
      <w:pStyle w:val="6"/>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rPr>
      <w:t>安徽百大合家福连锁超市股份有限公司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6A82E"/>
    <w:multiLevelType w:val="singleLevel"/>
    <w:tmpl w:val="8AF6A82E"/>
    <w:lvl w:ilvl="0" w:tentative="0">
      <w:start w:val="2"/>
      <w:numFmt w:val="chineseCounting"/>
      <w:suff w:val="space"/>
      <w:lvlText w:val="第%1章"/>
      <w:lvlJc w:val="left"/>
      <w:rPr>
        <w:rFonts w:hint="eastAsia"/>
      </w:rPr>
    </w:lvl>
  </w:abstractNum>
  <w:abstractNum w:abstractNumId="1">
    <w:nsid w:val="92A5C641"/>
    <w:multiLevelType w:val="singleLevel"/>
    <w:tmpl w:val="92A5C641"/>
    <w:lvl w:ilvl="0" w:tentative="0">
      <w:start w:val="5"/>
      <w:numFmt w:val="chineseCounting"/>
      <w:suff w:val="nothing"/>
      <w:lvlText w:val="%1、"/>
      <w:lvlJc w:val="left"/>
      <w:rPr>
        <w:rFonts w:hint="eastAsia"/>
      </w:rPr>
    </w:lvl>
  </w:abstractNum>
  <w:abstractNum w:abstractNumId="2">
    <w:nsid w:val="533BD429"/>
    <w:multiLevelType w:val="singleLevel"/>
    <w:tmpl w:val="533BD429"/>
    <w:lvl w:ilvl="0" w:tentative="0">
      <w:start w:val="3"/>
      <w:numFmt w:val="chineseCounting"/>
      <w:suff w:val="space"/>
      <w:lvlText w:val="第%1章"/>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0"/>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wNzlhYjg3YjgyYTkwY2M0ZTg4NWJlZjBhNGY0OGIifQ=="/>
  </w:docVars>
  <w:rsids>
    <w:rsidRoot w:val="301F570B"/>
    <w:rsid w:val="00022592"/>
    <w:rsid w:val="00042270"/>
    <w:rsid w:val="0004729F"/>
    <w:rsid w:val="00056244"/>
    <w:rsid w:val="000576CB"/>
    <w:rsid w:val="00064D6F"/>
    <w:rsid w:val="00095958"/>
    <w:rsid w:val="000F0902"/>
    <w:rsid w:val="0012605B"/>
    <w:rsid w:val="001354FF"/>
    <w:rsid w:val="00192867"/>
    <w:rsid w:val="00201329"/>
    <w:rsid w:val="00207751"/>
    <w:rsid w:val="00215BE3"/>
    <w:rsid w:val="002C1A1B"/>
    <w:rsid w:val="002E10F9"/>
    <w:rsid w:val="002E3672"/>
    <w:rsid w:val="002E46B2"/>
    <w:rsid w:val="003363D6"/>
    <w:rsid w:val="00385FB2"/>
    <w:rsid w:val="003A55B2"/>
    <w:rsid w:val="003A7B8F"/>
    <w:rsid w:val="003B063B"/>
    <w:rsid w:val="003B621B"/>
    <w:rsid w:val="004353FE"/>
    <w:rsid w:val="00445FCF"/>
    <w:rsid w:val="004C7F67"/>
    <w:rsid w:val="00545D78"/>
    <w:rsid w:val="0055619C"/>
    <w:rsid w:val="005D0288"/>
    <w:rsid w:val="005D029B"/>
    <w:rsid w:val="0070774F"/>
    <w:rsid w:val="00742CC2"/>
    <w:rsid w:val="00755EAA"/>
    <w:rsid w:val="00831CB4"/>
    <w:rsid w:val="008355E4"/>
    <w:rsid w:val="008A5340"/>
    <w:rsid w:val="008F5712"/>
    <w:rsid w:val="00A64744"/>
    <w:rsid w:val="00A87F74"/>
    <w:rsid w:val="00AA4EA0"/>
    <w:rsid w:val="00AE54D1"/>
    <w:rsid w:val="00AE71E8"/>
    <w:rsid w:val="00B22EEF"/>
    <w:rsid w:val="00B312E8"/>
    <w:rsid w:val="00B3773F"/>
    <w:rsid w:val="00B422EC"/>
    <w:rsid w:val="00B70729"/>
    <w:rsid w:val="00BD60F6"/>
    <w:rsid w:val="00BE5308"/>
    <w:rsid w:val="00BF00F9"/>
    <w:rsid w:val="00C20878"/>
    <w:rsid w:val="00C3510F"/>
    <w:rsid w:val="00C61614"/>
    <w:rsid w:val="00C61853"/>
    <w:rsid w:val="00C67487"/>
    <w:rsid w:val="00CC3A72"/>
    <w:rsid w:val="00CD16F6"/>
    <w:rsid w:val="00D03BF8"/>
    <w:rsid w:val="00D24697"/>
    <w:rsid w:val="00D41181"/>
    <w:rsid w:val="00D62000"/>
    <w:rsid w:val="00D65646"/>
    <w:rsid w:val="00D66272"/>
    <w:rsid w:val="00DA1A1B"/>
    <w:rsid w:val="00DA3DF3"/>
    <w:rsid w:val="00DE6769"/>
    <w:rsid w:val="00E15B10"/>
    <w:rsid w:val="00E3600C"/>
    <w:rsid w:val="00E36330"/>
    <w:rsid w:val="00E76F21"/>
    <w:rsid w:val="00EC067A"/>
    <w:rsid w:val="00ED6B3A"/>
    <w:rsid w:val="00F10227"/>
    <w:rsid w:val="00F1797A"/>
    <w:rsid w:val="00F9447A"/>
    <w:rsid w:val="00FC7E34"/>
    <w:rsid w:val="00FC7F37"/>
    <w:rsid w:val="013C246A"/>
    <w:rsid w:val="030065C3"/>
    <w:rsid w:val="03282D0F"/>
    <w:rsid w:val="036E7320"/>
    <w:rsid w:val="046449A2"/>
    <w:rsid w:val="04670095"/>
    <w:rsid w:val="04CA4DE0"/>
    <w:rsid w:val="04F80D9E"/>
    <w:rsid w:val="058368B9"/>
    <w:rsid w:val="0599625C"/>
    <w:rsid w:val="05A54A82"/>
    <w:rsid w:val="06E710CA"/>
    <w:rsid w:val="07697D31"/>
    <w:rsid w:val="07783E0F"/>
    <w:rsid w:val="07B40FAC"/>
    <w:rsid w:val="07F8734E"/>
    <w:rsid w:val="084D42FA"/>
    <w:rsid w:val="086C210C"/>
    <w:rsid w:val="090D306A"/>
    <w:rsid w:val="0998253B"/>
    <w:rsid w:val="09AE2FE9"/>
    <w:rsid w:val="09FF478C"/>
    <w:rsid w:val="0AD876A7"/>
    <w:rsid w:val="0AF81AF7"/>
    <w:rsid w:val="0E4928DC"/>
    <w:rsid w:val="0F2E7896"/>
    <w:rsid w:val="0F7200CA"/>
    <w:rsid w:val="0FD50659"/>
    <w:rsid w:val="0FDC1908"/>
    <w:rsid w:val="106F0166"/>
    <w:rsid w:val="10EF12A7"/>
    <w:rsid w:val="11643A43"/>
    <w:rsid w:val="12211AC0"/>
    <w:rsid w:val="12957C2C"/>
    <w:rsid w:val="13505867"/>
    <w:rsid w:val="14237F09"/>
    <w:rsid w:val="143F2545"/>
    <w:rsid w:val="145558C5"/>
    <w:rsid w:val="145639A7"/>
    <w:rsid w:val="14D16CCC"/>
    <w:rsid w:val="15B4486D"/>
    <w:rsid w:val="15B60C64"/>
    <w:rsid w:val="15CB091C"/>
    <w:rsid w:val="163A6938"/>
    <w:rsid w:val="164A7406"/>
    <w:rsid w:val="16640041"/>
    <w:rsid w:val="16677B31"/>
    <w:rsid w:val="16DE1BA1"/>
    <w:rsid w:val="17AA5F28"/>
    <w:rsid w:val="17DB07D7"/>
    <w:rsid w:val="186D58D3"/>
    <w:rsid w:val="18932E60"/>
    <w:rsid w:val="19FB0CBC"/>
    <w:rsid w:val="1A450189"/>
    <w:rsid w:val="1A976C37"/>
    <w:rsid w:val="1C0F0A4F"/>
    <w:rsid w:val="1C5D12C5"/>
    <w:rsid w:val="1C9553F8"/>
    <w:rsid w:val="1D540896"/>
    <w:rsid w:val="1D642111"/>
    <w:rsid w:val="1D9C6312"/>
    <w:rsid w:val="1DDC736F"/>
    <w:rsid w:val="1F2667DB"/>
    <w:rsid w:val="1FB77434"/>
    <w:rsid w:val="1FFE32B4"/>
    <w:rsid w:val="2039253E"/>
    <w:rsid w:val="204809D3"/>
    <w:rsid w:val="20DD2ECA"/>
    <w:rsid w:val="211A411E"/>
    <w:rsid w:val="213B4094"/>
    <w:rsid w:val="21481828"/>
    <w:rsid w:val="215E4F0F"/>
    <w:rsid w:val="21B34338"/>
    <w:rsid w:val="223B11EC"/>
    <w:rsid w:val="22407BB4"/>
    <w:rsid w:val="22F97D63"/>
    <w:rsid w:val="231E77CA"/>
    <w:rsid w:val="242B219E"/>
    <w:rsid w:val="24861ACA"/>
    <w:rsid w:val="24B14A17"/>
    <w:rsid w:val="24B86128"/>
    <w:rsid w:val="24D00CAF"/>
    <w:rsid w:val="25096A53"/>
    <w:rsid w:val="25457290"/>
    <w:rsid w:val="25822292"/>
    <w:rsid w:val="27871DE1"/>
    <w:rsid w:val="28BE4931"/>
    <w:rsid w:val="29B9024C"/>
    <w:rsid w:val="2A9F6B7F"/>
    <w:rsid w:val="2AF929C6"/>
    <w:rsid w:val="2B3758CC"/>
    <w:rsid w:val="2C0C6228"/>
    <w:rsid w:val="2C74713D"/>
    <w:rsid w:val="2D3622E0"/>
    <w:rsid w:val="2D94061C"/>
    <w:rsid w:val="2DD9710F"/>
    <w:rsid w:val="2DE955A4"/>
    <w:rsid w:val="2E057F04"/>
    <w:rsid w:val="2E50005F"/>
    <w:rsid w:val="2E9C43C4"/>
    <w:rsid w:val="2EB57234"/>
    <w:rsid w:val="2EC40BE9"/>
    <w:rsid w:val="2F0C6B65"/>
    <w:rsid w:val="2F6B6E1F"/>
    <w:rsid w:val="301F570B"/>
    <w:rsid w:val="302D06D2"/>
    <w:rsid w:val="30977539"/>
    <w:rsid w:val="30F6418C"/>
    <w:rsid w:val="314D7BF8"/>
    <w:rsid w:val="329B4993"/>
    <w:rsid w:val="32A379BA"/>
    <w:rsid w:val="32AA2E28"/>
    <w:rsid w:val="32AE6DDC"/>
    <w:rsid w:val="33601811"/>
    <w:rsid w:val="34832F99"/>
    <w:rsid w:val="349D49F2"/>
    <w:rsid w:val="35F9180E"/>
    <w:rsid w:val="361613EB"/>
    <w:rsid w:val="362C1AE2"/>
    <w:rsid w:val="365E4655"/>
    <w:rsid w:val="36E342E9"/>
    <w:rsid w:val="374970B3"/>
    <w:rsid w:val="37554894"/>
    <w:rsid w:val="377A54BF"/>
    <w:rsid w:val="37AE5168"/>
    <w:rsid w:val="3810197F"/>
    <w:rsid w:val="38E726E0"/>
    <w:rsid w:val="38EB30E7"/>
    <w:rsid w:val="394C4C39"/>
    <w:rsid w:val="3BAE0DF9"/>
    <w:rsid w:val="3C0271FA"/>
    <w:rsid w:val="3C687483"/>
    <w:rsid w:val="3D231C22"/>
    <w:rsid w:val="3D3636F5"/>
    <w:rsid w:val="3D390071"/>
    <w:rsid w:val="3D3A24DE"/>
    <w:rsid w:val="3D5A265A"/>
    <w:rsid w:val="3D9B0F4A"/>
    <w:rsid w:val="3DD551FD"/>
    <w:rsid w:val="3DE94611"/>
    <w:rsid w:val="3F7F260A"/>
    <w:rsid w:val="3FB452E6"/>
    <w:rsid w:val="402E5DD8"/>
    <w:rsid w:val="40C21036"/>
    <w:rsid w:val="42541C74"/>
    <w:rsid w:val="42A72EE0"/>
    <w:rsid w:val="43A062AD"/>
    <w:rsid w:val="44A525EE"/>
    <w:rsid w:val="44AC38D5"/>
    <w:rsid w:val="44BD4C3D"/>
    <w:rsid w:val="44F54829"/>
    <w:rsid w:val="452D591E"/>
    <w:rsid w:val="457F1EF2"/>
    <w:rsid w:val="4703102D"/>
    <w:rsid w:val="48126A91"/>
    <w:rsid w:val="48CD38FB"/>
    <w:rsid w:val="497D3C70"/>
    <w:rsid w:val="49CC7DFC"/>
    <w:rsid w:val="4A62155C"/>
    <w:rsid w:val="4AD625B4"/>
    <w:rsid w:val="4B0C5FD6"/>
    <w:rsid w:val="4BD9726F"/>
    <w:rsid w:val="4C001FDF"/>
    <w:rsid w:val="4C32539B"/>
    <w:rsid w:val="4C787DC7"/>
    <w:rsid w:val="4D183358"/>
    <w:rsid w:val="4F8D5F75"/>
    <w:rsid w:val="4F9B5B7A"/>
    <w:rsid w:val="4FEB08B0"/>
    <w:rsid w:val="509A7CD1"/>
    <w:rsid w:val="50A82C45"/>
    <w:rsid w:val="51D04201"/>
    <w:rsid w:val="51D72D57"/>
    <w:rsid w:val="51DD2021"/>
    <w:rsid w:val="52097713"/>
    <w:rsid w:val="52357605"/>
    <w:rsid w:val="52911BE2"/>
    <w:rsid w:val="529E7E5B"/>
    <w:rsid w:val="538878CA"/>
    <w:rsid w:val="53CF46F1"/>
    <w:rsid w:val="54703A7A"/>
    <w:rsid w:val="54E0475B"/>
    <w:rsid w:val="551B39E5"/>
    <w:rsid w:val="554747DA"/>
    <w:rsid w:val="56B22127"/>
    <w:rsid w:val="56B934B6"/>
    <w:rsid w:val="57C9597B"/>
    <w:rsid w:val="585B5BF6"/>
    <w:rsid w:val="58A244F1"/>
    <w:rsid w:val="58AB6E2E"/>
    <w:rsid w:val="5AD05272"/>
    <w:rsid w:val="5BE10DB9"/>
    <w:rsid w:val="5C074CC3"/>
    <w:rsid w:val="5C5E56D9"/>
    <w:rsid w:val="5D8440F2"/>
    <w:rsid w:val="5DAB2129"/>
    <w:rsid w:val="5DE51034"/>
    <w:rsid w:val="5EB6477F"/>
    <w:rsid w:val="5EE47C66"/>
    <w:rsid w:val="5EF60C69"/>
    <w:rsid w:val="5F351B48"/>
    <w:rsid w:val="6049691C"/>
    <w:rsid w:val="605616AE"/>
    <w:rsid w:val="609E371C"/>
    <w:rsid w:val="617821BF"/>
    <w:rsid w:val="618B3CA1"/>
    <w:rsid w:val="61EE5FDE"/>
    <w:rsid w:val="62A3326C"/>
    <w:rsid w:val="63161C90"/>
    <w:rsid w:val="637E4DC3"/>
    <w:rsid w:val="64251872"/>
    <w:rsid w:val="6455619F"/>
    <w:rsid w:val="646D58E0"/>
    <w:rsid w:val="64EF2799"/>
    <w:rsid w:val="65164F59"/>
    <w:rsid w:val="65B0784B"/>
    <w:rsid w:val="65E46C8B"/>
    <w:rsid w:val="65F242EE"/>
    <w:rsid w:val="66690664"/>
    <w:rsid w:val="668F5CC8"/>
    <w:rsid w:val="6712451C"/>
    <w:rsid w:val="67277FC8"/>
    <w:rsid w:val="675D60DF"/>
    <w:rsid w:val="678673E4"/>
    <w:rsid w:val="68030A35"/>
    <w:rsid w:val="686139AD"/>
    <w:rsid w:val="689847E6"/>
    <w:rsid w:val="68E5013A"/>
    <w:rsid w:val="69E403F2"/>
    <w:rsid w:val="6AB44268"/>
    <w:rsid w:val="6AD20B92"/>
    <w:rsid w:val="6ADD0FD4"/>
    <w:rsid w:val="6BEC17E0"/>
    <w:rsid w:val="6C4E4249"/>
    <w:rsid w:val="6C8C6B1F"/>
    <w:rsid w:val="6CB91DFC"/>
    <w:rsid w:val="6CC10EBE"/>
    <w:rsid w:val="6CF52916"/>
    <w:rsid w:val="6D57537F"/>
    <w:rsid w:val="6D765805"/>
    <w:rsid w:val="6E66587A"/>
    <w:rsid w:val="6F6B5961"/>
    <w:rsid w:val="6F9B7800"/>
    <w:rsid w:val="70604A86"/>
    <w:rsid w:val="72312642"/>
    <w:rsid w:val="72451C4A"/>
    <w:rsid w:val="72800ED4"/>
    <w:rsid w:val="72E94CCB"/>
    <w:rsid w:val="73044C28"/>
    <w:rsid w:val="74B23D8F"/>
    <w:rsid w:val="752E7ECB"/>
    <w:rsid w:val="75504FF4"/>
    <w:rsid w:val="7591321E"/>
    <w:rsid w:val="75E874BC"/>
    <w:rsid w:val="763E532E"/>
    <w:rsid w:val="764A3CD3"/>
    <w:rsid w:val="768014A2"/>
    <w:rsid w:val="76D94870"/>
    <w:rsid w:val="770F7BAB"/>
    <w:rsid w:val="7724174C"/>
    <w:rsid w:val="77C43611"/>
    <w:rsid w:val="7850314D"/>
    <w:rsid w:val="78D13F59"/>
    <w:rsid w:val="790740FD"/>
    <w:rsid w:val="79135078"/>
    <w:rsid w:val="79157330"/>
    <w:rsid w:val="799C6A74"/>
    <w:rsid w:val="79C306C3"/>
    <w:rsid w:val="7A13262E"/>
    <w:rsid w:val="7A44515F"/>
    <w:rsid w:val="7A911E35"/>
    <w:rsid w:val="7C41108A"/>
    <w:rsid w:val="7C6B11DA"/>
    <w:rsid w:val="7C7750F6"/>
    <w:rsid w:val="7CB931D9"/>
    <w:rsid w:val="7DB12889"/>
    <w:rsid w:val="7EB75C7D"/>
    <w:rsid w:val="7F1906E6"/>
    <w:rsid w:val="7F8042C1"/>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Normal Indent"/>
    <w:qFormat/>
    <w:uiPriority w:val="0"/>
    <w:pPr>
      <w:widowControl w:val="0"/>
      <w:ind w:firstLine="420" w:firstLineChars="200"/>
      <w:jc w:val="both"/>
    </w:pPr>
    <w:rPr>
      <w:rFonts w:ascii="Calibri" w:hAnsi="Calibri" w:eastAsia="仿宋_GB2312" w:cs="Times New Roman"/>
      <w:kern w:val="2"/>
      <w:sz w:val="28"/>
      <w:szCs w:val="24"/>
      <w:lang w:val="en-US" w:eastAsia="zh-CN" w:bidi="ar-SA"/>
    </w:rPr>
  </w:style>
  <w:style w:type="paragraph" w:styleId="4">
    <w:name w:val="annotation text"/>
    <w:basedOn w:val="1"/>
    <w:link w:val="55"/>
    <w:qFormat/>
    <w:uiPriority w:val="0"/>
    <w:pPr>
      <w:jc w:val="left"/>
    </w:pPr>
  </w:style>
  <w:style w:type="paragraph" w:styleId="5">
    <w:name w:val="Balloon Text"/>
    <w:basedOn w:val="1"/>
    <w:link w:val="54"/>
    <w:qFormat/>
    <w:uiPriority w:val="0"/>
    <w:rPr>
      <w:sz w:val="18"/>
      <w:szCs w:val="18"/>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56"/>
    <w:qFormat/>
    <w:uiPriority w:val="0"/>
    <w:rPr>
      <w:b/>
      <w:bCs/>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FollowedHyperlink"/>
    <w:basedOn w:val="11"/>
    <w:qFormat/>
    <w:uiPriority w:val="0"/>
    <w:rPr>
      <w:color w:val="4D7AD8"/>
      <w:u w:val="none"/>
    </w:rPr>
  </w:style>
  <w:style w:type="character" w:styleId="15">
    <w:name w:val="HTML Definition"/>
    <w:basedOn w:val="11"/>
    <w:qFormat/>
    <w:uiPriority w:val="0"/>
    <w:rPr>
      <w:i/>
      <w:iCs/>
    </w:rPr>
  </w:style>
  <w:style w:type="character" w:styleId="16">
    <w:name w:val="Hyperlink"/>
    <w:basedOn w:val="11"/>
    <w:qFormat/>
    <w:uiPriority w:val="0"/>
    <w:rPr>
      <w:color w:val="4D7AD8"/>
      <w:u w:val="none"/>
    </w:rPr>
  </w:style>
  <w:style w:type="character" w:styleId="17">
    <w:name w:val="HTML Code"/>
    <w:basedOn w:val="11"/>
    <w:qFormat/>
    <w:uiPriority w:val="0"/>
    <w:rPr>
      <w:rFonts w:hint="default" w:ascii="Consolas" w:hAnsi="Consolas" w:eastAsia="Consolas" w:cs="Consolas"/>
      <w:color w:val="000000"/>
      <w:sz w:val="21"/>
      <w:szCs w:val="21"/>
      <w:bdr w:val="single" w:color="D9D9D9" w:sz="6" w:space="0"/>
      <w:shd w:val="clear" w:color="auto" w:fill="FFFFFF"/>
    </w:rPr>
  </w:style>
  <w:style w:type="character" w:styleId="18">
    <w:name w:val="annotation reference"/>
    <w:basedOn w:val="11"/>
    <w:qFormat/>
    <w:uiPriority w:val="0"/>
    <w:rPr>
      <w:sz w:val="21"/>
      <w:szCs w:val="21"/>
    </w:rPr>
  </w:style>
  <w:style w:type="character" w:styleId="19">
    <w:name w:val="HTML Keyboard"/>
    <w:basedOn w:val="11"/>
    <w:qFormat/>
    <w:uiPriority w:val="0"/>
    <w:rPr>
      <w:rFonts w:ascii="Consolas" w:hAnsi="Consolas" w:eastAsia="Consolas" w:cs="Consolas"/>
      <w:sz w:val="21"/>
      <w:szCs w:val="21"/>
    </w:rPr>
  </w:style>
  <w:style w:type="character" w:styleId="20">
    <w:name w:val="HTML Sample"/>
    <w:basedOn w:val="11"/>
    <w:qFormat/>
    <w:uiPriority w:val="0"/>
    <w:rPr>
      <w:rFonts w:hint="default" w:ascii="Consolas" w:hAnsi="Consolas" w:eastAsia="Consolas" w:cs="Consolas"/>
      <w:sz w:val="21"/>
      <w:szCs w:val="21"/>
    </w:rPr>
  </w:style>
  <w:style w:type="paragraph" w:customStyle="1" w:styleId="21">
    <w:name w:val="Table Paragraph"/>
    <w:basedOn w:val="1"/>
    <w:qFormat/>
    <w:uiPriority w:val="1"/>
    <w:rPr>
      <w:rFonts w:ascii="宋体" w:hAnsi="宋体" w:cs="宋体"/>
      <w:lang w:val="zh-CN" w:bidi="zh-CN"/>
    </w:rPr>
  </w:style>
  <w:style w:type="character" w:customStyle="1" w:styleId="22">
    <w:name w:val="first-child"/>
    <w:basedOn w:val="11"/>
    <w:qFormat/>
    <w:uiPriority w:val="0"/>
    <w:rPr>
      <w:color w:val="999999"/>
      <w:sz w:val="33"/>
      <w:szCs w:val="33"/>
    </w:rPr>
  </w:style>
  <w:style w:type="character" w:customStyle="1" w:styleId="23">
    <w:name w:val="first-child1"/>
    <w:basedOn w:val="11"/>
    <w:qFormat/>
    <w:uiPriority w:val="0"/>
  </w:style>
  <w:style w:type="character" w:customStyle="1" w:styleId="24">
    <w:name w:val="auto-pass-node"/>
    <w:basedOn w:val="11"/>
    <w:qFormat/>
    <w:uiPriority w:val="0"/>
    <w:rPr>
      <w:bdr w:val="single" w:color="DC4446" w:sz="6" w:space="0"/>
      <w:shd w:val="clear" w:color="auto" w:fill="A9E2FF"/>
    </w:rPr>
  </w:style>
  <w:style w:type="character" w:customStyle="1" w:styleId="25">
    <w:name w:val="button"/>
    <w:basedOn w:val="11"/>
    <w:qFormat/>
    <w:uiPriority w:val="0"/>
  </w:style>
  <w:style w:type="character" w:customStyle="1" w:styleId="26">
    <w:name w:val="button1"/>
    <w:basedOn w:val="11"/>
    <w:qFormat/>
    <w:uiPriority w:val="0"/>
  </w:style>
  <w:style w:type="character" w:customStyle="1" w:styleId="27">
    <w:name w:val="ant-tree-iconele"/>
    <w:basedOn w:val="11"/>
    <w:qFormat/>
    <w:uiPriority w:val="0"/>
  </w:style>
  <w:style w:type="character" w:customStyle="1" w:styleId="28">
    <w:name w:val="ant-select-tree-iconele"/>
    <w:basedOn w:val="11"/>
    <w:qFormat/>
    <w:uiPriority w:val="0"/>
  </w:style>
  <w:style w:type="character" w:customStyle="1" w:styleId="29">
    <w:name w:val="passed-node"/>
    <w:basedOn w:val="11"/>
    <w:qFormat/>
    <w:uiPriority w:val="0"/>
    <w:rPr>
      <w:bdr w:val="single" w:color="49A8D4" w:sz="6" w:space="0"/>
      <w:shd w:val="clear" w:color="auto" w:fill="A9E3FF"/>
    </w:rPr>
  </w:style>
  <w:style w:type="character" w:customStyle="1" w:styleId="30">
    <w:name w:val="ant-radio+*"/>
    <w:basedOn w:val="11"/>
    <w:qFormat/>
    <w:uiPriority w:val="0"/>
  </w:style>
  <w:style w:type="character" w:customStyle="1" w:styleId="31">
    <w:name w:val="ant-table-row-expand-icon4"/>
    <w:basedOn w:val="11"/>
    <w:qFormat/>
    <w:uiPriority w:val="0"/>
    <w:rPr>
      <w:vanish/>
    </w:rPr>
  </w:style>
  <w:style w:type="character" w:customStyle="1" w:styleId="32">
    <w:name w:val="first-of-type"/>
    <w:basedOn w:val="11"/>
    <w:qFormat/>
    <w:uiPriority w:val="0"/>
    <w:rPr>
      <w:color w:val="FF0000"/>
    </w:rPr>
  </w:style>
  <w:style w:type="character" w:customStyle="1" w:styleId="33">
    <w:name w:val="first-of-type1"/>
    <w:basedOn w:val="11"/>
    <w:qFormat/>
    <w:uiPriority w:val="0"/>
    <w:rPr>
      <w:color w:val="FF0000"/>
    </w:rPr>
  </w:style>
  <w:style w:type="character" w:customStyle="1" w:styleId="34">
    <w:name w:val="first-of-type2"/>
    <w:basedOn w:val="11"/>
    <w:qFormat/>
    <w:uiPriority w:val="0"/>
    <w:rPr>
      <w:color w:val="FF0000"/>
    </w:rPr>
  </w:style>
  <w:style w:type="character" w:customStyle="1" w:styleId="35">
    <w:name w:val="wea-thumbnails-doc-content-subtitle"/>
    <w:basedOn w:val="11"/>
    <w:qFormat/>
    <w:uiPriority w:val="0"/>
    <w:rPr>
      <w:color w:val="9A9A9A"/>
    </w:rPr>
  </w:style>
  <w:style w:type="character" w:customStyle="1" w:styleId="36">
    <w:name w:val="not-pass-node"/>
    <w:basedOn w:val="11"/>
    <w:qFormat/>
    <w:uiPriority w:val="0"/>
    <w:rPr>
      <w:bdr w:val="single" w:color="5ABD6B" w:sz="6" w:space="0"/>
      <w:shd w:val="clear" w:color="auto" w:fill="BFF3C3"/>
    </w:rPr>
  </w:style>
  <w:style w:type="character" w:customStyle="1" w:styleId="37">
    <w:name w:val="current-node"/>
    <w:basedOn w:val="11"/>
    <w:qFormat/>
    <w:uiPriority w:val="0"/>
    <w:rPr>
      <w:bdr w:val="single" w:color="F5B87B" w:sz="6" w:space="0"/>
      <w:shd w:val="clear" w:color="auto" w:fill="FFE8CC"/>
    </w:rPr>
  </w:style>
  <w:style w:type="character" w:customStyle="1" w:styleId="38">
    <w:name w:val="ant-tree-switcher10"/>
    <w:basedOn w:val="11"/>
    <w:qFormat/>
    <w:uiPriority w:val="0"/>
  </w:style>
  <w:style w:type="character" w:customStyle="1" w:styleId="39">
    <w:name w:val="ant-tree-checkbox"/>
    <w:basedOn w:val="11"/>
    <w:qFormat/>
    <w:uiPriority w:val="0"/>
  </w:style>
  <w:style w:type="character" w:customStyle="1" w:styleId="40">
    <w:name w:val="wea-dropdown-triangle2"/>
    <w:basedOn w:val="11"/>
    <w:qFormat/>
    <w:uiPriority w:val="0"/>
  </w:style>
  <w:style w:type="character" w:customStyle="1" w:styleId="41">
    <w:name w:val="last-child1"/>
    <w:basedOn w:val="11"/>
    <w:qFormat/>
    <w:uiPriority w:val="0"/>
  </w:style>
  <w:style w:type="character" w:customStyle="1" w:styleId="42">
    <w:name w:val="ant-select-tree-switcher"/>
    <w:basedOn w:val="11"/>
    <w:qFormat/>
    <w:uiPriority w:val="0"/>
  </w:style>
  <w:style w:type="character" w:customStyle="1" w:styleId="43">
    <w:name w:val="ant-select-tree-checkbox2"/>
    <w:basedOn w:val="11"/>
    <w:qFormat/>
    <w:uiPriority w:val="0"/>
  </w:style>
  <w:style w:type="character" w:customStyle="1" w:styleId="44">
    <w:name w:val="hover42"/>
    <w:basedOn w:val="11"/>
    <w:qFormat/>
    <w:uiPriority w:val="0"/>
    <w:rPr>
      <w:color w:val="009DFF"/>
    </w:rPr>
  </w:style>
  <w:style w:type="character" w:customStyle="1" w:styleId="45">
    <w:name w:val="hover43"/>
    <w:basedOn w:val="11"/>
    <w:qFormat/>
    <w:uiPriority w:val="0"/>
    <w:rPr>
      <w:color w:val="009DFF"/>
    </w:rPr>
  </w:style>
  <w:style w:type="character" w:customStyle="1" w:styleId="46">
    <w:name w:val="tmpztreemove_arrow"/>
    <w:basedOn w:val="11"/>
    <w:qFormat/>
    <w:uiPriority w:val="0"/>
  </w:style>
  <w:style w:type="character" w:customStyle="1" w:styleId="47">
    <w:name w:val="isrevision"/>
    <w:basedOn w:val="11"/>
    <w:qFormat/>
    <w:uiPriority w:val="0"/>
    <w:rPr>
      <w:color w:val="000000"/>
      <w:sz w:val="18"/>
      <w:szCs w:val="18"/>
      <w:bdr w:val="single" w:color="E9E9E9" w:sz="6" w:space="0"/>
      <w:shd w:val="clear" w:color="auto" w:fill="FFFFFF"/>
    </w:rPr>
  </w:style>
  <w:style w:type="character" w:customStyle="1" w:styleId="48">
    <w:name w:val="disabled4"/>
    <w:basedOn w:val="11"/>
    <w:qFormat/>
    <w:uiPriority w:val="0"/>
    <w:rPr>
      <w:color w:val="AAAAAA"/>
      <w:shd w:val="clear" w:color="auto" w:fill="F7F7F7"/>
    </w:rPr>
  </w:style>
  <w:style w:type="character" w:customStyle="1" w:styleId="49">
    <w:name w:val="ant-select-tree-checkbox"/>
    <w:basedOn w:val="11"/>
    <w:qFormat/>
    <w:uiPriority w:val="0"/>
  </w:style>
  <w:style w:type="character" w:customStyle="1" w:styleId="50">
    <w:name w:val="first-child2"/>
    <w:basedOn w:val="11"/>
    <w:qFormat/>
    <w:uiPriority w:val="0"/>
  </w:style>
  <w:style w:type="character" w:customStyle="1" w:styleId="51">
    <w:name w:val="first-child3"/>
    <w:basedOn w:val="11"/>
    <w:qFormat/>
    <w:uiPriority w:val="0"/>
    <w:rPr>
      <w:color w:val="999999"/>
      <w:sz w:val="33"/>
      <w:szCs w:val="33"/>
    </w:rPr>
  </w:style>
  <w:style w:type="character" w:customStyle="1" w:styleId="52">
    <w:name w:val="ant-tree-checkbox8"/>
    <w:basedOn w:val="11"/>
    <w:qFormat/>
    <w:uiPriority w:val="0"/>
  </w:style>
  <w:style w:type="character" w:customStyle="1" w:styleId="53">
    <w:name w:val="last-child"/>
    <w:basedOn w:val="11"/>
    <w:qFormat/>
    <w:uiPriority w:val="0"/>
  </w:style>
  <w:style w:type="character" w:customStyle="1" w:styleId="54">
    <w:name w:val="批注框文本 Char"/>
    <w:basedOn w:val="11"/>
    <w:link w:val="5"/>
    <w:qFormat/>
    <w:uiPriority w:val="0"/>
    <w:rPr>
      <w:kern w:val="2"/>
      <w:sz w:val="18"/>
      <w:szCs w:val="18"/>
    </w:rPr>
  </w:style>
  <w:style w:type="character" w:customStyle="1" w:styleId="55">
    <w:name w:val="批注文字 Char"/>
    <w:basedOn w:val="11"/>
    <w:link w:val="4"/>
    <w:qFormat/>
    <w:uiPriority w:val="0"/>
    <w:rPr>
      <w:kern w:val="2"/>
      <w:sz w:val="21"/>
      <w:szCs w:val="24"/>
    </w:rPr>
  </w:style>
  <w:style w:type="character" w:customStyle="1" w:styleId="56">
    <w:name w:val="批注主题 Char"/>
    <w:basedOn w:val="55"/>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9409</Words>
  <Characters>10133</Characters>
  <Lines>84</Lines>
  <Paragraphs>23</Paragraphs>
  <TotalTime>19</TotalTime>
  <ScaleCrop>false</ScaleCrop>
  <LinksUpToDate>false</LinksUpToDate>
  <CharactersWithSpaces>11179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2022-04-29T01:23:00Z</dcterms:created>
  <dc:creator>安徽恒华</dc:creator>
  <cp:lastModifiedBy>着迷</cp:lastModifiedBy>
  <dcterms:modified xsi:type="dcterms:W3CDTF">2022-05-06T07:44:05Z</dcterms:modified>
  <dc:title>合肥百货大楼集团股份有限公司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AA6373434C724A19BFA51D26556CEBB1</vt:lpwstr>
  </property>
</Properties>
</file>