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20" w:lineRule="exact"/>
        <w:jc w:val="center"/>
        <w:rPr>
          <w:rFonts w:hint="eastAsia" w:ascii="楷体_GB2312" w:hAnsi="宋体" w:eastAsia="楷体_GB2312" w:cs="宋体"/>
          <w:color w:val="auto"/>
          <w:kern w:val="0"/>
          <w:sz w:val="44"/>
          <w:szCs w:val="44"/>
        </w:rPr>
      </w:pPr>
    </w:p>
    <w:p>
      <w:pPr>
        <w:widowControl/>
        <w:spacing w:line="520" w:lineRule="exact"/>
        <w:jc w:val="center"/>
        <w:rPr>
          <w:rFonts w:hint="eastAsia" w:ascii="楷体_GB2312" w:hAnsi="宋体" w:eastAsia="楷体_GB2312" w:cs="宋体"/>
          <w:b/>
          <w:color w:val="auto"/>
          <w:kern w:val="0"/>
          <w:sz w:val="44"/>
          <w:szCs w:val="44"/>
        </w:rPr>
      </w:pPr>
    </w:p>
    <w:p>
      <w:pPr>
        <w:widowControl/>
        <w:spacing w:line="520" w:lineRule="exact"/>
        <w:jc w:val="center"/>
        <w:rPr>
          <w:rFonts w:hint="eastAsia" w:ascii="楷体_GB2312" w:hAnsi="宋体" w:eastAsia="楷体_GB2312" w:cs="宋体"/>
          <w:b/>
          <w:color w:val="auto"/>
          <w:kern w:val="0"/>
          <w:sz w:val="44"/>
          <w:szCs w:val="44"/>
        </w:rPr>
      </w:pPr>
    </w:p>
    <w:p>
      <w:pPr>
        <w:widowControl/>
        <w:spacing w:line="520" w:lineRule="exact"/>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百大周谷堆大兴农产品国际物流园智慧农批提升改造之水产肉食交易区门禁及防疫测温信息化项目</w:t>
      </w:r>
    </w:p>
    <w:p>
      <w:pPr>
        <w:widowControl/>
        <w:spacing w:line="520" w:lineRule="exact"/>
        <w:jc w:val="center"/>
        <w:rPr>
          <w:rFonts w:hint="eastAsia" w:ascii="楷体" w:hAnsi="楷体" w:eastAsia="楷体" w:cs="楷体"/>
          <w:b/>
          <w:bCs/>
          <w:color w:val="auto"/>
          <w:sz w:val="40"/>
          <w:szCs w:val="40"/>
        </w:rPr>
      </w:pPr>
    </w:p>
    <w:p>
      <w:pPr>
        <w:widowControl/>
        <w:spacing w:line="520" w:lineRule="exact"/>
        <w:jc w:val="center"/>
        <w:rPr>
          <w:rFonts w:hint="eastAsia" w:ascii="楷体" w:hAnsi="楷体" w:eastAsia="楷体" w:cs="楷体"/>
          <w:b/>
          <w:bCs/>
          <w:color w:val="auto"/>
          <w:sz w:val="40"/>
          <w:szCs w:val="40"/>
        </w:rPr>
      </w:pPr>
    </w:p>
    <w:p>
      <w:pPr>
        <w:widowControl/>
        <w:spacing w:line="520" w:lineRule="exact"/>
        <w:jc w:val="center"/>
        <w:rPr>
          <w:rFonts w:hint="eastAsia" w:ascii="黑体" w:hAnsi="宋体" w:eastAsia="黑体" w:cs="宋体"/>
          <w:b/>
          <w:color w:val="auto"/>
          <w:kern w:val="0"/>
          <w:sz w:val="52"/>
          <w:szCs w:val="52"/>
        </w:rPr>
      </w:pPr>
    </w:p>
    <w:p>
      <w:pPr>
        <w:widowControl/>
        <w:spacing w:line="520" w:lineRule="exact"/>
        <w:jc w:val="center"/>
        <w:rPr>
          <w:rFonts w:hint="eastAsia" w:ascii="黑体" w:hAnsi="宋体" w:eastAsia="黑体" w:cs="宋体"/>
          <w:b/>
          <w:color w:val="auto"/>
          <w:kern w:val="0"/>
          <w:sz w:val="52"/>
          <w:szCs w:val="52"/>
        </w:rPr>
      </w:pPr>
      <w:r>
        <w:rPr>
          <w:rFonts w:hint="eastAsia" w:ascii="黑体" w:hAnsi="宋体" w:eastAsia="黑体" w:cs="宋体"/>
          <w:b/>
          <w:color w:val="auto"/>
          <w:kern w:val="0"/>
          <w:sz w:val="52"/>
          <w:szCs w:val="52"/>
        </w:rPr>
        <w:t>招　 标 　文　 件</w:t>
      </w:r>
    </w:p>
    <w:p>
      <w:pPr>
        <w:widowControl/>
        <w:spacing w:line="520" w:lineRule="exact"/>
        <w:jc w:val="center"/>
        <w:rPr>
          <w:rFonts w:hint="eastAsia" w:ascii="黑体" w:hAnsi="宋体" w:eastAsia="黑体" w:cs="宋体"/>
          <w:b/>
          <w:color w:val="auto"/>
          <w:kern w:val="0"/>
          <w:sz w:val="52"/>
          <w:szCs w:val="52"/>
        </w:rPr>
      </w:pPr>
    </w:p>
    <w:p>
      <w:pPr>
        <w:widowControl/>
        <w:spacing w:line="520" w:lineRule="exact"/>
        <w:jc w:val="center"/>
        <w:rPr>
          <w:rFonts w:ascii="黑体" w:hAnsi="宋体" w:cs="宋体"/>
          <w:b/>
          <w:color w:val="auto"/>
          <w:kern w:val="0"/>
          <w:sz w:val="52"/>
          <w:szCs w:val="52"/>
        </w:rPr>
      </w:pPr>
      <w:r>
        <w:rPr>
          <w:rFonts w:hint="eastAsia" w:ascii="宋体" w:hAnsi="宋体" w:cs="宋体"/>
          <w:b/>
          <w:color w:val="auto"/>
          <w:kern w:val="0"/>
          <w:sz w:val="32"/>
          <w:szCs w:val="32"/>
        </w:rPr>
        <w:t>编号</w:t>
      </w:r>
      <w:r>
        <w:rPr>
          <w:rFonts w:hint="eastAsia" w:ascii="宋体" w:hAnsi="宋体" w:cs="宋体"/>
          <w:color w:val="auto"/>
          <w:kern w:val="0"/>
          <w:sz w:val="32"/>
          <w:szCs w:val="32"/>
        </w:rPr>
        <w:t>：</w:t>
      </w:r>
      <w:r>
        <w:rPr>
          <w:rFonts w:hint="eastAsia" w:ascii="宋体" w:hAnsi="宋体" w:cs="宋体"/>
          <w:color w:val="auto"/>
          <w:kern w:val="0"/>
          <w:sz w:val="32"/>
          <w:szCs w:val="32"/>
          <w:lang w:val="en-US" w:eastAsia="zh-CN"/>
        </w:rPr>
        <w:t>HBZ-21062-ZGD12</w:t>
      </w:r>
    </w:p>
    <w:p>
      <w:pPr>
        <w:widowControl/>
        <w:spacing w:line="520" w:lineRule="exact"/>
        <w:jc w:val="center"/>
        <w:rPr>
          <w:rFonts w:hint="eastAsia" w:ascii="楷体_GB2312" w:hAnsi="宋体" w:eastAsia="楷体_GB2312" w:cs="宋体"/>
          <w:b/>
          <w:color w:val="auto"/>
          <w:kern w:val="0"/>
          <w:sz w:val="36"/>
          <w:szCs w:val="20"/>
        </w:rPr>
      </w:pPr>
    </w:p>
    <w:p>
      <w:pPr>
        <w:widowControl/>
        <w:spacing w:line="520" w:lineRule="exact"/>
        <w:jc w:val="center"/>
        <w:rPr>
          <w:rFonts w:hint="eastAsia" w:ascii="宋体" w:hAnsi="宋体" w:cs="宋体"/>
          <w:color w:val="auto"/>
          <w:kern w:val="0"/>
          <w:sz w:val="24"/>
        </w:rPr>
      </w:pPr>
    </w:p>
    <w:p>
      <w:pPr>
        <w:widowControl/>
        <w:spacing w:line="520" w:lineRule="exact"/>
        <w:jc w:val="center"/>
        <w:rPr>
          <w:rFonts w:hint="eastAsia" w:ascii="宋体" w:hAnsi="宋体" w:cs="宋体"/>
          <w:color w:val="auto"/>
          <w:kern w:val="0"/>
          <w:sz w:val="24"/>
        </w:rPr>
      </w:pPr>
    </w:p>
    <w:p>
      <w:pPr>
        <w:widowControl/>
        <w:spacing w:line="520" w:lineRule="exact"/>
        <w:jc w:val="center"/>
        <w:rPr>
          <w:rFonts w:hint="eastAsia" w:ascii="宋体" w:hAnsi="宋体" w:cs="宋体"/>
          <w:b/>
          <w:color w:val="auto"/>
          <w:kern w:val="0"/>
          <w:sz w:val="32"/>
          <w:szCs w:val="32"/>
        </w:rPr>
      </w:pPr>
      <w:r>
        <w:rPr>
          <w:rFonts w:hint="eastAsia" w:ascii="宋体" w:hAnsi="宋体" w:cs="宋体"/>
          <w:b/>
          <w:color w:val="auto"/>
          <w:kern w:val="0"/>
          <w:sz w:val="32"/>
          <w:szCs w:val="32"/>
        </w:rPr>
        <w:t>文 件 目 录</w:t>
      </w:r>
    </w:p>
    <w:p>
      <w:pPr>
        <w:widowControl/>
        <w:spacing w:line="520" w:lineRule="exact"/>
        <w:ind w:firstLine="1680" w:firstLineChars="600"/>
        <w:rPr>
          <w:rFonts w:hint="eastAsia" w:ascii="楷体_GB2312" w:hAnsi="宋体" w:eastAsia="楷体_GB2312" w:cs="宋体"/>
          <w:color w:val="auto"/>
          <w:kern w:val="0"/>
          <w:sz w:val="28"/>
          <w:szCs w:val="28"/>
        </w:rPr>
      </w:pPr>
    </w:p>
    <w:p>
      <w:pPr>
        <w:widowControl/>
        <w:spacing w:line="520" w:lineRule="exact"/>
        <w:ind w:firstLine="2100" w:firstLineChars="750"/>
        <w:rPr>
          <w:rFonts w:hint="eastAsia" w:ascii="宋体" w:hAnsi="宋体" w:cs="宋体"/>
          <w:color w:val="auto"/>
          <w:kern w:val="0"/>
          <w:sz w:val="28"/>
          <w:szCs w:val="28"/>
        </w:rPr>
      </w:pPr>
      <w:r>
        <w:rPr>
          <w:rFonts w:hint="eastAsia" w:ascii="宋体" w:hAnsi="宋体" w:cs="宋体"/>
          <w:color w:val="auto"/>
          <w:kern w:val="0"/>
          <w:sz w:val="28"/>
          <w:szCs w:val="28"/>
        </w:rPr>
        <w:t>第一章  《投标邀请》</w:t>
      </w:r>
    </w:p>
    <w:p>
      <w:pPr>
        <w:widowControl/>
        <w:spacing w:line="520" w:lineRule="exact"/>
        <w:ind w:firstLine="2100" w:firstLineChars="750"/>
        <w:rPr>
          <w:rFonts w:hint="eastAsia" w:ascii="宋体" w:hAnsi="宋体" w:cs="宋体"/>
          <w:color w:val="auto"/>
          <w:kern w:val="0"/>
          <w:sz w:val="28"/>
          <w:szCs w:val="28"/>
        </w:rPr>
      </w:pPr>
      <w:r>
        <w:rPr>
          <w:rFonts w:hint="eastAsia" w:ascii="宋体" w:hAnsi="宋体" w:cs="宋体"/>
          <w:color w:val="auto"/>
          <w:kern w:val="0"/>
          <w:sz w:val="28"/>
          <w:szCs w:val="28"/>
        </w:rPr>
        <w:t>第二章  《投标须知》</w:t>
      </w:r>
    </w:p>
    <w:p>
      <w:pPr>
        <w:widowControl/>
        <w:spacing w:line="520" w:lineRule="exact"/>
        <w:ind w:firstLine="2100" w:firstLineChars="750"/>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eastAsia="zh-CN"/>
        </w:rPr>
        <w:t>第三章</w:t>
      </w:r>
      <w:r>
        <w:rPr>
          <w:rFonts w:hint="eastAsia" w:ascii="宋体" w:hAnsi="宋体" w:cs="宋体"/>
          <w:color w:val="auto"/>
          <w:kern w:val="0"/>
          <w:sz w:val="28"/>
          <w:szCs w:val="28"/>
          <w:lang w:val="en-US" w:eastAsia="zh-CN"/>
        </w:rPr>
        <w:t xml:space="preserve">  《评标办法》</w:t>
      </w:r>
    </w:p>
    <w:p>
      <w:pPr>
        <w:widowControl/>
        <w:spacing w:line="520" w:lineRule="exact"/>
        <w:ind w:firstLine="2100" w:firstLineChars="750"/>
        <w:rPr>
          <w:rFonts w:hint="eastAsia" w:ascii="宋体" w:hAnsi="宋体" w:cs="宋体"/>
          <w:color w:val="auto"/>
          <w:kern w:val="0"/>
          <w:sz w:val="28"/>
          <w:szCs w:val="28"/>
        </w:rPr>
      </w:pPr>
      <w:r>
        <w:rPr>
          <w:rFonts w:hint="eastAsia" w:ascii="宋体" w:hAnsi="宋体" w:cs="宋体"/>
          <w:color w:val="auto"/>
          <w:kern w:val="0"/>
          <w:sz w:val="28"/>
          <w:szCs w:val="28"/>
        </w:rPr>
        <w:t>第</w:t>
      </w:r>
      <w:r>
        <w:rPr>
          <w:rFonts w:hint="eastAsia" w:ascii="宋体" w:hAnsi="宋体" w:cs="宋体"/>
          <w:color w:val="auto"/>
          <w:kern w:val="0"/>
          <w:sz w:val="28"/>
          <w:szCs w:val="28"/>
          <w:lang w:eastAsia="zh-CN"/>
        </w:rPr>
        <w:t>四</w:t>
      </w:r>
      <w:r>
        <w:rPr>
          <w:rFonts w:hint="eastAsia" w:ascii="宋体" w:hAnsi="宋体" w:cs="宋体"/>
          <w:color w:val="auto"/>
          <w:kern w:val="0"/>
          <w:sz w:val="28"/>
          <w:szCs w:val="28"/>
        </w:rPr>
        <w:t>章  《</w:t>
      </w:r>
      <w:r>
        <w:rPr>
          <w:rFonts w:hint="eastAsia" w:ascii="宋体" w:hAnsi="宋体" w:cs="宋体"/>
          <w:color w:val="auto"/>
          <w:kern w:val="0"/>
          <w:sz w:val="28"/>
          <w:szCs w:val="28"/>
          <w:lang w:eastAsia="zh-CN"/>
        </w:rPr>
        <w:t>招标</w:t>
      </w:r>
      <w:r>
        <w:rPr>
          <w:rFonts w:hint="eastAsia" w:ascii="宋体" w:hAnsi="宋体" w:cs="宋体"/>
          <w:color w:val="auto"/>
          <w:kern w:val="0"/>
          <w:sz w:val="28"/>
          <w:szCs w:val="28"/>
        </w:rPr>
        <w:t>需求》</w:t>
      </w:r>
    </w:p>
    <w:p>
      <w:pPr>
        <w:widowControl/>
        <w:spacing w:line="520" w:lineRule="exact"/>
        <w:ind w:firstLine="2100" w:firstLineChars="750"/>
        <w:rPr>
          <w:rFonts w:hint="eastAsia" w:ascii="宋体" w:hAnsi="宋体" w:cs="宋体"/>
          <w:color w:val="auto"/>
          <w:kern w:val="0"/>
          <w:sz w:val="28"/>
          <w:szCs w:val="28"/>
        </w:rPr>
      </w:pPr>
      <w:r>
        <w:rPr>
          <w:rFonts w:hint="eastAsia" w:ascii="宋体" w:hAnsi="宋体" w:cs="宋体"/>
          <w:color w:val="auto"/>
          <w:kern w:val="0"/>
          <w:sz w:val="28"/>
          <w:szCs w:val="28"/>
        </w:rPr>
        <w:t>第</w:t>
      </w:r>
      <w:r>
        <w:rPr>
          <w:rFonts w:hint="eastAsia" w:ascii="宋体" w:hAnsi="宋体" w:cs="宋体"/>
          <w:color w:val="auto"/>
          <w:kern w:val="0"/>
          <w:sz w:val="28"/>
          <w:szCs w:val="28"/>
          <w:lang w:eastAsia="zh-CN"/>
        </w:rPr>
        <w:t>五</w:t>
      </w:r>
      <w:r>
        <w:rPr>
          <w:rFonts w:hint="eastAsia" w:ascii="宋体" w:hAnsi="宋体" w:cs="宋体"/>
          <w:color w:val="auto"/>
          <w:kern w:val="0"/>
          <w:sz w:val="28"/>
          <w:szCs w:val="28"/>
        </w:rPr>
        <w:t>章  《附件》（投标文件格式等）</w:t>
      </w:r>
    </w:p>
    <w:p>
      <w:pPr>
        <w:widowControl/>
        <w:spacing w:line="520" w:lineRule="exact"/>
        <w:jc w:val="center"/>
        <w:rPr>
          <w:rFonts w:hint="eastAsia" w:ascii="楷体_GB2312" w:hAnsi="宋体" w:eastAsia="楷体_GB2312" w:cs="宋体"/>
          <w:b/>
          <w:color w:val="auto"/>
          <w:kern w:val="0"/>
          <w:sz w:val="36"/>
          <w:szCs w:val="20"/>
        </w:rPr>
      </w:pPr>
      <w:r>
        <w:rPr>
          <w:rFonts w:ascii="宋体" w:hAnsi="宋体" w:cs="宋体"/>
          <w:color w:val="auto"/>
          <w:kern w:val="0"/>
          <w:sz w:val="24"/>
        </w:rPr>
        <w:t> </w:t>
      </w:r>
    </w:p>
    <w:p>
      <w:pPr>
        <w:widowControl/>
        <w:spacing w:line="520" w:lineRule="exact"/>
        <w:jc w:val="center"/>
        <w:rPr>
          <w:rFonts w:hint="eastAsia" w:ascii="宋体" w:hAnsi="宋体" w:cs="宋体"/>
          <w:b/>
          <w:color w:val="auto"/>
          <w:kern w:val="0"/>
          <w:sz w:val="32"/>
          <w:szCs w:val="32"/>
        </w:rPr>
      </w:pPr>
      <w:r>
        <w:rPr>
          <w:rFonts w:ascii="宋体" w:hAnsi="宋体" w:cs="宋体"/>
          <w:b/>
          <w:color w:val="auto"/>
          <w:kern w:val="0"/>
          <w:sz w:val="32"/>
          <w:szCs w:val="32"/>
        </w:rPr>
        <w:t> </w:t>
      </w:r>
    </w:p>
    <w:p>
      <w:pPr>
        <w:widowControl/>
        <w:spacing w:line="520" w:lineRule="exact"/>
        <w:jc w:val="center"/>
        <w:rPr>
          <w:rFonts w:hint="eastAsia" w:ascii="宋体" w:hAnsi="宋体" w:cs="宋体"/>
          <w:b/>
          <w:color w:val="auto"/>
          <w:kern w:val="0"/>
          <w:sz w:val="32"/>
          <w:szCs w:val="32"/>
        </w:rPr>
      </w:pPr>
    </w:p>
    <w:p>
      <w:pPr>
        <w:widowControl/>
        <w:spacing w:line="520" w:lineRule="exact"/>
        <w:jc w:val="center"/>
        <w:rPr>
          <w:rFonts w:hint="eastAsia" w:ascii="宋体" w:hAnsi="宋体" w:cs="宋体"/>
          <w:b/>
          <w:color w:val="auto"/>
          <w:kern w:val="0"/>
          <w:sz w:val="32"/>
          <w:szCs w:val="32"/>
        </w:rPr>
      </w:pPr>
    </w:p>
    <w:p>
      <w:pPr>
        <w:spacing w:line="500" w:lineRule="exact"/>
        <w:jc w:val="center"/>
        <w:rPr>
          <w:rFonts w:hint="eastAsia" w:ascii="宋体" w:hAnsi="宋体"/>
          <w:b/>
          <w:color w:val="auto"/>
          <w:kern w:val="0"/>
          <w:sz w:val="28"/>
          <w:szCs w:val="28"/>
        </w:rPr>
      </w:pPr>
      <w:r>
        <w:rPr>
          <w:rFonts w:hint="eastAsia" w:ascii="宋体" w:hAnsi="宋体" w:cs="宋体"/>
          <w:color w:val="auto"/>
          <w:kern w:val="0"/>
          <w:sz w:val="30"/>
          <w:szCs w:val="30"/>
        </w:rPr>
        <w:t>二〇二一年</w:t>
      </w:r>
      <w:r>
        <w:rPr>
          <w:rFonts w:hint="eastAsia" w:ascii="宋体" w:hAnsi="宋体" w:cs="宋体"/>
          <w:color w:val="auto"/>
          <w:kern w:val="0"/>
          <w:sz w:val="30"/>
          <w:szCs w:val="30"/>
          <w:lang w:eastAsia="zh-CN"/>
        </w:rPr>
        <w:t>七</w:t>
      </w:r>
      <w:r>
        <w:rPr>
          <w:rFonts w:hint="eastAsia" w:ascii="宋体" w:hAnsi="宋体" w:cs="宋体"/>
          <w:color w:val="auto"/>
          <w:kern w:val="0"/>
          <w:sz w:val="30"/>
          <w:szCs w:val="30"/>
        </w:rPr>
        <w:t>月</w:t>
      </w:r>
    </w:p>
    <w:p>
      <w:pPr>
        <w:spacing w:line="360" w:lineRule="exact"/>
        <w:rPr>
          <w:rFonts w:hint="eastAsia" w:ascii="宋体" w:hAnsi="宋体"/>
          <w:b/>
          <w:color w:val="auto"/>
          <w:kern w:val="0"/>
          <w:sz w:val="28"/>
          <w:szCs w:val="28"/>
        </w:rPr>
      </w:pPr>
    </w:p>
    <w:p>
      <w:pPr>
        <w:spacing w:line="360" w:lineRule="exact"/>
        <w:rPr>
          <w:rFonts w:hint="eastAsia" w:ascii="宋体" w:hAnsi="宋体"/>
          <w:b/>
          <w:color w:val="auto"/>
          <w:kern w:val="0"/>
          <w:sz w:val="28"/>
          <w:szCs w:val="28"/>
        </w:rPr>
      </w:pPr>
      <w:r>
        <w:rPr>
          <w:rFonts w:hint="eastAsia" w:ascii="宋体" w:hAnsi="宋体"/>
          <w:b/>
          <w:color w:val="auto"/>
          <w:kern w:val="0"/>
          <w:sz w:val="28"/>
          <w:szCs w:val="28"/>
        </w:rPr>
        <w:br w:type="page"/>
      </w:r>
    </w:p>
    <w:p>
      <w:pPr>
        <w:spacing w:line="360" w:lineRule="exact"/>
        <w:jc w:val="center"/>
        <w:rPr>
          <w:rFonts w:ascii="宋体" w:hAnsi="宋体"/>
          <w:b/>
          <w:color w:val="auto"/>
          <w:kern w:val="0"/>
          <w:sz w:val="28"/>
          <w:szCs w:val="28"/>
        </w:rPr>
      </w:pPr>
      <w:r>
        <w:rPr>
          <w:rFonts w:hint="eastAsia" w:ascii="宋体" w:hAnsi="宋体"/>
          <w:b/>
          <w:color w:val="auto"/>
          <w:kern w:val="0"/>
          <w:sz w:val="28"/>
          <w:szCs w:val="28"/>
        </w:rPr>
        <w:t>第一章  投标邀请</w:t>
      </w:r>
    </w:p>
    <w:p>
      <w:pPr>
        <w:spacing w:line="240" w:lineRule="exact"/>
        <w:rPr>
          <w:rFonts w:hint="eastAsia" w:ascii="宋体" w:hAnsi="宋体"/>
          <w:color w:val="auto"/>
          <w:kern w:val="0"/>
          <w:sz w:val="24"/>
        </w:rPr>
      </w:pPr>
    </w:p>
    <w:p>
      <w:pPr>
        <w:widowControl/>
        <w:spacing w:line="460" w:lineRule="exact"/>
        <w:ind w:firstLine="480" w:firstLineChars="200"/>
        <w:rPr>
          <w:rFonts w:ascii="楷体_GB2312" w:hAnsi="宋体" w:eastAsia="楷体_GB2312" w:cs="宋体"/>
          <w:color w:val="auto"/>
          <w:kern w:val="0"/>
          <w:sz w:val="24"/>
        </w:rPr>
      </w:pPr>
      <w:r>
        <w:rPr>
          <w:rFonts w:ascii="宋体" w:hAnsi="宋体" w:eastAsia="宋体" w:cs="宋体"/>
          <w:color w:val="auto"/>
          <w:sz w:val="24"/>
          <w:szCs w:val="24"/>
        </w:rPr>
        <w:t>合肥周谷堆大兴农产品国际物流园有限责任公司现需对</w:t>
      </w:r>
      <w:r>
        <w:rPr>
          <w:rFonts w:hint="eastAsia" w:ascii="宋体" w:hAnsi="宋体" w:eastAsia="宋体" w:cs="宋体"/>
          <w:color w:val="auto"/>
          <w:sz w:val="24"/>
          <w:szCs w:val="24"/>
          <w:lang w:eastAsia="zh-CN"/>
        </w:rPr>
        <w:t>水产肉食交易区门禁及防疫测温信息化项目</w:t>
      </w:r>
      <w:r>
        <w:rPr>
          <w:rFonts w:ascii="宋体" w:hAnsi="宋体" w:eastAsia="宋体" w:cs="宋体"/>
          <w:color w:val="auto"/>
          <w:sz w:val="24"/>
          <w:szCs w:val="24"/>
        </w:rPr>
        <w:t>进行公开招标，诚邀具有相关资质的专业公司参与投标。</w:t>
      </w:r>
    </w:p>
    <w:p>
      <w:pPr>
        <w:widowControl/>
        <w:spacing w:line="460" w:lineRule="exact"/>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一、招标简介</w:t>
      </w:r>
    </w:p>
    <w:p>
      <w:pPr>
        <w:widowControl/>
        <w:spacing w:line="460" w:lineRule="exact"/>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0"/>
          <w:sz w:val="24"/>
        </w:rPr>
        <w:t>1.项目名称：</w:t>
      </w:r>
      <w:r>
        <w:rPr>
          <w:rFonts w:hint="eastAsia" w:ascii="宋体" w:hAnsi="宋体" w:eastAsia="宋体" w:cs="宋体"/>
          <w:color w:val="auto"/>
          <w:sz w:val="24"/>
          <w:szCs w:val="24"/>
          <w:lang w:eastAsia="zh-CN"/>
        </w:rPr>
        <w:t>百大周谷堆大兴农产品国际物流园智慧农批提升改造之水产肉食交易区门禁及防疫测温信息化项目</w:t>
      </w:r>
    </w:p>
    <w:p>
      <w:pPr>
        <w:widowControl/>
        <w:spacing w:line="460" w:lineRule="exact"/>
        <w:ind w:firstLine="480" w:firstLineChars="200"/>
        <w:jc w:val="left"/>
        <w:rPr>
          <w:rFonts w:hint="eastAsia" w:ascii="宋体" w:hAnsi="宋体" w:cs="宋体"/>
          <w:color w:val="auto"/>
          <w:kern w:val="0"/>
          <w:sz w:val="24"/>
          <w:highlight w:val="yellow"/>
        </w:rPr>
      </w:pPr>
      <w:r>
        <w:rPr>
          <w:rFonts w:hint="eastAsia" w:ascii="宋体" w:hAnsi="宋体" w:cs="宋体"/>
          <w:color w:val="auto"/>
          <w:kern w:val="0"/>
          <w:sz w:val="24"/>
        </w:rPr>
        <w:t>2.项目编号:</w:t>
      </w:r>
      <w:r>
        <w:rPr>
          <w:rFonts w:hint="eastAsia" w:ascii="宋体" w:hAnsi="宋体" w:cs="宋体"/>
          <w:color w:val="auto"/>
          <w:kern w:val="0"/>
          <w:sz w:val="24"/>
          <w:lang w:val="en-US" w:eastAsia="zh-CN"/>
        </w:rPr>
        <w:t>HBZ-21062-ZGD12</w:t>
      </w:r>
    </w:p>
    <w:p>
      <w:pPr>
        <w:widowControl/>
        <w:spacing w:line="460" w:lineRule="exact"/>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rPr>
        <w:t>3.项目内容：</w:t>
      </w:r>
      <w:r>
        <w:rPr>
          <w:rFonts w:hint="eastAsia" w:ascii="宋体" w:hAnsi="宋体" w:eastAsia="宋体" w:cs="宋体"/>
          <w:color w:val="auto"/>
          <w:sz w:val="24"/>
          <w:szCs w:val="24"/>
          <w:lang w:eastAsia="zh-CN"/>
        </w:rPr>
        <w:t>百大周谷堆大兴农产品国际物流园智慧农批提升改造之水产肉食交易区门禁及防疫测温信息化项目</w:t>
      </w:r>
      <w:r>
        <w:rPr>
          <w:rFonts w:hint="eastAsia" w:ascii="宋体" w:hAnsi="宋体" w:cs="宋体"/>
          <w:color w:val="auto"/>
          <w:spacing w:val="-4"/>
          <w:kern w:val="0"/>
          <w:sz w:val="24"/>
        </w:rPr>
        <w:t>，</w:t>
      </w:r>
      <w:r>
        <w:rPr>
          <w:rFonts w:hint="eastAsia" w:ascii="宋体" w:hAnsi="宋体" w:cs="宋体"/>
          <w:color w:val="auto"/>
          <w:kern w:val="0"/>
          <w:sz w:val="24"/>
        </w:rPr>
        <w:t>涉及</w:t>
      </w:r>
      <w:r>
        <w:rPr>
          <w:rFonts w:hint="eastAsia" w:ascii="宋体" w:hAnsi="宋体" w:cs="宋体"/>
          <w:color w:val="auto"/>
          <w:kern w:val="0"/>
          <w:sz w:val="24"/>
          <w:lang w:eastAsia="zh-CN"/>
        </w:rPr>
        <w:t>机动车、三轮车及行人</w:t>
      </w:r>
      <w:r>
        <w:rPr>
          <w:rFonts w:hint="eastAsia" w:ascii="宋体" w:hAnsi="宋体" w:cs="宋体"/>
          <w:color w:val="auto"/>
          <w:kern w:val="0"/>
          <w:sz w:val="24"/>
        </w:rPr>
        <w:t>出入口共计</w:t>
      </w:r>
      <w:r>
        <w:rPr>
          <w:rFonts w:hint="eastAsia" w:ascii="宋体" w:hAnsi="宋体" w:cs="宋体"/>
          <w:color w:val="auto"/>
          <w:kern w:val="0"/>
          <w:sz w:val="24"/>
          <w:lang w:val="en-US" w:eastAsia="zh-CN"/>
        </w:rPr>
        <w:t>12</w:t>
      </w:r>
      <w:r>
        <w:rPr>
          <w:rFonts w:hint="eastAsia" w:ascii="宋体" w:hAnsi="宋体" w:cs="宋体"/>
          <w:color w:val="auto"/>
          <w:kern w:val="0"/>
          <w:sz w:val="24"/>
        </w:rPr>
        <w:t>个，包括新增</w:t>
      </w:r>
      <w:r>
        <w:rPr>
          <w:rFonts w:hint="eastAsia" w:ascii="宋体" w:hAnsi="宋体" w:cs="宋体"/>
          <w:color w:val="auto"/>
          <w:kern w:val="0"/>
          <w:sz w:val="24"/>
          <w:lang w:eastAsia="zh-CN"/>
        </w:rPr>
        <w:t>机动车</w:t>
      </w:r>
      <w:r>
        <w:rPr>
          <w:rFonts w:hint="eastAsia" w:ascii="宋体" w:hAnsi="宋体" w:cs="宋体"/>
          <w:color w:val="auto"/>
          <w:kern w:val="0"/>
          <w:sz w:val="24"/>
        </w:rPr>
        <w:t>车辆识别</w:t>
      </w:r>
      <w:r>
        <w:rPr>
          <w:rFonts w:hint="eastAsia" w:ascii="宋体" w:hAnsi="宋体" w:cs="宋体"/>
          <w:color w:val="auto"/>
          <w:kern w:val="0"/>
          <w:sz w:val="24"/>
          <w:lang w:eastAsia="zh-CN"/>
        </w:rPr>
        <w:t>门禁、三轮车准入门、人脸测温扫码设备及配套软件，路面标识</w:t>
      </w:r>
      <w:r>
        <w:rPr>
          <w:rFonts w:hint="eastAsia" w:ascii="宋体" w:hAnsi="宋体" w:cs="宋体"/>
          <w:color w:val="auto"/>
          <w:kern w:val="0"/>
          <w:sz w:val="24"/>
        </w:rPr>
        <w:t>、减速带，</w:t>
      </w:r>
      <w:r>
        <w:rPr>
          <w:rFonts w:hint="eastAsia" w:ascii="宋体" w:hAnsi="宋体" w:cs="宋体"/>
          <w:color w:val="auto"/>
          <w:kern w:val="0"/>
          <w:sz w:val="24"/>
          <w:lang w:eastAsia="zh-CN"/>
        </w:rPr>
        <w:t>管网</w:t>
      </w:r>
      <w:r>
        <w:rPr>
          <w:rFonts w:hint="eastAsia" w:ascii="宋体" w:hAnsi="宋体" w:cs="宋体"/>
          <w:color w:val="auto"/>
          <w:kern w:val="0"/>
          <w:sz w:val="24"/>
        </w:rPr>
        <w:t>改造等内容</w:t>
      </w:r>
      <w:r>
        <w:rPr>
          <w:rFonts w:hint="eastAsia" w:ascii="宋体" w:hAnsi="宋体" w:cs="宋体"/>
          <w:color w:val="auto"/>
          <w:kern w:val="0"/>
          <w:sz w:val="24"/>
          <w:lang w:eastAsia="zh-CN"/>
        </w:rPr>
        <w:t>，</w:t>
      </w:r>
      <w:r>
        <w:rPr>
          <w:rFonts w:hint="eastAsia" w:ascii="宋体" w:hAnsi="宋体" w:cs="宋体"/>
          <w:color w:val="auto"/>
          <w:kern w:val="0"/>
          <w:sz w:val="24"/>
        </w:rPr>
        <w:t>具体需求详见第</w:t>
      </w:r>
      <w:r>
        <w:rPr>
          <w:rFonts w:hint="eastAsia" w:ascii="宋体" w:hAnsi="宋体" w:cs="宋体"/>
          <w:color w:val="auto"/>
          <w:kern w:val="0"/>
          <w:sz w:val="24"/>
          <w:lang w:eastAsia="zh-CN"/>
        </w:rPr>
        <w:t>四</w:t>
      </w:r>
      <w:r>
        <w:rPr>
          <w:rFonts w:hint="eastAsia" w:ascii="宋体" w:hAnsi="宋体" w:cs="宋体"/>
          <w:color w:val="auto"/>
          <w:kern w:val="0"/>
          <w:sz w:val="24"/>
        </w:rPr>
        <w:t>章《</w:t>
      </w:r>
      <w:r>
        <w:rPr>
          <w:rFonts w:hint="eastAsia" w:ascii="宋体" w:hAnsi="宋体" w:cs="宋体"/>
          <w:color w:val="auto"/>
          <w:kern w:val="0"/>
          <w:sz w:val="24"/>
          <w:lang w:eastAsia="zh-CN"/>
        </w:rPr>
        <w:t>招标</w:t>
      </w:r>
      <w:r>
        <w:rPr>
          <w:rFonts w:hint="eastAsia" w:ascii="宋体" w:hAnsi="宋体" w:cs="宋体"/>
          <w:color w:val="auto"/>
          <w:kern w:val="0"/>
          <w:sz w:val="24"/>
        </w:rPr>
        <w:t>需求</w:t>
      </w:r>
      <w:r>
        <w:rPr>
          <w:rFonts w:hint="eastAsia" w:ascii="宋体" w:hAnsi="宋体" w:cs="宋体"/>
          <w:color w:val="auto"/>
          <w:kern w:val="0"/>
          <w:sz w:val="24"/>
          <w:lang w:eastAsia="zh-CN"/>
        </w:rPr>
        <w:t>》。</w:t>
      </w:r>
    </w:p>
    <w:p>
      <w:pPr>
        <w:spacing w:line="460" w:lineRule="exact"/>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4</w:t>
      </w:r>
      <w:r>
        <w:rPr>
          <w:rFonts w:hint="eastAsia" w:ascii="宋体" w:hAnsi="宋体" w:cs="宋体"/>
          <w:color w:val="auto"/>
          <w:kern w:val="0"/>
          <w:sz w:val="24"/>
        </w:rPr>
        <w:t>.项目概算：人民币</w:t>
      </w:r>
      <w:r>
        <w:rPr>
          <w:rFonts w:hint="eastAsia" w:ascii="宋体" w:hAnsi="宋体" w:cs="宋体"/>
          <w:color w:val="auto"/>
          <w:kern w:val="0"/>
          <w:sz w:val="24"/>
          <w:lang w:val="en-US" w:eastAsia="zh-CN"/>
        </w:rPr>
        <w:t>886216.25</w:t>
      </w:r>
      <w:r>
        <w:rPr>
          <w:rFonts w:hint="eastAsia" w:ascii="宋体" w:hAnsi="宋体" w:cs="宋体"/>
          <w:color w:val="auto"/>
          <w:kern w:val="0"/>
          <w:sz w:val="24"/>
        </w:rPr>
        <w:t>元</w:t>
      </w:r>
      <w:r>
        <w:rPr>
          <w:rFonts w:hint="eastAsia" w:ascii="宋体" w:hAnsi="宋体" w:cs="宋体"/>
          <w:color w:val="auto"/>
          <w:kern w:val="0"/>
          <w:sz w:val="24"/>
          <w:lang w:eastAsia="zh-CN"/>
        </w:rPr>
        <w:t>。</w:t>
      </w:r>
    </w:p>
    <w:p>
      <w:pPr>
        <w:widowControl/>
        <w:spacing w:line="460" w:lineRule="exact"/>
        <w:ind w:firstLine="480" w:firstLineChars="200"/>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5.实施周期： 30个日历天。</w:t>
      </w:r>
    </w:p>
    <w:p>
      <w:pPr>
        <w:spacing w:line="460" w:lineRule="exact"/>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项目地址：合肥周谷堆大兴农产品国际物流园</w:t>
      </w:r>
      <w:r>
        <w:rPr>
          <w:rFonts w:hint="eastAsia" w:ascii="宋体" w:hAnsi="宋体" w:cs="宋体"/>
          <w:color w:val="auto"/>
          <w:kern w:val="0"/>
          <w:sz w:val="24"/>
          <w:highlight w:val="none"/>
          <w:lang w:eastAsia="zh-CN"/>
        </w:rPr>
        <w:t>水产肉食交易</w:t>
      </w:r>
      <w:r>
        <w:rPr>
          <w:rFonts w:hint="eastAsia" w:ascii="宋体" w:hAnsi="宋体" w:cs="宋体"/>
          <w:color w:val="auto"/>
          <w:kern w:val="0"/>
          <w:sz w:val="24"/>
          <w:highlight w:val="none"/>
          <w:lang w:val="en-US" w:eastAsia="zh-CN"/>
        </w:rPr>
        <w:t>中心</w:t>
      </w:r>
      <w:r>
        <w:rPr>
          <w:rFonts w:hint="eastAsia" w:ascii="宋体" w:hAnsi="宋体" w:cs="宋体"/>
          <w:color w:val="auto"/>
          <w:kern w:val="0"/>
          <w:sz w:val="24"/>
          <w:highlight w:val="none"/>
        </w:rPr>
        <w:t>。</w:t>
      </w:r>
    </w:p>
    <w:p>
      <w:pPr>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二、投标人要求</w:t>
      </w:r>
    </w:p>
    <w:p>
      <w:pPr>
        <w:spacing w:line="460" w:lineRule="exact"/>
        <w:ind w:firstLine="437"/>
        <w:rPr>
          <w:rFonts w:hint="eastAsia" w:ascii="宋体" w:hAnsi="宋体" w:eastAsia="宋体" w:cs="Times New Roman"/>
          <w:color w:val="auto"/>
          <w:sz w:val="24"/>
          <w:szCs w:val="18"/>
          <w:highlight w:val="none"/>
          <w:lang w:val="en-US" w:eastAsia="zh-CN"/>
        </w:rPr>
      </w:pPr>
      <w:r>
        <w:rPr>
          <w:rFonts w:hint="eastAsia" w:ascii="宋体" w:hAnsi="宋体"/>
          <w:color w:val="auto"/>
          <w:sz w:val="24"/>
          <w:highlight w:val="none"/>
        </w:rPr>
        <w:t>1</w:t>
      </w:r>
      <w:r>
        <w:rPr>
          <w:rFonts w:hint="eastAsia" w:ascii="宋体" w:hAnsi="宋体" w:eastAsia="宋体" w:cs="Times New Roman"/>
          <w:color w:val="auto"/>
          <w:sz w:val="24"/>
          <w:szCs w:val="18"/>
          <w:lang w:val="en-US" w:eastAsia="zh-CN"/>
        </w:rPr>
        <w:t>.具有独立法人及一般纳税人资格。</w:t>
      </w:r>
    </w:p>
    <w:p>
      <w:pPr>
        <w:spacing w:line="460" w:lineRule="exact"/>
        <w:ind w:firstLine="437"/>
        <w:rPr>
          <w:rFonts w:hint="default"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2.2018年1月1日以来（以合同签订时间为准），投标人具有单个合同不少于60万元的类似项目业绩（须包含门禁智能化内容）。</w:t>
      </w:r>
    </w:p>
    <w:p>
      <w:pPr>
        <w:spacing w:line="460" w:lineRule="exact"/>
        <w:ind w:firstLine="437"/>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3.投标人须符合下列情形之一（以开标当日现场在“安徽合肥公共资源交易中心”网站http://ggzy.hefei.gov.cn/pgt/exposureDesk.html查询信息为准。如网站未收录被查询企业信息视为不存在以下不良行为记录。）：</w:t>
      </w:r>
    </w:p>
    <w:p>
      <w:pPr>
        <w:spacing w:line="460" w:lineRule="exact"/>
        <w:ind w:firstLine="437"/>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（1）开标日前两年内未被合肥市及其所辖县（市）公共资源交易监督管理局记不良行为记录或记不良行为记录累计未满10分的。 </w:t>
      </w:r>
    </w:p>
    <w:p>
      <w:pPr>
        <w:spacing w:line="460" w:lineRule="exact"/>
        <w:ind w:firstLine="437"/>
        <w:rPr>
          <w:rFonts w:hint="eastAsia" w:ascii="宋体" w:hAnsi="宋体"/>
          <w:color w:val="auto"/>
          <w:sz w:val="24"/>
          <w:highlight w:val="none"/>
        </w:rPr>
      </w:pPr>
      <w:r>
        <w:rPr>
          <w:rFonts w:hint="eastAsia" w:ascii="宋体" w:hAnsi="宋体" w:eastAsia="宋体" w:cs="Times New Roman"/>
          <w:color w:val="auto"/>
          <w:sz w:val="24"/>
          <w:szCs w:val="18"/>
          <w:highlight w:val="none"/>
          <w:lang w:val="en-US" w:eastAsia="zh-CN"/>
        </w:rPr>
        <w:t>（2）最近一次被合肥市及其所辖县（市）公共资源交易监督管理局记不良行为记录累计记分达10分(</w:t>
      </w:r>
      <w:r>
        <w:rPr>
          <w:rFonts w:ascii="宋体" w:hAnsi="宋体"/>
          <w:color w:val="auto"/>
          <w:sz w:val="24"/>
          <w:highlight w:val="none"/>
        </w:rPr>
        <w:t>含10分)到15分且公布日距开标日超过6个月。 </w:t>
      </w:r>
    </w:p>
    <w:p>
      <w:pPr>
        <w:spacing w:line="460" w:lineRule="exact"/>
        <w:ind w:firstLine="437"/>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（3）最近一次被合肥市及其所辖县（市）公共资源交易监督管理局记不良行为记录累计记分达15分(含15分)到20分且公布日距开标日超过12个月。 </w:t>
      </w:r>
    </w:p>
    <w:p>
      <w:pPr>
        <w:spacing w:line="460" w:lineRule="exact"/>
        <w:ind w:firstLine="437"/>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（4）最近一次被合肥市及其所辖县（市）公共资源交易监督管理局记不良行为记录累计记分达20分(含20分)及以上且公布日距开标日超过24个月。</w:t>
      </w:r>
    </w:p>
    <w:p>
      <w:pPr>
        <w:spacing w:line="460" w:lineRule="exact"/>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 xml:space="preserve">   4.投标人不得存在以下不良信用记录情形之一（以开标当日现场在“信用中国”网站http://www.creditchina.gov.cn/查询信息为准。如网站未收录被查询企业信息视为不存在以下不良信用记录。）：</w:t>
      </w:r>
    </w:p>
    <w:p>
      <w:pPr>
        <w:spacing w:line="460" w:lineRule="exact"/>
        <w:ind w:firstLine="480" w:firstLineChars="200"/>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（1）投标人被人民法院列入失信被执行人的。</w:t>
      </w:r>
    </w:p>
    <w:p>
      <w:pPr>
        <w:spacing w:line="460" w:lineRule="exact"/>
        <w:ind w:firstLine="480" w:firstLineChars="200"/>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（2）投标人被列入政府采购严重违法失信名单的。</w:t>
      </w:r>
    </w:p>
    <w:p>
      <w:pPr>
        <w:spacing w:line="460" w:lineRule="exact"/>
        <w:ind w:firstLine="480" w:firstLineChars="200"/>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（3）投标人被工商行政管理部门列入企业经营异常名录的。</w:t>
      </w:r>
    </w:p>
    <w:p>
      <w:pPr>
        <w:spacing w:line="460" w:lineRule="exact"/>
        <w:ind w:firstLine="480" w:firstLineChars="200"/>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（3）投标人被税务部门列入重大税收违法案件当事人名单的。</w:t>
      </w:r>
    </w:p>
    <w:p>
      <w:pPr>
        <w:spacing w:line="460" w:lineRule="exact"/>
        <w:ind w:firstLine="437"/>
        <w:rPr>
          <w:rFonts w:hint="eastAsia" w:ascii="宋体" w:hAnsi="宋体" w:eastAsia="宋体" w:cs="Times New Roman"/>
          <w:color w:val="auto"/>
          <w:sz w:val="24"/>
          <w:szCs w:val="18"/>
          <w:highlight w:val="none"/>
          <w:lang w:val="en-US" w:eastAsia="zh-CN"/>
        </w:rPr>
      </w:pPr>
      <w:r>
        <w:rPr>
          <w:rFonts w:hint="eastAsia" w:ascii="宋体" w:hAnsi="宋体" w:eastAsia="宋体" w:cs="Times New Roman"/>
          <w:color w:val="auto"/>
          <w:sz w:val="24"/>
          <w:szCs w:val="18"/>
          <w:highlight w:val="none"/>
          <w:lang w:val="en-US" w:eastAsia="zh-CN"/>
        </w:rPr>
        <w:t>（4）本项目不接受联合体投标。</w:t>
      </w:r>
    </w:p>
    <w:p>
      <w:pPr>
        <w:spacing w:line="460" w:lineRule="exact"/>
        <w:ind w:firstLine="482" w:firstLineChars="200"/>
        <w:rPr>
          <w:rFonts w:hint="eastAsia" w:ascii="宋体" w:hAnsi="宋体" w:eastAsia="宋体" w:cs="宋体"/>
          <w:b/>
          <w:color w:val="auto"/>
          <w:kern w:val="0"/>
          <w:sz w:val="24"/>
          <w:highlight w:val="none"/>
          <w:lang w:eastAsia="zh-CN"/>
        </w:rPr>
      </w:pPr>
      <w:r>
        <w:rPr>
          <w:rFonts w:hint="eastAsia"/>
          <w:b/>
          <w:color w:val="auto"/>
          <w:sz w:val="24"/>
          <w:highlight w:val="none"/>
        </w:rPr>
        <w:t>注：报名时请提供</w:t>
      </w:r>
      <w:r>
        <w:rPr>
          <w:rFonts w:hint="eastAsia" w:ascii="宋体" w:hAnsi="宋体" w:cs="宋体"/>
          <w:b/>
          <w:color w:val="auto"/>
          <w:kern w:val="0"/>
          <w:sz w:val="24"/>
          <w:highlight w:val="none"/>
        </w:rPr>
        <w:t>以上证明文件复印件（加盖公章），投标时做入投标文件</w:t>
      </w:r>
      <w:r>
        <w:rPr>
          <w:rFonts w:hint="eastAsia" w:ascii="宋体" w:hAnsi="宋体" w:cs="宋体"/>
          <w:b/>
          <w:color w:val="auto"/>
          <w:kern w:val="0"/>
          <w:sz w:val="24"/>
          <w:highlight w:val="none"/>
          <w:lang w:eastAsia="zh-CN"/>
        </w:rPr>
        <w:t>。</w:t>
      </w:r>
    </w:p>
    <w:p>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三、标书领取日期及方法</w:t>
      </w:r>
    </w:p>
    <w:p>
      <w:pPr>
        <w:widowControl/>
        <w:spacing w:line="460" w:lineRule="exact"/>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1.标书领取日期：2021年 </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 xml:space="preserve"> 月 </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 xml:space="preserve"> 日—2021年 </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 xml:space="preserve"> 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 xml:space="preserve"> 日</w:t>
      </w:r>
    </w:p>
    <w:p>
      <w:pPr>
        <w:pStyle w:val="25"/>
        <w:spacing w:line="4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2.标书领取方法：</w:t>
      </w:r>
      <w:r>
        <w:rPr>
          <w:rFonts w:hint="eastAsia" w:ascii="宋体" w:hAnsi="宋体"/>
          <w:color w:val="auto"/>
          <w:sz w:val="24"/>
          <w:highlight w:val="none"/>
        </w:rPr>
        <w:t>登录百大网站</w:t>
      </w:r>
      <w:r>
        <w:rPr>
          <w:rFonts w:ascii="宋体" w:hAnsi="宋体"/>
          <w:color w:val="auto"/>
          <w:sz w:val="24"/>
          <w:highlight w:val="none"/>
        </w:rPr>
        <w:fldChar w:fldCharType="begin"/>
      </w:r>
      <w:r>
        <w:rPr>
          <w:rFonts w:ascii="宋体" w:hAnsi="宋体"/>
          <w:color w:val="auto"/>
          <w:sz w:val="24"/>
          <w:highlight w:val="none"/>
        </w:rPr>
        <w:instrText xml:space="preserve">HYPERLINK "http://www.hfbh.com.cn"</w:instrText>
      </w:r>
      <w:r>
        <w:rPr>
          <w:rFonts w:ascii="宋体" w:hAnsi="宋体"/>
          <w:color w:val="auto"/>
          <w:sz w:val="24"/>
          <w:highlight w:val="none"/>
        </w:rPr>
        <w:fldChar w:fldCharType="separate"/>
      </w:r>
      <w:r>
        <w:rPr>
          <w:rFonts w:hint="eastAsia" w:ascii="宋体" w:hAnsi="宋体"/>
          <w:color w:val="auto"/>
          <w:sz w:val="24"/>
          <w:highlight w:val="none"/>
        </w:rPr>
        <w:t>www.hfbh.com.cn</w:t>
      </w:r>
      <w:r>
        <w:rPr>
          <w:rFonts w:ascii="宋体" w:hAnsi="宋体"/>
          <w:color w:val="auto"/>
          <w:sz w:val="24"/>
          <w:highlight w:val="none"/>
        </w:rPr>
        <w:fldChar w:fldCharType="end"/>
      </w:r>
      <w:r>
        <w:rPr>
          <w:rFonts w:hint="eastAsia" w:ascii="宋体" w:hAnsi="宋体"/>
          <w:color w:val="auto"/>
          <w:sz w:val="24"/>
          <w:highlight w:val="none"/>
        </w:rPr>
        <w:t>→服务中心→招标公告，页面末端点击链接下载标书（下载标书的投标单位按要求参加资格</w:t>
      </w:r>
      <w:r>
        <w:rPr>
          <w:rFonts w:hint="eastAsia" w:ascii="宋体" w:hAnsi="宋体"/>
          <w:color w:val="auto"/>
          <w:sz w:val="24"/>
          <w:highlight w:val="none"/>
          <w:lang w:eastAsia="zh-CN"/>
        </w:rPr>
        <w:t>预审</w:t>
      </w:r>
      <w:r>
        <w:rPr>
          <w:rFonts w:hint="eastAsia" w:ascii="宋体" w:hAnsi="宋体"/>
          <w:color w:val="auto"/>
          <w:sz w:val="24"/>
          <w:highlight w:val="none"/>
        </w:rPr>
        <w:t>）。</w:t>
      </w:r>
    </w:p>
    <w:p>
      <w:pPr>
        <w:pStyle w:val="25"/>
        <w:spacing w:line="4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四、报名资格预审</w:t>
      </w:r>
    </w:p>
    <w:p>
      <w:pPr>
        <w:pStyle w:val="25"/>
        <w:spacing w:line="460" w:lineRule="exact"/>
        <w:ind w:firstLine="480"/>
        <w:jc w:val="left"/>
        <w:rPr>
          <w:rFonts w:hint="eastAsia" w:ascii="宋体" w:hAnsi="宋体"/>
          <w:bCs/>
          <w:color w:val="auto"/>
          <w:sz w:val="24"/>
          <w:szCs w:val="24"/>
          <w:highlight w:val="none"/>
        </w:rPr>
      </w:pPr>
      <w:r>
        <w:rPr>
          <w:rFonts w:hint="eastAsia" w:ascii="宋体" w:hAnsi="宋体"/>
          <w:bCs/>
          <w:color w:val="auto"/>
          <w:sz w:val="24"/>
          <w:szCs w:val="24"/>
          <w:highlight w:val="none"/>
        </w:rPr>
        <w:t>2021年</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13</w:t>
      </w:r>
      <w:r>
        <w:rPr>
          <w:rFonts w:hint="eastAsia" w:ascii="宋体" w:hAnsi="宋体"/>
          <w:bCs/>
          <w:color w:val="auto"/>
          <w:sz w:val="24"/>
          <w:szCs w:val="24"/>
          <w:highlight w:val="none"/>
        </w:rPr>
        <w:t>日12:00之前将本章第二条“投标人要求”中的相关材料电子版发送至邮箱</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517820169@QQ.COM</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接受资格预审，审查合格的投标人以转账方式缴纳投标保证金，逾期或未参加资格预审的投标人，招标人有权利不接受其投标。资格预审仅作为报名依据，投标人资质是否符合招标文件要求以评标复审为准。</w:t>
      </w:r>
    </w:p>
    <w:p>
      <w:pPr>
        <w:pStyle w:val="25"/>
        <w:spacing w:line="460" w:lineRule="exact"/>
        <w:ind w:firstLine="480"/>
        <w:jc w:val="left"/>
        <w:rPr>
          <w:rFonts w:ascii="宋体" w:hAnsi="宋体"/>
          <w:b/>
          <w:color w:val="auto"/>
          <w:sz w:val="24"/>
          <w:szCs w:val="24"/>
          <w:highlight w:val="none"/>
        </w:rPr>
      </w:pPr>
      <w:r>
        <w:rPr>
          <w:rFonts w:hint="eastAsia" w:ascii="宋体" w:hAnsi="宋体"/>
          <w:b/>
          <w:color w:val="auto"/>
          <w:sz w:val="24"/>
          <w:szCs w:val="24"/>
          <w:highlight w:val="none"/>
        </w:rPr>
        <w:t>五、投标保证金</w:t>
      </w:r>
    </w:p>
    <w:p>
      <w:pPr>
        <w:spacing w:line="460" w:lineRule="exact"/>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2021年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日17:00前（以实际到账时间为准）通过转账的方式缴纳投标保证金</w:t>
      </w:r>
      <w:r>
        <w:rPr>
          <w:rFonts w:hint="eastAsia" w:ascii="宋体" w:hAnsi="宋体" w:cs="宋体"/>
          <w:b/>
          <w:bCs/>
          <w:color w:val="auto"/>
          <w:kern w:val="0"/>
          <w:sz w:val="24"/>
          <w:highlight w:val="none"/>
          <w:lang w:val="zh-CN"/>
        </w:rPr>
        <w:t>壹万元整</w:t>
      </w:r>
      <w:r>
        <w:rPr>
          <w:rFonts w:hint="eastAsia" w:ascii="宋体" w:hAnsi="宋体" w:cs="宋体"/>
          <w:color w:val="auto"/>
          <w:kern w:val="0"/>
          <w:sz w:val="24"/>
          <w:highlight w:val="none"/>
          <w:lang w:val="zh-CN"/>
        </w:rPr>
        <w:t>，如中标，该保证金待投标单位缴纳履约保证金后无息退还；如未中标，招标结束后十五个工作日内无息退还。</w:t>
      </w:r>
    </w:p>
    <w:p>
      <w:pPr>
        <w:spacing w:line="460" w:lineRule="exact"/>
        <w:ind w:firstLine="482" w:firstLineChars="200"/>
        <w:rPr>
          <w:rFonts w:hint="eastAsia" w:ascii="宋体" w:hAnsi="宋体" w:cs="宋体"/>
          <w:color w:val="auto"/>
          <w:kern w:val="0"/>
          <w:sz w:val="24"/>
          <w:highlight w:val="none"/>
          <w:lang w:val="zh-CN"/>
        </w:rPr>
      </w:pPr>
      <w:r>
        <w:rPr>
          <w:rFonts w:hint="eastAsia" w:ascii="宋体" w:hAnsi="宋体" w:cs="宋体"/>
          <w:b/>
          <w:bCs/>
          <w:color w:val="auto"/>
          <w:kern w:val="0"/>
          <w:sz w:val="24"/>
          <w:highlight w:val="none"/>
          <w:lang w:val="zh-CN"/>
        </w:rPr>
        <w:t>转账资料：</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1.名  称：</w:t>
      </w:r>
      <w:r>
        <w:rPr>
          <w:rFonts w:ascii="宋体" w:hAnsi="宋体" w:eastAsia="宋体" w:cs="宋体"/>
          <w:color w:val="auto"/>
          <w:sz w:val="24"/>
          <w:szCs w:val="24"/>
          <w:highlight w:val="none"/>
        </w:rPr>
        <w:t>合肥周谷堆大兴农产品国际物流园有限责任公司</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2.开户行：</w:t>
      </w:r>
      <w:r>
        <w:rPr>
          <w:rFonts w:ascii="宋体" w:hAnsi="宋体" w:eastAsia="宋体" w:cs="宋体"/>
          <w:color w:val="auto"/>
          <w:sz w:val="24"/>
          <w:szCs w:val="24"/>
          <w:highlight w:val="none"/>
        </w:rPr>
        <w:t>徽商银行合肥庐阳支行</w:t>
      </w:r>
      <w:r>
        <w:rPr>
          <w:rFonts w:hint="eastAsia" w:ascii="宋体" w:hAnsi="宋体" w:cs="宋体"/>
          <w:color w:val="auto"/>
          <w:kern w:val="0"/>
          <w:sz w:val="24"/>
          <w:highlight w:val="none"/>
        </w:rPr>
        <w:t xml:space="preserve">   </w:t>
      </w:r>
    </w:p>
    <w:p>
      <w:pPr>
        <w:spacing w:line="4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3.帐  号：</w:t>
      </w:r>
      <w:r>
        <w:rPr>
          <w:rFonts w:ascii="宋体" w:hAnsi="宋体" w:eastAsia="宋体" w:cs="宋体"/>
          <w:color w:val="auto"/>
          <w:sz w:val="24"/>
          <w:szCs w:val="24"/>
          <w:highlight w:val="none"/>
        </w:rPr>
        <w:t>1021401021000280076</w:t>
      </w:r>
      <w:r>
        <w:rPr>
          <w:rFonts w:hint="eastAsia" w:ascii="宋体" w:hAnsi="宋体" w:cs="宋体"/>
          <w:color w:val="auto"/>
          <w:kern w:val="0"/>
          <w:sz w:val="24"/>
          <w:highlight w:val="none"/>
        </w:rPr>
        <w:t xml:space="preserve"> （转帐时请备注“</w:t>
      </w:r>
      <w:r>
        <w:rPr>
          <w:rFonts w:hint="eastAsia" w:ascii="宋体" w:hAnsi="宋体" w:eastAsia="宋体" w:cs="宋体"/>
          <w:color w:val="auto"/>
          <w:sz w:val="24"/>
          <w:szCs w:val="24"/>
          <w:highlight w:val="none"/>
          <w:lang w:eastAsia="zh-CN"/>
        </w:rPr>
        <w:t>百大周谷堆水产区门禁及测温项目</w:t>
      </w:r>
      <w:r>
        <w:rPr>
          <w:rFonts w:hint="eastAsia" w:ascii="宋体" w:hAnsi="宋体" w:cs="宋体"/>
          <w:color w:val="auto"/>
          <w:kern w:val="0"/>
          <w:sz w:val="24"/>
          <w:highlight w:val="none"/>
        </w:rPr>
        <w:t>投标保证金”）</w:t>
      </w:r>
    </w:p>
    <w:p>
      <w:pPr>
        <w:spacing w:line="460" w:lineRule="exact"/>
        <w:rPr>
          <w:rFonts w:ascii="宋体" w:hAnsi="宋体"/>
          <w:bCs/>
          <w:color w:val="auto"/>
          <w:sz w:val="24"/>
          <w:highlight w:val="none"/>
        </w:rPr>
      </w:pPr>
      <w:r>
        <w:rPr>
          <w:rFonts w:hint="eastAsia" w:ascii="宋体" w:hAnsi="宋体"/>
          <w:b/>
          <w:color w:val="auto"/>
          <w:sz w:val="24"/>
          <w:highlight w:val="none"/>
        </w:rPr>
        <w:t xml:space="preserve">   </w:t>
      </w:r>
      <w:r>
        <w:rPr>
          <w:rFonts w:hint="eastAsia" w:ascii="宋体" w:hAnsi="宋体"/>
          <w:bCs/>
          <w:color w:val="auto"/>
          <w:sz w:val="24"/>
          <w:highlight w:val="none"/>
        </w:rPr>
        <w:t xml:space="preserve"> 4.</w:t>
      </w:r>
      <w:r>
        <w:rPr>
          <w:rFonts w:ascii="宋体" w:hAnsi="宋体"/>
          <w:bCs/>
          <w:color w:val="auto"/>
          <w:sz w:val="24"/>
          <w:highlight w:val="none"/>
        </w:rPr>
        <w:t>下列任何情况发生，投标保证金将不予退还：</w:t>
      </w:r>
    </w:p>
    <w:p>
      <w:pPr>
        <w:spacing w:line="460" w:lineRule="exact"/>
        <w:rPr>
          <w:rFonts w:hint="eastAsia" w:ascii="宋体" w:hAnsi="宋体" w:eastAsia="宋体" w:cs="Times New Roman"/>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在开标之日后投标人擅自撤回投标的；</w:t>
      </w:r>
    </w:p>
    <w:p>
      <w:pPr>
        <w:spacing w:line="46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中标人不按规定与招标人签订合同的；</w:t>
      </w:r>
    </w:p>
    <w:p>
      <w:pPr>
        <w:spacing w:line="46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中标人不按规定提交履约保证金的；</w:t>
      </w:r>
    </w:p>
    <w:p>
      <w:pPr>
        <w:spacing w:line="460" w:lineRule="exact"/>
        <w:rPr>
          <w:rFonts w:hint="eastAsia" w:ascii="宋体" w:hAnsi="宋体" w:cs="宋体"/>
          <w:color w:val="auto"/>
          <w:kern w:val="0"/>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ascii="宋体" w:hAnsi="宋体"/>
          <w:color w:val="auto"/>
          <w:sz w:val="24"/>
          <w:highlight w:val="none"/>
        </w:rPr>
        <w:t>投标文件中提供虚假文件骗取中标的。</w:t>
      </w:r>
    </w:p>
    <w:p>
      <w:pPr>
        <w:spacing w:line="460" w:lineRule="exact"/>
        <w:rPr>
          <w:rFonts w:ascii="宋体" w:hAnsi="宋体"/>
          <w:color w:val="auto"/>
          <w:sz w:val="24"/>
          <w:highlight w:val="none"/>
        </w:rPr>
      </w:pPr>
      <w:r>
        <w:rPr>
          <w:rFonts w:hint="eastAsia" w:ascii="宋体" w:hAnsi="宋体"/>
          <w:b/>
          <w:color w:val="auto"/>
          <w:sz w:val="24"/>
          <w:highlight w:val="none"/>
        </w:rPr>
        <w:t xml:space="preserve">    六、开标时间：</w:t>
      </w:r>
      <w:r>
        <w:rPr>
          <w:rFonts w:hint="eastAsia" w:ascii="宋体" w:hAnsi="宋体"/>
          <w:color w:val="auto"/>
          <w:sz w:val="24"/>
          <w:highlight w:val="none"/>
        </w:rPr>
        <w:t xml:space="preserve">2021年 </w:t>
      </w:r>
      <w:r>
        <w:rPr>
          <w:rFonts w:hint="eastAsia" w:ascii="宋体" w:hAnsi="宋体"/>
          <w:color w:val="auto"/>
          <w:sz w:val="24"/>
          <w:highlight w:val="none"/>
          <w:lang w:val="en-US" w:eastAsia="zh-CN"/>
        </w:rPr>
        <w:t>7</w:t>
      </w:r>
      <w:r>
        <w:rPr>
          <w:rFonts w:hint="eastAsia" w:ascii="宋体" w:hAnsi="宋体"/>
          <w:color w:val="auto"/>
          <w:sz w:val="24"/>
          <w:highlight w:val="none"/>
        </w:rPr>
        <w:t xml:space="preserve">月 </w:t>
      </w:r>
      <w:r>
        <w:rPr>
          <w:rFonts w:hint="eastAsia" w:ascii="宋体" w:hAnsi="宋体"/>
          <w:color w:val="auto"/>
          <w:sz w:val="24"/>
          <w:highlight w:val="none"/>
          <w:lang w:val="en-US" w:eastAsia="zh-CN"/>
        </w:rPr>
        <w:t>15</w:t>
      </w:r>
      <w:r>
        <w:rPr>
          <w:rFonts w:hint="eastAsia" w:ascii="宋体" w:hAnsi="宋体"/>
          <w:color w:val="auto"/>
          <w:sz w:val="24"/>
          <w:highlight w:val="none"/>
        </w:rPr>
        <w:t xml:space="preserve"> 日</w:t>
      </w:r>
      <w:r>
        <w:rPr>
          <w:rFonts w:hint="eastAsia" w:ascii="宋体" w:hAnsi="宋体"/>
          <w:color w:val="auto"/>
          <w:sz w:val="24"/>
          <w:highlight w:val="none"/>
          <w:lang w:val="en-US" w:eastAsia="zh-CN"/>
        </w:rPr>
        <w:t>9:30</w:t>
      </w:r>
      <w:r>
        <w:rPr>
          <w:rFonts w:hint="eastAsia" w:ascii="宋体" w:hAnsi="宋体"/>
          <w:color w:val="auto"/>
          <w:sz w:val="24"/>
          <w:highlight w:val="none"/>
        </w:rPr>
        <w:t>（如有调整，另行通知）</w:t>
      </w:r>
    </w:p>
    <w:p>
      <w:pPr>
        <w:pStyle w:val="25"/>
        <w:spacing w:line="460" w:lineRule="exact"/>
        <w:ind w:firstLine="480"/>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    开标地点：</w:t>
      </w:r>
      <w:r>
        <w:rPr>
          <w:rFonts w:hint="eastAsia" w:ascii="宋体" w:hAnsi="宋体"/>
          <w:color w:val="auto"/>
          <w:sz w:val="24"/>
          <w:szCs w:val="24"/>
          <w:highlight w:val="none"/>
        </w:rPr>
        <w:t>合肥市黄山路596号A楼合肥百大集团1209室</w:t>
      </w:r>
    </w:p>
    <w:p>
      <w:pPr>
        <w:spacing w:line="460" w:lineRule="exact"/>
        <w:ind w:left="479" w:leftChars="228"/>
        <w:rPr>
          <w:rFonts w:hint="eastAsia" w:ascii="宋体" w:hAnsi="宋体"/>
          <w:color w:val="auto"/>
          <w:kern w:val="0"/>
          <w:sz w:val="24"/>
          <w:highlight w:val="none"/>
        </w:rPr>
      </w:pPr>
      <w:r>
        <w:rPr>
          <w:rFonts w:hint="eastAsia" w:ascii="宋体" w:hAnsi="宋体"/>
          <w:b/>
          <w:color w:val="auto"/>
          <w:sz w:val="24"/>
          <w:highlight w:val="none"/>
        </w:rPr>
        <w:t>七、联 系 人</w:t>
      </w:r>
      <w:r>
        <w:rPr>
          <w:rFonts w:hint="eastAsia" w:ascii="宋体" w:hAnsi="宋体"/>
          <w:color w:val="auto"/>
          <w:sz w:val="24"/>
          <w:highlight w:val="none"/>
        </w:rPr>
        <w:t>：</w:t>
      </w:r>
      <w:r>
        <w:rPr>
          <w:rFonts w:hint="eastAsia" w:ascii="宋体" w:hAnsi="宋体"/>
          <w:color w:val="auto"/>
          <w:sz w:val="24"/>
          <w:highlight w:val="none"/>
          <w:lang w:eastAsia="zh-CN"/>
        </w:rPr>
        <w:t>韩</w:t>
      </w:r>
      <w:r>
        <w:rPr>
          <w:rFonts w:hint="eastAsia" w:ascii="宋体" w:hAnsi="宋体"/>
          <w:color w:val="auto"/>
          <w:kern w:val="0"/>
          <w:sz w:val="24"/>
          <w:highlight w:val="none"/>
        </w:rPr>
        <w:t xml:space="preserve">  工  0551－6</w:t>
      </w:r>
      <w:r>
        <w:rPr>
          <w:rFonts w:hint="eastAsia" w:ascii="宋体" w:hAnsi="宋体"/>
          <w:color w:val="auto"/>
          <w:kern w:val="0"/>
          <w:sz w:val="24"/>
          <w:highlight w:val="none"/>
          <w:lang w:val="en-US" w:eastAsia="zh-CN"/>
        </w:rPr>
        <w:t>2970015</w:t>
      </w:r>
      <w:r>
        <w:rPr>
          <w:rFonts w:hint="eastAsia" w:ascii="宋体" w:hAnsi="宋体"/>
          <w:color w:val="auto"/>
          <w:kern w:val="0"/>
          <w:sz w:val="24"/>
          <w:highlight w:val="none"/>
        </w:rPr>
        <w:t>（项目咨询）</w:t>
      </w:r>
    </w:p>
    <w:p>
      <w:pPr>
        <w:spacing w:line="460" w:lineRule="exact"/>
        <w:ind w:left="479" w:leftChars="228"/>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赵</w:t>
      </w:r>
      <w:r>
        <w:rPr>
          <w:rFonts w:hint="eastAsia" w:ascii="宋体" w:hAnsi="宋体"/>
          <w:color w:val="auto"/>
          <w:kern w:val="0"/>
          <w:sz w:val="24"/>
          <w:highlight w:val="none"/>
        </w:rPr>
        <w:t xml:space="preserve">  工  0551－</w:t>
      </w:r>
      <w:r>
        <w:rPr>
          <w:rFonts w:ascii="宋体" w:hAnsi="宋体" w:eastAsia="宋体" w:cs="宋体"/>
          <w:color w:val="auto"/>
          <w:sz w:val="24"/>
          <w:szCs w:val="24"/>
          <w:highlight w:val="none"/>
        </w:rPr>
        <w:t>657710</w:t>
      </w:r>
      <w:r>
        <w:rPr>
          <w:rFonts w:hint="eastAsia" w:ascii="宋体" w:hAnsi="宋体" w:eastAsia="宋体" w:cs="宋体"/>
          <w:color w:val="auto"/>
          <w:sz w:val="24"/>
          <w:szCs w:val="24"/>
          <w:highlight w:val="none"/>
          <w:lang w:val="en-US" w:eastAsia="zh-CN"/>
        </w:rPr>
        <w:t>70</w:t>
      </w:r>
      <w:r>
        <w:rPr>
          <w:rFonts w:hint="eastAsia" w:ascii="宋体" w:hAnsi="宋体"/>
          <w:color w:val="auto"/>
          <w:kern w:val="0"/>
          <w:sz w:val="24"/>
          <w:highlight w:val="none"/>
        </w:rPr>
        <w:t>（资格</w:t>
      </w:r>
      <w:r>
        <w:rPr>
          <w:rFonts w:hint="eastAsia" w:ascii="宋体" w:hAnsi="宋体"/>
          <w:color w:val="auto"/>
          <w:kern w:val="0"/>
          <w:sz w:val="24"/>
          <w:highlight w:val="none"/>
          <w:lang w:eastAsia="zh-CN"/>
        </w:rPr>
        <w:t>预审</w:t>
      </w:r>
      <w:r>
        <w:rPr>
          <w:rFonts w:hint="eastAsia" w:ascii="宋体" w:hAnsi="宋体"/>
          <w:color w:val="auto"/>
          <w:kern w:val="0"/>
          <w:sz w:val="24"/>
          <w:highlight w:val="none"/>
        </w:rPr>
        <w:t>）</w:t>
      </w:r>
    </w:p>
    <w:p>
      <w:pPr>
        <w:pStyle w:val="25"/>
        <w:spacing w:line="460" w:lineRule="exact"/>
        <w:ind w:firstLine="480"/>
        <w:jc w:val="left"/>
        <w:rPr>
          <w:rFonts w:hint="eastAsia" w:ascii="宋体" w:hAnsi="宋体"/>
          <w:color w:val="auto"/>
          <w:sz w:val="24"/>
          <w:szCs w:val="24"/>
          <w:highlight w:val="none"/>
        </w:rPr>
      </w:pPr>
    </w:p>
    <w:p>
      <w:pPr>
        <w:pStyle w:val="25"/>
        <w:spacing w:line="460" w:lineRule="exact"/>
        <w:ind w:firstLine="480"/>
        <w:jc w:val="left"/>
        <w:rPr>
          <w:rFonts w:hint="eastAsia" w:ascii="宋体" w:hAnsi="宋体"/>
          <w:color w:val="auto"/>
          <w:sz w:val="24"/>
          <w:szCs w:val="24"/>
          <w:highlight w:val="none"/>
        </w:rPr>
      </w:pPr>
    </w:p>
    <w:p>
      <w:pPr>
        <w:spacing w:line="460" w:lineRule="exact"/>
        <w:ind w:left="479" w:leftChars="228"/>
        <w:rPr>
          <w:rFonts w:hint="eastAsia" w:ascii="宋体" w:hAnsi="宋体"/>
          <w:color w:val="auto"/>
          <w:kern w:val="0"/>
          <w:sz w:val="24"/>
          <w:highlight w:val="none"/>
        </w:rPr>
      </w:pPr>
      <w:r>
        <w:rPr>
          <w:rFonts w:hint="eastAsia" w:ascii="宋体" w:hAnsi="宋体"/>
          <w:color w:val="auto"/>
          <w:kern w:val="0"/>
          <w:sz w:val="24"/>
          <w:highlight w:val="none"/>
        </w:rPr>
        <w:t xml:space="preserve">              </w:t>
      </w: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numPr>
          <w:ilvl w:val="0"/>
          <w:numId w:val="1"/>
        </w:numPr>
        <w:spacing w:line="520" w:lineRule="exact"/>
        <w:ind w:left="0" w:leftChars="0" w:hanging="7" w:firstLineChars="0"/>
        <w:jc w:val="center"/>
        <w:rPr>
          <w:rFonts w:hint="eastAsia" w:ascii="宋体" w:hAnsi="宋体"/>
          <w:b/>
          <w:color w:val="auto"/>
          <w:kern w:val="0"/>
          <w:sz w:val="28"/>
          <w:szCs w:val="28"/>
          <w:highlight w:val="none"/>
        </w:rPr>
      </w:pPr>
      <w:r>
        <w:rPr>
          <w:rFonts w:hint="eastAsia" w:ascii="宋体" w:hAnsi="宋体"/>
          <w:b/>
          <w:color w:val="auto"/>
          <w:kern w:val="0"/>
          <w:sz w:val="28"/>
          <w:szCs w:val="28"/>
          <w:highlight w:val="none"/>
        </w:rPr>
        <w:t>投标须知</w:t>
      </w:r>
    </w:p>
    <w:p>
      <w:pPr>
        <w:pStyle w:val="13"/>
        <w:numPr>
          <w:numId w:val="0"/>
        </w:numPr>
        <w:jc w:val="both"/>
        <w:rPr>
          <w:rFonts w:hint="eastAsia"/>
          <w:color w:val="auto"/>
          <w:highlight w:val="none"/>
        </w:rPr>
      </w:pPr>
    </w:p>
    <w:p>
      <w:pPr>
        <w:numPr>
          <w:numId w:val="0"/>
        </w:numPr>
        <w:spacing w:line="520" w:lineRule="exact"/>
        <w:rPr>
          <w:rFonts w:hint="eastAsia" w:ascii="宋体" w:hAnsi="宋体"/>
          <w:b/>
          <w:color w:val="auto"/>
          <w:kern w:val="0"/>
          <w:sz w:val="24"/>
          <w:highlight w:val="none"/>
        </w:rPr>
      </w:pPr>
      <w:r>
        <w:rPr>
          <w:rFonts w:hint="eastAsia" w:ascii="宋体" w:hAnsi="宋体"/>
          <w:b/>
          <w:color w:val="auto"/>
          <w:kern w:val="0"/>
          <w:sz w:val="24"/>
          <w:highlight w:val="none"/>
        </w:rPr>
        <w:t>一、说明及注意事项</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1.投标文件的编写要求</w:t>
      </w:r>
    </w:p>
    <w:p>
      <w:pPr>
        <w:spacing w:line="58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投标人须以招标人正式发布的《招标文件》为制作《投标文件》的依据；</w:t>
      </w:r>
    </w:p>
    <w:p>
      <w:pPr>
        <w:spacing w:line="580" w:lineRule="exact"/>
        <w:rPr>
          <w:rFonts w:ascii="宋体" w:hAnsi="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580" w:lineRule="exact"/>
        <w:rPr>
          <w:rFonts w:ascii="宋体" w:hAnsi="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olor w:val="auto"/>
          <w:kern w:val="0"/>
          <w:sz w:val="24"/>
          <w:highlight w:val="none"/>
        </w:rPr>
        <w:t>投标文件的书面内容不得涂抹或改写；</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满足本招标文件规定的其它要求。</w:t>
      </w:r>
    </w:p>
    <w:p>
      <w:pPr>
        <w:spacing w:line="580" w:lineRule="exact"/>
        <w:rPr>
          <w:rFonts w:ascii="宋体" w:hAnsi="宋体"/>
          <w:b/>
          <w:color w:val="auto"/>
          <w:kern w:val="0"/>
          <w:sz w:val="24"/>
          <w:highlight w:val="none"/>
        </w:rPr>
      </w:pPr>
      <w:r>
        <w:rPr>
          <w:rFonts w:hint="eastAsia" w:ascii="宋体" w:hAnsi="宋体"/>
          <w:b/>
          <w:color w:val="auto"/>
          <w:kern w:val="0"/>
          <w:sz w:val="24"/>
          <w:highlight w:val="none"/>
        </w:rPr>
        <w:t xml:space="preserve">    </w:t>
      </w:r>
      <w:r>
        <w:rPr>
          <w:rFonts w:hint="eastAsia" w:ascii="宋体" w:hAnsi="宋体"/>
          <w:b/>
          <w:color w:val="auto"/>
          <w:kern w:val="0"/>
          <w:sz w:val="24"/>
          <w:highlight w:val="none"/>
          <w:lang w:val="en-US" w:eastAsia="zh-CN"/>
        </w:rPr>
        <w:t xml:space="preserve"> </w:t>
      </w:r>
      <w:r>
        <w:rPr>
          <w:rFonts w:hint="eastAsia" w:ascii="宋体" w:hAnsi="宋体"/>
          <w:b w:val="0"/>
          <w:bCs/>
          <w:color w:val="auto"/>
          <w:kern w:val="0"/>
          <w:sz w:val="24"/>
          <w:highlight w:val="none"/>
        </w:rPr>
        <w:t>2.投标文件由以下部分构成</w:t>
      </w:r>
    </w:p>
    <w:p>
      <w:pPr>
        <w:spacing w:line="580" w:lineRule="exact"/>
        <w:rPr>
          <w:rFonts w:ascii="宋体" w:hAnsi="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olor w:val="auto"/>
          <w:kern w:val="0"/>
          <w:sz w:val="24"/>
          <w:highlight w:val="none"/>
        </w:rPr>
        <w:t>投标承诺书、开标一览表、分项报价表、投标事项承诺等；</w:t>
      </w:r>
    </w:p>
    <w:p>
      <w:pPr>
        <w:spacing w:line="580" w:lineRule="exact"/>
        <w:rPr>
          <w:rFonts w:ascii="宋体" w:hAnsi="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olor w:val="auto"/>
          <w:kern w:val="0"/>
          <w:sz w:val="24"/>
          <w:highlight w:val="none"/>
        </w:rPr>
        <w:t>投标人资质证明文件</w:t>
      </w:r>
      <w:r>
        <w:rPr>
          <w:rFonts w:hint="eastAsia" w:ascii="宋体" w:hAnsi="宋体"/>
          <w:color w:val="auto"/>
          <w:kern w:val="0"/>
          <w:sz w:val="24"/>
          <w:highlight w:val="none"/>
          <w:lang w:eastAsia="zh-CN"/>
        </w:rPr>
        <w:t>复印件</w:t>
      </w:r>
      <w:r>
        <w:rPr>
          <w:rFonts w:hint="eastAsia" w:ascii="宋体" w:hAnsi="宋体"/>
          <w:color w:val="auto"/>
          <w:kern w:val="0"/>
          <w:sz w:val="24"/>
          <w:highlight w:val="none"/>
        </w:rPr>
        <w:t>、法人和授权代表人身份证复印件；</w:t>
      </w:r>
    </w:p>
    <w:p>
      <w:pPr>
        <w:spacing w:line="58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产品代理资质证明；</w:t>
      </w:r>
    </w:p>
    <w:p>
      <w:pPr>
        <w:spacing w:line="580" w:lineRule="exact"/>
        <w:ind w:firstLine="480"/>
        <w:rPr>
          <w:rFonts w:hint="eastAsia" w:ascii="宋体" w:hAnsi="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投标人</w:t>
      </w:r>
      <w:r>
        <w:rPr>
          <w:rFonts w:hint="eastAsia" w:ascii="宋体" w:hAnsi="宋体"/>
          <w:color w:val="auto"/>
          <w:kern w:val="0"/>
          <w:sz w:val="24"/>
          <w:highlight w:val="none"/>
        </w:rPr>
        <w:t>同类项目合同及投标人其它说明文件等；</w:t>
      </w:r>
    </w:p>
    <w:p>
      <w:pPr>
        <w:widowControl/>
        <w:spacing w:line="580" w:lineRule="exact"/>
        <w:jc w:val="left"/>
        <w:rPr>
          <w:rFonts w:hint="eastAsia" w:ascii="宋体" w:hAnsi="宋体" w:cs="宋体"/>
          <w:color w:val="auto"/>
          <w:kern w:val="0"/>
          <w:sz w:val="24"/>
          <w:highlight w:val="none"/>
        </w:rPr>
      </w:pPr>
      <w:r>
        <w:rPr>
          <w:rFonts w:hint="eastAsia" w:ascii="宋体" w:hAnsi="宋体" w:cs="宋体"/>
          <w:b/>
          <w:color w:val="auto"/>
          <w:kern w:val="0"/>
          <w:sz w:val="24"/>
          <w:highlight w:val="none"/>
        </w:rPr>
        <w:t xml:space="preserve">  </w:t>
      </w:r>
      <w:r>
        <w:rPr>
          <w:rFonts w:hint="eastAsia" w:ascii="宋体" w:hAnsi="宋体" w:cs="宋体"/>
          <w:b/>
          <w:color w:val="auto"/>
          <w:kern w:val="0"/>
          <w:sz w:val="24"/>
          <w:highlight w:val="none"/>
          <w:lang w:val="en-US" w:eastAsia="zh-CN"/>
        </w:rPr>
        <w:t xml:space="preserve">   </w:t>
      </w:r>
      <w:r>
        <w:rPr>
          <w:rFonts w:hint="eastAsia" w:ascii="宋体" w:hAnsi="宋体" w:cs="宋体"/>
          <w:b w:val="0"/>
          <w:bCs/>
          <w:color w:val="auto"/>
          <w:kern w:val="0"/>
          <w:sz w:val="24"/>
          <w:highlight w:val="none"/>
          <w:lang w:val="en-US" w:eastAsia="zh-CN"/>
        </w:rPr>
        <w:t>3</w:t>
      </w:r>
      <w:r>
        <w:rPr>
          <w:rFonts w:hint="eastAsia" w:ascii="宋体" w:hAnsi="宋体" w:cs="宋体"/>
          <w:b w:val="0"/>
          <w:bCs/>
          <w:color w:val="auto"/>
          <w:kern w:val="0"/>
          <w:sz w:val="24"/>
          <w:highlight w:val="none"/>
        </w:rPr>
        <w:t>.</w:t>
      </w:r>
      <w:r>
        <w:rPr>
          <w:rFonts w:hint="eastAsia" w:ascii="宋体" w:hAnsi="宋体" w:cs="宋体"/>
          <w:color w:val="auto"/>
          <w:kern w:val="0"/>
          <w:sz w:val="24"/>
          <w:highlight w:val="none"/>
        </w:rPr>
        <w:t>请投标人接到招标文件后,认真审阅和全面理解招标文件中所有的须知、条件、格式、和条款，如果投标人的投标文件不符合招标文件要求，该投标文件将被拒绝，责任自负。</w:t>
      </w:r>
    </w:p>
    <w:p>
      <w:pPr>
        <w:widowControl/>
        <w:spacing w:line="580" w:lineRule="exact"/>
        <w:jc w:val="left"/>
        <w:rPr>
          <w:rFonts w:hint="eastAsia" w:ascii="宋体" w:hAnsi="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4</w:t>
      </w:r>
      <w:r>
        <w:rPr>
          <w:rFonts w:hint="eastAsia" w:ascii="宋体" w:hAnsi="宋体" w:cs="宋体"/>
          <w:color w:val="auto"/>
          <w:kern w:val="0"/>
          <w:sz w:val="24"/>
          <w:highlight w:val="none"/>
        </w:rPr>
        <w:t>.投标人在交付保证金后，如出现串标、毁标、中标后不签订合同或在履行合同时出现违约行为，招标人有权不予退还投标保证金，并将投标人记入百大集团及招标人招投标黑名单；资审通过放弃投标的请在开标前3日内以书面形式告知招标人，否则该投标保证金不予退还。</w:t>
      </w:r>
    </w:p>
    <w:p>
      <w:pPr>
        <w:numPr>
          <w:numId w:val="0"/>
        </w:numPr>
        <w:spacing w:line="580" w:lineRule="exact"/>
        <w:ind w:firstLine="480" w:firstLineChars="200"/>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5.招标人将按本招标文件确定的时间、地点开标，投标人的法定代表人（或代理人）应准时出席，否则将视为弃权，投标保证金不予退还。</w:t>
      </w:r>
    </w:p>
    <w:p>
      <w:pPr>
        <w:numPr>
          <w:ilvl w:val="0"/>
          <w:numId w:val="2"/>
        </w:numPr>
        <w:spacing w:line="580" w:lineRule="exact"/>
        <w:ind w:left="361" w:leftChars="0" w:firstLine="0" w:firstLineChars="0"/>
        <w:rPr>
          <w:rFonts w:hint="default" w:ascii="宋体" w:hAnsi="宋体" w:eastAsia="宋体"/>
          <w:b w:val="0"/>
          <w:bCs/>
          <w:color w:val="auto"/>
          <w:kern w:val="0"/>
          <w:sz w:val="24"/>
          <w:highlight w:val="none"/>
          <w:lang w:val="en-US" w:eastAsia="zh-CN"/>
        </w:rPr>
      </w:pPr>
      <w:r>
        <w:rPr>
          <w:rFonts w:hint="eastAsia" w:ascii="宋体" w:hAnsi="宋体"/>
          <w:b/>
          <w:color w:val="auto"/>
          <w:kern w:val="0"/>
          <w:sz w:val="24"/>
          <w:highlight w:val="none"/>
        </w:rPr>
        <w:t>投标说明</w:t>
      </w:r>
    </w:p>
    <w:p>
      <w:pPr>
        <w:numPr>
          <w:numId w:val="0"/>
        </w:numPr>
        <w:spacing w:line="580" w:lineRule="exact"/>
        <w:ind w:left="361" w:leftChars="0"/>
        <w:rPr>
          <w:rFonts w:hint="default" w:ascii="宋体" w:hAnsi="宋体" w:eastAsia="宋体"/>
          <w:b w:val="0"/>
          <w:bCs/>
          <w:color w:val="auto"/>
          <w:kern w:val="0"/>
          <w:sz w:val="24"/>
          <w:highlight w:val="none"/>
          <w:lang w:val="en-US" w:eastAsia="zh-CN"/>
        </w:rPr>
      </w:pPr>
      <w:r>
        <w:rPr>
          <w:rFonts w:hint="eastAsia" w:ascii="宋体" w:hAnsi="宋体"/>
          <w:b w:val="0"/>
          <w:bCs/>
          <w:color w:val="auto"/>
          <w:kern w:val="0"/>
          <w:sz w:val="24"/>
          <w:highlight w:val="none"/>
          <w:lang w:val="en-US" w:eastAsia="zh-CN"/>
        </w:rPr>
        <w:t>1.报价说明</w:t>
      </w:r>
    </w:p>
    <w:p>
      <w:pPr>
        <w:spacing w:line="580" w:lineRule="exact"/>
        <w:ind w:firstLine="480"/>
        <w:rPr>
          <w:rFonts w:hint="eastAsia" w:ascii="宋体" w:hAnsi="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olor w:val="auto"/>
          <w:kern w:val="0"/>
          <w:sz w:val="24"/>
          <w:highlight w:val="none"/>
        </w:rPr>
        <w:t>除招标文件中另有规定外，计量单位为我国法定计量单位；投标报价、服务费结算一律使用人民币；</w:t>
      </w:r>
    </w:p>
    <w:p>
      <w:pPr>
        <w:spacing w:line="580" w:lineRule="exact"/>
        <w:ind w:firstLine="480"/>
        <w:rPr>
          <w:rFonts w:hint="eastAsia" w:ascii="宋体" w:hAnsi="宋体" w:eastAsia="宋体" w:cs="宋体"/>
          <w:color w:val="auto"/>
          <w:kern w:val="0"/>
          <w:sz w:val="24"/>
          <w:highlight w:val="none"/>
          <w:lang w:val="en-US" w:eastAsia="zh-CN"/>
        </w:rPr>
      </w:pPr>
      <w:r>
        <w:rPr>
          <w:rFonts w:hint="eastAsia" w:ascii="宋体" w:hAnsi="宋体"/>
          <w:b w:val="0"/>
          <w:bCs/>
          <w:color w:val="auto"/>
          <w:kern w:val="0"/>
          <w:sz w:val="24"/>
          <w:highlight w:val="none"/>
          <w:lang w:val="en-US" w:eastAsia="zh-CN"/>
        </w:rPr>
        <w:t>（</w:t>
      </w:r>
      <w:r>
        <w:rPr>
          <w:rFonts w:hint="eastAsia" w:ascii="宋体" w:hAnsi="宋体" w:eastAsia="宋体" w:cs="宋体"/>
          <w:color w:val="auto"/>
          <w:kern w:val="0"/>
          <w:sz w:val="24"/>
          <w:highlight w:val="none"/>
          <w:lang w:val="en-US" w:eastAsia="zh-CN"/>
        </w:rPr>
        <w:t>2）投标人自行承担投标文件编制、递交、现场踏勘所涉及的一切费用。</w:t>
      </w:r>
    </w:p>
    <w:p>
      <w:pPr>
        <w:spacing w:line="580" w:lineRule="exac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（3）投</w:t>
      </w:r>
      <w:r>
        <w:rPr>
          <w:rFonts w:hint="eastAsia" w:ascii="宋体" w:hAnsi="宋体" w:eastAsia="宋体" w:cs="Times New Roman"/>
          <w:b w:val="0"/>
          <w:bCs/>
          <w:color w:val="auto"/>
          <w:sz w:val="24"/>
          <w:highlight w:val="none"/>
          <w:lang w:val="en-US" w:eastAsia="zh-CN"/>
        </w:rPr>
        <w:t>标报价</w:t>
      </w:r>
      <w:r>
        <w:rPr>
          <w:rFonts w:hint="eastAsia" w:ascii="宋体" w:hAnsi="宋体" w:eastAsia="宋体" w:cs="Times New Roman"/>
          <w:b w:val="0"/>
          <w:bCs/>
          <w:color w:val="auto"/>
          <w:sz w:val="24"/>
          <w:highlight w:val="none"/>
          <w:lang w:eastAsia="zh-CN"/>
        </w:rPr>
        <w:t>包含但不限于设计、制作、运输、装卸、安装（现场</w:t>
      </w:r>
      <w:r>
        <w:rPr>
          <w:rFonts w:hint="eastAsia" w:ascii="宋体" w:hAnsi="宋体" w:eastAsia="宋体" w:cs="宋体"/>
          <w:color w:val="auto"/>
          <w:kern w:val="0"/>
          <w:sz w:val="24"/>
          <w:highlight w:val="none"/>
          <w:lang w:val="en-US" w:eastAsia="zh-CN"/>
        </w:rPr>
        <w:t>组装）、调试、保险、税金（13%税率）等交付甲方使用前的一切费用，以及免费质保期间的所有维保费用。</w:t>
      </w:r>
    </w:p>
    <w:p>
      <w:pPr>
        <w:spacing w:line="580" w:lineRule="exac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投标人在标的物（设备）到场安装、调试过程中，如发现有漏项、缺件，中标人应无条件、无偿补齐；如发现有部分未明确部分，但按照常规应完成才能满足美观、使用、验收要求的，投标单位应按相关规范规程及招标人要求完成，所发生的费用视为已包含在投标报价之中，后期不作调整，且并不因此影响交付招标人使用的时间（本项目为交钥匙项目，所有设备、软件由投标人安装、调试完毕后，必须保证所供系统、设备可正常使用）。</w:t>
      </w:r>
    </w:p>
    <w:p>
      <w:pPr>
        <w:spacing w:line="580" w:lineRule="exact"/>
        <w:ind w:firstLine="482" w:firstLineChars="200"/>
        <w:rPr>
          <w:rFonts w:hint="eastAsia" w:ascii="宋体" w:hAnsi="宋体"/>
          <w:b/>
          <w:color w:val="auto"/>
          <w:kern w:val="0"/>
          <w:sz w:val="24"/>
          <w:highlight w:val="none"/>
        </w:rPr>
      </w:pPr>
      <w:r>
        <w:rPr>
          <w:rFonts w:hint="eastAsia" w:ascii="宋体" w:hAnsi="宋体"/>
          <w:b/>
          <w:color w:val="auto"/>
          <w:kern w:val="0"/>
          <w:sz w:val="24"/>
          <w:highlight w:val="none"/>
          <w:lang w:eastAsia="zh-CN"/>
        </w:rPr>
        <w:t>三</w:t>
      </w:r>
      <w:r>
        <w:rPr>
          <w:rFonts w:hint="eastAsia" w:ascii="宋体" w:hAnsi="宋体"/>
          <w:b/>
          <w:color w:val="auto"/>
          <w:kern w:val="0"/>
          <w:sz w:val="24"/>
          <w:highlight w:val="none"/>
        </w:rPr>
        <w:t>、投标文件的递交</w:t>
      </w:r>
    </w:p>
    <w:p>
      <w:pPr>
        <w:spacing w:line="580" w:lineRule="exact"/>
        <w:rPr>
          <w:rFonts w:ascii="宋体" w:hAnsi="宋体"/>
          <w:color w:val="auto"/>
          <w:kern w:val="0"/>
          <w:sz w:val="24"/>
          <w:highlight w:val="none"/>
        </w:rPr>
      </w:pPr>
      <w:r>
        <w:rPr>
          <w:rFonts w:hint="eastAsia" w:ascii="宋体" w:hAnsi="宋体"/>
          <w:b/>
          <w:color w:val="auto"/>
          <w:kern w:val="0"/>
          <w:sz w:val="24"/>
          <w:highlight w:val="none"/>
        </w:rPr>
        <w:t xml:space="preserve">    </w:t>
      </w:r>
      <w:r>
        <w:rPr>
          <w:rFonts w:hint="eastAsia" w:ascii="宋体" w:hAnsi="宋体"/>
          <w:color w:val="auto"/>
          <w:kern w:val="0"/>
          <w:sz w:val="24"/>
          <w:highlight w:val="none"/>
        </w:rPr>
        <w:t>1.投标文件的密封和标记</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投标文件应密封并在封口加贴封条，并在封面注明招标编号、投标项目、投标单位等；同时，在密封处加盖骑缝章；</w:t>
      </w:r>
    </w:p>
    <w:p>
      <w:pPr>
        <w:spacing w:line="580" w:lineRule="exac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投标文件要求：</w:t>
      </w:r>
      <w:r>
        <w:rPr>
          <w:rFonts w:hint="eastAsia" w:ascii="宋体" w:hAnsi="宋体"/>
          <w:b/>
          <w:color w:val="auto"/>
          <w:kern w:val="0"/>
          <w:sz w:val="24"/>
          <w:highlight w:val="none"/>
        </w:rPr>
        <w:t>胶装，正</w:t>
      </w:r>
      <w:r>
        <w:rPr>
          <w:rFonts w:hint="eastAsia" w:ascii="宋体" w:hAnsi="宋体"/>
          <w:b/>
          <w:color w:val="auto"/>
          <w:kern w:val="0"/>
          <w:sz w:val="24"/>
          <w:highlight w:val="none"/>
          <w:lang w:eastAsia="zh-CN"/>
        </w:rPr>
        <w:t>本壹份</w:t>
      </w:r>
      <w:r>
        <w:rPr>
          <w:rFonts w:hint="eastAsia" w:ascii="宋体" w:hAnsi="宋体"/>
          <w:b/>
          <w:color w:val="auto"/>
          <w:kern w:val="0"/>
          <w:sz w:val="24"/>
          <w:highlight w:val="none"/>
        </w:rPr>
        <w:t>、副本</w:t>
      </w:r>
      <w:r>
        <w:rPr>
          <w:rFonts w:hint="eastAsia" w:ascii="宋体" w:hAnsi="宋体"/>
          <w:b/>
          <w:color w:val="auto"/>
          <w:kern w:val="0"/>
          <w:sz w:val="24"/>
          <w:highlight w:val="none"/>
          <w:lang w:eastAsia="zh-CN"/>
        </w:rPr>
        <w:t>贰</w:t>
      </w:r>
      <w:r>
        <w:rPr>
          <w:rFonts w:hint="eastAsia" w:ascii="宋体" w:hAnsi="宋体"/>
          <w:b/>
          <w:color w:val="auto"/>
          <w:kern w:val="0"/>
          <w:sz w:val="24"/>
          <w:highlight w:val="none"/>
        </w:rPr>
        <w:t>份</w:t>
      </w:r>
      <w:r>
        <w:rPr>
          <w:rFonts w:hint="eastAsia" w:ascii="宋体" w:hAnsi="宋体"/>
          <w:color w:val="auto"/>
          <w:kern w:val="0"/>
          <w:sz w:val="24"/>
          <w:highlight w:val="none"/>
        </w:rPr>
        <w:t>。</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2.投标文件的递交、修改和撤回。</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投标人应在投标截止时间前将密封合格的投标文件送达开标现场；</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widowControl/>
        <w:spacing w:line="580" w:lineRule="exact"/>
        <w:jc w:val="left"/>
        <w:rPr>
          <w:rFonts w:hint="eastAsia" w:ascii="宋体" w:hAnsi="宋体"/>
          <w:b/>
          <w:color w:val="auto"/>
          <w:kern w:val="0"/>
          <w:sz w:val="24"/>
          <w:highlight w:val="none"/>
        </w:rPr>
      </w:pPr>
      <w:r>
        <w:rPr>
          <w:rFonts w:hint="eastAsia" w:ascii="宋体" w:hAnsi="宋体"/>
          <w:b/>
          <w:color w:val="auto"/>
          <w:kern w:val="0"/>
          <w:sz w:val="24"/>
          <w:highlight w:val="none"/>
        </w:rPr>
        <w:t xml:space="preserve">    </w:t>
      </w:r>
      <w:r>
        <w:rPr>
          <w:rFonts w:hint="eastAsia" w:ascii="宋体" w:hAnsi="宋体"/>
          <w:b/>
          <w:color w:val="auto"/>
          <w:kern w:val="0"/>
          <w:sz w:val="24"/>
          <w:highlight w:val="none"/>
          <w:lang w:eastAsia="zh-CN"/>
        </w:rPr>
        <w:t>四</w:t>
      </w:r>
      <w:r>
        <w:rPr>
          <w:rFonts w:hint="eastAsia" w:ascii="宋体" w:hAnsi="宋体"/>
          <w:b/>
          <w:color w:val="auto"/>
          <w:kern w:val="0"/>
          <w:sz w:val="24"/>
          <w:highlight w:val="none"/>
        </w:rPr>
        <w:t>、开标、评标和定标</w:t>
      </w:r>
    </w:p>
    <w:p>
      <w:pPr>
        <w:spacing w:line="5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1.评标原则：遵循国家有关法律、法规，客观、公正地对待所有投标人，以招标文件作为评标的基本依据；凡涉及审查、评估和比较投标文件以及定标等意见，均不得向投标人及与评标无关的人员透露；</w:t>
      </w:r>
    </w:p>
    <w:p>
      <w:pPr>
        <w:spacing w:line="5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2.招标管理委员会按投标邀请中拟定的时间和地点开标，届时请投标人一名授权代表参加商务标的开标。（授权代表须出示身份证原件）</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rPr>
        <w:t>3.开标时，查验投标文件的密封状况，确认无误后拆封唱标。</w:t>
      </w:r>
    </w:p>
    <w:p>
      <w:pPr>
        <w:spacing w:line="580" w:lineRule="exact"/>
        <w:ind w:left="0" w:leftChars="0" w:firstLine="422" w:firstLineChars="175"/>
        <w:rPr>
          <w:rFonts w:hint="eastAsia" w:ascii="宋体" w:hAnsi="宋体"/>
          <w:b/>
          <w:bCs/>
          <w:color w:val="auto"/>
          <w:kern w:val="0"/>
          <w:sz w:val="24"/>
          <w:highlight w:val="none"/>
        </w:rPr>
      </w:pPr>
      <w:r>
        <w:rPr>
          <w:rFonts w:hint="eastAsia" w:ascii="宋体" w:hAnsi="宋体"/>
          <w:b/>
          <w:bCs/>
          <w:color w:val="auto"/>
          <w:kern w:val="0"/>
          <w:sz w:val="24"/>
          <w:highlight w:val="none"/>
        </w:rPr>
        <w:t>4.本次招标活动将采用综合评分法评审。具体详见评分细则（表格）。</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rPr>
        <w:t>5.招标人不承诺报价最低者可以中标，也不向落标的投标人退还投标文件。</w:t>
      </w:r>
    </w:p>
    <w:p>
      <w:pPr>
        <w:spacing w:line="580" w:lineRule="exact"/>
        <w:ind w:left="0" w:leftChars="0" w:firstLine="420" w:firstLineChars="175"/>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w:t>
      </w:r>
      <w:r>
        <w:rPr>
          <w:rFonts w:hint="eastAsia" w:ascii="宋体" w:hAnsi="宋体"/>
          <w:color w:val="auto"/>
          <w:kern w:val="0"/>
          <w:sz w:val="24"/>
          <w:highlight w:val="none"/>
          <w:lang w:eastAsia="zh-CN"/>
        </w:rPr>
        <w:t>废标</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rPr>
        <w:t>有下列情况之一的投标文件为废标：</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未按本须知投标要求进行报价的；</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未加盖投标人公章的；</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投标文件无法定代表人或委托代理人签字、盖章的；</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不满足招标文件合格投标人要求的；</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严重违反招标纪律的；</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投标文件字迹潦草、模糊致使无法辨认的；</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投标单位在一份投标文件中，报有两个或多个不同报价，且未书面声明以哪个报价为准的；</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投标文件存在错项、缺漏项的；</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评委委员会评议认为构成废标的其他情况；</w:t>
      </w:r>
    </w:p>
    <w:p>
      <w:pPr>
        <w:spacing w:line="580" w:lineRule="exact"/>
        <w:ind w:left="0" w:leftChars="0" w:firstLine="420" w:firstLineChars="175"/>
        <w:rPr>
          <w:rFonts w:hint="eastAsia" w:ascii="宋体" w:hAnsi="宋体"/>
          <w:color w:val="auto"/>
          <w:kern w:val="0"/>
          <w:sz w:val="24"/>
          <w:highlight w:val="none"/>
        </w:rPr>
      </w:pP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其他未实质性响应招标文件要求的。</w:t>
      </w:r>
    </w:p>
    <w:p>
      <w:pPr>
        <w:spacing w:line="580" w:lineRule="exact"/>
        <w:rPr>
          <w:rFonts w:ascii="宋体" w:hAnsi="宋体"/>
          <w:b/>
          <w:color w:val="auto"/>
          <w:kern w:val="0"/>
          <w:sz w:val="24"/>
          <w:highlight w:val="none"/>
        </w:rPr>
      </w:pPr>
      <w:r>
        <w:rPr>
          <w:rFonts w:hint="eastAsia" w:ascii="宋体" w:hAnsi="宋体"/>
          <w:color w:val="auto"/>
          <w:kern w:val="0"/>
          <w:sz w:val="24"/>
          <w:highlight w:val="none"/>
        </w:rPr>
        <w:t xml:space="preserve">   </w:t>
      </w:r>
      <w:r>
        <w:rPr>
          <w:rFonts w:hint="eastAsia" w:ascii="宋体" w:hAnsi="宋体"/>
          <w:b w:val="0"/>
          <w:bCs w:val="0"/>
          <w:color w:val="auto"/>
          <w:kern w:val="0"/>
          <w:sz w:val="24"/>
          <w:highlight w:val="none"/>
        </w:rPr>
        <w:t xml:space="preserve"> </w:t>
      </w:r>
      <w:r>
        <w:rPr>
          <w:rFonts w:hint="eastAsia" w:ascii="宋体" w:hAnsi="宋体"/>
          <w:b w:val="0"/>
          <w:bCs w:val="0"/>
          <w:color w:val="auto"/>
          <w:kern w:val="0"/>
          <w:sz w:val="24"/>
          <w:highlight w:val="none"/>
          <w:lang w:val="en-US" w:eastAsia="zh-CN"/>
        </w:rPr>
        <w:t>7</w:t>
      </w:r>
      <w:r>
        <w:rPr>
          <w:rFonts w:hint="eastAsia" w:ascii="宋体" w:hAnsi="宋体"/>
          <w:b w:val="0"/>
          <w:bCs w:val="0"/>
          <w:color w:val="auto"/>
          <w:kern w:val="0"/>
          <w:sz w:val="24"/>
          <w:highlight w:val="none"/>
        </w:rPr>
        <w:t>.二次招标</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如项目流标，招标人根据情况可能发布二次公告，进行二次招标。二次招标如符合专业条件的投标人或对招标文件作实质响应的投标人只有两家，评委会将视情况现场转为竞争性谈判；</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前次招标流标后，投标人如继续参加二次投标，投标保证金无需重复缴纳。如不参加二次投标的的投标人须书面告知招标人，招标人在规定时间内予以退还投标保证金。</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8</w:t>
      </w:r>
      <w:r>
        <w:rPr>
          <w:rFonts w:hint="eastAsia" w:ascii="宋体" w:hAnsi="宋体"/>
          <w:color w:val="auto"/>
          <w:kern w:val="0"/>
          <w:sz w:val="24"/>
          <w:highlight w:val="none"/>
        </w:rPr>
        <w:t>.招标人依据公开、公平、公正原则进行评定标，投标人若认为本次招标过程中存在有违“三公”原则的，可向监标人书面投诉（只接受书面投诉）；联系地址：合肥市黄山路596号A楼1503室  百大集团纪检监察室。</w:t>
      </w:r>
    </w:p>
    <w:p>
      <w:pPr>
        <w:spacing w:line="580" w:lineRule="exact"/>
        <w:rPr>
          <w:rFonts w:ascii="宋体" w:hAnsi="宋体"/>
          <w:b/>
          <w:color w:val="auto"/>
          <w:kern w:val="0"/>
          <w:sz w:val="24"/>
          <w:highlight w:val="none"/>
        </w:rPr>
      </w:pPr>
      <w:r>
        <w:rPr>
          <w:rFonts w:hint="eastAsia" w:ascii="宋体" w:hAnsi="宋体"/>
          <w:b/>
          <w:color w:val="auto"/>
          <w:kern w:val="0"/>
          <w:sz w:val="24"/>
          <w:highlight w:val="none"/>
        </w:rPr>
        <w:t xml:space="preserve">    四、投标文件的澄清</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1.为有助于投标文件的审查、评估和比较，招标人有权向投标人质疑并请投标人澄清其投标内容。投标人应当按照招标人通知的时间、地点，指派专人进行答疑和澄清。</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2.重要的澄清应是书面的，但不得对投标内容进行实质性修改。</w:t>
      </w:r>
    </w:p>
    <w:p>
      <w:pPr>
        <w:spacing w:line="580" w:lineRule="exact"/>
        <w:rPr>
          <w:rFonts w:ascii="宋体" w:hAnsi="宋体"/>
          <w:b/>
          <w:color w:val="auto"/>
          <w:kern w:val="0"/>
          <w:sz w:val="24"/>
          <w:highlight w:val="none"/>
        </w:rPr>
      </w:pPr>
      <w:r>
        <w:rPr>
          <w:rFonts w:hint="eastAsia" w:ascii="宋体" w:hAnsi="宋体"/>
          <w:b/>
          <w:color w:val="auto"/>
          <w:kern w:val="0"/>
          <w:sz w:val="24"/>
          <w:highlight w:val="none"/>
        </w:rPr>
        <w:t xml:space="preserve">    五、合同的确定</w:t>
      </w:r>
    </w:p>
    <w:p>
      <w:pPr>
        <w:spacing w:line="580" w:lineRule="exact"/>
        <w:rPr>
          <w:rFonts w:ascii="宋体" w:hAnsi="宋体"/>
          <w:b/>
          <w:color w:val="auto"/>
          <w:kern w:val="0"/>
          <w:sz w:val="24"/>
          <w:highlight w:val="none"/>
        </w:rPr>
      </w:pPr>
      <w:r>
        <w:rPr>
          <w:rFonts w:hint="eastAsia" w:ascii="宋体" w:hAnsi="宋体"/>
          <w:color w:val="auto"/>
          <w:kern w:val="0"/>
          <w:sz w:val="24"/>
          <w:highlight w:val="none"/>
        </w:rPr>
        <w:t xml:space="preserve">  </w:t>
      </w:r>
      <w:r>
        <w:rPr>
          <w:rFonts w:hint="eastAsia" w:ascii="宋体" w:hAnsi="宋体"/>
          <w:b/>
          <w:color w:val="auto"/>
          <w:kern w:val="0"/>
          <w:sz w:val="24"/>
          <w:highlight w:val="none"/>
        </w:rPr>
        <w:t xml:space="preserve">  1.合同签订</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确定中标人及相关事宜后，甲方（招标人）、乙方（中标人）签订合同；</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招标文件、中标人的投标文件（含澄清文件）均为签订合同不可分割的一部分；</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eastAsia="zh-CN"/>
        </w:rPr>
        <w:t>）</w:t>
      </w:r>
      <w:r>
        <w:rPr>
          <w:rFonts w:hint="eastAsia" w:ascii="宋体" w:hAnsi="宋体"/>
          <w:color w:val="auto"/>
          <w:kern w:val="0"/>
          <w:sz w:val="24"/>
          <w:highlight w:val="none"/>
        </w:rPr>
        <w:t>招标人在授予合同时有权对标的物的数量予以适当的增加或减少；</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中标人如无特殊原因不与招标人签订合同的，招标人可单方面取消其中标资格，并追究其责任，同时投标保证金不予退还。</w:t>
      </w:r>
    </w:p>
    <w:p>
      <w:pPr>
        <w:spacing w:line="580" w:lineRule="exact"/>
        <w:rPr>
          <w:rFonts w:ascii="宋体" w:hAnsi="宋体"/>
          <w:b/>
          <w:color w:val="auto"/>
          <w:kern w:val="0"/>
          <w:sz w:val="24"/>
          <w:highlight w:val="none"/>
        </w:rPr>
      </w:pPr>
      <w:r>
        <w:rPr>
          <w:rFonts w:hint="eastAsia" w:ascii="宋体" w:hAnsi="宋体"/>
          <w:color w:val="auto"/>
          <w:kern w:val="0"/>
          <w:sz w:val="24"/>
          <w:highlight w:val="none"/>
        </w:rPr>
        <w:t xml:space="preserve">  </w:t>
      </w:r>
      <w:r>
        <w:rPr>
          <w:rFonts w:hint="eastAsia" w:ascii="宋体" w:hAnsi="宋体"/>
          <w:b/>
          <w:color w:val="auto"/>
          <w:kern w:val="0"/>
          <w:sz w:val="24"/>
          <w:highlight w:val="none"/>
        </w:rPr>
        <w:t xml:space="preserve">  2.合同</w:t>
      </w:r>
      <w:r>
        <w:rPr>
          <w:rFonts w:hint="eastAsia" w:ascii="宋体" w:hAnsi="宋体"/>
          <w:b/>
          <w:color w:val="auto"/>
          <w:kern w:val="0"/>
          <w:sz w:val="24"/>
          <w:highlight w:val="none"/>
          <w:lang w:eastAsia="zh-CN"/>
        </w:rPr>
        <w:t>主要</w:t>
      </w:r>
      <w:r>
        <w:rPr>
          <w:rFonts w:hint="eastAsia" w:ascii="宋体" w:hAnsi="宋体"/>
          <w:b/>
          <w:color w:val="auto"/>
          <w:kern w:val="0"/>
          <w:sz w:val="24"/>
          <w:highlight w:val="none"/>
        </w:rPr>
        <w:t>条款</w:t>
      </w:r>
    </w:p>
    <w:p>
      <w:pPr>
        <w:pStyle w:val="26"/>
        <w:spacing w:line="500" w:lineRule="exact"/>
        <w:rPr>
          <w:rFonts w:hint="default" w:ascii="宋体" w:hAnsi="宋体" w:eastAsia="宋体"/>
          <w:color w:val="auto"/>
          <w:highlight w:val="none"/>
          <w:lang w:val="en-US"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lang w:eastAsia="zh-CN"/>
        </w:rPr>
        <w:t>）付款方式：</w:t>
      </w:r>
      <w:r>
        <w:rPr>
          <w:rFonts w:hint="eastAsia" w:ascii="宋体" w:hAnsi="宋体"/>
          <w:color w:val="auto"/>
          <w:highlight w:val="none"/>
          <w:lang w:val="zh-CN"/>
        </w:rPr>
        <w:t>项目验收合格后付至实际完成量合同金额的95%，余款质保期满后30个工作日内一次性无息付清。每次付款前投标人需向招标人开具等额的增值税专用发票（税率为</w:t>
      </w:r>
      <w:r>
        <w:rPr>
          <w:rFonts w:hint="eastAsia" w:ascii="宋体" w:hAnsi="宋体"/>
          <w:color w:val="auto"/>
          <w:highlight w:val="none"/>
          <w:lang w:val="en-US" w:eastAsia="zh-CN"/>
        </w:rPr>
        <w:t>13%</w:t>
      </w:r>
      <w:r>
        <w:rPr>
          <w:rFonts w:hint="eastAsia" w:ascii="宋体" w:hAnsi="宋体"/>
          <w:color w:val="auto"/>
          <w:highlight w:val="none"/>
          <w:lang w:val="zh-CN"/>
        </w:rPr>
        <w:t>），否则甲方有权拒绝付款且不视为违约。</w:t>
      </w:r>
    </w:p>
    <w:p>
      <w:pPr>
        <w:spacing w:line="600" w:lineRule="exact"/>
        <w:ind w:firstLine="480"/>
        <w:rPr>
          <w:rFonts w:hint="eastAsia"/>
          <w:color w:val="auto"/>
          <w:sz w:val="24"/>
          <w:highlight w:val="none"/>
        </w:rPr>
      </w:pPr>
      <w:r>
        <w:rPr>
          <w:rFonts w:hint="eastAsia"/>
          <w:b/>
          <w:bCs/>
          <w:color w:val="auto"/>
          <w:sz w:val="24"/>
          <w:highlight w:val="none"/>
        </w:rPr>
        <w:t>设备</w:t>
      </w:r>
      <w:r>
        <w:rPr>
          <w:rFonts w:hint="eastAsia"/>
          <w:b/>
          <w:bCs/>
          <w:color w:val="auto"/>
          <w:sz w:val="24"/>
          <w:highlight w:val="none"/>
          <w:lang w:val="en-US" w:eastAsia="zh-CN"/>
        </w:rPr>
        <w:t>全部</w:t>
      </w:r>
      <w:r>
        <w:rPr>
          <w:rFonts w:hint="eastAsia"/>
          <w:b/>
          <w:bCs/>
          <w:color w:val="auto"/>
          <w:sz w:val="24"/>
          <w:highlight w:val="none"/>
        </w:rPr>
        <w:t>安装</w:t>
      </w:r>
      <w:r>
        <w:rPr>
          <w:rFonts w:hint="eastAsia"/>
          <w:b/>
          <w:bCs/>
          <w:color w:val="auto"/>
          <w:sz w:val="24"/>
          <w:highlight w:val="none"/>
          <w:lang w:eastAsia="zh-CN"/>
        </w:rPr>
        <w:t>调试完毕</w:t>
      </w:r>
      <w:r>
        <w:rPr>
          <w:rFonts w:hint="eastAsia"/>
          <w:b/>
          <w:bCs/>
          <w:color w:val="auto"/>
          <w:sz w:val="24"/>
          <w:highlight w:val="none"/>
        </w:rPr>
        <w:t>后支付合同</w:t>
      </w:r>
      <w:r>
        <w:rPr>
          <w:rFonts w:hint="eastAsia"/>
          <w:b/>
          <w:bCs/>
          <w:color w:val="auto"/>
          <w:sz w:val="24"/>
          <w:highlight w:val="none"/>
          <w:lang w:eastAsia="zh-CN"/>
        </w:rPr>
        <w:t>总</w:t>
      </w:r>
      <w:r>
        <w:rPr>
          <w:rFonts w:hint="eastAsia"/>
          <w:b/>
          <w:bCs/>
          <w:color w:val="auto"/>
          <w:sz w:val="24"/>
          <w:highlight w:val="none"/>
        </w:rPr>
        <w:t>金额的</w:t>
      </w:r>
      <w:r>
        <w:rPr>
          <w:rFonts w:hint="eastAsia"/>
          <w:b/>
          <w:bCs/>
          <w:color w:val="auto"/>
          <w:sz w:val="24"/>
          <w:highlight w:val="none"/>
          <w:lang w:val="en-US" w:eastAsia="zh-CN"/>
        </w:rPr>
        <w:t>4</w:t>
      </w:r>
      <w:r>
        <w:rPr>
          <w:rFonts w:hint="eastAsia"/>
          <w:b/>
          <w:bCs/>
          <w:color w:val="auto"/>
          <w:sz w:val="24"/>
          <w:highlight w:val="none"/>
        </w:rPr>
        <w:t>0%</w:t>
      </w:r>
      <w:r>
        <w:rPr>
          <w:rFonts w:hint="eastAsia"/>
          <w:b/>
          <w:bCs/>
          <w:color w:val="auto"/>
          <w:sz w:val="24"/>
          <w:highlight w:val="none"/>
          <w:lang w:eastAsia="zh-CN"/>
        </w:rPr>
        <w:t>；软件开发、</w:t>
      </w:r>
      <w:r>
        <w:rPr>
          <w:rFonts w:hint="eastAsia"/>
          <w:b/>
          <w:bCs/>
          <w:color w:val="auto"/>
          <w:sz w:val="24"/>
          <w:highlight w:val="none"/>
          <w:lang w:val="en-US" w:eastAsia="zh-CN"/>
        </w:rPr>
        <w:t>集成</w:t>
      </w:r>
      <w:r>
        <w:rPr>
          <w:rFonts w:hint="eastAsia"/>
          <w:b/>
          <w:bCs/>
          <w:color w:val="auto"/>
          <w:sz w:val="24"/>
          <w:highlight w:val="none"/>
          <w:lang w:eastAsia="zh-CN"/>
        </w:rPr>
        <w:t>完毕并投入使用后，经甲方组织验收，验收</w:t>
      </w:r>
      <w:r>
        <w:rPr>
          <w:rFonts w:hint="eastAsia" w:ascii="宋体" w:hAnsi="宋体"/>
          <w:b/>
          <w:bCs/>
          <w:color w:val="auto"/>
          <w:kern w:val="0"/>
          <w:sz w:val="24"/>
          <w:highlight w:val="none"/>
        </w:rPr>
        <w:t>合格后</w:t>
      </w:r>
      <w:r>
        <w:rPr>
          <w:rFonts w:hint="eastAsia"/>
          <w:b/>
          <w:bCs/>
          <w:color w:val="auto"/>
          <w:sz w:val="24"/>
          <w:highlight w:val="none"/>
        </w:rPr>
        <w:t>支付</w:t>
      </w:r>
      <w:r>
        <w:rPr>
          <w:rFonts w:hint="eastAsia"/>
          <w:b/>
          <w:bCs/>
          <w:color w:val="auto"/>
          <w:sz w:val="24"/>
          <w:highlight w:val="none"/>
          <w:lang w:eastAsia="zh-CN"/>
        </w:rPr>
        <w:t>至</w:t>
      </w:r>
      <w:r>
        <w:rPr>
          <w:rFonts w:hint="eastAsia"/>
          <w:b/>
          <w:bCs/>
          <w:color w:val="auto"/>
          <w:sz w:val="24"/>
          <w:highlight w:val="none"/>
        </w:rPr>
        <w:t>合同金额的</w:t>
      </w:r>
      <w:r>
        <w:rPr>
          <w:rFonts w:hint="eastAsia"/>
          <w:b/>
          <w:bCs/>
          <w:color w:val="auto"/>
          <w:sz w:val="24"/>
          <w:highlight w:val="none"/>
          <w:lang w:val="en-US" w:eastAsia="zh-CN"/>
        </w:rPr>
        <w:t>7</w:t>
      </w:r>
      <w:r>
        <w:rPr>
          <w:rFonts w:hint="eastAsia"/>
          <w:b/>
          <w:bCs/>
          <w:color w:val="auto"/>
          <w:sz w:val="24"/>
          <w:highlight w:val="none"/>
        </w:rPr>
        <w:t>0%</w:t>
      </w:r>
      <w:r>
        <w:rPr>
          <w:rFonts w:hint="eastAsia"/>
          <w:b/>
          <w:bCs/>
          <w:color w:val="auto"/>
          <w:sz w:val="24"/>
          <w:highlight w:val="none"/>
          <w:lang w:eastAsia="zh-CN"/>
        </w:rPr>
        <w:t>；</w:t>
      </w:r>
      <w:r>
        <w:rPr>
          <w:rFonts w:hint="eastAsia" w:ascii="宋体" w:hAnsi="宋体"/>
          <w:b/>
          <w:bCs/>
          <w:color w:val="auto"/>
          <w:sz w:val="24"/>
          <w:highlight w:val="none"/>
        </w:rPr>
        <w:t>经审计后</w:t>
      </w:r>
      <w:r>
        <w:rPr>
          <w:rFonts w:hint="eastAsia" w:ascii="宋体" w:hAnsi="宋体"/>
          <w:b/>
          <w:bCs/>
          <w:color w:val="auto"/>
          <w:sz w:val="24"/>
          <w:highlight w:val="none"/>
          <w:lang w:eastAsia="zh-CN"/>
        </w:rPr>
        <w:t>支付至审计</w:t>
      </w:r>
      <w:r>
        <w:rPr>
          <w:rFonts w:hint="eastAsia" w:ascii="宋体" w:hAnsi="宋体"/>
          <w:b/>
          <w:bCs/>
          <w:color w:val="auto"/>
          <w:sz w:val="24"/>
          <w:highlight w:val="none"/>
        </w:rPr>
        <w:t>金额的9</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eastAsia="zh-CN"/>
        </w:rPr>
        <w:t>，</w:t>
      </w:r>
      <w:r>
        <w:rPr>
          <w:rFonts w:hint="eastAsia" w:ascii="宋体" w:hAnsi="宋体"/>
          <w:b/>
          <w:bCs/>
          <w:color w:val="auto"/>
          <w:kern w:val="0"/>
          <w:sz w:val="24"/>
          <w:highlight w:val="none"/>
        </w:rPr>
        <w:t>剩余</w:t>
      </w:r>
      <w:r>
        <w:rPr>
          <w:rFonts w:hint="eastAsia" w:ascii="宋体" w:hAnsi="宋体"/>
          <w:b/>
          <w:bCs/>
          <w:color w:val="auto"/>
          <w:kern w:val="0"/>
          <w:sz w:val="24"/>
          <w:highlight w:val="none"/>
          <w:lang w:val="en-US" w:eastAsia="zh-CN"/>
        </w:rPr>
        <w:t>3</w:t>
      </w:r>
      <w:r>
        <w:rPr>
          <w:rFonts w:hint="eastAsia" w:ascii="宋体" w:hAnsi="宋体"/>
          <w:b/>
          <w:bCs/>
          <w:color w:val="auto"/>
          <w:kern w:val="0"/>
          <w:sz w:val="24"/>
          <w:highlight w:val="none"/>
        </w:rPr>
        <w:t>%作为</w:t>
      </w:r>
      <w:r>
        <w:rPr>
          <w:rFonts w:hint="eastAsia" w:ascii="宋体" w:hAnsi="宋体"/>
          <w:b/>
          <w:bCs/>
          <w:color w:val="auto"/>
          <w:kern w:val="0"/>
          <w:sz w:val="24"/>
          <w:highlight w:val="none"/>
          <w:lang w:eastAsia="zh-CN"/>
        </w:rPr>
        <w:t>设备材料及工程质量保证金，无质量问题两年后一次性付清（无息）。</w:t>
      </w:r>
    </w:p>
    <w:p>
      <w:pPr>
        <w:numPr>
          <w:numId w:val="0"/>
        </w:numPr>
        <w:spacing w:line="580" w:lineRule="exact"/>
        <w:ind w:left="0" w:leftChars="0" w:firstLine="420" w:firstLineChars="175"/>
        <w:rPr>
          <w:rFonts w:hint="eastAsia" w:ascii="宋体" w:hAnsi="宋体"/>
          <w:color w:val="auto"/>
          <w:kern w:val="0"/>
          <w:sz w:val="24"/>
          <w:highlight w:val="none"/>
          <w:lang w:val="en-US"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）免费</w:t>
      </w:r>
      <w:r>
        <w:rPr>
          <w:rFonts w:hint="eastAsia" w:ascii="宋体" w:hAnsi="宋体"/>
          <w:color w:val="auto"/>
          <w:kern w:val="0"/>
          <w:sz w:val="24"/>
          <w:highlight w:val="none"/>
          <w:lang w:val="en-US" w:eastAsia="zh-CN"/>
        </w:rPr>
        <w:t>质量保证期：两年。</w:t>
      </w:r>
    </w:p>
    <w:p>
      <w:pPr>
        <w:spacing w:line="580" w:lineRule="exact"/>
        <w:rPr>
          <w:rFonts w:ascii="宋体" w:hAnsi="宋体"/>
          <w:b/>
          <w:color w:val="auto"/>
          <w:kern w:val="0"/>
          <w:sz w:val="24"/>
          <w:highlight w:val="none"/>
        </w:rPr>
      </w:pPr>
      <w:r>
        <w:rPr>
          <w:rFonts w:hint="eastAsia" w:ascii="宋体" w:hAnsi="宋体"/>
          <w:b/>
          <w:color w:val="auto"/>
          <w:kern w:val="0"/>
          <w:sz w:val="24"/>
          <w:highlight w:val="none"/>
        </w:rPr>
        <w:t xml:space="preserve">    3.合同执行</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甲乙双方严格按合同条款执行；</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因特殊原因不能按时交货，乙方应在合同规定的交货期限内书面告知甲方；</w:t>
      </w:r>
    </w:p>
    <w:p>
      <w:pPr>
        <w:spacing w:line="580" w:lineRule="exact"/>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eastAsia="zh-CN"/>
        </w:rPr>
        <w:t>）</w:t>
      </w:r>
      <w:r>
        <w:rPr>
          <w:rFonts w:hint="eastAsia" w:ascii="宋体" w:hAnsi="宋体"/>
          <w:color w:val="auto"/>
          <w:kern w:val="0"/>
          <w:sz w:val="24"/>
          <w:highlight w:val="none"/>
        </w:rPr>
        <w:t>如需变更合同内容，甲乙双方协商后再定；</w:t>
      </w:r>
    </w:p>
    <w:p>
      <w:pPr>
        <w:spacing w:line="580" w:lineRule="exact"/>
        <w:ind w:firstLine="480"/>
        <w:rPr>
          <w:rFonts w:hint="eastAsia"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ascii="宋体" w:hAnsi="宋体"/>
          <w:color w:val="auto"/>
          <w:kern w:val="0"/>
          <w:sz w:val="24"/>
          <w:highlight w:val="none"/>
        </w:rPr>
        <w:t>无特殊原因乙方拒不履行合同，招标人可单方面取消其中标资格，并追究违约责任，同时履约保证金不予退还，且我司将拒不接洽随后的同类型招标。</w:t>
      </w: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pStyle w:val="13"/>
        <w:rPr>
          <w:rFonts w:hint="eastAsia" w:ascii="宋体" w:hAnsi="宋体"/>
          <w:color w:val="auto"/>
          <w:kern w:val="0"/>
          <w:sz w:val="24"/>
          <w:highlight w:val="none"/>
        </w:rPr>
      </w:pPr>
    </w:p>
    <w:p>
      <w:pPr>
        <w:jc w:val="center"/>
        <w:rPr>
          <w:rFonts w:hint="eastAsia"/>
          <w:b/>
          <w:color w:val="auto"/>
          <w:kern w:val="0"/>
          <w:sz w:val="28"/>
          <w:szCs w:val="28"/>
          <w:highlight w:val="none"/>
        </w:rPr>
      </w:pPr>
    </w:p>
    <w:p>
      <w:pPr>
        <w:jc w:val="center"/>
        <w:rPr>
          <w:b/>
          <w:color w:val="auto"/>
          <w:kern w:val="0"/>
          <w:sz w:val="28"/>
          <w:szCs w:val="28"/>
          <w:highlight w:val="none"/>
        </w:rPr>
      </w:pPr>
      <w:r>
        <w:rPr>
          <w:rFonts w:hint="eastAsia"/>
          <w:b/>
          <w:color w:val="auto"/>
          <w:kern w:val="0"/>
          <w:sz w:val="28"/>
          <w:szCs w:val="28"/>
          <w:highlight w:val="none"/>
        </w:rPr>
        <w:t>第三章</w:t>
      </w:r>
      <w:r>
        <w:rPr>
          <w:rFonts w:hint="eastAsia"/>
          <w:b/>
          <w:color w:val="auto"/>
          <w:kern w:val="0"/>
          <w:sz w:val="28"/>
          <w:szCs w:val="28"/>
          <w:highlight w:val="none"/>
          <w:lang w:val="en-US" w:eastAsia="zh-CN"/>
        </w:rPr>
        <w:t xml:space="preserve">  </w:t>
      </w:r>
      <w:r>
        <w:rPr>
          <w:rFonts w:hint="eastAsia"/>
          <w:b/>
          <w:color w:val="auto"/>
          <w:kern w:val="0"/>
          <w:sz w:val="28"/>
          <w:szCs w:val="28"/>
          <w:highlight w:val="none"/>
        </w:rPr>
        <w:t>评标办法</w:t>
      </w:r>
    </w:p>
    <w:p>
      <w:pPr>
        <w:spacing w:line="276" w:lineRule="auto"/>
        <w:ind w:firstLine="482" w:firstLineChars="200"/>
        <w:rPr>
          <w:b/>
          <w:bCs/>
          <w:color w:val="auto"/>
          <w:sz w:val="24"/>
          <w:highlight w:val="none"/>
        </w:rPr>
      </w:pPr>
      <w:r>
        <w:rPr>
          <w:rFonts w:hint="eastAsia"/>
          <w:b/>
          <w:bCs/>
          <w:color w:val="auto"/>
          <w:sz w:val="24"/>
          <w:highlight w:val="none"/>
        </w:rPr>
        <w:t>一、总则</w:t>
      </w:r>
    </w:p>
    <w:p>
      <w:pPr>
        <w:widowControl/>
        <w:spacing w:line="500" w:lineRule="exact"/>
        <w:ind w:firstLine="480"/>
        <w:jc w:val="left"/>
        <w:rPr>
          <w:rFonts w:ascii="宋体" w:cs="宋体"/>
          <w:color w:val="auto"/>
          <w:kern w:val="0"/>
          <w:sz w:val="24"/>
          <w:highlight w:val="none"/>
        </w:rPr>
      </w:pPr>
      <w:r>
        <w:rPr>
          <w:rFonts w:hint="eastAsia" w:ascii="宋体" w:hAnsi="宋体" w:cs="宋体"/>
          <w:color w:val="auto"/>
          <w:kern w:val="0"/>
          <w:sz w:val="24"/>
          <w:highlight w:val="none"/>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widowControl/>
        <w:spacing w:line="500" w:lineRule="exact"/>
        <w:ind w:firstLine="480"/>
        <w:jc w:val="left"/>
        <w:rPr>
          <w:rFonts w:ascii="宋体" w:cs="宋体"/>
          <w:color w:val="auto"/>
          <w:kern w:val="0"/>
          <w:sz w:val="24"/>
          <w:highlight w:val="none"/>
        </w:rPr>
      </w:pPr>
      <w:r>
        <w:rPr>
          <w:rFonts w:hint="eastAsia" w:ascii="宋体" w:hAnsi="宋体" w:cs="宋体"/>
          <w:color w:val="auto"/>
          <w:kern w:val="0"/>
          <w:sz w:val="24"/>
          <w:highlight w:val="none"/>
        </w:rPr>
        <w:t>（二）本次项目评标采用</w:t>
      </w:r>
      <w:r>
        <w:rPr>
          <w:rFonts w:hint="eastAsia" w:ascii="宋体" w:hAnsi="宋体" w:cs="宋体"/>
          <w:b/>
          <w:bCs/>
          <w:color w:val="auto"/>
          <w:kern w:val="0"/>
          <w:sz w:val="24"/>
          <w:highlight w:val="none"/>
        </w:rPr>
        <w:t>综合评分法</w:t>
      </w:r>
      <w:r>
        <w:rPr>
          <w:rFonts w:hint="eastAsia" w:ascii="宋体" w:hAnsi="宋体" w:cs="宋体"/>
          <w:color w:val="auto"/>
          <w:kern w:val="0"/>
          <w:sz w:val="24"/>
          <w:highlight w:val="none"/>
        </w:rPr>
        <w:t>作为对投标人标书的比较方法。</w:t>
      </w:r>
    </w:p>
    <w:p>
      <w:pPr>
        <w:widowControl/>
        <w:spacing w:line="500" w:lineRule="exact"/>
        <w:ind w:firstLine="480"/>
        <w:jc w:val="left"/>
        <w:rPr>
          <w:rFonts w:ascii="宋体" w:cs="宋体"/>
          <w:color w:val="auto"/>
          <w:kern w:val="0"/>
          <w:sz w:val="24"/>
          <w:highlight w:val="none"/>
        </w:rPr>
      </w:pPr>
      <w:r>
        <w:rPr>
          <w:rFonts w:hint="eastAsia" w:ascii="宋体" w:hAnsi="宋体" w:cs="宋体"/>
          <w:color w:val="auto"/>
          <w:kern w:val="0"/>
          <w:sz w:val="24"/>
          <w:highlight w:val="none"/>
        </w:rPr>
        <w:t>（三）评标委员会依据招标文件中的标准、办法对投标文件进行评标；评标委员会按照“客观公正，实事求是”的原则，评价参加本次招标的投标人所提供的产品或服务价格、性能、质量、服务及对招标文件的符合性及响应性。</w:t>
      </w:r>
    </w:p>
    <w:p>
      <w:pPr>
        <w:widowControl/>
        <w:spacing w:line="500" w:lineRule="exact"/>
        <w:ind w:firstLine="480"/>
        <w:jc w:val="left"/>
        <w:rPr>
          <w:rFonts w:ascii="宋体" w:cs="宋体"/>
          <w:b/>
          <w:bCs/>
          <w:color w:val="auto"/>
          <w:kern w:val="0"/>
          <w:sz w:val="24"/>
          <w:highlight w:val="none"/>
        </w:rPr>
      </w:pPr>
      <w:r>
        <w:rPr>
          <w:rFonts w:hint="eastAsia" w:ascii="宋体" w:hAnsi="宋体" w:cs="宋体"/>
          <w:b/>
          <w:bCs/>
          <w:color w:val="auto"/>
          <w:kern w:val="0"/>
          <w:sz w:val="24"/>
          <w:highlight w:val="none"/>
        </w:rPr>
        <w:t>二、评标程序</w:t>
      </w:r>
    </w:p>
    <w:p>
      <w:pPr>
        <w:widowControl/>
        <w:spacing w:line="500" w:lineRule="exact"/>
        <w:ind w:firstLine="480"/>
        <w:jc w:val="left"/>
        <w:rPr>
          <w:rFonts w:ascii="宋体" w:cs="宋体"/>
          <w:color w:val="auto"/>
          <w:kern w:val="0"/>
          <w:sz w:val="24"/>
          <w:highlight w:val="none"/>
        </w:rPr>
      </w:pPr>
      <w:r>
        <w:rPr>
          <w:rFonts w:hint="eastAsia" w:ascii="宋体" w:hAnsi="宋体" w:cs="宋体"/>
          <w:color w:val="auto"/>
          <w:kern w:val="0"/>
          <w:sz w:val="24"/>
          <w:highlight w:val="none"/>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pPr>
        <w:widowControl/>
        <w:spacing w:line="500" w:lineRule="exact"/>
        <w:ind w:firstLine="480"/>
        <w:jc w:val="left"/>
        <w:rPr>
          <w:rFonts w:ascii="宋体" w:cs="宋体"/>
          <w:color w:val="auto"/>
          <w:kern w:val="0"/>
          <w:sz w:val="24"/>
          <w:highlight w:val="none"/>
        </w:rPr>
      </w:pPr>
      <w:r>
        <w:rPr>
          <w:rFonts w:hint="eastAsia" w:ascii="宋体" w:hAnsi="宋体" w:cs="宋体"/>
          <w:color w:val="auto"/>
          <w:kern w:val="0"/>
          <w:sz w:val="24"/>
          <w:highlight w:val="none"/>
        </w:rPr>
        <w:t>（二）评委独立评审后，评委会对投标人某项指标如有不同意见，按照少数服从多数的原则，确定该项指标是否通过。符合初审指标通过标准的，为有效投标。评委会按下表内容进行投标文件初审。</w:t>
      </w:r>
    </w:p>
    <w:p>
      <w:pPr>
        <w:adjustRightInd w:val="0"/>
        <w:snapToGrid w:val="0"/>
        <w:spacing w:line="360" w:lineRule="auto"/>
        <w:ind w:right="-10"/>
        <w:jc w:val="center"/>
        <w:rPr>
          <w:color w:val="auto"/>
          <w:sz w:val="24"/>
          <w:highlight w:val="none"/>
        </w:rPr>
      </w:pPr>
      <w:r>
        <w:rPr>
          <w:rFonts w:hint="eastAsia"/>
          <w:b/>
          <w:color w:val="auto"/>
          <w:sz w:val="24"/>
          <w:highlight w:val="none"/>
        </w:rPr>
        <w:t>投标文件初审表（资格审查和符合性审查）</w:t>
      </w:r>
    </w:p>
    <w:tbl>
      <w:tblPr>
        <w:tblStyle w:val="19"/>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400"/>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9829" w:type="dxa"/>
            <w:gridSpan w:val="3"/>
            <w:vAlign w:val="center"/>
          </w:tcPr>
          <w:p>
            <w:pPr>
              <w:spacing w:line="360" w:lineRule="exact"/>
              <w:jc w:val="center"/>
              <w:rPr>
                <w:b/>
                <w:color w:val="auto"/>
                <w:szCs w:val="21"/>
                <w:highlight w:val="none"/>
              </w:rPr>
            </w:pPr>
            <w:r>
              <w:rPr>
                <w:b/>
                <w:color w:val="auto"/>
                <w:sz w:val="24"/>
                <w:highlight w:val="none"/>
              </w:rPr>
              <w:t>1</w:t>
            </w:r>
            <w:r>
              <w:rPr>
                <w:rFonts w:hint="eastAsia"/>
                <w:b/>
                <w:color w:val="auto"/>
                <w:sz w:val="24"/>
                <w:highlight w:val="none"/>
              </w:rPr>
              <w:t>、资格审查指标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51" w:type="dxa"/>
            <w:vAlign w:val="center"/>
          </w:tcPr>
          <w:p>
            <w:pPr>
              <w:spacing w:line="360" w:lineRule="exact"/>
              <w:jc w:val="center"/>
              <w:rPr>
                <w:b/>
                <w:color w:val="auto"/>
                <w:szCs w:val="21"/>
                <w:highlight w:val="none"/>
              </w:rPr>
            </w:pPr>
            <w:r>
              <w:rPr>
                <w:rFonts w:hint="eastAsia"/>
                <w:b/>
                <w:color w:val="auto"/>
                <w:szCs w:val="21"/>
                <w:highlight w:val="none"/>
              </w:rPr>
              <w:t>序号</w:t>
            </w:r>
          </w:p>
        </w:tc>
        <w:tc>
          <w:tcPr>
            <w:tcW w:w="4400" w:type="dxa"/>
            <w:vAlign w:val="center"/>
          </w:tcPr>
          <w:p>
            <w:pPr>
              <w:spacing w:line="360" w:lineRule="exact"/>
              <w:ind w:firstLine="499"/>
              <w:jc w:val="center"/>
              <w:rPr>
                <w:b/>
                <w:color w:val="auto"/>
                <w:szCs w:val="21"/>
                <w:highlight w:val="none"/>
              </w:rPr>
            </w:pPr>
            <w:r>
              <w:rPr>
                <w:rFonts w:hint="eastAsia"/>
                <w:b/>
                <w:color w:val="auto"/>
                <w:szCs w:val="21"/>
                <w:highlight w:val="none"/>
              </w:rPr>
              <w:t>审查内容</w:t>
            </w:r>
          </w:p>
        </w:tc>
        <w:tc>
          <w:tcPr>
            <w:tcW w:w="4678" w:type="dxa"/>
            <w:vAlign w:val="center"/>
          </w:tcPr>
          <w:p>
            <w:pPr>
              <w:spacing w:line="360" w:lineRule="exact"/>
              <w:jc w:val="center"/>
              <w:rPr>
                <w:b/>
                <w:color w:val="auto"/>
                <w:szCs w:val="21"/>
                <w:highlight w:val="none"/>
              </w:rPr>
            </w:pPr>
            <w:r>
              <w:rPr>
                <w:rFonts w:hint="eastAsia"/>
                <w:b/>
                <w:color w:val="auto"/>
                <w:szCs w:val="21"/>
                <w:highlight w:val="none"/>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51" w:type="dxa"/>
            <w:vAlign w:val="center"/>
          </w:tcPr>
          <w:p>
            <w:pPr>
              <w:jc w:val="center"/>
              <w:rPr>
                <w:color w:val="auto"/>
                <w:szCs w:val="21"/>
                <w:highlight w:val="none"/>
              </w:rPr>
            </w:pPr>
            <w:r>
              <w:rPr>
                <w:color w:val="auto"/>
                <w:szCs w:val="21"/>
                <w:highlight w:val="none"/>
              </w:rPr>
              <w:t>1</w:t>
            </w:r>
          </w:p>
        </w:tc>
        <w:tc>
          <w:tcPr>
            <w:tcW w:w="4400" w:type="dxa"/>
            <w:vAlign w:val="center"/>
          </w:tcPr>
          <w:p>
            <w:pPr>
              <w:rPr>
                <w:color w:val="auto"/>
                <w:szCs w:val="21"/>
                <w:highlight w:val="none"/>
              </w:rPr>
            </w:pPr>
            <w:r>
              <w:rPr>
                <w:rFonts w:hint="eastAsia"/>
                <w:color w:val="auto"/>
                <w:szCs w:val="21"/>
                <w:highlight w:val="none"/>
              </w:rPr>
              <w:t>具有独立法人及一般纳税人资格</w:t>
            </w:r>
          </w:p>
        </w:tc>
        <w:tc>
          <w:tcPr>
            <w:tcW w:w="4678" w:type="dxa"/>
            <w:vAlign w:val="center"/>
          </w:tcPr>
          <w:p>
            <w:pPr>
              <w:jc w:val="left"/>
              <w:rPr>
                <w:color w:val="auto"/>
                <w:szCs w:val="21"/>
                <w:highlight w:val="none"/>
              </w:rPr>
            </w:pPr>
            <w:r>
              <w:rPr>
                <w:rFonts w:hint="eastAsia"/>
                <w:color w:val="auto"/>
                <w:szCs w:val="21"/>
                <w:highlight w:val="none"/>
              </w:rPr>
              <w:t>提供营业执照复印件加盖单位公章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751" w:type="dxa"/>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2</w:t>
            </w:r>
          </w:p>
        </w:tc>
        <w:tc>
          <w:tcPr>
            <w:tcW w:w="4400" w:type="dxa"/>
            <w:vAlign w:val="center"/>
          </w:tcPr>
          <w:p>
            <w:pPr>
              <w:rPr>
                <w:color w:val="auto"/>
                <w:sz w:val="21"/>
                <w:szCs w:val="21"/>
                <w:highlight w:val="none"/>
              </w:rPr>
            </w:pPr>
            <w:r>
              <w:rPr>
                <w:rFonts w:hint="eastAsia"/>
                <w:color w:val="auto"/>
                <w:szCs w:val="21"/>
                <w:highlight w:val="none"/>
                <w:lang w:val="en-US" w:eastAsia="zh-CN"/>
              </w:rPr>
              <w:t>2018年1月1日以来（以合同签订时间为准），投标人具有单个合同不少于60万元的类似项目业绩（须包含门禁智能化内容）。</w:t>
            </w:r>
          </w:p>
        </w:tc>
        <w:tc>
          <w:tcPr>
            <w:tcW w:w="4678" w:type="dxa"/>
            <w:vAlign w:val="center"/>
          </w:tcPr>
          <w:p>
            <w:pPr>
              <w:rPr>
                <w:color w:val="auto"/>
                <w:szCs w:val="21"/>
                <w:highlight w:val="none"/>
              </w:rPr>
            </w:pPr>
            <w:r>
              <w:rPr>
                <w:rFonts w:hint="eastAsia"/>
                <w:color w:val="auto"/>
                <w:szCs w:val="21"/>
                <w:highlight w:val="none"/>
              </w:rPr>
              <w:t>提供加盖公章的业绩合同复印件（原件备查）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51" w:type="dxa"/>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3</w:t>
            </w:r>
          </w:p>
        </w:tc>
        <w:tc>
          <w:tcPr>
            <w:tcW w:w="4400" w:type="dxa"/>
            <w:vAlign w:val="center"/>
          </w:tcPr>
          <w:p>
            <w:pPr>
              <w:rPr>
                <w:color w:val="auto"/>
                <w:szCs w:val="21"/>
                <w:highlight w:val="none"/>
              </w:rPr>
            </w:pPr>
            <w:r>
              <w:rPr>
                <w:rFonts w:hint="eastAsia"/>
                <w:color w:val="auto"/>
                <w:szCs w:val="21"/>
                <w:highlight w:val="none"/>
              </w:rPr>
              <w:t>本项目不接受联合体投标。</w:t>
            </w:r>
          </w:p>
        </w:tc>
        <w:tc>
          <w:tcPr>
            <w:tcW w:w="4678"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51" w:type="dxa"/>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4400" w:type="dxa"/>
            <w:vAlign w:val="center"/>
          </w:tcPr>
          <w:p>
            <w:pPr>
              <w:rPr>
                <w:rFonts w:ascii="宋体"/>
                <w:color w:val="auto"/>
                <w:szCs w:val="21"/>
                <w:highlight w:val="none"/>
              </w:rPr>
            </w:pPr>
            <w:r>
              <w:rPr>
                <w:rFonts w:hint="eastAsia" w:ascii="宋体" w:hAnsi="宋体"/>
                <w:color w:val="auto"/>
                <w:szCs w:val="21"/>
                <w:highlight w:val="none"/>
              </w:rPr>
              <w:t>不良行为记录查询</w:t>
            </w:r>
          </w:p>
        </w:tc>
        <w:tc>
          <w:tcPr>
            <w:tcW w:w="4678" w:type="dxa"/>
            <w:vAlign w:val="center"/>
          </w:tcPr>
          <w:p>
            <w:pPr>
              <w:jc w:val="left"/>
              <w:rPr>
                <w:rFonts w:ascii="宋体"/>
                <w:color w:val="auto"/>
                <w:szCs w:val="21"/>
                <w:highlight w:val="none"/>
              </w:rPr>
            </w:pPr>
            <w:r>
              <w:rPr>
                <w:rFonts w:hint="eastAsia" w:ascii="宋体" w:hAnsi="宋体"/>
                <w:color w:val="auto"/>
                <w:szCs w:val="21"/>
                <w:highlight w:val="none"/>
              </w:rPr>
              <w:t>以评标期间以在</w:t>
            </w:r>
            <w:r>
              <w:rPr>
                <w:rFonts w:hint="eastAsia" w:ascii="宋体"/>
                <w:color w:val="auto"/>
                <w:szCs w:val="21"/>
                <w:highlight w:val="none"/>
              </w:rPr>
              <w:t>“</w:t>
            </w:r>
            <w:r>
              <w:rPr>
                <w:rFonts w:hint="eastAsia" w:ascii="宋体" w:hAnsi="宋体"/>
                <w:color w:val="auto"/>
                <w:szCs w:val="21"/>
                <w:highlight w:val="none"/>
              </w:rPr>
              <w:t>安徽合肥公共资源交易中心</w:t>
            </w:r>
            <w:r>
              <w:rPr>
                <w:rFonts w:hint="eastAsia" w:ascii="宋体"/>
                <w:color w:val="auto"/>
                <w:szCs w:val="21"/>
                <w:highlight w:val="none"/>
              </w:rPr>
              <w:t>”</w:t>
            </w:r>
            <w:r>
              <w:rPr>
                <w:rFonts w:hint="eastAsia" w:ascii="宋体" w:hAnsi="宋体"/>
                <w:color w:val="auto"/>
                <w:szCs w:val="21"/>
                <w:highlight w:val="none"/>
              </w:rPr>
              <w:t>网站</w:t>
            </w:r>
            <w:r>
              <w:rPr>
                <w:rFonts w:ascii="宋体" w:hAnsi="宋体"/>
                <w:color w:val="auto"/>
                <w:szCs w:val="21"/>
                <w:highlight w:val="none"/>
              </w:rPr>
              <w:t>http://ggzy.hefei.gov.cn/pgt/exposureDesk.html</w:t>
            </w:r>
            <w:r>
              <w:rPr>
                <w:rFonts w:hint="eastAsia" w:ascii="宋体" w:hAnsi="宋体"/>
                <w:color w:val="auto"/>
                <w:szCs w:val="21"/>
                <w:highlight w:val="none"/>
              </w:rPr>
              <w:t>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51" w:type="dxa"/>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4400" w:type="dxa"/>
            <w:vAlign w:val="center"/>
          </w:tcPr>
          <w:p>
            <w:pPr>
              <w:rPr>
                <w:rFonts w:ascii="宋体"/>
                <w:color w:val="auto"/>
                <w:szCs w:val="21"/>
                <w:highlight w:val="none"/>
              </w:rPr>
            </w:pPr>
            <w:r>
              <w:rPr>
                <w:rFonts w:hint="eastAsia" w:ascii="宋体" w:hAnsi="宋体"/>
                <w:color w:val="auto"/>
                <w:szCs w:val="21"/>
                <w:highlight w:val="none"/>
              </w:rPr>
              <w:t>不良信用记录查询</w:t>
            </w:r>
          </w:p>
        </w:tc>
        <w:tc>
          <w:tcPr>
            <w:tcW w:w="4678" w:type="dxa"/>
            <w:vAlign w:val="center"/>
          </w:tcPr>
          <w:p>
            <w:pPr>
              <w:jc w:val="left"/>
              <w:rPr>
                <w:rFonts w:ascii="宋体"/>
                <w:color w:val="auto"/>
                <w:szCs w:val="21"/>
                <w:highlight w:val="none"/>
              </w:rPr>
            </w:pPr>
            <w:r>
              <w:rPr>
                <w:rFonts w:hint="eastAsia" w:ascii="宋体" w:hAnsi="宋体"/>
                <w:color w:val="auto"/>
                <w:szCs w:val="21"/>
                <w:highlight w:val="none"/>
              </w:rPr>
              <w:t>以评标期间在“信用中国”网站</w:t>
            </w:r>
            <w:r>
              <w:rPr>
                <w:rFonts w:ascii="宋体" w:hAnsi="宋体"/>
                <w:color w:val="auto"/>
                <w:szCs w:val="21"/>
                <w:highlight w:val="none"/>
              </w:rPr>
              <w:t>http://www.creditchina.gov.cn/</w:t>
            </w:r>
            <w:r>
              <w:rPr>
                <w:rFonts w:hint="eastAsia" w:ascii="宋体" w:hAnsi="宋体"/>
                <w:color w:val="auto"/>
                <w:szCs w:val="21"/>
                <w:highlight w:val="none"/>
              </w:rPr>
              <w:t>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829" w:type="dxa"/>
            <w:gridSpan w:val="3"/>
            <w:vAlign w:val="center"/>
          </w:tcPr>
          <w:p>
            <w:pPr>
              <w:spacing w:line="360" w:lineRule="exact"/>
              <w:jc w:val="center"/>
              <w:rPr>
                <w:b/>
                <w:color w:val="auto"/>
                <w:sz w:val="24"/>
                <w:highlight w:val="none"/>
              </w:rPr>
            </w:pPr>
            <w:r>
              <w:rPr>
                <w:b/>
                <w:color w:val="auto"/>
                <w:sz w:val="24"/>
                <w:highlight w:val="none"/>
              </w:rPr>
              <w:t>2</w:t>
            </w:r>
            <w:r>
              <w:rPr>
                <w:rFonts w:hint="eastAsia"/>
                <w:b/>
                <w:color w:val="auto"/>
                <w:sz w:val="24"/>
                <w:highlight w:val="none"/>
              </w:rPr>
              <w:t>、符合性审查指标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51" w:type="dxa"/>
            <w:vAlign w:val="center"/>
          </w:tcPr>
          <w:p>
            <w:pPr>
              <w:jc w:val="center"/>
              <w:rPr>
                <w:color w:val="auto"/>
                <w:szCs w:val="21"/>
                <w:highlight w:val="none"/>
              </w:rPr>
            </w:pPr>
            <w:r>
              <w:rPr>
                <w:rFonts w:hint="eastAsia"/>
                <w:b/>
                <w:bCs/>
                <w:color w:val="auto"/>
                <w:szCs w:val="21"/>
                <w:highlight w:val="none"/>
              </w:rPr>
              <w:t>序号</w:t>
            </w:r>
          </w:p>
        </w:tc>
        <w:tc>
          <w:tcPr>
            <w:tcW w:w="4400" w:type="dxa"/>
            <w:vAlign w:val="center"/>
          </w:tcPr>
          <w:p>
            <w:pPr>
              <w:jc w:val="center"/>
              <w:rPr>
                <w:b/>
                <w:bCs/>
                <w:color w:val="auto"/>
                <w:szCs w:val="21"/>
                <w:highlight w:val="none"/>
              </w:rPr>
            </w:pPr>
            <w:r>
              <w:rPr>
                <w:rFonts w:hint="eastAsia"/>
                <w:b/>
                <w:bCs/>
                <w:color w:val="auto"/>
                <w:szCs w:val="21"/>
                <w:highlight w:val="none"/>
              </w:rPr>
              <w:t>指标描述</w:t>
            </w:r>
          </w:p>
        </w:tc>
        <w:tc>
          <w:tcPr>
            <w:tcW w:w="4678" w:type="dxa"/>
            <w:vAlign w:val="center"/>
          </w:tcPr>
          <w:p>
            <w:pPr>
              <w:jc w:val="center"/>
              <w:rPr>
                <w:b/>
                <w:bCs/>
                <w:color w:val="auto"/>
                <w:szCs w:val="21"/>
                <w:highlight w:val="none"/>
              </w:rPr>
            </w:pPr>
            <w:r>
              <w:rPr>
                <w:rFonts w:hint="eastAsia"/>
                <w:b/>
                <w:bCs/>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color w:val="auto"/>
                <w:szCs w:val="21"/>
                <w:highlight w:val="none"/>
              </w:rPr>
            </w:pPr>
            <w:r>
              <w:rPr>
                <w:color w:val="auto"/>
                <w:szCs w:val="21"/>
                <w:highlight w:val="none"/>
              </w:rPr>
              <w:t>1</w:t>
            </w:r>
          </w:p>
        </w:tc>
        <w:tc>
          <w:tcPr>
            <w:tcW w:w="4400" w:type="dxa"/>
            <w:vAlign w:val="center"/>
          </w:tcPr>
          <w:p>
            <w:pPr>
              <w:jc w:val="left"/>
              <w:rPr>
                <w:color w:val="auto"/>
                <w:szCs w:val="21"/>
                <w:highlight w:val="none"/>
              </w:rPr>
            </w:pPr>
            <w:r>
              <w:rPr>
                <w:rFonts w:hint="eastAsia" w:cs="宋体"/>
                <w:b/>
                <w:color w:val="auto"/>
                <w:szCs w:val="21"/>
                <w:highlight w:val="none"/>
              </w:rPr>
              <w:t>投标授权书</w:t>
            </w:r>
          </w:p>
        </w:tc>
        <w:tc>
          <w:tcPr>
            <w:tcW w:w="4678" w:type="dxa"/>
            <w:vAlign w:val="center"/>
          </w:tcPr>
          <w:p>
            <w:pPr>
              <w:rPr>
                <w:color w:val="auto"/>
                <w:szCs w:val="21"/>
                <w:highlight w:val="none"/>
              </w:rPr>
            </w:pPr>
            <w:r>
              <w:rPr>
                <w:rFonts w:hint="eastAsia"/>
                <w:color w:val="auto"/>
                <w:szCs w:val="21"/>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color w:val="auto"/>
                <w:szCs w:val="21"/>
                <w:highlight w:val="none"/>
              </w:rPr>
            </w:pPr>
            <w:r>
              <w:rPr>
                <w:color w:val="auto"/>
                <w:szCs w:val="21"/>
                <w:highlight w:val="none"/>
              </w:rPr>
              <w:t>2</w:t>
            </w:r>
          </w:p>
        </w:tc>
        <w:tc>
          <w:tcPr>
            <w:tcW w:w="4400" w:type="dxa"/>
            <w:vAlign w:val="center"/>
          </w:tcPr>
          <w:p>
            <w:pPr>
              <w:jc w:val="left"/>
              <w:rPr>
                <w:color w:val="auto"/>
                <w:szCs w:val="21"/>
                <w:highlight w:val="none"/>
              </w:rPr>
            </w:pPr>
            <w:r>
              <w:rPr>
                <w:rFonts w:hint="eastAsia" w:cs="宋体"/>
                <w:b/>
                <w:color w:val="auto"/>
                <w:szCs w:val="21"/>
                <w:highlight w:val="none"/>
              </w:rPr>
              <w:t>投标人名称</w:t>
            </w:r>
          </w:p>
        </w:tc>
        <w:tc>
          <w:tcPr>
            <w:tcW w:w="4678" w:type="dxa"/>
            <w:vAlign w:val="center"/>
          </w:tcPr>
          <w:p>
            <w:pPr>
              <w:rPr>
                <w:color w:val="auto"/>
                <w:szCs w:val="21"/>
                <w:highlight w:val="none"/>
              </w:rPr>
            </w:pPr>
            <w:r>
              <w:rPr>
                <w:rFonts w:hint="eastAsia"/>
                <w:color w:val="auto"/>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color w:val="auto"/>
                <w:szCs w:val="21"/>
                <w:highlight w:val="none"/>
              </w:rPr>
            </w:pPr>
            <w:r>
              <w:rPr>
                <w:color w:val="auto"/>
                <w:szCs w:val="21"/>
                <w:highlight w:val="none"/>
              </w:rPr>
              <w:t>3</w:t>
            </w:r>
          </w:p>
        </w:tc>
        <w:tc>
          <w:tcPr>
            <w:tcW w:w="4400" w:type="dxa"/>
            <w:vAlign w:val="center"/>
          </w:tcPr>
          <w:p>
            <w:pPr>
              <w:jc w:val="left"/>
              <w:rPr>
                <w:rFonts w:cs="宋体"/>
                <w:b/>
                <w:color w:val="auto"/>
                <w:szCs w:val="21"/>
                <w:highlight w:val="none"/>
              </w:rPr>
            </w:pPr>
            <w:r>
              <w:rPr>
                <w:rFonts w:hint="eastAsia" w:cs="宋体"/>
                <w:b/>
                <w:color w:val="auto"/>
                <w:szCs w:val="21"/>
                <w:highlight w:val="none"/>
              </w:rPr>
              <w:t>投标函签字盖章</w:t>
            </w:r>
          </w:p>
        </w:tc>
        <w:tc>
          <w:tcPr>
            <w:tcW w:w="4678" w:type="dxa"/>
            <w:vAlign w:val="center"/>
          </w:tcPr>
          <w:p>
            <w:pPr>
              <w:rPr>
                <w:color w:val="auto"/>
                <w:szCs w:val="21"/>
                <w:highlight w:val="none"/>
              </w:rPr>
            </w:pPr>
            <w:r>
              <w:rPr>
                <w:rFonts w:hint="eastAsia" w:cs="宋体"/>
                <w:color w:val="auto"/>
                <w:szCs w:val="21"/>
                <w:highlight w:val="none"/>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color w:val="auto"/>
                <w:szCs w:val="21"/>
                <w:highlight w:val="none"/>
              </w:rPr>
            </w:pPr>
            <w:r>
              <w:rPr>
                <w:color w:val="auto"/>
                <w:szCs w:val="21"/>
                <w:highlight w:val="none"/>
              </w:rPr>
              <w:t>4</w:t>
            </w:r>
          </w:p>
        </w:tc>
        <w:tc>
          <w:tcPr>
            <w:tcW w:w="4400" w:type="dxa"/>
            <w:vAlign w:val="center"/>
          </w:tcPr>
          <w:p>
            <w:pPr>
              <w:jc w:val="left"/>
              <w:rPr>
                <w:color w:val="auto"/>
                <w:szCs w:val="21"/>
                <w:highlight w:val="none"/>
              </w:rPr>
            </w:pPr>
            <w:r>
              <w:rPr>
                <w:rFonts w:hint="eastAsia" w:cs="宋体"/>
                <w:b/>
                <w:color w:val="auto"/>
                <w:szCs w:val="21"/>
                <w:highlight w:val="none"/>
              </w:rPr>
              <w:t>投标文件格式</w:t>
            </w:r>
          </w:p>
        </w:tc>
        <w:tc>
          <w:tcPr>
            <w:tcW w:w="4678" w:type="dxa"/>
            <w:vAlign w:val="center"/>
          </w:tcPr>
          <w:p>
            <w:pPr>
              <w:rPr>
                <w:color w:val="auto"/>
                <w:szCs w:val="21"/>
                <w:highlight w:val="none"/>
              </w:rPr>
            </w:pPr>
            <w:r>
              <w:rPr>
                <w:rFonts w:hint="eastAsia" w:cs="宋体"/>
                <w:color w:val="auto"/>
                <w:szCs w:val="21"/>
                <w:highlight w:val="none"/>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color w:val="auto"/>
                <w:szCs w:val="21"/>
                <w:highlight w:val="none"/>
              </w:rPr>
            </w:pPr>
            <w:r>
              <w:rPr>
                <w:color w:val="auto"/>
                <w:szCs w:val="21"/>
                <w:highlight w:val="none"/>
              </w:rPr>
              <w:t>5</w:t>
            </w:r>
          </w:p>
        </w:tc>
        <w:tc>
          <w:tcPr>
            <w:tcW w:w="4400" w:type="dxa"/>
            <w:vAlign w:val="center"/>
          </w:tcPr>
          <w:p>
            <w:pPr>
              <w:jc w:val="left"/>
              <w:rPr>
                <w:color w:val="auto"/>
                <w:szCs w:val="21"/>
                <w:highlight w:val="none"/>
              </w:rPr>
            </w:pPr>
            <w:r>
              <w:rPr>
                <w:rFonts w:hint="eastAsia" w:cs="宋体"/>
                <w:b/>
                <w:color w:val="auto"/>
                <w:szCs w:val="21"/>
                <w:highlight w:val="none"/>
              </w:rPr>
              <w:t>投标有效期</w:t>
            </w:r>
          </w:p>
        </w:tc>
        <w:tc>
          <w:tcPr>
            <w:tcW w:w="4678" w:type="dxa"/>
            <w:vAlign w:val="center"/>
          </w:tcPr>
          <w:p>
            <w:pPr>
              <w:rPr>
                <w:color w:val="auto"/>
                <w:szCs w:val="21"/>
                <w:highlight w:val="none"/>
              </w:rPr>
            </w:pPr>
            <w:r>
              <w:rPr>
                <w:rFonts w:hint="eastAsia" w:cs="宋体"/>
                <w:color w:val="auto"/>
                <w:szCs w:val="21"/>
                <w:highlight w:val="none"/>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color w:val="auto"/>
                <w:szCs w:val="21"/>
                <w:highlight w:val="none"/>
              </w:rPr>
            </w:pPr>
            <w:r>
              <w:rPr>
                <w:color w:val="auto"/>
                <w:szCs w:val="21"/>
                <w:highlight w:val="none"/>
              </w:rPr>
              <w:t>6</w:t>
            </w:r>
          </w:p>
        </w:tc>
        <w:tc>
          <w:tcPr>
            <w:tcW w:w="4400" w:type="dxa"/>
            <w:vAlign w:val="center"/>
          </w:tcPr>
          <w:p>
            <w:pPr>
              <w:jc w:val="left"/>
              <w:rPr>
                <w:color w:val="auto"/>
                <w:szCs w:val="21"/>
                <w:highlight w:val="none"/>
              </w:rPr>
            </w:pPr>
            <w:r>
              <w:rPr>
                <w:rFonts w:hint="eastAsia" w:cs="宋体"/>
                <w:b/>
                <w:color w:val="auto"/>
                <w:szCs w:val="21"/>
                <w:highlight w:val="none"/>
              </w:rPr>
              <w:t>投标保证金</w:t>
            </w:r>
          </w:p>
        </w:tc>
        <w:tc>
          <w:tcPr>
            <w:tcW w:w="4678" w:type="dxa"/>
            <w:vAlign w:val="center"/>
          </w:tcPr>
          <w:p>
            <w:pPr>
              <w:rPr>
                <w:color w:val="auto"/>
                <w:szCs w:val="21"/>
                <w:highlight w:val="none"/>
              </w:rPr>
            </w:pPr>
            <w:r>
              <w:rPr>
                <w:rFonts w:hint="eastAsia" w:cs="宋体"/>
                <w:color w:val="auto"/>
                <w:szCs w:val="21"/>
                <w:highlight w:val="none"/>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color w:val="auto"/>
                <w:szCs w:val="21"/>
                <w:highlight w:val="none"/>
              </w:rPr>
            </w:pPr>
            <w:r>
              <w:rPr>
                <w:color w:val="auto"/>
                <w:szCs w:val="21"/>
                <w:highlight w:val="none"/>
              </w:rPr>
              <w:t>7</w:t>
            </w:r>
          </w:p>
        </w:tc>
        <w:tc>
          <w:tcPr>
            <w:tcW w:w="4400" w:type="dxa"/>
            <w:vAlign w:val="center"/>
          </w:tcPr>
          <w:p>
            <w:pPr>
              <w:jc w:val="left"/>
              <w:rPr>
                <w:color w:val="auto"/>
                <w:szCs w:val="21"/>
                <w:highlight w:val="none"/>
              </w:rPr>
            </w:pPr>
            <w:r>
              <w:rPr>
                <w:rFonts w:hint="eastAsia" w:cs="宋体"/>
                <w:b/>
                <w:color w:val="auto"/>
                <w:szCs w:val="21"/>
                <w:highlight w:val="none"/>
              </w:rPr>
              <w:t>报价唯一</w:t>
            </w:r>
          </w:p>
        </w:tc>
        <w:tc>
          <w:tcPr>
            <w:tcW w:w="4678" w:type="dxa"/>
            <w:vAlign w:val="center"/>
          </w:tcPr>
          <w:p>
            <w:pPr>
              <w:rPr>
                <w:color w:val="auto"/>
                <w:szCs w:val="21"/>
                <w:highlight w:val="none"/>
              </w:rPr>
            </w:pPr>
            <w:r>
              <w:rPr>
                <w:rFonts w:hint="eastAsia" w:cs="宋体"/>
                <w:color w:val="auto"/>
                <w:kern w:val="0"/>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color w:val="auto"/>
                <w:szCs w:val="21"/>
                <w:highlight w:val="none"/>
              </w:rPr>
            </w:pPr>
            <w:r>
              <w:rPr>
                <w:color w:val="auto"/>
                <w:szCs w:val="21"/>
                <w:highlight w:val="none"/>
              </w:rPr>
              <w:t>8</w:t>
            </w:r>
          </w:p>
        </w:tc>
        <w:tc>
          <w:tcPr>
            <w:tcW w:w="4400" w:type="dxa"/>
            <w:vAlign w:val="center"/>
          </w:tcPr>
          <w:p>
            <w:pPr>
              <w:jc w:val="left"/>
              <w:rPr>
                <w:color w:val="auto"/>
                <w:szCs w:val="21"/>
                <w:highlight w:val="none"/>
              </w:rPr>
            </w:pPr>
            <w:r>
              <w:rPr>
                <w:rFonts w:hint="eastAsia" w:cs="宋体"/>
                <w:b/>
                <w:color w:val="auto"/>
                <w:szCs w:val="21"/>
                <w:highlight w:val="none"/>
              </w:rPr>
              <w:t>其他</w:t>
            </w:r>
          </w:p>
        </w:tc>
        <w:tc>
          <w:tcPr>
            <w:tcW w:w="4678" w:type="dxa"/>
            <w:vAlign w:val="center"/>
          </w:tcPr>
          <w:p>
            <w:pPr>
              <w:rPr>
                <w:color w:val="auto"/>
                <w:szCs w:val="21"/>
                <w:highlight w:val="none"/>
              </w:rPr>
            </w:pPr>
            <w:r>
              <w:rPr>
                <w:rFonts w:hint="eastAsia"/>
                <w:color w:val="auto"/>
                <w:szCs w:val="21"/>
                <w:highlight w:val="none"/>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9829" w:type="dxa"/>
            <w:gridSpan w:val="3"/>
            <w:vAlign w:val="center"/>
          </w:tcPr>
          <w:p>
            <w:pPr>
              <w:tabs>
                <w:tab w:val="center" w:pos="4535"/>
              </w:tabs>
              <w:rPr>
                <w:color w:val="auto"/>
                <w:szCs w:val="21"/>
                <w:highlight w:val="none"/>
              </w:rPr>
            </w:pPr>
            <w:r>
              <w:rPr>
                <w:rFonts w:hint="eastAsia" w:cs="宋体"/>
                <w:b/>
                <w:color w:val="auto"/>
                <w:szCs w:val="21"/>
                <w:highlight w:val="none"/>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829" w:type="dxa"/>
            <w:gridSpan w:val="3"/>
            <w:vAlign w:val="center"/>
          </w:tcPr>
          <w:p>
            <w:pPr>
              <w:tabs>
                <w:tab w:val="center" w:pos="4535"/>
              </w:tabs>
              <w:rPr>
                <w:rFonts w:cs="宋体"/>
                <w:b/>
                <w:color w:val="auto"/>
                <w:szCs w:val="21"/>
                <w:highlight w:val="none"/>
              </w:rPr>
            </w:pPr>
            <w:r>
              <w:rPr>
                <w:rFonts w:hint="eastAsia" w:cs="宋体"/>
                <w:b/>
                <w:color w:val="auto"/>
                <w:szCs w:val="21"/>
                <w:highlight w:val="none"/>
              </w:rPr>
              <w:t>请投标人将所有证明材料的相关复印件装订在投标文件中并加盖单位公章，评标时均以复印件为准进行评审。</w:t>
            </w:r>
          </w:p>
        </w:tc>
      </w:tr>
    </w:tbl>
    <w:p>
      <w:pPr>
        <w:widowControl/>
        <w:spacing w:line="500" w:lineRule="exact"/>
        <w:ind w:firstLine="480"/>
        <w:jc w:val="left"/>
        <w:rPr>
          <w:rFonts w:ascii="宋体" w:cs="宋体"/>
          <w:color w:val="auto"/>
          <w:kern w:val="0"/>
          <w:sz w:val="24"/>
          <w:highlight w:val="none"/>
        </w:rPr>
      </w:pPr>
      <w:r>
        <w:rPr>
          <w:rFonts w:ascii="宋体" w:hAnsi="宋体" w:cs="宋体"/>
          <w:color w:val="auto"/>
          <w:kern w:val="0"/>
          <w:sz w:val="24"/>
          <w:highlight w:val="none"/>
        </w:rPr>
        <w:t xml:space="preserve">1. </w:t>
      </w:r>
      <w:r>
        <w:rPr>
          <w:rFonts w:hint="eastAsia" w:ascii="宋体" w:hAnsi="宋体" w:cs="宋体"/>
          <w:color w:val="auto"/>
          <w:kern w:val="0"/>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widowControl/>
        <w:spacing w:line="500" w:lineRule="exact"/>
        <w:ind w:firstLine="48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投标人投标报价与公布的预算价（或控制价</w:t>
      </w:r>
      <w:r>
        <w:rPr>
          <w:rFonts w:ascii="宋体" w:hAnsi="宋体" w:cs="宋体"/>
          <w:color w:val="auto"/>
          <w:kern w:val="0"/>
          <w:sz w:val="24"/>
          <w:highlight w:val="none"/>
        </w:rPr>
        <w:t>)</w:t>
      </w:r>
      <w:r>
        <w:rPr>
          <w:rFonts w:hint="eastAsia" w:ascii="宋体" w:hAnsi="宋体" w:cs="宋体"/>
          <w:color w:val="auto"/>
          <w:kern w:val="0"/>
          <w:sz w:val="24"/>
          <w:highlight w:val="none"/>
        </w:rPr>
        <w:t>相比降幅过小，或投标人投标报价明显缺乏竞争性的，评标委员会可以否决所有投标。</w:t>
      </w:r>
    </w:p>
    <w:p>
      <w:pPr>
        <w:widowControl/>
        <w:spacing w:line="500" w:lineRule="exact"/>
        <w:ind w:firstLine="480"/>
        <w:jc w:val="left"/>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widowControl/>
        <w:spacing w:line="500" w:lineRule="exact"/>
        <w:ind w:firstLine="480"/>
        <w:jc w:val="left"/>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评标委员会和评标工作人员应严格遵守国家的法律、法规和规章制度；严格按照本次招标文件进行评标；公正廉洁、不徇私情，不得损害国家利益；保护招、投标人的合法权益。</w:t>
      </w:r>
    </w:p>
    <w:p>
      <w:pPr>
        <w:widowControl/>
        <w:spacing w:line="500" w:lineRule="exact"/>
        <w:ind w:firstLine="480"/>
        <w:jc w:val="left"/>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pPr>
        <w:widowControl/>
        <w:spacing w:line="500" w:lineRule="exact"/>
        <w:ind w:firstLine="480"/>
        <w:jc w:val="left"/>
        <w:rPr>
          <w:rFonts w:ascii="宋体" w:cs="宋体"/>
          <w:b/>
          <w:bCs/>
          <w:color w:val="auto"/>
          <w:kern w:val="0"/>
          <w:sz w:val="24"/>
          <w:highlight w:val="none"/>
        </w:rPr>
      </w:pPr>
      <w:r>
        <w:rPr>
          <w:rFonts w:hint="eastAsia" w:ascii="宋体" w:hAnsi="宋体" w:cs="宋体"/>
          <w:b/>
          <w:bCs/>
          <w:color w:val="auto"/>
          <w:kern w:val="0"/>
          <w:sz w:val="24"/>
          <w:highlight w:val="none"/>
        </w:rPr>
        <w:t>三、详细评审</w:t>
      </w:r>
    </w:p>
    <w:p>
      <w:pPr>
        <w:widowControl/>
        <w:spacing w:line="500" w:lineRule="exact"/>
        <w:ind w:firstLine="480"/>
        <w:jc w:val="left"/>
        <w:rPr>
          <w:rFonts w:ascii="宋体" w:cs="宋体"/>
          <w:color w:val="auto"/>
          <w:kern w:val="0"/>
          <w:sz w:val="24"/>
          <w:highlight w:val="none"/>
        </w:rPr>
      </w:pPr>
      <w:r>
        <w:rPr>
          <w:rFonts w:hint="eastAsia" w:ascii="宋体" w:hAnsi="宋体" w:cs="宋体"/>
          <w:color w:val="auto"/>
          <w:kern w:val="0"/>
          <w:sz w:val="24"/>
          <w:highlight w:val="none"/>
        </w:rPr>
        <w:t>评标委员会将对所有通过初审的投标文件进行详细评审，具体如下：</w:t>
      </w:r>
    </w:p>
    <w:p>
      <w:pPr>
        <w:widowControl/>
        <w:spacing w:line="500" w:lineRule="exact"/>
        <w:ind w:firstLine="420" w:firstLineChars="175"/>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根据评分的细则，评委应对进入详细评审的所有投标文件技术部分进行评分，并分别填写打分表。对某投标人的每一个分值项，逐项去掉各位评委中的</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个最高分和</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个最低分，求剩余专家评分之平均，得到该投标人该分值项的得分。</w:t>
      </w:r>
    </w:p>
    <w:p>
      <w:pPr>
        <w:widowControl/>
        <w:spacing w:line="500" w:lineRule="exact"/>
        <w:ind w:firstLine="420" w:firstLineChars="175"/>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将投标人每个分值项得分进行汇总，得到该投标人的得分。</w:t>
      </w:r>
    </w:p>
    <w:p>
      <w:pPr>
        <w:widowControl/>
        <w:spacing w:line="500" w:lineRule="exact"/>
        <w:ind w:firstLine="420" w:firstLineChars="175"/>
        <w:jc w:val="left"/>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投标人的各项得分均保留小数点后两位（小数点后第三位四舍五入）。</w:t>
      </w:r>
    </w:p>
    <w:p>
      <w:pPr>
        <w:widowControl/>
        <w:spacing w:line="500" w:lineRule="exact"/>
        <w:ind w:firstLine="422" w:firstLineChars="175"/>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一</w:t>
      </w:r>
      <w:r>
        <w:rPr>
          <w:rFonts w:hint="eastAsia" w:ascii="宋体" w:hAnsi="宋体" w:cs="宋体"/>
          <w:b/>
          <w:bCs/>
          <w:color w:val="auto"/>
          <w:kern w:val="0"/>
          <w:sz w:val="24"/>
          <w:highlight w:val="none"/>
        </w:rPr>
        <w:t>）技术部分指标如下：</w:t>
      </w:r>
    </w:p>
    <w:tbl>
      <w:tblPr>
        <w:tblStyle w:val="19"/>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7"/>
        <w:gridCol w:w="86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rPr>
        <w:tc>
          <w:tcPr>
            <w:tcW w:w="1367" w:type="dxa"/>
            <w:tcMar>
              <w:left w:w="75" w:type="dxa"/>
            </w:tcMar>
            <w:vAlign w:val="center"/>
          </w:tcPr>
          <w:p>
            <w:pPr>
              <w:snapToGrid w:val="0"/>
              <w:jc w:val="center"/>
              <w:rPr>
                <w:b/>
                <w:bCs/>
                <w:color w:val="000000"/>
                <w:kern w:val="0"/>
                <w:szCs w:val="21"/>
                <w:highlight w:val="none"/>
              </w:rPr>
            </w:pPr>
            <w:r>
              <w:rPr>
                <w:b/>
                <w:bCs/>
                <w:color w:val="000000"/>
                <w:kern w:val="0"/>
                <w:szCs w:val="21"/>
                <w:highlight w:val="none"/>
              </w:rPr>
              <w:t>评分因素</w:t>
            </w:r>
          </w:p>
        </w:tc>
        <w:tc>
          <w:tcPr>
            <w:tcW w:w="868" w:type="dxa"/>
            <w:vAlign w:val="center"/>
          </w:tcPr>
          <w:p>
            <w:pPr>
              <w:snapToGrid w:val="0"/>
              <w:jc w:val="center"/>
              <w:rPr>
                <w:b/>
                <w:bCs/>
                <w:color w:val="000000"/>
                <w:kern w:val="0"/>
                <w:szCs w:val="21"/>
                <w:highlight w:val="none"/>
              </w:rPr>
            </w:pPr>
            <w:r>
              <w:rPr>
                <w:rFonts w:hint="eastAsia"/>
                <w:b/>
                <w:bCs/>
                <w:color w:val="000000"/>
                <w:kern w:val="0"/>
                <w:szCs w:val="21"/>
                <w:highlight w:val="none"/>
              </w:rPr>
              <w:t>评分因素权重分值</w:t>
            </w:r>
          </w:p>
        </w:tc>
        <w:tc>
          <w:tcPr>
            <w:tcW w:w="7602" w:type="dxa"/>
            <w:vAlign w:val="center"/>
          </w:tcPr>
          <w:p>
            <w:pPr>
              <w:snapToGrid w:val="0"/>
              <w:jc w:val="center"/>
              <w:rPr>
                <w:b/>
                <w:bCs/>
                <w:color w:val="000000"/>
                <w:kern w:val="0"/>
                <w:szCs w:val="21"/>
                <w:highlight w:val="none"/>
              </w:rPr>
            </w:pPr>
            <w:r>
              <w:rPr>
                <w:b/>
                <w:bCs/>
                <w:color w:val="000000"/>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rPr>
        <w:tc>
          <w:tcPr>
            <w:tcW w:w="1367" w:type="dxa"/>
            <w:tcMar>
              <w:left w:w="75" w:type="dxa"/>
            </w:tcMar>
            <w:vAlign w:val="center"/>
          </w:tcPr>
          <w:p>
            <w:pPr>
              <w:widowControl/>
              <w:jc w:val="center"/>
              <w:rPr>
                <w:color w:val="000000"/>
                <w:szCs w:val="21"/>
                <w:highlight w:val="none"/>
              </w:rPr>
            </w:pPr>
            <w:r>
              <w:rPr>
                <w:rFonts w:hint="eastAsia"/>
                <w:color w:val="000000"/>
                <w:szCs w:val="21"/>
                <w:highlight w:val="none"/>
              </w:rPr>
              <w:t>投标人资质</w:t>
            </w:r>
          </w:p>
        </w:tc>
        <w:tc>
          <w:tcPr>
            <w:tcW w:w="868" w:type="dxa"/>
            <w:vAlign w:val="center"/>
          </w:tcPr>
          <w:p>
            <w:pPr>
              <w:widowControl/>
              <w:snapToGrid w:val="0"/>
              <w:jc w:val="center"/>
              <w:rPr>
                <w:rFonts w:hint="eastAsia"/>
                <w:color w:val="000000"/>
                <w:kern w:val="0"/>
                <w:szCs w:val="21"/>
                <w:highlight w:val="none"/>
              </w:rPr>
            </w:pPr>
            <w:r>
              <w:rPr>
                <w:rFonts w:hint="eastAsia"/>
                <w:color w:val="000000"/>
                <w:kern w:val="0"/>
                <w:szCs w:val="21"/>
                <w:highlight w:val="none"/>
                <w:lang w:val="en-US" w:eastAsia="zh-CN"/>
              </w:rPr>
              <w:t>0-</w:t>
            </w:r>
            <w:r>
              <w:rPr>
                <w:rFonts w:hint="eastAsia"/>
                <w:color w:val="000000"/>
                <w:kern w:val="0"/>
                <w:szCs w:val="21"/>
                <w:highlight w:val="none"/>
              </w:rPr>
              <w:t>6分</w:t>
            </w:r>
          </w:p>
        </w:tc>
        <w:tc>
          <w:tcPr>
            <w:tcW w:w="7602" w:type="dxa"/>
            <w:vAlign w:val="center"/>
          </w:tcPr>
          <w:p>
            <w:pPr>
              <w:adjustRightInd w:val="0"/>
              <w:snapToGrid w:val="0"/>
              <w:spacing w:line="360" w:lineRule="auto"/>
              <w:rPr>
                <w:rFonts w:hint="eastAsia"/>
                <w:highlight w:val="none"/>
              </w:rPr>
            </w:pPr>
            <w:r>
              <w:rPr>
                <w:rFonts w:hint="eastAsia"/>
                <w:highlight w:val="none"/>
                <w:lang w:val="en-US" w:eastAsia="zh-CN"/>
              </w:rPr>
              <w:t>1、</w:t>
            </w:r>
            <w:r>
              <w:rPr>
                <w:rFonts w:hint="eastAsia"/>
                <w:highlight w:val="none"/>
              </w:rPr>
              <w:t>投标人具备电子与智能化工程专业承包二级</w:t>
            </w:r>
            <w:r>
              <w:rPr>
                <w:rFonts w:hint="eastAsia"/>
                <w:highlight w:val="none"/>
                <w:lang w:val="en-US" w:eastAsia="zh-CN"/>
              </w:rPr>
              <w:t>及以上</w:t>
            </w:r>
            <w:r>
              <w:rPr>
                <w:rFonts w:hint="eastAsia"/>
                <w:highlight w:val="none"/>
              </w:rPr>
              <w:t>资质证书的，</w:t>
            </w:r>
          </w:p>
          <w:p>
            <w:pPr>
              <w:adjustRightInd w:val="0"/>
              <w:snapToGrid w:val="0"/>
              <w:spacing w:line="360" w:lineRule="auto"/>
              <w:rPr>
                <w:rFonts w:hint="eastAsia"/>
                <w:highlight w:val="none"/>
              </w:rPr>
            </w:pPr>
            <w:r>
              <w:rPr>
                <w:rFonts w:hint="eastAsia"/>
                <w:highlight w:val="none"/>
                <w:lang w:val="en-US" w:eastAsia="zh-CN"/>
              </w:rPr>
              <w:t>2、</w:t>
            </w:r>
            <w:r>
              <w:rPr>
                <w:rFonts w:hint="eastAsia"/>
                <w:highlight w:val="none"/>
              </w:rPr>
              <w:t>投标人具备</w:t>
            </w:r>
            <w:r>
              <w:rPr>
                <w:rFonts w:hint="eastAsia"/>
                <w:highlight w:val="none"/>
                <w:lang w:val="en-US" w:eastAsia="zh-CN"/>
              </w:rPr>
              <w:t>有效的</w:t>
            </w:r>
            <w:r>
              <w:rPr>
                <w:rFonts w:hint="eastAsia"/>
                <w:highlight w:val="none"/>
              </w:rPr>
              <w:t>安全生产许可证，</w:t>
            </w:r>
          </w:p>
          <w:p>
            <w:pPr>
              <w:adjustRightInd w:val="0"/>
              <w:snapToGrid w:val="0"/>
              <w:spacing w:line="360" w:lineRule="auto"/>
              <w:rPr>
                <w:rFonts w:hint="eastAsia"/>
                <w:highlight w:val="none"/>
              </w:rPr>
            </w:pPr>
            <w:r>
              <w:rPr>
                <w:rFonts w:hint="eastAsia"/>
                <w:highlight w:val="none"/>
                <w:lang w:val="en-US" w:eastAsia="zh-CN"/>
              </w:rPr>
              <w:t>3、</w:t>
            </w:r>
            <w:r>
              <w:rPr>
                <w:rFonts w:hint="eastAsia"/>
                <w:highlight w:val="none"/>
              </w:rPr>
              <w:t>投标人具备安全技术防范资质等级证书</w:t>
            </w:r>
            <w:r>
              <w:rPr>
                <w:rFonts w:hint="eastAsia"/>
                <w:highlight w:val="none"/>
                <w:lang w:val="en-US" w:eastAsia="zh-CN"/>
              </w:rPr>
              <w:t>一</w:t>
            </w:r>
            <w:r>
              <w:rPr>
                <w:rFonts w:hint="eastAsia"/>
                <w:highlight w:val="none"/>
              </w:rPr>
              <w:t>级资质证书的，</w:t>
            </w:r>
          </w:p>
          <w:p>
            <w:pPr>
              <w:adjustRightInd w:val="0"/>
              <w:snapToGrid w:val="0"/>
              <w:spacing w:line="360" w:lineRule="auto"/>
              <w:rPr>
                <w:rFonts w:hint="default"/>
                <w:highlight w:val="none"/>
                <w:lang w:val="en-US" w:eastAsia="zh-CN"/>
              </w:rPr>
            </w:pPr>
            <w:r>
              <w:rPr>
                <w:rFonts w:hint="eastAsia"/>
                <w:highlight w:val="none"/>
                <w:lang w:val="en-US" w:eastAsia="zh-CN"/>
              </w:rPr>
              <w:t>4、</w:t>
            </w:r>
            <w:r>
              <w:rPr>
                <w:rFonts w:hint="eastAsia"/>
                <w:highlight w:val="none"/>
              </w:rPr>
              <w:t>投标人具备</w:t>
            </w:r>
            <w:r>
              <w:rPr>
                <w:rFonts w:hint="eastAsia"/>
                <w:highlight w:val="none"/>
                <w:lang w:val="en-US" w:eastAsia="zh-CN"/>
              </w:rPr>
              <w:t xml:space="preserve">  ISO27001信息安全管理体系认证   </w:t>
            </w:r>
          </w:p>
          <w:p>
            <w:pPr>
              <w:adjustRightInd w:val="0"/>
              <w:snapToGrid w:val="0"/>
              <w:spacing w:line="360" w:lineRule="auto"/>
              <w:rPr>
                <w:rFonts w:hint="default"/>
                <w:highlight w:val="none"/>
                <w:lang w:val="en-US" w:eastAsia="zh-CN"/>
              </w:rPr>
            </w:pPr>
            <w:r>
              <w:rPr>
                <w:rFonts w:hint="eastAsia"/>
                <w:highlight w:val="none"/>
                <w:lang w:val="en-US" w:eastAsia="zh-CN"/>
              </w:rPr>
              <w:t xml:space="preserve">5、投标人具有ISO20000信息技术服务管理体系认证 </w:t>
            </w:r>
          </w:p>
          <w:p>
            <w:pPr>
              <w:adjustRightInd w:val="0"/>
              <w:snapToGrid w:val="0"/>
              <w:spacing w:line="360" w:lineRule="auto"/>
              <w:rPr>
                <w:rFonts w:hint="eastAsia"/>
                <w:highlight w:val="none"/>
                <w:lang w:val="en-US" w:eastAsia="zh-CN"/>
              </w:rPr>
            </w:pPr>
            <w:r>
              <w:rPr>
                <w:rFonts w:hint="eastAsia"/>
                <w:highlight w:val="none"/>
                <w:lang w:val="en-US" w:eastAsia="zh-CN"/>
              </w:rPr>
              <w:t>6、投标人具有AAA级信用企业</w:t>
            </w:r>
          </w:p>
          <w:p>
            <w:pPr>
              <w:adjustRightInd w:val="0"/>
              <w:snapToGrid w:val="0"/>
              <w:spacing w:line="360" w:lineRule="auto"/>
              <w:rPr>
                <w:rFonts w:hint="eastAsia"/>
                <w:highlight w:val="none"/>
              </w:rPr>
            </w:pPr>
            <w:r>
              <w:rPr>
                <w:rFonts w:hint="eastAsia"/>
                <w:highlight w:val="none"/>
                <w:lang w:val="en-US" w:eastAsia="zh-CN"/>
              </w:rPr>
              <w:t>以上全部满足得6</w:t>
            </w:r>
            <w:r>
              <w:rPr>
                <w:rFonts w:hint="eastAsia"/>
                <w:highlight w:val="none"/>
              </w:rPr>
              <w:t>分；</w:t>
            </w:r>
            <w:r>
              <w:rPr>
                <w:rFonts w:hint="eastAsia"/>
                <w:highlight w:val="none"/>
                <w:lang w:val="en-US" w:eastAsia="zh-CN"/>
              </w:rPr>
              <w:t>少一项扣2分</w:t>
            </w:r>
            <w:r>
              <w:rPr>
                <w:rFonts w:hint="eastAsia"/>
                <w:highlight w:val="none"/>
              </w:rPr>
              <w:t>。</w:t>
            </w:r>
          </w:p>
          <w:p>
            <w:pPr>
              <w:adjustRightInd w:val="0"/>
              <w:snapToGrid w:val="0"/>
              <w:spacing w:line="360" w:lineRule="auto"/>
              <w:rPr>
                <w:rFonts w:hint="eastAsia"/>
                <w:highlight w:val="none"/>
              </w:rPr>
            </w:pPr>
            <w:r>
              <w:rPr>
                <w:rFonts w:hint="eastAsia"/>
                <w:highlight w:val="none"/>
              </w:rPr>
              <w:t>注：投标文件中须提供证书扫描件作为评审依据</w:t>
            </w:r>
            <w:r>
              <w:rPr>
                <w:rFonts w:hint="eastAsia"/>
                <w:highlight w:val="none"/>
                <w:lang w:eastAsia="zh-CN"/>
              </w:rPr>
              <w:t>，</w:t>
            </w:r>
            <w:r>
              <w:rPr>
                <w:rFonts w:hint="eastAsia"/>
                <w:highlight w:val="none"/>
                <w:lang w:val="en-US" w:eastAsia="zh-CN"/>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rPr>
        <w:tc>
          <w:tcPr>
            <w:tcW w:w="1367" w:type="dxa"/>
            <w:tcMar>
              <w:left w:w="75" w:type="dxa"/>
            </w:tcMar>
            <w:vAlign w:val="center"/>
          </w:tcPr>
          <w:p>
            <w:pPr>
              <w:widowControl/>
              <w:jc w:val="center"/>
              <w:rPr>
                <w:color w:val="000000"/>
                <w:szCs w:val="21"/>
                <w:highlight w:val="none"/>
              </w:rPr>
            </w:pPr>
            <w:r>
              <w:rPr>
                <w:rFonts w:hint="eastAsia"/>
                <w:color w:val="000000"/>
                <w:szCs w:val="21"/>
                <w:highlight w:val="none"/>
              </w:rPr>
              <w:t>厂商资质</w:t>
            </w:r>
          </w:p>
        </w:tc>
        <w:tc>
          <w:tcPr>
            <w:tcW w:w="868" w:type="dxa"/>
            <w:vAlign w:val="center"/>
          </w:tcPr>
          <w:p>
            <w:pPr>
              <w:widowControl/>
              <w:snapToGrid w:val="0"/>
              <w:jc w:val="center"/>
              <w:rPr>
                <w:color w:val="000000"/>
                <w:kern w:val="0"/>
                <w:szCs w:val="21"/>
                <w:highlight w:val="none"/>
              </w:rPr>
            </w:pPr>
            <w:r>
              <w:rPr>
                <w:rFonts w:hint="eastAsia"/>
                <w:color w:val="000000"/>
                <w:kern w:val="0"/>
                <w:szCs w:val="21"/>
                <w:highlight w:val="none"/>
                <w:lang w:val="en-US" w:eastAsia="zh-CN"/>
              </w:rPr>
              <w:t>0-</w:t>
            </w:r>
            <w:r>
              <w:rPr>
                <w:rFonts w:hint="eastAsia"/>
                <w:color w:val="000000"/>
                <w:kern w:val="0"/>
                <w:szCs w:val="21"/>
                <w:highlight w:val="none"/>
              </w:rPr>
              <w:t>3分</w:t>
            </w:r>
          </w:p>
        </w:tc>
        <w:tc>
          <w:tcPr>
            <w:tcW w:w="7602" w:type="dxa"/>
            <w:vAlign w:val="center"/>
          </w:tcPr>
          <w:p>
            <w:pPr>
              <w:adjustRightInd w:val="0"/>
              <w:snapToGrid w:val="0"/>
              <w:spacing w:line="360" w:lineRule="auto"/>
              <w:rPr>
                <w:rFonts w:ascii="宋体" w:hAnsi="宋体" w:cs="宋体"/>
                <w:b/>
                <w:color w:val="000000"/>
                <w:szCs w:val="21"/>
                <w:highlight w:val="none"/>
              </w:rPr>
            </w:pPr>
            <w:r>
              <w:rPr>
                <w:rFonts w:hint="eastAsia" w:ascii="宋体" w:hAnsi="宋体" w:cs="宋体"/>
                <w:color w:val="000000"/>
                <w:szCs w:val="21"/>
                <w:highlight w:val="none"/>
              </w:rPr>
              <w:t>投标人投标</w:t>
            </w:r>
            <w:r>
              <w:rPr>
                <w:rFonts w:hint="eastAsia" w:ascii="宋体" w:hAnsi="宋体" w:cs="宋体"/>
                <w:color w:val="000000"/>
                <w:szCs w:val="21"/>
                <w:highlight w:val="none"/>
                <w:lang w:eastAsia="zh-CN"/>
              </w:rPr>
              <w:t>车辆识别设备</w:t>
            </w:r>
            <w:r>
              <w:rPr>
                <w:rFonts w:hint="eastAsia" w:ascii="宋体" w:hAnsi="宋体" w:cs="宋体"/>
                <w:color w:val="000000"/>
                <w:szCs w:val="21"/>
                <w:highlight w:val="none"/>
              </w:rPr>
              <w:t>品牌的生产厂商具有设计、施工、维修三级资格证书；质量体系认证证书ISO9001:2015证书；环境管理体系认证证书ISO14001:2015证书，每提供1个证书得1分。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4" w:hRule="atLeast"/>
        </w:trPr>
        <w:tc>
          <w:tcPr>
            <w:tcW w:w="1367" w:type="dxa"/>
            <w:tcMar>
              <w:left w:w="75" w:type="dxa"/>
            </w:tcMar>
            <w:vAlign w:val="center"/>
          </w:tcPr>
          <w:p>
            <w:pPr>
              <w:adjustRightInd w:val="0"/>
              <w:snapToGrid w:val="0"/>
              <w:spacing w:line="0" w:lineRule="atLeast"/>
              <w:jc w:val="center"/>
              <w:rPr>
                <w:rFonts w:cs="宋体"/>
                <w:color w:val="000000"/>
                <w:szCs w:val="21"/>
                <w:highlight w:val="none"/>
              </w:rPr>
            </w:pPr>
            <w:r>
              <w:rPr>
                <w:rFonts w:hint="eastAsia"/>
                <w:color w:val="000000"/>
                <w:szCs w:val="21"/>
                <w:highlight w:val="none"/>
              </w:rPr>
              <w:t>投标人业绩</w:t>
            </w:r>
          </w:p>
        </w:tc>
        <w:tc>
          <w:tcPr>
            <w:tcW w:w="868" w:type="dxa"/>
            <w:vAlign w:val="center"/>
          </w:tcPr>
          <w:p>
            <w:pPr>
              <w:widowControl/>
              <w:snapToGrid w:val="0"/>
              <w:jc w:val="center"/>
              <w:rPr>
                <w:rFonts w:hint="eastAsia"/>
                <w:color w:val="000000"/>
                <w:kern w:val="0"/>
                <w:szCs w:val="21"/>
                <w:highlight w:val="none"/>
              </w:rPr>
            </w:pPr>
            <w:r>
              <w:rPr>
                <w:rFonts w:hint="eastAsia"/>
                <w:color w:val="000000"/>
                <w:kern w:val="0"/>
                <w:szCs w:val="21"/>
                <w:highlight w:val="none"/>
                <w:lang w:val="en-US" w:eastAsia="zh-CN"/>
              </w:rPr>
              <w:t>0-4</w:t>
            </w:r>
            <w:r>
              <w:rPr>
                <w:rFonts w:hint="eastAsia"/>
                <w:color w:val="000000"/>
                <w:kern w:val="0"/>
                <w:szCs w:val="21"/>
                <w:highlight w:val="none"/>
              </w:rPr>
              <w:t>分</w:t>
            </w:r>
          </w:p>
          <w:p>
            <w:pPr>
              <w:widowControl/>
              <w:snapToGrid w:val="0"/>
              <w:jc w:val="center"/>
              <w:rPr>
                <w:rFonts w:hint="eastAsia" w:eastAsia="宋体"/>
                <w:color w:val="000000"/>
                <w:kern w:val="0"/>
                <w:szCs w:val="21"/>
                <w:highlight w:val="none"/>
                <w:lang w:eastAsia="zh-CN"/>
              </w:rPr>
            </w:pPr>
          </w:p>
        </w:tc>
        <w:tc>
          <w:tcPr>
            <w:tcW w:w="7602" w:type="dxa"/>
            <w:vAlign w:val="center"/>
          </w:tcPr>
          <w:p>
            <w:pPr>
              <w:adjustRightInd w:val="0"/>
              <w:snapToGrid w:val="0"/>
              <w:spacing w:line="360" w:lineRule="auto"/>
              <w:jc w:val="left"/>
              <w:rPr>
                <w:rFonts w:hint="eastAsia" w:ascii="宋体" w:hAnsi="宋体" w:cs="楷体"/>
                <w:bCs/>
                <w:snapToGrid w:val="0"/>
                <w:color w:val="000000"/>
                <w:kern w:val="0"/>
                <w:szCs w:val="21"/>
                <w:highlight w:val="none"/>
              </w:rPr>
            </w:pPr>
            <w:r>
              <w:rPr>
                <w:rFonts w:hint="eastAsia" w:ascii="宋体" w:hAnsi="宋体" w:cs="楷体"/>
                <w:bCs/>
                <w:snapToGrid w:val="0"/>
                <w:color w:val="000000"/>
                <w:kern w:val="0"/>
                <w:szCs w:val="21"/>
                <w:highlight w:val="none"/>
              </w:rPr>
              <w:t>2</w:t>
            </w:r>
            <w:r>
              <w:rPr>
                <w:rFonts w:hint="eastAsia" w:ascii="宋体" w:hAnsi="宋体" w:cs="楷体"/>
                <w:bCs/>
                <w:snapToGrid w:val="0"/>
                <w:color w:val="auto"/>
                <w:kern w:val="0"/>
                <w:szCs w:val="21"/>
                <w:highlight w:val="none"/>
              </w:rPr>
              <w:t>018年1月1日以来（以合同签订</w:t>
            </w:r>
            <w:r>
              <w:rPr>
                <w:rFonts w:hint="eastAsia" w:ascii="宋体" w:hAnsi="宋体" w:cs="宋体"/>
                <w:color w:val="auto"/>
                <w:szCs w:val="21"/>
                <w:highlight w:val="none"/>
              </w:rPr>
              <w:t>时间</w:t>
            </w:r>
            <w:r>
              <w:rPr>
                <w:rFonts w:hint="eastAsia" w:ascii="宋体" w:hAnsi="宋体" w:cs="楷体"/>
                <w:bCs/>
                <w:snapToGrid w:val="0"/>
                <w:color w:val="auto"/>
                <w:kern w:val="0"/>
                <w:szCs w:val="21"/>
                <w:highlight w:val="none"/>
              </w:rPr>
              <w:t>为准），投标人</w:t>
            </w:r>
            <w:r>
              <w:rPr>
                <w:rFonts w:hint="eastAsia" w:ascii="宋体" w:hAnsi="宋体" w:cs="楷体"/>
                <w:bCs/>
                <w:snapToGrid w:val="0"/>
                <w:color w:val="auto"/>
                <w:kern w:val="0"/>
                <w:szCs w:val="21"/>
                <w:highlight w:val="none"/>
                <w:lang w:eastAsia="zh-CN"/>
              </w:rPr>
              <w:t>具有</w:t>
            </w:r>
            <w:r>
              <w:rPr>
                <w:rFonts w:hint="eastAsia"/>
                <w:color w:val="auto"/>
                <w:szCs w:val="21"/>
                <w:highlight w:val="none"/>
              </w:rPr>
              <w:t>单个合同不少于60万元的类似项目业绩</w:t>
            </w:r>
            <w:r>
              <w:rPr>
                <w:rFonts w:hint="eastAsia"/>
                <w:color w:val="auto"/>
                <w:szCs w:val="21"/>
                <w:highlight w:val="none"/>
                <w:lang w:eastAsia="zh-CN"/>
              </w:rPr>
              <w:t>（须包</w:t>
            </w:r>
            <w:r>
              <w:rPr>
                <w:rFonts w:hint="eastAsia"/>
                <w:color w:val="auto"/>
                <w:szCs w:val="21"/>
                <w:highlight w:val="none"/>
              </w:rPr>
              <w:t>含门禁智能化</w:t>
            </w:r>
            <w:r>
              <w:rPr>
                <w:rFonts w:hint="eastAsia"/>
                <w:color w:val="auto"/>
                <w:szCs w:val="21"/>
                <w:highlight w:val="none"/>
                <w:lang w:eastAsia="zh-CN"/>
              </w:rPr>
              <w:t>内容），</w:t>
            </w:r>
            <w:r>
              <w:rPr>
                <w:rFonts w:hint="eastAsia" w:ascii="宋体" w:hAnsi="宋体" w:cs="宋体"/>
                <w:color w:val="auto"/>
                <w:szCs w:val="21"/>
                <w:highlight w:val="none"/>
              </w:rPr>
              <w:t>每个得2分。</w:t>
            </w:r>
          </w:p>
          <w:p>
            <w:pPr>
              <w:adjustRightInd w:val="0"/>
              <w:snapToGrid w:val="0"/>
              <w:spacing w:line="360" w:lineRule="auto"/>
              <w:jc w:val="left"/>
              <w:rPr>
                <w:rFonts w:hint="eastAsia" w:cs="宋体"/>
                <w:b/>
                <w:color w:val="000000"/>
                <w:szCs w:val="21"/>
                <w:highlight w:val="none"/>
              </w:rPr>
            </w:pPr>
            <w:r>
              <w:rPr>
                <w:rFonts w:hint="eastAsia" w:cs="宋体"/>
                <w:b/>
                <w:color w:val="000000"/>
                <w:szCs w:val="21"/>
                <w:highlight w:val="none"/>
              </w:rPr>
              <w:t>注：1）本项满分</w:t>
            </w:r>
            <w:r>
              <w:rPr>
                <w:rFonts w:hint="eastAsia" w:cs="宋体"/>
                <w:b/>
                <w:color w:val="000000"/>
                <w:szCs w:val="21"/>
                <w:highlight w:val="none"/>
                <w:lang w:val="en-US" w:eastAsia="zh-CN"/>
              </w:rPr>
              <w:t>4</w:t>
            </w:r>
            <w:r>
              <w:rPr>
                <w:rFonts w:hint="eastAsia" w:cs="宋体"/>
                <w:b/>
                <w:color w:val="000000"/>
                <w:szCs w:val="21"/>
                <w:highlight w:val="none"/>
              </w:rPr>
              <w:t>分，投标人资格审查业绩不得分，同一业绩仅按最高得分计取一次，本项仅计取</w:t>
            </w:r>
            <w:r>
              <w:rPr>
                <w:rFonts w:hint="eastAsia" w:cs="宋体"/>
                <w:b/>
                <w:color w:val="000000"/>
                <w:szCs w:val="21"/>
                <w:highlight w:val="none"/>
                <w:lang w:val="en-US" w:eastAsia="zh-CN"/>
              </w:rPr>
              <w:t>二</w:t>
            </w:r>
            <w:r>
              <w:rPr>
                <w:rFonts w:hint="eastAsia" w:cs="宋体"/>
                <w:b/>
                <w:color w:val="000000"/>
                <w:szCs w:val="21"/>
                <w:highlight w:val="none"/>
              </w:rPr>
              <w:t>个业绩评分；</w:t>
            </w:r>
          </w:p>
          <w:p>
            <w:pPr>
              <w:adjustRightInd w:val="0"/>
              <w:snapToGrid w:val="0"/>
              <w:spacing w:line="360" w:lineRule="auto"/>
              <w:rPr>
                <w:rFonts w:hint="eastAsia" w:cs="宋体"/>
                <w:color w:val="000000"/>
                <w:szCs w:val="21"/>
                <w:highlight w:val="none"/>
              </w:rPr>
            </w:pPr>
            <w:r>
              <w:rPr>
                <w:rFonts w:hint="eastAsia" w:cs="宋体"/>
                <w:b/>
                <w:color w:val="000000"/>
                <w:szCs w:val="21"/>
                <w:highlight w:val="none"/>
              </w:rPr>
              <w:t>2）业绩证明材料</w:t>
            </w:r>
            <w:r>
              <w:rPr>
                <w:rFonts w:hint="eastAsia"/>
                <w:b/>
                <w:snapToGrid w:val="0"/>
                <w:color w:val="000000"/>
                <w:kern w:val="0"/>
                <w:szCs w:val="21"/>
                <w:highlight w:val="none"/>
              </w:rPr>
              <w:t>可提供包含甲乙方、项目名称、合同总金额、合同签订时间、合同供货范围、合同签字盖章页等关键内容的关键页的扫描件或</w:t>
            </w:r>
            <w:r>
              <w:rPr>
                <w:rFonts w:hint="eastAsia"/>
                <w:b/>
                <w:color w:val="000000"/>
                <w:kern w:val="0"/>
                <w:szCs w:val="21"/>
                <w:highlight w:val="none"/>
              </w:rPr>
              <w:t>供货完毕并验收合格的相关证明文件（如验收证书或买方开具的证明等），，</w:t>
            </w:r>
            <w:r>
              <w:rPr>
                <w:rFonts w:hint="eastAsia"/>
                <w:b/>
                <w:snapToGrid w:val="0"/>
                <w:color w:val="000000"/>
                <w:kern w:val="0"/>
                <w:szCs w:val="21"/>
                <w:highlight w:val="none"/>
              </w:rPr>
              <w:t>如均未能明确反映出招标文件所要求的内容的（如合同总金额等），应另附买方（或合同甲方）出具的证明资料予以明确说明。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1367" w:type="dxa"/>
            <w:vMerge w:val="restart"/>
            <w:tcMar>
              <w:left w:w="75" w:type="dxa"/>
            </w:tcMar>
            <w:vAlign w:val="center"/>
          </w:tcPr>
          <w:p>
            <w:pPr>
              <w:adjustRightInd w:val="0"/>
              <w:snapToGrid w:val="0"/>
              <w:spacing w:line="0" w:lineRule="atLeast"/>
              <w:jc w:val="center"/>
              <w:rPr>
                <w:rFonts w:hint="eastAsia" w:ascii="宋体" w:hAnsi="宋体" w:cs="宋体"/>
                <w:b/>
                <w:bCs/>
                <w:color w:val="000000"/>
                <w:szCs w:val="21"/>
                <w:highlight w:val="none"/>
              </w:rPr>
            </w:pPr>
            <w:r>
              <w:rPr>
                <w:rFonts w:hint="eastAsia"/>
                <w:color w:val="000000"/>
                <w:szCs w:val="21"/>
                <w:highlight w:val="none"/>
              </w:rPr>
              <w:t>项目经理业绩</w:t>
            </w:r>
          </w:p>
        </w:tc>
        <w:tc>
          <w:tcPr>
            <w:tcW w:w="868" w:type="dxa"/>
            <w:vMerge w:val="restart"/>
            <w:vAlign w:val="center"/>
          </w:tcPr>
          <w:p>
            <w:pPr>
              <w:widowControl/>
              <w:snapToGrid w:val="0"/>
              <w:jc w:val="center"/>
              <w:rPr>
                <w:rFonts w:hint="eastAsia"/>
                <w:color w:val="000000"/>
                <w:kern w:val="0"/>
                <w:szCs w:val="21"/>
                <w:highlight w:val="none"/>
              </w:rPr>
            </w:pPr>
            <w:r>
              <w:rPr>
                <w:rFonts w:hint="eastAsia"/>
                <w:color w:val="000000"/>
                <w:kern w:val="0"/>
                <w:szCs w:val="21"/>
                <w:highlight w:val="none"/>
                <w:lang w:val="en-US" w:eastAsia="zh-CN"/>
              </w:rPr>
              <w:t>0-</w:t>
            </w:r>
            <w:r>
              <w:rPr>
                <w:rFonts w:hint="eastAsia"/>
                <w:color w:val="000000"/>
                <w:kern w:val="0"/>
                <w:szCs w:val="21"/>
                <w:highlight w:val="none"/>
              </w:rPr>
              <w:t>3分</w:t>
            </w:r>
          </w:p>
        </w:tc>
        <w:tc>
          <w:tcPr>
            <w:tcW w:w="7602" w:type="dxa"/>
            <w:vMerge w:val="restart"/>
            <w:vAlign w:val="center"/>
          </w:tcPr>
          <w:p>
            <w:pPr>
              <w:adjustRightInd w:val="0"/>
              <w:snapToGrid w:val="0"/>
              <w:spacing w:line="360" w:lineRule="auto"/>
              <w:jc w:val="left"/>
              <w:rPr>
                <w:rFonts w:hint="eastAsia" w:ascii="宋体" w:hAnsi="宋体" w:cs="宋体"/>
                <w:b/>
                <w:color w:val="000000"/>
                <w:szCs w:val="21"/>
                <w:highlight w:val="none"/>
              </w:rPr>
            </w:pPr>
            <w:r>
              <w:rPr>
                <w:rFonts w:hint="eastAsia" w:ascii="宋体" w:hAnsi="宋体" w:cs="楷体"/>
                <w:bCs/>
                <w:snapToGrid w:val="0"/>
                <w:color w:val="000000"/>
                <w:kern w:val="0"/>
                <w:szCs w:val="21"/>
                <w:highlight w:val="none"/>
              </w:rPr>
              <w:t>2018年1月1日以来（以合同签订</w:t>
            </w:r>
            <w:r>
              <w:rPr>
                <w:rFonts w:hint="eastAsia" w:ascii="宋体" w:hAnsi="宋体" w:cs="宋体"/>
                <w:color w:val="000000"/>
                <w:szCs w:val="21"/>
                <w:highlight w:val="none"/>
              </w:rPr>
              <w:t>时间</w:t>
            </w:r>
            <w:r>
              <w:rPr>
                <w:rFonts w:hint="eastAsia" w:ascii="宋体" w:hAnsi="宋体" w:cs="楷体"/>
                <w:bCs/>
                <w:snapToGrid w:val="0"/>
                <w:color w:val="000000"/>
                <w:kern w:val="0"/>
                <w:szCs w:val="21"/>
                <w:highlight w:val="none"/>
              </w:rPr>
              <w:t>为准），</w:t>
            </w:r>
            <w:r>
              <w:rPr>
                <w:rFonts w:hint="eastAsia" w:ascii="宋体" w:hAnsi="宋体" w:cs="宋体"/>
                <w:color w:val="000000"/>
                <w:szCs w:val="21"/>
                <w:highlight w:val="none"/>
              </w:rPr>
              <w:t>拟派</w:t>
            </w:r>
            <w:r>
              <w:rPr>
                <w:rFonts w:hint="eastAsia" w:ascii="宋体" w:hAnsi="宋体"/>
                <w:color w:val="000000"/>
                <w:szCs w:val="21"/>
                <w:highlight w:val="none"/>
              </w:rPr>
              <w:t>项目经理</w:t>
            </w:r>
            <w:r>
              <w:rPr>
                <w:rFonts w:hint="eastAsia" w:ascii="宋体" w:hAnsi="宋体" w:cs="宋体"/>
                <w:color w:val="000000"/>
                <w:szCs w:val="21"/>
                <w:highlight w:val="none"/>
              </w:rPr>
              <w:t>具有信息化或智能化项目业绩，且单个合同总金额不少于60万元的，每个得1分，满分3分。</w:t>
            </w:r>
          </w:p>
          <w:p>
            <w:pPr>
              <w:adjustRightInd w:val="0"/>
              <w:snapToGrid w:val="0"/>
              <w:spacing w:line="360" w:lineRule="auto"/>
              <w:jc w:val="left"/>
              <w:rPr>
                <w:rFonts w:hint="eastAsia" w:cs="宋体"/>
                <w:b/>
                <w:color w:val="000000"/>
                <w:szCs w:val="21"/>
                <w:highlight w:val="none"/>
              </w:rPr>
            </w:pPr>
            <w:r>
              <w:rPr>
                <w:rFonts w:hint="eastAsia" w:cs="宋体"/>
                <w:b/>
                <w:color w:val="000000"/>
                <w:szCs w:val="21"/>
                <w:highlight w:val="none"/>
              </w:rPr>
              <w:t>注：1）本项满分3分，资格审查业绩不得分，</w:t>
            </w:r>
            <w:r>
              <w:rPr>
                <w:rFonts w:hint="eastAsia" w:ascii="宋体" w:hAnsi="宋体"/>
                <w:b/>
                <w:color w:val="000000"/>
                <w:szCs w:val="21"/>
                <w:highlight w:val="none"/>
              </w:rPr>
              <w:t>项目经理业绩与投标人业绩不得重复</w:t>
            </w:r>
            <w:r>
              <w:rPr>
                <w:rFonts w:hint="eastAsia" w:cs="宋体"/>
                <w:b/>
                <w:color w:val="000000"/>
                <w:szCs w:val="21"/>
                <w:highlight w:val="none"/>
              </w:rPr>
              <w:t>；</w:t>
            </w:r>
          </w:p>
          <w:p>
            <w:pPr>
              <w:adjustRightInd w:val="0"/>
              <w:snapToGrid w:val="0"/>
              <w:spacing w:line="360" w:lineRule="auto"/>
              <w:jc w:val="left"/>
              <w:rPr>
                <w:rFonts w:hint="eastAsia" w:cs="宋体"/>
                <w:b/>
                <w:color w:val="000000"/>
                <w:szCs w:val="21"/>
                <w:highlight w:val="none"/>
              </w:rPr>
            </w:pPr>
            <w:r>
              <w:rPr>
                <w:rFonts w:hint="eastAsia" w:cs="宋体"/>
                <w:b/>
                <w:color w:val="000000"/>
                <w:szCs w:val="21"/>
                <w:highlight w:val="none"/>
              </w:rPr>
              <w:t>2）同一客户签订的不同项目的业绩视为同一业绩。</w:t>
            </w:r>
          </w:p>
          <w:p>
            <w:pPr>
              <w:adjustRightInd w:val="0"/>
              <w:snapToGrid w:val="0"/>
              <w:spacing w:line="360" w:lineRule="auto"/>
              <w:rPr>
                <w:rFonts w:hint="eastAsia" w:cs="宋体"/>
                <w:b/>
                <w:color w:val="000000"/>
                <w:szCs w:val="21"/>
                <w:highlight w:val="none"/>
              </w:rPr>
            </w:pPr>
            <w:r>
              <w:rPr>
                <w:rFonts w:hint="eastAsia" w:cs="宋体"/>
                <w:b/>
                <w:color w:val="000000"/>
                <w:szCs w:val="21"/>
                <w:highlight w:val="none"/>
              </w:rPr>
              <w:t>3）拟派项目经理须在业绩项目中任职项目经理或者项目负责人；</w:t>
            </w:r>
          </w:p>
          <w:p>
            <w:pPr>
              <w:adjustRightInd w:val="0"/>
              <w:snapToGrid w:val="0"/>
              <w:spacing w:line="360" w:lineRule="auto"/>
              <w:rPr>
                <w:rFonts w:hint="eastAsia" w:cs="宋体"/>
                <w:b/>
                <w:color w:val="000000"/>
                <w:szCs w:val="21"/>
                <w:highlight w:val="none"/>
              </w:rPr>
            </w:pPr>
            <w:r>
              <w:rPr>
                <w:rFonts w:hint="eastAsia" w:cs="宋体"/>
                <w:b/>
                <w:color w:val="000000"/>
                <w:szCs w:val="21"/>
                <w:highlight w:val="none"/>
              </w:rPr>
              <w:t>4)</w:t>
            </w:r>
            <w:r>
              <w:rPr>
                <w:rFonts w:hint="eastAsia"/>
                <w:color w:val="000000"/>
                <w:szCs w:val="21"/>
                <w:highlight w:val="none"/>
              </w:rPr>
              <w:t xml:space="preserve"> </w:t>
            </w:r>
            <w:r>
              <w:rPr>
                <w:rFonts w:hint="eastAsia" w:cs="宋体"/>
                <w:b/>
                <w:color w:val="000000"/>
                <w:szCs w:val="21"/>
                <w:highlight w:val="none"/>
              </w:rPr>
              <w:t>提供投标人所属社保机构出具的拟委任的项目经理</w:t>
            </w:r>
            <w:r>
              <w:rPr>
                <w:rFonts w:hint="eastAsia"/>
                <w:b/>
                <w:color w:val="000000"/>
                <w:szCs w:val="21"/>
                <w:highlight w:val="none"/>
              </w:rPr>
              <w:t>2020年1月1日以来（任意连续六个月）的</w:t>
            </w:r>
            <w:r>
              <w:rPr>
                <w:rFonts w:hint="eastAsia" w:cs="宋体"/>
                <w:b/>
                <w:color w:val="000000"/>
                <w:szCs w:val="21"/>
                <w:highlight w:val="none"/>
              </w:rPr>
              <w:t>社保缴费证明或其他能够证明拟委任的项目经理参加社保的有效证明材料，项目经理的社会保险的缴纳单位应当是投标人或者投标人不具备独立法人资格的分支机构。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1367" w:type="dxa"/>
            <w:vMerge w:val="continue"/>
            <w:tcMar>
              <w:left w:w="75" w:type="dxa"/>
            </w:tcMar>
            <w:vAlign w:val="center"/>
          </w:tcPr>
          <w:p>
            <w:pPr>
              <w:adjustRightInd w:val="0"/>
              <w:snapToGrid w:val="0"/>
              <w:spacing w:line="0" w:lineRule="atLeast"/>
              <w:jc w:val="center"/>
              <w:rPr>
                <w:rFonts w:hint="eastAsia"/>
                <w:color w:val="000000"/>
                <w:szCs w:val="21"/>
                <w:highlight w:val="none"/>
              </w:rPr>
            </w:pPr>
          </w:p>
        </w:tc>
        <w:tc>
          <w:tcPr>
            <w:tcW w:w="868" w:type="dxa"/>
            <w:vMerge w:val="continue"/>
            <w:vAlign w:val="center"/>
          </w:tcPr>
          <w:p>
            <w:pPr>
              <w:widowControl/>
              <w:snapToGrid w:val="0"/>
              <w:jc w:val="center"/>
              <w:rPr>
                <w:rFonts w:hint="eastAsia"/>
                <w:color w:val="000000"/>
                <w:kern w:val="0"/>
                <w:szCs w:val="21"/>
                <w:highlight w:val="none"/>
              </w:rPr>
            </w:pPr>
          </w:p>
        </w:tc>
        <w:tc>
          <w:tcPr>
            <w:tcW w:w="7602" w:type="dxa"/>
            <w:vMerge w:val="continue"/>
            <w:vAlign w:val="center"/>
          </w:tcPr>
          <w:p>
            <w:pPr>
              <w:adjustRightInd w:val="0"/>
              <w:snapToGrid w:val="0"/>
              <w:spacing w:line="360" w:lineRule="auto"/>
              <w:rPr>
                <w:rFonts w:hint="eastAsia"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4" w:hRule="atLeast"/>
        </w:trPr>
        <w:tc>
          <w:tcPr>
            <w:tcW w:w="1367" w:type="dxa"/>
            <w:vMerge w:val="continue"/>
            <w:tcMar>
              <w:left w:w="75" w:type="dxa"/>
            </w:tcMar>
            <w:vAlign w:val="center"/>
          </w:tcPr>
          <w:p>
            <w:pPr>
              <w:adjustRightInd w:val="0"/>
              <w:snapToGrid w:val="0"/>
              <w:spacing w:line="0" w:lineRule="atLeast"/>
              <w:jc w:val="center"/>
              <w:rPr>
                <w:rFonts w:hint="eastAsia"/>
                <w:color w:val="000000"/>
                <w:szCs w:val="21"/>
                <w:highlight w:val="none"/>
              </w:rPr>
            </w:pPr>
          </w:p>
        </w:tc>
        <w:tc>
          <w:tcPr>
            <w:tcW w:w="868" w:type="dxa"/>
            <w:vMerge w:val="continue"/>
            <w:vAlign w:val="center"/>
          </w:tcPr>
          <w:p>
            <w:pPr>
              <w:widowControl/>
              <w:snapToGrid w:val="0"/>
              <w:jc w:val="center"/>
              <w:rPr>
                <w:rFonts w:hint="eastAsia"/>
                <w:color w:val="000000"/>
                <w:kern w:val="0"/>
                <w:szCs w:val="21"/>
                <w:highlight w:val="none"/>
              </w:rPr>
            </w:pPr>
          </w:p>
        </w:tc>
        <w:tc>
          <w:tcPr>
            <w:tcW w:w="7602" w:type="dxa"/>
            <w:vMerge w:val="continue"/>
            <w:vAlign w:val="center"/>
          </w:tcPr>
          <w:p>
            <w:pPr>
              <w:adjustRightInd w:val="0"/>
              <w:snapToGrid w:val="0"/>
              <w:spacing w:line="360" w:lineRule="auto"/>
              <w:rPr>
                <w:rFonts w:hint="eastAsia"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rPr>
        <w:tc>
          <w:tcPr>
            <w:tcW w:w="1367" w:type="dxa"/>
            <w:tcMar>
              <w:left w:w="75" w:type="dxa"/>
            </w:tcMar>
            <w:vAlign w:val="center"/>
          </w:tcPr>
          <w:p>
            <w:pPr>
              <w:adjustRightInd w:val="0"/>
              <w:snapToGrid w:val="0"/>
              <w:jc w:val="center"/>
              <w:rPr>
                <w:rFonts w:hint="eastAsia" w:ascii="宋体" w:hAnsi="宋体" w:cs="宋体"/>
                <w:b/>
                <w:bCs/>
                <w:color w:val="000000"/>
                <w:szCs w:val="21"/>
                <w:highlight w:val="none"/>
              </w:rPr>
            </w:pPr>
            <w:r>
              <w:rPr>
                <w:rFonts w:hint="eastAsia"/>
                <w:color w:val="000000"/>
                <w:szCs w:val="21"/>
                <w:highlight w:val="none"/>
              </w:rPr>
              <w:t>人员资质、资格、认证</w:t>
            </w:r>
          </w:p>
        </w:tc>
        <w:tc>
          <w:tcPr>
            <w:tcW w:w="868" w:type="dxa"/>
            <w:vAlign w:val="center"/>
          </w:tcPr>
          <w:p>
            <w:pPr>
              <w:widowControl/>
              <w:snapToGrid w:val="0"/>
              <w:jc w:val="center"/>
              <w:rPr>
                <w:rFonts w:hint="eastAsia"/>
                <w:highlight w:val="none"/>
              </w:rPr>
            </w:pPr>
            <w:r>
              <w:rPr>
                <w:rFonts w:hint="eastAsia"/>
                <w:color w:val="000000"/>
                <w:kern w:val="0"/>
                <w:szCs w:val="21"/>
                <w:highlight w:val="none"/>
                <w:lang w:val="en-US" w:eastAsia="zh-CN"/>
              </w:rPr>
              <w:t>0-</w:t>
            </w:r>
            <w:r>
              <w:rPr>
                <w:rFonts w:hint="eastAsia"/>
                <w:highlight w:val="none"/>
                <w:lang w:val="en-US" w:eastAsia="zh-CN"/>
              </w:rPr>
              <w:t>4</w:t>
            </w:r>
            <w:r>
              <w:rPr>
                <w:rFonts w:hint="eastAsia"/>
                <w:highlight w:val="none"/>
              </w:rPr>
              <w:t>分</w:t>
            </w:r>
          </w:p>
          <w:p>
            <w:pPr>
              <w:pStyle w:val="13"/>
              <w:rPr>
                <w:rFonts w:hint="eastAsia" w:eastAsia="宋体"/>
                <w:highlight w:val="none"/>
                <w:lang w:eastAsia="zh-CN"/>
              </w:rPr>
            </w:pPr>
          </w:p>
        </w:tc>
        <w:tc>
          <w:tcPr>
            <w:tcW w:w="7602" w:type="dxa"/>
            <w:vAlign w:val="center"/>
          </w:tcPr>
          <w:p>
            <w:pPr>
              <w:rPr>
                <w:rFonts w:hint="default" w:hAnsi="宋体" w:cs="宋体"/>
                <w:kern w:val="0"/>
                <w:szCs w:val="21"/>
                <w:highlight w:val="none"/>
                <w:lang w:val="en-US" w:eastAsia="zh-CN"/>
              </w:rPr>
            </w:pPr>
            <w:r>
              <w:rPr>
                <w:rFonts w:hint="eastAsia" w:hAnsi="宋体" w:cs="宋体"/>
                <w:kern w:val="0"/>
                <w:szCs w:val="21"/>
                <w:highlight w:val="none"/>
                <w:lang w:val="en-US" w:eastAsia="zh-CN"/>
              </w:rPr>
              <w:t>拟派项目经理：具有安全生产B证的得1分；具有安防协会颁发的能力评价中级及以上证书，得1分，具有工程师职称得1分，具有高级工程师职称的得2分</w:t>
            </w:r>
          </w:p>
          <w:p>
            <w:pPr>
              <w:adjustRightInd w:val="0"/>
              <w:snapToGrid w:val="0"/>
              <w:spacing w:line="360" w:lineRule="auto"/>
              <w:jc w:val="left"/>
              <w:rPr>
                <w:rFonts w:hint="eastAsia"/>
                <w:b/>
                <w:color w:val="000000"/>
                <w:szCs w:val="21"/>
                <w:highlight w:val="none"/>
              </w:rPr>
            </w:pPr>
            <w:r>
              <w:rPr>
                <w:rFonts w:hint="eastAsia" w:ascii="宋体" w:hAnsi="宋体"/>
                <w:b/>
                <w:color w:val="000000"/>
                <w:szCs w:val="21"/>
                <w:highlight w:val="none"/>
              </w:rPr>
              <w:t>注：</w:t>
            </w:r>
            <w:r>
              <w:rPr>
                <w:rFonts w:ascii="宋体" w:hAnsi="宋体"/>
                <w:b/>
                <w:color w:val="000000"/>
                <w:szCs w:val="21"/>
                <w:highlight w:val="none"/>
              </w:rPr>
              <w:t>社保证明材料要求：提供投标人所属社保机构出具的拟委任的</w:t>
            </w:r>
            <w:r>
              <w:rPr>
                <w:rFonts w:hint="eastAsia" w:ascii="宋体" w:hAnsi="宋体"/>
                <w:b/>
                <w:color w:val="000000"/>
                <w:szCs w:val="21"/>
                <w:highlight w:val="none"/>
              </w:rPr>
              <w:t>上述</w:t>
            </w:r>
            <w:r>
              <w:rPr>
                <w:rFonts w:ascii="宋体" w:hAnsi="宋体"/>
                <w:b/>
                <w:color w:val="000000"/>
                <w:szCs w:val="21"/>
                <w:highlight w:val="none"/>
              </w:rPr>
              <w:t>人员</w:t>
            </w:r>
            <w:r>
              <w:rPr>
                <w:rFonts w:hint="eastAsia" w:ascii="宋体" w:hAnsi="宋体"/>
                <w:b/>
                <w:color w:val="000000"/>
                <w:szCs w:val="21"/>
                <w:highlight w:val="none"/>
              </w:rPr>
              <w:t>2020年1月1日以来（任意连续三个月）的</w:t>
            </w:r>
            <w:r>
              <w:rPr>
                <w:rFonts w:ascii="宋体" w:hAnsi="宋体"/>
                <w:b/>
                <w:color w:val="000000"/>
                <w:szCs w:val="21"/>
                <w:highlight w:val="none"/>
              </w:rPr>
              <w:t>社保缴费证明或其他能够证明拟委任的</w:t>
            </w:r>
            <w:r>
              <w:rPr>
                <w:rFonts w:hint="eastAsia" w:ascii="宋体" w:hAnsi="宋体"/>
                <w:b/>
                <w:color w:val="000000"/>
                <w:szCs w:val="21"/>
                <w:highlight w:val="none"/>
              </w:rPr>
              <w:t>上述</w:t>
            </w:r>
            <w:r>
              <w:rPr>
                <w:rFonts w:ascii="宋体" w:hAnsi="宋体"/>
                <w:b/>
                <w:color w:val="000000"/>
                <w:szCs w:val="21"/>
                <w:highlight w:val="none"/>
              </w:rPr>
              <w:t>人员参加社保的有效证明材料，</w:t>
            </w:r>
            <w:r>
              <w:rPr>
                <w:rFonts w:hint="eastAsia" w:ascii="宋体" w:hAnsi="宋体"/>
                <w:b/>
                <w:color w:val="000000"/>
                <w:szCs w:val="21"/>
                <w:highlight w:val="none"/>
              </w:rPr>
              <w:t>上述</w:t>
            </w:r>
            <w:r>
              <w:rPr>
                <w:rFonts w:ascii="宋体" w:hAnsi="宋体"/>
                <w:b/>
                <w:color w:val="000000"/>
                <w:szCs w:val="21"/>
                <w:highlight w:val="none"/>
              </w:rPr>
              <w:t>人员的社会保险的缴纳单位应当是投标人或者投标人不具备独立法人资格的分支机构。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0" w:hRule="atLeast"/>
        </w:trPr>
        <w:tc>
          <w:tcPr>
            <w:tcW w:w="1367" w:type="dxa"/>
            <w:tcMar>
              <w:left w:w="75" w:type="dxa"/>
            </w:tcMar>
            <w:vAlign w:val="center"/>
          </w:tcPr>
          <w:p>
            <w:pPr>
              <w:adjustRightInd w:val="0"/>
              <w:snapToGrid w:val="0"/>
              <w:jc w:val="center"/>
              <w:rPr>
                <w:rFonts w:hint="eastAsia" w:ascii="宋体" w:hAnsi="宋体" w:cs="宋体"/>
                <w:b/>
                <w:bCs/>
                <w:color w:val="000000"/>
                <w:szCs w:val="21"/>
                <w:highlight w:val="none"/>
              </w:rPr>
            </w:pPr>
            <w:r>
              <w:rPr>
                <w:rFonts w:hint="eastAsia"/>
                <w:color w:val="000000"/>
                <w:szCs w:val="21"/>
                <w:highlight w:val="none"/>
              </w:rPr>
              <w:t>技术评审</w:t>
            </w:r>
          </w:p>
        </w:tc>
        <w:tc>
          <w:tcPr>
            <w:tcW w:w="868" w:type="dxa"/>
            <w:vAlign w:val="center"/>
          </w:tcPr>
          <w:p>
            <w:pPr>
              <w:widowControl/>
              <w:snapToGrid w:val="0"/>
              <w:jc w:val="center"/>
              <w:rPr>
                <w:rFonts w:hint="eastAsia"/>
                <w:color w:val="000000"/>
                <w:kern w:val="0"/>
                <w:szCs w:val="21"/>
                <w:highlight w:val="none"/>
              </w:rPr>
            </w:pPr>
            <w:r>
              <w:rPr>
                <w:rFonts w:hint="eastAsia"/>
                <w:color w:val="000000"/>
                <w:kern w:val="0"/>
                <w:szCs w:val="21"/>
                <w:highlight w:val="none"/>
                <w:lang w:val="en-US" w:eastAsia="zh-CN"/>
              </w:rPr>
              <w:t>0-</w:t>
            </w:r>
            <w:r>
              <w:rPr>
                <w:rFonts w:hint="eastAsia"/>
                <w:color w:val="000000"/>
                <w:kern w:val="0"/>
                <w:szCs w:val="21"/>
                <w:highlight w:val="none"/>
              </w:rPr>
              <w:t>20分</w:t>
            </w:r>
          </w:p>
        </w:tc>
        <w:tc>
          <w:tcPr>
            <w:tcW w:w="7602" w:type="dxa"/>
            <w:vAlign w:val="center"/>
          </w:tcPr>
          <w:p>
            <w:pPr>
              <w:widowControl/>
              <w:spacing w:line="360" w:lineRule="auto"/>
              <w:jc w:val="left"/>
              <w:rPr>
                <w:rFonts w:hint="eastAsia" w:ascii="宋体" w:hAnsi="宋体" w:cs="宋体"/>
                <w:kern w:val="0"/>
                <w:szCs w:val="21"/>
                <w:highlight w:val="none"/>
              </w:rPr>
            </w:pPr>
            <w:r>
              <w:rPr>
                <w:rFonts w:hint="eastAsia"/>
                <w:spacing w:val="-2"/>
                <w:szCs w:val="21"/>
                <w:highlight w:val="none"/>
              </w:rPr>
              <w:t>投标人须在投标文件中对</w:t>
            </w:r>
            <w:r>
              <w:rPr>
                <w:rFonts w:hint="eastAsia"/>
                <w:b/>
                <w:spacing w:val="-2"/>
                <w:szCs w:val="21"/>
                <w:highlight w:val="none"/>
              </w:rPr>
              <w:t>第四章招标需求中“设备清单”中标记</w:t>
            </w:r>
            <w:r>
              <w:rPr>
                <w:rFonts w:hint="eastAsia"/>
                <w:highlight w:val="none"/>
              </w:rPr>
              <w:t>★的</w:t>
            </w:r>
            <w:r>
              <w:rPr>
                <w:rFonts w:hint="eastAsia"/>
                <w:spacing w:val="-2"/>
                <w:szCs w:val="21"/>
                <w:highlight w:val="none"/>
              </w:rPr>
              <w:t>各项设备条款逐条响应。以20分为基础分，设备条款每有一小项负偏离扣</w:t>
            </w:r>
            <w:r>
              <w:rPr>
                <w:rFonts w:hint="eastAsia"/>
                <w:spacing w:val="-2"/>
                <w:szCs w:val="21"/>
                <w:highlight w:val="none"/>
                <w:lang w:val="en-US" w:eastAsia="zh-CN"/>
              </w:rPr>
              <w:t>2</w:t>
            </w:r>
            <w:r>
              <w:rPr>
                <w:rFonts w:hint="eastAsia"/>
                <w:spacing w:val="-2"/>
                <w:szCs w:val="21"/>
                <w:highlight w:val="none"/>
              </w:rPr>
              <w:t>分，扣至0分为止；完全响应的，得20分；本项满分20分。</w:t>
            </w:r>
          </w:p>
          <w:p>
            <w:pPr>
              <w:adjustRightInd w:val="0"/>
              <w:snapToGrid w:val="0"/>
              <w:spacing w:line="360" w:lineRule="auto"/>
              <w:jc w:val="left"/>
              <w:rPr>
                <w:rFonts w:hint="eastAsia"/>
                <w:color w:val="000000"/>
                <w:szCs w:val="21"/>
                <w:highlight w:val="none"/>
              </w:rPr>
            </w:pPr>
            <w:r>
              <w:rPr>
                <w:rFonts w:hint="eastAsia"/>
                <w:b/>
                <w:spacing w:val="-2"/>
                <w:szCs w:val="21"/>
                <w:highlight w:val="none"/>
              </w:rPr>
              <w:t>注：各项要求提供相关证明材料的，投标人须在投标文件中提供相关的证明材料，若不提供或者达不到招标文件要求的，此项视为负偏离并作相应扣分处理。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0" w:hRule="atLeast"/>
        </w:trPr>
        <w:tc>
          <w:tcPr>
            <w:tcW w:w="1367" w:type="dxa"/>
            <w:tcMar>
              <w:left w:w="75" w:type="dxa"/>
            </w:tcMar>
            <w:vAlign w:val="center"/>
          </w:tcPr>
          <w:p>
            <w:pPr>
              <w:adjustRightInd w:val="0"/>
              <w:snapToGrid w:val="0"/>
              <w:jc w:val="center"/>
              <w:rPr>
                <w:rFonts w:hint="eastAsia"/>
                <w:color w:val="000000"/>
                <w:szCs w:val="21"/>
                <w:highlight w:val="none"/>
              </w:rPr>
            </w:pPr>
            <w:r>
              <w:rPr>
                <w:rFonts w:hint="eastAsia" w:ascii="宋体" w:hAnsi="宋体"/>
                <w:color w:val="000000"/>
                <w:highlight w:val="none"/>
                <w:lang w:val="zh-CN"/>
              </w:rPr>
              <w:t>总体方案</w:t>
            </w:r>
          </w:p>
        </w:tc>
        <w:tc>
          <w:tcPr>
            <w:tcW w:w="868" w:type="dxa"/>
            <w:vAlign w:val="center"/>
          </w:tcPr>
          <w:p>
            <w:pPr>
              <w:widowControl/>
              <w:snapToGrid w:val="0"/>
              <w:jc w:val="center"/>
              <w:rPr>
                <w:color w:val="000000"/>
                <w:kern w:val="0"/>
                <w:szCs w:val="21"/>
                <w:highlight w:val="none"/>
              </w:rPr>
            </w:pPr>
            <w:r>
              <w:rPr>
                <w:rFonts w:hint="eastAsia"/>
                <w:color w:val="000000"/>
                <w:kern w:val="0"/>
                <w:szCs w:val="21"/>
                <w:highlight w:val="none"/>
                <w:lang w:val="en-US" w:eastAsia="zh-CN"/>
              </w:rPr>
              <w:t>0-</w:t>
            </w:r>
            <w:r>
              <w:rPr>
                <w:rFonts w:hint="eastAsia"/>
                <w:color w:val="000000"/>
                <w:kern w:val="0"/>
                <w:szCs w:val="21"/>
                <w:highlight w:val="none"/>
              </w:rPr>
              <w:t>10分</w:t>
            </w:r>
          </w:p>
        </w:tc>
        <w:tc>
          <w:tcPr>
            <w:tcW w:w="7602" w:type="dxa"/>
            <w:vAlign w:val="center"/>
          </w:tcPr>
          <w:p>
            <w:pPr>
              <w:spacing w:line="360" w:lineRule="auto"/>
              <w:rPr>
                <w:rFonts w:hint="eastAsia" w:eastAsia="Calibri"/>
                <w:highlight w:val="none"/>
                <w:lang w:val="zh-CN"/>
              </w:rPr>
            </w:pPr>
            <w:r>
              <w:rPr>
                <w:rFonts w:hint="eastAsia" w:eastAsia="Calibri"/>
                <w:highlight w:val="none"/>
                <w:lang w:val="zh-CN"/>
              </w:rPr>
              <w:t>投标人应根据用户的实际需求提供的完整系统设计方案，评审小组根据设计方案的适用性、整体性、可拓展性等进行综合评分。</w:t>
            </w:r>
          </w:p>
          <w:p>
            <w:pPr>
              <w:spacing w:line="360" w:lineRule="auto"/>
              <w:rPr>
                <w:rFonts w:hint="eastAsia" w:eastAsia="Calibri"/>
                <w:highlight w:val="none"/>
                <w:lang w:val="zh-CN"/>
              </w:rPr>
            </w:pPr>
            <w:r>
              <w:rPr>
                <w:rFonts w:hint="eastAsia" w:eastAsia="Calibri"/>
                <w:highlight w:val="none"/>
                <w:lang w:val="zh-CN"/>
              </w:rPr>
              <w:t>评审要点：</w:t>
            </w:r>
          </w:p>
          <w:p>
            <w:pPr>
              <w:spacing w:line="360" w:lineRule="auto"/>
              <w:rPr>
                <w:rFonts w:hint="eastAsia" w:eastAsia="Calibri"/>
                <w:highlight w:val="none"/>
              </w:rPr>
            </w:pPr>
            <w:r>
              <w:rPr>
                <w:rFonts w:hint="eastAsia" w:eastAsia="Calibri"/>
                <w:highlight w:val="none"/>
              </w:rPr>
              <w:t>1）方案设计应根据现场情况选择对应的闸机类型，以确保不同类型的机动车、非机动车及行人的通行效率和机动车车牌、IC卡的识别准确率；</w:t>
            </w:r>
          </w:p>
          <w:p>
            <w:pPr>
              <w:spacing w:line="360" w:lineRule="auto"/>
              <w:rPr>
                <w:rFonts w:hint="eastAsia" w:eastAsia="Calibri"/>
                <w:highlight w:val="none"/>
                <w:lang w:val="zh-CN"/>
              </w:rPr>
            </w:pPr>
            <w:r>
              <w:rPr>
                <w:rFonts w:hint="eastAsia"/>
                <w:highlight w:val="none"/>
              </w:rPr>
              <w:t>2</w:t>
            </w:r>
            <w:r>
              <w:rPr>
                <w:rFonts w:hint="eastAsia" w:eastAsia="Calibri"/>
                <w:highlight w:val="none"/>
                <w:lang w:val="zh-CN"/>
              </w:rPr>
              <w:t>）方案设计应支持物流园多区域与城泊系统逐一对接，支持线上支付通道（银行缴费通道、银联无感支付）的对接及支持后期</w:t>
            </w:r>
            <w:r>
              <w:rPr>
                <w:rFonts w:hint="eastAsia" w:eastAsia="Calibri"/>
                <w:b/>
                <w:bCs/>
                <w:highlight w:val="none"/>
                <w:lang w:val="zh-CN"/>
              </w:rPr>
              <w:t>免费更换</w:t>
            </w:r>
            <w:r>
              <w:rPr>
                <w:rFonts w:hint="eastAsia" w:eastAsia="Calibri"/>
                <w:highlight w:val="none"/>
                <w:lang w:val="zh-CN"/>
              </w:rPr>
              <w:t>银行通道（目前为光大银行缴费通道）和</w:t>
            </w:r>
            <w:r>
              <w:rPr>
                <w:rFonts w:hint="eastAsia"/>
                <w:highlight w:val="none"/>
              </w:rPr>
              <w:t>ETC支付接口对接的</w:t>
            </w:r>
            <w:r>
              <w:rPr>
                <w:rFonts w:hint="eastAsia" w:eastAsia="Calibri"/>
                <w:highlight w:val="none"/>
                <w:lang w:val="zh-CN"/>
              </w:rPr>
              <w:t>可实施操作性；</w:t>
            </w:r>
          </w:p>
          <w:p>
            <w:pPr>
              <w:spacing w:line="360" w:lineRule="auto"/>
              <w:rPr>
                <w:rFonts w:hint="eastAsia" w:eastAsia="Calibri"/>
                <w:highlight w:val="none"/>
                <w:lang w:val="zh-CN"/>
              </w:rPr>
            </w:pPr>
            <w:r>
              <w:rPr>
                <w:rFonts w:hint="eastAsia"/>
                <w:highlight w:val="none"/>
              </w:rPr>
              <w:t>3）方案设计应充分考虑</w:t>
            </w:r>
            <w:r>
              <w:rPr>
                <w:rFonts w:hint="eastAsia" w:eastAsia="Calibri"/>
                <w:highlight w:val="none"/>
                <w:lang w:val="zh-CN"/>
              </w:rPr>
              <w:t>测温设备或测温平台与闸机平台的数据对接，将是否能够放行的信号传输至闸机进行联动。</w:t>
            </w:r>
          </w:p>
          <w:p>
            <w:pPr>
              <w:spacing w:line="360" w:lineRule="auto"/>
              <w:rPr>
                <w:rFonts w:hint="eastAsia" w:eastAsia="Calibri"/>
                <w:highlight w:val="none"/>
                <w:lang w:val="zh-CN"/>
              </w:rPr>
            </w:pPr>
            <w:r>
              <w:rPr>
                <w:rFonts w:hint="eastAsia"/>
                <w:highlight w:val="none"/>
              </w:rPr>
              <w:t>4）方案</w:t>
            </w:r>
            <w:r>
              <w:rPr>
                <w:rFonts w:hint="eastAsia" w:eastAsia="Calibri"/>
                <w:highlight w:val="none"/>
                <w:lang w:val="zh-CN"/>
              </w:rPr>
              <w:t>设计还应充分考虑与市场周谷堆市场业务系统的数据对接。</w:t>
            </w:r>
          </w:p>
          <w:p>
            <w:pPr>
              <w:pStyle w:val="27"/>
              <w:snapToGrid w:val="0"/>
              <w:spacing w:line="360" w:lineRule="auto"/>
              <w:ind w:firstLine="17" w:firstLineChars="8"/>
              <w:rPr>
                <w:rFonts w:hint="eastAsia"/>
                <w:b/>
                <w:color w:val="000000"/>
                <w:kern w:val="2"/>
                <w:sz w:val="21"/>
                <w:szCs w:val="21"/>
                <w:highlight w:val="none"/>
              </w:rPr>
            </w:pPr>
            <w:r>
              <w:rPr>
                <w:rFonts w:hint="eastAsia"/>
                <w:b/>
                <w:color w:val="000000"/>
                <w:kern w:val="2"/>
                <w:sz w:val="21"/>
                <w:szCs w:val="21"/>
                <w:highlight w:val="none"/>
              </w:rPr>
              <w:t>优秀的得</w:t>
            </w:r>
            <w:r>
              <w:rPr>
                <w:b/>
                <w:color w:val="000000"/>
                <w:kern w:val="2"/>
                <w:sz w:val="21"/>
                <w:szCs w:val="21"/>
                <w:highlight w:val="none"/>
              </w:rPr>
              <w:t>7</w:t>
            </w:r>
            <w:r>
              <w:rPr>
                <w:rFonts w:hint="eastAsia"/>
                <w:b/>
                <w:color w:val="000000"/>
                <w:kern w:val="2"/>
                <w:sz w:val="21"/>
                <w:szCs w:val="21"/>
                <w:highlight w:val="none"/>
              </w:rPr>
              <w:t>分≤F≤</w:t>
            </w:r>
            <w:r>
              <w:rPr>
                <w:b/>
                <w:color w:val="000000"/>
                <w:kern w:val="2"/>
                <w:sz w:val="21"/>
                <w:szCs w:val="21"/>
                <w:highlight w:val="none"/>
              </w:rPr>
              <w:t>10</w:t>
            </w:r>
            <w:r>
              <w:rPr>
                <w:rFonts w:hint="eastAsia"/>
                <w:b/>
                <w:color w:val="000000"/>
                <w:kern w:val="2"/>
                <w:sz w:val="21"/>
                <w:szCs w:val="21"/>
                <w:highlight w:val="none"/>
              </w:rPr>
              <w:t>分，</w:t>
            </w:r>
          </w:p>
          <w:p>
            <w:pPr>
              <w:pStyle w:val="27"/>
              <w:snapToGrid w:val="0"/>
              <w:spacing w:line="360" w:lineRule="auto"/>
              <w:ind w:firstLine="17" w:firstLineChars="8"/>
              <w:rPr>
                <w:rFonts w:hint="eastAsia"/>
                <w:b/>
                <w:color w:val="000000"/>
                <w:kern w:val="2"/>
                <w:sz w:val="21"/>
                <w:szCs w:val="21"/>
                <w:highlight w:val="none"/>
              </w:rPr>
            </w:pPr>
            <w:r>
              <w:rPr>
                <w:rFonts w:hint="eastAsia"/>
                <w:b/>
                <w:color w:val="000000"/>
                <w:kern w:val="2"/>
                <w:sz w:val="21"/>
                <w:szCs w:val="21"/>
                <w:highlight w:val="none"/>
              </w:rPr>
              <w:t>良好的得</w:t>
            </w:r>
            <w:r>
              <w:rPr>
                <w:b/>
                <w:color w:val="000000"/>
                <w:kern w:val="2"/>
                <w:sz w:val="21"/>
                <w:szCs w:val="21"/>
                <w:highlight w:val="none"/>
              </w:rPr>
              <w:t>4</w:t>
            </w:r>
            <w:r>
              <w:rPr>
                <w:rFonts w:hint="eastAsia"/>
                <w:b/>
                <w:color w:val="000000"/>
                <w:kern w:val="2"/>
                <w:sz w:val="21"/>
                <w:szCs w:val="21"/>
                <w:highlight w:val="none"/>
              </w:rPr>
              <w:t>分≤F＜</w:t>
            </w:r>
            <w:r>
              <w:rPr>
                <w:b/>
                <w:color w:val="000000"/>
                <w:kern w:val="2"/>
                <w:sz w:val="21"/>
                <w:szCs w:val="21"/>
                <w:highlight w:val="none"/>
              </w:rPr>
              <w:t>7</w:t>
            </w:r>
            <w:r>
              <w:rPr>
                <w:rFonts w:hint="eastAsia"/>
                <w:b/>
                <w:color w:val="000000"/>
                <w:kern w:val="2"/>
                <w:sz w:val="21"/>
                <w:szCs w:val="21"/>
                <w:highlight w:val="none"/>
              </w:rPr>
              <w:t>分，</w:t>
            </w:r>
          </w:p>
          <w:p>
            <w:pPr>
              <w:pStyle w:val="27"/>
              <w:snapToGrid w:val="0"/>
              <w:spacing w:line="360" w:lineRule="auto"/>
              <w:ind w:firstLine="17" w:firstLineChars="8"/>
              <w:rPr>
                <w:rFonts w:hint="eastAsia"/>
                <w:b/>
                <w:color w:val="000000"/>
                <w:kern w:val="2"/>
                <w:sz w:val="21"/>
                <w:szCs w:val="21"/>
                <w:highlight w:val="none"/>
              </w:rPr>
            </w:pPr>
            <w:r>
              <w:rPr>
                <w:rFonts w:hint="eastAsia"/>
                <w:b/>
                <w:color w:val="000000"/>
                <w:kern w:val="2"/>
                <w:sz w:val="21"/>
                <w:szCs w:val="21"/>
                <w:highlight w:val="none"/>
              </w:rPr>
              <w:t>一般的得1分≤F＜</w:t>
            </w:r>
            <w:r>
              <w:rPr>
                <w:b/>
                <w:color w:val="000000"/>
                <w:kern w:val="2"/>
                <w:sz w:val="21"/>
                <w:szCs w:val="21"/>
                <w:highlight w:val="none"/>
              </w:rPr>
              <w:t>4</w:t>
            </w:r>
            <w:r>
              <w:rPr>
                <w:rFonts w:hint="eastAsia"/>
                <w:b/>
                <w:color w:val="000000"/>
                <w:kern w:val="2"/>
                <w:sz w:val="21"/>
                <w:szCs w:val="21"/>
                <w:highlight w:val="none"/>
              </w:rPr>
              <w:t>分，</w:t>
            </w:r>
          </w:p>
          <w:p>
            <w:pPr>
              <w:adjustRightInd w:val="0"/>
              <w:snapToGrid w:val="0"/>
              <w:spacing w:line="360" w:lineRule="auto"/>
              <w:jc w:val="left"/>
              <w:rPr>
                <w:rFonts w:hint="eastAsia"/>
                <w:b/>
                <w:spacing w:val="-2"/>
                <w:szCs w:val="21"/>
                <w:highlight w:val="none"/>
              </w:rPr>
            </w:pPr>
            <w:r>
              <w:rPr>
                <w:rFonts w:hint="eastAsia"/>
                <w:b/>
                <w:color w:val="000000"/>
                <w:szCs w:val="21"/>
                <w:highlight w:val="none"/>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rPr>
        <w:tc>
          <w:tcPr>
            <w:tcW w:w="1367" w:type="dxa"/>
            <w:tcMar>
              <w:left w:w="75" w:type="dxa"/>
            </w:tcMar>
            <w:vAlign w:val="center"/>
          </w:tcPr>
          <w:p>
            <w:pPr>
              <w:jc w:val="center"/>
              <w:rPr>
                <w:color w:val="000000"/>
                <w:szCs w:val="21"/>
                <w:highlight w:val="none"/>
              </w:rPr>
            </w:pPr>
            <w:r>
              <w:rPr>
                <w:rFonts w:hint="eastAsia"/>
                <w:color w:val="000000"/>
                <w:szCs w:val="21"/>
                <w:highlight w:val="none"/>
              </w:rPr>
              <w:t>施工组织设计</w:t>
            </w:r>
          </w:p>
        </w:tc>
        <w:tc>
          <w:tcPr>
            <w:tcW w:w="868" w:type="dxa"/>
            <w:vAlign w:val="center"/>
          </w:tcPr>
          <w:p>
            <w:pPr>
              <w:widowControl/>
              <w:snapToGrid w:val="0"/>
              <w:jc w:val="center"/>
              <w:rPr>
                <w:rFonts w:hint="eastAsia"/>
                <w:color w:val="000000"/>
                <w:kern w:val="0"/>
                <w:szCs w:val="21"/>
                <w:highlight w:val="none"/>
              </w:rPr>
            </w:pPr>
            <w:r>
              <w:rPr>
                <w:rFonts w:hint="eastAsia"/>
                <w:color w:val="000000"/>
                <w:kern w:val="0"/>
                <w:szCs w:val="21"/>
                <w:highlight w:val="none"/>
                <w:lang w:val="en-US" w:eastAsia="zh-CN"/>
              </w:rPr>
              <w:t>0-</w:t>
            </w:r>
            <w:r>
              <w:rPr>
                <w:rFonts w:hint="eastAsia"/>
                <w:color w:val="000000"/>
                <w:kern w:val="0"/>
                <w:szCs w:val="21"/>
                <w:highlight w:val="none"/>
              </w:rPr>
              <w:t>5分</w:t>
            </w:r>
          </w:p>
        </w:tc>
        <w:tc>
          <w:tcPr>
            <w:tcW w:w="7602" w:type="dxa"/>
            <w:vAlign w:val="center"/>
          </w:tcPr>
          <w:p>
            <w:pPr>
              <w:pStyle w:val="27"/>
              <w:snapToGrid w:val="0"/>
              <w:spacing w:line="360" w:lineRule="auto"/>
              <w:ind w:firstLine="16" w:firstLineChars="8"/>
              <w:rPr>
                <w:rFonts w:hint="eastAsia"/>
                <w:color w:val="000000"/>
                <w:kern w:val="2"/>
                <w:sz w:val="21"/>
                <w:szCs w:val="21"/>
                <w:highlight w:val="none"/>
              </w:rPr>
            </w:pPr>
            <w:r>
              <w:rPr>
                <w:rFonts w:hint="eastAsia"/>
                <w:color w:val="000000"/>
                <w:kern w:val="2"/>
                <w:sz w:val="21"/>
                <w:szCs w:val="21"/>
                <w:highlight w:val="none"/>
              </w:rPr>
              <w:t>1.质量管理体系与措施：根据投标文件中的项目质量要求制定合理的项目实施方案和质量保证措施进行评分。</w:t>
            </w:r>
          </w:p>
          <w:p>
            <w:pPr>
              <w:pStyle w:val="27"/>
              <w:snapToGrid w:val="0"/>
              <w:spacing w:line="360" w:lineRule="auto"/>
              <w:ind w:firstLine="16" w:firstLineChars="8"/>
              <w:rPr>
                <w:rFonts w:hint="eastAsia"/>
                <w:color w:val="000000"/>
                <w:kern w:val="2"/>
                <w:sz w:val="21"/>
                <w:szCs w:val="21"/>
                <w:highlight w:val="none"/>
              </w:rPr>
            </w:pPr>
            <w:r>
              <w:rPr>
                <w:rFonts w:hint="eastAsia"/>
                <w:color w:val="000000"/>
                <w:kern w:val="2"/>
                <w:sz w:val="21"/>
                <w:szCs w:val="21"/>
                <w:highlight w:val="none"/>
              </w:rPr>
              <w:t>2.施工进度计划：工程总体网络进度计划的合理性，科学性及可靠度；工期保证措施。</w:t>
            </w:r>
          </w:p>
          <w:p>
            <w:pPr>
              <w:pStyle w:val="27"/>
              <w:snapToGrid w:val="0"/>
              <w:spacing w:line="360" w:lineRule="auto"/>
              <w:ind w:firstLine="16" w:firstLineChars="8"/>
              <w:rPr>
                <w:rFonts w:hint="eastAsia"/>
                <w:color w:val="000000"/>
                <w:kern w:val="2"/>
                <w:sz w:val="21"/>
                <w:szCs w:val="21"/>
                <w:highlight w:val="none"/>
              </w:rPr>
            </w:pPr>
            <w:r>
              <w:rPr>
                <w:rFonts w:hint="eastAsia"/>
                <w:color w:val="000000"/>
                <w:kern w:val="2"/>
                <w:sz w:val="21"/>
                <w:szCs w:val="21"/>
                <w:highlight w:val="none"/>
              </w:rPr>
              <w:t>3.提供劳动力安排、物资供应计划：工程进度计划中应详细列出每阶段配备的项目管理机构人员数量以及配备劳动力数量，主要工程材料采购计划及保障措施完整可靠。</w:t>
            </w:r>
          </w:p>
          <w:p>
            <w:pPr>
              <w:pStyle w:val="27"/>
              <w:snapToGrid w:val="0"/>
              <w:spacing w:line="360" w:lineRule="auto"/>
              <w:ind w:firstLine="16" w:firstLineChars="8"/>
              <w:rPr>
                <w:rFonts w:hint="eastAsia"/>
                <w:color w:val="000000"/>
                <w:kern w:val="2"/>
                <w:sz w:val="21"/>
                <w:szCs w:val="21"/>
                <w:highlight w:val="none"/>
              </w:rPr>
            </w:pPr>
            <w:r>
              <w:rPr>
                <w:rFonts w:hint="eastAsia"/>
                <w:color w:val="000000"/>
                <w:kern w:val="2"/>
                <w:sz w:val="21"/>
                <w:szCs w:val="21"/>
                <w:highlight w:val="none"/>
              </w:rPr>
              <w:t>评委根据以上内容综合评分。</w:t>
            </w:r>
          </w:p>
          <w:p>
            <w:pPr>
              <w:widowControl/>
              <w:snapToGrid w:val="0"/>
              <w:spacing w:line="360" w:lineRule="auto"/>
              <w:jc w:val="left"/>
              <w:rPr>
                <w:rFonts w:hint="eastAsia"/>
                <w:b/>
                <w:color w:val="000000"/>
                <w:szCs w:val="21"/>
                <w:highlight w:val="none"/>
              </w:rPr>
            </w:pPr>
            <w:r>
              <w:rPr>
                <w:rFonts w:hint="eastAsia"/>
                <w:b/>
                <w:color w:val="000000"/>
                <w:szCs w:val="21"/>
                <w:highlight w:val="none"/>
              </w:rPr>
              <w:t>优秀的得3分＜F≤5分；</w:t>
            </w:r>
          </w:p>
          <w:p>
            <w:pPr>
              <w:widowControl/>
              <w:snapToGrid w:val="0"/>
              <w:spacing w:line="360" w:lineRule="auto"/>
              <w:jc w:val="left"/>
              <w:rPr>
                <w:rFonts w:hint="eastAsia"/>
                <w:b/>
                <w:color w:val="000000"/>
                <w:szCs w:val="21"/>
                <w:highlight w:val="none"/>
              </w:rPr>
            </w:pPr>
            <w:r>
              <w:rPr>
                <w:rFonts w:hint="eastAsia"/>
                <w:b/>
                <w:color w:val="000000"/>
                <w:szCs w:val="21"/>
                <w:highlight w:val="none"/>
              </w:rPr>
              <w:t>良好的得2分＜F≤3分；</w:t>
            </w:r>
          </w:p>
          <w:p>
            <w:pPr>
              <w:widowControl/>
              <w:snapToGrid w:val="0"/>
              <w:spacing w:line="360" w:lineRule="auto"/>
              <w:jc w:val="left"/>
              <w:rPr>
                <w:rFonts w:hint="eastAsia"/>
                <w:b/>
                <w:color w:val="000000"/>
                <w:szCs w:val="21"/>
                <w:highlight w:val="none"/>
              </w:rPr>
            </w:pPr>
            <w:r>
              <w:rPr>
                <w:rFonts w:hint="eastAsia"/>
                <w:b/>
                <w:color w:val="000000"/>
                <w:szCs w:val="21"/>
                <w:highlight w:val="none"/>
              </w:rPr>
              <w:t>一般的得1分＜F≤2分；</w:t>
            </w:r>
          </w:p>
          <w:p>
            <w:pPr>
              <w:pStyle w:val="27"/>
              <w:snapToGrid w:val="0"/>
              <w:spacing w:line="360" w:lineRule="auto"/>
              <w:ind w:firstLine="17" w:firstLineChars="8"/>
              <w:rPr>
                <w:rFonts w:hint="eastAsia"/>
                <w:color w:val="000000"/>
                <w:kern w:val="2"/>
                <w:sz w:val="21"/>
                <w:szCs w:val="21"/>
                <w:highlight w:val="none"/>
              </w:rPr>
            </w:pPr>
            <w:r>
              <w:rPr>
                <w:rFonts w:hint="eastAsia"/>
                <w:b/>
                <w:color w:val="000000"/>
                <w:sz w:val="21"/>
                <w:szCs w:val="18"/>
                <w:highlight w:val="none"/>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rPr>
        <w:tc>
          <w:tcPr>
            <w:tcW w:w="1367" w:type="dxa"/>
            <w:tcMar>
              <w:left w:w="75" w:type="dxa"/>
            </w:tcMar>
            <w:vAlign w:val="center"/>
          </w:tcPr>
          <w:p>
            <w:pPr>
              <w:snapToGrid w:val="0"/>
              <w:jc w:val="center"/>
              <w:rPr>
                <w:rFonts w:hint="eastAsia"/>
                <w:color w:val="000000"/>
                <w:szCs w:val="21"/>
                <w:highlight w:val="none"/>
              </w:rPr>
            </w:pPr>
            <w:r>
              <w:rPr>
                <w:rFonts w:hint="eastAsia"/>
                <w:color w:val="000000"/>
                <w:szCs w:val="21"/>
                <w:highlight w:val="none"/>
              </w:rPr>
              <w:t>售后服务能力</w:t>
            </w:r>
          </w:p>
        </w:tc>
        <w:tc>
          <w:tcPr>
            <w:tcW w:w="868" w:type="dxa"/>
            <w:vAlign w:val="center"/>
          </w:tcPr>
          <w:p>
            <w:pPr>
              <w:widowControl/>
              <w:snapToGrid w:val="0"/>
              <w:jc w:val="center"/>
              <w:rPr>
                <w:rFonts w:hint="eastAsia"/>
                <w:color w:val="000000"/>
                <w:kern w:val="0"/>
                <w:szCs w:val="21"/>
                <w:highlight w:val="none"/>
              </w:rPr>
            </w:pPr>
            <w:r>
              <w:rPr>
                <w:rFonts w:hint="eastAsia"/>
                <w:color w:val="000000"/>
                <w:kern w:val="0"/>
                <w:szCs w:val="21"/>
                <w:highlight w:val="none"/>
                <w:lang w:val="en-US" w:eastAsia="zh-CN"/>
              </w:rPr>
              <w:t>0-</w:t>
            </w:r>
            <w:r>
              <w:rPr>
                <w:rFonts w:hint="eastAsia"/>
                <w:color w:val="000000"/>
                <w:kern w:val="0"/>
                <w:szCs w:val="21"/>
                <w:highlight w:val="none"/>
              </w:rPr>
              <w:t>5分</w:t>
            </w:r>
          </w:p>
        </w:tc>
        <w:tc>
          <w:tcPr>
            <w:tcW w:w="7602" w:type="dxa"/>
            <w:vAlign w:val="center"/>
          </w:tcPr>
          <w:p>
            <w:pPr>
              <w:widowControl/>
              <w:snapToGrid w:val="0"/>
              <w:spacing w:line="360" w:lineRule="auto"/>
              <w:jc w:val="left"/>
              <w:rPr>
                <w:rFonts w:hint="eastAsia"/>
                <w:color w:val="000000"/>
                <w:szCs w:val="21"/>
                <w:highlight w:val="none"/>
              </w:rPr>
            </w:pPr>
            <w:r>
              <w:rPr>
                <w:rFonts w:hint="eastAsia"/>
                <w:color w:val="000000"/>
                <w:szCs w:val="21"/>
                <w:highlight w:val="none"/>
              </w:rPr>
              <w:t>评委依据投标人的售后服务方案（包括售后服务机构、售后服务体系、响应时间、售后服务计划及措施、售后服务队伍建设规范、售后服务承诺等）的合理性、及时性、专业性，进行综合评分。</w:t>
            </w:r>
          </w:p>
          <w:p>
            <w:pPr>
              <w:widowControl/>
              <w:snapToGrid w:val="0"/>
              <w:spacing w:line="360" w:lineRule="auto"/>
              <w:jc w:val="left"/>
              <w:rPr>
                <w:rFonts w:hint="eastAsia"/>
                <w:b/>
                <w:color w:val="000000"/>
                <w:szCs w:val="21"/>
                <w:highlight w:val="none"/>
              </w:rPr>
            </w:pPr>
            <w:r>
              <w:rPr>
                <w:rFonts w:hint="eastAsia"/>
                <w:b/>
                <w:color w:val="000000"/>
                <w:szCs w:val="21"/>
                <w:highlight w:val="none"/>
              </w:rPr>
              <w:t>优秀的得3分＜F≤5分；</w:t>
            </w:r>
          </w:p>
          <w:p>
            <w:pPr>
              <w:widowControl/>
              <w:tabs>
                <w:tab w:val="left" w:pos="3888"/>
              </w:tabs>
              <w:snapToGrid w:val="0"/>
              <w:spacing w:line="360" w:lineRule="auto"/>
              <w:jc w:val="left"/>
              <w:rPr>
                <w:rFonts w:hint="eastAsia"/>
                <w:b/>
                <w:color w:val="000000"/>
                <w:szCs w:val="21"/>
                <w:highlight w:val="none"/>
              </w:rPr>
            </w:pPr>
            <w:r>
              <w:rPr>
                <w:rFonts w:hint="eastAsia"/>
                <w:b/>
                <w:color w:val="000000"/>
                <w:szCs w:val="21"/>
                <w:highlight w:val="none"/>
              </w:rPr>
              <w:t>良好的得2分＜F≤3分；</w:t>
            </w:r>
            <w:r>
              <w:rPr>
                <w:rFonts w:hint="eastAsia"/>
                <w:b/>
                <w:color w:val="000000"/>
                <w:szCs w:val="21"/>
                <w:highlight w:val="none"/>
              </w:rPr>
              <w:tab/>
            </w:r>
          </w:p>
          <w:p>
            <w:pPr>
              <w:widowControl/>
              <w:snapToGrid w:val="0"/>
              <w:spacing w:line="360" w:lineRule="auto"/>
              <w:jc w:val="left"/>
              <w:rPr>
                <w:rFonts w:hint="eastAsia"/>
                <w:b/>
                <w:color w:val="000000"/>
                <w:szCs w:val="21"/>
                <w:highlight w:val="none"/>
              </w:rPr>
            </w:pPr>
            <w:r>
              <w:rPr>
                <w:rFonts w:hint="eastAsia"/>
                <w:b/>
                <w:color w:val="000000"/>
                <w:szCs w:val="21"/>
                <w:highlight w:val="none"/>
              </w:rPr>
              <w:t>一般的得1分＜F≤2分；</w:t>
            </w:r>
          </w:p>
          <w:p>
            <w:pPr>
              <w:widowControl/>
              <w:snapToGrid w:val="0"/>
              <w:spacing w:line="360" w:lineRule="auto"/>
              <w:jc w:val="left"/>
              <w:rPr>
                <w:rFonts w:hint="eastAsia"/>
                <w:color w:val="000000"/>
                <w:szCs w:val="21"/>
                <w:highlight w:val="none"/>
              </w:rPr>
            </w:pPr>
            <w:r>
              <w:rPr>
                <w:rFonts w:hint="eastAsia"/>
                <w:b/>
                <w:color w:val="000000"/>
                <w:szCs w:val="21"/>
                <w:highlight w:val="none"/>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rPr>
        <w:tc>
          <w:tcPr>
            <w:tcW w:w="1367" w:type="dxa"/>
            <w:tcMar>
              <w:left w:w="75" w:type="dxa"/>
            </w:tcMar>
            <w:vAlign w:val="center"/>
          </w:tcPr>
          <w:p>
            <w:pPr>
              <w:snapToGrid w:val="0"/>
              <w:jc w:val="center"/>
              <w:rPr>
                <w:rFonts w:hint="eastAsia" w:eastAsia="宋体"/>
                <w:color w:val="000000"/>
                <w:szCs w:val="21"/>
                <w:highlight w:val="none"/>
                <w:lang w:eastAsia="zh-CN"/>
              </w:rPr>
            </w:pPr>
            <w:r>
              <w:rPr>
                <w:rFonts w:hint="eastAsia"/>
                <w:color w:val="000000"/>
                <w:szCs w:val="21"/>
                <w:highlight w:val="none"/>
                <w:lang w:eastAsia="zh-CN"/>
              </w:rPr>
              <w:t>合计</w:t>
            </w:r>
          </w:p>
        </w:tc>
        <w:tc>
          <w:tcPr>
            <w:tcW w:w="868" w:type="dxa"/>
            <w:vAlign w:val="center"/>
          </w:tcPr>
          <w:p>
            <w:pPr>
              <w:widowControl/>
              <w:snapToGrid w:val="0"/>
              <w:jc w:val="center"/>
              <w:rPr>
                <w:rFonts w:hint="eastAsia"/>
                <w:color w:val="000000"/>
                <w:kern w:val="0"/>
                <w:szCs w:val="21"/>
                <w:highlight w:val="none"/>
                <w:lang w:val="en-US" w:eastAsia="zh-CN"/>
              </w:rPr>
            </w:pPr>
            <w:r>
              <w:rPr>
                <w:rFonts w:hint="eastAsia"/>
                <w:color w:val="000000"/>
                <w:kern w:val="0"/>
                <w:szCs w:val="21"/>
                <w:highlight w:val="none"/>
                <w:lang w:val="en-US" w:eastAsia="zh-CN"/>
              </w:rPr>
              <w:t>0-60分</w:t>
            </w:r>
          </w:p>
        </w:tc>
        <w:tc>
          <w:tcPr>
            <w:tcW w:w="7602" w:type="dxa"/>
            <w:vAlign w:val="center"/>
          </w:tcPr>
          <w:p>
            <w:pPr>
              <w:widowControl/>
              <w:snapToGrid w:val="0"/>
              <w:spacing w:line="360" w:lineRule="auto"/>
              <w:jc w:val="center"/>
              <w:rPr>
                <w:rFonts w:hint="eastAsia" w:eastAsia="宋体"/>
                <w:b/>
                <w:color w:val="000000"/>
                <w:szCs w:val="21"/>
                <w:highlight w:val="none"/>
                <w:lang w:val="en-US" w:eastAsia="zh-CN"/>
              </w:rPr>
            </w:pPr>
            <w:r>
              <w:rPr>
                <w:rFonts w:hint="eastAsia"/>
                <w:b/>
                <w:color w:val="000000"/>
                <w:szCs w:val="21"/>
                <w:highlight w:val="none"/>
                <w:lang w:val="en-US" w:eastAsia="zh-CN"/>
              </w:rPr>
              <w:t>/</w:t>
            </w:r>
          </w:p>
        </w:tc>
      </w:tr>
    </w:tbl>
    <w:p>
      <w:pPr>
        <w:spacing w:line="360" w:lineRule="auto"/>
        <w:ind w:firstLine="482" w:firstLineChars="200"/>
        <w:rPr>
          <w:rFonts w:hint="eastAsia" w:ascii="宋体" w:hAnsi="宋体"/>
          <w:b/>
          <w:sz w:val="24"/>
          <w:szCs w:val="28"/>
          <w:lang w:val="en-US" w:eastAsia="zh-CN"/>
        </w:rPr>
      </w:pPr>
    </w:p>
    <w:tbl>
      <w:tblPr>
        <w:tblStyle w:val="20"/>
        <w:tblpPr w:leftFromText="180" w:rightFromText="180" w:vertAnchor="text" w:tblpX="61" w:tblpY="-31235"/>
        <w:tblOverlap w:val="never"/>
        <w:tblW w:w="1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815" w:type="dxa"/>
            <w:vAlign w:val="top"/>
          </w:tcPr>
          <w:p>
            <w:pPr>
              <w:spacing w:line="360" w:lineRule="auto"/>
              <w:rPr>
                <w:rFonts w:hint="eastAsia" w:ascii="宋体" w:hAnsi="宋体"/>
                <w:b/>
                <w:sz w:val="24"/>
                <w:szCs w:val="28"/>
                <w:lang w:val="en-US" w:eastAsia="zh-CN"/>
              </w:rPr>
            </w:pPr>
          </w:p>
        </w:tc>
      </w:tr>
    </w:tbl>
    <w:p>
      <w:pPr>
        <w:spacing w:line="360" w:lineRule="auto"/>
        <w:ind w:firstLine="482" w:firstLineChars="200"/>
        <w:rPr>
          <w:rFonts w:ascii="宋体" w:hAnsi="宋体"/>
          <w:b/>
          <w:sz w:val="24"/>
          <w:szCs w:val="28"/>
        </w:rPr>
      </w:pPr>
      <w:r>
        <w:rPr>
          <w:rFonts w:hint="eastAsia" w:ascii="宋体" w:hAnsi="宋体"/>
          <w:b/>
          <w:sz w:val="24"/>
          <w:szCs w:val="28"/>
          <w:lang w:val="en-US" w:eastAsia="zh-CN"/>
        </w:rPr>
        <w:t>(二)</w:t>
      </w:r>
      <w:r>
        <w:rPr>
          <w:rFonts w:hint="eastAsia" w:ascii="宋体" w:hAnsi="宋体"/>
          <w:b/>
          <w:sz w:val="24"/>
          <w:szCs w:val="28"/>
        </w:rPr>
        <w:t>商务部分得分计算</w:t>
      </w:r>
    </w:p>
    <w:p>
      <w:pPr>
        <w:adjustRightInd w:val="0"/>
        <w:snapToGrid w:val="0"/>
        <w:spacing w:line="360" w:lineRule="auto"/>
        <w:ind w:right="-10" w:firstLine="420" w:firstLineChars="175"/>
        <w:rPr>
          <w:rFonts w:hint="eastAsia" w:ascii="宋体" w:hAnsi="宋体"/>
          <w:bCs/>
          <w:sz w:val="24"/>
        </w:rPr>
      </w:pPr>
      <w:r>
        <w:rPr>
          <w:rFonts w:hint="eastAsia" w:ascii="宋体" w:hAnsi="宋体"/>
          <w:bCs/>
          <w:sz w:val="24"/>
        </w:rPr>
        <w:t>依据通过初审的有效投标人名单，其投标人的商务部分得分按照以下方式计算：</w:t>
      </w:r>
    </w:p>
    <w:tbl>
      <w:tblPr>
        <w:tblStyle w:val="19"/>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886"/>
        <w:gridCol w:w="7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73" w:type="dxa"/>
            <w:vAlign w:val="center"/>
          </w:tcPr>
          <w:p>
            <w:pPr>
              <w:widowControl/>
              <w:snapToGrid w:val="0"/>
              <w:spacing w:line="360" w:lineRule="auto"/>
              <w:jc w:val="left"/>
              <w:rPr>
                <w:rFonts w:hint="eastAsia"/>
                <w:color w:val="000000"/>
                <w:szCs w:val="21"/>
                <w:highlight w:val="none"/>
              </w:rPr>
            </w:pPr>
            <w:r>
              <w:rPr>
                <w:rFonts w:hint="eastAsia"/>
                <w:b/>
                <w:bCs/>
                <w:color w:val="000000"/>
                <w:szCs w:val="21"/>
                <w:highlight w:val="none"/>
              </w:rPr>
              <w:t>商务部分</w:t>
            </w:r>
          </w:p>
        </w:tc>
        <w:tc>
          <w:tcPr>
            <w:tcW w:w="886" w:type="dxa"/>
            <w:vAlign w:val="center"/>
          </w:tcPr>
          <w:p>
            <w:pPr>
              <w:widowControl/>
              <w:snapToGrid w:val="0"/>
              <w:spacing w:line="360" w:lineRule="auto"/>
              <w:jc w:val="left"/>
              <w:rPr>
                <w:rFonts w:hint="eastAsia"/>
                <w:color w:val="000000"/>
                <w:szCs w:val="21"/>
                <w:highlight w:val="none"/>
              </w:rPr>
            </w:pPr>
            <w:r>
              <w:rPr>
                <w:rFonts w:hint="eastAsia"/>
                <w:color w:val="000000"/>
                <w:szCs w:val="21"/>
                <w:highlight w:val="none"/>
              </w:rPr>
              <w:t>0-</w:t>
            </w:r>
            <w:r>
              <w:rPr>
                <w:rFonts w:hint="eastAsia"/>
                <w:color w:val="000000"/>
                <w:szCs w:val="21"/>
                <w:highlight w:val="none"/>
                <w:lang w:val="en-US" w:eastAsia="zh-CN"/>
              </w:rPr>
              <w:t>40</w:t>
            </w:r>
            <w:r>
              <w:rPr>
                <w:rFonts w:hint="eastAsia"/>
                <w:color w:val="000000"/>
                <w:szCs w:val="21"/>
                <w:highlight w:val="none"/>
              </w:rPr>
              <w:t>分</w:t>
            </w:r>
          </w:p>
        </w:tc>
        <w:tc>
          <w:tcPr>
            <w:tcW w:w="7604" w:type="dxa"/>
            <w:vAlign w:val="center"/>
          </w:tcPr>
          <w:p>
            <w:pPr>
              <w:widowControl/>
              <w:snapToGrid w:val="0"/>
              <w:spacing w:line="360" w:lineRule="auto"/>
              <w:jc w:val="left"/>
              <w:rPr>
                <w:rFonts w:hint="eastAsia"/>
                <w:color w:val="000000"/>
                <w:szCs w:val="21"/>
                <w:highlight w:val="none"/>
              </w:rPr>
            </w:pPr>
            <w:r>
              <w:rPr>
                <w:rFonts w:hint="eastAsia"/>
                <w:color w:val="000000"/>
                <w:szCs w:val="21"/>
                <w:highlight w:val="none"/>
              </w:rPr>
              <w:t>价格分统一采用有效最低价法，即满足招标文件要求且投标价格最低的投标报价为评标基准价，其价格分为满分。其他投标人的价格分统一按照下列公式计算：投标报价得分＝（评标基准价/投标报价）×</w:t>
            </w:r>
            <w:r>
              <w:rPr>
                <w:rFonts w:hint="eastAsia"/>
                <w:color w:val="000000"/>
                <w:szCs w:val="21"/>
                <w:highlight w:val="none"/>
                <w:lang w:val="en-US" w:eastAsia="zh-CN"/>
              </w:rPr>
              <w:t>40</w:t>
            </w:r>
            <w:r>
              <w:rPr>
                <w:rFonts w:hint="eastAsia"/>
                <w:color w:val="000000"/>
                <w:szCs w:val="21"/>
                <w:highlight w:val="none"/>
              </w:rPr>
              <w:t>％×100</w:t>
            </w:r>
          </w:p>
        </w:tc>
      </w:tr>
    </w:tbl>
    <w:p>
      <w:pPr>
        <w:spacing w:line="360" w:lineRule="auto"/>
        <w:ind w:firstLine="405" w:firstLineChars="192"/>
        <w:rPr>
          <w:rFonts w:ascii="宋体" w:cs="宋体"/>
          <w:color w:val="auto"/>
          <w:kern w:val="0"/>
          <w:sz w:val="24"/>
          <w:szCs w:val="24"/>
          <w:highlight w:val="none"/>
        </w:rPr>
      </w:pPr>
      <w:r>
        <w:rPr>
          <w:rFonts w:hint="eastAsia" w:ascii="宋体" w:hAnsi="宋体"/>
          <w:b/>
          <w:color w:val="auto"/>
          <w:szCs w:val="21"/>
          <w:highlight w:val="none"/>
        </w:rPr>
        <w:t>注：涉及评分的证书必须提供</w:t>
      </w:r>
      <w:r>
        <w:rPr>
          <w:rFonts w:hint="eastAsia" w:ascii="宋体" w:hAnsi="宋体"/>
          <w:b/>
          <w:color w:val="auto"/>
          <w:szCs w:val="21"/>
          <w:highlight w:val="none"/>
          <w:lang w:eastAsia="zh-CN"/>
        </w:rPr>
        <w:t>证书复印件（加盖公章）</w:t>
      </w:r>
      <w:r>
        <w:rPr>
          <w:rFonts w:hint="eastAsia" w:ascii="宋体" w:hAnsi="宋体"/>
          <w:b/>
          <w:color w:val="auto"/>
          <w:szCs w:val="21"/>
          <w:highlight w:val="none"/>
        </w:rPr>
        <w:t>，否则不得分（</w:t>
      </w:r>
      <w:r>
        <w:rPr>
          <w:rFonts w:hint="eastAsia" w:ascii="宋体" w:hAnsi="宋体"/>
          <w:color w:val="auto"/>
          <w:szCs w:val="21"/>
          <w:highlight w:val="none"/>
        </w:rPr>
        <w:t>招标人有权对项目业绩及有关证书进行考察、核实，如发现投标单位投标书有弄虚作假的行为，将取消其中标资格</w:t>
      </w:r>
      <w:r>
        <w:rPr>
          <w:rFonts w:hint="eastAsia" w:ascii="宋体" w:hAnsi="宋体"/>
          <w:b/>
          <w:color w:val="auto"/>
          <w:szCs w:val="21"/>
          <w:highlight w:val="none"/>
        </w:rPr>
        <w:t>。）</w:t>
      </w:r>
    </w:p>
    <w:p>
      <w:pPr>
        <w:spacing w:line="276" w:lineRule="auto"/>
        <w:ind w:firstLine="482" w:firstLineChars="200"/>
        <w:rPr>
          <w:rFonts w:hint="eastAsia"/>
          <w:b/>
          <w:bCs/>
          <w:color w:val="auto"/>
          <w:sz w:val="24"/>
          <w:highlight w:val="none"/>
        </w:rPr>
      </w:pPr>
    </w:p>
    <w:p>
      <w:pPr>
        <w:spacing w:line="276" w:lineRule="auto"/>
        <w:ind w:firstLine="482" w:firstLineChars="200"/>
        <w:rPr>
          <w:rFonts w:hint="eastAsia"/>
          <w:b/>
          <w:bCs/>
          <w:color w:val="auto"/>
          <w:sz w:val="24"/>
          <w:highlight w:val="none"/>
        </w:rPr>
      </w:pPr>
    </w:p>
    <w:p>
      <w:pPr>
        <w:spacing w:line="276" w:lineRule="auto"/>
        <w:ind w:firstLine="482" w:firstLineChars="200"/>
        <w:rPr>
          <w:rFonts w:hint="eastAsia"/>
          <w:b/>
          <w:bCs/>
          <w:color w:val="auto"/>
          <w:sz w:val="24"/>
          <w:highlight w:val="none"/>
        </w:rPr>
      </w:pPr>
    </w:p>
    <w:p>
      <w:pPr>
        <w:spacing w:line="276" w:lineRule="auto"/>
        <w:ind w:firstLine="482" w:firstLineChars="200"/>
        <w:rPr>
          <w:rFonts w:hint="eastAsia"/>
          <w:b/>
          <w:bCs/>
          <w:color w:val="auto"/>
          <w:sz w:val="24"/>
          <w:highlight w:val="none"/>
        </w:rPr>
      </w:pPr>
    </w:p>
    <w:p>
      <w:pPr>
        <w:spacing w:line="276" w:lineRule="auto"/>
        <w:ind w:firstLine="482" w:firstLineChars="200"/>
        <w:rPr>
          <w:b/>
          <w:bCs/>
          <w:color w:val="auto"/>
          <w:sz w:val="24"/>
          <w:highlight w:val="none"/>
        </w:rPr>
      </w:pPr>
      <w:r>
        <w:rPr>
          <w:rFonts w:hint="eastAsia"/>
          <w:b/>
          <w:bCs/>
          <w:color w:val="auto"/>
          <w:sz w:val="24"/>
          <w:highlight w:val="none"/>
        </w:rPr>
        <w:t>（</w:t>
      </w:r>
      <w:r>
        <w:rPr>
          <w:rFonts w:hint="eastAsia"/>
          <w:b/>
          <w:bCs/>
          <w:color w:val="auto"/>
          <w:sz w:val="24"/>
          <w:highlight w:val="none"/>
          <w:lang w:val="en-US" w:eastAsia="zh-CN"/>
        </w:rPr>
        <w:t>三</w:t>
      </w:r>
      <w:r>
        <w:rPr>
          <w:rFonts w:hint="eastAsia"/>
          <w:b/>
          <w:bCs/>
          <w:color w:val="auto"/>
          <w:sz w:val="24"/>
          <w:highlight w:val="none"/>
        </w:rPr>
        <w:t>）确定中标候选人</w:t>
      </w:r>
    </w:p>
    <w:p>
      <w:pPr>
        <w:widowControl/>
        <w:spacing w:line="500" w:lineRule="exact"/>
        <w:ind w:firstLine="48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计算最终得分</w:t>
      </w:r>
    </w:p>
    <w:p>
      <w:pPr>
        <w:widowControl/>
        <w:spacing w:line="500" w:lineRule="exact"/>
        <w:ind w:firstLine="480"/>
        <w:jc w:val="left"/>
        <w:rPr>
          <w:rFonts w:ascii="宋体" w:cs="宋体"/>
          <w:color w:val="auto"/>
          <w:kern w:val="0"/>
          <w:sz w:val="24"/>
          <w:highlight w:val="none"/>
        </w:rPr>
      </w:pPr>
      <w:r>
        <w:rPr>
          <w:rFonts w:hint="eastAsia" w:ascii="宋体" w:hAnsi="宋体" w:cs="宋体"/>
          <w:color w:val="auto"/>
          <w:kern w:val="0"/>
          <w:sz w:val="24"/>
          <w:highlight w:val="none"/>
        </w:rPr>
        <w:t>将每个有效投标人的技术部分得分加商务部分得分，得出该投标人的最终得分。投标人的各项得分均保留小数点后两位（小数点后第三位四舍五入）。</w:t>
      </w:r>
    </w:p>
    <w:p>
      <w:pPr>
        <w:widowControl/>
        <w:numPr>
          <w:ilvl w:val="0"/>
          <w:numId w:val="3"/>
        </w:numPr>
        <w:spacing w:line="500" w:lineRule="exact"/>
        <w:ind w:firstLine="480"/>
        <w:jc w:val="left"/>
        <w:rPr>
          <w:rFonts w:hint="eastAsia" w:ascii="宋体" w:hAnsi="宋体"/>
          <w:color w:val="auto"/>
          <w:kern w:val="0"/>
          <w:sz w:val="24"/>
          <w:highlight w:val="none"/>
        </w:rPr>
      </w:pPr>
      <w:r>
        <w:rPr>
          <w:rFonts w:hint="eastAsia" w:ascii="宋体" w:hAnsi="宋体" w:cs="宋体"/>
          <w:color w:val="auto"/>
          <w:kern w:val="0"/>
          <w:sz w:val="24"/>
          <w:highlight w:val="none"/>
        </w:rPr>
        <w:t>按照有效投标人最终得分由高到低排出中标候选人。最终得分相同的，按技术部分得分由高到低顺序排序。技术部分得分及最终得分均相同的，则采取评标委员会抽签方式确定其前后次序。</w:t>
      </w:r>
    </w:p>
    <w:p>
      <w:pPr>
        <w:pStyle w:val="13"/>
        <w:rPr>
          <w:rFonts w:hint="eastAsia" w:ascii="宋体" w:hAnsi="宋体" w:cs="宋体"/>
          <w:color w:val="auto"/>
          <w:kern w:val="0"/>
          <w:sz w:val="24"/>
          <w:highlight w:val="none"/>
        </w:rPr>
      </w:pPr>
    </w:p>
    <w:p>
      <w:pPr>
        <w:pStyle w:val="13"/>
        <w:rPr>
          <w:rFonts w:hint="eastAsia" w:ascii="宋体" w:hAnsi="宋体" w:cs="宋体"/>
          <w:color w:val="auto"/>
          <w:kern w:val="0"/>
          <w:sz w:val="24"/>
          <w:highlight w:val="none"/>
        </w:rPr>
      </w:pPr>
    </w:p>
    <w:p>
      <w:pPr>
        <w:pStyle w:val="13"/>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pStyle w:val="13"/>
        <w:rPr>
          <w:rFonts w:hint="eastAsia" w:ascii="宋体" w:hAnsi="宋体" w:cs="宋体"/>
          <w:color w:val="auto"/>
          <w:kern w:val="0"/>
          <w:sz w:val="24"/>
          <w:highlight w:val="none"/>
        </w:rPr>
      </w:pPr>
    </w:p>
    <w:p>
      <w:pPr>
        <w:pStyle w:val="13"/>
        <w:rPr>
          <w:rFonts w:hint="eastAsia" w:ascii="宋体" w:hAnsi="宋体" w:cs="宋体"/>
          <w:color w:val="auto"/>
          <w:kern w:val="0"/>
          <w:sz w:val="24"/>
          <w:highlight w:val="none"/>
        </w:rPr>
      </w:pPr>
    </w:p>
    <w:p>
      <w:pPr>
        <w:numPr>
          <w:numId w:val="0"/>
        </w:numPr>
        <w:spacing w:line="580" w:lineRule="exact"/>
        <w:ind w:left="10" w:leftChars="0" w:hanging="10" w:firstLineChars="0"/>
        <w:jc w:val="center"/>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 xml:space="preserve">第四章  </w:t>
      </w:r>
      <w:r>
        <w:rPr>
          <w:rFonts w:hint="eastAsia" w:ascii="宋体" w:hAnsi="宋体" w:eastAsia="宋体" w:cs="Times New Roman"/>
          <w:b/>
          <w:color w:val="auto"/>
          <w:kern w:val="0"/>
          <w:sz w:val="28"/>
          <w:szCs w:val="28"/>
          <w:highlight w:val="none"/>
          <w:lang w:eastAsia="zh-CN"/>
        </w:rPr>
        <w:t>招标</w:t>
      </w:r>
      <w:r>
        <w:rPr>
          <w:rFonts w:hint="eastAsia" w:ascii="宋体" w:hAnsi="宋体" w:eastAsia="宋体" w:cs="Times New Roman"/>
          <w:b/>
          <w:color w:val="auto"/>
          <w:kern w:val="0"/>
          <w:sz w:val="28"/>
          <w:szCs w:val="28"/>
          <w:highlight w:val="none"/>
        </w:rPr>
        <w:t>需求</w:t>
      </w:r>
    </w:p>
    <w:p>
      <w:pPr>
        <w:pStyle w:val="13"/>
        <w:widowControl/>
        <w:numPr>
          <w:ilvl w:val="0"/>
          <w:numId w:val="4"/>
        </w:numPr>
        <w:wordWrap/>
        <w:adjustRightInd/>
        <w:snapToGrid/>
        <w:spacing w:after="0"/>
        <w:jc w:val="both"/>
        <w:textAlignment w:val="auto"/>
        <w:rPr>
          <w:rFonts w:hint="eastAsia"/>
          <w:b/>
          <w:bCs w:val="0"/>
          <w:color w:val="auto"/>
          <w:sz w:val="24"/>
          <w:szCs w:val="24"/>
          <w:highlight w:val="none"/>
          <w:lang w:eastAsia="zh-CN"/>
        </w:rPr>
      </w:pPr>
      <w:r>
        <w:rPr>
          <w:rFonts w:hint="eastAsia"/>
          <w:b/>
          <w:bCs w:val="0"/>
          <w:color w:val="auto"/>
          <w:sz w:val="24"/>
          <w:szCs w:val="24"/>
          <w:highlight w:val="none"/>
          <w:lang w:eastAsia="zh-CN"/>
        </w:rPr>
        <w:t>项目简介</w:t>
      </w:r>
    </w:p>
    <w:p>
      <w:pPr>
        <w:pStyle w:val="13"/>
        <w:widowControl/>
        <w:numPr>
          <w:numId w:val="0"/>
        </w:numPr>
        <w:wordWrap/>
        <w:adjustRightInd/>
        <w:snapToGrid/>
        <w:spacing w:after="0"/>
        <w:ind w:left="0" w:leftChars="0" w:firstLine="420" w:firstLineChars="175"/>
        <w:jc w:val="both"/>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（一）出入口车道设置方案</w:t>
      </w:r>
    </w:p>
    <w:p>
      <w:pPr>
        <w:pStyle w:val="13"/>
        <w:widowControl/>
        <w:numPr>
          <w:numId w:val="0"/>
        </w:numPr>
        <w:wordWrap/>
        <w:adjustRightInd/>
        <w:snapToGrid/>
        <w:spacing w:after="0"/>
        <w:ind w:left="0" w:leftChars="0" w:firstLine="420" w:firstLineChars="175"/>
        <w:jc w:val="both"/>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1.肉食东门入口</w:t>
      </w:r>
    </w:p>
    <w:p>
      <w:pPr>
        <w:pStyle w:val="13"/>
        <w:widowControl/>
        <w:numPr>
          <w:numId w:val="0"/>
        </w:numPr>
        <w:wordWrap/>
        <w:adjustRightInd/>
        <w:snapToGrid/>
        <w:spacing w:after="0"/>
        <w:ind w:left="0" w:leftChars="0" w:firstLine="420" w:firstLineChars="175"/>
        <w:jc w:val="both"/>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在原先入口处设置混合车辆入口闸机，车道宽约4米；地磅设置冷链车专用闸机，车道宽约4米；在大门西侧立柱旁设置三轮车闸机，车道宽约2米。三条车道根据驾驶室高度，安装测温设备。</w:t>
      </w:r>
    </w:p>
    <w:p>
      <w:pPr>
        <w:pStyle w:val="13"/>
        <w:widowControl/>
        <w:numPr>
          <w:numId w:val="0"/>
        </w:numPr>
        <w:wordWrap/>
        <w:adjustRightInd/>
        <w:snapToGrid/>
        <w:spacing w:after="0"/>
        <w:ind w:left="0" w:leftChars="0" w:firstLine="420" w:firstLineChars="175"/>
        <w:jc w:val="both"/>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2.水产西门入口</w:t>
      </w:r>
    </w:p>
    <w:p>
      <w:pPr>
        <w:pStyle w:val="13"/>
        <w:widowControl/>
        <w:numPr>
          <w:numId w:val="0"/>
        </w:numPr>
        <w:wordWrap/>
        <w:adjustRightInd/>
        <w:snapToGrid/>
        <w:spacing w:after="0"/>
        <w:ind w:left="0" w:leftChars="0" w:firstLine="420" w:firstLineChars="175"/>
        <w:jc w:val="both"/>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在原先入口处设置混合车辆入口闸机，车道宽约4米；在大门东侧立柱旁依次设置三轮车闸机，车道宽约2米，行人广告门，通道宽1.2米，占地宽度为1.8米。两条车道根据驾驶室高度，安装测温设备，同时在行人门安装测温设备。</w:t>
      </w:r>
    </w:p>
    <w:p>
      <w:pPr>
        <w:pStyle w:val="13"/>
        <w:widowControl/>
        <w:numPr>
          <w:numId w:val="0"/>
        </w:numPr>
        <w:wordWrap/>
        <w:adjustRightInd/>
        <w:snapToGrid/>
        <w:spacing w:after="0"/>
        <w:ind w:left="0" w:leftChars="0" w:firstLine="420" w:firstLineChars="175"/>
        <w:jc w:val="both"/>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3.水产肉食中门出口</w:t>
      </w:r>
    </w:p>
    <w:p>
      <w:pPr>
        <w:pStyle w:val="13"/>
        <w:widowControl/>
        <w:numPr>
          <w:numId w:val="0"/>
        </w:numPr>
        <w:wordWrap/>
        <w:adjustRightInd/>
        <w:snapToGrid/>
        <w:spacing w:after="0"/>
        <w:ind w:left="0" w:leftChars="0" w:firstLine="420" w:firstLineChars="175"/>
        <w:jc w:val="both"/>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在现有三个岗亭东侧各设置1个混合车道出场，共3个；机动车出口东侧及西侧各设置三轮车出口，宽约2米；在大门东侧立柱旁设置双向三通道人行摆闸，并安装活动板房及测温设备。</w:t>
      </w:r>
    </w:p>
    <w:p>
      <w:pPr>
        <w:pStyle w:val="13"/>
        <w:widowControl/>
        <w:numPr>
          <w:numId w:val="0"/>
        </w:numPr>
        <w:wordWrap/>
        <w:adjustRightInd/>
        <w:snapToGrid/>
        <w:spacing w:after="0"/>
        <w:ind w:left="0" w:leftChars="0" w:firstLine="420" w:firstLineChars="175"/>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highlight w:val="none"/>
          <w:lang w:eastAsia="zh-CN"/>
        </w:rPr>
        <w:t>综上所述，水产肉食共设置机动车3进3出，使用4个单开直臂闸，2个双开双道闸；三轮车2进2出，使用单开直臂闸；行人2进，使用1个行人广告门，1个双向三通道人行摆闸。</w:t>
      </w:r>
    </w:p>
    <w:p>
      <w:pPr>
        <w:pStyle w:val="13"/>
        <w:widowControl/>
        <w:numPr>
          <w:numId w:val="0"/>
        </w:numPr>
        <w:wordWrap/>
        <w:adjustRightInd/>
        <w:snapToGrid/>
        <w:spacing w:after="0"/>
        <w:ind w:left="418" w:leftChars="0"/>
        <w:jc w:val="both"/>
        <w:textAlignment w:val="auto"/>
        <w:rPr>
          <w:rFonts w:hint="eastAsia" w:ascii="宋体" w:hAnsi="宋体" w:cs="宋体"/>
          <w:b/>
          <w:bCs w:val="0"/>
          <w:color w:val="auto"/>
          <w:kern w:val="0"/>
          <w:sz w:val="24"/>
          <w:highlight w:val="none"/>
          <w:lang w:val="en-US" w:eastAsia="zh-CN"/>
        </w:rPr>
      </w:pPr>
      <w:r>
        <w:rPr>
          <w:rFonts w:hint="eastAsia" w:ascii="宋体" w:hAnsi="宋体" w:cs="宋体"/>
          <w:b/>
          <w:bCs w:val="0"/>
          <w:color w:val="auto"/>
          <w:kern w:val="0"/>
          <w:sz w:val="24"/>
          <w:highlight w:val="none"/>
          <w:lang w:val="en-US" w:eastAsia="zh-CN"/>
        </w:rPr>
        <w:t>（二）技术要求</w:t>
      </w:r>
    </w:p>
    <w:p>
      <w:pPr>
        <w:pStyle w:val="13"/>
        <w:widowControl/>
        <w:numPr>
          <w:ilvl w:val="0"/>
          <w:numId w:val="5"/>
        </w:numPr>
        <w:wordWrap/>
        <w:adjustRightInd/>
        <w:snapToGrid/>
        <w:spacing w:after="0"/>
        <w:ind w:leftChars="200"/>
        <w:jc w:val="both"/>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机动车出入口采用车辆识别技术，三轮车采用驾驶人扫二维码或IC卡识别进场。</w:t>
      </w:r>
    </w:p>
    <w:p>
      <w:pPr>
        <w:pStyle w:val="13"/>
        <w:widowControl/>
        <w:numPr>
          <w:ilvl w:val="0"/>
          <w:numId w:val="5"/>
        </w:numPr>
        <w:wordWrap/>
        <w:adjustRightInd/>
        <w:snapToGrid/>
        <w:spacing w:after="0"/>
        <w:ind w:leftChars="200"/>
        <w:jc w:val="both"/>
        <w:textAlignment w:val="auto"/>
        <w:rPr>
          <w:rFonts w:hint="default"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机动车入口处设置双摄像机识别车牌，出口处设置单摄像机识别车牌。</w:t>
      </w:r>
    </w:p>
    <w:p>
      <w:pPr>
        <w:pStyle w:val="13"/>
        <w:widowControl/>
        <w:numPr>
          <w:ilvl w:val="0"/>
          <w:numId w:val="5"/>
        </w:numPr>
        <w:wordWrap/>
        <w:adjustRightInd/>
        <w:snapToGrid/>
        <w:spacing w:after="0"/>
        <w:ind w:leftChars="200"/>
        <w:jc w:val="both"/>
        <w:textAlignment w:val="auto"/>
        <w:rPr>
          <w:rFonts w:hint="default"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入口标配测温设备，其中混合车道入口处测温设备须安装两台，一高一低，满足不同高度的驾驶室人员测温，目前考虑只测驾驶室人员温度，并留有记录。</w:t>
      </w:r>
    </w:p>
    <w:p>
      <w:pPr>
        <w:pStyle w:val="13"/>
        <w:widowControl/>
        <w:numPr>
          <w:ilvl w:val="0"/>
          <w:numId w:val="5"/>
        </w:numPr>
        <w:wordWrap/>
        <w:adjustRightInd/>
        <w:snapToGrid/>
        <w:spacing w:after="0"/>
        <w:ind w:leftChars="200"/>
        <w:jc w:val="both"/>
        <w:textAlignment w:val="auto"/>
        <w:rPr>
          <w:rFonts w:hint="eastAsia" w:ascii="宋体" w:hAnsi="宋体" w:cs="宋体"/>
          <w:b w:val="0"/>
          <w:bCs/>
          <w:color w:val="auto"/>
          <w:kern w:val="0"/>
          <w:sz w:val="24"/>
          <w:highlight w:val="none"/>
          <w:lang w:eastAsia="zh-CN"/>
        </w:rPr>
      </w:pPr>
      <w:r>
        <w:rPr>
          <w:rFonts w:hint="eastAsia" w:ascii="宋体" w:hAnsi="宋体" w:cs="宋体"/>
          <w:b w:val="0"/>
          <w:bCs/>
          <w:color w:val="auto"/>
          <w:kern w:val="0"/>
          <w:sz w:val="24"/>
          <w:highlight w:val="none"/>
          <w:lang w:eastAsia="zh-CN"/>
        </w:rPr>
        <w:t>机动车、三轮车、人行闸机可以与人脸测温设备不同品牌，如果是不同品牌则测温设备须与闸机平台对接，但机动车、三轮车、人行闸机须为同一品牌，同一平台管理。</w:t>
      </w:r>
    </w:p>
    <w:p>
      <w:pPr>
        <w:pStyle w:val="13"/>
        <w:widowControl/>
        <w:numPr>
          <w:ilvl w:val="0"/>
          <w:numId w:val="5"/>
        </w:numPr>
        <w:wordWrap/>
        <w:adjustRightInd/>
        <w:snapToGrid/>
        <w:spacing w:after="0"/>
        <w:ind w:leftChars="200"/>
        <w:jc w:val="both"/>
        <w:textAlignment w:val="auto"/>
        <w:rPr>
          <w:rFonts w:hint="eastAsia" w:ascii="宋体" w:hAnsi="宋体" w:cs="宋体"/>
          <w:b w:val="0"/>
          <w:bCs/>
          <w:color w:val="auto"/>
          <w:kern w:val="0"/>
          <w:sz w:val="24"/>
          <w:highlight w:val="none"/>
          <w:lang w:eastAsia="zh-CN"/>
        </w:rPr>
      </w:pPr>
      <w:r>
        <w:rPr>
          <w:rFonts w:hint="eastAsia" w:ascii="宋体" w:hAnsi="宋体" w:cs="宋体"/>
          <w:b w:val="0"/>
          <w:bCs/>
          <w:color w:val="auto"/>
          <w:kern w:val="0"/>
          <w:sz w:val="24"/>
          <w:highlight w:val="none"/>
          <w:lang w:eastAsia="zh-CN"/>
        </w:rPr>
        <w:t>测温平台须与闸机平台对接，测温设备或测温平台将是否能够放行的信号传输至闸机进行联动。</w:t>
      </w:r>
    </w:p>
    <w:p>
      <w:pPr>
        <w:pStyle w:val="13"/>
        <w:widowControl/>
        <w:numPr>
          <w:ilvl w:val="0"/>
          <w:numId w:val="5"/>
        </w:numPr>
        <w:wordWrap/>
        <w:adjustRightInd/>
        <w:snapToGrid/>
        <w:spacing w:after="0"/>
        <w:ind w:leftChars="200"/>
        <w:jc w:val="both"/>
        <w:textAlignment w:val="auto"/>
        <w:rPr>
          <w:rFonts w:hint="eastAsia" w:ascii="宋体" w:hAnsi="宋体" w:cs="宋体"/>
          <w:b w:val="0"/>
          <w:bCs/>
          <w:color w:val="auto"/>
          <w:kern w:val="0"/>
          <w:sz w:val="24"/>
          <w:highlight w:val="none"/>
          <w:lang w:eastAsia="zh-CN"/>
        </w:rPr>
      </w:pPr>
      <w:r>
        <w:rPr>
          <w:rFonts w:hint="eastAsia" w:ascii="宋体" w:hAnsi="宋体" w:cs="宋体"/>
          <w:b w:val="0"/>
          <w:bCs/>
          <w:color w:val="auto"/>
          <w:kern w:val="0"/>
          <w:sz w:val="24"/>
          <w:highlight w:val="none"/>
          <w:lang w:eastAsia="zh-CN"/>
        </w:rPr>
        <w:t>测温设备须支持人脸测温、安康码（</w:t>
      </w:r>
      <w:r>
        <w:rPr>
          <w:rFonts w:hint="eastAsia" w:ascii="宋体" w:hAnsi="宋体" w:cs="宋体"/>
          <w:b w:val="0"/>
          <w:bCs/>
          <w:color w:val="auto"/>
          <w:kern w:val="0"/>
          <w:sz w:val="24"/>
          <w:highlight w:val="none"/>
          <w:lang w:val="en-US" w:eastAsia="zh-CN"/>
        </w:rPr>
        <w:t>主动、被动</w:t>
      </w:r>
      <w:r>
        <w:rPr>
          <w:rFonts w:hint="eastAsia" w:ascii="宋体" w:hAnsi="宋体" w:cs="宋体"/>
          <w:b w:val="0"/>
          <w:bCs/>
          <w:color w:val="auto"/>
          <w:kern w:val="0"/>
          <w:sz w:val="24"/>
          <w:highlight w:val="none"/>
          <w:lang w:eastAsia="zh-CN"/>
        </w:rPr>
        <w:t>）、刷身份证、人脸比对多种核验方式，核验方式可单选可多选，如安康码核验通行，测温+安康码混合核验通行等，</w:t>
      </w:r>
      <w:r>
        <w:rPr>
          <w:rFonts w:hint="eastAsia" w:ascii="宋体" w:hAnsi="宋体" w:cs="宋体"/>
          <w:b w:val="0"/>
          <w:bCs/>
          <w:color w:val="auto"/>
          <w:kern w:val="0"/>
          <w:sz w:val="24"/>
          <w:highlight w:val="none"/>
          <w:lang w:val="en-US" w:eastAsia="zh-CN"/>
        </w:rPr>
        <w:t>需提供证明材料</w:t>
      </w:r>
      <w:r>
        <w:rPr>
          <w:rFonts w:hint="eastAsia" w:ascii="宋体" w:hAnsi="宋体" w:cs="宋体"/>
          <w:b w:val="0"/>
          <w:bCs/>
          <w:color w:val="auto"/>
          <w:kern w:val="0"/>
          <w:sz w:val="24"/>
          <w:highlight w:val="none"/>
          <w:lang w:eastAsia="zh-CN"/>
        </w:rPr>
        <w:t>。</w:t>
      </w:r>
    </w:p>
    <w:p>
      <w:pPr>
        <w:pStyle w:val="13"/>
        <w:widowControl/>
        <w:numPr>
          <w:ilvl w:val="0"/>
          <w:numId w:val="5"/>
        </w:numPr>
        <w:wordWrap/>
        <w:adjustRightInd/>
        <w:snapToGrid/>
        <w:spacing w:after="0"/>
        <w:ind w:leftChars="200"/>
        <w:jc w:val="both"/>
        <w:textAlignment w:val="auto"/>
        <w:rPr>
          <w:rFonts w:hint="eastAsia" w:ascii="宋体" w:hAnsi="宋体" w:cs="宋体"/>
          <w:b w:val="0"/>
          <w:bCs/>
          <w:color w:val="auto"/>
          <w:kern w:val="0"/>
          <w:sz w:val="24"/>
          <w:highlight w:val="none"/>
          <w:lang w:eastAsia="zh-CN"/>
        </w:rPr>
      </w:pPr>
      <w:r>
        <w:rPr>
          <w:rFonts w:hint="eastAsia" w:ascii="宋体" w:hAnsi="宋体" w:cs="宋体"/>
          <w:b w:val="0"/>
          <w:bCs/>
          <w:color w:val="auto"/>
          <w:kern w:val="0"/>
          <w:sz w:val="24"/>
          <w:highlight w:val="none"/>
          <w:lang w:eastAsia="zh-CN"/>
        </w:rPr>
        <w:t>闸机系统须满足与周谷堆数字化平台进场系统的接口对接和数据转换，兼容ETC缴费等新兴支付方式；</w:t>
      </w:r>
    </w:p>
    <w:p>
      <w:pPr>
        <w:pStyle w:val="13"/>
        <w:widowControl/>
        <w:numPr>
          <w:ilvl w:val="0"/>
          <w:numId w:val="5"/>
        </w:numPr>
        <w:wordWrap/>
        <w:adjustRightInd/>
        <w:snapToGrid/>
        <w:spacing w:after="0"/>
        <w:ind w:leftChars="200"/>
        <w:jc w:val="both"/>
        <w:textAlignment w:val="auto"/>
        <w:rPr>
          <w:rFonts w:hint="eastAsia" w:ascii="宋体" w:hAnsi="宋体" w:cs="宋体"/>
          <w:b w:val="0"/>
          <w:bCs/>
          <w:color w:val="auto"/>
          <w:kern w:val="0"/>
          <w:sz w:val="24"/>
          <w:highlight w:val="none"/>
          <w:lang w:eastAsia="zh-CN"/>
        </w:rPr>
      </w:pPr>
      <w:r>
        <w:rPr>
          <w:rFonts w:hint="eastAsia" w:ascii="宋体" w:hAnsi="宋体" w:cs="宋体"/>
          <w:b w:val="0"/>
          <w:bCs/>
          <w:color w:val="auto"/>
          <w:kern w:val="0"/>
          <w:sz w:val="24"/>
          <w:highlight w:val="none"/>
          <w:lang w:eastAsia="zh-CN"/>
        </w:rPr>
        <w:t>机动车道闸应支持对不同颜色车牌的区分和个性化管控的功能；</w:t>
      </w:r>
    </w:p>
    <w:p>
      <w:pPr>
        <w:pStyle w:val="13"/>
        <w:widowControl/>
        <w:numPr>
          <w:ilvl w:val="0"/>
          <w:numId w:val="5"/>
        </w:numPr>
        <w:wordWrap/>
        <w:adjustRightInd/>
        <w:snapToGrid/>
        <w:spacing w:after="0"/>
        <w:ind w:leftChars="200"/>
        <w:jc w:val="both"/>
        <w:textAlignment w:val="auto"/>
        <w:rPr>
          <w:rFonts w:hint="eastAsia" w:ascii="宋体" w:hAnsi="宋体" w:cs="宋体"/>
          <w:b w:val="0"/>
          <w:bCs/>
          <w:color w:val="auto"/>
          <w:kern w:val="0"/>
          <w:sz w:val="24"/>
          <w:highlight w:val="none"/>
          <w:lang w:eastAsia="zh-CN"/>
        </w:rPr>
      </w:pPr>
      <w:r>
        <w:rPr>
          <w:rFonts w:hint="eastAsia" w:ascii="宋体" w:hAnsi="宋体" w:cs="宋体"/>
          <w:b w:val="0"/>
          <w:bCs/>
          <w:color w:val="auto"/>
          <w:kern w:val="0"/>
          <w:sz w:val="24"/>
          <w:highlight w:val="none"/>
          <w:lang w:eastAsia="zh-CN"/>
        </w:rPr>
        <w:t>三轮车道闸硬件及系统须支持刷门禁卡及蓝牙识别设备读取通行，并具备多种收费方式如月卡、单次出场缴费或免费放行等功能；</w:t>
      </w:r>
    </w:p>
    <w:p>
      <w:pPr>
        <w:pStyle w:val="13"/>
        <w:widowControl/>
        <w:numPr>
          <w:ilvl w:val="0"/>
          <w:numId w:val="5"/>
        </w:numPr>
        <w:tabs>
          <w:tab w:val="clear" w:pos="312"/>
        </w:tabs>
        <w:wordWrap/>
        <w:adjustRightInd/>
        <w:snapToGrid/>
        <w:spacing w:after="0"/>
        <w:ind w:leftChars="200"/>
        <w:jc w:val="both"/>
        <w:textAlignment w:val="auto"/>
        <w:rPr>
          <w:rFonts w:hint="default"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eastAsia="zh-CN"/>
        </w:rPr>
        <w:t>闸机平台须具备自动识别车辆黑白名单功能，对于闯闸逃费车辆，再次进场系统禁止放行，需补齐上次费用或后台解除黑名单状态才能通行。</w:t>
      </w:r>
    </w:p>
    <w:p>
      <w:pPr>
        <w:pStyle w:val="13"/>
        <w:widowControl/>
        <w:numPr>
          <w:numId w:val="0"/>
        </w:numPr>
        <w:wordWrap/>
        <w:adjustRightInd/>
        <w:snapToGrid/>
        <w:spacing w:after="0"/>
        <w:ind w:left="418" w:leftChars="0"/>
        <w:jc w:val="both"/>
        <w:textAlignment w:val="auto"/>
        <w:rPr>
          <w:rFonts w:hint="default"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（三）具体实施地点</w:t>
      </w:r>
    </w:p>
    <w:p>
      <w:pPr>
        <w:pStyle w:val="13"/>
        <w:widowControl/>
        <w:numPr>
          <w:numId w:val="0"/>
        </w:numPr>
        <w:wordWrap/>
        <w:adjustRightInd/>
        <w:snapToGrid/>
        <w:spacing w:after="0"/>
        <w:ind w:firstLine="480" w:firstLineChars="200"/>
        <w:jc w:val="both"/>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详见安装示意图</w:t>
      </w:r>
    </w:p>
    <w:p>
      <w:pPr>
        <w:pStyle w:val="13"/>
        <w:widowControl/>
        <w:numPr>
          <w:numId w:val="0"/>
        </w:numPr>
        <w:wordWrap/>
        <w:adjustRightInd/>
        <w:snapToGrid/>
        <w:spacing w:after="0"/>
        <w:ind w:firstLine="480" w:firstLineChars="200"/>
        <w:jc w:val="both"/>
        <w:textAlignment w:val="auto"/>
        <w:rPr>
          <w:rFonts w:hint="default" w:ascii="宋体" w:hAnsi="宋体" w:cs="宋体"/>
          <w:b w:val="0"/>
          <w:bCs/>
          <w:color w:val="auto"/>
          <w:kern w:val="0"/>
          <w:sz w:val="24"/>
          <w:highlight w:val="none"/>
          <w:lang w:val="en-US" w:eastAsia="zh-CN"/>
        </w:rPr>
      </w:pPr>
    </w:p>
    <w:p>
      <w:pPr>
        <w:numPr>
          <w:numId w:val="0"/>
        </w:numPr>
        <w:jc w:val="both"/>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lang w:eastAsia="zh-CN"/>
        </w:rPr>
        <w:t>二、设备</w:t>
      </w:r>
      <w:r>
        <w:rPr>
          <w:rFonts w:hint="eastAsia" w:ascii="宋体" w:hAnsi="宋体" w:eastAsia="宋体" w:cs="宋体"/>
          <w:b/>
          <w:bCs/>
          <w:color w:val="auto"/>
          <w:kern w:val="0"/>
          <w:sz w:val="24"/>
          <w:szCs w:val="24"/>
          <w:highlight w:val="none"/>
          <w:lang w:eastAsia="zh-CN"/>
        </w:rPr>
        <w:t>清单</w:t>
      </w:r>
    </w:p>
    <w:tbl>
      <w:tblPr>
        <w:tblStyle w:val="19"/>
        <w:tblW w:w="98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1200"/>
        <w:gridCol w:w="6045"/>
        <w:gridCol w:w="79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名称</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主要参数</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数量</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80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一、机动车出入口门禁（3进3出）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5"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快速直杆道闸</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1.防护等级：IP54及以上，环境温度：-25℃~70℃，工作湿度：≤95% 不凝露</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2.杆长：≤3米；</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3.起杆时间：1秒；</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4.具有遇阻反弹，当落杆触碰到障碍物时，挡车器能够智能检测，停止落杆并迅速返回，闸杆具有防砸胶条，有效保证车辆的安全，提供产品彩页证明；</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5.运行寿命：500万次；</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★6.具有公安部检测报告符合GA/T 1132-2014《车辆进入口电动栏杆机技术要求》，提供公安部检测报告证明；</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7.具有自检功能，发生故障时能够发出告警信息；</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8.可配置雷达检测、红外检测；</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9.在道闸断电情况下，可手动进行开闸。</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高速直杆道闸</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1.防护等级：IP54及以上，环境温度：-25℃~70℃，工作湿度：≤95% 不凝露</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2.杆长：≤3米；</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3.起杆时间：0.6-2秒可调（闸杆长2米以内，最快可调至0.6秒）；</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4.具有遇阻反弹，当落杆触碰到障碍物时，挡车器能够智能检测，停止落杆并迅速返回，闸杆具有防砸胶条，有效保证车辆的安全；</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5.运行寿命：500万次。</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★6.具有公安部检测报告符合GA/T 1132-2014《车辆进入口电动栏杆机技术要求》，提供公安部检测报告证明；</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7.具有自检功能，发生故障时能够发出告警信息；</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8.可配置雷达检测、红外检测；</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9.在道闸断电情况下，可手动进行开闸。</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870"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入口控制机（含主摄像机、立柱、显示屏、语音播报、补光灯）</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1.200万像素，CMOS传感器，分辨率1920*1080；</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2.采用视频压缩技术H .264 做视频编码，抓拍帧采用JPEG编码；</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3.支持地感触发、视频流、地感+视频流等多种车辆检测识别方式，可输入两路地感信息；</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★4.车辆捕获率≥99.5%，车牌识别正确率≥99.5%，提供公安部检测报告证明；</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5.识别车牌类型 符合“GA36-1992”、“GA36.1-2001”、“GA36-2007”标准的民用车牌照和“2013式”军车牌照、“2013式”武警车牌照；</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6.图像分辨率1080P、720P；</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7.输出信息：车辆大图、车牌小图、车牌号码，输出图片格式 JPEG；</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8.通讯方式：TCP/IP；</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9.防护等级 IP54及以上，环境温度：-25℃~70℃，工作湿度：≤95% 不凝露；</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10.LED信息屏：可自定义显示车牌号码、收费信息；</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11.立柱高度可调节，需采取烤漆工艺处理，三年内无明显褪色现象；</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12.LED补光灯，自带光感，夜间自动点亮，无需人工开启；</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13.语音播报信息，支持播报当前车辆信息，车牌号码，需缴纳的停车费，“请摇下车窗，测量体温后通行”等提示音；</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14.从车辆信息确认放行到挡车器开启响应时间小于1s。</w:t>
            </w:r>
          </w:p>
        </w:tc>
        <w:tc>
          <w:tcPr>
            <w:tcW w:w="79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辅助摄像机（含立柱）</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1.200万像素，CMOS传感器，分辨率1920*1080；</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2.采用视频压缩技术H .264 做视频编码，抓拍帧采用JPEG编码；</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3.支持地感触发、视频流、地感+视频流等多种车辆检测识别方式，可输入两路地感信息；</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★4.车辆捕获率≥99.5%，车牌识别正确率≥99.5%，提供公安部检测报告证明；</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5.识别车牌类型 符合“GA36-1992”、“GA36.1-2001”、“GA36-2007”标准的民用车牌照和“2013式”军车牌照、“2013式”武警车牌照；</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6.图像分辨率1080P、720P；</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7.输出信息：车辆大图、车牌小图、车牌号码，输出图片格式 JPEG；</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8.通讯方式：TCP/IP；</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9.防护等级 IP54及以上，环境温度：-25℃~70℃，工作湿度：≤95% 不凝露；</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10.从车辆信息确认放行到挡车器开启响应时间小于1s。</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87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车辆检测器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1.BVR2.0导线，总电阻（含线圈与引线）＜9Ω；</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2.响应时间：100ms、250ms；</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3.检测率：&gt;99%。</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入口雷达</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安装位置：距地600mm～750mm；</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2.检测距离：20mm～4000mm；</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3.检测目标：机动车、三轮车、电动车、行人；</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4.响应时间：≤150ms；</w:t>
            </w:r>
          </w:p>
          <w:p>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5.配套安装支架。</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开闸遥控器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配套闸机使用，遥控距离不低于20米。</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出入口电脑</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7"/>
              </w:numPr>
              <w:jc w:val="left"/>
              <w:textAlignment w:val="center"/>
              <w:rPr>
                <w:rFonts w:hint="eastAsia"/>
                <w:highlight w:val="none"/>
              </w:rPr>
            </w:pPr>
            <w:r>
              <w:rPr>
                <w:rFonts w:hint="eastAsia"/>
                <w:highlight w:val="none"/>
              </w:rPr>
              <w:t>商用系列，预装正版微软Windows10 64位专业版操作系统,无版权问题（须随机器一并交付系统安装光盘，光盘序列号需与机器激活序列号一致）；</w:t>
            </w:r>
            <w:r>
              <w:rPr>
                <w:rFonts w:hint="eastAsia"/>
                <w:highlight w:val="none"/>
              </w:rPr>
              <w:br/>
            </w:r>
            <w:r>
              <w:rPr>
                <w:rFonts w:hint="eastAsia"/>
                <w:highlight w:val="none"/>
              </w:rPr>
              <w:t>2.CPU处理器: 英特尔奔腾系列，不低于G5400处理器；</w:t>
            </w:r>
            <w:r>
              <w:rPr>
                <w:rFonts w:hint="eastAsia"/>
                <w:highlight w:val="none"/>
              </w:rPr>
              <w:br/>
            </w:r>
            <w:r>
              <w:rPr>
                <w:rFonts w:hint="eastAsia"/>
                <w:highlight w:val="none"/>
              </w:rPr>
              <w:t>3.内存：16GB DDR4代内存；</w:t>
            </w:r>
            <w:r>
              <w:rPr>
                <w:rFonts w:hint="eastAsia"/>
                <w:highlight w:val="none"/>
              </w:rPr>
              <w:br/>
            </w:r>
            <w:r>
              <w:rPr>
                <w:rFonts w:hint="eastAsia"/>
                <w:highlight w:val="none"/>
              </w:rPr>
              <w:t>4.显卡：集成英特尔高清显卡或者独立显卡,VGA视频接口；</w:t>
            </w:r>
            <w:r>
              <w:rPr>
                <w:rFonts w:hint="eastAsia"/>
                <w:highlight w:val="none"/>
              </w:rPr>
              <w:br/>
            </w:r>
            <w:r>
              <w:rPr>
                <w:rFonts w:hint="eastAsia"/>
                <w:highlight w:val="none"/>
              </w:rPr>
              <w:t>5.硬盘：1TB 7200RPM机械硬盘；</w:t>
            </w:r>
            <w:r>
              <w:rPr>
                <w:rFonts w:hint="eastAsia"/>
                <w:highlight w:val="none"/>
              </w:rPr>
              <w:br/>
            </w:r>
            <w:r>
              <w:rPr>
                <w:rFonts w:hint="eastAsia"/>
                <w:highlight w:val="none"/>
              </w:rPr>
              <w:t>6.显示器：19.5英寸，分辨率1600*900。</w:t>
            </w:r>
          </w:p>
          <w:p>
            <w:pPr>
              <w:widowControl/>
              <w:spacing w:after="0"/>
              <w:jc w:val="left"/>
              <w:textAlignment w:val="center"/>
              <w:rPr>
                <w:highlight w:val="none"/>
              </w:rPr>
            </w:pPr>
            <w:r>
              <w:rPr>
                <w:rFonts w:hint="eastAsia"/>
                <w:highlight w:val="none"/>
              </w:rPr>
              <w:t>7.须提供产品彩页。</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80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二、三轮车出入口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快速直杆道闸</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 xml:space="preserve">与清单中“一、机动车出入口门禁”第一项“快速直杆道闸”为同一品牌型号。  </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入口控制机</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1.支持接入IC卡读卡器；</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2.支持扫二维码后开闸；</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3.支持三轮车触发到红外后，可进行扫码，扫码后自动开闸；</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4.语音播报信息，支持播报当前识别信息，需缴纳的停车费，“测量体温后通行”等提示音。</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读卡器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1.防水等级：IP54及以上；</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2.室外扫码距离范围：1-1.5m</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3.读卡距离：0~5cm</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4.识别IC卡，与控制机联动</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发行器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可发行IC卡片</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卡片</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材质：ABS</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芯片类型：IC</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1000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车辆检测器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1.BVR2.0导线，总电阻（含线圈与引线）＜9Ω；</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2.响应时间：100ms、250ms；</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3.检测率：&gt;99%。</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8</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入口雷达</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1.安装位置：距地600mm～750mm；</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2.检测距离：20mm～4000mm；</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3.检测目标：机动车、三轮车、电动车、行人；</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4.响应时间：≤150ms；</w:t>
            </w:r>
          </w:p>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5.配套安装支架。</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8</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二维码扫码</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支持静态码或动态码扫码进出场</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开闸遥控器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配套闸机使用，遥控距离不低于20米。</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80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三、行人出入口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人行摆闸（左、中、中、右）</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1.材质：拉丝不锈钢；</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2.外形尺寸：长1500mm~1800mm，宽：200mm~280mm，高：900mm~1000 mm；</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3.三通道，每个通道宽1.2米；</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4.通体不锈钢箱体厚度≥1.5mm；</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5.至少12对红外装置或光幕实现防尾随、判别方向、防夹伤、报警功能；</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6.门翼材质：不锈钢圆管/亚克力；</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7.闸杆转向：单双方向均可适用；</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8.工作环境：室内、室外均适用；</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9.防护等级：IP54及以上，环境温度：-25℃~70℃，工作湿度：≤95% 不凝露；</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★10.闸门开、关时间：≤0.8秒，提供公安部检测报告证明；</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★11.设备具备防尾随功能，提供公安部检测报告证明。</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11.通信方式：TCP/IP；</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★12.通道闸设备满足无障碍通行次数≥1000万次，提供公安部检测报告证明。</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人行摆闸人脸测温组件（含遮阳罩、二维码阅读器、身份证阅读器、支架）</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val="en-US" w:eastAsia="zh-CN"/>
              </w:rPr>
              <w:t xml:space="preserve">1、 </w:t>
            </w:r>
            <w:r>
              <w:rPr>
                <w:rFonts w:hint="eastAsia" w:ascii="宋体" w:hAnsi="宋体" w:cs="宋体"/>
                <w:color w:val="000000"/>
                <w:kern w:val="0"/>
                <w:szCs w:val="21"/>
                <w:highlight w:val="none"/>
              </w:rPr>
              <w:t>设备采用 7 英寸LCD 触摸显示屏，屏幕支持多点触控操作，屏幕流明度不低于350cd/㎡，分辨率不小于1024*600，屏幕防暴等级IK04，采用双目宽动态相机，最大分辨率：1920×1080。，支持人脸、刷卡（包括 M1 卡、CPU 卡、NFC 卡、二代身份证等）、二维码和密码识读，支持外接身份证阅读器模块读取身份证信息。</w:t>
            </w:r>
          </w:p>
          <w:p>
            <w:pPr>
              <w:widowControl/>
              <w:jc w:val="left"/>
              <w:textAlignment w:val="center"/>
              <w:rPr>
                <w:rFonts w:hint="eastAsia" w:ascii="宋体" w:hAnsi="宋体" w:eastAsia="宋体" w:cs="宋体"/>
                <w:color w:val="FF0000"/>
                <w:kern w:val="0"/>
                <w:szCs w:val="21"/>
                <w:highlight w:val="none"/>
                <w:lang w:eastAsia="zh-CN"/>
              </w:rPr>
            </w:pPr>
            <w:r>
              <w:rPr>
                <w:rFonts w:hint="eastAsia" w:ascii="宋体" w:hAnsi="宋体" w:cs="宋体"/>
                <w:color w:val="000000"/>
                <w:kern w:val="0"/>
                <w:szCs w:val="21"/>
                <w:highlight w:val="none"/>
              </w:rPr>
              <w:t>2.防护等级：IP54及以上；</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3.通讯方式：有线网络；</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4.摄像头：200W双目摄像头，支持宽动态，支持背光补偿、强光抑制、数字降噪等图像增强技术，支持白平衡、曝光自动调节"；</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5.测温精度:±0.5℃；</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6.测温距离:0.4-1.5米，面部识别距离：0.4-1.5米；</w:t>
            </w:r>
            <w:r>
              <w:rPr>
                <w:rFonts w:hint="eastAsia" w:ascii="宋体" w:hAnsi="宋体" w:cs="宋体"/>
                <w:color w:val="000000"/>
                <w:kern w:val="0"/>
                <w:szCs w:val="21"/>
                <w:highlight w:val="none"/>
              </w:rPr>
              <w:br/>
            </w:r>
            <w:r>
              <w:rPr>
                <w:rFonts w:hint="eastAsia" w:ascii="宋体" w:hAnsi="宋体" w:cs="宋体"/>
                <w:color w:val="000000"/>
                <w:kern w:val="0"/>
                <w:szCs w:val="21"/>
                <w:highlight w:val="none"/>
                <w:lang w:val="en-US" w:eastAsia="zh-CN"/>
              </w:rPr>
              <w:t xml:space="preserve">7、 </w:t>
            </w:r>
            <w:r>
              <w:rPr>
                <w:rFonts w:hint="eastAsia" w:ascii="宋体" w:hAnsi="宋体" w:cs="宋体"/>
                <w:color w:val="000000"/>
                <w:kern w:val="0"/>
                <w:szCs w:val="21"/>
                <w:highlight w:val="none"/>
              </w:rPr>
              <w:t>设备支持在 0.001lux 低照度无补光环境下正常实现人脸识别；人脸比对时间：＜175ms；人脸识别误识率≤0.01%的条件下，准确率大于99.9%；设备支持防假体攻击功能，对视频、电子照片、打印照片中的人脸应不能进行人脸识别</w:t>
            </w:r>
            <w:r>
              <w:rPr>
                <w:rFonts w:hint="eastAsia" w:ascii="宋体" w:hAnsi="宋体" w:cs="宋体"/>
                <w:color w:val="000000"/>
                <w:kern w:val="0"/>
                <w:szCs w:val="21"/>
                <w:highlight w:val="none"/>
                <w:lang w:eastAsia="zh-CN"/>
              </w:rPr>
              <w:t>；</w:t>
            </w:r>
          </w:p>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8.安装在人行摆闸上。</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板房</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1.尺寸：长8米，宽4.8米（根据人行摆闸宽度略有误差），高3米，4.8米为开口面，8米为通道长。</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2.立柱横梁：50mm*50mm*1.5mm镀锌方管。</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3.墙板：50岩棉板。</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4.屋顶：50瓦楞岩棉板。</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5.底座：150*150*8镀锌钢板。</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6.安装照明、插座、开关。</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7.安装4个塑钢推拉窗。</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人行广告门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1.门体长度：1350~1800mm可调；</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2.广告部分组成：12mm钢化玻璃+LED灯条，广告投放简单便捷，LED 灯光有多种可选控制模式；</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3.材质：高碳钢管；</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4.9.防护等级：IP54及以上，环境温度：-25℃~70℃，工作湿度：≤95% 不凝露；</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5.开、关门时间：5~10秒可调；</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 xml:space="preserve">6.开门方向：单向； </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7.自动保护：遇到超过电机负载能力的阻力时会启动电机保护；</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8.具备预阻反弹或停止功能，确保人身安全；</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9.寿命：连续开合300万次以上；</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10.兼容多种控制方式，如刷卡、无线遥控、IC卡、人脸识别等方式；</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11.适用行人、自行车、两轮电动车通行。</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人体红外感应器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 xml:space="preserve">1.电源电压：DC/AC12V~250V；                                                            </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 xml:space="preserve">2.电源频率：50-60Hz；                                                                 </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 xml:space="preserve">3.功耗：＜1W（VA)；                                                                                                                              </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 xml:space="preserve">4.防护等级:P54及以上；                                                                      </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5.外壳材质:ABS塑料；</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 xml:space="preserve">6.配套人行广告门使用                                                                 </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开闸遥控器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配套人行摆闸、人行广告门使用，遥控距离不低于20米。</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80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四、门禁后端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门禁道闸管理软件</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highlight w:val="none"/>
              </w:rPr>
            </w:pPr>
            <w:r>
              <w:rPr>
                <w:rFonts w:hint="eastAsia"/>
                <w:highlight w:val="none"/>
              </w:rPr>
              <w:t>1.软件永久授权；</w:t>
            </w:r>
            <w:r>
              <w:rPr>
                <w:rFonts w:hint="eastAsia"/>
                <w:highlight w:val="none"/>
              </w:rPr>
              <w:br/>
            </w:r>
            <w:r>
              <w:rPr>
                <w:rFonts w:hint="eastAsia"/>
                <w:highlight w:val="none"/>
              </w:rPr>
              <w:t>2.含前后端软件，数量不受控制；</w:t>
            </w:r>
            <w:r>
              <w:rPr>
                <w:rFonts w:hint="eastAsia"/>
                <w:highlight w:val="none"/>
              </w:rPr>
              <w:br/>
            </w:r>
            <w:r>
              <w:rPr>
                <w:rFonts w:hint="eastAsia"/>
                <w:highlight w:val="none"/>
              </w:rPr>
              <w:t>3.软件采用B/S架构模式，实现数据集中存储，实时共享；</w:t>
            </w:r>
            <w:r>
              <w:rPr>
                <w:rFonts w:hint="eastAsia"/>
                <w:highlight w:val="none"/>
              </w:rPr>
              <w:br/>
            </w:r>
            <w:r>
              <w:rPr>
                <w:rFonts w:hint="eastAsia"/>
                <w:highlight w:val="none"/>
              </w:rPr>
              <w:t>4.能有效管控无牌车、三轮车、行人的进出；</w:t>
            </w:r>
            <w:r>
              <w:rPr>
                <w:rFonts w:hint="eastAsia"/>
                <w:highlight w:val="none"/>
              </w:rPr>
              <w:br/>
            </w:r>
            <w:r>
              <w:rPr>
                <w:rFonts w:hint="eastAsia"/>
                <w:highlight w:val="none"/>
              </w:rPr>
              <w:t>5.严格的交接班操作，杜绝了收费信息漏洞，方便车场管理；</w:t>
            </w:r>
            <w:r>
              <w:rPr>
                <w:rFonts w:hint="eastAsia"/>
                <w:highlight w:val="none"/>
              </w:rPr>
              <w:br/>
            </w:r>
            <w:r>
              <w:rPr>
                <w:rFonts w:hint="eastAsia"/>
                <w:highlight w:val="none"/>
              </w:rPr>
              <w:t>6.需支持多种支付方式（微信、支付宝、APP、银联等）；</w:t>
            </w:r>
            <w:r>
              <w:rPr>
                <w:rFonts w:hint="eastAsia"/>
                <w:highlight w:val="none"/>
              </w:rPr>
              <w:br/>
            </w:r>
            <w:r>
              <w:rPr>
                <w:rFonts w:hint="eastAsia"/>
                <w:highlight w:val="none"/>
              </w:rPr>
              <w:t>7.具备自动识别车辆黑白名单功能，对于闯闸逃费车辆，再次进场系统禁止放行，需补齐上次费用或后台解除黑名单状态才能通行。</w:t>
            </w:r>
            <w:r>
              <w:rPr>
                <w:rFonts w:hint="eastAsia"/>
                <w:highlight w:val="none"/>
              </w:rPr>
              <w:br/>
            </w:r>
            <w:r>
              <w:rPr>
                <w:rFonts w:hint="eastAsia"/>
                <w:highlight w:val="none"/>
              </w:rPr>
              <w:t>8.具备发行停车电子优惠券的功能，商户可以通过向市场方购买优惠券，并自行分配使用的功能，优惠券的分配应支持小程序、APP等方式。</w:t>
            </w:r>
            <w:r>
              <w:rPr>
                <w:rFonts w:hint="eastAsia"/>
                <w:highlight w:val="none"/>
              </w:rPr>
              <w:br/>
            </w:r>
            <w:r>
              <w:rPr>
                <w:rFonts w:hint="eastAsia"/>
                <w:highlight w:val="none"/>
              </w:rPr>
              <w:t>9.系统接口齐全，可与第三方软件平台进行无缝对接，方便不同厂家系统能在同一平台进行统一管理；</w:t>
            </w:r>
            <w:r>
              <w:rPr>
                <w:rFonts w:hint="eastAsia"/>
                <w:highlight w:val="none"/>
              </w:rPr>
              <w:br/>
            </w:r>
            <w:r>
              <w:rPr>
                <w:rFonts w:hint="eastAsia"/>
                <w:highlight w:val="none"/>
              </w:rPr>
              <w:t>10.多样化的收费标准，满足车场各种收费模式，确保停车费用不被流失。</w:t>
            </w:r>
            <w:r>
              <w:rPr>
                <w:rFonts w:hint="eastAsia"/>
                <w:highlight w:val="none"/>
              </w:rPr>
              <w:br/>
            </w:r>
            <w:r>
              <w:rPr>
                <w:rFonts w:hint="eastAsia"/>
                <w:highlight w:val="none"/>
              </w:rPr>
              <w:t>11.★须在投标文件中提供生产厂支付平台软件著作权证书扫描件或影印件；须在投标文件中提供生产厂商车场管理系统软件著作权证书扫描件或影印件</w:t>
            </w:r>
            <w:r>
              <w:rPr>
                <w:rFonts w:hint="eastAsia"/>
                <w:highlight w:val="none"/>
                <w:lang w:eastAsia="zh-CN"/>
              </w:rPr>
              <w:t>；</w:t>
            </w:r>
            <w:r>
              <w:rPr>
                <w:rFonts w:hint="eastAsia"/>
                <w:highlight w:val="none"/>
              </w:rPr>
              <w:t>车牌识别软件第三方测试报告。</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1</w:t>
            </w:r>
            <w:r>
              <w:rPr>
                <w:rFonts w:hint="eastAsia" w:ascii="Calibri" w:hAnsi="Calibri" w:cs="Times New Roman"/>
                <w:b w:val="0"/>
                <w:sz w:val="21"/>
                <w:szCs w:val="24"/>
                <w:highlight w:val="none"/>
                <w:lang w:val="en-US" w:eastAsia="zh-CN"/>
              </w:rPr>
              <w:t>2</w:t>
            </w:r>
            <w:r>
              <w:rPr>
                <w:rFonts w:hint="eastAsia" w:ascii="Calibri" w:hAnsi="Calibri" w:cs="Times New Roman"/>
                <w:b w:val="0"/>
                <w:sz w:val="21"/>
                <w:szCs w:val="24"/>
                <w:highlight w:val="none"/>
              </w:rPr>
              <w:t>.★以下功能要点须提供软件界面截图。</w:t>
            </w:r>
          </w:p>
          <w:p>
            <w:pPr>
              <w:pStyle w:val="13"/>
              <w:widowControl/>
              <w:spacing w:after="0"/>
              <w:jc w:val="left"/>
              <w:rPr>
                <w:rFonts w:hint="eastAsia" w:ascii="Calibri" w:hAnsi="Calibri" w:cs="Times New Roman"/>
                <w:b w:val="0"/>
                <w:sz w:val="21"/>
                <w:szCs w:val="24"/>
                <w:highlight w:val="none"/>
              </w:rPr>
            </w:pPr>
            <w:r>
              <w:rPr>
                <w:rFonts w:hint="eastAsia" w:ascii="宋体" w:hAnsi="宋体" w:cs="宋体"/>
                <w:b w:val="0"/>
                <w:sz w:val="21"/>
                <w:szCs w:val="24"/>
                <w:highlight w:val="none"/>
              </w:rPr>
              <w:t>a.</w:t>
            </w:r>
            <w:r>
              <w:rPr>
                <w:rFonts w:hint="eastAsia" w:ascii="Calibri" w:hAnsi="Calibri" w:cs="Times New Roman"/>
                <w:b w:val="0"/>
                <w:sz w:val="21"/>
                <w:szCs w:val="24"/>
                <w:highlight w:val="none"/>
              </w:rPr>
              <w:t>门岗收费软件应具备以下基本功能：</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1）可实现车场车辆的费用收取、优惠券的抵扣操作；</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2）可实现手工补录进出场操作；</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3）可实现收费员交接班的管理及当班收费信息的实时（实收、应收、线上缴费等）；</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4）支持脱机期间进出场车辆收费输出在网络恢复后的续传功能；</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5）可实现收费明细的检索查询操作；</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6）系统界面应具备快捷操作功能。</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b.后台管理中心软件应具备以下基本功能：</w:t>
            </w:r>
          </w:p>
          <w:p>
            <w:pPr>
              <w:pStyle w:val="13"/>
              <w:widowControl/>
              <w:spacing w:after="0"/>
              <w:jc w:val="left"/>
              <w:rPr>
                <w:rFonts w:ascii="Calibri" w:hAnsi="Calibri" w:cs="Times New Roman"/>
                <w:b w:val="0"/>
                <w:sz w:val="21"/>
                <w:szCs w:val="24"/>
                <w:highlight w:val="none"/>
              </w:rPr>
            </w:pPr>
            <w:r>
              <w:rPr>
                <w:rFonts w:hint="eastAsia" w:ascii="Calibri" w:hAnsi="Calibri" w:cs="Times New Roman"/>
                <w:b w:val="0"/>
                <w:sz w:val="21"/>
                <w:szCs w:val="24"/>
                <w:highlight w:val="none"/>
              </w:rPr>
              <w:t>1）可实现各类基础信息和各类权限的增、删、改的管理；</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2）实现停车场各类收费标准单独或统一的设置，并实时生效；</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3）可实现车辆黑、白名单的增、删、改、查操作及满足分区或全区域生效需求；</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4）实现各类月卡、免费车辆灯的录入、延期、修改、注销等的管理和查询导出操作；</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5）实现优惠券的发行、修改、收费等的管理和查询检索操作；</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6）实现各类收费明细、出入车辆明细、优惠券发行使用明细等报表查询、导出操作；</w:t>
            </w:r>
          </w:p>
          <w:p>
            <w:pPr>
              <w:pStyle w:val="13"/>
              <w:widowControl/>
              <w:spacing w:after="0"/>
              <w:jc w:val="left"/>
              <w:rPr>
                <w:rFonts w:hint="eastAsia" w:ascii="Calibri" w:hAnsi="Calibri" w:cs="Times New Roman"/>
                <w:b w:val="0"/>
                <w:sz w:val="21"/>
                <w:szCs w:val="24"/>
                <w:highlight w:val="none"/>
              </w:rPr>
            </w:pPr>
            <w:r>
              <w:rPr>
                <w:rFonts w:hint="eastAsia" w:ascii="Calibri" w:hAnsi="Calibri" w:cs="Times New Roman"/>
                <w:b w:val="0"/>
                <w:sz w:val="21"/>
                <w:szCs w:val="24"/>
                <w:highlight w:val="none"/>
              </w:rPr>
              <w:t>7）实现各类统计报表的查询、导出，如临时车收费统计报表、停车场收费统计报表、收费员交班费用统计标、车流量统计、车牌归属地统计报表、优惠券统计表；</w:t>
            </w:r>
          </w:p>
          <w:p>
            <w:pPr>
              <w:pStyle w:val="13"/>
              <w:widowControl/>
              <w:spacing w:after="0"/>
              <w:jc w:val="left"/>
              <w:rPr>
                <w:rFonts w:ascii="Cambria" w:hAnsi="Cambria" w:cs="Times New Roman"/>
                <w:highlight w:val="none"/>
              </w:rPr>
            </w:pPr>
            <w:r>
              <w:rPr>
                <w:rFonts w:hint="eastAsia" w:ascii="Calibri" w:hAnsi="Calibri" w:cs="Times New Roman"/>
                <w:b w:val="0"/>
                <w:sz w:val="21"/>
                <w:szCs w:val="24"/>
                <w:highlight w:val="none"/>
              </w:rPr>
              <w:t>8）可实现各类数据的归档操作。</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门禁道闸软件接口</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1.支持多区域与城泊一一对应对接；</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2.测温平台须与闸机平台对接，测温设备或测温平台将是否能够放行的信号传输至闸机进行联动。</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3.周谷堆市场业务系统数据对接；</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4.需对接光大银行通道缴费，后期更换银行通道免费对接；</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5.需对接中国银联无感支付；</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6.对接ETC支付接口。</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服务器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甲方提供虚拟机</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80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五、人脸及测温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通道人脸测温设备（含防水罩、二维码阅读器、身份证阅读器、支架）</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val="en-US" w:eastAsia="zh-CN"/>
              </w:rPr>
              <w:t xml:space="preserve">1、 </w:t>
            </w:r>
            <w:r>
              <w:rPr>
                <w:rFonts w:hint="eastAsia" w:ascii="宋体" w:hAnsi="宋体" w:cs="宋体"/>
                <w:color w:val="000000"/>
                <w:kern w:val="0"/>
                <w:szCs w:val="21"/>
                <w:highlight w:val="none"/>
              </w:rPr>
              <w:t>设备采用 7 英寸LCD 触摸显示屏，屏幕支持多点触控操作，屏幕流明度不低于350cd/㎡，分辨率不小于1024*600，屏幕防暴等级IK04，采用双目宽动态相机，最大分辨率：1920×1080。，支持人脸、刷卡（包括 M1 卡、CPU 卡、NFC 卡、二代身份证等）、二维码和密码识读，支持外接身份证阅读器模块读取身份证信息。</w:t>
            </w:r>
          </w:p>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2.防护等级：IP54及以上；</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3.通讯方式：有线网络；</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4.摄像头：200W双目摄像头，支持宽动态，支持背光补偿、强光抑制、数字降噪等图像增强技术，支持白平衡、曝光自动调节"；</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5.测温精度:±0.5℃；</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6.测温距离:0.4-1.5米，面部识别距离：0.4-1.5米；</w:t>
            </w:r>
          </w:p>
          <w:p>
            <w:pPr>
              <w:widowControl/>
              <w:jc w:val="left"/>
              <w:textAlignment w:val="center"/>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val="en-US" w:eastAsia="zh-CN"/>
              </w:rPr>
              <w:t>7、</w:t>
            </w:r>
            <w:r>
              <w:rPr>
                <w:rFonts w:hint="eastAsia" w:ascii="宋体" w:hAnsi="宋体" w:cs="宋体"/>
                <w:color w:val="000000"/>
                <w:kern w:val="0"/>
                <w:szCs w:val="21"/>
                <w:highlight w:val="none"/>
              </w:rPr>
              <w:t>设备支持对人员身份信息及体温数据统一上传至平台软件，同时支持上传设备网络离线期间产生的事件数据；</w:t>
            </w:r>
            <w:r>
              <w:rPr>
                <w:rFonts w:hint="eastAsia" w:ascii="宋体" w:hAnsi="宋体" w:cs="宋体"/>
                <w:color w:val="000000"/>
                <w:kern w:val="0"/>
                <w:szCs w:val="21"/>
                <w:highlight w:val="none"/>
              </w:rPr>
              <w:br/>
            </w:r>
            <w:r>
              <w:rPr>
                <w:rFonts w:hint="eastAsia" w:ascii="宋体" w:hAnsi="宋体" w:cs="宋体"/>
                <w:color w:val="000000"/>
                <w:kern w:val="0"/>
                <w:szCs w:val="21"/>
                <w:highlight w:val="none"/>
                <w:lang w:val="en-US" w:eastAsia="zh-CN"/>
              </w:rPr>
              <w:t xml:space="preserve">8、 </w:t>
            </w:r>
            <w:r>
              <w:rPr>
                <w:rFonts w:hint="eastAsia" w:ascii="宋体" w:hAnsi="宋体" w:cs="宋体"/>
                <w:color w:val="000000"/>
                <w:kern w:val="0"/>
                <w:szCs w:val="21"/>
                <w:highlight w:val="none"/>
              </w:rPr>
              <w:t>设备支持在 0.001lux 低照度无补光环境下正常实现人脸识别；人脸比对时间：＜175ms；人脸识别误识率≤0.01%的条件下，准确率大于99.9%；设备支持防假体攻击功能，对视频、电子照片、打印照片中的人脸应不能进行人脸识别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 xml:space="preserve"> </w:t>
            </w:r>
          </w:p>
          <w:p>
            <w:pPr>
              <w:widowControl/>
              <w:numPr>
                <w:numId w:val="0"/>
              </w:numPr>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9.根据驾驶位不同，需求不同高度的立杆；</w:t>
            </w:r>
            <w:r>
              <w:rPr>
                <w:rFonts w:hint="eastAsia" w:ascii="宋体" w:hAnsi="宋体" w:cs="宋体"/>
                <w:color w:val="000000"/>
                <w:kern w:val="0"/>
                <w:szCs w:val="21"/>
                <w:highlight w:val="none"/>
              </w:rPr>
              <w:br/>
            </w:r>
            <w:r>
              <w:rPr>
                <w:rFonts w:hint="eastAsia" w:ascii="宋体" w:hAnsi="宋体" w:cs="宋体"/>
                <w:color w:val="000000"/>
                <w:kern w:val="0"/>
                <w:szCs w:val="21"/>
                <w:highlight w:val="none"/>
              </w:rPr>
              <w:t>10.安装亚克力材质透明防水罩。</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8</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后端软件</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jc w:val="left"/>
              <w:textAlignment w:val="center"/>
              <w:rPr>
                <w:rFonts w:hint="eastAsia"/>
                <w:highlight w:val="none"/>
              </w:rPr>
            </w:pPr>
            <w:r>
              <w:rPr>
                <w:rFonts w:hint="eastAsia"/>
                <w:highlight w:val="none"/>
              </w:rPr>
              <w:t>在测温管理中管理分组和测温设备，配置测温参数</w:t>
            </w:r>
            <w:r>
              <w:rPr>
                <w:rFonts w:hint="eastAsia"/>
                <w:highlight w:val="none"/>
              </w:rPr>
              <w:br/>
            </w:r>
            <w:r>
              <w:rPr>
                <w:rFonts w:hint="eastAsia"/>
                <w:highlight w:val="none"/>
              </w:rPr>
              <w:t>2、实时监测界面中能实时监测通过测温设备的人员体温是否正常，支持查看抓拍图、热成像图、登记异常人员信息等功能</w:t>
            </w:r>
            <w:r>
              <w:rPr>
                <w:rFonts w:hint="eastAsia"/>
                <w:highlight w:val="none"/>
              </w:rPr>
              <w:br/>
            </w:r>
            <w:r>
              <w:rPr>
                <w:rFonts w:hint="eastAsia"/>
                <w:highlight w:val="none"/>
              </w:rPr>
              <w:t>3、在告警中查看温度异常告警记录，并支持导出数据</w:t>
            </w:r>
            <w:r>
              <w:rPr>
                <w:rFonts w:hint="eastAsia"/>
                <w:highlight w:val="none"/>
              </w:rPr>
              <w:br/>
            </w:r>
            <w:r>
              <w:rPr>
                <w:rFonts w:hint="eastAsia"/>
                <w:highlight w:val="none"/>
              </w:rPr>
              <w:t>4、在回看中查看对应测温记录，并支持导出数据</w:t>
            </w:r>
            <w:r>
              <w:rPr>
                <w:rFonts w:hint="eastAsia"/>
                <w:highlight w:val="none"/>
              </w:rPr>
              <w:br/>
            </w:r>
            <w:r>
              <w:rPr>
                <w:rFonts w:hint="eastAsia"/>
                <w:highlight w:val="none"/>
              </w:rPr>
              <w:t>5、登记管理中能查看相关登记记录，并支持配置登记模板</w:t>
            </w:r>
            <w:r>
              <w:rPr>
                <w:rFonts w:hint="eastAsia"/>
                <w:highlight w:val="none"/>
              </w:rPr>
              <w:br/>
            </w:r>
            <w:r>
              <w:rPr>
                <w:rFonts w:hint="eastAsia"/>
                <w:highlight w:val="none"/>
              </w:rPr>
              <w:t>6、数据统计中支持查看对应测温统计数据</w:t>
            </w:r>
            <w:r>
              <w:rPr>
                <w:rFonts w:hint="eastAsia"/>
                <w:highlight w:val="none"/>
              </w:rPr>
              <w:br/>
            </w:r>
            <w:r>
              <w:rPr>
                <w:rFonts w:hint="eastAsia"/>
                <w:highlight w:val="none"/>
              </w:rPr>
              <w:t>7、数据报告中支持导出对应测温报告</w:t>
            </w:r>
            <w:r>
              <w:rPr>
                <w:rFonts w:hint="eastAsia"/>
                <w:highlight w:val="none"/>
              </w:rPr>
              <w:br/>
            </w:r>
            <w:r>
              <w:rPr>
                <w:rFonts w:hint="eastAsia"/>
                <w:highlight w:val="none"/>
              </w:rPr>
              <w:t>8、支持安康码的接入</w:t>
            </w:r>
          </w:p>
          <w:p>
            <w:pPr>
              <w:widowControl/>
              <w:jc w:val="left"/>
              <w:textAlignment w:val="center"/>
              <w:rPr>
                <w:rFonts w:hint="eastAsia"/>
                <w:highlight w:val="none"/>
              </w:rPr>
            </w:pPr>
            <w:r>
              <w:rPr>
                <w:rFonts w:hint="eastAsia"/>
                <w:highlight w:val="none"/>
              </w:rPr>
              <w:t>9、★以上功能要点须提供软件界面截图。</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服务器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甲方提供虚拟机</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80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rPr>
              <w:t>六、其他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道闸杆</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满足上述闸机使用，备用件，长度3米</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钢制减速带</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3000*300*50mm规格</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路面标识或网格线</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highlight w:val="none"/>
                <w:lang w:val="en-US" w:eastAsia="zh-CN"/>
              </w:rPr>
            </w:pPr>
            <w:r>
              <w:rPr>
                <w:rFonts w:hint="eastAsia" w:ascii="宋体" w:hAnsi="宋体" w:cs="宋体"/>
                <w:color w:val="000000"/>
                <w:kern w:val="0"/>
                <w:szCs w:val="21"/>
                <w:highlight w:val="none"/>
              </w:rPr>
              <w:t>划分道路标线及标识字，采取冷涂方式</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交换机</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24口</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光纤跳线</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SC-LC</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光纤收发器</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配套</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机柜</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9U机柜，防水，安装在岗亭内</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网线</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UPT-CAT6</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过路管</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KBJ钢管，φ32</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电源线</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RVV3*1.0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控制线</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RVV6*0.5</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400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地感线</w:t>
            </w:r>
          </w:p>
        </w:tc>
        <w:tc>
          <w:tcPr>
            <w:tcW w:w="6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BVR1.0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1000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米</w:t>
            </w:r>
          </w:p>
        </w:tc>
      </w:tr>
    </w:tbl>
    <w:p>
      <w:pPr>
        <w:numPr>
          <w:numId w:val="0"/>
        </w:numPr>
        <w:jc w:val="both"/>
        <w:rPr>
          <w:rFonts w:hint="eastAsia" w:ascii="宋体" w:hAnsi="宋体" w:eastAsia="宋体" w:cs="宋体"/>
          <w:color w:val="auto"/>
          <w:kern w:val="0"/>
          <w:sz w:val="24"/>
          <w:highlight w:val="none"/>
          <w:lang w:eastAsia="zh-CN"/>
        </w:rPr>
      </w:pPr>
    </w:p>
    <w:p>
      <w:pPr>
        <w:numPr>
          <w:numId w:val="0"/>
        </w:numPr>
        <w:spacing w:before="156" w:beforeLines="50" w:after="93" w:afterLines="30" w:line="520" w:lineRule="exact"/>
        <w:ind w:left="361" w:leftChars="0" w:firstLine="241" w:firstLineChars="100"/>
        <w:rPr>
          <w:rFonts w:hint="eastAsia" w:ascii="宋体" w:hAnsi="宋体" w:cs="宋体"/>
          <w:b/>
          <w:bCs/>
          <w:color w:val="auto"/>
          <w:kern w:val="0"/>
          <w:sz w:val="24"/>
          <w:highlight w:val="none"/>
          <w:lang w:eastAsia="zh-CN"/>
        </w:rPr>
      </w:pPr>
      <w:r>
        <w:rPr>
          <w:rFonts w:hint="eastAsia" w:ascii="宋体" w:hAnsi="宋体" w:cs="宋体"/>
          <w:b/>
          <w:bCs/>
          <w:color w:val="auto"/>
          <w:kern w:val="0"/>
          <w:sz w:val="24"/>
          <w:highlight w:val="none"/>
          <w:lang w:eastAsia="zh-CN"/>
        </w:rPr>
        <w:t>三、主要设备推荐品牌</w:t>
      </w:r>
    </w:p>
    <w:p>
      <w:pPr>
        <w:numPr>
          <w:numId w:val="0"/>
        </w:numPr>
        <w:spacing w:before="156" w:beforeLines="50" w:after="93" w:afterLines="30" w:line="520" w:lineRule="exact"/>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车辆识别设备：捷顺、海康、富士（分项设备需为同一品牌且成套提供）</w:t>
      </w:r>
    </w:p>
    <w:p>
      <w:pPr>
        <w:numPr>
          <w:numId w:val="0"/>
        </w:numPr>
        <w:spacing w:before="156" w:beforeLines="50" w:after="93" w:afterLines="30" w:line="52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测温设备：海康、捷顺、大华</w:t>
      </w:r>
      <w:r>
        <w:rPr>
          <w:rFonts w:hint="eastAsia" w:ascii="宋体" w:hAnsi="宋体" w:cs="宋体"/>
          <w:color w:val="auto"/>
          <w:kern w:val="0"/>
          <w:sz w:val="24"/>
          <w:highlight w:val="none"/>
          <w:lang w:val="en-US" w:eastAsia="zh-CN"/>
        </w:rPr>
        <w:t>（分项设备需为同一品牌且成套提供）</w:t>
      </w:r>
    </w:p>
    <w:p>
      <w:pPr>
        <w:numPr>
          <w:numId w:val="0"/>
        </w:numPr>
        <w:spacing w:before="156" w:beforeLines="50" w:after="93" w:afterLines="30" w:line="520" w:lineRule="exact"/>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交换机：H3C、华为、锐捷</w:t>
      </w:r>
    </w:p>
    <w:p>
      <w:pPr>
        <w:numPr>
          <w:numId w:val="0"/>
        </w:numPr>
        <w:spacing w:before="156" w:beforeLines="50" w:after="93" w:afterLines="30" w:line="520" w:lineRule="exact"/>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电脑：联想、戴尔、惠普（主机、显示器成套提供且为同一品牌）</w:t>
      </w:r>
    </w:p>
    <w:p>
      <w:pPr>
        <w:numPr>
          <w:numId w:val="0"/>
        </w:numPr>
        <w:spacing w:before="156" w:beforeLines="50" w:after="93" w:afterLines="30" w:line="520" w:lineRule="exact"/>
        <w:ind w:firstLine="482" w:firstLineChars="200"/>
        <w:rPr>
          <w:color w:val="auto"/>
          <w:highlight w:val="none"/>
        </w:rPr>
      </w:pPr>
      <w:r>
        <w:rPr>
          <w:rFonts w:hint="eastAsia" w:ascii="宋体" w:hAnsi="宋体"/>
          <w:b/>
          <w:bCs/>
          <w:color w:val="auto"/>
          <w:kern w:val="0"/>
          <w:sz w:val="24"/>
          <w:highlight w:val="none"/>
          <w:lang w:eastAsia="zh-CN"/>
        </w:rPr>
        <w:t>四、项目</w:t>
      </w:r>
      <w:r>
        <w:rPr>
          <w:rFonts w:hint="eastAsia" w:ascii="宋体" w:hAnsi="宋体"/>
          <w:b/>
          <w:bCs/>
          <w:color w:val="auto"/>
          <w:kern w:val="0"/>
          <w:sz w:val="24"/>
          <w:highlight w:val="none"/>
        </w:rPr>
        <w:t>质量要求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.项目</w:t>
      </w:r>
      <w:r>
        <w:rPr>
          <w:rFonts w:hint="eastAsia" w:ascii="宋体" w:hAnsi="宋体"/>
          <w:color w:val="auto"/>
          <w:sz w:val="24"/>
          <w:highlight w:val="none"/>
        </w:rPr>
        <w:t>质量应达到合同及招标文件的要求，质量不合格应进行返工，返修费用由中标方负责，工期不予延长。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中标</w:t>
      </w:r>
      <w:r>
        <w:rPr>
          <w:rFonts w:hint="eastAsia" w:ascii="宋体" w:hAnsi="宋体"/>
          <w:color w:val="auto"/>
          <w:sz w:val="24"/>
          <w:highlight w:val="none"/>
          <w:lang w:eastAsia="zh-CN"/>
        </w:rPr>
        <w:t>人</w:t>
      </w:r>
      <w:r>
        <w:rPr>
          <w:rFonts w:hint="eastAsia" w:ascii="宋体" w:hAnsi="宋体"/>
          <w:color w:val="auto"/>
          <w:sz w:val="24"/>
          <w:highlight w:val="none"/>
        </w:rPr>
        <w:t>负责设备、</w:t>
      </w:r>
      <w:r>
        <w:rPr>
          <w:rFonts w:hint="eastAsia" w:ascii="宋体" w:hAnsi="宋体"/>
          <w:color w:val="auto"/>
          <w:sz w:val="24"/>
          <w:highlight w:val="none"/>
          <w:lang w:eastAsia="zh-CN"/>
        </w:rPr>
        <w:t>地面标识</w:t>
      </w:r>
      <w:r>
        <w:rPr>
          <w:rFonts w:hint="eastAsia" w:ascii="宋体" w:hAnsi="宋体"/>
          <w:color w:val="auto"/>
          <w:sz w:val="24"/>
          <w:highlight w:val="none"/>
        </w:rPr>
        <w:t>及减速带安装和设备、网络调试。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中标</w:t>
      </w:r>
      <w:r>
        <w:rPr>
          <w:rFonts w:hint="eastAsia" w:ascii="宋体" w:hAnsi="宋体"/>
          <w:color w:val="auto"/>
          <w:sz w:val="24"/>
          <w:highlight w:val="none"/>
          <w:lang w:eastAsia="zh-CN"/>
        </w:rPr>
        <w:t>人</w:t>
      </w:r>
      <w:r>
        <w:rPr>
          <w:rFonts w:hint="eastAsia" w:ascii="宋体" w:hAnsi="宋体"/>
          <w:color w:val="auto"/>
          <w:sz w:val="24"/>
          <w:highlight w:val="none"/>
        </w:rPr>
        <w:t>需负责对业主使用管理人员进行系统运行、维护的免费培训。</w:t>
      </w:r>
    </w:p>
    <w:p>
      <w:pP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ascii="宋体" w:hAnsi="宋体"/>
          <w:color w:val="auto"/>
          <w:sz w:val="24"/>
          <w:highlight w:val="none"/>
        </w:rPr>
        <w:t>对于业主推荐品牌的材料，投标单位可选用推荐品牌或不低于推荐品牌质量标准的其它品牌；采用其它品牌的应在商务标中投标函后附投标函附件注明并提供相关技术参数、业绩等供评委会评审，未附投标函附件且未提供相关技术参数、业绩，或经评委会评审未通过的，中标后只能从业主推荐品牌中进行选择，价格不予调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.项目完成</w:t>
      </w:r>
      <w:r>
        <w:rPr>
          <w:rFonts w:hint="eastAsia" w:ascii="宋体" w:hAnsi="宋体"/>
          <w:color w:val="auto"/>
          <w:sz w:val="24"/>
          <w:highlight w:val="none"/>
        </w:rPr>
        <w:t>时，中标方须提交符合归档要求的</w:t>
      </w:r>
      <w:r>
        <w:rPr>
          <w:rFonts w:hint="eastAsia" w:ascii="宋体" w:hAnsi="宋体"/>
          <w:color w:val="auto"/>
          <w:sz w:val="24"/>
          <w:highlight w:val="none"/>
          <w:lang w:eastAsia="zh-CN"/>
        </w:rPr>
        <w:t>验收</w:t>
      </w:r>
      <w:r>
        <w:rPr>
          <w:rFonts w:hint="eastAsia" w:ascii="宋体" w:hAnsi="宋体"/>
          <w:color w:val="auto"/>
          <w:sz w:val="24"/>
          <w:highlight w:val="none"/>
        </w:rPr>
        <w:t>资料一式四份，其中二份为原件。</w:t>
      </w:r>
    </w:p>
    <w:p>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lang w:val="en-US" w:eastAsia="zh-CN"/>
        </w:rPr>
        <w:t>6</w:t>
      </w:r>
      <w:r>
        <w:rPr>
          <w:rFonts w:hint="eastAsia" w:ascii="宋体" w:hAnsi="宋体"/>
          <w:b/>
          <w:bCs/>
          <w:color w:val="auto"/>
          <w:sz w:val="24"/>
          <w:highlight w:val="none"/>
          <w:lang w:eastAsia="zh-CN"/>
        </w:rPr>
        <w:t>.本项目招标涉及门禁道闸管理软件应无条件满足招标需求，并提供相关接口（如城泊、银行、银联、微信、支付宝、</w:t>
      </w:r>
      <w:r>
        <w:rPr>
          <w:rFonts w:hint="eastAsia" w:ascii="宋体" w:hAnsi="宋体"/>
          <w:b/>
          <w:bCs/>
          <w:color w:val="auto"/>
          <w:sz w:val="24"/>
          <w:highlight w:val="none"/>
          <w:lang w:val="en-US" w:eastAsia="zh-CN"/>
        </w:rPr>
        <w:t>ETC及周谷堆市场业务系统等</w:t>
      </w:r>
      <w:r>
        <w:rPr>
          <w:rFonts w:hint="eastAsia" w:ascii="宋体" w:hAnsi="宋体"/>
          <w:b/>
          <w:bCs/>
          <w:color w:val="auto"/>
          <w:sz w:val="24"/>
          <w:highlight w:val="none"/>
          <w:lang w:eastAsia="zh-CN"/>
        </w:rPr>
        <w:t>）免费对接承诺函</w:t>
      </w:r>
      <w:r>
        <w:rPr>
          <w:rFonts w:hint="eastAsia" w:ascii="宋体" w:hAnsi="宋体"/>
          <w:b/>
          <w:bCs/>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lang w:eastAsia="zh-CN"/>
        </w:rPr>
        <w:t>工期</w:t>
      </w:r>
      <w:r>
        <w:rPr>
          <w:rFonts w:hint="eastAsia" w:ascii="宋体" w:hAnsi="宋体"/>
          <w:color w:val="auto"/>
          <w:sz w:val="24"/>
          <w:highlight w:val="none"/>
        </w:rPr>
        <w:t>、</w:t>
      </w:r>
      <w:r>
        <w:rPr>
          <w:rFonts w:hint="eastAsia" w:ascii="宋体" w:hAnsi="宋体"/>
          <w:color w:val="auto"/>
          <w:sz w:val="24"/>
          <w:highlight w:val="none"/>
          <w:lang w:eastAsia="zh-CN"/>
        </w:rPr>
        <w:t>交货</w:t>
      </w:r>
      <w:r>
        <w:rPr>
          <w:rFonts w:hint="eastAsia" w:ascii="宋体" w:hAnsi="宋体"/>
          <w:color w:val="auto"/>
          <w:sz w:val="24"/>
          <w:highlight w:val="none"/>
        </w:rPr>
        <w:t>及</w:t>
      </w:r>
      <w:r>
        <w:rPr>
          <w:rFonts w:hint="eastAsia" w:ascii="宋体" w:hAnsi="宋体"/>
          <w:color w:val="auto"/>
          <w:sz w:val="24"/>
          <w:highlight w:val="none"/>
          <w:lang w:eastAsia="zh-CN"/>
        </w:rPr>
        <w:t>验货</w:t>
      </w:r>
      <w:r>
        <w:rPr>
          <w:rFonts w:hint="eastAsia" w:ascii="宋体" w:hAnsi="宋体"/>
          <w:color w:val="auto"/>
          <w:sz w:val="24"/>
          <w:highlight w:val="none"/>
        </w:rPr>
        <w:t>等要求：</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7.1</w:t>
      </w:r>
      <w:r>
        <w:rPr>
          <w:rFonts w:hint="eastAsia" w:ascii="宋体" w:hAnsi="宋体"/>
          <w:color w:val="auto"/>
          <w:kern w:val="0"/>
          <w:sz w:val="24"/>
          <w:highlight w:val="none"/>
        </w:rPr>
        <w:t>工期要求：</w:t>
      </w:r>
    </w:p>
    <w:p>
      <w:pPr>
        <w:spacing w:line="360" w:lineRule="auto"/>
        <w:ind w:firstLine="480" w:firstLineChars="200"/>
        <w:rPr>
          <w:rFonts w:hint="eastAsia" w:ascii="宋体" w:hAnsi="宋体" w:eastAsia="宋体"/>
          <w:b w:val="0"/>
          <w:bCs w:val="0"/>
          <w:color w:val="auto"/>
          <w:kern w:val="0"/>
          <w:sz w:val="24"/>
          <w:highlight w:val="none"/>
          <w:lang w:val="en-US" w:eastAsia="zh-CN"/>
        </w:rPr>
      </w:pPr>
      <w:r>
        <w:rPr>
          <w:rFonts w:hint="eastAsia" w:ascii="宋体" w:hAnsi="宋体"/>
          <w:b w:val="0"/>
          <w:bCs w:val="0"/>
          <w:color w:val="auto"/>
          <w:kern w:val="0"/>
          <w:sz w:val="24"/>
          <w:highlight w:val="none"/>
          <w:lang w:val="en-US" w:eastAsia="zh-CN"/>
        </w:rPr>
        <w:t>（1）</w:t>
      </w:r>
      <w:r>
        <w:rPr>
          <w:rFonts w:hint="eastAsia" w:ascii="宋体" w:hAnsi="宋体"/>
          <w:b w:val="0"/>
          <w:bCs w:val="0"/>
          <w:color w:val="auto"/>
          <w:kern w:val="0"/>
          <w:sz w:val="24"/>
          <w:highlight w:val="none"/>
        </w:rPr>
        <w:t>整体交付：合同签订后</w:t>
      </w:r>
      <w:r>
        <w:rPr>
          <w:rFonts w:ascii="宋体" w:hAnsi="宋体"/>
          <w:b w:val="0"/>
          <w:bCs w:val="0"/>
          <w:color w:val="auto"/>
          <w:kern w:val="0"/>
          <w:sz w:val="24"/>
          <w:highlight w:val="none"/>
        </w:rPr>
        <w:t>30</w:t>
      </w:r>
      <w:r>
        <w:rPr>
          <w:rFonts w:hint="eastAsia" w:ascii="宋体" w:hAnsi="宋体"/>
          <w:b w:val="0"/>
          <w:bCs w:val="0"/>
          <w:color w:val="auto"/>
          <w:kern w:val="0"/>
          <w:sz w:val="24"/>
          <w:highlight w:val="none"/>
        </w:rPr>
        <w:t>个日历天；（交付前的现场保护由供货商负责）</w:t>
      </w:r>
      <w:r>
        <w:rPr>
          <w:rFonts w:hint="eastAsia" w:ascii="宋体" w:hAnsi="宋体"/>
          <w:b w:val="0"/>
          <w:bCs w:val="0"/>
          <w:color w:val="auto"/>
          <w:kern w:val="0"/>
          <w:sz w:val="24"/>
          <w:highlight w:val="none"/>
          <w:lang w:val="en-US" w:eastAsia="zh-CN"/>
        </w:rPr>
        <w:t>。</w:t>
      </w:r>
    </w:p>
    <w:p>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投标人按以上要求在投标书中制订工程进度；</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投标人有责任检查安装现场是否符合安装条件。</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7.2</w:t>
      </w:r>
      <w:r>
        <w:rPr>
          <w:rFonts w:hint="eastAsia" w:ascii="宋体" w:hAnsi="宋体"/>
          <w:color w:val="auto"/>
          <w:kern w:val="0"/>
          <w:sz w:val="24"/>
          <w:highlight w:val="none"/>
        </w:rPr>
        <w:t>交货地点：</w:t>
      </w:r>
      <w:r>
        <w:rPr>
          <w:rFonts w:hint="eastAsia" w:ascii="宋体" w:hAnsi="宋体"/>
          <w:color w:val="auto"/>
          <w:kern w:val="0"/>
          <w:sz w:val="24"/>
          <w:highlight w:val="none"/>
          <w:lang w:eastAsia="zh-CN"/>
        </w:rPr>
        <w:t>招标人指定</w:t>
      </w:r>
      <w:r>
        <w:rPr>
          <w:rFonts w:hint="eastAsia" w:ascii="宋体" w:hAnsi="宋体"/>
          <w:color w:val="auto"/>
          <w:kern w:val="0"/>
          <w:sz w:val="24"/>
          <w:highlight w:val="none"/>
        </w:rPr>
        <w:t>安装现场。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7.3</w:t>
      </w:r>
      <w:r>
        <w:rPr>
          <w:rFonts w:hint="eastAsia" w:ascii="宋体" w:hAnsi="宋体"/>
          <w:color w:val="auto"/>
          <w:kern w:val="0"/>
          <w:sz w:val="24"/>
          <w:highlight w:val="none"/>
        </w:rPr>
        <w:t>验货：</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货物按有关要求进行包装和装运，到达招标人指定的现场后，将由</w:t>
      </w:r>
      <w:r>
        <w:rPr>
          <w:rFonts w:hint="eastAsia" w:ascii="宋体" w:hAnsi="宋体"/>
          <w:color w:val="auto"/>
          <w:kern w:val="0"/>
          <w:sz w:val="24"/>
          <w:highlight w:val="none"/>
          <w:lang w:eastAsia="zh-CN"/>
        </w:rPr>
        <w:t>中</w:t>
      </w:r>
      <w:r>
        <w:rPr>
          <w:rFonts w:hint="eastAsia" w:ascii="宋体" w:hAnsi="宋体"/>
          <w:color w:val="auto"/>
          <w:kern w:val="0"/>
          <w:sz w:val="24"/>
          <w:highlight w:val="none"/>
        </w:rPr>
        <w:t>标人与招标人共同开箱清点，并进行签字确认。若有差异，由</w:t>
      </w:r>
      <w:r>
        <w:rPr>
          <w:rFonts w:hint="eastAsia" w:ascii="宋体" w:hAnsi="宋体"/>
          <w:color w:val="auto"/>
          <w:kern w:val="0"/>
          <w:sz w:val="24"/>
          <w:highlight w:val="none"/>
          <w:lang w:eastAsia="zh-CN"/>
        </w:rPr>
        <w:t>中</w:t>
      </w:r>
      <w:r>
        <w:rPr>
          <w:rFonts w:hint="eastAsia" w:ascii="宋体" w:hAnsi="宋体"/>
          <w:color w:val="auto"/>
          <w:kern w:val="0"/>
          <w:sz w:val="24"/>
          <w:highlight w:val="none"/>
        </w:rPr>
        <w:t>标人承担责任。</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中</w:t>
      </w:r>
      <w:r>
        <w:rPr>
          <w:rFonts w:hint="eastAsia" w:ascii="宋体" w:hAnsi="宋体"/>
          <w:color w:val="auto"/>
          <w:kern w:val="0"/>
          <w:sz w:val="24"/>
          <w:highlight w:val="none"/>
        </w:rPr>
        <w:t>标人需保证设备均为全新且原产原装，在设备到货时提供产品合格证、产品说明书，并完全符合合同规定的质量、规格和性能的要求；</w:t>
      </w:r>
    </w:p>
    <w:p>
      <w:pPr>
        <w:widowControl/>
        <w:snapToGrid w:val="0"/>
        <w:spacing w:line="360" w:lineRule="auto"/>
        <w:ind w:firstLine="482" w:firstLineChars="200"/>
        <w:outlineLvl w:val="0"/>
        <w:rPr>
          <w:rFonts w:ascii="宋体" w:hAnsi="宋体"/>
          <w:b/>
          <w:bCs/>
          <w:color w:val="auto"/>
          <w:kern w:val="0"/>
          <w:sz w:val="24"/>
          <w:highlight w:val="none"/>
        </w:rPr>
      </w:pPr>
      <w:r>
        <w:rPr>
          <w:rFonts w:hint="eastAsia" w:ascii="宋体" w:hAnsi="宋体"/>
          <w:b/>
          <w:bCs/>
          <w:color w:val="auto"/>
          <w:kern w:val="0"/>
          <w:sz w:val="24"/>
          <w:highlight w:val="none"/>
          <w:lang w:eastAsia="zh-CN"/>
        </w:rPr>
        <w:t>五</w:t>
      </w:r>
      <w:r>
        <w:rPr>
          <w:rFonts w:hint="eastAsia" w:ascii="宋体" w:hAnsi="宋体"/>
          <w:b/>
          <w:bCs/>
          <w:color w:val="auto"/>
          <w:kern w:val="0"/>
          <w:sz w:val="24"/>
          <w:highlight w:val="none"/>
        </w:rPr>
        <w:t>、项目验收及售后</w:t>
      </w:r>
    </w:p>
    <w:p>
      <w:pPr>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项目验收：</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项目验收合格的条件必须至少满足以下三个要求：已完成了合同约定的全部项目；性能测试符合要求；试运行时出现的问题已被解决。</w:t>
      </w: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质保、售后服务承诺：</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投标人必须为本项目内其提供的所有设备和工程施工提供为期</w:t>
      </w:r>
      <w:r>
        <w:rPr>
          <w:rFonts w:hint="eastAsia" w:ascii="宋体" w:hAnsi="宋体"/>
          <w:b w:val="0"/>
          <w:bCs w:val="0"/>
          <w:color w:val="auto"/>
          <w:sz w:val="24"/>
          <w:highlight w:val="none"/>
          <w:u w:val="none"/>
          <w:lang w:eastAsia="zh-CN"/>
        </w:rPr>
        <w:t>两</w:t>
      </w:r>
      <w:r>
        <w:rPr>
          <w:rFonts w:hint="eastAsia" w:ascii="宋体" w:hAnsi="宋体"/>
          <w:b w:val="0"/>
          <w:bCs w:val="0"/>
          <w:color w:val="auto"/>
          <w:sz w:val="24"/>
          <w:highlight w:val="none"/>
          <w:u w:val="none"/>
        </w:rPr>
        <w:t>年</w:t>
      </w:r>
      <w:r>
        <w:rPr>
          <w:rFonts w:hint="eastAsia" w:ascii="宋体" w:hAnsi="宋体"/>
          <w:color w:val="auto"/>
          <w:sz w:val="24"/>
          <w:highlight w:val="none"/>
        </w:rPr>
        <w:t>的现场售后维护服务、相关系统软件的免费升级以及提供备品备件服务，保修和售后维护服务时间从验收合格之日起计算，所有费用计入投标总价内。</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投标人应保证其提供的产品在正确安装、正常使用和保养条件下，在使用寿命期内应具有的性能，投标人应对由于设计、工艺或材料的缺陷而产生的故障负完全责任。</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在接到报修通知后，投标人应在</w:t>
      </w:r>
      <w:r>
        <w:rPr>
          <w:rFonts w:ascii="宋体" w:hAnsi="宋体"/>
          <w:color w:val="auto"/>
          <w:sz w:val="24"/>
          <w:highlight w:val="none"/>
        </w:rPr>
        <w:t>30</w:t>
      </w:r>
      <w:r>
        <w:rPr>
          <w:rFonts w:hint="eastAsia" w:ascii="宋体" w:hAnsi="宋体"/>
          <w:color w:val="auto"/>
          <w:sz w:val="24"/>
          <w:highlight w:val="none"/>
        </w:rPr>
        <w:t>分钟内电话响应。对于影响系统正常运行的严重故障（包括由系统软硬件等原因引起的），投标人必须在12小时内赶到现场，查找原因，提出解决方案，并工作直至系统恢复正常为止，一般要求保证系统在</w:t>
      </w:r>
      <w:r>
        <w:rPr>
          <w:rFonts w:ascii="宋体" w:hAnsi="宋体"/>
          <w:color w:val="auto"/>
          <w:sz w:val="24"/>
          <w:highlight w:val="none"/>
        </w:rPr>
        <w:t>4</w:t>
      </w:r>
      <w:r>
        <w:rPr>
          <w:rFonts w:hint="eastAsia" w:ascii="宋体" w:hAnsi="宋体"/>
          <w:color w:val="auto"/>
          <w:sz w:val="24"/>
          <w:highlight w:val="none"/>
        </w:rPr>
        <w:t>小时之内修复。</w:t>
      </w:r>
    </w:p>
    <w:p>
      <w:pPr>
        <w:shd w:val="clear" w:color="auto" w:fill="FFFFFF"/>
        <w:snapToGrid w:val="0"/>
        <w:spacing w:line="360" w:lineRule="auto"/>
        <w:ind w:right="120" w:rightChars="57" w:firstLine="600" w:firstLineChars="25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在保修期结束前，</w:t>
      </w:r>
      <w:r>
        <w:rPr>
          <w:rFonts w:hint="eastAsia" w:ascii="宋体" w:hAnsi="宋体"/>
          <w:color w:val="auto"/>
          <w:sz w:val="24"/>
          <w:highlight w:val="none"/>
          <w:lang w:eastAsia="zh-CN"/>
        </w:rPr>
        <w:t>中</w:t>
      </w:r>
      <w:r>
        <w:rPr>
          <w:rFonts w:hint="eastAsia" w:ascii="宋体" w:hAnsi="宋体"/>
          <w:color w:val="auto"/>
          <w:sz w:val="24"/>
          <w:highlight w:val="none"/>
        </w:rPr>
        <w:t>标人和招标方进行一次全面检查，任何质量缺陷必须由</w:t>
      </w:r>
      <w:r>
        <w:rPr>
          <w:rFonts w:hint="eastAsia" w:ascii="宋体" w:hAnsi="宋体"/>
          <w:color w:val="auto"/>
          <w:sz w:val="24"/>
          <w:highlight w:val="none"/>
          <w:lang w:eastAsia="zh-CN"/>
        </w:rPr>
        <w:t>中</w:t>
      </w:r>
      <w:r>
        <w:rPr>
          <w:rFonts w:hint="eastAsia" w:ascii="宋体" w:hAnsi="宋体"/>
          <w:color w:val="auto"/>
          <w:sz w:val="24"/>
          <w:highlight w:val="none"/>
        </w:rPr>
        <w:t>标人负责修理。</w:t>
      </w:r>
    </w:p>
    <w:p>
      <w:pPr>
        <w:shd w:val="clear" w:color="auto" w:fill="FFFFFF"/>
        <w:snapToGrid w:val="0"/>
        <w:spacing w:line="360" w:lineRule="auto"/>
        <w:ind w:left="-210" w:leftChars="-100" w:right="120" w:firstLine="808" w:firstLineChars="337"/>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投标人应提供电话免费咨询服务。</w:t>
      </w:r>
    </w:p>
    <w:p>
      <w:pPr>
        <w:widowControl/>
        <w:snapToGrid w:val="0"/>
        <w:spacing w:line="360" w:lineRule="auto"/>
        <w:ind w:firstLine="602" w:firstLineChars="250"/>
        <w:outlineLvl w:val="0"/>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六</w:t>
      </w:r>
      <w:r>
        <w:rPr>
          <w:rFonts w:hint="eastAsia" w:ascii="宋体" w:hAnsi="宋体"/>
          <w:b/>
          <w:bCs/>
          <w:color w:val="auto"/>
          <w:kern w:val="0"/>
          <w:sz w:val="24"/>
          <w:highlight w:val="none"/>
        </w:rPr>
        <w:t>、</w:t>
      </w:r>
      <w:r>
        <w:rPr>
          <w:rFonts w:hint="eastAsia" w:ascii="宋体" w:hAnsi="宋体"/>
          <w:b/>
          <w:bCs/>
          <w:color w:val="auto"/>
          <w:kern w:val="0"/>
          <w:sz w:val="24"/>
          <w:highlight w:val="none"/>
          <w:lang w:eastAsia="zh-CN"/>
        </w:rPr>
        <w:t>项目质保服务</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本</w:t>
      </w:r>
      <w:r>
        <w:rPr>
          <w:rFonts w:hint="eastAsia" w:ascii="宋体" w:hAnsi="宋体"/>
          <w:color w:val="auto"/>
          <w:sz w:val="24"/>
          <w:highlight w:val="none"/>
          <w:lang w:eastAsia="zh-CN"/>
        </w:rPr>
        <w:t>项目</w:t>
      </w:r>
      <w:r>
        <w:rPr>
          <w:rFonts w:hint="eastAsia" w:ascii="宋体" w:hAnsi="宋体"/>
          <w:color w:val="auto"/>
          <w:sz w:val="24"/>
          <w:highlight w:val="none"/>
        </w:rPr>
        <w:t>质保期为</w:t>
      </w:r>
      <w:r>
        <w:rPr>
          <w:rFonts w:hint="eastAsia" w:ascii="宋体" w:hAnsi="宋体"/>
          <w:b/>
          <w:bCs/>
          <w:color w:val="auto"/>
          <w:sz w:val="24"/>
          <w:highlight w:val="none"/>
        </w:rPr>
        <w:t>竣工验收合格后</w:t>
      </w:r>
      <w:r>
        <w:rPr>
          <w:rFonts w:hint="eastAsia" w:ascii="宋体" w:hAnsi="宋体"/>
          <w:b/>
          <w:bCs/>
          <w:color w:val="auto"/>
          <w:sz w:val="24"/>
          <w:highlight w:val="none"/>
          <w:lang w:eastAsia="zh-CN"/>
        </w:rPr>
        <w:t>两</w:t>
      </w:r>
      <w:r>
        <w:rPr>
          <w:rFonts w:hint="eastAsia" w:ascii="宋体" w:hAnsi="宋体"/>
          <w:b/>
          <w:bCs/>
          <w:color w:val="auto"/>
          <w:sz w:val="24"/>
          <w:highlight w:val="none"/>
        </w:rPr>
        <w:t>年</w:t>
      </w:r>
      <w:r>
        <w:rPr>
          <w:rFonts w:hint="eastAsia" w:ascii="宋体" w:hAnsi="宋体"/>
          <w:color w:val="auto"/>
          <w:sz w:val="24"/>
          <w:highlight w:val="none"/>
        </w:rPr>
        <w:t>，</w:t>
      </w:r>
      <w:r>
        <w:rPr>
          <w:rFonts w:hint="eastAsia" w:ascii="宋体" w:hAnsi="宋体"/>
          <w:color w:val="auto"/>
          <w:kern w:val="0"/>
          <w:sz w:val="24"/>
          <w:highlight w:val="none"/>
        </w:rPr>
        <w:t>且不低于国家或相关的法律、法规规定的标准</w:t>
      </w:r>
      <w:r>
        <w:rPr>
          <w:rFonts w:hint="eastAsia" w:ascii="宋体" w:hAnsi="宋体"/>
          <w:color w:val="auto"/>
          <w:sz w:val="24"/>
          <w:highlight w:val="none"/>
        </w:rPr>
        <w:t>。质保期内若因承包方原因出现质量问题，承包方须负责免费处理，并承担业主所有的相关损失。</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中标</w:t>
      </w:r>
      <w:r>
        <w:rPr>
          <w:rFonts w:hint="eastAsia" w:ascii="宋体" w:hAnsi="宋体"/>
          <w:color w:val="auto"/>
          <w:sz w:val="24"/>
          <w:highlight w:val="none"/>
          <w:lang w:eastAsia="zh-CN"/>
        </w:rPr>
        <w:t>人</w:t>
      </w:r>
      <w:r>
        <w:rPr>
          <w:rFonts w:hint="eastAsia" w:ascii="宋体" w:hAnsi="宋体"/>
          <w:color w:val="auto"/>
          <w:sz w:val="24"/>
          <w:highlight w:val="none"/>
        </w:rPr>
        <w:t>必须保证所有设备和配件均为正货；后期保修实行终身维护，且提供优惠的配件价格及服务收费价格。</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在车辆识别</w:t>
      </w:r>
      <w:r>
        <w:rPr>
          <w:rFonts w:hint="eastAsia" w:ascii="宋体" w:hAnsi="宋体"/>
          <w:color w:val="auto"/>
          <w:sz w:val="24"/>
          <w:highlight w:val="none"/>
          <w:lang w:eastAsia="zh-CN"/>
        </w:rPr>
        <w:t>、三轮车、行人管理系统及扫码测温设备</w:t>
      </w:r>
      <w:r>
        <w:rPr>
          <w:rFonts w:hint="eastAsia" w:ascii="宋体" w:hAnsi="宋体"/>
          <w:color w:val="auto"/>
          <w:sz w:val="24"/>
          <w:highlight w:val="none"/>
        </w:rPr>
        <w:t>使用寿命期内，应至少提供以下维修、维护服务：</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免费技术咨询；</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免费进行软件版本升级、系统维护以及系统升级扩充；</w:t>
      </w:r>
    </w:p>
    <w:p>
      <w:pPr>
        <w:spacing w:line="360" w:lineRule="auto"/>
        <w:ind w:firstLine="600" w:firstLineChars="250"/>
        <w:rPr>
          <w:rFonts w:hint="default" w:ascii="宋体" w:hAnsi="宋体" w:cs="宋体"/>
          <w:color w:val="auto"/>
          <w:kern w:val="0"/>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提供专业技术人员的现场服务和快捷响应服务；（投标单位在投标文件中写明具体服务方案）</w:t>
      </w:r>
      <w:r>
        <w:rPr>
          <w:rFonts w:hint="eastAsia" w:ascii="宋体" w:hAnsi="宋体"/>
          <w:color w:val="auto"/>
          <w:sz w:val="24"/>
          <w:highlight w:val="none"/>
          <w:lang w:eastAsia="zh-CN"/>
        </w:rPr>
        <w:t>。</w:t>
      </w: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p>
    <w:p>
      <w:pPr>
        <w:spacing w:line="580" w:lineRule="exact"/>
        <w:jc w:val="center"/>
        <w:rPr>
          <w:rFonts w:hint="eastAsia" w:ascii="宋体" w:hAnsi="宋体"/>
          <w:b/>
          <w:color w:val="auto"/>
          <w:kern w:val="0"/>
          <w:sz w:val="28"/>
          <w:szCs w:val="28"/>
          <w:highlight w:val="none"/>
        </w:rPr>
      </w:pPr>
      <w:r>
        <w:rPr>
          <w:rFonts w:hint="eastAsia" w:ascii="宋体" w:hAnsi="宋体"/>
          <w:b/>
          <w:color w:val="auto"/>
          <w:kern w:val="0"/>
          <w:sz w:val="28"/>
          <w:szCs w:val="28"/>
          <w:highlight w:val="none"/>
        </w:rPr>
        <w:t>第</w:t>
      </w:r>
      <w:r>
        <w:rPr>
          <w:rFonts w:hint="eastAsia" w:ascii="宋体" w:hAnsi="宋体"/>
          <w:b/>
          <w:color w:val="auto"/>
          <w:kern w:val="0"/>
          <w:sz w:val="28"/>
          <w:szCs w:val="28"/>
          <w:highlight w:val="none"/>
          <w:lang w:val="en-US" w:eastAsia="zh-CN"/>
        </w:rPr>
        <w:t>五</w:t>
      </w:r>
      <w:r>
        <w:rPr>
          <w:rFonts w:hint="eastAsia" w:ascii="宋体" w:hAnsi="宋体"/>
          <w:b/>
          <w:color w:val="auto"/>
          <w:kern w:val="0"/>
          <w:sz w:val="28"/>
          <w:szCs w:val="28"/>
          <w:highlight w:val="none"/>
        </w:rPr>
        <w:t>章  附  件</w:t>
      </w:r>
    </w:p>
    <w:p>
      <w:pPr>
        <w:widowControl/>
        <w:spacing w:line="52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一、投标文件格式</w:t>
      </w:r>
    </w:p>
    <w:p>
      <w:pPr>
        <w:widowControl/>
        <w:spacing w:line="52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格式1  投标承诺书</w:t>
      </w:r>
    </w:p>
    <w:p>
      <w:pPr>
        <w:widowControl/>
        <w:spacing w:line="520" w:lineRule="exac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致</w:t>
      </w:r>
      <w:r>
        <w:rPr>
          <w:rFonts w:ascii="宋体" w:hAnsi="宋体" w:eastAsia="宋体" w:cs="宋体"/>
          <w:b/>
          <w:bCs/>
          <w:color w:val="auto"/>
          <w:sz w:val="24"/>
          <w:szCs w:val="24"/>
          <w:highlight w:val="none"/>
        </w:rPr>
        <w:t>合肥周谷堆大兴农产品国际物流园有限责任公司</w:t>
      </w:r>
      <w:r>
        <w:rPr>
          <w:rFonts w:hint="eastAsia" w:ascii="宋体" w:hAnsi="宋体" w:cs="宋体"/>
          <w:b/>
          <w:bCs/>
          <w:color w:val="auto"/>
          <w:kern w:val="0"/>
          <w:sz w:val="24"/>
          <w:highlight w:val="none"/>
        </w:rPr>
        <w:t>：</w:t>
      </w:r>
    </w:p>
    <w:p>
      <w:pPr>
        <w:widowControl/>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根据贵司</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号招标文件要求，我司签字代表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（姓名、职务）已被正式授权代表投标人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（投标人名称）提交下述文件：</w:t>
      </w:r>
    </w:p>
    <w:p>
      <w:pPr>
        <w:widowControl/>
        <w:spacing w:line="5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1.开标一览表</w:t>
      </w:r>
    </w:p>
    <w:p>
      <w:pPr>
        <w:widowControl/>
        <w:spacing w:line="5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2.分项报价表</w:t>
      </w:r>
    </w:p>
    <w:p>
      <w:pPr>
        <w:widowControl/>
        <w:spacing w:line="5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3.投标事项承诺</w:t>
      </w:r>
    </w:p>
    <w:p>
      <w:pPr>
        <w:widowControl/>
        <w:spacing w:line="5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4.投标资格证明文件</w:t>
      </w:r>
    </w:p>
    <w:p>
      <w:pPr>
        <w:widowControl/>
        <w:spacing w:line="5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pPr>
        <w:widowControl/>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同时，签字代表宣布承诺如下：</w:t>
      </w:r>
    </w:p>
    <w:p>
      <w:pPr>
        <w:widowControl/>
        <w:spacing w:line="5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⑴投标人已详细阅读全部招标文件（含修改文件），并理解其实质性内容，同意承担其规定的全部义务和相关责任。</w:t>
      </w:r>
    </w:p>
    <w:p>
      <w:pPr>
        <w:widowControl/>
        <w:spacing w:line="5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⑵投标人严格按照招标文件的规定报价，如被确定为中标人后，将全面履行合同。</w:t>
      </w:r>
    </w:p>
    <w:p>
      <w:pPr>
        <w:widowControl/>
        <w:spacing w:line="5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⑶投标人在交付保证金后，如出现串标、毁标、中标后不签订合同等违规行为，招标人有权对该保证金不予退还。</w:t>
      </w:r>
    </w:p>
    <w:p>
      <w:pPr>
        <w:widowControl/>
        <w:spacing w:line="5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⑷</w:t>
      </w:r>
      <w:r>
        <w:rPr>
          <w:rFonts w:ascii="宋体" w:hAnsi="宋体" w:cs="宋体"/>
          <w:color w:val="auto"/>
          <w:kern w:val="0"/>
          <w:sz w:val="24"/>
          <w:highlight w:val="none"/>
        </w:rPr>
        <w:t>投标人近三年</w:t>
      </w:r>
      <w:r>
        <w:rPr>
          <w:rFonts w:hint="eastAsia" w:ascii="宋体" w:hAnsi="宋体" w:cs="宋体"/>
          <w:color w:val="auto"/>
          <w:kern w:val="0"/>
          <w:sz w:val="24"/>
          <w:highlight w:val="none"/>
        </w:rPr>
        <w:t>来</w:t>
      </w:r>
      <w:r>
        <w:rPr>
          <w:rFonts w:ascii="宋体" w:hAnsi="宋体" w:cs="宋体"/>
          <w:color w:val="auto"/>
          <w:kern w:val="0"/>
          <w:sz w:val="24"/>
          <w:highlight w:val="none"/>
        </w:rPr>
        <w:t>没有骗取中标和严重违约及重大质量、安全问题</w:t>
      </w:r>
      <w:r>
        <w:rPr>
          <w:rFonts w:hint="eastAsia" w:ascii="宋体" w:hAnsi="宋体" w:cs="宋体"/>
          <w:color w:val="auto"/>
          <w:kern w:val="0"/>
          <w:sz w:val="24"/>
          <w:highlight w:val="none"/>
        </w:rPr>
        <w:t>。</w:t>
      </w:r>
    </w:p>
    <w:p>
      <w:pPr>
        <w:widowControl/>
        <w:spacing w:line="520" w:lineRule="exact"/>
        <w:ind w:firstLine="480"/>
        <w:jc w:val="left"/>
        <w:rPr>
          <w:rFonts w:hint="eastAsia" w:ascii="宋体" w:hAnsi="宋体" w:cs="宋体"/>
          <w:b/>
          <w:color w:val="auto"/>
          <w:kern w:val="0"/>
          <w:sz w:val="24"/>
          <w:highlight w:val="none"/>
        </w:rPr>
      </w:pPr>
      <w:r>
        <w:rPr>
          <w:rFonts w:hint="eastAsia" w:ascii="宋体" w:hAnsi="宋体" w:cs="宋体"/>
          <w:color w:val="auto"/>
          <w:kern w:val="0"/>
          <w:sz w:val="24"/>
          <w:highlight w:val="none"/>
        </w:rPr>
        <w:t>⑸投标人完全理解招标人不以最低报价作为确定中标人唯一标准的评定标方式。</w:t>
      </w:r>
    </w:p>
    <w:p>
      <w:pPr>
        <w:widowControl/>
        <w:spacing w:line="5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⑹投标人同意提供招标人可能要求的与其投标有关的一切数据或资料。</w:t>
      </w:r>
    </w:p>
    <w:p>
      <w:pPr>
        <w:widowControl/>
        <w:spacing w:line="52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widowControl/>
        <w:spacing w:line="360" w:lineRule="exact"/>
        <w:ind w:left="840" w:leftChars="400"/>
        <w:jc w:val="left"/>
        <w:rPr>
          <w:rFonts w:hint="eastAsia" w:ascii="宋体" w:hAnsi="宋体" w:cs="宋体"/>
          <w:color w:val="auto"/>
          <w:kern w:val="0"/>
          <w:sz w:val="24"/>
          <w:highlight w:val="none"/>
        </w:rPr>
      </w:pPr>
    </w:p>
    <w:p>
      <w:pPr>
        <w:widowControl/>
        <w:spacing w:line="520" w:lineRule="exact"/>
        <w:ind w:left="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投标人（公章）：</w:t>
      </w:r>
    </w:p>
    <w:p>
      <w:pPr>
        <w:widowControl/>
        <w:spacing w:line="520" w:lineRule="exact"/>
        <w:ind w:left="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企业法人（签字）：</w:t>
      </w:r>
    </w:p>
    <w:p>
      <w:pPr>
        <w:widowControl/>
        <w:spacing w:line="520" w:lineRule="exact"/>
        <w:ind w:left="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授权代表（签字）：</w:t>
      </w:r>
    </w:p>
    <w:p>
      <w:pPr>
        <w:widowControl/>
        <w:spacing w:line="520" w:lineRule="exact"/>
        <w:ind w:left="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二〇二一年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pPr>
        <w:jc w:val="center"/>
        <w:rPr>
          <w:rFonts w:hint="eastAsia"/>
          <w:b/>
          <w:color w:val="auto"/>
          <w:kern w:val="0"/>
          <w:sz w:val="24"/>
          <w:highlight w:val="none"/>
        </w:rPr>
      </w:pPr>
      <w:r>
        <w:rPr>
          <w:b/>
          <w:color w:val="auto"/>
          <w:kern w:val="0"/>
          <w:sz w:val="24"/>
          <w:highlight w:val="none"/>
        </w:rPr>
        <w:br w:type="page"/>
      </w:r>
    </w:p>
    <w:p>
      <w:pPr>
        <w:jc w:val="center"/>
        <w:rPr>
          <w:rFonts w:hint="eastAsia" w:ascii="宋体" w:hAnsi="宋体"/>
          <w:b/>
          <w:color w:val="auto"/>
          <w:kern w:val="0"/>
          <w:sz w:val="24"/>
          <w:highlight w:val="none"/>
        </w:rPr>
      </w:pPr>
      <w:r>
        <w:rPr>
          <w:rFonts w:hint="eastAsia"/>
          <w:b/>
          <w:color w:val="auto"/>
          <w:kern w:val="0"/>
          <w:sz w:val="24"/>
          <w:highlight w:val="none"/>
        </w:rPr>
        <w:t xml:space="preserve">格式2 </w:t>
      </w:r>
      <w:r>
        <w:rPr>
          <w:rFonts w:hint="eastAsia"/>
          <w:color w:val="auto"/>
          <w:kern w:val="0"/>
          <w:sz w:val="24"/>
          <w:highlight w:val="none"/>
        </w:rPr>
        <w:t xml:space="preserve"> </w:t>
      </w:r>
      <w:r>
        <w:rPr>
          <w:rFonts w:hint="eastAsia" w:ascii="宋体" w:hAnsi="宋体"/>
          <w:b/>
          <w:color w:val="auto"/>
          <w:kern w:val="0"/>
          <w:sz w:val="24"/>
          <w:highlight w:val="none"/>
        </w:rPr>
        <w:t>开标一览表</w:t>
      </w:r>
    </w:p>
    <w:p>
      <w:pPr>
        <w:widowControl/>
        <w:spacing w:line="240" w:lineRule="exact"/>
        <w:jc w:val="left"/>
        <w:rPr>
          <w:rFonts w:hint="eastAsia" w:ascii="宋体" w:hAnsi="宋体" w:cs="宋体"/>
          <w:b/>
          <w:color w:val="auto"/>
          <w:kern w:val="0"/>
          <w:sz w:val="24"/>
          <w:highlight w:val="none"/>
        </w:rPr>
      </w:pPr>
    </w:p>
    <w:tbl>
      <w:tblPr>
        <w:tblStyle w:val="19"/>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161"/>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275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项目名称</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lang w:eastAsia="zh-CN"/>
              </w:rPr>
            </w:pPr>
            <w:r>
              <w:rPr>
                <w:rFonts w:hint="eastAsia" w:ascii="宋体" w:hAnsi="宋体" w:cs="宋体"/>
                <w:color w:val="auto"/>
                <w:sz w:val="24"/>
                <w:szCs w:val="24"/>
                <w:lang w:eastAsia="zh-CN"/>
              </w:rPr>
              <w:t>百</w:t>
            </w:r>
            <w:r>
              <w:rPr>
                <w:rFonts w:hint="eastAsia" w:ascii="宋体" w:hAnsi="宋体" w:eastAsia="宋体" w:cs="宋体"/>
                <w:color w:val="auto"/>
                <w:sz w:val="24"/>
                <w:szCs w:val="24"/>
                <w:lang w:eastAsia="zh-CN"/>
              </w:rPr>
              <w:t>大周谷堆大兴农产品国际物流园智慧农批提升改造之水产肉食交易区门禁及防疫测温信息化项目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275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招标编号</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275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投标人全称</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hint="eastAsia" w:ascii="宋体" w:hAnsi="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hint="eastAsia" w:ascii="宋体" w:hAnsi="宋体" w:cs="宋体"/>
                <w:b/>
                <w:color w:val="auto"/>
                <w:kern w:val="0"/>
                <w:sz w:val="24"/>
                <w:highlight w:val="none"/>
              </w:rPr>
            </w:pPr>
            <w:r>
              <w:rPr>
                <w:rFonts w:hint="eastAsia" w:ascii="宋体" w:hAnsi="宋体" w:cs="宋体"/>
                <w:b/>
                <w:color w:val="auto"/>
                <w:kern w:val="0"/>
                <w:sz w:val="24"/>
                <w:highlight w:val="none"/>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1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color w:val="auto"/>
                <w:kern w:val="28"/>
                <w:sz w:val="24"/>
                <w:highlight w:val="none"/>
              </w:rPr>
            </w:pPr>
            <w:r>
              <w:rPr>
                <w:rFonts w:hint="eastAsia"/>
                <w:color w:val="auto"/>
                <w:kern w:val="28"/>
                <w:sz w:val="24"/>
                <w:highlight w:val="none"/>
              </w:rPr>
              <w:t>质量承诺</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eastAsia="宋体"/>
                <w:color w:val="auto"/>
                <w:kern w:val="28"/>
                <w:sz w:val="24"/>
                <w:highlight w:val="none"/>
                <w:lang w:eastAsia="zh-CN"/>
              </w:rPr>
            </w:pPr>
            <w:r>
              <w:rPr>
                <w:rFonts w:hint="eastAsia"/>
                <w:color w:val="auto"/>
                <w:kern w:val="28"/>
                <w:sz w:val="24"/>
                <w:highlight w:val="none"/>
              </w:rPr>
              <w:t>交货安装周期</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color w:val="auto"/>
                <w:kern w:val="28"/>
                <w:sz w:val="24"/>
                <w:highlight w:val="none"/>
              </w:rPr>
            </w:pPr>
            <w:r>
              <w:rPr>
                <w:rFonts w:hint="eastAsia"/>
                <w:color w:val="auto"/>
                <w:kern w:val="28"/>
                <w:sz w:val="24"/>
                <w:highlight w:val="none"/>
              </w:rPr>
              <w:t>质保期</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color w:val="auto"/>
                <w:kern w:val="28"/>
                <w:sz w:val="24"/>
                <w:highlight w:val="none"/>
              </w:rPr>
            </w:pPr>
            <w:r>
              <w:rPr>
                <w:rFonts w:hint="eastAsia"/>
                <w:color w:val="auto"/>
                <w:kern w:val="28"/>
                <w:sz w:val="24"/>
                <w:highlight w:val="none"/>
              </w:rPr>
              <w:t>付款方式</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color w:val="auto"/>
                <w:kern w:val="28"/>
                <w:sz w:val="24"/>
                <w:highlight w:val="none"/>
              </w:rPr>
            </w:pPr>
            <w:r>
              <w:rPr>
                <w:rFonts w:hint="eastAsia"/>
                <w:color w:val="auto"/>
                <w:kern w:val="28"/>
                <w:sz w:val="24"/>
                <w:highlight w:val="none"/>
              </w:rPr>
              <w:t>备  注</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如符合要求填“响应”即可。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hint="eastAsia" w:ascii="宋体" w:hAnsi="宋体" w:cs="宋体"/>
                <w:color w:val="auto"/>
                <w:kern w:val="0"/>
                <w:sz w:val="24"/>
                <w:highlight w:val="none"/>
              </w:rPr>
            </w:pPr>
            <w:r>
              <w:rPr>
                <w:rFonts w:hint="eastAsia" w:ascii="宋体" w:hAnsi="宋体" w:cs="宋体"/>
                <w:b/>
                <w:color w:val="auto"/>
                <w:kern w:val="0"/>
                <w:sz w:val="24"/>
                <w:highlight w:val="none"/>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pPr>
              <w:widowControl/>
              <w:spacing w:line="5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161" w:type="dxa"/>
            <w:tcBorders>
              <w:top w:val="single" w:color="auto" w:sz="4" w:space="0"/>
              <w:left w:val="single" w:color="auto" w:sz="4" w:space="0"/>
              <w:right w:val="single" w:color="auto" w:sz="4" w:space="0"/>
            </w:tcBorders>
            <w:vAlign w:val="center"/>
          </w:tcPr>
          <w:p>
            <w:pPr>
              <w:spacing w:line="52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投标总报价</w:t>
            </w:r>
          </w:p>
          <w:p>
            <w:pPr>
              <w:spacing w:line="52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（含13%增值税）</w:t>
            </w:r>
          </w:p>
        </w:tc>
        <w:tc>
          <w:tcPr>
            <w:tcW w:w="6996" w:type="dxa"/>
            <w:tcBorders>
              <w:top w:val="single" w:color="auto" w:sz="4" w:space="0"/>
              <w:left w:val="single" w:color="auto" w:sz="4" w:space="0"/>
              <w:right w:val="single" w:color="auto" w:sz="4" w:space="0"/>
            </w:tcBorders>
            <w:vAlign w:val="center"/>
          </w:tcPr>
          <w:p>
            <w:pPr>
              <w:widowControl/>
              <w:spacing w:line="520" w:lineRule="exac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大写：</w:t>
            </w:r>
            <w:r>
              <w:rPr>
                <w:rFonts w:hint="eastAsia" w:ascii="宋体" w:hAnsi="宋体" w:cs="宋体"/>
                <w:color w:val="auto"/>
                <w:kern w:val="0"/>
                <w:sz w:val="24"/>
                <w:highlight w:val="none"/>
                <w:u w:val="single"/>
              </w:rPr>
              <w:t>人民币                        ；</w:t>
            </w:r>
          </w:p>
          <w:p>
            <w:pPr>
              <w:spacing w:line="52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小写：￥</w:t>
            </w:r>
            <w:r>
              <w:rPr>
                <w:rFonts w:hint="eastAsia" w:ascii="宋体" w:hAnsi="宋体" w:cs="宋体"/>
                <w:color w:val="auto"/>
                <w:kern w:val="0"/>
                <w:sz w:val="24"/>
                <w:highlight w:val="none"/>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pPr>
              <w:widowControl/>
              <w:spacing w:line="5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161" w:type="dxa"/>
            <w:tcBorders>
              <w:top w:val="single" w:color="auto" w:sz="4" w:space="0"/>
              <w:left w:val="single" w:color="auto" w:sz="4" w:space="0"/>
              <w:right w:val="single" w:color="auto" w:sz="4" w:space="0"/>
            </w:tcBorders>
            <w:vAlign w:val="center"/>
          </w:tcPr>
          <w:p>
            <w:pPr>
              <w:spacing w:line="520" w:lineRule="exact"/>
              <w:jc w:val="center"/>
              <w:rPr>
                <w:rFonts w:hint="eastAsia" w:ascii="宋体" w:hAnsi="宋体" w:cs="宋体"/>
                <w:color w:val="auto"/>
                <w:kern w:val="0"/>
                <w:sz w:val="24"/>
                <w:highlight w:val="none"/>
              </w:rPr>
            </w:pPr>
            <w:r>
              <w:rPr>
                <w:rFonts w:hint="eastAsia"/>
                <w:color w:val="auto"/>
                <w:kern w:val="28"/>
                <w:sz w:val="24"/>
                <w:highlight w:val="none"/>
              </w:rPr>
              <w:t>备 注</w:t>
            </w:r>
          </w:p>
        </w:tc>
        <w:tc>
          <w:tcPr>
            <w:tcW w:w="6996" w:type="dxa"/>
            <w:tcBorders>
              <w:top w:val="single" w:color="auto" w:sz="4" w:space="0"/>
              <w:left w:val="single" w:color="auto" w:sz="4" w:space="0"/>
              <w:right w:val="single" w:color="auto" w:sz="4" w:space="0"/>
            </w:tcBorders>
            <w:vAlign w:val="center"/>
          </w:tcPr>
          <w:p>
            <w:pPr>
              <w:widowControl/>
              <w:spacing w:line="520" w:lineRule="exact"/>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注：投</w:t>
            </w:r>
            <w:r>
              <w:rPr>
                <w:rFonts w:hint="eastAsia" w:ascii="宋体" w:hAnsi="宋体" w:eastAsia="宋体" w:cs="Times New Roman"/>
                <w:b w:val="0"/>
                <w:bCs/>
                <w:color w:val="auto"/>
                <w:sz w:val="24"/>
                <w:highlight w:val="none"/>
                <w:lang w:val="en-US" w:eastAsia="zh-CN"/>
              </w:rPr>
              <w:t>标报价</w:t>
            </w:r>
            <w:r>
              <w:rPr>
                <w:rFonts w:hint="eastAsia" w:ascii="宋体" w:hAnsi="宋体" w:eastAsia="宋体" w:cs="Times New Roman"/>
                <w:b w:val="0"/>
                <w:bCs/>
                <w:color w:val="auto"/>
                <w:sz w:val="24"/>
                <w:highlight w:val="none"/>
                <w:lang w:eastAsia="zh-CN"/>
              </w:rPr>
              <w:t>包含但不限于设计、制作、运输、装卸、安装（现场</w:t>
            </w:r>
            <w:r>
              <w:rPr>
                <w:rFonts w:hint="eastAsia" w:ascii="宋体" w:hAnsi="宋体" w:eastAsia="宋体" w:cs="宋体"/>
                <w:color w:val="auto"/>
                <w:kern w:val="0"/>
                <w:sz w:val="24"/>
                <w:highlight w:val="none"/>
                <w:lang w:val="en-US" w:eastAsia="zh-CN"/>
              </w:rPr>
              <w:t>组装）、调试、保险、税金（13%税率）等交付甲方使用前的一切费用，以及免费质保期间的所有维保费用。</w:t>
            </w:r>
          </w:p>
        </w:tc>
      </w:tr>
    </w:tbl>
    <w:p>
      <w:pPr>
        <w:widowControl/>
        <w:spacing w:line="800" w:lineRule="exac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投标人（签章）：                                授权代表（签字）：</w:t>
      </w:r>
    </w:p>
    <w:p>
      <w:pPr>
        <w:widowControl/>
        <w:spacing w:line="800" w:lineRule="exac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联系方式：                                      二〇二一年</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月</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日</w:t>
      </w:r>
    </w:p>
    <w:p>
      <w:pPr>
        <w:widowControl/>
        <w:spacing w:line="460" w:lineRule="exact"/>
        <w:rPr>
          <w:rFonts w:hint="eastAsia" w:ascii="宋体" w:hAnsi="宋体" w:cs="宋体"/>
          <w:b/>
          <w:color w:val="auto"/>
          <w:kern w:val="0"/>
          <w:sz w:val="24"/>
          <w:highlight w:val="none"/>
        </w:rPr>
      </w:pPr>
    </w:p>
    <w:p>
      <w:pPr>
        <w:widowControl/>
        <w:spacing w:line="460" w:lineRule="exact"/>
        <w:rPr>
          <w:rFonts w:hint="eastAsia" w:ascii="宋体" w:hAnsi="宋体"/>
          <w:b/>
          <w:color w:val="auto"/>
          <w:sz w:val="24"/>
          <w:highlight w:val="none"/>
        </w:rPr>
      </w:pPr>
      <w:r>
        <w:rPr>
          <w:rFonts w:hint="eastAsia" w:ascii="宋体" w:hAnsi="宋体" w:cs="宋体"/>
          <w:b/>
          <w:color w:val="auto"/>
          <w:kern w:val="0"/>
          <w:sz w:val="24"/>
          <w:highlight w:val="none"/>
        </w:rPr>
        <w:t>注：招标</w:t>
      </w:r>
      <w:r>
        <w:rPr>
          <w:rFonts w:hint="eastAsia" w:ascii="宋体" w:hAnsi="宋体"/>
          <w:b/>
          <w:color w:val="auto"/>
          <w:sz w:val="24"/>
          <w:highlight w:val="none"/>
        </w:rPr>
        <w:t>人不接受投标人采用总价优惠或以总价百分比优惠的方式进行投标报价，其优惠须直接计算并体现在投标报价中。</w:t>
      </w:r>
    </w:p>
    <w:p>
      <w:pPr>
        <w:widowControl/>
        <w:spacing w:line="460" w:lineRule="exact"/>
        <w:rPr>
          <w:rFonts w:hint="eastAsia" w:ascii="宋体" w:hAnsi="宋体"/>
          <w:b/>
          <w:color w:val="auto"/>
          <w:sz w:val="24"/>
          <w:highlight w:val="none"/>
        </w:rPr>
      </w:pPr>
      <w:r>
        <w:rPr>
          <w:rFonts w:hint="eastAsia" w:ascii="宋体" w:hAnsi="宋体"/>
          <w:b/>
          <w:color w:val="auto"/>
          <w:sz w:val="24"/>
          <w:highlight w:val="none"/>
        </w:rPr>
        <w:t xml:space="preserve">    </w:t>
      </w:r>
    </w:p>
    <w:p>
      <w:pPr>
        <w:rPr>
          <w:rFonts w:hint="eastAsia" w:ascii="宋体" w:hAnsi="宋体"/>
          <w:b/>
          <w:color w:val="auto"/>
          <w:kern w:val="0"/>
          <w:sz w:val="24"/>
          <w:highlight w:val="none"/>
        </w:rPr>
      </w:pPr>
    </w:p>
    <w:p>
      <w:pPr>
        <w:widowControl/>
        <w:spacing w:line="400" w:lineRule="exact"/>
        <w:jc w:val="center"/>
        <w:rPr>
          <w:rFonts w:hint="eastAsia" w:ascii="宋体" w:hAnsi="宋体" w:cs="宋体"/>
          <w:b/>
          <w:color w:val="auto"/>
          <w:kern w:val="0"/>
          <w:sz w:val="24"/>
          <w:highlight w:val="none"/>
        </w:rPr>
      </w:pPr>
    </w:p>
    <w:p>
      <w:pPr>
        <w:widowControl/>
        <w:spacing w:line="400" w:lineRule="exact"/>
        <w:jc w:val="center"/>
        <w:rPr>
          <w:rFonts w:hint="eastAsia" w:ascii="宋体" w:hAnsi="宋体" w:cs="宋体"/>
          <w:b/>
          <w:color w:val="auto"/>
          <w:kern w:val="0"/>
          <w:sz w:val="24"/>
          <w:highlight w:val="none"/>
        </w:rPr>
      </w:pPr>
    </w:p>
    <w:p>
      <w:pPr>
        <w:widowControl/>
        <w:spacing w:line="400" w:lineRule="exact"/>
        <w:rPr>
          <w:rFonts w:hint="eastAsia" w:ascii="宋体" w:hAnsi="宋体" w:cs="宋体"/>
          <w:b/>
          <w:color w:val="auto"/>
          <w:kern w:val="0"/>
          <w:sz w:val="24"/>
          <w:highlight w:val="none"/>
        </w:rPr>
      </w:pPr>
    </w:p>
    <w:p>
      <w:pPr>
        <w:widowControl/>
        <w:spacing w:line="400" w:lineRule="exact"/>
        <w:jc w:val="center"/>
        <w:rPr>
          <w:rFonts w:hint="eastAsia" w:ascii="宋体" w:hAnsi="宋体" w:cs="宋体"/>
          <w:b/>
          <w:color w:val="auto"/>
          <w:kern w:val="0"/>
          <w:sz w:val="24"/>
          <w:highlight w:val="none"/>
        </w:rPr>
      </w:pPr>
    </w:p>
    <w:p>
      <w:pPr>
        <w:widowControl/>
        <w:spacing w:line="240" w:lineRule="exact"/>
        <w:rPr>
          <w:rFonts w:hint="eastAsia" w:ascii="宋体" w:hAnsi="宋体" w:cs="宋体"/>
          <w:b/>
          <w:color w:val="auto"/>
          <w:kern w:val="0"/>
          <w:sz w:val="24"/>
          <w:highlight w:val="none"/>
        </w:rPr>
      </w:pPr>
    </w:p>
    <w:p>
      <w:pPr>
        <w:widowControl/>
        <w:spacing w:line="40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格式3  分项报价表</w:t>
      </w:r>
    </w:p>
    <w:p>
      <w:pPr>
        <w:widowControl/>
        <w:spacing w:line="240" w:lineRule="exact"/>
        <w:jc w:val="center"/>
        <w:rPr>
          <w:rFonts w:hint="eastAsia" w:ascii="宋体" w:hAnsi="宋体" w:cs="宋体"/>
          <w:b/>
          <w:color w:val="auto"/>
          <w:kern w:val="0"/>
          <w:sz w:val="24"/>
          <w:highlight w:val="none"/>
        </w:rPr>
      </w:pP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287"/>
        <w:gridCol w:w="2122"/>
        <w:gridCol w:w="1137"/>
        <w:gridCol w:w="1703"/>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Align w:val="top"/>
          </w:tcPr>
          <w:p>
            <w:pPr>
              <w:spacing w:line="500" w:lineRule="exact"/>
              <w:jc w:val="center"/>
              <w:rPr>
                <w:rFonts w:hint="eastAsia" w:ascii="宋体" w:hAnsi="宋体"/>
                <w:b/>
                <w:color w:val="auto"/>
                <w:sz w:val="24"/>
                <w:highlight w:val="none"/>
              </w:rPr>
            </w:pPr>
            <w:r>
              <w:rPr>
                <w:rFonts w:hint="eastAsia" w:ascii="宋体" w:hAnsi="宋体"/>
                <w:b/>
                <w:color w:val="auto"/>
                <w:sz w:val="24"/>
                <w:highlight w:val="none"/>
              </w:rPr>
              <w:t>序号</w:t>
            </w:r>
          </w:p>
        </w:tc>
        <w:tc>
          <w:tcPr>
            <w:tcW w:w="2287" w:type="dxa"/>
            <w:vAlign w:val="top"/>
          </w:tcPr>
          <w:p>
            <w:pPr>
              <w:spacing w:line="500" w:lineRule="exact"/>
              <w:jc w:val="center"/>
              <w:rPr>
                <w:rFonts w:ascii="宋体" w:hAnsi="宋体"/>
                <w:b/>
                <w:color w:val="auto"/>
                <w:sz w:val="24"/>
                <w:highlight w:val="none"/>
              </w:rPr>
            </w:pPr>
            <w:r>
              <w:rPr>
                <w:rFonts w:hint="eastAsia" w:ascii="宋体" w:hAnsi="宋体"/>
                <w:b/>
                <w:color w:val="auto"/>
                <w:sz w:val="24"/>
                <w:highlight w:val="none"/>
              </w:rPr>
              <w:t>产品</w:t>
            </w:r>
          </w:p>
        </w:tc>
        <w:tc>
          <w:tcPr>
            <w:tcW w:w="2122" w:type="dxa"/>
            <w:vAlign w:val="top"/>
          </w:tcPr>
          <w:p>
            <w:pPr>
              <w:spacing w:line="500" w:lineRule="exact"/>
              <w:jc w:val="center"/>
              <w:rPr>
                <w:rFonts w:ascii="宋体" w:hAnsi="宋体"/>
                <w:b/>
                <w:color w:val="auto"/>
                <w:sz w:val="24"/>
                <w:highlight w:val="none"/>
              </w:rPr>
            </w:pPr>
            <w:r>
              <w:rPr>
                <w:rFonts w:hint="eastAsia" w:ascii="宋体" w:hAnsi="宋体"/>
                <w:b/>
                <w:color w:val="auto"/>
                <w:sz w:val="24"/>
                <w:highlight w:val="none"/>
              </w:rPr>
              <w:t>配置参数</w:t>
            </w:r>
          </w:p>
        </w:tc>
        <w:tc>
          <w:tcPr>
            <w:tcW w:w="1137" w:type="dxa"/>
            <w:vAlign w:val="top"/>
          </w:tcPr>
          <w:p>
            <w:pPr>
              <w:spacing w:line="500" w:lineRule="exact"/>
              <w:jc w:val="center"/>
              <w:rPr>
                <w:rFonts w:ascii="宋体" w:hAnsi="宋体"/>
                <w:b/>
                <w:color w:val="auto"/>
                <w:sz w:val="24"/>
                <w:highlight w:val="none"/>
              </w:rPr>
            </w:pPr>
            <w:r>
              <w:rPr>
                <w:rFonts w:hint="eastAsia" w:ascii="宋体" w:hAnsi="宋体"/>
                <w:b/>
                <w:color w:val="auto"/>
                <w:sz w:val="24"/>
                <w:highlight w:val="none"/>
              </w:rPr>
              <w:t>数量</w:t>
            </w:r>
          </w:p>
        </w:tc>
        <w:tc>
          <w:tcPr>
            <w:tcW w:w="1703" w:type="dxa"/>
            <w:vAlign w:val="top"/>
          </w:tcPr>
          <w:p>
            <w:pPr>
              <w:spacing w:line="500" w:lineRule="exact"/>
              <w:jc w:val="center"/>
              <w:rPr>
                <w:rFonts w:ascii="宋体" w:hAnsi="宋体"/>
                <w:b/>
                <w:color w:val="auto"/>
                <w:sz w:val="24"/>
                <w:highlight w:val="none"/>
              </w:rPr>
            </w:pPr>
            <w:r>
              <w:rPr>
                <w:rFonts w:hint="eastAsia" w:ascii="宋体" w:hAnsi="宋体"/>
                <w:b/>
                <w:color w:val="auto"/>
                <w:sz w:val="24"/>
                <w:highlight w:val="none"/>
              </w:rPr>
              <w:t>单价（元）</w:t>
            </w:r>
          </w:p>
        </w:tc>
        <w:tc>
          <w:tcPr>
            <w:tcW w:w="1807" w:type="dxa"/>
            <w:vAlign w:val="top"/>
          </w:tcPr>
          <w:p>
            <w:pPr>
              <w:spacing w:line="500" w:lineRule="exact"/>
              <w:jc w:val="center"/>
              <w:rPr>
                <w:rFonts w:ascii="宋体" w:hAnsi="宋体"/>
                <w:b/>
                <w:color w:val="auto"/>
                <w:sz w:val="24"/>
                <w:highlight w:val="none"/>
              </w:rPr>
            </w:pPr>
            <w:r>
              <w:rPr>
                <w:rFonts w:hint="eastAsia" w:ascii="宋体" w:hAnsi="宋体"/>
                <w:b/>
                <w:color w:val="auto"/>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2287" w:type="dxa"/>
            <w:vAlign w:val="top"/>
          </w:tcPr>
          <w:p>
            <w:pPr>
              <w:spacing w:line="760" w:lineRule="exact"/>
              <w:jc w:val="center"/>
              <w:rPr>
                <w:rFonts w:ascii="宋体" w:hAnsi="宋体"/>
                <w:color w:val="auto"/>
                <w:sz w:val="24"/>
                <w:highlight w:val="none"/>
              </w:rPr>
            </w:pPr>
          </w:p>
        </w:tc>
        <w:tc>
          <w:tcPr>
            <w:tcW w:w="2122" w:type="dxa"/>
            <w:vAlign w:val="center"/>
          </w:tcPr>
          <w:p>
            <w:pPr>
              <w:spacing w:line="500" w:lineRule="exact"/>
              <w:jc w:val="center"/>
              <w:rPr>
                <w:rFonts w:ascii="宋体" w:hAnsi="宋体"/>
                <w:color w:val="auto"/>
                <w:sz w:val="24"/>
                <w:highlight w:val="none"/>
              </w:rPr>
            </w:pPr>
          </w:p>
        </w:tc>
        <w:tc>
          <w:tcPr>
            <w:tcW w:w="1137" w:type="dxa"/>
            <w:vAlign w:val="center"/>
          </w:tcPr>
          <w:p>
            <w:pPr>
              <w:spacing w:line="500" w:lineRule="exact"/>
              <w:jc w:val="center"/>
              <w:rPr>
                <w:rFonts w:hint="eastAsia" w:ascii="宋体" w:hAnsi="宋体"/>
                <w:bCs/>
                <w:color w:val="auto"/>
                <w:sz w:val="24"/>
                <w:highlight w:val="none"/>
              </w:rPr>
            </w:pPr>
          </w:p>
        </w:tc>
        <w:tc>
          <w:tcPr>
            <w:tcW w:w="1703" w:type="dxa"/>
            <w:vAlign w:val="center"/>
          </w:tcPr>
          <w:p>
            <w:pPr>
              <w:spacing w:line="500" w:lineRule="exact"/>
              <w:jc w:val="right"/>
              <w:rPr>
                <w:rFonts w:hint="eastAsia" w:ascii="宋体" w:hAnsi="宋体"/>
                <w:color w:val="auto"/>
                <w:sz w:val="24"/>
                <w:highlight w:val="none"/>
              </w:rPr>
            </w:pPr>
          </w:p>
        </w:tc>
        <w:tc>
          <w:tcPr>
            <w:tcW w:w="1807" w:type="dxa"/>
            <w:vAlign w:val="center"/>
          </w:tcPr>
          <w:p>
            <w:pPr>
              <w:spacing w:line="500" w:lineRule="exact"/>
              <w:jc w:val="righ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2287" w:type="dxa"/>
            <w:vAlign w:val="top"/>
          </w:tcPr>
          <w:p>
            <w:pPr>
              <w:spacing w:line="760" w:lineRule="exact"/>
              <w:jc w:val="center"/>
              <w:rPr>
                <w:rFonts w:hint="eastAsia" w:ascii="宋体" w:hAnsi="宋体"/>
                <w:color w:val="auto"/>
                <w:sz w:val="24"/>
                <w:highlight w:val="none"/>
              </w:rPr>
            </w:pPr>
          </w:p>
        </w:tc>
        <w:tc>
          <w:tcPr>
            <w:tcW w:w="2122" w:type="dxa"/>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 xml:space="preserve">        </w:t>
            </w:r>
          </w:p>
        </w:tc>
        <w:tc>
          <w:tcPr>
            <w:tcW w:w="1137" w:type="dxa"/>
            <w:vAlign w:val="center"/>
          </w:tcPr>
          <w:p>
            <w:pPr>
              <w:spacing w:line="500" w:lineRule="exact"/>
              <w:jc w:val="center"/>
              <w:rPr>
                <w:rFonts w:ascii="宋体" w:hAnsi="宋体"/>
                <w:bCs/>
                <w:color w:val="auto"/>
                <w:sz w:val="24"/>
                <w:highlight w:val="none"/>
              </w:rPr>
            </w:pPr>
          </w:p>
        </w:tc>
        <w:tc>
          <w:tcPr>
            <w:tcW w:w="1703" w:type="dxa"/>
            <w:vAlign w:val="center"/>
          </w:tcPr>
          <w:p>
            <w:pPr>
              <w:spacing w:line="500" w:lineRule="exact"/>
              <w:jc w:val="right"/>
              <w:rPr>
                <w:rFonts w:hint="eastAsia" w:ascii="宋体" w:hAnsi="宋体"/>
                <w:color w:val="auto"/>
                <w:sz w:val="24"/>
                <w:highlight w:val="none"/>
              </w:rPr>
            </w:pPr>
          </w:p>
        </w:tc>
        <w:tc>
          <w:tcPr>
            <w:tcW w:w="1807" w:type="dxa"/>
            <w:vAlign w:val="center"/>
          </w:tcPr>
          <w:p>
            <w:pPr>
              <w:spacing w:line="500" w:lineRule="exact"/>
              <w:jc w:val="right"/>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2287" w:type="dxa"/>
            <w:vAlign w:val="top"/>
          </w:tcPr>
          <w:p>
            <w:pPr>
              <w:spacing w:line="760" w:lineRule="exact"/>
              <w:jc w:val="center"/>
              <w:rPr>
                <w:rFonts w:hint="eastAsia" w:ascii="宋体" w:hAnsi="宋体"/>
                <w:color w:val="auto"/>
                <w:sz w:val="24"/>
                <w:highlight w:val="none"/>
              </w:rPr>
            </w:pPr>
          </w:p>
        </w:tc>
        <w:tc>
          <w:tcPr>
            <w:tcW w:w="2122" w:type="dxa"/>
            <w:vAlign w:val="center"/>
          </w:tcPr>
          <w:p>
            <w:pPr>
              <w:spacing w:line="500" w:lineRule="exact"/>
              <w:jc w:val="center"/>
              <w:rPr>
                <w:rFonts w:hint="eastAsia" w:ascii="宋体" w:hAnsi="宋体"/>
                <w:color w:val="auto"/>
                <w:sz w:val="24"/>
                <w:highlight w:val="none"/>
              </w:rPr>
            </w:pPr>
          </w:p>
        </w:tc>
        <w:tc>
          <w:tcPr>
            <w:tcW w:w="1137" w:type="dxa"/>
            <w:vAlign w:val="center"/>
          </w:tcPr>
          <w:p>
            <w:pPr>
              <w:spacing w:line="500" w:lineRule="exact"/>
              <w:jc w:val="center"/>
              <w:rPr>
                <w:rFonts w:hint="eastAsia" w:ascii="宋体" w:hAnsi="宋体"/>
                <w:bCs/>
                <w:color w:val="auto"/>
                <w:sz w:val="24"/>
                <w:highlight w:val="none"/>
              </w:rPr>
            </w:pPr>
          </w:p>
        </w:tc>
        <w:tc>
          <w:tcPr>
            <w:tcW w:w="1703" w:type="dxa"/>
            <w:vAlign w:val="center"/>
          </w:tcPr>
          <w:p>
            <w:pPr>
              <w:spacing w:line="500" w:lineRule="exact"/>
              <w:jc w:val="right"/>
              <w:rPr>
                <w:rFonts w:hint="eastAsia" w:ascii="宋体" w:hAnsi="宋体"/>
                <w:color w:val="auto"/>
                <w:sz w:val="24"/>
                <w:highlight w:val="none"/>
              </w:rPr>
            </w:pPr>
          </w:p>
        </w:tc>
        <w:tc>
          <w:tcPr>
            <w:tcW w:w="1807" w:type="dxa"/>
            <w:vAlign w:val="center"/>
          </w:tcPr>
          <w:p>
            <w:pPr>
              <w:spacing w:line="500" w:lineRule="exact"/>
              <w:jc w:val="right"/>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4</w:t>
            </w:r>
          </w:p>
        </w:tc>
        <w:tc>
          <w:tcPr>
            <w:tcW w:w="2287" w:type="dxa"/>
            <w:vAlign w:val="top"/>
          </w:tcPr>
          <w:p>
            <w:pPr>
              <w:spacing w:line="760" w:lineRule="exact"/>
              <w:jc w:val="center"/>
              <w:rPr>
                <w:rFonts w:hint="eastAsia" w:ascii="宋体" w:hAnsi="宋体"/>
                <w:color w:val="auto"/>
                <w:sz w:val="24"/>
                <w:highlight w:val="none"/>
              </w:rPr>
            </w:pPr>
          </w:p>
        </w:tc>
        <w:tc>
          <w:tcPr>
            <w:tcW w:w="2122" w:type="dxa"/>
            <w:vAlign w:val="center"/>
          </w:tcPr>
          <w:p>
            <w:pPr>
              <w:spacing w:line="500" w:lineRule="exact"/>
              <w:jc w:val="center"/>
              <w:rPr>
                <w:rFonts w:hint="eastAsia" w:ascii="宋体" w:hAnsi="宋体"/>
                <w:color w:val="auto"/>
                <w:sz w:val="24"/>
                <w:highlight w:val="none"/>
              </w:rPr>
            </w:pPr>
          </w:p>
        </w:tc>
        <w:tc>
          <w:tcPr>
            <w:tcW w:w="1137" w:type="dxa"/>
            <w:vAlign w:val="center"/>
          </w:tcPr>
          <w:p>
            <w:pPr>
              <w:spacing w:line="500" w:lineRule="exact"/>
              <w:jc w:val="center"/>
              <w:rPr>
                <w:rFonts w:hint="eastAsia" w:ascii="宋体" w:hAnsi="宋体"/>
                <w:bCs/>
                <w:color w:val="auto"/>
                <w:sz w:val="24"/>
                <w:highlight w:val="none"/>
              </w:rPr>
            </w:pPr>
          </w:p>
        </w:tc>
        <w:tc>
          <w:tcPr>
            <w:tcW w:w="1703" w:type="dxa"/>
            <w:vAlign w:val="center"/>
          </w:tcPr>
          <w:p>
            <w:pPr>
              <w:spacing w:line="500" w:lineRule="exact"/>
              <w:jc w:val="right"/>
              <w:rPr>
                <w:rFonts w:hint="eastAsia" w:ascii="宋体" w:hAnsi="宋体"/>
                <w:color w:val="auto"/>
                <w:sz w:val="24"/>
                <w:highlight w:val="none"/>
              </w:rPr>
            </w:pPr>
          </w:p>
        </w:tc>
        <w:tc>
          <w:tcPr>
            <w:tcW w:w="1807" w:type="dxa"/>
            <w:vAlign w:val="center"/>
          </w:tcPr>
          <w:p>
            <w:pPr>
              <w:spacing w:line="500" w:lineRule="exact"/>
              <w:jc w:val="right"/>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5</w:t>
            </w:r>
          </w:p>
        </w:tc>
        <w:tc>
          <w:tcPr>
            <w:tcW w:w="2287" w:type="dxa"/>
            <w:vAlign w:val="top"/>
          </w:tcPr>
          <w:p>
            <w:pPr>
              <w:spacing w:line="760" w:lineRule="exact"/>
              <w:jc w:val="center"/>
              <w:rPr>
                <w:rFonts w:hint="eastAsia" w:ascii="宋体" w:hAnsi="宋体"/>
                <w:color w:val="auto"/>
                <w:sz w:val="24"/>
                <w:highlight w:val="none"/>
              </w:rPr>
            </w:pPr>
          </w:p>
        </w:tc>
        <w:tc>
          <w:tcPr>
            <w:tcW w:w="2122" w:type="dxa"/>
            <w:vAlign w:val="center"/>
          </w:tcPr>
          <w:p>
            <w:pPr>
              <w:spacing w:line="500" w:lineRule="exact"/>
              <w:jc w:val="center"/>
              <w:rPr>
                <w:rFonts w:hint="eastAsia" w:ascii="宋体" w:hAnsi="宋体"/>
                <w:color w:val="auto"/>
                <w:sz w:val="24"/>
                <w:highlight w:val="none"/>
              </w:rPr>
            </w:pPr>
          </w:p>
        </w:tc>
        <w:tc>
          <w:tcPr>
            <w:tcW w:w="1137" w:type="dxa"/>
            <w:vAlign w:val="center"/>
          </w:tcPr>
          <w:p>
            <w:pPr>
              <w:spacing w:line="500" w:lineRule="exact"/>
              <w:jc w:val="center"/>
              <w:rPr>
                <w:rFonts w:hint="eastAsia" w:ascii="宋体" w:hAnsi="宋体"/>
                <w:bCs/>
                <w:color w:val="auto"/>
                <w:sz w:val="24"/>
                <w:highlight w:val="none"/>
              </w:rPr>
            </w:pPr>
          </w:p>
        </w:tc>
        <w:tc>
          <w:tcPr>
            <w:tcW w:w="1703" w:type="dxa"/>
            <w:vAlign w:val="center"/>
          </w:tcPr>
          <w:p>
            <w:pPr>
              <w:spacing w:line="500" w:lineRule="exact"/>
              <w:jc w:val="right"/>
              <w:rPr>
                <w:rFonts w:hint="eastAsia" w:ascii="宋体" w:hAnsi="宋体"/>
                <w:color w:val="auto"/>
                <w:sz w:val="24"/>
                <w:highlight w:val="none"/>
              </w:rPr>
            </w:pPr>
          </w:p>
        </w:tc>
        <w:tc>
          <w:tcPr>
            <w:tcW w:w="1807" w:type="dxa"/>
            <w:vAlign w:val="center"/>
          </w:tcPr>
          <w:p>
            <w:pPr>
              <w:spacing w:line="500" w:lineRule="exact"/>
              <w:jc w:val="right"/>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6</w:t>
            </w:r>
          </w:p>
        </w:tc>
        <w:tc>
          <w:tcPr>
            <w:tcW w:w="2287" w:type="dxa"/>
            <w:vAlign w:val="top"/>
          </w:tcPr>
          <w:p>
            <w:pPr>
              <w:spacing w:line="760" w:lineRule="exact"/>
              <w:jc w:val="center"/>
              <w:rPr>
                <w:rFonts w:hint="eastAsia" w:ascii="宋体" w:hAnsi="宋体"/>
                <w:color w:val="auto"/>
                <w:sz w:val="24"/>
                <w:highlight w:val="none"/>
              </w:rPr>
            </w:pPr>
          </w:p>
        </w:tc>
        <w:tc>
          <w:tcPr>
            <w:tcW w:w="2122" w:type="dxa"/>
            <w:vAlign w:val="center"/>
          </w:tcPr>
          <w:p>
            <w:pPr>
              <w:spacing w:line="500" w:lineRule="exact"/>
              <w:jc w:val="center"/>
              <w:rPr>
                <w:rFonts w:hint="eastAsia" w:ascii="宋体" w:hAnsi="宋体"/>
                <w:color w:val="auto"/>
                <w:sz w:val="24"/>
                <w:highlight w:val="none"/>
              </w:rPr>
            </w:pPr>
          </w:p>
        </w:tc>
        <w:tc>
          <w:tcPr>
            <w:tcW w:w="1137" w:type="dxa"/>
            <w:vAlign w:val="center"/>
          </w:tcPr>
          <w:p>
            <w:pPr>
              <w:spacing w:line="500" w:lineRule="exact"/>
              <w:jc w:val="center"/>
              <w:rPr>
                <w:rFonts w:hint="eastAsia" w:ascii="宋体" w:hAnsi="宋体"/>
                <w:bCs/>
                <w:color w:val="auto"/>
                <w:sz w:val="24"/>
                <w:highlight w:val="none"/>
              </w:rPr>
            </w:pPr>
          </w:p>
        </w:tc>
        <w:tc>
          <w:tcPr>
            <w:tcW w:w="1703" w:type="dxa"/>
            <w:vAlign w:val="center"/>
          </w:tcPr>
          <w:p>
            <w:pPr>
              <w:spacing w:line="500" w:lineRule="exact"/>
              <w:jc w:val="right"/>
              <w:rPr>
                <w:rFonts w:hint="eastAsia" w:ascii="宋体" w:hAnsi="宋体"/>
                <w:color w:val="auto"/>
                <w:sz w:val="24"/>
                <w:highlight w:val="none"/>
              </w:rPr>
            </w:pPr>
          </w:p>
        </w:tc>
        <w:tc>
          <w:tcPr>
            <w:tcW w:w="1807" w:type="dxa"/>
            <w:vAlign w:val="center"/>
          </w:tcPr>
          <w:p>
            <w:pPr>
              <w:spacing w:line="500" w:lineRule="exact"/>
              <w:jc w:val="right"/>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gridSpan w:val="2"/>
            <w:vAlign w:val="center"/>
          </w:tcPr>
          <w:p>
            <w:pPr>
              <w:spacing w:line="500" w:lineRule="exact"/>
              <w:jc w:val="center"/>
              <w:rPr>
                <w:rFonts w:ascii="宋体" w:hAnsi="宋体"/>
                <w:color w:val="auto"/>
                <w:sz w:val="24"/>
                <w:highlight w:val="none"/>
              </w:rPr>
            </w:pPr>
            <w:r>
              <w:rPr>
                <w:rFonts w:hint="eastAsia" w:ascii="宋体" w:hAnsi="宋体"/>
                <w:b/>
                <w:bCs/>
                <w:color w:val="auto"/>
                <w:sz w:val="24"/>
                <w:highlight w:val="none"/>
              </w:rPr>
              <w:t>（含13%增值税）合计</w:t>
            </w:r>
          </w:p>
        </w:tc>
        <w:tc>
          <w:tcPr>
            <w:tcW w:w="6769" w:type="dxa"/>
            <w:gridSpan w:val="4"/>
            <w:vAlign w:val="top"/>
          </w:tcPr>
          <w:p>
            <w:pPr>
              <w:spacing w:line="500" w:lineRule="exact"/>
              <w:jc w:val="left"/>
              <w:rPr>
                <w:rFonts w:ascii="宋体" w:hAnsi="宋体"/>
                <w:b/>
                <w:bCs/>
                <w:color w:val="auto"/>
                <w:sz w:val="24"/>
                <w:highlight w:val="none"/>
              </w:rPr>
            </w:pPr>
            <w:r>
              <w:rPr>
                <w:rFonts w:hint="eastAsia" w:ascii="宋体" w:hAnsi="宋体"/>
                <w:b/>
                <w:bCs/>
                <w:color w:val="auto"/>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4" w:type="dxa"/>
            <w:gridSpan w:val="6"/>
            <w:vAlign w:val="center"/>
          </w:tcPr>
          <w:p>
            <w:pPr>
              <w:widowControl/>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1.以上报价不得有缺漏项或算术性错误，否则视为无效报价；</w:t>
            </w:r>
          </w:p>
          <w:p>
            <w:pPr>
              <w:pStyle w:val="13"/>
              <w:jc w:val="left"/>
              <w:rPr>
                <w:rFonts w:hint="default"/>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rPr>
              <w:t>2.投</w:t>
            </w:r>
            <w:r>
              <w:rPr>
                <w:rFonts w:hint="eastAsia" w:ascii="宋体" w:hAnsi="宋体" w:eastAsia="宋体" w:cs="宋体"/>
                <w:b w:val="0"/>
                <w:bCs w:val="0"/>
                <w:color w:val="auto"/>
                <w:sz w:val="24"/>
                <w:szCs w:val="24"/>
                <w:highlight w:val="none"/>
                <w:lang w:val="en-US" w:eastAsia="zh-CN"/>
              </w:rPr>
              <w:t>标报价</w:t>
            </w:r>
            <w:r>
              <w:rPr>
                <w:rFonts w:hint="eastAsia" w:ascii="宋体" w:hAnsi="宋体" w:eastAsia="宋体" w:cs="宋体"/>
                <w:b w:val="0"/>
                <w:bCs w:val="0"/>
                <w:color w:val="auto"/>
                <w:sz w:val="24"/>
                <w:szCs w:val="24"/>
                <w:highlight w:val="none"/>
                <w:lang w:eastAsia="zh-CN"/>
              </w:rPr>
              <w:t>包含但不限于设计、制作、运输、装卸、安装（现场</w:t>
            </w:r>
            <w:r>
              <w:rPr>
                <w:rFonts w:hint="eastAsia" w:ascii="宋体" w:hAnsi="宋体" w:eastAsia="宋体" w:cs="宋体"/>
                <w:b w:val="0"/>
                <w:bCs w:val="0"/>
                <w:color w:val="auto"/>
                <w:kern w:val="0"/>
                <w:sz w:val="24"/>
                <w:szCs w:val="24"/>
                <w:highlight w:val="none"/>
                <w:lang w:val="en-US" w:eastAsia="zh-CN"/>
              </w:rPr>
              <w:t>组装）、调试、保险、税金（13%税率）等交付甲方使用前的一切费用，以及免费质保期间的所有维保费用。</w:t>
            </w:r>
          </w:p>
        </w:tc>
      </w:tr>
    </w:tbl>
    <w:p>
      <w:pPr>
        <w:widowControl/>
        <w:spacing w:line="240" w:lineRule="exact"/>
        <w:jc w:val="center"/>
        <w:rPr>
          <w:rFonts w:hint="eastAsia" w:ascii="宋体" w:hAnsi="宋体" w:cs="宋体"/>
          <w:b/>
          <w:color w:val="auto"/>
          <w:kern w:val="0"/>
          <w:sz w:val="24"/>
          <w:highlight w:val="none"/>
        </w:rPr>
      </w:pPr>
    </w:p>
    <w:p>
      <w:pPr>
        <w:widowControl/>
        <w:spacing w:line="240" w:lineRule="exact"/>
        <w:jc w:val="center"/>
        <w:rPr>
          <w:rFonts w:hint="eastAsia" w:ascii="宋体" w:hAnsi="宋体" w:cs="宋体"/>
          <w:b/>
          <w:color w:val="auto"/>
          <w:kern w:val="0"/>
          <w:sz w:val="24"/>
          <w:highlight w:val="none"/>
        </w:rPr>
      </w:pPr>
    </w:p>
    <w:p>
      <w:pPr>
        <w:widowControl/>
        <w:spacing w:line="240" w:lineRule="exact"/>
        <w:jc w:val="center"/>
        <w:rPr>
          <w:rFonts w:hint="eastAsia" w:ascii="宋体" w:hAnsi="宋体" w:cs="宋体"/>
          <w:b/>
          <w:color w:val="auto"/>
          <w:kern w:val="0"/>
          <w:sz w:val="24"/>
          <w:highlight w:val="none"/>
        </w:rPr>
      </w:pPr>
    </w:p>
    <w:p>
      <w:pPr>
        <w:widowControl/>
        <w:spacing w:line="520" w:lineRule="exact"/>
        <w:jc w:val="center"/>
        <w:rPr>
          <w:rFonts w:hint="eastAsia" w:ascii="宋体" w:hAnsi="宋体" w:cs="宋体"/>
          <w:color w:val="auto"/>
          <w:kern w:val="0"/>
          <w:sz w:val="28"/>
          <w:szCs w:val="28"/>
          <w:highlight w:val="none"/>
        </w:rPr>
      </w:pPr>
      <w:r>
        <w:rPr>
          <w:rFonts w:hint="eastAsia" w:ascii="宋体" w:hAnsi="宋体" w:cs="宋体"/>
          <w:b/>
          <w:color w:val="auto"/>
          <w:kern w:val="0"/>
          <w:sz w:val="28"/>
          <w:szCs w:val="28"/>
          <w:highlight w:val="none"/>
        </w:rPr>
        <w:t>格式4  投标承诺事项</w:t>
      </w:r>
    </w:p>
    <w:p>
      <w:pPr>
        <w:widowControl/>
        <w:spacing w:line="460" w:lineRule="exac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内容包括如下：</w:t>
      </w:r>
    </w:p>
    <w:p>
      <w:pPr>
        <w:widowControl/>
        <w:numPr>
          <w:numId w:val="0"/>
        </w:numPr>
        <w:spacing w:line="4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w:t>
      </w:r>
      <w:r>
        <w:rPr>
          <w:rFonts w:hint="eastAsia" w:ascii="宋体" w:hAnsi="宋体" w:cs="宋体"/>
          <w:color w:val="auto"/>
          <w:kern w:val="0"/>
          <w:sz w:val="24"/>
          <w:szCs w:val="24"/>
          <w:highlight w:val="none"/>
        </w:rPr>
        <w:t>对</w:t>
      </w:r>
      <w:r>
        <w:rPr>
          <w:rFonts w:hint="eastAsia" w:ascii="宋体" w:hAnsi="宋体" w:cs="宋体"/>
          <w:color w:val="auto"/>
          <w:kern w:val="0"/>
          <w:sz w:val="24"/>
          <w:szCs w:val="24"/>
          <w:highlight w:val="none"/>
          <w:lang w:eastAsia="zh-CN"/>
        </w:rPr>
        <w:t>实施工期</w:t>
      </w:r>
      <w:r>
        <w:rPr>
          <w:rFonts w:hint="eastAsia" w:ascii="宋体" w:hAnsi="宋体" w:cs="宋体"/>
          <w:color w:val="auto"/>
          <w:kern w:val="0"/>
          <w:sz w:val="24"/>
          <w:szCs w:val="24"/>
          <w:highlight w:val="none"/>
        </w:rPr>
        <w:t>的承诺；</w:t>
      </w:r>
    </w:p>
    <w:p>
      <w:pPr>
        <w:widowControl/>
        <w:numPr>
          <w:numId w:val="0"/>
        </w:numPr>
        <w:spacing w:line="460" w:lineRule="exact"/>
        <w:jc w:val="left"/>
        <w:rPr>
          <w:rFonts w:hint="eastAsia" w:ascii="宋体" w:hAnsi="宋体" w:eastAsia="宋体" w:cs="宋体"/>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.投标人对本项目涉及相关接口（如城泊、银行支付通道、银联无感支付通道、微信、支付宝、ETC支付通道等）及后期更换银行通道提供免费对接的承诺；</w:t>
      </w:r>
    </w:p>
    <w:p>
      <w:pPr>
        <w:widowControl/>
        <w:numPr>
          <w:numId w:val="0"/>
        </w:numPr>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投标人对测温平台与闸机平台数据对接、测温平台数据与闸机开闸信号联动的承诺；</w:t>
      </w:r>
    </w:p>
    <w:p>
      <w:pPr>
        <w:widowControl/>
        <w:numPr>
          <w:numId w:val="0"/>
        </w:numPr>
        <w:spacing w:line="4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4.投标人所供门禁后端软件实现与周谷堆市场业务系统数据免费、无条件对接的承诺；</w:t>
      </w:r>
    </w:p>
    <w:p>
      <w:pPr>
        <w:widowControl/>
        <w:numPr>
          <w:numId w:val="0"/>
        </w:numPr>
        <w:spacing w:line="460" w:lineRule="exact"/>
        <w:jc w:val="left"/>
        <w:rPr>
          <w:rFonts w:hint="default" w:ascii="宋体" w:hAnsi="宋体" w:cs="宋体"/>
          <w:b w:val="0"/>
          <w:bCs/>
          <w:color w:val="auto"/>
          <w:kern w:val="0"/>
          <w:sz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对产品质量和售后服务的承诺；</w:t>
      </w:r>
    </w:p>
    <w:p>
      <w:pPr>
        <w:widowControl/>
        <w:spacing w:line="460" w:lineRule="exact"/>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.投标人的其他承诺</w:t>
      </w:r>
      <w:r>
        <w:rPr>
          <w:rFonts w:hint="eastAsia" w:ascii="宋体" w:hAnsi="宋体" w:cs="宋体"/>
          <w:color w:val="auto"/>
          <w:kern w:val="0"/>
          <w:sz w:val="24"/>
          <w:highlight w:val="none"/>
          <w:lang w:eastAsia="zh-CN"/>
        </w:rPr>
        <w:t>。</w:t>
      </w:r>
    </w:p>
    <w:p>
      <w:pPr>
        <w:widowControl/>
        <w:spacing w:line="460" w:lineRule="exact"/>
        <w:jc w:val="left"/>
        <w:rPr>
          <w:rFonts w:hint="eastAsia" w:ascii="宋体" w:hAnsi="宋体" w:cs="宋体"/>
          <w:b w:val="0"/>
          <w:bCs/>
          <w:color w:val="auto"/>
          <w:kern w:val="0"/>
          <w:sz w:val="24"/>
          <w:highlight w:val="none"/>
          <w:lang w:val="en-US" w:eastAsia="zh-CN"/>
        </w:rPr>
      </w:pPr>
    </w:p>
    <w:p>
      <w:pPr>
        <w:pStyle w:val="13"/>
        <w:rPr>
          <w:rFonts w:hint="eastAsia"/>
          <w:color w:val="auto"/>
          <w:highlight w:val="none"/>
        </w:rPr>
      </w:pPr>
    </w:p>
    <w:p>
      <w:pPr>
        <w:widowControl/>
        <w:spacing w:line="460" w:lineRule="exact"/>
        <w:jc w:val="left"/>
        <w:rPr>
          <w:rFonts w:hint="eastAsia" w:ascii="宋体" w:hAnsi="宋体" w:cs="宋体"/>
          <w:color w:val="auto"/>
          <w:kern w:val="0"/>
          <w:sz w:val="24"/>
          <w:highlight w:val="none"/>
        </w:rPr>
      </w:pPr>
    </w:p>
    <w:p>
      <w:pPr>
        <w:widowControl/>
        <w:spacing w:line="460" w:lineRule="exact"/>
        <w:jc w:val="left"/>
        <w:rPr>
          <w:rFonts w:hint="eastAsia" w:ascii="宋体" w:hAnsi="宋体" w:cs="宋体"/>
          <w:color w:val="auto"/>
          <w:kern w:val="0"/>
          <w:sz w:val="24"/>
          <w:highlight w:val="none"/>
        </w:rPr>
      </w:pPr>
    </w:p>
    <w:p>
      <w:pPr>
        <w:widowControl/>
        <w:spacing w:line="460" w:lineRule="exact"/>
        <w:jc w:val="center"/>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二、投标资格证明文件</w:t>
      </w:r>
    </w:p>
    <w:p>
      <w:pPr>
        <w:widowControl/>
        <w:spacing w:line="460" w:lineRule="exac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投标人除提供“投标人要求”中所列文件外，须相应提供以下资料：</w:t>
      </w:r>
    </w:p>
    <w:p>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投标人简介、通讯方式</w:t>
      </w:r>
    </w:p>
    <w:p>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2.与标的物有关的情况</w:t>
      </w:r>
    </w:p>
    <w:p>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3.开户银行名称及地址</w:t>
      </w:r>
    </w:p>
    <w:p>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4.投标人认为需要说明的其它情况     </w:t>
      </w:r>
    </w:p>
    <w:p>
      <w:pPr>
        <w:widowControl/>
        <w:spacing w:line="460" w:lineRule="exact"/>
        <w:jc w:val="left"/>
        <w:rPr>
          <w:rFonts w:hint="eastAsia" w:ascii="宋体" w:hAnsi="宋体" w:cs="宋体"/>
          <w:color w:val="auto"/>
          <w:kern w:val="0"/>
          <w:sz w:val="24"/>
          <w:highlight w:val="none"/>
        </w:rPr>
      </w:pPr>
    </w:p>
    <w:p>
      <w:pPr>
        <w:widowControl/>
        <w:spacing w:line="520" w:lineRule="exact"/>
        <w:jc w:val="center"/>
        <w:rPr>
          <w:rFonts w:hint="eastAsia"/>
          <w:color w:val="auto"/>
          <w:sz w:val="28"/>
          <w:szCs w:val="28"/>
          <w:highlight w:val="none"/>
        </w:rPr>
      </w:pPr>
      <w:r>
        <w:rPr>
          <w:rFonts w:hint="eastAsia" w:ascii="宋体" w:hAnsi="宋体" w:cs="宋体"/>
          <w:b/>
          <w:color w:val="auto"/>
          <w:kern w:val="0"/>
          <w:sz w:val="28"/>
          <w:szCs w:val="28"/>
          <w:highlight w:val="none"/>
          <w:lang w:val="zh-CN"/>
        </w:rPr>
        <w:t>三、投标保证金退还申请书</w:t>
      </w:r>
    </w:p>
    <w:p>
      <w:pPr>
        <w:spacing w:before="468" w:beforeLines="150" w:line="320" w:lineRule="exact"/>
        <w:rPr>
          <w:rFonts w:ascii="宋体" w:hAnsi="宋体" w:cs="宋体"/>
          <w:b/>
          <w:color w:val="auto"/>
          <w:sz w:val="24"/>
          <w:highlight w:val="none"/>
        </w:rPr>
      </w:pPr>
      <w:r>
        <w:rPr>
          <w:rFonts w:ascii="宋体" w:hAnsi="宋体" w:eastAsia="宋体" w:cs="宋体"/>
          <w:b/>
          <w:bCs/>
          <w:color w:val="auto"/>
          <w:sz w:val="24"/>
          <w:szCs w:val="24"/>
          <w:highlight w:val="none"/>
        </w:rPr>
        <w:t>合肥周谷堆大兴农产品国际物流园有限责任公司</w:t>
      </w:r>
      <w:r>
        <w:rPr>
          <w:rFonts w:hint="eastAsia" w:ascii="宋体" w:hAnsi="宋体" w:cs="宋体"/>
          <w:b/>
          <w:color w:val="auto"/>
          <w:sz w:val="24"/>
          <w:highlight w:val="none"/>
        </w:rPr>
        <w:t>：</w:t>
      </w:r>
    </w:p>
    <w:p>
      <w:pPr>
        <w:spacing w:line="6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我公司于</w:t>
      </w:r>
      <w:r>
        <w:rPr>
          <w:rFonts w:hint="eastAsia" w:ascii="宋体" w:hAnsi="宋体" w:cs="宋体"/>
          <w:color w:val="auto"/>
          <w:sz w:val="24"/>
          <w:highlight w:val="none"/>
          <w:u w:val="single"/>
        </w:rPr>
        <w:t>2021年   月  日</w:t>
      </w:r>
      <w:r>
        <w:rPr>
          <w:rFonts w:hint="eastAsia" w:ascii="宋体" w:hAnsi="宋体" w:cs="宋体"/>
          <w:color w:val="auto"/>
          <w:sz w:val="24"/>
          <w:highlight w:val="none"/>
        </w:rPr>
        <w:t>参加</w:t>
      </w:r>
      <w:r>
        <w:rPr>
          <w:rFonts w:hint="eastAsia" w:ascii="宋体" w:hAnsi="宋体"/>
          <w:b/>
          <w:color w:val="auto"/>
          <w:sz w:val="24"/>
          <w:highlight w:val="none"/>
          <w:u w:val="single"/>
          <w:lang w:eastAsia="zh-CN"/>
        </w:rPr>
        <w:t>百大周谷堆大兴农产品国际物流园智慧农批提升改造之水产肉食交易区门禁及防疫测温信息化</w:t>
      </w:r>
      <w:r>
        <w:rPr>
          <w:rFonts w:hint="eastAsia" w:ascii="宋体" w:hAnsi="宋体" w:cs="宋体"/>
          <w:color w:val="auto"/>
          <w:sz w:val="24"/>
          <w:highlight w:val="none"/>
        </w:rPr>
        <w:t>项目招投标，交纳保证金</w:t>
      </w:r>
      <w:r>
        <w:rPr>
          <w:rFonts w:hint="eastAsia" w:ascii="宋体" w:hAnsi="宋体" w:cs="宋体"/>
          <w:color w:val="auto"/>
          <w:sz w:val="24"/>
          <w:highlight w:val="none"/>
          <w:u w:val="single" w:color="auto"/>
          <w:lang w:val="en-US" w:eastAsia="zh-CN"/>
        </w:rPr>
        <w:t xml:space="preserve">  </w:t>
      </w:r>
      <w:r>
        <w:rPr>
          <w:rFonts w:hint="eastAsia" w:ascii="宋体" w:hAnsi="宋体" w:cs="宋体"/>
          <w:b/>
          <w:bCs/>
          <w:color w:val="auto"/>
          <w:sz w:val="24"/>
          <w:highlight w:val="none"/>
          <w:u w:val="single" w:color="auto"/>
          <w:lang w:eastAsia="zh-CN"/>
        </w:rPr>
        <w:t>壹万</w:t>
      </w:r>
      <w:r>
        <w:rPr>
          <w:rFonts w:hint="eastAsia" w:ascii="宋体" w:hAnsi="宋体" w:cs="宋体"/>
          <w:b/>
          <w:bCs/>
          <w:color w:val="auto"/>
          <w:sz w:val="24"/>
          <w:highlight w:val="none"/>
          <w:u w:val="single" w:color="auto"/>
        </w:rPr>
        <w:t xml:space="preserve">  </w:t>
      </w:r>
      <w:r>
        <w:rPr>
          <w:rFonts w:hint="eastAsia" w:ascii="宋体" w:hAnsi="宋体" w:cs="宋体"/>
          <w:color w:val="auto"/>
          <w:sz w:val="24"/>
          <w:highlight w:val="none"/>
        </w:rPr>
        <w:t>元。如我公司未中标，请将该项目投标保证金退至以下帐号；如我公司中标，投标保证金退还事宜按投标邀请约定执行。</w:t>
      </w:r>
    </w:p>
    <w:p>
      <w:pPr>
        <w:spacing w:line="64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请予办理。</w:t>
      </w:r>
    </w:p>
    <w:p>
      <w:pPr>
        <w:spacing w:line="64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户    名：</w:t>
      </w:r>
    </w:p>
    <w:p>
      <w:pPr>
        <w:spacing w:line="64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开户银行：</w:t>
      </w:r>
    </w:p>
    <w:p>
      <w:pPr>
        <w:spacing w:line="64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帐    号：</w:t>
      </w:r>
    </w:p>
    <w:p>
      <w:pPr>
        <w:spacing w:line="64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联系电话：</w:t>
      </w:r>
    </w:p>
    <w:tbl>
      <w:tblPr>
        <w:tblStyle w:val="19"/>
        <w:tblpPr w:leftFromText="180" w:rightFromText="180" w:vertAnchor="text" w:horzAnchor="page" w:tblpX="1227" w:tblpY="99"/>
        <w:tblOverlap w:val="neve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trPr>
        <w:tc>
          <w:tcPr>
            <w:tcW w:w="9854" w:type="dxa"/>
            <w:vAlign w:val="top"/>
          </w:tcPr>
          <w:p>
            <w:pPr>
              <w:spacing w:line="640" w:lineRule="exact"/>
              <w:rPr>
                <w:rFonts w:hint="eastAsia" w:ascii="宋体" w:hAnsi="宋体" w:cs="宋体"/>
                <w:color w:val="auto"/>
                <w:sz w:val="24"/>
                <w:highlight w:val="none"/>
              </w:rPr>
            </w:pPr>
          </w:p>
          <w:p>
            <w:pPr>
              <w:spacing w:line="640" w:lineRule="exact"/>
              <w:jc w:val="center"/>
              <w:rPr>
                <w:rFonts w:ascii="宋体" w:hAnsi="宋体" w:cs="宋体"/>
                <w:color w:val="auto"/>
                <w:sz w:val="24"/>
                <w:highlight w:val="none"/>
              </w:rPr>
            </w:pPr>
            <w:r>
              <w:rPr>
                <w:rFonts w:hint="eastAsia" w:ascii="宋体" w:hAnsi="宋体" w:cs="宋体"/>
                <w:color w:val="auto"/>
                <w:sz w:val="24"/>
                <w:highlight w:val="none"/>
              </w:rPr>
              <w:t>此处粘贴转账单复印件</w:t>
            </w:r>
          </w:p>
          <w:p>
            <w:pPr>
              <w:spacing w:line="640" w:lineRule="exact"/>
              <w:rPr>
                <w:rFonts w:ascii="宋体" w:hAnsi="宋体" w:cs="宋体"/>
                <w:color w:val="auto"/>
                <w:sz w:val="24"/>
                <w:highlight w:val="none"/>
              </w:rPr>
            </w:pPr>
          </w:p>
        </w:tc>
      </w:tr>
    </w:tbl>
    <w:p>
      <w:pPr>
        <w:spacing w:line="640" w:lineRule="exact"/>
        <w:rPr>
          <w:rFonts w:ascii="宋体" w:hAnsi="宋体" w:cs="宋体"/>
          <w:b/>
          <w:color w:val="auto"/>
          <w:sz w:val="24"/>
          <w:highlight w:val="none"/>
        </w:rPr>
      </w:pPr>
      <w:r>
        <w:rPr>
          <w:rFonts w:hint="eastAsia" w:ascii="宋体" w:hAnsi="宋体" w:cs="宋体"/>
          <w:b/>
          <w:color w:val="auto"/>
          <w:sz w:val="24"/>
          <w:highlight w:val="none"/>
        </w:rPr>
        <w:t>注：投标人需在开标前将申请书交给招标人，申请书不用密封在标书内。</w:t>
      </w:r>
    </w:p>
    <w:p>
      <w:pPr>
        <w:spacing w:line="640" w:lineRule="exact"/>
        <w:ind w:firstLine="3393" w:firstLineChars="1414"/>
        <w:rPr>
          <w:rFonts w:ascii="宋体" w:hAnsi="宋体" w:cs="宋体"/>
          <w:color w:val="auto"/>
          <w:sz w:val="24"/>
          <w:highlight w:val="none"/>
        </w:rPr>
      </w:pPr>
      <w:r>
        <w:rPr>
          <w:rFonts w:hint="eastAsia" w:ascii="宋体" w:hAnsi="宋体" w:cs="宋体"/>
          <w:color w:val="auto"/>
          <w:sz w:val="24"/>
          <w:highlight w:val="none"/>
        </w:rPr>
        <w:t xml:space="preserve">                 投标人签章：</w:t>
      </w:r>
    </w:p>
    <w:p>
      <w:pPr>
        <w:spacing w:line="640" w:lineRule="exact"/>
        <w:ind w:firstLine="3393" w:firstLineChars="1414"/>
        <w:rPr>
          <w:rFonts w:hint="eastAsia" w:ascii="宋体" w:hAnsi="宋体" w:cs="宋体"/>
          <w:color w:val="auto"/>
          <w:sz w:val="24"/>
          <w:highlight w:val="none"/>
        </w:rPr>
      </w:pPr>
      <w:r>
        <w:rPr>
          <w:rFonts w:hint="eastAsia" w:ascii="宋体" w:hAnsi="宋体" w:cs="宋体"/>
          <w:color w:val="auto"/>
          <w:sz w:val="24"/>
          <w:highlight w:val="none"/>
        </w:rPr>
        <w:t xml:space="preserve">                 20</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    月    日</w:t>
      </w:r>
    </w:p>
    <w:p>
      <w:pPr>
        <w:spacing w:line="240" w:lineRule="exact"/>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四、合同</w:t>
      </w:r>
    </w:p>
    <w:p>
      <w:pPr>
        <w:spacing w:line="440" w:lineRule="exact"/>
        <w:rPr>
          <w:rFonts w:hint="eastAsia" w:ascii="宋体" w:hAnsi="宋体"/>
          <w:color w:val="auto"/>
          <w:sz w:val="24"/>
          <w:szCs w:val="27"/>
          <w:highlight w:val="none"/>
        </w:rPr>
      </w:pPr>
    </w:p>
    <w:p>
      <w:pPr>
        <w:widowControl/>
        <w:tabs>
          <w:tab w:val="center" w:pos="4568"/>
          <w:tab w:val="left" w:pos="7410"/>
          <w:tab w:val="right" w:pos="9136"/>
        </w:tabs>
        <w:autoSpaceDE w:val="0"/>
        <w:autoSpaceDN w:val="0"/>
        <w:spacing w:line="720" w:lineRule="exact"/>
        <w:jc w:val="center"/>
        <w:textAlignment w:val="bottom"/>
        <w:rPr>
          <w:rFonts w:hint="eastAsia" w:ascii="宋体" w:hAnsi="宋体" w:eastAsia="宋体" w:cs="宋体"/>
          <w:b/>
          <w:bCs w:val="0"/>
          <w:color w:val="auto"/>
          <w:sz w:val="36"/>
          <w:szCs w:val="36"/>
          <w:highlight w:val="none"/>
          <w:lang w:eastAsia="zh-CN"/>
        </w:rPr>
      </w:pPr>
      <w:bookmarkStart w:id="0" w:name="_Hlk535941563"/>
      <w:r>
        <w:rPr>
          <w:rFonts w:hint="eastAsia" w:ascii="宋体" w:hAnsi="宋体"/>
          <w:b/>
          <w:bCs w:val="0"/>
          <w:color w:val="auto"/>
          <w:sz w:val="36"/>
          <w:szCs w:val="36"/>
          <w:highlight w:val="none"/>
          <w:u w:val="none"/>
          <w:lang w:eastAsia="zh-CN"/>
        </w:rPr>
        <w:t>百大周谷堆大兴农产品国际物流园智慧农批提升改造之水产肉食交易区门禁及防疫测温信息化</w:t>
      </w:r>
      <w:r>
        <w:rPr>
          <w:rFonts w:hint="eastAsia" w:ascii="宋体" w:hAnsi="宋体" w:cs="宋体"/>
          <w:b/>
          <w:bCs w:val="0"/>
          <w:color w:val="auto"/>
          <w:sz w:val="36"/>
          <w:szCs w:val="36"/>
          <w:highlight w:val="none"/>
          <w:u w:val="none"/>
        </w:rPr>
        <w:t>项目</w:t>
      </w:r>
      <w:bookmarkEnd w:id="0"/>
      <w:r>
        <w:rPr>
          <w:rFonts w:hint="eastAsia" w:ascii="宋体" w:hAnsi="宋体" w:eastAsia="宋体" w:cs="宋体"/>
          <w:b/>
          <w:bCs w:val="0"/>
          <w:color w:val="auto"/>
          <w:sz w:val="36"/>
          <w:szCs w:val="36"/>
          <w:highlight w:val="none"/>
          <w:lang w:eastAsia="zh-CN"/>
        </w:rPr>
        <w:t>合同</w:t>
      </w:r>
    </w:p>
    <w:p>
      <w:pPr>
        <w:spacing w:line="440" w:lineRule="exact"/>
        <w:rPr>
          <w:rFonts w:hint="eastAsia" w:ascii="宋体" w:hAnsi="宋体"/>
          <w:color w:val="auto"/>
          <w:sz w:val="24"/>
          <w:szCs w:val="27"/>
          <w:highlight w:val="none"/>
        </w:rPr>
      </w:pPr>
    </w:p>
    <w:p>
      <w:pPr>
        <w:spacing w:line="440" w:lineRule="exact"/>
        <w:rPr>
          <w:rFonts w:hint="eastAsia" w:ascii="宋体" w:hAnsi="宋体"/>
          <w:color w:val="auto"/>
          <w:sz w:val="24"/>
          <w:szCs w:val="27"/>
          <w:highlight w:val="none"/>
          <w:u w:val="single"/>
        </w:rPr>
      </w:pPr>
      <w:r>
        <w:rPr>
          <w:rFonts w:hint="eastAsia" w:ascii="宋体" w:hAnsi="宋体"/>
          <w:color w:val="auto"/>
          <w:sz w:val="24"/>
          <w:szCs w:val="27"/>
          <w:highlight w:val="none"/>
        </w:rPr>
        <w:t>招标人</w:t>
      </w:r>
      <w:r>
        <w:rPr>
          <w:rFonts w:ascii="宋体" w:hAnsi="宋体"/>
          <w:color w:val="auto"/>
          <w:sz w:val="24"/>
          <w:szCs w:val="27"/>
          <w:highlight w:val="none"/>
        </w:rPr>
        <w:t>（甲方）：</w:t>
      </w:r>
      <w:r>
        <w:rPr>
          <w:rFonts w:ascii="宋体" w:hAnsi="宋体" w:eastAsia="宋体" w:cs="宋体"/>
          <w:b w:val="0"/>
          <w:bCs w:val="0"/>
          <w:color w:val="auto"/>
          <w:sz w:val="24"/>
          <w:szCs w:val="24"/>
          <w:highlight w:val="none"/>
          <w:u w:val="single"/>
        </w:rPr>
        <w:t>合肥周谷堆大兴农产品国际物流园有限责任公司</w:t>
      </w:r>
    </w:p>
    <w:p>
      <w:pPr>
        <w:spacing w:line="440" w:lineRule="exact"/>
        <w:rPr>
          <w:rFonts w:hint="eastAsia" w:ascii="宋体" w:hAnsi="宋体"/>
          <w:color w:val="auto"/>
          <w:sz w:val="24"/>
          <w:szCs w:val="27"/>
          <w:highlight w:val="none"/>
        </w:rPr>
      </w:pPr>
      <w:r>
        <w:rPr>
          <w:rFonts w:hint="eastAsia" w:ascii="宋体" w:hAnsi="宋体"/>
          <w:color w:val="auto"/>
          <w:sz w:val="24"/>
          <w:szCs w:val="27"/>
          <w:highlight w:val="none"/>
        </w:rPr>
        <w:t>中标人</w:t>
      </w:r>
      <w:r>
        <w:rPr>
          <w:rFonts w:ascii="宋体" w:hAnsi="宋体"/>
          <w:color w:val="auto"/>
          <w:sz w:val="24"/>
          <w:szCs w:val="27"/>
          <w:highlight w:val="none"/>
        </w:rPr>
        <w:t>（乙方）</w:t>
      </w:r>
      <w:r>
        <w:rPr>
          <w:rFonts w:hint="eastAsia" w:ascii="宋体" w:hAnsi="宋体"/>
          <w:color w:val="auto"/>
          <w:sz w:val="24"/>
          <w:szCs w:val="27"/>
          <w:highlight w:val="none"/>
        </w:rPr>
        <w:t>：</w:t>
      </w:r>
      <w:r>
        <w:rPr>
          <w:rFonts w:hint="eastAsia" w:ascii="宋体" w:hAnsi="宋体"/>
          <w:color w:val="auto"/>
          <w:sz w:val="24"/>
          <w:szCs w:val="27"/>
          <w:highlight w:val="none"/>
          <w:u w:val="single"/>
        </w:rPr>
        <w:t xml:space="preserve">                            </w:t>
      </w:r>
      <w:r>
        <w:rPr>
          <w:rFonts w:ascii="宋体" w:hAnsi="宋体"/>
          <w:color w:val="auto"/>
          <w:sz w:val="24"/>
          <w:szCs w:val="27"/>
          <w:highlight w:val="none"/>
          <w:u w:val="single"/>
        </w:rPr>
        <w:t xml:space="preserve"> </w:t>
      </w:r>
    </w:p>
    <w:p>
      <w:pPr>
        <w:spacing w:line="440" w:lineRule="exact"/>
        <w:rPr>
          <w:rFonts w:ascii="宋体" w:hAnsi="宋体"/>
          <w:color w:val="auto"/>
          <w:sz w:val="24"/>
          <w:szCs w:val="27"/>
          <w:highlight w:val="none"/>
          <w:u w:val="single"/>
        </w:rPr>
      </w:pPr>
      <w:r>
        <w:rPr>
          <w:rFonts w:hint="eastAsia" w:ascii="宋体" w:hAnsi="宋体"/>
          <w:color w:val="auto"/>
          <w:sz w:val="24"/>
          <w:szCs w:val="27"/>
          <w:highlight w:val="none"/>
        </w:rPr>
        <w:t>签订地点：</w:t>
      </w:r>
      <w:r>
        <w:rPr>
          <w:rFonts w:hint="eastAsia" w:ascii="宋体" w:hAnsi="宋体"/>
          <w:color w:val="auto"/>
          <w:sz w:val="24"/>
          <w:szCs w:val="27"/>
          <w:highlight w:val="none"/>
          <w:u w:val="single"/>
        </w:rPr>
        <w:t xml:space="preserve">                                  </w:t>
      </w:r>
    </w:p>
    <w:p>
      <w:pPr>
        <w:spacing w:line="440" w:lineRule="exact"/>
        <w:rPr>
          <w:rFonts w:hint="eastAsia" w:ascii="宋体" w:hAnsi="宋体"/>
          <w:color w:val="auto"/>
          <w:sz w:val="24"/>
          <w:szCs w:val="27"/>
          <w:highlight w:val="none"/>
          <w:u w:val="single"/>
        </w:rPr>
      </w:pPr>
      <w:r>
        <w:rPr>
          <w:rFonts w:hint="eastAsia" w:ascii="宋体" w:hAnsi="宋体"/>
          <w:color w:val="auto"/>
          <w:sz w:val="24"/>
          <w:szCs w:val="27"/>
          <w:highlight w:val="none"/>
        </w:rPr>
        <w:t>项目名称：</w:t>
      </w:r>
      <w:r>
        <w:rPr>
          <w:rFonts w:hint="eastAsia" w:ascii="宋体" w:hAnsi="宋体"/>
          <w:color w:val="auto"/>
          <w:sz w:val="24"/>
          <w:szCs w:val="27"/>
          <w:highlight w:val="none"/>
          <w:u w:val="single"/>
        </w:rPr>
        <w:t xml:space="preserve">                                  </w:t>
      </w:r>
    </w:p>
    <w:p>
      <w:pPr>
        <w:spacing w:line="440" w:lineRule="exact"/>
        <w:rPr>
          <w:rFonts w:hint="eastAsia" w:ascii="宋体" w:hAnsi="宋体"/>
          <w:color w:val="auto"/>
          <w:sz w:val="24"/>
          <w:szCs w:val="27"/>
          <w:highlight w:val="none"/>
        </w:rPr>
      </w:pPr>
      <w:r>
        <w:rPr>
          <w:rFonts w:hint="eastAsia" w:ascii="宋体" w:hAnsi="宋体"/>
          <w:color w:val="auto"/>
          <w:sz w:val="24"/>
          <w:szCs w:val="27"/>
          <w:highlight w:val="none"/>
        </w:rPr>
        <w:t>项目编号：</w:t>
      </w:r>
      <w:r>
        <w:rPr>
          <w:rFonts w:hint="eastAsia" w:ascii="宋体" w:hAnsi="宋体"/>
          <w:color w:val="auto"/>
          <w:sz w:val="24"/>
          <w:szCs w:val="27"/>
          <w:highlight w:val="none"/>
          <w:u w:val="single"/>
        </w:rPr>
        <w:t xml:space="preserve">                                  </w:t>
      </w:r>
    </w:p>
    <w:p>
      <w:pPr>
        <w:tabs>
          <w:tab w:val="left" w:pos="9480"/>
        </w:tabs>
        <w:spacing w:line="52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根</w:t>
      </w:r>
      <w:r>
        <w:rPr>
          <w:rFonts w:hint="eastAsia" w:ascii="宋体" w:hAnsi="宋体" w:eastAsia="宋体" w:cs="宋体"/>
          <w:color w:val="auto"/>
          <w:sz w:val="24"/>
          <w:highlight w:val="none"/>
        </w:rPr>
        <w:t>据“</w:t>
      </w:r>
      <w:r>
        <w:rPr>
          <w:rFonts w:hint="eastAsia" w:ascii="宋体" w:hAnsi="宋体" w:eastAsia="宋体" w:cs="宋体"/>
          <w:color w:val="auto"/>
          <w:sz w:val="24"/>
          <w:highlight w:val="none"/>
          <w:lang w:eastAsia="zh-CN"/>
        </w:rPr>
        <w:t>百大周谷堆大兴农产品国际物流园智慧农批提升改造之水产肉食交易区门禁及防疫测温信息化</w:t>
      </w:r>
      <w:r>
        <w:rPr>
          <w:rFonts w:hint="eastAsia" w:ascii="宋体" w:hAnsi="宋体" w:eastAsia="宋体" w:cs="宋体"/>
          <w:color w:val="auto"/>
          <w:sz w:val="24"/>
          <w:highlight w:val="none"/>
        </w:rPr>
        <w:t>项目”（</w:t>
      </w:r>
      <w:r>
        <w:rPr>
          <w:rFonts w:hint="eastAsia" w:ascii="宋体" w:hAnsi="宋体" w:cs="宋体"/>
          <w:color w:val="auto"/>
          <w:sz w:val="24"/>
          <w:highlight w:val="none"/>
        </w:rPr>
        <w:t>项目编号：）招标项目结果，并依据《中华人民共和国民法典》及其他有关法律、行政法规的规定，招标人（甲方）和中标人（乙方）遵循平等、自愿、公平和诚实信用的原则，就相关合同事宜协商一致，订立本合同。</w:t>
      </w:r>
    </w:p>
    <w:p>
      <w:pPr>
        <w:numPr>
          <w:numId w:val="0"/>
        </w:numPr>
        <w:spacing w:before="100" w:beforeLines="50" w:beforeAutospacing="1" w:after="100" w:afterLines="30" w:afterAutospacing="1" w:line="640" w:lineRule="exact"/>
        <w:ind w:left="482" w:leftChars="0"/>
        <w:rPr>
          <w:rFonts w:hint="eastAsia" w:ascii="宋体" w:hAnsi="宋体" w:cs="宋体"/>
          <w:b/>
          <w:color w:val="auto"/>
          <w:kern w:val="0"/>
          <w:sz w:val="24"/>
          <w:highlight w:val="none"/>
        </w:rPr>
      </w:pPr>
      <w:r>
        <w:rPr>
          <w:rFonts w:hint="eastAsia" w:ascii="宋体" w:hAnsi="宋体" w:cs="Arial Unicode MS"/>
          <w:b/>
          <w:color w:val="auto"/>
          <w:sz w:val="24"/>
          <w:szCs w:val="28"/>
          <w:highlight w:val="none"/>
          <w:lang w:eastAsia="zh-CN"/>
        </w:rPr>
        <w:t>一、</w:t>
      </w:r>
      <w:r>
        <w:rPr>
          <w:rFonts w:hint="eastAsia" w:ascii="宋体" w:hAnsi="宋体" w:cs="Arial Unicode MS"/>
          <w:b/>
          <w:color w:val="auto"/>
          <w:sz w:val="24"/>
          <w:szCs w:val="28"/>
          <w:highlight w:val="none"/>
        </w:rPr>
        <w:t>货物名称、规格参数、中标价格</w:t>
      </w:r>
      <w:r>
        <w:rPr>
          <w:rFonts w:hint="eastAsia" w:ascii="宋体" w:hAnsi="宋体" w:cs="宋体"/>
          <w:b/>
          <w:color w:val="auto"/>
          <w:kern w:val="0"/>
          <w:sz w:val="24"/>
          <w:highlight w:val="none"/>
        </w:rPr>
        <w:t>  </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34"/>
        <w:gridCol w:w="2804"/>
        <w:gridCol w:w="1293"/>
        <w:gridCol w:w="128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top"/>
          </w:tcPr>
          <w:p>
            <w:pPr>
              <w:spacing w:line="76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2034" w:type="dxa"/>
            <w:vAlign w:val="top"/>
          </w:tcPr>
          <w:p>
            <w:pPr>
              <w:spacing w:line="760" w:lineRule="exact"/>
              <w:jc w:val="center"/>
              <w:rPr>
                <w:rFonts w:ascii="宋体" w:hAnsi="宋体"/>
                <w:b/>
                <w:color w:val="auto"/>
                <w:sz w:val="24"/>
                <w:highlight w:val="none"/>
              </w:rPr>
            </w:pPr>
            <w:r>
              <w:rPr>
                <w:rFonts w:hint="eastAsia" w:ascii="宋体" w:hAnsi="宋体"/>
                <w:b/>
                <w:color w:val="auto"/>
                <w:sz w:val="24"/>
                <w:highlight w:val="none"/>
              </w:rPr>
              <w:t>产品名称型号</w:t>
            </w:r>
          </w:p>
        </w:tc>
        <w:tc>
          <w:tcPr>
            <w:tcW w:w="2804" w:type="dxa"/>
            <w:vAlign w:val="top"/>
          </w:tcPr>
          <w:p>
            <w:pPr>
              <w:spacing w:line="760" w:lineRule="exact"/>
              <w:jc w:val="center"/>
              <w:rPr>
                <w:rFonts w:ascii="宋体" w:hAnsi="宋体"/>
                <w:b/>
                <w:color w:val="auto"/>
                <w:sz w:val="24"/>
                <w:highlight w:val="none"/>
              </w:rPr>
            </w:pPr>
            <w:r>
              <w:rPr>
                <w:rFonts w:hint="eastAsia" w:ascii="宋体" w:hAnsi="宋体"/>
                <w:b/>
                <w:color w:val="auto"/>
                <w:sz w:val="24"/>
                <w:highlight w:val="none"/>
              </w:rPr>
              <w:t>配置参数</w:t>
            </w:r>
          </w:p>
        </w:tc>
        <w:tc>
          <w:tcPr>
            <w:tcW w:w="1293" w:type="dxa"/>
            <w:vAlign w:val="top"/>
          </w:tcPr>
          <w:p>
            <w:pPr>
              <w:spacing w:line="760" w:lineRule="exact"/>
              <w:jc w:val="center"/>
              <w:rPr>
                <w:rFonts w:ascii="宋体" w:hAnsi="宋体"/>
                <w:b/>
                <w:color w:val="auto"/>
                <w:sz w:val="24"/>
                <w:highlight w:val="none"/>
              </w:rPr>
            </w:pPr>
            <w:r>
              <w:rPr>
                <w:rFonts w:hint="eastAsia" w:ascii="宋体" w:hAnsi="宋体"/>
                <w:b/>
                <w:color w:val="auto"/>
                <w:sz w:val="24"/>
                <w:highlight w:val="none"/>
              </w:rPr>
              <w:t>数量</w:t>
            </w:r>
          </w:p>
        </w:tc>
        <w:tc>
          <w:tcPr>
            <w:tcW w:w="1289" w:type="dxa"/>
            <w:vAlign w:val="top"/>
          </w:tcPr>
          <w:p>
            <w:pPr>
              <w:spacing w:line="760" w:lineRule="exact"/>
              <w:jc w:val="center"/>
              <w:rPr>
                <w:rFonts w:ascii="宋体" w:hAnsi="宋体"/>
                <w:b/>
                <w:color w:val="auto"/>
                <w:sz w:val="24"/>
                <w:highlight w:val="none"/>
              </w:rPr>
            </w:pPr>
            <w:r>
              <w:rPr>
                <w:rFonts w:hint="eastAsia" w:ascii="宋体" w:hAnsi="宋体"/>
                <w:b/>
                <w:color w:val="auto"/>
                <w:sz w:val="24"/>
                <w:highlight w:val="none"/>
              </w:rPr>
              <w:t>单价</w:t>
            </w:r>
          </w:p>
        </w:tc>
        <w:tc>
          <w:tcPr>
            <w:tcW w:w="1417" w:type="dxa"/>
            <w:vAlign w:val="top"/>
          </w:tcPr>
          <w:p>
            <w:pPr>
              <w:spacing w:line="760" w:lineRule="exact"/>
              <w:jc w:val="center"/>
              <w:rPr>
                <w:rFonts w:ascii="宋体" w:hAnsi="宋体"/>
                <w:b/>
                <w:color w:val="auto"/>
                <w:sz w:val="24"/>
                <w:highlight w:val="none"/>
              </w:rPr>
            </w:pPr>
            <w:r>
              <w:rPr>
                <w:rFonts w:hint="eastAsia" w:ascii="宋体" w:hAnsi="宋体"/>
                <w:b/>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top"/>
          </w:tcPr>
          <w:p>
            <w:pPr>
              <w:spacing w:line="760" w:lineRule="exact"/>
              <w:jc w:val="center"/>
              <w:rPr>
                <w:rFonts w:ascii="宋体" w:hAnsi="宋体"/>
                <w:color w:val="auto"/>
                <w:sz w:val="24"/>
                <w:highlight w:val="none"/>
              </w:rPr>
            </w:pPr>
            <w:r>
              <w:rPr>
                <w:rFonts w:hint="eastAsia" w:ascii="宋体" w:hAnsi="宋体"/>
                <w:color w:val="auto"/>
                <w:sz w:val="24"/>
                <w:highlight w:val="none"/>
              </w:rPr>
              <w:t>1</w:t>
            </w:r>
          </w:p>
        </w:tc>
        <w:tc>
          <w:tcPr>
            <w:tcW w:w="2034" w:type="dxa"/>
            <w:vAlign w:val="top"/>
          </w:tcPr>
          <w:p>
            <w:pPr>
              <w:spacing w:line="760" w:lineRule="exact"/>
              <w:jc w:val="center"/>
              <w:rPr>
                <w:rFonts w:ascii="宋体" w:hAnsi="宋体"/>
                <w:color w:val="auto"/>
                <w:sz w:val="24"/>
                <w:highlight w:val="none"/>
              </w:rPr>
            </w:pPr>
          </w:p>
        </w:tc>
        <w:tc>
          <w:tcPr>
            <w:tcW w:w="2804" w:type="dxa"/>
            <w:vAlign w:val="top"/>
          </w:tcPr>
          <w:p>
            <w:pPr>
              <w:spacing w:line="760" w:lineRule="exact"/>
              <w:jc w:val="center"/>
              <w:rPr>
                <w:rFonts w:ascii="宋体" w:hAnsi="宋体"/>
                <w:color w:val="auto"/>
                <w:sz w:val="24"/>
                <w:highlight w:val="none"/>
              </w:rPr>
            </w:pPr>
          </w:p>
        </w:tc>
        <w:tc>
          <w:tcPr>
            <w:tcW w:w="1293" w:type="dxa"/>
            <w:vAlign w:val="top"/>
          </w:tcPr>
          <w:p>
            <w:pPr>
              <w:spacing w:line="760" w:lineRule="exact"/>
              <w:jc w:val="center"/>
              <w:rPr>
                <w:rFonts w:ascii="宋体" w:hAnsi="宋体"/>
                <w:color w:val="auto"/>
                <w:sz w:val="24"/>
                <w:highlight w:val="none"/>
              </w:rPr>
            </w:pPr>
          </w:p>
        </w:tc>
        <w:tc>
          <w:tcPr>
            <w:tcW w:w="1289" w:type="dxa"/>
            <w:vAlign w:val="top"/>
          </w:tcPr>
          <w:p>
            <w:pPr>
              <w:spacing w:line="760" w:lineRule="exact"/>
              <w:jc w:val="center"/>
              <w:rPr>
                <w:rFonts w:ascii="宋体" w:hAnsi="宋体"/>
                <w:color w:val="auto"/>
                <w:sz w:val="24"/>
                <w:highlight w:val="none"/>
              </w:rPr>
            </w:pPr>
          </w:p>
        </w:tc>
        <w:tc>
          <w:tcPr>
            <w:tcW w:w="1417" w:type="dxa"/>
            <w:vAlign w:val="top"/>
          </w:tcPr>
          <w:p>
            <w:pPr>
              <w:spacing w:line="76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17" w:type="dxa"/>
            <w:vAlign w:val="top"/>
          </w:tcPr>
          <w:p>
            <w:pPr>
              <w:spacing w:line="76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2034" w:type="dxa"/>
            <w:vAlign w:val="top"/>
          </w:tcPr>
          <w:p>
            <w:pPr>
              <w:spacing w:line="760" w:lineRule="exact"/>
              <w:jc w:val="center"/>
              <w:rPr>
                <w:rFonts w:hint="eastAsia" w:ascii="宋体" w:hAnsi="宋体"/>
                <w:color w:val="auto"/>
                <w:sz w:val="24"/>
                <w:highlight w:val="none"/>
              </w:rPr>
            </w:pPr>
          </w:p>
        </w:tc>
        <w:tc>
          <w:tcPr>
            <w:tcW w:w="2804" w:type="dxa"/>
            <w:vAlign w:val="top"/>
          </w:tcPr>
          <w:p>
            <w:pPr>
              <w:spacing w:line="760" w:lineRule="exact"/>
              <w:jc w:val="center"/>
              <w:rPr>
                <w:rFonts w:hint="eastAsia" w:ascii="宋体" w:hAnsi="宋体"/>
                <w:color w:val="auto"/>
                <w:sz w:val="24"/>
                <w:highlight w:val="none"/>
              </w:rPr>
            </w:pPr>
          </w:p>
        </w:tc>
        <w:tc>
          <w:tcPr>
            <w:tcW w:w="1293" w:type="dxa"/>
            <w:vAlign w:val="top"/>
          </w:tcPr>
          <w:p>
            <w:pPr>
              <w:spacing w:line="760" w:lineRule="exact"/>
              <w:jc w:val="center"/>
              <w:rPr>
                <w:rFonts w:hint="eastAsia" w:ascii="宋体" w:hAnsi="宋体"/>
                <w:color w:val="auto"/>
                <w:sz w:val="24"/>
                <w:highlight w:val="none"/>
              </w:rPr>
            </w:pPr>
          </w:p>
        </w:tc>
        <w:tc>
          <w:tcPr>
            <w:tcW w:w="1289" w:type="dxa"/>
            <w:vAlign w:val="top"/>
          </w:tcPr>
          <w:p>
            <w:pPr>
              <w:spacing w:line="760" w:lineRule="exact"/>
              <w:jc w:val="center"/>
              <w:rPr>
                <w:rFonts w:hint="eastAsia" w:ascii="宋体" w:hAnsi="宋体"/>
                <w:color w:val="auto"/>
                <w:sz w:val="24"/>
                <w:highlight w:val="none"/>
              </w:rPr>
            </w:pPr>
          </w:p>
        </w:tc>
        <w:tc>
          <w:tcPr>
            <w:tcW w:w="1417" w:type="dxa"/>
            <w:vAlign w:val="top"/>
          </w:tcPr>
          <w:p>
            <w:pPr>
              <w:spacing w:line="76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top"/>
          </w:tcPr>
          <w:p>
            <w:pPr>
              <w:spacing w:line="76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2034" w:type="dxa"/>
            <w:vAlign w:val="top"/>
          </w:tcPr>
          <w:p>
            <w:pPr>
              <w:spacing w:line="760" w:lineRule="exact"/>
              <w:jc w:val="center"/>
              <w:rPr>
                <w:rFonts w:hint="eastAsia" w:ascii="宋体" w:hAnsi="宋体"/>
                <w:color w:val="auto"/>
                <w:sz w:val="24"/>
                <w:highlight w:val="none"/>
              </w:rPr>
            </w:pPr>
          </w:p>
        </w:tc>
        <w:tc>
          <w:tcPr>
            <w:tcW w:w="2804" w:type="dxa"/>
            <w:vAlign w:val="top"/>
          </w:tcPr>
          <w:p>
            <w:pPr>
              <w:spacing w:line="760" w:lineRule="exact"/>
              <w:jc w:val="center"/>
              <w:rPr>
                <w:rFonts w:hint="eastAsia" w:ascii="宋体" w:hAnsi="宋体"/>
                <w:color w:val="auto"/>
                <w:sz w:val="24"/>
                <w:highlight w:val="none"/>
              </w:rPr>
            </w:pPr>
          </w:p>
        </w:tc>
        <w:tc>
          <w:tcPr>
            <w:tcW w:w="1293" w:type="dxa"/>
            <w:vAlign w:val="top"/>
          </w:tcPr>
          <w:p>
            <w:pPr>
              <w:spacing w:line="760" w:lineRule="exact"/>
              <w:jc w:val="center"/>
              <w:rPr>
                <w:rFonts w:hint="eastAsia" w:ascii="宋体" w:hAnsi="宋体"/>
                <w:color w:val="auto"/>
                <w:sz w:val="24"/>
                <w:highlight w:val="none"/>
              </w:rPr>
            </w:pPr>
          </w:p>
        </w:tc>
        <w:tc>
          <w:tcPr>
            <w:tcW w:w="1289" w:type="dxa"/>
            <w:vAlign w:val="top"/>
          </w:tcPr>
          <w:p>
            <w:pPr>
              <w:spacing w:line="760" w:lineRule="exact"/>
              <w:jc w:val="center"/>
              <w:rPr>
                <w:rFonts w:hint="eastAsia" w:ascii="宋体" w:hAnsi="宋体"/>
                <w:color w:val="auto"/>
                <w:sz w:val="24"/>
                <w:highlight w:val="none"/>
              </w:rPr>
            </w:pPr>
          </w:p>
        </w:tc>
        <w:tc>
          <w:tcPr>
            <w:tcW w:w="1417" w:type="dxa"/>
            <w:vAlign w:val="top"/>
          </w:tcPr>
          <w:p>
            <w:pPr>
              <w:spacing w:line="76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top"/>
          </w:tcPr>
          <w:p>
            <w:pPr>
              <w:spacing w:line="760" w:lineRule="exact"/>
              <w:jc w:val="center"/>
              <w:rPr>
                <w:rFonts w:hint="eastAsia" w:ascii="宋体" w:hAnsi="宋体"/>
                <w:color w:val="auto"/>
                <w:sz w:val="24"/>
                <w:highlight w:val="none"/>
              </w:rPr>
            </w:pPr>
            <w:r>
              <w:rPr>
                <w:rFonts w:hint="eastAsia" w:ascii="宋体" w:hAnsi="宋体"/>
                <w:color w:val="auto"/>
                <w:sz w:val="24"/>
                <w:highlight w:val="none"/>
              </w:rPr>
              <w:t>4</w:t>
            </w:r>
          </w:p>
        </w:tc>
        <w:tc>
          <w:tcPr>
            <w:tcW w:w="2034" w:type="dxa"/>
            <w:vAlign w:val="top"/>
          </w:tcPr>
          <w:p>
            <w:pPr>
              <w:spacing w:line="760" w:lineRule="exact"/>
              <w:jc w:val="center"/>
              <w:rPr>
                <w:rFonts w:hint="eastAsia" w:ascii="宋体" w:hAnsi="宋体"/>
                <w:color w:val="auto"/>
                <w:sz w:val="24"/>
                <w:highlight w:val="none"/>
              </w:rPr>
            </w:pPr>
          </w:p>
        </w:tc>
        <w:tc>
          <w:tcPr>
            <w:tcW w:w="2804" w:type="dxa"/>
            <w:vAlign w:val="top"/>
          </w:tcPr>
          <w:p>
            <w:pPr>
              <w:spacing w:line="760" w:lineRule="exact"/>
              <w:jc w:val="center"/>
              <w:rPr>
                <w:rFonts w:hint="eastAsia" w:ascii="宋体" w:hAnsi="宋体"/>
                <w:color w:val="auto"/>
                <w:sz w:val="24"/>
                <w:highlight w:val="none"/>
              </w:rPr>
            </w:pPr>
          </w:p>
        </w:tc>
        <w:tc>
          <w:tcPr>
            <w:tcW w:w="1293" w:type="dxa"/>
            <w:vAlign w:val="top"/>
          </w:tcPr>
          <w:p>
            <w:pPr>
              <w:spacing w:line="760" w:lineRule="exact"/>
              <w:jc w:val="center"/>
              <w:rPr>
                <w:rFonts w:hint="eastAsia" w:ascii="宋体" w:hAnsi="宋体"/>
                <w:color w:val="auto"/>
                <w:sz w:val="24"/>
                <w:highlight w:val="none"/>
              </w:rPr>
            </w:pPr>
          </w:p>
        </w:tc>
        <w:tc>
          <w:tcPr>
            <w:tcW w:w="1289" w:type="dxa"/>
            <w:vAlign w:val="top"/>
          </w:tcPr>
          <w:p>
            <w:pPr>
              <w:spacing w:line="760" w:lineRule="exact"/>
              <w:jc w:val="center"/>
              <w:rPr>
                <w:rFonts w:hint="eastAsia" w:ascii="宋体" w:hAnsi="宋体"/>
                <w:color w:val="auto"/>
                <w:sz w:val="24"/>
                <w:highlight w:val="none"/>
              </w:rPr>
            </w:pPr>
          </w:p>
        </w:tc>
        <w:tc>
          <w:tcPr>
            <w:tcW w:w="1417" w:type="dxa"/>
            <w:vAlign w:val="top"/>
          </w:tcPr>
          <w:p>
            <w:pPr>
              <w:spacing w:line="76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top"/>
          </w:tcPr>
          <w:p>
            <w:pPr>
              <w:spacing w:line="760" w:lineRule="exact"/>
              <w:jc w:val="center"/>
              <w:rPr>
                <w:rFonts w:hint="eastAsia" w:ascii="宋体" w:hAnsi="宋体"/>
                <w:color w:val="auto"/>
                <w:sz w:val="24"/>
                <w:highlight w:val="none"/>
              </w:rPr>
            </w:pPr>
            <w:r>
              <w:rPr>
                <w:rFonts w:hint="eastAsia" w:ascii="宋体" w:hAnsi="宋体"/>
                <w:color w:val="auto"/>
                <w:sz w:val="24"/>
                <w:highlight w:val="none"/>
              </w:rPr>
              <w:t>5</w:t>
            </w:r>
          </w:p>
        </w:tc>
        <w:tc>
          <w:tcPr>
            <w:tcW w:w="2034" w:type="dxa"/>
            <w:vAlign w:val="top"/>
          </w:tcPr>
          <w:p>
            <w:pPr>
              <w:spacing w:line="760" w:lineRule="exact"/>
              <w:jc w:val="center"/>
              <w:rPr>
                <w:rFonts w:hint="eastAsia" w:ascii="宋体" w:hAnsi="宋体"/>
                <w:color w:val="auto"/>
                <w:sz w:val="24"/>
                <w:highlight w:val="none"/>
              </w:rPr>
            </w:pPr>
          </w:p>
        </w:tc>
        <w:tc>
          <w:tcPr>
            <w:tcW w:w="2804" w:type="dxa"/>
            <w:vAlign w:val="top"/>
          </w:tcPr>
          <w:p>
            <w:pPr>
              <w:spacing w:line="760" w:lineRule="exact"/>
              <w:jc w:val="center"/>
              <w:rPr>
                <w:rFonts w:hint="eastAsia" w:ascii="宋体" w:hAnsi="宋体"/>
                <w:color w:val="auto"/>
                <w:sz w:val="24"/>
                <w:highlight w:val="none"/>
              </w:rPr>
            </w:pPr>
          </w:p>
        </w:tc>
        <w:tc>
          <w:tcPr>
            <w:tcW w:w="1293" w:type="dxa"/>
            <w:vAlign w:val="top"/>
          </w:tcPr>
          <w:p>
            <w:pPr>
              <w:spacing w:line="760" w:lineRule="exact"/>
              <w:jc w:val="center"/>
              <w:rPr>
                <w:rFonts w:hint="eastAsia" w:ascii="宋体" w:hAnsi="宋体"/>
                <w:color w:val="auto"/>
                <w:sz w:val="24"/>
                <w:highlight w:val="none"/>
              </w:rPr>
            </w:pPr>
          </w:p>
        </w:tc>
        <w:tc>
          <w:tcPr>
            <w:tcW w:w="1289" w:type="dxa"/>
            <w:vAlign w:val="top"/>
          </w:tcPr>
          <w:p>
            <w:pPr>
              <w:spacing w:line="760" w:lineRule="exact"/>
              <w:jc w:val="center"/>
              <w:rPr>
                <w:rFonts w:hint="eastAsia" w:ascii="宋体" w:hAnsi="宋体"/>
                <w:color w:val="auto"/>
                <w:sz w:val="24"/>
                <w:highlight w:val="none"/>
              </w:rPr>
            </w:pPr>
          </w:p>
        </w:tc>
        <w:tc>
          <w:tcPr>
            <w:tcW w:w="1417" w:type="dxa"/>
            <w:vAlign w:val="top"/>
          </w:tcPr>
          <w:p>
            <w:pPr>
              <w:spacing w:line="76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top"/>
          </w:tcPr>
          <w:p>
            <w:pPr>
              <w:spacing w:line="760" w:lineRule="exact"/>
              <w:jc w:val="center"/>
              <w:rPr>
                <w:rFonts w:hint="eastAsia" w:ascii="宋体" w:hAnsi="宋体"/>
                <w:color w:val="auto"/>
                <w:sz w:val="24"/>
                <w:highlight w:val="none"/>
              </w:rPr>
            </w:pPr>
            <w:r>
              <w:rPr>
                <w:rFonts w:hint="eastAsia" w:ascii="宋体" w:hAnsi="宋体"/>
                <w:color w:val="auto"/>
                <w:sz w:val="24"/>
                <w:highlight w:val="none"/>
              </w:rPr>
              <w:t>6</w:t>
            </w:r>
          </w:p>
        </w:tc>
        <w:tc>
          <w:tcPr>
            <w:tcW w:w="2034" w:type="dxa"/>
            <w:vAlign w:val="top"/>
          </w:tcPr>
          <w:p>
            <w:pPr>
              <w:spacing w:line="760" w:lineRule="exact"/>
              <w:jc w:val="center"/>
              <w:rPr>
                <w:rFonts w:hint="eastAsia" w:ascii="宋体" w:hAnsi="宋体"/>
                <w:color w:val="auto"/>
                <w:sz w:val="24"/>
                <w:highlight w:val="none"/>
              </w:rPr>
            </w:pPr>
          </w:p>
        </w:tc>
        <w:tc>
          <w:tcPr>
            <w:tcW w:w="2804" w:type="dxa"/>
            <w:vAlign w:val="top"/>
          </w:tcPr>
          <w:p>
            <w:pPr>
              <w:spacing w:line="760" w:lineRule="exact"/>
              <w:jc w:val="center"/>
              <w:rPr>
                <w:rFonts w:hint="eastAsia" w:ascii="宋体" w:hAnsi="宋体"/>
                <w:color w:val="auto"/>
                <w:sz w:val="24"/>
                <w:highlight w:val="none"/>
              </w:rPr>
            </w:pPr>
          </w:p>
        </w:tc>
        <w:tc>
          <w:tcPr>
            <w:tcW w:w="1293" w:type="dxa"/>
            <w:vAlign w:val="top"/>
          </w:tcPr>
          <w:p>
            <w:pPr>
              <w:spacing w:line="760" w:lineRule="exact"/>
              <w:jc w:val="center"/>
              <w:rPr>
                <w:rFonts w:hint="eastAsia" w:ascii="宋体" w:hAnsi="宋体"/>
                <w:color w:val="auto"/>
                <w:sz w:val="24"/>
                <w:highlight w:val="none"/>
              </w:rPr>
            </w:pPr>
          </w:p>
        </w:tc>
        <w:tc>
          <w:tcPr>
            <w:tcW w:w="1289" w:type="dxa"/>
            <w:vAlign w:val="top"/>
          </w:tcPr>
          <w:p>
            <w:pPr>
              <w:spacing w:line="760" w:lineRule="exact"/>
              <w:jc w:val="center"/>
              <w:rPr>
                <w:rFonts w:hint="eastAsia" w:ascii="宋体" w:hAnsi="宋体"/>
                <w:color w:val="auto"/>
                <w:sz w:val="24"/>
                <w:highlight w:val="none"/>
              </w:rPr>
            </w:pPr>
          </w:p>
        </w:tc>
        <w:tc>
          <w:tcPr>
            <w:tcW w:w="1417" w:type="dxa"/>
            <w:vAlign w:val="top"/>
          </w:tcPr>
          <w:p>
            <w:pPr>
              <w:spacing w:line="76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051" w:type="dxa"/>
            <w:gridSpan w:val="2"/>
            <w:vAlign w:val="center"/>
          </w:tcPr>
          <w:p>
            <w:pPr>
              <w:spacing w:line="520" w:lineRule="exact"/>
              <w:jc w:val="center"/>
              <w:rPr>
                <w:rFonts w:ascii="宋体" w:hAnsi="宋体"/>
                <w:color w:val="auto"/>
                <w:sz w:val="24"/>
                <w:highlight w:val="none"/>
              </w:rPr>
            </w:pPr>
            <w:r>
              <w:rPr>
                <w:rFonts w:hint="eastAsia" w:ascii="宋体" w:hAnsi="宋体"/>
                <w:b/>
                <w:bCs/>
                <w:color w:val="auto"/>
                <w:sz w:val="24"/>
                <w:highlight w:val="none"/>
              </w:rPr>
              <w:t>（含13%增值税）合计</w:t>
            </w:r>
          </w:p>
        </w:tc>
        <w:tc>
          <w:tcPr>
            <w:tcW w:w="6803" w:type="dxa"/>
            <w:gridSpan w:val="4"/>
            <w:vAlign w:val="top"/>
          </w:tcPr>
          <w:p>
            <w:pPr>
              <w:spacing w:line="520" w:lineRule="exact"/>
              <w:jc w:val="left"/>
              <w:rPr>
                <w:rFonts w:ascii="宋体" w:hAnsi="宋体"/>
                <w:b/>
                <w:bCs/>
                <w:color w:val="auto"/>
                <w:sz w:val="24"/>
                <w:highlight w:val="none"/>
              </w:rPr>
            </w:pPr>
            <w:r>
              <w:rPr>
                <w:rFonts w:hint="eastAsia" w:ascii="宋体" w:hAnsi="宋体"/>
                <w:b/>
                <w:bCs/>
                <w:color w:val="auto"/>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854" w:type="dxa"/>
            <w:gridSpan w:val="6"/>
            <w:vAlign w:val="top"/>
          </w:tcPr>
          <w:p>
            <w:pPr>
              <w:spacing w:line="360" w:lineRule="auto"/>
              <w:jc w:val="left"/>
              <w:rPr>
                <w:rFonts w:hint="eastAsia" w:ascii="宋体" w:hAnsi="宋体" w:eastAsia="宋体"/>
                <w:color w:val="auto"/>
                <w:sz w:val="24"/>
                <w:highlight w:val="none"/>
                <w:lang w:eastAsia="zh-CN"/>
              </w:rPr>
            </w:pPr>
            <w:r>
              <w:rPr>
                <w:rFonts w:hint="eastAsia" w:ascii="宋体" w:hAnsi="宋体" w:cs="Courier New"/>
                <w:color w:val="auto"/>
                <w:kern w:val="0"/>
                <w:sz w:val="24"/>
                <w:highlight w:val="none"/>
              </w:rPr>
              <w:t>注：</w:t>
            </w:r>
            <w:r>
              <w:rPr>
                <w:rFonts w:hint="eastAsia" w:ascii="宋体" w:hAnsi="宋体" w:eastAsia="宋体" w:cs="宋体"/>
                <w:color w:val="auto"/>
                <w:kern w:val="0"/>
                <w:sz w:val="24"/>
                <w:highlight w:val="none"/>
                <w:lang w:val="en-US" w:eastAsia="zh-CN"/>
              </w:rPr>
              <w:t>投</w:t>
            </w:r>
            <w:r>
              <w:rPr>
                <w:rFonts w:hint="eastAsia" w:ascii="宋体" w:hAnsi="宋体" w:eastAsia="宋体" w:cs="Times New Roman"/>
                <w:b w:val="0"/>
                <w:bCs/>
                <w:color w:val="auto"/>
                <w:sz w:val="24"/>
                <w:highlight w:val="none"/>
                <w:lang w:val="en-US" w:eastAsia="zh-CN"/>
              </w:rPr>
              <w:t>标报价</w:t>
            </w:r>
            <w:r>
              <w:rPr>
                <w:rFonts w:hint="eastAsia" w:ascii="宋体" w:hAnsi="宋体" w:eastAsia="宋体" w:cs="Times New Roman"/>
                <w:b w:val="0"/>
                <w:bCs/>
                <w:color w:val="auto"/>
                <w:sz w:val="24"/>
                <w:highlight w:val="none"/>
                <w:lang w:eastAsia="zh-CN"/>
              </w:rPr>
              <w:t>包含但不限于设计、制作、运输、装卸、安装（现场</w:t>
            </w:r>
            <w:r>
              <w:rPr>
                <w:rFonts w:hint="eastAsia" w:ascii="宋体" w:hAnsi="宋体" w:eastAsia="宋体" w:cs="宋体"/>
                <w:color w:val="auto"/>
                <w:kern w:val="0"/>
                <w:sz w:val="24"/>
                <w:highlight w:val="none"/>
                <w:lang w:val="en-US" w:eastAsia="zh-CN"/>
              </w:rPr>
              <w:t>组装）、调试、保险、税金（13%税率）等交付甲方使用前的一切费用，以及免费质保期间的所有维保费用。</w:t>
            </w:r>
            <w:r>
              <w:rPr>
                <w:rFonts w:hint="eastAsia" w:ascii="宋体" w:hAnsi="宋体"/>
                <w:sz w:val="24"/>
              </w:rPr>
              <w:t>任何因忽视或误解实际情况而导致的费用增加由乙方自行承担。</w:t>
            </w:r>
          </w:p>
        </w:tc>
      </w:tr>
    </w:tbl>
    <w:p>
      <w:pPr>
        <w:pStyle w:val="22"/>
        <w:spacing w:line="440" w:lineRule="exact"/>
        <w:rPr>
          <w:rFonts w:hint="eastAsia" w:ascii="宋体" w:hAnsi="宋体" w:cs="Arial Unicode MS"/>
          <w:b/>
          <w:color w:val="auto"/>
          <w:szCs w:val="24"/>
          <w:highlight w:val="none"/>
        </w:rPr>
      </w:pPr>
    </w:p>
    <w:p>
      <w:pPr>
        <w:pStyle w:val="22"/>
        <w:numPr>
          <w:numId w:val="0"/>
        </w:numPr>
        <w:spacing w:line="440" w:lineRule="exact"/>
        <w:ind w:left="482" w:leftChars="0"/>
        <w:rPr>
          <w:rFonts w:ascii="宋体" w:hAnsi="宋体" w:cs="Arial Unicode MS"/>
          <w:b/>
          <w:color w:val="auto"/>
          <w:szCs w:val="24"/>
          <w:highlight w:val="none"/>
        </w:rPr>
      </w:pPr>
      <w:r>
        <w:rPr>
          <w:rFonts w:hint="eastAsia" w:ascii="宋体" w:hAnsi="宋体" w:cs="Arial Unicode MS"/>
          <w:b/>
          <w:color w:val="auto"/>
          <w:szCs w:val="24"/>
          <w:highlight w:val="none"/>
          <w:lang w:eastAsia="zh-CN"/>
        </w:rPr>
        <w:t>二、</w:t>
      </w:r>
      <w:r>
        <w:rPr>
          <w:rFonts w:hint="eastAsia" w:ascii="宋体" w:hAnsi="宋体" w:cs="Arial Unicode MS"/>
          <w:b/>
          <w:color w:val="auto"/>
          <w:szCs w:val="24"/>
          <w:highlight w:val="none"/>
        </w:rPr>
        <w:t>供货时间及方式</w:t>
      </w:r>
    </w:p>
    <w:p>
      <w:pPr>
        <w:pStyle w:val="22"/>
        <w:spacing w:line="520" w:lineRule="exact"/>
        <w:ind w:firstLine="480" w:firstLineChars="200"/>
        <w:rPr>
          <w:rFonts w:ascii="宋体" w:hAnsi="宋体"/>
          <w:color w:val="auto"/>
          <w:szCs w:val="24"/>
          <w:highlight w:val="none"/>
        </w:rPr>
      </w:pPr>
      <w:r>
        <w:rPr>
          <w:rFonts w:hint="eastAsia" w:ascii="宋体" w:hAnsi="宋体"/>
          <w:color w:val="auto"/>
          <w:szCs w:val="24"/>
          <w:highlight w:val="none"/>
        </w:rPr>
        <w:t>1.</w:t>
      </w:r>
      <w:r>
        <w:rPr>
          <w:rFonts w:hint="eastAsia" w:ascii="宋体" w:hAnsi="宋体" w:cs="Arial Unicode MS"/>
          <w:color w:val="auto"/>
          <w:sz w:val="24"/>
          <w:highlight w:val="none"/>
        </w:rPr>
        <w:t>乙方于合同签订后</w:t>
      </w:r>
      <w:r>
        <w:rPr>
          <w:rFonts w:hint="eastAsia" w:ascii="宋体" w:hAnsi="宋体" w:cs="Arial Unicode MS"/>
          <w:b/>
          <w:color w:val="auto"/>
          <w:sz w:val="24"/>
          <w:highlight w:val="none"/>
          <w:u w:val="single"/>
          <w:lang w:val="en-US" w:eastAsia="zh-CN"/>
        </w:rPr>
        <w:t>30</w:t>
      </w:r>
      <w:r>
        <w:rPr>
          <w:rFonts w:hint="eastAsia" w:ascii="宋体" w:hAnsi="宋体" w:cs="Arial Unicode MS"/>
          <w:color w:val="auto"/>
          <w:sz w:val="24"/>
          <w:highlight w:val="none"/>
        </w:rPr>
        <w:t>个日历天内完成供货至甲方指定地点（</w:t>
      </w:r>
      <w:r>
        <w:rPr>
          <w:rFonts w:hint="eastAsia" w:ascii="宋体" w:hAnsi="宋体"/>
          <w:bCs/>
          <w:color w:val="auto"/>
          <w:spacing w:val="-6"/>
          <w:sz w:val="24"/>
          <w:highlight w:val="none"/>
          <w:u w:val="single"/>
        </w:rPr>
        <w:t>合肥周谷堆大兴农产品国际物流园</w:t>
      </w:r>
      <w:r>
        <w:rPr>
          <w:rFonts w:hint="eastAsia" w:ascii="宋体" w:hAnsi="宋体"/>
          <w:bCs/>
          <w:color w:val="auto"/>
          <w:spacing w:val="-6"/>
          <w:sz w:val="24"/>
          <w:highlight w:val="none"/>
          <w:u w:val="single"/>
          <w:lang w:eastAsia="zh-CN"/>
        </w:rPr>
        <w:t>水产肉食交易区</w:t>
      </w:r>
      <w:r>
        <w:rPr>
          <w:rFonts w:hint="eastAsia" w:ascii="宋体" w:hAnsi="宋体" w:cs="Arial Unicode MS"/>
          <w:color w:val="auto"/>
          <w:sz w:val="24"/>
          <w:highlight w:val="none"/>
        </w:rPr>
        <w:t>）并安装调试到位。</w:t>
      </w:r>
    </w:p>
    <w:p>
      <w:pPr>
        <w:spacing w:line="460" w:lineRule="exact"/>
        <w:ind w:firstLine="480" w:firstLineChars="200"/>
        <w:rPr>
          <w:rFonts w:hint="eastAsia" w:ascii="宋体" w:hAnsi="宋体" w:cs="Arial Unicode MS"/>
          <w:color w:val="auto"/>
          <w:sz w:val="24"/>
          <w:highlight w:val="none"/>
        </w:rPr>
      </w:pPr>
      <w:r>
        <w:rPr>
          <w:rFonts w:hint="eastAsia" w:ascii="宋体" w:hAnsi="宋体"/>
          <w:color w:val="auto"/>
          <w:sz w:val="24"/>
          <w:highlight w:val="none"/>
        </w:rPr>
        <w:t>2.</w:t>
      </w:r>
      <w:r>
        <w:rPr>
          <w:rFonts w:hint="eastAsia" w:ascii="宋体" w:hAnsi="宋体" w:cs="Arial Unicode MS"/>
          <w:color w:val="auto"/>
          <w:sz w:val="24"/>
          <w:highlight w:val="none"/>
        </w:rPr>
        <w:t>在甲方验收合格之前，一切风险由乙方承担。</w:t>
      </w:r>
    </w:p>
    <w:p>
      <w:pPr>
        <w:spacing w:line="460" w:lineRule="exact"/>
        <w:ind w:firstLine="480" w:firstLineChars="200"/>
        <w:rPr>
          <w:rFonts w:hint="eastAsia" w:ascii="宋体" w:hAnsi="宋体" w:cs="Arial Unicode MS"/>
          <w:color w:val="auto"/>
          <w:sz w:val="24"/>
          <w:highlight w:val="none"/>
        </w:rPr>
      </w:pPr>
      <w:r>
        <w:rPr>
          <w:rFonts w:hint="eastAsia" w:ascii="宋体" w:hAnsi="宋体" w:cs="Arial Unicode MS"/>
          <w:color w:val="auto"/>
          <w:sz w:val="24"/>
          <w:highlight w:val="none"/>
        </w:rPr>
        <w:t>3.甲方验收合格后，</w:t>
      </w:r>
      <w:r>
        <w:rPr>
          <w:rFonts w:hint="eastAsia" w:ascii="宋体" w:hAnsi="宋体"/>
          <w:bCs/>
          <w:color w:val="auto"/>
          <w:sz w:val="24"/>
          <w:highlight w:val="none"/>
        </w:rPr>
        <w:t>乙方应向甲方提交以下证明材料和文件：产品质量合格证书、产品使用手册、管理员手册、用户手册等。</w:t>
      </w:r>
    </w:p>
    <w:p>
      <w:pPr>
        <w:numPr>
          <w:numId w:val="0"/>
        </w:numPr>
        <w:spacing w:line="460" w:lineRule="exact"/>
        <w:ind w:left="482" w:leftChars="0"/>
        <w:rPr>
          <w:rFonts w:ascii="宋体" w:hAnsi="宋体" w:cs="Arial Unicode MS"/>
          <w:b/>
          <w:color w:val="auto"/>
          <w:sz w:val="24"/>
          <w:highlight w:val="none"/>
        </w:rPr>
      </w:pPr>
      <w:r>
        <w:rPr>
          <w:rFonts w:hint="eastAsia" w:ascii="宋体" w:hAnsi="宋体" w:cs="Arial Unicode MS"/>
          <w:b/>
          <w:color w:val="auto"/>
          <w:sz w:val="24"/>
          <w:highlight w:val="none"/>
          <w:lang w:eastAsia="zh-CN"/>
        </w:rPr>
        <w:t>三、</w:t>
      </w:r>
      <w:r>
        <w:rPr>
          <w:rFonts w:hint="eastAsia" w:ascii="宋体" w:hAnsi="宋体" w:cs="Arial Unicode MS"/>
          <w:b/>
          <w:color w:val="auto"/>
          <w:sz w:val="24"/>
          <w:highlight w:val="none"/>
        </w:rPr>
        <w:t>质量、技术标准及质量保证条款</w:t>
      </w:r>
    </w:p>
    <w:p>
      <w:pPr>
        <w:pStyle w:val="22"/>
        <w:tabs>
          <w:tab w:val="left" w:pos="615"/>
        </w:tabs>
        <w:spacing w:line="600" w:lineRule="exact"/>
        <w:ind w:firstLine="465"/>
        <w:rPr>
          <w:rFonts w:ascii="宋体" w:hAnsi="宋体"/>
          <w:b/>
          <w:color w:val="auto"/>
          <w:szCs w:val="24"/>
          <w:highlight w:val="none"/>
        </w:rPr>
      </w:pPr>
      <w:r>
        <w:rPr>
          <w:rFonts w:ascii="宋体" w:hAnsi="宋体" w:cs="Arial Unicode MS"/>
          <w:color w:val="auto"/>
          <w:highlight w:val="none"/>
        </w:rPr>
        <w:t>1</w:t>
      </w:r>
      <w:r>
        <w:rPr>
          <w:rFonts w:hint="eastAsia" w:ascii="宋体" w:hAnsi="宋体" w:cs="Arial Unicode MS"/>
          <w:color w:val="auto"/>
          <w:highlight w:val="none"/>
        </w:rPr>
        <w:t>.</w:t>
      </w:r>
      <w:r>
        <w:rPr>
          <w:rFonts w:hint="eastAsia" w:ascii="宋体" w:hAnsi="宋体" w:cs="宋体"/>
          <w:color w:val="auto"/>
          <w:highlight w:val="none"/>
        </w:rPr>
        <w:t>乙方须保证所交付的产品和服务为合法拥有，不侵犯任何第三方版权、专利权、商标权或其他知识产权，同时也不违反任何第三方的信息专有权，如因乙方原因出现与产品和服务有关的第三方指控或知识侵权的事件，应由乙方负责并保证甲方的利益不受任何损失，否则乙方应赔偿甲方的一切损失。</w:t>
      </w:r>
    </w:p>
    <w:p>
      <w:pPr>
        <w:pStyle w:val="22"/>
        <w:tabs>
          <w:tab w:val="left" w:pos="615"/>
        </w:tabs>
        <w:spacing w:line="600" w:lineRule="exact"/>
        <w:ind w:firstLine="465"/>
        <w:rPr>
          <w:rFonts w:ascii="宋体" w:hAnsi="宋体" w:eastAsia="宋体" w:cs="Arial Unicode MS"/>
          <w:color w:val="auto"/>
          <w:highlight w:val="none"/>
        </w:rPr>
      </w:pPr>
      <w:r>
        <w:rPr>
          <w:rFonts w:hint="eastAsia" w:ascii="宋体" w:hAnsi="宋体" w:eastAsia="宋体" w:cs="Arial Unicode MS"/>
          <w:color w:val="auto"/>
          <w:highlight w:val="none"/>
        </w:rPr>
        <w:t>2.当有第三方就甲方在本协议许可的范围内使用该许可软件或是其中任何一部分向甲方提起诉讼，指控甲方侵犯其在中国的版权、商业秘密权、专利权或其他知识产权，甲方最终承担责任的，乙方赔偿甲方全部损失。甲方自己安装以及使用其他非乙方许可软件的，甲方将自己承担相应的责任。</w:t>
      </w:r>
    </w:p>
    <w:p>
      <w:pPr>
        <w:pStyle w:val="22"/>
        <w:tabs>
          <w:tab w:val="left" w:pos="615"/>
        </w:tabs>
        <w:spacing w:line="600" w:lineRule="exact"/>
        <w:ind w:firstLine="465"/>
        <w:rPr>
          <w:rFonts w:ascii="宋体" w:hAnsi="宋体" w:eastAsia="宋体" w:cs="Arial Unicode MS"/>
          <w:color w:val="auto"/>
          <w:highlight w:val="none"/>
        </w:rPr>
      </w:pPr>
      <w:r>
        <w:rPr>
          <w:rFonts w:hint="eastAsia" w:ascii="宋体" w:hAnsi="宋体" w:eastAsia="宋体" w:cs="Arial Unicode MS"/>
          <w:color w:val="auto"/>
          <w:highlight w:val="none"/>
        </w:rPr>
        <w:t>3.乙方保证所供货物为全新并符合甲方招标要求及国家相关质量标准的产品，且不存在隐形瑕疵。</w:t>
      </w:r>
    </w:p>
    <w:p>
      <w:pPr>
        <w:pStyle w:val="22"/>
        <w:tabs>
          <w:tab w:val="left" w:pos="615"/>
        </w:tabs>
        <w:spacing w:line="600" w:lineRule="exact"/>
        <w:ind w:firstLine="465"/>
        <w:rPr>
          <w:rFonts w:ascii="宋体" w:hAnsi="宋体" w:eastAsia="宋体" w:cs="Arial Unicode MS"/>
          <w:color w:val="auto"/>
          <w:highlight w:val="none"/>
        </w:rPr>
      </w:pPr>
      <w:r>
        <w:rPr>
          <w:rFonts w:hint="eastAsia" w:ascii="宋体" w:hAnsi="宋体" w:eastAsia="宋体" w:cs="Arial Unicode MS"/>
          <w:color w:val="auto"/>
          <w:highlight w:val="none"/>
        </w:rPr>
        <w:t>4.乙方提供的货物非人为原因的质量问题</w:t>
      </w:r>
      <w:r>
        <w:rPr>
          <w:rFonts w:hint="eastAsia" w:ascii="宋体" w:hAnsi="宋体" w:eastAsia="宋体" w:cs="Arial Unicode MS"/>
          <w:b w:val="0"/>
          <w:bCs w:val="0"/>
          <w:color w:val="auto"/>
          <w:highlight w:val="none"/>
        </w:rPr>
        <w:t>免</w:t>
      </w:r>
      <w:r>
        <w:rPr>
          <w:rFonts w:hint="eastAsia" w:ascii="宋体" w:hAnsi="宋体" w:eastAsia="宋体" w:cs="Arial Unicode MS"/>
          <w:b w:val="0"/>
          <w:bCs w:val="0"/>
          <w:color w:val="auto"/>
          <w:highlight w:val="none"/>
          <w:u w:val="none"/>
        </w:rPr>
        <w:t>费质保</w:t>
      </w:r>
      <w:r>
        <w:rPr>
          <w:rFonts w:hint="eastAsia" w:ascii="宋体" w:hAnsi="宋体" w:eastAsia="宋体" w:cs="Arial Unicode MS"/>
          <w:b w:val="0"/>
          <w:bCs w:val="0"/>
          <w:color w:val="auto"/>
          <w:highlight w:val="none"/>
          <w:u w:val="none"/>
          <w:lang w:eastAsia="zh-CN"/>
        </w:rPr>
        <w:t>贰</w:t>
      </w:r>
      <w:r>
        <w:rPr>
          <w:rFonts w:hint="eastAsia" w:ascii="宋体" w:hAnsi="宋体" w:eastAsia="宋体" w:cs="Arial Unicode MS"/>
          <w:b w:val="0"/>
          <w:bCs w:val="0"/>
          <w:color w:val="auto"/>
          <w:highlight w:val="none"/>
          <w:u w:val="none"/>
        </w:rPr>
        <w:t>年</w:t>
      </w:r>
      <w:r>
        <w:rPr>
          <w:rFonts w:hint="eastAsia" w:ascii="宋体" w:hAnsi="宋体" w:eastAsia="宋体" w:cs="Arial Unicode MS"/>
          <w:color w:val="auto"/>
          <w:highlight w:val="none"/>
        </w:rPr>
        <w:t>，</w:t>
      </w:r>
      <w:r>
        <w:rPr>
          <w:rFonts w:hint="eastAsia" w:ascii="宋体" w:hAnsi="宋体" w:cs="仿宋_GB2312"/>
          <w:b/>
          <w:sz w:val="24"/>
        </w:rPr>
        <w:t>同时，</w:t>
      </w:r>
      <w:r>
        <w:rPr>
          <w:rFonts w:hint="eastAsia" w:ascii="宋体" w:hAnsi="宋体" w:cs="仿宋_GB2312"/>
          <w:b/>
          <w:sz w:val="24"/>
          <w:lang w:eastAsia="zh-CN"/>
        </w:rPr>
        <w:t>乙</w:t>
      </w:r>
      <w:r>
        <w:rPr>
          <w:rFonts w:hint="eastAsia" w:ascii="宋体" w:hAnsi="宋体" w:cs="仿宋_GB2312"/>
          <w:b/>
          <w:sz w:val="24"/>
        </w:rPr>
        <w:t>方提供的所有设备原厂免费质保期超过</w:t>
      </w:r>
      <w:r>
        <w:rPr>
          <w:rFonts w:hint="eastAsia" w:ascii="宋体" w:hAnsi="宋体" w:cs="仿宋_GB2312"/>
          <w:b/>
          <w:sz w:val="24"/>
          <w:lang w:val="en-US" w:eastAsia="zh-CN"/>
        </w:rPr>
        <w:t>贰</w:t>
      </w:r>
      <w:r>
        <w:rPr>
          <w:rFonts w:hint="eastAsia" w:ascii="宋体" w:hAnsi="宋体" w:cs="仿宋_GB2312"/>
          <w:b/>
          <w:sz w:val="24"/>
        </w:rPr>
        <w:t>年的，按设备原厂免费质保期时间计算</w:t>
      </w:r>
      <w:r>
        <w:rPr>
          <w:rFonts w:hint="eastAsia" w:ascii="宋体" w:hAnsi="宋体" w:cs="仿宋_GB2312"/>
          <w:b/>
          <w:sz w:val="24"/>
          <w:lang w:eastAsia="zh-CN"/>
        </w:rPr>
        <w:t>，并将原厂的质保服务承诺书或质保服务承诺函交予甲方，</w:t>
      </w:r>
      <w:bookmarkStart w:id="1" w:name="_GoBack"/>
      <w:r>
        <w:rPr>
          <w:rFonts w:hint="eastAsia" w:ascii="宋体" w:hAnsi="宋体" w:eastAsia="宋体" w:cs="Arial Unicode MS"/>
          <w:color w:val="auto"/>
          <w:highlight w:val="none"/>
        </w:rPr>
        <w:t>期限自货到安装调试完成并经甲方验收合格之日起算。因产品本身质量及设计问题造成甲方及第三方人身伤害或财产损失的，</w:t>
      </w:r>
      <w:r>
        <w:rPr>
          <w:rFonts w:hint="eastAsia" w:ascii="宋体" w:hAnsi="宋体" w:cs="仿宋_GB2312"/>
          <w:sz w:val="24"/>
        </w:rPr>
        <w:t>无论是否在</w:t>
      </w:r>
      <w:bookmarkEnd w:id="1"/>
      <w:r>
        <w:rPr>
          <w:rFonts w:hint="eastAsia" w:ascii="宋体" w:hAnsi="宋体" w:cs="仿宋_GB2312"/>
          <w:sz w:val="24"/>
        </w:rPr>
        <w:t>质保期内均由</w:t>
      </w:r>
      <w:r>
        <w:rPr>
          <w:rFonts w:hint="eastAsia" w:ascii="宋体" w:hAnsi="宋体" w:cs="仿宋_GB2312"/>
          <w:sz w:val="24"/>
          <w:lang w:eastAsia="zh-CN"/>
        </w:rPr>
        <w:t>中标</w:t>
      </w:r>
      <w:r>
        <w:rPr>
          <w:rFonts w:hint="eastAsia" w:ascii="宋体" w:hAnsi="宋体" w:cs="仿宋_GB2312"/>
          <w:sz w:val="24"/>
        </w:rPr>
        <w:t>方负责处理并承担全部责任，包括赔偿因此给</w:t>
      </w:r>
      <w:r>
        <w:rPr>
          <w:rFonts w:hint="eastAsia" w:ascii="宋体" w:hAnsi="宋体" w:cs="仿宋_GB2312"/>
          <w:sz w:val="24"/>
          <w:lang w:eastAsia="zh-CN"/>
        </w:rPr>
        <w:t>招标</w:t>
      </w:r>
      <w:r>
        <w:rPr>
          <w:rFonts w:hint="eastAsia" w:ascii="宋体" w:hAnsi="宋体" w:cs="仿宋_GB2312"/>
          <w:sz w:val="24"/>
        </w:rPr>
        <w:t>方造成的全部损失。</w:t>
      </w:r>
    </w:p>
    <w:p>
      <w:pPr>
        <w:spacing w:line="540" w:lineRule="exact"/>
        <w:ind w:firstLine="470" w:firstLineChars="196"/>
        <w:rPr>
          <w:rFonts w:ascii="宋体" w:hAnsi="宋体"/>
          <w:color w:val="auto"/>
          <w:sz w:val="24"/>
          <w:highlight w:val="none"/>
        </w:rPr>
      </w:pPr>
      <w:r>
        <w:rPr>
          <w:rFonts w:hint="eastAsia" w:ascii="宋体" w:hAnsi="宋体" w:cs="仿宋_GB2312"/>
          <w:color w:val="auto"/>
          <w:sz w:val="24"/>
          <w:highlight w:val="none"/>
        </w:rPr>
        <w:t>5.</w:t>
      </w:r>
      <w:r>
        <w:rPr>
          <w:rFonts w:hint="eastAsia" w:ascii="宋体" w:hAnsi="宋体"/>
          <w:color w:val="auto"/>
          <w:sz w:val="24"/>
          <w:highlight w:val="none"/>
        </w:rPr>
        <w:t>乙方负责免费对甲方相关管理人员及现场使用人员进行培训，内容包括设备的使用、管理、维护、保养等知识，直到学会为止；</w:t>
      </w:r>
    </w:p>
    <w:p>
      <w:pPr>
        <w:spacing w:line="540" w:lineRule="exact"/>
        <w:ind w:firstLine="470" w:firstLineChars="196"/>
        <w:rPr>
          <w:rFonts w:ascii="宋体" w:hAnsi="宋体"/>
          <w:color w:val="auto"/>
          <w:sz w:val="24"/>
          <w:highlight w:val="none"/>
        </w:rPr>
      </w:pPr>
      <w:r>
        <w:rPr>
          <w:rFonts w:hint="eastAsia" w:ascii="宋体" w:hAnsi="宋体"/>
          <w:color w:val="auto"/>
          <w:sz w:val="24"/>
          <w:highlight w:val="none"/>
        </w:rPr>
        <w:t>6.乙方保证24小时响应甲方报修要求，一般故障</w:t>
      </w:r>
      <w:r>
        <w:rPr>
          <w:rFonts w:ascii="宋体" w:hAnsi="宋体"/>
          <w:color w:val="auto"/>
          <w:sz w:val="24"/>
          <w:highlight w:val="none"/>
        </w:rPr>
        <w:t>4</w:t>
      </w:r>
      <w:r>
        <w:rPr>
          <w:rFonts w:hint="eastAsia" w:ascii="宋体" w:hAnsi="宋体"/>
          <w:color w:val="auto"/>
          <w:sz w:val="24"/>
          <w:highlight w:val="none"/>
        </w:rPr>
        <w:t>小时内解决，严重故障</w:t>
      </w:r>
      <w:r>
        <w:rPr>
          <w:rFonts w:hint="eastAsia" w:ascii="宋体" w:hAnsi="宋体"/>
          <w:color w:val="auto"/>
          <w:sz w:val="24"/>
          <w:highlight w:val="none"/>
          <w:lang w:val="en-US" w:eastAsia="zh-CN"/>
        </w:rPr>
        <w:t>24小时</w:t>
      </w:r>
      <w:r>
        <w:rPr>
          <w:rFonts w:hint="eastAsia" w:ascii="宋体" w:hAnsi="宋体"/>
          <w:color w:val="auto"/>
          <w:sz w:val="24"/>
          <w:highlight w:val="none"/>
        </w:rPr>
        <w:t>内解决。</w:t>
      </w:r>
    </w:p>
    <w:p>
      <w:pPr>
        <w:numPr>
          <w:numId w:val="0"/>
        </w:numPr>
        <w:spacing w:line="460" w:lineRule="exact"/>
        <w:ind w:left="482" w:leftChars="0"/>
        <w:rPr>
          <w:rFonts w:ascii="宋体" w:hAnsi="宋体" w:cs="Arial Unicode MS"/>
          <w:b/>
          <w:color w:val="auto"/>
          <w:sz w:val="24"/>
          <w:highlight w:val="none"/>
        </w:rPr>
      </w:pPr>
      <w:r>
        <w:rPr>
          <w:rFonts w:hint="eastAsia" w:ascii="宋体" w:hAnsi="宋体" w:cs="Arial Unicode MS"/>
          <w:b/>
          <w:color w:val="auto"/>
          <w:sz w:val="24"/>
          <w:highlight w:val="none"/>
          <w:lang w:eastAsia="zh-CN"/>
        </w:rPr>
        <w:t>四、</w:t>
      </w:r>
      <w:r>
        <w:rPr>
          <w:rFonts w:hint="eastAsia" w:ascii="宋体" w:hAnsi="宋体" w:cs="Arial Unicode MS"/>
          <w:b/>
          <w:color w:val="auto"/>
          <w:sz w:val="24"/>
          <w:highlight w:val="none"/>
        </w:rPr>
        <w:t>验收标准、方式、地点</w:t>
      </w:r>
    </w:p>
    <w:p>
      <w:pPr>
        <w:spacing w:line="520" w:lineRule="exact"/>
        <w:ind w:firstLine="480"/>
        <w:rPr>
          <w:rFonts w:ascii="宋体" w:hAnsi="宋体" w:cs="Arial Unicode MS"/>
          <w:b/>
          <w:color w:val="auto"/>
          <w:sz w:val="24"/>
          <w:highlight w:val="none"/>
        </w:rPr>
      </w:pPr>
      <w:r>
        <w:rPr>
          <w:rFonts w:hint="eastAsia" w:ascii="宋体" w:hAnsi="宋体" w:cs="Arial Unicode MS"/>
          <w:color w:val="auto"/>
          <w:sz w:val="24"/>
          <w:highlight w:val="none"/>
        </w:rPr>
        <w:t>1.验收标准：甲方按定单进行核对，在验收过程中发现破损（含外观磕碰）及安装</w:t>
      </w:r>
      <w:r>
        <w:rPr>
          <w:rFonts w:hint="eastAsia" w:ascii="宋体" w:hAnsi="宋体" w:cs="Arial Unicode MS"/>
          <w:color w:val="auto"/>
          <w:sz w:val="24"/>
          <w:highlight w:val="none"/>
          <w:lang w:eastAsia="zh-CN"/>
        </w:rPr>
        <w:t>调试不到位</w:t>
      </w:r>
      <w:r>
        <w:rPr>
          <w:rFonts w:hint="eastAsia" w:ascii="宋体" w:hAnsi="宋体" w:cs="Arial Unicode MS"/>
          <w:color w:val="auto"/>
          <w:sz w:val="24"/>
          <w:highlight w:val="none"/>
        </w:rPr>
        <w:t>的，不符甲方招标要求及国家相关质量标准的，甲方有权要求乙方重新更换，相关费用由乙方承担，甲方有权根据情况选择终止合同，并追究乙方违约责任，同时乙方缴纳的履约保证金不予退还。</w:t>
      </w:r>
    </w:p>
    <w:p>
      <w:pPr>
        <w:spacing w:line="520" w:lineRule="exact"/>
        <w:ind w:firstLine="480" w:firstLineChars="200"/>
        <w:rPr>
          <w:rFonts w:hint="eastAsia" w:ascii="宋体" w:hAnsi="宋体" w:cs="Arial Unicode MS"/>
          <w:color w:val="auto"/>
          <w:sz w:val="24"/>
          <w:highlight w:val="none"/>
        </w:rPr>
      </w:pPr>
      <w:r>
        <w:rPr>
          <w:rFonts w:hint="eastAsia" w:ascii="宋体" w:hAnsi="宋体" w:cs="Arial Unicode MS"/>
          <w:color w:val="auto"/>
          <w:sz w:val="24"/>
          <w:highlight w:val="none"/>
        </w:rPr>
        <w:t>2.最终验收及交货地点: 产品在甲方指定地点现场安装调试完成后，乙方申请甲方验收，产品验收以在甲方指定地点现场进行的最终验收为准。</w:t>
      </w:r>
    </w:p>
    <w:p>
      <w:pPr>
        <w:numPr>
          <w:numId w:val="0"/>
        </w:numPr>
        <w:spacing w:line="440" w:lineRule="exact"/>
        <w:ind w:left="482" w:leftChars="0"/>
        <w:jc w:val="left"/>
        <w:rPr>
          <w:rFonts w:hint="eastAsia" w:ascii="宋体" w:hAnsi="宋体" w:cs="宋体"/>
          <w:color w:val="auto"/>
          <w:sz w:val="24"/>
          <w:highlight w:val="none"/>
        </w:rPr>
      </w:pPr>
      <w:r>
        <w:rPr>
          <w:rFonts w:hint="eastAsia"/>
          <w:b/>
          <w:bCs w:val="0"/>
          <w:color w:val="auto"/>
          <w:sz w:val="24"/>
          <w:highlight w:val="none"/>
          <w:lang w:eastAsia="zh-CN"/>
        </w:rPr>
        <w:t>五、</w:t>
      </w:r>
      <w:r>
        <w:rPr>
          <w:rFonts w:hint="eastAsia"/>
          <w:b/>
          <w:bCs w:val="0"/>
          <w:color w:val="auto"/>
          <w:sz w:val="24"/>
          <w:highlight w:val="none"/>
        </w:rPr>
        <w:t>付款方式和履约保证金</w:t>
      </w:r>
      <w:r>
        <w:rPr>
          <w:rFonts w:hint="eastAsia" w:ascii="宋体" w:hAnsi="宋体" w:cs="宋体"/>
          <w:b/>
          <w:color w:val="auto"/>
          <w:kern w:val="0"/>
          <w:sz w:val="24"/>
          <w:highlight w:val="none"/>
        </w:rPr>
        <w:t> </w:t>
      </w:r>
    </w:p>
    <w:p>
      <w:pPr>
        <w:spacing w:line="6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1.支付方式：甲方以银行转账方式向乙方支付。</w:t>
      </w:r>
    </w:p>
    <w:p>
      <w:pPr>
        <w:spacing w:line="6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2.支付时间及金额：</w:t>
      </w:r>
    </w:p>
    <w:p>
      <w:pPr>
        <w:spacing w:line="600" w:lineRule="exact"/>
        <w:ind w:firstLine="480"/>
        <w:rPr>
          <w:rFonts w:hint="eastAsia"/>
          <w:color w:val="auto"/>
          <w:sz w:val="24"/>
          <w:highlight w:val="none"/>
        </w:rPr>
      </w:pPr>
      <w:r>
        <w:rPr>
          <w:rFonts w:hint="eastAsia"/>
          <w:b/>
          <w:bCs/>
          <w:color w:val="auto"/>
          <w:sz w:val="24"/>
          <w:highlight w:val="none"/>
        </w:rPr>
        <w:t>设备</w:t>
      </w:r>
      <w:r>
        <w:rPr>
          <w:rFonts w:hint="eastAsia"/>
          <w:b/>
          <w:bCs/>
          <w:color w:val="auto"/>
          <w:sz w:val="24"/>
          <w:highlight w:val="none"/>
          <w:lang w:val="en-US" w:eastAsia="zh-CN"/>
        </w:rPr>
        <w:t>全部</w:t>
      </w:r>
      <w:r>
        <w:rPr>
          <w:rFonts w:hint="eastAsia"/>
          <w:b/>
          <w:bCs/>
          <w:color w:val="auto"/>
          <w:sz w:val="24"/>
          <w:highlight w:val="none"/>
        </w:rPr>
        <w:t>安装</w:t>
      </w:r>
      <w:r>
        <w:rPr>
          <w:rFonts w:hint="eastAsia"/>
          <w:b/>
          <w:bCs/>
          <w:color w:val="auto"/>
          <w:sz w:val="24"/>
          <w:highlight w:val="none"/>
          <w:lang w:eastAsia="zh-CN"/>
        </w:rPr>
        <w:t>调试完毕</w:t>
      </w:r>
      <w:r>
        <w:rPr>
          <w:rFonts w:hint="eastAsia"/>
          <w:b/>
          <w:bCs/>
          <w:color w:val="auto"/>
          <w:sz w:val="24"/>
          <w:highlight w:val="none"/>
        </w:rPr>
        <w:t>后支付合同</w:t>
      </w:r>
      <w:r>
        <w:rPr>
          <w:rFonts w:hint="eastAsia"/>
          <w:b/>
          <w:bCs/>
          <w:color w:val="auto"/>
          <w:sz w:val="24"/>
          <w:highlight w:val="none"/>
          <w:lang w:eastAsia="zh-CN"/>
        </w:rPr>
        <w:t>总</w:t>
      </w:r>
      <w:r>
        <w:rPr>
          <w:rFonts w:hint="eastAsia"/>
          <w:b/>
          <w:bCs/>
          <w:color w:val="auto"/>
          <w:sz w:val="24"/>
          <w:highlight w:val="none"/>
        </w:rPr>
        <w:t>金额的</w:t>
      </w:r>
      <w:r>
        <w:rPr>
          <w:rFonts w:hint="eastAsia"/>
          <w:b/>
          <w:bCs/>
          <w:color w:val="auto"/>
          <w:sz w:val="24"/>
          <w:highlight w:val="none"/>
          <w:lang w:val="en-US" w:eastAsia="zh-CN"/>
        </w:rPr>
        <w:t>4</w:t>
      </w:r>
      <w:r>
        <w:rPr>
          <w:rFonts w:hint="eastAsia"/>
          <w:b/>
          <w:bCs/>
          <w:color w:val="auto"/>
          <w:sz w:val="24"/>
          <w:highlight w:val="none"/>
        </w:rPr>
        <w:t>0%</w:t>
      </w:r>
      <w:r>
        <w:rPr>
          <w:rFonts w:hint="eastAsia"/>
          <w:b/>
          <w:bCs/>
          <w:color w:val="auto"/>
          <w:sz w:val="24"/>
          <w:highlight w:val="none"/>
          <w:lang w:eastAsia="zh-CN"/>
        </w:rPr>
        <w:t>；软件开发、</w:t>
      </w:r>
      <w:r>
        <w:rPr>
          <w:rFonts w:hint="eastAsia"/>
          <w:b/>
          <w:bCs/>
          <w:color w:val="auto"/>
          <w:sz w:val="24"/>
          <w:highlight w:val="none"/>
          <w:lang w:val="en-US" w:eastAsia="zh-CN"/>
        </w:rPr>
        <w:t>集成</w:t>
      </w:r>
      <w:r>
        <w:rPr>
          <w:rFonts w:hint="eastAsia"/>
          <w:b/>
          <w:bCs/>
          <w:color w:val="auto"/>
          <w:sz w:val="24"/>
          <w:highlight w:val="none"/>
          <w:lang w:eastAsia="zh-CN"/>
        </w:rPr>
        <w:t>完毕并投入使用后，经甲方组织验收，验收</w:t>
      </w:r>
      <w:r>
        <w:rPr>
          <w:rFonts w:hint="eastAsia" w:ascii="宋体" w:hAnsi="宋体"/>
          <w:b/>
          <w:bCs/>
          <w:color w:val="auto"/>
          <w:kern w:val="0"/>
          <w:sz w:val="24"/>
          <w:highlight w:val="none"/>
        </w:rPr>
        <w:t>合格后</w:t>
      </w:r>
      <w:r>
        <w:rPr>
          <w:rFonts w:hint="eastAsia"/>
          <w:b/>
          <w:bCs/>
          <w:color w:val="auto"/>
          <w:sz w:val="24"/>
          <w:highlight w:val="none"/>
        </w:rPr>
        <w:t>支付</w:t>
      </w:r>
      <w:r>
        <w:rPr>
          <w:rFonts w:hint="eastAsia"/>
          <w:b/>
          <w:bCs/>
          <w:color w:val="auto"/>
          <w:sz w:val="24"/>
          <w:highlight w:val="none"/>
          <w:lang w:eastAsia="zh-CN"/>
        </w:rPr>
        <w:t>至</w:t>
      </w:r>
      <w:r>
        <w:rPr>
          <w:rFonts w:hint="eastAsia"/>
          <w:b/>
          <w:bCs/>
          <w:color w:val="auto"/>
          <w:sz w:val="24"/>
          <w:highlight w:val="none"/>
        </w:rPr>
        <w:t>合同金额的</w:t>
      </w:r>
      <w:r>
        <w:rPr>
          <w:rFonts w:hint="eastAsia"/>
          <w:b/>
          <w:bCs/>
          <w:color w:val="auto"/>
          <w:sz w:val="24"/>
          <w:highlight w:val="none"/>
          <w:lang w:val="en-US" w:eastAsia="zh-CN"/>
        </w:rPr>
        <w:t>7</w:t>
      </w:r>
      <w:r>
        <w:rPr>
          <w:rFonts w:hint="eastAsia"/>
          <w:b/>
          <w:bCs/>
          <w:color w:val="auto"/>
          <w:sz w:val="24"/>
          <w:highlight w:val="none"/>
        </w:rPr>
        <w:t>0%</w:t>
      </w:r>
      <w:r>
        <w:rPr>
          <w:rFonts w:hint="eastAsia"/>
          <w:b/>
          <w:bCs/>
          <w:color w:val="auto"/>
          <w:sz w:val="24"/>
          <w:highlight w:val="none"/>
          <w:lang w:eastAsia="zh-CN"/>
        </w:rPr>
        <w:t>；</w:t>
      </w:r>
      <w:r>
        <w:rPr>
          <w:rFonts w:hint="eastAsia" w:ascii="宋体" w:hAnsi="宋体"/>
          <w:b/>
          <w:bCs/>
          <w:color w:val="auto"/>
          <w:sz w:val="24"/>
          <w:highlight w:val="none"/>
        </w:rPr>
        <w:t>经审计后</w:t>
      </w:r>
      <w:r>
        <w:rPr>
          <w:rFonts w:hint="eastAsia" w:ascii="宋体" w:hAnsi="宋体"/>
          <w:b/>
          <w:bCs/>
          <w:color w:val="auto"/>
          <w:sz w:val="24"/>
          <w:highlight w:val="none"/>
          <w:lang w:eastAsia="zh-CN"/>
        </w:rPr>
        <w:t>支付至审计</w:t>
      </w:r>
      <w:r>
        <w:rPr>
          <w:rFonts w:hint="eastAsia" w:ascii="宋体" w:hAnsi="宋体"/>
          <w:b/>
          <w:bCs/>
          <w:color w:val="auto"/>
          <w:sz w:val="24"/>
          <w:highlight w:val="none"/>
        </w:rPr>
        <w:t>金额的9</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eastAsia="zh-CN"/>
        </w:rPr>
        <w:t>，</w:t>
      </w:r>
      <w:r>
        <w:rPr>
          <w:rFonts w:hint="eastAsia" w:ascii="宋体" w:hAnsi="宋体"/>
          <w:b/>
          <w:bCs/>
          <w:color w:val="auto"/>
          <w:kern w:val="0"/>
          <w:sz w:val="24"/>
          <w:highlight w:val="none"/>
        </w:rPr>
        <w:t>剩余</w:t>
      </w:r>
      <w:r>
        <w:rPr>
          <w:rFonts w:hint="eastAsia" w:ascii="宋体" w:hAnsi="宋体"/>
          <w:b/>
          <w:bCs/>
          <w:color w:val="auto"/>
          <w:kern w:val="0"/>
          <w:sz w:val="24"/>
          <w:highlight w:val="none"/>
          <w:lang w:val="en-US" w:eastAsia="zh-CN"/>
        </w:rPr>
        <w:t>3</w:t>
      </w:r>
      <w:r>
        <w:rPr>
          <w:rFonts w:hint="eastAsia" w:ascii="宋体" w:hAnsi="宋体"/>
          <w:b/>
          <w:bCs/>
          <w:color w:val="auto"/>
          <w:kern w:val="0"/>
          <w:sz w:val="24"/>
          <w:highlight w:val="none"/>
        </w:rPr>
        <w:t>%作为</w:t>
      </w:r>
      <w:r>
        <w:rPr>
          <w:rFonts w:hint="eastAsia" w:ascii="宋体" w:hAnsi="宋体"/>
          <w:b/>
          <w:bCs/>
          <w:color w:val="auto"/>
          <w:kern w:val="0"/>
          <w:sz w:val="24"/>
          <w:highlight w:val="none"/>
          <w:lang w:eastAsia="zh-CN"/>
        </w:rPr>
        <w:t>设备材料及工程质量保证金，无质量问题两年后一次性付清（无息）。</w:t>
      </w:r>
    </w:p>
    <w:p>
      <w:pPr>
        <w:spacing w:line="600" w:lineRule="exact"/>
        <w:ind w:firstLine="480"/>
        <w:rPr>
          <w:rFonts w:hint="default" w:ascii="宋体" w:hAnsi="宋体"/>
          <w:b w:val="0"/>
          <w:bCs w:val="0"/>
          <w:color w:val="auto"/>
          <w:kern w:val="0"/>
          <w:sz w:val="24"/>
          <w:highlight w:val="none"/>
          <w:lang w:val="en-US" w:eastAsia="zh-CN"/>
        </w:rPr>
      </w:pPr>
      <w:r>
        <w:rPr>
          <w:rFonts w:hint="eastAsia" w:ascii="宋体" w:hAnsi="宋体"/>
          <w:b w:val="0"/>
          <w:bCs w:val="0"/>
          <w:color w:val="auto"/>
          <w:kern w:val="0"/>
          <w:sz w:val="24"/>
          <w:highlight w:val="none"/>
          <w:lang w:val="en-US" w:eastAsia="zh-CN"/>
        </w:rPr>
        <w:t>3.质量保证期：</w:t>
      </w:r>
    </w:p>
    <w:p>
      <w:pPr>
        <w:spacing w:line="600" w:lineRule="exact"/>
        <w:ind w:firstLine="48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免费质保期</w:t>
      </w:r>
      <w:r>
        <w:rPr>
          <w:rFonts w:hint="eastAsia" w:ascii="宋体" w:hAnsi="宋体" w:eastAsia="宋体" w:cs="Times New Roman"/>
          <w:color w:val="auto"/>
          <w:kern w:val="0"/>
          <w:sz w:val="24"/>
          <w:highlight w:val="none"/>
          <w:lang w:val="en-US" w:eastAsia="zh-CN"/>
        </w:rPr>
        <w:t>两</w:t>
      </w:r>
      <w:r>
        <w:rPr>
          <w:rFonts w:hint="eastAsia" w:ascii="宋体" w:hAnsi="宋体" w:eastAsia="宋体" w:cs="Times New Roman"/>
          <w:color w:val="auto"/>
          <w:kern w:val="0"/>
          <w:sz w:val="24"/>
          <w:highlight w:val="none"/>
        </w:rPr>
        <w:t>年</w:t>
      </w:r>
      <w:r>
        <w:rPr>
          <w:rFonts w:hint="eastAsia" w:ascii="宋体" w:hAnsi="宋体" w:eastAsia="宋体" w:cs="Times New Roman"/>
          <w:color w:val="auto"/>
          <w:kern w:val="0"/>
          <w:sz w:val="24"/>
          <w:highlight w:val="none"/>
          <w:lang w:eastAsia="zh-CN"/>
        </w:rPr>
        <w:t>，</w:t>
      </w:r>
      <w:r>
        <w:rPr>
          <w:rFonts w:hint="eastAsia" w:ascii="宋体" w:hAnsi="宋体" w:eastAsia="宋体" w:cs="Times New Roman"/>
          <w:color w:val="auto"/>
          <w:kern w:val="0"/>
          <w:sz w:val="24"/>
          <w:highlight w:val="none"/>
        </w:rPr>
        <w:t>自乙方安装调试结束、甲方总体验收合格之日起算</w:t>
      </w:r>
      <w:r>
        <w:rPr>
          <w:rFonts w:hint="eastAsia" w:ascii="宋体" w:hAnsi="宋体" w:eastAsia="宋体" w:cs="Times New Roman"/>
          <w:color w:val="auto"/>
          <w:kern w:val="0"/>
          <w:sz w:val="24"/>
          <w:highlight w:val="none"/>
          <w:lang w:val="en-US" w:eastAsia="zh-CN"/>
        </w:rPr>
        <w:t>。</w:t>
      </w:r>
      <w:r>
        <w:rPr>
          <w:rFonts w:hint="eastAsia" w:ascii="宋体" w:hAnsi="宋体" w:eastAsia="宋体" w:cs="Times New Roman"/>
          <w:b/>
          <w:bCs/>
          <w:color w:val="auto"/>
          <w:kern w:val="0"/>
          <w:sz w:val="24"/>
          <w:highlight w:val="none"/>
        </w:rPr>
        <w:t>质保期内乙方免费提供</w:t>
      </w:r>
      <w:r>
        <w:rPr>
          <w:rFonts w:hint="eastAsia" w:ascii="宋体" w:hAnsi="宋体" w:cs="Times New Roman"/>
          <w:b/>
          <w:bCs/>
          <w:color w:val="auto"/>
          <w:kern w:val="0"/>
          <w:sz w:val="24"/>
          <w:highlight w:val="none"/>
          <w:lang w:eastAsia="zh-CN"/>
        </w:rPr>
        <w:t>两年</w:t>
      </w:r>
      <w:r>
        <w:rPr>
          <w:rFonts w:hint="eastAsia" w:ascii="宋体" w:hAnsi="宋体" w:eastAsia="宋体" w:cs="Times New Roman"/>
          <w:b/>
          <w:bCs/>
          <w:color w:val="auto"/>
          <w:kern w:val="0"/>
          <w:sz w:val="24"/>
          <w:highlight w:val="none"/>
        </w:rPr>
        <w:t>原厂质保以及</w:t>
      </w:r>
      <w:r>
        <w:rPr>
          <w:rFonts w:hint="eastAsia" w:ascii="宋体" w:hAnsi="宋体" w:eastAsia="宋体" w:cs="Times New Roman"/>
          <w:b/>
          <w:bCs/>
          <w:color w:val="auto"/>
          <w:kern w:val="0"/>
          <w:sz w:val="24"/>
          <w:highlight w:val="none"/>
          <w:lang w:eastAsia="zh-CN"/>
        </w:rPr>
        <w:t>配套</w:t>
      </w:r>
      <w:r>
        <w:rPr>
          <w:rFonts w:hint="eastAsia" w:ascii="宋体" w:hAnsi="宋体" w:eastAsia="宋体" w:cs="Times New Roman"/>
          <w:b/>
          <w:bCs/>
          <w:color w:val="auto"/>
          <w:kern w:val="0"/>
          <w:sz w:val="24"/>
          <w:highlight w:val="none"/>
        </w:rPr>
        <w:t>使用的</w:t>
      </w:r>
      <w:r>
        <w:rPr>
          <w:rFonts w:hint="eastAsia" w:ascii="宋体" w:hAnsi="宋体" w:eastAsia="宋体" w:cs="Times New Roman"/>
          <w:b/>
          <w:bCs/>
          <w:color w:val="auto"/>
          <w:kern w:val="0"/>
          <w:sz w:val="24"/>
          <w:highlight w:val="none"/>
          <w:lang w:eastAsia="zh-CN"/>
        </w:rPr>
        <w:t>软件</w:t>
      </w:r>
      <w:r>
        <w:rPr>
          <w:rFonts w:hint="eastAsia" w:ascii="宋体" w:hAnsi="宋体" w:eastAsia="宋体" w:cs="Times New Roman"/>
          <w:b/>
          <w:bCs/>
          <w:color w:val="auto"/>
          <w:kern w:val="0"/>
          <w:sz w:val="24"/>
          <w:highlight w:val="none"/>
        </w:rPr>
        <w:t>功能模块升级服务。</w:t>
      </w:r>
      <w:r>
        <w:rPr>
          <w:rFonts w:hint="eastAsia" w:ascii="宋体" w:hAnsi="宋体"/>
          <w:color w:val="auto"/>
          <w:kern w:val="0"/>
          <w:sz w:val="24"/>
          <w:highlight w:val="none"/>
        </w:rPr>
        <w:t>若乙方未能履行相关责任，甲方有权拒绝支付质保金，且不视为违约。</w:t>
      </w:r>
    </w:p>
    <w:p>
      <w:pPr>
        <w:spacing w:line="600" w:lineRule="exact"/>
        <w:ind w:firstLine="480"/>
        <w:rPr>
          <w:rFonts w:hint="eastAsia" w:ascii="宋体" w:hAnsi="宋体" w:cs="宋体"/>
          <w:color w:val="auto"/>
          <w:kern w:val="0"/>
          <w:sz w:val="24"/>
          <w:highlight w:val="none"/>
        </w:rPr>
      </w:pPr>
      <w:r>
        <w:rPr>
          <w:rFonts w:hint="eastAsia" w:ascii="宋体" w:hAnsi="宋体" w:eastAsia="宋体" w:cs="Times New Roman"/>
          <w:color w:val="auto"/>
          <w:kern w:val="0"/>
          <w:sz w:val="24"/>
          <w:highlight w:val="none"/>
          <w:lang w:val="en-US" w:eastAsia="zh-CN"/>
        </w:rPr>
        <w:t>4.</w:t>
      </w:r>
      <w:r>
        <w:rPr>
          <w:rFonts w:hint="eastAsia" w:ascii="宋体" w:hAnsi="宋体" w:eastAsia="宋体" w:cs="Times New Roman"/>
          <w:color w:val="auto"/>
          <w:kern w:val="0"/>
          <w:sz w:val="24"/>
          <w:highlight w:val="none"/>
        </w:rPr>
        <w:t>甲方每次付款前乙方须先提供</w:t>
      </w:r>
      <w:r>
        <w:rPr>
          <w:rFonts w:hint="eastAsia" w:ascii="宋体" w:hAnsi="宋体" w:eastAsia="宋体" w:cs="Times New Roman"/>
          <w:b/>
          <w:bCs/>
          <w:color w:val="auto"/>
          <w:kern w:val="0"/>
          <w:sz w:val="24"/>
          <w:highlight w:val="none"/>
        </w:rPr>
        <w:t>同等金额的</w:t>
      </w:r>
      <w:r>
        <w:rPr>
          <w:rFonts w:hint="eastAsia" w:ascii="宋体" w:hAnsi="宋体" w:eastAsia="宋体" w:cs="Times New Roman"/>
          <w:b/>
          <w:bCs/>
          <w:color w:val="auto"/>
          <w:kern w:val="0"/>
          <w:sz w:val="24"/>
          <w:highlight w:val="none"/>
          <w:lang w:val="en-US" w:eastAsia="zh-CN"/>
        </w:rPr>
        <w:t>13</w:t>
      </w:r>
      <w:r>
        <w:rPr>
          <w:rFonts w:hint="eastAsia" w:ascii="宋体" w:hAnsi="宋体" w:eastAsia="宋体" w:cs="Times New Roman"/>
          <w:b/>
          <w:bCs/>
          <w:color w:val="auto"/>
          <w:kern w:val="0"/>
          <w:sz w:val="24"/>
          <w:highlight w:val="none"/>
        </w:rPr>
        <w:t>%增值税专用发票</w:t>
      </w:r>
      <w:r>
        <w:rPr>
          <w:rFonts w:hint="eastAsia" w:ascii="宋体" w:hAnsi="宋体" w:eastAsia="宋体" w:cs="Times New Roman"/>
          <w:color w:val="auto"/>
          <w:kern w:val="0"/>
          <w:sz w:val="24"/>
          <w:highlight w:val="none"/>
        </w:rPr>
        <w:t>，否则甲方有权拒绝付款且不视为违约。</w:t>
      </w:r>
      <w:r>
        <w:rPr>
          <w:rFonts w:hint="eastAsia" w:ascii="宋体" w:hAnsi="宋体" w:cs="宋体"/>
          <w:color w:val="auto"/>
          <w:kern w:val="0"/>
          <w:sz w:val="24"/>
          <w:highlight w:val="none"/>
        </w:rPr>
        <w:t> </w:t>
      </w:r>
    </w:p>
    <w:p>
      <w:pPr>
        <w:spacing w:line="6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.履约保证金</w:t>
      </w:r>
    </w:p>
    <w:p>
      <w:pPr>
        <w:spacing w:line="6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.1签订本合同前3日内乙方须缴纳履约保证金，金额为</w:t>
      </w:r>
      <w:r>
        <w:rPr>
          <w:rFonts w:hint="eastAsia" w:ascii="宋体" w:hAnsi="宋体" w:cs="宋体"/>
          <w:color w:val="auto"/>
          <w:kern w:val="0"/>
          <w:sz w:val="24"/>
          <w:highlight w:val="none"/>
          <w:u w:val="single"/>
        </w:rPr>
        <w:t>本项目合同价款总额的5%，</w:t>
      </w:r>
      <w:r>
        <w:rPr>
          <w:rFonts w:hint="eastAsia" w:ascii="宋体" w:hAnsi="宋体" w:cs="宋体"/>
          <w:color w:val="auto"/>
          <w:kern w:val="0"/>
          <w:sz w:val="24"/>
          <w:highlight w:val="none"/>
        </w:rPr>
        <w:t>收受人为</w:t>
      </w:r>
      <w:r>
        <w:rPr>
          <w:rFonts w:hint="eastAsia" w:ascii="宋体" w:hAnsi="宋体" w:cs="宋体"/>
          <w:color w:val="auto"/>
          <w:kern w:val="0"/>
          <w:sz w:val="24"/>
          <w:highlight w:val="none"/>
          <w:u w:val="single"/>
        </w:rPr>
        <w:t>甲方</w:t>
      </w:r>
      <w:r>
        <w:rPr>
          <w:rFonts w:hint="eastAsia" w:ascii="宋体" w:hAnsi="宋体" w:cs="宋体"/>
          <w:color w:val="auto"/>
          <w:kern w:val="0"/>
          <w:sz w:val="24"/>
          <w:highlight w:val="none"/>
        </w:rPr>
        <w:t>，收受方式为</w:t>
      </w:r>
      <w:r>
        <w:rPr>
          <w:rFonts w:hint="eastAsia" w:ascii="宋体" w:hAnsi="宋体" w:cs="宋体"/>
          <w:color w:val="auto"/>
          <w:kern w:val="0"/>
          <w:sz w:val="24"/>
          <w:highlight w:val="none"/>
          <w:u w:val="single"/>
        </w:rPr>
        <w:t xml:space="preserve"> 转账 </w:t>
      </w:r>
      <w:r>
        <w:rPr>
          <w:rFonts w:hint="eastAsia" w:ascii="宋体" w:hAnsi="宋体" w:cs="宋体"/>
          <w:color w:val="auto"/>
          <w:kern w:val="0"/>
          <w:sz w:val="24"/>
          <w:highlight w:val="none"/>
        </w:rPr>
        <w:t>（转帐时请备注“</w:t>
      </w:r>
      <w:r>
        <w:rPr>
          <w:rFonts w:hint="eastAsia" w:ascii="宋体" w:hAnsi="宋体" w:eastAsia="宋体" w:cs="宋体"/>
          <w:b w:val="0"/>
          <w:bCs w:val="0"/>
          <w:color w:val="auto"/>
          <w:sz w:val="24"/>
          <w:szCs w:val="24"/>
          <w:highlight w:val="none"/>
          <w:lang w:eastAsia="zh-CN"/>
        </w:rPr>
        <w:t>百大周谷堆水产区门禁及测温</w:t>
      </w:r>
      <w:r>
        <w:rPr>
          <w:rFonts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履约保证金</w:t>
      </w:r>
      <w:r>
        <w:rPr>
          <w:rFonts w:hint="eastAsia" w:ascii="宋体" w:hAnsi="宋体" w:cs="宋体"/>
          <w:color w:val="auto"/>
          <w:kern w:val="0"/>
          <w:sz w:val="24"/>
          <w:highlight w:val="none"/>
        </w:rPr>
        <w:t>”），期限至乙方</w:t>
      </w:r>
      <w:r>
        <w:rPr>
          <w:rFonts w:hint="eastAsia" w:ascii="宋体" w:hAnsi="宋体" w:cs="宋体"/>
          <w:color w:val="auto"/>
          <w:kern w:val="0"/>
          <w:sz w:val="24"/>
          <w:highlight w:val="none"/>
          <w:u w:val="single"/>
        </w:rPr>
        <w:t xml:space="preserve">安装调试结束，甲方验收合格后无息返还 </w:t>
      </w:r>
      <w:r>
        <w:rPr>
          <w:rFonts w:hint="eastAsia" w:ascii="宋体" w:hAnsi="宋体" w:cs="宋体"/>
          <w:color w:val="auto"/>
          <w:kern w:val="0"/>
          <w:sz w:val="24"/>
          <w:highlight w:val="none"/>
        </w:rPr>
        <w:t>。</w:t>
      </w:r>
    </w:p>
    <w:p>
      <w:pPr>
        <w:spacing w:line="6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.2乙方办理履约保证金所产生的所有费用由乙方承担。</w:t>
      </w:r>
    </w:p>
    <w:p>
      <w:pPr>
        <w:spacing w:line="6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.3如乙方未能履行其合同规定的任何义务，甲方有权从履约保证金中取得补偿。</w:t>
      </w:r>
    </w:p>
    <w:p>
      <w:pPr>
        <w:widowControl/>
        <w:spacing w:before="312" w:beforeLines="100" w:after="312" w:afterLines="100" w:line="420" w:lineRule="exact"/>
        <w:jc w:val="left"/>
        <w:rPr>
          <w:rFonts w:hint="eastAsia" w:ascii="宋体" w:hAnsi="宋体" w:cs="宋体"/>
          <w:b/>
          <w:color w:val="auto"/>
          <w:spacing w:val="4"/>
          <w:kern w:val="0"/>
          <w:sz w:val="24"/>
          <w:highlight w:val="none"/>
        </w:rPr>
      </w:pPr>
      <w:r>
        <w:rPr>
          <w:rFonts w:hint="eastAsia" w:ascii="宋体" w:hAnsi="宋体" w:cs="宋体"/>
          <w:b/>
          <w:color w:val="auto"/>
          <w:spacing w:val="4"/>
          <w:kern w:val="0"/>
          <w:sz w:val="24"/>
          <w:highlight w:val="none"/>
        </w:rPr>
        <w:t xml:space="preserve">    六</w:t>
      </w:r>
      <w:r>
        <w:rPr>
          <w:rFonts w:hint="eastAsia" w:ascii="宋体" w:hAnsi="宋体" w:cs="宋体"/>
          <w:b/>
          <w:color w:val="auto"/>
          <w:spacing w:val="4"/>
          <w:kern w:val="0"/>
          <w:sz w:val="24"/>
          <w:highlight w:val="none"/>
          <w:lang w:eastAsia="zh-CN"/>
        </w:rPr>
        <w:t>、</w:t>
      </w:r>
      <w:r>
        <w:rPr>
          <w:rFonts w:hint="eastAsia" w:ascii="宋体" w:hAnsi="宋体" w:cs="宋体"/>
          <w:b/>
          <w:color w:val="auto"/>
          <w:spacing w:val="4"/>
          <w:kern w:val="0"/>
          <w:sz w:val="24"/>
          <w:highlight w:val="none"/>
        </w:rPr>
        <w:t>售后服务</w:t>
      </w:r>
    </w:p>
    <w:p>
      <w:pPr>
        <w:adjustRightInd w:val="0"/>
        <w:snapToGrid w:val="0"/>
        <w:spacing w:line="420" w:lineRule="exact"/>
        <w:ind w:right="-10" w:firstLine="420" w:firstLineChars="175"/>
        <w:rPr>
          <w:rFonts w:hint="eastAsia" w:ascii="宋体" w:hAnsi="宋体"/>
          <w:bCs/>
          <w:color w:val="auto"/>
          <w:sz w:val="24"/>
          <w:highlight w:val="none"/>
        </w:rPr>
      </w:pPr>
      <w:r>
        <w:rPr>
          <w:rFonts w:hint="eastAsia" w:ascii="宋体" w:hAnsi="宋体"/>
          <w:bCs/>
          <w:color w:val="auto"/>
          <w:sz w:val="24"/>
          <w:highlight w:val="none"/>
        </w:rPr>
        <w:t>1.乙方保障在设备质保期内，所供设备性能始终</w:t>
      </w:r>
      <w:r>
        <w:rPr>
          <w:rFonts w:hint="eastAsia" w:ascii="宋体" w:hAnsi="宋体"/>
          <w:bCs/>
          <w:color w:val="auto"/>
          <w:sz w:val="24"/>
          <w:highlight w:val="none"/>
          <w:lang w:eastAsia="zh-CN"/>
        </w:rPr>
        <w:t>符合</w:t>
      </w:r>
      <w:r>
        <w:rPr>
          <w:rFonts w:hint="eastAsia" w:ascii="宋体" w:hAnsi="宋体"/>
          <w:bCs/>
          <w:color w:val="auto"/>
          <w:sz w:val="24"/>
          <w:highlight w:val="none"/>
        </w:rPr>
        <w:t>招标文件要求。</w:t>
      </w:r>
    </w:p>
    <w:p>
      <w:pPr>
        <w:adjustRightInd w:val="0"/>
        <w:snapToGrid w:val="0"/>
        <w:spacing w:line="420" w:lineRule="exact"/>
        <w:ind w:right="-10" w:firstLine="420" w:firstLineChars="175"/>
        <w:rPr>
          <w:rFonts w:hint="eastAsia" w:ascii="宋体" w:hAnsi="宋体"/>
          <w:bCs/>
          <w:color w:val="auto"/>
          <w:sz w:val="24"/>
          <w:highlight w:val="none"/>
          <w:lang w:eastAsia="zh-CN"/>
        </w:rPr>
      </w:pPr>
      <w:r>
        <w:rPr>
          <w:rFonts w:hint="eastAsia" w:ascii="宋体" w:hAnsi="宋体"/>
          <w:bCs/>
          <w:color w:val="auto"/>
          <w:sz w:val="24"/>
          <w:highlight w:val="none"/>
        </w:rPr>
        <w:t>2.</w:t>
      </w:r>
      <w:r>
        <w:rPr>
          <w:rFonts w:hint="eastAsia" w:ascii="宋体" w:hAnsi="宋体"/>
          <w:b/>
          <w:bCs w:val="0"/>
          <w:color w:val="auto"/>
          <w:sz w:val="24"/>
          <w:highlight w:val="none"/>
        </w:rPr>
        <w:t>乙方在质保期内保证产品正常运行及稳定性，</w:t>
      </w:r>
      <w:r>
        <w:rPr>
          <w:rFonts w:hint="eastAsia" w:ascii="宋体" w:hAnsi="宋体"/>
          <w:b/>
          <w:bCs w:val="0"/>
          <w:color w:val="auto"/>
          <w:sz w:val="24"/>
          <w:highlight w:val="none"/>
          <w:lang w:eastAsia="zh-CN"/>
        </w:rPr>
        <w:t>如因国家及地方相关政策调整原因，需甲方对本项目涉及到的软件进行相应功能性调整或升级配合时，乙方应无条件且无偿的给予支持配合服务，以保证本项目的平稳运行。</w:t>
      </w:r>
    </w:p>
    <w:p>
      <w:pPr>
        <w:adjustRightInd w:val="0"/>
        <w:snapToGrid w:val="0"/>
        <w:spacing w:line="420" w:lineRule="exact"/>
        <w:ind w:right="-10" w:firstLine="420" w:firstLineChars="175"/>
        <w:rPr>
          <w:rFonts w:hint="eastAsia" w:ascii="宋体" w:hAnsi="宋体"/>
          <w:bCs/>
          <w:color w:val="auto"/>
          <w:sz w:val="24"/>
          <w:highlight w:val="none"/>
        </w:rPr>
      </w:pPr>
      <w:r>
        <w:rPr>
          <w:rFonts w:hint="eastAsia" w:ascii="宋体" w:hAnsi="宋体"/>
          <w:bCs/>
          <w:color w:val="auto"/>
          <w:sz w:val="24"/>
          <w:highlight w:val="none"/>
        </w:rPr>
        <w:t>3.乙方需提供7*24小时服务,质保期内产品如果出现问题，乙方负责协调设备原厂商在1小时内相应，远程协助解决问题，如远程解决不了问题，需在2小时内到现场维护。</w:t>
      </w:r>
    </w:p>
    <w:p>
      <w:pPr>
        <w:spacing w:line="480" w:lineRule="exact"/>
        <w:ind w:firstLine="482" w:firstLineChars="200"/>
        <w:rPr>
          <w:rFonts w:ascii="宋体" w:hAnsi="宋体"/>
          <w:b/>
          <w:color w:val="auto"/>
          <w:sz w:val="24"/>
          <w:highlight w:val="none"/>
        </w:rPr>
      </w:pPr>
      <w:r>
        <w:rPr>
          <w:rFonts w:hint="eastAsia" w:ascii="宋体" w:hAnsi="宋体"/>
          <w:b/>
          <w:color w:val="auto"/>
          <w:sz w:val="24"/>
          <w:highlight w:val="none"/>
        </w:rPr>
        <w:t xml:space="preserve"> 七</w:t>
      </w:r>
      <w:r>
        <w:rPr>
          <w:rFonts w:hint="eastAsia" w:ascii="宋体" w:hAnsi="宋体"/>
          <w:b/>
          <w:color w:val="auto"/>
          <w:sz w:val="24"/>
          <w:highlight w:val="none"/>
          <w:lang w:eastAsia="zh-CN"/>
        </w:rPr>
        <w:t>、</w:t>
      </w:r>
      <w:r>
        <w:rPr>
          <w:rFonts w:hint="eastAsia" w:ascii="宋体" w:hAnsi="宋体"/>
          <w:b/>
          <w:color w:val="auto"/>
          <w:sz w:val="24"/>
          <w:highlight w:val="none"/>
        </w:rPr>
        <w:t>保密</w:t>
      </w:r>
    </w:p>
    <w:p>
      <w:pPr>
        <w:adjustRightInd w:val="0"/>
        <w:snapToGrid w:val="0"/>
        <w:spacing w:line="420" w:lineRule="exact"/>
        <w:ind w:right="-10" w:firstLine="420" w:firstLineChars="175"/>
        <w:rPr>
          <w:rFonts w:hint="eastAsia" w:ascii="宋体" w:hAnsi="宋体"/>
          <w:bCs/>
          <w:color w:val="auto"/>
          <w:sz w:val="24"/>
          <w:highlight w:val="none"/>
        </w:rPr>
      </w:pPr>
      <w:r>
        <w:rPr>
          <w:rFonts w:hint="eastAsia" w:ascii="宋体" w:hAnsi="宋体"/>
          <w:bCs/>
          <w:color w:val="auto"/>
          <w:sz w:val="24"/>
          <w:highlight w:val="none"/>
        </w:rPr>
        <w:t>在双方合作期间及合作终止后，乙方有义务不向任何第三方透露在服务过程中获悉的甲方有关技术资料和数据等信息。乙方承诺将上述保密信息的接触范围在乙方内部限制在指定范围内，并由严格的内控制度加以保证。未经甲方书面同意，乙方不得以任何方式复制保密信息。乙方违反上述保密义务的，应赔偿甲方由此造成的一切损失。</w:t>
      </w:r>
    </w:p>
    <w:p>
      <w:pPr>
        <w:pStyle w:val="22"/>
        <w:tabs>
          <w:tab w:val="left" w:pos="615"/>
        </w:tabs>
        <w:spacing w:line="600" w:lineRule="exact"/>
        <w:ind w:firstLine="482" w:firstLineChars="200"/>
        <w:rPr>
          <w:rFonts w:ascii="宋体" w:hAnsi="宋体" w:cs="宋体"/>
          <w:color w:val="auto"/>
          <w:highlight w:val="none"/>
        </w:rPr>
      </w:pPr>
      <w:r>
        <w:rPr>
          <w:rFonts w:hint="eastAsia" w:ascii="宋体" w:hAnsi="宋体" w:cs="Arial Unicode MS"/>
          <w:b/>
          <w:color w:val="auto"/>
          <w:highlight w:val="none"/>
        </w:rPr>
        <w:t>八</w:t>
      </w:r>
      <w:r>
        <w:rPr>
          <w:rFonts w:hint="eastAsia" w:ascii="宋体" w:hAnsi="宋体" w:cs="Arial Unicode MS"/>
          <w:b/>
          <w:color w:val="auto"/>
          <w:highlight w:val="none"/>
          <w:lang w:eastAsia="zh-CN"/>
        </w:rPr>
        <w:t>、</w:t>
      </w:r>
      <w:r>
        <w:rPr>
          <w:rFonts w:hint="eastAsia" w:ascii="宋体" w:hAnsi="宋体" w:cs="Arial Unicode MS"/>
          <w:b/>
          <w:color w:val="auto"/>
          <w:highlight w:val="none"/>
        </w:rPr>
        <w:t>合同期限</w:t>
      </w:r>
    </w:p>
    <w:p>
      <w:pPr>
        <w:pStyle w:val="22"/>
        <w:tabs>
          <w:tab w:val="left" w:pos="615"/>
        </w:tabs>
        <w:spacing w:line="520" w:lineRule="exact"/>
        <w:ind w:firstLine="465"/>
        <w:rPr>
          <w:rFonts w:hint="eastAsia" w:ascii="宋体" w:hAnsi="宋体" w:cs="宋体"/>
          <w:b/>
          <w:color w:val="auto"/>
          <w:highlight w:val="none"/>
        </w:rPr>
      </w:pPr>
      <w:r>
        <w:rPr>
          <w:rFonts w:hint="eastAsia" w:ascii="宋体" w:hAnsi="宋体" w:cs="宋体"/>
          <w:color w:val="auto"/>
          <w:highlight w:val="none"/>
        </w:rPr>
        <w:t>自签订合同之日至免费质保期届满。</w:t>
      </w:r>
    </w:p>
    <w:p>
      <w:pPr>
        <w:pStyle w:val="22"/>
        <w:tabs>
          <w:tab w:val="left" w:pos="615"/>
        </w:tabs>
        <w:spacing w:line="600" w:lineRule="exact"/>
        <w:ind w:left="482"/>
        <w:rPr>
          <w:rFonts w:ascii="宋体" w:hAnsi="宋体" w:cs="宋体"/>
          <w:color w:val="auto"/>
          <w:highlight w:val="none"/>
        </w:rPr>
      </w:pPr>
      <w:r>
        <w:rPr>
          <w:rFonts w:hint="eastAsia" w:ascii="宋体" w:hAnsi="宋体" w:cs="Arial Unicode MS"/>
          <w:b/>
          <w:color w:val="auto"/>
          <w:highlight w:val="none"/>
        </w:rPr>
        <w:t>九</w:t>
      </w:r>
      <w:r>
        <w:rPr>
          <w:rFonts w:hint="eastAsia" w:ascii="宋体" w:hAnsi="宋体" w:cs="Arial Unicode MS"/>
          <w:b/>
          <w:color w:val="auto"/>
          <w:highlight w:val="none"/>
          <w:lang w:eastAsia="zh-CN"/>
        </w:rPr>
        <w:t>、</w:t>
      </w:r>
      <w:r>
        <w:rPr>
          <w:rFonts w:hint="eastAsia" w:ascii="宋体" w:hAnsi="宋体" w:cs="Arial Unicode MS"/>
          <w:b/>
          <w:color w:val="auto"/>
          <w:highlight w:val="none"/>
        </w:rPr>
        <w:t>不可抗力</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 xml:space="preserve">    1.如果任何一方当事人受战争、非人为因素造成的严重的火灾、水灾、风灾、地震、</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洪水以及其它不能控制、不能避免且不能克服的事件的影响而无法执行合同，受影响的一方</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应以书面形式通知另一方当事人，并应在不可抗力事件发生后7天内出具有关当局出具的证</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明文件提交另一方当事人。如因不可抗力事件无法履行上述事宜的，应在不可抗力事件影响</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消除后7日内履行上述义务。</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 xml:space="preserve">    2.受不可抗力事件影响的一方当事人对于不可抗力事件导致的合同义务的延迟履行或</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不能履行，不承担任何责任。但该方当事人应在3日内以书面的方式将不可抗力事件结束或</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消除的情况通知另一方当事人。</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 xml:space="preserve">    3.双方当事人应在不可抗力事件结束或其影响消除后3日内继续履行其合同义务，合</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同期限也相应延长。如果不可抗力事件的影响持续超过30日，任何一方当事人均有权终止合</w:t>
      </w:r>
    </w:p>
    <w:p>
      <w:pPr>
        <w:spacing w:line="520" w:lineRule="exact"/>
        <w:ind w:left="540" w:hanging="540" w:hangingChars="225"/>
        <w:rPr>
          <w:rFonts w:ascii="宋体" w:hAnsi="宋体" w:cs="Arial Unicode MS"/>
          <w:color w:val="auto"/>
          <w:sz w:val="24"/>
          <w:highlight w:val="none"/>
        </w:rPr>
      </w:pPr>
      <w:r>
        <w:rPr>
          <w:rFonts w:hint="eastAsia" w:ascii="宋体" w:hAnsi="宋体" w:cs="Arial Unicode MS"/>
          <w:color w:val="auto"/>
          <w:sz w:val="24"/>
          <w:highlight w:val="none"/>
        </w:rPr>
        <w:t>同。</w:t>
      </w:r>
    </w:p>
    <w:p>
      <w:pPr>
        <w:spacing w:line="600" w:lineRule="exact"/>
        <w:ind w:left="482"/>
        <w:rPr>
          <w:rFonts w:ascii="宋体" w:hAnsi="宋体" w:cs="Arial Unicode MS"/>
          <w:b/>
          <w:color w:val="auto"/>
          <w:sz w:val="24"/>
          <w:highlight w:val="none"/>
        </w:rPr>
      </w:pPr>
      <w:r>
        <w:rPr>
          <w:rFonts w:hint="eastAsia" w:ascii="宋体" w:hAnsi="宋体" w:cs="Arial Unicode MS"/>
          <w:b/>
          <w:color w:val="auto"/>
          <w:sz w:val="24"/>
          <w:highlight w:val="none"/>
        </w:rPr>
        <w:t>十</w:t>
      </w:r>
      <w:r>
        <w:rPr>
          <w:rFonts w:hint="eastAsia" w:ascii="宋体" w:hAnsi="宋体" w:cs="Arial Unicode MS"/>
          <w:b/>
          <w:color w:val="auto"/>
          <w:sz w:val="24"/>
          <w:highlight w:val="none"/>
          <w:lang w:val="en-US" w:eastAsia="zh-CN"/>
        </w:rPr>
        <w:t>、</w:t>
      </w:r>
      <w:r>
        <w:rPr>
          <w:rFonts w:hint="eastAsia" w:ascii="宋体" w:hAnsi="宋体" w:cs="Arial Unicode MS"/>
          <w:b/>
          <w:color w:val="auto"/>
          <w:sz w:val="24"/>
          <w:highlight w:val="none"/>
        </w:rPr>
        <w:t>违约责任</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1.乙方逾期交货或逾期安装调试完成的，应按该批次订单总价每日千分之一的标准向甲方支付违约金；逾期交货超过10日的，甲方有权解除合同，且乙方应向甲方支付合同总价的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%的违约金，并赔偿因此给甲方造成的全部损失。</w:t>
      </w:r>
    </w:p>
    <w:p>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乙方交付的货物质量不符合甲方招标要求及国家相关质量标准的，应在本合同约定的期限内或甲方要求的期限内及时更换。未更换或未及时更换的，自交付期限届满的次日起按合同总价款千分之一每日的标准向甲方支付违约金。逾期超过10日的，甲方有权解除合同，同时乙方应按合同总价的</w:t>
      </w:r>
      <w:r>
        <w:rPr>
          <w:rFonts w:hint="eastAsia" w:ascii="宋体" w:hAnsi="宋体" w:cs="宋体"/>
          <w:color w:val="auto"/>
          <w:sz w:val="24"/>
          <w:highlight w:val="none"/>
          <w:u w:val="single"/>
        </w:rPr>
        <w:t xml:space="preserve">20 </w:t>
      </w:r>
      <w:r>
        <w:rPr>
          <w:rFonts w:hint="eastAsia" w:ascii="宋体" w:hAnsi="宋体" w:cs="宋体"/>
          <w:color w:val="auto"/>
          <w:sz w:val="24"/>
          <w:highlight w:val="none"/>
        </w:rPr>
        <w:t>%向甲方支付违约金，给甲方造成损失的，还应赔偿因此给甲方造成的全部损失。</w:t>
      </w:r>
    </w:p>
    <w:p>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3.乙方所供货物存在质量问题，质保期内乙方应按甲方要求进行维修或更换，若未按甲方要求进行维修或更换，甲方有权委托第三方进行维修或自行更换，所需费用均由乙方承担。</w:t>
      </w:r>
    </w:p>
    <w:p>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4.若因</w:t>
      </w:r>
      <w:r>
        <w:rPr>
          <w:rFonts w:hint="eastAsia" w:ascii="宋体" w:hAnsi="宋体" w:cs="宋体"/>
          <w:bCs/>
          <w:color w:val="auto"/>
          <w:kern w:val="0"/>
          <w:sz w:val="24"/>
          <w:highlight w:val="none"/>
        </w:rPr>
        <w:t>货物</w:t>
      </w:r>
      <w:r>
        <w:rPr>
          <w:rFonts w:hint="eastAsia" w:ascii="宋体" w:hAnsi="宋体" w:cs="宋体"/>
          <w:color w:val="auto"/>
          <w:sz w:val="24"/>
          <w:highlight w:val="none"/>
        </w:rPr>
        <w:t>出现质量问题，造成甲方其他相关可得利益损失的，乙方应赔偿因此给甲方造成的全部损失，同时甲方有权视情节追究乙方相关法律责任。</w:t>
      </w:r>
    </w:p>
    <w:p>
      <w:pPr>
        <w:spacing w:line="52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pPr>
        <w:spacing w:line="52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rPr>
        <w:t>6.安全责任：设备安装期间，乙方应严格遵守各项安全操作规程，如因乙方违反相关规定造成安全事故由乙方负全责，如造成甲方及第三方损失，由乙方负责处理并承担全部责任，并赔偿因此给甲方造成的全部损失。</w:t>
      </w:r>
    </w:p>
    <w:p>
      <w:pPr>
        <w:adjustRightInd w:val="0"/>
        <w:snapToGrid w:val="0"/>
        <w:spacing w:line="420" w:lineRule="exact"/>
        <w:ind w:right="-10" w:firstLine="420" w:firstLineChars="175"/>
        <w:rPr>
          <w:rFonts w:hint="eastAsia" w:ascii="宋体" w:hAnsi="宋体"/>
          <w:bCs/>
          <w:color w:val="auto"/>
          <w:sz w:val="24"/>
          <w:highlight w:val="none"/>
        </w:rPr>
      </w:pPr>
      <w:r>
        <w:rPr>
          <w:rFonts w:hint="eastAsia" w:ascii="宋体" w:hAnsi="宋体"/>
          <w:bCs/>
          <w:color w:val="auto"/>
          <w:sz w:val="24"/>
          <w:highlight w:val="none"/>
        </w:rPr>
        <w:t>7.质保期内若乙方没有按照合同售后服务条款履约，如造成甲方及第三方损失，由乙方负责处理并承担全部责任，并赔偿因此给甲方造成的全部损失。</w:t>
      </w:r>
    </w:p>
    <w:p>
      <w:pPr>
        <w:spacing w:line="600" w:lineRule="exact"/>
        <w:ind w:left="482"/>
        <w:rPr>
          <w:rFonts w:ascii="宋体" w:hAnsi="宋体" w:cs="Arial Unicode MS"/>
          <w:b/>
          <w:color w:val="auto"/>
          <w:sz w:val="24"/>
          <w:highlight w:val="none"/>
        </w:rPr>
      </w:pPr>
      <w:r>
        <w:rPr>
          <w:rFonts w:hint="eastAsia" w:ascii="宋体" w:hAnsi="宋体" w:cs="Arial Unicode MS"/>
          <w:b/>
          <w:color w:val="auto"/>
          <w:sz w:val="24"/>
          <w:highlight w:val="none"/>
        </w:rPr>
        <w:t>十一</w:t>
      </w:r>
      <w:r>
        <w:rPr>
          <w:rFonts w:hint="eastAsia" w:ascii="宋体" w:hAnsi="宋体" w:cs="Arial Unicode MS"/>
          <w:b/>
          <w:color w:val="auto"/>
          <w:sz w:val="24"/>
          <w:highlight w:val="none"/>
          <w:lang w:eastAsia="zh-CN"/>
        </w:rPr>
        <w:t>、</w:t>
      </w:r>
      <w:r>
        <w:rPr>
          <w:rFonts w:hint="eastAsia" w:ascii="宋体" w:hAnsi="宋体" w:cs="Arial Unicode MS"/>
          <w:b/>
          <w:color w:val="auto"/>
          <w:sz w:val="24"/>
          <w:highlight w:val="none"/>
        </w:rPr>
        <w:t>争议解决方式</w:t>
      </w:r>
    </w:p>
    <w:p>
      <w:pPr>
        <w:spacing w:line="600" w:lineRule="exact"/>
        <w:ind w:firstLine="480" w:firstLineChars="200"/>
        <w:rPr>
          <w:rFonts w:hint="eastAsia" w:ascii="宋体" w:hAnsi="宋体" w:cs="Arial Unicode MS"/>
          <w:color w:val="auto"/>
          <w:sz w:val="24"/>
          <w:highlight w:val="none"/>
        </w:rPr>
      </w:pPr>
      <w:r>
        <w:rPr>
          <w:rFonts w:hint="eastAsia" w:ascii="宋体" w:hAnsi="宋体" w:cs="Arial Unicode MS"/>
          <w:color w:val="auto"/>
          <w:sz w:val="24"/>
          <w:highlight w:val="none"/>
        </w:rPr>
        <w:t>本合同履行中如发生争议，双方友好协商解决；协商解决不成，双方均可向甲方所在地人民法院起诉。</w:t>
      </w:r>
    </w:p>
    <w:p>
      <w:pPr>
        <w:numPr>
          <w:numId w:val="0"/>
        </w:numPr>
        <w:spacing w:line="600" w:lineRule="exact"/>
        <w:ind w:left="482" w:leftChars="0"/>
        <w:rPr>
          <w:rFonts w:hint="eastAsia" w:ascii="宋体" w:hAnsi="宋体" w:cs="宋体"/>
          <w:b/>
          <w:color w:val="auto"/>
          <w:kern w:val="0"/>
          <w:sz w:val="24"/>
          <w:highlight w:val="none"/>
        </w:rPr>
      </w:pPr>
      <w:r>
        <w:rPr>
          <w:rFonts w:hint="eastAsia" w:ascii="宋体" w:hAnsi="宋体" w:cs="宋体"/>
          <w:b/>
          <w:color w:val="auto"/>
          <w:kern w:val="0"/>
          <w:sz w:val="24"/>
          <w:highlight w:val="none"/>
        </w:rPr>
        <w:t>十二</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附则</w:t>
      </w:r>
    </w:p>
    <w:p>
      <w:pPr>
        <w:spacing w:line="6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w:t>
      </w:r>
      <w:r>
        <w:rPr>
          <w:rFonts w:hint="eastAsia" w:ascii="宋体" w:hAnsi="宋体" w:cs="宋体"/>
          <w:color w:val="auto"/>
          <w:sz w:val="24"/>
          <w:highlight w:val="none"/>
        </w:rPr>
        <w:t>本合同依据“</w:t>
      </w:r>
      <w:r>
        <w:rPr>
          <w:rFonts w:hint="eastAsia" w:ascii="宋体" w:hAnsi="宋体" w:eastAsia="宋体" w:cs="宋体"/>
          <w:b/>
          <w:bCs/>
          <w:color w:val="auto"/>
          <w:sz w:val="24"/>
          <w:highlight w:val="none"/>
          <w:u w:val="single"/>
          <w:lang w:eastAsia="zh-CN"/>
        </w:rPr>
        <w:t>百大周谷堆大兴农产品国际物流园智慧农批提升改造之水产肉食交易区门禁及防疫测温信息化</w:t>
      </w:r>
      <w:r>
        <w:rPr>
          <w:rFonts w:hint="eastAsia" w:ascii="宋体" w:hAnsi="宋体" w:eastAsia="宋体" w:cs="宋体"/>
          <w:b/>
          <w:bCs/>
          <w:color w:val="auto"/>
          <w:sz w:val="24"/>
          <w:highlight w:val="none"/>
          <w:u w:val="single"/>
        </w:rPr>
        <w:t>项目</w:t>
      </w:r>
      <w:r>
        <w:rPr>
          <w:rFonts w:hint="eastAsia" w:ascii="宋体" w:hAnsi="宋体" w:cs="宋体"/>
          <w:color w:val="auto"/>
          <w:sz w:val="24"/>
          <w:highlight w:val="none"/>
        </w:rPr>
        <w:t>”（项目编号：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）招标项目而定，所涉该项目的招标文件及有关附件是本合同不可分割的组成部分，与本合同具有同等法律效力，这些文件包含但不限于：①招标文件、②乙方投标文件、③甲乙双方商定的其他文件。</w:t>
      </w:r>
    </w:p>
    <w:p>
      <w:pPr>
        <w:spacing w:line="6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2. 本合同自双方法定代表人或其授权代表人签字并加盖公章之日起生效，本合同一式陆份，双方各执三份，具有同等法律效力。</w:t>
      </w:r>
    </w:p>
    <w:p>
      <w:pPr>
        <w:spacing w:line="520" w:lineRule="exact"/>
        <w:ind w:firstLine="480"/>
        <w:rPr>
          <w:rFonts w:hint="eastAsia" w:ascii="宋体" w:hAnsi="宋体" w:cs="宋体"/>
          <w:color w:val="auto"/>
          <w:kern w:val="0"/>
          <w:sz w:val="24"/>
          <w:highlight w:val="none"/>
        </w:rPr>
      </w:pPr>
    </w:p>
    <w:p>
      <w:pPr>
        <w:spacing w:before="156" w:beforeLines="50" w:after="93" w:afterLines="30" w:line="520" w:lineRule="exact"/>
        <w:rPr>
          <w:rFonts w:ascii="宋体" w:hAnsi="宋体"/>
          <w:color w:val="auto"/>
          <w:sz w:val="24"/>
          <w:szCs w:val="27"/>
          <w:highlight w:val="none"/>
        </w:rPr>
      </w:pPr>
      <w:r>
        <w:rPr>
          <w:rFonts w:hint="eastAsia" w:ascii="宋体" w:hAnsi="宋体"/>
          <w:b/>
          <w:color w:val="auto"/>
          <w:sz w:val="24"/>
          <w:szCs w:val="27"/>
          <w:highlight w:val="none"/>
        </w:rPr>
        <w:t>招标人</w:t>
      </w:r>
      <w:r>
        <w:rPr>
          <w:rFonts w:ascii="宋体" w:hAnsi="宋体"/>
          <w:color w:val="auto"/>
          <w:sz w:val="24"/>
          <w:szCs w:val="27"/>
          <w:highlight w:val="none"/>
        </w:rPr>
        <w:t>（甲方）：</w:t>
      </w:r>
      <w:r>
        <w:rPr>
          <w:rFonts w:hint="eastAsia" w:ascii="宋体" w:hAnsi="宋体"/>
          <w:color w:val="auto"/>
          <w:sz w:val="24"/>
          <w:szCs w:val="27"/>
          <w:highlight w:val="none"/>
        </w:rPr>
        <w:t xml:space="preserve">    </w:t>
      </w:r>
      <w:r>
        <w:rPr>
          <w:rFonts w:ascii="宋体" w:hAnsi="宋体"/>
          <w:color w:val="auto"/>
          <w:sz w:val="24"/>
          <w:szCs w:val="27"/>
          <w:highlight w:val="none"/>
        </w:rPr>
        <w:t>（公章）</w:t>
      </w:r>
      <w:r>
        <w:rPr>
          <w:rFonts w:hint="eastAsia" w:ascii="宋体" w:hAnsi="宋体"/>
          <w:color w:val="auto"/>
          <w:sz w:val="24"/>
          <w:szCs w:val="27"/>
          <w:highlight w:val="none"/>
        </w:rPr>
        <w:t xml:space="preserve">          </w:t>
      </w:r>
      <w:r>
        <w:rPr>
          <w:rFonts w:hint="eastAsia" w:ascii="宋体" w:hAnsi="宋体"/>
          <w:b/>
          <w:color w:val="auto"/>
          <w:sz w:val="24"/>
          <w:szCs w:val="27"/>
          <w:highlight w:val="none"/>
        </w:rPr>
        <w:t>中标人</w:t>
      </w:r>
      <w:r>
        <w:rPr>
          <w:rFonts w:ascii="宋体" w:hAnsi="宋体"/>
          <w:color w:val="auto"/>
          <w:sz w:val="24"/>
          <w:szCs w:val="27"/>
          <w:highlight w:val="none"/>
        </w:rPr>
        <w:t>（乙方）：</w:t>
      </w:r>
      <w:r>
        <w:rPr>
          <w:rFonts w:hint="eastAsia" w:ascii="宋体" w:hAnsi="宋体"/>
          <w:color w:val="auto"/>
          <w:sz w:val="24"/>
          <w:szCs w:val="27"/>
          <w:highlight w:val="none"/>
        </w:rPr>
        <w:t xml:space="preserve">     </w:t>
      </w:r>
      <w:r>
        <w:rPr>
          <w:rFonts w:ascii="宋体" w:hAnsi="宋体"/>
          <w:color w:val="auto"/>
          <w:sz w:val="24"/>
          <w:szCs w:val="27"/>
          <w:highlight w:val="none"/>
        </w:rPr>
        <w:t>（公章）</w:t>
      </w:r>
      <w:r>
        <w:rPr>
          <w:rFonts w:hint="eastAsia" w:ascii="宋体" w:hAnsi="宋体"/>
          <w:color w:val="auto"/>
          <w:sz w:val="24"/>
          <w:szCs w:val="27"/>
          <w:highlight w:val="none"/>
        </w:rPr>
        <w:t xml:space="preserve">  </w:t>
      </w:r>
    </w:p>
    <w:p>
      <w:pPr>
        <w:spacing w:before="156" w:beforeLines="50" w:after="93" w:afterLines="30" w:line="520" w:lineRule="exact"/>
        <w:rPr>
          <w:rFonts w:hint="eastAsia" w:ascii="宋体" w:hAnsi="宋体"/>
          <w:color w:val="auto"/>
          <w:sz w:val="24"/>
          <w:highlight w:val="none"/>
        </w:rPr>
      </w:pPr>
      <w:r>
        <w:rPr>
          <w:rFonts w:hint="eastAsia" w:ascii="宋体" w:hAnsi="宋体"/>
          <w:color w:val="auto"/>
          <w:sz w:val="24"/>
          <w:szCs w:val="27"/>
          <w:highlight w:val="none"/>
        </w:rPr>
        <w:t xml:space="preserve">地址：                                </w:t>
      </w:r>
      <w:r>
        <w:rPr>
          <w:rFonts w:ascii="宋体" w:hAnsi="宋体"/>
          <w:color w:val="auto"/>
          <w:sz w:val="24"/>
          <w:szCs w:val="27"/>
          <w:highlight w:val="none"/>
        </w:rPr>
        <w:t>地址：</w:t>
      </w:r>
    </w:p>
    <w:p>
      <w:pPr>
        <w:spacing w:before="156" w:beforeLines="50" w:after="93" w:afterLines="30" w:line="520" w:lineRule="exact"/>
        <w:rPr>
          <w:rFonts w:hint="eastAsia" w:ascii="宋体" w:hAnsi="宋体"/>
          <w:color w:val="auto"/>
          <w:sz w:val="24"/>
          <w:szCs w:val="27"/>
          <w:highlight w:val="none"/>
        </w:rPr>
      </w:pPr>
      <w:r>
        <w:rPr>
          <w:rFonts w:ascii="宋体" w:hAnsi="宋体"/>
          <w:color w:val="auto"/>
          <w:sz w:val="24"/>
          <w:szCs w:val="27"/>
          <w:highlight w:val="none"/>
        </w:rPr>
        <w:t>法定代表人</w:t>
      </w:r>
      <w:r>
        <w:rPr>
          <w:rFonts w:hint="eastAsia" w:ascii="宋体" w:hAnsi="宋体"/>
          <w:color w:val="auto"/>
          <w:sz w:val="24"/>
          <w:szCs w:val="27"/>
          <w:highlight w:val="none"/>
        </w:rPr>
        <w:t>或授权代理人</w:t>
      </w:r>
      <w:r>
        <w:rPr>
          <w:rFonts w:ascii="宋体" w:hAnsi="宋体"/>
          <w:color w:val="auto"/>
          <w:sz w:val="24"/>
          <w:szCs w:val="27"/>
          <w:highlight w:val="none"/>
        </w:rPr>
        <w:t>：</w:t>
      </w:r>
      <w:r>
        <w:rPr>
          <w:rFonts w:hint="eastAsia" w:ascii="宋体" w:hAnsi="宋体"/>
          <w:color w:val="auto"/>
          <w:sz w:val="24"/>
          <w:szCs w:val="27"/>
          <w:highlight w:val="none"/>
        </w:rPr>
        <w:t xml:space="preserve">              </w:t>
      </w:r>
      <w:r>
        <w:rPr>
          <w:rFonts w:ascii="宋体" w:hAnsi="宋体"/>
          <w:color w:val="auto"/>
          <w:sz w:val="24"/>
          <w:szCs w:val="27"/>
          <w:highlight w:val="none"/>
        </w:rPr>
        <w:t>法定代表人</w:t>
      </w:r>
      <w:r>
        <w:rPr>
          <w:rFonts w:hint="eastAsia" w:ascii="宋体" w:hAnsi="宋体"/>
          <w:color w:val="auto"/>
          <w:sz w:val="24"/>
          <w:szCs w:val="27"/>
          <w:highlight w:val="none"/>
        </w:rPr>
        <w:t>或授权代理人</w:t>
      </w:r>
      <w:r>
        <w:rPr>
          <w:rFonts w:ascii="宋体" w:hAnsi="宋体"/>
          <w:color w:val="auto"/>
          <w:sz w:val="24"/>
          <w:szCs w:val="27"/>
          <w:highlight w:val="none"/>
        </w:rPr>
        <w:t>：</w:t>
      </w:r>
    </w:p>
    <w:p>
      <w:pPr>
        <w:spacing w:before="156" w:beforeLines="50" w:after="93" w:afterLines="30" w:line="520" w:lineRule="exact"/>
        <w:rPr>
          <w:rFonts w:hint="eastAsia" w:ascii="宋体" w:hAnsi="宋体"/>
          <w:color w:val="auto"/>
          <w:sz w:val="24"/>
          <w:highlight w:val="none"/>
        </w:rPr>
      </w:pPr>
      <w:r>
        <w:rPr>
          <w:rFonts w:hint="eastAsia" w:ascii="宋体" w:hAnsi="宋体"/>
          <w:color w:val="auto"/>
          <w:sz w:val="24"/>
          <w:highlight w:val="none"/>
        </w:rPr>
        <w:t>电话：                                电话：</w:t>
      </w:r>
    </w:p>
    <w:p>
      <w:pPr>
        <w:spacing w:before="156" w:beforeLines="50" w:after="93" w:afterLines="30" w:line="520" w:lineRule="exact"/>
        <w:rPr>
          <w:rFonts w:hint="eastAsia" w:cs="宋体"/>
          <w:b/>
          <w:color w:val="auto"/>
          <w:sz w:val="28"/>
          <w:szCs w:val="28"/>
          <w:highlight w:val="none"/>
        </w:rPr>
      </w:pPr>
      <w:r>
        <w:rPr>
          <w:rFonts w:hint="eastAsia" w:ascii="宋体" w:hAnsi="宋体"/>
          <w:color w:val="auto"/>
          <w:sz w:val="24"/>
          <w:szCs w:val="27"/>
          <w:highlight w:val="none"/>
          <w:u w:val="single"/>
        </w:rPr>
        <w:t xml:space="preserve">        </w:t>
      </w:r>
      <w:r>
        <w:rPr>
          <w:rFonts w:ascii="宋体" w:hAnsi="宋体"/>
          <w:color w:val="auto"/>
          <w:sz w:val="24"/>
          <w:szCs w:val="27"/>
          <w:highlight w:val="none"/>
        </w:rPr>
        <w:t>年</w:t>
      </w:r>
      <w:r>
        <w:rPr>
          <w:rFonts w:ascii="宋体" w:hAnsi="宋体"/>
          <w:color w:val="auto"/>
          <w:sz w:val="24"/>
          <w:szCs w:val="27"/>
          <w:highlight w:val="none"/>
          <w:u w:val="single"/>
        </w:rPr>
        <w:t> </w:t>
      </w:r>
      <w:r>
        <w:rPr>
          <w:rFonts w:hint="eastAsia" w:ascii="宋体" w:hAnsi="宋体"/>
          <w:color w:val="auto"/>
          <w:sz w:val="24"/>
          <w:szCs w:val="27"/>
          <w:highlight w:val="none"/>
          <w:u w:val="single"/>
        </w:rPr>
        <w:t xml:space="preserve"> </w:t>
      </w:r>
      <w:r>
        <w:rPr>
          <w:rFonts w:ascii="宋体" w:hAnsi="宋体"/>
          <w:color w:val="auto"/>
          <w:sz w:val="24"/>
          <w:szCs w:val="27"/>
          <w:highlight w:val="none"/>
        </w:rPr>
        <w:t>月</w:t>
      </w:r>
      <w:r>
        <w:rPr>
          <w:rFonts w:ascii="宋体" w:hAnsi="宋体"/>
          <w:color w:val="auto"/>
          <w:sz w:val="24"/>
          <w:szCs w:val="27"/>
          <w:highlight w:val="none"/>
          <w:u w:val="single"/>
        </w:rPr>
        <w:t> </w:t>
      </w:r>
      <w:r>
        <w:rPr>
          <w:rFonts w:hint="eastAsia" w:ascii="宋体" w:hAnsi="宋体"/>
          <w:color w:val="auto"/>
          <w:sz w:val="24"/>
          <w:szCs w:val="27"/>
          <w:highlight w:val="none"/>
          <w:u w:val="single"/>
        </w:rPr>
        <w:t xml:space="preserve"> </w:t>
      </w:r>
      <w:r>
        <w:rPr>
          <w:rFonts w:ascii="宋体" w:hAnsi="宋体"/>
          <w:color w:val="auto"/>
          <w:sz w:val="24"/>
          <w:szCs w:val="27"/>
          <w:highlight w:val="none"/>
        </w:rPr>
        <w:t>日</w:t>
      </w:r>
      <w:r>
        <w:rPr>
          <w:rFonts w:hint="eastAsia" w:ascii="宋体" w:hAnsi="宋体"/>
          <w:color w:val="auto"/>
          <w:sz w:val="24"/>
          <w:szCs w:val="27"/>
          <w:highlight w:val="none"/>
        </w:rPr>
        <w:t xml:space="preserve">                  </w:t>
      </w:r>
      <w:r>
        <w:rPr>
          <w:rFonts w:ascii="宋体" w:hAnsi="宋体"/>
          <w:color w:val="auto"/>
          <w:sz w:val="24"/>
          <w:szCs w:val="27"/>
          <w:highlight w:val="none"/>
          <w:u w:val="single"/>
        </w:rPr>
        <w:t> </w:t>
      </w:r>
      <w:r>
        <w:rPr>
          <w:rFonts w:hint="eastAsia" w:ascii="宋体" w:hAnsi="宋体"/>
          <w:color w:val="auto"/>
          <w:sz w:val="24"/>
          <w:szCs w:val="27"/>
          <w:highlight w:val="none"/>
          <w:u w:val="single"/>
        </w:rPr>
        <w:t xml:space="preserve">     </w:t>
      </w:r>
      <w:r>
        <w:rPr>
          <w:rFonts w:ascii="宋体" w:hAnsi="宋体"/>
          <w:color w:val="auto"/>
          <w:sz w:val="24"/>
          <w:szCs w:val="27"/>
          <w:highlight w:val="none"/>
          <w:u w:val="single"/>
        </w:rPr>
        <w:t xml:space="preserve"> </w:t>
      </w:r>
      <w:r>
        <w:rPr>
          <w:rFonts w:ascii="宋体" w:hAnsi="宋体"/>
          <w:color w:val="auto"/>
          <w:sz w:val="24"/>
          <w:szCs w:val="27"/>
          <w:highlight w:val="none"/>
        </w:rPr>
        <w:t>年</w:t>
      </w:r>
      <w:r>
        <w:rPr>
          <w:rFonts w:ascii="宋体" w:hAnsi="宋体"/>
          <w:color w:val="auto"/>
          <w:sz w:val="24"/>
          <w:szCs w:val="27"/>
          <w:highlight w:val="none"/>
          <w:u w:val="single"/>
        </w:rPr>
        <w:t> </w:t>
      </w:r>
      <w:r>
        <w:rPr>
          <w:rFonts w:hint="eastAsia" w:ascii="宋体" w:hAnsi="宋体"/>
          <w:color w:val="auto"/>
          <w:sz w:val="24"/>
          <w:szCs w:val="27"/>
          <w:highlight w:val="none"/>
          <w:u w:val="single"/>
        </w:rPr>
        <w:t xml:space="preserve"> </w:t>
      </w:r>
      <w:r>
        <w:rPr>
          <w:rFonts w:ascii="宋体" w:hAnsi="宋体"/>
          <w:color w:val="auto"/>
          <w:sz w:val="24"/>
          <w:szCs w:val="27"/>
          <w:highlight w:val="none"/>
        </w:rPr>
        <w:t>月</w:t>
      </w:r>
      <w:r>
        <w:rPr>
          <w:rFonts w:ascii="宋体" w:hAnsi="宋体"/>
          <w:color w:val="auto"/>
          <w:sz w:val="24"/>
          <w:szCs w:val="27"/>
          <w:highlight w:val="none"/>
          <w:u w:val="single"/>
        </w:rPr>
        <w:t> </w:t>
      </w:r>
      <w:r>
        <w:rPr>
          <w:rFonts w:hint="eastAsia" w:ascii="宋体" w:hAnsi="宋体"/>
          <w:color w:val="auto"/>
          <w:sz w:val="24"/>
          <w:szCs w:val="27"/>
          <w:highlight w:val="none"/>
          <w:u w:val="single"/>
        </w:rPr>
        <w:t xml:space="preserve"> </w:t>
      </w:r>
      <w:r>
        <w:rPr>
          <w:rFonts w:ascii="宋体" w:hAnsi="宋体"/>
          <w:color w:val="auto"/>
          <w:sz w:val="24"/>
          <w:szCs w:val="27"/>
          <w:highlight w:val="none"/>
        </w:rPr>
        <w:t>日</w:t>
      </w:r>
    </w:p>
    <w:p>
      <w:pPr>
        <w:spacing w:before="156" w:beforeLines="50" w:after="93" w:afterLines="30" w:line="520" w:lineRule="exact"/>
        <w:rPr>
          <w:rFonts w:hint="eastAsia" w:cs="宋体"/>
          <w:b/>
          <w:color w:val="auto"/>
          <w:sz w:val="28"/>
          <w:szCs w:val="28"/>
          <w:highlight w:val="none"/>
        </w:rPr>
      </w:pPr>
    </w:p>
    <w:p>
      <w:pPr>
        <w:spacing w:before="156" w:beforeLines="50" w:after="93" w:afterLines="30" w:line="520" w:lineRule="exact"/>
        <w:rPr>
          <w:rFonts w:hint="eastAsia" w:cs="宋体"/>
          <w:b/>
          <w:color w:val="auto"/>
          <w:sz w:val="28"/>
          <w:szCs w:val="28"/>
          <w:highlight w:val="none"/>
        </w:rPr>
      </w:pPr>
    </w:p>
    <w:p>
      <w:pPr>
        <w:spacing w:before="156" w:beforeLines="50" w:after="93" w:afterLines="30" w:line="520" w:lineRule="exact"/>
        <w:rPr>
          <w:rFonts w:hint="eastAsia" w:cs="宋体"/>
          <w:color w:val="auto"/>
          <w:sz w:val="28"/>
          <w:szCs w:val="28"/>
          <w:highlight w:val="none"/>
        </w:rPr>
      </w:pPr>
    </w:p>
    <w:sectPr>
      <w:headerReference r:id="rId5" w:type="first"/>
      <w:headerReference r:id="rId4" w:type="default"/>
      <w:footerReference r:id="rId6" w:type="default"/>
      <w:footerReference r:id="rId7"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framePr w:wrap="around" w:vAnchor="text" w:hAnchor="margin" w:xAlign="center" w:y="1"/>
      <w:rPr>
        <w:rStyle w:val="16"/>
        <w:rFonts w:hint="eastAsia"/>
      </w:rPr>
    </w:pPr>
  </w:p>
  <w:p>
    <w:pPr>
      <w:pStyle w:val="11"/>
      <w:framePr w:wrap="around" w:vAnchor="text" w:hAnchor="margin" w:xAlign="center" w:y="1"/>
      <w:rPr>
        <w:rStyle w:val="16"/>
      </w:rPr>
    </w:pPr>
  </w:p>
  <w:p>
    <w:pPr>
      <w:pStyle w:val="11"/>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26</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ind w:firstLine="180" w:firstLineChars="100"/>
      <w:jc w:val="left"/>
    </w:pPr>
    <w:r>
      <w:rPr>
        <w:rFonts w:hint="eastAsia"/>
        <w:lang w:eastAsia="zh-CN"/>
      </w:rPr>
      <w:t>合肥周谷堆大兴农产品国际物流园有限责任公司</w:t>
    </w:r>
    <w:r>
      <w:rPr>
        <w:rFonts w:hint="eastAsia"/>
      </w:rPr>
      <w:t xml:space="preserve">  </w:t>
    </w:r>
    <w:r>
      <w:rPr>
        <w:rFonts w:hint="eastAsia"/>
        <w:lang w:val="en-US" w:eastAsia="zh-CN"/>
      </w:rPr>
      <w:t xml:space="preserve">                                                   </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both"/>
      <w:rPr>
        <w:rFonts w:hint="eastAsia"/>
      </w:rPr>
    </w:pPr>
    <w:r>
      <w:rPr>
        <w:rFonts w:hint="eastAsia"/>
      </w:rPr>
      <w:t>安徽百大合家福连锁超市股份有限公司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50169436">
    <w:nsid w:val="861EDC5C"/>
    <w:multiLevelType w:val="singleLevel"/>
    <w:tmpl w:val="861EDC5C"/>
    <w:lvl w:ilvl="0" w:tentative="1">
      <w:start w:val="1"/>
      <w:numFmt w:val="decimal"/>
      <w:lvlText w:val="%1."/>
      <w:lvlJc w:val="left"/>
      <w:pPr>
        <w:tabs>
          <w:tab w:val="left" w:pos="312"/>
        </w:tabs>
      </w:pPr>
    </w:lvl>
  </w:abstractNum>
  <w:abstractNum w:abstractNumId="2281428990">
    <w:nsid w:val="87FBD7FE"/>
    <w:multiLevelType w:val="singleLevel"/>
    <w:tmpl w:val="87FBD7FE"/>
    <w:lvl w:ilvl="0" w:tentative="1">
      <w:start w:val="1"/>
      <w:numFmt w:val="decimal"/>
      <w:lvlText w:val="%1."/>
      <w:lvlJc w:val="left"/>
      <w:pPr>
        <w:tabs>
          <w:tab w:val="left" w:pos="312"/>
        </w:tabs>
      </w:pPr>
    </w:lvl>
  </w:abstractNum>
  <w:abstractNum w:abstractNumId="2822913367">
    <w:nsid w:val="A8423D57"/>
    <w:multiLevelType w:val="singleLevel"/>
    <w:tmpl w:val="A8423D57"/>
    <w:lvl w:ilvl="0" w:tentative="1">
      <w:start w:val="2"/>
      <w:numFmt w:val="chineseCounting"/>
      <w:suff w:val="space"/>
      <w:lvlText w:val="第%1章"/>
      <w:lvlJc w:val="left"/>
      <w:rPr>
        <w:rFonts w:hint="eastAsia"/>
      </w:rPr>
    </w:lvl>
  </w:abstractNum>
  <w:abstractNum w:abstractNumId="1117870690">
    <w:nsid w:val="42A15A62"/>
    <w:multiLevelType w:val="singleLevel"/>
    <w:tmpl w:val="42A15A62"/>
    <w:lvl w:ilvl="0" w:tentative="1">
      <w:start w:val="1"/>
      <w:numFmt w:val="chineseCounting"/>
      <w:suff w:val="nothing"/>
      <w:lvlText w:val="%1、"/>
      <w:lvlJc w:val="left"/>
      <w:rPr>
        <w:rFonts w:hint="eastAsia"/>
      </w:rPr>
    </w:lvl>
  </w:abstractNum>
  <w:abstractNum w:abstractNumId="2890407561">
    <w:nsid w:val="AC481E89"/>
    <w:multiLevelType w:val="singleLevel"/>
    <w:tmpl w:val="AC481E89"/>
    <w:lvl w:ilvl="0" w:tentative="1">
      <w:start w:val="1"/>
      <w:numFmt w:val="decimal"/>
      <w:suff w:val="nothing"/>
      <w:lvlText w:val="%1、"/>
      <w:lvlJc w:val="left"/>
    </w:lvl>
  </w:abstractNum>
  <w:abstractNum w:abstractNumId="3312418137">
    <w:nsid w:val="C56F7D59"/>
    <w:multiLevelType w:val="singleLevel"/>
    <w:tmpl w:val="C56F7D59"/>
    <w:lvl w:ilvl="0" w:tentative="1">
      <w:start w:val="2"/>
      <w:numFmt w:val="decimal"/>
      <w:lvlText w:val="%1."/>
      <w:lvlJc w:val="left"/>
      <w:pPr>
        <w:tabs>
          <w:tab w:val="left" w:pos="312"/>
        </w:tabs>
      </w:pPr>
      <w:rPr>
        <w:rFonts w:cs="Times New Roman"/>
      </w:rPr>
    </w:lvl>
  </w:abstractNum>
  <w:abstractNum w:abstractNumId="600324810">
    <w:nsid w:val="23C83ACA"/>
    <w:multiLevelType w:val="singleLevel"/>
    <w:tmpl w:val="23C83ACA"/>
    <w:lvl w:ilvl="0" w:tentative="1">
      <w:start w:val="1"/>
      <w:numFmt w:val="decimal"/>
      <w:lvlText w:val="%1."/>
      <w:lvlJc w:val="left"/>
      <w:pPr>
        <w:tabs>
          <w:tab w:val="left" w:pos="312"/>
        </w:tabs>
      </w:pPr>
    </w:lvl>
  </w:abstractNum>
  <w:abstractNum w:abstractNumId="705433596">
    <w:nsid w:val="2A0C0FFC"/>
    <w:multiLevelType w:val="singleLevel"/>
    <w:tmpl w:val="2A0C0FFC"/>
    <w:lvl w:ilvl="0" w:tentative="1">
      <w:start w:val="2"/>
      <w:numFmt w:val="chineseCounting"/>
      <w:suff w:val="nothing"/>
      <w:lvlText w:val="%1、"/>
      <w:lvlJc w:val="left"/>
      <w:pPr>
        <w:ind w:left="361" w:firstLine="0"/>
      </w:pPr>
      <w:rPr>
        <w:rFonts w:hint="eastAsia"/>
      </w:rPr>
    </w:lvl>
  </w:abstractNum>
  <w:num w:numId="1">
    <w:abstractNumId w:val="2822913367"/>
  </w:num>
  <w:num w:numId="2">
    <w:abstractNumId w:val="705433596"/>
  </w:num>
  <w:num w:numId="3">
    <w:abstractNumId w:val="3312418137"/>
  </w:num>
  <w:num w:numId="4">
    <w:abstractNumId w:val="1117870690"/>
  </w:num>
  <w:num w:numId="5">
    <w:abstractNumId w:val="600324810"/>
  </w:num>
  <w:num w:numId="6">
    <w:abstractNumId w:val="2281428990"/>
  </w:num>
  <w:num w:numId="7">
    <w:abstractNumId w:val="2250169436"/>
  </w:num>
  <w:num w:numId="8">
    <w:abstractNumId w:val="28904075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129C"/>
    <w:rsid w:val="000033D8"/>
    <w:rsid w:val="000043C7"/>
    <w:rsid w:val="00005D76"/>
    <w:rsid w:val="00006AE2"/>
    <w:rsid w:val="00011F60"/>
    <w:rsid w:val="000131A1"/>
    <w:rsid w:val="000141B4"/>
    <w:rsid w:val="0001727E"/>
    <w:rsid w:val="00020D2A"/>
    <w:rsid w:val="00023595"/>
    <w:rsid w:val="00023BC5"/>
    <w:rsid w:val="0002429A"/>
    <w:rsid w:val="000246DF"/>
    <w:rsid w:val="00025F7D"/>
    <w:rsid w:val="00033826"/>
    <w:rsid w:val="000372FB"/>
    <w:rsid w:val="0004093F"/>
    <w:rsid w:val="00040FFD"/>
    <w:rsid w:val="0004197F"/>
    <w:rsid w:val="00044D2D"/>
    <w:rsid w:val="00047638"/>
    <w:rsid w:val="0005040D"/>
    <w:rsid w:val="0005233D"/>
    <w:rsid w:val="00060574"/>
    <w:rsid w:val="00060E23"/>
    <w:rsid w:val="00072AFD"/>
    <w:rsid w:val="000751A5"/>
    <w:rsid w:val="00075B49"/>
    <w:rsid w:val="00076267"/>
    <w:rsid w:val="00080425"/>
    <w:rsid w:val="00082E58"/>
    <w:rsid w:val="000945B0"/>
    <w:rsid w:val="000A26A6"/>
    <w:rsid w:val="000A4965"/>
    <w:rsid w:val="000A4A0B"/>
    <w:rsid w:val="000A4F74"/>
    <w:rsid w:val="000B4B2D"/>
    <w:rsid w:val="000B76EE"/>
    <w:rsid w:val="000C4834"/>
    <w:rsid w:val="000D58FC"/>
    <w:rsid w:val="000E0C6B"/>
    <w:rsid w:val="000F1C6D"/>
    <w:rsid w:val="000F5A60"/>
    <w:rsid w:val="000F6981"/>
    <w:rsid w:val="001013EC"/>
    <w:rsid w:val="00104A00"/>
    <w:rsid w:val="00104C23"/>
    <w:rsid w:val="0011688B"/>
    <w:rsid w:val="0012313B"/>
    <w:rsid w:val="00123BA2"/>
    <w:rsid w:val="00125B71"/>
    <w:rsid w:val="00131CD4"/>
    <w:rsid w:val="00131F99"/>
    <w:rsid w:val="00132825"/>
    <w:rsid w:val="00137B65"/>
    <w:rsid w:val="00137B83"/>
    <w:rsid w:val="0014009D"/>
    <w:rsid w:val="00141664"/>
    <w:rsid w:val="00146FE5"/>
    <w:rsid w:val="00154121"/>
    <w:rsid w:val="00156391"/>
    <w:rsid w:val="001600D3"/>
    <w:rsid w:val="0016370C"/>
    <w:rsid w:val="001733A9"/>
    <w:rsid w:val="00177791"/>
    <w:rsid w:val="00183039"/>
    <w:rsid w:val="001831AD"/>
    <w:rsid w:val="001853B0"/>
    <w:rsid w:val="00186525"/>
    <w:rsid w:val="001871E7"/>
    <w:rsid w:val="00190389"/>
    <w:rsid w:val="00191DB0"/>
    <w:rsid w:val="00193465"/>
    <w:rsid w:val="00193662"/>
    <w:rsid w:val="00195AAE"/>
    <w:rsid w:val="001A085A"/>
    <w:rsid w:val="001A2B51"/>
    <w:rsid w:val="001A4CEE"/>
    <w:rsid w:val="001A601D"/>
    <w:rsid w:val="001A6A89"/>
    <w:rsid w:val="001A6DEC"/>
    <w:rsid w:val="001A7159"/>
    <w:rsid w:val="001B37BF"/>
    <w:rsid w:val="001B66F4"/>
    <w:rsid w:val="001C090C"/>
    <w:rsid w:val="001C0BFD"/>
    <w:rsid w:val="001C1898"/>
    <w:rsid w:val="001C244C"/>
    <w:rsid w:val="001C789A"/>
    <w:rsid w:val="001D37E2"/>
    <w:rsid w:val="001E15BE"/>
    <w:rsid w:val="001E6DD3"/>
    <w:rsid w:val="001F5636"/>
    <w:rsid w:val="002018C6"/>
    <w:rsid w:val="00206516"/>
    <w:rsid w:val="00222EE1"/>
    <w:rsid w:val="00223F14"/>
    <w:rsid w:val="00226170"/>
    <w:rsid w:val="00226458"/>
    <w:rsid w:val="00226F93"/>
    <w:rsid w:val="00231E9C"/>
    <w:rsid w:val="00232FD0"/>
    <w:rsid w:val="002363AB"/>
    <w:rsid w:val="00240082"/>
    <w:rsid w:val="00247560"/>
    <w:rsid w:val="00252C4B"/>
    <w:rsid w:val="002536B7"/>
    <w:rsid w:val="00254258"/>
    <w:rsid w:val="002621EA"/>
    <w:rsid w:val="00264621"/>
    <w:rsid w:val="00264D5E"/>
    <w:rsid w:val="00272746"/>
    <w:rsid w:val="00272F95"/>
    <w:rsid w:val="00276407"/>
    <w:rsid w:val="00282F6F"/>
    <w:rsid w:val="00285274"/>
    <w:rsid w:val="00291E19"/>
    <w:rsid w:val="00295CC8"/>
    <w:rsid w:val="002A44AD"/>
    <w:rsid w:val="002A491C"/>
    <w:rsid w:val="002A59C1"/>
    <w:rsid w:val="002C02CF"/>
    <w:rsid w:val="002C72A3"/>
    <w:rsid w:val="002D0C69"/>
    <w:rsid w:val="002D1591"/>
    <w:rsid w:val="002D5E2C"/>
    <w:rsid w:val="002E0258"/>
    <w:rsid w:val="002E16A2"/>
    <w:rsid w:val="002E426E"/>
    <w:rsid w:val="002E7328"/>
    <w:rsid w:val="002F1C14"/>
    <w:rsid w:val="002F3AA1"/>
    <w:rsid w:val="002F62D1"/>
    <w:rsid w:val="0030615C"/>
    <w:rsid w:val="003070C5"/>
    <w:rsid w:val="003108DE"/>
    <w:rsid w:val="0031496A"/>
    <w:rsid w:val="003155CB"/>
    <w:rsid w:val="0032106D"/>
    <w:rsid w:val="003222E3"/>
    <w:rsid w:val="00323A5B"/>
    <w:rsid w:val="0033494C"/>
    <w:rsid w:val="00340160"/>
    <w:rsid w:val="00343385"/>
    <w:rsid w:val="00343C5D"/>
    <w:rsid w:val="00346D36"/>
    <w:rsid w:val="00352A88"/>
    <w:rsid w:val="00353F3C"/>
    <w:rsid w:val="0036282F"/>
    <w:rsid w:val="003633EA"/>
    <w:rsid w:val="003658F3"/>
    <w:rsid w:val="00365B1A"/>
    <w:rsid w:val="00370A18"/>
    <w:rsid w:val="003804AC"/>
    <w:rsid w:val="00386404"/>
    <w:rsid w:val="00391554"/>
    <w:rsid w:val="00391675"/>
    <w:rsid w:val="00396059"/>
    <w:rsid w:val="003C61A1"/>
    <w:rsid w:val="003D00E2"/>
    <w:rsid w:val="003D4B41"/>
    <w:rsid w:val="003E1716"/>
    <w:rsid w:val="003E3CC7"/>
    <w:rsid w:val="003E5EAD"/>
    <w:rsid w:val="003F7397"/>
    <w:rsid w:val="00401874"/>
    <w:rsid w:val="00404468"/>
    <w:rsid w:val="00405A3B"/>
    <w:rsid w:val="004103A2"/>
    <w:rsid w:val="004112C1"/>
    <w:rsid w:val="00413858"/>
    <w:rsid w:val="00416EC6"/>
    <w:rsid w:val="00416F61"/>
    <w:rsid w:val="00420E99"/>
    <w:rsid w:val="004253C8"/>
    <w:rsid w:val="00425847"/>
    <w:rsid w:val="00433B55"/>
    <w:rsid w:val="00434D12"/>
    <w:rsid w:val="0043658B"/>
    <w:rsid w:val="004404AD"/>
    <w:rsid w:val="004443DB"/>
    <w:rsid w:val="00446A9B"/>
    <w:rsid w:val="0045127C"/>
    <w:rsid w:val="00453B03"/>
    <w:rsid w:val="0045413C"/>
    <w:rsid w:val="00455C38"/>
    <w:rsid w:val="00456F9E"/>
    <w:rsid w:val="00457DB7"/>
    <w:rsid w:val="00473EB0"/>
    <w:rsid w:val="00474F79"/>
    <w:rsid w:val="004763C6"/>
    <w:rsid w:val="0048063E"/>
    <w:rsid w:val="0048104F"/>
    <w:rsid w:val="00485DBE"/>
    <w:rsid w:val="00487564"/>
    <w:rsid w:val="00490B52"/>
    <w:rsid w:val="00490F02"/>
    <w:rsid w:val="004918C2"/>
    <w:rsid w:val="004957EB"/>
    <w:rsid w:val="004976D9"/>
    <w:rsid w:val="004A4F07"/>
    <w:rsid w:val="004B628C"/>
    <w:rsid w:val="004B6816"/>
    <w:rsid w:val="004B7304"/>
    <w:rsid w:val="004C3B54"/>
    <w:rsid w:val="004C63B0"/>
    <w:rsid w:val="004D412B"/>
    <w:rsid w:val="004D5422"/>
    <w:rsid w:val="004D6236"/>
    <w:rsid w:val="004E1A05"/>
    <w:rsid w:val="004E208F"/>
    <w:rsid w:val="004F68B7"/>
    <w:rsid w:val="00500EB2"/>
    <w:rsid w:val="00504B98"/>
    <w:rsid w:val="00504BDC"/>
    <w:rsid w:val="00507749"/>
    <w:rsid w:val="00511309"/>
    <w:rsid w:val="0051682F"/>
    <w:rsid w:val="005202A3"/>
    <w:rsid w:val="00524EA0"/>
    <w:rsid w:val="00525BAC"/>
    <w:rsid w:val="005312D6"/>
    <w:rsid w:val="005336C2"/>
    <w:rsid w:val="00545BBC"/>
    <w:rsid w:val="00556BC5"/>
    <w:rsid w:val="0056647D"/>
    <w:rsid w:val="005665E3"/>
    <w:rsid w:val="005717DB"/>
    <w:rsid w:val="005721A3"/>
    <w:rsid w:val="005723F7"/>
    <w:rsid w:val="0057710B"/>
    <w:rsid w:val="005815B5"/>
    <w:rsid w:val="00586169"/>
    <w:rsid w:val="00586B86"/>
    <w:rsid w:val="00591D43"/>
    <w:rsid w:val="00592529"/>
    <w:rsid w:val="00594BDA"/>
    <w:rsid w:val="00596D3B"/>
    <w:rsid w:val="00597C49"/>
    <w:rsid w:val="005A3FBB"/>
    <w:rsid w:val="005A5561"/>
    <w:rsid w:val="005A58B3"/>
    <w:rsid w:val="005A6F28"/>
    <w:rsid w:val="005B02A6"/>
    <w:rsid w:val="005B5018"/>
    <w:rsid w:val="005B5088"/>
    <w:rsid w:val="005B6279"/>
    <w:rsid w:val="005C3A52"/>
    <w:rsid w:val="005C5A40"/>
    <w:rsid w:val="005C6156"/>
    <w:rsid w:val="005D7DD8"/>
    <w:rsid w:val="005E3770"/>
    <w:rsid w:val="005F3612"/>
    <w:rsid w:val="005F79ED"/>
    <w:rsid w:val="00603906"/>
    <w:rsid w:val="00604EFD"/>
    <w:rsid w:val="006052B9"/>
    <w:rsid w:val="00605905"/>
    <w:rsid w:val="00610BA5"/>
    <w:rsid w:val="0061213E"/>
    <w:rsid w:val="00612396"/>
    <w:rsid w:val="006149B8"/>
    <w:rsid w:val="00623EE2"/>
    <w:rsid w:val="00624C17"/>
    <w:rsid w:val="00633400"/>
    <w:rsid w:val="00634557"/>
    <w:rsid w:val="00634B43"/>
    <w:rsid w:val="00635A1A"/>
    <w:rsid w:val="00641F2F"/>
    <w:rsid w:val="0064254B"/>
    <w:rsid w:val="00645004"/>
    <w:rsid w:val="00652C4C"/>
    <w:rsid w:val="006566F6"/>
    <w:rsid w:val="00663826"/>
    <w:rsid w:val="00667F8C"/>
    <w:rsid w:val="00676401"/>
    <w:rsid w:val="00676F3F"/>
    <w:rsid w:val="00677592"/>
    <w:rsid w:val="00684A32"/>
    <w:rsid w:val="00684E08"/>
    <w:rsid w:val="00684EFD"/>
    <w:rsid w:val="00686074"/>
    <w:rsid w:val="00693EB9"/>
    <w:rsid w:val="006950AC"/>
    <w:rsid w:val="0069607F"/>
    <w:rsid w:val="006A2980"/>
    <w:rsid w:val="006A5A92"/>
    <w:rsid w:val="006B1A14"/>
    <w:rsid w:val="006B365C"/>
    <w:rsid w:val="006C0B85"/>
    <w:rsid w:val="006C24DB"/>
    <w:rsid w:val="006D09CE"/>
    <w:rsid w:val="006D2D1F"/>
    <w:rsid w:val="006D4845"/>
    <w:rsid w:val="006D4DD2"/>
    <w:rsid w:val="006D56D8"/>
    <w:rsid w:val="006E2E51"/>
    <w:rsid w:val="006E39E9"/>
    <w:rsid w:val="006E7069"/>
    <w:rsid w:val="006F26A3"/>
    <w:rsid w:val="006F6149"/>
    <w:rsid w:val="00704207"/>
    <w:rsid w:val="007157B2"/>
    <w:rsid w:val="00720955"/>
    <w:rsid w:val="00721C98"/>
    <w:rsid w:val="00724F6F"/>
    <w:rsid w:val="00726D06"/>
    <w:rsid w:val="007273FD"/>
    <w:rsid w:val="00741BB3"/>
    <w:rsid w:val="007427A5"/>
    <w:rsid w:val="00745D45"/>
    <w:rsid w:val="00765D05"/>
    <w:rsid w:val="007721BB"/>
    <w:rsid w:val="00775589"/>
    <w:rsid w:val="00782613"/>
    <w:rsid w:val="00787E41"/>
    <w:rsid w:val="007914B6"/>
    <w:rsid w:val="00793DC1"/>
    <w:rsid w:val="00796506"/>
    <w:rsid w:val="0079730D"/>
    <w:rsid w:val="00797B94"/>
    <w:rsid w:val="007A3A7D"/>
    <w:rsid w:val="007B0CB3"/>
    <w:rsid w:val="007B155B"/>
    <w:rsid w:val="007B1A8E"/>
    <w:rsid w:val="007C7414"/>
    <w:rsid w:val="007D0F9B"/>
    <w:rsid w:val="007D25D8"/>
    <w:rsid w:val="007D3F84"/>
    <w:rsid w:val="007E7046"/>
    <w:rsid w:val="007F4ECE"/>
    <w:rsid w:val="0081642A"/>
    <w:rsid w:val="00821181"/>
    <w:rsid w:val="008268D3"/>
    <w:rsid w:val="00827EEE"/>
    <w:rsid w:val="00833410"/>
    <w:rsid w:val="00837671"/>
    <w:rsid w:val="00840B89"/>
    <w:rsid w:val="008458BB"/>
    <w:rsid w:val="00852B9B"/>
    <w:rsid w:val="00857824"/>
    <w:rsid w:val="0086309A"/>
    <w:rsid w:val="00866235"/>
    <w:rsid w:val="00866E9C"/>
    <w:rsid w:val="008670F4"/>
    <w:rsid w:val="00875BD6"/>
    <w:rsid w:val="00877B30"/>
    <w:rsid w:val="008A2CC3"/>
    <w:rsid w:val="008A674F"/>
    <w:rsid w:val="008D2ECE"/>
    <w:rsid w:val="008D4F94"/>
    <w:rsid w:val="008D59AF"/>
    <w:rsid w:val="008E626B"/>
    <w:rsid w:val="008F5058"/>
    <w:rsid w:val="008F70DA"/>
    <w:rsid w:val="008F7491"/>
    <w:rsid w:val="00900CB8"/>
    <w:rsid w:val="009014B0"/>
    <w:rsid w:val="009113DC"/>
    <w:rsid w:val="009330E5"/>
    <w:rsid w:val="0093373D"/>
    <w:rsid w:val="009360FA"/>
    <w:rsid w:val="0093707F"/>
    <w:rsid w:val="00943738"/>
    <w:rsid w:val="00950237"/>
    <w:rsid w:val="00952417"/>
    <w:rsid w:val="009622C0"/>
    <w:rsid w:val="00964DE4"/>
    <w:rsid w:val="00967603"/>
    <w:rsid w:val="0097571B"/>
    <w:rsid w:val="00976A5A"/>
    <w:rsid w:val="00980873"/>
    <w:rsid w:val="00982398"/>
    <w:rsid w:val="0098326F"/>
    <w:rsid w:val="009927E3"/>
    <w:rsid w:val="009963C4"/>
    <w:rsid w:val="009967C0"/>
    <w:rsid w:val="009A49EC"/>
    <w:rsid w:val="009A5B88"/>
    <w:rsid w:val="009B2A99"/>
    <w:rsid w:val="009B3211"/>
    <w:rsid w:val="009B36B6"/>
    <w:rsid w:val="009C0A99"/>
    <w:rsid w:val="009C4747"/>
    <w:rsid w:val="009C638E"/>
    <w:rsid w:val="009D236A"/>
    <w:rsid w:val="009D43A9"/>
    <w:rsid w:val="009D5B01"/>
    <w:rsid w:val="009E2B96"/>
    <w:rsid w:val="009E3F32"/>
    <w:rsid w:val="009E7F20"/>
    <w:rsid w:val="009F174C"/>
    <w:rsid w:val="009F2BCE"/>
    <w:rsid w:val="009F4142"/>
    <w:rsid w:val="009F5C0C"/>
    <w:rsid w:val="009F5C76"/>
    <w:rsid w:val="009F5D9C"/>
    <w:rsid w:val="009F5EA8"/>
    <w:rsid w:val="00A04E22"/>
    <w:rsid w:val="00A102C5"/>
    <w:rsid w:val="00A138B6"/>
    <w:rsid w:val="00A20192"/>
    <w:rsid w:val="00A2565A"/>
    <w:rsid w:val="00A26E57"/>
    <w:rsid w:val="00A3360E"/>
    <w:rsid w:val="00A37B09"/>
    <w:rsid w:val="00A4060F"/>
    <w:rsid w:val="00A42A2C"/>
    <w:rsid w:val="00A448BA"/>
    <w:rsid w:val="00A51BBE"/>
    <w:rsid w:val="00A52CCE"/>
    <w:rsid w:val="00A54FA5"/>
    <w:rsid w:val="00A66FB9"/>
    <w:rsid w:val="00A75D34"/>
    <w:rsid w:val="00A77015"/>
    <w:rsid w:val="00A94495"/>
    <w:rsid w:val="00A94818"/>
    <w:rsid w:val="00A965F5"/>
    <w:rsid w:val="00A96FD0"/>
    <w:rsid w:val="00A97B87"/>
    <w:rsid w:val="00AA379E"/>
    <w:rsid w:val="00AB398C"/>
    <w:rsid w:val="00AB593B"/>
    <w:rsid w:val="00AB63E0"/>
    <w:rsid w:val="00AB6419"/>
    <w:rsid w:val="00AC5538"/>
    <w:rsid w:val="00AD2835"/>
    <w:rsid w:val="00AD323E"/>
    <w:rsid w:val="00AD4ACF"/>
    <w:rsid w:val="00AD63FE"/>
    <w:rsid w:val="00AE2863"/>
    <w:rsid w:val="00AE6CD4"/>
    <w:rsid w:val="00AF6D51"/>
    <w:rsid w:val="00B03845"/>
    <w:rsid w:val="00B06E02"/>
    <w:rsid w:val="00B129EA"/>
    <w:rsid w:val="00B12DB3"/>
    <w:rsid w:val="00B177B2"/>
    <w:rsid w:val="00B21241"/>
    <w:rsid w:val="00B25234"/>
    <w:rsid w:val="00B26E94"/>
    <w:rsid w:val="00B2777A"/>
    <w:rsid w:val="00B27F5C"/>
    <w:rsid w:val="00B30EC2"/>
    <w:rsid w:val="00B35756"/>
    <w:rsid w:val="00B378EE"/>
    <w:rsid w:val="00B4468B"/>
    <w:rsid w:val="00B60FF1"/>
    <w:rsid w:val="00B67184"/>
    <w:rsid w:val="00B744CB"/>
    <w:rsid w:val="00B75435"/>
    <w:rsid w:val="00B817D9"/>
    <w:rsid w:val="00B82740"/>
    <w:rsid w:val="00B861F9"/>
    <w:rsid w:val="00B96FE2"/>
    <w:rsid w:val="00BA014E"/>
    <w:rsid w:val="00BA2C41"/>
    <w:rsid w:val="00BA5202"/>
    <w:rsid w:val="00BA7014"/>
    <w:rsid w:val="00BB0358"/>
    <w:rsid w:val="00BB5BF4"/>
    <w:rsid w:val="00BC267C"/>
    <w:rsid w:val="00BC3D92"/>
    <w:rsid w:val="00BC5E26"/>
    <w:rsid w:val="00BD03E9"/>
    <w:rsid w:val="00BD5690"/>
    <w:rsid w:val="00BD7050"/>
    <w:rsid w:val="00BE065B"/>
    <w:rsid w:val="00BE0857"/>
    <w:rsid w:val="00BE0AE1"/>
    <w:rsid w:val="00BE3820"/>
    <w:rsid w:val="00BE740E"/>
    <w:rsid w:val="00C01292"/>
    <w:rsid w:val="00C01472"/>
    <w:rsid w:val="00C02324"/>
    <w:rsid w:val="00C02523"/>
    <w:rsid w:val="00C1195F"/>
    <w:rsid w:val="00C129C1"/>
    <w:rsid w:val="00C1685A"/>
    <w:rsid w:val="00C214DB"/>
    <w:rsid w:val="00C23003"/>
    <w:rsid w:val="00C23467"/>
    <w:rsid w:val="00C25CE6"/>
    <w:rsid w:val="00C270EA"/>
    <w:rsid w:val="00C314AE"/>
    <w:rsid w:val="00C325D7"/>
    <w:rsid w:val="00C33BAC"/>
    <w:rsid w:val="00C545AE"/>
    <w:rsid w:val="00C56447"/>
    <w:rsid w:val="00C56DB3"/>
    <w:rsid w:val="00C57C88"/>
    <w:rsid w:val="00C611BE"/>
    <w:rsid w:val="00C625FB"/>
    <w:rsid w:val="00C6326D"/>
    <w:rsid w:val="00C63F90"/>
    <w:rsid w:val="00C646F5"/>
    <w:rsid w:val="00C7656B"/>
    <w:rsid w:val="00C80A90"/>
    <w:rsid w:val="00C87CF6"/>
    <w:rsid w:val="00C9024E"/>
    <w:rsid w:val="00C91A29"/>
    <w:rsid w:val="00C93410"/>
    <w:rsid w:val="00C96A87"/>
    <w:rsid w:val="00C96AB4"/>
    <w:rsid w:val="00C97F8D"/>
    <w:rsid w:val="00CA2560"/>
    <w:rsid w:val="00CB71D8"/>
    <w:rsid w:val="00CC1AC3"/>
    <w:rsid w:val="00CC39FA"/>
    <w:rsid w:val="00CC533C"/>
    <w:rsid w:val="00CD3890"/>
    <w:rsid w:val="00CE1084"/>
    <w:rsid w:val="00CE135B"/>
    <w:rsid w:val="00CE2C85"/>
    <w:rsid w:val="00CF5D6C"/>
    <w:rsid w:val="00D03491"/>
    <w:rsid w:val="00D06DBF"/>
    <w:rsid w:val="00D15696"/>
    <w:rsid w:val="00D17FA7"/>
    <w:rsid w:val="00D24504"/>
    <w:rsid w:val="00D24D2B"/>
    <w:rsid w:val="00D25D6C"/>
    <w:rsid w:val="00D31315"/>
    <w:rsid w:val="00D31F4B"/>
    <w:rsid w:val="00D33266"/>
    <w:rsid w:val="00D41198"/>
    <w:rsid w:val="00D43722"/>
    <w:rsid w:val="00D45AEA"/>
    <w:rsid w:val="00D466A0"/>
    <w:rsid w:val="00D5000A"/>
    <w:rsid w:val="00D57364"/>
    <w:rsid w:val="00D6111C"/>
    <w:rsid w:val="00D629E2"/>
    <w:rsid w:val="00D632F6"/>
    <w:rsid w:val="00D63B18"/>
    <w:rsid w:val="00D63D1C"/>
    <w:rsid w:val="00D65E52"/>
    <w:rsid w:val="00D727BA"/>
    <w:rsid w:val="00D75774"/>
    <w:rsid w:val="00D76758"/>
    <w:rsid w:val="00D80C79"/>
    <w:rsid w:val="00D848D9"/>
    <w:rsid w:val="00D84C6F"/>
    <w:rsid w:val="00D922C9"/>
    <w:rsid w:val="00DA1116"/>
    <w:rsid w:val="00DA59BD"/>
    <w:rsid w:val="00DA6667"/>
    <w:rsid w:val="00DA73D1"/>
    <w:rsid w:val="00DB01CE"/>
    <w:rsid w:val="00DB2D39"/>
    <w:rsid w:val="00DB478E"/>
    <w:rsid w:val="00DC011C"/>
    <w:rsid w:val="00DC07A4"/>
    <w:rsid w:val="00DC13D6"/>
    <w:rsid w:val="00DC7B14"/>
    <w:rsid w:val="00DE159A"/>
    <w:rsid w:val="00DE5A37"/>
    <w:rsid w:val="00DE7DB3"/>
    <w:rsid w:val="00DF0F4B"/>
    <w:rsid w:val="00DF45A7"/>
    <w:rsid w:val="00DF463F"/>
    <w:rsid w:val="00DF7A25"/>
    <w:rsid w:val="00E007B4"/>
    <w:rsid w:val="00E014AA"/>
    <w:rsid w:val="00E019A1"/>
    <w:rsid w:val="00E01CD5"/>
    <w:rsid w:val="00E02313"/>
    <w:rsid w:val="00E02FF9"/>
    <w:rsid w:val="00E06F4B"/>
    <w:rsid w:val="00E1281D"/>
    <w:rsid w:val="00E145F5"/>
    <w:rsid w:val="00E20708"/>
    <w:rsid w:val="00E228A2"/>
    <w:rsid w:val="00E26813"/>
    <w:rsid w:val="00E26D05"/>
    <w:rsid w:val="00E3466E"/>
    <w:rsid w:val="00E35850"/>
    <w:rsid w:val="00E517BE"/>
    <w:rsid w:val="00E5186E"/>
    <w:rsid w:val="00E56A82"/>
    <w:rsid w:val="00E61A4E"/>
    <w:rsid w:val="00E6219B"/>
    <w:rsid w:val="00E62F36"/>
    <w:rsid w:val="00E64753"/>
    <w:rsid w:val="00E64A03"/>
    <w:rsid w:val="00E66145"/>
    <w:rsid w:val="00E663A7"/>
    <w:rsid w:val="00E72579"/>
    <w:rsid w:val="00E72CB1"/>
    <w:rsid w:val="00E75DFE"/>
    <w:rsid w:val="00E80049"/>
    <w:rsid w:val="00E85317"/>
    <w:rsid w:val="00E918BF"/>
    <w:rsid w:val="00EA10EF"/>
    <w:rsid w:val="00EA30B8"/>
    <w:rsid w:val="00EA7368"/>
    <w:rsid w:val="00EA7AF2"/>
    <w:rsid w:val="00EA7E7A"/>
    <w:rsid w:val="00EB073C"/>
    <w:rsid w:val="00EB0C3F"/>
    <w:rsid w:val="00EB4C08"/>
    <w:rsid w:val="00EC0ED5"/>
    <w:rsid w:val="00EC3C42"/>
    <w:rsid w:val="00EC5155"/>
    <w:rsid w:val="00ED1CCD"/>
    <w:rsid w:val="00ED1E97"/>
    <w:rsid w:val="00ED41FF"/>
    <w:rsid w:val="00ED48FC"/>
    <w:rsid w:val="00ED5FE3"/>
    <w:rsid w:val="00EE1178"/>
    <w:rsid w:val="00EE5AF3"/>
    <w:rsid w:val="00EF0103"/>
    <w:rsid w:val="00EF3E2C"/>
    <w:rsid w:val="00EF4EDB"/>
    <w:rsid w:val="00EF61D4"/>
    <w:rsid w:val="00F016DC"/>
    <w:rsid w:val="00F04E3E"/>
    <w:rsid w:val="00F05EBA"/>
    <w:rsid w:val="00F20CB1"/>
    <w:rsid w:val="00F25D4F"/>
    <w:rsid w:val="00F32C8C"/>
    <w:rsid w:val="00F36041"/>
    <w:rsid w:val="00F37F4D"/>
    <w:rsid w:val="00F44068"/>
    <w:rsid w:val="00F50DDE"/>
    <w:rsid w:val="00F510ED"/>
    <w:rsid w:val="00F558D4"/>
    <w:rsid w:val="00F56EFC"/>
    <w:rsid w:val="00F739CD"/>
    <w:rsid w:val="00F74E0A"/>
    <w:rsid w:val="00F85149"/>
    <w:rsid w:val="00F9097E"/>
    <w:rsid w:val="00F97DF8"/>
    <w:rsid w:val="00FA400F"/>
    <w:rsid w:val="00FA657B"/>
    <w:rsid w:val="00FB045D"/>
    <w:rsid w:val="00FB06DF"/>
    <w:rsid w:val="00FB3497"/>
    <w:rsid w:val="00FC6BF4"/>
    <w:rsid w:val="00FC7DB9"/>
    <w:rsid w:val="00FD3ADA"/>
    <w:rsid w:val="00FD542E"/>
    <w:rsid w:val="00FE1744"/>
    <w:rsid w:val="00FE48BD"/>
    <w:rsid w:val="00FE4E48"/>
    <w:rsid w:val="00FE6306"/>
    <w:rsid w:val="012C5476"/>
    <w:rsid w:val="014C03DC"/>
    <w:rsid w:val="01501D5A"/>
    <w:rsid w:val="01950AE0"/>
    <w:rsid w:val="01957059"/>
    <w:rsid w:val="01A12F3F"/>
    <w:rsid w:val="01A45B3E"/>
    <w:rsid w:val="01CB363C"/>
    <w:rsid w:val="01CE56BC"/>
    <w:rsid w:val="01E22AEA"/>
    <w:rsid w:val="01FF0E8E"/>
    <w:rsid w:val="020F7649"/>
    <w:rsid w:val="02345317"/>
    <w:rsid w:val="023E669A"/>
    <w:rsid w:val="025561E9"/>
    <w:rsid w:val="0259188F"/>
    <w:rsid w:val="029223AB"/>
    <w:rsid w:val="02A01970"/>
    <w:rsid w:val="02AE2DE7"/>
    <w:rsid w:val="02B92263"/>
    <w:rsid w:val="02EB63D6"/>
    <w:rsid w:val="02F7418F"/>
    <w:rsid w:val="03145E0B"/>
    <w:rsid w:val="031517F7"/>
    <w:rsid w:val="03174FBE"/>
    <w:rsid w:val="032077DD"/>
    <w:rsid w:val="033625B6"/>
    <w:rsid w:val="034F4E10"/>
    <w:rsid w:val="03AC3106"/>
    <w:rsid w:val="03B3309A"/>
    <w:rsid w:val="03C405DF"/>
    <w:rsid w:val="03D932BB"/>
    <w:rsid w:val="03E000AD"/>
    <w:rsid w:val="03F33F50"/>
    <w:rsid w:val="0420218D"/>
    <w:rsid w:val="04215246"/>
    <w:rsid w:val="04341857"/>
    <w:rsid w:val="04647975"/>
    <w:rsid w:val="046F1D43"/>
    <w:rsid w:val="04973E5A"/>
    <w:rsid w:val="04C515CD"/>
    <w:rsid w:val="04FF11C0"/>
    <w:rsid w:val="050D56BE"/>
    <w:rsid w:val="051E469F"/>
    <w:rsid w:val="05221964"/>
    <w:rsid w:val="05484F7D"/>
    <w:rsid w:val="059D0507"/>
    <w:rsid w:val="05A972CE"/>
    <w:rsid w:val="05B26395"/>
    <w:rsid w:val="05B571EC"/>
    <w:rsid w:val="05F1584B"/>
    <w:rsid w:val="05FE4E32"/>
    <w:rsid w:val="060B76F7"/>
    <w:rsid w:val="061F34C5"/>
    <w:rsid w:val="064464E1"/>
    <w:rsid w:val="06743811"/>
    <w:rsid w:val="06B334ED"/>
    <w:rsid w:val="06B43317"/>
    <w:rsid w:val="06C31AEA"/>
    <w:rsid w:val="06E453E3"/>
    <w:rsid w:val="06ED4712"/>
    <w:rsid w:val="06F41E6C"/>
    <w:rsid w:val="06FA5212"/>
    <w:rsid w:val="0738450A"/>
    <w:rsid w:val="07446F70"/>
    <w:rsid w:val="07461863"/>
    <w:rsid w:val="07646437"/>
    <w:rsid w:val="07837C64"/>
    <w:rsid w:val="078A2650"/>
    <w:rsid w:val="07944D29"/>
    <w:rsid w:val="07A44251"/>
    <w:rsid w:val="07B01867"/>
    <w:rsid w:val="07DB28BD"/>
    <w:rsid w:val="080E3B7A"/>
    <w:rsid w:val="081B4150"/>
    <w:rsid w:val="08207E46"/>
    <w:rsid w:val="084F07DE"/>
    <w:rsid w:val="08576BFA"/>
    <w:rsid w:val="0883632E"/>
    <w:rsid w:val="08924468"/>
    <w:rsid w:val="08B15633"/>
    <w:rsid w:val="08CB0D35"/>
    <w:rsid w:val="08D77C75"/>
    <w:rsid w:val="08DC1FD1"/>
    <w:rsid w:val="08DF0582"/>
    <w:rsid w:val="08E74EA1"/>
    <w:rsid w:val="08FE4F2C"/>
    <w:rsid w:val="09551488"/>
    <w:rsid w:val="09567A83"/>
    <w:rsid w:val="09AB3C5E"/>
    <w:rsid w:val="09CE4F8B"/>
    <w:rsid w:val="09F91332"/>
    <w:rsid w:val="0A0A6676"/>
    <w:rsid w:val="0A150428"/>
    <w:rsid w:val="0A424146"/>
    <w:rsid w:val="0A9503AF"/>
    <w:rsid w:val="0A9F7829"/>
    <w:rsid w:val="0AA2754D"/>
    <w:rsid w:val="0AB10D63"/>
    <w:rsid w:val="0ADF1FBF"/>
    <w:rsid w:val="0AED3F13"/>
    <w:rsid w:val="0AF5439D"/>
    <w:rsid w:val="0B0310CC"/>
    <w:rsid w:val="0B1614F7"/>
    <w:rsid w:val="0B187E7F"/>
    <w:rsid w:val="0B484221"/>
    <w:rsid w:val="0B594BC2"/>
    <w:rsid w:val="0B737803"/>
    <w:rsid w:val="0B83468F"/>
    <w:rsid w:val="0BAC7176"/>
    <w:rsid w:val="0BAD2C61"/>
    <w:rsid w:val="0BB23EF2"/>
    <w:rsid w:val="0BB3331E"/>
    <w:rsid w:val="0BB54CA8"/>
    <w:rsid w:val="0C2703C3"/>
    <w:rsid w:val="0C385216"/>
    <w:rsid w:val="0C674206"/>
    <w:rsid w:val="0C931727"/>
    <w:rsid w:val="0CAA1601"/>
    <w:rsid w:val="0CB61932"/>
    <w:rsid w:val="0CC75EF6"/>
    <w:rsid w:val="0CD76B21"/>
    <w:rsid w:val="0CD81422"/>
    <w:rsid w:val="0CF848D2"/>
    <w:rsid w:val="0D003CC9"/>
    <w:rsid w:val="0D163F06"/>
    <w:rsid w:val="0D4E0985"/>
    <w:rsid w:val="0D632644"/>
    <w:rsid w:val="0DB344C0"/>
    <w:rsid w:val="0DC96866"/>
    <w:rsid w:val="0DCA41B8"/>
    <w:rsid w:val="0DE22D3A"/>
    <w:rsid w:val="0E173FC5"/>
    <w:rsid w:val="0E27523B"/>
    <w:rsid w:val="0E2A4B9E"/>
    <w:rsid w:val="0E42176A"/>
    <w:rsid w:val="0E9A34B6"/>
    <w:rsid w:val="0E9D0687"/>
    <w:rsid w:val="0EED42F3"/>
    <w:rsid w:val="0EF03E0E"/>
    <w:rsid w:val="0F035B73"/>
    <w:rsid w:val="0F3112D5"/>
    <w:rsid w:val="0F4135AB"/>
    <w:rsid w:val="0F4B76A9"/>
    <w:rsid w:val="0F661716"/>
    <w:rsid w:val="0F6C3758"/>
    <w:rsid w:val="0F74470A"/>
    <w:rsid w:val="0F963A5E"/>
    <w:rsid w:val="0FF15B3E"/>
    <w:rsid w:val="0FFB6AB5"/>
    <w:rsid w:val="106A75D4"/>
    <w:rsid w:val="10752237"/>
    <w:rsid w:val="1094690F"/>
    <w:rsid w:val="109501C7"/>
    <w:rsid w:val="10974ECC"/>
    <w:rsid w:val="109A7922"/>
    <w:rsid w:val="10E14CC2"/>
    <w:rsid w:val="10E9762D"/>
    <w:rsid w:val="1101204D"/>
    <w:rsid w:val="110E369C"/>
    <w:rsid w:val="112F55EF"/>
    <w:rsid w:val="115549FE"/>
    <w:rsid w:val="1158404B"/>
    <w:rsid w:val="116B6B70"/>
    <w:rsid w:val="11797178"/>
    <w:rsid w:val="117C2C85"/>
    <w:rsid w:val="11AA6880"/>
    <w:rsid w:val="11B91A07"/>
    <w:rsid w:val="11C90A36"/>
    <w:rsid w:val="121112F4"/>
    <w:rsid w:val="121675C3"/>
    <w:rsid w:val="121D7E43"/>
    <w:rsid w:val="123B19D1"/>
    <w:rsid w:val="12490FFA"/>
    <w:rsid w:val="128D585E"/>
    <w:rsid w:val="12B60DD8"/>
    <w:rsid w:val="12BC4475"/>
    <w:rsid w:val="12D0412E"/>
    <w:rsid w:val="132B3563"/>
    <w:rsid w:val="13510F6E"/>
    <w:rsid w:val="13602B0C"/>
    <w:rsid w:val="13620ACB"/>
    <w:rsid w:val="136B2DF0"/>
    <w:rsid w:val="13715D24"/>
    <w:rsid w:val="138424DA"/>
    <w:rsid w:val="13A50D5B"/>
    <w:rsid w:val="13AB7310"/>
    <w:rsid w:val="13E9591C"/>
    <w:rsid w:val="13F63624"/>
    <w:rsid w:val="13F84C4E"/>
    <w:rsid w:val="141E30B5"/>
    <w:rsid w:val="14487A1C"/>
    <w:rsid w:val="1464098B"/>
    <w:rsid w:val="14756121"/>
    <w:rsid w:val="147B29E9"/>
    <w:rsid w:val="14CF51FC"/>
    <w:rsid w:val="14D72B75"/>
    <w:rsid w:val="14DE788A"/>
    <w:rsid w:val="14E450D5"/>
    <w:rsid w:val="150D29A4"/>
    <w:rsid w:val="152578AD"/>
    <w:rsid w:val="155B0A01"/>
    <w:rsid w:val="15604D2F"/>
    <w:rsid w:val="15617CF9"/>
    <w:rsid w:val="15695277"/>
    <w:rsid w:val="156E43EF"/>
    <w:rsid w:val="15806CA6"/>
    <w:rsid w:val="15814D8A"/>
    <w:rsid w:val="15B70F39"/>
    <w:rsid w:val="162A5607"/>
    <w:rsid w:val="164F4CAF"/>
    <w:rsid w:val="165C4852"/>
    <w:rsid w:val="166C2AD2"/>
    <w:rsid w:val="168201E3"/>
    <w:rsid w:val="169876E3"/>
    <w:rsid w:val="16A74CE1"/>
    <w:rsid w:val="16B02B83"/>
    <w:rsid w:val="16F60A67"/>
    <w:rsid w:val="17011BA8"/>
    <w:rsid w:val="17026865"/>
    <w:rsid w:val="171D2DDD"/>
    <w:rsid w:val="172054E1"/>
    <w:rsid w:val="17400DB6"/>
    <w:rsid w:val="17607A66"/>
    <w:rsid w:val="176E50FF"/>
    <w:rsid w:val="177F789E"/>
    <w:rsid w:val="1782789F"/>
    <w:rsid w:val="17CD350F"/>
    <w:rsid w:val="17E93D3B"/>
    <w:rsid w:val="17ED3DF5"/>
    <w:rsid w:val="1811236B"/>
    <w:rsid w:val="1815619E"/>
    <w:rsid w:val="183054E5"/>
    <w:rsid w:val="183D32CE"/>
    <w:rsid w:val="187315D0"/>
    <w:rsid w:val="187D1C52"/>
    <w:rsid w:val="189A3B6A"/>
    <w:rsid w:val="189B1799"/>
    <w:rsid w:val="18A11EEA"/>
    <w:rsid w:val="18A531B4"/>
    <w:rsid w:val="18C56AB8"/>
    <w:rsid w:val="18C81462"/>
    <w:rsid w:val="18CE3427"/>
    <w:rsid w:val="18D83B3D"/>
    <w:rsid w:val="18F36F12"/>
    <w:rsid w:val="18F61F5E"/>
    <w:rsid w:val="19015A0E"/>
    <w:rsid w:val="1905584D"/>
    <w:rsid w:val="19113A4F"/>
    <w:rsid w:val="191A4F1A"/>
    <w:rsid w:val="19234FE6"/>
    <w:rsid w:val="19374070"/>
    <w:rsid w:val="193A5193"/>
    <w:rsid w:val="19A87B52"/>
    <w:rsid w:val="19AC2E6F"/>
    <w:rsid w:val="19C50532"/>
    <w:rsid w:val="19C67642"/>
    <w:rsid w:val="19CE2F9A"/>
    <w:rsid w:val="19FE0DF7"/>
    <w:rsid w:val="1A027A58"/>
    <w:rsid w:val="1A0549DE"/>
    <w:rsid w:val="1A4554FF"/>
    <w:rsid w:val="1AB335CB"/>
    <w:rsid w:val="1ACB173E"/>
    <w:rsid w:val="1AE069A1"/>
    <w:rsid w:val="1B091EBF"/>
    <w:rsid w:val="1B0B3716"/>
    <w:rsid w:val="1B1E4024"/>
    <w:rsid w:val="1B2D035E"/>
    <w:rsid w:val="1B617A86"/>
    <w:rsid w:val="1BB66717"/>
    <w:rsid w:val="1BBE00B5"/>
    <w:rsid w:val="1BCB7583"/>
    <w:rsid w:val="1BE6533D"/>
    <w:rsid w:val="1BEA54C2"/>
    <w:rsid w:val="1BF26A0F"/>
    <w:rsid w:val="1C166435"/>
    <w:rsid w:val="1C7C05DE"/>
    <w:rsid w:val="1C9A5DE9"/>
    <w:rsid w:val="1CC452D1"/>
    <w:rsid w:val="1CD71393"/>
    <w:rsid w:val="1CE514CE"/>
    <w:rsid w:val="1CF1097A"/>
    <w:rsid w:val="1CFA715C"/>
    <w:rsid w:val="1D252596"/>
    <w:rsid w:val="1D267C0C"/>
    <w:rsid w:val="1D3F33CB"/>
    <w:rsid w:val="1D4359F9"/>
    <w:rsid w:val="1D482BCD"/>
    <w:rsid w:val="1D560967"/>
    <w:rsid w:val="1D5954E8"/>
    <w:rsid w:val="1D596860"/>
    <w:rsid w:val="1D857A99"/>
    <w:rsid w:val="1DBA0209"/>
    <w:rsid w:val="1DBC36AC"/>
    <w:rsid w:val="1DD471B2"/>
    <w:rsid w:val="1DF20496"/>
    <w:rsid w:val="1E2829C3"/>
    <w:rsid w:val="1E44616A"/>
    <w:rsid w:val="1E467D02"/>
    <w:rsid w:val="1E6B00F4"/>
    <w:rsid w:val="1E86447E"/>
    <w:rsid w:val="1EDB6EFF"/>
    <w:rsid w:val="1EF90FE1"/>
    <w:rsid w:val="1F00146B"/>
    <w:rsid w:val="1F073140"/>
    <w:rsid w:val="1F0A752F"/>
    <w:rsid w:val="1F0C3362"/>
    <w:rsid w:val="1F1E1513"/>
    <w:rsid w:val="1F25561D"/>
    <w:rsid w:val="1F3A338B"/>
    <w:rsid w:val="1F3E1C6C"/>
    <w:rsid w:val="1F475C7E"/>
    <w:rsid w:val="1F4E12F7"/>
    <w:rsid w:val="1F553C0F"/>
    <w:rsid w:val="1F8A58D9"/>
    <w:rsid w:val="1F99614A"/>
    <w:rsid w:val="1FB11935"/>
    <w:rsid w:val="1FC41673"/>
    <w:rsid w:val="1FEA236B"/>
    <w:rsid w:val="1FF10532"/>
    <w:rsid w:val="1FF57005"/>
    <w:rsid w:val="1FFC357E"/>
    <w:rsid w:val="20055DDE"/>
    <w:rsid w:val="200B0D0C"/>
    <w:rsid w:val="203243EC"/>
    <w:rsid w:val="205A7B81"/>
    <w:rsid w:val="205C4361"/>
    <w:rsid w:val="20702867"/>
    <w:rsid w:val="20B25E89"/>
    <w:rsid w:val="20D631E0"/>
    <w:rsid w:val="20F82046"/>
    <w:rsid w:val="211D16A5"/>
    <w:rsid w:val="212E7189"/>
    <w:rsid w:val="21422C02"/>
    <w:rsid w:val="21592DF3"/>
    <w:rsid w:val="217F3BE8"/>
    <w:rsid w:val="219E096D"/>
    <w:rsid w:val="21BA326A"/>
    <w:rsid w:val="21BF3A46"/>
    <w:rsid w:val="21CC25FC"/>
    <w:rsid w:val="21D50E96"/>
    <w:rsid w:val="21FD24F4"/>
    <w:rsid w:val="22091684"/>
    <w:rsid w:val="220E656D"/>
    <w:rsid w:val="222A7678"/>
    <w:rsid w:val="226A2545"/>
    <w:rsid w:val="22704DC2"/>
    <w:rsid w:val="22710055"/>
    <w:rsid w:val="2284639F"/>
    <w:rsid w:val="22881DE5"/>
    <w:rsid w:val="22B703E2"/>
    <w:rsid w:val="22BF4D41"/>
    <w:rsid w:val="22C26219"/>
    <w:rsid w:val="22F02C4D"/>
    <w:rsid w:val="23304703"/>
    <w:rsid w:val="234554AE"/>
    <w:rsid w:val="23547E04"/>
    <w:rsid w:val="235D5973"/>
    <w:rsid w:val="236E5A50"/>
    <w:rsid w:val="2376561B"/>
    <w:rsid w:val="237A2A0F"/>
    <w:rsid w:val="237F4E9C"/>
    <w:rsid w:val="238935AA"/>
    <w:rsid w:val="239C3BDB"/>
    <w:rsid w:val="23BB01CA"/>
    <w:rsid w:val="23CE528B"/>
    <w:rsid w:val="23D0155F"/>
    <w:rsid w:val="24024DB5"/>
    <w:rsid w:val="240C6D84"/>
    <w:rsid w:val="24364DD4"/>
    <w:rsid w:val="243707C0"/>
    <w:rsid w:val="244917D1"/>
    <w:rsid w:val="244E0118"/>
    <w:rsid w:val="244E78B1"/>
    <w:rsid w:val="245B4375"/>
    <w:rsid w:val="245D5F44"/>
    <w:rsid w:val="24A140F3"/>
    <w:rsid w:val="24D02ACC"/>
    <w:rsid w:val="24E306F3"/>
    <w:rsid w:val="24E375FF"/>
    <w:rsid w:val="24EC569F"/>
    <w:rsid w:val="24EE45C3"/>
    <w:rsid w:val="24F02E01"/>
    <w:rsid w:val="25011874"/>
    <w:rsid w:val="25072B12"/>
    <w:rsid w:val="25214C7E"/>
    <w:rsid w:val="25410CE3"/>
    <w:rsid w:val="25463E57"/>
    <w:rsid w:val="2562346B"/>
    <w:rsid w:val="258439DB"/>
    <w:rsid w:val="258505AA"/>
    <w:rsid w:val="25891248"/>
    <w:rsid w:val="25896A3B"/>
    <w:rsid w:val="25AB22BC"/>
    <w:rsid w:val="25B04715"/>
    <w:rsid w:val="25C25BEF"/>
    <w:rsid w:val="25D462F8"/>
    <w:rsid w:val="25D72965"/>
    <w:rsid w:val="25E56F3A"/>
    <w:rsid w:val="26057E6A"/>
    <w:rsid w:val="262F658F"/>
    <w:rsid w:val="263B318A"/>
    <w:rsid w:val="264864BA"/>
    <w:rsid w:val="265313D6"/>
    <w:rsid w:val="266C4F36"/>
    <w:rsid w:val="26822D13"/>
    <w:rsid w:val="26950106"/>
    <w:rsid w:val="269C4AC7"/>
    <w:rsid w:val="26B261E7"/>
    <w:rsid w:val="26B95286"/>
    <w:rsid w:val="26BC2F0F"/>
    <w:rsid w:val="26BE187A"/>
    <w:rsid w:val="26E30E57"/>
    <w:rsid w:val="27145FFE"/>
    <w:rsid w:val="272346DD"/>
    <w:rsid w:val="275760B7"/>
    <w:rsid w:val="27677E84"/>
    <w:rsid w:val="27A82C4D"/>
    <w:rsid w:val="27B018C9"/>
    <w:rsid w:val="27C85041"/>
    <w:rsid w:val="284C01A7"/>
    <w:rsid w:val="28522ACE"/>
    <w:rsid w:val="28620B60"/>
    <w:rsid w:val="286607F6"/>
    <w:rsid w:val="286B76FB"/>
    <w:rsid w:val="287354B2"/>
    <w:rsid w:val="28795568"/>
    <w:rsid w:val="287B3E17"/>
    <w:rsid w:val="28AB3E2A"/>
    <w:rsid w:val="28AC7452"/>
    <w:rsid w:val="28C224B1"/>
    <w:rsid w:val="28E75449"/>
    <w:rsid w:val="293012EC"/>
    <w:rsid w:val="297137DF"/>
    <w:rsid w:val="298A188C"/>
    <w:rsid w:val="298F54EB"/>
    <w:rsid w:val="299C161B"/>
    <w:rsid w:val="29A128AB"/>
    <w:rsid w:val="29BC46F8"/>
    <w:rsid w:val="29C953EE"/>
    <w:rsid w:val="29CB45C9"/>
    <w:rsid w:val="29DB7002"/>
    <w:rsid w:val="29DC7B54"/>
    <w:rsid w:val="29DD1391"/>
    <w:rsid w:val="29E605A8"/>
    <w:rsid w:val="2A08656C"/>
    <w:rsid w:val="2A2458D3"/>
    <w:rsid w:val="2A375E49"/>
    <w:rsid w:val="2A832329"/>
    <w:rsid w:val="2AA21AB8"/>
    <w:rsid w:val="2AF371C1"/>
    <w:rsid w:val="2AF8523E"/>
    <w:rsid w:val="2B1B5873"/>
    <w:rsid w:val="2B5F0136"/>
    <w:rsid w:val="2B6E7704"/>
    <w:rsid w:val="2B707887"/>
    <w:rsid w:val="2B78192F"/>
    <w:rsid w:val="2B934ACF"/>
    <w:rsid w:val="2BB96364"/>
    <w:rsid w:val="2BE164B3"/>
    <w:rsid w:val="2BE70E8F"/>
    <w:rsid w:val="2BE747ED"/>
    <w:rsid w:val="2C0547F8"/>
    <w:rsid w:val="2C0C4132"/>
    <w:rsid w:val="2C2438D3"/>
    <w:rsid w:val="2C253D3E"/>
    <w:rsid w:val="2C28685E"/>
    <w:rsid w:val="2C371D9C"/>
    <w:rsid w:val="2C3C21E2"/>
    <w:rsid w:val="2CA07C5F"/>
    <w:rsid w:val="2CC052F4"/>
    <w:rsid w:val="2CC2258F"/>
    <w:rsid w:val="2CC85E67"/>
    <w:rsid w:val="2CDC535C"/>
    <w:rsid w:val="2CDF6CAD"/>
    <w:rsid w:val="2CE168B9"/>
    <w:rsid w:val="2CE863A1"/>
    <w:rsid w:val="2D0B79B2"/>
    <w:rsid w:val="2D126332"/>
    <w:rsid w:val="2D133274"/>
    <w:rsid w:val="2D7E77DD"/>
    <w:rsid w:val="2DA34052"/>
    <w:rsid w:val="2DBF2A99"/>
    <w:rsid w:val="2DC275E3"/>
    <w:rsid w:val="2DED1153"/>
    <w:rsid w:val="2DF46710"/>
    <w:rsid w:val="2E036FD7"/>
    <w:rsid w:val="2E122830"/>
    <w:rsid w:val="2E205A1B"/>
    <w:rsid w:val="2E7212B2"/>
    <w:rsid w:val="2E727E3F"/>
    <w:rsid w:val="2E935E46"/>
    <w:rsid w:val="2EA063D6"/>
    <w:rsid w:val="2EAC2CF8"/>
    <w:rsid w:val="2EDD2B9B"/>
    <w:rsid w:val="2EE51FD3"/>
    <w:rsid w:val="2EF12B15"/>
    <w:rsid w:val="2F020930"/>
    <w:rsid w:val="2F096719"/>
    <w:rsid w:val="2F2738FD"/>
    <w:rsid w:val="2F71188C"/>
    <w:rsid w:val="2F89487B"/>
    <w:rsid w:val="2F903D32"/>
    <w:rsid w:val="2FB35FDD"/>
    <w:rsid w:val="2FF24447"/>
    <w:rsid w:val="2FF86D25"/>
    <w:rsid w:val="30017F98"/>
    <w:rsid w:val="30400910"/>
    <w:rsid w:val="30623CDE"/>
    <w:rsid w:val="30753343"/>
    <w:rsid w:val="3097589A"/>
    <w:rsid w:val="30AB6D04"/>
    <w:rsid w:val="30B7085D"/>
    <w:rsid w:val="30BB3224"/>
    <w:rsid w:val="30D30670"/>
    <w:rsid w:val="30D3576B"/>
    <w:rsid w:val="30DB78F0"/>
    <w:rsid w:val="30DF3FB0"/>
    <w:rsid w:val="30E869E9"/>
    <w:rsid w:val="30F6542D"/>
    <w:rsid w:val="311F1939"/>
    <w:rsid w:val="313C38E6"/>
    <w:rsid w:val="313D75F9"/>
    <w:rsid w:val="314D0B7E"/>
    <w:rsid w:val="315235AA"/>
    <w:rsid w:val="31620A80"/>
    <w:rsid w:val="31C50D54"/>
    <w:rsid w:val="31E34CEF"/>
    <w:rsid w:val="31E768EC"/>
    <w:rsid w:val="320423E9"/>
    <w:rsid w:val="32481AB1"/>
    <w:rsid w:val="324B71D5"/>
    <w:rsid w:val="32617E3E"/>
    <w:rsid w:val="32927276"/>
    <w:rsid w:val="329F1CBB"/>
    <w:rsid w:val="32E00FFC"/>
    <w:rsid w:val="32E16BBF"/>
    <w:rsid w:val="32EE04FB"/>
    <w:rsid w:val="32EF00AB"/>
    <w:rsid w:val="331648C1"/>
    <w:rsid w:val="332E57EA"/>
    <w:rsid w:val="3341228F"/>
    <w:rsid w:val="33541C16"/>
    <w:rsid w:val="335C278F"/>
    <w:rsid w:val="336D3191"/>
    <w:rsid w:val="3389021F"/>
    <w:rsid w:val="33923DDD"/>
    <w:rsid w:val="33936259"/>
    <w:rsid w:val="33977571"/>
    <w:rsid w:val="339776ED"/>
    <w:rsid w:val="33991F29"/>
    <w:rsid w:val="33A71DED"/>
    <w:rsid w:val="33C83E65"/>
    <w:rsid w:val="33CB51EE"/>
    <w:rsid w:val="33D50E93"/>
    <w:rsid w:val="33E74C87"/>
    <w:rsid w:val="33ED7A28"/>
    <w:rsid w:val="33F4615E"/>
    <w:rsid w:val="34077D5F"/>
    <w:rsid w:val="34115A0E"/>
    <w:rsid w:val="343B31E6"/>
    <w:rsid w:val="343D2E16"/>
    <w:rsid w:val="3482126F"/>
    <w:rsid w:val="34BA33AF"/>
    <w:rsid w:val="34BC4FE9"/>
    <w:rsid w:val="34C141E8"/>
    <w:rsid w:val="34C937DB"/>
    <w:rsid w:val="34CE10E5"/>
    <w:rsid w:val="34D53804"/>
    <w:rsid w:val="34EE65A6"/>
    <w:rsid w:val="3519265C"/>
    <w:rsid w:val="351C5C21"/>
    <w:rsid w:val="35563DDC"/>
    <w:rsid w:val="35702B6A"/>
    <w:rsid w:val="3583340C"/>
    <w:rsid w:val="35861744"/>
    <w:rsid w:val="358B5C35"/>
    <w:rsid w:val="35950B21"/>
    <w:rsid w:val="35A63CD8"/>
    <w:rsid w:val="35AA6394"/>
    <w:rsid w:val="35DC18CB"/>
    <w:rsid w:val="35F76307"/>
    <w:rsid w:val="35F97661"/>
    <w:rsid w:val="36163FD4"/>
    <w:rsid w:val="361669A5"/>
    <w:rsid w:val="3633228C"/>
    <w:rsid w:val="363730BF"/>
    <w:rsid w:val="363F43F8"/>
    <w:rsid w:val="36571285"/>
    <w:rsid w:val="367B3626"/>
    <w:rsid w:val="36822D6F"/>
    <w:rsid w:val="36A611E0"/>
    <w:rsid w:val="36B76341"/>
    <w:rsid w:val="370B7FBD"/>
    <w:rsid w:val="370D2064"/>
    <w:rsid w:val="372C75F9"/>
    <w:rsid w:val="3738571B"/>
    <w:rsid w:val="373E7AC3"/>
    <w:rsid w:val="374602C4"/>
    <w:rsid w:val="375509FB"/>
    <w:rsid w:val="376B0517"/>
    <w:rsid w:val="378E453E"/>
    <w:rsid w:val="379F05A6"/>
    <w:rsid w:val="37C54FCD"/>
    <w:rsid w:val="37CB3F37"/>
    <w:rsid w:val="37D071E5"/>
    <w:rsid w:val="37DA2AFD"/>
    <w:rsid w:val="37DC3032"/>
    <w:rsid w:val="37E368B4"/>
    <w:rsid w:val="37FC7648"/>
    <w:rsid w:val="3806571A"/>
    <w:rsid w:val="380E5FBF"/>
    <w:rsid w:val="383E4527"/>
    <w:rsid w:val="383E5657"/>
    <w:rsid w:val="38557A95"/>
    <w:rsid w:val="38580A1A"/>
    <w:rsid w:val="385D1C36"/>
    <w:rsid w:val="388A034E"/>
    <w:rsid w:val="389B62E3"/>
    <w:rsid w:val="38BB4459"/>
    <w:rsid w:val="38C30EAE"/>
    <w:rsid w:val="38CC6E91"/>
    <w:rsid w:val="38DE2F70"/>
    <w:rsid w:val="38EF622B"/>
    <w:rsid w:val="39116752"/>
    <w:rsid w:val="39320F30"/>
    <w:rsid w:val="39373754"/>
    <w:rsid w:val="399C5B79"/>
    <w:rsid w:val="39B900A4"/>
    <w:rsid w:val="39B93576"/>
    <w:rsid w:val="39D61144"/>
    <w:rsid w:val="3A0452DA"/>
    <w:rsid w:val="3A096A16"/>
    <w:rsid w:val="3A2706FA"/>
    <w:rsid w:val="3A281684"/>
    <w:rsid w:val="3A502D6B"/>
    <w:rsid w:val="3A9579FE"/>
    <w:rsid w:val="3A9F6F99"/>
    <w:rsid w:val="3AAD1CE0"/>
    <w:rsid w:val="3ADF115B"/>
    <w:rsid w:val="3AF00FAB"/>
    <w:rsid w:val="3AF6255B"/>
    <w:rsid w:val="3B2E2BD5"/>
    <w:rsid w:val="3B413D41"/>
    <w:rsid w:val="3B6175C8"/>
    <w:rsid w:val="3B74331C"/>
    <w:rsid w:val="3B9C4E91"/>
    <w:rsid w:val="3B9D6283"/>
    <w:rsid w:val="3BA81768"/>
    <w:rsid w:val="3BE11EB4"/>
    <w:rsid w:val="3BFD7F93"/>
    <w:rsid w:val="3C4967AD"/>
    <w:rsid w:val="3C665F2A"/>
    <w:rsid w:val="3C6D673D"/>
    <w:rsid w:val="3C7A4FC0"/>
    <w:rsid w:val="3C840EB1"/>
    <w:rsid w:val="3C8A37FD"/>
    <w:rsid w:val="3C990C83"/>
    <w:rsid w:val="3C9F62BC"/>
    <w:rsid w:val="3CA369BA"/>
    <w:rsid w:val="3CBB04B5"/>
    <w:rsid w:val="3CDD1947"/>
    <w:rsid w:val="3CF03080"/>
    <w:rsid w:val="3CF539BD"/>
    <w:rsid w:val="3D0A596C"/>
    <w:rsid w:val="3D0C0D77"/>
    <w:rsid w:val="3D0E6760"/>
    <w:rsid w:val="3D1A2D9F"/>
    <w:rsid w:val="3D3D302C"/>
    <w:rsid w:val="3D4E2DA2"/>
    <w:rsid w:val="3D58052C"/>
    <w:rsid w:val="3D726028"/>
    <w:rsid w:val="3D823CB5"/>
    <w:rsid w:val="3DA15EB2"/>
    <w:rsid w:val="3DBF4198"/>
    <w:rsid w:val="3DCE0DCE"/>
    <w:rsid w:val="3DDC3340"/>
    <w:rsid w:val="3E087C54"/>
    <w:rsid w:val="3E133E5B"/>
    <w:rsid w:val="3E15628F"/>
    <w:rsid w:val="3E6E3B23"/>
    <w:rsid w:val="3E6F1651"/>
    <w:rsid w:val="3E724AA4"/>
    <w:rsid w:val="3E741FFD"/>
    <w:rsid w:val="3E974BD8"/>
    <w:rsid w:val="3E981C2D"/>
    <w:rsid w:val="3EB40AF6"/>
    <w:rsid w:val="3EBA71E5"/>
    <w:rsid w:val="3EBE55FA"/>
    <w:rsid w:val="3ED712F9"/>
    <w:rsid w:val="3EE86A55"/>
    <w:rsid w:val="3F0635C4"/>
    <w:rsid w:val="3F2A0C29"/>
    <w:rsid w:val="3F2B7256"/>
    <w:rsid w:val="3F2F4D23"/>
    <w:rsid w:val="3F41371D"/>
    <w:rsid w:val="3F61241A"/>
    <w:rsid w:val="3F6D2528"/>
    <w:rsid w:val="3F833AFC"/>
    <w:rsid w:val="3F891C1C"/>
    <w:rsid w:val="3F953232"/>
    <w:rsid w:val="3F9E5445"/>
    <w:rsid w:val="3FA92230"/>
    <w:rsid w:val="3FAC7CD8"/>
    <w:rsid w:val="3FAE4F4B"/>
    <w:rsid w:val="3FC510CA"/>
    <w:rsid w:val="3FDE7DA4"/>
    <w:rsid w:val="3FFC4FDA"/>
    <w:rsid w:val="40235AB9"/>
    <w:rsid w:val="406631A7"/>
    <w:rsid w:val="40807CB8"/>
    <w:rsid w:val="40856819"/>
    <w:rsid w:val="40C65821"/>
    <w:rsid w:val="40C6621C"/>
    <w:rsid w:val="40D41C42"/>
    <w:rsid w:val="40D43521"/>
    <w:rsid w:val="40DD7916"/>
    <w:rsid w:val="411503CA"/>
    <w:rsid w:val="412920DA"/>
    <w:rsid w:val="4133527F"/>
    <w:rsid w:val="413856AC"/>
    <w:rsid w:val="415303F8"/>
    <w:rsid w:val="41561E0B"/>
    <w:rsid w:val="415C4B2D"/>
    <w:rsid w:val="41612669"/>
    <w:rsid w:val="41673333"/>
    <w:rsid w:val="419376B1"/>
    <w:rsid w:val="419757F5"/>
    <w:rsid w:val="41BA695D"/>
    <w:rsid w:val="41BD3624"/>
    <w:rsid w:val="41E345DD"/>
    <w:rsid w:val="41EA3C70"/>
    <w:rsid w:val="41FF0761"/>
    <w:rsid w:val="421631E4"/>
    <w:rsid w:val="421F071D"/>
    <w:rsid w:val="42340A58"/>
    <w:rsid w:val="42347221"/>
    <w:rsid w:val="42434CBF"/>
    <w:rsid w:val="42645BBA"/>
    <w:rsid w:val="429662D6"/>
    <w:rsid w:val="42A60985"/>
    <w:rsid w:val="42CA1113"/>
    <w:rsid w:val="42CF58CC"/>
    <w:rsid w:val="42E82D1C"/>
    <w:rsid w:val="42E90F6A"/>
    <w:rsid w:val="42F06F25"/>
    <w:rsid w:val="43003A0E"/>
    <w:rsid w:val="432871EF"/>
    <w:rsid w:val="43514706"/>
    <w:rsid w:val="435D5F94"/>
    <w:rsid w:val="437E5484"/>
    <w:rsid w:val="438B2CA9"/>
    <w:rsid w:val="43AA5B39"/>
    <w:rsid w:val="43E12EC2"/>
    <w:rsid w:val="43F844AD"/>
    <w:rsid w:val="44075A03"/>
    <w:rsid w:val="44277ED7"/>
    <w:rsid w:val="44324C8A"/>
    <w:rsid w:val="443C1749"/>
    <w:rsid w:val="44471C98"/>
    <w:rsid w:val="444A0B71"/>
    <w:rsid w:val="446328CD"/>
    <w:rsid w:val="447E1751"/>
    <w:rsid w:val="44924B39"/>
    <w:rsid w:val="44932D89"/>
    <w:rsid w:val="44946DDA"/>
    <w:rsid w:val="44B61D5E"/>
    <w:rsid w:val="44C80114"/>
    <w:rsid w:val="44DA2AC6"/>
    <w:rsid w:val="44E03D0B"/>
    <w:rsid w:val="45002EA5"/>
    <w:rsid w:val="450E1F5C"/>
    <w:rsid w:val="45194331"/>
    <w:rsid w:val="45236E0B"/>
    <w:rsid w:val="45390D64"/>
    <w:rsid w:val="45687078"/>
    <w:rsid w:val="456B20F5"/>
    <w:rsid w:val="458829E7"/>
    <w:rsid w:val="459667C6"/>
    <w:rsid w:val="45A368A4"/>
    <w:rsid w:val="45B95987"/>
    <w:rsid w:val="45BD2FAB"/>
    <w:rsid w:val="45EA0510"/>
    <w:rsid w:val="46310CAD"/>
    <w:rsid w:val="464C39DA"/>
    <w:rsid w:val="465D4EF5"/>
    <w:rsid w:val="46624FA4"/>
    <w:rsid w:val="466C4BEA"/>
    <w:rsid w:val="467320D5"/>
    <w:rsid w:val="46747424"/>
    <w:rsid w:val="46824A5F"/>
    <w:rsid w:val="468C1CD5"/>
    <w:rsid w:val="469A5CCF"/>
    <w:rsid w:val="46CD78FC"/>
    <w:rsid w:val="46CE3565"/>
    <w:rsid w:val="46E60441"/>
    <w:rsid w:val="46ED18D0"/>
    <w:rsid w:val="47071018"/>
    <w:rsid w:val="470764DF"/>
    <w:rsid w:val="470A573D"/>
    <w:rsid w:val="470A58A0"/>
    <w:rsid w:val="47223651"/>
    <w:rsid w:val="473B1434"/>
    <w:rsid w:val="474F0829"/>
    <w:rsid w:val="47545C4C"/>
    <w:rsid w:val="475525AA"/>
    <w:rsid w:val="47873380"/>
    <w:rsid w:val="47886CF8"/>
    <w:rsid w:val="478D45DF"/>
    <w:rsid w:val="47992B29"/>
    <w:rsid w:val="47C134D8"/>
    <w:rsid w:val="47D34049"/>
    <w:rsid w:val="47E60D1F"/>
    <w:rsid w:val="48164F39"/>
    <w:rsid w:val="481B229C"/>
    <w:rsid w:val="48234B9C"/>
    <w:rsid w:val="483C0009"/>
    <w:rsid w:val="484026E8"/>
    <w:rsid w:val="484F2FEE"/>
    <w:rsid w:val="484F3823"/>
    <w:rsid w:val="484F3AD0"/>
    <w:rsid w:val="487D2EC8"/>
    <w:rsid w:val="48971ED1"/>
    <w:rsid w:val="48AF51A5"/>
    <w:rsid w:val="48D07977"/>
    <w:rsid w:val="48D31C73"/>
    <w:rsid w:val="48E329F9"/>
    <w:rsid w:val="48EC7E3A"/>
    <w:rsid w:val="490A6111"/>
    <w:rsid w:val="49110687"/>
    <w:rsid w:val="49324250"/>
    <w:rsid w:val="49450868"/>
    <w:rsid w:val="49511B94"/>
    <w:rsid w:val="49531EDA"/>
    <w:rsid w:val="4967499D"/>
    <w:rsid w:val="49780BFE"/>
    <w:rsid w:val="49835C2B"/>
    <w:rsid w:val="498619F2"/>
    <w:rsid w:val="49895721"/>
    <w:rsid w:val="49930127"/>
    <w:rsid w:val="49A22CCA"/>
    <w:rsid w:val="49BB1356"/>
    <w:rsid w:val="49CD0AB4"/>
    <w:rsid w:val="49CE55C8"/>
    <w:rsid w:val="49E5549B"/>
    <w:rsid w:val="49F876C9"/>
    <w:rsid w:val="4A096E28"/>
    <w:rsid w:val="4A19788D"/>
    <w:rsid w:val="4A365AA3"/>
    <w:rsid w:val="4A4A5A8B"/>
    <w:rsid w:val="4A572F47"/>
    <w:rsid w:val="4A700EDD"/>
    <w:rsid w:val="4A7B01D6"/>
    <w:rsid w:val="4A934DA2"/>
    <w:rsid w:val="4AA254E8"/>
    <w:rsid w:val="4AAE2A2E"/>
    <w:rsid w:val="4AB61C86"/>
    <w:rsid w:val="4AC27F9F"/>
    <w:rsid w:val="4ACA7F95"/>
    <w:rsid w:val="4AFB50D6"/>
    <w:rsid w:val="4B073E9D"/>
    <w:rsid w:val="4B0C2895"/>
    <w:rsid w:val="4B110007"/>
    <w:rsid w:val="4B517D94"/>
    <w:rsid w:val="4B564C18"/>
    <w:rsid w:val="4B6D3C69"/>
    <w:rsid w:val="4B920DAC"/>
    <w:rsid w:val="4B952AE2"/>
    <w:rsid w:val="4BB8227C"/>
    <w:rsid w:val="4BBE3AD7"/>
    <w:rsid w:val="4BC1130D"/>
    <w:rsid w:val="4BD40CA8"/>
    <w:rsid w:val="4BE04D14"/>
    <w:rsid w:val="4BE05FBB"/>
    <w:rsid w:val="4BEA610E"/>
    <w:rsid w:val="4C0B7F6A"/>
    <w:rsid w:val="4C14171B"/>
    <w:rsid w:val="4C142EE7"/>
    <w:rsid w:val="4C1849E5"/>
    <w:rsid w:val="4C1E40AF"/>
    <w:rsid w:val="4C283C42"/>
    <w:rsid w:val="4C2C477E"/>
    <w:rsid w:val="4C2C528D"/>
    <w:rsid w:val="4C54048F"/>
    <w:rsid w:val="4C5E3086"/>
    <w:rsid w:val="4C6B123E"/>
    <w:rsid w:val="4C74705D"/>
    <w:rsid w:val="4C9141AF"/>
    <w:rsid w:val="4CD75CD3"/>
    <w:rsid w:val="4D206B20"/>
    <w:rsid w:val="4D6A300D"/>
    <w:rsid w:val="4D734EF8"/>
    <w:rsid w:val="4D7F6D80"/>
    <w:rsid w:val="4D9E522B"/>
    <w:rsid w:val="4DB81402"/>
    <w:rsid w:val="4DD120B4"/>
    <w:rsid w:val="4DDF2F77"/>
    <w:rsid w:val="4E0C5F0D"/>
    <w:rsid w:val="4E1B59C6"/>
    <w:rsid w:val="4E4356B3"/>
    <w:rsid w:val="4E461083"/>
    <w:rsid w:val="4E661E11"/>
    <w:rsid w:val="4E6E1D4B"/>
    <w:rsid w:val="4EA148AC"/>
    <w:rsid w:val="4EAD78A1"/>
    <w:rsid w:val="4EDB7E5C"/>
    <w:rsid w:val="4EED5704"/>
    <w:rsid w:val="4F0A3298"/>
    <w:rsid w:val="4F1420B3"/>
    <w:rsid w:val="4F1D42EB"/>
    <w:rsid w:val="4F2F6671"/>
    <w:rsid w:val="4F6152BE"/>
    <w:rsid w:val="4F834D8E"/>
    <w:rsid w:val="4F8B149A"/>
    <w:rsid w:val="4F944B0F"/>
    <w:rsid w:val="4F99228A"/>
    <w:rsid w:val="4F9D071D"/>
    <w:rsid w:val="4FAF78A2"/>
    <w:rsid w:val="4FD42BF5"/>
    <w:rsid w:val="4FDC2317"/>
    <w:rsid w:val="4FEE3629"/>
    <w:rsid w:val="4FF350B4"/>
    <w:rsid w:val="4FF4744F"/>
    <w:rsid w:val="500C6C4C"/>
    <w:rsid w:val="50115ABC"/>
    <w:rsid w:val="505E4EBD"/>
    <w:rsid w:val="50616074"/>
    <w:rsid w:val="50842934"/>
    <w:rsid w:val="50882B67"/>
    <w:rsid w:val="50950FEE"/>
    <w:rsid w:val="50997587"/>
    <w:rsid w:val="50C77374"/>
    <w:rsid w:val="50FF7BB6"/>
    <w:rsid w:val="51104C0F"/>
    <w:rsid w:val="513A01F6"/>
    <w:rsid w:val="51434648"/>
    <w:rsid w:val="514E3D82"/>
    <w:rsid w:val="51694755"/>
    <w:rsid w:val="517C4772"/>
    <w:rsid w:val="519E407C"/>
    <w:rsid w:val="51AE0343"/>
    <w:rsid w:val="51AF62BA"/>
    <w:rsid w:val="51BB128F"/>
    <w:rsid w:val="51BE4FE4"/>
    <w:rsid w:val="51D16D02"/>
    <w:rsid w:val="51EC2C73"/>
    <w:rsid w:val="52067F75"/>
    <w:rsid w:val="52293839"/>
    <w:rsid w:val="522F61E5"/>
    <w:rsid w:val="52374162"/>
    <w:rsid w:val="524B6001"/>
    <w:rsid w:val="52736B8F"/>
    <w:rsid w:val="52854E98"/>
    <w:rsid w:val="52A26C9C"/>
    <w:rsid w:val="52CB2C5A"/>
    <w:rsid w:val="52CD0BBD"/>
    <w:rsid w:val="52D45BF7"/>
    <w:rsid w:val="52D45F87"/>
    <w:rsid w:val="52DE683C"/>
    <w:rsid w:val="53021913"/>
    <w:rsid w:val="530B418A"/>
    <w:rsid w:val="5317504A"/>
    <w:rsid w:val="53551F80"/>
    <w:rsid w:val="53554523"/>
    <w:rsid w:val="536F4B0F"/>
    <w:rsid w:val="537D0F39"/>
    <w:rsid w:val="537E59CE"/>
    <w:rsid w:val="54441953"/>
    <w:rsid w:val="54677A2E"/>
    <w:rsid w:val="54775C2A"/>
    <w:rsid w:val="54984CEB"/>
    <w:rsid w:val="549D666B"/>
    <w:rsid w:val="54C56CCA"/>
    <w:rsid w:val="54E36E84"/>
    <w:rsid w:val="551235A2"/>
    <w:rsid w:val="553A231E"/>
    <w:rsid w:val="555D079D"/>
    <w:rsid w:val="55603097"/>
    <w:rsid w:val="55606BBF"/>
    <w:rsid w:val="55812AC5"/>
    <w:rsid w:val="55930A54"/>
    <w:rsid w:val="559741A9"/>
    <w:rsid w:val="559909AF"/>
    <w:rsid w:val="559A0D88"/>
    <w:rsid w:val="559D01E4"/>
    <w:rsid w:val="55A5243B"/>
    <w:rsid w:val="55A97CC0"/>
    <w:rsid w:val="55B73BA7"/>
    <w:rsid w:val="55BC4D18"/>
    <w:rsid w:val="55BF782E"/>
    <w:rsid w:val="55D849E8"/>
    <w:rsid w:val="55EC1C53"/>
    <w:rsid w:val="55F54CF1"/>
    <w:rsid w:val="55FD70A7"/>
    <w:rsid w:val="55FF34A9"/>
    <w:rsid w:val="56031F4C"/>
    <w:rsid w:val="560C3FE9"/>
    <w:rsid w:val="562608F6"/>
    <w:rsid w:val="56283CC3"/>
    <w:rsid w:val="562F0D00"/>
    <w:rsid w:val="569029E8"/>
    <w:rsid w:val="569628E1"/>
    <w:rsid w:val="56973CF5"/>
    <w:rsid w:val="56981334"/>
    <w:rsid w:val="569E5083"/>
    <w:rsid w:val="56D43BFF"/>
    <w:rsid w:val="56D76CAD"/>
    <w:rsid w:val="572541C0"/>
    <w:rsid w:val="578A256E"/>
    <w:rsid w:val="57BF7761"/>
    <w:rsid w:val="57C623E3"/>
    <w:rsid w:val="57D615A7"/>
    <w:rsid w:val="57EC54A7"/>
    <w:rsid w:val="57F354F0"/>
    <w:rsid w:val="57FD3531"/>
    <w:rsid w:val="582D3BA6"/>
    <w:rsid w:val="58602BBD"/>
    <w:rsid w:val="58613B7B"/>
    <w:rsid w:val="5866493F"/>
    <w:rsid w:val="586D2C11"/>
    <w:rsid w:val="58774DB7"/>
    <w:rsid w:val="58947C29"/>
    <w:rsid w:val="58DD2102"/>
    <w:rsid w:val="58EA5492"/>
    <w:rsid w:val="58EC0E03"/>
    <w:rsid w:val="58F70890"/>
    <w:rsid w:val="590D235B"/>
    <w:rsid w:val="591A7BA0"/>
    <w:rsid w:val="59267F9B"/>
    <w:rsid w:val="592E607C"/>
    <w:rsid w:val="59702A71"/>
    <w:rsid w:val="598F7A83"/>
    <w:rsid w:val="5993283A"/>
    <w:rsid w:val="599D466B"/>
    <w:rsid w:val="59AB5C30"/>
    <w:rsid w:val="5A08188C"/>
    <w:rsid w:val="5A174C8E"/>
    <w:rsid w:val="5A180C35"/>
    <w:rsid w:val="5A3659D1"/>
    <w:rsid w:val="5A3D4924"/>
    <w:rsid w:val="5A442165"/>
    <w:rsid w:val="5A4734A7"/>
    <w:rsid w:val="5A572895"/>
    <w:rsid w:val="5A5B0E5D"/>
    <w:rsid w:val="5A992184"/>
    <w:rsid w:val="5A9D3F28"/>
    <w:rsid w:val="5AA5270C"/>
    <w:rsid w:val="5AB40C1C"/>
    <w:rsid w:val="5AB86F3B"/>
    <w:rsid w:val="5ABA04E2"/>
    <w:rsid w:val="5ABD2DE8"/>
    <w:rsid w:val="5AD84228"/>
    <w:rsid w:val="5AEE6D05"/>
    <w:rsid w:val="5B1305A8"/>
    <w:rsid w:val="5B171461"/>
    <w:rsid w:val="5B30058C"/>
    <w:rsid w:val="5B413531"/>
    <w:rsid w:val="5B494D63"/>
    <w:rsid w:val="5B5373C4"/>
    <w:rsid w:val="5B5B365B"/>
    <w:rsid w:val="5B6C2000"/>
    <w:rsid w:val="5B9D6413"/>
    <w:rsid w:val="5BAF60EC"/>
    <w:rsid w:val="5BC20E75"/>
    <w:rsid w:val="5BC32E3C"/>
    <w:rsid w:val="5BD70349"/>
    <w:rsid w:val="5BFA08D7"/>
    <w:rsid w:val="5BFD1B24"/>
    <w:rsid w:val="5C186D15"/>
    <w:rsid w:val="5C28175E"/>
    <w:rsid w:val="5C311560"/>
    <w:rsid w:val="5C3761B7"/>
    <w:rsid w:val="5C42303E"/>
    <w:rsid w:val="5C77237A"/>
    <w:rsid w:val="5C8B5AEB"/>
    <w:rsid w:val="5CA40B0E"/>
    <w:rsid w:val="5CCA1FFB"/>
    <w:rsid w:val="5CDF4837"/>
    <w:rsid w:val="5CE54951"/>
    <w:rsid w:val="5CE956C1"/>
    <w:rsid w:val="5CF520C5"/>
    <w:rsid w:val="5D032F06"/>
    <w:rsid w:val="5D0B03F0"/>
    <w:rsid w:val="5D13071B"/>
    <w:rsid w:val="5D1725B5"/>
    <w:rsid w:val="5D1C0C23"/>
    <w:rsid w:val="5D38786C"/>
    <w:rsid w:val="5D3B66F4"/>
    <w:rsid w:val="5D40039C"/>
    <w:rsid w:val="5D657E02"/>
    <w:rsid w:val="5DDE6C71"/>
    <w:rsid w:val="5DF2174F"/>
    <w:rsid w:val="5E030A2E"/>
    <w:rsid w:val="5E0B1FD8"/>
    <w:rsid w:val="5E3351D5"/>
    <w:rsid w:val="5E5535E6"/>
    <w:rsid w:val="5E56753E"/>
    <w:rsid w:val="5E567B8C"/>
    <w:rsid w:val="5EDA7C72"/>
    <w:rsid w:val="5EE21446"/>
    <w:rsid w:val="5EF0700E"/>
    <w:rsid w:val="5F1261D4"/>
    <w:rsid w:val="5F3E37B6"/>
    <w:rsid w:val="5F846555"/>
    <w:rsid w:val="5F875226"/>
    <w:rsid w:val="5F996381"/>
    <w:rsid w:val="5F9C7535"/>
    <w:rsid w:val="5FCD65DA"/>
    <w:rsid w:val="5FDC70A1"/>
    <w:rsid w:val="60087AE0"/>
    <w:rsid w:val="601E50C8"/>
    <w:rsid w:val="60257A4F"/>
    <w:rsid w:val="602C6108"/>
    <w:rsid w:val="605242C5"/>
    <w:rsid w:val="605722D3"/>
    <w:rsid w:val="605E66E5"/>
    <w:rsid w:val="607E69A1"/>
    <w:rsid w:val="60851F49"/>
    <w:rsid w:val="60D73D50"/>
    <w:rsid w:val="611B4E58"/>
    <w:rsid w:val="61352412"/>
    <w:rsid w:val="61426C94"/>
    <w:rsid w:val="6146338B"/>
    <w:rsid w:val="614C596D"/>
    <w:rsid w:val="61516A09"/>
    <w:rsid w:val="6166630F"/>
    <w:rsid w:val="616D335E"/>
    <w:rsid w:val="61A51739"/>
    <w:rsid w:val="61BC1BB2"/>
    <w:rsid w:val="61C83D14"/>
    <w:rsid w:val="61DD749A"/>
    <w:rsid w:val="62064E9B"/>
    <w:rsid w:val="620665E3"/>
    <w:rsid w:val="62116BE3"/>
    <w:rsid w:val="62223656"/>
    <w:rsid w:val="62527464"/>
    <w:rsid w:val="62993A9E"/>
    <w:rsid w:val="62E30247"/>
    <w:rsid w:val="62EC2165"/>
    <w:rsid w:val="63116875"/>
    <w:rsid w:val="6328599A"/>
    <w:rsid w:val="6333605E"/>
    <w:rsid w:val="63A83812"/>
    <w:rsid w:val="63AF19B8"/>
    <w:rsid w:val="63CE1ED2"/>
    <w:rsid w:val="63D25733"/>
    <w:rsid w:val="63DB6180"/>
    <w:rsid w:val="63E87137"/>
    <w:rsid w:val="63F430C4"/>
    <w:rsid w:val="63F539AB"/>
    <w:rsid w:val="63FC03BD"/>
    <w:rsid w:val="640B192A"/>
    <w:rsid w:val="64102458"/>
    <w:rsid w:val="6457541A"/>
    <w:rsid w:val="645969FD"/>
    <w:rsid w:val="648165A9"/>
    <w:rsid w:val="649E3269"/>
    <w:rsid w:val="64A01DC1"/>
    <w:rsid w:val="64A24C6E"/>
    <w:rsid w:val="64B76CB5"/>
    <w:rsid w:val="64F61255"/>
    <w:rsid w:val="64FE5032"/>
    <w:rsid w:val="65160204"/>
    <w:rsid w:val="65202A19"/>
    <w:rsid w:val="652750E2"/>
    <w:rsid w:val="652E1960"/>
    <w:rsid w:val="65385E33"/>
    <w:rsid w:val="6556241C"/>
    <w:rsid w:val="656731E9"/>
    <w:rsid w:val="656A370D"/>
    <w:rsid w:val="65810345"/>
    <w:rsid w:val="659D38CB"/>
    <w:rsid w:val="65D41C25"/>
    <w:rsid w:val="65DF7C8E"/>
    <w:rsid w:val="65E620D3"/>
    <w:rsid w:val="65E6301D"/>
    <w:rsid w:val="65E9222C"/>
    <w:rsid w:val="661D5275"/>
    <w:rsid w:val="66370451"/>
    <w:rsid w:val="66446E59"/>
    <w:rsid w:val="66B10B88"/>
    <w:rsid w:val="66C545A9"/>
    <w:rsid w:val="66F04C41"/>
    <w:rsid w:val="66F913BC"/>
    <w:rsid w:val="67186DCC"/>
    <w:rsid w:val="67327DBC"/>
    <w:rsid w:val="675A035B"/>
    <w:rsid w:val="67601409"/>
    <w:rsid w:val="67880D48"/>
    <w:rsid w:val="678D0152"/>
    <w:rsid w:val="678F0BF4"/>
    <w:rsid w:val="67A05B7F"/>
    <w:rsid w:val="67AD3641"/>
    <w:rsid w:val="67BD4E67"/>
    <w:rsid w:val="67D31312"/>
    <w:rsid w:val="67E3185E"/>
    <w:rsid w:val="68293CDA"/>
    <w:rsid w:val="683611BB"/>
    <w:rsid w:val="688A54E6"/>
    <w:rsid w:val="68A14F7B"/>
    <w:rsid w:val="68AF2BEE"/>
    <w:rsid w:val="68B05AC9"/>
    <w:rsid w:val="68DF16AC"/>
    <w:rsid w:val="68EF6A05"/>
    <w:rsid w:val="68F11480"/>
    <w:rsid w:val="6903311A"/>
    <w:rsid w:val="692275C3"/>
    <w:rsid w:val="69312CEE"/>
    <w:rsid w:val="693930C1"/>
    <w:rsid w:val="69446348"/>
    <w:rsid w:val="696C31E9"/>
    <w:rsid w:val="698151D7"/>
    <w:rsid w:val="69A24119"/>
    <w:rsid w:val="69AA5107"/>
    <w:rsid w:val="69F47D44"/>
    <w:rsid w:val="6A0E0E09"/>
    <w:rsid w:val="6A202D94"/>
    <w:rsid w:val="6A387BEE"/>
    <w:rsid w:val="6A3A0547"/>
    <w:rsid w:val="6A4038BF"/>
    <w:rsid w:val="6A4A1357"/>
    <w:rsid w:val="6A4C4D44"/>
    <w:rsid w:val="6A4E77CE"/>
    <w:rsid w:val="6A540849"/>
    <w:rsid w:val="6AA01279"/>
    <w:rsid w:val="6AB61904"/>
    <w:rsid w:val="6AC941F8"/>
    <w:rsid w:val="6AEF4DAE"/>
    <w:rsid w:val="6B0521D2"/>
    <w:rsid w:val="6B0E3FD0"/>
    <w:rsid w:val="6B1B3EF3"/>
    <w:rsid w:val="6B2E0D2B"/>
    <w:rsid w:val="6B6B123B"/>
    <w:rsid w:val="6B6F2285"/>
    <w:rsid w:val="6B7031AF"/>
    <w:rsid w:val="6B712D66"/>
    <w:rsid w:val="6B770769"/>
    <w:rsid w:val="6B7E4E17"/>
    <w:rsid w:val="6B8A2A41"/>
    <w:rsid w:val="6B8A6654"/>
    <w:rsid w:val="6B940D8F"/>
    <w:rsid w:val="6B9E2AE7"/>
    <w:rsid w:val="6BAD5946"/>
    <w:rsid w:val="6BB55457"/>
    <w:rsid w:val="6BC876F1"/>
    <w:rsid w:val="6BD62CCE"/>
    <w:rsid w:val="6BFF7D78"/>
    <w:rsid w:val="6C341498"/>
    <w:rsid w:val="6C803EC0"/>
    <w:rsid w:val="6C8611A8"/>
    <w:rsid w:val="6CA82754"/>
    <w:rsid w:val="6CB67389"/>
    <w:rsid w:val="6CCB4126"/>
    <w:rsid w:val="6CDB78DF"/>
    <w:rsid w:val="6CDF1B38"/>
    <w:rsid w:val="6CFD3959"/>
    <w:rsid w:val="6D420243"/>
    <w:rsid w:val="6D446FD6"/>
    <w:rsid w:val="6D755594"/>
    <w:rsid w:val="6D9E1DD5"/>
    <w:rsid w:val="6DA87557"/>
    <w:rsid w:val="6E171CFB"/>
    <w:rsid w:val="6E3064D6"/>
    <w:rsid w:val="6E7D4FDF"/>
    <w:rsid w:val="6E7F369A"/>
    <w:rsid w:val="6E8D774F"/>
    <w:rsid w:val="6E96719E"/>
    <w:rsid w:val="6E9F5BF2"/>
    <w:rsid w:val="6EA171A3"/>
    <w:rsid w:val="6EA71FE9"/>
    <w:rsid w:val="6EAA4047"/>
    <w:rsid w:val="6EC309B8"/>
    <w:rsid w:val="6ED029C3"/>
    <w:rsid w:val="6F125CC5"/>
    <w:rsid w:val="6F5E0C3A"/>
    <w:rsid w:val="6F6A20EA"/>
    <w:rsid w:val="6F804F59"/>
    <w:rsid w:val="6F81494A"/>
    <w:rsid w:val="6FA22B21"/>
    <w:rsid w:val="6FA35763"/>
    <w:rsid w:val="6FAF1803"/>
    <w:rsid w:val="6FB41E49"/>
    <w:rsid w:val="6FC2654F"/>
    <w:rsid w:val="6FCC43FC"/>
    <w:rsid w:val="70217C1B"/>
    <w:rsid w:val="70991008"/>
    <w:rsid w:val="70C13E2C"/>
    <w:rsid w:val="70C559BC"/>
    <w:rsid w:val="70EF4039"/>
    <w:rsid w:val="7104254E"/>
    <w:rsid w:val="71394712"/>
    <w:rsid w:val="7169190F"/>
    <w:rsid w:val="716F674C"/>
    <w:rsid w:val="71706367"/>
    <w:rsid w:val="71B6389B"/>
    <w:rsid w:val="71BB3C68"/>
    <w:rsid w:val="71CB5DE0"/>
    <w:rsid w:val="71E62B1B"/>
    <w:rsid w:val="71ED6A50"/>
    <w:rsid w:val="71F96728"/>
    <w:rsid w:val="72193E00"/>
    <w:rsid w:val="725E5594"/>
    <w:rsid w:val="725F30CA"/>
    <w:rsid w:val="72656898"/>
    <w:rsid w:val="72A53A63"/>
    <w:rsid w:val="72A81851"/>
    <w:rsid w:val="72AC6921"/>
    <w:rsid w:val="72B6138F"/>
    <w:rsid w:val="72D2112A"/>
    <w:rsid w:val="72EC6AA7"/>
    <w:rsid w:val="72F92341"/>
    <w:rsid w:val="73223DA2"/>
    <w:rsid w:val="73487B90"/>
    <w:rsid w:val="735D2595"/>
    <w:rsid w:val="735E2934"/>
    <w:rsid w:val="7368253C"/>
    <w:rsid w:val="736A6103"/>
    <w:rsid w:val="7372703A"/>
    <w:rsid w:val="73886B5A"/>
    <w:rsid w:val="738E334B"/>
    <w:rsid w:val="73A9260F"/>
    <w:rsid w:val="73BC6B29"/>
    <w:rsid w:val="73C207E5"/>
    <w:rsid w:val="740F08FB"/>
    <w:rsid w:val="743F76F5"/>
    <w:rsid w:val="746F7478"/>
    <w:rsid w:val="748D34BD"/>
    <w:rsid w:val="74A32D65"/>
    <w:rsid w:val="74B11DF6"/>
    <w:rsid w:val="74BE0AC0"/>
    <w:rsid w:val="74E43620"/>
    <w:rsid w:val="74E80BB6"/>
    <w:rsid w:val="74EE6B63"/>
    <w:rsid w:val="7519008E"/>
    <w:rsid w:val="75222B78"/>
    <w:rsid w:val="75282F26"/>
    <w:rsid w:val="754111BF"/>
    <w:rsid w:val="75437D68"/>
    <w:rsid w:val="757E62DF"/>
    <w:rsid w:val="75835767"/>
    <w:rsid w:val="75AB2DDD"/>
    <w:rsid w:val="75B112AF"/>
    <w:rsid w:val="75DF29D4"/>
    <w:rsid w:val="76091855"/>
    <w:rsid w:val="76303158"/>
    <w:rsid w:val="76451383"/>
    <w:rsid w:val="76536655"/>
    <w:rsid w:val="767A1CD0"/>
    <w:rsid w:val="76916925"/>
    <w:rsid w:val="76E77869"/>
    <w:rsid w:val="771132CC"/>
    <w:rsid w:val="771C572B"/>
    <w:rsid w:val="77633E23"/>
    <w:rsid w:val="77916C9D"/>
    <w:rsid w:val="77A33F9B"/>
    <w:rsid w:val="77E43191"/>
    <w:rsid w:val="77E93077"/>
    <w:rsid w:val="7806197A"/>
    <w:rsid w:val="781410E0"/>
    <w:rsid w:val="78362163"/>
    <w:rsid w:val="783C3FBD"/>
    <w:rsid w:val="7870786E"/>
    <w:rsid w:val="78767F26"/>
    <w:rsid w:val="78784184"/>
    <w:rsid w:val="788B7997"/>
    <w:rsid w:val="78C824B5"/>
    <w:rsid w:val="78D06B47"/>
    <w:rsid w:val="78E51A25"/>
    <w:rsid w:val="78E64202"/>
    <w:rsid w:val="79372FB5"/>
    <w:rsid w:val="798964DC"/>
    <w:rsid w:val="79940C4A"/>
    <w:rsid w:val="79AB4F1C"/>
    <w:rsid w:val="79CD7822"/>
    <w:rsid w:val="79F75FA5"/>
    <w:rsid w:val="7A164A23"/>
    <w:rsid w:val="7A3C1E7A"/>
    <w:rsid w:val="7A666FC3"/>
    <w:rsid w:val="7A883118"/>
    <w:rsid w:val="7AA1070F"/>
    <w:rsid w:val="7AB83370"/>
    <w:rsid w:val="7AC86EED"/>
    <w:rsid w:val="7AE35544"/>
    <w:rsid w:val="7B0B5D0E"/>
    <w:rsid w:val="7B0E570F"/>
    <w:rsid w:val="7B1D1938"/>
    <w:rsid w:val="7B300B48"/>
    <w:rsid w:val="7B8837EF"/>
    <w:rsid w:val="7B8E030E"/>
    <w:rsid w:val="7BB71A5B"/>
    <w:rsid w:val="7BE40B81"/>
    <w:rsid w:val="7BF20132"/>
    <w:rsid w:val="7BF21294"/>
    <w:rsid w:val="7C5344F8"/>
    <w:rsid w:val="7C5869DF"/>
    <w:rsid w:val="7C6035A9"/>
    <w:rsid w:val="7C66098C"/>
    <w:rsid w:val="7C7B0989"/>
    <w:rsid w:val="7C8458B7"/>
    <w:rsid w:val="7CAA2D16"/>
    <w:rsid w:val="7CF52DE1"/>
    <w:rsid w:val="7CF55BDA"/>
    <w:rsid w:val="7D072384"/>
    <w:rsid w:val="7D091BE6"/>
    <w:rsid w:val="7D0D3408"/>
    <w:rsid w:val="7D2643D7"/>
    <w:rsid w:val="7D52199F"/>
    <w:rsid w:val="7D7914C7"/>
    <w:rsid w:val="7D910EA2"/>
    <w:rsid w:val="7D957E87"/>
    <w:rsid w:val="7D993B8D"/>
    <w:rsid w:val="7DA93168"/>
    <w:rsid w:val="7DBB0B18"/>
    <w:rsid w:val="7DC311F5"/>
    <w:rsid w:val="7DEB6015"/>
    <w:rsid w:val="7DEF54DE"/>
    <w:rsid w:val="7E0C7381"/>
    <w:rsid w:val="7E193E76"/>
    <w:rsid w:val="7E1B2CC5"/>
    <w:rsid w:val="7E38544D"/>
    <w:rsid w:val="7E3F084A"/>
    <w:rsid w:val="7E4A34E7"/>
    <w:rsid w:val="7E5C7C2B"/>
    <w:rsid w:val="7E89417B"/>
    <w:rsid w:val="7E962F3E"/>
    <w:rsid w:val="7E974966"/>
    <w:rsid w:val="7EF61A9F"/>
    <w:rsid w:val="7F2110F0"/>
    <w:rsid w:val="7F26569C"/>
    <w:rsid w:val="7F546A3B"/>
    <w:rsid w:val="7F5C5286"/>
    <w:rsid w:val="7FA66180"/>
    <w:rsid w:val="7FA73C6C"/>
    <w:rsid w:val="7FAB29C6"/>
    <w:rsid w:val="7FDD76EE"/>
    <w:rsid w:val="7FE44F71"/>
    <w:rsid w:val="9B7F98A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29"/>
    <w:qFormat/>
    <w:uiPriority w:val="0"/>
    <w:pPr>
      <w:keepNext/>
      <w:keepLines/>
      <w:spacing w:before="260" w:beforeLines="0" w:after="260" w:afterLines="0" w:line="416" w:lineRule="auto"/>
      <w:jc w:val="center"/>
      <w:outlineLvl w:val="2"/>
    </w:pPr>
    <w:rPr>
      <w:rFonts w:ascii="宋体" w:hAnsi="Times New Roman"/>
      <w:b/>
      <w:bCs/>
      <w:sz w:val="32"/>
      <w:szCs w:val="32"/>
    </w:rPr>
  </w:style>
  <w:style w:type="paragraph" w:styleId="3">
    <w:name w:val="heading 5"/>
    <w:basedOn w:val="1"/>
    <w:next w:val="1"/>
    <w:link w:val="30"/>
    <w:qFormat/>
    <w:uiPriority w:val="9"/>
    <w:pPr>
      <w:keepNext/>
      <w:keepLines/>
      <w:spacing w:before="280" w:after="290" w:line="376" w:lineRule="auto"/>
      <w:outlineLvl w:val="4"/>
    </w:pPr>
    <w:rPr>
      <w:b/>
      <w:bCs/>
      <w:sz w:val="28"/>
      <w:szCs w:val="28"/>
    </w:rPr>
  </w:style>
  <w:style w:type="character" w:default="1" w:styleId="14">
    <w:name w:val="Default Paragraph Font"/>
    <w:semiHidden/>
    <w:qFormat/>
    <w:uiPriority w:val="0"/>
  </w:style>
  <w:style w:type="table" w:default="1" w:styleId="19">
    <w:name w:val="Normal Table"/>
    <w:unhideWhenUsed/>
    <w:qFormat/>
    <w:uiPriority w:val="99"/>
    <w:tblPr>
      <w:tblStyle w:val="19"/>
      <w:tblLayout w:type="fixed"/>
      <w:tblCellMar>
        <w:top w:w="0" w:type="dxa"/>
        <w:left w:w="108" w:type="dxa"/>
        <w:bottom w:w="0" w:type="dxa"/>
        <w:right w:w="108" w:type="dxa"/>
      </w:tblCellMar>
    </w:tblPr>
    <w:tcPr>
      <w:textDirection w:val="lrTb"/>
    </w:tcPr>
  </w:style>
  <w:style w:type="paragraph" w:styleId="4">
    <w:name w:val="annotation subject"/>
    <w:basedOn w:val="5"/>
    <w:next w:val="5"/>
    <w:link w:val="36"/>
    <w:qFormat/>
    <w:uiPriority w:val="0"/>
    <w:rPr>
      <w:b/>
      <w:bCs/>
    </w:rPr>
  </w:style>
  <w:style w:type="paragraph" w:styleId="5">
    <w:name w:val="annotation text"/>
    <w:basedOn w:val="1"/>
    <w:link w:val="31"/>
    <w:qFormat/>
    <w:uiPriority w:val="0"/>
    <w:pPr>
      <w:jc w:val="left"/>
    </w:pPr>
    <w:rPr>
      <w:rFonts w:ascii="Times New Roman" w:hAnsi="Times New Roman"/>
    </w:rPr>
  </w:style>
  <w:style w:type="paragraph" w:styleId="6">
    <w:name w:val="Document Map"/>
    <w:basedOn w:val="1"/>
    <w:semiHidden/>
    <w:qFormat/>
    <w:uiPriority w:val="0"/>
    <w:pPr>
      <w:shd w:val="clear" w:color="auto" w:fill="000080"/>
    </w:pPr>
  </w:style>
  <w:style w:type="paragraph" w:styleId="7">
    <w:name w:val="Body Text Indent"/>
    <w:basedOn w:val="1"/>
    <w:link w:val="32"/>
    <w:qFormat/>
    <w:uiPriority w:val="0"/>
    <w:pPr>
      <w:ind w:firstLine="560" w:firstLineChars="200"/>
    </w:pPr>
    <w:rPr>
      <w:rFonts w:ascii="Times New Roman" w:hAnsi="Times New Roman"/>
      <w:sz w:val="28"/>
    </w:rPr>
  </w:style>
  <w:style w:type="paragraph" w:styleId="8">
    <w:name w:val="Plain Text"/>
    <w:basedOn w:val="1"/>
    <w:link w:val="33"/>
    <w:qFormat/>
    <w:uiPriority w:val="0"/>
    <w:rPr>
      <w:rFonts w:ascii="宋体" w:hAnsi="Courier New"/>
      <w:spacing w:val="-20"/>
      <w:w w:val="50"/>
      <w:szCs w:val="20"/>
    </w:rPr>
  </w:style>
  <w:style w:type="paragraph" w:styleId="9">
    <w:name w:val="Date"/>
    <w:basedOn w:val="1"/>
    <w:next w:val="1"/>
    <w:link w:val="34"/>
    <w:qFormat/>
    <w:uiPriority w:val="0"/>
    <w:rPr>
      <w:rFonts w:ascii="Times New Roman" w:hAnsi="Times New Roman"/>
      <w:b/>
      <w:sz w:val="28"/>
      <w:szCs w:val="20"/>
    </w:rPr>
  </w:style>
  <w:style w:type="paragraph" w:styleId="10">
    <w:name w:val="Balloon Text"/>
    <w:basedOn w:val="1"/>
    <w:link w:val="35"/>
    <w:qFormat/>
    <w:uiPriority w:val="0"/>
    <w:rPr>
      <w:rFonts w:ascii="Times New Roman" w:hAnsi="Times New Roman"/>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10"/>
    <w:pPr>
      <w:widowControl/>
      <w:spacing w:after="240" w:line="360" w:lineRule="auto"/>
      <w:jc w:val="center"/>
    </w:pPr>
    <w:rPr>
      <w:rFonts w:ascii="Arial" w:hAnsi="Arial"/>
      <w:b/>
      <w:smallCaps/>
      <w:kern w:val="28"/>
      <w:sz w:val="36"/>
      <w:lang w:eastAsia="en-US"/>
    </w:rPr>
  </w:style>
  <w:style w:type="character" w:styleId="15">
    <w:name w:val="Strong"/>
    <w:qFormat/>
    <w:uiPriority w:val="0"/>
    <w:rPr>
      <w:b/>
    </w:rPr>
  </w:style>
  <w:style w:type="character" w:styleId="16">
    <w:name w:val="page number"/>
    <w:basedOn w:val="14"/>
    <w:qFormat/>
    <w:uiPriority w:val="0"/>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table" w:styleId="20">
    <w:name w:val="Table Grid"/>
    <w:basedOn w:val="19"/>
    <w:qFormat/>
    <w:uiPriority w:val="59"/>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1">
    <w:name w:val="_Style 20"/>
    <w:basedOn w:val="1"/>
    <w:link w:val="37"/>
    <w:qFormat/>
    <w:uiPriority w:val="34"/>
    <w:pPr>
      <w:ind w:firstLine="420" w:firstLineChars="200"/>
    </w:pPr>
    <w:rPr>
      <w:szCs w:val="20"/>
    </w:rPr>
  </w:style>
  <w:style w:type="paragraph" w:customStyle="1" w:styleId="22">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23">
    <w:name w:val=" Char"/>
    <w:basedOn w:val="1"/>
    <w:qFormat/>
    <w:uiPriority w:val="0"/>
    <w:pPr>
      <w:spacing w:line="360" w:lineRule="auto"/>
    </w:pPr>
    <w:rPr>
      <w:rFonts w:ascii="Tahoma" w:hAnsi="Tahoma"/>
      <w:sz w:val="24"/>
      <w:szCs w:val="20"/>
    </w:rPr>
  </w:style>
  <w:style w:type="paragraph" w:customStyle="1" w:styleId="24">
    <w:name w:val="xl3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25">
    <w:name w:val="p0"/>
    <w:basedOn w:val="1"/>
    <w:qFormat/>
    <w:uiPriority w:val="0"/>
    <w:pPr>
      <w:widowControl/>
    </w:pPr>
    <w:rPr>
      <w:kern w:val="0"/>
      <w:szCs w:val="21"/>
    </w:rPr>
  </w:style>
  <w:style w:type="paragraph" w:customStyle="1" w:styleId="26">
    <w:name w:val="Char Char Char Char Char Char Char1 Char"/>
    <w:basedOn w:val="1"/>
    <w:qFormat/>
    <w:uiPriority w:val="0"/>
    <w:rPr>
      <w:rFonts w:ascii="Tahoma" w:hAnsi="Tahoma"/>
      <w:sz w:val="24"/>
      <w:szCs w:val="20"/>
    </w:rPr>
  </w:style>
  <w:style w:type="paragraph" w:customStyle="1" w:styleId="27">
    <w:name w:val="列出段落1"/>
    <w:basedOn w:val="1"/>
    <w:qFormat/>
    <w:uiPriority w:val="34"/>
    <w:pPr>
      <w:adjustRightInd w:val="0"/>
      <w:spacing w:line="360" w:lineRule="atLeast"/>
      <w:ind w:firstLine="420" w:firstLineChars="200"/>
      <w:jc w:val="left"/>
    </w:pPr>
    <w:rPr>
      <w:kern w:val="0"/>
      <w:sz w:val="24"/>
      <w:szCs w:val="20"/>
    </w:rPr>
  </w:style>
  <w:style w:type="paragraph" w:customStyle="1" w:styleId="28">
    <w:name w:val="List Paragraph1"/>
    <w:basedOn w:val="1"/>
    <w:qFormat/>
    <w:uiPriority w:val="0"/>
    <w:pPr>
      <w:ind w:firstLine="420" w:firstLineChars="200"/>
    </w:pPr>
  </w:style>
  <w:style w:type="character" w:customStyle="1" w:styleId="29">
    <w:name w:val="标题 3 Char"/>
    <w:link w:val="2"/>
    <w:qFormat/>
    <w:uiPriority w:val="0"/>
    <w:rPr>
      <w:rFonts w:ascii="宋体" w:eastAsia="宋体"/>
      <w:b/>
      <w:bCs/>
      <w:kern w:val="2"/>
      <w:sz w:val="32"/>
      <w:szCs w:val="32"/>
      <w:lang w:val="en-US" w:eastAsia="zh-CN" w:bidi="ar-SA"/>
    </w:rPr>
  </w:style>
  <w:style w:type="character" w:customStyle="1" w:styleId="30">
    <w:name w:val="标题 5 Char"/>
    <w:link w:val="3"/>
    <w:uiPriority w:val="9"/>
    <w:rPr>
      <w:rFonts w:ascii="Calibri" w:hAnsi="Calibri"/>
      <w:b/>
      <w:bCs/>
      <w:kern w:val="2"/>
      <w:sz w:val="28"/>
      <w:szCs w:val="28"/>
    </w:rPr>
  </w:style>
  <w:style w:type="character" w:customStyle="1" w:styleId="31">
    <w:name w:val="批注文字 Char"/>
    <w:link w:val="5"/>
    <w:qFormat/>
    <w:uiPriority w:val="0"/>
    <w:rPr>
      <w:kern w:val="2"/>
      <w:sz w:val="21"/>
      <w:szCs w:val="24"/>
    </w:rPr>
  </w:style>
  <w:style w:type="character" w:customStyle="1" w:styleId="32">
    <w:name w:val="正文文本缩进 Char"/>
    <w:link w:val="7"/>
    <w:qFormat/>
    <w:uiPriority w:val="0"/>
    <w:rPr>
      <w:kern w:val="2"/>
      <w:sz w:val="28"/>
      <w:szCs w:val="24"/>
    </w:rPr>
  </w:style>
  <w:style w:type="character" w:customStyle="1" w:styleId="33">
    <w:name w:val="纯文本 Char"/>
    <w:link w:val="8"/>
    <w:semiHidden/>
    <w:qFormat/>
    <w:uiPriority w:val="0"/>
    <w:rPr>
      <w:rFonts w:ascii="宋体" w:hAnsi="Courier New" w:eastAsia="宋体"/>
      <w:spacing w:val="-20"/>
      <w:w w:val="50"/>
      <w:kern w:val="2"/>
      <w:sz w:val="21"/>
      <w:lang w:val="en-US" w:eastAsia="zh-CN" w:bidi="ar-SA"/>
    </w:rPr>
  </w:style>
  <w:style w:type="character" w:customStyle="1" w:styleId="34">
    <w:name w:val="日期 Char"/>
    <w:link w:val="9"/>
    <w:qFormat/>
    <w:uiPriority w:val="0"/>
    <w:rPr>
      <w:rFonts w:eastAsia="宋体"/>
      <w:b/>
      <w:kern w:val="2"/>
      <w:sz w:val="28"/>
      <w:lang w:val="en-US" w:eastAsia="zh-CN" w:bidi="ar-SA"/>
    </w:rPr>
  </w:style>
  <w:style w:type="character" w:customStyle="1" w:styleId="35">
    <w:name w:val="批注框文本 Char"/>
    <w:link w:val="10"/>
    <w:qFormat/>
    <w:uiPriority w:val="0"/>
    <w:rPr>
      <w:kern w:val="2"/>
      <w:sz w:val="18"/>
      <w:szCs w:val="18"/>
    </w:rPr>
  </w:style>
  <w:style w:type="character" w:customStyle="1" w:styleId="36">
    <w:name w:val="批注主题 Char"/>
    <w:link w:val="4"/>
    <w:qFormat/>
    <w:uiPriority w:val="0"/>
    <w:rPr>
      <w:b/>
      <w:bCs/>
      <w:kern w:val="2"/>
      <w:sz w:val="21"/>
      <w:szCs w:val="24"/>
    </w:rPr>
  </w:style>
  <w:style w:type="character" w:customStyle="1" w:styleId="37">
    <w:name w:val="无间隔 Char"/>
    <w:link w:val="21"/>
    <w:qFormat/>
    <w:uiPriority w:val="0"/>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2907</Words>
  <Characters>16572</Characters>
  <Lines>138</Lines>
  <Paragraphs>38</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2021-01-29T14:57:00Z</dcterms:created>
  <dc:creator>HJF招管委</dc:creator>
  <cp:lastModifiedBy>lenovo</cp:lastModifiedBy>
  <cp:lastPrinted>2021-06-28T03:33:00Z</cp:lastPrinted>
  <dcterms:modified xsi:type="dcterms:W3CDTF">2021-07-05T01:29:52Z</dcterms:modified>
  <dc:title>安徽百大合家福连锁超市股份有限公司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2F9F1EC9D55B42BDA814B3DEBD01C9DA</vt:lpwstr>
  </property>
</Properties>
</file>