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20" w:lineRule="exact"/>
        <w:jc w:val="center"/>
        <w:rPr>
          <w:rFonts w:ascii="宋体" w:hAnsi="宋体" w:cs="宋体"/>
          <w:b/>
          <w:color w:val="auto"/>
          <w:kern w:val="0"/>
          <w:sz w:val="36"/>
          <w:szCs w:val="36"/>
          <w:highlight w:val="none"/>
        </w:rPr>
      </w:pPr>
      <w:bookmarkStart w:id="17" w:name="_GoBack"/>
      <w:bookmarkEnd w:id="17"/>
    </w:p>
    <w:p>
      <w:pPr>
        <w:widowControl/>
        <w:spacing w:line="520" w:lineRule="exact"/>
        <w:jc w:val="center"/>
        <w:rPr>
          <w:rFonts w:ascii="宋体" w:hAnsi="宋体" w:cs="宋体"/>
          <w:b/>
          <w:color w:val="auto"/>
          <w:kern w:val="0"/>
          <w:sz w:val="36"/>
          <w:szCs w:val="36"/>
          <w:highlight w:val="none"/>
        </w:rPr>
      </w:pPr>
    </w:p>
    <w:p>
      <w:pPr>
        <w:widowControl/>
        <w:spacing w:line="52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合肥周谷堆置业有限公司</w:t>
      </w:r>
    </w:p>
    <w:p>
      <w:pPr>
        <w:widowControl/>
        <w:spacing w:line="520" w:lineRule="exact"/>
        <w:jc w:val="center"/>
        <w:rPr>
          <w:rFonts w:ascii="宋体" w:hAnsi="DotumChe" w:cs="宋体"/>
          <w:b/>
          <w:color w:val="auto"/>
          <w:spacing w:val="20"/>
          <w:kern w:val="0"/>
          <w:sz w:val="36"/>
          <w:szCs w:val="36"/>
          <w:highlight w:val="none"/>
        </w:rPr>
      </w:pPr>
      <w:r>
        <w:rPr>
          <w:rFonts w:hint="eastAsia" w:ascii="宋体" w:hAnsi="DotumChe" w:cs="宋体"/>
          <w:b/>
          <w:color w:val="auto"/>
          <w:spacing w:val="20"/>
          <w:kern w:val="0"/>
          <w:sz w:val="36"/>
          <w:szCs w:val="36"/>
          <w:highlight w:val="none"/>
        </w:rPr>
        <w:t>沿街商业项目税务师事务所服务招标</w:t>
      </w:r>
    </w:p>
    <w:p>
      <w:pPr>
        <w:widowControl/>
        <w:spacing w:line="520" w:lineRule="exact"/>
        <w:rPr>
          <w:rFonts w:ascii="黑体" w:hAnsi="宋体" w:eastAsia="黑体" w:cs="宋体"/>
          <w:b/>
          <w:color w:val="auto"/>
          <w:kern w:val="0"/>
          <w:sz w:val="52"/>
          <w:szCs w:val="52"/>
          <w:highlight w:val="none"/>
        </w:rPr>
      </w:pPr>
    </w:p>
    <w:p>
      <w:pPr>
        <w:widowControl/>
        <w:spacing w:line="520" w:lineRule="exact"/>
        <w:rPr>
          <w:rFonts w:ascii="黑体" w:hAnsi="宋体" w:eastAsia="黑体" w:cs="宋体"/>
          <w:b/>
          <w:color w:val="auto"/>
          <w:kern w:val="0"/>
          <w:sz w:val="52"/>
          <w:szCs w:val="52"/>
          <w:highlight w:val="none"/>
        </w:rPr>
      </w:pPr>
    </w:p>
    <w:p>
      <w:pPr>
        <w:widowControl/>
        <w:spacing w:line="520" w:lineRule="exact"/>
        <w:jc w:val="center"/>
        <w:rPr>
          <w:rFonts w:ascii="楷体_GB2312" w:hAnsi="宋体" w:eastAsia="楷体_GB2312" w:cs="宋体"/>
          <w:color w:val="auto"/>
          <w:kern w:val="0"/>
          <w:sz w:val="36"/>
          <w:szCs w:val="20"/>
          <w:highlight w:val="none"/>
        </w:rPr>
      </w:pPr>
      <w:r>
        <w:rPr>
          <w:rFonts w:hint="eastAsia" w:ascii="黑体" w:hAnsi="宋体" w:eastAsia="黑体" w:cs="宋体"/>
          <w:b/>
          <w:color w:val="auto"/>
          <w:kern w:val="0"/>
          <w:sz w:val="52"/>
          <w:szCs w:val="52"/>
          <w:highlight w:val="none"/>
        </w:rPr>
        <w:t>招标文件</w:t>
      </w:r>
    </w:p>
    <w:p>
      <w:pPr>
        <w:widowControl/>
        <w:spacing w:line="520" w:lineRule="exact"/>
        <w:ind w:firstLine="2520" w:firstLineChars="700"/>
        <w:jc w:val="left"/>
        <w:rPr>
          <w:rFonts w:ascii="楷体_GB2312" w:hAnsi="宋体" w:eastAsia="楷体_GB2312" w:cs="宋体"/>
          <w:color w:val="auto"/>
          <w:kern w:val="0"/>
          <w:sz w:val="36"/>
          <w:szCs w:val="20"/>
          <w:highlight w:val="none"/>
        </w:rPr>
      </w:pPr>
    </w:p>
    <w:p>
      <w:pPr>
        <w:widowControl/>
        <w:spacing w:line="520" w:lineRule="exact"/>
        <w:ind w:firstLine="3534" w:firstLineChars="1100"/>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编号</w:t>
      </w:r>
      <w:r>
        <w:rPr>
          <w:rFonts w:hint="eastAsia" w:ascii="宋体" w:hAnsi="宋体" w:cs="宋体"/>
          <w:color w:val="auto"/>
          <w:kern w:val="0"/>
          <w:sz w:val="32"/>
          <w:szCs w:val="32"/>
          <w:highlight w:val="none"/>
        </w:rPr>
        <w:t>：</w:t>
      </w:r>
      <w:r>
        <w:rPr>
          <w:rFonts w:hint="eastAsia" w:ascii="宋体" w:hAnsi="宋体" w:cs="宋体"/>
          <w:color w:val="auto"/>
          <w:kern w:val="0"/>
          <w:sz w:val="32"/>
          <w:szCs w:val="32"/>
          <w:highlight w:val="none"/>
          <w:lang w:val="en-US" w:eastAsia="zh-CN"/>
        </w:rPr>
        <w:t>HBZ-21061-ZGD11</w:t>
      </w:r>
    </w:p>
    <w:p>
      <w:pPr>
        <w:widowControl/>
        <w:spacing w:line="520" w:lineRule="exact"/>
        <w:rPr>
          <w:rFonts w:ascii="宋体" w:hAnsi="宋体" w:cs="宋体"/>
          <w:color w:val="auto"/>
          <w:kern w:val="0"/>
          <w:sz w:val="24"/>
          <w:highlight w:val="none"/>
        </w:rPr>
      </w:pPr>
      <w:r>
        <w:rPr>
          <w:rFonts w:ascii="宋体" w:hAnsi="宋体" w:cs="宋体"/>
          <w:color w:val="auto"/>
          <w:kern w:val="0"/>
          <w:sz w:val="24"/>
          <w:highlight w:val="none"/>
        </w:rPr>
        <w:t> </w:t>
      </w:r>
    </w:p>
    <w:p>
      <w:pPr>
        <w:widowControl/>
        <w:spacing w:line="520" w:lineRule="exact"/>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文 件 目 录</w:t>
      </w:r>
    </w:p>
    <w:p>
      <w:pPr>
        <w:widowControl/>
        <w:spacing w:line="520" w:lineRule="exact"/>
        <w:ind w:firstLine="1680" w:firstLineChars="600"/>
        <w:rPr>
          <w:rFonts w:ascii="楷体_GB2312" w:hAnsi="宋体" w:eastAsia="楷体_GB2312" w:cs="宋体"/>
          <w:color w:val="auto"/>
          <w:kern w:val="0"/>
          <w:sz w:val="28"/>
          <w:szCs w:val="28"/>
          <w:highlight w:val="none"/>
        </w:rPr>
      </w:pPr>
    </w:p>
    <w:p>
      <w:pPr>
        <w:widowControl/>
        <w:spacing w:line="520" w:lineRule="exact"/>
        <w:ind w:firstLine="1680" w:firstLineChars="600"/>
        <w:rPr>
          <w:rFonts w:ascii="楷体_GB2312" w:hAnsi="宋体" w:eastAsia="楷体_GB2312" w:cs="宋体"/>
          <w:color w:val="auto"/>
          <w:kern w:val="0"/>
          <w:sz w:val="28"/>
          <w:szCs w:val="28"/>
          <w:highlight w:val="none"/>
        </w:rPr>
      </w:pPr>
    </w:p>
    <w:p>
      <w:pPr>
        <w:widowControl/>
        <w:spacing w:line="520" w:lineRule="exact"/>
        <w:ind w:firstLine="2100" w:firstLineChars="750"/>
        <w:rPr>
          <w:rFonts w:ascii="宋体" w:hAnsi="宋体" w:cs="宋体"/>
          <w:color w:val="auto"/>
          <w:kern w:val="0"/>
          <w:sz w:val="28"/>
          <w:szCs w:val="28"/>
          <w:highlight w:val="none"/>
        </w:rPr>
      </w:pPr>
      <w:r>
        <w:rPr>
          <w:rFonts w:hint="eastAsia" w:ascii="宋体" w:hAnsi="宋体" w:cs="宋体"/>
          <w:color w:val="auto"/>
          <w:kern w:val="0"/>
          <w:sz w:val="28"/>
          <w:szCs w:val="28"/>
          <w:highlight w:val="none"/>
        </w:rPr>
        <w:t>第一章  《投标邀请》</w:t>
      </w:r>
    </w:p>
    <w:p>
      <w:pPr>
        <w:widowControl/>
        <w:spacing w:line="520" w:lineRule="exact"/>
        <w:ind w:firstLine="2100" w:firstLineChars="750"/>
        <w:rPr>
          <w:rFonts w:ascii="宋体" w:hAnsi="宋体" w:cs="宋体"/>
          <w:color w:val="auto"/>
          <w:kern w:val="0"/>
          <w:sz w:val="28"/>
          <w:szCs w:val="28"/>
          <w:highlight w:val="none"/>
        </w:rPr>
      </w:pPr>
      <w:r>
        <w:rPr>
          <w:rFonts w:hint="eastAsia" w:ascii="宋体" w:hAnsi="宋体" w:cs="宋体"/>
          <w:color w:val="auto"/>
          <w:kern w:val="0"/>
          <w:sz w:val="28"/>
          <w:szCs w:val="28"/>
          <w:highlight w:val="none"/>
        </w:rPr>
        <w:t>第二章  《投标须知》</w:t>
      </w:r>
    </w:p>
    <w:p>
      <w:pPr>
        <w:widowControl/>
        <w:spacing w:line="520" w:lineRule="exact"/>
        <w:ind w:firstLine="2100" w:firstLineChars="750"/>
        <w:rPr>
          <w:rFonts w:ascii="宋体" w:hAnsi="宋体" w:cs="宋体"/>
          <w:color w:val="auto"/>
          <w:kern w:val="0"/>
          <w:sz w:val="28"/>
          <w:szCs w:val="28"/>
          <w:highlight w:val="none"/>
        </w:rPr>
      </w:pPr>
      <w:r>
        <w:rPr>
          <w:rFonts w:hint="eastAsia" w:ascii="宋体" w:hAnsi="宋体" w:cs="宋体"/>
          <w:color w:val="auto"/>
          <w:kern w:val="0"/>
          <w:sz w:val="28"/>
          <w:szCs w:val="28"/>
          <w:highlight w:val="none"/>
        </w:rPr>
        <w:t>第三章  《服务需求》</w:t>
      </w:r>
    </w:p>
    <w:p>
      <w:pPr>
        <w:widowControl/>
        <w:spacing w:line="520" w:lineRule="exact"/>
        <w:ind w:firstLine="2100" w:firstLineChars="750"/>
        <w:rPr>
          <w:rFonts w:ascii="宋体" w:hAnsi="宋体" w:cs="宋体"/>
          <w:color w:val="auto"/>
          <w:kern w:val="0"/>
          <w:sz w:val="28"/>
          <w:szCs w:val="28"/>
          <w:highlight w:val="none"/>
        </w:rPr>
      </w:pPr>
      <w:r>
        <w:rPr>
          <w:rFonts w:hint="eastAsia" w:ascii="宋体" w:hAnsi="宋体" w:cs="宋体"/>
          <w:color w:val="auto"/>
          <w:kern w:val="0"/>
          <w:sz w:val="28"/>
          <w:szCs w:val="28"/>
          <w:highlight w:val="none"/>
        </w:rPr>
        <w:t>第四章  《评标办法》</w:t>
      </w:r>
    </w:p>
    <w:p>
      <w:pPr>
        <w:widowControl/>
        <w:spacing w:line="520" w:lineRule="exact"/>
        <w:ind w:firstLine="2100" w:firstLineChars="750"/>
        <w:rPr>
          <w:rFonts w:ascii="宋体" w:hAnsi="宋体" w:cs="宋体"/>
          <w:color w:val="auto"/>
          <w:kern w:val="0"/>
          <w:sz w:val="28"/>
          <w:szCs w:val="28"/>
          <w:highlight w:val="none"/>
        </w:rPr>
      </w:pPr>
      <w:r>
        <w:rPr>
          <w:rFonts w:hint="eastAsia" w:ascii="宋体" w:hAnsi="宋体" w:cs="宋体"/>
          <w:color w:val="auto"/>
          <w:kern w:val="0"/>
          <w:sz w:val="28"/>
          <w:szCs w:val="28"/>
          <w:highlight w:val="none"/>
        </w:rPr>
        <w:t>第五章  《附件》</w:t>
      </w:r>
    </w:p>
    <w:p>
      <w:pPr>
        <w:widowControl/>
        <w:spacing w:line="520" w:lineRule="exact"/>
        <w:ind w:firstLine="2100" w:firstLineChars="750"/>
        <w:rPr>
          <w:rFonts w:ascii="宋体" w:hAnsi="宋体" w:cs="宋体"/>
          <w:color w:val="auto"/>
          <w:kern w:val="0"/>
          <w:sz w:val="28"/>
          <w:szCs w:val="28"/>
          <w:highlight w:val="none"/>
        </w:rPr>
      </w:pPr>
    </w:p>
    <w:p>
      <w:pPr>
        <w:widowControl/>
        <w:spacing w:line="520" w:lineRule="exact"/>
        <w:jc w:val="center"/>
        <w:rPr>
          <w:rFonts w:ascii="宋体" w:hAnsi="宋体" w:cs="宋体"/>
          <w:color w:val="auto"/>
          <w:kern w:val="0"/>
          <w:sz w:val="24"/>
          <w:highlight w:val="none"/>
        </w:rPr>
      </w:pPr>
    </w:p>
    <w:p>
      <w:pPr>
        <w:widowControl/>
        <w:spacing w:line="520" w:lineRule="exact"/>
        <w:rPr>
          <w:rFonts w:ascii="宋体" w:hAnsi="宋体" w:cs="宋体"/>
          <w:color w:val="auto"/>
          <w:kern w:val="0"/>
          <w:sz w:val="24"/>
          <w:highlight w:val="none"/>
        </w:rPr>
      </w:pPr>
    </w:p>
    <w:p>
      <w:pPr>
        <w:pStyle w:val="2"/>
        <w:ind w:firstLine="240"/>
        <w:rPr>
          <w:rFonts w:ascii="宋体" w:hAnsi="宋体" w:cs="宋体"/>
          <w:color w:val="auto"/>
          <w:kern w:val="0"/>
          <w:sz w:val="24"/>
          <w:highlight w:val="none"/>
        </w:rPr>
      </w:pPr>
    </w:p>
    <w:p>
      <w:pPr>
        <w:pStyle w:val="2"/>
        <w:ind w:firstLine="240"/>
        <w:rPr>
          <w:rFonts w:ascii="宋体" w:hAnsi="宋体" w:cs="宋体"/>
          <w:color w:val="auto"/>
          <w:kern w:val="0"/>
          <w:sz w:val="24"/>
          <w:highlight w:val="none"/>
        </w:rPr>
      </w:pPr>
    </w:p>
    <w:p>
      <w:pPr>
        <w:widowControl/>
        <w:spacing w:line="520" w:lineRule="exact"/>
        <w:jc w:val="center"/>
        <w:rPr>
          <w:rFonts w:ascii="宋体" w:hAnsi="宋体" w:cs="宋体"/>
          <w:color w:val="auto"/>
          <w:kern w:val="0"/>
          <w:sz w:val="24"/>
          <w:highlight w:val="none"/>
        </w:rPr>
      </w:pPr>
    </w:p>
    <w:p>
      <w:pPr>
        <w:widowControl/>
        <w:spacing w:line="520" w:lineRule="exact"/>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二〇二一年</w:t>
      </w:r>
      <w:r>
        <w:rPr>
          <w:rFonts w:hint="eastAsia" w:ascii="宋体" w:hAnsi="宋体" w:cs="宋体"/>
          <w:color w:val="auto"/>
          <w:kern w:val="0"/>
          <w:sz w:val="30"/>
          <w:szCs w:val="30"/>
          <w:highlight w:val="none"/>
          <w:lang w:eastAsia="zh-CN"/>
        </w:rPr>
        <w:t>六</w:t>
      </w:r>
      <w:r>
        <w:rPr>
          <w:rFonts w:hint="eastAsia" w:ascii="宋体" w:hAnsi="宋体" w:cs="宋体"/>
          <w:color w:val="auto"/>
          <w:kern w:val="0"/>
          <w:sz w:val="30"/>
          <w:szCs w:val="30"/>
          <w:highlight w:val="none"/>
        </w:rPr>
        <w:t>月</w:t>
      </w:r>
    </w:p>
    <w:p>
      <w:pPr>
        <w:widowControl/>
        <w:spacing w:line="520" w:lineRule="exact"/>
        <w:jc w:val="center"/>
        <w:rPr>
          <w:rFonts w:ascii="宋体" w:hAnsi="宋体" w:cs="宋体"/>
          <w:color w:val="auto"/>
          <w:kern w:val="0"/>
          <w:sz w:val="30"/>
          <w:szCs w:val="30"/>
          <w:highlight w:val="none"/>
        </w:rPr>
      </w:pPr>
    </w:p>
    <w:p>
      <w:pPr>
        <w:widowControl/>
        <w:spacing w:line="520" w:lineRule="exact"/>
        <w:jc w:val="center"/>
        <w:rPr>
          <w:rFonts w:ascii="宋体" w:hAnsi="宋体" w:cs="宋体"/>
          <w:color w:val="auto"/>
          <w:kern w:val="0"/>
          <w:sz w:val="30"/>
          <w:szCs w:val="30"/>
          <w:highlight w:val="none"/>
        </w:rPr>
      </w:pPr>
    </w:p>
    <w:p>
      <w:pPr>
        <w:pStyle w:val="2"/>
        <w:ind w:firstLine="210"/>
        <w:rPr>
          <w:color w:val="auto"/>
          <w:highlight w:val="none"/>
        </w:rPr>
      </w:pPr>
    </w:p>
    <w:p>
      <w:pPr>
        <w:widowControl/>
        <w:spacing w:line="520" w:lineRule="exact"/>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第一章  投标邀请</w:t>
      </w:r>
    </w:p>
    <w:p>
      <w:pPr>
        <w:widowControl/>
        <w:spacing w:line="460" w:lineRule="exact"/>
        <w:rPr>
          <w:rFonts w:ascii="宋体" w:hAnsi="宋体" w:cs="宋体"/>
          <w:b/>
          <w:color w:val="auto"/>
          <w:kern w:val="0"/>
          <w:sz w:val="24"/>
          <w:highlight w:val="none"/>
        </w:rPr>
      </w:pPr>
    </w:p>
    <w:p>
      <w:pPr>
        <w:autoSpaceDE w:val="0"/>
        <w:autoSpaceDN w:val="0"/>
        <w:adjustRightInd w:val="0"/>
        <w:spacing w:line="480" w:lineRule="exact"/>
        <w:ind w:firstLine="480" w:firstLineChars="200"/>
        <w:jc w:val="left"/>
        <w:rPr>
          <w:rFonts w:ascii="宋体" w:hAnsi="宋体"/>
          <w:color w:val="auto"/>
          <w:sz w:val="24"/>
          <w:szCs w:val="18"/>
          <w:highlight w:val="none"/>
        </w:rPr>
      </w:pPr>
      <w:r>
        <w:rPr>
          <w:rFonts w:hint="eastAsia" w:ascii="宋体" w:hAnsi="宋体" w:cs="宋体"/>
          <w:color w:val="auto"/>
          <w:kern w:val="0"/>
          <w:sz w:val="24"/>
          <w:highlight w:val="none"/>
        </w:rPr>
        <w:t>合肥周谷堆置业有限公司沿街商业项目税务师事务所服务现面向社会公开招标，诚邀具有相关资质的单位参与投标。</w:t>
      </w:r>
    </w:p>
    <w:p>
      <w:pPr>
        <w:widowControl/>
        <w:spacing w:line="480" w:lineRule="exact"/>
        <w:ind w:firstLine="108" w:firstLineChars="49"/>
        <w:jc w:val="left"/>
        <w:rPr>
          <w:rFonts w:hint="eastAsia" w:ascii="宋体" w:hAnsi="宋体" w:cs="宋体"/>
          <w:b/>
          <w:color w:val="auto"/>
          <w:kern w:val="0"/>
          <w:sz w:val="24"/>
          <w:highlight w:val="none"/>
        </w:rPr>
      </w:pPr>
      <w:r>
        <w:rPr>
          <w:rFonts w:hint="eastAsia" w:ascii="宋体" w:hAnsi="宋体" w:cs="宋体"/>
          <w:b/>
          <w:color w:val="auto"/>
          <w:spacing w:val="-10"/>
          <w:kern w:val="0"/>
          <w:sz w:val="24"/>
          <w:highlight w:val="none"/>
        </w:rPr>
        <w:t xml:space="preserve">    一、</w:t>
      </w:r>
      <w:r>
        <w:rPr>
          <w:rFonts w:hint="eastAsia" w:ascii="宋体" w:hAnsi="宋体" w:cs="宋体"/>
          <w:b/>
          <w:color w:val="auto"/>
          <w:kern w:val="0"/>
          <w:sz w:val="24"/>
          <w:highlight w:val="none"/>
        </w:rPr>
        <w:t>招标简介</w:t>
      </w:r>
    </w:p>
    <w:p>
      <w:pPr>
        <w:widowControl/>
        <w:spacing w:line="480" w:lineRule="exact"/>
        <w:ind w:firstLine="108" w:firstLineChars="49"/>
        <w:jc w:val="left"/>
        <w:rPr>
          <w:rFonts w:hint="eastAsia" w:ascii="宋体" w:hAnsi="宋体" w:cs="宋体"/>
          <w:color w:val="auto"/>
          <w:kern w:val="0"/>
          <w:sz w:val="24"/>
          <w:highlight w:val="none"/>
        </w:rPr>
      </w:pPr>
      <w:r>
        <w:rPr>
          <w:rFonts w:hint="eastAsia" w:ascii="宋体" w:hAnsi="宋体" w:cs="宋体"/>
          <w:b/>
          <w:color w:val="auto"/>
          <w:kern w:val="0"/>
          <w:sz w:val="24"/>
          <w:highlight w:val="none"/>
          <w:lang w:val="en-US" w:eastAsia="zh-CN"/>
        </w:rPr>
        <w:t xml:space="preserve">   </w:t>
      </w:r>
      <w:r>
        <w:rPr>
          <w:rFonts w:hint="eastAsia" w:ascii="宋体" w:hAnsi="宋体" w:cs="宋体"/>
          <w:color w:val="auto"/>
          <w:kern w:val="0"/>
          <w:sz w:val="24"/>
          <w:highlight w:val="none"/>
        </w:rPr>
        <w:t>1.项目名称：合肥周谷堆置业有限公司</w:t>
      </w:r>
      <w:r>
        <w:rPr>
          <w:rFonts w:hint="eastAsia" w:ascii="宋体" w:hAnsi="宋体"/>
          <w:color w:val="auto"/>
          <w:sz w:val="24"/>
          <w:szCs w:val="18"/>
          <w:highlight w:val="none"/>
        </w:rPr>
        <w:t>沿街商业项目税务师事务所</w:t>
      </w:r>
      <w:r>
        <w:rPr>
          <w:rFonts w:hint="eastAsia" w:ascii="宋体" w:hAnsi="宋体" w:cs="宋体"/>
          <w:color w:val="auto"/>
          <w:kern w:val="0"/>
          <w:sz w:val="24"/>
          <w:highlight w:val="none"/>
        </w:rPr>
        <w:t>服务</w:t>
      </w:r>
    </w:p>
    <w:p>
      <w:pPr>
        <w:widowControl/>
        <w:spacing w:line="480" w:lineRule="exact"/>
        <w:ind w:firstLine="108" w:firstLineChars="49"/>
        <w:jc w:val="left"/>
        <w:rPr>
          <w:rFonts w:ascii="宋体" w:hAnsi="宋体"/>
          <w:color w:val="auto"/>
          <w:sz w:val="24"/>
          <w:szCs w:val="18"/>
          <w:highlight w:val="non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（项目</w:t>
      </w:r>
      <w:r>
        <w:rPr>
          <w:rFonts w:hint="eastAsia" w:ascii="宋体" w:hAnsi="宋体" w:cs="宋体"/>
          <w:color w:val="auto"/>
          <w:kern w:val="0"/>
          <w:sz w:val="24"/>
          <w:highlight w:val="none"/>
        </w:rPr>
        <w:t>编号：</w:t>
      </w:r>
      <w:r>
        <w:rPr>
          <w:rFonts w:hint="eastAsia" w:ascii="宋体" w:hAnsi="宋体" w:cs="宋体"/>
          <w:color w:val="auto"/>
          <w:kern w:val="0"/>
          <w:sz w:val="24"/>
          <w:highlight w:val="none"/>
          <w:lang w:val="en-US" w:eastAsia="zh-CN"/>
        </w:rPr>
        <w:t>HBZ-21061-ZGD11</w:t>
      </w:r>
      <w:r>
        <w:rPr>
          <w:rFonts w:hint="eastAsia" w:ascii="宋体" w:hAnsi="宋体"/>
          <w:color w:val="auto"/>
          <w:sz w:val="24"/>
          <w:szCs w:val="18"/>
          <w:highlight w:val="none"/>
          <w:lang w:eastAsia="zh-CN"/>
        </w:rPr>
        <w:t>）</w:t>
      </w:r>
    </w:p>
    <w:p>
      <w:pPr>
        <w:widowControl/>
        <w:autoSpaceDN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2.项目地址：合肥市瑶海区大兴镇</w:t>
      </w:r>
    </w:p>
    <w:p>
      <w:pPr>
        <w:widowControl/>
        <w:autoSpaceDN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3.招标人：合肥周谷堆置业有限公司</w:t>
      </w:r>
    </w:p>
    <w:p>
      <w:pPr>
        <w:widowControl/>
        <w:autoSpaceDN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4.招标范围： 本项目为合肥大兴周谷堆物流园沿街商业</w:t>
      </w:r>
      <w:r>
        <w:rPr>
          <w:rFonts w:ascii="宋体" w:hAnsi="宋体" w:cs="宋体"/>
          <w:color w:val="auto"/>
          <w:kern w:val="0"/>
          <w:sz w:val="24"/>
          <w:highlight w:val="none"/>
        </w:rPr>
        <w:t>1-11#、14-20#</w:t>
      </w:r>
      <w:r>
        <w:rPr>
          <w:rFonts w:hint="eastAsia" w:ascii="宋体" w:hAnsi="宋体" w:cs="宋体"/>
          <w:color w:val="auto"/>
          <w:kern w:val="0"/>
          <w:sz w:val="24"/>
          <w:highlight w:val="none"/>
        </w:rPr>
        <w:t>及其地下车库，共计</w:t>
      </w:r>
      <w:r>
        <w:rPr>
          <w:rFonts w:ascii="宋体" w:hAnsi="宋体" w:cs="宋体"/>
          <w:color w:val="auto"/>
          <w:kern w:val="0"/>
          <w:sz w:val="24"/>
          <w:highlight w:val="none"/>
        </w:rPr>
        <w:t>18</w:t>
      </w:r>
      <w:r>
        <w:rPr>
          <w:rFonts w:hint="eastAsia" w:ascii="宋体" w:hAnsi="宋体" w:cs="宋体"/>
          <w:color w:val="auto"/>
          <w:kern w:val="0"/>
          <w:sz w:val="24"/>
          <w:highlight w:val="none"/>
        </w:rPr>
        <w:t>栋单体，中标单位负责编制经招标人认可的土地增值税清算方案，并在税务部门清算时限内出具税务部门认可的土地增值税清算鉴证报告，负责对接税务部门后续清算工作直至本</w:t>
      </w:r>
      <w:r>
        <w:rPr>
          <w:rFonts w:hint="eastAsia" w:ascii="宋体" w:hAnsi="宋体" w:cs="宋体"/>
          <w:color w:val="auto"/>
          <w:kern w:val="0"/>
          <w:sz w:val="24"/>
          <w:highlight w:val="none"/>
          <w:lang w:val="en-US" w:eastAsia="zh-CN"/>
        </w:rPr>
        <w:t>招标范围内商业</w:t>
      </w:r>
      <w:r>
        <w:rPr>
          <w:rFonts w:hint="eastAsia" w:ascii="宋体" w:hAnsi="宋体" w:cs="宋体"/>
          <w:color w:val="auto"/>
          <w:kern w:val="0"/>
          <w:sz w:val="24"/>
          <w:highlight w:val="none"/>
        </w:rPr>
        <w:t>项目</w:t>
      </w:r>
      <w:r>
        <w:rPr>
          <w:rFonts w:hint="eastAsia" w:ascii="宋体" w:hAnsi="宋体" w:cs="宋体"/>
          <w:color w:val="auto"/>
          <w:kern w:val="0"/>
          <w:sz w:val="24"/>
          <w:highlight w:val="none"/>
          <w:lang w:val="en-US" w:eastAsia="zh-CN"/>
        </w:rPr>
        <w:t>土地增值税业务全部</w:t>
      </w:r>
      <w:r>
        <w:rPr>
          <w:rFonts w:hint="eastAsia" w:ascii="宋体" w:hAnsi="宋体" w:cs="宋体"/>
          <w:color w:val="auto"/>
          <w:kern w:val="0"/>
          <w:sz w:val="24"/>
          <w:highlight w:val="none"/>
        </w:rPr>
        <w:t>清算完毕。</w:t>
      </w:r>
    </w:p>
    <w:p>
      <w:pPr>
        <w:widowControl/>
        <w:autoSpaceDN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b/>
          <w:bCs/>
          <w:color w:val="auto"/>
          <w:kern w:val="0"/>
          <w:sz w:val="24"/>
          <w:highlight w:val="none"/>
        </w:rPr>
        <w:t>项目控制价:26万元</w:t>
      </w:r>
      <w:r>
        <w:rPr>
          <w:rFonts w:hint="eastAsia" w:ascii="宋体" w:hAnsi="宋体" w:cs="宋体"/>
          <w:color w:val="auto"/>
          <w:kern w:val="0"/>
          <w:sz w:val="24"/>
          <w:highlight w:val="none"/>
        </w:rPr>
        <w:t>。报价不得高于项目控制价，否则视为无效报价。</w:t>
      </w:r>
    </w:p>
    <w:p>
      <w:pPr>
        <w:widowControl/>
        <w:autoSpaceDN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6.服务时限：</w:t>
      </w:r>
    </w:p>
    <w:p>
      <w:pPr>
        <w:widowControl/>
        <w:autoSpaceDN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(1)自合同签订后，</w:t>
      </w:r>
      <w:r>
        <w:rPr>
          <w:rFonts w:hint="eastAsia" w:ascii="宋体" w:hAnsi="宋体" w:cs="宋体"/>
          <w:b/>
          <w:bCs/>
          <w:color w:val="auto"/>
          <w:kern w:val="0"/>
          <w:sz w:val="24"/>
          <w:highlight w:val="none"/>
        </w:rPr>
        <w:t>30个日历天</w:t>
      </w:r>
      <w:r>
        <w:rPr>
          <w:rFonts w:hint="eastAsia" w:ascii="宋体" w:hAnsi="宋体" w:cs="宋体"/>
          <w:color w:val="auto"/>
          <w:kern w:val="0"/>
          <w:sz w:val="24"/>
          <w:highlight w:val="none"/>
        </w:rPr>
        <w:t>内完成本项目土地增值税清算方案的编制并负责向招标人汇报。</w:t>
      </w:r>
    </w:p>
    <w:p>
      <w:pPr>
        <w:widowControl/>
        <w:autoSpaceDN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(2)自接到招标人通知进场,在</w:t>
      </w:r>
      <w:r>
        <w:rPr>
          <w:rFonts w:hint="eastAsia" w:ascii="宋体" w:hAnsi="宋体" w:cs="宋体"/>
          <w:b/>
          <w:bCs/>
          <w:color w:val="auto"/>
          <w:kern w:val="0"/>
          <w:sz w:val="24"/>
          <w:highlight w:val="none"/>
        </w:rPr>
        <w:t>税务部门清算时限内</w:t>
      </w:r>
      <w:r>
        <w:rPr>
          <w:rFonts w:hint="eastAsia" w:ascii="宋体" w:hAnsi="宋体" w:cs="宋体"/>
          <w:color w:val="auto"/>
          <w:kern w:val="0"/>
          <w:sz w:val="24"/>
          <w:highlight w:val="none"/>
        </w:rPr>
        <w:t>组织专业税务师编制并出具税务部门认可的土地增值税清算鉴证报告，负责对接税务部门后续清算工作（每次清算具体楼栋根据税务部门及招标人要求）。</w:t>
      </w:r>
    </w:p>
    <w:p>
      <w:pPr>
        <w:widowControl/>
        <w:autoSpaceDN w:val="0"/>
        <w:spacing w:line="480" w:lineRule="exact"/>
        <w:ind w:firstLine="482" w:firstLineChars="200"/>
        <w:jc w:val="left"/>
        <w:rPr>
          <w:rFonts w:ascii="宋体" w:hAnsi="宋体" w:cs="宋体"/>
          <w:color w:val="auto"/>
          <w:kern w:val="0"/>
          <w:sz w:val="24"/>
          <w:highlight w:val="none"/>
        </w:rPr>
      </w:pPr>
      <w:r>
        <w:rPr>
          <w:rFonts w:hint="eastAsia" w:ascii="宋体" w:hAnsi="宋体" w:cs="宋体"/>
          <w:b/>
          <w:bCs/>
          <w:color w:val="auto"/>
          <w:kern w:val="0"/>
          <w:sz w:val="24"/>
          <w:highlight w:val="none"/>
        </w:rPr>
        <w:t>风险提示：</w:t>
      </w:r>
      <w:r>
        <w:rPr>
          <w:rFonts w:hint="eastAsia" w:ascii="宋体" w:hAnsi="宋体" w:cs="宋体"/>
          <w:color w:val="auto"/>
          <w:kern w:val="0"/>
          <w:sz w:val="24"/>
          <w:highlight w:val="none"/>
        </w:rPr>
        <w:t>参考招标范围内的服务内容和最终呈现的成果要求，预计本招标项目</w:t>
      </w:r>
      <w:r>
        <w:rPr>
          <w:rFonts w:hint="eastAsia" w:ascii="宋体" w:hAnsi="宋体" w:cs="宋体"/>
          <w:b/>
          <w:bCs/>
          <w:color w:val="auto"/>
          <w:kern w:val="0"/>
          <w:sz w:val="24"/>
          <w:highlight w:val="none"/>
        </w:rPr>
        <w:t>服务时限至少在五年以上</w:t>
      </w:r>
      <w:r>
        <w:rPr>
          <w:rFonts w:hint="eastAsia" w:ascii="宋体" w:hAnsi="宋体" w:cs="宋体"/>
          <w:color w:val="auto"/>
          <w:kern w:val="0"/>
          <w:sz w:val="24"/>
          <w:highlight w:val="none"/>
        </w:rPr>
        <w:t>。请各投标人仔细阅读本项目服务时限的具体要求，从而明确并知悉此服务时限由此可能产生的风险。</w:t>
      </w:r>
    </w:p>
    <w:p>
      <w:pPr>
        <w:widowControl/>
        <w:spacing w:line="480" w:lineRule="exact"/>
        <w:ind w:firstLine="120" w:firstLineChars="50"/>
        <w:jc w:val="left"/>
        <w:rPr>
          <w:b/>
          <w:color w:val="auto"/>
          <w:sz w:val="24"/>
          <w:highlight w:val="none"/>
        </w:rPr>
      </w:pPr>
      <w:r>
        <w:rPr>
          <w:rFonts w:hint="eastAsia" w:ascii="宋体" w:hAnsi="宋体" w:cs="宋体"/>
          <w:b/>
          <w:color w:val="auto"/>
          <w:kern w:val="0"/>
          <w:sz w:val="24"/>
          <w:highlight w:val="none"/>
        </w:rPr>
        <w:t xml:space="preserve">   二、</w:t>
      </w:r>
      <w:r>
        <w:rPr>
          <w:rFonts w:hint="eastAsia"/>
          <w:b/>
          <w:color w:val="auto"/>
          <w:sz w:val="24"/>
          <w:highlight w:val="none"/>
        </w:rPr>
        <w:t>标书领取日期及方法</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1.领取日期：2021年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cs="宋体"/>
          <w:color w:val="auto"/>
          <w:kern w:val="0"/>
          <w:sz w:val="24"/>
          <w:highlight w:val="none"/>
        </w:rPr>
        <w:t>日—2021年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日</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2.领取方法：登录网站</w:t>
      </w:r>
      <w:r>
        <w:rPr>
          <w:color w:val="auto"/>
          <w:highlight w:val="none"/>
        </w:rPr>
        <w:fldChar w:fldCharType="begin"/>
      </w:r>
      <w:r>
        <w:rPr>
          <w:color w:val="auto"/>
          <w:highlight w:val="none"/>
        </w:rPr>
        <w:instrText xml:space="preserve"> HYPERLINK "http://www.hfbh.com.cn" \t "_blank" </w:instrText>
      </w:r>
      <w:r>
        <w:rPr>
          <w:color w:val="auto"/>
          <w:highlight w:val="none"/>
        </w:rPr>
        <w:fldChar w:fldCharType="separate"/>
      </w:r>
      <w:r>
        <w:rPr>
          <w:rFonts w:hint="eastAsia" w:ascii="宋体" w:hAnsi="宋体" w:cs="宋体"/>
          <w:color w:val="auto"/>
          <w:kern w:val="0"/>
          <w:sz w:val="24"/>
          <w:highlight w:val="none"/>
        </w:rPr>
        <w:t>www.hfbh.com.cn</w:t>
      </w:r>
      <w:r>
        <w:rPr>
          <w:rFonts w:hint="eastAsia" w:ascii="宋体" w:hAnsi="宋体" w:cs="宋体"/>
          <w:color w:val="auto"/>
          <w:kern w:val="0"/>
          <w:sz w:val="24"/>
          <w:highlight w:val="none"/>
        </w:rPr>
        <w:fldChar w:fldCharType="end"/>
      </w:r>
      <w:r>
        <w:rPr>
          <w:rFonts w:hint="eastAsia" w:ascii="宋体" w:hAnsi="宋体" w:cs="宋体"/>
          <w:color w:val="auto"/>
          <w:kern w:val="0"/>
          <w:sz w:val="24"/>
          <w:highlight w:val="none"/>
        </w:rPr>
        <w:t>下载标书（下载标书的投标单位应按招标文件要求时间参加资格预审）</w:t>
      </w:r>
    </w:p>
    <w:p>
      <w:pPr>
        <w:pStyle w:val="35"/>
        <w:spacing w:line="480" w:lineRule="exact"/>
        <w:ind w:left="120" w:hanging="120" w:hangingChars="50"/>
        <w:jc w:val="left"/>
        <w:rPr>
          <w:rFonts w:ascii="宋体" w:hAnsi="宋体"/>
          <w:b/>
          <w:bCs/>
          <w:color w:val="auto"/>
          <w:sz w:val="24"/>
          <w:highlight w:val="none"/>
        </w:rPr>
      </w:pPr>
      <w:r>
        <w:rPr>
          <w:rFonts w:hint="eastAsia" w:ascii="宋体" w:hAnsi="宋体" w:cs="宋体"/>
          <w:b/>
          <w:color w:val="auto"/>
          <w:sz w:val="24"/>
          <w:highlight w:val="none"/>
        </w:rPr>
        <w:t xml:space="preserve">    三、</w:t>
      </w:r>
      <w:r>
        <w:rPr>
          <w:rFonts w:hint="eastAsia" w:ascii="宋体" w:hAnsi="宋体"/>
          <w:b/>
          <w:bCs/>
          <w:color w:val="auto"/>
          <w:sz w:val="24"/>
          <w:highlight w:val="none"/>
        </w:rPr>
        <w:t>资格预审时间</w:t>
      </w:r>
    </w:p>
    <w:p>
      <w:pPr>
        <w:widowControl/>
        <w:spacing w:line="480" w:lineRule="exact"/>
        <w:ind w:firstLine="480" w:firstLineChars="200"/>
        <w:jc w:val="left"/>
        <w:rPr>
          <w:rFonts w:ascii="宋体" w:hAnsi="宋体"/>
          <w:color w:val="auto"/>
          <w:sz w:val="24"/>
          <w:highlight w:val="none"/>
        </w:rPr>
      </w:pPr>
      <w:r>
        <w:rPr>
          <w:rFonts w:hint="eastAsia" w:ascii="宋体" w:hAnsi="宋体" w:cs="宋体"/>
          <w:color w:val="auto"/>
          <w:kern w:val="0"/>
          <w:sz w:val="24"/>
          <w:highlight w:val="none"/>
        </w:rPr>
        <w:t>2021年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cs="宋体"/>
          <w:color w:val="auto"/>
          <w:kern w:val="0"/>
          <w:sz w:val="24"/>
          <w:highlight w:val="none"/>
        </w:rPr>
        <w:t>日—2021年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日</w:t>
      </w:r>
      <w:r>
        <w:rPr>
          <w:rFonts w:ascii="宋体" w:hAnsi="宋体"/>
          <w:color w:val="auto"/>
          <w:sz w:val="24"/>
          <w:highlight w:val="none"/>
        </w:rPr>
        <w:t>9:00-12:00，14:00-17:00</w:t>
      </w:r>
      <w:r>
        <w:rPr>
          <w:rFonts w:hint="eastAsia" w:ascii="宋体" w:hAnsi="宋体"/>
          <w:color w:val="auto"/>
          <w:sz w:val="24"/>
          <w:highlight w:val="none"/>
        </w:rPr>
        <w:t>，意向投标人应携带招标文件中要求的相关材料（原件查看，复印件留存）至百大集团招投标管理部（</w:t>
      </w:r>
      <w:r>
        <w:rPr>
          <w:rFonts w:hint="eastAsia" w:ascii="宋体" w:hAnsi="宋体" w:cs="宋体"/>
          <w:color w:val="auto"/>
          <w:sz w:val="24"/>
          <w:highlight w:val="none"/>
        </w:rPr>
        <w:t>合肥</w:t>
      </w:r>
      <w:r>
        <w:rPr>
          <w:rFonts w:hint="eastAsia" w:ascii="宋体" w:hAnsi="宋体"/>
          <w:color w:val="auto"/>
          <w:sz w:val="24"/>
          <w:highlight w:val="none"/>
        </w:rPr>
        <w:t>市黄山路596号合肥百大集团1206室）</w:t>
      </w:r>
      <w:r>
        <w:rPr>
          <w:rFonts w:hint="eastAsia" w:ascii="宋体" w:hAnsi="宋体"/>
          <w:color w:val="auto"/>
          <w:sz w:val="24"/>
          <w:highlight w:val="none"/>
          <w:lang w:eastAsia="zh-CN"/>
        </w:rPr>
        <w:t>接受</w:t>
      </w:r>
      <w:r>
        <w:rPr>
          <w:rFonts w:hint="eastAsia" w:ascii="宋体" w:hAnsi="宋体"/>
          <w:color w:val="auto"/>
          <w:sz w:val="24"/>
          <w:highlight w:val="none"/>
        </w:rPr>
        <w:t>资格</w:t>
      </w:r>
      <w:r>
        <w:rPr>
          <w:rFonts w:hint="eastAsia" w:ascii="宋体" w:hAnsi="宋体"/>
          <w:color w:val="auto"/>
          <w:sz w:val="24"/>
          <w:highlight w:val="none"/>
          <w:lang w:eastAsia="zh-CN"/>
        </w:rPr>
        <w:t>预审</w:t>
      </w:r>
      <w:r>
        <w:rPr>
          <w:rFonts w:hint="eastAsia" w:ascii="宋体" w:hAnsi="宋体"/>
          <w:color w:val="auto"/>
          <w:sz w:val="24"/>
          <w:highlight w:val="none"/>
        </w:rPr>
        <w:t>，审查合格的投标单位以转账的形式缴纳投标保证金。</w:t>
      </w:r>
    </w:p>
    <w:p>
      <w:pPr>
        <w:pStyle w:val="35"/>
        <w:spacing w:line="480" w:lineRule="exact"/>
        <w:jc w:val="left"/>
        <w:rPr>
          <w:rFonts w:ascii="宋体" w:hAnsi="宋体"/>
          <w:color w:val="auto"/>
          <w:sz w:val="24"/>
          <w:highlight w:val="none"/>
        </w:rPr>
      </w:pPr>
      <w:r>
        <w:rPr>
          <w:rFonts w:hint="eastAsia" w:ascii="宋体" w:hAnsi="宋体" w:cs="宋体"/>
          <w:b/>
          <w:color w:val="auto"/>
          <w:sz w:val="24"/>
          <w:highlight w:val="none"/>
        </w:rPr>
        <w:t xml:space="preserve">    四、</w:t>
      </w:r>
      <w:r>
        <w:rPr>
          <w:rFonts w:hint="eastAsia" w:ascii="宋体" w:hAnsi="宋体"/>
          <w:b/>
          <w:color w:val="auto"/>
          <w:sz w:val="24"/>
          <w:highlight w:val="none"/>
        </w:rPr>
        <w:t>投标保证金</w:t>
      </w:r>
    </w:p>
    <w:p>
      <w:pPr>
        <w:pStyle w:val="35"/>
        <w:spacing w:line="480" w:lineRule="exact"/>
        <w:ind w:firstLine="480" w:firstLineChars="200"/>
        <w:jc w:val="left"/>
        <w:rPr>
          <w:rFonts w:ascii="宋体" w:hAnsi="宋体"/>
          <w:color w:val="auto"/>
          <w:sz w:val="24"/>
          <w:highlight w:val="none"/>
        </w:rPr>
      </w:pPr>
      <w:r>
        <w:rPr>
          <w:rFonts w:ascii="宋体" w:hAnsi="宋体"/>
          <w:color w:val="auto"/>
          <w:sz w:val="24"/>
          <w:highlight w:val="none"/>
        </w:rPr>
        <w:t>20</w:t>
      </w:r>
      <w:r>
        <w:rPr>
          <w:rFonts w:hint="eastAsia" w:ascii="宋体" w:hAnsi="宋体"/>
          <w:color w:val="auto"/>
          <w:sz w:val="24"/>
          <w:highlight w:val="none"/>
        </w:rPr>
        <w:t>21</w:t>
      </w:r>
      <w:r>
        <w:rPr>
          <w:rFonts w:ascii="宋体" w:hAnsi="宋体"/>
          <w:color w:val="auto"/>
          <w:sz w:val="24"/>
          <w:highlight w:val="none"/>
        </w:rPr>
        <w:t>年</w:t>
      </w:r>
      <w:r>
        <w:rPr>
          <w:rFonts w:hint="eastAsia" w:ascii="宋体" w:hAnsi="宋体"/>
          <w:color w:val="auto"/>
          <w:sz w:val="24"/>
          <w:highlight w:val="none"/>
          <w:lang w:val="en-US" w:eastAsia="zh-CN"/>
        </w:rPr>
        <w:t>7</w:t>
      </w:r>
      <w:r>
        <w:rPr>
          <w:rFonts w:ascii="宋体" w:hAnsi="宋体"/>
          <w:color w:val="auto"/>
          <w:sz w:val="24"/>
          <w:highlight w:val="none"/>
        </w:rPr>
        <w:t>月</w:t>
      </w:r>
      <w:r>
        <w:rPr>
          <w:rFonts w:hint="eastAsia" w:ascii="宋体" w:hAnsi="宋体"/>
          <w:color w:val="auto"/>
          <w:sz w:val="24"/>
          <w:highlight w:val="none"/>
          <w:lang w:val="en-US" w:eastAsia="zh-CN"/>
        </w:rPr>
        <w:t>7</w:t>
      </w:r>
      <w:r>
        <w:rPr>
          <w:rFonts w:ascii="宋体" w:hAnsi="宋体"/>
          <w:color w:val="auto"/>
          <w:sz w:val="24"/>
          <w:highlight w:val="none"/>
        </w:rPr>
        <w:t>日</w:t>
      </w:r>
      <w:r>
        <w:rPr>
          <w:rFonts w:hint="eastAsia" w:ascii="宋体" w:hAnsi="宋体"/>
          <w:color w:val="auto"/>
          <w:sz w:val="24"/>
          <w:highlight w:val="none"/>
        </w:rPr>
        <w:t>17:00前（以实际到账时间为准）通过转账的方式缴纳投标保证金贰仟元整，如中标，该保证金待投标单位缴纳中标价款5%的履约保证金后无息退还；如未中标，招标结束宣布结果后三十日内无息退还。</w:t>
      </w:r>
    </w:p>
    <w:p>
      <w:pPr>
        <w:widowControl/>
        <w:spacing w:line="480" w:lineRule="exact"/>
        <w:ind w:firstLine="480" w:firstLineChars="200"/>
        <w:jc w:val="left"/>
        <w:rPr>
          <w:rFonts w:ascii="宋体" w:hAnsi="宋体"/>
          <w:color w:val="auto"/>
          <w:kern w:val="0"/>
          <w:sz w:val="24"/>
          <w:szCs w:val="21"/>
          <w:highlight w:val="none"/>
        </w:rPr>
      </w:pPr>
      <w:r>
        <w:rPr>
          <w:rFonts w:ascii="宋体" w:hAnsi="宋体"/>
          <w:color w:val="auto"/>
          <w:kern w:val="0"/>
          <w:sz w:val="24"/>
          <w:szCs w:val="21"/>
          <w:highlight w:val="none"/>
        </w:rPr>
        <w:t>名 称：</w:t>
      </w:r>
      <w:r>
        <w:rPr>
          <w:rFonts w:hint="eastAsia" w:ascii="宋体" w:hAnsi="宋体"/>
          <w:color w:val="auto"/>
          <w:kern w:val="0"/>
          <w:sz w:val="24"/>
          <w:szCs w:val="21"/>
          <w:highlight w:val="none"/>
        </w:rPr>
        <w:t>合肥周谷堆置业有限公司</w:t>
      </w:r>
      <w:r>
        <w:rPr>
          <w:rFonts w:ascii="宋体" w:hAnsi="宋体"/>
          <w:color w:val="auto"/>
          <w:kern w:val="0"/>
          <w:sz w:val="24"/>
          <w:szCs w:val="21"/>
          <w:highlight w:val="none"/>
        </w:rPr>
        <w:t xml:space="preserve"> 开户行：徽商银行合肥庐阳支行 </w:t>
      </w:r>
    </w:p>
    <w:p>
      <w:pPr>
        <w:widowControl/>
        <w:autoSpaceDN w:val="0"/>
        <w:spacing w:line="480" w:lineRule="exact"/>
        <w:ind w:firstLine="480" w:firstLineChars="200"/>
        <w:jc w:val="left"/>
        <w:rPr>
          <w:rFonts w:ascii="宋体" w:hAnsi="宋体"/>
          <w:color w:val="auto"/>
          <w:kern w:val="0"/>
          <w:sz w:val="24"/>
          <w:szCs w:val="21"/>
          <w:highlight w:val="none"/>
        </w:rPr>
      </w:pPr>
      <w:r>
        <w:rPr>
          <w:rFonts w:ascii="宋体" w:hAnsi="宋体"/>
          <w:color w:val="auto"/>
          <w:kern w:val="0"/>
          <w:sz w:val="24"/>
          <w:szCs w:val="21"/>
          <w:highlight w:val="none"/>
        </w:rPr>
        <w:t>账 号：</w:t>
      </w:r>
      <w:r>
        <w:rPr>
          <w:rFonts w:hint="eastAsia" w:ascii="宋体" w:hAnsi="宋体"/>
          <w:color w:val="auto"/>
          <w:kern w:val="0"/>
          <w:sz w:val="24"/>
          <w:szCs w:val="21"/>
          <w:highlight w:val="none"/>
        </w:rPr>
        <w:t>1022801021000512258</w:t>
      </w:r>
      <w:r>
        <w:rPr>
          <w:rFonts w:ascii="宋体" w:hAnsi="宋体"/>
          <w:color w:val="auto"/>
          <w:kern w:val="0"/>
          <w:sz w:val="24"/>
          <w:szCs w:val="21"/>
          <w:highlight w:val="none"/>
        </w:rPr>
        <w:t>（转</w:t>
      </w:r>
      <w:r>
        <w:rPr>
          <w:rFonts w:hint="eastAsia" w:ascii="宋体" w:hAnsi="宋体"/>
          <w:color w:val="auto"/>
          <w:kern w:val="0"/>
          <w:sz w:val="24"/>
          <w:szCs w:val="21"/>
          <w:highlight w:val="none"/>
        </w:rPr>
        <w:t>账</w:t>
      </w:r>
      <w:r>
        <w:rPr>
          <w:rFonts w:ascii="宋体" w:hAnsi="宋体"/>
          <w:color w:val="auto"/>
          <w:kern w:val="0"/>
          <w:sz w:val="24"/>
          <w:szCs w:val="21"/>
          <w:highlight w:val="none"/>
        </w:rPr>
        <w:t>时请备注“</w:t>
      </w:r>
      <w:r>
        <w:rPr>
          <w:rFonts w:hint="eastAsia" w:ascii="宋体" w:hAnsi="宋体"/>
          <w:color w:val="auto"/>
          <w:sz w:val="24"/>
          <w:szCs w:val="18"/>
          <w:highlight w:val="none"/>
        </w:rPr>
        <w:t>税务师事务所服务招标投标保</w:t>
      </w:r>
      <w:r>
        <w:rPr>
          <w:rFonts w:ascii="宋体" w:hAnsi="宋体"/>
          <w:color w:val="auto"/>
          <w:kern w:val="0"/>
          <w:sz w:val="24"/>
          <w:szCs w:val="21"/>
          <w:highlight w:val="none"/>
        </w:rPr>
        <w:t>证金”）</w:t>
      </w:r>
    </w:p>
    <w:p>
      <w:pPr>
        <w:spacing w:line="460" w:lineRule="exact"/>
        <w:ind w:firstLine="361" w:firstLineChars="150"/>
        <w:rPr>
          <w:rFonts w:ascii="宋体" w:hAnsi="宋体" w:cs="宋体"/>
          <w:b/>
          <w:color w:val="auto"/>
          <w:kern w:val="0"/>
          <w:sz w:val="24"/>
          <w:highlight w:val="none"/>
        </w:rPr>
      </w:pPr>
      <w:r>
        <w:rPr>
          <w:rFonts w:hint="eastAsia" w:ascii="宋体" w:hAnsi="宋体" w:cs="宋体"/>
          <w:b/>
          <w:color w:val="auto"/>
          <w:kern w:val="0"/>
          <w:sz w:val="24"/>
          <w:highlight w:val="none"/>
        </w:rPr>
        <w:t>下列任何情况发生，投标保证金将不予退还：</w:t>
      </w:r>
    </w:p>
    <w:p>
      <w:pPr>
        <w:spacing w:line="46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1）在开标之日后投标人擅自撤回投标的；</w:t>
      </w:r>
    </w:p>
    <w:p>
      <w:pPr>
        <w:spacing w:line="46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2）中标人不按规定与招标人签订合同的；</w:t>
      </w:r>
    </w:p>
    <w:p>
      <w:pPr>
        <w:spacing w:line="46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3）中标人不按规定提交履约保证金的；</w:t>
      </w:r>
    </w:p>
    <w:p>
      <w:pPr>
        <w:spacing w:line="46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4）投标文件中提供虚假文件骗取中标的。</w:t>
      </w:r>
    </w:p>
    <w:p>
      <w:pPr>
        <w:pStyle w:val="2"/>
        <w:ind w:firstLine="210"/>
        <w:rPr>
          <w:color w:val="auto"/>
          <w:highlight w:val="none"/>
        </w:rPr>
      </w:pPr>
    </w:p>
    <w:p>
      <w:pPr>
        <w:spacing w:line="460" w:lineRule="exact"/>
        <w:rPr>
          <w:color w:val="auto"/>
          <w:sz w:val="24"/>
          <w:highlight w:val="none"/>
        </w:rPr>
      </w:pPr>
      <w:r>
        <w:rPr>
          <w:rFonts w:hint="eastAsia" w:ascii="宋体" w:hAnsi="宋体"/>
          <w:b/>
          <w:color w:val="auto"/>
          <w:kern w:val="0"/>
          <w:sz w:val="24"/>
          <w:szCs w:val="21"/>
          <w:highlight w:val="none"/>
        </w:rPr>
        <w:t xml:space="preserve">   五、</w:t>
      </w:r>
      <w:r>
        <w:rPr>
          <w:rFonts w:hint="eastAsia" w:ascii="Arial" w:hAnsi="Arial" w:cs="Arial"/>
          <w:b/>
          <w:bCs/>
          <w:color w:val="auto"/>
          <w:sz w:val="24"/>
          <w:highlight w:val="none"/>
          <w:shd w:val="clear" w:color="auto" w:fill="FFFFFF"/>
        </w:rPr>
        <w:t>现场踏勘</w:t>
      </w:r>
    </w:p>
    <w:p>
      <w:pPr>
        <w:pStyle w:val="2"/>
        <w:spacing w:line="500" w:lineRule="exact"/>
        <w:ind w:left="-178" w:leftChars="-85" w:firstLine="480" w:firstLineChars="200"/>
        <w:rPr>
          <w:color w:val="auto"/>
          <w:highlight w:val="none"/>
        </w:rPr>
      </w:pPr>
      <w:r>
        <w:rPr>
          <w:rFonts w:ascii="Arial" w:hAnsi="Arial" w:cs="Arial"/>
          <w:color w:val="auto"/>
          <w:sz w:val="24"/>
          <w:highlight w:val="none"/>
          <w:shd w:val="clear" w:color="auto" w:fill="FFFFFF"/>
        </w:rPr>
        <w:t>招标人不统一组织投标人对项目进行现场踏勘。如果投标人认为有必要，应对</w:t>
      </w:r>
      <w:r>
        <w:rPr>
          <w:rFonts w:hint="eastAsia" w:ascii="Arial" w:hAnsi="Arial" w:cs="Arial"/>
          <w:color w:val="auto"/>
          <w:sz w:val="24"/>
          <w:highlight w:val="none"/>
          <w:shd w:val="clear" w:color="auto" w:fill="FFFFFF"/>
        </w:rPr>
        <w:t>项目</w:t>
      </w:r>
      <w:r>
        <w:rPr>
          <w:rFonts w:ascii="Arial" w:hAnsi="Arial" w:cs="Arial"/>
          <w:color w:val="auto"/>
          <w:sz w:val="24"/>
          <w:highlight w:val="none"/>
          <w:shd w:val="clear" w:color="auto" w:fill="FFFFFF"/>
        </w:rPr>
        <w:t>现场及其周围环境进行踏勘，以获取有关编制投标文件和签署合同所需的所有资料和信息。投标人承担考察现场的自身费用。对投标人递交的投标文件，视为投标人已对现场进行了充分考察，并充分考虑了项目实施中的各种现场因素。经招标人允许，投标人可为踏勘目的进入招标人的</w:t>
      </w:r>
      <w:r>
        <w:rPr>
          <w:rFonts w:hint="eastAsia" w:ascii="Arial" w:hAnsi="Arial" w:cs="Arial"/>
          <w:color w:val="auto"/>
          <w:sz w:val="24"/>
          <w:highlight w:val="none"/>
          <w:shd w:val="clear" w:color="auto" w:fill="FFFFFF"/>
        </w:rPr>
        <w:t>项目</w:t>
      </w:r>
      <w:r>
        <w:rPr>
          <w:rFonts w:ascii="Arial" w:hAnsi="Arial" w:cs="Arial"/>
          <w:color w:val="auto"/>
          <w:sz w:val="24"/>
          <w:highlight w:val="none"/>
          <w:shd w:val="clear" w:color="auto" w:fill="FFFFFF"/>
        </w:rPr>
        <w:t>现场，但投标人不得因此使招标人承担有关的责任和蒙受损失，投标人应承担踏勘现场所引起的一切责任和风险。</w:t>
      </w:r>
    </w:p>
    <w:p>
      <w:pPr>
        <w:widowControl/>
        <w:spacing w:line="480" w:lineRule="exact"/>
        <w:jc w:val="left"/>
        <w:rPr>
          <w:rFonts w:ascii="宋体" w:hAnsi="宋体"/>
          <w:b/>
          <w:color w:val="auto"/>
          <w:kern w:val="0"/>
          <w:sz w:val="24"/>
          <w:szCs w:val="21"/>
          <w:highlight w:val="none"/>
        </w:rPr>
      </w:pPr>
    </w:p>
    <w:p>
      <w:pPr>
        <w:widowControl/>
        <w:spacing w:line="480" w:lineRule="exact"/>
        <w:jc w:val="left"/>
        <w:rPr>
          <w:rFonts w:ascii="宋体" w:hAnsi="宋体" w:cs="宋体"/>
          <w:color w:val="auto"/>
          <w:kern w:val="0"/>
          <w:sz w:val="24"/>
          <w:highlight w:val="none"/>
        </w:rPr>
      </w:pP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六、开标时间：</w:t>
      </w:r>
      <w:r>
        <w:rPr>
          <w:rFonts w:hint="eastAsia" w:ascii="宋体" w:hAnsi="宋体" w:cs="宋体"/>
          <w:color w:val="auto"/>
          <w:kern w:val="0"/>
          <w:sz w:val="24"/>
          <w:highlight w:val="none"/>
        </w:rPr>
        <w:t>2021年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日9:</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（如有调整，另行通知）</w:t>
      </w:r>
    </w:p>
    <w:p>
      <w:pPr>
        <w:widowControl/>
        <w:spacing w:line="480" w:lineRule="exact"/>
        <w:ind w:firstLine="482" w:firstLineChars="200"/>
        <w:jc w:val="left"/>
        <w:rPr>
          <w:rFonts w:ascii="宋体" w:hAnsi="宋体" w:cs="宋体"/>
          <w:color w:val="auto"/>
          <w:kern w:val="0"/>
          <w:sz w:val="24"/>
          <w:highlight w:val="none"/>
        </w:rPr>
      </w:pPr>
      <w:r>
        <w:rPr>
          <w:rFonts w:hint="eastAsia" w:ascii="宋体" w:hAnsi="宋体" w:cs="宋体"/>
          <w:b/>
          <w:bCs/>
          <w:color w:val="auto"/>
          <w:kern w:val="0"/>
          <w:sz w:val="24"/>
          <w:highlight w:val="none"/>
          <w:lang w:val="en-US" w:eastAsia="zh-CN"/>
        </w:rPr>
        <w:t xml:space="preserve">  </w:t>
      </w:r>
      <w:r>
        <w:rPr>
          <w:rFonts w:hint="eastAsia" w:ascii="宋体" w:hAnsi="宋体" w:cs="宋体"/>
          <w:b/>
          <w:bCs/>
          <w:color w:val="auto"/>
          <w:kern w:val="0"/>
          <w:sz w:val="24"/>
          <w:highlight w:val="none"/>
        </w:rPr>
        <w:t>开标地点</w:t>
      </w:r>
      <w:r>
        <w:rPr>
          <w:rFonts w:hint="eastAsia" w:ascii="宋体" w:hAnsi="宋体" w:cs="宋体"/>
          <w:color w:val="auto"/>
          <w:kern w:val="0"/>
          <w:sz w:val="24"/>
          <w:highlight w:val="none"/>
        </w:rPr>
        <w:t>：</w:t>
      </w:r>
      <w:r>
        <w:rPr>
          <w:rFonts w:ascii="宋体" w:hAnsi="宋体" w:cs="宋体"/>
          <w:color w:val="auto"/>
          <w:kern w:val="0"/>
          <w:sz w:val="24"/>
          <w:highlight w:val="none"/>
        </w:rPr>
        <w:t>黄山路596号合肥百大集团12</w:t>
      </w:r>
      <w:r>
        <w:rPr>
          <w:rFonts w:hint="eastAsia" w:ascii="宋体" w:hAnsi="宋体" w:cs="宋体"/>
          <w:color w:val="auto"/>
          <w:kern w:val="0"/>
          <w:sz w:val="24"/>
          <w:highlight w:val="none"/>
        </w:rPr>
        <w:t>09</w:t>
      </w:r>
      <w:r>
        <w:rPr>
          <w:rFonts w:ascii="宋体" w:hAnsi="宋体" w:cs="宋体"/>
          <w:color w:val="auto"/>
          <w:kern w:val="0"/>
          <w:sz w:val="24"/>
          <w:highlight w:val="none"/>
        </w:rPr>
        <w:t>室</w:t>
      </w:r>
    </w:p>
    <w:p>
      <w:pPr>
        <w:spacing w:line="460" w:lineRule="exact"/>
        <w:ind w:firstLine="482" w:firstLineChars="200"/>
        <w:rPr>
          <w:rFonts w:ascii="宋体" w:hAnsi="宋体" w:cs="宋体"/>
          <w:color w:val="auto"/>
          <w:kern w:val="0"/>
          <w:sz w:val="24"/>
          <w:highlight w:val="none"/>
        </w:rPr>
      </w:pP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踏勘地点：</w:t>
      </w:r>
      <w:r>
        <w:rPr>
          <w:rFonts w:hint="eastAsia" w:ascii="宋体" w:hAnsi="宋体" w:cs="宋体"/>
          <w:color w:val="auto"/>
          <w:sz w:val="24"/>
          <w:highlight w:val="none"/>
        </w:rPr>
        <w:t>合肥市瑶海区大兴镇百大周谷堆沿街商业</w:t>
      </w:r>
    </w:p>
    <w:p>
      <w:pPr>
        <w:pStyle w:val="2"/>
        <w:ind w:firstLine="210"/>
        <w:rPr>
          <w:color w:val="auto"/>
          <w:highlight w:val="none"/>
        </w:rPr>
      </w:pPr>
    </w:p>
    <w:p>
      <w:pPr>
        <w:widowControl/>
        <w:spacing w:line="480" w:lineRule="exact"/>
        <w:jc w:val="left"/>
        <w:rPr>
          <w:rFonts w:ascii="宋体" w:hAnsi="宋体" w:cs="宋体"/>
          <w:color w:val="auto"/>
          <w:spacing w:val="-4"/>
          <w:kern w:val="0"/>
          <w:sz w:val="24"/>
          <w:highlight w:val="none"/>
        </w:rPr>
      </w:pP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七、招标单位联系方式：</w:t>
      </w:r>
      <w:r>
        <w:rPr>
          <w:rFonts w:hint="eastAsia" w:ascii="宋体" w:hAnsi="宋体" w:cs="宋体"/>
          <w:color w:val="auto"/>
          <w:kern w:val="0"/>
          <w:sz w:val="24"/>
          <w:highlight w:val="none"/>
        </w:rPr>
        <w:t xml:space="preserve"> </w:t>
      </w:r>
    </w:p>
    <w:p>
      <w:pPr>
        <w:widowControl/>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项目咨询：时先生 </w:t>
      </w:r>
      <w:r>
        <w:rPr>
          <w:rFonts w:ascii="宋体" w:hAnsi="宋体" w:cs="宋体"/>
          <w:color w:val="auto"/>
          <w:kern w:val="0"/>
          <w:sz w:val="24"/>
          <w:highlight w:val="none"/>
        </w:rPr>
        <w:t>0551-62970016</w:t>
      </w:r>
    </w:p>
    <w:p>
      <w:pPr>
        <w:widowControl/>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资质预审：赵女士</w:t>
      </w:r>
      <w:r>
        <w:rPr>
          <w:rFonts w:ascii="宋体" w:hAnsi="宋体" w:cs="宋体"/>
          <w:color w:val="auto"/>
          <w:kern w:val="0"/>
          <w:sz w:val="24"/>
          <w:highlight w:val="none"/>
        </w:rPr>
        <w:t xml:space="preserve"> 0551-65771070</w:t>
      </w:r>
    </w:p>
    <w:p>
      <w:pPr>
        <w:widowControl/>
        <w:spacing w:line="480" w:lineRule="exact"/>
        <w:ind w:firstLine="480" w:firstLineChars="200"/>
        <w:jc w:val="left"/>
        <w:rPr>
          <w:rFonts w:ascii="宋体" w:hAnsi="宋体" w:cs="宋体"/>
          <w:color w:val="auto"/>
          <w:kern w:val="0"/>
          <w:sz w:val="24"/>
          <w:highlight w:val="none"/>
        </w:rPr>
      </w:pPr>
    </w:p>
    <w:p>
      <w:pPr>
        <w:widowControl/>
        <w:numPr>
          <w:ilvl w:val="0"/>
          <w:numId w:val="1"/>
        </w:numPr>
        <w:spacing w:line="600" w:lineRule="exact"/>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投标须知</w:t>
      </w:r>
    </w:p>
    <w:p>
      <w:pPr>
        <w:widowControl/>
        <w:spacing w:line="5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一、投标人要求</w:t>
      </w:r>
    </w:p>
    <w:p>
      <w:pPr>
        <w:widowControl/>
        <w:shd w:val="clear" w:color="010000" w:fill="auto"/>
        <w:snapToGrid/>
        <w:spacing w:line="500" w:lineRule="exact"/>
        <w:ind w:firstLine="480" w:firstLineChars="200"/>
        <w:jc w:val="left"/>
        <w:rPr>
          <w:rFonts w:ascii="宋体" w:hAnsi="宋体"/>
          <w:color w:val="auto"/>
          <w:sz w:val="24"/>
          <w:highlight w:val="none"/>
        </w:rPr>
      </w:pPr>
      <w:r>
        <w:rPr>
          <w:rFonts w:hint="eastAsia" w:ascii="宋体" w:hAnsi="宋体"/>
          <w:color w:val="auto"/>
          <w:sz w:val="24"/>
          <w:highlight w:val="none"/>
        </w:rPr>
        <w:t>1.具有独立</w:t>
      </w:r>
      <w:r>
        <w:rPr>
          <w:rFonts w:ascii="宋体" w:hAnsi="宋体"/>
          <w:color w:val="auto"/>
          <w:sz w:val="24"/>
          <w:highlight w:val="none"/>
        </w:rPr>
        <w:t>法人</w:t>
      </w:r>
      <w:r>
        <w:rPr>
          <w:rFonts w:hint="eastAsia" w:ascii="宋体" w:hAnsi="宋体"/>
          <w:color w:val="auto"/>
          <w:sz w:val="24"/>
          <w:highlight w:val="none"/>
        </w:rPr>
        <w:t>及一般纳税人资格，具有合法的《税务师事务所行政登记证书》和有效的《营业执照》。</w:t>
      </w:r>
    </w:p>
    <w:p>
      <w:pPr>
        <w:widowControl/>
        <w:spacing w:line="500" w:lineRule="exact"/>
        <w:ind w:firstLine="480" w:firstLineChars="200"/>
        <w:jc w:val="left"/>
        <w:rPr>
          <w:rFonts w:ascii="宋体" w:hAnsi="宋体"/>
          <w:color w:val="auto"/>
          <w:sz w:val="24"/>
          <w:highlight w:val="none"/>
        </w:rPr>
      </w:pPr>
      <w:r>
        <w:rPr>
          <w:rFonts w:hint="eastAsia" w:ascii="宋体" w:hAnsi="宋体"/>
          <w:color w:val="auto"/>
          <w:sz w:val="24"/>
          <w:highlight w:val="none"/>
        </w:rPr>
        <w:t>2.近两年来至少具有一个已完成类似房地产开发项目服务业绩（以出具</w:t>
      </w:r>
      <w:r>
        <w:rPr>
          <w:rFonts w:hint="eastAsia" w:ascii="宋体" w:hAnsi="宋体"/>
          <w:color w:val="auto"/>
          <w:sz w:val="24"/>
          <w:szCs w:val="18"/>
          <w:highlight w:val="none"/>
        </w:rPr>
        <w:t>土地增值税清算鉴证报告时间为准</w:t>
      </w:r>
      <w:r>
        <w:rPr>
          <w:rFonts w:hint="eastAsia" w:ascii="宋体" w:hAnsi="宋体"/>
          <w:color w:val="auto"/>
          <w:sz w:val="24"/>
          <w:highlight w:val="none"/>
        </w:rPr>
        <w:t>）。</w:t>
      </w:r>
    </w:p>
    <w:p>
      <w:pPr>
        <w:widowControl/>
        <w:spacing w:line="500" w:lineRule="exact"/>
        <w:ind w:firstLine="480" w:firstLineChars="200"/>
        <w:jc w:val="left"/>
        <w:rPr>
          <w:rFonts w:ascii="宋体" w:hAnsi="宋体"/>
          <w:color w:val="auto"/>
          <w:sz w:val="24"/>
          <w:highlight w:val="none"/>
        </w:rPr>
      </w:pPr>
      <w:r>
        <w:rPr>
          <w:rFonts w:hint="eastAsia" w:ascii="宋体" w:hAnsi="宋体"/>
          <w:color w:val="auto"/>
          <w:sz w:val="24"/>
          <w:highlight w:val="none"/>
        </w:rPr>
        <w:t>3.拟派本项目负责人要求：近两年来至少具有一个已完成类似房地产开发项目服务业绩（以出具</w:t>
      </w:r>
      <w:r>
        <w:rPr>
          <w:rFonts w:hint="eastAsia" w:ascii="宋体" w:hAnsi="宋体"/>
          <w:color w:val="auto"/>
          <w:sz w:val="24"/>
          <w:szCs w:val="18"/>
          <w:highlight w:val="none"/>
        </w:rPr>
        <w:t>土地增值税清算鉴证完成情况报告时间为准</w:t>
      </w:r>
      <w:r>
        <w:rPr>
          <w:rFonts w:hint="eastAsia" w:ascii="宋体" w:hAnsi="宋体"/>
          <w:color w:val="auto"/>
          <w:sz w:val="24"/>
          <w:highlight w:val="none"/>
        </w:rPr>
        <w:t>）。</w:t>
      </w:r>
    </w:p>
    <w:p>
      <w:pPr>
        <w:widowControl/>
        <w:spacing w:line="500" w:lineRule="exact"/>
        <w:ind w:firstLine="480" w:firstLineChars="200"/>
        <w:jc w:val="left"/>
        <w:rPr>
          <w:rFonts w:ascii="宋体" w:hAnsi="宋体"/>
          <w:color w:val="auto"/>
          <w:sz w:val="24"/>
          <w:highlight w:val="none"/>
        </w:rPr>
      </w:pPr>
      <w:r>
        <w:rPr>
          <w:rFonts w:hint="eastAsia" w:ascii="宋体" w:hAnsi="宋体" w:eastAsia="宋体"/>
          <w:color w:val="auto"/>
          <w:kern w:val="0"/>
          <w:sz w:val="24"/>
          <w:szCs w:val="28"/>
          <w:highlight w:val="none"/>
        </w:rPr>
        <w:t>4.</w:t>
      </w:r>
      <w:r>
        <w:rPr>
          <w:rFonts w:ascii="宋体" w:hAnsi="宋体"/>
          <w:color w:val="auto"/>
          <w:kern w:val="0"/>
          <w:sz w:val="24"/>
          <w:szCs w:val="28"/>
          <w:highlight w:val="none"/>
        </w:rPr>
        <w:t>投标人须符合下列</w:t>
      </w:r>
      <w:r>
        <w:rPr>
          <w:rFonts w:hint="eastAsia" w:ascii="宋体" w:hAnsi="宋体"/>
          <w:color w:val="auto"/>
          <w:kern w:val="0"/>
          <w:sz w:val="24"/>
          <w:szCs w:val="28"/>
          <w:highlight w:val="none"/>
        </w:rPr>
        <w:t>要求</w:t>
      </w:r>
      <w:r>
        <w:rPr>
          <w:rFonts w:ascii="宋体" w:hAnsi="宋体"/>
          <w:color w:val="auto"/>
          <w:kern w:val="0"/>
          <w:sz w:val="24"/>
          <w:szCs w:val="28"/>
          <w:highlight w:val="none"/>
        </w:rPr>
        <w:t>（以</w:t>
      </w:r>
      <w:r>
        <w:rPr>
          <w:rFonts w:hint="eastAsia" w:ascii="宋体" w:hAnsi="宋体"/>
          <w:color w:val="auto"/>
          <w:kern w:val="0"/>
          <w:sz w:val="24"/>
          <w:szCs w:val="28"/>
          <w:highlight w:val="none"/>
        </w:rPr>
        <w:t>开标当日现场</w:t>
      </w:r>
      <w:r>
        <w:rPr>
          <w:rFonts w:ascii="宋体" w:hAnsi="宋体"/>
          <w:color w:val="auto"/>
          <w:kern w:val="0"/>
          <w:sz w:val="24"/>
          <w:szCs w:val="28"/>
          <w:highlight w:val="none"/>
        </w:rPr>
        <w:t>在“安徽合肥公共资源交易中心”网站http://ggzy.hefei.gov.cn/pgt/exposureDesk.html查询信息为准</w:t>
      </w:r>
      <w:r>
        <w:rPr>
          <w:rFonts w:hint="eastAsia" w:ascii="宋体" w:hAnsi="宋体"/>
          <w:color w:val="auto"/>
          <w:kern w:val="0"/>
          <w:sz w:val="24"/>
          <w:szCs w:val="28"/>
          <w:highlight w:val="none"/>
        </w:rPr>
        <w:t>。如网站未收录被查询企业信息视为不存在以下不良行为记录。如有以下记录，招标人有权取消其投标资格。</w:t>
      </w:r>
      <w:r>
        <w:rPr>
          <w:rFonts w:ascii="宋体" w:hAnsi="宋体"/>
          <w:color w:val="auto"/>
          <w:kern w:val="0"/>
          <w:sz w:val="24"/>
          <w:szCs w:val="28"/>
          <w:highlight w:val="none"/>
        </w:rPr>
        <w:t>）：</w:t>
      </w:r>
    </w:p>
    <w:p>
      <w:pPr>
        <w:widowControl/>
        <w:spacing w:line="500" w:lineRule="exact"/>
        <w:ind w:firstLine="360" w:firstLineChars="150"/>
        <w:jc w:val="left"/>
        <w:rPr>
          <w:rFonts w:ascii="宋体" w:hAnsi="宋体"/>
          <w:color w:val="auto"/>
          <w:sz w:val="24"/>
          <w:highlight w:val="none"/>
        </w:rPr>
      </w:pPr>
      <w:r>
        <w:rPr>
          <w:rFonts w:hint="eastAsia" w:ascii="宋体" w:hAnsi="宋体" w:eastAsia="宋体"/>
          <w:color w:val="auto"/>
          <w:kern w:val="0"/>
          <w:sz w:val="24"/>
          <w:szCs w:val="28"/>
          <w:highlight w:val="none"/>
        </w:rPr>
        <w:t>4</w:t>
      </w:r>
      <w:r>
        <w:rPr>
          <w:rFonts w:hint="eastAsia" w:ascii="宋体" w:hAnsi="宋体"/>
          <w:color w:val="auto"/>
          <w:kern w:val="0"/>
          <w:sz w:val="24"/>
          <w:szCs w:val="28"/>
          <w:highlight w:val="none"/>
        </w:rPr>
        <w:t>.1</w:t>
      </w:r>
      <w:r>
        <w:rPr>
          <w:rFonts w:ascii="宋体" w:hAnsi="宋体"/>
          <w:color w:val="auto"/>
          <w:kern w:val="0"/>
          <w:sz w:val="24"/>
          <w:szCs w:val="28"/>
          <w:highlight w:val="none"/>
        </w:rPr>
        <w:t>开标日前两年内未被合肥市及其所辖县（市）公共资源交易监督管理局记不良行为记录或记不良行为记录累计未满10分的。 </w:t>
      </w:r>
    </w:p>
    <w:p>
      <w:pPr>
        <w:widowControl/>
        <w:spacing w:line="500" w:lineRule="exact"/>
        <w:ind w:firstLine="360" w:firstLineChars="150"/>
        <w:jc w:val="left"/>
        <w:rPr>
          <w:rFonts w:ascii="宋体" w:hAnsi="宋体"/>
          <w:color w:val="auto"/>
          <w:sz w:val="24"/>
          <w:highlight w:val="none"/>
        </w:rPr>
      </w:pPr>
      <w:r>
        <w:rPr>
          <w:rFonts w:hint="eastAsia" w:ascii="宋体" w:hAnsi="宋体" w:eastAsia="宋体"/>
          <w:color w:val="auto"/>
          <w:kern w:val="0"/>
          <w:sz w:val="24"/>
          <w:szCs w:val="28"/>
          <w:highlight w:val="none"/>
        </w:rPr>
        <w:t>4</w:t>
      </w:r>
      <w:r>
        <w:rPr>
          <w:rFonts w:hint="eastAsia" w:ascii="宋体" w:hAnsi="宋体"/>
          <w:color w:val="auto"/>
          <w:kern w:val="0"/>
          <w:sz w:val="24"/>
          <w:szCs w:val="28"/>
          <w:highlight w:val="none"/>
        </w:rPr>
        <w:t>.2</w:t>
      </w:r>
      <w:r>
        <w:rPr>
          <w:rFonts w:ascii="宋体" w:hAnsi="宋体"/>
          <w:color w:val="auto"/>
          <w:kern w:val="0"/>
          <w:sz w:val="24"/>
          <w:szCs w:val="28"/>
          <w:highlight w:val="none"/>
        </w:rPr>
        <w:t>最近一次被合肥市及其所辖县（市）公共资源交易监督管理局记不良行为记录累计记分达10分(含10分)到15分且公布日距开标日超过6个月。 </w:t>
      </w:r>
    </w:p>
    <w:p>
      <w:pPr>
        <w:widowControl/>
        <w:spacing w:line="500" w:lineRule="exact"/>
        <w:ind w:firstLine="360" w:firstLineChars="150"/>
        <w:jc w:val="left"/>
        <w:rPr>
          <w:rFonts w:ascii="宋体" w:hAnsi="宋体"/>
          <w:color w:val="auto"/>
          <w:sz w:val="24"/>
          <w:highlight w:val="none"/>
        </w:rPr>
      </w:pPr>
      <w:r>
        <w:rPr>
          <w:rFonts w:hint="eastAsia" w:ascii="宋体" w:hAnsi="宋体" w:eastAsia="宋体"/>
          <w:color w:val="auto"/>
          <w:kern w:val="0"/>
          <w:sz w:val="24"/>
          <w:szCs w:val="28"/>
          <w:highlight w:val="none"/>
        </w:rPr>
        <w:t>4</w:t>
      </w:r>
      <w:r>
        <w:rPr>
          <w:rFonts w:hint="eastAsia" w:ascii="宋体" w:hAnsi="宋体"/>
          <w:color w:val="auto"/>
          <w:kern w:val="0"/>
          <w:sz w:val="24"/>
          <w:szCs w:val="28"/>
          <w:highlight w:val="none"/>
        </w:rPr>
        <w:t>.3</w:t>
      </w:r>
      <w:r>
        <w:rPr>
          <w:rFonts w:ascii="宋体" w:hAnsi="宋体"/>
          <w:color w:val="auto"/>
          <w:kern w:val="0"/>
          <w:sz w:val="24"/>
          <w:szCs w:val="28"/>
          <w:highlight w:val="none"/>
        </w:rPr>
        <w:t>最近一次被合肥市及其所辖县（市）公共资源交易监督管理局记不良行为记录累计记分达15分(含15分)到20分且公布日距开标日超过12个月。 </w:t>
      </w:r>
    </w:p>
    <w:p>
      <w:pPr>
        <w:widowControl/>
        <w:spacing w:line="500" w:lineRule="exact"/>
        <w:ind w:firstLine="360" w:firstLineChars="150"/>
        <w:jc w:val="left"/>
        <w:rPr>
          <w:rFonts w:ascii="宋体" w:hAnsi="宋体"/>
          <w:color w:val="auto"/>
          <w:sz w:val="24"/>
          <w:highlight w:val="none"/>
        </w:rPr>
      </w:pPr>
      <w:r>
        <w:rPr>
          <w:rFonts w:hint="eastAsia" w:ascii="宋体" w:hAnsi="宋体" w:eastAsia="宋体"/>
          <w:color w:val="auto"/>
          <w:kern w:val="0"/>
          <w:sz w:val="24"/>
          <w:szCs w:val="28"/>
          <w:highlight w:val="none"/>
        </w:rPr>
        <w:t>4</w:t>
      </w:r>
      <w:r>
        <w:rPr>
          <w:rFonts w:hint="eastAsia" w:ascii="宋体" w:hAnsi="宋体"/>
          <w:color w:val="auto"/>
          <w:kern w:val="0"/>
          <w:sz w:val="24"/>
          <w:szCs w:val="28"/>
          <w:highlight w:val="none"/>
        </w:rPr>
        <w:t>.4</w:t>
      </w:r>
      <w:r>
        <w:rPr>
          <w:rFonts w:ascii="宋体" w:hAnsi="宋体"/>
          <w:color w:val="auto"/>
          <w:kern w:val="0"/>
          <w:sz w:val="24"/>
          <w:szCs w:val="28"/>
          <w:highlight w:val="none"/>
        </w:rPr>
        <w:t>最近一次被合肥市及其所辖县（市）公共资源交易监督管理局记不良行为记录累计记分达20分(含20分)及以上且公布日距开标日超过24个月。</w:t>
      </w:r>
    </w:p>
    <w:p>
      <w:pPr>
        <w:widowControl/>
        <w:spacing w:line="500" w:lineRule="exact"/>
        <w:ind w:firstLine="360" w:firstLineChars="150"/>
        <w:jc w:val="left"/>
        <w:rPr>
          <w:rFonts w:ascii="宋体" w:hAnsi="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bCs/>
          <w:color w:val="auto"/>
          <w:kern w:val="0"/>
          <w:sz w:val="24"/>
          <w:szCs w:val="28"/>
          <w:highlight w:val="none"/>
        </w:rPr>
        <w:t>.</w:t>
      </w:r>
      <w:r>
        <w:rPr>
          <w:rFonts w:ascii="宋体" w:hAnsi="宋体"/>
          <w:color w:val="auto"/>
          <w:kern w:val="0"/>
          <w:sz w:val="24"/>
          <w:szCs w:val="28"/>
          <w:highlight w:val="none"/>
        </w:rPr>
        <w:t>投标人</w:t>
      </w:r>
      <w:r>
        <w:rPr>
          <w:rFonts w:hint="eastAsia" w:ascii="宋体" w:hAnsi="宋体"/>
          <w:color w:val="auto"/>
          <w:kern w:val="0"/>
          <w:sz w:val="24"/>
          <w:szCs w:val="28"/>
          <w:highlight w:val="none"/>
        </w:rPr>
        <w:t>不得</w:t>
      </w:r>
      <w:r>
        <w:rPr>
          <w:rFonts w:ascii="宋体" w:hAnsi="宋体"/>
          <w:color w:val="auto"/>
          <w:kern w:val="0"/>
          <w:sz w:val="24"/>
          <w:szCs w:val="28"/>
          <w:highlight w:val="none"/>
        </w:rPr>
        <w:t>存在以下不良信用记录情形之一（以</w:t>
      </w:r>
      <w:r>
        <w:rPr>
          <w:rFonts w:hint="eastAsia" w:ascii="宋体" w:hAnsi="宋体"/>
          <w:color w:val="auto"/>
          <w:kern w:val="0"/>
          <w:sz w:val="24"/>
          <w:szCs w:val="28"/>
          <w:highlight w:val="none"/>
        </w:rPr>
        <w:t>开标当日现场</w:t>
      </w:r>
      <w:r>
        <w:rPr>
          <w:rFonts w:ascii="宋体" w:hAnsi="宋体"/>
          <w:color w:val="auto"/>
          <w:kern w:val="0"/>
          <w:sz w:val="24"/>
          <w:szCs w:val="28"/>
          <w:highlight w:val="none"/>
        </w:rPr>
        <w:t>在“信用中国”网站http://www.creditchina.gov.cn/查询信息为准</w:t>
      </w:r>
      <w:r>
        <w:rPr>
          <w:rFonts w:hint="eastAsia" w:ascii="宋体" w:hAnsi="宋体"/>
          <w:color w:val="auto"/>
          <w:kern w:val="0"/>
          <w:sz w:val="24"/>
          <w:szCs w:val="28"/>
          <w:highlight w:val="none"/>
        </w:rPr>
        <w:t>。如网站未收录被查询企业信息视为不存在以下不良信用记录。如有以下记录，招标人有权取消其投标资格。</w:t>
      </w:r>
      <w:r>
        <w:rPr>
          <w:rFonts w:ascii="宋体" w:hAnsi="宋体"/>
          <w:color w:val="auto"/>
          <w:kern w:val="0"/>
          <w:sz w:val="24"/>
          <w:szCs w:val="28"/>
          <w:highlight w:val="none"/>
        </w:rPr>
        <w:t>）：</w:t>
      </w:r>
    </w:p>
    <w:p>
      <w:pPr>
        <w:spacing w:line="500" w:lineRule="exact"/>
        <w:ind w:firstLine="480" w:firstLineChars="200"/>
        <w:rPr>
          <w:rFonts w:ascii="宋体" w:hAnsi="宋体"/>
          <w:color w:val="auto"/>
          <w:kern w:val="0"/>
          <w:sz w:val="24"/>
          <w:szCs w:val="28"/>
          <w:highlight w:val="none"/>
        </w:rPr>
      </w:pPr>
      <w:r>
        <w:rPr>
          <w:rFonts w:hint="eastAsia" w:ascii="宋体" w:hAnsi="宋体" w:eastAsia="宋体"/>
          <w:color w:val="auto"/>
          <w:kern w:val="0"/>
          <w:sz w:val="24"/>
          <w:szCs w:val="28"/>
          <w:highlight w:val="none"/>
        </w:rPr>
        <w:t>5</w:t>
      </w:r>
      <w:r>
        <w:rPr>
          <w:rFonts w:hint="eastAsia" w:ascii="宋体" w:hAnsi="宋体"/>
          <w:color w:val="auto"/>
          <w:kern w:val="0"/>
          <w:sz w:val="24"/>
          <w:szCs w:val="28"/>
          <w:highlight w:val="none"/>
        </w:rPr>
        <w:t>.1</w:t>
      </w:r>
      <w:r>
        <w:rPr>
          <w:rFonts w:ascii="宋体" w:hAnsi="宋体"/>
          <w:color w:val="auto"/>
          <w:kern w:val="0"/>
          <w:sz w:val="24"/>
          <w:szCs w:val="28"/>
          <w:highlight w:val="none"/>
        </w:rPr>
        <w:t>投标人被人民法院列入失信被执行人的。</w:t>
      </w:r>
    </w:p>
    <w:p>
      <w:pPr>
        <w:spacing w:line="500" w:lineRule="exact"/>
        <w:ind w:firstLine="480" w:firstLineChars="200"/>
        <w:rPr>
          <w:rFonts w:ascii="宋体" w:hAnsi="宋体"/>
          <w:color w:val="auto"/>
          <w:kern w:val="0"/>
          <w:sz w:val="24"/>
          <w:szCs w:val="28"/>
          <w:highlight w:val="none"/>
        </w:rPr>
      </w:pPr>
      <w:r>
        <w:rPr>
          <w:rFonts w:hint="eastAsia" w:ascii="宋体" w:hAnsi="宋体" w:eastAsia="宋体"/>
          <w:color w:val="auto"/>
          <w:kern w:val="0"/>
          <w:sz w:val="24"/>
          <w:szCs w:val="28"/>
          <w:highlight w:val="none"/>
        </w:rPr>
        <w:t>5</w:t>
      </w:r>
      <w:r>
        <w:rPr>
          <w:rFonts w:hint="eastAsia" w:ascii="宋体" w:hAnsi="宋体"/>
          <w:color w:val="auto"/>
          <w:kern w:val="0"/>
          <w:sz w:val="24"/>
          <w:szCs w:val="28"/>
          <w:highlight w:val="none"/>
        </w:rPr>
        <w:t>.2</w:t>
      </w:r>
      <w:r>
        <w:rPr>
          <w:rFonts w:ascii="宋体" w:hAnsi="宋体"/>
          <w:color w:val="auto"/>
          <w:kern w:val="0"/>
          <w:sz w:val="24"/>
          <w:szCs w:val="28"/>
          <w:highlight w:val="none"/>
        </w:rPr>
        <w:t>投标人被列入政府采购严重违法失信名单的。</w:t>
      </w:r>
    </w:p>
    <w:p>
      <w:pPr>
        <w:spacing w:line="500" w:lineRule="exact"/>
        <w:ind w:firstLine="480" w:firstLineChars="200"/>
        <w:rPr>
          <w:rFonts w:ascii="宋体" w:hAnsi="宋体"/>
          <w:color w:val="auto"/>
          <w:kern w:val="0"/>
          <w:sz w:val="24"/>
          <w:szCs w:val="28"/>
          <w:highlight w:val="none"/>
        </w:rPr>
      </w:pPr>
      <w:r>
        <w:rPr>
          <w:rFonts w:hint="eastAsia" w:ascii="宋体" w:hAnsi="宋体" w:eastAsia="宋体"/>
          <w:color w:val="auto"/>
          <w:kern w:val="0"/>
          <w:sz w:val="24"/>
          <w:szCs w:val="28"/>
          <w:highlight w:val="none"/>
        </w:rPr>
        <w:t>5</w:t>
      </w:r>
      <w:r>
        <w:rPr>
          <w:rFonts w:hint="eastAsia" w:ascii="宋体" w:hAnsi="宋体"/>
          <w:color w:val="auto"/>
          <w:kern w:val="0"/>
          <w:sz w:val="24"/>
          <w:szCs w:val="28"/>
          <w:highlight w:val="none"/>
        </w:rPr>
        <w:t>.3</w:t>
      </w:r>
      <w:r>
        <w:rPr>
          <w:rFonts w:ascii="宋体" w:hAnsi="宋体"/>
          <w:color w:val="auto"/>
          <w:kern w:val="0"/>
          <w:sz w:val="24"/>
          <w:szCs w:val="28"/>
          <w:highlight w:val="none"/>
        </w:rPr>
        <w:t>投标人被工商行政管理部门列入企业经营异常名录的。</w:t>
      </w:r>
    </w:p>
    <w:p>
      <w:pPr>
        <w:spacing w:line="500" w:lineRule="exact"/>
        <w:ind w:firstLine="480" w:firstLineChars="200"/>
        <w:rPr>
          <w:rFonts w:ascii="宋体" w:hAnsi="宋体"/>
          <w:color w:val="auto"/>
          <w:kern w:val="0"/>
          <w:sz w:val="24"/>
          <w:szCs w:val="28"/>
          <w:highlight w:val="none"/>
        </w:rPr>
      </w:pPr>
      <w:r>
        <w:rPr>
          <w:rFonts w:hint="eastAsia" w:ascii="宋体" w:hAnsi="宋体" w:eastAsia="宋体"/>
          <w:color w:val="auto"/>
          <w:kern w:val="0"/>
          <w:sz w:val="24"/>
          <w:szCs w:val="28"/>
          <w:highlight w:val="none"/>
        </w:rPr>
        <w:t>5</w:t>
      </w:r>
      <w:r>
        <w:rPr>
          <w:rFonts w:hint="eastAsia" w:ascii="宋体" w:hAnsi="宋体"/>
          <w:color w:val="auto"/>
          <w:kern w:val="0"/>
          <w:sz w:val="24"/>
          <w:szCs w:val="28"/>
          <w:highlight w:val="none"/>
        </w:rPr>
        <w:t>.4</w:t>
      </w:r>
      <w:r>
        <w:rPr>
          <w:rFonts w:ascii="宋体" w:hAnsi="宋体"/>
          <w:color w:val="auto"/>
          <w:kern w:val="0"/>
          <w:sz w:val="24"/>
          <w:szCs w:val="28"/>
          <w:highlight w:val="none"/>
        </w:rPr>
        <w:t>投标人被税务部门列入重大税收违法案件当事人名单的。</w:t>
      </w:r>
    </w:p>
    <w:p>
      <w:pPr>
        <w:widowControl/>
        <w:spacing w:line="500" w:lineRule="exact"/>
        <w:ind w:firstLine="360" w:firstLineChars="150"/>
        <w:jc w:val="left"/>
        <w:rPr>
          <w:rFonts w:ascii="宋体" w:hAnsi="宋体"/>
          <w:color w:val="auto"/>
          <w:sz w:val="24"/>
          <w:highlight w:val="none"/>
        </w:rPr>
      </w:pPr>
      <w:r>
        <w:rPr>
          <w:rFonts w:hint="eastAsia" w:ascii="宋体" w:hAnsi="宋体"/>
          <w:color w:val="auto"/>
          <w:sz w:val="24"/>
          <w:highlight w:val="none"/>
        </w:rPr>
        <w:t>6. 本次投标不接受联合体投标。</w:t>
      </w:r>
    </w:p>
    <w:p>
      <w:pPr>
        <w:spacing w:line="500" w:lineRule="exact"/>
        <w:rPr>
          <w:rFonts w:ascii="宋体" w:hAnsi="宋体" w:eastAsia="宋体"/>
          <w:b/>
          <w:color w:val="auto"/>
          <w:kern w:val="0"/>
          <w:sz w:val="24"/>
          <w:highlight w:val="none"/>
        </w:rPr>
      </w:pPr>
      <w:r>
        <w:rPr>
          <w:rFonts w:hint="eastAsia" w:ascii="宋体" w:hAnsi="宋体" w:eastAsia="宋体"/>
          <w:b/>
          <w:color w:val="auto"/>
          <w:kern w:val="0"/>
          <w:sz w:val="24"/>
          <w:highlight w:val="none"/>
        </w:rPr>
        <w:t xml:space="preserve">   二、说明及注意事项</w:t>
      </w:r>
    </w:p>
    <w:p>
      <w:pPr>
        <w:spacing w:line="500" w:lineRule="exact"/>
        <w:rPr>
          <w:rFonts w:ascii="宋体" w:hAnsi="宋体" w:eastAsia="宋体"/>
          <w:color w:val="auto"/>
          <w:kern w:val="0"/>
          <w:sz w:val="24"/>
          <w:highlight w:val="none"/>
        </w:rPr>
      </w:pPr>
      <w:r>
        <w:rPr>
          <w:rFonts w:hint="eastAsia" w:ascii="宋体" w:hAnsi="宋体" w:eastAsia="宋体"/>
          <w:color w:val="auto"/>
          <w:kern w:val="0"/>
          <w:sz w:val="24"/>
          <w:highlight w:val="none"/>
        </w:rPr>
        <w:t xml:space="preserve">    1.投标文件的编写要求</w:t>
      </w:r>
    </w:p>
    <w:p>
      <w:pPr>
        <w:spacing w:line="50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1.1投标人须以招标人正式发布的《招标文件》为制作《投标文件》的依据；</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1.2</w:t>
      </w:r>
      <w:r>
        <w:rPr>
          <w:rFonts w:hint="eastAsia" w:ascii="宋体" w:hAnsi="宋体" w:eastAsia="宋体"/>
          <w:color w:val="auto"/>
          <w:kern w:val="0"/>
          <w:sz w:val="24"/>
          <w:highlight w:val="none"/>
        </w:rPr>
        <w:t>投标人应仔细阅读招标文件的所有内容，按招标文件的要求提供投标文件，并保证所提供的全部资料真实有效；</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1.3</w:t>
      </w:r>
      <w:r>
        <w:rPr>
          <w:rFonts w:hint="eastAsia" w:ascii="宋体" w:hAnsi="宋体" w:eastAsia="宋体"/>
          <w:color w:val="auto"/>
          <w:kern w:val="0"/>
          <w:sz w:val="24"/>
          <w:highlight w:val="none"/>
        </w:rPr>
        <w:t>投标文件的书面内容不得涂抹或改写；</w:t>
      </w:r>
    </w:p>
    <w:p>
      <w:pPr>
        <w:spacing w:line="500" w:lineRule="exact"/>
        <w:rPr>
          <w:rFonts w:ascii="宋体" w:hAnsi="宋体" w:eastAsia="宋体"/>
          <w:color w:val="auto"/>
          <w:kern w:val="0"/>
          <w:sz w:val="24"/>
          <w:highlight w:val="none"/>
        </w:rPr>
      </w:pPr>
      <w:r>
        <w:rPr>
          <w:rFonts w:hint="eastAsia" w:ascii="宋体" w:hAnsi="宋体" w:eastAsia="宋体"/>
          <w:color w:val="auto"/>
          <w:kern w:val="0"/>
          <w:sz w:val="24"/>
          <w:highlight w:val="none"/>
        </w:rPr>
        <w:t xml:space="preserve">    1.4满足本招标文件规定的其它要求。</w:t>
      </w:r>
    </w:p>
    <w:p>
      <w:pPr>
        <w:spacing w:line="500" w:lineRule="exact"/>
        <w:rPr>
          <w:rFonts w:ascii="宋体" w:hAnsi="宋体" w:eastAsia="宋体"/>
          <w:b/>
          <w:color w:val="auto"/>
          <w:kern w:val="0"/>
          <w:sz w:val="24"/>
          <w:highlight w:val="none"/>
        </w:rPr>
      </w:pPr>
      <w:r>
        <w:rPr>
          <w:rFonts w:hint="eastAsia" w:ascii="宋体" w:hAnsi="宋体" w:eastAsia="宋体"/>
          <w:b/>
          <w:color w:val="auto"/>
          <w:kern w:val="0"/>
          <w:sz w:val="24"/>
          <w:highlight w:val="none"/>
        </w:rPr>
        <w:t xml:space="preserve">    2.投标文件主要由以下部分构成</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2.1</w:t>
      </w:r>
      <w:r>
        <w:rPr>
          <w:rFonts w:hint="eastAsia" w:ascii="宋体" w:hAnsi="宋体" w:eastAsia="宋体"/>
          <w:color w:val="auto"/>
          <w:kern w:val="0"/>
          <w:sz w:val="24"/>
          <w:highlight w:val="none"/>
        </w:rPr>
        <w:t>投标承诺书、开标一览表、投标事项承诺、投标文件响应情况等；</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2.2</w:t>
      </w:r>
      <w:r>
        <w:rPr>
          <w:rFonts w:hint="eastAsia" w:ascii="宋体" w:hAnsi="宋体" w:eastAsia="宋体"/>
          <w:color w:val="auto"/>
          <w:kern w:val="0"/>
          <w:sz w:val="24"/>
          <w:highlight w:val="none"/>
        </w:rPr>
        <w:t>投标人资质证明文件、法人和授权代表人身份证复印件、企业介绍；</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2.3投标人针对本项目的投标方案及其它需提供的材料</w:t>
      </w:r>
      <w:r>
        <w:rPr>
          <w:rFonts w:hint="eastAsia" w:ascii="宋体" w:hAnsi="宋体" w:eastAsia="宋体"/>
          <w:color w:val="auto"/>
          <w:kern w:val="0"/>
          <w:sz w:val="24"/>
          <w:highlight w:val="none"/>
        </w:rPr>
        <w:t>等；</w:t>
      </w:r>
    </w:p>
    <w:p>
      <w:pPr>
        <w:spacing w:line="500" w:lineRule="exact"/>
        <w:rPr>
          <w:rFonts w:ascii="宋体" w:hAnsi="宋体" w:eastAsia="宋体"/>
          <w:color w:val="auto"/>
          <w:kern w:val="0"/>
          <w:sz w:val="24"/>
          <w:highlight w:val="none"/>
        </w:rPr>
      </w:pPr>
      <w:r>
        <w:rPr>
          <w:rFonts w:hint="eastAsia" w:ascii="宋体" w:hAnsi="宋体" w:eastAsia="宋体"/>
          <w:color w:val="auto"/>
          <w:kern w:val="0"/>
          <w:sz w:val="24"/>
          <w:highlight w:val="none"/>
        </w:rPr>
        <w:t xml:space="preserve">    2.4</w:t>
      </w:r>
      <w:r>
        <w:rPr>
          <w:rFonts w:ascii="宋体" w:hAnsi="宋体" w:eastAsia="宋体"/>
          <w:color w:val="auto"/>
          <w:sz w:val="24"/>
          <w:highlight w:val="none"/>
        </w:rPr>
        <w:t>投标人提交的投标文件应当使用招标文件所提供的投标文件格式编制投标文件，但表格可以按同样格式扩展。招标文件没有提供格式的，其格式由投标人自行</w:t>
      </w:r>
      <w:r>
        <w:rPr>
          <w:rFonts w:hint="eastAsia" w:ascii="宋体" w:hAnsi="宋体" w:eastAsia="宋体"/>
          <w:color w:val="auto"/>
          <w:sz w:val="24"/>
          <w:highlight w:val="none"/>
        </w:rPr>
        <w:t>编制</w:t>
      </w:r>
      <w:r>
        <w:rPr>
          <w:rFonts w:ascii="宋体" w:hAnsi="宋体" w:eastAsia="宋体"/>
          <w:color w:val="auto"/>
          <w:sz w:val="24"/>
          <w:highlight w:val="none"/>
        </w:rPr>
        <w:t>。</w:t>
      </w:r>
    </w:p>
    <w:p>
      <w:pPr>
        <w:spacing w:line="500" w:lineRule="exact"/>
        <w:rPr>
          <w:rFonts w:ascii="宋体" w:hAnsi="宋体" w:eastAsia="宋体"/>
          <w:b/>
          <w:color w:val="auto"/>
          <w:kern w:val="0"/>
          <w:sz w:val="24"/>
          <w:highlight w:val="none"/>
        </w:rPr>
      </w:pPr>
      <w:r>
        <w:rPr>
          <w:rFonts w:hint="eastAsia" w:ascii="宋体" w:hAnsi="宋体" w:eastAsia="宋体"/>
          <w:b/>
          <w:color w:val="auto"/>
          <w:kern w:val="0"/>
          <w:sz w:val="24"/>
          <w:highlight w:val="none"/>
        </w:rPr>
        <w:t xml:space="preserve">    3.投标报价说明</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3.1</w:t>
      </w:r>
      <w:r>
        <w:rPr>
          <w:rFonts w:hint="eastAsia" w:ascii="宋体" w:hAnsi="宋体" w:eastAsia="宋体"/>
          <w:color w:val="auto"/>
          <w:kern w:val="0"/>
          <w:sz w:val="24"/>
          <w:highlight w:val="none"/>
        </w:rPr>
        <w:t>除招标文件中另有规定外，计量单位为我国法定计量单位；投标报价结算一律使用人民币；</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3.2</w:t>
      </w:r>
      <w:r>
        <w:rPr>
          <w:rFonts w:hint="eastAsia" w:ascii="宋体" w:hAnsi="宋体" w:eastAsia="宋体"/>
          <w:color w:val="auto"/>
          <w:sz w:val="24"/>
          <w:highlight w:val="none"/>
        </w:rPr>
        <w:t>投标人自行承担投标文件编制、递交、现场踏勘所涉及的一切费用。</w:t>
      </w:r>
      <w:r>
        <w:rPr>
          <w:rFonts w:ascii="宋体" w:hAnsi="宋体" w:eastAsia="宋体"/>
          <w:color w:val="auto"/>
          <w:sz w:val="24"/>
          <w:highlight w:val="none"/>
        </w:rPr>
        <w:t>招标文件如不</w:t>
      </w:r>
      <w:r>
        <w:rPr>
          <w:rFonts w:hint="eastAsia" w:ascii="宋体" w:hAnsi="宋体" w:eastAsia="宋体"/>
          <w:color w:val="auto"/>
          <w:sz w:val="24"/>
          <w:highlight w:val="none"/>
        </w:rPr>
        <w:t>公布项目</w:t>
      </w:r>
      <w:r>
        <w:rPr>
          <w:rFonts w:ascii="宋体" w:hAnsi="宋体" w:eastAsia="宋体"/>
          <w:color w:val="auto"/>
          <w:sz w:val="24"/>
          <w:highlight w:val="none"/>
        </w:rPr>
        <w:t>的自然环境、气候条件、公用设施等情况，投标人被视为熟悉</w:t>
      </w:r>
      <w:r>
        <w:rPr>
          <w:rFonts w:hint="eastAsia" w:ascii="宋体" w:hAnsi="宋体" w:eastAsia="宋体"/>
          <w:color w:val="auto"/>
          <w:sz w:val="24"/>
          <w:highlight w:val="none"/>
        </w:rPr>
        <w:t>本项目</w:t>
      </w:r>
      <w:r>
        <w:rPr>
          <w:rFonts w:ascii="宋体" w:hAnsi="宋体" w:eastAsia="宋体"/>
          <w:color w:val="auto"/>
          <w:sz w:val="24"/>
          <w:highlight w:val="none"/>
        </w:rPr>
        <w:t>与履行合同有关的一切情况。</w:t>
      </w:r>
      <w:r>
        <w:rPr>
          <w:rFonts w:hint="eastAsia" w:ascii="宋体" w:hAnsi="宋体" w:eastAsia="宋体"/>
          <w:color w:val="auto"/>
          <w:sz w:val="24"/>
          <w:highlight w:val="none"/>
        </w:rPr>
        <w:t>如有现场踏勘和介绍的情况，供投标人编制投标文件时参考，招标人不对投标人据此作出的判断和决策负责。</w:t>
      </w:r>
    </w:p>
    <w:p>
      <w:pPr>
        <w:pStyle w:val="30"/>
        <w:spacing w:line="500" w:lineRule="exact"/>
        <w:rPr>
          <w:rFonts w:ascii="宋体" w:hAnsi="宋体" w:cs="宋体"/>
          <w:b/>
          <w:color w:val="auto"/>
          <w:kern w:val="0"/>
          <w:highlight w:val="none"/>
        </w:rPr>
      </w:pPr>
      <w:r>
        <w:rPr>
          <w:rFonts w:hint="eastAsia" w:ascii="宋体" w:hAnsi="宋体" w:cs="宋体"/>
          <w:b/>
          <w:color w:val="auto"/>
          <w:kern w:val="0"/>
          <w:highlight w:val="none"/>
        </w:rPr>
        <w:t xml:space="preserve">    三、服务范围</w:t>
      </w:r>
    </w:p>
    <w:p>
      <w:pPr>
        <w:pStyle w:val="30"/>
        <w:spacing w:line="500" w:lineRule="exact"/>
        <w:rPr>
          <w:rFonts w:ascii="宋体" w:hAnsi="宋体"/>
          <w:color w:val="auto"/>
          <w:highlight w:val="none"/>
        </w:rPr>
      </w:pPr>
      <w:r>
        <w:rPr>
          <w:rFonts w:hint="eastAsia" w:ascii="宋体" w:hAnsi="宋体"/>
          <w:color w:val="auto"/>
          <w:highlight w:val="none"/>
        </w:rPr>
        <w:t xml:space="preserve">    负责出具本项目土地增值税清算方案并取得招标人认可，在税务部门清算时限内编制并出具税务部门认可的土地增值税清算鉴证报告，负责对接税务部门后续清算工作直至整体商业项目清算完毕。 </w:t>
      </w:r>
    </w:p>
    <w:p>
      <w:pPr>
        <w:pStyle w:val="30"/>
        <w:spacing w:line="500" w:lineRule="exact"/>
        <w:rPr>
          <w:rFonts w:ascii="宋体" w:hAnsi="宋体" w:cs="宋体"/>
          <w:b/>
          <w:color w:val="auto"/>
          <w:kern w:val="0"/>
          <w:highlight w:val="none"/>
        </w:rPr>
      </w:pPr>
      <w:r>
        <w:rPr>
          <w:rFonts w:hint="eastAsia" w:ascii="宋体" w:hAnsi="宋体" w:cs="宋体"/>
          <w:b/>
          <w:color w:val="auto"/>
          <w:kern w:val="0"/>
          <w:highlight w:val="none"/>
        </w:rPr>
        <w:t xml:space="preserve">    四、费用说明</w:t>
      </w:r>
    </w:p>
    <w:p>
      <w:pPr>
        <w:spacing w:line="5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本项目费用为中标人完成本项目土地增值税</w:t>
      </w:r>
      <w:r>
        <w:rPr>
          <w:rFonts w:hint="eastAsia" w:ascii="宋体" w:hAnsi="宋体" w:eastAsia="宋体"/>
          <w:color w:val="auto"/>
          <w:sz w:val="24"/>
          <w:highlight w:val="none"/>
          <w:lang w:val="en-US" w:eastAsia="zh-CN"/>
        </w:rPr>
        <w:t>清算</w:t>
      </w:r>
      <w:r>
        <w:rPr>
          <w:rFonts w:hint="eastAsia" w:ascii="宋体" w:hAnsi="宋体" w:eastAsia="宋体"/>
          <w:color w:val="auto"/>
          <w:sz w:val="24"/>
          <w:highlight w:val="none"/>
        </w:rPr>
        <w:t>方案并取得招标人认可，且整体商业项目完成清算并出具经税务部门认可的土地增值税清算鉴证报告后开具增值税专用发票的价格。中标人应在招标人支付款项前提供足额合法且符合税法规定的税率6%的增值税专用发票。</w:t>
      </w:r>
    </w:p>
    <w:p>
      <w:pPr>
        <w:spacing w:line="500" w:lineRule="exact"/>
        <w:rPr>
          <w:rFonts w:ascii="宋体" w:hAnsi="宋体" w:eastAsia="宋体"/>
          <w:b/>
          <w:color w:val="auto"/>
          <w:kern w:val="0"/>
          <w:sz w:val="24"/>
          <w:highlight w:val="none"/>
        </w:rPr>
      </w:pPr>
      <w:r>
        <w:rPr>
          <w:rFonts w:hint="eastAsia" w:ascii="宋体" w:hAnsi="宋体" w:eastAsia="宋体"/>
          <w:b/>
          <w:color w:val="auto"/>
          <w:kern w:val="0"/>
          <w:sz w:val="24"/>
          <w:highlight w:val="none"/>
        </w:rPr>
        <w:t xml:space="preserve">    五、投标文件的递交</w:t>
      </w:r>
    </w:p>
    <w:p>
      <w:pPr>
        <w:spacing w:line="500" w:lineRule="exact"/>
        <w:rPr>
          <w:rFonts w:ascii="宋体" w:hAnsi="宋体" w:eastAsia="宋体"/>
          <w:color w:val="auto"/>
          <w:kern w:val="0"/>
          <w:sz w:val="24"/>
          <w:highlight w:val="none"/>
        </w:rPr>
      </w:pPr>
      <w:r>
        <w:rPr>
          <w:rFonts w:hint="eastAsia" w:ascii="宋体" w:hAnsi="宋体" w:eastAsia="宋体"/>
          <w:color w:val="auto"/>
          <w:kern w:val="0"/>
          <w:sz w:val="24"/>
          <w:highlight w:val="none"/>
        </w:rPr>
        <w:t xml:space="preserve">    1.投标文件的密封和标记</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1.1</w:t>
      </w:r>
      <w:r>
        <w:rPr>
          <w:rFonts w:hint="eastAsia" w:ascii="宋体" w:hAnsi="宋体" w:eastAsia="宋体"/>
          <w:color w:val="auto"/>
          <w:kern w:val="0"/>
          <w:sz w:val="24"/>
          <w:highlight w:val="none"/>
        </w:rPr>
        <w:t>投标文件应密封并在封口加贴封条，并在封面注明招标编号、投标项目、投标单位等；同时，在密封处加盖骑缝章；</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1.2</w:t>
      </w:r>
      <w:r>
        <w:rPr>
          <w:rFonts w:hint="eastAsia" w:ascii="宋体" w:hAnsi="宋体" w:eastAsia="宋体"/>
          <w:color w:val="auto"/>
          <w:kern w:val="0"/>
          <w:sz w:val="24"/>
          <w:highlight w:val="none"/>
        </w:rPr>
        <w:t>投标文件要求：</w:t>
      </w:r>
      <w:r>
        <w:rPr>
          <w:rFonts w:hint="eastAsia" w:ascii="宋体" w:hAnsi="宋体" w:eastAsia="宋体"/>
          <w:b/>
          <w:color w:val="auto"/>
          <w:kern w:val="0"/>
          <w:sz w:val="24"/>
          <w:highlight w:val="none"/>
        </w:rPr>
        <w:t>正本一份，副本二份，</w:t>
      </w:r>
      <w:r>
        <w:rPr>
          <w:rFonts w:hint="eastAsia" w:ascii="宋体" w:hAnsi="宋体" w:eastAsia="宋体"/>
          <w:color w:val="auto"/>
          <w:kern w:val="0"/>
          <w:sz w:val="24"/>
          <w:highlight w:val="none"/>
        </w:rPr>
        <w:t>封装于一个文件袋内。</w:t>
      </w:r>
    </w:p>
    <w:p>
      <w:pPr>
        <w:spacing w:line="500" w:lineRule="exact"/>
        <w:rPr>
          <w:rFonts w:ascii="宋体" w:hAnsi="宋体" w:eastAsia="宋体"/>
          <w:color w:val="auto"/>
          <w:kern w:val="0"/>
          <w:sz w:val="24"/>
          <w:highlight w:val="none"/>
        </w:rPr>
      </w:pPr>
      <w:r>
        <w:rPr>
          <w:rFonts w:hint="eastAsia" w:ascii="宋体" w:hAnsi="宋体" w:eastAsia="宋体"/>
          <w:color w:val="auto"/>
          <w:kern w:val="0"/>
          <w:sz w:val="24"/>
          <w:highlight w:val="none"/>
        </w:rPr>
        <w:t xml:space="preserve">    2.投标文件的递交、修改和撤回</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2.1</w:t>
      </w:r>
      <w:r>
        <w:rPr>
          <w:rFonts w:hint="eastAsia" w:ascii="宋体" w:hAnsi="宋体" w:eastAsia="宋体"/>
          <w:color w:val="auto"/>
          <w:kern w:val="0"/>
          <w:sz w:val="24"/>
          <w:highlight w:val="none"/>
        </w:rPr>
        <w:t>投标人应在投标截止时间前将密封合格的投标文件送达开标现场；</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2.2</w:t>
      </w:r>
      <w:r>
        <w:rPr>
          <w:rFonts w:hint="eastAsia" w:ascii="宋体" w:hAnsi="宋体" w:eastAsia="宋体"/>
          <w:color w:val="auto"/>
          <w:kern w:val="0"/>
          <w:sz w:val="24"/>
          <w:highlight w:val="none"/>
        </w:rPr>
        <w:t>投标人递交投标文件后，可修改或撤回投标文件，但必须在投标截止时间前书面通知招标人；投标截止后不得修改或撤回投标文件。</w:t>
      </w:r>
    </w:p>
    <w:p>
      <w:pPr>
        <w:widowControl/>
        <w:spacing w:line="500" w:lineRule="exact"/>
        <w:jc w:val="left"/>
        <w:rPr>
          <w:rFonts w:ascii="宋体" w:hAnsi="宋体" w:eastAsia="宋体"/>
          <w:b/>
          <w:color w:val="auto"/>
          <w:kern w:val="0"/>
          <w:sz w:val="24"/>
          <w:highlight w:val="none"/>
        </w:rPr>
      </w:pPr>
      <w:r>
        <w:rPr>
          <w:rFonts w:hint="eastAsia" w:ascii="宋体" w:hAnsi="宋体" w:eastAsia="宋体"/>
          <w:b/>
          <w:color w:val="auto"/>
          <w:kern w:val="0"/>
          <w:sz w:val="24"/>
          <w:highlight w:val="none"/>
        </w:rPr>
        <w:t xml:space="preserve">   六、开标、评标和定标</w:t>
      </w:r>
    </w:p>
    <w:p>
      <w:pPr>
        <w:widowControl/>
        <w:spacing w:line="5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2.招标管理委员会按投标邀请中拟定的时间和地点开标，届时请与</w:t>
      </w:r>
      <w:r>
        <w:rPr>
          <w:rFonts w:hint="eastAsia" w:ascii="宋体" w:hAnsi="宋体" w:eastAsia="宋体"/>
          <w:color w:val="auto"/>
          <w:kern w:val="0"/>
          <w:sz w:val="24"/>
          <w:highlight w:val="none"/>
        </w:rPr>
        <w:t>投标书一致的授权代表本人到开标现场参与开标</w:t>
      </w:r>
      <w:r>
        <w:rPr>
          <w:rFonts w:hint="eastAsia" w:ascii="宋体" w:hAnsi="宋体" w:eastAsia="宋体" w:cs="宋体"/>
          <w:color w:val="auto"/>
          <w:kern w:val="0"/>
          <w:sz w:val="24"/>
          <w:highlight w:val="none"/>
        </w:rPr>
        <w:t>（授权代表须出示身份证原件）。投标人代表逾期未到达开标现场，且未提前书面说明将视为弃权，投标保证金不予返还。</w:t>
      </w:r>
    </w:p>
    <w:p>
      <w:pPr>
        <w:widowControl/>
        <w:spacing w:line="5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3.开标时，查验投标文件的密封状况，确认无误后拆封唱标。</w:t>
      </w:r>
    </w:p>
    <w:p>
      <w:pPr>
        <w:spacing w:line="500" w:lineRule="exact"/>
        <w:rPr>
          <w:rFonts w:ascii="宋体" w:hAnsi="宋体" w:eastAsia="宋体"/>
          <w:b/>
          <w:color w:val="auto"/>
          <w:kern w:val="0"/>
          <w:sz w:val="24"/>
          <w:highlight w:val="none"/>
        </w:rPr>
      </w:pPr>
      <w:r>
        <w:rPr>
          <w:rFonts w:hint="eastAsia" w:ascii="宋体" w:hAnsi="宋体" w:eastAsia="宋体"/>
          <w:b/>
          <w:color w:val="auto"/>
          <w:kern w:val="0"/>
          <w:sz w:val="24"/>
          <w:highlight w:val="none"/>
        </w:rPr>
        <w:t xml:space="preserve">    4.</w:t>
      </w:r>
      <w:r>
        <w:rPr>
          <w:rFonts w:hint="eastAsia" w:ascii="宋体" w:hAnsi="宋体" w:eastAsia="宋体" w:cs="宋体"/>
          <w:b/>
          <w:color w:val="auto"/>
          <w:kern w:val="0"/>
          <w:sz w:val="24"/>
          <w:highlight w:val="none"/>
        </w:rPr>
        <w:t>本项目评标采用综合评分法，即资格初审通过后商务标、技术标综合得分最高的投标人为中标候选人，详见评分细则。</w:t>
      </w:r>
    </w:p>
    <w:p>
      <w:pPr>
        <w:spacing w:line="500" w:lineRule="exact"/>
        <w:rPr>
          <w:rFonts w:ascii="宋体" w:hAnsi="宋体" w:eastAsia="宋体"/>
          <w:b/>
          <w:color w:val="auto"/>
          <w:kern w:val="0"/>
          <w:sz w:val="24"/>
          <w:highlight w:val="none"/>
        </w:rPr>
      </w:pPr>
      <w:r>
        <w:rPr>
          <w:rFonts w:hint="eastAsia" w:ascii="宋体" w:hAnsi="宋体" w:eastAsia="宋体" w:cs="宋体"/>
          <w:b/>
          <w:color w:val="auto"/>
          <w:kern w:val="0"/>
          <w:sz w:val="24"/>
          <w:highlight w:val="none"/>
        </w:rPr>
        <w:t xml:space="preserve">    5.</w:t>
      </w:r>
      <w:r>
        <w:rPr>
          <w:rFonts w:hint="eastAsia" w:ascii="宋体" w:hAnsi="宋体" w:eastAsia="宋体"/>
          <w:b/>
          <w:color w:val="auto"/>
          <w:kern w:val="0"/>
          <w:sz w:val="24"/>
          <w:highlight w:val="none"/>
        </w:rPr>
        <w:t>招标人不承诺报价最低的投标人能够中标，也不对中标或不中标原因作出解释。招标人不向落标的投标人退还投标文件</w:t>
      </w:r>
      <w:r>
        <w:rPr>
          <w:rFonts w:hint="eastAsia" w:ascii="宋体" w:hAnsi="宋体" w:eastAsia="宋体"/>
          <w:b/>
          <w:color w:val="auto"/>
          <w:sz w:val="24"/>
          <w:highlight w:val="none"/>
        </w:rPr>
        <w:t>。</w:t>
      </w:r>
    </w:p>
    <w:p>
      <w:pPr>
        <w:spacing w:line="500" w:lineRule="exac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 xml:space="preserve">    6.</w:t>
      </w:r>
      <w:r>
        <w:rPr>
          <w:rFonts w:hint="eastAsia" w:ascii="宋体" w:hAnsi="宋体" w:eastAsia="宋体" w:cs="宋体"/>
          <w:color w:val="auto"/>
          <w:sz w:val="24"/>
          <w:highlight w:val="none"/>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00" w:lineRule="exact"/>
        <w:rPr>
          <w:rFonts w:ascii="宋体" w:hAnsi="宋体" w:eastAsia="宋体"/>
          <w:b/>
          <w:color w:val="auto"/>
          <w:sz w:val="24"/>
          <w:highlight w:val="none"/>
        </w:rPr>
      </w:pPr>
      <w:r>
        <w:rPr>
          <w:rFonts w:hint="eastAsia" w:ascii="宋体" w:hAnsi="宋体" w:eastAsia="宋体" w:cs="宋体"/>
          <w:color w:val="auto"/>
          <w:kern w:val="0"/>
          <w:sz w:val="24"/>
          <w:highlight w:val="none"/>
        </w:rPr>
        <w:t xml:space="preserve">    7.</w:t>
      </w:r>
      <w:r>
        <w:rPr>
          <w:rFonts w:hint="eastAsia" w:ascii="宋体" w:hAnsi="宋体" w:eastAsia="宋体"/>
          <w:b/>
          <w:color w:val="auto"/>
          <w:sz w:val="24"/>
          <w:highlight w:val="none"/>
        </w:rPr>
        <w:t>有下列情况之一的投标文件为废标：</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7.1未按本须知要求进行报价的；</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7.2未加盖投标人公章的；</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7.3投标文件无法定代表人或委托代理人签字、盖章的；</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7.4不满足招标文件合格投标人要求的；</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7.5严重违反招标纪律的；</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7.6投标文件字迹潦草、模糊致使无法辨认的；</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7.7投标单位在一份投标文件中，报有两个或多个不同报价，且未书面声明以哪个报价为准的；</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7.8投标文件存在缺项、漏项、错项的；</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7.9评委委员会评议认为构成废标的其他情况；</w:t>
      </w:r>
    </w:p>
    <w:p>
      <w:pPr>
        <w:widowControl/>
        <w:spacing w:line="500" w:lineRule="exact"/>
        <w:jc w:val="left"/>
        <w:rPr>
          <w:rFonts w:ascii="宋体" w:hAnsi="宋体" w:eastAsia="宋体"/>
          <w:color w:val="auto"/>
          <w:sz w:val="24"/>
          <w:highlight w:val="none"/>
        </w:rPr>
      </w:pPr>
      <w:r>
        <w:rPr>
          <w:rFonts w:hint="eastAsia" w:ascii="宋体" w:hAnsi="宋体" w:eastAsia="宋体"/>
          <w:color w:val="auto"/>
          <w:sz w:val="24"/>
          <w:highlight w:val="none"/>
        </w:rPr>
        <w:t xml:space="preserve">    7.10其他未实质性响应招标文件要求的。</w:t>
      </w:r>
    </w:p>
    <w:p>
      <w:pPr>
        <w:widowControl/>
        <w:spacing w:line="500" w:lineRule="exact"/>
        <w:ind w:firstLine="482" w:firstLineChars="200"/>
        <w:jc w:val="left"/>
        <w:rPr>
          <w:rFonts w:ascii="宋体" w:hAnsi="宋体" w:eastAsia="宋体"/>
          <w:b/>
          <w:color w:val="auto"/>
          <w:sz w:val="24"/>
          <w:highlight w:val="none"/>
        </w:rPr>
      </w:pPr>
      <w:r>
        <w:rPr>
          <w:rFonts w:hint="eastAsia" w:ascii="宋体" w:hAnsi="宋体" w:eastAsia="宋体" w:cs="宋体"/>
          <w:b/>
          <w:color w:val="auto"/>
          <w:kern w:val="0"/>
          <w:sz w:val="24"/>
          <w:highlight w:val="none"/>
        </w:rPr>
        <w:t>8.</w:t>
      </w:r>
      <w:r>
        <w:rPr>
          <w:rFonts w:hint="eastAsia" w:ascii="宋体" w:hAnsi="宋体" w:eastAsia="宋体" w:cs="宋体"/>
          <w:b/>
          <w:color w:val="auto"/>
          <w:sz w:val="24"/>
          <w:highlight w:val="none"/>
        </w:rPr>
        <w:t>二次招标</w:t>
      </w:r>
    </w:p>
    <w:p>
      <w:pPr>
        <w:widowControl/>
        <w:spacing w:line="500" w:lineRule="exact"/>
        <w:jc w:val="left"/>
        <w:rPr>
          <w:rFonts w:ascii="宋体" w:hAnsi="宋体" w:eastAsia="宋体"/>
          <w:b/>
          <w:color w:val="auto"/>
          <w:sz w:val="24"/>
          <w:highlight w:val="none"/>
        </w:rPr>
      </w:pPr>
      <w:r>
        <w:rPr>
          <w:rFonts w:hint="eastAsia" w:ascii="宋体" w:hAnsi="宋体" w:eastAsia="宋体" w:cs="宋体"/>
          <w:color w:val="auto"/>
          <w:sz w:val="24"/>
          <w:highlight w:val="none"/>
        </w:rPr>
        <w:t xml:space="preserve">    8.1如项目流标，招标人根据情况可能发布二次公告，进行二次招标。</w:t>
      </w:r>
      <w:r>
        <w:rPr>
          <w:rFonts w:hint="eastAsia" w:ascii="宋体" w:hAnsi="宋体" w:eastAsia="宋体" w:cs="宋体"/>
          <w:color w:val="auto"/>
          <w:kern w:val="0"/>
          <w:sz w:val="24"/>
          <w:highlight w:val="none"/>
        </w:rPr>
        <w:t>二次招标如</w:t>
      </w:r>
      <w:r>
        <w:rPr>
          <w:rFonts w:hint="eastAsia" w:ascii="宋体" w:hAnsi="宋体" w:eastAsia="宋体"/>
          <w:color w:val="auto"/>
          <w:sz w:val="24"/>
          <w:highlight w:val="none"/>
        </w:rPr>
        <w:t>符合专业条件的投标人或对招标文件作实质响应的投标人只有两家，评委会将视情况现场转为竞争性谈判；</w:t>
      </w:r>
    </w:p>
    <w:p>
      <w:pPr>
        <w:widowControl/>
        <w:spacing w:line="500" w:lineRule="exact"/>
        <w:jc w:val="left"/>
        <w:rPr>
          <w:rFonts w:ascii="宋体" w:hAnsi="宋体" w:eastAsia="宋体"/>
          <w:b/>
          <w:color w:val="auto"/>
          <w:sz w:val="24"/>
          <w:highlight w:val="none"/>
        </w:rPr>
      </w:pPr>
      <w:r>
        <w:rPr>
          <w:rFonts w:hint="eastAsia" w:ascii="宋体" w:hAnsi="宋体" w:eastAsia="宋体" w:cs="宋体"/>
          <w:color w:val="auto"/>
          <w:sz w:val="24"/>
          <w:highlight w:val="none"/>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    8.3前次招标流标后，投标人如继续参加二次投标，投标保证金无需重复缴纳。如不参加二次投标的的投标人须书面告知招标人，招标人在规定时间内予以退还投标保证金。</w:t>
      </w:r>
    </w:p>
    <w:p>
      <w:pPr>
        <w:spacing w:line="50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9.招标人</w:t>
      </w:r>
      <w:r>
        <w:rPr>
          <w:rFonts w:hint="eastAsia" w:ascii="宋体" w:hAnsi="宋体" w:eastAsia="宋体"/>
          <w:b/>
          <w:color w:val="auto"/>
          <w:kern w:val="0"/>
          <w:sz w:val="24"/>
          <w:highlight w:val="none"/>
        </w:rPr>
        <w:t>依据公开、公平、公正原则进行评定标，</w:t>
      </w:r>
      <w:r>
        <w:rPr>
          <w:rFonts w:hint="eastAsia" w:ascii="宋体" w:hAnsi="宋体" w:eastAsia="宋体" w:cs="宋体"/>
          <w:b/>
          <w:color w:val="auto"/>
          <w:kern w:val="0"/>
          <w:sz w:val="24"/>
          <w:highlight w:val="none"/>
        </w:rPr>
        <w:t>投标人若认为本次招标过程中存在有违“三公”原则的，可向监标人书面投诉（只接受书面投诉）；联系地址：安徽省合肥市</w:t>
      </w:r>
      <w:r>
        <w:rPr>
          <w:rFonts w:hint="eastAsia" w:ascii="宋体" w:hAnsi="宋体" w:eastAsia="宋体"/>
          <w:b/>
          <w:color w:val="auto"/>
          <w:kern w:val="0"/>
          <w:sz w:val="24"/>
          <w:highlight w:val="none"/>
        </w:rPr>
        <w:t>黄山路596号A楼1509室</w:t>
      </w:r>
      <w:r>
        <w:rPr>
          <w:rFonts w:hint="eastAsia" w:ascii="宋体" w:hAnsi="宋体" w:eastAsia="宋体" w:cs="宋体"/>
          <w:b/>
          <w:color w:val="auto"/>
          <w:kern w:val="0"/>
          <w:sz w:val="24"/>
          <w:highlight w:val="none"/>
        </w:rPr>
        <w:t xml:space="preserve">  百大集团纪委案管审理室。</w:t>
      </w:r>
    </w:p>
    <w:p>
      <w:pPr>
        <w:widowControl/>
        <w:spacing w:line="52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    七、投标文件的澄清</w:t>
      </w:r>
    </w:p>
    <w:p>
      <w:pPr>
        <w:widowControl/>
        <w:spacing w:line="5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1.为了有助于投标文件的审查、评估和比较，招标人有权向投标人质疑并请投标人澄清其投标内容。投标人应当按照招标人通知的时间、地点，指派专人进行答疑和澄清；</w:t>
      </w:r>
    </w:p>
    <w:p>
      <w:pPr>
        <w:widowControl/>
        <w:spacing w:line="5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2.重要的澄清应是书面的，但不得对投标内容进行实质性修改；</w:t>
      </w:r>
    </w:p>
    <w:p>
      <w:pPr>
        <w:widowControl/>
        <w:spacing w:line="5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3.合同签订后，中标人必须按投标时承诺配备的人员及时到位，配备专业人员，未经招标人同意，中标人不得擅自更换或者减少上述人员，否则，招标人有权终止合同，并追究中标人相关责任。</w:t>
      </w:r>
      <w:bookmarkStart w:id="0" w:name="_Toc220232391"/>
      <w:bookmarkStart w:id="1" w:name="_Toc471733820"/>
    </w:p>
    <w:p>
      <w:pPr>
        <w:spacing w:line="500" w:lineRule="exact"/>
        <w:rPr>
          <w:rFonts w:ascii="宋体" w:hAnsi="宋体" w:eastAsia="宋体"/>
          <w:b/>
          <w:color w:val="auto"/>
          <w:kern w:val="0"/>
          <w:sz w:val="24"/>
          <w:highlight w:val="none"/>
        </w:rPr>
      </w:pPr>
      <w:r>
        <w:rPr>
          <w:rFonts w:hint="eastAsia" w:ascii="宋体" w:hAnsi="宋体" w:eastAsia="宋体"/>
          <w:b/>
          <w:color w:val="auto"/>
          <w:kern w:val="0"/>
          <w:sz w:val="24"/>
          <w:highlight w:val="none"/>
        </w:rPr>
        <w:t xml:space="preserve">    八、合同的确定</w:t>
      </w:r>
    </w:p>
    <w:p>
      <w:pPr>
        <w:spacing w:line="500" w:lineRule="exact"/>
        <w:ind w:firstLine="482" w:firstLineChars="200"/>
        <w:rPr>
          <w:rFonts w:ascii="宋体" w:hAnsi="宋体" w:eastAsia="宋体"/>
          <w:b/>
          <w:color w:val="auto"/>
          <w:kern w:val="0"/>
          <w:sz w:val="24"/>
          <w:highlight w:val="none"/>
        </w:rPr>
      </w:pPr>
      <w:r>
        <w:rPr>
          <w:rFonts w:hint="eastAsia" w:ascii="宋体" w:hAnsi="宋体" w:eastAsia="宋体"/>
          <w:b/>
          <w:color w:val="auto"/>
          <w:kern w:val="0"/>
          <w:sz w:val="24"/>
          <w:highlight w:val="none"/>
        </w:rPr>
        <w:t>1.合同签订</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1.1</w:t>
      </w:r>
      <w:r>
        <w:rPr>
          <w:rFonts w:hint="eastAsia" w:ascii="宋体" w:hAnsi="宋体" w:eastAsia="宋体"/>
          <w:color w:val="auto"/>
          <w:kern w:val="0"/>
          <w:sz w:val="24"/>
          <w:highlight w:val="none"/>
        </w:rPr>
        <w:t>确定中标人及相关事宜后，甲方（招标人）、乙方（中标人）签订合同；</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1.2</w:t>
      </w:r>
      <w:r>
        <w:rPr>
          <w:rFonts w:hint="eastAsia" w:ascii="宋体" w:hAnsi="宋体" w:eastAsia="宋体"/>
          <w:color w:val="auto"/>
          <w:kern w:val="0"/>
          <w:sz w:val="24"/>
          <w:highlight w:val="none"/>
        </w:rPr>
        <w:t>招标文件、中标人的投标文件（含澄清文件）均为签订合同不可分割的一部分；</w:t>
      </w:r>
    </w:p>
    <w:p>
      <w:pPr>
        <w:spacing w:line="50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1.3招标人在授予合同时有权对标的物的数量予以适当的增加或减少；</w:t>
      </w:r>
    </w:p>
    <w:p>
      <w:pPr>
        <w:spacing w:line="500" w:lineRule="exact"/>
        <w:rPr>
          <w:rFonts w:ascii="宋体" w:hAnsi="宋体" w:eastAsia="宋体"/>
          <w:color w:val="auto"/>
          <w:kern w:val="0"/>
          <w:sz w:val="24"/>
          <w:highlight w:val="none"/>
        </w:rPr>
      </w:pPr>
      <w:r>
        <w:rPr>
          <w:rFonts w:hint="eastAsia" w:ascii="宋体" w:hAnsi="宋体" w:eastAsia="宋体"/>
          <w:color w:val="auto"/>
          <w:kern w:val="0"/>
          <w:sz w:val="24"/>
          <w:highlight w:val="none"/>
        </w:rPr>
        <w:t xml:space="preserve">    1.4中标通知书发放后30个日历天内双方签订合同，签订合同前，中标人须缴纳履约保证金，金额为中标金额的5%，期限至项目履约完毕后三十日内无息返还 ，中标人无特殊原因拒不</w:t>
      </w:r>
      <w:r>
        <w:rPr>
          <w:rFonts w:hint="eastAsia" w:ascii="宋体" w:hAnsi="宋体" w:eastAsia="宋体" w:cs="宋体"/>
          <w:color w:val="auto"/>
          <w:kern w:val="0"/>
          <w:sz w:val="24"/>
          <w:highlight w:val="none"/>
        </w:rPr>
        <w:t>签订合同的，招标人可单方面取消其中标资格，并追究其责任</w:t>
      </w:r>
      <w:r>
        <w:rPr>
          <w:rFonts w:hint="eastAsia" w:ascii="宋体" w:hAnsi="宋体" w:eastAsia="宋体"/>
          <w:color w:val="auto"/>
          <w:kern w:val="0"/>
          <w:sz w:val="24"/>
          <w:highlight w:val="none"/>
        </w:rPr>
        <w:t>，同时投标保证金不予退还</w:t>
      </w:r>
      <w:r>
        <w:rPr>
          <w:rFonts w:hint="eastAsia" w:ascii="宋体" w:hAnsi="宋体" w:eastAsia="宋体" w:cs="宋体"/>
          <w:color w:val="auto"/>
          <w:kern w:val="0"/>
          <w:sz w:val="24"/>
          <w:highlight w:val="none"/>
        </w:rPr>
        <w:t>。</w:t>
      </w:r>
    </w:p>
    <w:p>
      <w:pPr>
        <w:widowControl/>
        <w:spacing w:line="500" w:lineRule="exact"/>
        <w:jc w:val="left"/>
        <w:outlineLvl w:val="0"/>
        <w:rPr>
          <w:rFonts w:ascii="宋体" w:hAnsi="宋体" w:eastAsia="宋体" w:cs="宋体"/>
          <w:b/>
          <w:color w:val="auto"/>
          <w:kern w:val="0"/>
          <w:sz w:val="24"/>
          <w:highlight w:val="none"/>
        </w:rPr>
      </w:pPr>
      <w:r>
        <w:rPr>
          <w:rFonts w:hint="eastAsia" w:ascii="宋体" w:hAnsi="宋体" w:eastAsia="宋体"/>
          <w:b/>
          <w:color w:val="auto"/>
          <w:kern w:val="0"/>
          <w:sz w:val="24"/>
          <w:highlight w:val="none"/>
        </w:rPr>
        <w:t xml:space="preserve">    2.</w:t>
      </w:r>
      <w:r>
        <w:rPr>
          <w:rFonts w:hint="eastAsia" w:ascii="宋体" w:hAnsi="宋体" w:eastAsia="宋体" w:cs="宋体"/>
          <w:b/>
          <w:color w:val="auto"/>
          <w:kern w:val="0"/>
          <w:sz w:val="24"/>
          <w:highlight w:val="none"/>
        </w:rPr>
        <w:t>合同条款</w:t>
      </w:r>
    </w:p>
    <w:p>
      <w:pPr>
        <w:spacing w:line="500" w:lineRule="exac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 xml:space="preserve">    2.1详见</w:t>
      </w:r>
      <w:r>
        <w:rPr>
          <w:rFonts w:hint="eastAsia" w:ascii="宋体" w:hAnsi="宋体" w:eastAsia="宋体"/>
          <w:b/>
          <w:color w:val="auto"/>
          <w:sz w:val="24"/>
          <w:highlight w:val="none"/>
        </w:rPr>
        <w:t>第六章《合同模板》，合同签订以此为准；</w:t>
      </w:r>
    </w:p>
    <w:p>
      <w:pPr>
        <w:spacing w:line="500" w:lineRule="exact"/>
        <w:rPr>
          <w:rFonts w:ascii="宋体" w:hAnsi="宋体" w:eastAsia="宋体"/>
          <w:b/>
          <w:color w:val="auto"/>
          <w:kern w:val="0"/>
          <w:sz w:val="24"/>
          <w:highlight w:val="none"/>
        </w:rPr>
      </w:pPr>
      <w:r>
        <w:rPr>
          <w:rFonts w:hint="eastAsia" w:ascii="宋体" w:hAnsi="宋体" w:eastAsia="宋体"/>
          <w:b/>
          <w:color w:val="auto"/>
          <w:kern w:val="0"/>
          <w:sz w:val="24"/>
          <w:highlight w:val="none"/>
        </w:rPr>
        <w:t xml:space="preserve">    3.合同执行</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3.1</w:t>
      </w:r>
      <w:r>
        <w:rPr>
          <w:rFonts w:hint="eastAsia" w:ascii="宋体" w:hAnsi="宋体" w:eastAsia="宋体"/>
          <w:color w:val="auto"/>
          <w:kern w:val="0"/>
          <w:sz w:val="24"/>
          <w:highlight w:val="none"/>
        </w:rPr>
        <w:t>甲乙双方严格按合同条款执行；</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3.2因特殊原因不能履行服务，乙方应在合同规定的服务期限内书面告知甲方；</w:t>
      </w:r>
    </w:p>
    <w:p>
      <w:pPr>
        <w:spacing w:line="500" w:lineRule="exact"/>
        <w:rPr>
          <w:rFonts w:ascii="宋体" w:hAnsi="宋体" w:eastAsia="宋体"/>
          <w:color w:val="auto"/>
          <w:kern w:val="0"/>
          <w:sz w:val="24"/>
          <w:highlight w:val="none"/>
        </w:rPr>
      </w:pPr>
      <w:r>
        <w:rPr>
          <w:rFonts w:hint="eastAsia" w:ascii="宋体" w:hAnsi="宋体" w:eastAsia="宋体" w:cs="宋体"/>
          <w:color w:val="auto"/>
          <w:kern w:val="0"/>
          <w:sz w:val="24"/>
          <w:highlight w:val="none"/>
        </w:rPr>
        <w:t xml:space="preserve">    3.3</w:t>
      </w:r>
      <w:r>
        <w:rPr>
          <w:rFonts w:hint="eastAsia" w:ascii="宋体" w:hAnsi="宋体" w:eastAsia="宋体"/>
          <w:color w:val="auto"/>
          <w:kern w:val="0"/>
          <w:sz w:val="24"/>
          <w:highlight w:val="none"/>
        </w:rPr>
        <w:t>如需变更合同内容，甲乙双方协商后再定；</w:t>
      </w:r>
    </w:p>
    <w:p>
      <w:pPr>
        <w:spacing w:line="500" w:lineRule="exact"/>
        <w:rPr>
          <w:rFonts w:ascii="宋体" w:hAnsi="宋体" w:eastAsia="宋体"/>
          <w:color w:val="auto"/>
          <w:kern w:val="0"/>
          <w:sz w:val="24"/>
          <w:highlight w:val="none"/>
        </w:rPr>
      </w:pPr>
      <w:r>
        <w:rPr>
          <w:rFonts w:hint="eastAsia" w:ascii="宋体" w:hAnsi="宋体" w:eastAsia="宋体"/>
          <w:color w:val="auto"/>
          <w:kern w:val="0"/>
          <w:sz w:val="24"/>
          <w:highlight w:val="none"/>
        </w:rPr>
        <w:t xml:space="preserve">    3.4无特殊原因乙方拒不履行合同，招标人可单方面取消其中标资格，并追究违约责任，同时履约保证金不予退还</w:t>
      </w:r>
      <w:r>
        <w:rPr>
          <w:rFonts w:hint="eastAsia" w:ascii="宋体" w:hAnsi="宋体" w:eastAsia="宋体" w:cs="宋体"/>
          <w:color w:val="auto"/>
          <w:kern w:val="0"/>
          <w:sz w:val="24"/>
          <w:highlight w:val="none"/>
        </w:rPr>
        <w:t>，</w:t>
      </w:r>
      <w:r>
        <w:rPr>
          <w:rFonts w:hint="eastAsia" w:ascii="宋体" w:hAnsi="宋体" w:eastAsia="宋体"/>
          <w:color w:val="auto"/>
          <w:kern w:val="0"/>
          <w:sz w:val="24"/>
          <w:highlight w:val="none"/>
        </w:rPr>
        <w:t>且我司将拒不接洽随后的同类型招标。</w:t>
      </w:r>
    </w:p>
    <w:p>
      <w:pPr>
        <w:pStyle w:val="4"/>
        <w:spacing w:line="500" w:lineRule="exact"/>
        <w:jc w:val="center"/>
        <w:rPr>
          <w:rFonts w:ascii="宋体" w:hAnsi="宋体" w:eastAsia="宋体"/>
          <w:color w:val="auto"/>
          <w:highlight w:val="none"/>
        </w:rPr>
      </w:pPr>
    </w:p>
    <w:p>
      <w:pPr>
        <w:spacing w:line="500" w:lineRule="exact"/>
        <w:jc w:val="center"/>
        <w:rPr>
          <w:color w:val="auto"/>
          <w:highlight w:val="none"/>
        </w:rPr>
      </w:pPr>
    </w:p>
    <w:p>
      <w:pPr>
        <w:pStyle w:val="2"/>
        <w:spacing w:line="500" w:lineRule="exact"/>
        <w:ind w:firstLine="210"/>
        <w:jc w:val="center"/>
        <w:rPr>
          <w:color w:val="auto"/>
          <w:highlight w:val="none"/>
        </w:rPr>
      </w:pPr>
    </w:p>
    <w:p>
      <w:pPr>
        <w:pStyle w:val="2"/>
        <w:spacing w:line="500" w:lineRule="exact"/>
        <w:ind w:firstLine="210"/>
        <w:jc w:val="center"/>
        <w:rPr>
          <w:color w:val="auto"/>
          <w:highlight w:val="none"/>
        </w:rPr>
      </w:pPr>
    </w:p>
    <w:p>
      <w:pPr>
        <w:pStyle w:val="2"/>
        <w:spacing w:line="500" w:lineRule="exact"/>
        <w:ind w:firstLine="210"/>
        <w:jc w:val="center"/>
        <w:rPr>
          <w:color w:val="auto"/>
          <w:highlight w:val="none"/>
        </w:rPr>
      </w:pPr>
    </w:p>
    <w:p>
      <w:pPr>
        <w:pStyle w:val="2"/>
        <w:spacing w:line="500" w:lineRule="exact"/>
        <w:ind w:firstLine="0" w:firstLineChars="0"/>
        <w:rPr>
          <w:rFonts w:ascii="宋体" w:hAnsi="宋体"/>
          <w:color w:val="auto"/>
          <w:highlight w:val="none"/>
        </w:rPr>
      </w:pPr>
    </w:p>
    <w:p>
      <w:pPr>
        <w:pStyle w:val="4"/>
        <w:spacing w:line="500" w:lineRule="exact"/>
        <w:jc w:val="center"/>
        <w:rPr>
          <w:rFonts w:ascii="宋体" w:hAnsi="宋体" w:eastAsia="宋体"/>
          <w:color w:val="auto"/>
          <w:highlight w:val="none"/>
        </w:rPr>
      </w:pPr>
      <w:r>
        <w:rPr>
          <w:rFonts w:hint="eastAsia" w:ascii="宋体" w:hAnsi="宋体" w:eastAsia="宋体"/>
          <w:color w:val="auto"/>
          <w:highlight w:val="none"/>
        </w:rPr>
        <w:t>第三章 服务需求</w:t>
      </w:r>
    </w:p>
    <w:p>
      <w:pPr>
        <w:widowControl/>
        <w:spacing w:line="500" w:lineRule="exact"/>
        <w:jc w:val="left"/>
        <w:rPr>
          <w:rFonts w:ascii="宋体" w:hAnsi="宋体" w:cs="宋体"/>
          <w:b/>
          <w:color w:val="auto"/>
          <w:kern w:val="0"/>
          <w:sz w:val="24"/>
          <w:highlight w:val="none"/>
        </w:rPr>
      </w:pPr>
      <w:r>
        <w:rPr>
          <w:rFonts w:hint="eastAsia" w:ascii="宋体" w:hAnsi="宋体"/>
          <w:color w:val="auto"/>
          <w:sz w:val="24"/>
          <w:highlight w:val="none"/>
        </w:rPr>
        <w:t xml:space="preserve">    一、</w:t>
      </w:r>
      <w:r>
        <w:rPr>
          <w:rFonts w:hint="eastAsia" w:ascii="宋体" w:hAnsi="宋体" w:cs="宋体"/>
          <w:b/>
          <w:color w:val="auto"/>
          <w:kern w:val="0"/>
          <w:sz w:val="24"/>
          <w:highlight w:val="none"/>
        </w:rPr>
        <w:t>服务内容</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本次招标内容包括但不限于出具沿街商业项目土地增值税</w:t>
      </w:r>
      <w:r>
        <w:rPr>
          <w:rFonts w:hint="eastAsia" w:ascii="宋体" w:hAnsi="宋体" w:eastAsia="宋体"/>
          <w:color w:val="auto"/>
          <w:kern w:val="0"/>
          <w:sz w:val="24"/>
          <w:highlight w:val="none"/>
          <w:lang w:val="en-US" w:eastAsia="zh-CN"/>
        </w:rPr>
        <w:t>清算</w:t>
      </w:r>
      <w:r>
        <w:rPr>
          <w:rFonts w:hint="eastAsia" w:ascii="宋体" w:hAnsi="宋体" w:eastAsia="宋体"/>
          <w:color w:val="auto"/>
          <w:kern w:val="0"/>
          <w:sz w:val="24"/>
          <w:highlight w:val="none"/>
        </w:rPr>
        <w:t xml:space="preserve">方案，在税务部门清算时限内编制并出具税务部门认可的土地增值税清算鉴证报告，并负责对接税务部门后续清算工作。        </w:t>
      </w:r>
    </w:p>
    <w:p>
      <w:pPr>
        <w:widowControl/>
        <w:spacing w:line="500" w:lineRule="exact"/>
        <w:jc w:val="left"/>
        <w:rPr>
          <w:rFonts w:hint="eastAsia" w:ascii="宋体" w:hAnsi="宋体" w:eastAsia="宋体"/>
          <w:b w:val="0"/>
          <w:color w:val="auto"/>
          <w:kern w:val="0"/>
          <w:sz w:val="24"/>
          <w:highlight w:val="none"/>
        </w:rPr>
      </w:pPr>
      <w:r>
        <w:rPr>
          <w:rFonts w:hint="eastAsia" w:ascii="宋体" w:hAnsi="宋体" w:eastAsia="宋体"/>
          <w:b w:val="0"/>
          <w:color w:val="auto"/>
          <w:kern w:val="0"/>
          <w:sz w:val="24"/>
          <w:highlight w:val="none"/>
        </w:rPr>
        <w:t xml:space="preserve">  </w:t>
      </w:r>
      <w:r>
        <w:rPr>
          <w:rFonts w:hint="eastAsia" w:ascii="宋体" w:hAnsi="宋体"/>
          <w:b w:val="0"/>
          <w:color w:val="auto"/>
          <w:sz w:val="24"/>
          <w:highlight w:val="none"/>
        </w:rPr>
        <w:t xml:space="preserve"> </w:t>
      </w:r>
      <w:r>
        <w:rPr>
          <w:rFonts w:hint="eastAsia" w:ascii="宋体" w:hAnsi="宋体"/>
          <w:b/>
          <w:bCs/>
          <w:color w:val="auto"/>
          <w:sz w:val="24"/>
          <w:highlight w:val="none"/>
        </w:rPr>
        <w:t xml:space="preserve"> 二、服务要求</w:t>
      </w:r>
    </w:p>
    <w:p>
      <w:pPr>
        <w:widowControl/>
        <w:shd w:val="clear" w:color="010000" w:fill="auto"/>
        <w:snapToGrid/>
        <w:spacing w:line="500" w:lineRule="exact"/>
        <w:ind w:firstLine="241" w:firstLineChars="100"/>
        <w:jc w:val="left"/>
        <w:rPr>
          <w:rFonts w:hint="eastAsia" w:ascii="宋体" w:hAnsi="宋体" w:eastAsia="宋体"/>
          <w:b/>
          <w:bCs/>
          <w:color w:val="auto"/>
          <w:kern w:val="0"/>
          <w:sz w:val="24"/>
          <w:highlight w:val="none"/>
        </w:rPr>
      </w:pPr>
      <w:r>
        <w:rPr>
          <w:rFonts w:hint="eastAsia" w:ascii="宋体" w:hAnsi="宋体" w:eastAsia="宋体"/>
          <w:b/>
          <w:bCs/>
          <w:color w:val="auto"/>
          <w:kern w:val="0"/>
          <w:sz w:val="24"/>
          <w:highlight w:val="none"/>
        </w:rPr>
        <w:t>1.人员配备要求</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投标人应组建专门的项目组开展工作，项目组人员应保持稳定，项目组成员不得少于4人，其中，项目负责人须具备注册税务师或注册会计师执业资格、三年以上从业经历、具有土地增值税鉴证工作经验；其余成员必须具备助理及以上财税相关专业资格。服务期内项目负责人不得调换，成员调整变动比例不超过30%，并经招标人同意。</w:t>
      </w:r>
    </w:p>
    <w:p>
      <w:pPr>
        <w:widowControl/>
        <w:shd w:val="clear" w:color="010000" w:fill="auto"/>
        <w:snapToGrid/>
        <w:spacing w:line="500" w:lineRule="exact"/>
        <w:ind w:firstLine="241" w:firstLineChars="100"/>
        <w:jc w:val="left"/>
        <w:rPr>
          <w:rFonts w:hint="eastAsia" w:ascii="宋体" w:hAnsi="宋体" w:eastAsia="宋体"/>
          <w:b/>
          <w:bCs/>
          <w:color w:val="auto"/>
          <w:kern w:val="0"/>
          <w:sz w:val="24"/>
          <w:highlight w:val="none"/>
        </w:rPr>
      </w:pPr>
      <w:r>
        <w:rPr>
          <w:rFonts w:hint="eastAsia" w:ascii="宋体" w:hAnsi="宋体" w:eastAsia="宋体"/>
          <w:b/>
          <w:bCs/>
          <w:color w:val="auto"/>
          <w:kern w:val="0"/>
          <w:sz w:val="24"/>
          <w:highlight w:val="none"/>
        </w:rPr>
        <w:t>2.报告及工作要求</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（1）土地增值税</w:t>
      </w:r>
      <w:r>
        <w:rPr>
          <w:rFonts w:hint="eastAsia" w:ascii="宋体" w:hAnsi="宋体" w:eastAsia="宋体"/>
          <w:color w:val="auto"/>
          <w:kern w:val="0"/>
          <w:sz w:val="24"/>
          <w:highlight w:val="none"/>
          <w:lang w:val="en-US" w:eastAsia="zh-CN"/>
        </w:rPr>
        <w:t>清算</w:t>
      </w:r>
      <w:r>
        <w:rPr>
          <w:rFonts w:hint="eastAsia" w:ascii="宋体" w:hAnsi="宋体" w:eastAsia="宋体"/>
          <w:color w:val="auto"/>
          <w:kern w:val="0"/>
          <w:sz w:val="24"/>
          <w:highlight w:val="none"/>
        </w:rPr>
        <w:t>方案</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事务所及注册税务师应严格按照现行税收相关法律、法规和政策规定，及注册税务师执业准则有关规定，恪守独立、客观、公正原则，对甲方提供的纳税资料进行鉴证、审核、分析，发表专业意见，出具符合现行地方性规定的可行性土地增值税</w:t>
      </w:r>
      <w:r>
        <w:rPr>
          <w:rFonts w:hint="eastAsia" w:ascii="宋体" w:hAnsi="宋体" w:eastAsia="宋体"/>
          <w:color w:val="auto"/>
          <w:kern w:val="0"/>
          <w:sz w:val="24"/>
          <w:highlight w:val="none"/>
          <w:lang w:val="en-US" w:eastAsia="zh-CN"/>
        </w:rPr>
        <w:t>清算</w:t>
      </w:r>
      <w:r>
        <w:rPr>
          <w:rFonts w:hint="eastAsia" w:ascii="宋体" w:hAnsi="宋体" w:eastAsia="宋体"/>
          <w:color w:val="auto"/>
          <w:kern w:val="0"/>
          <w:sz w:val="24"/>
          <w:highlight w:val="none"/>
        </w:rPr>
        <w:t>方案，并依据招标人的要求对</w:t>
      </w:r>
      <w:r>
        <w:rPr>
          <w:rFonts w:hint="eastAsia" w:ascii="宋体" w:hAnsi="宋体" w:eastAsia="宋体"/>
          <w:color w:val="auto"/>
          <w:kern w:val="0"/>
          <w:sz w:val="24"/>
          <w:highlight w:val="none"/>
          <w:lang w:val="en-US" w:eastAsia="zh-CN"/>
        </w:rPr>
        <w:t>清算</w:t>
      </w:r>
      <w:r>
        <w:rPr>
          <w:rFonts w:hint="eastAsia" w:ascii="宋体" w:hAnsi="宋体" w:eastAsia="宋体"/>
          <w:color w:val="auto"/>
          <w:kern w:val="0"/>
          <w:sz w:val="24"/>
          <w:highlight w:val="none"/>
        </w:rPr>
        <w:t>方案进行书面阐述。</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（2）土地增值税清算鉴证报告</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所出具的土地增值税清算鉴证报告应符合清算项目所在管辖区税务部门的格式要求，同时单独出具报告所对应的文字说明以及满足税务部门需要的其他书面说明。</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（3）对接税务部门清算工作</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在项目分期清算时段内，投标人配备的项目组人员应严格遵守招标人的工作安排，积极与税务部门对接，确保招标人所要求实现的合理性土地增值税清算目标最终能在清算鉴证报告中体现并获得税务部门的认可通过。</w:t>
      </w:r>
    </w:p>
    <w:p>
      <w:pPr>
        <w:widowControl/>
        <w:shd w:val="clear" w:color="010000" w:fill="auto"/>
        <w:snapToGrid/>
        <w:spacing w:line="500" w:lineRule="exact"/>
        <w:ind w:firstLine="241" w:firstLineChars="100"/>
        <w:jc w:val="left"/>
        <w:rPr>
          <w:rFonts w:hint="eastAsia" w:ascii="宋体" w:hAnsi="宋体" w:eastAsia="宋体"/>
          <w:b/>
          <w:bCs/>
          <w:color w:val="auto"/>
          <w:kern w:val="0"/>
          <w:sz w:val="24"/>
          <w:highlight w:val="none"/>
        </w:rPr>
      </w:pPr>
      <w:r>
        <w:rPr>
          <w:rFonts w:hint="eastAsia" w:ascii="宋体" w:hAnsi="宋体" w:eastAsia="宋体"/>
          <w:b/>
          <w:bCs/>
          <w:color w:val="auto"/>
          <w:kern w:val="0"/>
          <w:sz w:val="24"/>
          <w:highlight w:val="none"/>
        </w:rPr>
        <w:t>3.时间及报送要求</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自签订合同后，30个日历天内完成沿街商业项目土地增值税清算方案的编制并负责向招标人汇报；自接到招标人通知进场进行土地增值税清算工作后在税务部门清算时限内组织专业税务师编制并出具税务部门认可的土地增值税清算鉴证报告，负责对接税务部门后续清算工作（每次清算具体楼栋根据税务部门及招标人要求，由双方协商确定）。</w:t>
      </w:r>
    </w:p>
    <w:p>
      <w:pPr>
        <w:widowControl/>
        <w:shd w:val="clear" w:color="010000" w:fill="auto"/>
        <w:snapToGrid/>
        <w:spacing w:line="500" w:lineRule="exact"/>
        <w:ind w:firstLine="241" w:firstLineChars="100"/>
        <w:jc w:val="left"/>
        <w:rPr>
          <w:rFonts w:hint="eastAsia" w:ascii="宋体" w:hAnsi="宋体" w:eastAsia="宋体"/>
          <w:b/>
          <w:bCs/>
          <w:color w:val="auto"/>
          <w:kern w:val="0"/>
          <w:sz w:val="24"/>
          <w:highlight w:val="none"/>
        </w:rPr>
      </w:pPr>
      <w:r>
        <w:rPr>
          <w:rFonts w:hint="eastAsia" w:ascii="宋体" w:hAnsi="宋体" w:eastAsia="宋体"/>
          <w:b/>
          <w:bCs/>
          <w:color w:val="auto"/>
          <w:kern w:val="0"/>
          <w:sz w:val="24"/>
          <w:highlight w:val="none"/>
        </w:rPr>
        <w:t>4.后续工作要求</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1）中标的事务所务必保证服务工作如期开展及出具报告的质量符合我公司要求。我公司将对服务工作进行监督，若鉴证报告出现数据失真、错漏较多等严重质量问题，我公司有权追究事务所的法律和经济责任，并视严重程度扣减部分部分或全部服务费，直至终止委托关系。</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(2)事务所中标后要迅速组织开展工作，过程中采取必要的安全保密措施。项目组人员进场要告知公司对口部门，在服务工作中要每周定期向对口部门告知工作进度，以便对口部门掌握工作进度并督促协调。</w:t>
      </w:r>
    </w:p>
    <w:p>
      <w:pPr>
        <w:shd w:val="clear" w:color="000000" w:fill="auto"/>
        <w:snapToGrid/>
        <w:spacing w:line="500" w:lineRule="exact"/>
        <w:ind w:firstLine="480" w:firstLineChars="200"/>
        <w:jc w:val="left"/>
        <w:rPr>
          <w:rFonts w:hint="eastAsia" w:ascii="宋体" w:hAnsi="宋体" w:eastAsia="宋体"/>
          <w:color w:val="auto"/>
          <w:kern w:val="0"/>
          <w:sz w:val="24"/>
          <w:highlight w:val="none"/>
        </w:rPr>
      </w:pPr>
      <w:r>
        <w:rPr>
          <w:rFonts w:hint="eastAsia" w:ascii="宋体" w:hAnsi="宋体" w:eastAsia="宋体"/>
          <w:color w:val="auto"/>
          <w:kern w:val="0"/>
          <w:sz w:val="24"/>
          <w:highlight w:val="none"/>
        </w:rPr>
        <w:t>(3)事务所应妥善保管在合同履行过程中获取的相关资料及信息并履行保密义务。</w:t>
      </w:r>
    </w:p>
    <w:p>
      <w:pPr>
        <w:pStyle w:val="2"/>
        <w:ind w:firstLine="0" w:firstLineChars="0"/>
        <w:rPr>
          <w:color w:val="auto"/>
          <w:highlight w:val="none"/>
        </w:rPr>
      </w:pPr>
    </w:p>
    <w:p>
      <w:pPr>
        <w:rPr>
          <w:color w:val="auto"/>
          <w:highlight w:val="none"/>
        </w:rPr>
      </w:pPr>
    </w:p>
    <w:bookmarkEnd w:id="0"/>
    <w:p>
      <w:pPr>
        <w:tabs>
          <w:tab w:val="left" w:pos="0"/>
          <w:tab w:val="left" w:pos="540"/>
        </w:tabs>
        <w:spacing w:line="660" w:lineRule="exact"/>
        <w:jc w:val="center"/>
        <w:rPr>
          <w:rFonts w:ascii="宋体" w:hAnsi="宋体"/>
          <w:b/>
          <w:color w:val="auto"/>
          <w:kern w:val="0"/>
          <w:sz w:val="28"/>
          <w:szCs w:val="28"/>
          <w:highlight w:val="none"/>
        </w:rPr>
      </w:pPr>
      <w:bookmarkStart w:id="2" w:name="_Toc220232392"/>
    </w:p>
    <w:p>
      <w:pPr>
        <w:tabs>
          <w:tab w:val="left" w:pos="0"/>
          <w:tab w:val="left" w:pos="540"/>
        </w:tabs>
        <w:spacing w:line="660" w:lineRule="exact"/>
        <w:jc w:val="center"/>
        <w:rPr>
          <w:rFonts w:ascii="宋体" w:hAnsi="宋体"/>
          <w:b/>
          <w:color w:val="auto"/>
          <w:kern w:val="0"/>
          <w:sz w:val="28"/>
          <w:szCs w:val="28"/>
          <w:highlight w:val="none"/>
        </w:rPr>
      </w:pPr>
    </w:p>
    <w:p>
      <w:pPr>
        <w:tabs>
          <w:tab w:val="left" w:pos="0"/>
          <w:tab w:val="left" w:pos="540"/>
        </w:tabs>
        <w:spacing w:line="660" w:lineRule="exact"/>
        <w:jc w:val="center"/>
        <w:rPr>
          <w:rFonts w:ascii="宋体" w:hAnsi="宋体"/>
          <w:b/>
          <w:color w:val="auto"/>
          <w:kern w:val="0"/>
          <w:sz w:val="28"/>
          <w:szCs w:val="28"/>
          <w:highlight w:val="none"/>
        </w:rPr>
      </w:pPr>
    </w:p>
    <w:p>
      <w:pPr>
        <w:tabs>
          <w:tab w:val="left" w:pos="0"/>
          <w:tab w:val="left" w:pos="540"/>
        </w:tabs>
        <w:spacing w:line="660" w:lineRule="exact"/>
        <w:jc w:val="center"/>
        <w:rPr>
          <w:rFonts w:ascii="宋体" w:hAnsi="宋体"/>
          <w:b/>
          <w:color w:val="auto"/>
          <w:kern w:val="0"/>
          <w:sz w:val="28"/>
          <w:szCs w:val="28"/>
          <w:highlight w:val="none"/>
        </w:rPr>
      </w:pPr>
    </w:p>
    <w:p>
      <w:pPr>
        <w:tabs>
          <w:tab w:val="left" w:pos="0"/>
          <w:tab w:val="left" w:pos="540"/>
        </w:tabs>
        <w:spacing w:line="660" w:lineRule="exact"/>
        <w:jc w:val="center"/>
        <w:rPr>
          <w:rFonts w:ascii="宋体" w:hAnsi="宋体"/>
          <w:b/>
          <w:color w:val="auto"/>
          <w:kern w:val="0"/>
          <w:sz w:val="28"/>
          <w:szCs w:val="28"/>
          <w:highlight w:val="none"/>
        </w:rPr>
      </w:pPr>
    </w:p>
    <w:p>
      <w:pPr>
        <w:tabs>
          <w:tab w:val="left" w:pos="0"/>
          <w:tab w:val="left" w:pos="540"/>
        </w:tabs>
        <w:spacing w:line="660" w:lineRule="exact"/>
        <w:jc w:val="center"/>
        <w:rPr>
          <w:rFonts w:ascii="宋体" w:hAnsi="宋体"/>
          <w:b/>
          <w:color w:val="auto"/>
          <w:kern w:val="0"/>
          <w:sz w:val="28"/>
          <w:szCs w:val="28"/>
          <w:highlight w:val="none"/>
        </w:rPr>
      </w:pPr>
    </w:p>
    <w:p>
      <w:pPr>
        <w:tabs>
          <w:tab w:val="left" w:pos="0"/>
          <w:tab w:val="left" w:pos="540"/>
        </w:tabs>
        <w:spacing w:line="660" w:lineRule="exact"/>
        <w:jc w:val="center"/>
        <w:rPr>
          <w:rFonts w:ascii="宋体" w:hAnsi="宋体"/>
          <w:b/>
          <w:color w:val="auto"/>
          <w:kern w:val="0"/>
          <w:sz w:val="28"/>
          <w:szCs w:val="28"/>
          <w:highlight w:val="none"/>
        </w:rPr>
      </w:pPr>
    </w:p>
    <w:p>
      <w:pPr>
        <w:tabs>
          <w:tab w:val="left" w:pos="0"/>
          <w:tab w:val="left" w:pos="540"/>
        </w:tabs>
        <w:spacing w:line="660" w:lineRule="exact"/>
        <w:jc w:val="center"/>
        <w:rPr>
          <w:rFonts w:ascii="宋体" w:hAnsi="宋体"/>
          <w:b/>
          <w:color w:val="auto"/>
          <w:kern w:val="0"/>
          <w:sz w:val="28"/>
          <w:szCs w:val="28"/>
          <w:highlight w:val="none"/>
        </w:rPr>
      </w:pPr>
    </w:p>
    <w:p>
      <w:pPr>
        <w:tabs>
          <w:tab w:val="left" w:pos="0"/>
          <w:tab w:val="left" w:pos="540"/>
        </w:tabs>
        <w:spacing w:line="660" w:lineRule="exact"/>
        <w:jc w:val="center"/>
        <w:rPr>
          <w:rFonts w:ascii="宋体" w:hAnsi="宋体"/>
          <w:b/>
          <w:color w:val="auto"/>
          <w:kern w:val="0"/>
          <w:sz w:val="28"/>
          <w:szCs w:val="28"/>
          <w:highlight w:val="none"/>
        </w:rPr>
      </w:pPr>
    </w:p>
    <w:p>
      <w:pPr>
        <w:tabs>
          <w:tab w:val="left" w:pos="0"/>
          <w:tab w:val="left" w:pos="540"/>
        </w:tabs>
        <w:spacing w:line="660" w:lineRule="exact"/>
        <w:jc w:val="center"/>
        <w:rPr>
          <w:rFonts w:ascii="宋体" w:hAnsi="宋体"/>
          <w:b/>
          <w:color w:val="auto"/>
          <w:kern w:val="0"/>
          <w:sz w:val="28"/>
          <w:szCs w:val="28"/>
          <w:highlight w:val="none"/>
        </w:rPr>
      </w:pPr>
    </w:p>
    <w:p>
      <w:pPr>
        <w:tabs>
          <w:tab w:val="left" w:pos="0"/>
          <w:tab w:val="left" w:pos="540"/>
        </w:tabs>
        <w:spacing w:line="660" w:lineRule="exact"/>
        <w:jc w:val="center"/>
        <w:rPr>
          <w:rFonts w:ascii="宋体" w:hAnsi="宋体"/>
          <w:b/>
          <w:color w:val="auto"/>
          <w:kern w:val="0"/>
          <w:sz w:val="28"/>
          <w:szCs w:val="28"/>
          <w:highlight w:val="none"/>
        </w:rPr>
      </w:pPr>
    </w:p>
    <w:p>
      <w:pPr>
        <w:tabs>
          <w:tab w:val="left" w:pos="0"/>
          <w:tab w:val="left" w:pos="540"/>
        </w:tabs>
        <w:spacing w:line="660" w:lineRule="exact"/>
        <w:jc w:val="center"/>
        <w:rPr>
          <w:rFonts w:ascii="宋体" w:hAnsi="宋体"/>
          <w:b/>
          <w:color w:val="auto"/>
          <w:kern w:val="0"/>
          <w:sz w:val="28"/>
          <w:szCs w:val="28"/>
          <w:highlight w:val="none"/>
        </w:rPr>
      </w:pPr>
    </w:p>
    <w:p>
      <w:pPr>
        <w:tabs>
          <w:tab w:val="left" w:pos="0"/>
          <w:tab w:val="left" w:pos="540"/>
        </w:tabs>
        <w:spacing w:line="660" w:lineRule="exact"/>
        <w:rPr>
          <w:rFonts w:ascii="宋体" w:hAnsi="宋体"/>
          <w:b/>
          <w:color w:val="auto"/>
          <w:kern w:val="0"/>
          <w:sz w:val="28"/>
          <w:szCs w:val="28"/>
          <w:highlight w:val="none"/>
        </w:rPr>
      </w:pPr>
    </w:p>
    <w:p>
      <w:pPr>
        <w:tabs>
          <w:tab w:val="left" w:pos="0"/>
          <w:tab w:val="left" w:pos="540"/>
        </w:tabs>
        <w:spacing w:line="660" w:lineRule="exact"/>
        <w:jc w:val="center"/>
        <w:rPr>
          <w:b/>
          <w:bCs/>
          <w:color w:val="auto"/>
          <w:sz w:val="28"/>
          <w:szCs w:val="28"/>
          <w:highlight w:val="none"/>
        </w:rPr>
      </w:pPr>
      <w:r>
        <w:rPr>
          <w:rFonts w:hint="eastAsia" w:ascii="宋体" w:hAnsi="宋体"/>
          <w:b/>
          <w:color w:val="auto"/>
          <w:kern w:val="0"/>
          <w:sz w:val="28"/>
          <w:szCs w:val="28"/>
          <w:highlight w:val="none"/>
        </w:rPr>
        <w:t xml:space="preserve">第四章 </w:t>
      </w:r>
      <w:r>
        <w:rPr>
          <w:rFonts w:hint="eastAsia"/>
          <w:b/>
          <w:bCs/>
          <w:color w:val="auto"/>
          <w:sz w:val="28"/>
          <w:szCs w:val="28"/>
          <w:highlight w:val="none"/>
        </w:rPr>
        <w:t>评标办法</w:t>
      </w:r>
    </w:p>
    <w:p>
      <w:pPr>
        <w:pStyle w:val="5"/>
        <w:spacing w:before="0" w:after="0" w:line="240" w:lineRule="exact"/>
        <w:ind w:left="398" w:hanging="398" w:hangingChars="165"/>
        <w:jc w:val="left"/>
        <w:rPr>
          <w:color w:val="auto"/>
          <w:sz w:val="24"/>
          <w:szCs w:val="24"/>
          <w:highlight w:val="none"/>
        </w:rPr>
      </w:pPr>
      <w:bookmarkStart w:id="3" w:name="_Toc280716100"/>
      <w:bookmarkEnd w:id="3"/>
      <w:bookmarkStart w:id="4" w:name="_Toc314139521"/>
      <w:bookmarkEnd w:id="4"/>
      <w:bookmarkStart w:id="5" w:name="_Toc314041831"/>
      <w:bookmarkEnd w:id="5"/>
      <w:bookmarkStart w:id="6" w:name="_Toc356993569"/>
      <w:bookmarkEnd w:id="6"/>
      <w:bookmarkStart w:id="7" w:name="_Toc314139604"/>
      <w:bookmarkEnd w:id="7"/>
      <w:bookmarkStart w:id="8" w:name="_Toc314041834"/>
      <w:bookmarkStart w:id="9" w:name="_Toc272400965"/>
      <w:bookmarkStart w:id="10" w:name="_Toc291656324"/>
      <w:bookmarkStart w:id="11" w:name="_Toc314139607"/>
      <w:bookmarkStart w:id="12" w:name="_Toc314139524"/>
    </w:p>
    <w:p>
      <w:pPr>
        <w:spacing w:line="5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1.为做好沿街商业项目税务师事务所服务（项目编号：</w:t>
      </w:r>
      <w:r>
        <w:rPr>
          <w:rFonts w:hint="eastAsia" w:ascii="宋体" w:hAnsi="宋体"/>
          <w:color w:val="auto"/>
          <w:sz w:val="24"/>
          <w:highlight w:val="none"/>
          <w:lang w:val="en-US" w:eastAsia="zh-CN"/>
        </w:rPr>
        <w:t>HBZ-21061-ZGD11</w:t>
      </w:r>
      <w:r>
        <w:rPr>
          <w:rFonts w:hint="eastAsia" w:ascii="宋体" w:hAnsi="宋体" w:eastAsia="宋体"/>
          <w:color w:val="auto"/>
          <w:sz w:val="24"/>
          <w:highlight w:val="none"/>
        </w:rPr>
        <w:t>）项目的招标评标工作，保证项目评审工作的正常有序进行，维护招标人、投标人的合法权益，依据《中华人民共和国招标投标法》、《中华人民共和国招标投标法实施条例》及其它相关法律法规，本着公开、公平、公正的原则，制定此评标办法。</w:t>
      </w:r>
    </w:p>
    <w:p>
      <w:pPr>
        <w:adjustRightInd w:val="0"/>
        <w:snapToGrid w:val="0"/>
        <w:spacing w:line="500" w:lineRule="exact"/>
        <w:ind w:right="-10" w:firstLine="422" w:firstLineChars="175"/>
        <w:rPr>
          <w:rFonts w:ascii="宋体" w:hAnsi="宋体" w:eastAsia="宋体"/>
          <w:color w:val="auto"/>
          <w:sz w:val="24"/>
          <w:highlight w:val="none"/>
        </w:rPr>
      </w:pPr>
      <w:r>
        <w:rPr>
          <w:rFonts w:hint="eastAsia" w:ascii="宋体" w:hAnsi="宋体" w:eastAsia="宋体"/>
          <w:b/>
          <w:bCs/>
          <w:color w:val="auto"/>
          <w:sz w:val="24"/>
          <w:highlight w:val="none"/>
        </w:rPr>
        <w:t>2.</w:t>
      </w:r>
      <w:r>
        <w:rPr>
          <w:rFonts w:hint="eastAsia" w:ascii="宋体" w:hAnsi="宋体" w:eastAsia="宋体"/>
          <w:color w:val="auto"/>
          <w:sz w:val="24"/>
          <w:highlight w:val="none"/>
        </w:rPr>
        <w:t>本项目评标采用</w:t>
      </w:r>
      <w:r>
        <w:rPr>
          <w:rFonts w:hint="eastAsia" w:ascii="宋体" w:hAnsi="宋体" w:eastAsia="宋体"/>
          <w:b/>
          <w:color w:val="auto"/>
          <w:sz w:val="24"/>
          <w:highlight w:val="none"/>
          <w:u w:val="single"/>
        </w:rPr>
        <w:t>综合评分法</w:t>
      </w:r>
      <w:r>
        <w:rPr>
          <w:rFonts w:hint="eastAsia" w:ascii="宋体" w:hAnsi="宋体" w:eastAsia="宋体"/>
          <w:color w:val="auto"/>
          <w:sz w:val="24"/>
          <w:highlight w:val="none"/>
        </w:rPr>
        <w:t>作为对投标人标书的比较方法。</w:t>
      </w:r>
    </w:p>
    <w:p>
      <w:pPr>
        <w:adjustRightInd w:val="0"/>
        <w:snapToGrid w:val="0"/>
        <w:spacing w:line="500" w:lineRule="exact"/>
        <w:ind w:left="-61" w:leftChars="-29" w:right="-10" w:firstLine="482" w:firstLineChars="200"/>
        <w:rPr>
          <w:rFonts w:ascii="宋体" w:hAnsi="宋体" w:eastAsia="宋体"/>
          <w:color w:val="auto"/>
          <w:sz w:val="24"/>
          <w:highlight w:val="none"/>
        </w:rPr>
      </w:pPr>
      <w:r>
        <w:rPr>
          <w:rFonts w:hint="eastAsia" w:ascii="宋体" w:hAnsi="宋体" w:eastAsia="宋体"/>
          <w:b/>
          <w:bCs/>
          <w:color w:val="auto"/>
          <w:sz w:val="24"/>
          <w:highlight w:val="none"/>
        </w:rPr>
        <w:t>3.</w:t>
      </w:r>
      <w:r>
        <w:rPr>
          <w:rFonts w:hint="eastAsia" w:ascii="宋体" w:hAnsi="宋体" w:eastAsia="宋体"/>
          <w:color w:val="auto"/>
          <w:sz w:val="24"/>
          <w:highlight w:val="none"/>
        </w:rPr>
        <w:t>本项目将依法组建不少于</w:t>
      </w:r>
      <w:r>
        <w:rPr>
          <w:rFonts w:hint="eastAsia" w:ascii="宋体" w:hAnsi="宋体" w:eastAsia="宋体"/>
          <w:b/>
          <w:color w:val="auto"/>
          <w:sz w:val="24"/>
          <w:highlight w:val="none"/>
          <w:u w:val="single"/>
        </w:rPr>
        <w:t>5</w:t>
      </w:r>
      <w:r>
        <w:rPr>
          <w:rFonts w:hint="eastAsia" w:ascii="宋体" w:hAnsi="宋体" w:eastAsia="宋体"/>
          <w:color w:val="auto"/>
          <w:sz w:val="24"/>
          <w:highlight w:val="none"/>
        </w:rPr>
        <w:t>人的评标委员会，负责本项目的评标工作。</w:t>
      </w:r>
    </w:p>
    <w:p>
      <w:pPr>
        <w:adjustRightInd w:val="0"/>
        <w:snapToGrid w:val="0"/>
        <w:spacing w:line="500" w:lineRule="exact"/>
        <w:ind w:left="-61" w:leftChars="-29" w:right="-10" w:firstLine="482" w:firstLineChars="200"/>
        <w:rPr>
          <w:rFonts w:ascii="宋体" w:hAnsi="宋体" w:eastAsia="宋体"/>
          <w:color w:val="auto"/>
          <w:sz w:val="24"/>
          <w:highlight w:val="none"/>
        </w:rPr>
      </w:pPr>
      <w:r>
        <w:rPr>
          <w:rFonts w:hint="eastAsia" w:ascii="宋体" w:hAnsi="宋体" w:eastAsia="宋体"/>
          <w:b/>
          <w:color w:val="auto"/>
          <w:sz w:val="24"/>
          <w:highlight w:val="none"/>
        </w:rPr>
        <w:t>4.</w:t>
      </w:r>
      <w:r>
        <w:rPr>
          <w:rFonts w:hint="eastAsia" w:ascii="宋体" w:hAnsi="宋体" w:eastAsia="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left="-61" w:leftChars="-29" w:right="-10" w:firstLine="482" w:firstLineChars="200"/>
        <w:rPr>
          <w:rFonts w:ascii="宋体" w:hAnsi="宋体" w:eastAsia="宋体"/>
          <w:color w:val="auto"/>
          <w:sz w:val="24"/>
          <w:highlight w:val="none"/>
        </w:rPr>
      </w:pPr>
      <w:r>
        <w:rPr>
          <w:rFonts w:hint="eastAsia" w:ascii="宋体" w:hAnsi="宋体" w:eastAsia="宋体"/>
          <w:b/>
          <w:color w:val="auto"/>
          <w:sz w:val="24"/>
          <w:highlight w:val="none"/>
        </w:rPr>
        <w:t>5.</w:t>
      </w:r>
      <w:r>
        <w:rPr>
          <w:rFonts w:hint="eastAsia" w:ascii="宋体" w:hAnsi="宋体" w:eastAsia="宋体"/>
          <w:color w:val="auto"/>
          <w:sz w:val="24"/>
          <w:highlight w:val="none"/>
        </w:rPr>
        <w:t>评标工作于开标后进行。评标委员会应认真研究招标文件，应了解和熟悉以下内容：</w:t>
      </w:r>
    </w:p>
    <w:p>
      <w:pPr>
        <w:spacing w:line="500" w:lineRule="exact"/>
        <w:ind w:left="480" w:right="-10"/>
        <w:rPr>
          <w:rFonts w:ascii="宋体" w:hAnsi="宋体" w:eastAsia="宋体"/>
          <w:color w:val="auto"/>
          <w:sz w:val="24"/>
          <w:highlight w:val="none"/>
        </w:rPr>
      </w:pPr>
      <w:r>
        <w:rPr>
          <w:rFonts w:hint="eastAsia" w:ascii="宋体" w:hAnsi="宋体" w:eastAsia="宋体"/>
          <w:color w:val="auto"/>
          <w:sz w:val="24"/>
          <w:highlight w:val="none"/>
        </w:rPr>
        <w:t>5.1招标的目标；</w:t>
      </w:r>
    </w:p>
    <w:p>
      <w:pPr>
        <w:spacing w:line="500" w:lineRule="exact"/>
        <w:ind w:left="480" w:right="-10"/>
        <w:rPr>
          <w:rFonts w:ascii="宋体" w:hAnsi="宋体" w:eastAsia="宋体"/>
          <w:color w:val="auto"/>
          <w:sz w:val="24"/>
          <w:highlight w:val="none"/>
        </w:rPr>
      </w:pPr>
      <w:r>
        <w:rPr>
          <w:rFonts w:hint="eastAsia" w:ascii="宋体" w:hAnsi="宋体" w:eastAsia="宋体"/>
          <w:color w:val="auto"/>
          <w:sz w:val="24"/>
          <w:highlight w:val="none"/>
        </w:rPr>
        <w:t>5.2招标项目的范围和性质；</w:t>
      </w:r>
    </w:p>
    <w:p>
      <w:pPr>
        <w:spacing w:line="500" w:lineRule="exact"/>
        <w:ind w:left="480" w:right="-10"/>
        <w:rPr>
          <w:rFonts w:ascii="宋体" w:hAnsi="宋体" w:eastAsia="宋体"/>
          <w:color w:val="auto"/>
          <w:sz w:val="24"/>
          <w:highlight w:val="none"/>
        </w:rPr>
      </w:pPr>
      <w:r>
        <w:rPr>
          <w:rFonts w:hint="eastAsia" w:ascii="宋体" w:hAnsi="宋体" w:eastAsia="宋体"/>
          <w:color w:val="auto"/>
          <w:sz w:val="24"/>
          <w:highlight w:val="none"/>
        </w:rPr>
        <w:t>5.3招标文件中规定的主要技术要求、标准和商务条款；</w:t>
      </w:r>
    </w:p>
    <w:p>
      <w:pPr>
        <w:spacing w:line="500" w:lineRule="exact"/>
        <w:ind w:left="480" w:right="-10"/>
        <w:rPr>
          <w:rFonts w:ascii="宋体" w:hAnsi="宋体" w:eastAsia="宋体"/>
          <w:color w:val="auto"/>
          <w:sz w:val="24"/>
          <w:highlight w:val="none"/>
        </w:rPr>
      </w:pPr>
      <w:r>
        <w:rPr>
          <w:rFonts w:hint="eastAsia" w:ascii="宋体" w:hAnsi="宋体" w:eastAsia="宋体"/>
          <w:color w:val="auto"/>
          <w:sz w:val="24"/>
          <w:highlight w:val="none"/>
        </w:rPr>
        <w:t>5.4招标文件规定的评标标准、评标方法和在评标过程中考虑的相关因素。</w:t>
      </w:r>
    </w:p>
    <w:p>
      <w:pPr>
        <w:adjustRightInd w:val="0"/>
        <w:snapToGrid w:val="0"/>
        <w:spacing w:line="500" w:lineRule="exact"/>
        <w:ind w:right="-10" w:firstLine="482" w:firstLineChars="200"/>
        <w:rPr>
          <w:rFonts w:ascii="宋体" w:hAnsi="宋体" w:eastAsia="宋体"/>
          <w:color w:val="auto"/>
          <w:sz w:val="24"/>
          <w:highlight w:val="none"/>
        </w:rPr>
      </w:pPr>
      <w:r>
        <w:rPr>
          <w:rFonts w:hint="eastAsia" w:ascii="宋体" w:hAnsi="宋体" w:eastAsia="宋体"/>
          <w:b/>
          <w:color w:val="auto"/>
          <w:sz w:val="24"/>
          <w:highlight w:val="none"/>
        </w:rPr>
        <w:t>6.对投标文件的审查和响应性的确定</w:t>
      </w:r>
    </w:p>
    <w:p>
      <w:pPr>
        <w:spacing w:line="5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6.1</w:t>
      </w:r>
      <w:r>
        <w:rPr>
          <w:rFonts w:ascii="宋体" w:hAnsi="宋体" w:eastAsia="宋体"/>
          <w:color w:val="auto"/>
          <w:sz w:val="24"/>
          <w:highlight w:val="none"/>
        </w:rPr>
        <w:t>评标委员会组织审查投标文件是否完整，是否有计算错误，要求的保证金是否已提供，投标文件签署是否合格。若文字大写表示的数据与数字表示的有差别，以文字大写表示的数据为准；</w:t>
      </w:r>
      <w:r>
        <w:rPr>
          <w:rFonts w:hint="eastAsia" w:ascii="宋体" w:hAnsi="宋体" w:eastAsia="宋体"/>
          <w:color w:val="auto"/>
          <w:sz w:val="24"/>
          <w:highlight w:val="none"/>
        </w:rPr>
        <w:t>若</w:t>
      </w:r>
      <w:r>
        <w:rPr>
          <w:rFonts w:ascii="宋体" w:hAnsi="宋体" w:eastAsia="宋体"/>
          <w:color w:val="auto"/>
          <w:sz w:val="24"/>
          <w:highlight w:val="none"/>
        </w:rPr>
        <w:t>开标一览表投标价格</w:t>
      </w:r>
      <w:r>
        <w:rPr>
          <w:rFonts w:hint="eastAsia" w:ascii="宋体" w:hAnsi="宋体" w:eastAsia="宋体"/>
          <w:color w:val="auto"/>
          <w:sz w:val="24"/>
          <w:highlight w:val="none"/>
        </w:rPr>
        <w:t>（或费率）</w:t>
      </w:r>
      <w:r>
        <w:rPr>
          <w:rFonts w:ascii="宋体" w:hAnsi="宋体" w:eastAsia="宋体"/>
          <w:color w:val="auto"/>
          <w:sz w:val="24"/>
          <w:highlight w:val="none"/>
        </w:rPr>
        <w:t>与投标分项报价表有差别，则以开标一览表价格为准。若投标人拒绝接受上述修正，其投标</w:t>
      </w:r>
      <w:r>
        <w:rPr>
          <w:rFonts w:hint="eastAsia" w:ascii="宋体" w:hAnsi="宋体" w:eastAsia="宋体"/>
          <w:color w:val="auto"/>
          <w:sz w:val="24"/>
          <w:highlight w:val="none"/>
        </w:rPr>
        <w:t>做无效标处理</w:t>
      </w:r>
      <w:r>
        <w:rPr>
          <w:rFonts w:ascii="宋体" w:hAnsi="宋体" w:eastAsia="宋体"/>
          <w:color w:val="auto"/>
          <w:sz w:val="24"/>
          <w:highlight w:val="none"/>
        </w:rPr>
        <w:t>。</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6.2在对投标文件进行详细评估之前，评标委员会将依据投标人提供的资格证明文件和</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招标文件的规定审查投标人的法人资格、营业范围、财务、技术和生产能力。如果确定投标人无资格履行合同，其投标将被拒绝。</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6.3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保险责任范围，或限制了招标人的权力，或保留、反对有关对投标人的义务的规定，而纠正这些偏离将影响到其它提交实质性响应投标的投标人的公平竞争地位。</w:t>
      </w:r>
    </w:p>
    <w:p>
      <w:pPr>
        <w:adjustRightInd w:val="0"/>
        <w:snapToGrid w:val="0"/>
        <w:spacing w:line="500" w:lineRule="exact"/>
        <w:ind w:right="-10" w:firstLine="480" w:firstLineChars="200"/>
        <w:rPr>
          <w:rFonts w:ascii="宋体" w:hAnsi="宋体" w:eastAsia="宋体"/>
          <w:color w:val="auto"/>
          <w:sz w:val="24"/>
          <w:highlight w:val="none"/>
        </w:rPr>
      </w:pPr>
      <w:r>
        <w:rPr>
          <w:rFonts w:hint="eastAsia" w:ascii="宋体" w:hAnsi="宋体" w:eastAsia="宋体"/>
          <w:color w:val="auto"/>
          <w:sz w:val="24"/>
          <w:highlight w:val="none"/>
        </w:rPr>
        <w:t>6.4</w:t>
      </w:r>
      <w:r>
        <w:rPr>
          <w:rFonts w:ascii="宋体" w:hAnsi="宋体" w:eastAsia="宋体"/>
          <w:color w:val="auto"/>
          <w:sz w:val="24"/>
          <w:highlight w:val="none"/>
        </w:rPr>
        <w:t>评标委员会判断投标文件的响应性仅基于投标文件本身而不靠外部证据。</w:t>
      </w:r>
    </w:p>
    <w:p>
      <w:pPr>
        <w:spacing w:line="500" w:lineRule="exact"/>
        <w:ind w:firstLine="360" w:firstLineChars="150"/>
        <w:rPr>
          <w:rFonts w:ascii="宋体" w:hAnsi="宋体" w:eastAsia="宋体"/>
          <w:color w:val="auto"/>
          <w:sz w:val="24"/>
          <w:highlight w:val="none"/>
        </w:rPr>
      </w:pPr>
      <w:r>
        <w:rPr>
          <w:rFonts w:hint="eastAsia" w:ascii="宋体" w:hAnsi="宋体" w:eastAsia="宋体"/>
          <w:color w:val="auto"/>
          <w:sz w:val="24"/>
          <w:highlight w:val="none"/>
        </w:rPr>
        <w:t>6.5</w:t>
      </w:r>
      <w:r>
        <w:rPr>
          <w:rFonts w:ascii="宋体" w:hAnsi="宋体" w:eastAsia="宋体"/>
          <w:color w:val="auto"/>
          <w:sz w:val="24"/>
          <w:highlight w:val="none"/>
        </w:rPr>
        <w:t>实质上没有响应招标文件要求的投标将被拒绝。投标人不得通过修正或撤销不合要求的偏离或保留从而使其投标成为实质上响应的投标。如发现下列情况之一的，其投标将被拒绝：</w:t>
      </w:r>
    </w:p>
    <w:p>
      <w:pPr>
        <w:spacing w:line="500" w:lineRule="exact"/>
        <w:ind w:firstLine="360" w:firstLineChars="150"/>
        <w:rPr>
          <w:rFonts w:ascii="宋体" w:hAnsi="宋体" w:eastAsia="宋体"/>
          <w:color w:val="auto"/>
          <w:sz w:val="24"/>
          <w:highlight w:val="none"/>
        </w:rPr>
      </w:pPr>
      <w:r>
        <w:rPr>
          <w:rFonts w:ascii="宋体" w:hAnsi="宋体" w:eastAsia="宋体"/>
          <w:color w:val="auto"/>
          <w:sz w:val="24"/>
          <w:highlight w:val="none"/>
        </w:rPr>
        <w:t>(1) 超出经营范围投标的。</w:t>
      </w:r>
    </w:p>
    <w:p>
      <w:pPr>
        <w:spacing w:line="500" w:lineRule="exact"/>
        <w:ind w:firstLine="360" w:firstLineChars="150"/>
        <w:rPr>
          <w:rFonts w:ascii="宋体" w:hAnsi="宋体" w:eastAsia="宋体"/>
          <w:color w:val="auto"/>
          <w:sz w:val="24"/>
          <w:highlight w:val="none"/>
        </w:rPr>
      </w:pPr>
      <w:r>
        <w:rPr>
          <w:rFonts w:ascii="宋体" w:hAnsi="宋体" w:eastAsia="宋体"/>
          <w:color w:val="auto"/>
          <w:sz w:val="24"/>
          <w:highlight w:val="none"/>
        </w:rPr>
        <w:t>(2) 资格证明文件不全的。</w:t>
      </w:r>
    </w:p>
    <w:p>
      <w:pPr>
        <w:spacing w:line="500" w:lineRule="exact"/>
        <w:ind w:firstLine="360" w:firstLineChars="150"/>
        <w:rPr>
          <w:rFonts w:ascii="宋体" w:hAnsi="宋体" w:eastAsia="宋体"/>
          <w:color w:val="auto"/>
          <w:sz w:val="24"/>
          <w:highlight w:val="none"/>
        </w:rPr>
      </w:pPr>
      <w:r>
        <w:rPr>
          <w:rFonts w:ascii="宋体" w:hAnsi="宋体" w:eastAsia="宋体"/>
          <w:color w:val="auto"/>
          <w:sz w:val="24"/>
          <w:highlight w:val="none"/>
        </w:rPr>
        <w:t>(3) 不满足技术规格中主要参数或超出偏差范围的。</w:t>
      </w:r>
    </w:p>
    <w:p>
      <w:pPr>
        <w:spacing w:line="500" w:lineRule="exact"/>
        <w:ind w:firstLine="360" w:firstLineChars="150"/>
        <w:rPr>
          <w:rFonts w:ascii="宋体" w:hAnsi="宋体" w:eastAsia="宋体"/>
          <w:color w:val="auto"/>
          <w:sz w:val="24"/>
          <w:highlight w:val="none"/>
        </w:rPr>
      </w:pPr>
      <w:r>
        <w:rPr>
          <w:rFonts w:ascii="宋体" w:hAnsi="宋体" w:eastAsia="宋体"/>
          <w:color w:val="auto"/>
          <w:sz w:val="24"/>
          <w:highlight w:val="none"/>
        </w:rPr>
        <w:t>(4) 未响应招标文件的实质性要求和条件或附有招标人不能接受的条件的。</w:t>
      </w:r>
    </w:p>
    <w:p>
      <w:pPr>
        <w:spacing w:line="500" w:lineRule="exact"/>
        <w:ind w:firstLine="360" w:firstLineChars="150"/>
        <w:rPr>
          <w:rFonts w:ascii="宋体" w:hAnsi="宋体" w:eastAsia="宋体"/>
          <w:color w:val="auto"/>
          <w:sz w:val="24"/>
          <w:highlight w:val="none"/>
        </w:rPr>
      </w:pPr>
      <w:r>
        <w:rPr>
          <w:rFonts w:ascii="宋体" w:hAnsi="宋体" w:eastAsia="宋体"/>
          <w:color w:val="auto"/>
          <w:sz w:val="24"/>
          <w:highlight w:val="none"/>
        </w:rPr>
        <w:t>(5) 投标人未按照招标文件的格式、要求提供有关材料和文件，投标文件的关键内容字迹模糊、无法辨认的。</w:t>
      </w:r>
    </w:p>
    <w:p>
      <w:pPr>
        <w:spacing w:line="500" w:lineRule="exact"/>
        <w:ind w:firstLine="360" w:firstLineChars="150"/>
        <w:rPr>
          <w:rFonts w:ascii="宋体" w:hAnsi="宋体" w:eastAsia="宋体"/>
          <w:color w:val="auto"/>
          <w:sz w:val="24"/>
          <w:highlight w:val="none"/>
        </w:rPr>
      </w:pPr>
      <w:r>
        <w:rPr>
          <w:rFonts w:ascii="宋体" w:hAnsi="宋体" w:eastAsia="宋体"/>
          <w:color w:val="auto"/>
          <w:sz w:val="24"/>
          <w:highlight w:val="none"/>
        </w:rPr>
        <w:t>(6) 与其他投标人相互串通报价</w:t>
      </w:r>
      <w:r>
        <w:rPr>
          <w:rFonts w:hint="eastAsia" w:ascii="宋体" w:hAnsi="宋体" w:eastAsia="宋体"/>
          <w:color w:val="auto"/>
          <w:sz w:val="24"/>
          <w:highlight w:val="none"/>
        </w:rPr>
        <w:t>的</w:t>
      </w:r>
      <w:r>
        <w:rPr>
          <w:rFonts w:ascii="宋体" w:hAnsi="宋体" w:eastAsia="宋体"/>
          <w:color w:val="auto"/>
          <w:sz w:val="24"/>
          <w:highlight w:val="none"/>
        </w:rPr>
        <w:t>。</w:t>
      </w:r>
    </w:p>
    <w:p>
      <w:pPr>
        <w:spacing w:line="500" w:lineRule="exact"/>
        <w:ind w:firstLine="360" w:firstLineChars="150"/>
        <w:rPr>
          <w:rFonts w:ascii="宋体" w:hAnsi="宋体" w:eastAsia="宋体"/>
          <w:color w:val="auto"/>
          <w:sz w:val="24"/>
          <w:highlight w:val="none"/>
        </w:rPr>
      </w:pPr>
      <w:r>
        <w:rPr>
          <w:rFonts w:ascii="宋体" w:hAnsi="宋体" w:eastAsia="宋体"/>
          <w:color w:val="auto"/>
          <w:sz w:val="24"/>
          <w:highlight w:val="none"/>
        </w:rPr>
        <w:t>(7) 以他人名义投标，或者以其他方式弄虚作假</w:t>
      </w:r>
      <w:r>
        <w:rPr>
          <w:rFonts w:hint="eastAsia" w:ascii="宋体" w:hAnsi="宋体" w:eastAsia="宋体"/>
          <w:color w:val="auto"/>
          <w:sz w:val="24"/>
          <w:highlight w:val="none"/>
        </w:rPr>
        <w:t>的</w:t>
      </w:r>
      <w:r>
        <w:rPr>
          <w:rFonts w:ascii="宋体" w:hAnsi="宋体" w:eastAsia="宋体"/>
          <w:color w:val="auto"/>
          <w:sz w:val="24"/>
          <w:highlight w:val="none"/>
        </w:rPr>
        <w:t>。</w:t>
      </w:r>
    </w:p>
    <w:p>
      <w:pPr>
        <w:spacing w:line="500" w:lineRule="exact"/>
        <w:ind w:firstLine="360" w:firstLineChars="150"/>
        <w:rPr>
          <w:rFonts w:ascii="宋体" w:hAnsi="宋体" w:eastAsia="宋体"/>
          <w:color w:val="auto"/>
          <w:sz w:val="24"/>
          <w:highlight w:val="none"/>
        </w:rPr>
      </w:pPr>
      <w:r>
        <w:rPr>
          <w:rFonts w:ascii="宋体" w:hAnsi="宋体" w:eastAsia="宋体"/>
          <w:color w:val="auto"/>
          <w:sz w:val="24"/>
          <w:highlight w:val="none"/>
        </w:rPr>
        <w:t>(8) 投标人未能通过资格后审的。</w:t>
      </w:r>
    </w:p>
    <w:p>
      <w:pPr>
        <w:spacing w:line="500" w:lineRule="exact"/>
        <w:ind w:firstLine="360" w:firstLineChars="150"/>
        <w:rPr>
          <w:rFonts w:ascii="宋体" w:hAnsi="宋体" w:eastAsia="宋体"/>
          <w:color w:val="auto"/>
          <w:sz w:val="24"/>
          <w:highlight w:val="none"/>
        </w:rPr>
      </w:pPr>
      <w:r>
        <w:rPr>
          <w:rFonts w:ascii="宋体" w:hAnsi="宋体" w:eastAsia="宋体"/>
          <w:color w:val="auto"/>
          <w:sz w:val="24"/>
          <w:highlight w:val="none"/>
        </w:rPr>
        <w:t xml:space="preserve">(9) </w:t>
      </w:r>
      <w:r>
        <w:rPr>
          <w:rFonts w:hint="eastAsia" w:ascii="宋体" w:hAnsi="宋体" w:eastAsia="宋体"/>
          <w:color w:val="auto"/>
          <w:sz w:val="24"/>
          <w:highlight w:val="none"/>
        </w:rPr>
        <w:t>存在现行法律、法规及招标文件规定，其投标应被否决的其他情形。</w:t>
      </w:r>
    </w:p>
    <w:p>
      <w:pPr>
        <w:adjustRightInd w:val="0"/>
        <w:snapToGrid w:val="0"/>
        <w:spacing w:line="500" w:lineRule="exact"/>
        <w:ind w:right="-10" w:firstLine="482" w:firstLineChars="200"/>
        <w:rPr>
          <w:rFonts w:ascii="宋体" w:hAnsi="宋体" w:eastAsia="宋体" w:cs="宋体-18030"/>
          <w:color w:val="auto"/>
          <w:sz w:val="24"/>
          <w:highlight w:val="none"/>
        </w:rPr>
      </w:pPr>
      <w:r>
        <w:rPr>
          <w:rFonts w:hint="eastAsia" w:ascii="宋体" w:hAnsi="宋体" w:eastAsia="宋体"/>
          <w:b/>
          <w:color w:val="auto"/>
          <w:sz w:val="24"/>
          <w:highlight w:val="none"/>
        </w:rPr>
        <w:t>7.</w:t>
      </w:r>
      <w:r>
        <w:rPr>
          <w:rFonts w:hint="eastAsia" w:ascii="宋体" w:hAnsi="宋体" w:eastAsia="宋体" w:cs="宋体-18030"/>
          <w:color w:val="auto"/>
          <w:sz w:val="24"/>
          <w:highlight w:val="none"/>
        </w:rPr>
        <w:t>评标委员会对所有投标文件均采用相同程序和标准，进行评定。</w:t>
      </w:r>
    </w:p>
    <w:p>
      <w:pPr>
        <w:tabs>
          <w:tab w:val="left" w:pos="360"/>
          <w:tab w:val="left" w:pos="540"/>
          <w:tab w:val="left" w:pos="3600"/>
          <w:tab w:val="left" w:pos="3780"/>
          <w:tab w:val="left" w:pos="8460"/>
          <w:tab w:val="left" w:pos="9180"/>
        </w:tabs>
        <w:adjustRightInd w:val="0"/>
        <w:snapToGrid w:val="0"/>
        <w:spacing w:line="500" w:lineRule="exact"/>
        <w:ind w:right="-21" w:rightChars="-10" w:firstLine="361" w:firstLineChars="150"/>
        <w:jc w:val="left"/>
        <w:rPr>
          <w:rFonts w:ascii="宋体" w:hAnsi="宋体" w:eastAsia="宋体"/>
          <w:b/>
          <w:color w:val="auto"/>
          <w:sz w:val="24"/>
          <w:highlight w:val="none"/>
        </w:rPr>
      </w:pPr>
      <w:r>
        <w:rPr>
          <w:rFonts w:ascii="宋体" w:hAnsi="宋体" w:eastAsia="宋体"/>
          <w:b/>
          <w:color w:val="auto"/>
          <w:sz w:val="24"/>
          <w:highlight w:val="none"/>
        </w:rPr>
        <w:t>8.评审程序</w:t>
      </w:r>
    </w:p>
    <w:p>
      <w:pPr>
        <w:tabs>
          <w:tab w:val="left" w:pos="360"/>
          <w:tab w:val="left" w:pos="540"/>
          <w:tab w:val="left" w:pos="3600"/>
          <w:tab w:val="left" w:pos="3780"/>
          <w:tab w:val="left" w:pos="8460"/>
          <w:tab w:val="left" w:pos="9180"/>
        </w:tabs>
        <w:adjustRightInd w:val="0"/>
        <w:snapToGrid w:val="0"/>
        <w:spacing w:line="500" w:lineRule="exact"/>
        <w:ind w:right="-21" w:rightChars="-10" w:firstLine="360" w:firstLineChars="150"/>
        <w:jc w:val="left"/>
        <w:rPr>
          <w:rFonts w:ascii="宋体" w:hAnsi="宋体" w:eastAsia="宋体"/>
          <w:color w:val="auto"/>
          <w:sz w:val="24"/>
          <w:highlight w:val="none"/>
        </w:rPr>
      </w:pPr>
      <w:r>
        <w:rPr>
          <w:rFonts w:ascii="宋体" w:hAnsi="宋体" w:eastAsia="宋体"/>
          <w:color w:val="auto"/>
          <w:sz w:val="24"/>
          <w:highlight w:val="none"/>
        </w:rPr>
        <w:t>8.1</w:t>
      </w:r>
      <w:r>
        <w:rPr>
          <w:rFonts w:hint="eastAsia" w:ascii="宋体" w:hAnsi="宋体" w:eastAsia="宋体"/>
          <w:bCs/>
          <w:color w:val="auto"/>
          <w:sz w:val="24"/>
          <w:highlight w:val="none"/>
        </w:rPr>
        <w:t>本项目采用综合评分法进行评审，在最大限度地满足招标文件实质性要求前提下，按照招标文件中规定的各项因素进行综合评审。综合评分法的主要因素是：技术资信部分、商务部分以及相应的比重。</w:t>
      </w:r>
    </w:p>
    <w:p>
      <w:pPr>
        <w:tabs>
          <w:tab w:val="left" w:pos="360"/>
          <w:tab w:val="left" w:pos="540"/>
          <w:tab w:val="left" w:pos="3600"/>
          <w:tab w:val="left" w:pos="3780"/>
          <w:tab w:val="left" w:pos="8460"/>
          <w:tab w:val="left" w:pos="9180"/>
        </w:tabs>
        <w:adjustRightInd w:val="0"/>
        <w:snapToGrid w:val="0"/>
        <w:spacing w:line="500" w:lineRule="exact"/>
        <w:ind w:right="-21" w:rightChars="-10" w:firstLine="360" w:firstLineChars="150"/>
        <w:jc w:val="left"/>
        <w:rPr>
          <w:rFonts w:ascii="宋体" w:hAnsi="宋体" w:eastAsia="宋体"/>
          <w:color w:val="auto"/>
          <w:sz w:val="24"/>
          <w:highlight w:val="none"/>
        </w:rPr>
      </w:pPr>
      <w:r>
        <w:rPr>
          <w:rFonts w:ascii="宋体" w:hAnsi="宋体" w:eastAsia="宋体"/>
          <w:color w:val="auto"/>
          <w:sz w:val="24"/>
          <w:highlight w:val="none"/>
        </w:rPr>
        <w:t>8.2</w:t>
      </w:r>
      <w:r>
        <w:rPr>
          <w:rFonts w:hint="eastAsia" w:ascii="宋体" w:hAnsi="宋体" w:eastAsia="宋体"/>
          <w:bCs/>
          <w:color w:val="auto"/>
          <w:sz w:val="24"/>
          <w:highlight w:val="none"/>
        </w:rPr>
        <w:t>评标委员会首先对所有投标人进行初审，初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初审结论分为通过和未通过。</w:t>
      </w:r>
    </w:p>
    <w:p>
      <w:pPr>
        <w:adjustRightInd w:val="0"/>
        <w:snapToGrid w:val="0"/>
        <w:spacing w:line="500" w:lineRule="exact"/>
        <w:ind w:right="-10" w:firstLine="480" w:firstLineChars="200"/>
        <w:rPr>
          <w:rFonts w:ascii="宋体" w:hAnsi="宋体" w:eastAsia="宋体"/>
          <w:color w:val="auto"/>
          <w:sz w:val="24"/>
          <w:highlight w:val="none"/>
        </w:rPr>
      </w:pPr>
      <w:r>
        <w:rPr>
          <w:rFonts w:ascii="宋体" w:hAnsi="宋体" w:eastAsia="宋体"/>
          <w:bCs/>
          <w:color w:val="auto"/>
          <w:sz w:val="24"/>
          <w:highlight w:val="none"/>
        </w:rPr>
        <w:t>8.3</w:t>
      </w:r>
      <w:r>
        <w:rPr>
          <w:rFonts w:hint="eastAsia" w:ascii="宋体" w:hAnsi="宋体" w:eastAsia="宋体"/>
          <w:color w:val="auto"/>
          <w:sz w:val="24"/>
          <w:highlight w:val="none"/>
        </w:rPr>
        <w:t>评委独立评审后，评标委员会对投标人某项指标如有不同意见，按照少数服从多数的原则，确定该项指标是否通过。符合初审指标通过标准的，为有效投标。评标委员会按下表内容进行初审。</w:t>
      </w:r>
    </w:p>
    <w:p>
      <w:pPr>
        <w:pStyle w:val="2"/>
        <w:adjustRightInd w:val="0"/>
        <w:snapToGrid w:val="0"/>
        <w:spacing w:line="500" w:lineRule="exact"/>
        <w:ind w:right="-10" w:firstLineChars="200"/>
        <w:rPr>
          <w:color w:val="auto"/>
          <w:highlight w:val="none"/>
        </w:rPr>
      </w:pPr>
    </w:p>
    <w:p>
      <w:pPr>
        <w:pStyle w:val="2"/>
        <w:adjustRightInd w:val="0"/>
        <w:snapToGrid w:val="0"/>
        <w:spacing w:line="500" w:lineRule="exact"/>
        <w:ind w:right="-10" w:firstLine="0" w:firstLineChars="0"/>
        <w:rPr>
          <w:rFonts w:ascii="宋体" w:hAnsi="宋体" w:eastAsia="宋体"/>
          <w:color w:val="auto"/>
          <w:sz w:val="24"/>
          <w:highlight w:val="none"/>
        </w:rPr>
      </w:pPr>
    </w:p>
    <w:p>
      <w:pPr>
        <w:adjustRightInd w:val="0"/>
        <w:snapToGrid w:val="0"/>
        <w:spacing w:line="500" w:lineRule="exact"/>
        <w:ind w:right="-10" w:firstLine="422" w:firstLineChars="175"/>
        <w:rPr>
          <w:rFonts w:ascii="宋体" w:hAnsi="宋体" w:eastAsia="宋体"/>
          <w:b/>
          <w:color w:val="auto"/>
          <w:sz w:val="24"/>
          <w:highlight w:val="none"/>
        </w:rPr>
      </w:pPr>
      <w:r>
        <w:rPr>
          <w:rFonts w:ascii="宋体" w:hAnsi="宋体" w:eastAsia="宋体"/>
          <w:b/>
          <w:color w:val="auto"/>
          <w:sz w:val="24"/>
          <w:highlight w:val="none"/>
        </w:rPr>
        <w:t>8.4</w:t>
      </w:r>
      <w:r>
        <w:rPr>
          <w:rFonts w:hint="eastAsia" w:ascii="宋体" w:hAnsi="宋体"/>
          <w:b/>
          <w:color w:val="auto"/>
          <w:sz w:val="24"/>
          <w:highlight w:val="none"/>
        </w:rPr>
        <w:t>投标文件初审表（资格审查和符合性审查）</w:t>
      </w:r>
    </w:p>
    <w:tbl>
      <w:tblPr>
        <w:tblStyle w:val="25"/>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629"/>
        <w:gridCol w:w="5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559" w:type="dxa"/>
            <w:gridSpan w:val="3"/>
            <w:vAlign w:val="center"/>
          </w:tcPr>
          <w:p>
            <w:pPr>
              <w:spacing w:line="360" w:lineRule="exact"/>
              <w:jc w:val="center"/>
              <w:rPr>
                <w:rFonts w:ascii="宋体" w:hAnsi="宋体"/>
                <w:b/>
                <w:color w:val="auto"/>
                <w:szCs w:val="21"/>
                <w:highlight w:val="none"/>
              </w:rPr>
            </w:pPr>
            <w:r>
              <w:rPr>
                <w:rFonts w:ascii="宋体" w:hAnsi="宋体"/>
                <w:b/>
                <w:color w:val="auto"/>
                <w:sz w:val="24"/>
                <w:highlight w:val="none"/>
              </w:rPr>
              <w:t>1、资格审查指标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603" w:type="dxa"/>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4629" w:type="dxa"/>
            <w:vAlign w:val="center"/>
          </w:tcPr>
          <w:p>
            <w:pPr>
              <w:spacing w:line="360" w:lineRule="exact"/>
              <w:ind w:firstLine="499"/>
              <w:jc w:val="center"/>
              <w:rPr>
                <w:rFonts w:ascii="宋体" w:hAnsi="宋体"/>
                <w:b/>
                <w:color w:val="auto"/>
                <w:szCs w:val="21"/>
                <w:highlight w:val="none"/>
              </w:rPr>
            </w:pPr>
            <w:r>
              <w:rPr>
                <w:rFonts w:hint="eastAsia" w:ascii="宋体" w:hAnsi="宋体"/>
                <w:b/>
                <w:color w:val="auto"/>
                <w:szCs w:val="21"/>
                <w:highlight w:val="none"/>
              </w:rPr>
              <w:t>审查内容</w:t>
            </w:r>
          </w:p>
        </w:tc>
        <w:tc>
          <w:tcPr>
            <w:tcW w:w="5327" w:type="dxa"/>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4629" w:type="dxa"/>
            <w:vAlign w:val="center"/>
          </w:tcPr>
          <w:p>
            <w:pPr>
              <w:rPr>
                <w:rFonts w:ascii="宋体" w:hAnsi="宋体"/>
                <w:color w:val="auto"/>
                <w:szCs w:val="21"/>
                <w:highlight w:val="none"/>
              </w:rPr>
            </w:pPr>
            <w:r>
              <w:rPr>
                <w:rFonts w:hint="eastAsia" w:ascii="宋体" w:hAnsi="宋体"/>
                <w:color w:val="auto"/>
                <w:szCs w:val="21"/>
                <w:highlight w:val="none"/>
              </w:rPr>
              <w:t>具有独立法人及一般纳税人资格</w:t>
            </w:r>
          </w:p>
        </w:tc>
        <w:tc>
          <w:tcPr>
            <w:tcW w:w="5327" w:type="dxa"/>
            <w:vAlign w:val="center"/>
          </w:tcPr>
          <w:p>
            <w:pPr>
              <w:jc w:val="left"/>
              <w:rPr>
                <w:rFonts w:ascii="宋体" w:hAnsi="宋体"/>
                <w:color w:val="auto"/>
                <w:szCs w:val="21"/>
                <w:highlight w:val="none"/>
              </w:rPr>
            </w:pPr>
            <w:r>
              <w:rPr>
                <w:rFonts w:hint="eastAsia" w:ascii="宋体" w:hAnsi="宋体"/>
                <w:color w:val="auto"/>
                <w:szCs w:val="21"/>
                <w:highlight w:val="none"/>
              </w:rPr>
              <w:t>提供营业执照复印件及一般纳税人资格查询证明加盖单位公章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4629" w:type="dxa"/>
            <w:vAlign w:val="center"/>
          </w:tcPr>
          <w:p>
            <w:pPr>
              <w:rPr>
                <w:rFonts w:ascii="宋体" w:hAnsi="宋体"/>
                <w:color w:val="auto"/>
                <w:szCs w:val="21"/>
                <w:highlight w:val="none"/>
              </w:rPr>
            </w:pPr>
            <w:r>
              <w:rPr>
                <w:rFonts w:hint="eastAsia" w:ascii="宋体" w:hAnsi="宋体"/>
                <w:color w:val="auto"/>
                <w:szCs w:val="21"/>
                <w:highlight w:val="none"/>
              </w:rPr>
              <w:t>资质证书</w:t>
            </w:r>
          </w:p>
        </w:tc>
        <w:tc>
          <w:tcPr>
            <w:tcW w:w="5327" w:type="dxa"/>
            <w:vAlign w:val="center"/>
          </w:tcPr>
          <w:p>
            <w:pPr>
              <w:rPr>
                <w:rFonts w:ascii="宋体" w:hAnsi="宋体"/>
                <w:color w:val="auto"/>
                <w:szCs w:val="21"/>
                <w:highlight w:val="none"/>
              </w:rPr>
            </w:pPr>
            <w:r>
              <w:rPr>
                <w:rFonts w:hint="eastAsia" w:ascii="宋体" w:hAnsi="宋体"/>
                <w:color w:val="auto"/>
                <w:szCs w:val="21"/>
                <w:highlight w:val="none"/>
              </w:rPr>
              <w:t>提供税务机关</w:t>
            </w:r>
            <w:r>
              <w:rPr>
                <w:rFonts w:ascii="宋体" w:hAnsi="宋体"/>
                <w:color w:val="auto"/>
                <w:szCs w:val="21"/>
                <w:highlight w:val="none"/>
              </w:rPr>
              <w:t>颁发的</w:t>
            </w:r>
            <w:r>
              <w:rPr>
                <w:rFonts w:hint="eastAsia" w:ascii="宋体" w:hAnsi="宋体"/>
                <w:color w:val="auto"/>
                <w:szCs w:val="21"/>
                <w:highlight w:val="none"/>
              </w:rPr>
              <w:t>行政登记证书复印件加盖单位公章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4629" w:type="dxa"/>
            <w:vAlign w:val="center"/>
          </w:tcPr>
          <w:p>
            <w:pPr>
              <w:widowControl/>
              <w:jc w:val="left"/>
              <w:rPr>
                <w:rFonts w:ascii="宋体" w:hAnsi="宋体"/>
                <w:color w:val="auto"/>
                <w:szCs w:val="21"/>
                <w:highlight w:val="none"/>
              </w:rPr>
            </w:pPr>
            <w:r>
              <w:rPr>
                <w:rFonts w:ascii="宋体" w:hAnsi="宋体"/>
                <w:color w:val="auto"/>
                <w:szCs w:val="21"/>
                <w:highlight w:val="none"/>
              </w:rPr>
              <w:t>须提供</w:t>
            </w:r>
            <w:r>
              <w:rPr>
                <w:rFonts w:hint="eastAsia" w:ascii="宋体" w:hAnsi="宋体"/>
                <w:color w:val="auto"/>
                <w:szCs w:val="21"/>
                <w:highlight w:val="none"/>
              </w:rPr>
              <w:t>近两年来</w:t>
            </w:r>
            <w:r>
              <w:rPr>
                <w:rFonts w:ascii="宋体" w:hAnsi="宋体"/>
                <w:color w:val="auto"/>
                <w:szCs w:val="21"/>
                <w:highlight w:val="none"/>
              </w:rPr>
              <w:t>不少于一份已完成房地产开发公司类似项目业绩</w:t>
            </w:r>
          </w:p>
        </w:tc>
        <w:tc>
          <w:tcPr>
            <w:tcW w:w="5327" w:type="dxa"/>
            <w:vAlign w:val="center"/>
          </w:tcPr>
          <w:p>
            <w:pPr>
              <w:jc w:val="left"/>
              <w:rPr>
                <w:rFonts w:ascii="宋体" w:hAnsi="宋体"/>
                <w:color w:val="auto"/>
                <w:szCs w:val="21"/>
                <w:highlight w:val="none"/>
              </w:rPr>
            </w:pPr>
            <w:r>
              <w:rPr>
                <w:rFonts w:hint="eastAsia" w:ascii="宋体" w:hAnsi="宋体"/>
                <w:color w:val="auto"/>
                <w:szCs w:val="21"/>
                <w:highlight w:val="none"/>
              </w:rPr>
              <w:t>提供合同复印件及土地增值税清算鉴证报告加盖单位公章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4629" w:type="dxa"/>
            <w:vAlign w:val="center"/>
          </w:tcPr>
          <w:p>
            <w:pPr>
              <w:widowControl/>
              <w:jc w:val="left"/>
              <w:rPr>
                <w:rFonts w:ascii="宋体" w:hAnsi="宋体"/>
                <w:color w:val="auto"/>
                <w:szCs w:val="21"/>
                <w:highlight w:val="none"/>
              </w:rPr>
            </w:pPr>
            <w:r>
              <w:rPr>
                <w:rFonts w:ascii="宋体" w:hAnsi="宋体"/>
                <w:color w:val="auto"/>
                <w:szCs w:val="21"/>
                <w:highlight w:val="none"/>
              </w:rPr>
              <w:t>须提供项目负责人</w:t>
            </w:r>
            <w:r>
              <w:rPr>
                <w:rFonts w:hint="eastAsia" w:ascii="宋体" w:hAnsi="宋体"/>
                <w:color w:val="auto"/>
                <w:szCs w:val="21"/>
                <w:highlight w:val="none"/>
              </w:rPr>
              <w:t>近两年来</w:t>
            </w:r>
            <w:r>
              <w:rPr>
                <w:rFonts w:ascii="宋体" w:hAnsi="宋体"/>
                <w:color w:val="auto"/>
                <w:szCs w:val="21"/>
                <w:highlight w:val="none"/>
              </w:rPr>
              <w:t>至少一个已完成房地产开发项目土地增值税清算鉴证工作业绩</w:t>
            </w:r>
          </w:p>
        </w:tc>
        <w:tc>
          <w:tcPr>
            <w:tcW w:w="5327" w:type="dxa"/>
            <w:vAlign w:val="center"/>
          </w:tcPr>
          <w:p>
            <w:pPr>
              <w:jc w:val="left"/>
              <w:rPr>
                <w:rFonts w:ascii="宋体" w:hAnsi="宋体"/>
                <w:color w:val="auto"/>
                <w:szCs w:val="21"/>
                <w:highlight w:val="none"/>
              </w:rPr>
            </w:pPr>
            <w:r>
              <w:rPr>
                <w:rFonts w:hint="eastAsia" w:ascii="宋体" w:hAnsi="宋体"/>
                <w:color w:val="auto"/>
                <w:szCs w:val="21"/>
                <w:highlight w:val="none"/>
              </w:rPr>
              <w:t>提供项目负责人主持或参与的土地增值税清算鉴证报告加盖单位公章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4629" w:type="dxa"/>
            <w:vAlign w:val="center"/>
          </w:tcPr>
          <w:p>
            <w:pPr>
              <w:widowControl/>
              <w:jc w:val="left"/>
              <w:rPr>
                <w:rFonts w:ascii="宋体" w:hAnsi="宋体"/>
                <w:color w:val="auto"/>
                <w:szCs w:val="21"/>
                <w:highlight w:val="none"/>
              </w:rPr>
            </w:pPr>
            <w:r>
              <w:rPr>
                <w:rFonts w:ascii="宋体" w:hAnsi="宋体"/>
                <w:color w:val="auto"/>
                <w:szCs w:val="21"/>
                <w:highlight w:val="none"/>
              </w:rPr>
              <w:t>本项目不接受联合体投标</w:t>
            </w:r>
          </w:p>
        </w:tc>
        <w:tc>
          <w:tcPr>
            <w:tcW w:w="5327"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603"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4629" w:type="dxa"/>
            <w:vAlign w:val="center"/>
          </w:tcPr>
          <w:p>
            <w:pPr>
              <w:rPr>
                <w:rFonts w:ascii="宋体" w:hAnsi="宋体"/>
                <w:color w:val="auto"/>
                <w:szCs w:val="21"/>
                <w:highlight w:val="none"/>
              </w:rPr>
            </w:pPr>
            <w:r>
              <w:rPr>
                <w:rFonts w:hint="eastAsia" w:ascii="宋体" w:hAnsi="宋体"/>
                <w:color w:val="auto"/>
                <w:szCs w:val="21"/>
                <w:highlight w:val="none"/>
              </w:rPr>
              <w:t>不良行为记录查询</w:t>
            </w:r>
          </w:p>
        </w:tc>
        <w:tc>
          <w:tcPr>
            <w:tcW w:w="5327" w:type="dxa"/>
            <w:vAlign w:val="center"/>
          </w:tcPr>
          <w:p>
            <w:pPr>
              <w:jc w:val="left"/>
              <w:rPr>
                <w:rFonts w:ascii="宋体" w:hAnsi="宋体"/>
                <w:color w:val="auto"/>
                <w:szCs w:val="21"/>
                <w:highlight w:val="none"/>
              </w:rPr>
            </w:pPr>
            <w:r>
              <w:rPr>
                <w:rFonts w:hint="eastAsia" w:ascii="宋体" w:hAnsi="宋体"/>
                <w:color w:val="auto"/>
                <w:szCs w:val="21"/>
                <w:highlight w:val="none"/>
              </w:rPr>
              <w:t>以评标期间</w:t>
            </w:r>
            <w:r>
              <w:rPr>
                <w:rFonts w:ascii="宋体" w:hAnsi="宋体"/>
                <w:color w:val="auto"/>
                <w:szCs w:val="21"/>
                <w:highlight w:val="none"/>
              </w:rPr>
              <w:t>以在“安徽合肥公共资源交易中心”网站http://ggzy.hefei.gov.cn/pgt/exposureDesk.html查询信息为准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603"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4629" w:type="dxa"/>
            <w:vAlign w:val="center"/>
          </w:tcPr>
          <w:p>
            <w:pPr>
              <w:rPr>
                <w:rFonts w:ascii="宋体" w:hAnsi="宋体"/>
                <w:color w:val="auto"/>
                <w:szCs w:val="21"/>
                <w:highlight w:val="none"/>
              </w:rPr>
            </w:pPr>
            <w:r>
              <w:rPr>
                <w:rFonts w:hint="eastAsia" w:ascii="宋体" w:hAnsi="宋体"/>
                <w:color w:val="auto"/>
                <w:szCs w:val="21"/>
                <w:highlight w:val="none"/>
              </w:rPr>
              <w:t>不良信用记录查询</w:t>
            </w:r>
          </w:p>
        </w:tc>
        <w:tc>
          <w:tcPr>
            <w:tcW w:w="5327" w:type="dxa"/>
            <w:vAlign w:val="center"/>
          </w:tcPr>
          <w:p>
            <w:pPr>
              <w:jc w:val="left"/>
              <w:rPr>
                <w:rFonts w:ascii="宋体" w:hAnsi="宋体"/>
                <w:color w:val="auto"/>
                <w:szCs w:val="21"/>
                <w:highlight w:val="none"/>
              </w:rPr>
            </w:pPr>
            <w:r>
              <w:rPr>
                <w:rFonts w:hint="eastAsia" w:ascii="宋体" w:hAnsi="宋体"/>
                <w:color w:val="auto"/>
                <w:szCs w:val="21"/>
                <w:highlight w:val="none"/>
              </w:rPr>
              <w:t>以评标期间在“信用中国”网站</w:t>
            </w:r>
            <w:r>
              <w:rPr>
                <w:rFonts w:ascii="宋体" w:hAnsi="宋体"/>
                <w:color w:val="auto"/>
                <w:szCs w:val="21"/>
                <w:highlight w:val="none"/>
              </w:rPr>
              <w:t>http://www.creditchina.gov.cn/查询信息为准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559" w:type="dxa"/>
            <w:gridSpan w:val="3"/>
            <w:vAlign w:val="center"/>
          </w:tcPr>
          <w:p>
            <w:pPr>
              <w:jc w:val="center"/>
              <w:rPr>
                <w:rFonts w:ascii="宋体" w:hAnsi="宋体"/>
                <w:color w:val="auto"/>
                <w:szCs w:val="21"/>
                <w:highlight w:val="none"/>
              </w:rPr>
            </w:pPr>
            <w:r>
              <w:rPr>
                <w:rFonts w:ascii="宋体" w:hAnsi="宋体"/>
                <w:b/>
                <w:color w:val="auto"/>
                <w:szCs w:val="21"/>
                <w:highlight w:val="none"/>
              </w:rPr>
              <w:t>2、符合性审查指标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603" w:type="dxa"/>
            <w:vAlign w:val="center"/>
          </w:tcPr>
          <w:p>
            <w:pPr>
              <w:jc w:val="center"/>
              <w:rPr>
                <w:rFonts w:ascii="宋体" w:hAnsi="宋体"/>
                <w:color w:val="auto"/>
                <w:szCs w:val="21"/>
                <w:highlight w:val="none"/>
              </w:rPr>
            </w:pPr>
            <w:r>
              <w:rPr>
                <w:rFonts w:hint="eastAsia" w:ascii="宋体" w:hAnsi="宋体"/>
                <w:b/>
                <w:bCs/>
                <w:color w:val="auto"/>
                <w:szCs w:val="21"/>
                <w:highlight w:val="none"/>
              </w:rPr>
              <w:t>序号</w:t>
            </w:r>
          </w:p>
        </w:tc>
        <w:tc>
          <w:tcPr>
            <w:tcW w:w="4629"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指标描述</w:t>
            </w:r>
          </w:p>
        </w:tc>
        <w:tc>
          <w:tcPr>
            <w:tcW w:w="5327"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4629" w:type="dxa"/>
            <w:vAlign w:val="center"/>
          </w:tcPr>
          <w:p>
            <w:pPr>
              <w:jc w:val="left"/>
              <w:rPr>
                <w:rFonts w:ascii="宋体" w:hAnsi="宋体"/>
                <w:color w:val="auto"/>
                <w:szCs w:val="21"/>
                <w:highlight w:val="none"/>
              </w:rPr>
            </w:pPr>
            <w:r>
              <w:rPr>
                <w:rFonts w:hint="eastAsia" w:ascii="宋体" w:hAnsi="宋体" w:cs="宋体"/>
                <w:b/>
                <w:color w:val="auto"/>
                <w:szCs w:val="21"/>
                <w:highlight w:val="none"/>
              </w:rPr>
              <w:t>投标承诺书</w:t>
            </w:r>
          </w:p>
        </w:tc>
        <w:tc>
          <w:tcPr>
            <w:tcW w:w="5327" w:type="dxa"/>
            <w:vAlign w:val="center"/>
          </w:tcPr>
          <w:p>
            <w:pPr>
              <w:rPr>
                <w:rFonts w:ascii="宋体" w:hAnsi="宋体"/>
                <w:color w:val="auto"/>
                <w:szCs w:val="21"/>
                <w:highlight w:val="none"/>
              </w:rPr>
            </w:pPr>
            <w:r>
              <w:rPr>
                <w:rFonts w:hint="eastAsia" w:ascii="宋体" w:hAnsi="宋体"/>
                <w:color w:val="auto"/>
                <w:szCs w:val="21"/>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4629" w:type="dxa"/>
            <w:vAlign w:val="center"/>
          </w:tcPr>
          <w:p>
            <w:pPr>
              <w:jc w:val="left"/>
              <w:rPr>
                <w:rFonts w:ascii="宋体" w:hAnsi="宋体"/>
                <w:color w:val="auto"/>
                <w:szCs w:val="21"/>
                <w:highlight w:val="none"/>
              </w:rPr>
            </w:pPr>
            <w:r>
              <w:rPr>
                <w:rFonts w:hint="eastAsia" w:ascii="宋体" w:hAnsi="宋体" w:cs="宋体"/>
                <w:b/>
                <w:color w:val="auto"/>
                <w:szCs w:val="21"/>
                <w:highlight w:val="none"/>
              </w:rPr>
              <w:t>投标人名称</w:t>
            </w:r>
          </w:p>
        </w:tc>
        <w:tc>
          <w:tcPr>
            <w:tcW w:w="5327" w:type="dxa"/>
            <w:vAlign w:val="center"/>
          </w:tcPr>
          <w:p>
            <w:pPr>
              <w:rPr>
                <w:rFonts w:ascii="宋体" w:hAnsi="宋体"/>
                <w:color w:val="auto"/>
                <w:szCs w:val="21"/>
                <w:highlight w:val="none"/>
              </w:rPr>
            </w:pPr>
            <w:r>
              <w:rPr>
                <w:rFonts w:ascii="宋体" w:hAnsi="宋体"/>
                <w:color w:val="auto"/>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4629" w:type="dxa"/>
            <w:vAlign w:val="center"/>
          </w:tcPr>
          <w:p>
            <w:pPr>
              <w:jc w:val="left"/>
              <w:rPr>
                <w:rFonts w:ascii="宋体" w:hAnsi="宋体" w:cs="宋体"/>
                <w:b/>
                <w:color w:val="auto"/>
                <w:szCs w:val="21"/>
                <w:highlight w:val="none"/>
              </w:rPr>
            </w:pPr>
            <w:r>
              <w:rPr>
                <w:rFonts w:hint="eastAsia" w:ascii="宋体" w:hAnsi="宋体" w:cs="宋体"/>
                <w:b/>
                <w:color w:val="auto"/>
                <w:szCs w:val="21"/>
                <w:highlight w:val="none"/>
              </w:rPr>
              <w:t>开标一览表签字盖章</w:t>
            </w:r>
          </w:p>
        </w:tc>
        <w:tc>
          <w:tcPr>
            <w:tcW w:w="5327" w:type="dxa"/>
            <w:vAlign w:val="center"/>
          </w:tcPr>
          <w:p>
            <w:pPr>
              <w:rPr>
                <w:rFonts w:ascii="宋体" w:hAnsi="宋体"/>
                <w:color w:val="auto"/>
                <w:szCs w:val="21"/>
                <w:highlight w:val="none"/>
              </w:rPr>
            </w:pPr>
            <w:r>
              <w:rPr>
                <w:rFonts w:hint="eastAsia" w:hAnsi="宋体" w:cs="宋体"/>
                <w:color w:val="auto"/>
                <w:szCs w:val="21"/>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4629" w:type="dxa"/>
            <w:vAlign w:val="center"/>
          </w:tcPr>
          <w:p>
            <w:pPr>
              <w:jc w:val="left"/>
              <w:rPr>
                <w:rFonts w:ascii="宋体" w:hAnsi="宋体"/>
                <w:color w:val="auto"/>
                <w:szCs w:val="21"/>
                <w:highlight w:val="none"/>
              </w:rPr>
            </w:pPr>
            <w:r>
              <w:rPr>
                <w:rFonts w:hint="eastAsia" w:ascii="宋体" w:hAnsi="宋体" w:cs="宋体"/>
                <w:b/>
                <w:color w:val="auto"/>
                <w:szCs w:val="21"/>
                <w:highlight w:val="none"/>
              </w:rPr>
              <w:t>投标文件格式</w:t>
            </w:r>
          </w:p>
        </w:tc>
        <w:tc>
          <w:tcPr>
            <w:tcW w:w="5327" w:type="dxa"/>
            <w:vAlign w:val="center"/>
          </w:tcPr>
          <w:p>
            <w:pPr>
              <w:rPr>
                <w:rFonts w:ascii="宋体" w:hAnsi="宋体"/>
                <w:color w:val="auto"/>
                <w:szCs w:val="21"/>
                <w:highlight w:val="none"/>
              </w:rPr>
            </w:pPr>
            <w:r>
              <w:rPr>
                <w:rFonts w:hint="eastAsia" w:ascii="宋体" w:hAnsi="宋体" w:cs="宋体"/>
                <w:color w:val="auto"/>
                <w:szCs w:val="21"/>
                <w:highlight w:val="none"/>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4629" w:type="dxa"/>
            <w:vAlign w:val="center"/>
          </w:tcPr>
          <w:p>
            <w:pPr>
              <w:jc w:val="left"/>
              <w:rPr>
                <w:rFonts w:ascii="宋体" w:hAnsi="宋体"/>
                <w:color w:val="auto"/>
                <w:szCs w:val="21"/>
                <w:highlight w:val="none"/>
              </w:rPr>
            </w:pPr>
            <w:r>
              <w:rPr>
                <w:rFonts w:hint="eastAsia" w:ascii="宋体" w:hAnsi="宋体" w:cs="宋体"/>
                <w:b/>
                <w:color w:val="auto"/>
                <w:szCs w:val="21"/>
                <w:highlight w:val="none"/>
              </w:rPr>
              <w:t>投标有效期</w:t>
            </w:r>
          </w:p>
        </w:tc>
        <w:tc>
          <w:tcPr>
            <w:tcW w:w="5327" w:type="dxa"/>
            <w:vAlign w:val="center"/>
          </w:tcPr>
          <w:p>
            <w:pPr>
              <w:rPr>
                <w:rFonts w:ascii="宋体" w:hAnsi="宋体"/>
                <w:color w:val="auto"/>
                <w:szCs w:val="21"/>
                <w:highlight w:val="none"/>
              </w:rPr>
            </w:pPr>
            <w:r>
              <w:rPr>
                <w:rFonts w:hint="eastAsia" w:ascii="宋体" w:hAnsi="宋体" w:cs="宋体"/>
                <w:color w:val="auto"/>
                <w:szCs w:val="21"/>
                <w:highlight w:val="none"/>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4629" w:type="dxa"/>
            <w:vAlign w:val="center"/>
          </w:tcPr>
          <w:p>
            <w:pPr>
              <w:jc w:val="left"/>
              <w:rPr>
                <w:rFonts w:ascii="宋体" w:hAnsi="宋体"/>
                <w:color w:val="auto"/>
                <w:szCs w:val="21"/>
                <w:highlight w:val="none"/>
              </w:rPr>
            </w:pPr>
            <w:r>
              <w:rPr>
                <w:rFonts w:hint="eastAsia" w:ascii="宋体" w:hAnsi="宋体" w:cs="宋体"/>
                <w:b/>
                <w:color w:val="auto"/>
                <w:szCs w:val="21"/>
                <w:highlight w:val="none"/>
              </w:rPr>
              <w:t>投标保证金</w:t>
            </w:r>
          </w:p>
        </w:tc>
        <w:tc>
          <w:tcPr>
            <w:tcW w:w="5327" w:type="dxa"/>
            <w:vAlign w:val="center"/>
          </w:tcPr>
          <w:p>
            <w:pPr>
              <w:rPr>
                <w:rFonts w:ascii="宋体" w:hAnsi="宋体"/>
                <w:color w:val="auto"/>
                <w:szCs w:val="21"/>
                <w:highlight w:val="none"/>
              </w:rPr>
            </w:pPr>
            <w:r>
              <w:rPr>
                <w:rFonts w:hint="eastAsia" w:ascii="宋体" w:hAnsi="宋体" w:cs="宋体"/>
                <w:color w:val="auto"/>
                <w:szCs w:val="21"/>
                <w:highlight w:val="none"/>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4629" w:type="dxa"/>
            <w:vAlign w:val="center"/>
          </w:tcPr>
          <w:p>
            <w:pPr>
              <w:jc w:val="left"/>
              <w:rPr>
                <w:rFonts w:ascii="宋体" w:hAnsi="宋体"/>
                <w:color w:val="auto"/>
                <w:szCs w:val="21"/>
                <w:highlight w:val="none"/>
              </w:rPr>
            </w:pPr>
            <w:r>
              <w:rPr>
                <w:rFonts w:hint="eastAsia" w:ascii="宋体" w:hAnsi="宋体" w:cs="宋体"/>
                <w:b/>
                <w:color w:val="auto"/>
                <w:szCs w:val="21"/>
                <w:highlight w:val="none"/>
              </w:rPr>
              <w:t>报价唯一</w:t>
            </w:r>
          </w:p>
        </w:tc>
        <w:tc>
          <w:tcPr>
            <w:tcW w:w="5327" w:type="dxa"/>
            <w:vAlign w:val="center"/>
          </w:tcPr>
          <w:p>
            <w:pPr>
              <w:rPr>
                <w:rFonts w:ascii="宋体" w:hAnsi="宋体"/>
                <w:color w:val="auto"/>
                <w:szCs w:val="21"/>
                <w:highlight w:val="none"/>
              </w:rPr>
            </w:pPr>
            <w:r>
              <w:rPr>
                <w:rFonts w:hint="eastAsia" w:cs="宋体"/>
                <w:color w:val="auto"/>
                <w:kern w:val="0"/>
                <w:highlight w:val="none"/>
              </w:rPr>
              <w:t>只能有一个有效总报价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4629" w:type="dxa"/>
            <w:vAlign w:val="center"/>
          </w:tcPr>
          <w:p>
            <w:pPr>
              <w:jc w:val="left"/>
              <w:rPr>
                <w:rFonts w:ascii="宋体" w:hAnsi="宋体" w:cs="宋体"/>
                <w:b/>
                <w:color w:val="auto"/>
                <w:szCs w:val="21"/>
                <w:highlight w:val="none"/>
              </w:rPr>
            </w:pPr>
            <w:r>
              <w:rPr>
                <w:rFonts w:hint="eastAsia" w:ascii="宋体" w:hAnsi="宋体" w:cs="宋体"/>
                <w:b/>
                <w:color w:val="auto"/>
                <w:szCs w:val="21"/>
                <w:highlight w:val="none"/>
              </w:rPr>
              <w:t>实质性要求响应情况</w:t>
            </w:r>
          </w:p>
        </w:tc>
        <w:tc>
          <w:tcPr>
            <w:tcW w:w="5327" w:type="dxa"/>
            <w:vAlign w:val="center"/>
          </w:tcPr>
          <w:p>
            <w:pPr>
              <w:rPr>
                <w:rFonts w:ascii="宋体" w:hAnsi="宋体"/>
                <w:color w:val="auto"/>
                <w:szCs w:val="21"/>
                <w:highlight w:val="none"/>
              </w:rPr>
            </w:pPr>
            <w:r>
              <w:rPr>
                <w:rFonts w:hint="eastAsia" w:ascii="宋体" w:hAnsi="宋体"/>
                <w:color w:val="auto"/>
                <w:szCs w:val="21"/>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03"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4629" w:type="dxa"/>
            <w:vAlign w:val="center"/>
          </w:tcPr>
          <w:p>
            <w:pPr>
              <w:jc w:val="left"/>
              <w:rPr>
                <w:rFonts w:ascii="宋体" w:hAnsi="宋体"/>
                <w:color w:val="auto"/>
                <w:szCs w:val="21"/>
                <w:highlight w:val="none"/>
              </w:rPr>
            </w:pPr>
            <w:r>
              <w:rPr>
                <w:rFonts w:hint="eastAsia" w:ascii="宋体" w:hAnsi="宋体" w:cs="宋体"/>
                <w:b/>
                <w:color w:val="auto"/>
                <w:szCs w:val="21"/>
                <w:highlight w:val="none"/>
              </w:rPr>
              <w:t>其他</w:t>
            </w:r>
          </w:p>
        </w:tc>
        <w:tc>
          <w:tcPr>
            <w:tcW w:w="5327" w:type="dxa"/>
            <w:vAlign w:val="center"/>
          </w:tcPr>
          <w:p>
            <w:pPr>
              <w:rPr>
                <w:rFonts w:ascii="宋体" w:hAnsi="宋体"/>
                <w:color w:val="auto"/>
                <w:szCs w:val="21"/>
                <w:highlight w:val="none"/>
              </w:rPr>
            </w:pPr>
            <w:r>
              <w:rPr>
                <w:rFonts w:hint="eastAsia" w:ascii="宋体" w:hAnsi="宋体"/>
                <w:color w:val="auto"/>
                <w:szCs w:val="21"/>
                <w:highlight w:val="none"/>
              </w:rPr>
              <w:t>招标公告或招标文件列明的其他要求。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0559" w:type="dxa"/>
            <w:gridSpan w:val="3"/>
            <w:vAlign w:val="center"/>
          </w:tcPr>
          <w:p>
            <w:pPr>
              <w:tabs>
                <w:tab w:val="center" w:pos="4535"/>
              </w:tabs>
              <w:rPr>
                <w:rFonts w:ascii="宋体" w:hAnsi="宋体"/>
                <w:color w:val="auto"/>
                <w:szCs w:val="21"/>
                <w:highlight w:val="none"/>
              </w:rPr>
            </w:pPr>
            <w:r>
              <w:rPr>
                <w:rFonts w:hint="eastAsia" w:ascii="宋体" w:hAnsi="宋体" w:cs="宋体"/>
                <w:b/>
                <w:color w:val="auto"/>
                <w:szCs w:val="21"/>
                <w:highlight w:val="none"/>
              </w:rPr>
              <w:t>初审指标通过标准：投标人必须通过上述全部指标。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0559" w:type="dxa"/>
            <w:gridSpan w:val="3"/>
            <w:vAlign w:val="center"/>
          </w:tcPr>
          <w:p>
            <w:pPr>
              <w:tabs>
                <w:tab w:val="center" w:pos="4535"/>
              </w:tabs>
              <w:rPr>
                <w:rFonts w:ascii="宋体" w:hAnsi="宋体" w:cs="宋体"/>
                <w:b/>
                <w:color w:val="auto"/>
                <w:szCs w:val="21"/>
                <w:highlight w:val="none"/>
              </w:rPr>
            </w:pPr>
            <w:r>
              <w:rPr>
                <w:rFonts w:hint="eastAsia" w:ascii="宋体" w:hAnsi="宋体" w:cs="宋体"/>
                <w:b/>
                <w:color w:val="auto"/>
                <w:szCs w:val="21"/>
                <w:highlight w:val="none"/>
              </w:rPr>
              <w:t>请投标人将所有证明材料的相关复印件装订在投标文件中并加盖单位公章，评标时均以复印件为准进行评审。（原件备查）</w:t>
            </w:r>
          </w:p>
        </w:tc>
      </w:tr>
    </w:tbl>
    <w:p>
      <w:pPr>
        <w:spacing w:line="500" w:lineRule="exact"/>
        <w:ind w:firstLine="241" w:firstLineChars="100"/>
        <w:rPr>
          <w:rFonts w:ascii="宋体" w:hAnsi="宋体" w:eastAsia="宋体"/>
          <w:b/>
          <w:color w:val="auto"/>
          <w:sz w:val="24"/>
          <w:highlight w:val="none"/>
        </w:rPr>
      </w:pPr>
      <w:r>
        <w:rPr>
          <w:rFonts w:hint="eastAsia" w:ascii="宋体" w:hAnsi="宋体" w:eastAsia="宋体"/>
          <w:b/>
          <w:color w:val="auto"/>
          <w:sz w:val="24"/>
          <w:highlight w:val="none"/>
        </w:rPr>
        <w:t>8.5详细评审</w:t>
      </w:r>
    </w:p>
    <w:p>
      <w:pPr>
        <w:spacing w:line="5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经初步评审合格的投标文件，评标委员会应当根据招标文件确定的评标办法，对其作进一步评审、比较、评分。详细评审采用综合评分法，满分</w:t>
      </w:r>
      <w:r>
        <w:rPr>
          <w:rFonts w:ascii="宋体" w:hAnsi="宋体" w:eastAsia="宋体"/>
          <w:color w:val="auto"/>
          <w:sz w:val="24"/>
          <w:highlight w:val="none"/>
        </w:rPr>
        <w:t>100</w:t>
      </w:r>
      <w:r>
        <w:rPr>
          <w:rFonts w:hint="eastAsia" w:ascii="宋体" w:hAnsi="宋体" w:eastAsia="宋体"/>
          <w:color w:val="auto"/>
          <w:sz w:val="24"/>
          <w:highlight w:val="none"/>
        </w:rPr>
        <w:t>分，其中技术资信部分70分，商务部分3</w:t>
      </w:r>
      <w:r>
        <w:rPr>
          <w:rFonts w:ascii="宋体" w:hAnsi="宋体" w:eastAsia="宋体"/>
          <w:color w:val="auto"/>
          <w:sz w:val="24"/>
          <w:highlight w:val="none"/>
        </w:rPr>
        <w:t>0</w:t>
      </w:r>
      <w:r>
        <w:rPr>
          <w:rFonts w:hint="eastAsia" w:ascii="宋体" w:hAnsi="宋体" w:eastAsia="宋体"/>
          <w:color w:val="auto"/>
          <w:sz w:val="24"/>
          <w:highlight w:val="none"/>
        </w:rPr>
        <w:t>分。</w:t>
      </w:r>
    </w:p>
    <w:p>
      <w:pPr>
        <w:spacing w:line="500" w:lineRule="exact"/>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8.5.1技术部分（7</w:t>
      </w:r>
      <w:r>
        <w:rPr>
          <w:rFonts w:ascii="宋体" w:hAnsi="宋体" w:eastAsia="宋体"/>
          <w:b/>
          <w:color w:val="auto"/>
          <w:sz w:val="24"/>
          <w:highlight w:val="none"/>
        </w:rPr>
        <w:t>0</w:t>
      </w:r>
      <w:r>
        <w:rPr>
          <w:rFonts w:hint="eastAsia" w:ascii="宋体" w:hAnsi="宋体" w:eastAsia="宋体"/>
          <w:b/>
          <w:color w:val="auto"/>
          <w:sz w:val="24"/>
          <w:highlight w:val="none"/>
        </w:rPr>
        <w:t>分）</w:t>
      </w:r>
    </w:p>
    <w:p>
      <w:pPr>
        <w:adjustRightInd w:val="0"/>
        <w:snapToGrid w:val="0"/>
        <w:spacing w:line="500" w:lineRule="exact"/>
        <w:ind w:right="-10" w:firstLine="480" w:firstLineChars="200"/>
        <w:rPr>
          <w:rFonts w:ascii="宋体" w:hAnsi="宋体" w:eastAsia="宋体"/>
          <w:color w:val="auto"/>
          <w:sz w:val="24"/>
          <w:highlight w:val="none"/>
        </w:rPr>
      </w:pPr>
      <w:r>
        <w:rPr>
          <w:rFonts w:hint="eastAsia" w:ascii="宋体" w:hAnsi="宋体" w:eastAsia="宋体"/>
          <w:color w:val="auto"/>
          <w:sz w:val="24"/>
          <w:highlight w:val="none"/>
        </w:rPr>
        <w:t>8.5.1.1根据技术资信评分的细则，评委应对进入详细评审的所有投标文件进行评分，并分别填写打分表。</w:t>
      </w:r>
    </w:p>
    <w:p>
      <w:pPr>
        <w:adjustRightInd w:val="0"/>
        <w:snapToGrid w:val="0"/>
        <w:spacing w:line="500" w:lineRule="exact"/>
        <w:ind w:right="-10" w:firstLine="480" w:firstLineChars="200"/>
        <w:rPr>
          <w:rFonts w:ascii="宋体" w:hAnsi="宋体" w:eastAsia="宋体"/>
          <w:b/>
          <w:color w:val="auto"/>
          <w:kern w:val="0"/>
          <w:sz w:val="24"/>
          <w:highlight w:val="none"/>
        </w:rPr>
      </w:pPr>
      <w:r>
        <w:rPr>
          <w:rFonts w:hint="eastAsia" w:ascii="宋体" w:hAnsi="宋体" w:eastAsia="宋体"/>
          <w:color w:val="auto"/>
          <w:sz w:val="24"/>
          <w:highlight w:val="none"/>
        </w:rPr>
        <w:t>8.5.1.2</w:t>
      </w:r>
      <w:r>
        <w:rPr>
          <w:rFonts w:hint="eastAsia" w:ascii="宋体" w:hAnsi="宋体" w:eastAsia="宋体"/>
          <w:b/>
          <w:color w:val="auto"/>
          <w:sz w:val="24"/>
          <w:highlight w:val="none"/>
        </w:rPr>
        <w:t>技术资信统分</w:t>
      </w:r>
      <w:r>
        <w:rPr>
          <w:rFonts w:hint="eastAsia" w:ascii="宋体" w:hAnsi="宋体" w:eastAsia="宋体"/>
          <w:b/>
          <w:color w:val="auto"/>
          <w:kern w:val="0"/>
          <w:sz w:val="24"/>
          <w:highlight w:val="none"/>
        </w:rPr>
        <w:t>方法：评委会所有评委评分的截尾均值为投标人的最终技术资信得分（所有计算均四舍五入精确到小数点后两位）。</w:t>
      </w:r>
    </w:p>
    <w:tbl>
      <w:tblPr>
        <w:tblStyle w:val="2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72"/>
        <w:gridCol w:w="694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9854" w:type="dxa"/>
            <w:gridSpan w:val="4"/>
            <w:vAlign w:val="center"/>
          </w:tcPr>
          <w:p>
            <w:pPr>
              <w:widowControl/>
              <w:jc w:val="center"/>
              <w:rPr>
                <w:rFonts w:ascii="宋体" w:hAnsi="宋体" w:eastAsia="宋体"/>
                <w:b/>
                <w:bCs/>
                <w:color w:val="auto"/>
                <w:szCs w:val="21"/>
                <w:highlight w:val="none"/>
              </w:rPr>
            </w:pPr>
            <w:r>
              <w:rPr>
                <w:rFonts w:hint="eastAsia" w:ascii="宋体" w:hAnsi="宋体"/>
                <w:b/>
                <w:color w:val="auto"/>
                <w:sz w:val="24"/>
                <w:highlight w:val="none"/>
              </w:rPr>
              <w:t>技术资信部分详细评审表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763" w:type="dxa"/>
            <w:vAlign w:val="center"/>
          </w:tcPr>
          <w:p>
            <w:pPr>
              <w:widowControl/>
              <w:jc w:val="center"/>
              <w:rPr>
                <w:rFonts w:ascii="宋体" w:hAnsi="宋体" w:eastAsia="宋体"/>
                <w:b/>
                <w:bCs/>
                <w:color w:val="auto"/>
                <w:szCs w:val="21"/>
                <w:highlight w:val="none"/>
              </w:rPr>
            </w:pPr>
            <w:r>
              <w:rPr>
                <w:rFonts w:ascii="宋体" w:hAnsi="宋体" w:eastAsia="宋体"/>
                <w:b/>
                <w:bCs/>
                <w:color w:val="auto"/>
                <w:szCs w:val="21"/>
                <w:highlight w:val="none"/>
              </w:rPr>
              <w:t>序号</w:t>
            </w:r>
          </w:p>
        </w:tc>
        <w:tc>
          <w:tcPr>
            <w:tcW w:w="1472" w:type="dxa"/>
            <w:vAlign w:val="center"/>
          </w:tcPr>
          <w:p>
            <w:pPr>
              <w:widowControl/>
              <w:jc w:val="center"/>
              <w:rPr>
                <w:rFonts w:ascii="宋体" w:hAnsi="宋体" w:eastAsia="宋体"/>
                <w:b/>
                <w:bCs/>
                <w:color w:val="auto"/>
                <w:szCs w:val="21"/>
                <w:highlight w:val="none"/>
              </w:rPr>
            </w:pPr>
            <w:r>
              <w:rPr>
                <w:rFonts w:ascii="宋体" w:hAnsi="宋体" w:eastAsia="宋体"/>
                <w:b/>
                <w:bCs/>
                <w:color w:val="auto"/>
                <w:szCs w:val="21"/>
                <w:highlight w:val="none"/>
              </w:rPr>
              <w:t>评审项目</w:t>
            </w:r>
          </w:p>
        </w:tc>
        <w:tc>
          <w:tcPr>
            <w:tcW w:w="6945" w:type="dxa"/>
            <w:vAlign w:val="center"/>
          </w:tcPr>
          <w:p>
            <w:pPr>
              <w:widowControl/>
              <w:jc w:val="center"/>
              <w:rPr>
                <w:rFonts w:ascii="宋体" w:hAnsi="宋体" w:eastAsia="宋体"/>
                <w:b/>
                <w:bCs/>
                <w:color w:val="auto"/>
                <w:szCs w:val="21"/>
                <w:highlight w:val="none"/>
              </w:rPr>
            </w:pPr>
            <w:r>
              <w:rPr>
                <w:rFonts w:ascii="宋体" w:hAnsi="宋体" w:eastAsia="宋体"/>
                <w:b/>
                <w:bCs/>
                <w:color w:val="auto"/>
                <w:szCs w:val="21"/>
                <w:highlight w:val="none"/>
              </w:rPr>
              <w:t>评审标准</w:t>
            </w:r>
          </w:p>
        </w:tc>
        <w:tc>
          <w:tcPr>
            <w:tcW w:w="674" w:type="dxa"/>
            <w:vAlign w:val="center"/>
          </w:tcPr>
          <w:p>
            <w:pPr>
              <w:widowControl/>
              <w:jc w:val="center"/>
              <w:rPr>
                <w:rFonts w:ascii="宋体" w:hAnsi="宋体" w:eastAsia="宋体"/>
                <w:b/>
                <w:bCs/>
                <w:color w:val="auto"/>
                <w:szCs w:val="21"/>
                <w:highlight w:val="none"/>
              </w:rPr>
            </w:pPr>
            <w:r>
              <w:rPr>
                <w:rFonts w:ascii="宋体" w:hAnsi="宋体" w:eastAsia="宋体"/>
                <w:b/>
                <w:bCs/>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3" w:type="dxa"/>
            <w:vAlign w:val="center"/>
          </w:tcPr>
          <w:p>
            <w:pPr>
              <w:widowControl/>
              <w:jc w:val="center"/>
              <w:rPr>
                <w:rFonts w:ascii="宋体" w:hAnsi="宋体" w:eastAsia="宋体"/>
                <w:color w:val="auto"/>
                <w:szCs w:val="21"/>
                <w:highlight w:val="none"/>
              </w:rPr>
            </w:pPr>
            <w:r>
              <w:rPr>
                <w:rFonts w:ascii="宋体" w:hAnsi="宋体" w:eastAsia="宋体"/>
                <w:color w:val="auto"/>
                <w:szCs w:val="21"/>
                <w:highlight w:val="none"/>
              </w:rPr>
              <w:t>1</w:t>
            </w:r>
          </w:p>
        </w:tc>
        <w:tc>
          <w:tcPr>
            <w:tcW w:w="1472" w:type="dxa"/>
            <w:vAlign w:val="center"/>
          </w:tcPr>
          <w:p>
            <w:pPr>
              <w:adjustRightInd w:val="0"/>
              <w:snapToGrid w:val="0"/>
              <w:spacing w:line="360" w:lineRule="exact"/>
              <w:jc w:val="center"/>
              <w:rPr>
                <w:rFonts w:ascii="宋体" w:hAnsi="宋体" w:eastAsia="宋体"/>
                <w:caps/>
                <w:color w:val="auto"/>
                <w:szCs w:val="21"/>
                <w:highlight w:val="none"/>
              </w:rPr>
            </w:pPr>
            <w:r>
              <w:rPr>
                <w:rFonts w:hint="eastAsia" w:ascii="宋体" w:hAnsi="宋体" w:eastAsia="宋体"/>
                <w:caps/>
                <w:color w:val="auto"/>
                <w:szCs w:val="21"/>
                <w:highlight w:val="none"/>
              </w:rPr>
              <w:t>规模实力</w:t>
            </w:r>
          </w:p>
        </w:tc>
        <w:tc>
          <w:tcPr>
            <w:tcW w:w="6945" w:type="dxa"/>
            <w:vAlign w:val="center"/>
          </w:tcPr>
          <w:p>
            <w:pPr>
              <w:adjustRightInd w:val="0"/>
              <w:snapToGrid w:val="0"/>
              <w:spacing w:line="360" w:lineRule="exact"/>
              <w:rPr>
                <w:rFonts w:ascii="宋体" w:hAnsi="宋体" w:eastAsia="宋体" w:cs="宋体"/>
                <w:color w:val="auto"/>
                <w:kern w:val="0"/>
                <w:szCs w:val="16"/>
                <w:highlight w:val="none"/>
              </w:rPr>
            </w:pPr>
            <w:r>
              <w:rPr>
                <w:rFonts w:hint="eastAsia" w:ascii="宋体" w:hAnsi="宋体" w:eastAsia="宋体" w:cs="宋体"/>
                <w:color w:val="auto"/>
                <w:kern w:val="0"/>
                <w:szCs w:val="16"/>
                <w:highlight w:val="none"/>
              </w:rPr>
              <w:t>2020年度营业收入：1000万元以上5分，1000万元以下-500万元以上3分，500万元以下1分。</w:t>
            </w:r>
          </w:p>
          <w:p>
            <w:pPr>
              <w:adjustRightInd w:val="0"/>
              <w:snapToGrid w:val="0"/>
              <w:spacing w:line="360" w:lineRule="exact"/>
              <w:rPr>
                <w:rFonts w:ascii="宋体" w:hAnsi="宋体" w:eastAsia="宋体" w:cs="宋体"/>
                <w:color w:val="auto"/>
                <w:kern w:val="0"/>
                <w:szCs w:val="16"/>
                <w:highlight w:val="none"/>
              </w:rPr>
            </w:pPr>
            <w:r>
              <w:rPr>
                <w:rFonts w:hint="eastAsia" w:ascii="宋体" w:hAnsi="宋体" w:eastAsia="宋体" w:cs="宋体"/>
                <w:color w:val="auto"/>
                <w:kern w:val="0"/>
                <w:szCs w:val="16"/>
                <w:highlight w:val="none"/>
              </w:rPr>
              <w:t>注：</w:t>
            </w:r>
            <w:r>
              <w:rPr>
                <w:rFonts w:hint="eastAsia"/>
                <w:color w:val="auto"/>
                <w:highlight w:val="none"/>
              </w:rPr>
              <w:t>须提供</w:t>
            </w:r>
            <w:r>
              <w:rPr>
                <w:rFonts w:hint="eastAsia" w:ascii="宋体" w:hAnsi="宋体" w:eastAsia="宋体" w:cs="宋体"/>
                <w:color w:val="auto"/>
                <w:kern w:val="0"/>
                <w:szCs w:val="16"/>
                <w:highlight w:val="none"/>
              </w:rPr>
              <w:t>2020年度企业财务会计审计报告复印件，以2020年度企业财务会计审计报告数字为准。</w:t>
            </w:r>
          </w:p>
        </w:tc>
        <w:tc>
          <w:tcPr>
            <w:tcW w:w="674" w:type="dxa"/>
            <w:vAlign w:val="center"/>
          </w:tcPr>
          <w:p>
            <w:pPr>
              <w:widowControl/>
              <w:spacing w:line="360" w:lineRule="exact"/>
              <w:jc w:val="center"/>
              <w:rPr>
                <w:rFonts w:ascii="宋体" w:hAnsi="宋体" w:eastAsia="宋体"/>
                <w:color w:val="auto"/>
                <w:szCs w:val="21"/>
                <w:highlight w:val="none"/>
              </w:rPr>
            </w:pPr>
            <w:r>
              <w:rPr>
                <w:rFonts w:hint="eastAsia" w:ascii="宋体" w:hAnsi="宋体" w:eastAsia="宋体"/>
                <w:color w:val="auto"/>
                <w:szCs w:val="21"/>
                <w:highlight w:val="none"/>
              </w:rPr>
              <w:t>5</w:t>
            </w:r>
            <w:r>
              <w:rPr>
                <w:rFonts w:ascii="宋体" w:hAnsi="宋体" w:eastAsia="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5" w:hRule="atLeast"/>
          <w:jc w:val="center"/>
        </w:trPr>
        <w:tc>
          <w:tcPr>
            <w:tcW w:w="763" w:type="dxa"/>
            <w:vAlign w:val="center"/>
          </w:tcPr>
          <w:p>
            <w:pPr>
              <w:widowControl/>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1472" w:type="dxa"/>
            <w:vAlign w:val="center"/>
          </w:tcPr>
          <w:p>
            <w:pPr>
              <w:adjustRightInd w:val="0"/>
              <w:snapToGrid w:val="0"/>
              <w:spacing w:line="360" w:lineRule="exact"/>
              <w:jc w:val="center"/>
              <w:rPr>
                <w:rFonts w:ascii="宋体" w:hAnsi="宋体" w:eastAsia="宋体"/>
                <w:caps/>
                <w:color w:val="auto"/>
                <w:szCs w:val="21"/>
                <w:highlight w:val="none"/>
              </w:rPr>
            </w:pPr>
            <w:r>
              <w:rPr>
                <w:rFonts w:hint="eastAsia" w:ascii="宋体" w:hAnsi="宋体" w:eastAsia="宋体"/>
                <w:caps/>
                <w:color w:val="auto"/>
                <w:szCs w:val="21"/>
                <w:highlight w:val="none"/>
              </w:rPr>
              <w:t>经验业绩</w:t>
            </w:r>
          </w:p>
        </w:tc>
        <w:tc>
          <w:tcPr>
            <w:tcW w:w="6945" w:type="dxa"/>
            <w:vAlign w:val="center"/>
          </w:tcPr>
          <w:p>
            <w:pPr>
              <w:adjustRightInd w:val="0"/>
              <w:snapToGrid w:val="0"/>
              <w:spacing w:line="360" w:lineRule="exact"/>
              <w:rPr>
                <w:color w:val="auto"/>
                <w:highlight w:val="none"/>
              </w:rPr>
            </w:pPr>
            <w:r>
              <w:rPr>
                <w:rFonts w:hint="eastAsia"/>
                <w:color w:val="auto"/>
                <w:highlight w:val="none"/>
              </w:rPr>
              <w:t>1.近两年来（以合同签订时间为准）为</w:t>
            </w:r>
            <w:r>
              <w:rPr>
                <w:rFonts w:hint="eastAsia" w:hAnsi="宋体"/>
                <w:color w:val="auto"/>
                <w:szCs w:val="21"/>
                <w:highlight w:val="none"/>
              </w:rPr>
              <w:t>中国房地产开发企业综合实力前100强在肥项目</w:t>
            </w:r>
            <w:r>
              <w:rPr>
                <w:rFonts w:hint="eastAsia"/>
                <w:color w:val="auto"/>
                <w:highlight w:val="none"/>
              </w:rPr>
              <w:t>提供土地增值税清算审核服务工作。提供</w:t>
            </w:r>
            <w:r>
              <w:rPr>
                <w:color w:val="auto"/>
                <w:highlight w:val="none"/>
              </w:rPr>
              <w:t>1个得</w:t>
            </w:r>
            <w:r>
              <w:rPr>
                <w:rFonts w:hint="eastAsia"/>
                <w:color w:val="auto"/>
                <w:highlight w:val="none"/>
              </w:rPr>
              <w:t>2分，本小项满分10分，投标人为同一服务对象不同年度的清算鉴证报告不重复计分，须提供与委托方签订的合同及土地增值税清算鉴证报告关键页复印件。</w:t>
            </w:r>
          </w:p>
          <w:p>
            <w:pPr>
              <w:numPr>
                <w:numId w:val="0"/>
              </w:numPr>
              <w:adjustRightInd w:val="0"/>
              <w:snapToGrid w:val="0"/>
              <w:spacing w:line="360" w:lineRule="exact"/>
              <w:rPr>
                <w:color w:val="auto"/>
                <w:highlight w:val="none"/>
              </w:rPr>
            </w:pPr>
            <w:r>
              <w:rPr>
                <w:rFonts w:hint="eastAsia"/>
                <w:color w:val="auto"/>
                <w:highlight w:val="none"/>
              </w:rPr>
              <w:t>2.上述得分业绩中凡能提供具有业主“良好” 或其他正向评价的即可得5分，评价一般的得2分，无评价不得分，本小项满分5 分。注：须提供业主评价证明材料复印件作为评审依据。</w:t>
            </w:r>
          </w:p>
          <w:p>
            <w:pPr>
              <w:pStyle w:val="2"/>
              <w:numPr>
                <w:numId w:val="0"/>
              </w:numPr>
              <w:rPr>
                <w:color w:val="auto"/>
                <w:highlight w:val="none"/>
              </w:rPr>
            </w:pPr>
            <w:r>
              <w:rPr>
                <w:rFonts w:hint="eastAsia"/>
                <w:color w:val="auto"/>
                <w:highlight w:val="none"/>
              </w:rPr>
              <w:t>3.近两年来（以合同签订时间为准）</w:t>
            </w:r>
            <w:r>
              <w:rPr>
                <w:rFonts w:hint="eastAsia" w:ascii="宋体" w:hAnsi="宋体" w:eastAsia="宋体" w:cs="宋体"/>
                <w:color w:val="auto"/>
                <w:kern w:val="0"/>
                <w:szCs w:val="16"/>
                <w:highlight w:val="none"/>
              </w:rPr>
              <w:t>为国家税务部门提供土增清算业务或进行相关税务培训，凡能获得税务部门</w:t>
            </w:r>
            <w:r>
              <w:rPr>
                <w:rFonts w:hint="eastAsia"/>
                <w:color w:val="auto"/>
                <w:highlight w:val="none"/>
              </w:rPr>
              <w:t>“良好” 或其他正向评价的即可得5分，评价一般的得2分，无评价不得分，本小项满分5 分，须提供与税务局签订的合同复印件及税务局评价证明材料复印件作为评审依据。</w:t>
            </w:r>
          </w:p>
        </w:tc>
        <w:tc>
          <w:tcPr>
            <w:tcW w:w="674" w:type="dxa"/>
            <w:vAlign w:val="center"/>
          </w:tcPr>
          <w:p>
            <w:pPr>
              <w:widowControl/>
              <w:spacing w:line="360" w:lineRule="exact"/>
              <w:jc w:val="center"/>
              <w:rPr>
                <w:rFonts w:ascii="宋体" w:hAnsi="宋体" w:eastAsia="宋体"/>
                <w:color w:val="auto"/>
                <w:szCs w:val="21"/>
                <w:highlight w:val="none"/>
              </w:rPr>
            </w:pPr>
            <w:r>
              <w:rPr>
                <w:rFonts w:hint="eastAsia" w:ascii="宋体" w:hAnsi="宋体" w:eastAsia="宋体"/>
                <w:color w:val="auto"/>
                <w:szCs w:val="21"/>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3" w:type="dxa"/>
            <w:vAlign w:val="center"/>
          </w:tcPr>
          <w:p>
            <w:pPr>
              <w:widowControl/>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1472" w:type="dxa"/>
            <w:vAlign w:val="center"/>
          </w:tcPr>
          <w:p>
            <w:pPr>
              <w:widowControl/>
              <w:spacing w:line="360" w:lineRule="exact"/>
              <w:jc w:val="center"/>
              <w:rPr>
                <w:rFonts w:ascii="宋体" w:hAnsi="宋体" w:eastAsia="宋体" w:cs="宋体"/>
                <w:color w:val="auto"/>
                <w:kern w:val="0"/>
                <w:szCs w:val="16"/>
                <w:highlight w:val="none"/>
              </w:rPr>
            </w:pPr>
            <w:r>
              <w:rPr>
                <w:rFonts w:hint="eastAsia" w:ascii="宋体" w:hAnsi="宋体" w:eastAsia="宋体" w:cs="宋体"/>
                <w:color w:val="auto"/>
                <w:kern w:val="0"/>
                <w:szCs w:val="16"/>
                <w:highlight w:val="none"/>
              </w:rPr>
              <w:t>工作方案</w:t>
            </w:r>
          </w:p>
        </w:tc>
        <w:tc>
          <w:tcPr>
            <w:tcW w:w="6945" w:type="dxa"/>
            <w:vAlign w:val="center"/>
          </w:tcPr>
          <w:p>
            <w:pPr>
              <w:adjustRightInd w:val="0"/>
              <w:snapToGrid w:val="0"/>
              <w:spacing w:line="360" w:lineRule="exact"/>
              <w:rPr>
                <w:rFonts w:ascii="宋体" w:hAnsi="宋体" w:eastAsia="宋体" w:cs="宋体"/>
                <w:color w:val="auto"/>
                <w:kern w:val="0"/>
                <w:szCs w:val="16"/>
                <w:highlight w:val="none"/>
              </w:rPr>
            </w:pPr>
            <w:r>
              <w:rPr>
                <w:rFonts w:hint="eastAsia" w:ascii="宋体" w:hAnsi="宋体" w:eastAsia="宋体" w:cs="宋体"/>
                <w:color w:val="auto"/>
                <w:kern w:val="0"/>
                <w:szCs w:val="16"/>
                <w:highlight w:val="none"/>
              </w:rPr>
              <w:t>根据投标人提供的实施方案全面性（涵盖整个方案筹划及实施清算程序），方案科学性、合理性、可操作性，工作流程及管理程序完整、合理程度进行评价。优的得11-15分；良的得6-10分；一般的得1-5分；差的不得分。</w:t>
            </w:r>
          </w:p>
        </w:tc>
        <w:tc>
          <w:tcPr>
            <w:tcW w:w="674" w:type="dxa"/>
            <w:vAlign w:val="center"/>
          </w:tcPr>
          <w:p>
            <w:pPr>
              <w:widowControl/>
              <w:spacing w:line="360" w:lineRule="exact"/>
              <w:jc w:val="center"/>
              <w:rPr>
                <w:rFonts w:ascii="宋体" w:hAnsi="宋体" w:eastAsia="宋体"/>
                <w:color w:val="auto"/>
                <w:szCs w:val="21"/>
                <w:highlight w:val="none"/>
              </w:rPr>
            </w:pPr>
            <w:r>
              <w:rPr>
                <w:rFonts w:hint="eastAsia" w:ascii="宋体" w:hAnsi="宋体" w:eastAsia="宋体"/>
                <w:color w:val="auto"/>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763" w:type="dxa"/>
            <w:vAlign w:val="center"/>
          </w:tcPr>
          <w:p>
            <w:pPr>
              <w:widowControl/>
              <w:jc w:val="center"/>
              <w:rPr>
                <w:rFonts w:ascii="宋体" w:hAnsi="宋体" w:eastAsia="宋体"/>
                <w:color w:val="auto"/>
                <w:szCs w:val="21"/>
                <w:highlight w:val="none"/>
              </w:rPr>
            </w:pPr>
            <w:r>
              <w:rPr>
                <w:rFonts w:hint="eastAsia" w:ascii="宋体" w:hAnsi="宋体" w:eastAsia="宋体"/>
                <w:color w:val="auto"/>
                <w:szCs w:val="21"/>
                <w:highlight w:val="none"/>
              </w:rPr>
              <w:t>4</w:t>
            </w:r>
          </w:p>
        </w:tc>
        <w:tc>
          <w:tcPr>
            <w:tcW w:w="1472" w:type="dxa"/>
            <w:vAlign w:val="center"/>
          </w:tcPr>
          <w:p>
            <w:pPr>
              <w:widowControl/>
              <w:spacing w:line="360" w:lineRule="exact"/>
              <w:jc w:val="center"/>
              <w:rPr>
                <w:rFonts w:ascii="宋体" w:hAnsi="宋体" w:eastAsia="宋体" w:cs="宋体"/>
                <w:color w:val="auto"/>
                <w:kern w:val="0"/>
                <w:szCs w:val="16"/>
                <w:highlight w:val="none"/>
              </w:rPr>
            </w:pPr>
            <w:r>
              <w:rPr>
                <w:rFonts w:hint="eastAsia" w:ascii="宋体" w:hAnsi="宋体" w:eastAsia="宋体" w:cs="宋体"/>
                <w:color w:val="auto"/>
                <w:kern w:val="0"/>
                <w:szCs w:val="16"/>
                <w:highlight w:val="none"/>
              </w:rPr>
              <w:t>项目机构</w:t>
            </w:r>
          </w:p>
          <w:p>
            <w:pPr>
              <w:widowControl/>
              <w:spacing w:line="360" w:lineRule="exact"/>
              <w:jc w:val="center"/>
              <w:rPr>
                <w:rFonts w:ascii="宋体" w:hAnsi="宋体" w:eastAsia="宋体" w:cs="宋体"/>
                <w:color w:val="auto"/>
                <w:kern w:val="0"/>
                <w:szCs w:val="16"/>
                <w:highlight w:val="none"/>
              </w:rPr>
            </w:pPr>
            <w:r>
              <w:rPr>
                <w:rFonts w:hint="eastAsia" w:ascii="宋体" w:hAnsi="宋体" w:eastAsia="宋体" w:cs="宋体"/>
                <w:color w:val="auto"/>
                <w:kern w:val="0"/>
                <w:szCs w:val="16"/>
                <w:highlight w:val="none"/>
              </w:rPr>
              <w:t>人员配置</w:t>
            </w:r>
          </w:p>
        </w:tc>
        <w:tc>
          <w:tcPr>
            <w:tcW w:w="6945" w:type="dxa"/>
            <w:vAlign w:val="center"/>
          </w:tcPr>
          <w:p>
            <w:pPr>
              <w:adjustRightInd w:val="0"/>
              <w:snapToGrid w:val="0"/>
              <w:spacing w:line="360" w:lineRule="exact"/>
              <w:rPr>
                <w:color w:val="auto"/>
                <w:highlight w:val="none"/>
              </w:rPr>
            </w:pPr>
            <w:r>
              <w:rPr>
                <w:rFonts w:hint="eastAsia"/>
                <w:color w:val="auto"/>
                <w:highlight w:val="none"/>
              </w:rPr>
              <w:t>1.项目负责人实力：</w:t>
            </w:r>
          </w:p>
          <w:p>
            <w:pPr>
              <w:adjustRightInd w:val="0"/>
              <w:snapToGrid w:val="0"/>
              <w:spacing w:line="360" w:lineRule="exact"/>
              <w:rPr>
                <w:color w:val="auto"/>
                <w:highlight w:val="none"/>
              </w:rPr>
            </w:pPr>
            <w:r>
              <w:rPr>
                <w:rFonts w:hint="eastAsia"/>
                <w:color w:val="auto"/>
                <w:highlight w:val="none"/>
                <w:lang w:val="en-US" w:eastAsia="zh-CN"/>
              </w:rPr>
              <w:t>项目负责人资格要求除响应招标文件外，</w:t>
            </w:r>
            <w:r>
              <w:rPr>
                <w:rFonts w:hint="eastAsia"/>
                <w:color w:val="auto"/>
                <w:highlight w:val="none"/>
              </w:rPr>
              <w:t>具有高级职称证书或获得行政主管部门或国内依法登记的行业协会颁发的荣誉证书，每提供一个证书得5分，得满10分为止，未提供证书复印件不得分。</w:t>
            </w:r>
          </w:p>
          <w:p>
            <w:pPr>
              <w:adjustRightInd w:val="0"/>
              <w:snapToGrid w:val="0"/>
              <w:spacing w:line="360" w:lineRule="exact"/>
              <w:rPr>
                <w:color w:val="auto"/>
                <w:highlight w:val="none"/>
              </w:rPr>
            </w:pPr>
            <w:r>
              <w:rPr>
                <w:rFonts w:hint="eastAsia"/>
                <w:color w:val="auto"/>
                <w:highlight w:val="none"/>
              </w:rPr>
              <w:t>2.增派成员实力：</w:t>
            </w:r>
          </w:p>
          <w:p>
            <w:pPr>
              <w:adjustRightInd w:val="0"/>
              <w:snapToGrid w:val="0"/>
              <w:spacing w:line="360" w:lineRule="exact"/>
              <w:rPr>
                <w:color w:val="auto"/>
                <w:highlight w:val="none"/>
              </w:rPr>
            </w:pPr>
            <w:r>
              <w:rPr>
                <w:rFonts w:hint="eastAsia"/>
                <w:color w:val="auto"/>
                <w:highlight w:val="none"/>
              </w:rPr>
              <w:t>项目机构人员配置</w:t>
            </w:r>
            <w:r>
              <w:rPr>
                <w:rFonts w:hint="eastAsia"/>
                <w:color w:val="auto"/>
                <w:highlight w:val="none"/>
                <w:lang w:val="en-US" w:eastAsia="zh-CN"/>
              </w:rPr>
              <w:t>要求除响应招标文件外，</w:t>
            </w:r>
            <w:r>
              <w:rPr>
                <w:color w:val="auto"/>
                <w:highlight w:val="none"/>
              </w:rPr>
              <w:t>每增派一名注册税务师或注册会计师，得</w:t>
            </w:r>
            <w:r>
              <w:rPr>
                <w:rFonts w:hint="eastAsia"/>
                <w:color w:val="auto"/>
                <w:highlight w:val="none"/>
              </w:rPr>
              <w:t>5</w:t>
            </w:r>
            <w:r>
              <w:rPr>
                <w:color w:val="auto"/>
                <w:highlight w:val="none"/>
              </w:rPr>
              <w:t>分，得满</w:t>
            </w:r>
            <w:r>
              <w:rPr>
                <w:rFonts w:hint="eastAsia"/>
                <w:color w:val="auto"/>
                <w:highlight w:val="none"/>
              </w:rPr>
              <w:t>10</w:t>
            </w:r>
            <w:r>
              <w:rPr>
                <w:color w:val="auto"/>
                <w:highlight w:val="none"/>
              </w:rPr>
              <w:t>分为止</w:t>
            </w:r>
            <w:r>
              <w:rPr>
                <w:rFonts w:hint="eastAsia"/>
                <w:color w:val="auto"/>
                <w:highlight w:val="none"/>
              </w:rPr>
              <w:t>，未提供执业资格证书复印件及投标人为其缴纳社保证明资料不得分。</w:t>
            </w:r>
          </w:p>
        </w:tc>
        <w:tc>
          <w:tcPr>
            <w:tcW w:w="674" w:type="dxa"/>
            <w:vAlign w:val="center"/>
          </w:tcPr>
          <w:p>
            <w:pPr>
              <w:pStyle w:val="2"/>
              <w:ind w:firstLine="210"/>
              <w:rPr>
                <w:color w:val="auto"/>
                <w:highlight w:val="none"/>
              </w:rPr>
            </w:pPr>
            <w:r>
              <w:rPr>
                <w:rFonts w:hint="eastAsia"/>
                <w:color w:val="auto"/>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3" w:type="dxa"/>
            <w:vAlign w:val="center"/>
          </w:tcPr>
          <w:p>
            <w:pPr>
              <w:widowControl/>
              <w:jc w:val="center"/>
              <w:rPr>
                <w:rFonts w:ascii="宋体" w:hAnsi="宋体" w:eastAsia="宋体"/>
                <w:color w:val="auto"/>
                <w:szCs w:val="21"/>
                <w:highlight w:val="none"/>
              </w:rPr>
            </w:pPr>
            <w:r>
              <w:rPr>
                <w:rFonts w:hint="eastAsia" w:ascii="宋体" w:hAnsi="宋体" w:eastAsia="宋体"/>
                <w:color w:val="auto"/>
                <w:szCs w:val="21"/>
                <w:highlight w:val="none"/>
              </w:rPr>
              <w:t>5</w:t>
            </w:r>
          </w:p>
        </w:tc>
        <w:tc>
          <w:tcPr>
            <w:tcW w:w="1472" w:type="dxa"/>
            <w:vAlign w:val="center"/>
          </w:tcPr>
          <w:p>
            <w:pPr>
              <w:widowControl/>
              <w:spacing w:line="360" w:lineRule="exact"/>
              <w:jc w:val="center"/>
              <w:rPr>
                <w:rFonts w:ascii="宋体" w:hAnsi="宋体" w:eastAsia="宋体" w:cs="宋体"/>
                <w:color w:val="auto"/>
                <w:kern w:val="0"/>
                <w:szCs w:val="16"/>
                <w:highlight w:val="none"/>
              </w:rPr>
            </w:pPr>
            <w:r>
              <w:rPr>
                <w:rFonts w:hint="eastAsia" w:ascii="宋体" w:hAnsi="宋体" w:eastAsia="宋体" w:cs="宋体"/>
                <w:color w:val="auto"/>
                <w:kern w:val="0"/>
                <w:szCs w:val="16"/>
                <w:highlight w:val="none"/>
              </w:rPr>
              <w:t>服务保障</w:t>
            </w:r>
          </w:p>
        </w:tc>
        <w:tc>
          <w:tcPr>
            <w:tcW w:w="6945" w:type="dxa"/>
            <w:vAlign w:val="center"/>
          </w:tcPr>
          <w:p>
            <w:pPr>
              <w:adjustRightInd w:val="0"/>
              <w:snapToGrid w:val="0"/>
              <w:spacing w:line="360" w:lineRule="exact"/>
              <w:rPr>
                <w:rFonts w:ascii="宋体" w:hAnsi="宋体" w:eastAsia="宋体" w:cs="宋体"/>
                <w:color w:val="auto"/>
                <w:kern w:val="0"/>
                <w:szCs w:val="16"/>
                <w:highlight w:val="none"/>
              </w:rPr>
            </w:pPr>
            <w:r>
              <w:rPr>
                <w:rFonts w:hint="eastAsia" w:ascii="宋体" w:hAnsi="宋体" w:eastAsia="宋体" w:cs="宋体"/>
                <w:color w:val="auto"/>
                <w:kern w:val="0"/>
                <w:szCs w:val="16"/>
                <w:highlight w:val="none"/>
              </w:rPr>
              <w:t>根据各投标人针对服务质量保证及措施等内容进行综合评价。优的得8-10分；良的得5-7分；一般的得1-4分；差的不得分。</w:t>
            </w:r>
          </w:p>
        </w:tc>
        <w:tc>
          <w:tcPr>
            <w:tcW w:w="674" w:type="dxa"/>
            <w:vAlign w:val="center"/>
          </w:tcPr>
          <w:p>
            <w:pPr>
              <w:widowControl/>
              <w:spacing w:line="360" w:lineRule="exact"/>
              <w:jc w:val="center"/>
              <w:rPr>
                <w:rFonts w:ascii="宋体" w:hAnsi="宋体" w:eastAsia="宋体"/>
                <w:color w:val="auto"/>
                <w:szCs w:val="21"/>
                <w:highlight w:val="none"/>
              </w:rPr>
            </w:pPr>
            <w:r>
              <w:rPr>
                <w:rFonts w:hint="eastAsia" w:ascii="宋体" w:hAnsi="宋体" w:eastAsia="宋体"/>
                <w:color w:val="auto"/>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80" w:type="dxa"/>
            <w:gridSpan w:val="3"/>
            <w:vAlign w:val="center"/>
          </w:tcPr>
          <w:p>
            <w:pPr>
              <w:widowControl/>
              <w:jc w:val="center"/>
              <w:rPr>
                <w:rFonts w:ascii="宋体" w:hAnsi="宋体" w:eastAsia="宋体"/>
                <w:b/>
                <w:bCs/>
                <w:color w:val="auto"/>
                <w:szCs w:val="21"/>
                <w:highlight w:val="none"/>
              </w:rPr>
            </w:pPr>
            <w:r>
              <w:rPr>
                <w:rFonts w:ascii="宋体" w:hAnsi="宋体" w:eastAsia="宋体"/>
                <w:b/>
                <w:bCs/>
                <w:color w:val="auto"/>
                <w:szCs w:val="21"/>
                <w:highlight w:val="none"/>
              </w:rPr>
              <w:t>合计</w:t>
            </w:r>
          </w:p>
        </w:tc>
        <w:tc>
          <w:tcPr>
            <w:tcW w:w="674" w:type="dxa"/>
            <w:vAlign w:val="center"/>
          </w:tcPr>
          <w:p>
            <w:pPr>
              <w:widowControl/>
              <w:jc w:val="center"/>
              <w:rPr>
                <w:rFonts w:ascii="宋体" w:hAnsi="宋体" w:eastAsia="宋体"/>
                <w:b/>
                <w:bCs/>
                <w:color w:val="auto"/>
                <w:szCs w:val="21"/>
                <w:highlight w:val="none"/>
              </w:rPr>
            </w:pPr>
            <w:r>
              <w:rPr>
                <w:rFonts w:hint="eastAsia" w:ascii="宋体" w:hAnsi="宋体" w:eastAsia="宋体"/>
                <w:b/>
                <w:bCs/>
                <w:color w:val="auto"/>
                <w:szCs w:val="21"/>
                <w:highlight w:val="none"/>
              </w:rPr>
              <w:t>70</w:t>
            </w:r>
            <w:r>
              <w:rPr>
                <w:rFonts w:ascii="宋体" w:hAnsi="宋体" w:eastAsia="宋体"/>
                <w:b/>
                <w:bCs/>
                <w:color w:val="auto"/>
                <w:szCs w:val="21"/>
                <w:highlight w:val="none"/>
              </w:rPr>
              <w:t>分</w:t>
            </w:r>
          </w:p>
        </w:tc>
      </w:tr>
    </w:tbl>
    <w:p>
      <w:pPr>
        <w:spacing w:before="156" w:beforeLines="50" w:after="156" w:afterLines="50" w:line="500" w:lineRule="exact"/>
        <w:ind w:firstLine="105" w:firstLineChars="50"/>
        <w:rPr>
          <w:rFonts w:ascii="宋体" w:hAnsi="宋体"/>
          <w:b/>
          <w:color w:val="auto"/>
          <w:sz w:val="24"/>
          <w:highlight w:val="none"/>
        </w:rPr>
      </w:pPr>
      <w:r>
        <w:rPr>
          <w:rFonts w:hint="eastAsia" w:ascii="宋体" w:hAnsi="宋体"/>
          <w:color w:val="auto"/>
          <w:szCs w:val="21"/>
          <w:highlight w:val="none"/>
        </w:rPr>
        <w:t>注：中国房地产开发企业综合实力前100强，以2021年度中房网公布的为准。具体查询网址：http://www.fangchan.com/industry/22/2021-03-16/6777290452908708348.html</w:t>
      </w:r>
    </w:p>
    <w:p>
      <w:pPr>
        <w:spacing w:before="156" w:beforeLines="50" w:after="156" w:afterLines="50" w:line="500" w:lineRule="exact"/>
        <w:ind w:firstLine="120" w:firstLineChars="50"/>
        <w:rPr>
          <w:rFonts w:ascii="宋体" w:hAnsi="宋体" w:eastAsia="宋体"/>
          <w:b/>
          <w:color w:val="auto"/>
          <w:sz w:val="24"/>
          <w:highlight w:val="none"/>
        </w:rPr>
      </w:pPr>
      <w:r>
        <w:rPr>
          <w:rFonts w:hint="eastAsia" w:ascii="宋体" w:hAnsi="宋体" w:eastAsia="宋体"/>
          <w:b/>
          <w:color w:val="auto"/>
          <w:sz w:val="24"/>
          <w:highlight w:val="none"/>
        </w:rPr>
        <w:t>8.5.2商务部分（3</w:t>
      </w:r>
      <w:r>
        <w:rPr>
          <w:rFonts w:ascii="宋体" w:hAnsi="宋体" w:eastAsia="宋体"/>
          <w:b/>
          <w:color w:val="auto"/>
          <w:sz w:val="24"/>
          <w:highlight w:val="none"/>
        </w:rPr>
        <w:t>0</w:t>
      </w:r>
      <w:r>
        <w:rPr>
          <w:rFonts w:hint="eastAsia" w:ascii="宋体" w:hAnsi="宋体" w:eastAsia="宋体"/>
          <w:b/>
          <w:color w:val="auto"/>
          <w:sz w:val="24"/>
          <w:highlight w:val="none"/>
        </w:rPr>
        <w:t>分）</w:t>
      </w:r>
    </w:p>
    <w:p>
      <w:pPr>
        <w:spacing w:before="156" w:beforeLines="50" w:after="156" w:afterLines="50" w:line="500" w:lineRule="exact"/>
        <w:ind w:firstLine="120" w:firstLineChars="50"/>
        <w:rPr>
          <w:rFonts w:ascii="宋体" w:hAnsi="宋体"/>
          <w:b/>
          <w:color w:val="auto"/>
          <w:sz w:val="24"/>
          <w:highlight w:val="none"/>
        </w:rPr>
      </w:pPr>
      <w:r>
        <w:rPr>
          <w:rFonts w:hint="eastAsia" w:ascii="宋体" w:hAnsi="宋体" w:eastAsia="宋体"/>
          <w:b/>
          <w:color w:val="auto"/>
          <w:sz w:val="24"/>
          <w:highlight w:val="none"/>
        </w:rPr>
        <w:t>8.5.2.1</w:t>
      </w:r>
      <w:r>
        <w:rPr>
          <w:rFonts w:ascii="宋体" w:hAnsi="宋体"/>
          <w:b/>
          <w:color w:val="auto"/>
          <w:sz w:val="24"/>
          <w:highlight w:val="none"/>
        </w:rPr>
        <w:t>依据通过初审的有效投标人名单，</w:t>
      </w:r>
      <w:r>
        <w:rPr>
          <w:rFonts w:hint="eastAsia" w:ascii="宋体" w:hAnsi="宋体"/>
          <w:b/>
          <w:color w:val="auto"/>
          <w:sz w:val="24"/>
          <w:highlight w:val="none"/>
        </w:rPr>
        <w:t>投标报价在控制价范围内的为有效报价。</w:t>
      </w:r>
      <w:r>
        <w:rPr>
          <w:rFonts w:hint="eastAsia" w:ascii="宋体" w:hAnsi="宋体" w:eastAsia="宋体"/>
          <w:b/>
          <w:color w:val="auto"/>
          <w:sz w:val="24"/>
          <w:highlight w:val="none"/>
        </w:rPr>
        <w:t>商务分以投标商务报价截尾均值价格作为评标基准价，</w:t>
      </w:r>
      <w:r>
        <w:rPr>
          <w:rFonts w:hint="eastAsia" w:ascii="宋体" w:hAnsi="宋体"/>
          <w:b/>
          <w:color w:val="auto"/>
          <w:sz w:val="24"/>
          <w:highlight w:val="none"/>
        </w:rPr>
        <w:t>投标人的商务分统一按照下列公式计算：</w:t>
      </w:r>
    </w:p>
    <w:tbl>
      <w:tblPr>
        <w:tblStyle w:val="25"/>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781"/>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3" w:hRule="atLeast"/>
        </w:trPr>
        <w:tc>
          <w:tcPr>
            <w:tcW w:w="1384" w:type="dxa"/>
            <w:vAlign w:val="center"/>
          </w:tcPr>
          <w:p>
            <w:pPr>
              <w:spacing w:line="400" w:lineRule="exact"/>
              <w:jc w:val="center"/>
              <w:rPr>
                <w:rFonts w:ascii="宋体" w:cs="宋体"/>
                <w:color w:val="auto"/>
                <w:kern w:val="0"/>
                <w:sz w:val="24"/>
                <w:highlight w:val="none"/>
              </w:rPr>
            </w:pPr>
            <w:r>
              <w:rPr>
                <w:rFonts w:hint="eastAsia" w:ascii="宋体" w:hAnsi="宋体" w:cs="宋体"/>
                <w:b/>
                <w:bCs/>
                <w:color w:val="auto"/>
                <w:kern w:val="0"/>
                <w:sz w:val="24"/>
                <w:highlight w:val="none"/>
              </w:rPr>
              <w:t>商务部分（30分）</w:t>
            </w:r>
          </w:p>
        </w:tc>
        <w:tc>
          <w:tcPr>
            <w:tcW w:w="7781" w:type="dxa"/>
            <w:vAlign w:val="center"/>
          </w:tcPr>
          <w:p>
            <w:pPr>
              <w:spacing w:line="400" w:lineRule="exact"/>
              <w:jc w:val="left"/>
              <w:rPr>
                <w:rFonts w:ascii="宋体" w:hAnsi="宋体" w:cs="宋体"/>
                <w:color w:val="auto"/>
                <w:kern w:val="0"/>
                <w:sz w:val="24"/>
                <w:highlight w:val="none"/>
              </w:rPr>
            </w:pPr>
            <w:r>
              <w:rPr>
                <w:rFonts w:hint="eastAsia" w:ascii="宋体" w:hAnsi="宋体"/>
                <w:color w:val="auto"/>
                <w:sz w:val="24"/>
                <w:highlight w:val="none"/>
              </w:rPr>
              <w:t>以所有有效投标商务报价截尾均值价格作为基准价，各投标人投标报价每高出基准价的10%扣2分，每低于基准价的10%扣</w:t>
            </w:r>
            <w:r>
              <w:rPr>
                <w:rFonts w:hint="eastAsia" w:ascii="宋体" w:hAnsi="宋体"/>
                <w:color w:val="auto"/>
                <w:sz w:val="24"/>
                <w:highlight w:val="none"/>
                <w:lang w:val="en-US" w:eastAsia="zh-CN"/>
              </w:rPr>
              <w:t>1</w:t>
            </w:r>
            <w:r>
              <w:rPr>
                <w:rFonts w:hint="eastAsia" w:ascii="宋体" w:hAnsi="宋体"/>
                <w:color w:val="auto"/>
                <w:sz w:val="24"/>
                <w:highlight w:val="none"/>
              </w:rPr>
              <w:t>分，不足10%的按10%计算。</w:t>
            </w:r>
          </w:p>
        </w:tc>
        <w:tc>
          <w:tcPr>
            <w:tcW w:w="724" w:type="dxa"/>
            <w:vAlign w:val="center"/>
          </w:tcPr>
          <w:p>
            <w:pPr>
              <w:widowControl/>
              <w:jc w:val="center"/>
              <w:rPr>
                <w:rFonts w:ascii="宋体" w:hAnsi="宋体" w:cs="宋体"/>
                <w:color w:val="auto"/>
                <w:kern w:val="0"/>
                <w:sz w:val="24"/>
                <w:highlight w:val="none"/>
              </w:rPr>
            </w:pPr>
            <w:r>
              <w:rPr>
                <w:rFonts w:hint="eastAsia" w:ascii="宋体" w:hAnsi="宋体" w:eastAsia="宋体"/>
                <w:b/>
                <w:bCs/>
                <w:color w:val="auto"/>
                <w:szCs w:val="21"/>
                <w:highlight w:val="none"/>
              </w:rPr>
              <w:t>30分</w:t>
            </w:r>
          </w:p>
        </w:tc>
      </w:tr>
      <w:bookmarkEnd w:id="8"/>
      <w:bookmarkEnd w:id="9"/>
      <w:bookmarkEnd w:id="10"/>
      <w:bookmarkEnd w:id="11"/>
      <w:bookmarkEnd w:id="12"/>
    </w:tbl>
    <w:p>
      <w:pPr>
        <w:pStyle w:val="8"/>
        <w:spacing w:line="500" w:lineRule="exact"/>
        <w:ind w:right="-11" w:firstLine="482"/>
        <w:rPr>
          <w:rFonts w:ascii="宋体" w:hAnsi="宋体"/>
          <w:b/>
          <w:color w:val="auto"/>
          <w:sz w:val="24"/>
          <w:highlight w:val="none"/>
        </w:rPr>
      </w:pPr>
      <w:r>
        <w:rPr>
          <w:rFonts w:ascii="宋体" w:hAnsi="宋体"/>
          <w:b/>
          <w:color w:val="auto"/>
          <w:sz w:val="24"/>
          <w:highlight w:val="none"/>
        </w:rPr>
        <w:t>8.</w:t>
      </w:r>
      <w:r>
        <w:rPr>
          <w:rFonts w:hint="eastAsia" w:ascii="宋体" w:hAnsi="宋体"/>
          <w:b/>
          <w:color w:val="auto"/>
          <w:sz w:val="24"/>
          <w:highlight w:val="none"/>
        </w:rPr>
        <w:t>6汇总排序</w:t>
      </w:r>
    </w:p>
    <w:p>
      <w:pPr>
        <w:pStyle w:val="8"/>
        <w:spacing w:line="500" w:lineRule="exact"/>
        <w:ind w:right="-11" w:firstLine="480"/>
        <w:rPr>
          <w:rFonts w:ascii="宋体" w:hAnsi="宋体"/>
          <w:color w:val="auto"/>
          <w:sz w:val="24"/>
          <w:highlight w:val="none"/>
        </w:rPr>
      </w:pPr>
      <w:r>
        <w:rPr>
          <w:rFonts w:hint="eastAsia" w:ascii="宋体" w:hAnsi="宋体"/>
          <w:color w:val="auto"/>
          <w:sz w:val="24"/>
          <w:highlight w:val="none"/>
        </w:rPr>
        <w:t>8.6.1将每个入选投标人的技术资信得分加上根据上面步骤计算出的商务部分得分，即为该投标人的最终得分。</w:t>
      </w:r>
      <w:r>
        <w:rPr>
          <w:rFonts w:hint="eastAsia" w:ascii="宋体" w:hAnsi="宋体" w:eastAsia="宋体"/>
          <w:b/>
          <w:color w:val="auto"/>
          <w:kern w:val="0"/>
          <w:sz w:val="24"/>
          <w:highlight w:val="none"/>
        </w:rPr>
        <w:t>（所有计算均四舍五入精确到小数点后两位）</w:t>
      </w:r>
    </w:p>
    <w:p>
      <w:pPr>
        <w:pStyle w:val="8"/>
        <w:spacing w:line="500" w:lineRule="exact"/>
        <w:ind w:right="-11" w:firstLine="482"/>
        <w:rPr>
          <w:rFonts w:ascii="宋体" w:hAnsi="宋体"/>
          <w:color w:val="auto"/>
          <w:sz w:val="24"/>
          <w:highlight w:val="none"/>
        </w:rPr>
      </w:pPr>
      <w:r>
        <w:rPr>
          <w:rFonts w:hint="eastAsia" w:ascii="宋体" w:hAnsi="宋体"/>
          <w:b/>
          <w:color w:val="auto"/>
          <w:sz w:val="24"/>
          <w:highlight w:val="none"/>
        </w:rPr>
        <w:t>8.6.2按照入选投标人最终得分由高到低排出中标候选人。</w:t>
      </w:r>
      <w:r>
        <w:rPr>
          <w:rFonts w:hint="eastAsia" w:ascii="宋体" w:hAnsi="宋体"/>
          <w:color w:val="auto"/>
          <w:sz w:val="24"/>
          <w:highlight w:val="none"/>
        </w:rPr>
        <w:t>得分相同的，按技术资信得分由高到低顺序排列。技术资信得分、最终得分均相同的，则采取抽签方式确定其前后次序。</w:t>
      </w:r>
    </w:p>
    <w:p>
      <w:pPr>
        <w:pStyle w:val="8"/>
        <w:spacing w:line="500" w:lineRule="exact"/>
        <w:ind w:right="-11" w:firstLine="480"/>
        <w:rPr>
          <w:rFonts w:ascii="宋体" w:hAnsi="宋体"/>
          <w:color w:val="auto"/>
          <w:sz w:val="24"/>
          <w:highlight w:val="none"/>
        </w:rPr>
      </w:pPr>
      <w:r>
        <w:rPr>
          <w:rFonts w:ascii="宋体" w:hAnsi="宋体"/>
          <w:color w:val="auto"/>
          <w:sz w:val="24"/>
          <w:highlight w:val="none"/>
        </w:rPr>
        <w:t>9.各投标人的得分一经得出，并核对无误后，任何人不得更改。</w:t>
      </w:r>
    </w:p>
    <w:p>
      <w:pPr>
        <w:pStyle w:val="8"/>
        <w:spacing w:line="500" w:lineRule="exact"/>
        <w:ind w:right="-11" w:firstLine="480"/>
        <w:rPr>
          <w:rFonts w:ascii="宋体" w:hAnsi="宋体"/>
          <w:color w:val="auto"/>
          <w:sz w:val="24"/>
          <w:highlight w:val="none"/>
        </w:rPr>
      </w:pPr>
      <w:r>
        <w:rPr>
          <w:rFonts w:ascii="宋体" w:hAnsi="宋体"/>
          <w:color w:val="auto"/>
          <w:sz w:val="24"/>
          <w:highlight w:val="none"/>
        </w:rPr>
        <w:t>10.评标委员会在评标过程中发现的问题，应当及时作出处理并作书面记录。</w:t>
      </w:r>
    </w:p>
    <w:p>
      <w:pPr>
        <w:pStyle w:val="8"/>
        <w:spacing w:line="500" w:lineRule="exact"/>
        <w:ind w:right="-11" w:firstLine="480"/>
        <w:rPr>
          <w:rFonts w:ascii="宋体" w:hAnsi="宋体"/>
          <w:color w:val="auto"/>
          <w:sz w:val="24"/>
          <w:highlight w:val="none"/>
        </w:rPr>
      </w:pPr>
      <w:r>
        <w:rPr>
          <w:rFonts w:ascii="宋体" w:hAnsi="宋体"/>
          <w:color w:val="auto"/>
          <w:sz w:val="24"/>
          <w:highlight w:val="none"/>
        </w:rPr>
        <w:t>11.</w:t>
      </w:r>
      <w:r>
        <w:rPr>
          <w:rFonts w:hint="eastAsia" w:ascii="宋体" w:hAnsi="宋体"/>
          <w:color w:val="auto"/>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pStyle w:val="8"/>
        <w:spacing w:line="500" w:lineRule="exact"/>
        <w:ind w:right="-11" w:firstLine="480"/>
        <w:rPr>
          <w:rFonts w:ascii="宋体" w:hAnsi="宋体"/>
          <w:color w:val="auto"/>
          <w:sz w:val="24"/>
          <w:highlight w:val="none"/>
        </w:rPr>
      </w:pPr>
      <w:r>
        <w:rPr>
          <w:rFonts w:ascii="宋体" w:hAnsi="宋体"/>
          <w:color w:val="auto"/>
          <w:sz w:val="24"/>
          <w:highlight w:val="none"/>
        </w:rPr>
        <w:t>12.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pStyle w:val="8"/>
        <w:spacing w:line="500" w:lineRule="exact"/>
        <w:ind w:right="-11" w:firstLine="480"/>
        <w:rPr>
          <w:rFonts w:ascii="宋体" w:hAnsi="宋体"/>
          <w:color w:val="auto"/>
          <w:sz w:val="24"/>
          <w:highlight w:val="none"/>
        </w:rPr>
      </w:pPr>
      <w:r>
        <w:rPr>
          <w:rFonts w:ascii="宋体" w:hAnsi="宋体"/>
          <w:color w:val="auto"/>
          <w:sz w:val="24"/>
          <w:highlight w:val="none"/>
        </w:rPr>
        <w:t>13.评标委员会和评标工作人员应严格遵守国家的法律、法规和规章制度；严格按照本次招标文件进行评标；公正廉洁、不徇私情，不得损害国家利益；保护招、投标人的合法权益。</w:t>
      </w:r>
    </w:p>
    <w:p>
      <w:pPr>
        <w:spacing w:line="500" w:lineRule="exact"/>
        <w:jc w:val="left"/>
        <w:rPr>
          <w:rFonts w:ascii="宋体" w:hAnsi="宋体"/>
          <w:color w:val="auto"/>
          <w:sz w:val="24"/>
          <w:highlight w:val="none"/>
        </w:rPr>
      </w:pPr>
      <w:r>
        <w:rPr>
          <w:rFonts w:ascii="宋体" w:hAnsi="宋体"/>
          <w:color w:val="auto"/>
          <w:sz w:val="24"/>
          <w:highlight w:val="none"/>
        </w:rPr>
        <w:t>14.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bookmarkEnd w:id="1"/>
    <w:bookmarkEnd w:id="2"/>
    <w:p>
      <w:pPr>
        <w:pStyle w:val="4"/>
        <w:spacing w:before="0" w:after="0" w:line="500" w:lineRule="exact"/>
        <w:jc w:val="center"/>
        <w:rPr>
          <w:rFonts w:ascii="宋体" w:hAnsi="宋体" w:cs="宋体"/>
          <w:color w:val="auto"/>
          <w:kern w:val="0"/>
        </w:rPr>
      </w:pPr>
      <w:r>
        <w:rPr>
          <w:rFonts w:hint="eastAsia" w:ascii="宋体" w:hAnsi="宋体" w:cs="宋体"/>
          <w:color w:val="auto"/>
          <w:kern w:val="0"/>
        </w:rPr>
        <w:t>第五章  附件</w:t>
      </w:r>
    </w:p>
    <w:p>
      <w:pPr>
        <w:widowControl/>
        <w:spacing w:before="100" w:beforeAutospacing="1" w:line="500" w:lineRule="exact"/>
        <w:ind w:firstLine="354" w:firstLineChars="147"/>
        <w:jc w:val="center"/>
        <w:rPr>
          <w:rFonts w:ascii="宋体" w:hAnsi="宋体" w:cs="宋体"/>
          <w:b/>
          <w:color w:val="auto"/>
          <w:kern w:val="0"/>
          <w:sz w:val="24"/>
        </w:rPr>
      </w:pPr>
      <w:r>
        <w:rPr>
          <w:rFonts w:hint="eastAsia" w:ascii="宋体" w:hAnsi="宋体" w:cs="宋体"/>
          <w:b/>
          <w:color w:val="auto"/>
          <w:kern w:val="0"/>
          <w:sz w:val="24"/>
        </w:rPr>
        <w:t>一、投标承诺书</w:t>
      </w:r>
    </w:p>
    <w:p>
      <w:pPr>
        <w:widowControl/>
        <w:spacing w:line="500" w:lineRule="exact"/>
        <w:jc w:val="left"/>
        <w:rPr>
          <w:rFonts w:ascii="宋体" w:hAnsi="宋体" w:cs="宋体"/>
          <w:b/>
          <w:color w:val="auto"/>
          <w:kern w:val="0"/>
          <w:sz w:val="24"/>
        </w:rPr>
      </w:pPr>
      <w:r>
        <w:rPr>
          <w:rFonts w:hint="eastAsia" w:ascii="宋体" w:hAnsi="宋体" w:cs="宋体"/>
          <w:b/>
          <w:color w:val="auto"/>
          <w:kern w:val="0"/>
          <w:sz w:val="24"/>
        </w:rPr>
        <w:t>致合肥周谷堆置业有限公司：</w:t>
      </w:r>
    </w:p>
    <w:p>
      <w:pPr>
        <w:widowControl/>
        <w:spacing w:line="500" w:lineRule="exact"/>
        <w:jc w:val="left"/>
        <w:rPr>
          <w:rFonts w:ascii="宋体" w:hAnsi="宋体" w:cs="宋体"/>
          <w:color w:val="auto"/>
          <w:kern w:val="0"/>
          <w:sz w:val="24"/>
        </w:rPr>
      </w:pPr>
      <w:r>
        <w:rPr>
          <w:rFonts w:hint="eastAsia" w:ascii="宋体" w:hAnsi="宋体" w:cs="宋体"/>
          <w:color w:val="auto"/>
          <w:kern w:val="0"/>
          <w:sz w:val="24"/>
        </w:rPr>
        <w:t xml:space="preserve">    根据贵方投标邀请（编号</w:t>
      </w:r>
      <w:r>
        <w:rPr>
          <w:rFonts w:hint="eastAsia" w:ascii="宋体" w:hAnsi="宋体" w:cs="宋体"/>
          <w:color w:val="auto"/>
          <w:kern w:val="0"/>
          <w:sz w:val="24"/>
          <w:lang w:val="en-US" w:eastAsia="zh-CN"/>
        </w:rPr>
        <w:t>:HBZ-21061-ZGD11</w:t>
      </w:r>
      <w:r>
        <w:rPr>
          <w:rFonts w:hint="eastAsia" w:ascii="宋体" w:hAnsi="宋体" w:cs="宋体"/>
          <w:color w:val="auto"/>
          <w:kern w:val="0"/>
          <w:sz w:val="24"/>
        </w:rPr>
        <w:t>），签字代表（姓名、职务）已被正式授权代表投标人（投标人名称）提交下述文件。</w:t>
      </w:r>
    </w:p>
    <w:p>
      <w:pPr>
        <w:widowControl/>
        <w:spacing w:line="500" w:lineRule="exact"/>
        <w:ind w:firstLine="240" w:firstLineChars="100"/>
        <w:jc w:val="left"/>
        <w:rPr>
          <w:rFonts w:ascii="宋体" w:hAnsi="宋体" w:cs="宋体"/>
          <w:color w:val="auto"/>
          <w:kern w:val="0"/>
          <w:sz w:val="24"/>
        </w:rPr>
      </w:pPr>
      <w:r>
        <w:rPr>
          <w:rFonts w:hint="eastAsia" w:ascii="宋体" w:hAnsi="宋体" w:cs="宋体"/>
          <w:color w:val="auto"/>
          <w:kern w:val="0"/>
          <w:sz w:val="24"/>
        </w:rPr>
        <w:t>（1）投标承诺书</w:t>
      </w:r>
    </w:p>
    <w:p>
      <w:pPr>
        <w:widowControl/>
        <w:spacing w:line="500" w:lineRule="exact"/>
        <w:ind w:firstLine="240" w:firstLineChars="100"/>
        <w:jc w:val="left"/>
        <w:rPr>
          <w:rFonts w:ascii="宋体" w:hAnsi="宋体" w:cs="宋体"/>
          <w:color w:val="auto"/>
          <w:kern w:val="0"/>
          <w:sz w:val="24"/>
        </w:rPr>
      </w:pPr>
      <w:r>
        <w:rPr>
          <w:rFonts w:hint="eastAsia" w:ascii="宋体" w:hAnsi="宋体" w:cs="宋体"/>
          <w:color w:val="auto"/>
          <w:kern w:val="0"/>
          <w:sz w:val="24"/>
        </w:rPr>
        <w:t>（2）开标一览表</w:t>
      </w:r>
    </w:p>
    <w:p>
      <w:pPr>
        <w:widowControl/>
        <w:numPr>
          <w:ilvl w:val="0"/>
          <w:numId w:val="2"/>
        </w:numPr>
        <w:spacing w:line="500" w:lineRule="exact"/>
        <w:ind w:firstLine="240" w:firstLineChars="100"/>
        <w:jc w:val="left"/>
        <w:rPr>
          <w:rFonts w:ascii="宋体" w:hAnsi="宋体" w:cs="宋体"/>
          <w:color w:val="auto"/>
          <w:kern w:val="0"/>
          <w:sz w:val="24"/>
        </w:rPr>
      </w:pPr>
      <w:r>
        <w:rPr>
          <w:rFonts w:hint="eastAsia" w:ascii="宋体" w:hAnsi="宋体" w:cs="宋体"/>
          <w:color w:val="auto"/>
          <w:kern w:val="0"/>
          <w:sz w:val="24"/>
        </w:rPr>
        <w:t>法定代表人身份证明书或授权委托书</w:t>
      </w:r>
    </w:p>
    <w:p>
      <w:pPr>
        <w:widowControl/>
        <w:spacing w:line="500" w:lineRule="exact"/>
        <w:ind w:firstLine="240" w:firstLineChars="100"/>
        <w:jc w:val="left"/>
        <w:rPr>
          <w:rFonts w:ascii="宋体" w:hAnsi="宋体" w:cs="宋体"/>
          <w:color w:val="auto"/>
          <w:kern w:val="0"/>
          <w:sz w:val="24"/>
        </w:rPr>
      </w:pPr>
      <w:r>
        <w:rPr>
          <w:rFonts w:hint="eastAsia" w:ascii="宋体" w:hAnsi="宋体"/>
          <w:bCs/>
          <w:color w:val="auto"/>
          <w:sz w:val="24"/>
        </w:rPr>
        <w:t>（4）</w:t>
      </w:r>
      <w:r>
        <w:rPr>
          <w:rFonts w:hint="eastAsia" w:ascii="宋体" w:hAnsi="宋体" w:cs="宋体"/>
          <w:color w:val="auto"/>
          <w:kern w:val="0"/>
          <w:sz w:val="24"/>
        </w:rPr>
        <w:t>投标资格证明文件</w:t>
      </w:r>
    </w:p>
    <w:p>
      <w:pPr>
        <w:widowControl/>
        <w:spacing w:line="500" w:lineRule="exact"/>
        <w:ind w:firstLine="240" w:firstLineChars="100"/>
        <w:jc w:val="left"/>
        <w:rPr>
          <w:rFonts w:ascii="宋体" w:hAnsi="宋体"/>
          <w:bCs/>
          <w:color w:val="auto"/>
          <w:sz w:val="24"/>
        </w:rPr>
      </w:pPr>
      <w:r>
        <w:rPr>
          <w:rFonts w:hint="eastAsia" w:ascii="宋体" w:hAnsi="宋体"/>
          <w:bCs/>
          <w:color w:val="auto"/>
          <w:sz w:val="24"/>
        </w:rPr>
        <w:t>（5）投标保证金退还申请书</w:t>
      </w:r>
    </w:p>
    <w:p>
      <w:pPr>
        <w:widowControl/>
        <w:spacing w:line="500" w:lineRule="exact"/>
        <w:jc w:val="left"/>
        <w:rPr>
          <w:rFonts w:ascii="宋体" w:hAnsi="宋体" w:cs="宋体"/>
          <w:color w:val="auto"/>
          <w:kern w:val="0"/>
          <w:sz w:val="24"/>
        </w:rPr>
      </w:pPr>
      <w:r>
        <w:rPr>
          <w:rFonts w:hint="eastAsia" w:ascii="宋体" w:hAnsi="宋体" w:cs="宋体"/>
          <w:color w:val="auto"/>
          <w:kern w:val="0"/>
          <w:sz w:val="24"/>
        </w:rPr>
        <w:t>同时，签字代表宣布承诺如下：</w:t>
      </w:r>
    </w:p>
    <w:p>
      <w:pPr>
        <w:widowControl/>
        <w:spacing w:line="500" w:lineRule="exact"/>
        <w:ind w:firstLine="480"/>
        <w:jc w:val="left"/>
        <w:rPr>
          <w:rFonts w:ascii="宋体" w:hAnsi="宋体" w:cs="宋体"/>
          <w:color w:val="auto"/>
          <w:kern w:val="0"/>
          <w:sz w:val="24"/>
        </w:rPr>
      </w:pPr>
      <w:r>
        <w:rPr>
          <w:rFonts w:hint="eastAsia" w:ascii="宋体" w:hAnsi="宋体" w:cs="宋体"/>
          <w:color w:val="auto"/>
          <w:kern w:val="0"/>
          <w:sz w:val="24"/>
        </w:rPr>
        <w:t>⑴投标人已详细阅读全部招标文件（含修改文件），并理解其实质性内容，同意承担其规定的全部义务和相关责任。</w:t>
      </w:r>
    </w:p>
    <w:p>
      <w:pPr>
        <w:widowControl/>
        <w:spacing w:line="500" w:lineRule="exact"/>
        <w:ind w:firstLine="480"/>
        <w:jc w:val="left"/>
        <w:rPr>
          <w:rFonts w:ascii="宋体" w:hAnsi="宋体" w:cs="宋体"/>
          <w:color w:val="auto"/>
          <w:kern w:val="0"/>
          <w:sz w:val="24"/>
        </w:rPr>
      </w:pPr>
      <w:r>
        <w:rPr>
          <w:rFonts w:hint="eastAsia" w:ascii="宋体" w:hAnsi="宋体" w:cs="宋体"/>
          <w:color w:val="auto"/>
          <w:kern w:val="0"/>
          <w:sz w:val="24"/>
        </w:rPr>
        <w:t>⑵投标人严格按照招标文件的规定报价，如被确定为中标人后，将全面履行合同。</w:t>
      </w:r>
    </w:p>
    <w:p>
      <w:pPr>
        <w:widowControl/>
        <w:spacing w:line="500" w:lineRule="exact"/>
        <w:ind w:firstLine="480"/>
        <w:jc w:val="left"/>
        <w:rPr>
          <w:rFonts w:ascii="宋体" w:hAnsi="宋体" w:cs="宋体"/>
          <w:color w:val="auto"/>
          <w:kern w:val="0"/>
          <w:sz w:val="24"/>
        </w:rPr>
      </w:pPr>
      <w:r>
        <w:rPr>
          <w:rFonts w:hint="eastAsia" w:ascii="宋体" w:hAnsi="宋体" w:cs="宋体"/>
          <w:color w:val="auto"/>
          <w:kern w:val="0"/>
          <w:sz w:val="24"/>
        </w:rPr>
        <w:t>⑶投标人在交付相应保证金后，如出现串标、毁标、中标后不签订合同、签订合同后未按时供货或所供货物存有质量问题等违规行为，招标人有权没收该保证金。</w:t>
      </w:r>
    </w:p>
    <w:p>
      <w:pPr>
        <w:widowControl/>
        <w:spacing w:line="500" w:lineRule="exact"/>
        <w:ind w:firstLine="480"/>
        <w:jc w:val="left"/>
        <w:rPr>
          <w:rFonts w:ascii="宋体" w:hAnsi="宋体" w:cs="宋体"/>
          <w:color w:val="auto"/>
          <w:kern w:val="0"/>
          <w:sz w:val="24"/>
        </w:rPr>
      </w:pPr>
      <w:r>
        <w:rPr>
          <w:rFonts w:hint="eastAsia" w:ascii="宋体" w:hAnsi="宋体" w:cs="宋体"/>
          <w:color w:val="auto"/>
          <w:kern w:val="0"/>
          <w:sz w:val="24"/>
        </w:rPr>
        <w:t>⑷我方完全理解并接受贵方不以最低报价作为确定中标人的唯一条件，而是以各投标人综合实力而定。</w:t>
      </w:r>
    </w:p>
    <w:p>
      <w:pPr>
        <w:widowControl/>
        <w:spacing w:line="500" w:lineRule="exact"/>
        <w:ind w:firstLine="480"/>
        <w:jc w:val="left"/>
        <w:rPr>
          <w:rFonts w:ascii="宋体" w:hAnsi="宋体" w:cs="宋体"/>
          <w:color w:val="auto"/>
          <w:kern w:val="0"/>
          <w:sz w:val="24"/>
        </w:rPr>
      </w:pPr>
      <w:r>
        <w:rPr>
          <w:rFonts w:hint="eastAsia" w:ascii="宋体" w:hAnsi="宋体" w:cs="宋体"/>
          <w:color w:val="auto"/>
          <w:kern w:val="0"/>
          <w:sz w:val="24"/>
        </w:rPr>
        <w:t>⑸投标人同意提供招标人可能要求的与其投标有关的一切数据或资料。</w:t>
      </w:r>
    </w:p>
    <w:p>
      <w:pPr>
        <w:widowControl/>
        <w:spacing w:line="500" w:lineRule="exact"/>
        <w:ind w:firstLine="480"/>
        <w:jc w:val="left"/>
        <w:rPr>
          <w:rFonts w:ascii="宋体" w:hAnsi="宋体" w:cs="宋体"/>
          <w:color w:val="auto"/>
          <w:kern w:val="0"/>
          <w:sz w:val="24"/>
        </w:rPr>
      </w:pPr>
      <w:r>
        <w:rPr>
          <w:rFonts w:hint="eastAsia" w:ascii="宋体" w:hAnsi="宋体" w:cs="宋体"/>
          <w:color w:val="auto"/>
          <w:kern w:val="0"/>
          <w:sz w:val="24"/>
        </w:rPr>
        <w:t>特此承诺。</w:t>
      </w:r>
    </w:p>
    <w:p>
      <w:pPr>
        <w:pStyle w:val="2"/>
        <w:ind w:firstLine="240"/>
        <w:rPr>
          <w:rFonts w:ascii="宋体" w:hAnsi="宋体" w:cs="宋体"/>
          <w:color w:val="auto"/>
          <w:kern w:val="0"/>
          <w:sz w:val="24"/>
        </w:rPr>
      </w:pPr>
    </w:p>
    <w:p>
      <w:pPr>
        <w:pStyle w:val="2"/>
        <w:ind w:firstLine="240"/>
        <w:rPr>
          <w:rFonts w:ascii="宋体" w:hAnsi="宋体" w:cs="宋体"/>
          <w:color w:val="auto"/>
          <w:kern w:val="0"/>
          <w:sz w:val="24"/>
        </w:rPr>
      </w:pPr>
    </w:p>
    <w:p>
      <w:pPr>
        <w:pStyle w:val="2"/>
        <w:ind w:firstLine="240"/>
        <w:rPr>
          <w:rFonts w:ascii="宋体" w:hAnsi="宋体" w:cs="宋体"/>
          <w:color w:val="auto"/>
          <w:kern w:val="0"/>
          <w:sz w:val="24"/>
        </w:rPr>
      </w:pPr>
    </w:p>
    <w:p>
      <w:pPr>
        <w:widowControl/>
        <w:spacing w:line="500" w:lineRule="exact"/>
        <w:ind w:left="480"/>
        <w:jc w:val="left"/>
        <w:rPr>
          <w:rFonts w:ascii="宋体" w:hAnsi="宋体" w:cs="宋体"/>
          <w:color w:val="auto"/>
          <w:kern w:val="0"/>
          <w:sz w:val="24"/>
        </w:rPr>
      </w:pPr>
      <w:r>
        <w:rPr>
          <w:rFonts w:hint="eastAsia" w:ascii="宋体" w:hAnsi="宋体" w:cs="宋体"/>
          <w:color w:val="auto"/>
          <w:kern w:val="0"/>
          <w:sz w:val="24"/>
        </w:rPr>
        <w:t xml:space="preserve">                                            投标人（公章）：</w:t>
      </w:r>
    </w:p>
    <w:p>
      <w:pPr>
        <w:widowControl/>
        <w:spacing w:line="500" w:lineRule="exact"/>
        <w:ind w:left="480"/>
        <w:jc w:val="left"/>
        <w:rPr>
          <w:rFonts w:ascii="宋体" w:hAnsi="宋体" w:cs="宋体"/>
          <w:color w:val="auto"/>
          <w:kern w:val="0"/>
          <w:sz w:val="24"/>
        </w:rPr>
      </w:pPr>
      <w:r>
        <w:rPr>
          <w:rFonts w:hint="eastAsia" w:ascii="宋体" w:hAnsi="宋体" w:cs="宋体"/>
          <w:color w:val="auto"/>
          <w:kern w:val="0"/>
          <w:sz w:val="24"/>
        </w:rPr>
        <w:t xml:space="preserve">                                            授权代表（签字）：</w:t>
      </w:r>
    </w:p>
    <w:p>
      <w:pPr>
        <w:widowControl/>
        <w:spacing w:line="500" w:lineRule="exact"/>
        <w:ind w:left="480" w:firstLine="240"/>
        <w:jc w:val="left"/>
        <w:rPr>
          <w:rFonts w:ascii="宋体" w:hAnsi="宋体" w:cs="宋体"/>
          <w:color w:val="auto"/>
          <w:kern w:val="0"/>
          <w:sz w:val="24"/>
        </w:rPr>
      </w:pPr>
      <w:r>
        <w:rPr>
          <w:rFonts w:hint="eastAsia" w:ascii="宋体" w:hAnsi="宋体" w:cs="宋体"/>
          <w:color w:val="auto"/>
          <w:kern w:val="0"/>
          <w:sz w:val="24"/>
        </w:rPr>
        <w:t xml:space="preserve">                                                 年    月    日</w:t>
      </w:r>
    </w:p>
    <w:p>
      <w:pPr>
        <w:pStyle w:val="2"/>
        <w:ind w:firstLine="0" w:firstLineChars="0"/>
        <w:rPr>
          <w:color w:val="auto"/>
        </w:rPr>
      </w:pPr>
    </w:p>
    <w:p>
      <w:pPr>
        <w:pStyle w:val="2"/>
        <w:ind w:firstLine="0" w:firstLineChars="0"/>
        <w:rPr>
          <w:color w:val="auto"/>
        </w:rPr>
      </w:pPr>
    </w:p>
    <w:p>
      <w:pPr>
        <w:widowControl/>
        <w:spacing w:before="100" w:beforeAutospacing="1" w:line="500" w:lineRule="exact"/>
        <w:ind w:firstLine="354" w:firstLineChars="147"/>
        <w:jc w:val="center"/>
        <w:rPr>
          <w:rFonts w:ascii="宋体" w:hAnsi="宋体" w:cs="宋体"/>
          <w:b/>
          <w:color w:val="auto"/>
          <w:kern w:val="0"/>
          <w:sz w:val="24"/>
        </w:rPr>
      </w:pPr>
      <w:r>
        <w:rPr>
          <w:rFonts w:hint="eastAsia" w:ascii="宋体" w:hAnsi="宋体" w:cs="宋体"/>
          <w:b/>
          <w:color w:val="auto"/>
          <w:kern w:val="0"/>
          <w:sz w:val="24"/>
        </w:rPr>
        <w:t>二、开标一览表</w:t>
      </w:r>
    </w:p>
    <w:p>
      <w:pPr>
        <w:widowControl/>
        <w:spacing w:line="520" w:lineRule="exact"/>
        <w:jc w:val="left"/>
        <w:rPr>
          <w:rFonts w:ascii="宋体" w:hAnsi="宋体" w:cs="宋体"/>
          <w:b/>
          <w:color w:val="auto"/>
          <w:kern w:val="0"/>
          <w:sz w:val="24"/>
        </w:rPr>
      </w:pPr>
    </w:p>
    <w:tbl>
      <w:tblPr>
        <w:tblStyle w:val="25"/>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266"/>
        <w:gridCol w:w="6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3038"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eastAsia="宋体" w:cs="宋体"/>
                <w:color w:val="auto"/>
                <w:kern w:val="0"/>
                <w:sz w:val="24"/>
              </w:rPr>
            </w:pPr>
            <w:r>
              <w:rPr>
                <w:rFonts w:hint="eastAsia" w:ascii="宋体" w:hAnsi="宋体" w:eastAsia="宋体" w:cs="宋体"/>
                <w:color w:val="auto"/>
                <w:kern w:val="0"/>
                <w:sz w:val="24"/>
              </w:rPr>
              <w:t>项目名称</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kern w:val="0"/>
                <w:sz w:val="24"/>
              </w:rPr>
            </w:pPr>
            <w:r>
              <w:rPr>
                <w:rFonts w:hint="eastAsia" w:ascii="宋体" w:hAnsi="宋体"/>
                <w:color w:val="auto"/>
                <w:sz w:val="24"/>
                <w:szCs w:val="18"/>
              </w:rPr>
              <w:t>沿街商业项目税务师事务所服务招标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3038"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eastAsia="宋体" w:cs="宋体"/>
                <w:color w:val="auto"/>
                <w:kern w:val="0"/>
                <w:sz w:val="24"/>
              </w:rPr>
            </w:pPr>
            <w:r>
              <w:rPr>
                <w:rFonts w:hint="eastAsia" w:ascii="宋体" w:hAnsi="宋体" w:eastAsia="宋体" w:cs="宋体"/>
                <w:color w:val="auto"/>
                <w:kern w:val="0"/>
                <w:sz w:val="24"/>
              </w:rPr>
              <w:t>项目编号</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HBZ-21061-ZGD11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3038"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eastAsia="宋体" w:cs="宋体"/>
                <w:color w:val="auto"/>
                <w:kern w:val="0"/>
                <w:sz w:val="24"/>
              </w:rPr>
            </w:pPr>
            <w:r>
              <w:rPr>
                <w:rFonts w:hint="eastAsia" w:ascii="宋体" w:hAnsi="宋体" w:eastAsia="宋体" w:cs="宋体"/>
                <w:color w:val="auto"/>
                <w:kern w:val="0"/>
                <w:sz w:val="24"/>
              </w:rPr>
              <w:t>投标人全称</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pStyle w:val="27"/>
              <w:widowControl/>
              <w:numPr>
                <w:ilvl w:val="0"/>
                <w:numId w:val="3"/>
              </w:numPr>
              <w:spacing w:line="520" w:lineRule="exact"/>
              <w:ind w:firstLineChars="0"/>
              <w:rPr>
                <w:rFonts w:ascii="宋体" w:hAnsi="宋体" w:eastAsia="宋体" w:cs="宋体"/>
                <w:color w:val="auto"/>
                <w:kern w:val="0"/>
                <w:sz w:val="24"/>
              </w:rPr>
            </w:pPr>
            <w:r>
              <w:rPr>
                <w:rFonts w:hint="eastAsia" w:ascii="宋体" w:hAnsi="宋体" w:eastAsia="宋体" w:cs="宋体"/>
                <w:color w:val="auto"/>
                <w:kern w:val="0"/>
                <w:sz w:val="24"/>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9" w:hRule="atLeast"/>
          <w:jc w:val="center"/>
        </w:trPr>
        <w:tc>
          <w:tcPr>
            <w:tcW w:w="772" w:type="dxa"/>
            <w:tcBorders>
              <w:top w:val="single" w:color="auto" w:sz="4" w:space="0"/>
              <w:left w:val="single" w:color="auto" w:sz="4" w:space="0"/>
              <w:right w:val="single" w:color="auto" w:sz="4" w:space="0"/>
            </w:tcBorders>
            <w:vAlign w:val="center"/>
          </w:tcPr>
          <w:p>
            <w:pPr>
              <w:widowControl/>
              <w:spacing w:line="58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6" w:type="dxa"/>
            <w:tcBorders>
              <w:top w:val="single" w:color="auto" w:sz="4" w:space="0"/>
              <w:left w:val="single" w:color="auto" w:sz="4" w:space="0"/>
              <w:right w:val="single" w:color="auto" w:sz="4" w:space="0"/>
            </w:tcBorders>
            <w:vAlign w:val="center"/>
          </w:tcPr>
          <w:p>
            <w:pPr>
              <w:spacing w:line="580" w:lineRule="exact"/>
              <w:jc w:val="center"/>
              <w:rPr>
                <w:rFonts w:ascii="宋体" w:hAnsi="宋体" w:eastAsia="宋体"/>
                <w:color w:val="auto"/>
                <w:kern w:val="28"/>
                <w:sz w:val="24"/>
                <w:highlight w:val="none"/>
                <w:lang/>
              </w:rPr>
            </w:pPr>
            <w:r>
              <w:rPr>
                <w:rFonts w:hint="eastAsia" w:ascii="宋体" w:hAnsi="宋体" w:eastAsia="宋体"/>
                <w:color w:val="auto"/>
                <w:kern w:val="28"/>
                <w:sz w:val="24"/>
                <w:highlight w:val="none"/>
                <w:lang/>
              </w:rPr>
              <w:t>项目负责人</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jc w:val="center"/>
        </w:trPr>
        <w:tc>
          <w:tcPr>
            <w:tcW w:w="772" w:type="dxa"/>
            <w:tcBorders>
              <w:top w:val="single" w:color="auto" w:sz="4" w:space="0"/>
              <w:left w:val="single" w:color="auto" w:sz="4" w:space="0"/>
              <w:right w:val="single" w:color="auto" w:sz="4" w:space="0"/>
            </w:tcBorders>
            <w:vAlign w:val="center"/>
          </w:tcPr>
          <w:p>
            <w:pPr>
              <w:widowControl/>
              <w:spacing w:line="580" w:lineRule="exact"/>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2</w:t>
            </w:r>
          </w:p>
        </w:tc>
        <w:tc>
          <w:tcPr>
            <w:tcW w:w="2266" w:type="dxa"/>
            <w:tcBorders>
              <w:top w:val="single" w:color="auto" w:sz="4" w:space="0"/>
              <w:left w:val="single" w:color="auto" w:sz="4" w:space="0"/>
              <w:right w:val="single" w:color="auto" w:sz="4" w:space="0"/>
            </w:tcBorders>
            <w:vAlign w:val="center"/>
          </w:tcPr>
          <w:p>
            <w:pPr>
              <w:spacing w:line="580" w:lineRule="exact"/>
              <w:jc w:val="center"/>
              <w:rPr>
                <w:rFonts w:ascii="宋体" w:hAnsi="宋体" w:eastAsia="宋体"/>
                <w:color w:val="auto"/>
                <w:kern w:val="28"/>
                <w:sz w:val="24"/>
                <w:highlight w:val="none"/>
              </w:rPr>
            </w:pPr>
            <w:r>
              <w:rPr>
                <w:rFonts w:hint="eastAsia" w:ascii="宋体" w:hAnsi="宋体" w:eastAsia="宋体"/>
                <w:color w:val="auto"/>
                <w:kern w:val="28"/>
                <w:sz w:val="24"/>
                <w:highlight w:val="none"/>
                <w:lang/>
              </w:rPr>
              <w:t>服务</w:t>
            </w:r>
            <w:r>
              <w:rPr>
                <w:rFonts w:hint="eastAsia" w:ascii="宋体" w:hAnsi="宋体" w:eastAsia="宋体"/>
                <w:color w:val="auto"/>
                <w:kern w:val="28"/>
                <w:sz w:val="24"/>
                <w:highlight w:val="none"/>
              </w:rPr>
              <w:t>期限</w:t>
            </w:r>
          </w:p>
        </w:tc>
        <w:tc>
          <w:tcPr>
            <w:tcW w:w="6715" w:type="dxa"/>
            <w:tcBorders>
              <w:top w:val="single" w:color="auto" w:sz="4" w:space="0"/>
              <w:left w:val="single" w:color="auto" w:sz="4" w:space="0"/>
              <w:bottom w:val="single" w:color="auto" w:sz="4" w:space="0"/>
              <w:right w:val="single" w:color="auto" w:sz="4" w:space="0"/>
            </w:tcBorders>
            <w:vAlign w:val="center"/>
          </w:tcPr>
          <w:p>
            <w:pPr>
              <w:keepNext/>
              <w:keepLines/>
              <w:widowControl/>
              <w:spacing w:before="340" w:after="330" w:line="520" w:lineRule="exact"/>
              <w:jc w:val="center"/>
              <w:rPr>
                <w:rFonts w:ascii="宋体" w:hAnsi="宋体" w:eastAsia="宋体" w:cs="宋体"/>
                <w:color w:val="auto"/>
                <w:kern w:val="0"/>
                <w:sz w:val="24"/>
                <w:highlight w:val="none"/>
              </w:rPr>
            </w:pPr>
            <w:r>
              <w:rPr>
                <w:rFonts w:hint="eastAsia" w:ascii="宋体" w:hAnsi="宋体" w:cs="宋体"/>
                <w:color w:val="auto"/>
                <w:kern w:val="0"/>
                <w:sz w:val="24"/>
                <w:highlight w:val="none"/>
              </w:rPr>
              <w:t>是否响应招标文件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9753" w:type="dxa"/>
            <w:gridSpan w:val="3"/>
            <w:tcBorders>
              <w:top w:val="single" w:color="auto" w:sz="4" w:space="0"/>
              <w:left w:val="single" w:color="auto" w:sz="4" w:space="0"/>
              <w:right w:val="single" w:color="auto" w:sz="4" w:space="0"/>
            </w:tcBorders>
            <w:vAlign w:val="center"/>
          </w:tcPr>
          <w:p>
            <w:pPr>
              <w:widowControl/>
              <w:spacing w:line="52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3" w:hRule="atLeast"/>
          <w:jc w:val="center"/>
        </w:trPr>
        <w:tc>
          <w:tcPr>
            <w:tcW w:w="772" w:type="dxa"/>
            <w:tcBorders>
              <w:top w:val="single" w:color="auto" w:sz="4" w:space="0"/>
              <w:left w:val="single" w:color="auto" w:sz="4" w:space="0"/>
              <w:right w:val="single" w:color="auto" w:sz="4" w:space="0"/>
            </w:tcBorders>
            <w:vAlign w:val="center"/>
          </w:tcPr>
          <w:p>
            <w:pPr>
              <w:widowControl/>
              <w:spacing w:line="52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6" w:type="dxa"/>
            <w:tcBorders>
              <w:top w:val="single" w:color="auto" w:sz="4" w:space="0"/>
              <w:left w:val="single" w:color="auto" w:sz="4" w:space="0"/>
              <w:right w:val="single" w:color="auto" w:sz="4" w:space="0"/>
            </w:tcBorders>
            <w:vAlign w:val="center"/>
          </w:tcPr>
          <w:p>
            <w:pPr>
              <w:widowControl/>
              <w:spacing w:line="52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w:t>
            </w:r>
          </w:p>
        </w:tc>
        <w:tc>
          <w:tcPr>
            <w:tcW w:w="6715" w:type="dxa"/>
            <w:tcBorders>
              <w:top w:val="single" w:color="auto" w:sz="4" w:space="0"/>
              <w:left w:val="single" w:color="auto" w:sz="4" w:space="0"/>
              <w:right w:val="single" w:color="auto" w:sz="4" w:space="0"/>
            </w:tcBorders>
            <w:vAlign w:val="center"/>
          </w:tcPr>
          <w:p>
            <w:pPr>
              <w:widowControl/>
              <w:spacing w:line="520" w:lineRule="exact"/>
              <w:jc w:val="left"/>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eastAsia="宋体"/>
                <w:color w:val="auto"/>
                <w:kern w:val="28"/>
                <w:sz w:val="24"/>
                <w:highlight w:val="none"/>
                <w:lang/>
              </w:rPr>
            </w:pPr>
            <w:r>
              <w:rPr>
                <w:rFonts w:hint="eastAsia"/>
                <w:color w:val="auto"/>
                <w:kern w:val="28"/>
                <w:sz w:val="24"/>
                <w:highlight w:val="none"/>
                <w:lang/>
              </w:rPr>
              <w:t>付款方式</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eastAsia="宋体" w:cs="宋体"/>
                <w:color w:val="auto"/>
                <w:kern w:val="0"/>
                <w:sz w:val="24"/>
                <w:highlight w:val="none"/>
              </w:rPr>
            </w:pPr>
            <w:r>
              <w:rPr>
                <w:rFonts w:hint="eastAsia" w:ascii="宋体" w:hAnsi="宋体" w:cs="宋体"/>
                <w:color w:val="auto"/>
                <w:kern w:val="0"/>
                <w:sz w:val="24"/>
                <w:highlight w:val="none"/>
              </w:rPr>
              <w:t>是否响应招标文件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eastAsia="宋体"/>
                <w:color w:val="auto"/>
                <w:kern w:val="28"/>
                <w:sz w:val="24"/>
                <w:highlight w:val="none"/>
                <w:lang/>
              </w:rPr>
            </w:pPr>
            <w:r>
              <w:rPr>
                <w:rFonts w:hint="eastAsia" w:ascii="宋体" w:hAnsi="宋体" w:eastAsia="宋体"/>
                <w:color w:val="auto"/>
                <w:kern w:val="28"/>
                <w:sz w:val="24"/>
                <w:highlight w:val="none"/>
                <w:lang/>
              </w:rPr>
              <w:t>备注</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上述投标报价包括本项目全部内容及服务期的成本、利润、税金等所有费用。</w:t>
            </w:r>
          </w:p>
        </w:tc>
      </w:tr>
    </w:tbl>
    <w:p>
      <w:pPr>
        <w:widowControl/>
        <w:spacing w:line="600" w:lineRule="exact"/>
        <w:jc w:val="left"/>
        <w:rPr>
          <w:rFonts w:ascii="宋体" w:hAnsi="宋体" w:eastAsia="宋体"/>
          <w:color w:val="auto"/>
          <w:sz w:val="24"/>
          <w:highlight w:val="none"/>
        </w:rPr>
      </w:pPr>
      <w:r>
        <w:rPr>
          <w:rFonts w:hint="eastAsia" w:ascii="宋体" w:hAnsi="宋体" w:eastAsia="宋体"/>
          <w:color w:val="auto"/>
          <w:sz w:val="24"/>
          <w:highlight w:val="none"/>
        </w:rPr>
        <w:t>注：</w:t>
      </w:r>
      <w:r>
        <w:rPr>
          <w:rFonts w:ascii="宋体" w:hAnsi="宋体" w:eastAsia="宋体"/>
          <w:color w:val="auto"/>
          <w:sz w:val="24"/>
          <w:highlight w:val="none"/>
        </w:rPr>
        <w:t>1.本项目投标人</w:t>
      </w:r>
      <w:r>
        <w:rPr>
          <w:rFonts w:hint="eastAsia" w:ascii="宋体" w:hAnsi="宋体" w:eastAsia="宋体"/>
          <w:color w:val="auto"/>
          <w:sz w:val="24"/>
          <w:highlight w:val="none"/>
        </w:rPr>
        <w:t>应完全响应项目招标服务时限填写《开标一览表》。</w:t>
      </w:r>
    </w:p>
    <w:p>
      <w:pPr>
        <w:widowControl/>
        <w:spacing w:line="60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2.与中标单位签订的《</w:t>
      </w:r>
      <w:r>
        <w:rPr>
          <w:rFonts w:hint="eastAsia" w:ascii="宋体" w:hAnsi="宋体" w:eastAsia="宋体"/>
          <w:color w:val="auto"/>
          <w:sz w:val="24"/>
          <w:highlight w:val="none"/>
        </w:rPr>
        <w:t>税务师事务所服务业务合同》为本标书之不可分割的一部分。</w:t>
      </w:r>
    </w:p>
    <w:p>
      <w:pPr>
        <w:widowControl/>
        <w:spacing w:line="800" w:lineRule="exact"/>
        <w:jc w:val="left"/>
        <w:rPr>
          <w:rFonts w:ascii="宋体" w:hAnsi="宋体" w:cs="宋体"/>
          <w:b/>
          <w:color w:val="auto"/>
          <w:kern w:val="0"/>
          <w:sz w:val="24"/>
        </w:rPr>
      </w:pPr>
      <w:r>
        <w:rPr>
          <w:rFonts w:hint="eastAsia" w:ascii="宋体" w:hAnsi="宋体" w:cs="宋体"/>
          <w:b/>
          <w:color w:val="auto"/>
          <w:kern w:val="0"/>
          <w:sz w:val="24"/>
          <w:highlight w:val="none"/>
        </w:rPr>
        <w:t>投标人（签章）：                                授权代表（签字）：</w:t>
      </w:r>
    </w:p>
    <w:p>
      <w:pPr>
        <w:widowControl/>
        <w:spacing w:line="800" w:lineRule="exact"/>
        <w:jc w:val="left"/>
        <w:rPr>
          <w:rFonts w:ascii="宋体" w:hAnsi="宋体" w:cs="宋体"/>
          <w:b/>
          <w:color w:val="auto"/>
          <w:kern w:val="0"/>
          <w:sz w:val="24"/>
        </w:rPr>
      </w:pPr>
      <w:r>
        <w:rPr>
          <w:rFonts w:hint="eastAsia" w:ascii="宋体" w:hAnsi="宋体" w:cs="宋体"/>
          <w:b/>
          <w:color w:val="auto"/>
          <w:kern w:val="0"/>
          <w:sz w:val="24"/>
        </w:rPr>
        <w:t>联系方式：                                      二〇二一年月日</w:t>
      </w:r>
    </w:p>
    <w:p>
      <w:pPr>
        <w:pStyle w:val="2"/>
        <w:ind w:firstLine="241" w:firstLineChars="0"/>
        <w:rPr>
          <w:rFonts w:ascii="宋体" w:hAnsi="宋体" w:cs="宋体"/>
          <w:b/>
          <w:color w:val="auto"/>
          <w:kern w:val="0"/>
          <w:sz w:val="24"/>
        </w:rPr>
      </w:pPr>
      <w:bookmarkStart w:id="13" w:name="_Hlt509738950"/>
      <w:bookmarkEnd w:id="13"/>
    </w:p>
    <w:p>
      <w:pPr>
        <w:pStyle w:val="2"/>
        <w:ind w:firstLine="241" w:firstLineChars="0"/>
        <w:rPr>
          <w:rFonts w:ascii="宋体" w:hAnsi="宋体" w:cs="宋体"/>
          <w:b/>
          <w:color w:val="auto"/>
          <w:kern w:val="0"/>
          <w:sz w:val="24"/>
        </w:rPr>
      </w:pPr>
    </w:p>
    <w:p>
      <w:pPr>
        <w:widowControl/>
        <w:spacing w:before="100" w:beforeAutospacing="1" w:line="500" w:lineRule="exact"/>
        <w:ind w:firstLine="354" w:firstLineChars="147"/>
        <w:jc w:val="center"/>
        <w:rPr>
          <w:rFonts w:ascii="宋体" w:hAnsi="宋体" w:cs="宋体"/>
          <w:b/>
          <w:color w:val="auto"/>
          <w:kern w:val="0"/>
          <w:sz w:val="24"/>
        </w:rPr>
      </w:pPr>
      <w:r>
        <w:rPr>
          <w:rFonts w:hint="eastAsia" w:ascii="宋体" w:hAnsi="宋体" w:cs="宋体"/>
          <w:b/>
          <w:color w:val="auto"/>
          <w:kern w:val="0"/>
          <w:sz w:val="24"/>
        </w:rPr>
        <w:t>三、法定代表人身份证明书</w:t>
      </w:r>
    </w:p>
    <w:p>
      <w:pPr>
        <w:spacing w:line="360" w:lineRule="auto"/>
        <w:ind w:firstLine="480" w:firstLineChars="200"/>
        <w:rPr>
          <w:rFonts w:ascii="宋体" w:hAnsi="宋体" w:cs="宋体"/>
          <w:color w:val="auto"/>
          <w:sz w:val="24"/>
        </w:rPr>
      </w:pPr>
    </w:p>
    <w:p>
      <w:pPr>
        <w:spacing w:line="360" w:lineRule="auto"/>
        <w:ind w:firstLine="480" w:firstLineChars="200"/>
        <w:rPr>
          <w:rFonts w:ascii="宋体" w:hAnsi="宋体" w:cs="宋体"/>
          <w:color w:val="auto"/>
          <w:sz w:val="24"/>
        </w:rPr>
      </w:pP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单位名称：</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单位性质：</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经营期限：</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 xml:space="preserve"> 性    别：</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 xml:space="preserve"> 职    务：</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身份证号</w:t>
      </w:r>
      <w:r>
        <w:rPr>
          <w:rFonts w:hint="eastAsia" w:ascii="宋体" w:hAnsi="宋体" w:cs="宋体"/>
          <w:color w:val="auto"/>
          <w:sz w:val="24"/>
          <w:u w:val="single"/>
        </w:rPr>
        <w:t xml:space="preserve">：                                </w:t>
      </w:r>
      <w:r>
        <w:rPr>
          <w:rFonts w:hint="eastAsia" w:ascii="宋体" w:hAnsi="宋体" w:cs="宋体"/>
          <w:color w:val="auto"/>
          <w:sz w:val="24"/>
        </w:rPr>
        <w:t>系</w:t>
      </w:r>
      <w:r>
        <w:rPr>
          <w:rFonts w:hint="eastAsia" w:ascii="宋体" w:hAnsi="宋体" w:cs="宋体"/>
          <w:color w:val="auto"/>
          <w:sz w:val="24"/>
          <w:u w:val="single"/>
        </w:rPr>
        <w:t xml:space="preserve">           (投标人名称）</w:t>
      </w:r>
      <w:r>
        <w:rPr>
          <w:rFonts w:hint="eastAsia" w:ascii="宋体" w:hAnsi="宋体" w:cs="宋体"/>
          <w:color w:val="auto"/>
          <w:sz w:val="24"/>
        </w:rPr>
        <w:t>的法定代表人。</w:t>
      </w:r>
    </w:p>
    <w:p>
      <w:pPr>
        <w:pStyle w:val="2"/>
      </w:pPr>
    </w:p>
    <w:p>
      <w:pPr>
        <w:spacing w:line="360" w:lineRule="auto"/>
        <w:ind w:firstLine="480" w:firstLineChars="200"/>
        <w:rPr>
          <w:rFonts w:ascii="宋体" w:hAnsi="宋体" w:cs="宋体"/>
          <w:b/>
          <w:color w:val="auto"/>
          <w:sz w:val="24"/>
        </w:rPr>
      </w:pPr>
      <w:r>
        <w:rPr>
          <w:rFonts w:hint="eastAsia" w:ascii="宋体" w:hAnsi="宋体" w:cs="宋体"/>
          <w:color w:val="auto"/>
          <w:sz w:val="24"/>
        </w:rPr>
        <w:t>特此证明。</w:t>
      </w:r>
    </w:p>
    <w:p>
      <w:pPr>
        <w:tabs>
          <w:tab w:val="left" w:pos="720"/>
          <w:tab w:val="left" w:pos="900"/>
        </w:tabs>
        <w:spacing w:line="360" w:lineRule="auto"/>
        <w:ind w:firstLine="600" w:firstLineChars="200"/>
        <w:rPr>
          <w:rFonts w:ascii="仿宋" w:hAnsi="仿宋" w:eastAsia="仿宋"/>
          <w:color w:val="auto"/>
          <w:sz w:val="30"/>
          <w:szCs w:val="30"/>
        </w:rPr>
      </w:pPr>
    </w:p>
    <w:p>
      <w:pPr>
        <w:pStyle w:val="2"/>
      </w:pPr>
    </w:p>
    <w:p>
      <w:pPr>
        <w:tabs>
          <w:tab w:val="left" w:pos="720"/>
          <w:tab w:val="left" w:pos="900"/>
        </w:tabs>
        <w:spacing w:line="360" w:lineRule="auto"/>
        <w:ind w:firstLine="480" w:firstLineChars="200"/>
        <w:jc w:val="right"/>
        <w:rPr>
          <w:rFonts w:ascii="宋体" w:hAnsi="宋体" w:cs="宋体"/>
          <w:color w:val="auto"/>
          <w:sz w:val="24"/>
          <w:u w:val="single"/>
        </w:rPr>
      </w:pPr>
      <w:r>
        <w:rPr>
          <w:rFonts w:hint="eastAsia" w:ascii="宋体" w:hAnsi="宋体" w:cs="宋体"/>
          <w:color w:val="auto"/>
          <w:sz w:val="24"/>
        </w:rPr>
        <w:t>投标人：</w:t>
      </w:r>
      <w:r>
        <w:rPr>
          <w:rFonts w:hint="eastAsia" w:ascii="宋体" w:hAnsi="宋体" w:cs="宋体"/>
          <w:color w:val="auto"/>
          <w:sz w:val="24"/>
          <w:u w:val="single"/>
        </w:rPr>
        <w:t xml:space="preserve">             （盖公章）</w:t>
      </w:r>
    </w:p>
    <w:p>
      <w:pPr>
        <w:pStyle w:val="2"/>
        <w:ind w:firstLine="210"/>
        <w:rPr>
          <w:color w:val="auto"/>
        </w:rPr>
      </w:pPr>
    </w:p>
    <w:p>
      <w:pPr>
        <w:tabs>
          <w:tab w:val="left" w:pos="720"/>
          <w:tab w:val="left" w:pos="900"/>
        </w:tabs>
        <w:spacing w:line="360" w:lineRule="auto"/>
        <w:ind w:firstLine="480" w:firstLineChars="200"/>
        <w:jc w:val="right"/>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ind w:firstLine="482" w:firstLineChars="200"/>
        <w:rPr>
          <w:rFonts w:ascii="宋体" w:hAnsi="宋体" w:cs="宋体"/>
          <w:b/>
          <w:color w:val="auto"/>
          <w:sz w:val="24"/>
        </w:rPr>
      </w:pPr>
    </w:p>
    <w:p>
      <w:pPr>
        <w:spacing w:line="360" w:lineRule="auto"/>
        <w:ind w:firstLine="482" w:firstLineChars="200"/>
        <w:rPr>
          <w:rFonts w:ascii="宋体" w:hAnsi="宋体" w:cs="宋体"/>
          <w:b/>
          <w:color w:val="auto"/>
          <w:sz w:val="24"/>
        </w:rPr>
      </w:pPr>
      <w:r>
        <w:rPr>
          <w:rFonts w:hint="eastAsia" w:ascii="宋体" w:hAnsi="宋体" w:cs="宋体"/>
          <w:b/>
          <w:color w:val="auto"/>
          <w:sz w:val="24"/>
        </w:rPr>
        <w:t>附：法定代表人身份证复印件。</w:t>
      </w:r>
    </w:p>
    <w:p>
      <w:pPr>
        <w:pStyle w:val="2"/>
        <w:ind w:firstLine="0" w:firstLineChars="0"/>
        <w:rPr>
          <w:b/>
          <w:bCs/>
          <w:color w:val="auto"/>
          <w:sz w:val="28"/>
          <w:szCs w:val="36"/>
        </w:rPr>
      </w:pPr>
    </w:p>
    <w:p>
      <w:pPr>
        <w:pStyle w:val="2"/>
        <w:ind w:firstLine="0" w:firstLineChars="0"/>
        <w:rPr>
          <w:b/>
          <w:bCs/>
          <w:color w:val="auto"/>
          <w:sz w:val="28"/>
          <w:szCs w:val="36"/>
        </w:rPr>
      </w:pPr>
    </w:p>
    <w:p>
      <w:pPr>
        <w:pStyle w:val="2"/>
        <w:ind w:firstLine="0" w:firstLineChars="0"/>
        <w:rPr>
          <w:b/>
          <w:bCs/>
          <w:color w:val="auto"/>
          <w:sz w:val="28"/>
          <w:szCs w:val="36"/>
        </w:rPr>
      </w:pPr>
    </w:p>
    <w:p>
      <w:pPr>
        <w:pStyle w:val="2"/>
        <w:ind w:firstLine="0" w:firstLineChars="0"/>
        <w:rPr>
          <w:b/>
          <w:bCs/>
          <w:color w:val="auto"/>
          <w:sz w:val="28"/>
          <w:szCs w:val="36"/>
        </w:rPr>
      </w:pPr>
    </w:p>
    <w:p>
      <w:pPr>
        <w:pStyle w:val="2"/>
        <w:ind w:firstLine="0" w:firstLineChars="0"/>
        <w:rPr>
          <w:b/>
          <w:bCs/>
          <w:color w:val="auto"/>
          <w:sz w:val="28"/>
          <w:szCs w:val="36"/>
        </w:rPr>
      </w:pPr>
    </w:p>
    <w:p>
      <w:pPr>
        <w:pStyle w:val="2"/>
        <w:ind w:firstLine="0" w:firstLineChars="0"/>
        <w:rPr>
          <w:b/>
          <w:bCs/>
          <w:color w:val="auto"/>
          <w:sz w:val="28"/>
          <w:szCs w:val="36"/>
        </w:rPr>
      </w:pPr>
    </w:p>
    <w:p>
      <w:pPr>
        <w:widowControl/>
        <w:spacing w:line="500" w:lineRule="exact"/>
        <w:ind w:firstLine="354" w:firstLineChars="147"/>
        <w:jc w:val="center"/>
        <w:rPr>
          <w:rFonts w:ascii="宋体" w:hAnsi="宋体" w:cs="宋体"/>
          <w:b/>
          <w:color w:val="auto"/>
          <w:kern w:val="0"/>
          <w:sz w:val="24"/>
        </w:rPr>
      </w:pPr>
      <w:r>
        <w:rPr>
          <w:rFonts w:hint="eastAsia" w:ascii="宋体" w:hAnsi="宋体" w:cs="宋体"/>
          <w:b/>
          <w:color w:val="auto"/>
          <w:kern w:val="0"/>
          <w:sz w:val="24"/>
        </w:rPr>
        <w:t>三、授权委托书</w:t>
      </w:r>
    </w:p>
    <w:p>
      <w:pPr>
        <w:rPr>
          <w:color w:val="auto"/>
        </w:rPr>
      </w:pPr>
    </w:p>
    <w:p>
      <w:pPr>
        <w:spacing w:line="360" w:lineRule="auto"/>
        <w:ind w:firstLine="420"/>
        <w:rPr>
          <w:color w:val="auto"/>
          <w:sz w:val="24"/>
        </w:rPr>
      </w:pPr>
      <w:r>
        <w:rPr>
          <w:rFonts w:hint="eastAsia"/>
          <w:color w:val="auto"/>
          <w:sz w:val="24"/>
        </w:rPr>
        <w:t>本人</w:t>
      </w:r>
      <w:r>
        <w:rPr>
          <w:color w:val="auto"/>
          <w:sz w:val="24"/>
          <w:u w:val="single"/>
        </w:rPr>
        <w:t xml:space="preserve">       </w:t>
      </w:r>
      <w:r>
        <w:rPr>
          <w:rFonts w:hint="eastAsia"/>
          <w:color w:val="auto"/>
          <w:sz w:val="24"/>
        </w:rPr>
        <w:t>（姓名）系</w:t>
      </w:r>
      <w:r>
        <w:rPr>
          <w:color w:val="auto"/>
          <w:sz w:val="24"/>
          <w:u w:val="single"/>
        </w:rPr>
        <w:t xml:space="preserve">                 </w:t>
      </w:r>
      <w:r>
        <w:rPr>
          <w:rFonts w:hint="eastAsia"/>
          <w:color w:val="auto"/>
          <w:sz w:val="24"/>
        </w:rPr>
        <w:t>（投标人名称）的法定代表人，现委托</w:t>
      </w:r>
      <w:r>
        <w:rPr>
          <w:color w:val="auto"/>
          <w:sz w:val="24"/>
          <w:u w:val="single"/>
        </w:rPr>
        <w:t xml:space="preserve">       </w:t>
      </w:r>
      <w:r>
        <w:rPr>
          <w:rFonts w:hint="eastAsia"/>
          <w:color w:val="auto"/>
          <w:sz w:val="24"/>
        </w:rPr>
        <w:t>（姓名）</w:t>
      </w:r>
      <w:r>
        <w:rPr>
          <w:rFonts w:hint="eastAsia"/>
          <w:color w:val="auto"/>
          <w:kern w:val="21"/>
          <w:sz w:val="24"/>
        </w:rPr>
        <w:t>为我方代理人。代理人根据授权，以我方名义签署、澄清、说明、补正、递交、撤回、修改</w:t>
      </w:r>
      <w:r>
        <w:rPr>
          <w:color w:val="auto"/>
          <w:sz w:val="24"/>
          <w:u w:val="single"/>
        </w:rPr>
        <w:t xml:space="preserve">       </w:t>
      </w:r>
      <w:r>
        <w:rPr>
          <w:rFonts w:hint="eastAsia"/>
          <w:color w:val="auto"/>
          <w:sz w:val="24"/>
        </w:rPr>
        <w:t>（项目名称）投标文件、签订合同和处理有关事宜，其法律后果由我方承担。</w:t>
      </w:r>
    </w:p>
    <w:p>
      <w:pPr>
        <w:spacing w:line="360" w:lineRule="auto"/>
        <w:ind w:firstLine="420"/>
        <w:rPr>
          <w:color w:val="auto"/>
          <w:sz w:val="24"/>
          <w:u w:val="single"/>
        </w:rPr>
      </w:pPr>
      <w:r>
        <w:rPr>
          <w:rFonts w:hint="eastAsia"/>
          <w:color w:val="auto"/>
          <w:sz w:val="24"/>
        </w:rPr>
        <w:t>委托期限：</w:t>
      </w:r>
      <w:r>
        <w:rPr>
          <w:color w:val="auto"/>
          <w:sz w:val="24"/>
          <w:u w:val="single"/>
        </w:rPr>
        <w:t xml:space="preserve">                                </w:t>
      </w:r>
    </w:p>
    <w:p>
      <w:pPr>
        <w:spacing w:line="360" w:lineRule="auto"/>
        <w:ind w:firstLine="420"/>
        <w:rPr>
          <w:color w:val="auto"/>
          <w:sz w:val="24"/>
        </w:rPr>
      </w:pPr>
      <w:r>
        <w:rPr>
          <w:rFonts w:hint="eastAsia"/>
          <w:color w:val="auto"/>
          <w:sz w:val="24"/>
        </w:rPr>
        <w:t>代理人无转委托权。</w:t>
      </w:r>
    </w:p>
    <w:p>
      <w:pPr>
        <w:spacing w:line="360" w:lineRule="auto"/>
        <w:ind w:firstLine="3600" w:firstLineChars="1500"/>
        <w:rPr>
          <w:color w:val="auto"/>
          <w:sz w:val="24"/>
        </w:rPr>
      </w:pPr>
    </w:p>
    <w:p>
      <w:pPr>
        <w:spacing w:line="360" w:lineRule="auto"/>
        <w:ind w:firstLine="3600" w:firstLineChars="1500"/>
        <w:rPr>
          <w:color w:val="auto"/>
          <w:sz w:val="24"/>
        </w:rPr>
      </w:pPr>
      <w:r>
        <w:rPr>
          <w:rFonts w:hint="eastAsia"/>
          <w:color w:val="auto"/>
          <w:sz w:val="24"/>
        </w:rPr>
        <w:t>投标人：</w:t>
      </w:r>
      <w:r>
        <w:rPr>
          <w:color w:val="auto"/>
          <w:sz w:val="24"/>
          <w:u w:val="single"/>
        </w:rPr>
        <w:t xml:space="preserve">                </w:t>
      </w:r>
      <w:r>
        <w:rPr>
          <w:rFonts w:hint="eastAsia"/>
          <w:color w:val="auto"/>
          <w:sz w:val="24"/>
        </w:rPr>
        <w:t>（盖单位公章）</w:t>
      </w:r>
    </w:p>
    <w:p>
      <w:pPr>
        <w:spacing w:line="360" w:lineRule="auto"/>
        <w:ind w:firstLine="3600" w:firstLineChars="1500"/>
        <w:rPr>
          <w:color w:val="auto"/>
          <w:sz w:val="24"/>
        </w:rPr>
      </w:pPr>
      <w:r>
        <w:rPr>
          <w:rFonts w:hint="eastAsia"/>
          <w:color w:val="auto"/>
          <w:sz w:val="24"/>
        </w:rPr>
        <w:t>法定代表人：</w:t>
      </w:r>
      <w:r>
        <w:rPr>
          <w:color w:val="auto"/>
          <w:sz w:val="24"/>
          <w:u w:val="single"/>
        </w:rPr>
        <w:t xml:space="preserve">            </w:t>
      </w:r>
      <w:r>
        <w:rPr>
          <w:rFonts w:hint="eastAsia"/>
          <w:color w:val="auto"/>
          <w:sz w:val="24"/>
        </w:rPr>
        <w:t>（签字或盖章）</w:t>
      </w:r>
    </w:p>
    <w:p>
      <w:pPr>
        <w:spacing w:line="360" w:lineRule="auto"/>
        <w:ind w:firstLine="3600" w:firstLineChars="1500"/>
        <w:rPr>
          <w:color w:val="auto"/>
          <w:sz w:val="24"/>
          <w:u w:val="single"/>
        </w:rPr>
      </w:pPr>
      <w:r>
        <w:rPr>
          <w:rFonts w:hint="eastAsia"/>
          <w:color w:val="auto"/>
          <w:sz w:val="24"/>
        </w:rPr>
        <w:t>身份证号码：</w:t>
      </w:r>
      <w:r>
        <w:rPr>
          <w:color w:val="auto"/>
          <w:sz w:val="24"/>
          <w:u w:val="single"/>
        </w:rPr>
        <w:t xml:space="preserve">                        </w:t>
      </w:r>
    </w:p>
    <w:p>
      <w:pPr>
        <w:spacing w:line="360" w:lineRule="auto"/>
        <w:ind w:firstLine="3600" w:firstLineChars="1500"/>
        <w:rPr>
          <w:color w:val="auto"/>
          <w:sz w:val="24"/>
        </w:rPr>
      </w:pPr>
      <w:r>
        <w:rPr>
          <w:rFonts w:hint="eastAsia"/>
          <w:color w:val="auto"/>
          <w:sz w:val="24"/>
        </w:rPr>
        <w:t>委托代理人：</w:t>
      </w:r>
      <w:r>
        <w:rPr>
          <w:color w:val="auto"/>
          <w:sz w:val="24"/>
          <w:u w:val="single"/>
        </w:rPr>
        <w:t xml:space="preserve">            </w:t>
      </w:r>
      <w:r>
        <w:rPr>
          <w:rFonts w:hint="eastAsia"/>
          <w:color w:val="auto"/>
          <w:sz w:val="24"/>
        </w:rPr>
        <w:t>（签字或盖章）</w:t>
      </w:r>
    </w:p>
    <w:p>
      <w:pPr>
        <w:spacing w:line="500" w:lineRule="exact"/>
        <w:ind w:firstLine="3600" w:firstLineChars="1500"/>
        <w:rPr>
          <w:color w:val="auto"/>
          <w:sz w:val="24"/>
          <w:u w:val="single"/>
        </w:rPr>
      </w:pPr>
      <w:r>
        <w:rPr>
          <w:rFonts w:hint="eastAsia"/>
          <w:color w:val="auto"/>
          <w:sz w:val="24"/>
        </w:rPr>
        <w:t>身份证号码：</w:t>
      </w:r>
      <w:r>
        <w:rPr>
          <w:color w:val="auto"/>
          <w:sz w:val="24"/>
          <w:u w:val="single"/>
        </w:rPr>
        <w:t xml:space="preserve"> </w:t>
      </w:r>
      <w:r>
        <w:rPr>
          <w:rFonts w:hint="eastAsia"/>
          <w:color w:val="auto"/>
          <w:sz w:val="24"/>
          <w:u w:val="single"/>
        </w:rPr>
        <w:t xml:space="preserve">                      </w:t>
      </w:r>
      <w:r>
        <w:rPr>
          <w:color w:val="auto"/>
          <w:sz w:val="24"/>
          <w:u w:val="single"/>
        </w:rPr>
        <w:t xml:space="preserve"> </w:t>
      </w:r>
    </w:p>
    <w:p>
      <w:pPr>
        <w:pStyle w:val="2"/>
        <w:ind w:firstLine="210"/>
        <w:rPr>
          <w:color w:val="auto"/>
        </w:rPr>
      </w:pPr>
    </w:p>
    <w:p>
      <w:pPr>
        <w:spacing w:line="360" w:lineRule="auto"/>
        <w:ind w:firstLine="5040"/>
        <w:jc w:val="right"/>
        <w:rPr>
          <w:color w:val="auto"/>
          <w:sz w:val="24"/>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pStyle w:val="2"/>
        <w:ind w:firstLine="210"/>
        <w:rPr>
          <w:color w:val="auto"/>
        </w:rPr>
      </w:pPr>
    </w:p>
    <w:p>
      <w:pPr>
        <w:spacing w:line="500" w:lineRule="exact"/>
        <w:rPr>
          <w:rFonts w:hint="eastAsia" w:ascii="宋体" w:hAnsi="宋体" w:cs="宋体"/>
          <w:color w:val="auto"/>
          <w:sz w:val="24"/>
        </w:rPr>
      </w:pPr>
      <w:r>
        <w:rPr>
          <w:rFonts w:hint="eastAsia" w:ascii="宋体" w:hAnsi="宋体" w:cs="宋体"/>
          <w:color w:val="auto"/>
          <w:sz w:val="24"/>
        </w:rPr>
        <w:t>附：代理人身份证复印件</w:t>
      </w: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pStyle w:val="2"/>
        <w:ind w:firstLine="0" w:firstLineChars="0"/>
        <w:rPr>
          <w:rFonts w:ascii="宋体" w:hAnsi="宋体" w:cs="宋体"/>
          <w:b/>
          <w:color w:val="auto"/>
          <w:kern w:val="0"/>
          <w:sz w:val="24"/>
        </w:rPr>
      </w:pPr>
    </w:p>
    <w:p>
      <w:pPr>
        <w:widowControl/>
        <w:spacing w:line="500" w:lineRule="exact"/>
        <w:ind w:firstLine="354" w:firstLineChars="147"/>
        <w:jc w:val="center"/>
        <w:rPr>
          <w:rFonts w:ascii="宋体" w:hAnsi="宋体" w:cs="宋体"/>
          <w:b/>
          <w:color w:val="auto"/>
          <w:kern w:val="0"/>
          <w:sz w:val="24"/>
        </w:rPr>
      </w:pPr>
      <w:r>
        <w:rPr>
          <w:rFonts w:hint="eastAsia" w:ascii="宋体" w:hAnsi="宋体" w:cs="宋体"/>
          <w:b/>
          <w:color w:val="auto"/>
          <w:kern w:val="0"/>
          <w:sz w:val="24"/>
        </w:rPr>
        <w:t>四、投标资格证明文件</w:t>
      </w:r>
    </w:p>
    <w:p>
      <w:pPr>
        <w:widowControl/>
        <w:spacing w:before="100" w:beforeAutospacing="1" w:line="500" w:lineRule="exact"/>
        <w:jc w:val="left"/>
        <w:rPr>
          <w:rFonts w:ascii="宋体" w:hAnsi="宋体" w:cs="宋体"/>
          <w:b/>
          <w:color w:val="auto"/>
          <w:kern w:val="0"/>
          <w:sz w:val="24"/>
        </w:rPr>
      </w:pPr>
      <w:r>
        <w:rPr>
          <w:rFonts w:hint="eastAsia" w:ascii="宋体" w:hAnsi="宋体" w:cs="宋体"/>
          <w:b/>
          <w:color w:val="auto"/>
          <w:kern w:val="0"/>
          <w:sz w:val="24"/>
        </w:rPr>
        <w:t>投标人除提供“投标人要求”中所列文件外，须相应提供以下资料：</w:t>
      </w:r>
    </w:p>
    <w:p>
      <w:pPr>
        <w:widowControl/>
        <w:spacing w:line="500" w:lineRule="exact"/>
        <w:jc w:val="left"/>
        <w:rPr>
          <w:rFonts w:ascii="宋体" w:hAnsi="宋体" w:cs="宋体"/>
          <w:color w:val="auto"/>
          <w:kern w:val="0"/>
          <w:sz w:val="24"/>
        </w:rPr>
      </w:pPr>
      <w:r>
        <w:rPr>
          <w:rFonts w:hint="eastAsia" w:ascii="宋体" w:hAnsi="宋体" w:cs="宋体"/>
          <w:color w:val="auto"/>
          <w:kern w:val="0"/>
          <w:sz w:val="24"/>
        </w:rPr>
        <w:t>1.营业执照</w:t>
      </w:r>
      <w:r>
        <w:rPr>
          <w:rFonts w:hint="eastAsia" w:ascii="宋体" w:hAnsi="宋体"/>
          <w:bCs/>
          <w:color w:val="auto"/>
          <w:sz w:val="24"/>
        </w:rPr>
        <w:t>副本</w:t>
      </w:r>
      <w:r>
        <w:rPr>
          <w:rFonts w:hint="eastAsia" w:ascii="宋体" w:hAnsi="宋体" w:cs="宋体"/>
          <w:color w:val="auto"/>
          <w:kern w:val="0"/>
          <w:sz w:val="24"/>
        </w:rPr>
        <w:t>（复印件加盖公章）。</w:t>
      </w:r>
    </w:p>
    <w:p>
      <w:pPr>
        <w:widowControl/>
        <w:spacing w:line="500" w:lineRule="exact"/>
        <w:jc w:val="left"/>
        <w:rPr>
          <w:rFonts w:ascii="宋体" w:hAnsi="宋体" w:cs="宋体"/>
          <w:color w:val="auto"/>
          <w:kern w:val="0"/>
          <w:sz w:val="24"/>
        </w:rPr>
      </w:pPr>
      <w:r>
        <w:rPr>
          <w:rFonts w:hint="eastAsia" w:ascii="宋体" w:hAnsi="宋体" w:cs="宋体"/>
          <w:color w:val="auto"/>
          <w:kern w:val="0"/>
          <w:sz w:val="24"/>
        </w:rPr>
        <w:t>2.法人代表资格证明书或法人代表授权书。</w:t>
      </w:r>
    </w:p>
    <w:p>
      <w:pPr>
        <w:widowControl/>
        <w:shd w:val="clear" w:color="010000" w:fill="auto"/>
        <w:snapToGrid/>
        <w:spacing w:line="500" w:lineRule="exact"/>
        <w:jc w:val="left"/>
        <w:rPr>
          <w:rFonts w:hint="eastAsia" w:ascii="宋体" w:hAnsi="宋体" w:cs="宋体"/>
          <w:bCs w:val="0"/>
          <w:color w:val="auto"/>
          <w:kern w:val="0"/>
          <w:sz w:val="24"/>
        </w:rPr>
      </w:pPr>
      <w:r>
        <w:rPr>
          <w:rFonts w:hint="eastAsia" w:ascii="宋体" w:hAnsi="宋体" w:cs="宋体"/>
          <w:bCs w:val="0"/>
          <w:color w:val="auto"/>
          <w:kern w:val="0"/>
          <w:sz w:val="24"/>
        </w:rPr>
        <w:t>3.税务师事务所行政登记证书、2020年会计报表及审计报告复印件。</w:t>
      </w:r>
    </w:p>
    <w:p>
      <w:pPr>
        <w:widowControl/>
        <w:shd w:val="clear" w:color="010000" w:fill="auto"/>
        <w:snapToGrid/>
        <w:spacing w:line="500" w:lineRule="exact"/>
        <w:jc w:val="left"/>
        <w:rPr>
          <w:rFonts w:hint="eastAsia" w:ascii="宋体" w:hAnsi="宋体" w:cs="宋体"/>
          <w:bCs w:val="0"/>
          <w:color w:val="auto"/>
          <w:kern w:val="0"/>
          <w:sz w:val="24"/>
        </w:rPr>
      </w:pPr>
      <w:r>
        <w:rPr>
          <w:rFonts w:hint="eastAsia" w:ascii="宋体" w:hAnsi="宋体" w:cs="宋体"/>
          <w:bCs w:val="0"/>
          <w:color w:val="auto"/>
          <w:kern w:val="0"/>
          <w:sz w:val="24"/>
        </w:rPr>
        <w:t>4.近两年来已完成的房地产开发公司土地增值税清算签证服务工作经验业绩及简介，并附上与委托方签订的合同及已完成土地增值税清算鉴证报告复印件</w:t>
      </w:r>
      <w:r>
        <w:rPr>
          <w:rFonts w:hint="eastAsia" w:ascii="宋体" w:hAnsi="宋体" w:cs="宋体"/>
          <w:bCs w:val="0"/>
          <w:color w:val="auto"/>
          <w:kern w:val="0"/>
          <w:sz w:val="24"/>
          <w:lang w:val="en-US" w:eastAsia="zh-CN"/>
        </w:rPr>
        <w:t>及业主评价证明材料复印件（如有）</w:t>
      </w:r>
      <w:r>
        <w:rPr>
          <w:rFonts w:hint="eastAsia" w:ascii="宋体" w:hAnsi="宋体" w:cs="宋体"/>
          <w:bCs w:val="0"/>
          <w:color w:val="auto"/>
          <w:kern w:val="0"/>
          <w:sz w:val="24"/>
        </w:rPr>
        <w:t>。</w:t>
      </w:r>
    </w:p>
    <w:p>
      <w:pPr>
        <w:widowControl/>
        <w:shd w:val="clear" w:color="010000" w:fill="auto"/>
        <w:snapToGrid/>
        <w:spacing w:line="500" w:lineRule="exact"/>
        <w:jc w:val="left"/>
        <w:rPr>
          <w:rFonts w:hint="eastAsia" w:ascii="宋体" w:hAnsi="宋体" w:cs="宋体"/>
          <w:bCs w:val="0"/>
          <w:color w:val="auto"/>
          <w:kern w:val="0"/>
          <w:sz w:val="24"/>
        </w:rPr>
      </w:pPr>
      <w:r>
        <w:rPr>
          <w:rFonts w:hint="eastAsia" w:ascii="宋体" w:hAnsi="宋体" w:cs="宋体"/>
          <w:bCs w:val="0"/>
          <w:color w:val="auto"/>
          <w:kern w:val="0"/>
          <w:sz w:val="24"/>
        </w:rPr>
        <w:t>5.近两年来为国家税务部门提供土增清算</w:t>
      </w:r>
      <w:r>
        <w:rPr>
          <w:rFonts w:hint="eastAsia" w:ascii="宋体" w:hAnsi="宋体" w:cs="宋体"/>
          <w:bCs w:val="0"/>
          <w:color w:val="auto"/>
          <w:kern w:val="0"/>
          <w:sz w:val="24"/>
          <w:lang w:val="en-US" w:eastAsia="zh-CN"/>
        </w:rPr>
        <w:t>鉴证</w:t>
      </w:r>
      <w:r>
        <w:rPr>
          <w:rFonts w:hint="eastAsia" w:ascii="宋体" w:hAnsi="宋体" w:cs="宋体"/>
          <w:bCs w:val="0"/>
          <w:color w:val="auto"/>
          <w:kern w:val="0"/>
          <w:sz w:val="24"/>
        </w:rPr>
        <w:t>业务或进行相关税务培训业绩及简介，</w:t>
      </w:r>
      <w:r>
        <w:rPr>
          <w:rFonts w:hint="eastAsia" w:ascii="宋体" w:hAnsi="宋体" w:cs="宋体"/>
          <w:bCs w:val="0"/>
          <w:color w:val="auto"/>
          <w:kern w:val="0"/>
          <w:sz w:val="24"/>
          <w:lang w:val="en-US" w:eastAsia="zh-CN"/>
        </w:rPr>
        <w:t>并</w:t>
      </w:r>
      <w:r>
        <w:rPr>
          <w:rFonts w:hint="eastAsia" w:ascii="宋体" w:hAnsi="宋体" w:cs="宋体"/>
          <w:bCs w:val="0"/>
          <w:color w:val="auto"/>
          <w:kern w:val="0"/>
          <w:sz w:val="24"/>
        </w:rPr>
        <w:t>提供与税务局签订的合同复印件及税务局评价证明材料复印件（如有）。</w:t>
      </w:r>
    </w:p>
    <w:p>
      <w:pPr>
        <w:widowControl/>
        <w:shd w:val="clear" w:color="010000" w:fill="auto"/>
        <w:snapToGrid/>
        <w:spacing w:line="500" w:lineRule="exact"/>
        <w:jc w:val="left"/>
        <w:rPr>
          <w:rFonts w:hint="eastAsia" w:ascii="宋体" w:hAnsi="宋体" w:cs="宋体"/>
          <w:bCs w:val="0"/>
          <w:color w:val="auto"/>
          <w:kern w:val="0"/>
          <w:sz w:val="24"/>
        </w:rPr>
      </w:pPr>
      <w:r>
        <w:rPr>
          <w:rFonts w:hint="eastAsia" w:ascii="宋体" w:hAnsi="宋体" w:cs="宋体"/>
          <w:bCs w:val="0"/>
          <w:color w:val="auto"/>
          <w:kern w:val="0"/>
          <w:sz w:val="24"/>
          <w:lang w:val="en-US" w:eastAsia="zh-CN"/>
        </w:rPr>
        <w:t>6.</w:t>
      </w:r>
      <w:r>
        <w:rPr>
          <w:rFonts w:hint="eastAsia" w:ascii="宋体" w:hAnsi="宋体" w:cs="宋体"/>
          <w:bCs w:val="0"/>
          <w:color w:val="auto"/>
          <w:kern w:val="0"/>
          <w:sz w:val="24"/>
        </w:rPr>
        <w:t>本次项目负责人的注册税务师或注册会计师执业资格证书复印件、投标人为其缴纳的社保证明、执业资质证书注册满三年等相关从业经历证明、主持或参与的土地增值税清算鉴证完成情况报告复印件</w:t>
      </w:r>
      <w:r>
        <w:rPr>
          <w:rFonts w:hint="eastAsia" w:ascii="宋体" w:hAnsi="宋体" w:cs="宋体"/>
          <w:bCs w:val="0"/>
          <w:color w:val="auto"/>
          <w:kern w:val="0"/>
          <w:sz w:val="24"/>
          <w:lang w:eastAsia="zh-CN"/>
        </w:rPr>
        <w:t>、</w:t>
      </w:r>
      <w:r>
        <w:rPr>
          <w:rFonts w:hint="eastAsia" w:ascii="宋体" w:hAnsi="宋体" w:cs="宋体"/>
          <w:bCs w:val="0"/>
          <w:color w:val="auto"/>
          <w:kern w:val="0"/>
          <w:sz w:val="24"/>
        </w:rPr>
        <w:t>高级职称证书或荣誉证书</w:t>
      </w:r>
      <w:r>
        <w:rPr>
          <w:rFonts w:hint="eastAsia" w:ascii="宋体" w:hAnsi="宋体" w:cs="宋体"/>
          <w:bCs w:val="0"/>
          <w:color w:val="auto"/>
          <w:kern w:val="0"/>
          <w:sz w:val="24"/>
          <w:lang w:val="en-US" w:eastAsia="zh-CN"/>
        </w:rPr>
        <w:t>复印件（如有）</w:t>
      </w:r>
      <w:r>
        <w:rPr>
          <w:rFonts w:hint="eastAsia" w:ascii="宋体" w:hAnsi="宋体" w:cs="宋体"/>
          <w:bCs w:val="0"/>
          <w:color w:val="auto"/>
          <w:kern w:val="0"/>
          <w:sz w:val="24"/>
        </w:rPr>
        <w:t>。</w:t>
      </w:r>
    </w:p>
    <w:p>
      <w:pPr>
        <w:widowControl/>
        <w:shd w:val="clear" w:color="010000" w:fill="auto"/>
        <w:snapToGrid/>
        <w:spacing w:line="500" w:lineRule="exact"/>
        <w:jc w:val="left"/>
        <w:rPr>
          <w:rFonts w:hint="eastAsia" w:ascii="宋体" w:hAnsi="宋体" w:cs="宋体"/>
          <w:bCs w:val="0"/>
          <w:color w:val="auto"/>
          <w:kern w:val="0"/>
          <w:sz w:val="24"/>
          <w:lang w:val="en-US" w:eastAsia="zh-CN"/>
        </w:rPr>
      </w:pPr>
      <w:r>
        <w:rPr>
          <w:rFonts w:hint="eastAsia" w:ascii="宋体" w:hAnsi="宋体" w:cs="宋体"/>
          <w:bCs w:val="0"/>
          <w:color w:val="auto"/>
          <w:kern w:val="0"/>
          <w:sz w:val="24"/>
          <w:lang w:val="en-US" w:eastAsia="zh-CN"/>
        </w:rPr>
        <w:t>7</w:t>
      </w:r>
      <w:r>
        <w:rPr>
          <w:rFonts w:hint="eastAsia" w:ascii="宋体" w:hAnsi="宋体" w:cs="宋体"/>
          <w:bCs w:val="0"/>
          <w:color w:val="auto"/>
          <w:kern w:val="0"/>
          <w:sz w:val="24"/>
        </w:rPr>
        <w:t>.本次项目机构配置人员专业资格证书复印件及投标人为其缴纳的社保证明资料</w:t>
      </w:r>
      <w:r>
        <w:rPr>
          <w:rFonts w:hint="eastAsia" w:ascii="宋体" w:hAnsi="宋体" w:cs="宋体"/>
          <w:bCs w:val="0"/>
          <w:color w:val="auto"/>
          <w:kern w:val="0"/>
          <w:sz w:val="24"/>
          <w:lang w:val="en-US" w:eastAsia="zh-CN"/>
        </w:rPr>
        <w:t>。</w:t>
      </w:r>
    </w:p>
    <w:p>
      <w:pPr>
        <w:widowControl/>
        <w:shd w:val="clear" w:color="010000" w:fill="auto"/>
        <w:snapToGrid/>
        <w:spacing w:line="500" w:lineRule="exact"/>
        <w:jc w:val="left"/>
        <w:rPr>
          <w:rFonts w:hint="eastAsia" w:ascii="宋体" w:hAnsi="宋体" w:cs="宋体"/>
          <w:bCs w:val="0"/>
          <w:color w:val="auto"/>
          <w:kern w:val="0"/>
          <w:sz w:val="24"/>
        </w:rPr>
      </w:pPr>
      <w:r>
        <w:rPr>
          <w:rFonts w:hint="eastAsia" w:ascii="宋体" w:hAnsi="宋体" w:cs="宋体"/>
          <w:bCs w:val="0"/>
          <w:color w:val="auto"/>
          <w:kern w:val="0"/>
          <w:sz w:val="24"/>
          <w:lang w:val="en-US" w:eastAsia="zh-CN"/>
        </w:rPr>
        <w:t>8.项目团队增派</w:t>
      </w:r>
      <w:r>
        <w:rPr>
          <w:rFonts w:hint="eastAsia" w:ascii="宋体" w:hAnsi="宋体" w:cs="宋体"/>
          <w:bCs w:val="0"/>
          <w:color w:val="auto"/>
          <w:kern w:val="0"/>
          <w:sz w:val="24"/>
        </w:rPr>
        <w:t>注册税务师或注册会计师</w:t>
      </w:r>
      <w:r>
        <w:rPr>
          <w:rFonts w:hint="eastAsia" w:ascii="宋体" w:hAnsi="宋体" w:cs="宋体"/>
          <w:bCs w:val="0"/>
          <w:color w:val="auto"/>
          <w:kern w:val="0"/>
          <w:sz w:val="24"/>
          <w:lang w:val="en-US" w:eastAsia="zh-CN"/>
        </w:rPr>
        <w:t>的</w:t>
      </w:r>
      <w:r>
        <w:rPr>
          <w:rFonts w:hint="eastAsia" w:ascii="宋体" w:hAnsi="宋体" w:cs="宋体"/>
          <w:bCs w:val="0"/>
          <w:color w:val="auto"/>
          <w:kern w:val="0"/>
          <w:sz w:val="24"/>
        </w:rPr>
        <w:t>执业资格证书复印件及投标人为其缴纳社保证明资料</w:t>
      </w:r>
      <w:r>
        <w:rPr>
          <w:rFonts w:hint="eastAsia" w:ascii="宋体" w:hAnsi="宋体" w:cs="宋体"/>
          <w:bCs w:val="0"/>
          <w:color w:val="auto"/>
          <w:kern w:val="0"/>
          <w:sz w:val="24"/>
          <w:lang w:eastAsia="zh-CN"/>
        </w:rPr>
        <w:t>（</w:t>
      </w:r>
      <w:r>
        <w:rPr>
          <w:rFonts w:hint="eastAsia" w:ascii="宋体" w:hAnsi="宋体" w:cs="宋体"/>
          <w:bCs w:val="0"/>
          <w:color w:val="auto"/>
          <w:kern w:val="0"/>
          <w:sz w:val="24"/>
          <w:lang w:val="en-US" w:eastAsia="zh-CN"/>
        </w:rPr>
        <w:t>如有）</w:t>
      </w:r>
      <w:r>
        <w:rPr>
          <w:rFonts w:hint="eastAsia" w:ascii="宋体" w:hAnsi="宋体" w:cs="宋体"/>
          <w:bCs w:val="0"/>
          <w:color w:val="auto"/>
          <w:kern w:val="0"/>
          <w:sz w:val="24"/>
        </w:rPr>
        <w:t>。</w:t>
      </w:r>
    </w:p>
    <w:p>
      <w:pPr>
        <w:widowControl/>
        <w:shd w:val="clear" w:color="010000" w:fill="auto"/>
        <w:snapToGrid/>
        <w:spacing w:line="500" w:lineRule="exact"/>
        <w:jc w:val="left"/>
        <w:rPr>
          <w:rFonts w:hint="eastAsia" w:ascii="宋体" w:hAnsi="宋体" w:cs="宋体"/>
          <w:bCs w:val="0"/>
          <w:color w:val="auto"/>
          <w:kern w:val="0"/>
          <w:sz w:val="24"/>
        </w:rPr>
      </w:pPr>
      <w:r>
        <w:rPr>
          <w:rFonts w:hint="eastAsia" w:ascii="宋体" w:hAnsi="宋体" w:cs="宋体"/>
          <w:bCs w:val="0"/>
          <w:color w:val="auto"/>
          <w:kern w:val="0"/>
          <w:sz w:val="24"/>
          <w:lang w:val="en-US" w:eastAsia="zh-CN"/>
        </w:rPr>
        <w:t>9</w:t>
      </w:r>
      <w:r>
        <w:rPr>
          <w:rFonts w:hint="eastAsia" w:ascii="宋体" w:hAnsi="宋体" w:cs="宋体"/>
          <w:bCs w:val="0"/>
          <w:color w:val="auto"/>
          <w:kern w:val="0"/>
          <w:sz w:val="24"/>
        </w:rPr>
        <w:t>.本次服务工作方案暨项目实施承诺函,主要包含但不限于以下内容:工作流程、工作进度安排、工作分工、提交</w:t>
      </w:r>
      <w:r>
        <w:rPr>
          <w:rFonts w:hint="eastAsia" w:ascii="宋体" w:hAnsi="宋体" w:cs="宋体"/>
          <w:bCs w:val="0"/>
          <w:color w:val="auto"/>
          <w:kern w:val="0"/>
          <w:sz w:val="24"/>
          <w:lang w:val="en-US" w:eastAsia="zh-CN"/>
        </w:rPr>
        <w:t>清算</w:t>
      </w:r>
      <w:r>
        <w:rPr>
          <w:rFonts w:hint="eastAsia" w:ascii="宋体" w:hAnsi="宋体" w:cs="宋体"/>
          <w:bCs w:val="0"/>
          <w:color w:val="auto"/>
          <w:kern w:val="0"/>
          <w:sz w:val="24"/>
        </w:rPr>
        <w:t>方案及鉴证报告的期限、优先服务承诺。</w:t>
      </w:r>
    </w:p>
    <w:p>
      <w:pPr>
        <w:tabs>
          <w:tab w:val="left" w:pos="900"/>
        </w:tabs>
        <w:adjustRightInd w:val="0"/>
        <w:snapToGrid w:val="0"/>
        <w:spacing w:line="500" w:lineRule="exact"/>
        <w:rPr>
          <w:rFonts w:ascii="宋体" w:hAnsi="宋体"/>
          <w:bCs/>
          <w:color w:val="auto"/>
          <w:sz w:val="24"/>
          <w:highlight w:val="none"/>
        </w:rPr>
      </w:pPr>
      <w:r>
        <w:rPr>
          <w:rFonts w:hint="eastAsia" w:ascii="宋体" w:hAnsi="宋体"/>
          <w:bCs/>
          <w:color w:val="auto"/>
          <w:sz w:val="24"/>
          <w:highlight w:val="none"/>
          <w:lang w:val="en-US" w:eastAsia="zh-CN"/>
        </w:rPr>
        <w:t>10</w:t>
      </w:r>
      <w:r>
        <w:rPr>
          <w:rFonts w:hint="eastAsia" w:ascii="宋体" w:hAnsi="宋体"/>
          <w:bCs/>
          <w:color w:val="auto"/>
          <w:sz w:val="24"/>
          <w:highlight w:val="none"/>
        </w:rPr>
        <w:t>.本次服务工作服务保障，主要包含但不限于以下内容：根据投标人</w:t>
      </w:r>
      <w:r>
        <w:rPr>
          <w:rFonts w:hint="eastAsia" w:ascii="宋体" w:hAnsi="宋体"/>
          <w:bCs/>
          <w:color w:val="auto"/>
          <w:sz w:val="24"/>
          <w:highlight w:val="none"/>
          <w:lang w:val="en-US" w:eastAsia="zh-CN"/>
        </w:rPr>
        <w:t>自身</w:t>
      </w:r>
      <w:r>
        <w:rPr>
          <w:rFonts w:hint="eastAsia" w:ascii="宋体" w:hAnsi="宋体"/>
          <w:bCs/>
          <w:color w:val="auto"/>
          <w:sz w:val="24"/>
          <w:highlight w:val="none"/>
        </w:rPr>
        <w:t>内部管控制度建设、内部管控制度规范情况提供方案实施服务质量保证及相应措施。</w:t>
      </w:r>
    </w:p>
    <w:p>
      <w:pPr>
        <w:tabs>
          <w:tab w:val="left" w:pos="900"/>
        </w:tabs>
        <w:adjustRightInd w:val="0"/>
        <w:snapToGrid w:val="0"/>
        <w:spacing w:line="500" w:lineRule="exact"/>
        <w:rPr>
          <w:rFonts w:ascii="宋体" w:hAnsi="宋体"/>
          <w:bCs/>
          <w:color w:val="auto"/>
          <w:sz w:val="24"/>
          <w:highlight w:val="none"/>
        </w:rPr>
      </w:pPr>
      <w:r>
        <w:rPr>
          <w:rFonts w:hint="eastAsia" w:ascii="宋体" w:hAnsi="宋体"/>
          <w:bCs/>
          <w:color w:val="auto"/>
          <w:sz w:val="24"/>
          <w:highlight w:val="none"/>
          <w:lang w:val="en-US" w:eastAsia="zh-CN"/>
        </w:rPr>
        <w:t>11</w:t>
      </w:r>
      <w:r>
        <w:rPr>
          <w:rFonts w:hint="eastAsia" w:ascii="宋体" w:hAnsi="宋体"/>
          <w:bCs/>
          <w:color w:val="auto"/>
          <w:sz w:val="24"/>
          <w:highlight w:val="none"/>
        </w:rPr>
        <w:t>. 投标人认为需要提供的其他资料。</w:t>
      </w:r>
    </w:p>
    <w:p>
      <w:pPr>
        <w:pStyle w:val="2"/>
        <w:spacing w:line="5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注：上述投标资格证明材料格式由各投标人自行制作，招标人不统一提供，但投标人所制作格式应满足投标要求并便于评审委员会进行项目评审。</w:t>
      </w:r>
    </w:p>
    <w:p>
      <w:pPr>
        <w:pStyle w:val="2"/>
        <w:spacing w:line="500" w:lineRule="exact"/>
        <w:ind w:firstLine="420" w:firstLineChars="200"/>
        <w:rPr>
          <w:color w:val="auto"/>
          <w:highlight w:val="none"/>
        </w:rPr>
      </w:pPr>
    </w:p>
    <w:p>
      <w:pPr>
        <w:pStyle w:val="2"/>
        <w:spacing w:line="500" w:lineRule="exact"/>
        <w:ind w:firstLine="420" w:firstLineChars="200"/>
        <w:rPr>
          <w:color w:val="auto"/>
        </w:rPr>
      </w:pPr>
    </w:p>
    <w:p>
      <w:pPr>
        <w:pStyle w:val="2"/>
        <w:spacing w:line="500" w:lineRule="exact"/>
        <w:ind w:firstLine="0" w:firstLineChars="0"/>
        <w:rPr>
          <w:color w:val="auto"/>
        </w:rPr>
      </w:pPr>
    </w:p>
    <w:p>
      <w:pPr>
        <w:pStyle w:val="2"/>
        <w:spacing w:line="500" w:lineRule="exact"/>
        <w:ind w:firstLine="420" w:firstLineChars="200"/>
        <w:rPr>
          <w:color w:val="auto"/>
        </w:rPr>
      </w:pPr>
    </w:p>
    <w:p>
      <w:pPr>
        <w:widowControl/>
        <w:spacing w:line="500" w:lineRule="exact"/>
        <w:jc w:val="center"/>
        <w:rPr>
          <w:color w:val="auto"/>
          <w:sz w:val="28"/>
          <w:szCs w:val="28"/>
        </w:rPr>
      </w:pPr>
      <w:r>
        <w:rPr>
          <w:rFonts w:hint="eastAsia" w:ascii="宋体" w:hAnsi="宋体" w:cs="宋体"/>
          <w:b/>
          <w:color w:val="auto"/>
          <w:kern w:val="0"/>
          <w:sz w:val="24"/>
        </w:rPr>
        <w:t>五</w:t>
      </w:r>
      <w:r>
        <w:rPr>
          <w:rFonts w:hint="eastAsia" w:ascii="宋体" w:hAnsi="宋体" w:cs="宋体"/>
          <w:b/>
          <w:color w:val="auto"/>
          <w:kern w:val="0"/>
          <w:sz w:val="24"/>
          <w:lang w:val="zh-CN"/>
        </w:rPr>
        <w:t>、投标保证金退还申请书</w:t>
      </w:r>
    </w:p>
    <w:p>
      <w:pPr>
        <w:spacing w:before="468" w:beforeLines="150" w:line="500" w:lineRule="exact"/>
        <w:rPr>
          <w:rFonts w:ascii="宋体" w:hAnsi="宋体" w:cs="宋体"/>
          <w:color w:val="auto"/>
          <w:sz w:val="24"/>
        </w:rPr>
      </w:pPr>
      <w:r>
        <w:rPr>
          <w:rFonts w:hint="eastAsia" w:ascii="宋体" w:hAnsi="宋体" w:cs="宋体"/>
          <w:color w:val="auto"/>
          <w:sz w:val="24"/>
        </w:rPr>
        <w:t>合肥周谷堆置业有限公司：</w:t>
      </w:r>
    </w:p>
    <w:p>
      <w:pPr>
        <w:spacing w:line="500" w:lineRule="exact"/>
        <w:ind w:firstLine="460" w:firstLineChars="192"/>
        <w:rPr>
          <w:rFonts w:ascii="宋体" w:hAnsi="宋体" w:cs="宋体"/>
          <w:color w:val="auto"/>
          <w:sz w:val="24"/>
        </w:rPr>
      </w:pPr>
      <w:r>
        <w:rPr>
          <w:rFonts w:hint="eastAsia" w:ascii="宋体" w:hAnsi="宋体" w:cs="宋体"/>
          <w:color w:val="auto"/>
          <w:sz w:val="24"/>
        </w:rPr>
        <w:t>我公司于</w:t>
      </w:r>
      <w:r>
        <w:rPr>
          <w:rFonts w:hint="eastAsia" w:ascii="宋体" w:hAnsi="宋体" w:cs="宋体"/>
          <w:color w:val="auto"/>
          <w:sz w:val="24"/>
          <w:u w:val="single"/>
        </w:rPr>
        <w:t>2021 年  月  日</w:t>
      </w:r>
      <w:r>
        <w:rPr>
          <w:rFonts w:hint="eastAsia" w:ascii="宋体" w:hAnsi="宋体" w:cs="宋体"/>
          <w:color w:val="auto"/>
          <w:sz w:val="24"/>
        </w:rPr>
        <w:t>参加</w:t>
      </w:r>
      <w:r>
        <w:rPr>
          <w:rFonts w:hint="eastAsia" w:ascii="宋体" w:hAnsi="宋体"/>
          <w:color w:val="auto"/>
          <w:sz w:val="24"/>
        </w:rPr>
        <w:t>沿街商业项目税务师事务所服务</w:t>
      </w:r>
      <w:r>
        <w:rPr>
          <w:rFonts w:hint="eastAsia" w:ascii="宋体" w:hAnsi="宋体" w:cs="宋体"/>
          <w:color w:val="auto"/>
          <w:sz w:val="24"/>
        </w:rPr>
        <w:t>项目招投标，交纳保证</w:t>
      </w:r>
      <w:r>
        <w:rPr>
          <w:rFonts w:hint="eastAsia" w:ascii="宋体" w:hAnsi="宋体" w:cs="宋体"/>
          <w:color w:val="auto"/>
          <w:sz w:val="24"/>
          <w:highlight w:val="none"/>
        </w:rPr>
        <w:t>金贰仟元整。如我公</w:t>
      </w:r>
      <w:r>
        <w:rPr>
          <w:rFonts w:hint="eastAsia" w:ascii="宋体" w:hAnsi="宋体" w:cs="宋体"/>
          <w:color w:val="auto"/>
          <w:sz w:val="24"/>
        </w:rPr>
        <w:t>司未中标，请将该项目投标保证金退至以下账号；如我公司中标，投标保证金退还事宜按投标邀请约定执行。</w:t>
      </w:r>
    </w:p>
    <w:p>
      <w:pPr>
        <w:spacing w:line="500" w:lineRule="exact"/>
        <w:ind w:firstLine="460" w:firstLineChars="192"/>
        <w:rPr>
          <w:rFonts w:ascii="宋体" w:hAnsi="宋体" w:cs="宋体"/>
          <w:color w:val="auto"/>
          <w:sz w:val="24"/>
        </w:rPr>
      </w:pPr>
      <w:r>
        <w:rPr>
          <w:rFonts w:hint="eastAsia" w:ascii="宋体" w:hAnsi="宋体" w:cs="宋体"/>
          <w:color w:val="auto"/>
          <w:sz w:val="24"/>
        </w:rPr>
        <w:t>请予办理。</w:t>
      </w:r>
    </w:p>
    <w:p>
      <w:pPr>
        <w:spacing w:line="500" w:lineRule="exact"/>
        <w:ind w:firstLine="460" w:firstLineChars="192"/>
        <w:rPr>
          <w:rFonts w:ascii="宋体" w:hAnsi="宋体" w:cs="宋体"/>
          <w:color w:val="auto"/>
          <w:sz w:val="24"/>
        </w:rPr>
      </w:pPr>
    </w:p>
    <w:p>
      <w:pPr>
        <w:spacing w:line="500" w:lineRule="exact"/>
        <w:ind w:firstLine="460" w:firstLineChars="192"/>
        <w:rPr>
          <w:rFonts w:ascii="宋体" w:hAnsi="宋体" w:cs="宋体"/>
          <w:color w:val="auto"/>
          <w:sz w:val="24"/>
        </w:rPr>
      </w:pPr>
      <w:r>
        <w:rPr>
          <w:rFonts w:hint="eastAsia" w:ascii="宋体" w:hAnsi="宋体" w:cs="宋体"/>
          <w:color w:val="auto"/>
          <w:sz w:val="24"/>
        </w:rPr>
        <w:t>户    名：</w:t>
      </w:r>
    </w:p>
    <w:p>
      <w:pPr>
        <w:spacing w:line="500" w:lineRule="exact"/>
        <w:ind w:firstLine="460" w:firstLineChars="192"/>
        <w:rPr>
          <w:rFonts w:ascii="宋体" w:hAnsi="宋体" w:cs="宋体"/>
          <w:color w:val="auto"/>
          <w:sz w:val="24"/>
        </w:rPr>
      </w:pPr>
      <w:r>
        <w:rPr>
          <w:rFonts w:hint="eastAsia" w:ascii="宋体" w:hAnsi="宋体" w:cs="宋体"/>
          <w:color w:val="auto"/>
          <w:sz w:val="24"/>
        </w:rPr>
        <w:t>开户银行：</w:t>
      </w:r>
    </w:p>
    <w:p>
      <w:pPr>
        <w:spacing w:line="500" w:lineRule="exact"/>
        <w:ind w:firstLine="460" w:firstLineChars="192"/>
        <w:rPr>
          <w:rFonts w:ascii="宋体" w:hAnsi="宋体" w:cs="宋体"/>
          <w:color w:val="auto"/>
          <w:sz w:val="24"/>
        </w:rPr>
      </w:pPr>
      <w:r>
        <w:rPr>
          <w:rFonts w:hint="eastAsia" w:ascii="宋体" w:hAnsi="宋体" w:cs="宋体"/>
          <w:color w:val="auto"/>
          <w:sz w:val="24"/>
        </w:rPr>
        <w:t>帐    号：</w:t>
      </w:r>
    </w:p>
    <w:p>
      <w:pPr>
        <w:spacing w:line="500" w:lineRule="exact"/>
        <w:ind w:firstLine="460" w:firstLineChars="192"/>
        <w:rPr>
          <w:rFonts w:ascii="宋体" w:hAnsi="宋体" w:cs="宋体"/>
          <w:color w:val="auto"/>
          <w:sz w:val="24"/>
        </w:rPr>
      </w:pPr>
      <w:r>
        <w:rPr>
          <w:rFonts w:hint="eastAsia" w:ascii="宋体" w:hAnsi="宋体" w:cs="宋体"/>
          <w:color w:val="auto"/>
          <w:sz w:val="24"/>
        </w:rPr>
        <w:t>联系电话：</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注：投标人应在此提供转账回单复印件（并加盖单位公章）。</w:t>
      </w:r>
    </w:p>
    <w:p>
      <w:pPr>
        <w:spacing w:line="500" w:lineRule="exact"/>
        <w:jc w:val="right"/>
        <w:rPr>
          <w:rFonts w:ascii="宋体" w:hAnsi="宋体" w:cs="宋体"/>
          <w:color w:val="auto"/>
          <w:sz w:val="24"/>
        </w:rPr>
      </w:pPr>
    </w:p>
    <w:p>
      <w:pPr>
        <w:spacing w:line="500" w:lineRule="exact"/>
        <w:ind w:firstLine="3393" w:firstLineChars="1414"/>
        <w:rPr>
          <w:rFonts w:ascii="宋体" w:hAnsi="宋体" w:cs="宋体"/>
          <w:color w:val="auto"/>
          <w:sz w:val="24"/>
        </w:rPr>
      </w:pPr>
      <w:r>
        <w:rPr>
          <w:rFonts w:hint="eastAsia" w:ascii="宋体" w:hAnsi="宋体" w:cs="宋体"/>
          <w:color w:val="auto"/>
          <w:sz w:val="24"/>
        </w:rPr>
        <w:t xml:space="preserve">                                  投标人：</w:t>
      </w:r>
    </w:p>
    <w:p>
      <w:pPr>
        <w:spacing w:line="500" w:lineRule="exact"/>
        <w:ind w:firstLine="3393" w:firstLineChars="1414"/>
        <w:jc w:val="right"/>
        <w:rPr>
          <w:rFonts w:ascii="宋体" w:hAnsi="宋体" w:cs="宋体"/>
          <w:color w:val="auto"/>
          <w:sz w:val="24"/>
        </w:rPr>
      </w:pPr>
      <w:r>
        <w:rPr>
          <w:rFonts w:hint="eastAsia" w:ascii="宋体" w:hAnsi="宋体" w:cs="宋体"/>
          <w:color w:val="auto"/>
          <w:sz w:val="24"/>
        </w:rPr>
        <w:t xml:space="preserve">2021 年   月    日 </w:t>
      </w:r>
    </w:p>
    <w:p>
      <w:pPr>
        <w:tabs>
          <w:tab w:val="left" w:pos="2328"/>
        </w:tabs>
        <w:jc w:val="left"/>
        <w:rPr>
          <w:color w:val="auto"/>
        </w:rPr>
      </w:pPr>
    </w:p>
    <w:tbl>
      <w:tblPr>
        <w:tblStyle w:val="25"/>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30" w:hRule="atLeast"/>
        </w:trPr>
        <w:tc>
          <w:tcPr>
            <w:tcW w:w="9740" w:type="dxa"/>
            <w:tcBorders>
              <w:top w:val="nil"/>
              <w:left w:val="nil"/>
              <w:bottom w:val="single" w:color="auto" w:sz="4" w:space="0"/>
              <w:right w:val="nil"/>
            </w:tcBorders>
            <w:vAlign w:val="center"/>
          </w:tcPr>
          <w:p>
            <w:pPr>
              <w:widowControl/>
              <w:spacing w:line="52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六</w:t>
            </w:r>
            <w:r>
              <w:rPr>
                <w:rFonts w:hint="eastAsia" w:ascii="宋体" w:hAnsi="宋体" w:cs="宋体"/>
                <w:b/>
                <w:color w:val="auto"/>
                <w:kern w:val="0"/>
                <w:sz w:val="24"/>
                <w:highlight w:val="none"/>
                <w:lang w:val="zh-CN"/>
              </w:rPr>
              <w:t>、</w:t>
            </w:r>
            <w:r>
              <w:rPr>
                <w:rFonts w:ascii="宋体" w:hAnsi="宋体" w:cs="宋体"/>
                <w:b/>
                <w:color w:val="auto"/>
                <w:kern w:val="0"/>
                <w:sz w:val="24"/>
                <w:highlight w:val="none"/>
                <w:lang w:val="zh-CN"/>
              </w:rPr>
              <w:t>合同</w:t>
            </w:r>
            <w:r>
              <w:rPr>
                <w:rFonts w:hint="eastAsia" w:ascii="宋体" w:hAnsi="宋体" w:cs="宋体"/>
                <w:b/>
                <w:color w:val="auto"/>
                <w:kern w:val="0"/>
                <w:sz w:val="24"/>
                <w:highlight w:val="none"/>
              </w:rPr>
              <w:t>模板</w:t>
            </w:r>
          </w:p>
          <w:p>
            <w:pPr>
              <w:rPr>
                <w:rFonts w:ascii="宋体" w:hAnsi="宋体"/>
                <w:color w:val="auto"/>
                <w:sz w:val="24"/>
                <w:highlight w:val="none"/>
              </w:rPr>
            </w:pPr>
          </w:p>
          <w:p>
            <w:pPr>
              <w:spacing w:line="580" w:lineRule="exact"/>
              <w:ind w:firstLine="602" w:firstLineChars="200"/>
              <w:jc w:val="center"/>
              <w:rPr>
                <w:rFonts w:ascii="宋体" w:hAnsi="宋体" w:cs="宋体"/>
                <w:b/>
                <w:bCs/>
                <w:color w:val="auto"/>
                <w:kern w:val="0"/>
                <w:sz w:val="30"/>
                <w:szCs w:val="30"/>
              </w:rPr>
            </w:pPr>
            <w:r>
              <w:rPr>
                <w:rFonts w:hint="eastAsia" w:ascii="宋体" w:hAnsi="宋体" w:cs="宋体"/>
                <w:b/>
                <w:bCs/>
                <w:color w:val="auto"/>
                <w:kern w:val="0"/>
                <w:sz w:val="30"/>
                <w:szCs w:val="30"/>
              </w:rPr>
              <w:t>“合肥大兴周谷堆物流园”沿街商业项目</w:t>
            </w:r>
          </w:p>
          <w:p>
            <w:pPr>
              <w:spacing w:line="580" w:lineRule="exact"/>
              <w:ind w:firstLine="602" w:firstLineChars="200"/>
              <w:jc w:val="center"/>
              <w:rPr>
                <w:rFonts w:ascii="宋体" w:hAnsi="宋体" w:cs="宋体"/>
                <w:b/>
                <w:bCs/>
                <w:color w:val="auto"/>
                <w:kern w:val="0"/>
                <w:sz w:val="30"/>
                <w:szCs w:val="30"/>
              </w:rPr>
            </w:pPr>
            <w:r>
              <w:rPr>
                <w:rFonts w:hint="eastAsia" w:ascii="宋体" w:hAnsi="宋体" w:cs="宋体"/>
                <w:b/>
                <w:bCs/>
                <w:color w:val="auto"/>
                <w:kern w:val="0"/>
                <w:sz w:val="30"/>
                <w:szCs w:val="30"/>
              </w:rPr>
              <w:t>税务师事务所服务业务合同</w:t>
            </w:r>
          </w:p>
          <w:p>
            <w:pPr>
              <w:pStyle w:val="2"/>
              <w:ind w:firstLine="210"/>
              <w:rPr>
                <w:color w:val="auto"/>
              </w:rPr>
            </w:pPr>
          </w:p>
          <w:p>
            <w:pPr>
              <w:spacing w:line="580" w:lineRule="exact"/>
              <w:ind w:firstLine="482" w:firstLineChars="200"/>
              <w:rPr>
                <w:rFonts w:ascii="宋体" w:hAnsi="宋体" w:cs="宋体"/>
                <w:b/>
                <w:color w:val="auto"/>
                <w:sz w:val="24"/>
                <w:u w:val="single"/>
              </w:rPr>
            </w:pPr>
            <w:r>
              <w:rPr>
                <w:rFonts w:hint="eastAsia" w:ascii="宋体" w:hAnsi="宋体"/>
                <w:b/>
                <w:color w:val="auto"/>
                <w:sz w:val="24"/>
              </w:rPr>
              <w:t>甲方：</w:t>
            </w:r>
            <w:r>
              <w:rPr>
                <w:rFonts w:hint="eastAsia" w:ascii="宋体" w:hAnsi="宋体" w:cs="宋体"/>
                <w:color w:val="auto"/>
                <w:kern w:val="0"/>
                <w:sz w:val="24"/>
                <w:u w:val="single"/>
              </w:rPr>
              <w:t xml:space="preserve">合肥周谷堆置业有限公司             </w:t>
            </w:r>
          </w:p>
          <w:p>
            <w:pPr>
              <w:widowControl/>
              <w:autoSpaceDE w:val="0"/>
              <w:autoSpaceDN w:val="0"/>
              <w:spacing w:line="580" w:lineRule="exact"/>
              <w:ind w:firstLine="482" w:firstLineChars="200"/>
              <w:textAlignment w:val="bottom"/>
              <w:rPr>
                <w:rFonts w:ascii="宋体" w:hAnsi="宋体"/>
                <w:color w:val="auto"/>
                <w:sz w:val="24"/>
              </w:rPr>
            </w:pPr>
            <w:r>
              <w:rPr>
                <w:rFonts w:hint="eastAsia" w:ascii="宋体" w:hAnsi="宋体"/>
                <w:b/>
                <w:color w:val="auto"/>
                <w:sz w:val="24"/>
              </w:rPr>
              <w:t>乙方：</w:t>
            </w:r>
          </w:p>
          <w:p>
            <w:pPr>
              <w:tabs>
                <w:tab w:val="left" w:pos="9480"/>
              </w:tabs>
              <w:spacing w:line="240" w:lineRule="exact"/>
              <w:ind w:firstLine="480" w:firstLineChars="200"/>
              <w:rPr>
                <w:rFonts w:ascii="宋体" w:hAnsi="宋体"/>
                <w:color w:val="auto"/>
                <w:sz w:val="24"/>
              </w:rPr>
            </w:pPr>
          </w:p>
          <w:p>
            <w:pPr>
              <w:spacing w:line="520" w:lineRule="exact"/>
              <w:ind w:firstLine="480" w:firstLineChars="200"/>
              <w:rPr>
                <w:rFonts w:ascii="楷体_GB2312" w:hAnsi="宋体" w:eastAsia="楷体_GB2312" w:cs="宋体"/>
                <w:b/>
                <w:color w:val="auto"/>
                <w:kern w:val="0"/>
                <w:sz w:val="36"/>
                <w:szCs w:val="20"/>
              </w:rPr>
            </w:pPr>
            <w:r>
              <w:rPr>
                <w:rFonts w:hint="eastAsia" w:ascii="宋体" w:hAnsi="宋体"/>
                <w:color w:val="auto"/>
                <w:sz w:val="24"/>
              </w:rPr>
              <w:t>根据沿街商业项目税务师事务所服务招标市场竞价结果，并依据《中华人民共和国</w:t>
            </w:r>
            <w:r>
              <w:rPr>
                <w:rFonts w:hint="eastAsia" w:ascii="宋体" w:hAnsi="宋体"/>
                <w:color w:val="auto"/>
                <w:sz w:val="24"/>
                <w:lang w:eastAsia="zh-CN"/>
              </w:rPr>
              <w:t>民法典</w:t>
            </w:r>
            <w:r>
              <w:rPr>
                <w:rFonts w:hint="eastAsia" w:ascii="宋体" w:hAnsi="宋体"/>
                <w:color w:val="auto"/>
                <w:sz w:val="24"/>
              </w:rPr>
              <w:t>》及其他有关法律、行政法规的规定，甲方和乙方遵循平等、自愿、公平和诚实信用的原则，就相关合同事宜协商一致，订立本合同。</w:t>
            </w:r>
          </w:p>
          <w:p>
            <w:pPr>
              <w:pStyle w:val="33"/>
              <w:numPr>
                <w:ilvl w:val="0"/>
                <w:numId w:val="4"/>
              </w:numPr>
              <w:ind w:left="435" w:leftChars="207" w:firstLine="72" w:firstLineChars="30"/>
              <w:rPr>
                <w:rFonts w:ascii="宋体" w:hAnsi="宋体" w:cs="Arial Unicode MS"/>
                <w:b/>
                <w:color w:val="auto"/>
                <w:sz w:val="24"/>
              </w:rPr>
            </w:pPr>
            <w:r>
              <w:rPr>
                <w:rFonts w:hint="eastAsia" w:ascii="宋体" w:hAnsi="宋体" w:cs="Arial Unicode MS"/>
                <w:b/>
                <w:color w:val="auto"/>
                <w:sz w:val="24"/>
              </w:rPr>
              <w:t>服务范围及要求：</w:t>
            </w:r>
          </w:p>
          <w:p>
            <w:pPr>
              <w:spacing w:line="520" w:lineRule="exact"/>
              <w:ind w:firstLine="480" w:firstLineChars="200"/>
              <w:rPr>
                <w:rFonts w:ascii="宋体" w:hAnsi="宋体"/>
                <w:color w:val="auto"/>
                <w:sz w:val="24"/>
              </w:rPr>
            </w:pPr>
            <w:r>
              <w:rPr>
                <w:rFonts w:hint="eastAsia" w:ascii="宋体" w:hAnsi="宋体"/>
                <w:color w:val="auto"/>
                <w:sz w:val="24"/>
              </w:rPr>
              <w:t>1.出具“合肥大兴周谷堆物流园”沿街商业项目（商业</w:t>
            </w:r>
            <w:r>
              <w:rPr>
                <w:rFonts w:ascii="宋体" w:hAnsi="宋体"/>
                <w:color w:val="auto"/>
                <w:sz w:val="24"/>
              </w:rPr>
              <w:t>1-11#、14-20#及</w:t>
            </w:r>
            <w:r>
              <w:rPr>
                <w:rFonts w:hint="eastAsia" w:ascii="宋体" w:hAnsi="宋体"/>
                <w:color w:val="auto"/>
                <w:sz w:val="24"/>
              </w:rPr>
              <w:t>其地下车库，共计18栋单体）土地增值税清算方案并取得甲方认可；</w:t>
            </w:r>
          </w:p>
          <w:p>
            <w:pPr>
              <w:spacing w:line="520" w:lineRule="exact"/>
              <w:ind w:firstLine="480" w:firstLineChars="200"/>
              <w:rPr>
                <w:rFonts w:ascii="宋体" w:hAnsi="宋体"/>
                <w:color w:val="auto"/>
                <w:sz w:val="24"/>
              </w:rPr>
            </w:pPr>
            <w:r>
              <w:rPr>
                <w:rFonts w:hint="eastAsia" w:ascii="宋体" w:hAnsi="宋体"/>
                <w:color w:val="auto"/>
                <w:sz w:val="24"/>
              </w:rPr>
              <w:t>2.在税务部门清算时限内编制并出具税务部门认可的土地增值税清算鉴证报告；</w:t>
            </w:r>
          </w:p>
          <w:p>
            <w:pPr>
              <w:spacing w:line="520" w:lineRule="exact"/>
              <w:ind w:firstLine="480" w:firstLineChars="200"/>
              <w:rPr>
                <w:rFonts w:ascii="宋体" w:hAnsi="宋体"/>
                <w:color w:val="auto"/>
                <w:sz w:val="24"/>
              </w:rPr>
            </w:pPr>
            <w:r>
              <w:rPr>
                <w:rFonts w:hint="eastAsia" w:ascii="宋体" w:hAnsi="宋体"/>
                <w:color w:val="auto"/>
                <w:sz w:val="24"/>
              </w:rPr>
              <w:t>3.负责对接税务部门后续清算工作，直至整体商业项目土地增值税业务清算完毕；</w:t>
            </w:r>
          </w:p>
          <w:p>
            <w:pPr>
              <w:spacing w:line="520" w:lineRule="exact"/>
              <w:ind w:firstLine="480" w:firstLineChars="200"/>
              <w:rPr>
                <w:rFonts w:ascii="宋体" w:hAnsi="宋体"/>
                <w:color w:val="auto"/>
                <w:sz w:val="24"/>
              </w:rPr>
            </w:pPr>
            <w:r>
              <w:rPr>
                <w:rFonts w:hint="eastAsia" w:ascii="宋体" w:hAnsi="宋体"/>
                <w:color w:val="auto"/>
                <w:sz w:val="24"/>
              </w:rPr>
              <w:t>4.具体土地増值税清算的范围：“合肥大兴周谷堆物流园”沿街商业项目（每次清算具体楼栋根据税务部门及甲方要求确定）。</w:t>
            </w:r>
          </w:p>
          <w:p>
            <w:pPr>
              <w:pStyle w:val="2"/>
              <w:ind w:left="481" w:firstLine="0" w:firstLineChars="0"/>
              <w:rPr>
                <w:color w:val="auto"/>
              </w:rPr>
            </w:pPr>
          </w:p>
          <w:p>
            <w:pPr>
              <w:pStyle w:val="33"/>
              <w:numPr>
                <w:ilvl w:val="0"/>
                <w:numId w:val="4"/>
              </w:numPr>
              <w:ind w:left="435" w:leftChars="207" w:firstLine="72" w:firstLineChars="30"/>
              <w:rPr>
                <w:rFonts w:ascii="宋体" w:hAnsi="宋体" w:cs="Arial Unicode MS"/>
                <w:b/>
                <w:color w:val="auto"/>
                <w:sz w:val="24"/>
              </w:rPr>
            </w:pPr>
            <w:r>
              <w:rPr>
                <w:rFonts w:hint="eastAsia" w:ascii="宋体" w:hAnsi="宋体" w:cs="Arial Unicode MS"/>
                <w:b/>
                <w:color w:val="auto"/>
                <w:sz w:val="24"/>
              </w:rPr>
              <w:t>甲方责任与义务</w:t>
            </w:r>
          </w:p>
          <w:p>
            <w:pPr>
              <w:numPr>
                <w:ilvl w:val="0"/>
                <w:numId w:val="5"/>
              </w:numPr>
              <w:spacing w:line="520" w:lineRule="exact"/>
              <w:ind w:firstLine="480" w:firstLineChars="200"/>
              <w:rPr>
                <w:rFonts w:ascii="宋体" w:hAnsi="宋体"/>
                <w:color w:val="auto"/>
                <w:sz w:val="24"/>
              </w:rPr>
            </w:pPr>
            <w:r>
              <w:rPr>
                <w:rFonts w:hint="eastAsia" w:ascii="宋体" w:hAnsi="宋体"/>
                <w:color w:val="auto"/>
                <w:sz w:val="24"/>
              </w:rPr>
              <w:t>根据国家现行会计、税收等法律法规的有关规定，甲方及甲方负责人有责任保证会计资料及纳税资料的真实性、合法性和完整性。</w:t>
            </w:r>
          </w:p>
          <w:p>
            <w:pPr>
              <w:numPr>
                <w:ilvl w:val="0"/>
                <w:numId w:val="5"/>
              </w:numPr>
              <w:spacing w:line="520" w:lineRule="exact"/>
              <w:ind w:firstLine="480" w:firstLineChars="200"/>
              <w:rPr>
                <w:rFonts w:ascii="宋体" w:hAnsi="宋体"/>
                <w:color w:val="auto"/>
                <w:sz w:val="24"/>
              </w:rPr>
            </w:pPr>
            <w:r>
              <w:rPr>
                <w:rFonts w:hint="eastAsia" w:ascii="宋体" w:hAnsi="宋体"/>
                <w:color w:val="auto"/>
                <w:sz w:val="24"/>
              </w:rPr>
              <w:t>按照现行税收法律、法规和政策规定依法履行纳税义务是甲方的责任。这种责任还 应当包括：（1）建立、完善并有效实施与会计核算、纳税申报相关的内部控制。（2）符合会计准则及其有关规定。（3）按照税收规定进行纳税调整。</w:t>
            </w:r>
          </w:p>
          <w:p>
            <w:pPr>
              <w:spacing w:line="520" w:lineRule="exact"/>
              <w:ind w:firstLine="480" w:firstLineChars="200"/>
              <w:rPr>
                <w:rFonts w:ascii="宋体" w:hAnsi="宋体"/>
                <w:color w:val="auto"/>
                <w:sz w:val="24"/>
              </w:rPr>
            </w:pPr>
            <w:r>
              <w:rPr>
                <w:rFonts w:hint="eastAsia" w:ascii="宋体" w:hAnsi="宋体"/>
                <w:color w:val="auto"/>
                <w:sz w:val="24"/>
              </w:rPr>
              <w:t>3．及时为乙方提供与完成委托事项有关的所有记录、文件和所需的其他的信息，并保证所提供资料的真实性和完整性。</w:t>
            </w:r>
          </w:p>
          <w:p>
            <w:pPr>
              <w:spacing w:line="520" w:lineRule="exact"/>
              <w:ind w:firstLine="480" w:firstLineChars="200"/>
              <w:rPr>
                <w:rFonts w:ascii="宋体" w:hAnsi="宋体"/>
                <w:color w:val="auto"/>
                <w:sz w:val="24"/>
              </w:rPr>
            </w:pPr>
            <w:r>
              <w:rPr>
                <w:rFonts w:hint="eastAsia" w:ascii="宋体" w:hAnsi="宋体"/>
                <w:color w:val="auto"/>
                <w:sz w:val="24"/>
              </w:rPr>
              <w:t>4．确保乙方不受限制地接触任何与本次工作有关的记录、文件和所需的其他信息。不得授意乙方人员实施违反国家法律、法规的行为。</w:t>
            </w:r>
          </w:p>
          <w:p>
            <w:pPr>
              <w:spacing w:line="52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．为乙方派出的有关工作人员提供必要的工作条件和协助。</w:t>
            </w:r>
          </w:p>
          <w:p>
            <w:pPr>
              <w:spacing w:line="520" w:lineRule="exact"/>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.按本合同条款的约定及时支付委托业务费用以及其他相关费用。</w:t>
            </w:r>
          </w:p>
          <w:p>
            <w:pPr>
              <w:pStyle w:val="33"/>
              <w:numPr>
                <w:ilvl w:val="0"/>
                <w:numId w:val="4"/>
              </w:numPr>
              <w:ind w:left="435" w:leftChars="207" w:firstLine="72" w:firstLineChars="30"/>
              <w:rPr>
                <w:rFonts w:ascii="宋体" w:hAnsi="宋体" w:cs="Arial Unicode MS"/>
                <w:b/>
                <w:color w:val="auto"/>
                <w:sz w:val="24"/>
              </w:rPr>
            </w:pPr>
            <w:bookmarkStart w:id="14" w:name="bookmark22"/>
            <w:bookmarkStart w:id="15" w:name="bookmark19"/>
            <w:bookmarkStart w:id="16" w:name="bookmark20"/>
            <w:r>
              <w:rPr>
                <w:rFonts w:hint="eastAsia" w:ascii="宋体" w:hAnsi="宋体" w:cs="Arial Unicode MS"/>
                <w:b/>
                <w:color w:val="auto"/>
                <w:sz w:val="24"/>
              </w:rPr>
              <w:t>乙方责任和义务</w:t>
            </w:r>
            <w:bookmarkEnd w:id="14"/>
            <w:bookmarkEnd w:id="15"/>
            <w:bookmarkEnd w:id="16"/>
          </w:p>
          <w:p>
            <w:pPr>
              <w:spacing w:line="520" w:lineRule="exact"/>
              <w:ind w:firstLine="480" w:firstLineChars="200"/>
              <w:rPr>
                <w:rFonts w:ascii="宋体" w:hAnsi="宋体"/>
                <w:color w:val="auto"/>
                <w:sz w:val="24"/>
              </w:rPr>
            </w:pPr>
            <w:r>
              <w:rPr>
                <w:rFonts w:hint="eastAsia" w:ascii="宋体" w:hAnsi="宋体"/>
                <w:color w:val="auto"/>
                <w:sz w:val="24"/>
              </w:rPr>
              <w:t>1．乙方应严格按照现行税收相关法律、法规和政策规定，及注册税务师执业准则有关规定，恪守独立、客观、公正原则，对甲方提供的纳税资料进行鉴证、审核、分析，并发表专业意见。</w:t>
            </w:r>
          </w:p>
          <w:p>
            <w:pPr>
              <w:spacing w:line="520" w:lineRule="exact"/>
              <w:ind w:firstLine="480" w:firstLineChars="200"/>
              <w:rPr>
                <w:rFonts w:ascii="宋体" w:hAnsi="宋体"/>
                <w:color w:val="auto"/>
                <w:sz w:val="24"/>
              </w:rPr>
            </w:pPr>
            <w:r>
              <w:rPr>
                <w:rFonts w:hint="eastAsia" w:ascii="宋体" w:hAnsi="宋体"/>
                <w:color w:val="auto"/>
                <w:sz w:val="24"/>
              </w:rPr>
              <w:t>2．乙方应当制定合理计划和实施能够获取充分、适当证据的审核程序，为甲方的委托事项提供合理保证或建议。乙方有责任就业务服务成果向甲方解释，并在业务报告中说明。</w:t>
            </w:r>
          </w:p>
          <w:p>
            <w:pPr>
              <w:spacing w:line="520" w:lineRule="exact"/>
              <w:ind w:firstLine="480" w:firstLineChars="200"/>
              <w:rPr>
                <w:rFonts w:ascii="宋体" w:hAnsi="宋体"/>
                <w:color w:val="auto"/>
                <w:sz w:val="24"/>
              </w:rPr>
            </w:pPr>
            <w:r>
              <w:rPr>
                <w:rFonts w:hint="eastAsia" w:ascii="宋体" w:hAnsi="宋体"/>
                <w:color w:val="auto"/>
                <w:sz w:val="24"/>
              </w:rPr>
              <w:t>3．在业务执行过程中，乙方若发现甲方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除非法律法规另有要求。</w:t>
            </w:r>
          </w:p>
          <w:p>
            <w:pPr>
              <w:spacing w:line="520" w:lineRule="exact"/>
              <w:ind w:firstLine="480" w:firstLineChars="200"/>
              <w:rPr>
                <w:rFonts w:ascii="宋体" w:hAnsi="宋体"/>
                <w:color w:val="auto"/>
                <w:sz w:val="24"/>
              </w:rPr>
            </w:pPr>
            <w:r>
              <w:rPr>
                <w:rFonts w:hint="eastAsia" w:ascii="宋体" w:hAnsi="宋体"/>
                <w:color w:val="auto"/>
                <w:sz w:val="24"/>
              </w:rPr>
              <w:t>4．由于内部控制的固有限制和审核过程中的其他固有限制，即使按照相关税法和会计准则的规定适当地计划和执行委托业务，仍不可避免地存在乙方出具的业务报告的某些重大错报可能未被乙方发现的风险。</w:t>
            </w:r>
          </w:p>
          <w:p>
            <w:pPr>
              <w:spacing w:line="520" w:lineRule="exact"/>
              <w:ind w:firstLine="480" w:firstLineChars="200"/>
              <w:rPr>
                <w:rFonts w:ascii="宋体" w:hAnsi="宋体"/>
                <w:color w:val="auto"/>
                <w:sz w:val="24"/>
              </w:rPr>
            </w:pPr>
            <w:r>
              <w:rPr>
                <w:rFonts w:hint="eastAsia" w:ascii="宋体" w:hAnsi="宋体"/>
                <w:color w:val="auto"/>
                <w:sz w:val="24"/>
              </w:rPr>
              <w:t>5．按照约定时间完成相应的委托业务，出具专业性</w:t>
            </w:r>
            <w:r>
              <w:rPr>
                <w:rFonts w:hint="eastAsia" w:ascii="宋体" w:hAnsi="宋体"/>
                <w:color w:val="auto"/>
                <w:sz w:val="24"/>
                <w:lang w:val="en-US" w:eastAsia="zh-CN"/>
              </w:rPr>
              <w:t>清算</w:t>
            </w:r>
            <w:r>
              <w:rPr>
                <w:rFonts w:hint="eastAsia" w:ascii="宋体" w:hAnsi="宋体"/>
                <w:color w:val="auto"/>
                <w:sz w:val="24"/>
              </w:rPr>
              <w:t>方案和业务报告。乙方应在甲方通知后30个日历天内完成沿街商业项目土地增值税清算方案的编制并负责向甲方汇报；自接到甲方通知进场进行土地增值税清算工作后在税务部门清算时限内组织专业税务师编制并出具税务部门认可的土地增值税清算鉴证报告。</w:t>
            </w:r>
          </w:p>
          <w:p>
            <w:pPr>
              <w:spacing w:line="520" w:lineRule="exact"/>
              <w:ind w:firstLine="480" w:firstLineChars="200"/>
              <w:rPr>
                <w:rFonts w:ascii="宋体" w:hAnsi="宋体"/>
                <w:color w:val="auto"/>
                <w:sz w:val="24"/>
              </w:rPr>
            </w:pPr>
            <w:r>
              <w:rPr>
                <w:rFonts w:hint="eastAsia" w:ascii="宋体" w:hAnsi="宋体"/>
                <w:color w:val="auto"/>
                <w:sz w:val="24"/>
              </w:rPr>
              <w:t>6．按照投标文件承诺的项目人员配置及工作方案开展业务，否则视为违约，承担因此造成的违约责任。合同履行过程中，如甲方认为项目负责人不符合要求，乙方应配合更换直至达到甲方要求，否则视为违约，承担因此造成的违约责任。</w:t>
            </w:r>
          </w:p>
          <w:p>
            <w:pPr>
              <w:spacing w:line="520" w:lineRule="exact"/>
              <w:ind w:firstLine="480" w:firstLineChars="200"/>
              <w:rPr>
                <w:rFonts w:ascii="宋体" w:hAnsi="宋体"/>
                <w:color w:val="auto"/>
                <w:sz w:val="24"/>
              </w:rPr>
            </w:pPr>
            <w:r>
              <w:rPr>
                <w:rFonts w:hint="eastAsia" w:ascii="宋体" w:hAnsi="宋体"/>
                <w:color w:val="auto"/>
                <w:sz w:val="24"/>
              </w:rPr>
              <w:t>7．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行业协会和监督机构依法进行的质量检查；（5）法律法规、执业准则和职业道德规范规定的其他情形。</w:t>
            </w:r>
          </w:p>
          <w:p>
            <w:pPr>
              <w:pStyle w:val="2"/>
              <w:ind w:firstLine="210"/>
              <w:rPr>
                <w:color w:val="auto"/>
              </w:rPr>
            </w:pPr>
          </w:p>
          <w:p>
            <w:pPr>
              <w:pStyle w:val="33"/>
              <w:numPr>
                <w:ilvl w:val="0"/>
                <w:numId w:val="4"/>
              </w:numPr>
              <w:ind w:left="435" w:leftChars="207" w:firstLine="72" w:firstLineChars="30"/>
              <w:rPr>
                <w:rFonts w:ascii="宋体" w:hAnsi="宋体" w:cs="Arial Unicode MS"/>
                <w:b/>
                <w:color w:val="auto"/>
                <w:sz w:val="24"/>
              </w:rPr>
            </w:pPr>
            <w:r>
              <w:rPr>
                <w:rFonts w:hint="eastAsia" w:ascii="宋体" w:hAnsi="宋体" w:cs="Arial Unicode MS"/>
                <w:b/>
                <w:color w:val="auto"/>
                <w:sz w:val="24"/>
              </w:rPr>
              <w:t>业务收费及支付方式</w:t>
            </w:r>
          </w:p>
          <w:p>
            <w:pPr>
              <w:spacing w:line="520" w:lineRule="exact"/>
              <w:ind w:firstLine="480" w:firstLineChars="200"/>
              <w:rPr>
                <w:rFonts w:ascii="宋体" w:hAnsi="宋体"/>
                <w:color w:val="auto"/>
                <w:sz w:val="24"/>
              </w:rPr>
            </w:pPr>
            <w:r>
              <w:rPr>
                <w:rFonts w:hint="eastAsia" w:ascii="宋体" w:hAnsi="宋体"/>
                <w:color w:val="auto"/>
                <w:sz w:val="24"/>
              </w:rPr>
              <w:t>（一）合同总价款：本次服务收费价税合计为（大写）人民币  （RMB元）。</w:t>
            </w:r>
          </w:p>
          <w:p>
            <w:pPr>
              <w:spacing w:line="520" w:lineRule="exact"/>
              <w:ind w:firstLine="480" w:firstLineChars="200"/>
              <w:rPr>
                <w:rFonts w:ascii="宋体" w:hAnsi="宋体"/>
                <w:color w:val="auto"/>
                <w:sz w:val="24"/>
                <w:highlight w:val="none"/>
              </w:rPr>
            </w:pPr>
            <w:r>
              <w:rPr>
                <w:rFonts w:hint="eastAsia" w:ascii="宋体" w:hAnsi="宋体"/>
                <w:color w:val="auto"/>
                <w:sz w:val="24"/>
              </w:rPr>
              <w:t>（二）支付方式:</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1.经双方协商确定按此方式支付合同服务费：服务合同签订生效一周内预付合同总价款的30%，即：</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；出具土地增值税</w:t>
            </w:r>
            <w:r>
              <w:rPr>
                <w:rFonts w:hint="eastAsia" w:ascii="宋体" w:hAnsi="宋体"/>
                <w:color w:val="auto"/>
                <w:sz w:val="24"/>
                <w:highlight w:val="none"/>
                <w:lang w:val="en-US" w:eastAsia="zh-CN"/>
              </w:rPr>
              <w:t>清算</w:t>
            </w:r>
            <w:r>
              <w:rPr>
                <w:rFonts w:hint="eastAsia" w:ascii="宋体" w:hAnsi="宋体"/>
                <w:color w:val="auto"/>
                <w:sz w:val="24"/>
                <w:highlight w:val="none"/>
              </w:rPr>
              <w:t>方案并取得甲方认</w:t>
            </w:r>
            <w:r>
              <w:rPr>
                <w:rFonts w:hint="eastAsia" w:ascii="宋体" w:hAnsi="宋体"/>
                <w:color w:val="auto"/>
                <w:sz w:val="24"/>
                <w:highlight w:val="none"/>
                <w:lang w:val="en-US" w:eastAsia="zh-CN"/>
              </w:rPr>
              <w:t>可</w:t>
            </w:r>
            <w:r>
              <w:rPr>
                <w:rFonts w:hint="eastAsia" w:ascii="宋体" w:hAnsi="宋体"/>
                <w:color w:val="auto"/>
                <w:sz w:val="24"/>
                <w:highlight w:val="none"/>
              </w:rPr>
              <w:t>后一周内支付至合同总价款的50%，即：</w:t>
            </w:r>
            <w:r>
              <w:rPr>
                <w:rFonts w:hint="eastAsia" w:ascii="宋体" w:hAnsi="宋体"/>
                <w:color w:val="auto"/>
                <w:sz w:val="24"/>
                <w:highlight w:val="none"/>
                <w:u w:val="single"/>
              </w:rPr>
              <w:t xml:space="preserve">            </w:t>
            </w:r>
            <w:r>
              <w:rPr>
                <w:rFonts w:hint="eastAsia" w:ascii="宋体" w:hAnsi="宋体"/>
                <w:color w:val="auto"/>
                <w:sz w:val="24"/>
                <w:highlight w:val="none"/>
              </w:rPr>
              <w:t>；整体商业项目土地增值税清算完毕后一周内支付至合同总价款的100%，即：</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520" w:lineRule="exact"/>
              <w:ind w:firstLine="480" w:firstLineChars="200"/>
              <w:rPr>
                <w:rFonts w:ascii="宋体" w:hAnsi="宋体"/>
                <w:color w:val="auto"/>
                <w:sz w:val="24"/>
              </w:rPr>
            </w:pPr>
            <w:r>
              <w:rPr>
                <w:rFonts w:hint="eastAsia" w:ascii="宋体" w:hAnsi="宋体"/>
                <w:color w:val="auto"/>
                <w:sz w:val="24"/>
              </w:rPr>
              <w:t>2.乙方在甲方每次支付款项前，应先行向甲方提供足额合法且符合税法规定的税率6%的增值税专用发票。甲方在收到乙方提供的增值税专用发票后办理付款手续，否则甲方有权延迟支付相应费用而不被视为违约，亦无须承担任何违约责任。如因乙方发票未按期提供或发票不合规等原因，导致甲方增值税无法抵扣的，乙方同意承担由此对甲方造成的一切损失（包括但不限于因票据问题导致甲方无法抵扣的税款，以及由此产生的须由甲方支付的滞纳金、行政罚款等）。</w:t>
            </w:r>
          </w:p>
          <w:p>
            <w:pPr>
              <w:spacing w:line="600" w:lineRule="exact"/>
              <w:ind w:left="542" w:hanging="542" w:hangingChars="225"/>
              <w:rPr>
                <w:rFonts w:ascii="宋体" w:hAnsi="宋体" w:cs="Arial Unicode MS"/>
                <w:b/>
                <w:color w:val="auto"/>
                <w:sz w:val="24"/>
              </w:rPr>
            </w:pPr>
            <w:r>
              <w:rPr>
                <w:rFonts w:hint="eastAsia" w:ascii="宋体" w:hAnsi="宋体" w:cs="Arial Unicode MS"/>
                <w:b/>
                <w:color w:val="auto"/>
                <w:sz w:val="24"/>
              </w:rPr>
              <w:t xml:space="preserve">    甲方开票信息：</w:t>
            </w:r>
          </w:p>
          <w:p>
            <w:pPr>
              <w:spacing w:line="600" w:lineRule="exact"/>
              <w:ind w:left="539" w:leftChars="228" w:hanging="60" w:hangingChars="25"/>
              <w:rPr>
                <w:rFonts w:ascii="宋体" w:hAnsi="宋体" w:cs="Arial Unicode MS"/>
                <w:color w:val="auto"/>
                <w:sz w:val="24"/>
                <w:u w:val="single"/>
              </w:rPr>
            </w:pPr>
            <w:r>
              <w:rPr>
                <w:rFonts w:hint="eastAsia" w:ascii="宋体" w:hAnsi="宋体" w:cs="Arial Unicode MS"/>
                <w:color w:val="auto"/>
                <w:sz w:val="24"/>
              </w:rPr>
              <w:t>名  称：</w:t>
            </w:r>
            <w:r>
              <w:rPr>
                <w:rFonts w:hint="eastAsia" w:ascii="宋体" w:hAnsi="宋体" w:cs="Arial Unicode MS"/>
                <w:color w:val="auto"/>
                <w:sz w:val="24"/>
                <w:u w:val="single"/>
              </w:rPr>
              <w:t xml:space="preserve">合肥周谷堆置业有限公司 </w:t>
            </w:r>
          </w:p>
          <w:p>
            <w:pPr>
              <w:spacing w:line="600" w:lineRule="exact"/>
              <w:ind w:left="539" w:leftChars="228" w:hanging="60" w:hangingChars="25"/>
              <w:rPr>
                <w:rFonts w:ascii="宋体" w:hAnsi="宋体" w:cs="Arial Unicode MS"/>
                <w:color w:val="auto"/>
                <w:sz w:val="24"/>
                <w:u w:val="single"/>
              </w:rPr>
            </w:pPr>
            <w:r>
              <w:rPr>
                <w:rFonts w:hint="eastAsia" w:ascii="宋体" w:hAnsi="宋体" w:cs="Arial Unicode MS"/>
                <w:color w:val="auto"/>
                <w:sz w:val="24"/>
              </w:rPr>
              <w:t>纳税人识别号：</w:t>
            </w:r>
            <w:r>
              <w:rPr>
                <w:rFonts w:hint="eastAsia" w:ascii="宋体" w:hAnsi="宋体" w:cs="Arial Unicode MS"/>
                <w:color w:val="auto"/>
                <w:sz w:val="24"/>
                <w:u w:val="single"/>
              </w:rPr>
              <w:t>91340100058470777E</w:t>
            </w:r>
          </w:p>
          <w:p>
            <w:pPr>
              <w:spacing w:line="600" w:lineRule="exact"/>
              <w:ind w:left="539" w:leftChars="228" w:hanging="60" w:hangingChars="25"/>
              <w:rPr>
                <w:rFonts w:ascii="宋体" w:hAnsi="宋体" w:cs="Arial Unicode MS"/>
                <w:color w:val="auto"/>
                <w:sz w:val="24"/>
                <w:u w:val="single"/>
              </w:rPr>
            </w:pPr>
            <w:r>
              <w:rPr>
                <w:rFonts w:hint="eastAsia" w:ascii="宋体" w:hAnsi="宋体" w:cs="Arial Unicode MS"/>
                <w:color w:val="auto"/>
                <w:sz w:val="24"/>
              </w:rPr>
              <w:t>地址：</w:t>
            </w:r>
            <w:r>
              <w:rPr>
                <w:rFonts w:hint="eastAsia" w:ascii="宋体" w:hAnsi="宋体" w:cs="Arial Unicode MS"/>
                <w:color w:val="auto"/>
                <w:sz w:val="24"/>
                <w:u w:val="single"/>
              </w:rPr>
              <w:t>安徽省合肥市瑶海区大兴镇合裕路南侧 0551-62970016</w:t>
            </w:r>
          </w:p>
          <w:p>
            <w:pPr>
              <w:spacing w:line="600" w:lineRule="exact"/>
              <w:ind w:left="540" w:hanging="540" w:hangingChars="225"/>
              <w:rPr>
                <w:rFonts w:ascii="宋体" w:hAnsi="宋体" w:cs="Arial Unicode MS"/>
                <w:color w:val="auto"/>
                <w:sz w:val="24"/>
              </w:rPr>
            </w:pPr>
            <w:r>
              <w:rPr>
                <w:rFonts w:hint="eastAsia" w:ascii="宋体" w:hAnsi="宋体" w:cs="Arial Unicode MS"/>
                <w:color w:val="auto"/>
                <w:sz w:val="24"/>
              </w:rPr>
              <w:t xml:space="preserve">    开户行：</w:t>
            </w:r>
            <w:r>
              <w:rPr>
                <w:rFonts w:hint="eastAsia" w:ascii="宋体" w:hAnsi="宋体" w:cs="Arial Unicode MS"/>
                <w:color w:val="auto"/>
                <w:sz w:val="24"/>
                <w:u w:val="single"/>
              </w:rPr>
              <w:t xml:space="preserve">建设银行合肥周谷堆支行 </w:t>
            </w:r>
          </w:p>
          <w:p>
            <w:pPr>
              <w:spacing w:line="600" w:lineRule="exact"/>
              <w:ind w:left="540" w:hanging="540" w:hangingChars="225"/>
              <w:rPr>
                <w:color w:val="auto"/>
              </w:rPr>
            </w:pPr>
            <w:r>
              <w:rPr>
                <w:rFonts w:hint="eastAsia" w:ascii="宋体" w:hAnsi="宋体" w:cs="Arial Unicode MS"/>
                <w:color w:val="auto"/>
                <w:sz w:val="24"/>
              </w:rPr>
              <w:t xml:space="preserve">    帐  号：</w:t>
            </w:r>
            <w:r>
              <w:rPr>
                <w:rFonts w:hint="eastAsia" w:ascii="宋体" w:hAnsi="宋体" w:cs="Arial Unicode MS"/>
                <w:color w:val="auto"/>
                <w:sz w:val="24"/>
                <w:u w:val="single"/>
              </w:rPr>
              <w:t xml:space="preserve"> 34001464608059666777  </w:t>
            </w:r>
          </w:p>
          <w:p>
            <w:pPr>
              <w:spacing w:line="520" w:lineRule="exact"/>
              <w:ind w:firstLine="480" w:firstLineChars="200"/>
              <w:rPr>
                <w:rFonts w:ascii="宋体" w:hAnsi="宋体"/>
                <w:color w:val="auto"/>
                <w:sz w:val="24"/>
              </w:rPr>
            </w:pPr>
            <w:r>
              <w:rPr>
                <w:rFonts w:hint="eastAsia" w:ascii="宋体" w:hAnsi="宋体"/>
                <w:color w:val="auto"/>
                <w:sz w:val="24"/>
              </w:rPr>
              <w:t>3.本次服务费用汇入乙方以下账户：</w:t>
            </w:r>
          </w:p>
          <w:p>
            <w:pPr>
              <w:spacing w:line="600" w:lineRule="exact"/>
              <w:ind w:left="539" w:leftChars="228" w:hanging="60" w:hangingChars="25"/>
              <w:rPr>
                <w:rFonts w:ascii="宋体" w:hAnsi="宋体" w:cs="Arial Unicode MS"/>
                <w:color w:val="auto"/>
                <w:sz w:val="24"/>
                <w:u w:val="single"/>
              </w:rPr>
            </w:pPr>
            <w:r>
              <w:rPr>
                <w:rFonts w:hint="eastAsia" w:ascii="宋体" w:hAnsi="宋体" w:cs="Arial Unicode MS"/>
                <w:color w:val="auto"/>
                <w:sz w:val="24"/>
              </w:rPr>
              <w:t>收款单位：</w:t>
            </w:r>
          </w:p>
          <w:p>
            <w:pPr>
              <w:spacing w:line="600" w:lineRule="exact"/>
              <w:ind w:left="539" w:leftChars="228" w:hanging="60" w:hangingChars="25"/>
              <w:rPr>
                <w:rFonts w:ascii="宋体" w:hAnsi="宋体" w:cs="Arial Unicode MS"/>
                <w:color w:val="auto"/>
                <w:sz w:val="24"/>
              </w:rPr>
            </w:pPr>
            <w:r>
              <w:rPr>
                <w:rFonts w:hint="eastAsia" w:ascii="宋体" w:hAnsi="宋体" w:cs="Arial Unicode MS"/>
                <w:color w:val="auto"/>
                <w:sz w:val="24"/>
              </w:rPr>
              <w:t>开户银行：</w:t>
            </w:r>
          </w:p>
          <w:p>
            <w:pPr>
              <w:spacing w:line="600" w:lineRule="exact"/>
              <w:ind w:left="539" w:leftChars="228" w:hanging="60" w:hangingChars="25"/>
              <w:rPr>
                <w:rFonts w:ascii="宋体" w:hAnsi="宋体"/>
                <w:color w:val="auto"/>
                <w:sz w:val="24"/>
              </w:rPr>
            </w:pPr>
            <w:r>
              <w:rPr>
                <w:rFonts w:hint="eastAsia" w:ascii="宋体" w:hAnsi="宋体" w:cs="Arial Unicode MS"/>
                <w:color w:val="auto"/>
                <w:sz w:val="24"/>
              </w:rPr>
              <w:t>银行账号：</w:t>
            </w:r>
          </w:p>
          <w:p>
            <w:pPr>
              <w:spacing w:line="520" w:lineRule="exact"/>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上述（</w:t>
            </w:r>
            <w:r>
              <w:rPr>
                <w:rFonts w:hint="eastAsia" w:ascii="宋体" w:hAnsi="宋体"/>
                <w:color w:val="auto"/>
                <w:sz w:val="24"/>
              </w:rPr>
              <w:t>3</w:t>
            </w:r>
            <w:r>
              <w:rPr>
                <w:rFonts w:ascii="宋体" w:hAnsi="宋体"/>
                <w:color w:val="auto"/>
                <w:sz w:val="24"/>
              </w:rPr>
              <w:t>）信息发生变更，乙方需在甲方付款前拾（10）日书面通知甲方。任何一方因以上信息变更未按本</w:t>
            </w:r>
            <w:r>
              <w:rPr>
                <w:rFonts w:hint="eastAsia" w:ascii="宋体" w:hAnsi="宋体"/>
                <w:color w:val="auto"/>
                <w:sz w:val="24"/>
              </w:rPr>
              <w:t>合同</w:t>
            </w:r>
            <w:r>
              <w:rPr>
                <w:rFonts w:ascii="宋体" w:hAnsi="宋体"/>
                <w:color w:val="auto"/>
                <w:sz w:val="24"/>
              </w:rPr>
              <w:t>通知或确认信息而使甲乙双方遭受的损失，由违约方向守约方承担损失责任。</w:t>
            </w:r>
          </w:p>
          <w:p>
            <w:pPr>
              <w:pStyle w:val="2"/>
              <w:ind w:firstLine="210"/>
              <w:rPr>
                <w:color w:val="auto"/>
              </w:rPr>
            </w:pPr>
          </w:p>
          <w:p>
            <w:pPr>
              <w:pStyle w:val="33"/>
              <w:numPr>
                <w:ilvl w:val="0"/>
                <w:numId w:val="4"/>
              </w:numPr>
              <w:ind w:left="435" w:leftChars="207" w:firstLine="72" w:firstLineChars="30"/>
              <w:rPr>
                <w:rFonts w:ascii="宋体" w:hAnsi="宋体" w:cs="Arial Unicode MS"/>
                <w:b/>
                <w:color w:val="auto"/>
                <w:sz w:val="24"/>
              </w:rPr>
            </w:pPr>
            <w:r>
              <w:rPr>
                <w:rFonts w:hint="eastAsia" w:ascii="宋体" w:hAnsi="宋体" w:cs="Arial Unicode MS"/>
                <w:b/>
                <w:color w:val="auto"/>
                <w:sz w:val="24"/>
              </w:rPr>
              <w:t xml:space="preserve"> 履约保证金</w:t>
            </w:r>
          </w:p>
          <w:p>
            <w:pPr>
              <w:spacing w:line="520" w:lineRule="exact"/>
              <w:ind w:firstLine="480" w:firstLineChars="200"/>
              <w:rPr>
                <w:rFonts w:ascii="宋体" w:hAnsi="宋体"/>
                <w:color w:val="auto"/>
                <w:sz w:val="24"/>
                <w:lang w:val="zh-CN"/>
              </w:rPr>
            </w:pPr>
            <w:r>
              <w:rPr>
                <w:rFonts w:hint="eastAsia" w:ascii="宋体" w:hAnsi="宋体"/>
                <w:color w:val="auto"/>
                <w:sz w:val="24"/>
              </w:rPr>
              <w:t>1.合同签署前3日乙方向甲方支付履约保证金</w:t>
            </w:r>
            <w:r>
              <w:rPr>
                <w:rFonts w:hint="eastAsia" w:ascii="宋体" w:hAnsi="宋体"/>
                <w:color w:val="auto"/>
                <w:sz w:val="24"/>
                <w:lang w:val="zh-CN"/>
              </w:rPr>
              <w:t>人民币整，期限至合同履约完成且无违约问题后无息退还。</w:t>
            </w:r>
          </w:p>
          <w:p>
            <w:pPr>
              <w:spacing w:line="520" w:lineRule="exact"/>
              <w:ind w:firstLine="480" w:firstLineChars="200"/>
              <w:rPr>
                <w:rFonts w:ascii="宋体" w:hAnsi="宋体"/>
                <w:color w:val="auto"/>
                <w:sz w:val="24"/>
              </w:rPr>
            </w:pPr>
            <w:r>
              <w:rPr>
                <w:rFonts w:hint="eastAsia" w:ascii="宋体" w:hAnsi="宋体"/>
                <w:color w:val="auto"/>
                <w:sz w:val="24"/>
              </w:rPr>
              <w:t>2.履约保证金以转帐方式转入甲方指定帐号，与此有关的费用由乙方承担。</w:t>
            </w:r>
          </w:p>
          <w:p>
            <w:pPr>
              <w:spacing w:line="520" w:lineRule="exact"/>
              <w:ind w:firstLine="480" w:firstLineChars="200"/>
              <w:rPr>
                <w:rFonts w:ascii="宋体" w:hAnsi="宋体"/>
                <w:color w:val="auto"/>
                <w:sz w:val="24"/>
                <w:lang w:val="zh-CN"/>
              </w:rPr>
            </w:pPr>
            <w:r>
              <w:rPr>
                <w:rFonts w:hint="eastAsia" w:ascii="宋体" w:hAnsi="宋体"/>
                <w:color w:val="auto"/>
                <w:sz w:val="24"/>
              </w:rPr>
              <w:t>3.如乙方未能履行其合同规定的任何义务，甲方有权从履约保证金中取得补偿。</w:t>
            </w:r>
          </w:p>
          <w:p>
            <w:pPr>
              <w:spacing w:line="600" w:lineRule="exact"/>
              <w:ind w:left="542" w:hanging="542" w:hangingChars="225"/>
              <w:rPr>
                <w:rFonts w:ascii="宋体" w:hAnsi="宋体" w:cs="宋体"/>
                <w:color w:val="auto"/>
                <w:kern w:val="0"/>
                <w:sz w:val="24"/>
                <w:lang w:val="zh-CN"/>
              </w:rPr>
            </w:pPr>
            <w:r>
              <w:rPr>
                <w:rFonts w:hint="eastAsia" w:ascii="宋体" w:hAnsi="宋体" w:cs="宋体"/>
                <w:b/>
                <w:color w:val="auto"/>
                <w:kern w:val="0"/>
                <w:sz w:val="24"/>
              </w:rPr>
              <w:t xml:space="preserve">    保证金账户信息：</w:t>
            </w:r>
          </w:p>
          <w:p>
            <w:pPr>
              <w:spacing w:line="500" w:lineRule="exact"/>
              <w:rPr>
                <w:rFonts w:ascii="宋体" w:hAnsi="宋体"/>
                <w:color w:val="auto"/>
                <w:kern w:val="0"/>
                <w:sz w:val="24"/>
              </w:rPr>
            </w:pPr>
            <w:r>
              <w:rPr>
                <w:rFonts w:hint="eastAsia" w:ascii="宋体" w:hAnsi="宋体"/>
                <w:color w:val="auto"/>
                <w:kern w:val="0"/>
                <w:sz w:val="24"/>
              </w:rPr>
              <w:t>名 称：</w:t>
            </w:r>
            <w:r>
              <w:rPr>
                <w:color w:val="auto"/>
                <w:sz w:val="24"/>
              </w:rPr>
              <w:t>合肥周谷堆</w:t>
            </w:r>
            <w:r>
              <w:rPr>
                <w:rFonts w:hint="eastAsia"/>
                <w:color w:val="auto"/>
                <w:sz w:val="24"/>
              </w:rPr>
              <w:t>置业有限</w:t>
            </w:r>
            <w:r>
              <w:rPr>
                <w:color w:val="auto"/>
                <w:sz w:val="24"/>
              </w:rPr>
              <w:t>公司</w:t>
            </w:r>
          </w:p>
          <w:p>
            <w:pPr>
              <w:spacing w:line="600" w:lineRule="exact"/>
              <w:ind w:left="539" w:leftChars="228" w:hanging="60" w:hangingChars="25"/>
              <w:rPr>
                <w:color w:val="auto"/>
                <w:sz w:val="24"/>
                <w:highlight w:val="none"/>
              </w:rPr>
            </w:pPr>
            <w:r>
              <w:rPr>
                <w:rFonts w:hint="eastAsia" w:ascii="宋体" w:hAnsi="宋体"/>
                <w:color w:val="auto"/>
                <w:kern w:val="0"/>
                <w:sz w:val="24"/>
                <w:highlight w:val="none"/>
              </w:rPr>
              <w:t>开户行：</w:t>
            </w:r>
            <w:r>
              <w:rPr>
                <w:color w:val="auto"/>
                <w:sz w:val="24"/>
                <w:highlight w:val="none"/>
              </w:rPr>
              <w:t>徽商银行合肥庐阳支行</w:t>
            </w:r>
          </w:p>
          <w:p>
            <w:pPr>
              <w:spacing w:line="600" w:lineRule="exact"/>
              <w:ind w:left="539" w:leftChars="228" w:hanging="60" w:hangingChars="25"/>
              <w:rPr>
                <w:rFonts w:ascii="宋体" w:hAnsi="宋体"/>
                <w:color w:val="auto"/>
                <w:kern w:val="0"/>
                <w:sz w:val="24"/>
                <w:highlight w:val="none"/>
              </w:rPr>
            </w:pPr>
            <w:r>
              <w:rPr>
                <w:rFonts w:hint="eastAsia" w:ascii="宋体" w:hAnsi="宋体"/>
                <w:color w:val="auto"/>
                <w:kern w:val="0"/>
                <w:sz w:val="24"/>
                <w:highlight w:val="none"/>
              </w:rPr>
              <w:t>账 号：</w:t>
            </w:r>
            <w:r>
              <w:rPr>
                <w:rFonts w:hint="eastAsia"/>
                <w:color w:val="auto"/>
                <w:sz w:val="24"/>
                <w:highlight w:val="none"/>
              </w:rPr>
              <w:t>1022801021000512258</w:t>
            </w:r>
            <w:r>
              <w:rPr>
                <w:rFonts w:hint="eastAsia" w:ascii="宋体" w:hAnsi="宋体"/>
                <w:color w:val="auto"/>
                <w:kern w:val="0"/>
                <w:sz w:val="24"/>
                <w:highlight w:val="none"/>
              </w:rPr>
              <w:t>（转帐时请备注“税务师事务所服务招标履约保证金”）</w:t>
            </w:r>
          </w:p>
          <w:p>
            <w:pPr>
              <w:pStyle w:val="2"/>
              <w:ind w:firstLine="210"/>
              <w:rPr>
                <w:color w:val="auto"/>
              </w:rPr>
            </w:pPr>
          </w:p>
          <w:p>
            <w:pPr>
              <w:pStyle w:val="33"/>
              <w:numPr>
                <w:ilvl w:val="0"/>
                <w:numId w:val="4"/>
              </w:numPr>
              <w:ind w:left="435" w:leftChars="207" w:firstLine="72" w:firstLineChars="30"/>
              <w:rPr>
                <w:rFonts w:ascii="宋体" w:hAnsi="宋体" w:cs="Arial Unicode MS"/>
                <w:b/>
                <w:color w:val="auto"/>
                <w:sz w:val="24"/>
              </w:rPr>
            </w:pPr>
            <w:r>
              <w:rPr>
                <w:rFonts w:hint="eastAsia" w:ascii="宋体" w:hAnsi="宋体" w:cs="Arial Unicode MS"/>
                <w:b/>
                <w:color w:val="auto"/>
                <w:sz w:val="24"/>
              </w:rPr>
              <w:t>专业性方案及业务报告的出具和使用</w:t>
            </w:r>
          </w:p>
          <w:p>
            <w:pPr>
              <w:spacing w:line="520" w:lineRule="exact"/>
              <w:ind w:firstLine="480" w:firstLineChars="200"/>
              <w:rPr>
                <w:rFonts w:ascii="宋体" w:hAnsi="宋体"/>
                <w:color w:val="auto"/>
                <w:sz w:val="24"/>
              </w:rPr>
            </w:pPr>
            <w:r>
              <w:rPr>
                <w:rFonts w:hint="eastAsia" w:ascii="宋体" w:hAnsi="宋体"/>
                <w:color w:val="auto"/>
                <w:sz w:val="24"/>
              </w:rPr>
              <w:t>1.乙方应当按照国家发布的相关执业准则所规定的格式和类型，出具专业性方案及真实、合法的业务报告。</w:t>
            </w:r>
          </w:p>
          <w:p>
            <w:pPr>
              <w:spacing w:line="520" w:lineRule="exact"/>
              <w:ind w:firstLine="480" w:firstLineChars="200"/>
              <w:rPr>
                <w:rFonts w:ascii="宋体" w:hAnsi="宋体"/>
                <w:color w:val="auto"/>
                <w:sz w:val="24"/>
              </w:rPr>
            </w:pPr>
            <w:r>
              <w:rPr>
                <w:rFonts w:hint="eastAsia" w:ascii="宋体" w:hAnsi="宋体"/>
                <w:color w:val="auto"/>
                <w:sz w:val="24"/>
              </w:rPr>
              <w:t>2.乙方向甲方出具专业性方案及业务报告一式伍份。</w:t>
            </w:r>
          </w:p>
          <w:p>
            <w:pPr>
              <w:pStyle w:val="2"/>
              <w:ind w:firstLine="0" w:firstLineChars="0"/>
              <w:rPr>
                <w:color w:val="auto"/>
              </w:rPr>
            </w:pPr>
          </w:p>
          <w:p>
            <w:pPr>
              <w:pStyle w:val="33"/>
              <w:numPr>
                <w:ilvl w:val="0"/>
                <w:numId w:val="4"/>
              </w:numPr>
              <w:ind w:left="435" w:leftChars="207" w:firstLine="72" w:firstLineChars="30"/>
              <w:rPr>
                <w:rFonts w:ascii="宋体" w:hAnsi="宋体" w:cs="Arial Unicode MS"/>
                <w:b/>
                <w:color w:val="auto"/>
                <w:sz w:val="24"/>
              </w:rPr>
            </w:pPr>
            <w:r>
              <w:rPr>
                <w:rFonts w:hint="eastAsia" w:ascii="宋体" w:hAnsi="宋体" w:cs="Arial Unicode MS"/>
                <w:b/>
                <w:color w:val="auto"/>
                <w:sz w:val="24"/>
              </w:rPr>
              <w:t>合同有效期</w:t>
            </w:r>
          </w:p>
          <w:p>
            <w:pPr>
              <w:spacing w:line="520" w:lineRule="exact"/>
              <w:ind w:firstLine="480" w:firstLineChars="200"/>
              <w:rPr>
                <w:rFonts w:ascii="宋体" w:hAnsi="宋体"/>
                <w:color w:val="auto"/>
                <w:sz w:val="24"/>
              </w:rPr>
            </w:pPr>
            <w:r>
              <w:rPr>
                <w:rFonts w:hint="eastAsia" w:ascii="宋体" w:hAnsi="宋体"/>
                <w:color w:val="auto"/>
                <w:sz w:val="24"/>
              </w:rPr>
              <w:t xml:space="preserve"> 本合同自签署之日起生效，并在双方履行完毕本合同约定的所有义务后终止。但其中第四、五、六、八、九、十、十一项并不因本合同终止而失效。</w:t>
            </w:r>
          </w:p>
          <w:p>
            <w:pPr>
              <w:pStyle w:val="2"/>
              <w:ind w:firstLine="210"/>
              <w:rPr>
                <w:color w:val="auto"/>
              </w:rPr>
            </w:pPr>
          </w:p>
          <w:p>
            <w:pPr>
              <w:pStyle w:val="33"/>
              <w:numPr>
                <w:ilvl w:val="0"/>
                <w:numId w:val="4"/>
              </w:numPr>
              <w:ind w:left="435" w:leftChars="207" w:firstLine="72" w:firstLineChars="30"/>
              <w:rPr>
                <w:rFonts w:ascii="宋体" w:hAnsi="宋体" w:cs="Arial Unicode MS"/>
                <w:b/>
                <w:color w:val="auto"/>
                <w:sz w:val="24"/>
              </w:rPr>
            </w:pPr>
            <w:r>
              <w:rPr>
                <w:rFonts w:hint="eastAsia" w:ascii="宋体" w:hAnsi="宋体" w:cs="Arial Unicode MS"/>
                <w:b/>
                <w:color w:val="auto"/>
                <w:sz w:val="24"/>
              </w:rPr>
              <w:t>约定事项的变更、终止</w:t>
            </w:r>
          </w:p>
          <w:p>
            <w:pPr>
              <w:spacing w:line="520" w:lineRule="exact"/>
              <w:ind w:firstLine="480" w:firstLineChars="200"/>
              <w:rPr>
                <w:rFonts w:ascii="宋体" w:hAnsi="宋体"/>
                <w:color w:val="auto"/>
                <w:sz w:val="24"/>
              </w:rPr>
            </w:pPr>
            <w:r>
              <w:rPr>
                <w:rFonts w:hint="eastAsia" w:ascii="宋体" w:hAnsi="宋体"/>
                <w:color w:val="auto"/>
                <w:sz w:val="24"/>
              </w:rPr>
              <w:t>如果出现不可预见的情况，影响约定工作如期完成，或需要提前出具专业性方案和业务报告，甲、乙双方均可要求变更约定事项，但应及时通知对方，并由双方协商解决。</w:t>
            </w:r>
          </w:p>
          <w:p>
            <w:pPr>
              <w:pStyle w:val="33"/>
              <w:ind w:left="498" w:leftChars="237" w:firstLine="0"/>
              <w:rPr>
                <w:rFonts w:ascii="宋体" w:hAnsi="宋体" w:cs="Arial Unicode MS"/>
                <w:b/>
                <w:color w:val="auto"/>
                <w:sz w:val="24"/>
              </w:rPr>
            </w:pPr>
          </w:p>
          <w:p>
            <w:pPr>
              <w:pStyle w:val="33"/>
              <w:numPr>
                <w:ilvl w:val="0"/>
                <w:numId w:val="4"/>
              </w:numPr>
              <w:ind w:left="435" w:leftChars="207" w:firstLine="72" w:firstLineChars="30"/>
              <w:rPr>
                <w:rFonts w:ascii="宋体" w:hAnsi="宋体" w:cs="Arial Unicode MS"/>
                <w:b/>
                <w:color w:val="auto"/>
                <w:sz w:val="24"/>
              </w:rPr>
            </w:pPr>
            <w:r>
              <w:rPr>
                <w:rFonts w:hint="eastAsia" w:ascii="宋体" w:hAnsi="宋体" w:cs="Arial Unicode MS"/>
                <w:b/>
                <w:color w:val="auto"/>
                <w:sz w:val="24"/>
              </w:rPr>
              <w:t>违约责任</w:t>
            </w:r>
          </w:p>
          <w:p>
            <w:pPr>
              <w:numPr>
                <w:ilvl w:val="0"/>
                <w:numId w:val="6"/>
              </w:numPr>
              <w:spacing w:line="520" w:lineRule="exact"/>
              <w:ind w:firstLine="480" w:firstLineChars="200"/>
              <w:rPr>
                <w:rFonts w:hint="eastAsia" w:ascii="宋体" w:hAnsi="宋体"/>
                <w:color w:val="auto"/>
                <w:sz w:val="24"/>
              </w:rPr>
            </w:pPr>
            <w:r>
              <w:rPr>
                <w:rFonts w:hint="eastAsia" w:ascii="宋体" w:hAnsi="宋体"/>
                <w:color w:val="auto"/>
                <w:sz w:val="24"/>
              </w:rPr>
              <w:t>任何一方未按合同约定履行相关条款，包括且不限于未按时提交相关成果性文件或怠于履行相关的合同条款。经守约方书面催告后仍不能履行相关合同条款，守约方有权单方解除本合同，并自书面通知到达违约方之日解除，同时违约方须按合同总价款的50%向守约方支付违约金。</w:t>
            </w:r>
          </w:p>
          <w:p>
            <w:pPr>
              <w:numPr>
                <w:ilvl w:val="0"/>
                <w:numId w:val="6"/>
              </w:numPr>
              <w:spacing w:line="520" w:lineRule="exact"/>
              <w:ind w:firstLine="480" w:firstLineChars="200"/>
              <w:rPr>
                <w:rFonts w:hint="eastAsia" w:ascii="宋体" w:hAnsi="宋体"/>
                <w:color w:val="auto"/>
                <w:sz w:val="24"/>
              </w:rPr>
            </w:pPr>
            <w:r>
              <w:rPr>
                <w:rFonts w:hint="eastAsia" w:ascii="宋体" w:hAnsi="宋体"/>
                <w:color w:val="auto"/>
                <w:sz w:val="24"/>
              </w:rPr>
              <w:t>乙方出具的土地增值税清算鉴证报告未得到税务局机关认可的，乙方应退回全部款项，按照合同总价款的</w:t>
            </w:r>
            <w:r>
              <w:rPr>
                <w:rFonts w:hint="eastAsia" w:ascii="宋体" w:hAnsi="宋体"/>
                <w:color w:val="auto"/>
                <w:sz w:val="24"/>
                <w:lang w:val="en-US" w:eastAsia="zh-CN"/>
              </w:rPr>
              <w:t>50%</w:t>
            </w:r>
            <w:r>
              <w:rPr>
                <w:rFonts w:hint="eastAsia" w:ascii="宋体" w:hAnsi="宋体"/>
                <w:color w:val="auto"/>
                <w:sz w:val="24"/>
              </w:rPr>
              <w:t>向甲方支付违约金并赔偿甲方因此产生</w:t>
            </w:r>
            <w:r>
              <w:rPr>
                <w:rFonts w:hint="eastAsia" w:ascii="宋体" w:hAnsi="宋体"/>
                <w:color w:val="auto"/>
                <w:sz w:val="24"/>
                <w:lang w:eastAsia="zh-CN"/>
              </w:rPr>
              <w:t>的</w:t>
            </w:r>
            <w:r>
              <w:rPr>
                <w:rFonts w:hint="eastAsia" w:ascii="宋体" w:hAnsi="宋体"/>
                <w:color w:val="auto"/>
                <w:sz w:val="24"/>
              </w:rPr>
              <w:t>全部损失。</w:t>
            </w:r>
          </w:p>
          <w:p>
            <w:pPr>
              <w:spacing w:line="520" w:lineRule="exact"/>
              <w:ind w:firstLine="420" w:firstLineChars="200"/>
              <w:rPr>
                <w:color w:val="auto"/>
              </w:rPr>
            </w:pPr>
          </w:p>
          <w:p>
            <w:pPr>
              <w:pStyle w:val="33"/>
              <w:numPr>
                <w:ilvl w:val="0"/>
                <w:numId w:val="4"/>
              </w:numPr>
              <w:ind w:left="435" w:leftChars="207" w:firstLine="72" w:firstLineChars="30"/>
              <w:rPr>
                <w:rFonts w:ascii="宋体" w:hAnsi="宋体" w:cs="Arial Unicode MS"/>
                <w:b/>
                <w:color w:val="auto"/>
                <w:sz w:val="24"/>
              </w:rPr>
            </w:pPr>
            <w:r>
              <w:rPr>
                <w:rFonts w:hint="eastAsia" w:ascii="宋体" w:hAnsi="宋体" w:cs="Arial Unicode MS"/>
                <w:b/>
                <w:color w:val="auto"/>
                <w:sz w:val="24"/>
              </w:rPr>
              <w:t>争议解决</w:t>
            </w:r>
          </w:p>
          <w:p>
            <w:pPr>
              <w:spacing w:line="600" w:lineRule="exact"/>
              <w:ind w:left="105" w:leftChars="50"/>
              <w:rPr>
                <w:rFonts w:ascii="宋体" w:hAnsi="宋体" w:cs="Arial Unicode MS"/>
                <w:color w:val="auto"/>
                <w:sz w:val="24"/>
              </w:rPr>
            </w:pPr>
            <w:r>
              <w:rPr>
                <w:rFonts w:hint="eastAsia" w:ascii="宋体" w:hAnsi="宋体" w:cs="Arial Unicode MS"/>
                <w:color w:val="auto"/>
                <w:sz w:val="24"/>
              </w:rPr>
              <w:t xml:space="preserve">   本合同履行中如发生争议，双方友好协商解决；协商解决不成，可向甲方所在地人民法院起诉。</w:t>
            </w:r>
          </w:p>
          <w:p>
            <w:pPr>
              <w:pStyle w:val="2"/>
              <w:ind w:firstLine="210"/>
              <w:rPr>
                <w:color w:val="auto"/>
              </w:rPr>
            </w:pPr>
          </w:p>
          <w:p>
            <w:pPr>
              <w:pStyle w:val="33"/>
              <w:numPr>
                <w:ilvl w:val="0"/>
                <w:numId w:val="4"/>
              </w:numPr>
              <w:ind w:left="435" w:leftChars="207" w:firstLine="72" w:firstLineChars="30"/>
              <w:rPr>
                <w:rFonts w:ascii="宋体" w:hAnsi="宋体" w:cs="Arial Unicode MS"/>
                <w:b/>
                <w:color w:val="auto"/>
                <w:sz w:val="24"/>
              </w:rPr>
            </w:pPr>
            <w:r>
              <w:rPr>
                <w:rFonts w:hint="eastAsia" w:ascii="宋体" w:hAnsi="宋体" w:cs="Arial Unicode MS"/>
                <w:b/>
                <w:color w:val="auto"/>
                <w:sz w:val="24"/>
              </w:rPr>
              <w:t>其他约定</w:t>
            </w:r>
          </w:p>
          <w:p>
            <w:pPr>
              <w:spacing w:line="600" w:lineRule="exact"/>
              <w:ind w:firstLine="480" w:firstLineChars="200"/>
              <w:jc w:val="left"/>
              <w:rPr>
                <w:rFonts w:ascii="宋体" w:hAnsi="宋体"/>
                <w:color w:val="auto"/>
                <w:sz w:val="24"/>
              </w:rPr>
            </w:pPr>
            <w:r>
              <w:rPr>
                <w:rFonts w:hint="eastAsia" w:ascii="宋体" w:hAnsi="宋体" w:cs="Arial Unicode MS"/>
                <w:bCs/>
                <w:color w:val="auto"/>
                <w:sz w:val="24"/>
              </w:rPr>
              <w:t>1.</w:t>
            </w:r>
            <w:r>
              <w:rPr>
                <w:rFonts w:hint="eastAsia" w:ascii="宋体" w:hAnsi="宋体"/>
                <w:color w:val="auto"/>
                <w:sz w:val="24"/>
              </w:rPr>
              <w:t>本合同依据</w:t>
            </w:r>
            <w:r>
              <w:rPr>
                <w:rFonts w:hint="eastAsia" w:ascii="宋体" w:hAnsi="宋体" w:cs="Arial"/>
                <w:bCs/>
                <w:color w:val="auto"/>
                <w:sz w:val="24"/>
              </w:rPr>
              <w:t>沿街商业项目税务师事务所服</w:t>
            </w:r>
            <w:r>
              <w:rPr>
                <w:rFonts w:hint="eastAsia" w:ascii="宋体" w:hAnsi="宋体" w:cs="Arial"/>
                <w:bCs/>
                <w:color w:val="auto"/>
                <w:sz w:val="24"/>
                <w:highlight w:val="none"/>
              </w:rPr>
              <w:t>务招标（编号：）</w:t>
            </w:r>
            <w:r>
              <w:rPr>
                <w:rFonts w:hint="eastAsia" w:ascii="宋体" w:hAnsi="宋体"/>
                <w:color w:val="auto"/>
                <w:sz w:val="24"/>
                <w:highlight w:val="none"/>
              </w:rPr>
              <w:t>市</w:t>
            </w:r>
            <w:r>
              <w:rPr>
                <w:rFonts w:hint="eastAsia" w:ascii="宋体" w:hAnsi="宋体"/>
                <w:color w:val="auto"/>
                <w:sz w:val="24"/>
              </w:rPr>
              <w:t>场公开招标而定，所涉该项目的招投标文件及有关附件是本合同不可分割的组成部分，与本合同具有同等法律效力，这些文件包含但不限于：①招标文件、②乙方投标文件、③甲乙双方商定的其他文件。</w:t>
            </w:r>
          </w:p>
          <w:p>
            <w:pPr>
              <w:spacing w:line="520" w:lineRule="exact"/>
              <w:ind w:firstLine="480" w:firstLineChars="200"/>
              <w:rPr>
                <w:rFonts w:ascii="宋体" w:hAnsi="宋体"/>
                <w:color w:val="auto"/>
                <w:sz w:val="24"/>
              </w:rPr>
            </w:pPr>
            <w:r>
              <w:rPr>
                <w:rFonts w:hint="eastAsia" w:ascii="宋体" w:hAnsi="宋体"/>
                <w:color w:val="auto"/>
                <w:sz w:val="24"/>
              </w:rPr>
              <w:t>2.合同履行过程中，如确需对合同条款进行变更或补充，双方签署书面变更或补充协议，该变更或补充协议签署后即视为合同的一个组成部分，并与主合同具同等法律效力。</w:t>
            </w:r>
          </w:p>
          <w:p>
            <w:pPr>
              <w:spacing w:line="520" w:lineRule="exact"/>
              <w:ind w:firstLine="480" w:firstLineChars="200"/>
              <w:rPr>
                <w:rFonts w:ascii="宋体" w:hAnsi="宋体"/>
                <w:color w:val="auto"/>
                <w:sz w:val="24"/>
              </w:rPr>
            </w:pPr>
            <w:r>
              <w:rPr>
                <w:rFonts w:hint="eastAsia" w:ascii="宋体" w:hAnsi="宋体"/>
                <w:color w:val="auto"/>
                <w:sz w:val="24"/>
              </w:rPr>
              <w:t>3.双方当事人之间的一切联络往来应以书面形式进行。</w:t>
            </w:r>
          </w:p>
          <w:p>
            <w:pPr>
              <w:spacing w:line="520" w:lineRule="exact"/>
              <w:ind w:firstLine="480" w:firstLineChars="200"/>
              <w:rPr>
                <w:rFonts w:ascii="宋体" w:hAnsi="宋体"/>
                <w:color w:val="auto"/>
                <w:sz w:val="24"/>
              </w:rPr>
            </w:pPr>
            <w:r>
              <w:rPr>
                <w:rFonts w:hint="eastAsia" w:ascii="宋体" w:hAnsi="宋体"/>
                <w:color w:val="auto"/>
                <w:sz w:val="24"/>
              </w:rPr>
              <w:t>4.本合同一式</w:t>
            </w:r>
            <w:r>
              <w:rPr>
                <w:rFonts w:hint="eastAsia" w:ascii="宋体" w:hAnsi="宋体"/>
                <w:color w:val="auto"/>
                <w:sz w:val="24"/>
                <w:u w:val="single"/>
              </w:rPr>
              <w:t xml:space="preserve"> 肆 </w:t>
            </w:r>
            <w:r>
              <w:rPr>
                <w:rFonts w:hint="eastAsia" w:ascii="宋体" w:hAnsi="宋体"/>
                <w:color w:val="auto"/>
                <w:sz w:val="24"/>
              </w:rPr>
              <w:t>份，双方各执</w:t>
            </w:r>
            <w:r>
              <w:rPr>
                <w:rFonts w:hint="eastAsia" w:ascii="宋体" w:hAnsi="宋体"/>
                <w:color w:val="auto"/>
                <w:sz w:val="24"/>
                <w:u w:val="single"/>
              </w:rPr>
              <w:t xml:space="preserve"> 贰 </w:t>
            </w:r>
            <w:r>
              <w:rPr>
                <w:rFonts w:hint="eastAsia" w:ascii="宋体" w:hAnsi="宋体"/>
                <w:color w:val="auto"/>
                <w:sz w:val="24"/>
              </w:rPr>
              <w:t>份，均具有同等法律效力，自双方签字盖章之日起后生效。</w:t>
            </w:r>
          </w:p>
          <w:p>
            <w:pPr>
              <w:spacing w:line="520" w:lineRule="exact"/>
              <w:ind w:firstLine="480" w:firstLineChars="200"/>
              <w:rPr>
                <w:rFonts w:ascii="宋体" w:hAnsi="宋体"/>
                <w:color w:val="auto"/>
                <w:sz w:val="24"/>
              </w:rPr>
            </w:pPr>
            <w:r>
              <w:rPr>
                <w:rFonts w:hint="eastAsia" w:ascii="宋体" w:hAnsi="宋体"/>
                <w:color w:val="auto"/>
                <w:sz w:val="24"/>
              </w:rPr>
              <w:t>（以下无正文）</w:t>
            </w:r>
          </w:p>
          <w:p>
            <w:pPr>
              <w:pStyle w:val="2"/>
              <w:ind w:firstLine="21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210"/>
              <w:rPr>
                <w:color w:val="auto"/>
              </w:rPr>
            </w:pPr>
          </w:p>
          <w:p>
            <w:pPr>
              <w:pStyle w:val="2"/>
              <w:ind w:firstLine="210"/>
              <w:rPr>
                <w:color w:val="auto"/>
              </w:rPr>
            </w:pPr>
          </w:p>
          <w:p>
            <w:pPr>
              <w:spacing w:line="600" w:lineRule="exact"/>
              <w:rPr>
                <w:rFonts w:ascii="宋体" w:hAnsi="宋体"/>
                <w:b/>
                <w:bCs/>
                <w:color w:val="auto"/>
                <w:sz w:val="24"/>
              </w:rPr>
            </w:pPr>
            <w:r>
              <w:rPr>
                <w:rFonts w:hint="eastAsia" w:ascii="宋体" w:hAnsi="宋体"/>
                <w:b/>
                <w:bCs/>
                <w:color w:val="auto"/>
                <w:sz w:val="24"/>
              </w:rPr>
              <w:t>甲方（签章）：                             乙方（签章）</w:t>
            </w:r>
          </w:p>
          <w:p>
            <w:pPr>
              <w:pStyle w:val="2"/>
              <w:ind w:firstLine="211"/>
              <w:rPr>
                <w:b/>
                <w:bCs/>
                <w:color w:val="auto"/>
              </w:rPr>
            </w:pPr>
          </w:p>
          <w:p>
            <w:pPr>
              <w:spacing w:line="600" w:lineRule="exact"/>
              <w:rPr>
                <w:rFonts w:ascii="宋体" w:hAnsi="宋体"/>
                <w:b/>
                <w:bCs/>
                <w:color w:val="auto"/>
                <w:sz w:val="24"/>
              </w:rPr>
            </w:pPr>
            <w:r>
              <w:rPr>
                <w:rFonts w:hint="eastAsia" w:ascii="宋体" w:hAnsi="宋体"/>
                <w:b/>
                <w:bCs/>
                <w:color w:val="auto"/>
                <w:sz w:val="24"/>
              </w:rPr>
              <w:t>法人代表或授权代理人：                     法人代表或授权代理人：</w:t>
            </w:r>
          </w:p>
          <w:p>
            <w:pPr>
              <w:pStyle w:val="2"/>
              <w:ind w:firstLine="211"/>
              <w:rPr>
                <w:b/>
                <w:bCs/>
                <w:color w:val="auto"/>
              </w:rPr>
            </w:pPr>
          </w:p>
          <w:p>
            <w:pPr>
              <w:spacing w:line="600" w:lineRule="exact"/>
              <w:rPr>
                <w:rFonts w:ascii="宋体" w:hAnsi="宋体"/>
                <w:b/>
                <w:bCs/>
                <w:color w:val="auto"/>
                <w:sz w:val="24"/>
              </w:rPr>
            </w:pPr>
            <w:r>
              <w:rPr>
                <w:rFonts w:hint="eastAsia" w:ascii="宋体" w:hAnsi="宋体"/>
                <w:b/>
                <w:bCs/>
                <w:color w:val="auto"/>
                <w:sz w:val="24"/>
              </w:rPr>
              <w:t>地址：                                     地址：</w:t>
            </w:r>
          </w:p>
          <w:p>
            <w:pPr>
              <w:pStyle w:val="2"/>
              <w:ind w:firstLine="211"/>
              <w:rPr>
                <w:b/>
                <w:bCs/>
                <w:color w:val="auto"/>
              </w:rPr>
            </w:pPr>
          </w:p>
          <w:p>
            <w:pPr>
              <w:spacing w:line="600" w:lineRule="exact"/>
              <w:rPr>
                <w:rFonts w:ascii="宋体" w:hAnsi="宋体"/>
                <w:b/>
                <w:bCs/>
                <w:color w:val="auto"/>
                <w:sz w:val="24"/>
              </w:rPr>
            </w:pPr>
            <w:r>
              <w:rPr>
                <w:rFonts w:hint="eastAsia" w:ascii="宋体" w:hAnsi="宋体"/>
                <w:b/>
                <w:bCs/>
                <w:color w:val="auto"/>
                <w:sz w:val="24"/>
              </w:rPr>
              <w:t>联系方式：                                 联系方式：</w:t>
            </w:r>
          </w:p>
          <w:p>
            <w:pPr>
              <w:pStyle w:val="2"/>
              <w:ind w:firstLine="211"/>
              <w:rPr>
                <w:b/>
                <w:bCs/>
                <w:color w:val="auto"/>
              </w:rPr>
            </w:pPr>
          </w:p>
          <w:p>
            <w:pPr>
              <w:spacing w:line="600" w:lineRule="exact"/>
              <w:rPr>
                <w:rFonts w:ascii="宋体" w:hAnsi="宋体"/>
                <w:b/>
                <w:bCs/>
                <w:color w:val="auto"/>
                <w:sz w:val="24"/>
              </w:rPr>
            </w:pPr>
            <w:r>
              <w:rPr>
                <w:rFonts w:hint="eastAsia" w:ascii="宋体" w:hAnsi="宋体"/>
                <w:b/>
                <w:bCs/>
                <w:color w:val="auto"/>
                <w:sz w:val="24"/>
              </w:rPr>
              <w:t>签订日期：                                 签订日期：</w:t>
            </w:r>
          </w:p>
          <w:p>
            <w:pPr>
              <w:widowControl/>
              <w:rPr>
                <w:rFonts w:ascii="宋体" w:hAnsi="宋体" w:cs="宋体"/>
                <w:b/>
                <w:bCs/>
                <w:color w:val="auto"/>
                <w:kern w:val="0"/>
                <w:sz w:val="24"/>
              </w:rPr>
            </w:pPr>
          </w:p>
        </w:tc>
      </w:tr>
    </w:tbl>
    <w:p>
      <w:pPr>
        <w:widowControl/>
        <w:spacing w:line="480" w:lineRule="exact"/>
        <w:rPr>
          <w:rFonts w:ascii="宋体" w:hAnsi="宋体" w:cs="宋体"/>
          <w:b/>
          <w:color w:val="auto"/>
          <w:kern w:val="0"/>
          <w:sz w:val="28"/>
        </w:rPr>
      </w:pPr>
    </w:p>
    <w:sectPr>
      <w:headerReference r:id="rId4" w:type="first"/>
      <w:footerReference r:id="rId5" w:type="default"/>
      <w:footerReference r:id="rId6" w:type="even"/>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00"/>
    <w:family w:val="auto"/>
    <w:pitch w:val="default"/>
    <w:sig w:usb0="E00002FF" w:usb1="4000ACFF" w:usb2="00000001" w:usb3="00000000" w:csb0="2000019F" w:csb1="00000000"/>
  </w:font>
  <w:font w:name="DotumChe">
    <w:panose1 w:val="020B0609000101010101"/>
    <w:charset w:val="81"/>
    <w:family w:val="auto"/>
    <w:pitch w:val="default"/>
    <w:sig w:usb0="B00002AF" w:usb1="69D77CFB" w:usb2="00000030" w:usb3="00000000" w:csb0="4008009F" w:csb1="DFD70000"/>
  </w:font>
  <w:font w:name="楷体_GB2312">
    <w:altName w:val="楷体"/>
    <w:panose1 w:val="00000000000000000000"/>
    <w:charset w:val="86"/>
    <w:family w:val="auto"/>
    <w:pitch w:val="default"/>
    <w:sig w:usb0="00000000" w:usb1="00000000" w:usb2="00000010" w:usb3="00000000" w:csb0="00040000" w:csb1="00000000"/>
  </w:font>
  <w:font w:name="宋体-18030">
    <w:altName w:val="宋体"/>
    <w:panose1 w:val="00000000000000000000"/>
    <w:charset w:val="86"/>
    <w:family w:val="auto"/>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framePr w:wrap="around" w:vAnchor="text" w:hAnchor="margin" w:xAlign="center" w:y="1"/>
      <w:rPr>
        <w:rStyle w:val="21"/>
      </w:rPr>
    </w:pPr>
  </w:p>
  <w:p>
    <w:pPr>
      <w:pStyle w:val="12"/>
      <w:framePr w:wrap="around" w:vAnchor="text" w:hAnchor="margin" w:xAlign="center" w:y="1"/>
      <w:rPr>
        <w:rStyle w:val="21"/>
      </w:rPr>
    </w:pPr>
  </w:p>
  <w:p>
    <w:pPr>
      <w:pStyle w:val="1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27</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57377335">
    <w:nsid w:val="FDC26C37"/>
    <w:multiLevelType w:val="singleLevel"/>
    <w:tmpl w:val="FDC26C37"/>
    <w:lvl w:ilvl="0" w:tentative="1">
      <w:start w:val="3"/>
      <w:numFmt w:val="decimal"/>
      <w:suff w:val="nothing"/>
      <w:lvlText w:val="（%1）"/>
      <w:lvlJc w:val="left"/>
    </w:lvl>
  </w:abstractNum>
  <w:abstractNum w:abstractNumId="3595728963">
    <w:nsid w:val="D6527843"/>
    <w:multiLevelType w:val="singleLevel"/>
    <w:tmpl w:val="D6527843"/>
    <w:lvl w:ilvl="0" w:tentative="1">
      <w:start w:val="1"/>
      <w:numFmt w:val="decimal"/>
      <w:suff w:val="nothing"/>
      <w:lvlText w:val="%1．"/>
      <w:lvlJc w:val="left"/>
    </w:lvl>
  </w:abstractNum>
  <w:abstractNum w:abstractNumId="773747521">
    <w:nsid w:val="2E1E7341"/>
    <w:multiLevelType w:val="multilevel"/>
    <w:tmpl w:val="2E1E7341"/>
    <w:lvl w:ilvl="0" w:tentative="1">
      <w:start w:val="1"/>
      <w:numFmt w:val="japaneseCounting"/>
      <w:lvlText w:val="%1、"/>
      <w:lvlJc w:val="left"/>
      <w:pPr>
        <w:ind w:left="480" w:hanging="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95891768">
    <w:nsid w:val="53339E38"/>
    <w:multiLevelType w:val="singleLevel"/>
    <w:tmpl w:val="53339E38"/>
    <w:lvl w:ilvl="0" w:tentative="1">
      <w:start w:val="2"/>
      <w:numFmt w:val="chineseCounting"/>
      <w:suff w:val="space"/>
      <w:lvlText w:val="第%1章"/>
      <w:lvlJc w:val="left"/>
    </w:lvl>
  </w:abstractNum>
  <w:abstractNum w:abstractNumId="1646725362">
    <w:nsid w:val="622708F2"/>
    <w:multiLevelType w:val="singleLevel"/>
    <w:tmpl w:val="622708F2"/>
    <w:lvl w:ilvl="0" w:tentative="1">
      <w:start w:val="1"/>
      <w:numFmt w:val="chineseCounting"/>
      <w:lvlText w:val="%1、"/>
      <w:lvlJc w:val="left"/>
      <w:rPr>
        <w:rFonts w:hint="eastAsia"/>
      </w:rPr>
    </w:lvl>
  </w:abstractNum>
  <w:abstractNum w:abstractNumId="1701966734">
    <w:nsid w:val="6571F38E"/>
    <w:multiLevelType w:val="singleLevel"/>
    <w:tmpl w:val="6571F38E"/>
    <w:lvl w:ilvl="0" w:tentative="1">
      <w:start w:val="1"/>
      <w:numFmt w:val="decimal"/>
      <w:suff w:val="nothing"/>
      <w:lvlText w:val="%1、"/>
      <w:lvlJc w:val="left"/>
    </w:lvl>
  </w:abstractNum>
  <w:num w:numId="1">
    <w:abstractNumId w:val="1395891768"/>
  </w:num>
  <w:num w:numId="2">
    <w:abstractNumId w:val="4257377335"/>
  </w:num>
  <w:num w:numId="3">
    <w:abstractNumId w:val="773747521"/>
  </w:num>
  <w:num w:numId="4">
    <w:abstractNumId w:val="1646725362"/>
  </w:num>
  <w:num w:numId="5">
    <w:abstractNumId w:val="3595728963"/>
  </w:num>
  <w:num w:numId="6">
    <w:abstractNumId w:val="17019667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2BFB"/>
    <w:rsid w:val="00004DB5"/>
    <w:rsid w:val="0000538B"/>
    <w:rsid w:val="000058B1"/>
    <w:rsid w:val="00014C0B"/>
    <w:rsid w:val="00015693"/>
    <w:rsid w:val="0001786D"/>
    <w:rsid w:val="00017F1E"/>
    <w:rsid w:val="0002016C"/>
    <w:rsid w:val="00020DEE"/>
    <w:rsid w:val="000213D6"/>
    <w:rsid w:val="00021978"/>
    <w:rsid w:val="00022898"/>
    <w:rsid w:val="000234BF"/>
    <w:rsid w:val="00027365"/>
    <w:rsid w:val="00027EB8"/>
    <w:rsid w:val="0003166A"/>
    <w:rsid w:val="00033F31"/>
    <w:rsid w:val="00034B0D"/>
    <w:rsid w:val="0004074F"/>
    <w:rsid w:val="000420C3"/>
    <w:rsid w:val="0004341A"/>
    <w:rsid w:val="000462F8"/>
    <w:rsid w:val="00046D12"/>
    <w:rsid w:val="000500E1"/>
    <w:rsid w:val="00050678"/>
    <w:rsid w:val="00053926"/>
    <w:rsid w:val="0005497A"/>
    <w:rsid w:val="000659D3"/>
    <w:rsid w:val="000706F8"/>
    <w:rsid w:val="00081B27"/>
    <w:rsid w:val="0009595E"/>
    <w:rsid w:val="00097A75"/>
    <w:rsid w:val="000A2B8C"/>
    <w:rsid w:val="000A3AC6"/>
    <w:rsid w:val="000A3FDD"/>
    <w:rsid w:val="000A40C4"/>
    <w:rsid w:val="000A6995"/>
    <w:rsid w:val="000B25CC"/>
    <w:rsid w:val="000B684A"/>
    <w:rsid w:val="000C78D9"/>
    <w:rsid w:val="000D1579"/>
    <w:rsid w:val="000D17F3"/>
    <w:rsid w:val="000D359D"/>
    <w:rsid w:val="000D44EE"/>
    <w:rsid w:val="000D79F7"/>
    <w:rsid w:val="000E28F7"/>
    <w:rsid w:val="000E526B"/>
    <w:rsid w:val="000F2125"/>
    <w:rsid w:val="000F4F1E"/>
    <w:rsid w:val="000F51DF"/>
    <w:rsid w:val="000F7E59"/>
    <w:rsid w:val="00102C65"/>
    <w:rsid w:val="0010756B"/>
    <w:rsid w:val="0010758B"/>
    <w:rsid w:val="001128E7"/>
    <w:rsid w:val="001130A8"/>
    <w:rsid w:val="00113F1C"/>
    <w:rsid w:val="001149FB"/>
    <w:rsid w:val="00116198"/>
    <w:rsid w:val="00120298"/>
    <w:rsid w:val="001210BF"/>
    <w:rsid w:val="00123A63"/>
    <w:rsid w:val="00124E21"/>
    <w:rsid w:val="00126B29"/>
    <w:rsid w:val="001419EA"/>
    <w:rsid w:val="00145BB1"/>
    <w:rsid w:val="001468CB"/>
    <w:rsid w:val="001528FC"/>
    <w:rsid w:val="00153276"/>
    <w:rsid w:val="001565EB"/>
    <w:rsid w:val="0016592E"/>
    <w:rsid w:val="00170C3E"/>
    <w:rsid w:val="00172A27"/>
    <w:rsid w:val="00174A7E"/>
    <w:rsid w:val="00176E8E"/>
    <w:rsid w:val="0017761A"/>
    <w:rsid w:val="001776D8"/>
    <w:rsid w:val="00177DB0"/>
    <w:rsid w:val="001864AE"/>
    <w:rsid w:val="001906BE"/>
    <w:rsid w:val="00192C66"/>
    <w:rsid w:val="001945A6"/>
    <w:rsid w:val="00195206"/>
    <w:rsid w:val="001A0A55"/>
    <w:rsid w:val="001A3136"/>
    <w:rsid w:val="001B0275"/>
    <w:rsid w:val="001B0D08"/>
    <w:rsid w:val="001B1F15"/>
    <w:rsid w:val="001B3294"/>
    <w:rsid w:val="001C18CB"/>
    <w:rsid w:val="001C3876"/>
    <w:rsid w:val="001D643B"/>
    <w:rsid w:val="001E5228"/>
    <w:rsid w:val="001E7E0A"/>
    <w:rsid w:val="001F301A"/>
    <w:rsid w:val="001F348E"/>
    <w:rsid w:val="001F5F57"/>
    <w:rsid w:val="001F6C86"/>
    <w:rsid w:val="002025C7"/>
    <w:rsid w:val="00214C01"/>
    <w:rsid w:val="00220165"/>
    <w:rsid w:val="00220B9E"/>
    <w:rsid w:val="00222D2F"/>
    <w:rsid w:val="002244C5"/>
    <w:rsid w:val="00224B2A"/>
    <w:rsid w:val="00225F7C"/>
    <w:rsid w:val="00233141"/>
    <w:rsid w:val="00237859"/>
    <w:rsid w:val="00240C2C"/>
    <w:rsid w:val="00240F92"/>
    <w:rsid w:val="00242190"/>
    <w:rsid w:val="00252D76"/>
    <w:rsid w:val="002536EA"/>
    <w:rsid w:val="002575CD"/>
    <w:rsid w:val="00261A68"/>
    <w:rsid w:val="00266BA8"/>
    <w:rsid w:val="002706CA"/>
    <w:rsid w:val="00276A52"/>
    <w:rsid w:val="0027740E"/>
    <w:rsid w:val="00280086"/>
    <w:rsid w:val="00280B13"/>
    <w:rsid w:val="00282916"/>
    <w:rsid w:val="00283A81"/>
    <w:rsid w:val="00286A61"/>
    <w:rsid w:val="00287CE0"/>
    <w:rsid w:val="00287E72"/>
    <w:rsid w:val="0029055B"/>
    <w:rsid w:val="00291F03"/>
    <w:rsid w:val="002941CB"/>
    <w:rsid w:val="00294A3D"/>
    <w:rsid w:val="002A2D8C"/>
    <w:rsid w:val="002A6E8A"/>
    <w:rsid w:val="002A7873"/>
    <w:rsid w:val="002B06AC"/>
    <w:rsid w:val="002B0EF1"/>
    <w:rsid w:val="002B14E1"/>
    <w:rsid w:val="002B36CD"/>
    <w:rsid w:val="002C02C2"/>
    <w:rsid w:val="002C1E7C"/>
    <w:rsid w:val="002C4684"/>
    <w:rsid w:val="002D71EA"/>
    <w:rsid w:val="002E2179"/>
    <w:rsid w:val="002E2568"/>
    <w:rsid w:val="002E3C9C"/>
    <w:rsid w:val="002E6FB2"/>
    <w:rsid w:val="002F1FC1"/>
    <w:rsid w:val="002F34BD"/>
    <w:rsid w:val="00300285"/>
    <w:rsid w:val="00301BD8"/>
    <w:rsid w:val="0030431B"/>
    <w:rsid w:val="00312E28"/>
    <w:rsid w:val="00313A47"/>
    <w:rsid w:val="00314597"/>
    <w:rsid w:val="00317194"/>
    <w:rsid w:val="003178B7"/>
    <w:rsid w:val="00324EEB"/>
    <w:rsid w:val="00326D36"/>
    <w:rsid w:val="00326EB4"/>
    <w:rsid w:val="00327180"/>
    <w:rsid w:val="00344FCA"/>
    <w:rsid w:val="00345F3D"/>
    <w:rsid w:val="0034742D"/>
    <w:rsid w:val="00347E5D"/>
    <w:rsid w:val="003519BF"/>
    <w:rsid w:val="0035327F"/>
    <w:rsid w:val="003544DE"/>
    <w:rsid w:val="00354B2F"/>
    <w:rsid w:val="00366AC3"/>
    <w:rsid w:val="00371780"/>
    <w:rsid w:val="00373CF9"/>
    <w:rsid w:val="003750E2"/>
    <w:rsid w:val="00382532"/>
    <w:rsid w:val="00385109"/>
    <w:rsid w:val="0039425F"/>
    <w:rsid w:val="00396589"/>
    <w:rsid w:val="003972A2"/>
    <w:rsid w:val="003A1B6D"/>
    <w:rsid w:val="003A3628"/>
    <w:rsid w:val="003A3A83"/>
    <w:rsid w:val="003A48A9"/>
    <w:rsid w:val="003A5AAA"/>
    <w:rsid w:val="003B2191"/>
    <w:rsid w:val="003B3E67"/>
    <w:rsid w:val="003B79B9"/>
    <w:rsid w:val="003D257E"/>
    <w:rsid w:val="003D393F"/>
    <w:rsid w:val="003D6DDA"/>
    <w:rsid w:val="003E135D"/>
    <w:rsid w:val="003E1F6E"/>
    <w:rsid w:val="003E4076"/>
    <w:rsid w:val="003E43DF"/>
    <w:rsid w:val="003E48DF"/>
    <w:rsid w:val="003F178A"/>
    <w:rsid w:val="003F414C"/>
    <w:rsid w:val="003F4862"/>
    <w:rsid w:val="003F592E"/>
    <w:rsid w:val="003F62C8"/>
    <w:rsid w:val="003F7E58"/>
    <w:rsid w:val="00407D51"/>
    <w:rsid w:val="00412335"/>
    <w:rsid w:val="004130BA"/>
    <w:rsid w:val="00417498"/>
    <w:rsid w:val="004175C2"/>
    <w:rsid w:val="00423376"/>
    <w:rsid w:val="00430661"/>
    <w:rsid w:val="00446377"/>
    <w:rsid w:val="004504FF"/>
    <w:rsid w:val="00453C1F"/>
    <w:rsid w:val="0046113D"/>
    <w:rsid w:val="004612DB"/>
    <w:rsid w:val="00475CE6"/>
    <w:rsid w:val="00476715"/>
    <w:rsid w:val="004820FC"/>
    <w:rsid w:val="00482182"/>
    <w:rsid w:val="00485119"/>
    <w:rsid w:val="00487FE6"/>
    <w:rsid w:val="00490948"/>
    <w:rsid w:val="00491517"/>
    <w:rsid w:val="00495EE1"/>
    <w:rsid w:val="004A0A53"/>
    <w:rsid w:val="004A1E4F"/>
    <w:rsid w:val="004A2891"/>
    <w:rsid w:val="004A3DAD"/>
    <w:rsid w:val="004A3F31"/>
    <w:rsid w:val="004A6615"/>
    <w:rsid w:val="004A7DBD"/>
    <w:rsid w:val="004B0A8B"/>
    <w:rsid w:val="004B0B9A"/>
    <w:rsid w:val="004B4A1B"/>
    <w:rsid w:val="004B4F18"/>
    <w:rsid w:val="004B6918"/>
    <w:rsid w:val="004C0883"/>
    <w:rsid w:val="004C0AFB"/>
    <w:rsid w:val="004C5850"/>
    <w:rsid w:val="004C6BB6"/>
    <w:rsid w:val="004D1CD0"/>
    <w:rsid w:val="004D3FF9"/>
    <w:rsid w:val="004E3225"/>
    <w:rsid w:val="004E6719"/>
    <w:rsid w:val="004F0071"/>
    <w:rsid w:val="004F0625"/>
    <w:rsid w:val="004F2AB2"/>
    <w:rsid w:val="004F47D9"/>
    <w:rsid w:val="004F576C"/>
    <w:rsid w:val="00501041"/>
    <w:rsid w:val="00504FD1"/>
    <w:rsid w:val="005060D9"/>
    <w:rsid w:val="005070BB"/>
    <w:rsid w:val="00515A16"/>
    <w:rsid w:val="005219C2"/>
    <w:rsid w:val="00523CB9"/>
    <w:rsid w:val="005240D9"/>
    <w:rsid w:val="00524B94"/>
    <w:rsid w:val="0053139D"/>
    <w:rsid w:val="005335F5"/>
    <w:rsid w:val="00534951"/>
    <w:rsid w:val="00535A95"/>
    <w:rsid w:val="00535E1A"/>
    <w:rsid w:val="00535EB4"/>
    <w:rsid w:val="00541C5A"/>
    <w:rsid w:val="00542A32"/>
    <w:rsid w:val="00554E9A"/>
    <w:rsid w:val="005608D8"/>
    <w:rsid w:val="005609BA"/>
    <w:rsid w:val="005615A6"/>
    <w:rsid w:val="005641DF"/>
    <w:rsid w:val="00566109"/>
    <w:rsid w:val="00575B33"/>
    <w:rsid w:val="005815C6"/>
    <w:rsid w:val="00582421"/>
    <w:rsid w:val="00582DFB"/>
    <w:rsid w:val="0059691B"/>
    <w:rsid w:val="00597F8F"/>
    <w:rsid w:val="005A420C"/>
    <w:rsid w:val="005A51DB"/>
    <w:rsid w:val="005B0AC7"/>
    <w:rsid w:val="005B4752"/>
    <w:rsid w:val="005B4A30"/>
    <w:rsid w:val="005C0AA2"/>
    <w:rsid w:val="005C7B99"/>
    <w:rsid w:val="005D0B4A"/>
    <w:rsid w:val="005D216B"/>
    <w:rsid w:val="005D4856"/>
    <w:rsid w:val="005D500F"/>
    <w:rsid w:val="005E177C"/>
    <w:rsid w:val="005E61FF"/>
    <w:rsid w:val="005F2D9F"/>
    <w:rsid w:val="005F4012"/>
    <w:rsid w:val="005F4677"/>
    <w:rsid w:val="005F6C54"/>
    <w:rsid w:val="005F734A"/>
    <w:rsid w:val="005F7EB3"/>
    <w:rsid w:val="00603BCB"/>
    <w:rsid w:val="00604306"/>
    <w:rsid w:val="00604353"/>
    <w:rsid w:val="006055FF"/>
    <w:rsid w:val="00615B35"/>
    <w:rsid w:val="006207F6"/>
    <w:rsid w:val="00620C39"/>
    <w:rsid w:val="0062158D"/>
    <w:rsid w:val="006215A1"/>
    <w:rsid w:val="006216DB"/>
    <w:rsid w:val="006275C1"/>
    <w:rsid w:val="00633316"/>
    <w:rsid w:val="0063427E"/>
    <w:rsid w:val="00634D0A"/>
    <w:rsid w:val="00642BD6"/>
    <w:rsid w:val="00643C21"/>
    <w:rsid w:val="0064454D"/>
    <w:rsid w:val="00644853"/>
    <w:rsid w:val="00645AAA"/>
    <w:rsid w:val="00646474"/>
    <w:rsid w:val="006577F2"/>
    <w:rsid w:val="00657EB9"/>
    <w:rsid w:val="00662D1F"/>
    <w:rsid w:val="0066382C"/>
    <w:rsid w:val="00663DC4"/>
    <w:rsid w:val="00665136"/>
    <w:rsid w:val="0066683B"/>
    <w:rsid w:val="006720BD"/>
    <w:rsid w:val="0067439B"/>
    <w:rsid w:val="00675A9C"/>
    <w:rsid w:val="006774A8"/>
    <w:rsid w:val="00684713"/>
    <w:rsid w:val="006924A5"/>
    <w:rsid w:val="006B049D"/>
    <w:rsid w:val="006B3784"/>
    <w:rsid w:val="006B3FF6"/>
    <w:rsid w:val="006B6FC8"/>
    <w:rsid w:val="006C08FC"/>
    <w:rsid w:val="006C16EA"/>
    <w:rsid w:val="006C4317"/>
    <w:rsid w:val="006C6046"/>
    <w:rsid w:val="006C6B86"/>
    <w:rsid w:val="006D11FC"/>
    <w:rsid w:val="006D6533"/>
    <w:rsid w:val="006D7945"/>
    <w:rsid w:val="006E01AC"/>
    <w:rsid w:val="006E41D3"/>
    <w:rsid w:val="006F072C"/>
    <w:rsid w:val="006F424E"/>
    <w:rsid w:val="006F4C64"/>
    <w:rsid w:val="00702EF8"/>
    <w:rsid w:val="00704DE9"/>
    <w:rsid w:val="0070690D"/>
    <w:rsid w:val="00713308"/>
    <w:rsid w:val="0071457E"/>
    <w:rsid w:val="00714E7D"/>
    <w:rsid w:val="0071588E"/>
    <w:rsid w:val="0072098F"/>
    <w:rsid w:val="00720CB0"/>
    <w:rsid w:val="00722F7B"/>
    <w:rsid w:val="00724AF1"/>
    <w:rsid w:val="00724E8B"/>
    <w:rsid w:val="00725EB9"/>
    <w:rsid w:val="00726B09"/>
    <w:rsid w:val="0073172B"/>
    <w:rsid w:val="00741D38"/>
    <w:rsid w:val="00751F52"/>
    <w:rsid w:val="00757361"/>
    <w:rsid w:val="00757386"/>
    <w:rsid w:val="00760E21"/>
    <w:rsid w:val="0076296D"/>
    <w:rsid w:val="007637C4"/>
    <w:rsid w:val="00770FB6"/>
    <w:rsid w:val="00781CBA"/>
    <w:rsid w:val="00783BF0"/>
    <w:rsid w:val="00790927"/>
    <w:rsid w:val="00794E8A"/>
    <w:rsid w:val="00796702"/>
    <w:rsid w:val="00796D0F"/>
    <w:rsid w:val="007B3CA2"/>
    <w:rsid w:val="007B5B95"/>
    <w:rsid w:val="007C1AFA"/>
    <w:rsid w:val="007C288E"/>
    <w:rsid w:val="007C7501"/>
    <w:rsid w:val="007D02ED"/>
    <w:rsid w:val="007D0BF1"/>
    <w:rsid w:val="007D6178"/>
    <w:rsid w:val="007D73AB"/>
    <w:rsid w:val="007D7971"/>
    <w:rsid w:val="007E049A"/>
    <w:rsid w:val="007E77A6"/>
    <w:rsid w:val="007F3CAC"/>
    <w:rsid w:val="0080258D"/>
    <w:rsid w:val="00803865"/>
    <w:rsid w:val="0080515B"/>
    <w:rsid w:val="00807CCE"/>
    <w:rsid w:val="0081394F"/>
    <w:rsid w:val="008222ED"/>
    <w:rsid w:val="00825279"/>
    <w:rsid w:val="00827649"/>
    <w:rsid w:val="00830E17"/>
    <w:rsid w:val="00831571"/>
    <w:rsid w:val="00841CBA"/>
    <w:rsid w:val="008510B1"/>
    <w:rsid w:val="008536FA"/>
    <w:rsid w:val="00856B11"/>
    <w:rsid w:val="00857081"/>
    <w:rsid w:val="008616DF"/>
    <w:rsid w:val="00861B2B"/>
    <w:rsid w:val="008625DE"/>
    <w:rsid w:val="008648C1"/>
    <w:rsid w:val="0086529A"/>
    <w:rsid w:val="00870E6A"/>
    <w:rsid w:val="00871196"/>
    <w:rsid w:val="00874078"/>
    <w:rsid w:val="008744BC"/>
    <w:rsid w:val="00874F0E"/>
    <w:rsid w:val="008775FB"/>
    <w:rsid w:val="0088337D"/>
    <w:rsid w:val="00886E86"/>
    <w:rsid w:val="0088745A"/>
    <w:rsid w:val="00891298"/>
    <w:rsid w:val="00894F0B"/>
    <w:rsid w:val="00896ACC"/>
    <w:rsid w:val="00897B30"/>
    <w:rsid w:val="008A0F4F"/>
    <w:rsid w:val="008A2A8F"/>
    <w:rsid w:val="008A48C9"/>
    <w:rsid w:val="008A6AD8"/>
    <w:rsid w:val="008B0B9C"/>
    <w:rsid w:val="008B1B70"/>
    <w:rsid w:val="008B584E"/>
    <w:rsid w:val="008C1588"/>
    <w:rsid w:val="008C2116"/>
    <w:rsid w:val="008C4396"/>
    <w:rsid w:val="008D5186"/>
    <w:rsid w:val="008D58FA"/>
    <w:rsid w:val="008E1670"/>
    <w:rsid w:val="008E2CAD"/>
    <w:rsid w:val="008E7049"/>
    <w:rsid w:val="008F2558"/>
    <w:rsid w:val="008F2B7A"/>
    <w:rsid w:val="008F2F21"/>
    <w:rsid w:val="008F3D86"/>
    <w:rsid w:val="00901581"/>
    <w:rsid w:val="00901947"/>
    <w:rsid w:val="00902008"/>
    <w:rsid w:val="00905373"/>
    <w:rsid w:val="00906043"/>
    <w:rsid w:val="00907121"/>
    <w:rsid w:val="00911665"/>
    <w:rsid w:val="00917C96"/>
    <w:rsid w:val="00922AAE"/>
    <w:rsid w:val="00923727"/>
    <w:rsid w:val="00924D36"/>
    <w:rsid w:val="00927185"/>
    <w:rsid w:val="00930477"/>
    <w:rsid w:val="0093117A"/>
    <w:rsid w:val="009336D3"/>
    <w:rsid w:val="00935EBF"/>
    <w:rsid w:val="00936A5B"/>
    <w:rsid w:val="00943D72"/>
    <w:rsid w:val="0094598D"/>
    <w:rsid w:val="00946BD1"/>
    <w:rsid w:val="00951A1E"/>
    <w:rsid w:val="00954A94"/>
    <w:rsid w:val="0095572A"/>
    <w:rsid w:val="009605E1"/>
    <w:rsid w:val="00961AF3"/>
    <w:rsid w:val="00962998"/>
    <w:rsid w:val="00963384"/>
    <w:rsid w:val="00963B45"/>
    <w:rsid w:val="00970B8D"/>
    <w:rsid w:val="00973671"/>
    <w:rsid w:val="009778B1"/>
    <w:rsid w:val="0098211D"/>
    <w:rsid w:val="00986EF0"/>
    <w:rsid w:val="009905D0"/>
    <w:rsid w:val="00997F53"/>
    <w:rsid w:val="009A0F26"/>
    <w:rsid w:val="009A2AD0"/>
    <w:rsid w:val="009A5677"/>
    <w:rsid w:val="009A7AFA"/>
    <w:rsid w:val="009B06BF"/>
    <w:rsid w:val="009B190C"/>
    <w:rsid w:val="009B1E94"/>
    <w:rsid w:val="009B21FE"/>
    <w:rsid w:val="009B35C3"/>
    <w:rsid w:val="009B36E1"/>
    <w:rsid w:val="009B7AFC"/>
    <w:rsid w:val="009B7D5D"/>
    <w:rsid w:val="009C140D"/>
    <w:rsid w:val="009C15EC"/>
    <w:rsid w:val="009E39B9"/>
    <w:rsid w:val="009E5848"/>
    <w:rsid w:val="009F08AF"/>
    <w:rsid w:val="00A008BF"/>
    <w:rsid w:val="00A061FF"/>
    <w:rsid w:val="00A221F2"/>
    <w:rsid w:val="00A2343E"/>
    <w:rsid w:val="00A24481"/>
    <w:rsid w:val="00A31789"/>
    <w:rsid w:val="00A326B3"/>
    <w:rsid w:val="00A32ADC"/>
    <w:rsid w:val="00A369AC"/>
    <w:rsid w:val="00A414C4"/>
    <w:rsid w:val="00A42A79"/>
    <w:rsid w:val="00A442FD"/>
    <w:rsid w:val="00A44A61"/>
    <w:rsid w:val="00A45973"/>
    <w:rsid w:val="00A50991"/>
    <w:rsid w:val="00A53381"/>
    <w:rsid w:val="00A538AE"/>
    <w:rsid w:val="00A53E0A"/>
    <w:rsid w:val="00A559D6"/>
    <w:rsid w:val="00A56C8E"/>
    <w:rsid w:val="00A56D49"/>
    <w:rsid w:val="00A61B66"/>
    <w:rsid w:val="00A61F07"/>
    <w:rsid w:val="00A63A1A"/>
    <w:rsid w:val="00A64A3A"/>
    <w:rsid w:val="00A651FF"/>
    <w:rsid w:val="00A67CB3"/>
    <w:rsid w:val="00A703D6"/>
    <w:rsid w:val="00A70624"/>
    <w:rsid w:val="00A80969"/>
    <w:rsid w:val="00A82A85"/>
    <w:rsid w:val="00A868DB"/>
    <w:rsid w:val="00A86D42"/>
    <w:rsid w:val="00A912AF"/>
    <w:rsid w:val="00A94D32"/>
    <w:rsid w:val="00AA2467"/>
    <w:rsid w:val="00AA4E86"/>
    <w:rsid w:val="00AA64D1"/>
    <w:rsid w:val="00AC2C1E"/>
    <w:rsid w:val="00AC7790"/>
    <w:rsid w:val="00AD082E"/>
    <w:rsid w:val="00AD349E"/>
    <w:rsid w:val="00AD560F"/>
    <w:rsid w:val="00AD6087"/>
    <w:rsid w:val="00AE00B8"/>
    <w:rsid w:val="00AE0E82"/>
    <w:rsid w:val="00AE469C"/>
    <w:rsid w:val="00AE563F"/>
    <w:rsid w:val="00AF1B79"/>
    <w:rsid w:val="00AF28DC"/>
    <w:rsid w:val="00AF3805"/>
    <w:rsid w:val="00AF61AB"/>
    <w:rsid w:val="00AF7D56"/>
    <w:rsid w:val="00B00FE9"/>
    <w:rsid w:val="00B028BA"/>
    <w:rsid w:val="00B04C1D"/>
    <w:rsid w:val="00B11B13"/>
    <w:rsid w:val="00B12CB7"/>
    <w:rsid w:val="00B1546C"/>
    <w:rsid w:val="00B1644D"/>
    <w:rsid w:val="00B1669E"/>
    <w:rsid w:val="00B17790"/>
    <w:rsid w:val="00B22E2E"/>
    <w:rsid w:val="00B25F8A"/>
    <w:rsid w:val="00B264E1"/>
    <w:rsid w:val="00B26A8E"/>
    <w:rsid w:val="00B30C62"/>
    <w:rsid w:val="00B363E5"/>
    <w:rsid w:val="00B40A7E"/>
    <w:rsid w:val="00B40D7F"/>
    <w:rsid w:val="00B41B2C"/>
    <w:rsid w:val="00B4365C"/>
    <w:rsid w:val="00B5517B"/>
    <w:rsid w:val="00B55EB5"/>
    <w:rsid w:val="00B61EC5"/>
    <w:rsid w:val="00B63901"/>
    <w:rsid w:val="00B66AB2"/>
    <w:rsid w:val="00B70827"/>
    <w:rsid w:val="00B716A2"/>
    <w:rsid w:val="00B75590"/>
    <w:rsid w:val="00B76A7F"/>
    <w:rsid w:val="00B82F18"/>
    <w:rsid w:val="00B87985"/>
    <w:rsid w:val="00B927D5"/>
    <w:rsid w:val="00B95686"/>
    <w:rsid w:val="00B96963"/>
    <w:rsid w:val="00BA0A47"/>
    <w:rsid w:val="00BA2828"/>
    <w:rsid w:val="00BA2F3D"/>
    <w:rsid w:val="00BA2FF1"/>
    <w:rsid w:val="00BA3FDF"/>
    <w:rsid w:val="00BA4E6D"/>
    <w:rsid w:val="00BA54A9"/>
    <w:rsid w:val="00BB6703"/>
    <w:rsid w:val="00BC3DB9"/>
    <w:rsid w:val="00BC7AA8"/>
    <w:rsid w:val="00BD5C08"/>
    <w:rsid w:val="00BE0681"/>
    <w:rsid w:val="00BE20AD"/>
    <w:rsid w:val="00BE71FD"/>
    <w:rsid w:val="00BF0FAC"/>
    <w:rsid w:val="00BF562C"/>
    <w:rsid w:val="00C00179"/>
    <w:rsid w:val="00C00CD4"/>
    <w:rsid w:val="00C010F5"/>
    <w:rsid w:val="00C0115D"/>
    <w:rsid w:val="00C075F8"/>
    <w:rsid w:val="00C1035C"/>
    <w:rsid w:val="00C10B24"/>
    <w:rsid w:val="00C11731"/>
    <w:rsid w:val="00C13F8B"/>
    <w:rsid w:val="00C16E24"/>
    <w:rsid w:val="00C20870"/>
    <w:rsid w:val="00C20A7F"/>
    <w:rsid w:val="00C2285D"/>
    <w:rsid w:val="00C31969"/>
    <w:rsid w:val="00C341AC"/>
    <w:rsid w:val="00C36264"/>
    <w:rsid w:val="00C36CE3"/>
    <w:rsid w:val="00C4086E"/>
    <w:rsid w:val="00C40D1F"/>
    <w:rsid w:val="00C422AE"/>
    <w:rsid w:val="00C440DA"/>
    <w:rsid w:val="00C517B9"/>
    <w:rsid w:val="00C539A4"/>
    <w:rsid w:val="00C551EB"/>
    <w:rsid w:val="00C56C1F"/>
    <w:rsid w:val="00C61390"/>
    <w:rsid w:val="00C66D8E"/>
    <w:rsid w:val="00C704C6"/>
    <w:rsid w:val="00C7298C"/>
    <w:rsid w:val="00C72E54"/>
    <w:rsid w:val="00C751ED"/>
    <w:rsid w:val="00C84AA7"/>
    <w:rsid w:val="00C907F8"/>
    <w:rsid w:val="00C95500"/>
    <w:rsid w:val="00CA1DE6"/>
    <w:rsid w:val="00CA5943"/>
    <w:rsid w:val="00CA63C1"/>
    <w:rsid w:val="00CB535D"/>
    <w:rsid w:val="00CB5BF1"/>
    <w:rsid w:val="00CB5C46"/>
    <w:rsid w:val="00CB7E02"/>
    <w:rsid w:val="00CC008C"/>
    <w:rsid w:val="00CC0A62"/>
    <w:rsid w:val="00CC0FC8"/>
    <w:rsid w:val="00CC24B2"/>
    <w:rsid w:val="00CC41BF"/>
    <w:rsid w:val="00CC5357"/>
    <w:rsid w:val="00CC60B6"/>
    <w:rsid w:val="00CC7E34"/>
    <w:rsid w:val="00CD437E"/>
    <w:rsid w:val="00CD71FC"/>
    <w:rsid w:val="00CE1FFC"/>
    <w:rsid w:val="00CE721F"/>
    <w:rsid w:val="00CE7968"/>
    <w:rsid w:val="00CF448E"/>
    <w:rsid w:val="00CF68C8"/>
    <w:rsid w:val="00CF73E2"/>
    <w:rsid w:val="00D0354F"/>
    <w:rsid w:val="00D0419D"/>
    <w:rsid w:val="00D15555"/>
    <w:rsid w:val="00D170B9"/>
    <w:rsid w:val="00D20800"/>
    <w:rsid w:val="00D21B38"/>
    <w:rsid w:val="00D229C0"/>
    <w:rsid w:val="00D258BA"/>
    <w:rsid w:val="00D3051F"/>
    <w:rsid w:val="00D30B8F"/>
    <w:rsid w:val="00D3505A"/>
    <w:rsid w:val="00D3597E"/>
    <w:rsid w:val="00D3664B"/>
    <w:rsid w:val="00D36BE6"/>
    <w:rsid w:val="00D37763"/>
    <w:rsid w:val="00D41919"/>
    <w:rsid w:val="00D46FE6"/>
    <w:rsid w:val="00D5019F"/>
    <w:rsid w:val="00D5185F"/>
    <w:rsid w:val="00D54AE0"/>
    <w:rsid w:val="00D5750E"/>
    <w:rsid w:val="00D57B90"/>
    <w:rsid w:val="00D63761"/>
    <w:rsid w:val="00D639D5"/>
    <w:rsid w:val="00D67E4A"/>
    <w:rsid w:val="00D72E09"/>
    <w:rsid w:val="00D73DBB"/>
    <w:rsid w:val="00D81BDC"/>
    <w:rsid w:val="00D85968"/>
    <w:rsid w:val="00D86481"/>
    <w:rsid w:val="00D87A0B"/>
    <w:rsid w:val="00D87EEA"/>
    <w:rsid w:val="00D94361"/>
    <w:rsid w:val="00D94688"/>
    <w:rsid w:val="00D9756B"/>
    <w:rsid w:val="00DA5E28"/>
    <w:rsid w:val="00DA76BE"/>
    <w:rsid w:val="00DB2D14"/>
    <w:rsid w:val="00DB30CB"/>
    <w:rsid w:val="00DB3B47"/>
    <w:rsid w:val="00DC0837"/>
    <w:rsid w:val="00DC1435"/>
    <w:rsid w:val="00DC14FF"/>
    <w:rsid w:val="00DC3364"/>
    <w:rsid w:val="00DC3E97"/>
    <w:rsid w:val="00DC7EEA"/>
    <w:rsid w:val="00DD00B1"/>
    <w:rsid w:val="00DD06AE"/>
    <w:rsid w:val="00DD46F0"/>
    <w:rsid w:val="00DE1EC2"/>
    <w:rsid w:val="00DE3EAF"/>
    <w:rsid w:val="00DE7193"/>
    <w:rsid w:val="00DE720B"/>
    <w:rsid w:val="00DE7B37"/>
    <w:rsid w:val="00DE7E52"/>
    <w:rsid w:val="00DF57A2"/>
    <w:rsid w:val="00DF6835"/>
    <w:rsid w:val="00E008A1"/>
    <w:rsid w:val="00E01E7D"/>
    <w:rsid w:val="00E054BD"/>
    <w:rsid w:val="00E0553D"/>
    <w:rsid w:val="00E06D02"/>
    <w:rsid w:val="00E1008E"/>
    <w:rsid w:val="00E14EA9"/>
    <w:rsid w:val="00E166D6"/>
    <w:rsid w:val="00E175FF"/>
    <w:rsid w:val="00E217D6"/>
    <w:rsid w:val="00E26E93"/>
    <w:rsid w:val="00E315A0"/>
    <w:rsid w:val="00E31B5B"/>
    <w:rsid w:val="00E32017"/>
    <w:rsid w:val="00E34E61"/>
    <w:rsid w:val="00E35CF6"/>
    <w:rsid w:val="00E377E6"/>
    <w:rsid w:val="00E3783B"/>
    <w:rsid w:val="00E44153"/>
    <w:rsid w:val="00E45236"/>
    <w:rsid w:val="00E46B9A"/>
    <w:rsid w:val="00E5102C"/>
    <w:rsid w:val="00E51DF5"/>
    <w:rsid w:val="00E524DE"/>
    <w:rsid w:val="00E54E72"/>
    <w:rsid w:val="00E567D6"/>
    <w:rsid w:val="00E62DEB"/>
    <w:rsid w:val="00E6354E"/>
    <w:rsid w:val="00E645E0"/>
    <w:rsid w:val="00E65DC3"/>
    <w:rsid w:val="00E67030"/>
    <w:rsid w:val="00E670F5"/>
    <w:rsid w:val="00E70564"/>
    <w:rsid w:val="00E72F35"/>
    <w:rsid w:val="00E763B5"/>
    <w:rsid w:val="00E80837"/>
    <w:rsid w:val="00E82BD2"/>
    <w:rsid w:val="00E93A7A"/>
    <w:rsid w:val="00E94FA4"/>
    <w:rsid w:val="00E95E1F"/>
    <w:rsid w:val="00E963AB"/>
    <w:rsid w:val="00EB05D6"/>
    <w:rsid w:val="00EB0931"/>
    <w:rsid w:val="00EB0EB9"/>
    <w:rsid w:val="00EB1858"/>
    <w:rsid w:val="00EB3B70"/>
    <w:rsid w:val="00EB7BBC"/>
    <w:rsid w:val="00EC0E2C"/>
    <w:rsid w:val="00ED0743"/>
    <w:rsid w:val="00ED1456"/>
    <w:rsid w:val="00ED2364"/>
    <w:rsid w:val="00ED339F"/>
    <w:rsid w:val="00ED365E"/>
    <w:rsid w:val="00ED3CA1"/>
    <w:rsid w:val="00ED5EE1"/>
    <w:rsid w:val="00ED7D25"/>
    <w:rsid w:val="00EE28CD"/>
    <w:rsid w:val="00EE6F75"/>
    <w:rsid w:val="00EF021B"/>
    <w:rsid w:val="00EF1B48"/>
    <w:rsid w:val="00EF1D96"/>
    <w:rsid w:val="00EF2A31"/>
    <w:rsid w:val="00EF4C59"/>
    <w:rsid w:val="00EF5F4C"/>
    <w:rsid w:val="00F02D1D"/>
    <w:rsid w:val="00F064D1"/>
    <w:rsid w:val="00F12528"/>
    <w:rsid w:val="00F127D8"/>
    <w:rsid w:val="00F2072E"/>
    <w:rsid w:val="00F21062"/>
    <w:rsid w:val="00F259D8"/>
    <w:rsid w:val="00F2654E"/>
    <w:rsid w:val="00F2745E"/>
    <w:rsid w:val="00F30886"/>
    <w:rsid w:val="00F3690C"/>
    <w:rsid w:val="00F3700F"/>
    <w:rsid w:val="00F402D2"/>
    <w:rsid w:val="00F40573"/>
    <w:rsid w:val="00F43277"/>
    <w:rsid w:val="00F4494C"/>
    <w:rsid w:val="00F44F4D"/>
    <w:rsid w:val="00F47436"/>
    <w:rsid w:val="00F501DB"/>
    <w:rsid w:val="00F54891"/>
    <w:rsid w:val="00F55306"/>
    <w:rsid w:val="00F5661F"/>
    <w:rsid w:val="00F56E3C"/>
    <w:rsid w:val="00F57933"/>
    <w:rsid w:val="00F60A21"/>
    <w:rsid w:val="00F66B0C"/>
    <w:rsid w:val="00F708D3"/>
    <w:rsid w:val="00F717CF"/>
    <w:rsid w:val="00F74AE5"/>
    <w:rsid w:val="00F77AC7"/>
    <w:rsid w:val="00F853AF"/>
    <w:rsid w:val="00F85749"/>
    <w:rsid w:val="00F867E9"/>
    <w:rsid w:val="00F87E68"/>
    <w:rsid w:val="00F90F53"/>
    <w:rsid w:val="00F95261"/>
    <w:rsid w:val="00FA4453"/>
    <w:rsid w:val="00FB1FEC"/>
    <w:rsid w:val="00FB36B6"/>
    <w:rsid w:val="00FB471F"/>
    <w:rsid w:val="00FB5CE3"/>
    <w:rsid w:val="00FC4618"/>
    <w:rsid w:val="00FC5514"/>
    <w:rsid w:val="00FD00EE"/>
    <w:rsid w:val="00FD2C45"/>
    <w:rsid w:val="00FD37C1"/>
    <w:rsid w:val="00FD3B71"/>
    <w:rsid w:val="00FE1015"/>
    <w:rsid w:val="00FE3890"/>
    <w:rsid w:val="00FE3D1C"/>
    <w:rsid w:val="00FE5A1C"/>
    <w:rsid w:val="00FE723F"/>
    <w:rsid w:val="00FE78FD"/>
    <w:rsid w:val="00FF18E7"/>
    <w:rsid w:val="00FF2577"/>
    <w:rsid w:val="00FF7443"/>
    <w:rsid w:val="01651812"/>
    <w:rsid w:val="017017B2"/>
    <w:rsid w:val="017A151F"/>
    <w:rsid w:val="0184291B"/>
    <w:rsid w:val="01894652"/>
    <w:rsid w:val="01C76105"/>
    <w:rsid w:val="02256017"/>
    <w:rsid w:val="026E728B"/>
    <w:rsid w:val="02B03840"/>
    <w:rsid w:val="03107DE8"/>
    <w:rsid w:val="03284207"/>
    <w:rsid w:val="038E138C"/>
    <w:rsid w:val="03CD0C12"/>
    <w:rsid w:val="03ED2C65"/>
    <w:rsid w:val="040F4578"/>
    <w:rsid w:val="04472111"/>
    <w:rsid w:val="048F5D83"/>
    <w:rsid w:val="049B1696"/>
    <w:rsid w:val="04A345B0"/>
    <w:rsid w:val="04B45CEE"/>
    <w:rsid w:val="04DA245F"/>
    <w:rsid w:val="04F26F1A"/>
    <w:rsid w:val="04FE65B9"/>
    <w:rsid w:val="05075CA1"/>
    <w:rsid w:val="05191557"/>
    <w:rsid w:val="053C2D9F"/>
    <w:rsid w:val="054658A1"/>
    <w:rsid w:val="05B92093"/>
    <w:rsid w:val="06046112"/>
    <w:rsid w:val="064965F3"/>
    <w:rsid w:val="065D372A"/>
    <w:rsid w:val="066606F1"/>
    <w:rsid w:val="06724118"/>
    <w:rsid w:val="06733573"/>
    <w:rsid w:val="068C6F0D"/>
    <w:rsid w:val="0691304F"/>
    <w:rsid w:val="069E2ACC"/>
    <w:rsid w:val="06A60767"/>
    <w:rsid w:val="06DD75F8"/>
    <w:rsid w:val="07462BD6"/>
    <w:rsid w:val="075752DB"/>
    <w:rsid w:val="075B1B15"/>
    <w:rsid w:val="078C3205"/>
    <w:rsid w:val="078D4E62"/>
    <w:rsid w:val="07B13C53"/>
    <w:rsid w:val="07D81254"/>
    <w:rsid w:val="08495B7F"/>
    <w:rsid w:val="084D7202"/>
    <w:rsid w:val="08B17905"/>
    <w:rsid w:val="08D1395E"/>
    <w:rsid w:val="09002083"/>
    <w:rsid w:val="09747FCE"/>
    <w:rsid w:val="099E439E"/>
    <w:rsid w:val="09BE6A6E"/>
    <w:rsid w:val="09EB7A37"/>
    <w:rsid w:val="0A1C6DFD"/>
    <w:rsid w:val="0A737BDC"/>
    <w:rsid w:val="0A7F6D8E"/>
    <w:rsid w:val="0A9570EE"/>
    <w:rsid w:val="0AD542FC"/>
    <w:rsid w:val="0B326040"/>
    <w:rsid w:val="0BCA514C"/>
    <w:rsid w:val="0BD82EFF"/>
    <w:rsid w:val="0C356F78"/>
    <w:rsid w:val="0C410A1D"/>
    <w:rsid w:val="0C4A2892"/>
    <w:rsid w:val="0C87543B"/>
    <w:rsid w:val="0C996865"/>
    <w:rsid w:val="0CE24943"/>
    <w:rsid w:val="0CFD63AF"/>
    <w:rsid w:val="0D2A7B28"/>
    <w:rsid w:val="0D9B0923"/>
    <w:rsid w:val="0DBC04E6"/>
    <w:rsid w:val="0DC80983"/>
    <w:rsid w:val="0DED7776"/>
    <w:rsid w:val="0DFA1B12"/>
    <w:rsid w:val="0E4660BC"/>
    <w:rsid w:val="0E49209F"/>
    <w:rsid w:val="0E8158FE"/>
    <w:rsid w:val="0E8A3DD0"/>
    <w:rsid w:val="0E943E2D"/>
    <w:rsid w:val="0EAA53B3"/>
    <w:rsid w:val="0EBA01E5"/>
    <w:rsid w:val="0ECD3225"/>
    <w:rsid w:val="0EF9171E"/>
    <w:rsid w:val="0EFC6065"/>
    <w:rsid w:val="0F326B28"/>
    <w:rsid w:val="0F676684"/>
    <w:rsid w:val="0F6869D5"/>
    <w:rsid w:val="0F8C082B"/>
    <w:rsid w:val="102A5777"/>
    <w:rsid w:val="104509BB"/>
    <w:rsid w:val="10457638"/>
    <w:rsid w:val="10E35579"/>
    <w:rsid w:val="117C155B"/>
    <w:rsid w:val="11AA0A7D"/>
    <w:rsid w:val="120114E8"/>
    <w:rsid w:val="123514E6"/>
    <w:rsid w:val="12452A2C"/>
    <w:rsid w:val="12566DC4"/>
    <w:rsid w:val="125B139F"/>
    <w:rsid w:val="12691592"/>
    <w:rsid w:val="12CC04C9"/>
    <w:rsid w:val="12E7296B"/>
    <w:rsid w:val="12F32438"/>
    <w:rsid w:val="12FC3DEB"/>
    <w:rsid w:val="131C68AB"/>
    <w:rsid w:val="135466A4"/>
    <w:rsid w:val="136D12A8"/>
    <w:rsid w:val="139D34A3"/>
    <w:rsid w:val="13B9397D"/>
    <w:rsid w:val="13F6154A"/>
    <w:rsid w:val="145141A7"/>
    <w:rsid w:val="145714F2"/>
    <w:rsid w:val="1470288E"/>
    <w:rsid w:val="149310F7"/>
    <w:rsid w:val="14F8150A"/>
    <w:rsid w:val="15225C14"/>
    <w:rsid w:val="15243495"/>
    <w:rsid w:val="15F52098"/>
    <w:rsid w:val="16621B73"/>
    <w:rsid w:val="1663135C"/>
    <w:rsid w:val="172F78D5"/>
    <w:rsid w:val="17320C6D"/>
    <w:rsid w:val="174A5FFF"/>
    <w:rsid w:val="174C2792"/>
    <w:rsid w:val="177152BF"/>
    <w:rsid w:val="17C448DC"/>
    <w:rsid w:val="18107FB3"/>
    <w:rsid w:val="185D6277"/>
    <w:rsid w:val="18834A9E"/>
    <w:rsid w:val="19057989"/>
    <w:rsid w:val="190D5983"/>
    <w:rsid w:val="1921307A"/>
    <w:rsid w:val="19232946"/>
    <w:rsid w:val="1944170C"/>
    <w:rsid w:val="19540948"/>
    <w:rsid w:val="198802BC"/>
    <w:rsid w:val="19A84120"/>
    <w:rsid w:val="19B83466"/>
    <w:rsid w:val="19D568FC"/>
    <w:rsid w:val="19F20AB4"/>
    <w:rsid w:val="19F45199"/>
    <w:rsid w:val="1A014A30"/>
    <w:rsid w:val="1A186D7D"/>
    <w:rsid w:val="1A704CA1"/>
    <w:rsid w:val="1AA201B2"/>
    <w:rsid w:val="1ACF5814"/>
    <w:rsid w:val="1B585039"/>
    <w:rsid w:val="1B733677"/>
    <w:rsid w:val="1B8F1DA9"/>
    <w:rsid w:val="1C104609"/>
    <w:rsid w:val="1C107670"/>
    <w:rsid w:val="1C2B4007"/>
    <w:rsid w:val="1C5C0A7D"/>
    <w:rsid w:val="1C603B76"/>
    <w:rsid w:val="1CA711C6"/>
    <w:rsid w:val="1CBF082F"/>
    <w:rsid w:val="1CDF251F"/>
    <w:rsid w:val="1CE7542D"/>
    <w:rsid w:val="1D003210"/>
    <w:rsid w:val="1D0D3A8C"/>
    <w:rsid w:val="1D402DA0"/>
    <w:rsid w:val="1D4E1547"/>
    <w:rsid w:val="1D4E2635"/>
    <w:rsid w:val="1D8D4262"/>
    <w:rsid w:val="1DD23059"/>
    <w:rsid w:val="1DED0ECB"/>
    <w:rsid w:val="1DEF0A9C"/>
    <w:rsid w:val="1E4C0118"/>
    <w:rsid w:val="1E7A4623"/>
    <w:rsid w:val="1EA343A9"/>
    <w:rsid w:val="1EAF05A6"/>
    <w:rsid w:val="1ECC2D69"/>
    <w:rsid w:val="1F2C7FFA"/>
    <w:rsid w:val="1FE73811"/>
    <w:rsid w:val="204D4C8B"/>
    <w:rsid w:val="2075182C"/>
    <w:rsid w:val="208448D5"/>
    <w:rsid w:val="209A6646"/>
    <w:rsid w:val="20F8300F"/>
    <w:rsid w:val="21123E4C"/>
    <w:rsid w:val="211C5CAD"/>
    <w:rsid w:val="21210BF7"/>
    <w:rsid w:val="21366288"/>
    <w:rsid w:val="213B1738"/>
    <w:rsid w:val="219E6217"/>
    <w:rsid w:val="21BD7668"/>
    <w:rsid w:val="21FC2E8E"/>
    <w:rsid w:val="21FF49CA"/>
    <w:rsid w:val="22A07EA8"/>
    <w:rsid w:val="22C46479"/>
    <w:rsid w:val="22E32DE4"/>
    <w:rsid w:val="22E61A34"/>
    <w:rsid w:val="230F2523"/>
    <w:rsid w:val="23106533"/>
    <w:rsid w:val="23325B24"/>
    <w:rsid w:val="236F5DD1"/>
    <w:rsid w:val="23DA0C81"/>
    <w:rsid w:val="23DE1760"/>
    <w:rsid w:val="23EA57B1"/>
    <w:rsid w:val="242D4801"/>
    <w:rsid w:val="24691EAE"/>
    <w:rsid w:val="24AD38A8"/>
    <w:rsid w:val="24FF4C22"/>
    <w:rsid w:val="250A4881"/>
    <w:rsid w:val="25270B1B"/>
    <w:rsid w:val="254D5A13"/>
    <w:rsid w:val="25CB4825"/>
    <w:rsid w:val="25DA27FF"/>
    <w:rsid w:val="2606159D"/>
    <w:rsid w:val="261E3DEB"/>
    <w:rsid w:val="26594015"/>
    <w:rsid w:val="265A01FD"/>
    <w:rsid w:val="26797878"/>
    <w:rsid w:val="26981CE8"/>
    <w:rsid w:val="269C0C0E"/>
    <w:rsid w:val="26A17E42"/>
    <w:rsid w:val="26BC6E75"/>
    <w:rsid w:val="277D5760"/>
    <w:rsid w:val="27965627"/>
    <w:rsid w:val="27A956C2"/>
    <w:rsid w:val="27E24F4B"/>
    <w:rsid w:val="27F74D76"/>
    <w:rsid w:val="27FE3D8B"/>
    <w:rsid w:val="28251DED"/>
    <w:rsid w:val="2839106D"/>
    <w:rsid w:val="285A7165"/>
    <w:rsid w:val="28706761"/>
    <w:rsid w:val="289602AB"/>
    <w:rsid w:val="28A430B1"/>
    <w:rsid w:val="28EB4603"/>
    <w:rsid w:val="2919469D"/>
    <w:rsid w:val="2929472B"/>
    <w:rsid w:val="295C136E"/>
    <w:rsid w:val="29AD0D06"/>
    <w:rsid w:val="2A276094"/>
    <w:rsid w:val="2A536B9C"/>
    <w:rsid w:val="2A6B0443"/>
    <w:rsid w:val="2A931EFC"/>
    <w:rsid w:val="2A99203D"/>
    <w:rsid w:val="2AFA0E75"/>
    <w:rsid w:val="2B1505BB"/>
    <w:rsid w:val="2B5841C1"/>
    <w:rsid w:val="2B8877A2"/>
    <w:rsid w:val="2BA7331A"/>
    <w:rsid w:val="2BDF6DE2"/>
    <w:rsid w:val="2C387AF7"/>
    <w:rsid w:val="2C786B42"/>
    <w:rsid w:val="2CAB2CB8"/>
    <w:rsid w:val="2D4C6FA8"/>
    <w:rsid w:val="2D4D0B22"/>
    <w:rsid w:val="2D517B17"/>
    <w:rsid w:val="2DEC5E13"/>
    <w:rsid w:val="2DED0BCB"/>
    <w:rsid w:val="2DEE02C1"/>
    <w:rsid w:val="2E222204"/>
    <w:rsid w:val="2E6B09E0"/>
    <w:rsid w:val="2E8437E4"/>
    <w:rsid w:val="2EBF0362"/>
    <w:rsid w:val="2EC667C0"/>
    <w:rsid w:val="2EFA0D41"/>
    <w:rsid w:val="2F036CEE"/>
    <w:rsid w:val="2F0B2B3E"/>
    <w:rsid w:val="2F2358A0"/>
    <w:rsid w:val="2F481EE5"/>
    <w:rsid w:val="2F51406C"/>
    <w:rsid w:val="2F790537"/>
    <w:rsid w:val="2FC27585"/>
    <w:rsid w:val="2FE77B4E"/>
    <w:rsid w:val="3072198B"/>
    <w:rsid w:val="30782106"/>
    <w:rsid w:val="30A01984"/>
    <w:rsid w:val="30C164C3"/>
    <w:rsid w:val="31097FC7"/>
    <w:rsid w:val="312E0FBB"/>
    <w:rsid w:val="313C3362"/>
    <w:rsid w:val="315B3521"/>
    <w:rsid w:val="31B72930"/>
    <w:rsid w:val="31DB1980"/>
    <w:rsid w:val="31F00597"/>
    <w:rsid w:val="328779B2"/>
    <w:rsid w:val="32A6388E"/>
    <w:rsid w:val="32B62190"/>
    <w:rsid w:val="32BB42DF"/>
    <w:rsid w:val="32C11654"/>
    <w:rsid w:val="32E4101D"/>
    <w:rsid w:val="33526A04"/>
    <w:rsid w:val="33901FDF"/>
    <w:rsid w:val="33AC4B50"/>
    <w:rsid w:val="33B54C66"/>
    <w:rsid w:val="33C71DDA"/>
    <w:rsid w:val="33C87900"/>
    <w:rsid w:val="33D3120B"/>
    <w:rsid w:val="33E06EE2"/>
    <w:rsid w:val="34197E14"/>
    <w:rsid w:val="341C3B28"/>
    <w:rsid w:val="34593E70"/>
    <w:rsid w:val="347A6B83"/>
    <w:rsid w:val="34975BEE"/>
    <w:rsid w:val="34A440AD"/>
    <w:rsid w:val="34A71C78"/>
    <w:rsid w:val="34C3416E"/>
    <w:rsid w:val="34F528D9"/>
    <w:rsid w:val="35433BB1"/>
    <w:rsid w:val="35A60C77"/>
    <w:rsid w:val="35A779AA"/>
    <w:rsid w:val="35C42ED9"/>
    <w:rsid w:val="361046DC"/>
    <w:rsid w:val="36557B38"/>
    <w:rsid w:val="367F4A2F"/>
    <w:rsid w:val="36882F3B"/>
    <w:rsid w:val="36AD625E"/>
    <w:rsid w:val="370D2F1C"/>
    <w:rsid w:val="37281475"/>
    <w:rsid w:val="373B0CCD"/>
    <w:rsid w:val="37424DF7"/>
    <w:rsid w:val="37A227F0"/>
    <w:rsid w:val="37DE4E83"/>
    <w:rsid w:val="37F0193B"/>
    <w:rsid w:val="38212BDA"/>
    <w:rsid w:val="38537BA0"/>
    <w:rsid w:val="38642035"/>
    <w:rsid w:val="387B5D70"/>
    <w:rsid w:val="38CB0AA4"/>
    <w:rsid w:val="38E62EB1"/>
    <w:rsid w:val="390B4D59"/>
    <w:rsid w:val="39265413"/>
    <w:rsid w:val="394214E1"/>
    <w:rsid w:val="39B722C8"/>
    <w:rsid w:val="39C64E75"/>
    <w:rsid w:val="39EA4FC7"/>
    <w:rsid w:val="3A2370FF"/>
    <w:rsid w:val="3A374AE8"/>
    <w:rsid w:val="3A6B73CB"/>
    <w:rsid w:val="3A97188C"/>
    <w:rsid w:val="3AB90422"/>
    <w:rsid w:val="3AD80B45"/>
    <w:rsid w:val="3B144315"/>
    <w:rsid w:val="3B627351"/>
    <w:rsid w:val="3B8E723B"/>
    <w:rsid w:val="3BBB49CF"/>
    <w:rsid w:val="3C061CE8"/>
    <w:rsid w:val="3C0624EA"/>
    <w:rsid w:val="3C0F28C8"/>
    <w:rsid w:val="3C5749F1"/>
    <w:rsid w:val="3CD604AD"/>
    <w:rsid w:val="3CDE0589"/>
    <w:rsid w:val="3D1C32D7"/>
    <w:rsid w:val="3D557447"/>
    <w:rsid w:val="3D5C50D4"/>
    <w:rsid w:val="3D701609"/>
    <w:rsid w:val="3DB25438"/>
    <w:rsid w:val="3E403565"/>
    <w:rsid w:val="3E412721"/>
    <w:rsid w:val="3E5E47B4"/>
    <w:rsid w:val="3E9E5FC6"/>
    <w:rsid w:val="3EA13CD2"/>
    <w:rsid w:val="3EB34DD2"/>
    <w:rsid w:val="3EC23365"/>
    <w:rsid w:val="3EC868CD"/>
    <w:rsid w:val="3ED34E9A"/>
    <w:rsid w:val="3EFA3204"/>
    <w:rsid w:val="3F354D4E"/>
    <w:rsid w:val="3F6D1107"/>
    <w:rsid w:val="3FD854A2"/>
    <w:rsid w:val="3FEF17E8"/>
    <w:rsid w:val="401065BA"/>
    <w:rsid w:val="40C03866"/>
    <w:rsid w:val="41233AEC"/>
    <w:rsid w:val="41594B9B"/>
    <w:rsid w:val="417721DD"/>
    <w:rsid w:val="41EC3103"/>
    <w:rsid w:val="421E57FE"/>
    <w:rsid w:val="422341D3"/>
    <w:rsid w:val="426803EB"/>
    <w:rsid w:val="42681103"/>
    <w:rsid w:val="42AA56DD"/>
    <w:rsid w:val="42C04423"/>
    <w:rsid w:val="42CD3FE8"/>
    <w:rsid w:val="43052D52"/>
    <w:rsid w:val="432E092A"/>
    <w:rsid w:val="43360239"/>
    <w:rsid w:val="437216BB"/>
    <w:rsid w:val="439F5F41"/>
    <w:rsid w:val="4428302E"/>
    <w:rsid w:val="442D2254"/>
    <w:rsid w:val="44422BEC"/>
    <w:rsid w:val="45344BD3"/>
    <w:rsid w:val="455C03F6"/>
    <w:rsid w:val="457131AC"/>
    <w:rsid w:val="45D70D84"/>
    <w:rsid w:val="45F25540"/>
    <w:rsid w:val="46135FE8"/>
    <w:rsid w:val="462D6EC9"/>
    <w:rsid w:val="468D0E8C"/>
    <w:rsid w:val="46916092"/>
    <w:rsid w:val="46A62F57"/>
    <w:rsid w:val="46A808BA"/>
    <w:rsid w:val="46DA05C6"/>
    <w:rsid w:val="46E04892"/>
    <w:rsid w:val="46E857C8"/>
    <w:rsid w:val="470C2A3C"/>
    <w:rsid w:val="471F0563"/>
    <w:rsid w:val="474240CA"/>
    <w:rsid w:val="47792731"/>
    <w:rsid w:val="47B222B1"/>
    <w:rsid w:val="47CE7397"/>
    <w:rsid w:val="47E3161B"/>
    <w:rsid w:val="48076B11"/>
    <w:rsid w:val="48332E58"/>
    <w:rsid w:val="48350EF1"/>
    <w:rsid w:val="48712C69"/>
    <w:rsid w:val="48715C38"/>
    <w:rsid w:val="48BC2B9B"/>
    <w:rsid w:val="48C36E46"/>
    <w:rsid w:val="48CE619D"/>
    <w:rsid w:val="48DE6AAB"/>
    <w:rsid w:val="48F900B1"/>
    <w:rsid w:val="49095E7C"/>
    <w:rsid w:val="497C0C0C"/>
    <w:rsid w:val="4988757D"/>
    <w:rsid w:val="49B06C4E"/>
    <w:rsid w:val="49C335A7"/>
    <w:rsid w:val="49E34D0A"/>
    <w:rsid w:val="4A1C10BA"/>
    <w:rsid w:val="4A1F4972"/>
    <w:rsid w:val="4A24047E"/>
    <w:rsid w:val="4AB356D8"/>
    <w:rsid w:val="4AC62448"/>
    <w:rsid w:val="4AD3340A"/>
    <w:rsid w:val="4AD66297"/>
    <w:rsid w:val="4B0B5C27"/>
    <w:rsid w:val="4B260563"/>
    <w:rsid w:val="4B5F75B2"/>
    <w:rsid w:val="4B6B4C4B"/>
    <w:rsid w:val="4B746EF4"/>
    <w:rsid w:val="4B756BEA"/>
    <w:rsid w:val="4BB96514"/>
    <w:rsid w:val="4BC37ED3"/>
    <w:rsid w:val="4BCF67E8"/>
    <w:rsid w:val="4C29492B"/>
    <w:rsid w:val="4C295795"/>
    <w:rsid w:val="4C623CD9"/>
    <w:rsid w:val="4C810E5C"/>
    <w:rsid w:val="4C894671"/>
    <w:rsid w:val="4C8A37FE"/>
    <w:rsid w:val="4CA21282"/>
    <w:rsid w:val="4CDD4804"/>
    <w:rsid w:val="4CF75227"/>
    <w:rsid w:val="4D0444CA"/>
    <w:rsid w:val="4D447539"/>
    <w:rsid w:val="4D4716DD"/>
    <w:rsid w:val="4D5555E6"/>
    <w:rsid w:val="4D571A99"/>
    <w:rsid w:val="4D8730C3"/>
    <w:rsid w:val="4DA7242A"/>
    <w:rsid w:val="4DD850CB"/>
    <w:rsid w:val="4DE62697"/>
    <w:rsid w:val="4E036A8C"/>
    <w:rsid w:val="4E361B52"/>
    <w:rsid w:val="4E5C103F"/>
    <w:rsid w:val="4EA20B7A"/>
    <w:rsid w:val="4EEA0C24"/>
    <w:rsid w:val="4F0A096F"/>
    <w:rsid w:val="4F190BA1"/>
    <w:rsid w:val="4F1C569B"/>
    <w:rsid w:val="4FA86892"/>
    <w:rsid w:val="4FD615E0"/>
    <w:rsid w:val="50102394"/>
    <w:rsid w:val="50110F6A"/>
    <w:rsid w:val="50126244"/>
    <w:rsid w:val="5054608F"/>
    <w:rsid w:val="5074155D"/>
    <w:rsid w:val="507D508E"/>
    <w:rsid w:val="50A861A0"/>
    <w:rsid w:val="50DF5ABB"/>
    <w:rsid w:val="510177C0"/>
    <w:rsid w:val="512F1BB1"/>
    <w:rsid w:val="515624CE"/>
    <w:rsid w:val="518B0187"/>
    <w:rsid w:val="52085310"/>
    <w:rsid w:val="52143867"/>
    <w:rsid w:val="52814054"/>
    <w:rsid w:val="52876499"/>
    <w:rsid w:val="5375743E"/>
    <w:rsid w:val="53817601"/>
    <w:rsid w:val="539B03C3"/>
    <w:rsid w:val="53D0357B"/>
    <w:rsid w:val="53D316D6"/>
    <w:rsid w:val="53DC30A8"/>
    <w:rsid w:val="53FC2DE1"/>
    <w:rsid w:val="54277B37"/>
    <w:rsid w:val="546040B1"/>
    <w:rsid w:val="547C54CE"/>
    <w:rsid w:val="548733BB"/>
    <w:rsid w:val="54E929A8"/>
    <w:rsid w:val="55144089"/>
    <w:rsid w:val="555C5080"/>
    <w:rsid w:val="55831C36"/>
    <w:rsid w:val="55E74B9A"/>
    <w:rsid w:val="55F37331"/>
    <w:rsid w:val="561D289D"/>
    <w:rsid w:val="56DE5D36"/>
    <w:rsid w:val="57147B2E"/>
    <w:rsid w:val="57BB10DA"/>
    <w:rsid w:val="57DC1168"/>
    <w:rsid w:val="57E84F5B"/>
    <w:rsid w:val="58020D8C"/>
    <w:rsid w:val="58241436"/>
    <w:rsid w:val="58753D15"/>
    <w:rsid w:val="588D478E"/>
    <w:rsid w:val="589A64F4"/>
    <w:rsid w:val="58AE783F"/>
    <w:rsid w:val="59567D25"/>
    <w:rsid w:val="5985384B"/>
    <w:rsid w:val="59943C60"/>
    <w:rsid w:val="59BB2890"/>
    <w:rsid w:val="5A306FA6"/>
    <w:rsid w:val="5A3B0679"/>
    <w:rsid w:val="5A417D63"/>
    <w:rsid w:val="5A987BB1"/>
    <w:rsid w:val="5AC245F2"/>
    <w:rsid w:val="5AEA0B2F"/>
    <w:rsid w:val="5B8260C4"/>
    <w:rsid w:val="5BBB1452"/>
    <w:rsid w:val="5BDA68AC"/>
    <w:rsid w:val="5BE31F93"/>
    <w:rsid w:val="5C0C5AF2"/>
    <w:rsid w:val="5C24424E"/>
    <w:rsid w:val="5C5D6679"/>
    <w:rsid w:val="5CBD3CCB"/>
    <w:rsid w:val="5CC569E8"/>
    <w:rsid w:val="5CCC54A7"/>
    <w:rsid w:val="5CEB0DB5"/>
    <w:rsid w:val="5CF7728A"/>
    <w:rsid w:val="5D3E15A1"/>
    <w:rsid w:val="5D495881"/>
    <w:rsid w:val="5D9A4301"/>
    <w:rsid w:val="5D9D35BF"/>
    <w:rsid w:val="5DA87C12"/>
    <w:rsid w:val="5DC13DF8"/>
    <w:rsid w:val="5DEE03AA"/>
    <w:rsid w:val="5E354522"/>
    <w:rsid w:val="5E3C023E"/>
    <w:rsid w:val="5E596666"/>
    <w:rsid w:val="5E6C7C9D"/>
    <w:rsid w:val="5E774A6F"/>
    <w:rsid w:val="5E82251F"/>
    <w:rsid w:val="5E897899"/>
    <w:rsid w:val="5F531B2D"/>
    <w:rsid w:val="5F591670"/>
    <w:rsid w:val="5F800AF0"/>
    <w:rsid w:val="5F916130"/>
    <w:rsid w:val="5FB66B38"/>
    <w:rsid w:val="5FF931EA"/>
    <w:rsid w:val="5FFC03CE"/>
    <w:rsid w:val="60224DA1"/>
    <w:rsid w:val="6074432F"/>
    <w:rsid w:val="60780DE2"/>
    <w:rsid w:val="60CF7814"/>
    <w:rsid w:val="60E35840"/>
    <w:rsid w:val="6137267B"/>
    <w:rsid w:val="613A554E"/>
    <w:rsid w:val="61474699"/>
    <w:rsid w:val="61731EA5"/>
    <w:rsid w:val="61A23035"/>
    <w:rsid w:val="62013C91"/>
    <w:rsid w:val="622630DC"/>
    <w:rsid w:val="625F7506"/>
    <w:rsid w:val="62C47AE4"/>
    <w:rsid w:val="63506A08"/>
    <w:rsid w:val="63E03813"/>
    <w:rsid w:val="64022D1A"/>
    <w:rsid w:val="64030D4F"/>
    <w:rsid w:val="649E4BA5"/>
    <w:rsid w:val="64C463B8"/>
    <w:rsid w:val="64E90A2A"/>
    <w:rsid w:val="64EE7BEC"/>
    <w:rsid w:val="650A0238"/>
    <w:rsid w:val="656B5CC9"/>
    <w:rsid w:val="659C0857"/>
    <w:rsid w:val="65C216AF"/>
    <w:rsid w:val="65D93D2A"/>
    <w:rsid w:val="6613320C"/>
    <w:rsid w:val="6648410E"/>
    <w:rsid w:val="66511795"/>
    <w:rsid w:val="66593276"/>
    <w:rsid w:val="666123E7"/>
    <w:rsid w:val="6668734D"/>
    <w:rsid w:val="66D33B11"/>
    <w:rsid w:val="67762505"/>
    <w:rsid w:val="677B4C72"/>
    <w:rsid w:val="67C41EA4"/>
    <w:rsid w:val="67DE16FB"/>
    <w:rsid w:val="681C4A74"/>
    <w:rsid w:val="68A65164"/>
    <w:rsid w:val="68AE27A9"/>
    <w:rsid w:val="68CA0A33"/>
    <w:rsid w:val="68FD0705"/>
    <w:rsid w:val="69036D0A"/>
    <w:rsid w:val="690B4ED3"/>
    <w:rsid w:val="69435CB0"/>
    <w:rsid w:val="696023B7"/>
    <w:rsid w:val="698F0A47"/>
    <w:rsid w:val="699D2591"/>
    <w:rsid w:val="69AB5E25"/>
    <w:rsid w:val="69C41C48"/>
    <w:rsid w:val="69C877D1"/>
    <w:rsid w:val="6A10501E"/>
    <w:rsid w:val="6A1F1652"/>
    <w:rsid w:val="6A2404BA"/>
    <w:rsid w:val="6A4809C6"/>
    <w:rsid w:val="6B324773"/>
    <w:rsid w:val="6B453C41"/>
    <w:rsid w:val="6B4E6243"/>
    <w:rsid w:val="6B6A64F4"/>
    <w:rsid w:val="6B8D4D77"/>
    <w:rsid w:val="6BB6747A"/>
    <w:rsid w:val="6BD81B3E"/>
    <w:rsid w:val="6C0F6DFD"/>
    <w:rsid w:val="6C546787"/>
    <w:rsid w:val="6C705C64"/>
    <w:rsid w:val="6CB31DBD"/>
    <w:rsid w:val="6D3536C0"/>
    <w:rsid w:val="6D52354B"/>
    <w:rsid w:val="6D575583"/>
    <w:rsid w:val="6DE17587"/>
    <w:rsid w:val="6E20797C"/>
    <w:rsid w:val="6E212027"/>
    <w:rsid w:val="6E224C09"/>
    <w:rsid w:val="6E566427"/>
    <w:rsid w:val="6E705AF9"/>
    <w:rsid w:val="6E707AE1"/>
    <w:rsid w:val="6E7D52BF"/>
    <w:rsid w:val="6EA73CA0"/>
    <w:rsid w:val="6F0A39EF"/>
    <w:rsid w:val="6F432533"/>
    <w:rsid w:val="6F532C17"/>
    <w:rsid w:val="6F66618E"/>
    <w:rsid w:val="6FCF2F3F"/>
    <w:rsid w:val="7038070C"/>
    <w:rsid w:val="704823D2"/>
    <w:rsid w:val="705F769E"/>
    <w:rsid w:val="70917ABE"/>
    <w:rsid w:val="71511304"/>
    <w:rsid w:val="717A7E6C"/>
    <w:rsid w:val="719B3570"/>
    <w:rsid w:val="719B6A46"/>
    <w:rsid w:val="72461026"/>
    <w:rsid w:val="72570FC6"/>
    <w:rsid w:val="726B2D79"/>
    <w:rsid w:val="727571B5"/>
    <w:rsid w:val="72D03052"/>
    <w:rsid w:val="72FE4198"/>
    <w:rsid w:val="731F28AC"/>
    <w:rsid w:val="735F505B"/>
    <w:rsid w:val="737400CA"/>
    <w:rsid w:val="73876DFB"/>
    <w:rsid w:val="738E2386"/>
    <w:rsid w:val="73924E50"/>
    <w:rsid w:val="739C0C1C"/>
    <w:rsid w:val="73A04380"/>
    <w:rsid w:val="73A579DD"/>
    <w:rsid w:val="73AC3923"/>
    <w:rsid w:val="73CB155D"/>
    <w:rsid w:val="73EB4B07"/>
    <w:rsid w:val="740375BC"/>
    <w:rsid w:val="7429205F"/>
    <w:rsid w:val="7476502E"/>
    <w:rsid w:val="748220C2"/>
    <w:rsid w:val="74922934"/>
    <w:rsid w:val="74AC336E"/>
    <w:rsid w:val="74AE043C"/>
    <w:rsid w:val="74B726BC"/>
    <w:rsid w:val="74D819B4"/>
    <w:rsid w:val="751D73CC"/>
    <w:rsid w:val="755E4ED2"/>
    <w:rsid w:val="759606C9"/>
    <w:rsid w:val="76B45248"/>
    <w:rsid w:val="774E64A2"/>
    <w:rsid w:val="77C47466"/>
    <w:rsid w:val="77E4335A"/>
    <w:rsid w:val="77ED5955"/>
    <w:rsid w:val="77F274DB"/>
    <w:rsid w:val="78296311"/>
    <w:rsid w:val="783B5941"/>
    <w:rsid w:val="78855284"/>
    <w:rsid w:val="78CE3F38"/>
    <w:rsid w:val="78D01BE6"/>
    <w:rsid w:val="78D83497"/>
    <w:rsid w:val="79360AC0"/>
    <w:rsid w:val="795F2175"/>
    <w:rsid w:val="79753172"/>
    <w:rsid w:val="79D033E3"/>
    <w:rsid w:val="79FF7DC0"/>
    <w:rsid w:val="7A0140FF"/>
    <w:rsid w:val="7A251C7F"/>
    <w:rsid w:val="7A9B475D"/>
    <w:rsid w:val="7AA51616"/>
    <w:rsid w:val="7B2853C1"/>
    <w:rsid w:val="7B2940EC"/>
    <w:rsid w:val="7BCA652D"/>
    <w:rsid w:val="7BD01C8C"/>
    <w:rsid w:val="7BDE4BA2"/>
    <w:rsid w:val="7C030955"/>
    <w:rsid w:val="7C7B0F43"/>
    <w:rsid w:val="7CAE1E5C"/>
    <w:rsid w:val="7DAA4C4B"/>
    <w:rsid w:val="7DAE3AC1"/>
    <w:rsid w:val="7DC9795E"/>
    <w:rsid w:val="7DE013DB"/>
    <w:rsid w:val="7E120E9A"/>
    <w:rsid w:val="7E4F18CA"/>
    <w:rsid w:val="7E623F1B"/>
    <w:rsid w:val="7E961E14"/>
    <w:rsid w:val="7F1F2C6F"/>
    <w:rsid w:val="7FAB462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2"/>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48"/>
    <w:qFormat/>
    <w:uiPriority w:val="0"/>
    <w:pPr>
      <w:keepNext/>
      <w:keepLines/>
      <w:spacing w:before="260" w:after="260" w:line="413" w:lineRule="auto"/>
      <w:jc w:val="center"/>
      <w:outlineLvl w:val="2"/>
    </w:pPr>
    <w:rPr>
      <w:rFonts w:ascii="宋体"/>
      <w:b/>
      <w:bCs/>
      <w:sz w:val="32"/>
      <w:szCs w:val="32"/>
    </w:rPr>
  </w:style>
  <w:style w:type="character" w:default="1" w:styleId="19">
    <w:name w:val="Default Paragraph Font"/>
    <w:unhideWhenUsed/>
    <w:qFormat/>
    <w:uiPriority w:val="1"/>
  </w:style>
  <w:style w:type="table" w:default="1" w:styleId="25">
    <w:name w:val="Normal Table"/>
    <w:unhideWhenUsed/>
    <w:qFormat/>
    <w:uiPriority w:val="99"/>
    <w:tblPr>
      <w:tblStyle w:val="25"/>
      <w:tblLayout w:type="fixed"/>
      <w:tblCellMar>
        <w:top w:w="0" w:type="dxa"/>
        <w:left w:w="108" w:type="dxa"/>
        <w:bottom w:w="0" w:type="dxa"/>
        <w:right w:w="108" w:type="dxa"/>
      </w:tblCellMar>
    </w:tblPr>
    <w:tcPr>
      <w:textDirection w:val="lrTb"/>
    </w:tcPr>
  </w:style>
  <w:style w:type="paragraph" w:styleId="2">
    <w:name w:val="Body Text First Indent"/>
    <w:basedOn w:val="3"/>
    <w:link w:val="40"/>
    <w:unhideWhenUsed/>
    <w:qFormat/>
    <w:uiPriority w:val="99"/>
    <w:pPr>
      <w:ind w:firstLine="420" w:firstLineChars="100"/>
    </w:pPr>
  </w:style>
  <w:style w:type="paragraph" w:styleId="3">
    <w:name w:val="Body Text"/>
    <w:basedOn w:val="1"/>
    <w:link w:val="39"/>
    <w:unhideWhenUsed/>
    <w:qFormat/>
    <w:uiPriority w:val="99"/>
    <w:pPr>
      <w:spacing w:after="120"/>
    </w:pPr>
  </w:style>
  <w:style w:type="paragraph" w:styleId="6">
    <w:name w:val="annotation subject"/>
    <w:basedOn w:val="7"/>
    <w:next w:val="7"/>
    <w:link w:val="37"/>
    <w:unhideWhenUsed/>
    <w:qFormat/>
    <w:uiPriority w:val="99"/>
    <w:rPr>
      <w:b/>
      <w:bCs/>
    </w:rPr>
  </w:style>
  <w:style w:type="paragraph" w:styleId="7">
    <w:name w:val="annotation text"/>
    <w:basedOn w:val="1"/>
    <w:link w:val="38"/>
    <w:qFormat/>
    <w:uiPriority w:val="0"/>
    <w:pPr>
      <w:jc w:val="left"/>
    </w:pPr>
  </w:style>
  <w:style w:type="paragraph" w:styleId="8">
    <w:name w:val="Body Text Indent"/>
    <w:basedOn w:val="1"/>
    <w:link w:val="46"/>
    <w:unhideWhenUsed/>
    <w:qFormat/>
    <w:uiPriority w:val="0"/>
    <w:pPr>
      <w:ind w:firstLine="560" w:firstLineChars="200"/>
    </w:pPr>
    <w:rPr>
      <w:sz w:val="28"/>
    </w:rPr>
  </w:style>
  <w:style w:type="paragraph" w:styleId="9">
    <w:name w:val="Plain Text"/>
    <w:basedOn w:val="1"/>
    <w:link w:val="43"/>
    <w:qFormat/>
    <w:uiPriority w:val="0"/>
    <w:rPr>
      <w:rFonts w:ascii="宋体" w:hAnsi="Courier New"/>
      <w:spacing w:val="-20"/>
      <w:w w:val="50"/>
      <w:szCs w:val="20"/>
    </w:rPr>
  </w:style>
  <w:style w:type="paragraph" w:styleId="10">
    <w:name w:val="Date"/>
    <w:basedOn w:val="1"/>
    <w:next w:val="1"/>
    <w:link w:val="44"/>
    <w:qFormat/>
    <w:uiPriority w:val="0"/>
    <w:rPr>
      <w:b/>
      <w:sz w:val="28"/>
    </w:rPr>
  </w:style>
  <w:style w:type="paragraph" w:styleId="11">
    <w:name w:val="Balloon Text"/>
    <w:basedOn w:val="1"/>
    <w:link w:val="49"/>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Body Text First Indent 2"/>
    <w:basedOn w:val="8"/>
    <w:link w:val="45"/>
    <w:unhideWhenUsed/>
    <w:qFormat/>
    <w:uiPriority w:val="99"/>
    <w:pPr>
      <w:spacing w:after="120"/>
      <w:ind w:left="420" w:leftChars="200" w:firstLine="420"/>
    </w:pPr>
    <w:rPr>
      <w:sz w:val="21"/>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4"/>
    <w:basedOn w:val="1"/>
    <w:next w:val="1"/>
    <w:semiHidden/>
    <w:qFormat/>
    <w:uiPriority w:val="0"/>
    <w:pPr>
      <w:ind w:left="630"/>
      <w:jc w:val="left"/>
    </w:pPr>
    <w:rPr>
      <w:szCs w:val="21"/>
    </w:rPr>
  </w:style>
  <w:style w:type="paragraph" w:styleId="16">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val="en-US" w:eastAsia="zh-CN" w:bidi="ar-SA"/>
    </w:rPr>
  </w:style>
  <w:style w:type="paragraph" w:styleId="17">
    <w:name w:val="Normal (Web)"/>
    <w:basedOn w:val="1"/>
    <w:unhideWhenUsed/>
    <w:qFormat/>
    <w:uiPriority w:val="99"/>
    <w:pPr>
      <w:jc w:val="left"/>
    </w:pPr>
    <w:rPr>
      <w:kern w:val="0"/>
      <w:sz w:val="24"/>
    </w:rPr>
  </w:style>
  <w:style w:type="paragraph" w:styleId="18">
    <w:name w:val="index 2"/>
    <w:basedOn w:val="1"/>
    <w:next w:val="1"/>
    <w:semiHidden/>
    <w:qFormat/>
    <w:uiPriority w:val="0"/>
    <w:pPr>
      <w:ind w:left="200" w:leftChars="200"/>
    </w:pPr>
    <w:rPr>
      <w:szCs w:val="20"/>
    </w:rPr>
  </w:style>
  <w:style w:type="character" w:styleId="20">
    <w:name w:val="Strong"/>
    <w:basedOn w:val="19"/>
    <w:qFormat/>
    <w:uiPriority w:val="22"/>
    <w:rPr>
      <w:b/>
      <w:bCs/>
    </w:rPr>
  </w:style>
  <w:style w:type="character" w:styleId="21">
    <w:name w:val="page number"/>
    <w:basedOn w:val="19"/>
    <w:qFormat/>
    <w:uiPriority w:val="0"/>
    <w:rPr/>
  </w:style>
  <w:style w:type="character" w:styleId="22">
    <w:name w:val="FollowedHyperlink"/>
    <w:basedOn w:val="19"/>
    <w:unhideWhenUsed/>
    <w:qFormat/>
    <w:uiPriority w:val="99"/>
    <w:rPr>
      <w:color w:val="000000"/>
      <w:u w:val="none"/>
    </w:rPr>
  </w:style>
  <w:style w:type="character" w:styleId="23">
    <w:name w:val="Hyperlink"/>
    <w:basedOn w:val="19"/>
    <w:unhideWhenUsed/>
    <w:qFormat/>
    <w:uiPriority w:val="99"/>
    <w:rPr>
      <w:color w:val="000000"/>
      <w:u w:val="none"/>
    </w:rPr>
  </w:style>
  <w:style w:type="character" w:styleId="24">
    <w:name w:val="annotation reference"/>
    <w:basedOn w:val="19"/>
    <w:unhideWhenUsed/>
    <w:qFormat/>
    <w:uiPriority w:val="0"/>
    <w:rPr>
      <w:sz w:val="21"/>
      <w:szCs w:val="21"/>
    </w:rPr>
  </w:style>
  <w:style w:type="table" w:styleId="26">
    <w:name w:val="Table Grid"/>
    <w:basedOn w:val="25"/>
    <w:unhideWhenUsed/>
    <w:qFormat/>
    <w:uiPriority w:val="99"/>
    <w:pPr/>
    <w:tblPr>
      <w:tblStyle w:val="2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paragraph" w:customStyle="1" w:styleId="27">
    <w:name w:val="List Paragraph"/>
    <w:basedOn w:val="1"/>
    <w:qFormat/>
    <w:uiPriority w:val="34"/>
    <w:pPr>
      <w:ind w:firstLine="420" w:firstLineChars="200"/>
    </w:pPr>
  </w:style>
  <w:style w:type="paragraph" w:customStyle="1" w:styleId="28">
    <w:name w:val="Char"/>
    <w:basedOn w:val="1"/>
    <w:qFormat/>
    <w:uiPriority w:val="0"/>
    <w:rPr>
      <w:szCs w:val="20"/>
    </w:rPr>
  </w:style>
  <w:style w:type="paragraph" w:customStyle="1" w:styleId="2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30">
    <w:name w:val="Char Char Char Char Char Char Char1 Char"/>
    <w:basedOn w:val="1"/>
    <w:qFormat/>
    <w:uiPriority w:val="0"/>
    <w:rPr>
      <w:rFonts w:ascii="Tahoma" w:hAnsi="Tahoma"/>
      <w:sz w:val="24"/>
      <w:szCs w:val="20"/>
    </w:rPr>
  </w:style>
  <w:style w:type="paragraph" w:customStyle="1" w:styleId="3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列出段落1"/>
    <w:basedOn w:val="1"/>
    <w:qFormat/>
    <w:uiPriority w:val="0"/>
    <w:pPr>
      <w:ind w:firstLine="420" w:firstLineChars="200"/>
    </w:pPr>
    <w:rPr>
      <w:rFonts w:hint="eastAsia" w:ascii="Calibri" w:hAnsi="Calibri"/>
      <w:szCs w:val="21"/>
    </w:rPr>
  </w:style>
  <w:style w:type="paragraph" w:customStyle="1" w:styleId="33">
    <w:name w:val="正文 New"/>
    <w:basedOn w:val="1"/>
    <w:semiHidden/>
    <w:qFormat/>
    <w:uiPriority w:val="0"/>
    <w:pPr>
      <w:spacing w:line="440" w:lineRule="exact"/>
      <w:ind w:left="357" w:hanging="357"/>
    </w:pPr>
  </w:style>
  <w:style w:type="paragraph" w:customStyle="1" w:styleId="34">
    <w:name w:val="列出段落2"/>
    <w:basedOn w:val="1"/>
    <w:qFormat/>
    <w:uiPriority w:val="0"/>
    <w:pPr>
      <w:ind w:firstLine="420" w:firstLineChars="200"/>
    </w:pPr>
    <w:rPr>
      <w:rFonts w:hint="eastAsia" w:ascii="Calibri" w:hAnsi="Calibri"/>
      <w:szCs w:val="21"/>
    </w:rPr>
  </w:style>
  <w:style w:type="paragraph" w:customStyle="1" w:styleId="35">
    <w:name w:val="p0"/>
    <w:basedOn w:val="1"/>
    <w:qFormat/>
    <w:uiPriority w:val="0"/>
    <w:pPr>
      <w:widowControl/>
    </w:pPr>
    <w:rPr>
      <w:kern w:val="0"/>
      <w:szCs w:val="21"/>
    </w:rPr>
  </w:style>
  <w:style w:type="character" w:customStyle="1" w:styleId="36">
    <w:name w:val="time2"/>
    <w:basedOn w:val="19"/>
    <w:qFormat/>
    <w:uiPriority w:val="0"/>
    <w:rPr>
      <w:color w:val="999999"/>
    </w:rPr>
  </w:style>
  <w:style w:type="character" w:customStyle="1" w:styleId="37">
    <w:name w:val="批注主题 字符"/>
    <w:basedOn w:val="38"/>
    <w:link w:val="6"/>
    <w:qFormat/>
    <w:uiPriority w:val="0"/>
    <w:rPr>
      <w:kern w:val="2"/>
      <w:sz w:val="21"/>
      <w:szCs w:val="24"/>
    </w:rPr>
  </w:style>
  <w:style w:type="character" w:customStyle="1" w:styleId="38">
    <w:name w:val="批注文字 字符"/>
    <w:basedOn w:val="19"/>
    <w:link w:val="7"/>
    <w:qFormat/>
    <w:uiPriority w:val="0"/>
    <w:rPr>
      <w:kern w:val="2"/>
      <w:sz w:val="21"/>
      <w:szCs w:val="24"/>
    </w:rPr>
  </w:style>
  <w:style w:type="character" w:customStyle="1" w:styleId="39">
    <w:name w:val="正文文本 字符"/>
    <w:basedOn w:val="19"/>
    <w:link w:val="3"/>
    <w:semiHidden/>
    <w:qFormat/>
    <w:uiPriority w:val="99"/>
    <w:rPr>
      <w:kern w:val="2"/>
      <w:sz w:val="21"/>
      <w:szCs w:val="24"/>
    </w:rPr>
  </w:style>
  <w:style w:type="character" w:customStyle="1" w:styleId="40">
    <w:name w:val="正文文本首行缩进 字符"/>
    <w:basedOn w:val="39"/>
    <w:link w:val="2"/>
    <w:semiHidden/>
    <w:qFormat/>
    <w:uiPriority w:val="99"/>
    <w:rPr>
      <w:kern w:val="2"/>
      <w:sz w:val="21"/>
      <w:szCs w:val="24"/>
    </w:rPr>
  </w:style>
  <w:style w:type="character" w:customStyle="1" w:styleId="41">
    <w:name w:val="apple-converted-space"/>
    <w:basedOn w:val="19"/>
    <w:qFormat/>
    <w:uiPriority w:val="0"/>
    <w:rPr/>
  </w:style>
  <w:style w:type="character" w:customStyle="1" w:styleId="42">
    <w:name w:val="标题 2 字符"/>
    <w:basedOn w:val="19"/>
    <w:link w:val="4"/>
    <w:qFormat/>
    <w:uiPriority w:val="9"/>
    <w:rPr>
      <w:rFonts w:ascii="Cambria" w:hAnsi="Cambria" w:eastAsia="宋体" w:cs="黑体"/>
      <w:b/>
      <w:bCs/>
      <w:kern w:val="2"/>
      <w:sz w:val="32"/>
      <w:szCs w:val="32"/>
    </w:rPr>
  </w:style>
  <w:style w:type="character" w:customStyle="1" w:styleId="43">
    <w:name w:val="纯文本 字符"/>
    <w:link w:val="9"/>
    <w:qFormat/>
    <w:uiPriority w:val="0"/>
    <w:rPr>
      <w:rFonts w:ascii="宋体" w:hAnsi="Courier New"/>
      <w:spacing w:val="-20"/>
      <w:w w:val="50"/>
      <w:kern w:val="2"/>
      <w:sz w:val="21"/>
    </w:rPr>
  </w:style>
  <w:style w:type="character" w:customStyle="1" w:styleId="44">
    <w:name w:val="日期 字符"/>
    <w:link w:val="10"/>
    <w:qFormat/>
    <w:uiPriority w:val="0"/>
    <w:rPr>
      <w:rFonts w:eastAsia="宋体"/>
      <w:b/>
      <w:kern w:val="2"/>
      <w:sz w:val="28"/>
      <w:lang w:val="en-US" w:eastAsia="zh-CN" w:bidi="ar-SA"/>
    </w:rPr>
  </w:style>
  <w:style w:type="character" w:customStyle="1" w:styleId="45">
    <w:name w:val="正文文本首行缩进 2 字符"/>
    <w:basedOn w:val="46"/>
    <w:link w:val="13"/>
    <w:qFormat/>
    <w:uiPriority w:val="0"/>
    <w:rPr>
      <w:kern w:val="2"/>
      <w:sz w:val="28"/>
      <w:szCs w:val="24"/>
    </w:rPr>
  </w:style>
  <w:style w:type="character" w:customStyle="1" w:styleId="46">
    <w:name w:val="正文文本缩进 字符"/>
    <w:basedOn w:val="19"/>
    <w:link w:val="8"/>
    <w:qFormat/>
    <w:uiPriority w:val="0"/>
    <w:rPr>
      <w:kern w:val="2"/>
      <w:sz w:val="28"/>
      <w:szCs w:val="24"/>
    </w:rPr>
  </w:style>
  <w:style w:type="character" w:customStyle="1" w:styleId="47">
    <w:name w:val="bds_nopic1"/>
    <w:basedOn w:val="19"/>
    <w:qFormat/>
    <w:uiPriority w:val="0"/>
    <w:rPr/>
  </w:style>
  <w:style w:type="character" w:customStyle="1" w:styleId="48">
    <w:name w:val="标题 3 字符"/>
    <w:basedOn w:val="19"/>
    <w:link w:val="5"/>
    <w:qFormat/>
    <w:uiPriority w:val="0"/>
    <w:rPr>
      <w:rFonts w:ascii="宋体" w:eastAsia="宋体"/>
      <w:b/>
      <w:bCs/>
      <w:kern w:val="2"/>
      <w:sz w:val="32"/>
      <w:szCs w:val="32"/>
      <w:lang w:val="en-US" w:eastAsia="zh-CN" w:bidi="ar-SA"/>
    </w:rPr>
  </w:style>
  <w:style w:type="character" w:customStyle="1" w:styleId="49">
    <w:name w:val="批注框文本 字符"/>
    <w:basedOn w:val="19"/>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27</Pages>
  <Words>2599</Words>
  <Characters>14816</Characters>
  <Lines>123</Lines>
  <Paragraphs>34</Paragraphs>
  <TotalTime>0</TotalTime>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2021-06-04T09:48:00Z</dcterms:created>
  <dc:creator>安全保卫部</dc:creator>
  <cp:lastModifiedBy>lenovo</cp:lastModifiedBy>
  <cp:lastPrinted>2021-05-28T03:43:00Z</cp:lastPrinted>
  <dcterms:modified xsi:type="dcterms:W3CDTF">2021-06-28T00:33:38Z</dcterms:modified>
  <dc:title>安徽百大合家福连锁超市股份有限公司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y fmtid="{D5CDD505-2E9C-101B-9397-08002B2CF9AE}" pid="3" name="ICV">
    <vt:lpwstr>3FE284371BA049099D41CBE8D2942F5C</vt:lpwstr>
  </property>
</Properties>
</file>