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2"/>
        </w:rPr>
      </w:pPr>
    </w:p>
    <w:p>
      <w:pPr>
        <w:rPr>
          <w:b/>
          <w:sz w:val="36"/>
          <w:szCs w:val="32"/>
        </w:rPr>
      </w:pPr>
    </w:p>
    <w:p>
      <w:pPr>
        <w:jc w:val="center"/>
        <w:rPr>
          <w:rFonts w:hint="eastAsia"/>
          <w:b/>
          <w:sz w:val="48"/>
          <w:szCs w:val="48"/>
        </w:rPr>
      </w:pPr>
      <w:r>
        <w:rPr>
          <w:rFonts w:hint="eastAsia"/>
          <w:b/>
          <w:w w:val="90"/>
          <w:sz w:val="44"/>
          <w:szCs w:val="44"/>
        </w:rPr>
        <w:t>合肥百货大楼集团铜陵合百商厦有限责任公司</w:t>
      </w:r>
    </w:p>
    <w:p>
      <w:pPr>
        <w:jc w:val="center"/>
        <w:rPr>
          <w:rFonts w:hint="eastAsia"/>
          <w:b/>
          <w:sz w:val="48"/>
          <w:szCs w:val="48"/>
        </w:rPr>
      </w:pPr>
    </w:p>
    <w:p>
      <w:pPr>
        <w:jc w:val="center"/>
        <w:rPr>
          <w:b/>
          <w:sz w:val="48"/>
          <w:szCs w:val="48"/>
        </w:rPr>
      </w:pPr>
      <w:r>
        <w:rPr>
          <w:rFonts w:hint="eastAsia"/>
          <w:b/>
          <w:sz w:val="48"/>
          <w:szCs w:val="48"/>
        </w:rPr>
        <w:t>监控广播客流系统升级改造</w:t>
      </w: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rFonts w:ascii="黑体" w:eastAsia="黑体"/>
          <w:b/>
          <w:sz w:val="48"/>
          <w:szCs w:val="48"/>
        </w:rPr>
      </w:pPr>
      <w:r>
        <w:rPr>
          <w:rFonts w:hint="eastAsia" w:ascii="黑体" w:eastAsia="黑体"/>
          <w:b/>
          <w:sz w:val="48"/>
          <w:szCs w:val="48"/>
        </w:rPr>
        <w:t>招标文件</w:t>
      </w:r>
    </w:p>
    <w:p/>
    <w:p/>
    <w:p/>
    <w:p/>
    <w:p>
      <w:r>
        <w:t>  </w:t>
      </w:r>
    </w:p>
    <w:p/>
    <w:p/>
    <w:p/>
    <w:p/>
    <w:p/>
    <w:p/>
    <w:p/>
    <w:p>
      <w:pPr>
        <w:tabs>
          <w:tab w:val="left" w:pos="2410"/>
        </w:tabs>
        <w:autoSpaceDE w:val="0"/>
        <w:autoSpaceDN w:val="0"/>
        <w:adjustRightInd w:val="0"/>
        <w:snapToGrid w:val="0"/>
        <w:spacing w:line="360" w:lineRule="auto"/>
        <w:rPr>
          <w:rFonts w:hint="default" w:ascii="宋体" w:hAnsi="DotumChe" w:eastAsia="宋体" w:cs="宋体"/>
          <w:b/>
          <w:spacing w:val="20"/>
          <w:kern w:val="0"/>
          <w:sz w:val="32"/>
          <w:szCs w:val="32"/>
          <w:lang w:val="en-US" w:eastAsia="zh-CN"/>
        </w:rPr>
      </w:pPr>
      <w:r>
        <w:rPr>
          <w:rFonts w:hint="eastAsia" w:ascii="宋体" w:hAnsi="DotumChe" w:cs="宋体"/>
          <w:b/>
          <w:spacing w:val="20"/>
          <w:kern w:val="0"/>
          <w:sz w:val="32"/>
          <w:szCs w:val="32"/>
        </w:rPr>
        <w:t>项目编号：</w:t>
      </w:r>
      <w:r>
        <w:rPr>
          <w:rFonts w:hint="eastAsia" w:ascii="宋体" w:hAnsi="DotumChe" w:cs="宋体"/>
          <w:b/>
          <w:spacing w:val="20"/>
          <w:kern w:val="0"/>
          <w:sz w:val="32"/>
          <w:szCs w:val="32"/>
          <w:lang w:val="en-US" w:eastAsia="zh-CN"/>
        </w:rPr>
        <w:t>HBZ-21056-TLBD03</w:t>
      </w:r>
    </w:p>
    <w:p>
      <w:pPr>
        <w:tabs>
          <w:tab w:val="left" w:pos="2410"/>
        </w:tabs>
        <w:autoSpaceDE w:val="0"/>
        <w:autoSpaceDN w:val="0"/>
        <w:adjustRightInd w:val="0"/>
        <w:snapToGrid w:val="0"/>
        <w:spacing w:line="360" w:lineRule="auto"/>
        <w:ind w:left="1806" w:hanging="1806" w:hangingChars="500"/>
        <w:rPr>
          <w:rFonts w:ascii="宋体" w:hAnsi="DotumChe" w:cs="宋体"/>
          <w:b/>
          <w:spacing w:val="20"/>
          <w:kern w:val="0"/>
          <w:sz w:val="28"/>
          <w:szCs w:val="28"/>
        </w:rPr>
      </w:pPr>
      <w:r>
        <w:rPr>
          <w:rFonts w:hint="eastAsia" w:ascii="宋体" w:hAnsi="DotumChe" w:cs="宋体"/>
          <w:b/>
          <w:spacing w:val="20"/>
          <w:kern w:val="0"/>
          <w:sz w:val="32"/>
          <w:szCs w:val="32"/>
        </w:rPr>
        <w:t>招 标 人：</w:t>
      </w:r>
      <w:r>
        <w:rPr>
          <w:rFonts w:hint="eastAsia" w:ascii="宋体" w:hAnsi="DotumChe" w:cs="宋体"/>
          <w:b/>
          <w:spacing w:val="20"/>
          <w:kern w:val="0"/>
          <w:sz w:val="28"/>
          <w:szCs w:val="28"/>
        </w:rPr>
        <w:t>合肥百货大楼集团铜陵合百商厦有限责任公司</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招标时间：二〇二一年六月</w:t>
      </w:r>
    </w:p>
    <w:p>
      <w:pPr>
        <w:jc w:val="left"/>
        <w:rPr>
          <w:sz w:val="28"/>
          <w:szCs w:val="28"/>
        </w:rPr>
      </w:pPr>
    </w:p>
    <w:p>
      <w:pPr>
        <w:pStyle w:val="48"/>
        <w:spacing w:line="480" w:lineRule="auto"/>
        <w:rPr>
          <w:sz w:val="32"/>
          <w:szCs w:val="32"/>
        </w:rPr>
      </w:pPr>
      <w:r>
        <w:rPr>
          <w:sz w:val="32"/>
          <w:szCs w:val="32"/>
          <w:lang w:val="zh-CN"/>
        </w:rPr>
        <w:t>目录</w:t>
      </w:r>
    </w:p>
    <w:p>
      <w:pPr>
        <w:pStyle w:val="18"/>
        <w:tabs>
          <w:tab w:val="right" w:leader="dot" w:pos="8296"/>
        </w:tabs>
        <w:rPr>
          <w:rFonts w:hint="eastAsia" w:ascii="宋体" w:hAnsi="宋体" w:eastAsia="宋体" w:cs="宋体"/>
          <w:kern w:val="2"/>
          <w:sz w:val="24"/>
          <w:szCs w:val="24"/>
        </w:rPr>
      </w:pPr>
      <w:r>
        <w:rPr>
          <w:sz w:val="32"/>
          <w:szCs w:val="32"/>
        </w:rPr>
        <w:fldChar w:fldCharType="begin"/>
      </w:r>
      <w:r>
        <w:rPr>
          <w:sz w:val="32"/>
          <w:szCs w:val="32"/>
        </w:rPr>
        <w:instrText xml:space="preserve"> TOC \o "1-3" \h \z \u </w:instrText>
      </w:r>
      <w:r>
        <w:rPr>
          <w:sz w:val="32"/>
          <w:szCs w:val="32"/>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"_Toc73976249"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第一章投标邀请（招标公告）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_Toc73976249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296"/>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"_Toc73976250"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第二章投标人须知前附表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_Toc73976250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296"/>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"_Toc73976251"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第三章投标人须知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_Toc73976251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296"/>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"_Toc73976252"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第四章招标需求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_Toc73976252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tabs>
          <w:tab w:val="right" w:leader="dot" w:pos="8296"/>
        </w:tabs>
        <w:ind w:left="0" w:leftChars="0" w:firstLine="0" w:firstLineChars="0"/>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"_Toc73976253"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一、项目概述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_Toc73976253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tabs>
          <w:tab w:val="right" w:leader="dot" w:pos="8296"/>
        </w:tabs>
        <w:ind w:left="0" w:leftChars="0" w:firstLine="0" w:firstLineChars="0"/>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"_Toc73976254"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二、监控系统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_Toc73976254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tabs>
          <w:tab w:val="right" w:leader="dot" w:pos="8296"/>
        </w:tabs>
        <w:ind w:left="0" w:leftChars="0" w:firstLine="0" w:firstLineChars="0"/>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"_Toc73976255"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三、广播系统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_Toc73976255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296"/>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"_Toc73976256"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第五章合同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_Toc73976256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296"/>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"_Toc73976257"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第六章评标办法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_Toc73976257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296"/>
        </w:tabs>
        <w:rPr>
          <w:rFonts w:asciiTheme="minorHAnsi" w:hAnsiTheme="minorHAnsi" w:eastAsiaTheme="minorEastAsia" w:cstheme="minorBidi"/>
          <w:kern w:val="2"/>
          <w:sz w:val="21"/>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"_Toc73976258" </w:instrText>
      </w:r>
      <w:r>
        <w:rPr>
          <w:rFonts w:hint="eastAsia" w:ascii="宋体" w:hAnsi="宋体" w:eastAsia="宋体" w:cs="宋体"/>
          <w:sz w:val="24"/>
          <w:szCs w:val="24"/>
        </w:rPr>
        <w:fldChar w:fldCharType="separate"/>
      </w:r>
      <w:r>
        <w:rPr>
          <w:rStyle w:val="28"/>
          <w:rFonts w:hint="eastAsia" w:ascii="宋体" w:hAnsi="宋体" w:eastAsia="宋体" w:cs="宋体"/>
          <w:sz w:val="24"/>
          <w:szCs w:val="24"/>
        </w:rPr>
        <w:t>第七章投标文件格式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_Toc73976258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spacing w:line="480" w:lineRule="auto"/>
      </w:pPr>
      <w:r>
        <w:rPr>
          <w:sz w:val="32"/>
          <w:szCs w:val="32"/>
        </w:rPr>
        <w:fldChar w:fldCharType="end"/>
      </w: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ind w:firstLine="1960" w:firstLineChars="700"/>
        <w:jc w:val="left"/>
        <w:rPr>
          <w:sz w:val="28"/>
          <w:szCs w:val="28"/>
        </w:rPr>
      </w:pPr>
    </w:p>
    <w:p>
      <w:pPr>
        <w:pStyle w:val="2"/>
        <w:numPr>
          <w:ilvl w:val="0"/>
          <w:numId w:val="0"/>
        </w:numPr>
        <w:spacing w:afterLines="100"/>
      </w:pPr>
      <w:bookmarkStart w:id="0" w:name="_Toc73976249"/>
      <w:r>
        <w:rPr>
          <w:rFonts w:hint="eastAsia"/>
        </w:rPr>
        <w:t>第一章</w:t>
      </w:r>
      <w:r>
        <w:rPr>
          <w:rFonts w:hint="eastAsia"/>
          <w:lang w:val="en-US" w:eastAsia="zh-CN"/>
        </w:rPr>
        <w:t xml:space="preserve"> </w:t>
      </w:r>
      <w:r>
        <w:rPr>
          <w:rFonts w:hint="eastAsia"/>
        </w:rPr>
        <w:t>投标邀请（招标公告）</w:t>
      </w:r>
      <w:bookmarkEnd w:id="0"/>
    </w:p>
    <w:p>
      <w:pPr>
        <w:keepNext w:val="0"/>
        <w:keepLines w:val="0"/>
        <w:pageBreakBefore w:val="0"/>
        <w:kinsoku/>
        <w:wordWrap/>
        <w:overflowPunct/>
        <w:topLinePunct w:val="0"/>
        <w:bidi w:val="0"/>
        <w:snapToGrid/>
        <w:spacing w:line="480" w:lineRule="exact"/>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我公司现对铜陵</w:t>
      </w:r>
      <w:r>
        <w:rPr>
          <w:rFonts w:hint="eastAsia" w:ascii="宋体" w:hAnsi="宋体" w:cs="宋体"/>
          <w:sz w:val="24"/>
          <w:szCs w:val="24"/>
          <w:lang w:eastAsia="zh-CN"/>
        </w:rPr>
        <w:t>百大购物中心</w:t>
      </w:r>
      <w:r>
        <w:rPr>
          <w:rFonts w:hint="eastAsia" w:ascii="宋体" w:hAnsi="宋体" w:eastAsia="宋体" w:cs="宋体"/>
          <w:sz w:val="24"/>
          <w:szCs w:val="24"/>
        </w:rPr>
        <w:t>监控广播客流系统升级改造招标，欢迎合格的投标人前来投标，相关事项如下：</w:t>
      </w:r>
    </w:p>
    <w:p>
      <w:pPr>
        <w:keepNext w:val="0"/>
        <w:keepLines w:val="0"/>
        <w:pageBreakBefore w:val="0"/>
        <w:widowControl/>
        <w:kinsoku/>
        <w:wordWrap/>
        <w:overflowPunct/>
        <w:topLinePunct w:val="0"/>
        <w:bidi w:val="0"/>
        <w:snapToGrid/>
        <w:spacing w:line="48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项目</w:t>
      </w:r>
      <w:r>
        <w:rPr>
          <w:rFonts w:hint="eastAsia" w:ascii="宋体" w:hAnsi="宋体" w:eastAsia="宋体" w:cs="宋体"/>
          <w:b/>
          <w:sz w:val="24"/>
          <w:szCs w:val="24"/>
        </w:rPr>
        <w:t>简介：</w:t>
      </w:r>
    </w:p>
    <w:p>
      <w:pPr>
        <w:keepNext w:val="0"/>
        <w:keepLines w:val="0"/>
        <w:pageBreakBefore w:val="0"/>
        <w:kinsoku/>
        <w:wordWrap/>
        <w:overflowPunct/>
        <w:topLinePunct w:val="0"/>
        <w:bidi w:val="0"/>
        <w:snapToGrid/>
        <w:spacing w:line="48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1.项目名称：铜陵</w:t>
      </w:r>
      <w:r>
        <w:rPr>
          <w:rFonts w:hint="eastAsia" w:ascii="宋体" w:hAnsi="宋体" w:cs="宋体"/>
          <w:sz w:val="24"/>
          <w:szCs w:val="24"/>
          <w:lang w:eastAsia="zh-CN"/>
        </w:rPr>
        <w:t>百大购物中心</w:t>
      </w:r>
      <w:r>
        <w:rPr>
          <w:rFonts w:hint="eastAsia" w:ascii="宋体" w:hAnsi="宋体" w:eastAsia="宋体" w:cs="宋体"/>
          <w:sz w:val="24"/>
          <w:szCs w:val="24"/>
        </w:rPr>
        <w:t>监控广播客流系统升级改造</w:t>
      </w:r>
    </w:p>
    <w:p>
      <w:pPr>
        <w:keepNext w:val="0"/>
        <w:keepLines w:val="0"/>
        <w:pageBreakBefore w:val="0"/>
        <w:kinsoku/>
        <w:wordWrap/>
        <w:overflowPunct/>
        <w:topLinePunct w:val="0"/>
        <w:bidi w:val="0"/>
        <w:snapToGrid/>
        <w:spacing w:line="480" w:lineRule="exact"/>
        <w:ind w:firstLine="360" w:firstLineChars="1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2.项目编号：</w:t>
      </w:r>
      <w:r>
        <w:rPr>
          <w:rFonts w:hint="eastAsia" w:ascii="宋体" w:hAnsi="宋体" w:eastAsia="宋体" w:cs="宋体"/>
          <w:sz w:val="24"/>
          <w:szCs w:val="24"/>
          <w:lang w:val="en-US" w:eastAsia="zh-CN"/>
        </w:rPr>
        <w:t>HBZ-210</w:t>
      </w:r>
      <w:r>
        <w:rPr>
          <w:rFonts w:hint="eastAsia" w:ascii="宋体" w:hAnsi="宋体" w:cs="宋体"/>
          <w:sz w:val="24"/>
          <w:szCs w:val="24"/>
          <w:lang w:val="en-US" w:eastAsia="zh-CN"/>
        </w:rPr>
        <w:t>56</w:t>
      </w:r>
      <w:r>
        <w:rPr>
          <w:rFonts w:hint="eastAsia" w:ascii="宋体" w:hAnsi="宋体" w:eastAsia="宋体" w:cs="宋体"/>
          <w:sz w:val="24"/>
          <w:szCs w:val="24"/>
          <w:lang w:val="en-US" w:eastAsia="zh-CN"/>
        </w:rPr>
        <w:t>-TLBD03</w:t>
      </w:r>
    </w:p>
    <w:p>
      <w:pPr>
        <w:keepNext w:val="0"/>
        <w:keepLines w:val="0"/>
        <w:pageBreakBefore w:val="0"/>
        <w:kinsoku/>
        <w:wordWrap/>
        <w:overflowPunct/>
        <w:topLinePunct w:val="0"/>
        <w:bidi w:val="0"/>
        <w:snapToGrid/>
        <w:spacing w:line="48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3.项目地点：铜陵市长江中路785号</w:t>
      </w:r>
    </w:p>
    <w:p>
      <w:pPr>
        <w:keepNext w:val="0"/>
        <w:keepLines w:val="0"/>
        <w:pageBreakBefore w:val="0"/>
        <w:kinsoku/>
        <w:wordWrap/>
        <w:overflowPunct/>
        <w:topLinePunct w:val="0"/>
        <w:bidi w:val="0"/>
        <w:snapToGrid/>
        <w:spacing w:line="48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4.项目概算：688435.43元</w:t>
      </w:r>
    </w:p>
    <w:p>
      <w:pPr>
        <w:keepNext w:val="0"/>
        <w:keepLines w:val="0"/>
        <w:pageBreakBefore w:val="0"/>
        <w:kinsoku/>
        <w:wordWrap/>
        <w:overflowPunct/>
        <w:topLinePunct w:val="0"/>
        <w:bidi w:val="0"/>
        <w:snapToGrid/>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二、投标人资格：</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rPr>
        <w:t>1.</w:t>
      </w:r>
      <w:r>
        <w:rPr>
          <w:rFonts w:hint="eastAsia" w:ascii="宋体" w:hAnsi="宋体" w:eastAsia="宋体" w:cs="宋体"/>
          <w:kern w:val="0"/>
          <w:sz w:val="24"/>
          <w:szCs w:val="24"/>
        </w:rPr>
        <w:t>具有独立法人和一般纳税人资质</w:t>
      </w:r>
      <w:r>
        <w:rPr>
          <w:rFonts w:hint="eastAsia" w:ascii="宋体" w:hAnsi="宋体" w:eastAsia="宋体" w:cs="宋体"/>
          <w:kern w:val="0"/>
          <w:sz w:val="24"/>
          <w:szCs w:val="24"/>
          <w:lang w:eastAsia="zh-CN"/>
        </w:rPr>
        <w:t>。</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2.具有安防工程三级及以上（含三级）资质</w:t>
      </w:r>
      <w:r>
        <w:rPr>
          <w:rFonts w:hint="eastAsia" w:ascii="宋体" w:hAnsi="宋体" w:eastAsia="宋体" w:cs="宋体"/>
          <w:kern w:val="0"/>
          <w:sz w:val="24"/>
          <w:szCs w:val="24"/>
          <w:lang w:eastAsia="zh-CN"/>
        </w:rPr>
        <w:t>。</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shd w:val="clear" w:color="auto" w:fill="FDFFFB"/>
        </w:rPr>
        <w:t>3.</w:t>
      </w:r>
      <w:r>
        <w:rPr>
          <w:rFonts w:hint="eastAsia" w:ascii="宋体" w:hAnsi="宋体" w:eastAsia="宋体" w:cs="宋体"/>
          <w:kern w:val="0"/>
          <w:sz w:val="24"/>
          <w:szCs w:val="24"/>
        </w:rPr>
        <w:t>提供2018年1月1日至今</w:t>
      </w:r>
      <w:r>
        <w:rPr>
          <w:rFonts w:hint="eastAsia" w:ascii="宋体" w:hAnsi="宋体" w:eastAsia="宋体" w:cs="宋体"/>
          <w:kern w:val="0"/>
          <w:sz w:val="24"/>
          <w:szCs w:val="24"/>
          <w:lang w:eastAsia="zh-CN"/>
        </w:rPr>
        <w:t>单份</w:t>
      </w:r>
      <w:r>
        <w:rPr>
          <w:rFonts w:hint="eastAsia" w:ascii="宋体" w:hAnsi="宋体" w:eastAsia="宋体" w:cs="宋体"/>
          <w:kern w:val="0"/>
          <w:sz w:val="24"/>
          <w:szCs w:val="24"/>
        </w:rPr>
        <w:t>金额不低于</w:t>
      </w:r>
      <w:r>
        <w:rPr>
          <w:rFonts w:hint="eastAsia" w:ascii="宋体" w:hAnsi="宋体" w:eastAsia="宋体" w:cs="宋体"/>
          <w:kern w:val="0"/>
          <w:sz w:val="24"/>
          <w:szCs w:val="24"/>
          <w:lang w:val="en-US" w:eastAsia="zh-CN"/>
        </w:rPr>
        <w:t>50</w:t>
      </w:r>
      <w:r>
        <w:rPr>
          <w:rFonts w:hint="eastAsia" w:ascii="宋体" w:hAnsi="宋体" w:eastAsia="宋体" w:cs="宋体"/>
          <w:kern w:val="0"/>
          <w:sz w:val="24"/>
          <w:szCs w:val="24"/>
        </w:rPr>
        <w:t>万元</w:t>
      </w:r>
      <w:r>
        <w:rPr>
          <w:rFonts w:hint="eastAsia" w:ascii="宋体" w:hAnsi="宋体" w:eastAsia="宋体" w:cs="宋体"/>
          <w:kern w:val="0"/>
          <w:sz w:val="24"/>
          <w:szCs w:val="24"/>
          <w:lang w:eastAsia="zh-CN"/>
        </w:rPr>
        <w:t>安防</w:t>
      </w:r>
      <w:r>
        <w:rPr>
          <w:rFonts w:hint="eastAsia" w:ascii="宋体" w:hAnsi="宋体" w:eastAsia="宋体" w:cs="宋体"/>
          <w:kern w:val="0"/>
          <w:sz w:val="24"/>
          <w:szCs w:val="24"/>
        </w:rPr>
        <w:t>工程业绩</w:t>
      </w:r>
      <w:r>
        <w:rPr>
          <w:rFonts w:hint="eastAsia" w:ascii="宋体" w:hAnsi="宋体" w:eastAsia="宋体" w:cs="宋体"/>
          <w:kern w:val="0"/>
          <w:sz w:val="24"/>
          <w:szCs w:val="24"/>
          <w:lang w:eastAsia="zh-CN"/>
        </w:rPr>
        <w:t>合同。</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4.投标人须符合下列情形之一（以在“安徽合肥公共资源交易中心”网站http://ggzy.hefei.gov.cn/pgt/exposureDesk.html查询信息为准）：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1）开标日前两年内未被合肥市及其所辖县（市）公共资源交易监督管理局记不良行为记录或记不良行为记录累计未满10分的。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2）最近一次被合肥市及其所辖县（市）公共资源交易监督管理局记不良行为记录累计记分达10分(含10分)到15分且公布日距开标日超过6个月。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3）最近一次被合肥市及其所辖县（市）公共资源交易监督管理局记不良行为记录累计记分达15分(含15分)到20分且公布日距开标日超过12个月。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napToGrid/>
        <w:spacing w:line="480" w:lineRule="exact"/>
        <w:ind w:left="420" w:leftChars="200" w:firstLine="120" w:firstLineChars="50"/>
        <w:textAlignment w:val="auto"/>
        <w:rPr>
          <w:rFonts w:hint="eastAsia" w:ascii="宋体" w:hAnsi="宋体" w:eastAsia="宋体" w:cs="宋体"/>
          <w:sz w:val="24"/>
          <w:szCs w:val="24"/>
        </w:rPr>
      </w:pPr>
      <w:r>
        <w:rPr>
          <w:rFonts w:hint="eastAsia" w:ascii="宋体" w:hAnsi="宋体" w:eastAsia="宋体" w:cs="宋体"/>
          <w:sz w:val="24"/>
          <w:szCs w:val="24"/>
        </w:rPr>
        <w:t>5.投标人存在以下不良信用记录情形之一的，不得推荐为中标候选人，不得确定为中标人（以在“信用中国”网站http://www.creditchina.gov.cn/查询信息为准）：</w:t>
      </w:r>
      <w:r>
        <w:rPr>
          <w:rFonts w:hint="eastAsia" w:ascii="宋体" w:hAnsi="宋体" w:eastAsia="宋体" w:cs="宋体"/>
          <w:sz w:val="24"/>
          <w:szCs w:val="24"/>
        </w:rPr>
        <w:br w:type="textWrapping"/>
      </w:r>
      <w:r>
        <w:rPr>
          <w:rFonts w:hint="eastAsia" w:ascii="宋体" w:hAnsi="宋体" w:eastAsia="宋体" w:cs="宋体"/>
          <w:sz w:val="24"/>
          <w:szCs w:val="24"/>
        </w:rPr>
        <w:t xml:space="preserve"> 1)投标人被人民法院列入失信被执行人的。</w:t>
      </w:r>
      <w:r>
        <w:rPr>
          <w:rFonts w:hint="eastAsia" w:ascii="宋体" w:hAnsi="宋体" w:eastAsia="宋体" w:cs="宋体"/>
          <w:sz w:val="24"/>
          <w:szCs w:val="24"/>
        </w:rPr>
        <w:br w:type="textWrapping"/>
      </w:r>
      <w:r>
        <w:rPr>
          <w:rFonts w:hint="eastAsia" w:ascii="宋体" w:hAnsi="宋体" w:eastAsia="宋体" w:cs="宋体"/>
          <w:sz w:val="24"/>
          <w:szCs w:val="24"/>
        </w:rPr>
        <w:t xml:space="preserve"> 2)投标人被列入政府采购严重违法失信名单的。 </w:t>
      </w:r>
      <w:r>
        <w:rPr>
          <w:rFonts w:hint="eastAsia" w:ascii="宋体" w:hAnsi="宋体" w:eastAsia="宋体" w:cs="宋体"/>
          <w:sz w:val="24"/>
          <w:szCs w:val="24"/>
        </w:rPr>
        <w:br w:type="textWrapping"/>
      </w:r>
      <w:r>
        <w:rPr>
          <w:rFonts w:hint="eastAsia" w:ascii="宋体" w:hAnsi="宋体" w:eastAsia="宋体" w:cs="宋体"/>
          <w:sz w:val="24"/>
          <w:szCs w:val="24"/>
        </w:rPr>
        <w:t xml:space="preserve"> 3)投标人被工商行政管理部门列入企业经营异常名录的。</w:t>
      </w:r>
      <w:r>
        <w:rPr>
          <w:rFonts w:hint="eastAsia" w:ascii="宋体" w:hAnsi="宋体" w:eastAsia="宋体" w:cs="宋体"/>
          <w:sz w:val="24"/>
          <w:szCs w:val="24"/>
        </w:rPr>
        <w:br w:type="textWrapping"/>
      </w:r>
      <w:r>
        <w:rPr>
          <w:rFonts w:hint="eastAsia" w:ascii="宋体" w:hAnsi="宋体" w:eastAsia="宋体" w:cs="宋体"/>
          <w:sz w:val="24"/>
          <w:szCs w:val="24"/>
        </w:rPr>
        <w:t xml:space="preserve"> 4)投标人被税务部门列入重大税收违法案件当事人名单的。 </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color="auto" w:fill="FDFFFB"/>
        </w:rPr>
        <w:t>6.</w:t>
      </w:r>
      <w:r>
        <w:rPr>
          <w:rFonts w:hint="eastAsia" w:ascii="宋体" w:hAnsi="宋体" w:eastAsia="宋体" w:cs="宋体"/>
          <w:sz w:val="24"/>
          <w:szCs w:val="24"/>
        </w:rPr>
        <w:t>本项目不接受联合体投标。</w:t>
      </w:r>
    </w:p>
    <w:p>
      <w:pPr>
        <w:keepNext w:val="0"/>
        <w:keepLines w:val="0"/>
        <w:pageBreakBefore w:val="0"/>
        <w:kinsoku/>
        <w:wordWrap/>
        <w:overflowPunct/>
        <w:topLinePunct w:val="0"/>
        <w:bidi w:val="0"/>
        <w:snapToGrid/>
        <w:spacing w:line="48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注：</w:t>
      </w:r>
      <w:r>
        <w:rPr>
          <w:rFonts w:hint="eastAsia" w:ascii="宋体" w:hAnsi="宋体" w:eastAsia="宋体" w:cs="宋体"/>
          <w:b/>
          <w:kern w:val="0"/>
          <w:sz w:val="24"/>
          <w:szCs w:val="24"/>
        </w:rPr>
        <w:t>以上证明文件复印件加盖公章后做入投标文件；</w:t>
      </w:r>
    </w:p>
    <w:p>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4"/>
          <w:szCs w:val="24"/>
        </w:rPr>
      </w:pPr>
      <w:r>
        <w:rPr>
          <w:rFonts w:hint="eastAsia" w:ascii="宋体" w:hAnsi="宋体" w:eastAsia="宋体" w:cs="宋体"/>
          <w:b/>
          <w:sz w:val="24"/>
          <w:szCs w:val="24"/>
        </w:rPr>
        <w:t>三、招标文件领取方法</w:t>
      </w:r>
      <w:r>
        <w:rPr>
          <w:rFonts w:hint="eastAsia" w:ascii="宋体" w:hAnsi="宋体" w:eastAsia="宋体" w:cs="宋体"/>
          <w:sz w:val="24"/>
          <w:szCs w:val="24"/>
        </w:rPr>
        <w:t>： </w:t>
      </w:r>
    </w:p>
    <w:p>
      <w:pPr>
        <w:keepNext w:val="0"/>
        <w:keepLines w:val="0"/>
        <w:pageBreakBefore w:val="0"/>
        <w:kinsoku/>
        <w:wordWrap/>
        <w:overflowPunct/>
        <w:topLinePunct w:val="0"/>
        <w:bidi w:val="0"/>
        <w:snapToGrid/>
        <w:spacing w:line="480" w:lineRule="exact"/>
        <w:ind w:firstLine="48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1.领取日期：2021年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9:00</w:t>
      </w:r>
      <w:r>
        <w:rPr>
          <w:rFonts w:hint="eastAsia" w:ascii="宋体" w:hAnsi="宋体" w:eastAsia="宋体" w:cs="宋体"/>
          <w:sz w:val="24"/>
          <w:szCs w:val="24"/>
          <w:highlight w:val="none"/>
        </w:rPr>
        <w:t>—2021年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17:00</w:t>
      </w:r>
    </w:p>
    <w:p>
      <w:pPr>
        <w:pStyle w:val="66"/>
        <w:keepNext w:val="0"/>
        <w:keepLines w:val="0"/>
        <w:pageBreakBefore w:val="0"/>
        <w:kinsoku/>
        <w:wordWrap/>
        <w:overflowPunct/>
        <w:topLinePunct w:val="0"/>
        <w:bidi w:val="0"/>
        <w:snapToGrid/>
        <w:spacing w:line="480" w:lineRule="exact"/>
        <w:ind w:firstLine="480" w:firstLineChars="200"/>
        <w:jc w:val="left"/>
        <w:textAlignment w:val="auto"/>
        <w:rPr>
          <w:rFonts w:hint="eastAsia" w:ascii="宋体" w:hAnsi="宋体" w:eastAsia="宋体" w:cs="宋体"/>
          <w:b/>
          <w:bCs/>
          <w:sz w:val="24"/>
          <w:szCs w:val="24"/>
          <w:lang w:val="zh-CN"/>
        </w:rPr>
      </w:pPr>
      <w:r>
        <w:rPr>
          <w:rFonts w:hint="eastAsia" w:ascii="宋体" w:hAnsi="宋体" w:eastAsia="宋体" w:cs="宋体"/>
          <w:sz w:val="24"/>
          <w:szCs w:val="24"/>
        </w:rPr>
        <w:t>2.标书领取方法：登录百大网站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"http://www.hfbh.com.cn" </w:instrText>
      </w:r>
      <w:r>
        <w:rPr>
          <w:rFonts w:hint="eastAsia" w:ascii="宋体" w:hAnsi="宋体" w:eastAsia="宋体" w:cs="宋体"/>
          <w:sz w:val="24"/>
          <w:szCs w:val="24"/>
        </w:rPr>
        <w:fldChar w:fldCharType="separate"/>
      </w:r>
      <w:r>
        <w:rPr>
          <w:rFonts w:hint="eastAsia" w:ascii="宋体" w:hAnsi="宋体" w:eastAsia="宋体" w:cs="宋体"/>
          <w:sz w:val="24"/>
          <w:szCs w:val="24"/>
        </w:rPr>
        <w:t>www.hfbh.com.cn</w:t>
      </w:r>
      <w:r>
        <w:rPr>
          <w:rFonts w:hint="eastAsia" w:ascii="宋体" w:hAnsi="宋体" w:eastAsia="宋体" w:cs="宋体"/>
          <w:sz w:val="24"/>
          <w:szCs w:val="24"/>
        </w:rPr>
        <w:fldChar w:fldCharType="end"/>
      </w:r>
      <w:r>
        <w:rPr>
          <w:rFonts w:hint="eastAsia" w:ascii="宋体" w:hAnsi="宋体" w:eastAsia="宋体" w:cs="宋体"/>
          <w:sz w:val="24"/>
          <w:szCs w:val="24"/>
        </w:rPr>
        <w:t>→服务中心→招标公告，页面末端点击链接下载标书（下载标书的投标单位按要求参加资格审查）。</w:t>
      </w:r>
      <w:r>
        <w:rPr>
          <w:rFonts w:hint="eastAsia" w:ascii="宋体" w:hAnsi="宋体" w:eastAsia="宋体" w:cs="宋体"/>
          <w:sz w:val="24"/>
          <w:szCs w:val="24"/>
        </w:rPr>
        <w:br w:type="textWrapping"/>
      </w:r>
      <w:r>
        <w:rPr>
          <w:rFonts w:hint="eastAsia" w:ascii="宋体" w:hAnsi="宋体" w:eastAsia="宋体" w:cs="宋体"/>
          <w:b/>
          <w:sz w:val="24"/>
          <w:szCs w:val="24"/>
        </w:rPr>
        <w:t>四、</w:t>
      </w:r>
      <w:r>
        <w:rPr>
          <w:rFonts w:hint="eastAsia" w:ascii="宋体" w:hAnsi="宋体" w:eastAsia="宋体" w:cs="宋体"/>
          <w:b/>
          <w:bCs/>
          <w:sz w:val="24"/>
          <w:szCs w:val="24"/>
          <w:lang w:val="zh-CN"/>
        </w:rPr>
        <w:t>资格预审：</w:t>
      </w:r>
    </w:p>
    <w:p>
      <w:pPr>
        <w:pStyle w:val="66"/>
        <w:keepNext w:val="0"/>
        <w:keepLines w:val="0"/>
        <w:pageBreakBefore w:val="0"/>
        <w:kinsoku/>
        <w:wordWrap/>
        <w:overflowPunct/>
        <w:topLinePunct w:val="0"/>
        <w:bidi w:val="0"/>
        <w:snapToGrid/>
        <w:spacing w:line="480" w:lineRule="exact"/>
        <w:ind w:firstLine="480"/>
        <w:jc w:val="left"/>
        <w:textAlignment w:val="auto"/>
        <w:rPr>
          <w:rFonts w:hint="eastAsia" w:ascii="宋体" w:hAnsi="宋体" w:eastAsia="宋体" w:cs="宋体"/>
          <w:bCs/>
          <w:sz w:val="24"/>
          <w:szCs w:val="24"/>
        </w:rPr>
      </w:pPr>
      <w:r>
        <w:rPr>
          <w:rFonts w:hint="eastAsia" w:ascii="宋体" w:hAnsi="宋体" w:eastAsia="宋体" w:cs="宋体"/>
          <w:bCs/>
          <w:sz w:val="24"/>
          <w:szCs w:val="24"/>
          <w:highlight w:val="none"/>
          <w:shd w:val="clear" w:color="auto" w:fill="FFFFFF"/>
        </w:rPr>
        <w:t>2021年</w:t>
      </w:r>
      <w:r>
        <w:rPr>
          <w:rFonts w:hint="eastAsia" w:ascii="宋体" w:hAnsi="宋体" w:cs="宋体"/>
          <w:bCs/>
          <w:sz w:val="24"/>
          <w:szCs w:val="24"/>
          <w:highlight w:val="none"/>
          <w:shd w:val="clear" w:color="auto" w:fill="FFFFFF"/>
          <w:lang w:val="en-US" w:eastAsia="zh-CN"/>
        </w:rPr>
        <w:t>06</w:t>
      </w:r>
      <w:r>
        <w:rPr>
          <w:rFonts w:hint="eastAsia" w:ascii="宋体" w:hAnsi="宋体" w:eastAsia="宋体" w:cs="宋体"/>
          <w:bCs/>
          <w:sz w:val="24"/>
          <w:szCs w:val="24"/>
          <w:highlight w:val="none"/>
          <w:shd w:val="clear" w:color="auto" w:fill="FFFFFF"/>
        </w:rPr>
        <w:t>月</w:t>
      </w:r>
      <w:r>
        <w:rPr>
          <w:rFonts w:hint="eastAsia" w:ascii="宋体" w:hAnsi="宋体" w:cs="宋体"/>
          <w:bCs/>
          <w:sz w:val="24"/>
          <w:szCs w:val="24"/>
          <w:highlight w:val="none"/>
          <w:shd w:val="clear" w:color="auto" w:fill="FFFFFF"/>
          <w:lang w:val="en-US" w:eastAsia="zh-CN"/>
        </w:rPr>
        <w:t>29</w:t>
      </w:r>
      <w:r>
        <w:rPr>
          <w:rFonts w:hint="eastAsia" w:ascii="宋体" w:hAnsi="宋体" w:eastAsia="宋体" w:cs="宋体"/>
          <w:bCs/>
          <w:sz w:val="24"/>
          <w:szCs w:val="24"/>
          <w:highlight w:val="none"/>
          <w:shd w:val="clear" w:color="auto" w:fill="FFFFFF"/>
        </w:rPr>
        <w:t>日</w:t>
      </w:r>
      <w:r>
        <w:rPr>
          <w:rFonts w:hint="eastAsia" w:ascii="宋体" w:hAnsi="宋体" w:eastAsia="宋体" w:cs="宋体"/>
          <w:bCs/>
          <w:sz w:val="24"/>
          <w:szCs w:val="24"/>
          <w:shd w:val="clear" w:color="auto" w:fill="FFFFFF"/>
        </w:rPr>
        <w:t>1</w:t>
      </w:r>
      <w:r>
        <w:rPr>
          <w:rFonts w:hint="eastAsia" w:ascii="宋体" w:hAnsi="宋体" w:cs="宋体"/>
          <w:bCs/>
          <w:sz w:val="24"/>
          <w:szCs w:val="24"/>
          <w:shd w:val="clear" w:color="auto" w:fill="FFFFFF"/>
          <w:lang w:val="en-US" w:eastAsia="zh-CN"/>
        </w:rPr>
        <w:t>7</w:t>
      </w:r>
      <w:r>
        <w:rPr>
          <w:rFonts w:hint="eastAsia" w:ascii="宋体" w:hAnsi="宋体" w:eastAsia="宋体" w:cs="宋体"/>
          <w:bCs/>
          <w:sz w:val="24"/>
          <w:szCs w:val="24"/>
          <w:shd w:val="clear" w:color="auto" w:fill="FFFFFF"/>
        </w:rPr>
        <w:t>:00之前将本章第二条“投标人要求”中的相关材料电子版发送至邮箱接受资格预审，</w:t>
      </w:r>
      <w:r>
        <w:rPr>
          <w:rFonts w:hint="eastAsia" w:ascii="宋体" w:hAnsi="宋体" w:eastAsia="宋体" w:cs="宋体"/>
          <w:bCs/>
          <w:sz w:val="24"/>
          <w:szCs w:val="24"/>
        </w:rPr>
        <w:t>审查合格的投标人以转账方式缴纳投标保证金，逾期或未参加资格预审的投标人，招标人有权利不接受其投标。资格预审仅作为报名依据，投标人资质是否符合招标文件要求以评标复审为准。</w:t>
      </w:r>
    </w:p>
    <w:p>
      <w:pPr>
        <w:pStyle w:val="66"/>
        <w:keepNext w:val="0"/>
        <w:keepLines w:val="0"/>
        <w:pageBreakBefore w:val="0"/>
        <w:numPr>
          <w:ilvl w:val="0"/>
          <w:numId w:val="2"/>
        </w:numPr>
        <w:kinsoku/>
        <w:wordWrap/>
        <w:overflowPunct/>
        <w:topLinePunct w:val="0"/>
        <w:bidi w:val="0"/>
        <w:snapToGrid/>
        <w:spacing w:line="480" w:lineRule="exact"/>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投标保证金：</w:t>
      </w:r>
    </w:p>
    <w:p>
      <w:pPr>
        <w:pStyle w:val="66"/>
        <w:keepNext w:val="0"/>
        <w:keepLines w:val="0"/>
        <w:pageBreakBefore w:val="0"/>
        <w:numPr>
          <w:ilvl w:val="0"/>
          <w:numId w:val="0"/>
        </w:numPr>
        <w:kinsoku/>
        <w:wordWrap/>
        <w:overflowPunct/>
        <w:topLinePunct w:val="0"/>
        <w:bidi w:val="0"/>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2021</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：00前</w:t>
      </w:r>
      <w:r>
        <w:rPr>
          <w:rFonts w:hint="eastAsia" w:ascii="宋体" w:hAnsi="宋体" w:eastAsia="宋体" w:cs="宋体"/>
          <w:sz w:val="24"/>
          <w:szCs w:val="24"/>
        </w:rPr>
        <w:t>（以实际到账时间为准）通过转账的方式</w:t>
      </w:r>
      <w:r>
        <w:rPr>
          <w:rFonts w:hint="eastAsia" w:ascii="宋体" w:hAnsi="宋体" w:eastAsia="宋体" w:cs="宋体"/>
          <w:b/>
          <w:bCs/>
          <w:sz w:val="24"/>
          <w:szCs w:val="24"/>
        </w:rPr>
        <w:t>缴纳投标保证金伍仟元整</w:t>
      </w:r>
      <w:r>
        <w:rPr>
          <w:rFonts w:hint="eastAsia" w:ascii="宋体" w:hAnsi="宋体" w:eastAsia="宋体" w:cs="宋体"/>
          <w:sz w:val="24"/>
          <w:szCs w:val="24"/>
        </w:rPr>
        <w:t>，如中标，该保证金待投标单位缴纳履约保证金后无息退还；如未中标，招标结束后无息退还。</w:t>
      </w:r>
    </w:p>
    <w:p>
      <w:pPr>
        <w:keepNext w:val="0"/>
        <w:keepLines w:val="0"/>
        <w:pageBreakBefore w:val="0"/>
        <w:kinsoku/>
        <w:wordWrap/>
        <w:overflowPunct/>
        <w:topLinePunct w:val="0"/>
        <w:autoSpaceDE w:val="0"/>
        <w:autoSpaceDN w:val="0"/>
        <w:bidi w:val="0"/>
        <w:adjustRightInd w:val="0"/>
        <w:snapToGrid/>
        <w:spacing w:line="480" w:lineRule="exact"/>
        <w:ind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名  称：合肥百货大楼集团铜陵合百商厦有限责任公司</w:t>
      </w:r>
    </w:p>
    <w:p>
      <w:pPr>
        <w:keepNext w:val="0"/>
        <w:keepLines w:val="0"/>
        <w:pageBreakBefore w:val="0"/>
        <w:kinsoku/>
        <w:wordWrap/>
        <w:overflowPunct/>
        <w:topLinePunct w:val="0"/>
        <w:bidi w:val="0"/>
        <w:snapToGrid/>
        <w:spacing w:line="480" w:lineRule="exact"/>
        <w:ind w:left="60" w:firstLine="420"/>
        <w:textAlignment w:val="auto"/>
        <w:rPr>
          <w:rFonts w:hint="eastAsia" w:ascii="宋体" w:hAnsi="宋体" w:eastAsia="宋体" w:cs="宋体"/>
          <w:sz w:val="24"/>
          <w:szCs w:val="24"/>
        </w:rPr>
      </w:pPr>
      <w:r>
        <w:rPr>
          <w:rFonts w:hint="eastAsia" w:ascii="宋体" w:hAnsi="宋体" w:eastAsia="宋体" w:cs="宋体"/>
          <w:sz w:val="24"/>
          <w:szCs w:val="24"/>
        </w:rPr>
        <w:t>开户行：中国工商银行铜陵百大支行</w:t>
      </w:r>
    </w:p>
    <w:p>
      <w:pPr>
        <w:keepNext w:val="0"/>
        <w:keepLines w:val="0"/>
        <w:pageBreakBefore w:val="0"/>
        <w:kinsoku/>
        <w:wordWrap/>
        <w:overflowPunct/>
        <w:topLinePunct w:val="0"/>
        <w:bidi w:val="0"/>
        <w:snapToGrid/>
        <w:spacing w:line="480" w:lineRule="exact"/>
        <w:ind w:left="60" w:firstLine="420"/>
        <w:textAlignment w:val="auto"/>
        <w:rPr>
          <w:rFonts w:hint="eastAsia" w:ascii="宋体" w:hAnsi="宋体" w:eastAsia="宋体" w:cs="宋体"/>
          <w:sz w:val="24"/>
          <w:szCs w:val="24"/>
        </w:rPr>
      </w:pPr>
      <w:r>
        <w:rPr>
          <w:rFonts w:hint="eastAsia" w:ascii="宋体" w:hAnsi="宋体" w:eastAsia="宋体" w:cs="宋体"/>
          <w:sz w:val="24"/>
          <w:szCs w:val="24"/>
        </w:rPr>
        <w:t>账  号：1308020029200036377</w:t>
      </w:r>
    </w:p>
    <w:p>
      <w:pPr>
        <w:keepNext w:val="0"/>
        <w:keepLines w:val="0"/>
        <w:pageBreakBefore w:val="0"/>
        <w:kinsoku/>
        <w:wordWrap/>
        <w:overflowPunct/>
        <w:topLinePunct w:val="0"/>
        <w:bidi w:val="0"/>
        <w:snapToGrid/>
        <w:spacing w:line="480" w:lineRule="exact"/>
        <w:ind w:left="60" w:firstLine="420"/>
        <w:textAlignment w:val="auto"/>
        <w:rPr>
          <w:rFonts w:hint="eastAsia" w:ascii="宋体" w:hAnsi="宋体" w:eastAsia="宋体" w:cs="宋体"/>
          <w:sz w:val="24"/>
          <w:szCs w:val="24"/>
        </w:rPr>
      </w:pPr>
      <w:r>
        <w:rPr>
          <w:rFonts w:hint="eastAsia" w:ascii="宋体" w:hAnsi="宋体" w:eastAsia="宋体" w:cs="宋体"/>
          <w:sz w:val="24"/>
          <w:szCs w:val="24"/>
        </w:rPr>
        <w:t>纳税识别号：913407007548523815</w:t>
      </w:r>
    </w:p>
    <w:p>
      <w:pPr>
        <w:keepNext w:val="0"/>
        <w:keepLines w:val="0"/>
        <w:pageBreakBefore w:val="0"/>
        <w:kinsoku/>
        <w:wordWrap/>
        <w:overflowPunct/>
        <w:topLinePunct w:val="0"/>
        <w:bidi w:val="0"/>
        <w:snapToGrid/>
        <w:spacing w:line="480" w:lineRule="exact"/>
        <w:ind w:left="420"/>
        <w:textAlignment w:val="auto"/>
        <w:rPr>
          <w:rFonts w:hint="eastAsia" w:ascii="宋体" w:hAnsi="宋体" w:eastAsia="宋体" w:cs="宋体"/>
          <w:kern w:val="0"/>
          <w:sz w:val="24"/>
          <w:szCs w:val="24"/>
          <w:lang w:val="zh-CN"/>
        </w:rPr>
      </w:pPr>
      <w:r>
        <w:rPr>
          <w:rFonts w:hint="eastAsia" w:ascii="宋体" w:hAnsi="宋体" w:eastAsia="宋体" w:cs="宋体"/>
          <w:sz w:val="24"/>
          <w:szCs w:val="24"/>
        </w:rPr>
        <w:t>地址、电话：铜陵市长江中路785号0562-2833366</w:t>
      </w:r>
    </w:p>
    <w:p>
      <w:pPr>
        <w:keepNext w:val="0"/>
        <w:keepLines w:val="0"/>
        <w:pageBreakBefore w:val="0"/>
        <w:kinsoku/>
        <w:wordWrap/>
        <w:overflowPunct/>
        <w:topLinePunct w:val="0"/>
        <w:bidi w:val="0"/>
        <w:snapToGrid/>
        <w:spacing w:line="48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（转帐时备注“铜陵合百商厦监控广播客流系统升级改造项目投标保证金”）</w:t>
      </w:r>
    </w:p>
    <w:p>
      <w:pPr>
        <w:keepNext w:val="0"/>
        <w:keepLines w:val="0"/>
        <w:pageBreakBefore w:val="0"/>
        <w:kinsoku/>
        <w:wordWrap/>
        <w:overflowPunct/>
        <w:topLinePunct w:val="0"/>
        <w:bidi w:val="0"/>
        <w:snapToGrid/>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六、开标时间及地点：</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1.开标时间</w:t>
      </w:r>
      <w:r>
        <w:rPr>
          <w:rFonts w:hint="eastAsia" w:ascii="宋体" w:hAnsi="宋体" w:eastAsia="宋体" w:cs="宋体"/>
          <w:sz w:val="24"/>
          <w:szCs w:val="24"/>
        </w:rPr>
        <w:t>：2021年</w:t>
      </w:r>
      <w:r>
        <w:rPr>
          <w:rFonts w:hint="eastAsia" w:ascii="宋体" w:hAnsi="宋体" w:cs="宋体"/>
          <w:sz w:val="24"/>
          <w:szCs w:val="24"/>
          <w:lang w:val="en-US" w:eastAsia="zh-CN"/>
        </w:rPr>
        <w:t>07</w:t>
      </w:r>
      <w:r>
        <w:rPr>
          <w:rFonts w:hint="eastAsia" w:ascii="宋体" w:hAnsi="宋体" w:eastAsia="宋体" w:cs="宋体"/>
          <w:sz w:val="24"/>
          <w:szCs w:val="24"/>
        </w:rPr>
        <w:t>月</w:t>
      </w:r>
      <w:r>
        <w:rPr>
          <w:rFonts w:hint="eastAsia" w:ascii="宋体" w:hAnsi="宋体" w:cs="宋体"/>
          <w:sz w:val="24"/>
          <w:szCs w:val="24"/>
          <w:lang w:val="en-US" w:eastAsia="zh-CN"/>
        </w:rPr>
        <w:t>02</w:t>
      </w:r>
      <w:r>
        <w:rPr>
          <w:rFonts w:hint="eastAsia" w:ascii="宋体" w:hAnsi="宋体" w:eastAsia="宋体" w:cs="宋体"/>
          <w:sz w:val="24"/>
          <w:szCs w:val="24"/>
        </w:rPr>
        <w:t>日</w:t>
      </w:r>
      <w:r>
        <w:rPr>
          <w:rFonts w:hint="eastAsia" w:ascii="宋体" w:hAnsi="宋体" w:cs="宋体"/>
          <w:sz w:val="24"/>
          <w:szCs w:val="24"/>
          <w:lang w:val="en-US" w:eastAsia="zh-CN"/>
        </w:rPr>
        <w:t>14</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0（如有调整，另行通知）</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2.开标地点：</w:t>
      </w:r>
      <w:r>
        <w:rPr>
          <w:rFonts w:hint="eastAsia" w:ascii="宋体" w:hAnsi="宋体" w:eastAsia="宋体" w:cs="宋体"/>
          <w:kern w:val="0"/>
          <w:sz w:val="24"/>
          <w:szCs w:val="24"/>
        </w:rPr>
        <w:t>合肥市黄山路596号合肥百大集团1209室</w:t>
      </w:r>
    </w:p>
    <w:p>
      <w:pPr>
        <w:keepNext w:val="0"/>
        <w:keepLines w:val="0"/>
        <w:pageBreakBefore w:val="0"/>
        <w:kinsoku/>
        <w:wordWrap/>
        <w:overflowPunct/>
        <w:topLinePunct w:val="0"/>
        <w:bidi w:val="0"/>
        <w:snapToGrid/>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七、联系方式：</w:t>
      </w:r>
    </w:p>
    <w:p>
      <w:pPr>
        <w:keepNext w:val="0"/>
        <w:keepLines w:val="0"/>
        <w:pageBreakBefore w:val="0"/>
        <w:widowControl/>
        <w:kinsoku/>
        <w:wordWrap/>
        <w:overflowPunct/>
        <w:topLinePunct w:val="0"/>
        <w:bidi w:val="0"/>
        <w:snapToGrid/>
        <w:spacing w:line="480" w:lineRule="exact"/>
        <w:ind w:left="60" w:firstLine="420"/>
        <w:textAlignment w:val="auto"/>
        <w:rPr>
          <w:rFonts w:hint="eastAsia" w:ascii="宋体" w:hAnsi="宋体" w:eastAsia="宋体" w:cs="宋体"/>
          <w:sz w:val="24"/>
          <w:szCs w:val="24"/>
        </w:rPr>
      </w:pPr>
      <w:r>
        <w:rPr>
          <w:rFonts w:hint="eastAsia" w:ascii="宋体" w:hAnsi="宋体" w:eastAsia="宋体" w:cs="宋体"/>
          <w:sz w:val="24"/>
          <w:szCs w:val="24"/>
        </w:rPr>
        <w:t>现场勘查：联 系 人：孙 林   联系电话：0562-2818206</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资格预审：联 系 人：朱 工   联系电话：0551-65771025</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邮箱：</w:t>
      </w:r>
      <w:r>
        <w:rPr>
          <w:rFonts w:hint="eastAsia" w:ascii="宋体" w:hAnsi="宋体" w:eastAsia="宋体" w:cs="宋体"/>
          <w:sz w:val="24"/>
          <w:szCs w:val="24"/>
          <w:lang w:val="en-US" w:eastAsia="zh-CN"/>
        </w:rPr>
        <w:t>277351016@qq.com</w:t>
      </w:r>
    </w:p>
    <w:p>
      <w:pPr>
        <w:pStyle w:val="2"/>
        <w:numPr>
          <w:ilvl w:val="0"/>
          <w:numId w:val="0"/>
        </w:numPr>
      </w:pPr>
      <w:bookmarkStart w:id="1" w:name="_Toc73976250"/>
      <w:bookmarkStart w:id="2" w:name="_Toc486433785"/>
      <w:r>
        <w:rPr>
          <w:rFonts w:hint="eastAsia"/>
        </w:rPr>
        <w:t>第二章</w:t>
      </w:r>
      <w:r>
        <w:rPr>
          <w:rFonts w:hint="eastAsia"/>
          <w:lang w:val="en-US" w:eastAsia="zh-CN"/>
        </w:rPr>
        <w:t xml:space="preserve">  </w:t>
      </w:r>
      <w:r>
        <w:rPr>
          <w:rFonts w:hint="eastAsia"/>
        </w:rPr>
        <w:t>投标人须知前附表</w:t>
      </w:r>
      <w:bookmarkEnd w:id="1"/>
      <w:bookmarkEnd w:id="2"/>
    </w:p>
    <w:p/>
    <w:tbl>
      <w:tblPr>
        <w:tblStyle w:val="24"/>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686"/>
        <w:gridCol w:w="6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
                <w:sz w:val="24"/>
              </w:rPr>
            </w:pPr>
            <w:r>
              <w:rPr>
                <w:rFonts w:hint="eastAsia" w:ascii="宋体" w:hAnsi="宋体"/>
                <w:b/>
                <w:sz w:val="24"/>
              </w:rPr>
              <w:t>序号</w:t>
            </w:r>
          </w:p>
        </w:tc>
        <w:tc>
          <w:tcPr>
            <w:tcW w:w="1686" w:type="dxa"/>
            <w:vAlign w:val="center"/>
          </w:tcPr>
          <w:p>
            <w:pPr>
              <w:jc w:val="center"/>
              <w:rPr>
                <w:rFonts w:ascii="宋体" w:hAnsi="宋体"/>
                <w:b/>
                <w:sz w:val="24"/>
              </w:rPr>
            </w:pPr>
            <w:r>
              <w:rPr>
                <w:rFonts w:hint="eastAsia" w:ascii="宋体" w:hAnsi="宋体"/>
                <w:b/>
                <w:sz w:val="24"/>
              </w:rPr>
              <w:t>内容</w:t>
            </w:r>
          </w:p>
        </w:tc>
        <w:tc>
          <w:tcPr>
            <w:tcW w:w="6793" w:type="dxa"/>
            <w:vAlign w:val="center"/>
          </w:tcPr>
          <w:p>
            <w:pPr>
              <w:pStyle w:val="43"/>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pStyle w:val="44"/>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686" w:type="dxa"/>
            <w:vAlign w:val="center"/>
          </w:tcPr>
          <w:p>
            <w:pPr>
              <w:jc w:val="center"/>
              <w:rPr>
                <w:rFonts w:ascii="宋体" w:hAnsi="宋体"/>
                <w:bCs/>
                <w:sz w:val="24"/>
              </w:rPr>
            </w:pPr>
            <w:r>
              <w:rPr>
                <w:rFonts w:hint="eastAsia" w:ascii="宋体" w:hAnsi="宋体"/>
                <w:bCs/>
                <w:sz w:val="24"/>
              </w:rPr>
              <w:t>招标人</w:t>
            </w:r>
          </w:p>
        </w:tc>
        <w:tc>
          <w:tcPr>
            <w:tcW w:w="6793" w:type="dxa"/>
            <w:vAlign w:val="center"/>
          </w:tcPr>
          <w:p>
            <w:pPr>
              <w:pStyle w:val="43"/>
              <w:widowControl w:val="0"/>
              <w:spacing w:before="0" w:beforeAutospacing="0" w:after="0" w:afterAutospacing="0"/>
              <w:jc w:val="both"/>
              <w:rPr>
                <w:b w:val="0"/>
                <w:kern w:val="2"/>
                <w:sz w:val="24"/>
                <w:szCs w:val="20"/>
              </w:rPr>
            </w:pPr>
            <w:r>
              <w:rPr>
                <w:rFonts w:hint="eastAsia"/>
                <w:b w:val="0"/>
                <w:kern w:val="2"/>
                <w:sz w:val="24"/>
                <w:szCs w:val="20"/>
              </w:rPr>
              <w:t>合肥百货大楼集团铜陵合百商厦有限责任公司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Cs/>
                <w:sz w:val="24"/>
              </w:rPr>
            </w:pPr>
            <w:r>
              <w:rPr>
                <w:rFonts w:hint="eastAsia" w:ascii="宋体" w:hAnsi="宋体"/>
                <w:bCs/>
                <w:sz w:val="24"/>
              </w:rPr>
              <w:t>2</w:t>
            </w:r>
          </w:p>
        </w:tc>
        <w:tc>
          <w:tcPr>
            <w:tcW w:w="1686" w:type="dxa"/>
            <w:vAlign w:val="center"/>
          </w:tcPr>
          <w:p>
            <w:pPr>
              <w:jc w:val="center"/>
              <w:rPr>
                <w:rFonts w:ascii="宋体" w:hAnsi="宋体"/>
                <w:sz w:val="24"/>
              </w:rPr>
            </w:pPr>
            <w:r>
              <w:rPr>
                <w:rFonts w:hint="eastAsia" w:ascii="宋体" w:hAnsi="宋体"/>
                <w:sz w:val="24"/>
              </w:rPr>
              <w:t>项目名称</w:t>
            </w:r>
          </w:p>
        </w:tc>
        <w:tc>
          <w:tcPr>
            <w:tcW w:w="6793" w:type="dxa"/>
            <w:vAlign w:val="center"/>
          </w:tcPr>
          <w:p>
            <w:pPr>
              <w:pStyle w:val="43"/>
              <w:widowControl w:val="0"/>
              <w:spacing w:before="0" w:beforeAutospacing="0" w:after="0" w:afterAutospacing="0"/>
              <w:jc w:val="both"/>
              <w:rPr>
                <w:b w:val="0"/>
                <w:bCs w:val="0"/>
                <w:sz w:val="24"/>
                <w:szCs w:val="18"/>
              </w:rPr>
            </w:pPr>
            <w:r>
              <w:rPr>
                <w:rFonts w:hint="eastAsia"/>
                <w:b w:val="0"/>
                <w:bCs w:val="0"/>
                <w:sz w:val="24"/>
              </w:rPr>
              <w:t>铜陵</w:t>
            </w:r>
            <w:r>
              <w:rPr>
                <w:rFonts w:hint="eastAsia"/>
                <w:b w:val="0"/>
                <w:bCs w:val="0"/>
                <w:sz w:val="24"/>
                <w:lang w:eastAsia="zh-CN"/>
              </w:rPr>
              <w:t>百大购物中心</w:t>
            </w:r>
            <w:r>
              <w:rPr>
                <w:rFonts w:hint="eastAsia"/>
                <w:b w:val="0"/>
                <w:bCs w:val="0"/>
                <w:sz w:val="24"/>
              </w:rPr>
              <w:t>监控广播客流系统升级改造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Cs/>
                <w:sz w:val="24"/>
              </w:rPr>
            </w:pPr>
            <w:r>
              <w:rPr>
                <w:rFonts w:hint="eastAsia" w:ascii="宋体" w:hAnsi="宋体"/>
                <w:bCs/>
                <w:sz w:val="24"/>
              </w:rPr>
              <w:t>3</w:t>
            </w:r>
          </w:p>
        </w:tc>
        <w:tc>
          <w:tcPr>
            <w:tcW w:w="1686" w:type="dxa"/>
            <w:vAlign w:val="center"/>
          </w:tcPr>
          <w:p>
            <w:pPr>
              <w:jc w:val="center"/>
              <w:rPr>
                <w:rFonts w:ascii="宋体" w:hAnsi="宋体"/>
                <w:sz w:val="24"/>
              </w:rPr>
            </w:pPr>
            <w:r>
              <w:rPr>
                <w:rFonts w:hint="eastAsia" w:ascii="宋体" w:hAnsi="宋体"/>
                <w:sz w:val="24"/>
              </w:rPr>
              <w:t>项目编号</w:t>
            </w:r>
          </w:p>
        </w:tc>
        <w:tc>
          <w:tcPr>
            <w:tcW w:w="6793" w:type="dxa"/>
            <w:vAlign w:val="center"/>
          </w:tcPr>
          <w:p>
            <w:pPr>
              <w:pStyle w:val="43"/>
              <w:widowControl w:val="0"/>
              <w:spacing w:before="0" w:beforeAutospacing="0" w:after="0" w:afterAutospacing="0"/>
              <w:jc w:val="both"/>
              <w:rPr>
                <w:rFonts w:hint="default" w:eastAsia="宋体"/>
                <w:b w:val="0"/>
                <w:bCs w:val="0"/>
                <w:sz w:val="24"/>
                <w:szCs w:val="18"/>
                <w:lang w:val="en-US" w:eastAsia="zh-CN"/>
              </w:rPr>
            </w:pPr>
            <w:r>
              <w:rPr>
                <w:rFonts w:hint="eastAsia"/>
                <w:b w:val="0"/>
                <w:bCs w:val="0"/>
                <w:sz w:val="24"/>
                <w:szCs w:val="18"/>
                <w:lang w:val="en-US" w:eastAsia="zh-CN"/>
              </w:rPr>
              <w:t>HBZ-21056-TLBD03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Cs/>
                <w:sz w:val="24"/>
              </w:rPr>
            </w:pPr>
            <w:r>
              <w:rPr>
                <w:rFonts w:hint="eastAsia" w:ascii="宋体" w:hAnsi="宋体"/>
                <w:bCs/>
                <w:sz w:val="24"/>
              </w:rPr>
              <w:t>4</w:t>
            </w:r>
          </w:p>
        </w:tc>
        <w:tc>
          <w:tcPr>
            <w:tcW w:w="1686" w:type="dxa"/>
            <w:vAlign w:val="center"/>
          </w:tcPr>
          <w:p>
            <w:pPr>
              <w:jc w:val="center"/>
              <w:rPr>
                <w:rFonts w:ascii="宋体" w:hAnsi="宋体"/>
                <w:sz w:val="24"/>
              </w:rPr>
            </w:pPr>
            <w:r>
              <w:rPr>
                <w:rFonts w:hint="eastAsia" w:ascii="宋体" w:hAnsi="宋体"/>
                <w:sz w:val="24"/>
              </w:rPr>
              <w:t>项目性质</w:t>
            </w:r>
          </w:p>
        </w:tc>
        <w:tc>
          <w:tcPr>
            <w:tcW w:w="6793" w:type="dxa"/>
            <w:vAlign w:val="center"/>
          </w:tcPr>
          <w:p>
            <w:pPr>
              <w:pStyle w:val="43"/>
              <w:widowControl w:val="0"/>
              <w:spacing w:before="0" w:beforeAutospacing="0" w:after="0" w:afterAutospacing="0"/>
              <w:jc w:val="both"/>
              <w:rPr>
                <w:b w:val="0"/>
                <w:bCs w:val="0"/>
                <w:sz w:val="24"/>
              </w:rPr>
            </w:pPr>
            <w:r>
              <w:rPr>
                <w:rFonts w:hint="eastAsia"/>
                <w:b w:val="0"/>
                <w:bCs w:val="0"/>
                <w:sz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hAnsi="宋体"/>
                <w:bCs/>
                <w:sz w:val="24"/>
              </w:rPr>
            </w:pPr>
            <w:r>
              <w:rPr>
                <w:rFonts w:hint="eastAsia" w:ascii="宋体" w:hAnsi="宋体"/>
                <w:bCs/>
                <w:sz w:val="24"/>
              </w:rPr>
              <w:t>5</w:t>
            </w:r>
          </w:p>
        </w:tc>
        <w:tc>
          <w:tcPr>
            <w:tcW w:w="1686" w:type="dxa"/>
            <w:vAlign w:val="center"/>
          </w:tcPr>
          <w:p>
            <w:pPr>
              <w:jc w:val="center"/>
              <w:rPr>
                <w:rFonts w:ascii="宋体" w:hAnsi="宋体"/>
                <w:sz w:val="24"/>
              </w:rPr>
            </w:pPr>
            <w:r>
              <w:rPr>
                <w:rFonts w:hint="eastAsia" w:ascii="宋体" w:hAnsi="宋体"/>
                <w:sz w:val="24"/>
              </w:rPr>
              <w:t>资金来源</w:t>
            </w:r>
          </w:p>
        </w:tc>
        <w:tc>
          <w:tcPr>
            <w:tcW w:w="6793" w:type="dxa"/>
            <w:vAlign w:val="center"/>
          </w:tcPr>
          <w:p>
            <w:pPr>
              <w:pStyle w:val="43"/>
              <w:widowControl w:val="0"/>
              <w:spacing w:before="0" w:beforeAutospacing="0" w:after="0" w:afterAutospacing="0"/>
              <w:jc w:val="both"/>
              <w:rPr>
                <w:b w:val="0"/>
                <w:bCs w:val="0"/>
                <w:sz w:val="24"/>
              </w:rPr>
            </w:pPr>
            <w:r>
              <w:rPr>
                <w:rFonts w:hint="eastAsia"/>
                <w:b w:val="0"/>
                <w:bCs w:val="0"/>
                <w:sz w:val="24"/>
              </w:rPr>
              <w:t xml:space="preserve">□财政投资   </w:t>
            </w:r>
            <w:r>
              <w:rPr>
                <w:rFonts w:hint="eastAsia"/>
                <w:b w:val="0"/>
                <w:bCs w:val="0"/>
                <w:sz w:val="24"/>
              </w:rPr>
              <w:sym w:font="Wingdings" w:char="00FE"/>
            </w:r>
            <w:r>
              <w:rPr>
                <w:rFonts w:hint="eastAsia"/>
                <w:b w:val="0"/>
                <w:bCs w:val="0"/>
                <w:sz w:val="24"/>
              </w:rPr>
              <w:t>招标人自筹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ascii="宋体" w:hAnsi="宋体"/>
                <w:sz w:val="24"/>
              </w:rPr>
            </w:pPr>
            <w:r>
              <w:rPr>
                <w:rFonts w:hint="eastAsia" w:ascii="宋体" w:hAnsi="宋体"/>
                <w:sz w:val="24"/>
              </w:rPr>
              <w:t>6</w:t>
            </w:r>
          </w:p>
        </w:tc>
        <w:tc>
          <w:tcPr>
            <w:tcW w:w="1686" w:type="dxa"/>
          </w:tcPr>
          <w:p>
            <w:pPr>
              <w:spacing w:line="500" w:lineRule="exact"/>
              <w:jc w:val="center"/>
              <w:rPr>
                <w:rFonts w:ascii="宋体" w:hAnsi="宋体"/>
                <w:sz w:val="24"/>
                <w:lang w:val="zh-CN"/>
              </w:rPr>
            </w:pPr>
            <w:r>
              <w:rPr>
                <w:rFonts w:hint="eastAsia" w:ascii="宋体" w:hAnsi="宋体"/>
                <w:sz w:val="24"/>
              </w:rPr>
              <w:t>标段划分</w:t>
            </w:r>
          </w:p>
        </w:tc>
        <w:tc>
          <w:tcPr>
            <w:tcW w:w="6793" w:type="dxa"/>
            <w:vAlign w:val="center"/>
          </w:tcPr>
          <w:p>
            <w:pPr>
              <w:spacing w:line="500" w:lineRule="exact"/>
              <w:ind w:left="841" w:hanging="841"/>
              <w:rPr>
                <w:rFonts w:ascii="宋体" w:hAnsi="宋体"/>
                <w:bCs/>
                <w:sz w:val="24"/>
              </w:rPr>
            </w:pPr>
            <w:r>
              <w:rPr>
                <w:rFonts w:hint="eastAsia"/>
                <w:b/>
                <w:bCs/>
                <w:sz w:val="24"/>
              </w:rPr>
              <w:sym w:font="Wingdings" w:char="F0FE"/>
            </w:r>
            <w:r>
              <w:rPr>
                <w:rFonts w:hint="eastAsia" w:ascii="宋体" w:hAnsi="宋体"/>
                <w:sz w:val="24"/>
              </w:rPr>
              <w:t xml:space="preserve">不分标段   </w:t>
            </w:r>
            <w:r>
              <w:rPr>
                <w:rFonts w:hint="eastAsia" w:ascii="宋体" w:hAnsi="宋体"/>
                <w:sz w:val="24"/>
              </w:rPr>
              <w:sym w:font="Wingdings 2" w:char="00A3"/>
            </w:r>
            <w:r>
              <w:rPr>
                <w:rFonts w:hint="eastAsia" w:ascii="宋体" w:hAnsi="宋体"/>
                <w:sz w:val="24"/>
              </w:rPr>
              <w:t>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spacing w:line="500" w:lineRule="exact"/>
              <w:ind w:right="102"/>
              <w:jc w:val="center"/>
              <w:rPr>
                <w:rFonts w:ascii="宋体" w:hAnsi="宋体"/>
                <w:sz w:val="24"/>
                <w:lang w:val="zh-CN"/>
              </w:rPr>
            </w:pPr>
            <w:r>
              <w:rPr>
                <w:rFonts w:hint="eastAsia" w:ascii="宋体" w:hAnsi="宋体"/>
                <w:sz w:val="24"/>
                <w:lang w:val="zh-CN"/>
              </w:rPr>
              <w:t>7</w:t>
            </w:r>
          </w:p>
        </w:tc>
        <w:tc>
          <w:tcPr>
            <w:tcW w:w="1686" w:type="dxa"/>
            <w:vAlign w:val="center"/>
          </w:tcPr>
          <w:p>
            <w:pPr>
              <w:spacing w:line="500" w:lineRule="exact"/>
              <w:jc w:val="center"/>
              <w:rPr>
                <w:rFonts w:ascii="宋体" w:hAnsi="宋体"/>
                <w:sz w:val="24"/>
              </w:rPr>
            </w:pPr>
            <w:r>
              <w:rPr>
                <w:rFonts w:hint="eastAsia" w:ascii="宋体" w:hAnsi="宋体"/>
                <w:sz w:val="24"/>
                <w:lang w:val="zh-CN"/>
              </w:rPr>
              <w:t>付款方式</w:t>
            </w:r>
          </w:p>
        </w:tc>
        <w:tc>
          <w:tcPr>
            <w:tcW w:w="6793" w:type="dxa"/>
          </w:tcPr>
          <w:p>
            <w:pPr>
              <w:pStyle w:val="45"/>
              <w:spacing w:line="500" w:lineRule="exact"/>
              <w:rPr>
                <w:rFonts w:ascii="宋体" w:hAnsi="宋体"/>
                <w:u w:val="single"/>
                <w:lang w:val="zh-CN"/>
              </w:rPr>
            </w:pPr>
            <w:r>
              <w:rPr>
                <w:rFonts w:hint="eastAsia" w:ascii="宋体" w:hAnsi="宋体"/>
                <w:bCs/>
              </w:rPr>
              <w:t>付款方式：</w:t>
            </w:r>
            <w:r>
              <w:rPr>
                <w:rFonts w:hint="eastAsia" w:ascii="宋体" w:hAnsi="宋体"/>
                <w:b/>
                <w:u w:val="single"/>
                <w:lang w:val="zh-CN"/>
              </w:rPr>
              <w:t>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ascii="宋体" w:hAnsi="宋体"/>
                <w:sz w:val="24"/>
                <w:lang w:val="zh-CN"/>
              </w:rPr>
            </w:pPr>
            <w:r>
              <w:rPr>
                <w:rFonts w:hint="eastAsia" w:ascii="宋体" w:hAnsi="宋体"/>
                <w:sz w:val="24"/>
                <w:lang w:val="zh-CN"/>
              </w:rPr>
              <w:t>8</w:t>
            </w:r>
          </w:p>
        </w:tc>
        <w:tc>
          <w:tcPr>
            <w:tcW w:w="1686" w:type="dxa"/>
            <w:vAlign w:val="center"/>
          </w:tcPr>
          <w:p>
            <w:pPr>
              <w:spacing w:line="500" w:lineRule="exact"/>
              <w:jc w:val="center"/>
              <w:rPr>
                <w:rFonts w:ascii="宋体" w:hAnsi="宋体"/>
                <w:sz w:val="24"/>
              </w:rPr>
            </w:pPr>
            <w:r>
              <w:rPr>
                <w:rFonts w:hint="eastAsia" w:ascii="宋体" w:hAnsi="宋体"/>
                <w:sz w:val="24"/>
              </w:rPr>
              <w:t>联合体投标</w:t>
            </w:r>
          </w:p>
        </w:tc>
        <w:tc>
          <w:tcPr>
            <w:tcW w:w="6793" w:type="dxa"/>
            <w:vAlign w:val="center"/>
          </w:tcPr>
          <w:p>
            <w:pPr>
              <w:spacing w:line="500" w:lineRule="exact"/>
              <w:rPr>
                <w:rFonts w:ascii="宋体" w:hAnsi="宋体"/>
                <w:sz w:val="24"/>
              </w:rPr>
            </w:pPr>
            <w:r>
              <w:rPr>
                <w:rFonts w:hint="eastAsia" w:ascii="宋体" w:hAnsi="宋体"/>
                <w:sz w:val="24"/>
              </w:rPr>
              <w:t>□</w:t>
            </w:r>
            <w:r>
              <w:rPr>
                <w:rFonts w:hint="eastAsia" w:ascii="宋体" w:hAnsi="宋体"/>
                <w:sz w:val="24"/>
                <w:lang w:val="zh-CN"/>
              </w:rPr>
              <w:t xml:space="preserve">允许  </w:t>
            </w:r>
            <w:r>
              <w:rPr>
                <w:rFonts w:hint="eastAsia"/>
                <w:b/>
                <w:bCs/>
                <w:sz w:val="24"/>
              </w:rPr>
              <w:sym w:font="Wingdings" w:char="F0FE"/>
            </w: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ascii="宋体" w:hAnsi="宋体"/>
                <w:sz w:val="24"/>
              </w:rPr>
            </w:pPr>
            <w:r>
              <w:rPr>
                <w:rFonts w:hint="eastAsia" w:ascii="宋体" w:hAnsi="宋体"/>
                <w:sz w:val="24"/>
              </w:rPr>
              <w:t>9</w:t>
            </w:r>
          </w:p>
        </w:tc>
        <w:tc>
          <w:tcPr>
            <w:tcW w:w="1686" w:type="dxa"/>
            <w:vAlign w:val="center"/>
          </w:tcPr>
          <w:p>
            <w:pPr>
              <w:spacing w:line="500" w:lineRule="exact"/>
              <w:jc w:val="center"/>
              <w:rPr>
                <w:rFonts w:ascii="宋体" w:hAnsi="宋体"/>
                <w:sz w:val="24"/>
              </w:rPr>
            </w:pPr>
            <w:r>
              <w:rPr>
                <w:rFonts w:hint="eastAsia" w:ascii="宋体" w:hAnsi="宋体"/>
                <w:sz w:val="24"/>
              </w:rPr>
              <w:t>投标有效期</w:t>
            </w:r>
          </w:p>
        </w:tc>
        <w:tc>
          <w:tcPr>
            <w:tcW w:w="6793" w:type="dxa"/>
            <w:vAlign w:val="center"/>
          </w:tcPr>
          <w:p>
            <w:pPr>
              <w:spacing w:line="500" w:lineRule="exact"/>
              <w:rPr>
                <w:rFonts w:ascii="宋体" w:hAnsi="宋体"/>
                <w:sz w:val="24"/>
              </w:rPr>
            </w:pPr>
            <w:r>
              <w:rPr>
                <w:rFonts w:hint="eastAsia" w:ascii="宋体" w:hAnsi="宋体"/>
                <w:sz w:val="24"/>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ascii="宋体" w:hAnsi="宋体"/>
                <w:sz w:val="24"/>
              </w:rPr>
            </w:pPr>
            <w:r>
              <w:rPr>
                <w:rFonts w:hint="eastAsia" w:ascii="宋体" w:hAnsi="宋体"/>
                <w:sz w:val="24"/>
              </w:rPr>
              <w:t>10</w:t>
            </w:r>
          </w:p>
        </w:tc>
        <w:tc>
          <w:tcPr>
            <w:tcW w:w="1686" w:type="dxa"/>
          </w:tcPr>
          <w:p>
            <w:pPr>
              <w:spacing w:line="500" w:lineRule="exact"/>
              <w:jc w:val="center"/>
              <w:rPr>
                <w:rFonts w:ascii="宋体" w:hAnsi="宋体"/>
                <w:sz w:val="24"/>
              </w:rPr>
            </w:pPr>
            <w:r>
              <w:rPr>
                <w:rFonts w:hint="eastAsia" w:ascii="宋体" w:hAnsi="宋体"/>
                <w:sz w:val="24"/>
              </w:rPr>
              <w:t>供货及安装（施工）地点</w:t>
            </w:r>
          </w:p>
        </w:tc>
        <w:tc>
          <w:tcPr>
            <w:tcW w:w="6793" w:type="dxa"/>
            <w:vAlign w:val="center"/>
          </w:tcPr>
          <w:p>
            <w:pPr>
              <w:spacing w:line="440" w:lineRule="exact"/>
              <w:rPr>
                <w:rFonts w:ascii="宋体" w:hAnsi="宋体"/>
                <w:sz w:val="24"/>
              </w:rPr>
            </w:pPr>
            <w:r>
              <w:rPr>
                <w:rFonts w:hint="eastAsia" w:ascii="宋体" w:hAnsi="宋体"/>
                <w:sz w:val="24"/>
              </w:rPr>
              <w:t>铜陵市长江中路785号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ascii="宋体" w:hAnsi="宋体"/>
                <w:sz w:val="24"/>
              </w:rPr>
            </w:pPr>
            <w:r>
              <w:rPr>
                <w:rFonts w:hint="eastAsia" w:ascii="宋体" w:hAnsi="宋体"/>
                <w:sz w:val="24"/>
              </w:rPr>
              <w:t>11</w:t>
            </w:r>
          </w:p>
        </w:tc>
        <w:tc>
          <w:tcPr>
            <w:tcW w:w="1686" w:type="dxa"/>
            <w:vAlign w:val="center"/>
          </w:tcPr>
          <w:p>
            <w:pPr>
              <w:spacing w:line="500" w:lineRule="exact"/>
              <w:jc w:val="center"/>
              <w:rPr>
                <w:rFonts w:ascii="宋体" w:hAnsi="宋体"/>
                <w:sz w:val="24"/>
              </w:rPr>
            </w:pPr>
            <w:r>
              <w:rPr>
                <w:rFonts w:hint="eastAsia" w:ascii="宋体" w:hAnsi="宋体"/>
                <w:sz w:val="24"/>
              </w:rPr>
              <w:t>完工期限</w:t>
            </w:r>
          </w:p>
        </w:tc>
        <w:tc>
          <w:tcPr>
            <w:tcW w:w="6793" w:type="dxa"/>
            <w:vAlign w:val="center"/>
          </w:tcPr>
          <w:p>
            <w:pPr>
              <w:spacing w:line="500" w:lineRule="exact"/>
              <w:rPr>
                <w:rFonts w:ascii="宋体" w:hAnsi="宋体"/>
                <w:sz w:val="24"/>
              </w:rPr>
            </w:pPr>
            <w:r>
              <w:rPr>
                <w:rFonts w:hint="eastAsia" w:ascii="宋体" w:hAnsi="宋体"/>
                <w:sz w:val="24"/>
              </w:rPr>
              <w:t>合同签订后</w:t>
            </w:r>
            <w:r>
              <w:rPr>
                <w:rFonts w:hint="eastAsia" w:ascii="宋体" w:hAnsi="宋体"/>
                <w:sz w:val="24"/>
                <w:highlight w:val="none"/>
                <w:u w:val="single"/>
              </w:rPr>
              <w:t>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12</w:t>
            </w:r>
          </w:p>
        </w:tc>
        <w:tc>
          <w:tcPr>
            <w:tcW w:w="1686" w:type="dxa"/>
            <w:vAlign w:val="center"/>
          </w:tcPr>
          <w:p>
            <w:pPr>
              <w:spacing w:line="500" w:lineRule="exact"/>
              <w:jc w:val="center"/>
              <w:rPr>
                <w:rFonts w:ascii="宋体" w:hAnsi="宋体"/>
                <w:sz w:val="24"/>
                <w:lang w:val="zh-CN"/>
              </w:rPr>
            </w:pPr>
            <w:r>
              <w:rPr>
                <w:rFonts w:hint="eastAsia" w:ascii="宋体" w:hAnsi="宋体"/>
                <w:sz w:val="24"/>
              </w:rPr>
              <w:t>投标保证金金额</w:t>
            </w:r>
          </w:p>
        </w:tc>
        <w:tc>
          <w:tcPr>
            <w:tcW w:w="6793" w:type="dxa"/>
            <w:vAlign w:val="center"/>
          </w:tcPr>
          <w:p>
            <w:pPr>
              <w:spacing w:line="500" w:lineRule="exact"/>
              <w:rPr>
                <w:rFonts w:ascii="宋体" w:hAnsi="宋体"/>
                <w:sz w:val="24"/>
                <w:lang w:val="zh-CN"/>
              </w:rPr>
            </w:pPr>
            <w:r>
              <w:rPr>
                <w:rFonts w:hint="eastAsia" w:ascii="宋体" w:hAnsi="宋体"/>
                <w:sz w:val="24"/>
              </w:rPr>
              <w:t>人民币</w:t>
            </w:r>
            <w:r>
              <w:rPr>
                <w:rFonts w:hint="eastAsia" w:ascii="宋体" w:hAnsi="宋体"/>
                <w:b/>
                <w:sz w:val="24"/>
                <w:u w:val="single"/>
              </w:rPr>
              <w:t>伍仟</w:t>
            </w:r>
            <w:r>
              <w:rPr>
                <w:rFonts w:hint="eastAsia" w:ascii="宋体" w:hAnsi="宋体"/>
                <w:sz w:val="24"/>
              </w:rPr>
              <w:t>元，投标保证金应当在投标截止时间前足额到达本次招标公告指定账号，且应当从投标人基本账号转出。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13</w:t>
            </w:r>
          </w:p>
        </w:tc>
        <w:tc>
          <w:tcPr>
            <w:tcW w:w="1686" w:type="dxa"/>
            <w:vAlign w:val="center"/>
          </w:tcPr>
          <w:p>
            <w:pPr>
              <w:pStyle w:val="44"/>
              <w:pBdr>
                <w:bottom w:val="none" w:color="auto" w:sz="0" w:space="0"/>
              </w:pBdr>
              <w:tabs>
                <w:tab w:val="clear" w:pos="4153"/>
                <w:tab w:val="clear" w:pos="8306"/>
              </w:tabs>
              <w:adjustRightInd/>
              <w:spacing w:line="500" w:lineRule="exact"/>
              <w:textAlignment w:val="auto"/>
              <w:rPr>
                <w:rFonts w:ascii="宋体" w:hAnsi="宋体"/>
                <w:kern w:val="2"/>
              </w:rPr>
            </w:pPr>
            <w:r>
              <w:rPr>
                <w:rFonts w:hint="eastAsia" w:ascii="宋体" w:hAnsi="宋体"/>
                <w:kern w:val="2"/>
              </w:rPr>
              <w:t>投标保证金交纳账号</w:t>
            </w:r>
          </w:p>
        </w:tc>
        <w:tc>
          <w:tcPr>
            <w:tcW w:w="6793" w:type="dxa"/>
            <w:vAlign w:val="center"/>
          </w:tcPr>
          <w:p>
            <w:pPr>
              <w:spacing w:line="500" w:lineRule="exact"/>
              <w:rPr>
                <w:rFonts w:ascii="宋体" w:hAnsi="宋体"/>
                <w:sz w:val="24"/>
              </w:rPr>
            </w:pPr>
            <w:r>
              <w:rPr>
                <w:rFonts w:hint="eastAsia" w:ascii="宋体" w:hAnsi="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14</w:t>
            </w:r>
          </w:p>
        </w:tc>
        <w:tc>
          <w:tcPr>
            <w:tcW w:w="1686" w:type="dxa"/>
            <w:vAlign w:val="center"/>
          </w:tcPr>
          <w:p>
            <w:pPr>
              <w:pStyle w:val="44"/>
              <w:pBdr>
                <w:bottom w:val="none" w:color="auto" w:sz="0" w:space="0"/>
              </w:pBdr>
              <w:tabs>
                <w:tab w:val="clear" w:pos="4153"/>
                <w:tab w:val="clear" w:pos="8306"/>
              </w:tabs>
              <w:adjustRightInd/>
              <w:spacing w:line="500" w:lineRule="exact"/>
              <w:textAlignment w:val="auto"/>
              <w:rPr>
                <w:rFonts w:ascii="宋体" w:hAnsi="宋体"/>
                <w:kern w:val="2"/>
              </w:rPr>
            </w:pPr>
            <w:r>
              <w:rPr>
                <w:rFonts w:hint="eastAsia" w:ascii="宋体" w:hAnsi="宋体"/>
                <w:lang w:val="zh-CN"/>
              </w:rPr>
              <w:t>免费质保期</w:t>
            </w:r>
          </w:p>
        </w:tc>
        <w:tc>
          <w:tcPr>
            <w:tcW w:w="6793" w:type="dxa"/>
            <w:vAlign w:val="center"/>
          </w:tcPr>
          <w:p>
            <w:pPr>
              <w:spacing w:line="500" w:lineRule="exact"/>
              <w:rPr>
                <w:rFonts w:ascii="宋体" w:hAnsi="宋体"/>
                <w:b/>
                <w:sz w:val="24"/>
              </w:rPr>
            </w:pPr>
            <w:r>
              <w:rPr>
                <w:rFonts w:hint="eastAsia" w:ascii="宋体" w:hAnsi="宋体"/>
                <w:sz w:val="24"/>
                <w:lang w:val="zh-CN"/>
              </w:rPr>
              <w:t>验收合格之日起</w:t>
            </w:r>
            <w:r>
              <w:rPr>
                <w:rFonts w:hint="eastAsia" w:ascii="宋体" w:hAnsi="宋体"/>
                <w:b/>
                <w:bCs/>
                <w:sz w:val="24"/>
                <w:u w:val="single"/>
              </w:rPr>
              <w:t>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15</w:t>
            </w:r>
          </w:p>
        </w:tc>
        <w:tc>
          <w:tcPr>
            <w:tcW w:w="1686" w:type="dxa"/>
            <w:vAlign w:val="center"/>
          </w:tcPr>
          <w:p>
            <w:pPr>
              <w:spacing w:line="500" w:lineRule="exact"/>
              <w:jc w:val="center"/>
              <w:rPr>
                <w:rFonts w:ascii="宋体" w:hAnsi="宋体"/>
                <w:sz w:val="24"/>
              </w:rPr>
            </w:pPr>
            <w:r>
              <w:rPr>
                <w:rFonts w:hint="eastAsia" w:ascii="宋体" w:hAnsi="宋体"/>
                <w:bCs/>
                <w:sz w:val="24"/>
              </w:rPr>
              <w:t>答疑</w:t>
            </w:r>
          </w:p>
        </w:tc>
        <w:tc>
          <w:tcPr>
            <w:tcW w:w="6793" w:type="dxa"/>
            <w:vAlign w:val="center"/>
          </w:tcPr>
          <w:p>
            <w:pPr>
              <w:spacing w:line="500" w:lineRule="exact"/>
              <w:rPr>
                <w:rFonts w:ascii="宋体" w:hAnsi="宋体"/>
                <w:b/>
                <w:bCs/>
                <w:i/>
                <w:sz w:val="24"/>
              </w:rPr>
            </w:pPr>
            <w:r>
              <w:rPr>
                <w:rFonts w:hint="eastAsia" w:ascii="宋体" w:hAnsi="宋体"/>
                <w:b/>
                <w:bCs/>
                <w:sz w:val="24"/>
              </w:rPr>
              <w:t>发布招标公告三日内接受答疑（逾期不予受理）</w:t>
            </w:r>
          </w:p>
          <w:p>
            <w:pPr>
              <w:spacing w:line="500" w:lineRule="exact"/>
              <w:rPr>
                <w:rFonts w:ascii="宋体" w:hAnsi="宋体"/>
                <w:bCs/>
                <w:sz w:val="24"/>
              </w:rPr>
            </w:pPr>
            <w:r>
              <w:rPr>
                <w:rFonts w:hint="eastAsia" w:ascii="宋体" w:hAnsi="宋体"/>
                <w:b/>
                <w:sz w:val="24"/>
              </w:rPr>
              <w:t>投标人请注意：</w:t>
            </w:r>
            <w:r>
              <w:rPr>
                <w:rFonts w:hint="eastAsia" w:ascii="宋体" w:hAnsi="宋体"/>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16</w:t>
            </w:r>
          </w:p>
        </w:tc>
        <w:tc>
          <w:tcPr>
            <w:tcW w:w="1686" w:type="dxa"/>
            <w:vAlign w:val="center"/>
          </w:tcPr>
          <w:p>
            <w:pPr>
              <w:spacing w:line="500" w:lineRule="exact"/>
              <w:jc w:val="center"/>
              <w:rPr>
                <w:rFonts w:ascii="宋体" w:hAnsi="宋体"/>
                <w:bCs/>
                <w:sz w:val="24"/>
              </w:rPr>
            </w:pPr>
            <w:r>
              <w:rPr>
                <w:rFonts w:hint="eastAsia" w:ascii="宋体" w:hAnsi="宋体"/>
                <w:bCs/>
                <w:sz w:val="24"/>
              </w:rPr>
              <w:t>踏勘现场</w:t>
            </w:r>
          </w:p>
        </w:tc>
        <w:tc>
          <w:tcPr>
            <w:tcW w:w="6793" w:type="dxa"/>
            <w:vAlign w:val="center"/>
          </w:tcPr>
          <w:p>
            <w:pPr>
              <w:spacing w:line="500" w:lineRule="exact"/>
              <w:rPr>
                <w:rFonts w:ascii="宋体" w:hAnsi="宋体"/>
                <w:bCs/>
                <w:sz w:val="24"/>
              </w:rPr>
            </w:pPr>
            <w:r>
              <w:rPr>
                <w:rFonts w:hint="eastAsia"/>
                <w:b/>
                <w:bCs/>
                <w:sz w:val="24"/>
              </w:rPr>
              <w:sym w:font="Wingdings" w:char="F0FE"/>
            </w:r>
            <w:r>
              <w:rPr>
                <w:rFonts w:hint="eastAsia" w:ascii="宋体" w:hAnsi="宋体"/>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hAnsi="宋体"/>
                <w:sz w:val="24"/>
              </w:rPr>
            </w:pPr>
            <w:r>
              <w:rPr>
                <w:rFonts w:hint="eastAsia" w:ascii="宋体" w:hAnsi="宋体"/>
                <w:sz w:val="24"/>
              </w:rPr>
              <w:t>17</w:t>
            </w:r>
          </w:p>
        </w:tc>
        <w:tc>
          <w:tcPr>
            <w:tcW w:w="1686" w:type="dxa"/>
            <w:vAlign w:val="center"/>
          </w:tcPr>
          <w:p>
            <w:pPr>
              <w:spacing w:line="500" w:lineRule="exact"/>
              <w:jc w:val="center"/>
              <w:rPr>
                <w:rFonts w:ascii="宋体" w:hAnsi="宋体"/>
                <w:sz w:val="24"/>
              </w:rPr>
            </w:pPr>
            <w:r>
              <w:rPr>
                <w:rFonts w:hint="eastAsia" w:ascii="宋体" w:hAnsi="宋体"/>
                <w:sz w:val="24"/>
              </w:rPr>
              <w:t>投标文件份数及要求</w:t>
            </w:r>
          </w:p>
        </w:tc>
        <w:tc>
          <w:tcPr>
            <w:tcW w:w="6793" w:type="dxa"/>
            <w:vAlign w:val="center"/>
          </w:tcPr>
          <w:p>
            <w:pPr>
              <w:spacing w:line="500" w:lineRule="exact"/>
              <w:rPr>
                <w:rFonts w:ascii="宋体" w:hAnsi="宋体"/>
                <w:sz w:val="24"/>
              </w:rPr>
            </w:pPr>
            <w:r>
              <w:rPr>
                <w:rFonts w:hint="eastAsia" w:ascii="宋体" w:hAnsi="宋体"/>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ascii="宋体" w:hAnsi="宋体"/>
                <w:sz w:val="24"/>
              </w:rPr>
            </w:pPr>
            <w:r>
              <w:rPr>
                <w:rFonts w:hint="eastAsia" w:ascii="宋体" w:hAnsi="宋体"/>
                <w:sz w:val="24"/>
              </w:rPr>
              <w:t>18</w:t>
            </w:r>
          </w:p>
        </w:tc>
        <w:tc>
          <w:tcPr>
            <w:tcW w:w="1686" w:type="dxa"/>
            <w:vAlign w:val="center"/>
          </w:tcPr>
          <w:p>
            <w:pPr>
              <w:spacing w:line="500" w:lineRule="exact"/>
              <w:jc w:val="center"/>
              <w:rPr>
                <w:rFonts w:ascii="宋体" w:hAnsi="宋体"/>
                <w:bCs/>
                <w:sz w:val="24"/>
              </w:rPr>
            </w:pPr>
            <w:r>
              <w:rPr>
                <w:rFonts w:hint="eastAsia" w:ascii="宋体" w:hAnsi="宋体"/>
                <w:sz w:val="24"/>
              </w:rPr>
              <w:t>开标时间及地点</w:t>
            </w:r>
          </w:p>
        </w:tc>
        <w:tc>
          <w:tcPr>
            <w:tcW w:w="6793" w:type="dxa"/>
            <w:vAlign w:val="center"/>
          </w:tcPr>
          <w:p>
            <w:pPr>
              <w:spacing w:line="500" w:lineRule="exact"/>
              <w:rPr>
                <w:rFonts w:ascii="宋体" w:hAnsi="宋体"/>
                <w:bCs/>
                <w:sz w:val="24"/>
                <w:u w:val="single"/>
              </w:rPr>
            </w:pPr>
            <w:r>
              <w:rPr>
                <w:rFonts w:hint="eastAsia" w:ascii="宋体" w:hAnsi="宋体"/>
                <w:sz w:val="24"/>
              </w:rPr>
              <w:t>开标时间：</w:t>
            </w:r>
            <w:r>
              <w:rPr>
                <w:rFonts w:hint="eastAsia" w:ascii="宋体" w:hAnsi="宋体"/>
                <w:sz w:val="24"/>
                <w:lang w:val="zh-CN"/>
              </w:rPr>
              <w:t>详见招标公告</w:t>
            </w:r>
          </w:p>
          <w:p>
            <w:pPr>
              <w:spacing w:line="500" w:lineRule="exact"/>
              <w:rPr>
                <w:rFonts w:ascii="宋体" w:hAnsi="宋体"/>
                <w:sz w:val="24"/>
              </w:rPr>
            </w:pPr>
            <w:r>
              <w:rPr>
                <w:rFonts w:hint="eastAsia" w:ascii="宋体" w:hAnsi="宋体"/>
                <w:sz w:val="24"/>
              </w:rPr>
              <w:t>开标地点：</w:t>
            </w:r>
            <w:r>
              <w:rPr>
                <w:rFonts w:hint="eastAsia" w:ascii="宋体" w:hAnsi="宋体"/>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ascii="宋体" w:hAnsi="宋体"/>
                <w:sz w:val="24"/>
              </w:rPr>
            </w:pPr>
            <w:r>
              <w:rPr>
                <w:rFonts w:hint="eastAsia" w:ascii="宋体" w:hAnsi="宋体"/>
                <w:sz w:val="24"/>
              </w:rPr>
              <w:t>19</w:t>
            </w:r>
          </w:p>
        </w:tc>
        <w:tc>
          <w:tcPr>
            <w:tcW w:w="1686" w:type="dxa"/>
            <w:vAlign w:val="center"/>
          </w:tcPr>
          <w:p>
            <w:pPr>
              <w:spacing w:line="500" w:lineRule="exact"/>
              <w:jc w:val="center"/>
              <w:rPr>
                <w:rFonts w:ascii="宋体" w:hAnsi="宋体"/>
                <w:sz w:val="24"/>
              </w:rPr>
            </w:pPr>
            <w:r>
              <w:rPr>
                <w:rFonts w:hint="eastAsia" w:ascii="宋体" w:hAnsi="宋体"/>
                <w:sz w:val="24"/>
              </w:rPr>
              <w:t>评标办法</w:t>
            </w:r>
          </w:p>
        </w:tc>
        <w:tc>
          <w:tcPr>
            <w:tcW w:w="6793" w:type="dxa"/>
            <w:vAlign w:val="center"/>
          </w:tcPr>
          <w:p>
            <w:pPr>
              <w:spacing w:line="500" w:lineRule="exact"/>
              <w:rPr>
                <w:rFonts w:ascii="宋体" w:hAnsi="宋体"/>
                <w:sz w:val="24"/>
              </w:rPr>
            </w:pPr>
            <w:r>
              <w:rPr>
                <w:rFonts w:hint="eastAsia" w:ascii="宋体" w:hAnsi="宋体"/>
                <w:sz w:val="24"/>
              </w:rPr>
              <w:t>有效最低价法，</w:t>
            </w:r>
            <w:r>
              <w:rPr>
                <w:rFonts w:hint="eastAsia" w:ascii="宋体" w:hAnsi="宋体"/>
                <w:bCs/>
                <w:sz w:val="24"/>
              </w:rPr>
              <w:t>详见</w:t>
            </w:r>
            <w:r>
              <w:rPr>
                <w:rFonts w:hint="eastAsia" w:ascii="宋体" w:hAnsi="宋体"/>
                <w:sz w:val="24"/>
              </w:rPr>
              <w:t>招标文件</w:t>
            </w:r>
            <w:r>
              <w:rPr>
                <w:rFonts w:hint="eastAsia" w:ascii="宋体" w:hAnsi="宋体"/>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ascii="宋体" w:hAnsi="宋体"/>
                <w:sz w:val="24"/>
              </w:rPr>
            </w:pPr>
            <w:r>
              <w:rPr>
                <w:rFonts w:hint="eastAsia" w:ascii="宋体" w:hAnsi="宋体"/>
                <w:sz w:val="24"/>
              </w:rPr>
              <w:t>20</w:t>
            </w:r>
          </w:p>
        </w:tc>
        <w:tc>
          <w:tcPr>
            <w:tcW w:w="1686" w:type="dxa"/>
            <w:vAlign w:val="center"/>
          </w:tcPr>
          <w:p>
            <w:pPr>
              <w:spacing w:line="500" w:lineRule="exact"/>
              <w:jc w:val="center"/>
              <w:rPr>
                <w:rFonts w:ascii="宋体" w:hAnsi="宋体"/>
                <w:bCs/>
                <w:sz w:val="24"/>
              </w:rPr>
            </w:pPr>
            <w:r>
              <w:rPr>
                <w:rFonts w:hint="eastAsia" w:ascii="宋体" w:hAnsi="宋体"/>
                <w:bCs/>
                <w:sz w:val="24"/>
              </w:rPr>
              <w:t>履约保证金</w:t>
            </w:r>
          </w:p>
        </w:tc>
        <w:tc>
          <w:tcPr>
            <w:tcW w:w="6793" w:type="dxa"/>
            <w:vAlign w:val="center"/>
          </w:tcPr>
          <w:p>
            <w:pPr>
              <w:spacing w:line="500" w:lineRule="exact"/>
              <w:rPr>
                <w:rFonts w:ascii="宋体" w:hAnsi="宋体"/>
                <w:sz w:val="24"/>
              </w:rPr>
            </w:pPr>
            <w:r>
              <w:rPr>
                <w:rFonts w:hint="eastAsia" w:ascii="宋体" w:hAnsi="宋体"/>
                <w:sz w:val="24"/>
              </w:rPr>
              <w:t>中标价的</w:t>
            </w:r>
            <w:r>
              <w:rPr>
                <w:rFonts w:hint="eastAsia" w:ascii="宋体" w:hAnsi="宋体"/>
                <w:sz w:val="24"/>
                <w:u w:val="single"/>
              </w:rPr>
              <w:t xml:space="preserve"> 5 </w:t>
            </w:r>
            <w:r>
              <w:rPr>
                <w:rFonts w:hint="eastAsia" w:ascii="宋体" w:hAnsi="宋体"/>
                <w:sz w:val="24"/>
              </w:rPr>
              <w:t>%，期限至</w:t>
            </w:r>
            <w:r>
              <w:rPr>
                <w:rFonts w:hint="eastAsia" w:ascii="宋体" w:hAnsi="宋体"/>
                <w:sz w:val="24"/>
                <w:u w:val="single"/>
              </w:rPr>
              <w:t xml:space="preserve"> 工程验收合格后7个日历天</w:t>
            </w:r>
            <w:r>
              <w:rPr>
                <w:rFonts w:hint="eastAsia" w:ascii="宋体" w:hAnsi="宋体"/>
                <w:sz w:val="24"/>
              </w:rPr>
              <w:t>。收受方式为：</w:t>
            </w:r>
            <w:r>
              <w:rPr>
                <w:rFonts w:hint="eastAsia" w:ascii="宋体" w:hAnsi="宋体"/>
                <w:sz w:val="24"/>
                <w:u w:val="single"/>
              </w:rPr>
              <w:t>□现金、</w:t>
            </w:r>
            <w:r>
              <w:rPr>
                <w:rFonts w:hint="eastAsia"/>
                <w:b/>
                <w:bCs/>
                <w:sz w:val="24"/>
                <w:u w:val="single"/>
              </w:rPr>
              <w:sym w:font="Wingdings" w:char="F0FE"/>
            </w:r>
            <w:r>
              <w:rPr>
                <w:rFonts w:hint="eastAsia" w:ascii="宋体" w:hAnsi="宋体"/>
                <w:sz w:val="24"/>
                <w:u w:val="single"/>
              </w:rPr>
              <w:t>转账/电汇</w:t>
            </w:r>
            <w:r>
              <w:rPr>
                <w:rFonts w:hint="eastAsia" w:ascii="宋体" w:hAnsi="宋体"/>
                <w:sz w:val="24"/>
              </w:rPr>
              <w:t>，收受人为</w:t>
            </w:r>
            <w:r>
              <w:rPr>
                <w:rFonts w:hint="eastAsia" w:ascii="宋体" w:hAnsi="宋体"/>
                <w:b/>
                <w:sz w:val="24"/>
                <w:u w:val="single"/>
              </w:rPr>
              <w:t>合肥百货大楼集团铜陵合百商厦有限责任公司</w:t>
            </w:r>
            <w:r>
              <w:rPr>
                <w:rFonts w:hint="eastAsia" w:ascii="宋体" w:hAnsi="宋体"/>
                <w:sz w:val="24"/>
                <w:u w:val="single"/>
              </w:rPr>
              <w:t>财务部</w:t>
            </w:r>
            <w:r>
              <w:rPr>
                <w:rFonts w:hint="eastAsia" w:ascii="宋体" w:hAnsi="宋体"/>
                <w:sz w:val="24"/>
              </w:rPr>
              <w:t>，详见招标文件第三章投标人须知第五条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hAnsi="宋体"/>
                <w:sz w:val="24"/>
              </w:rPr>
            </w:pPr>
            <w:r>
              <w:rPr>
                <w:rFonts w:hint="eastAsia" w:ascii="宋体" w:hAnsi="宋体"/>
                <w:sz w:val="24"/>
              </w:rPr>
              <w:t>21</w:t>
            </w:r>
          </w:p>
        </w:tc>
        <w:tc>
          <w:tcPr>
            <w:tcW w:w="1686" w:type="dxa"/>
            <w:vAlign w:val="center"/>
          </w:tcPr>
          <w:p>
            <w:pPr>
              <w:spacing w:line="500" w:lineRule="exact"/>
              <w:jc w:val="center"/>
              <w:rPr>
                <w:rFonts w:ascii="宋体" w:hAnsi="宋体"/>
                <w:sz w:val="24"/>
              </w:rPr>
            </w:pPr>
            <w:r>
              <w:rPr>
                <w:rFonts w:hint="eastAsia" w:ascii="宋体" w:hAnsi="宋体"/>
                <w:sz w:val="24"/>
              </w:rPr>
              <w:t>投标样品</w:t>
            </w:r>
          </w:p>
        </w:tc>
        <w:tc>
          <w:tcPr>
            <w:tcW w:w="6793" w:type="dxa"/>
            <w:vAlign w:val="center"/>
          </w:tcPr>
          <w:p>
            <w:pPr>
              <w:spacing w:line="500" w:lineRule="exact"/>
              <w:rPr>
                <w:rFonts w:ascii="宋体" w:hAnsi="宋体"/>
                <w:sz w:val="24"/>
              </w:rPr>
            </w:pPr>
            <w:r>
              <w:rPr>
                <w:rFonts w:hint="eastAsia" w:ascii="宋体" w:hAnsi="宋体"/>
                <w:b/>
                <w:sz w:val="24"/>
              </w:rPr>
              <w:t>□</w:t>
            </w:r>
            <w:r>
              <w:rPr>
                <w:rFonts w:hint="eastAsia" w:ascii="宋体" w:hAnsi="宋体"/>
                <w:sz w:val="24"/>
              </w:rPr>
              <w:t xml:space="preserve">需要  </w:t>
            </w:r>
            <w:r>
              <w:rPr>
                <w:rFonts w:hint="eastAsia"/>
                <w:b/>
                <w:bCs/>
                <w:sz w:val="24"/>
              </w:rPr>
              <w:sym w:font="Wingdings" w:char="F0FE"/>
            </w:r>
            <w:r>
              <w:rPr>
                <w:rFonts w:hint="eastAsia" w:ascii="宋体" w:hAnsi="宋体"/>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hAnsi="宋体"/>
                <w:sz w:val="24"/>
              </w:rPr>
            </w:pPr>
            <w:r>
              <w:rPr>
                <w:rFonts w:hint="eastAsia" w:ascii="宋体" w:hAnsi="宋体"/>
                <w:sz w:val="24"/>
              </w:rPr>
              <w:t>22</w:t>
            </w:r>
          </w:p>
        </w:tc>
        <w:tc>
          <w:tcPr>
            <w:tcW w:w="1686" w:type="dxa"/>
            <w:vAlign w:val="center"/>
          </w:tcPr>
          <w:p>
            <w:pPr>
              <w:spacing w:line="500" w:lineRule="exact"/>
              <w:jc w:val="center"/>
              <w:rPr>
                <w:rFonts w:ascii="宋体" w:hAnsi="宋体"/>
                <w:sz w:val="24"/>
              </w:rPr>
            </w:pPr>
            <w:r>
              <w:rPr>
                <w:rFonts w:hint="eastAsia" w:ascii="宋体" w:hAnsi="宋体"/>
                <w:sz w:val="24"/>
              </w:rPr>
              <w:t>本项目提供除电子版招标文件以外的其他资料</w:t>
            </w:r>
          </w:p>
        </w:tc>
        <w:tc>
          <w:tcPr>
            <w:tcW w:w="6793" w:type="dxa"/>
            <w:vAlign w:val="center"/>
          </w:tcPr>
          <w:p>
            <w:pPr>
              <w:spacing w:line="500" w:lineRule="exact"/>
              <w:rPr>
                <w:rFonts w:hint="eastAsia" w:ascii="宋体" w:hAnsi="宋体" w:eastAsia="宋体" w:cs="宋体"/>
                <w:b w:val="0"/>
                <w:bCs w:val="0"/>
                <w:sz w:val="24"/>
                <w:u w:val="single"/>
              </w:rPr>
            </w:pPr>
            <w:r>
              <w:rPr>
                <w:rFonts w:hint="eastAsia" w:ascii="宋体" w:hAnsi="宋体" w:eastAsia="宋体" w:cs="宋体"/>
                <w:b w:val="0"/>
                <w:bCs w:val="0"/>
                <w:sz w:val="24"/>
              </w:rPr>
              <w:sym w:font="Wingdings" w:char="F0FE"/>
            </w:r>
            <w:r>
              <w:rPr>
                <w:rFonts w:hint="eastAsia" w:ascii="宋体" w:hAnsi="宋体" w:eastAsia="宋体" w:cs="宋体"/>
                <w:b w:val="0"/>
                <w:bCs w:val="0"/>
                <w:sz w:val="24"/>
              </w:rPr>
              <w:t>设计图纸</w:t>
            </w:r>
            <w:r>
              <w:rPr>
                <w:rFonts w:hint="eastAsia" w:ascii="宋体" w:hAnsi="宋体" w:eastAsia="宋体" w:cs="宋体"/>
                <w:b w:val="0"/>
                <w:bCs w:val="0"/>
                <w:sz w:val="24"/>
              </w:rPr>
              <w:sym w:font="Wingdings" w:char="F0FE"/>
            </w:r>
            <w:r>
              <w:rPr>
                <w:rFonts w:hint="eastAsia" w:ascii="宋体" w:hAnsi="宋体" w:eastAsia="宋体" w:cs="宋体"/>
                <w:b w:val="0"/>
                <w:bCs w:val="0"/>
                <w:sz w:val="24"/>
              </w:rPr>
              <w:t>设备清单</w:t>
            </w:r>
          </w:p>
          <w:p>
            <w:pPr>
              <w:spacing w:line="500" w:lineRule="exact"/>
              <w:rPr>
                <w:rFonts w:hint="eastAsia" w:ascii="宋体" w:hAnsi="宋体" w:eastAsia="宋体" w:cs="宋体"/>
                <w:b w:val="0"/>
                <w:bCs w:val="0"/>
                <w:sz w:val="24"/>
              </w:rPr>
            </w:pPr>
            <w:r>
              <w:rPr>
                <w:rFonts w:hint="eastAsia" w:ascii="宋体" w:hAnsi="宋体" w:eastAsia="宋体" w:cs="宋体"/>
                <w:b w:val="0"/>
                <w:bCs w:val="0"/>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hAnsi="宋体"/>
                <w:sz w:val="24"/>
              </w:rPr>
            </w:pPr>
            <w:r>
              <w:rPr>
                <w:rFonts w:hint="eastAsia" w:ascii="宋体" w:hAnsi="宋体"/>
                <w:sz w:val="24"/>
              </w:rPr>
              <w:t>23</w:t>
            </w:r>
          </w:p>
        </w:tc>
        <w:tc>
          <w:tcPr>
            <w:tcW w:w="1686" w:type="dxa"/>
            <w:vAlign w:val="center"/>
          </w:tcPr>
          <w:p>
            <w:pPr>
              <w:spacing w:line="500" w:lineRule="exact"/>
              <w:jc w:val="center"/>
              <w:rPr>
                <w:rFonts w:ascii="宋体" w:hAnsi="宋体"/>
                <w:sz w:val="24"/>
              </w:rPr>
            </w:pPr>
            <w:r>
              <w:rPr>
                <w:rFonts w:hint="eastAsia" w:ascii="宋体" w:hAnsi="宋体"/>
                <w:sz w:val="24"/>
              </w:rPr>
              <w:t>业绩要求</w:t>
            </w:r>
          </w:p>
        </w:tc>
        <w:tc>
          <w:tcPr>
            <w:tcW w:w="679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本招标文件中要求的业绩须为已完工并验收合格的业绩：投标文件中除提供该业绩的合同扫描件外，还须附与该业绩对应的项目已完工并验收合格的业主证明材料（扫描件），如验收报告或业主开具的证明等。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注：（1）验收报告或业主证明须加盖业主单位公章(所提供的证明材料上已有业主单位公章的除外)，否则评标委员会可不予认可；（2）业绩合同可提供包含甲乙方、项目名称、合同总金额、合同签订时间、合同供货范围、合同签字盖章页等关键内容的关键页的扫描件；（3）业绩金额以项目合同总金额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所提供的业绩合同中不能明确反映出招标文件所要求的内容的（如合同总金额或项目负责人名称等），应另附业主证明材料予以明确说明，须加盖业主单位公章，否则评标委员会可不予认可。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hAnsi="宋体"/>
                <w:sz w:val="24"/>
              </w:rPr>
            </w:pPr>
            <w:r>
              <w:rPr>
                <w:rFonts w:hint="eastAsia" w:ascii="宋体" w:hAnsi="宋体"/>
                <w:sz w:val="24"/>
              </w:rPr>
              <w:t>24</w:t>
            </w:r>
          </w:p>
        </w:tc>
        <w:tc>
          <w:tcPr>
            <w:tcW w:w="1686" w:type="dxa"/>
            <w:vAlign w:val="center"/>
          </w:tcPr>
          <w:p>
            <w:pPr>
              <w:spacing w:line="500" w:lineRule="exact"/>
              <w:jc w:val="center"/>
              <w:rPr>
                <w:rFonts w:ascii="宋体" w:hAnsi="宋体"/>
                <w:sz w:val="24"/>
              </w:rPr>
            </w:pPr>
            <w:r>
              <w:rPr>
                <w:rFonts w:hint="eastAsia" w:ascii="宋体" w:hAnsi="宋体"/>
                <w:sz w:val="24"/>
              </w:rPr>
              <w:t>其他</w:t>
            </w:r>
          </w:p>
        </w:tc>
        <w:tc>
          <w:tcPr>
            <w:tcW w:w="6793"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招标文件中要求加盖公章或电子签章的，均可以提供加盖公章的扫描件。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凡中标的外地来肥建筑安装企业，应按照国家税务总局2016年第17号公告规定，在建筑服务发生地及时足额预缴增值税。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如有最新国家和地方标准、规范等，应按最新标准、规范执行，如多个规范对同一问题的标准和要求不一致时，应按较高标准和要求内容执行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4</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2020年1月24日，安徽省新型冠状病毒感染的肺炎疫情防控应急指挥部决定，启动安徽省重大公共卫生事件一级响应，投标人在投标前已充分了解并清楚知晓肺炎疫情及影响。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5</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因投标人在签订合同时对肺炎疫情及影响已经可以合理预见，肺炎疫情及影响属于合同总价包含的风险范围，投标人在投标报价时已经充分考虑，不再另行计取。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6</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工程开工日期以招标人发出的开工指令为准；投标人应当知悉，计划开工日期之后，如安徽省有关主管部门仍未终结本次重大公共卫生事件应急响应，可能导致工程无法按计划开工；投标人应当充分考虑因肺炎疫情及影响导致迟延开工的风险，投标人承诺不因迟延开工向招标人主张变更或解除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rPr>
            </w:pPr>
            <w:r>
              <w:rPr>
                <w:rFonts w:hint="eastAsia" w:ascii="宋体" w:hAnsi="宋体" w:eastAsia="宋体" w:cs="宋体"/>
                <w:b w:val="0"/>
                <w:bCs w:val="0"/>
                <w:sz w:val="24"/>
              </w:rPr>
              <w:t>7</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工程开工后，招标人和投标人均应严格遵循政府及有关部门规定的肺炎疫情防控要求，因一方未严格执行防控措施而导致工程停工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仔细踏勘现场、综合考虑、慎重报价，中标后不予调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FF0000"/>
                <w:sz w:val="24"/>
              </w:rPr>
            </w:pPr>
            <w:r>
              <w:rPr>
                <w:rFonts w:hint="eastAsia" w:ascii="宋体" w:hAnsi="宋体" w:eastAsia="宋体" w:cs="宋体"/>
                <w:b w:val="0"/>
                <w:bCs w:val="0"/>
                <w:sz w:val="24"/>
              </w:rPr>
              <w:t>8</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施工过程中，不得因肺炎疫情及影响导致材料价格上涨、材料采购困难、施工人员组织困难、疫情防治需要等情况拖延或影响合同工期，确有影响的，应及时采取一切有效措施弥补损失，确保按期保质完成项目建设，投标人应仔细踏勘现场、综合考虑、慎重报价，中标后不予调整。</w:t>
            </w:r>
          </w:p>
        </w:tc>
      </w:tr>
    </w:tbl>
    <w:p>
      <w:pPr>
        <w:spacing w:line="360" w:lineRule="auto"/>
        <w:rPr>
          <w:rFonts w:ascii="宋体" w:hAnsi="宋体"/>
          <w:sz w:val="24"/>
        </w:rPr>
      </w:pPr>
    </w:p>
    <w:p>
      <w:pPr>
        <w:pStyle w:val="2"/>
        <w:numPr>
          <w:ilvl w:val="0"/>
          <w:numId w:val="3"/>
        </w:numPr>
      </w:pPr>
      <w:bookmarkStart w:id="3" w:name="_Toc73976251"/>
      <w:r>
        <w:rPr>
          <w:rFonts w:hint="eastAsia"/>
        </w:rPr>
        <w:t>投标人须知</w:t>
      </w:r>
      <w:bookmarkEnd w:id="3"/>
    </w:p>
    <w:p/>
    <w:p>
      <w:pPr>
        <w:spacing w:line="500" w:lineRule="exact"/>
        <w:ind w:firstLine="420"/>
        <w:rPr>
          <w:rFonts w:ascii="宋体"/>
          <w:b/>
          <w:sz w:val="24"/>
        </w:rPr>
      </w:pPr>
      <w:r>
        <w:rPr>
          <w:rFonts w:hint="eastAsia" w:ascii="宋体" w:hAnsi="宋体"/>
          <w:b/>
          <w:sz w:val="24"/>
        </w:rPr>
        <w:t>一、说明及注意事项</w:t>
      </w:r>
    </w:p>
    <w:p>
      <w:pPr>
        <w:spacing w:line="500" w:lineRule="exact"/>
        <w:ind w:firstLine="420"/>
        <w:rPr>
          <w:rFonts w:ascii="宋体"/>
          <w:sz w:val="24"/>
        </w:rPr>
      </w:pPr>
      <w:r>
        <w:rPr>
          <w:rFonts w:ascii="宋体" w:hAnsi="宋体"/>
          <w:sz w:val="24"/>
        </w:rPr>
        <w:t>1</w:t>
      </w:r>
      <w:r>
        <w:rPr>
          <w:rFonts w:hint="eastAsia" w:ascii="宋体" w:hAnsi="宋体"/>
          <w:sz w:val="24"/>
        </w:rPr>
        <w:t>．投标文件的编写要求</w:t>
      </w:r>
    </w:p>
    <w:p>
      <w:pPr>
        <w:spacing w:line="500" w:lineRule="exact"/>
        <w:ind w:firstLine="420"/>
        <w:rPr>
          <w:rFonts w:ascii="宋体"/>
          <w:sz w:val="24"/>
        </w:rPr>
      </w:pPr>
      <w:r>
        <w:rPr>
          <w:rFonts w:hint="eastAsia" w:ascii="宋体" w:hAnsi="宋体"/>
          <w:sz w:val="24"/>
        </w:rPr>
        <w:t>⑴投标人须以招标人正式发布的《招标文件》为制作《投标文件》的依据；</w:t>
      </w:r>
    </w:p>
    <w:p>
      <w:pPr>
        <w:spacing w:line="500" w:lineRule="exact"/>
        <w:ind w:firstLine="420"/>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spacing w:line="500" w:lineRule="exact"/>
        <w:ind w:firstLine="420"/>
        <w:rPr>
          <w:rFonts w:ascii="宋体"/>
          <w:sz w:val="24"/>
        </w:rPr>
      </w:pPr>
      <w:r>
        <w:rPr>
          <w:rFonts w:hint="eastAsia" w:ascii="宋体" w:hAnsi="宋体"/>
          <w:sz w:val="24"/>
        </w:rPr>
        <w:t>⑶投标文件的书面内容不得涂抹或改写；</w:t>
      </w:r>
    </w:p>
    <w:p>
      <w:pPr>
        <w:spacing w:line="500" w:lineRule="exact"/>
        <w:ind w:firstLine="420"/>
        <w:rPr>
          <w:rFonts w:ascii="宋体" w:hAnsi="宋体"/>
          <w:sz w:val="24"/>
        </w:rPr>
      </w:pPr>
      <w:r>
        <w:rPr>
          <w:rFonts w:hint="eastAsia" w:ascii="宋体" w:hAnsi="宋体"/>
          <w:sz w:val="24"/>
        </w:rPr>
        <w:t>⑷招标文件编目清晰，查找方便，报价清单条目顺序须于招标文件一致，提供的产品参数证明资料应醒目注明。</w:t>
      </w:r>
    </w:p>
    <w:p>
      <w:pPr>
        <w:spacing w:line="500" w:lineRule="exact"/>
        <w:ind w:firstLine="420"/>
        <w:rPr>
          <w:rFonts w:ascii="宋体"/>
          <w:sz w:val="24"/>
        </w:rPr>
      </w:pPr>
      <w:r>
        <w:rPr>
          <w:rFonts w:hint="eastAsia" w:ascii="宋体" w:hAnsi="宋体"/>
          <w:sz w:val="24"/>
        </w:rPr>
        <w:t>⑸满足本招标文件规定的其它要求。</w:t>
      </w:r>
    </w:p>
    <w:p>
      <w:pPr>
        <w:spacing w:line="500" w:lineRule="exact"/>
        <w:ind w:firstLine="420"/>
        <w:rPr>
          <w:rFonts w:ascii="宋体"/>
          <w:sz w:val="24"/>
        </w:rPr>
      </w:pPr>
      <w:r>
        <w:rPr>
          <w:rFonts w:ascii="宋体" w:hAnsi="宋体"/>
          <w:sz w:val="24"/>
        </w:rPr>
        <w:t>2.</w:t>
      </w:r>
      <w:r>
        <w:rPr>
          <w:rFonts w:hint="eastAsia" w:ascii="宋体" w:hAnsi="宋体"/>
          <w:sz w:val="24"/>
        </w:rPr>
        <w:t>投标文件由以下部分构成</w:t>
      </w:r>
    </w:p>
    <w:p>
      <w:pPr>
        <w:spacing w:line="500" w:lineRule="exact"/>
        <w:ind w:firstLine="420"/>
        <w:rPr>
          <w:rFonts w:ascii="宋体"/>
          <w:sz w:val="24"/>
        </w:rPr>
      </w:pPr>
      <w:r>
        <w:rPr>
          <w:rFonts w:hint="eastAsia" w:ascii="宋体" w:hAnsi="宋体"/>
          <w:sz w:val="24"/>
        </w:rPr>
        <w:t>⑴投标承诺书、开标一览表、报价清单、投标事项承诺、产品参数偏离表、品牌响应表等；</w:t>
      </w:r>
    </w:p>
    <w:p>
      <w:pPr>
        <w:spacing w:line="500" w:lineRule="exact"/>
        <w:ind w:firstLine="420"/>
        <w:rPr>
          <w:rFonts w:ascii="宋体"/>
          <w:sz w:val="24"/>
        </w:rPr>
      </w:pPr>
      <w:r>
        <w:rPr>
          <w:rFonts w:hint="eastAsia" w:ascii="宋体" w:hAnsi="宋体"/>
          <w:sz w:val="24"/>
        </w:rPr>
        <w:t>⑵投标人资质证明文件、法人和授权代表人身份证复印件；</w:t>
      </w:r>
    </w:p>
    <w:p>
      <w:pPr>
        <w:spacing w:line="500" w:lineRule="exact"/>
        <w:ind w:firstLine="420"/>
        <w:rPr>
          <w:rFonts w:ascii="宋体"/>
          <w:sz w:val="24"/>
        </w:rPr>
      </w:pPr>
      <w:r>
        <w:rPr>
          <w:rFonts w:hint="eastAsia" w:ascii="宋体" w:hAnsi="宋体"/>
          <w:sz w:val="24"/>
        </w:rPr>
        <w:t>⑶投标人同类项目合同、本项目服务工作计划及投标人其它说明文件等；</w:t>
      </w:r>
    </w:p>
    <w:p>
      <w:pPr>
        <w:spacing w:line="500" w:lineRule="exact"/>
        <w:ind w:firstLine="420"/>
        <w:rPr>
          <w:rFonts w:ascii="宋体"/>
          <w:sz w:val="24"/>
        </w:rPr>
      </w:pPr>
      <w:r>
        <w:rPr>
          <w:rFonts w:hint="eastAsia" w:ascii="宋体" w:hAnsi="宋体"/>
          <w:sz w:val="24"/>
        </w:rPr>
        <w:t>⑷相关案例材料，项目负责人详细情况。</w:t>
      </w:r>
    </w:p>
    <w:p>
      <w:pPr>
        <w:spacing w:line="500" w:lineRule="exact"/>
        <w:ind w:firstLine="420"/>
        <w:rPr>
          <w:rFonts w:ascii="宋体"/>
          <w:sz w:val="24"/>
        </w:rPr>
      </w:pPr>
      <w:r>
        <w:rPr>
          <w:rFonts w:ascii="宋体" w:hAnsi="宋体"/>
          <w:sz w:val="24"/>
        </w:rPr>
        <w:t>3</w:t>
      </w:r>
      <w:r>
        <w:rPr>
          <w:rFonts w:hint="eastAsia" w:ascii="宋体" w:hAnsi="宋体"/>
          <w:sz w:val="24"/>
        </w:rPr>
        <w:t>．投标报价说明</w:t>
      </w:r>
    </w:p>
    <w:p>
      <w:pPr>
        <w:spacing w:line="500" w:lineRule="exact"/>
        <w:ind w:firstLine="420"/>
        <w:rPr>
          <w:rFonts w:ascii="宋体" w:hAnsi="宋体"/>
          <w:sz w:val="24"/>
        </w:rPr>
      </w:pPr>
      <w:r>
        <w:rPr>
          <w:rFonts w:hint="eastAsia" w:ascii="宋体" w:hAnsi="宋体"/>
          <w:sz w:val="24"/>
        </w:rPr>
        <w:t>⑴除招标文件中另有规定外，计量单位为我国法定计量单位；投标报价、服务费结算一律使用人民币；</w:t>
      </w:r>
    </w:p>
    <w:p>
      <w:pPr>
        <w:spacing w:line="500" w:lineRule="exact"/>
        <w:ind w:firstLine="424" w:firstLineChars="177"/>
        <w:rPr>
          <w:rFonts w:ascii="宋体" w:hAnsi="宋体"/>
          <w:sz w:val="24"/>
        </w:rPr>
      </w:pPr>
      <w:r>
        <w:rPr>
          <w:rFonts w:hint="eastAsia" w:ascii="宋体" w:hAnsi="宋体"/>
          <w:sz w:val="24"/>
        </w:rPr>
        <w:t>⑵本项目采用总价报价，中标价为合同价。</w:t>
      </w:r>
    </w:p>
    <w:p>
      <w:pPr>
        <w:spacing w:line="500" w:lineRule="exact"/>
        <w:ind w:firstLine="480" w:firstLineChars="200"/>
        <w:rPr>
          <w:rFonts w:ascii="宋体" w:hAnsi="宋体"/>
          <w:sz w:val="24"/>
        </w:rPr>
      </w:pPr>
      <w:r>
        <w:rPr>
          <w:rFonts w:hint="eastAsia" w:ascii="宋体" w:hAnsi="宋体"/>
          <w:sz w:val="24"/>
        </w:rPr>
        <w:t>此报价为完成本项目工作所有内容的所有费用，包括各项服务、</w:t>
      </w:r>
      <w:r>
        <w:rPr>
          <w:rFonts w:hint="eastAsia" w:ascii="宋体" w:hAnsi="宋体"/>
          <w:b/>
          <w:sz w:val="24"/>
        </w:rPr>
        <w:t>改造过程中旧设备的拆除、临时线路的敷设、临时设备的安装</w:t>
      </w:r>
      <w:r>
        <w:rPr>
          <w:rFonts w:hint="eastAsia" w:ascii="宋体" w:hAnsi="宋体"/>
          <w:sz w:val="24"/>
        </w:rPr>
        <w:t>及服务中涉及到的总包管理服务费（如有）、材料消耗、人员、维保、验收、培训、利润、税金等全部费用。除此之外，招标人不再提供其他任何费用。</w:t>
      </w:r>
    </w:p>
    <w:p>
      <w:pPr>
        <w:spacing w:line="500" w:lineRule="exact"/>
        <w:ind w:firstLine="424" w:firstLineChars="177"/>
        <w:rPr>
          <w:rFonts w:ascii="宋体" w:hAnsi="宋体"/>
          <w:sz w:val="24"/>
        </w:rPr>
      </w:pPr>
      <w:r>
        <w:rPr>
          <w:rFonts w:hint="eastAsia" w:ascii="宋体" w:hAnsi="宋体"/>
          <w:sz w:val="24"/>
        </w:rPr>
        <w:t>⑶投标人投标前应进行现场勘查，各种风险须充分考虑，请投标人谨慎报价。中标后不得以任何理由提出变更等理由增加造价、调整价格。</w:t>
      </w:r>
    </w:p>
    <w:p>
      <w:pPr>
        <w:spacing w:line="500" w:lineRule="exact"/>
        <w:ind w:firstLine="420"/>
        <w:rPr>
          <w:rFonts w:ascii="宋体"/>
          <w:sz w:val="24"/>
        </w:rPr>
      </w:pPr>
      <w:r>
        <w:rPr>
          <w:rFonts w:hint="eastAsia" w:ascii="宋体" w:hAnsi="宋体"/>
          <w:sz w:val="24"/>
        </w:rPr>
        <w:t>⑷投标人须充分考虑所投服务成本，中标及合同履约期内，不得以任何理由要求对其投标价格进行变更或拒绝服务。</w:t>
      </w:r>
    </w:p>
    <w:p>
      <w:pPr>
        <w:spacing w:line="500" w:lineRule="exact"/>
        <w:ind w:firstLine="420"/>
        <w:rPr>
          <w:rFonts w:ascii="宋体"/>
          <w:sz w:val="24"/>
        </w:rPr>
      </w:pPr>
      <w:r>
        <w:rPr>
          <w:rFonts w:ascii="宋体" w:hAnsi="宋体"/>
          <w:sz w:val="24"/>
        </w:rPr>
        <w:t>4</w:t>
      </w:r>
      <w:r>
        <w:rPr>
          <w:rFonts w:hint="eastAsia" w:ascii="宋体" w:hAnsi="宋体"/>
          <w:sz w:val="24"/>
        </w:rPr>
        <w:t>．请投标人认真审阅和全面理解招标文件中所有的须知、条件、格式、条款，如果投标人的投标文件不符合招标文件要求，该投标文件将被拒绝，责任自负。</w:t>
      </w:r>
    </w:p>
    <w:p>
      <w:pPr>
        <w:spacing w:line="500" w:lineRule="exact"/>
        <w:ind w:firstLine="420"/>
        <w:rPr>
          <w:rFonts w:ascii="宋体"/>
          <w:b/>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．投标人在交付保证金后，如出现串标、毁标、中标后不签订合同或在履行合同时出现违约行为，招标人有权没收投标保证金并记入百大集团招投标黑名单；资审通过放弃投标的请在</w:t>
      </w:r>
      <w:r>
        <w:rPr>
          <w:rFonts w:hint="eastAsia" w:ascii="宋体" w:hAnsi="宋体"/>
          <w:b w:val="0"/>
          <w:bCs/>
          <w:sz w:val="24"/>
        </w:rPr>
        <w:t>开标前</w:t>
      </w:r>
      <w:r>
        <w:rPr>
          <w:rFonts w:ascii="宋体" w:hAnsi="宋体"/>
          <w:b w:val="0"/>
          <w:bCs/>
          <w:sz w:val="24"/>
        </w:rPr>
        <w:t>3</w:t>
      </w:r>
      <w:r>
        <w:rPr>
          <w:rFonts w:hint="eastAsia" w:ascii="宋体" w:hAnsi="宋体"/>
          <w:b w:val="0"/>
          <w:bCs/>
          <w:sz w:val="24"/>
        </w:rPr>
        <w:t>日以书面形式告知招标人。</w:t>
      </w:r>
    </w:p>
    <w:p>
      <w:pPr>
        <w:spacing w:line="500" w:lineRule="exact"/>
        <w:ind w:firstLine="420"/>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w:t>
      </w:r>
    </w:p>
    <w:p>
      <w:pPr>
        <w:spacing w:line="500" w:lineRule="exact"/>
        <w:ind w:firstLine="420"/>
        <w:rPr>
          <w:rFonts w:ascii="宋体"/>
          <w:b/>
          <w:sz w:val="24"/>
        </w:rPr>
      </w:pPr>
      <w:r>
        <w:rPr>
          <w:rFonts w:hint="eastAsia" w:ascii="宋体" w:hAnsi="宋体"/>
          <w:b/>
          <w:sz w:val="24"/>
        </w:rPr>
        <w:t>二、投标文件的递交</w:t>
      </w:r>
    </w:p>
    <w:p>
      <w:pPr>
        <w:spacing w:line="500" w:lineRule="exact"/>
        <w:ind w:firstLine="420"/>
        <w:rPr>
          <w:rFonts w:ascii="宋体"/>
          <w:sz w:val="24"/>
        </w:rPr>
      </w:pPr>
      <w:r>
        <w:rPr>
          <w:rFonts w:ascii="宋体" w:hAnsi="宋体"/>
          <w:sz w:val="24"/>
        </w:rPr>
        <w:t>1</w:t>
      </w:r>
      <w:r>
        <w:rPr>
          <w:rFonts w:hint="eastAsia" w:ascii="宋体" w:hAnsi="宋体"/>
          <w:sz w:val="24"/>
        </w:rPr>
        <w:t>．投标文件的密封和标记</w:t>
      </w:r>
    </w:p>
    <w:p>
      <w:pPr>
        <w:spacing w:line="500" w:lineRule="exact"/>
        <w:ind w:firstLine="420"/>
        <w:rPr>
          <w:rFonts w:ascii="宋体"/>
          <w:sz w:val="24"/>
        </w:rPr>
      </w:pPr>
      <w:r>
        <w:rPr>
          <w:rFonts w:hint="eastAsia" w:ascii="宋体" w:hAnsi="宋体"/>
          <w:sz w:val="24"/>
        </w:rPr>
        <w:t>⑴投标文件应密封并在封口加贴封条，并在封面注明招标编号、投标项目、投标单位等；同时，在密封处加盖骑缝章；</w:t>
      </w:r>
    </w:p>
    <w:p>
      <w:pPr>
        <w:spacing w:line="500" w:lineRule="exact"/>
        <w:ind w:firstLine="420"/>
        <w:rPr>
          <w:rFonts w:ascii="宋体"/>
          <w:b/>
          <w:sz w:val="24"/>
        </w:rPr>
      </w:pPr>
      <w:r>
        <w:rPr>
          <w:rFonts w:hint="eastAsia" w:ascii="宋体" w:hAnsi="宋体"/>
          <w:sz w:val="24"/>
        </w:rPr>
        <w:t>⑵投标文件要求：</w:t>
      </w:r>
      <w:r>
        <w:rPr>
          <w:rFonts w:hint="eastAsia" w:ascii="宋体" w:hAnsi="宋体"/>
          <w:b/>
          <w:bCs/>
          <w:sz w:val="24"/>
        </w:rPr>
        <w:t>胶装，正、副本各一份</w:t>
      </w:r>
      <w:r>
        <w:rPr>
          <w:rFonts w:hint="eastAsia" w:ascii="宋体" w:hAnsi="宋体"/>
          <w:b/>
          <w:sz w:val="24"/>
        </w:rPr>
        <w:t>，PDF电子版一份。</w:t>
      </w:r>
    </w:p>
    <w:p>
      <w:pPr>
        <w:spacing w:line="500" w:lineRule="exact"/>
        <w:ind w:firstLine="420"/>
        <w:rPr>
          <w:rFonts w:ascii="宋体"/>
          <w:sz w:val="24"/>
        </w:rPr>
      </w:pPr>
      <w:r>
        <w:rPr>
          <w:rFonts w:ascii="宋体" w:hAnsi="宋体"/>
          <w:sz w:val="24"/>
        </w:rPr>
        <w:t>2</w:t>
      </w:r>
      <w:r>
        <w:rPr>
          <w:rFonts w:hint="eastAsia" w:ascii="宋体" w:hAnsi="宋体"/>
          <w:sz w:val="24"/>
        </w:rPr>
        <w:t>．投标文件的递交</w:t>
      </w:r>
    </w:p>
    <w:p>
      <w:pPr>
        <w:spacing w:line="500" w:lineRule="exact"/>
        <w:ind w:firstLine="420"/>
        <w:rPr>
          <w:rFonts w:ascii="宋体"/>
          <w:sz w:val="24"/>
        </w:rPr>
      </w:pPr>
      <w:r>
        <w:rPr>
          <w:rFonts w:hint="eastAsia" w:ascii="宋体" w:hAnsi="宋体"/>
          <w:sz w:val="24"/>
        </w:rPr>
        <w:t>⑴投标人应在投标开标前将密封合格的投标文件送达开标现场；招标人对开标后送达的投标文件将不予签收。</w:t>
      </w:r>
    </w:p>
    <w:p>
      <w:pPr>
        <w:spacing w:line="500" w:lineRule="exact"/>
        <w:ind w:firstLine="420"/>
        <w:rPr>
          <w:rFonts w:ascii="宋体"/>
          <w:b/>
          <w:sz w:val="24"/>
        </w:rPr>
      </w:pPr>
      <w:r>
        <w:rPr>
          <w:rFonts w:hint="eastAsia" w:ascii="宋体" w:hAnsi="宋体"/>
          <w:b/>
          <w:sz w:val="24"/>
        </w:rPr>
        <w:t>三、开标、评标和定标</w:t>
      </w:r>
    </w:p>
    <w:p>
      <w:pPr>
        <w:spacing w:line="500" w:lineRule="exact"/>
        <w:ind w:firstLine="480" w:firstLineChars="200"/>
        <w:rPr>
          <w:rFonts w:ascii="宋体"/>
          <w:sz w:val="24"/>
        </w:rPr>
      </w:pPr>
      <w:r>
        <w:rPr>
          <w:rFonts w:ascii="宋体" w:hAnsi="宋体"/>
          <w:sz w:val="24"/>
        </w:rPr>
        <w:t>1</w:t>
      </w:r>
      <w:r>
        <w:rPr>
          <w:rFonts w:hint="eastAsia" w:ascii="宋体" w:hAnsi="宋体"/>
          <w:sz w:val="24"/>
        </w:rPr>
        <w:t>．我司招标领导小组按投标邀请中规定的时间和地点开标，届时请投标人授权一名代表参加商务标的开标，拟派项目负责人作投标陈述并作为答辩代表参加项目答辩。</w:t>
      </w:r>
    </w:p>
    <w:p>
      <w:pPr>
        <w:spacing w:line="500" w:lineRule="exact"/>
        <w:ind w:firstLine="480" w:firstLineChars="200"/>
        <w:rPr>
          <w:rFonts w:ascii="宋体"/>
          <w:sz w:val="24"/>
        </w:rPr>
      </w:pPr>
      <w:r>
        <w:rPr>
          <w:rFonts w:ascii="宋体" w:hAnsi="宋体"/>
          <w:sz w:val="24"/>
        </w:rPr>
        <w:t>2</w:t>
      </w:r>
      <w:r>
        <w:rPr>
          <w:rFonts w:hint="eastAsia" w:ascii="宋体" w:hAnsi="宋体"/>
          <w:sz w:val="24"/>
        </w:rPr>
        <w:t>．开标时，查验投标文件的密封状况，确认无误后拆封唱标。</w:t>
      </w:r>
    </w:p>
    <w:p>
      <w:pPr>
        <w:spacing w:line="500" w:lineRule="exact"/>
        <w:ind w:firstLine="482" w:firstLineChars="200"/>
        <w:rPr>
          <w:rFonts w:ascii="宋体" w:hAnsi="宋体" w:cs="宋体"/>
          <w:b/>
          <w:kern w:val="0"/>
          <w:sz w:val="24"/>
        </w:rPr>
      </w:pPr>
      <w:r>
        <w:rPr>
          <w:rFonts w:hint="eastAsia" w:ascii="宋体" w:hAnsi="宋体"/>
          <w:b/>
          <w:kern w:val="0"/>
          <w:sz w:val="24"/>
        </w:rPr>
        <w:t>3.</w:t>
      </w:r>
      <w:r>
        <w:rPr>
          <w:rFonts w:hint="eastAsia" w:ascii="宋体" w:hAnsi="宋体" w:cs="宋体"/>
          <w:b/>
          <w:kern w:val="0"/>
          <w:sz w:val="24"/>
        </w:rPr>
        <w:t>本项目评标采用有效最低价法，即资格审查、商务标、技术标均评审通过无错项、缺漏项的有效投标报价最低的投标人为中标候选人。</w:t>
      </w:r>
    </w:p>
    <w:p>
      <w:pPr>
        <w:spacing w:line="500" w:lineRule="exact"/>
        <w:rPr>
          <w:rFonts w:ascii="宋体" w:hAnsi="宋体"/>
          <w:kern w:val="0"/>
          <w:sz w:val="24"/>
        </w:rPr>
      </w:pPr>
      <w:r>
        <w:rPr>
          <w:rFonts w:hint="eastAsia" w:ascii="宋体" w:hAnsi="宋体"/>
          <w:kern w:val="0"/>
          <w:sz w:val="24"/>
        </w:rPr>
        <w:t xml:space="preserve">    4.招标人不承诺报价最低者可以中标，也不向落标的投标人退还投标文件。</w:t>
      </w:r>
    </w:p>
    <w:p>
      <w:pPr>
        <w:spacing w:line="500" w:lineRule="exact"/>
        <w:rPr>
          <w:rFonts w:ascii="宋体" w:hAnsi="宋体"/>
          <w:kern w:val="0"/>
          <w:sz w:val="24"/>
        </w:rPr>
      </w:pPr>
      <w:r>
        <w:rPr>
          <w:rFonts w:hint="eastAsia" w:ascii="宋体" w:hAnsi="宋体"/>
          <w:kern w:val="0"/>
          <w:sz w:val="24"/>
        </w:rPr>
        <w:t xml:space="preserve">    5.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00" w:lineRule="exact"/>
        <w:ind w:firstLine="240" w:firstLineChars="100"/>
        <w:rPr>
          <w:rFonts w:ascii="宋体"/>
          <w:sz w:val="24"/>
        </w:rPr>
      </w:pPr>
      <w:r>
        <w:rPr>
          <w:rFonts w:ascii="宋体" w:hAnsi="宋体"/>
          <w:sz w:val="24"/>
        </w:rPr>
        <w:t>6</w:t>
      </w:r>
      <w:r>
        <w:rPr>
          <w:rFonts w:hint="eastAsia" w:ascii="宋体" w:hAnsi="宋体"/>
          <w:sz w:val="24"/>
        </w:rPr>
        <w:t>．废标：</w:t>
      </w:r>
    </w:p>
    <w:p>
      <w:pPr>
        <w:spacing w:line="500" w:lineRule="exact"/>
        <w:ind w:firstLine="240" w:firstLineChars="100"/>
        <w:rPr>
          <w:rFonts w:ascii="宋体"/>
          <w:sz w:val="24"/>
        </w:rPr>
      </w:pPr>
      <w:r>
        <w:rPr>
          <w:rFonts w:hint="eastAsia" w:ascii="宋体" w:hAnsi="宋体"/>
          <w:sz w:val="24"/>
        </w:rPr>
        <w:t>有下列情况之一的投标文件为废标：</w:t>
      </w:r>
    </w:p>
    <w:p>
      <w:pPr>
        <w:spacing w:line="500" w:lineRule="exact"/>
        <w:ind w:firstLine="240" w:firstLineChars="100"/>
        <w:rPr>
          <w:rFonts w:ascii="宋体"/>
          <w:sz w:val="24"/>
        </w:rPr>
      </w:pPr>
      <w:r>
        <w:rPr>
          <w:rFonts w:hint="eastAsia" w:ascii="宋体" w:hAnsi="宋体"/>
          <w:sz w:val="24"/>
        </w:rPr>
        <w:t>⑴未按本须知投标要求进行报价的；</w:t>
      </w:r>
    </w:p>
    <w:p>
      <w:pPr>
        <w:spacing w:line="500" w:lineRule="exact"/>
        <w:ind w:firstLine="240" w:firstLineChars="100"/>
        <w:rPr>
          <w:rFonts w:ascii="宋体"/>
          <w:sz w:val="24"/>
        </w:rPr>
      </w:pPr>
      <w:r>
        <w:rPr>
          <w:rFonts w:hint="eastAsia" w:ascii="宋体" w:hAnsi="宋体"/>
          <w:sz w:val="24"/>
        </w:rPr>
        <w:t>⑵未加盖投标人公章的；</w:t>
      </w:r>
    </w:p>
    <w:p>
      <w:pPr>
        <w:spacing w:line="500" w:lineRule="exact"/>
        <w:ind w:firstLine="240" w:firstLineChars="100"/>
        <w:rPr>
          <w:rFonts w:ascii="宋体"/>
          <w:sz w:val="24"/>
        </w:rPr>
      </w:pPr>
      <w:r>
        <w:rPr>
          <w:rFonts w:hint="eastAsia" w:ascii="宋体" w:hAnsi="宋体"/>
          <w:sz w:val="24"/>
        </w:rPr>
        <w:t>⑶投标文件无法定代表人或委托代理人签字、盖章的；</w:t>
      </w:r>
    </w:p>
    <w:p>
      <w:pPr>
        <w:spacing w:line="500" w:lineRule="exact"/>
        <w:ind w:firstLine="240" w:firstLineChars="100"/>
        <w:rPr>
          <w:rFonts w:ascii="宋体"/>
          <w:sz w:val="24"/>
        </w:rPr>
      </w:pPr>
      <w:r>
        <w:rPr>
          <w:rFonts w:hint="eastAsia" w:ascii="宋体" w:hAnsi="宋体"/>
          <w:sz w:val="24"/>
        </w:rPr>
        <w:t>⑷服务不满足招标人要求的；</w:t>
      </w:r>
    </w:p>
    <w:p>
      <w:pPr>
        <w:spacing w:line="500" w:lineRule="exact"/>
        <w:ind w:firstLine="240" w:firstLineChars="100"/>
        <w:rPr>
          <w:rFonts w:ascii="宋体"/>
          <w:sz w:val="24"/>
        </w:rPr>
      </w:pPr>
      <w:r>
        <w:rPr>
          <w:rFonts w:hint="eastAsia" w:ascii="宋体" w:hAnsi="宋体"/>
          <w:sz w:val="24"/>
        </w:rPr>
        <w:t>⑸投标文件字迹潦草、模糊致使无法辨认的，章节混乱，提供的产品参数证明文件无醒目标识，严重影响专家评标的；</w:t>
      </w:r>
    </w:p>
    <w:p>
      <w:pPr>
        <w:spacing w:line="500" w:lineRule="exact"/>
        <w:ind w:firstLine="240" w:firstLineChars="100"/>
        <w:rPr>
          <w:rFonts w:ascii="宋体"/>
          <w:sz w:val="24"/>
        </w:rPr>
      </w:pPr>
      <w:r>
        <w:rPr>
          <w:rFonts w:hint="eastAsia" w:ascii="宋体" w:hAnsi="宋体"/>
          <w:sz w:val="24"/>
        </w:rPr>
        <w:t>⑹投标单位在一份投标文件中，报有两个或多个不同报价，且未书面声明以哪个报价为准的；</w:t>
      </w:r>
    </w:p>
    <w:p>
      <w:pPr>
        <w:spacing w:line="500" w:lineRule="exact"/>
        <w:ind w:firstLine="240" w:firstLineChars="100"/>
        <w:rPr>
          <w:rFonts w:ascii="宋体"/>
          <w:sz w:val="24"/>
        </w:rPr>
      </w:pPr>
      <w:r>
        <w:rPr>
          <w:rFonts w:hint="eastAsia" w:ascii="宋体" w:hAnsi="宋体"/>
          <w:sz w:val="24"/>
        </w:rPr>
        <w:t>⑺投标文件存在缺项、漏项的；</w:t>
      </w:r>
    </w:p>
    <w:p>
      <w:pPr>
        <w:spacing w:line="500" w:lineRule="exact"/>
        <w:ind w:firstLine="240" w:firstLineChars="100"/>
        <w:rPr>
          <w:rFonts w:ascii="宋体"/>
          <w:sz w:val="24"/>
        </w:rPr>
      </w:pPr>
      <w:r>
        <w:rPr>
          <w:rFonts w:hint="eastAsia" w:ascii="宋体" w:hAnsi="宋体"/>
          <w:sz w:val="24"/>
        </w:rPr>
        <w:t>⑻评委委员会评议认为构成废标的其他情况；</w:t>
      </w:r>
    </w:p>
    <w:p>
      <w:pPr>
        <w:spacing w:line="500" w:lineRule="exact"/>
        <w:ind w:firstLine="240" w:firstLineChars="100"/>
        <w:rPr>
          <w:rFonts w:ascii="宋体"/>
          <w:sz w:val="24"/>
        </w:rPr>
      </w:pPr>
      <w:r>
        <w:rPr>
          <w:rFonts w:hint="eastAsia" w:ascii="宋体" w:hAnsi="宋体"/>
          <w:sz w:val="24"/>
        </w:rPr>
        <w:t>⑼项目负责人未参加现场答辩的；</w:t>
      </w:r>
    </w:p>
    <w:p>
      <w:pPr>
        <w:spacing w:line="500" w:lineRule="exact"/>
        <w:ind w:firstLine="241" w:firstLineChars="100"/>
        <w:rPr>
          <w:rFonts w:ascii="宋体"/>
          <w:b/>
          <w:sz w:val="24"/>
        </w:rPr>
      </w:pPr>
      <w:r>
        <w:rPr>
          <w:rFonts w:hint="eastAsia" w:ascii="宋体" w:hAnsi="宋体"/>
          <w:b/>
          <w:sz w:val="24"/>
        </w:rPr>
        <w:t>⑽其他未实质性响应招标文件要求的。</w:t>
      </w:r>
    </w:p>
    <w:p>
      <w:pPr>
        <w:spacing w:line="500" w:lineRule="exact"/>
        <w:rPr>
          <w:rFonts w:ascii="宋体" w:hAnsi="宋体"/>
          <w:bCs/>
          <w:kern w:val="0"/>
          <w:sz w:val="24"/>
        </w:rPr>
      </w:pPr>
      <w:r>
        <w:rPr>
          <w:rFonts w:hint="eastAsia" w:ascii="宋体" w:hAnsi="宋体"/>
          <w:bCs/>
          <w:kern w:val="0"/>
          <w:sz w:val="24"/>
        </w:rPr>
        <w:t>7.二次招标</w:t>
      </w:r>
    </w:p>
    <w:p>
      <w:pPr>
        <w:spacing w:line="500" w:lineRule="exact"/>
        <w:rPr>
          <w:rFonts w:ascii="宋体" w:hAnsi="宋体"/>
          <w:kern w:val="0"/>
          <w:sz w:val="24"/>
        </w:rPr>
      </w:pPr>
      <w:r>
        <w:rPr>
          <w:rFonts w:hint="eastAsia" w:ascii="宋体" w:hAnsi="宋体"/>
          <w:kern w:val="0"/>
          <w:sz w:val="24"/>
        </w:rPr>
        <w:t xml:space="preserve">  7.1如项目流标，招标人根据情况可能发布二次公告，进行二次招标。二次招标如符合专业条件的投标人或对招标文件作实质响应的投标人只有两家，评委会将视情况现场转为竞争性谈判；</w:t>
      </w:r>
    </w:p>
    <w:p>
      <w:pPr>
        <w:spacing w:line="500" w:lineRule="exact"/>
        <w:rPr>
          <w:rFonts w:ascii="宋体" w:hAnsi="宋体"/>
          <w:kern w:val="0"/>
          <w:sz w:val="24"/>
        </w:rPr>
      </w:pPr>
      <w:r>
        <w:rPr>
          <w:rFonts w:hint="eastAsia" w:ascii="宋体" w:hAnsi="宋体"/>
          <w:kern w:val="0"/>
          <w:sz w:val="24"/>
        </w:rPr>
        <w:t xml:space="preserve">  7.2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00" w:lineRule="exact"/>
        <w:rPr>
          <w:rFonts w:ascii="宋体" w:hAnsi="宋体"/>
          <w:kern w:val="0"/>
          <w:sz w:val="24"/>
        </w:rPr>
      </w:pPr>
      <w:r>
        <w:rPr>
          <w:rFonts w:hint="eastAsia" w:ascii="宋体" w:hAnsi="宋体"/>
          <w:kern w:val="0"/>
          <w:sz w:val="24"/>
        </w:rPr>
        <w:t xml:space="preserve">  7.3前次招标流标后，投标人如继续参加二次投标，投标保证金无需重复缴纳。如不参加二次投标的的投标人须书面告知招标人，招标人在规定时间内予以退还投标保证金。</w:t>
      </w:r>
    </w:p>
    <w:p>
      <w:pPr>
        <w:spacing w:line="500" w:lineRule="exact"/>
        <w:rPr>
          <w:rFonts w:ascii="宋体" w:hAnsi="宋体"/>
          <w:kern w:val="0"/>
          <w:sz w:val="24"/>
        </w:rPr>
      </w:pPr>
      <w:r>
        <w:rPr>
          <w:rFonts w:hint="eastAsia" w:ascii="宋体" w:hAnsi="宋体"/>
          <w:kern w:val="0"/>
          <w:sz w:val="24"/>
        </w:rPr>
        <w:t xml:space="preserve"> 8.招标人依据公开、公平、公正原则进行评定标，投标人若认为本次招标过程中存在有违“三公”原则的，可向监标人书面投诉（只接受书面投诉）；联系地址：合肥市黄山路596号楼150</w:t>
      </w:r>
      <w:r>
        <w:rPr>
          <w:rFonts w:hint="eastAsia" w:ascii="宋体" w:hAnsi="宋体"/>
          <w:kern w:val="0"/>
          <w:sz w:val="24"/>
          <w:lang w:val="en-US" w:eastAsia="zh-CN"/>
        </w:rPr>
        <w:t>9</w:t>
      </w:r>
      <w:r>
        <w:rPr>
          <w:rFonts w:hint="eastAsia" w:ascii="宋体" w:hAnsi="宋体"/>
          <w:kern w:val="0"/>
          <w:sz w:val="24"/>
        </w:rPr>
        <w:t>室  百大集团纪委案管审理室。</w:t>
      </w:r>
    </w:p>
    <w:p>
      <w:pPr>
        <w:spacing w:line="500" w:lineRule="exact"/>
        <w:ind w:firstLine="236" w:firstLineChars="98"/>
        <w:rPr>
          <w:rFonts w:ascii="宋体"/>
          <w:b/>
          <w:sz w:val="24"/>
        </w:rPr>
      </w:pPr>
      <w:r>
        <w:rPr>
          <w:rFonts w:hint="eastAsia" w:ascii="宋体" w:hAnsi="宋体"/>
          <w:b/>
          <w:sz w:val="24"/>
        </w:rPr>
        <w:t>四、服务合同的确定</w:t>
      </w:r>
    </w:p>
    <w:p>
      <w:pPr>
        <w:spacing w:line="500" w:lineRule="exact"/>
        <w:ind w:firstLine="240" w:firstLineChars="100"/>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spacing w:line="500" w:lineRule="exact"/>
        <w:ind w:firstLine="240" w:firstLineChars="100"/>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spacing w:line="500" w:lineRule="exact"/>
        <w:ind w:firstLine="240" w:firstLineChars="100"/>
        <w:rPr>
          <w:rFonts w:ascii="宋体" w:hAns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spacing w:line="500" w:lineRule="exact"/>
        <w:ind w:firstLine="236" w:firstLineChars="98"/>
        <w:rPr>
          <w:rFonts w:ascii="宋体" w:hAnsi="宋体"/>
          <w:b/>
          <w:sz w:val="24"/>
        </w:rPr>
      </w:pPr>
      <w:r>
        <w:rPr>
          <w:rFonts w:hint="eastAsia" w:ascii="宋体" w:hAnsi="宋体"/>
          <w:b/>
          <w:sz w:val="24"/>
        </w:rPr>
        <w:t>五、履约保证金</w:t>
      </w:r>
    </w:p>
    <w:p>
      <w:pPr>
        <w:spacing w:line="500" w:lineRule="exact"/>
        <w:ind w:firstLine="240" w:firstLineChars="100"/>
        <w:rPr>
          <w:rFonts w:ascii="宋体" w:hAnsi="宋体"/>
          <w:dstrike/>
          <w:sz w:val="24"/>
        </w:rPr>
      </w:pPr>
      <w:r>
        <w:rPr>
          <w:rFonts w:hint="eastAsia" w:ascii="宋体" w:hAnsi="宋体"/>
          <w:sz w:val="24"/>
        </w:rPr>
        <w:t>1.签订合同前，投标人应提交履约保证金。履约保证金金额、收受方式及收受人见投标人须知前附表规定。</w:t>
      </w:r>
    </w:p>
    <w:p>
      <w:pPr>
        <w:spacing w:line="500" w:lineRule="exact"/>
        <w:ind w:firstLine="240" w:firstLineChars="100"/>
        <w:rPr>
          <w:rFonts w:ascii="宋体" w:hAnsi="宋体"/>
          <w:sz w:val="24"/>
        </w:rPr>
      </w:pPr>
      <w:r>
        <w:rPr>
          <w:rFonts w:hint="eastAsia" w:ascii="宋体" w:hAnsi="宋体"/>
          <w:sz w:val="24"/>
        </w:rPr>
        <w:t>2.投标人须知前附表约定收取定额履约保证金或免收履约保证金的，从其规定。</w:t>
      </w:r>
    </w:p>
    <w:p>
      <w:pPr>
        <w:spacing w:line="500" w:lineRule="exact"/>
        <w:ind w:firstLine="240" w:firstLineChars="100"/>
        <w:rPr>
          <w:rFonts w:ascii="宋体" w:hAnsi="宋体"/>
          <w:sz w:val="24"/>
        </w:rPr>
      </w:pPr>
      <w:r>
        <w:rPr>
          <w:rFonts w:hint="eastAsia" w:ascii="宋体" w:hAnsi="宋体"/>
          <w:sz w:val="24"/>
        </w:rPr>
        <w:t>3.如果中标人未按规定交纳履约保证金，招标人有权取消该授标，并没收其投标保证金。</w:t>
      </w:r>
    </w:p>
    <w:p>
      <w:pPr>
        <w:spacing w:line="440" w:lineRule="exact"/>
        <w:ind w:firstLine="240" w:firstLineChars="100"/>
        <w:rPr>
          <w:rFonts w:ascii="宋体"/>
          <w:sz w:val="24"/>
        </w:rPr>
      </w:pPr>
    </w:p>
    <w:p>
      <w:pPr>
        <w:rPr>
          <w:rFonts w:ascii="宋体"/>
          <w:sz w:val="24"/>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pStyle w:val="2"/>
        <w:numPr>
          <w:ilvl w:val="0"/>
          <w:numId w:val="3"/>
        </w:numPr>
        <w:ind w:left="432" w:leftChars="0" w:hanging="432" w:firstLineChars="0"/>
        <w:rPr>
          <w:rFonts w:hint="eastAsia"/>
        </w:rPr>
      </w:pPr>
      <w:bookmarkStart w:id="4" w:name="_Toc73976252"/>
      <w:r>
        <w:rPr>
          <w:rFonts w:hint="eastAsia"/>
          <w:lang w:val="en-US" w:eastAsia="zh-CN"/>
        </w:rPr>
        <w:t xml:space="preserve"> </w:t>
      </w:r>
      <w:r>
        <w:rPr>
          <w:rFonts w:hint="eastAsia"/>
        </w:rPr>
        <w:t>招标需求</w:t>
      </w:r>
      <w:bookmarkEnd w:id="4"/>
    </w:p>
    <w:p>
      <w:pPr>
        <w:numPr>
          <w:ilvl w:val="0"/>
          <w:numId w:val="0"/>
        </w:numPr>
        <w:ind w:leftChars="0"/>
      </w:pPr>
    </w:p>
    <w:p>
      <w:pPr>
        <w:pStyle w:val="46"/>
        <w:spacing w:line="360" w:lineRule="auto"/>
        <w:ind w:firstLine="0" w:firstLineChars="0"/>
        <w:rPr>
          <w:rFonts w:ascii="宋体" w:hAnsi="宋体"/>
          <w:sz w:val="24"/>
        </w:rPr>
      </w:pPr>
      <w:bookmarkStart w:id="5" w:name="_Toc486433794"/>
      <w:bookmarkStart w:id="6" w:name="_Toc484762213"/>
      <w:bookmarkStart w:id="7" w:name="_Toc486253611"/>
      <w:bookmarkStart w:id="8" w:name="_Toc486254518"/>
      <w:r>
        <w:rPr>
          <w:rFonts w:hint="eastAsia" w:ascii="宋体" w:hAnsi="宋体"/>
          <w:sz w:val="24"/>
        </w:rPr>
        <w:t>1.本需求中提出的技术方案仅为参考，如无明确限制，投标人可以进行优化，</w:t>
      </w:r>
    </w:p>
    <w:p>
      <w:pPr>
        <w:spacing w:line="360" w:lineRule="auto"/>
        <w:rPr>
          <w:rFonts w:ascii="宋体" w:hAnsi="宋体"/>
          <w:sz w:val="24"/>
        </w:rPr>
      </w:pPr>
      <w:r>
        <w:rPr>
          <w:rFonts w:hint="eastAsia" w:ascii="宋体" w:hAnsi="宋体"/>
          <w:sz w:val="24"/>
        </w:rPr>
        <w:t>提供满足用户实际需要的更优（或者性能实质上不低于的）技术方案或者设备配置，且此方案或配置须经评标委员会审核认可；</w:t>
      </w:r>
    </w:p>
    <w:p>
      <w:pPr>
        <w:spacing w:line="360" w:lineRule="auto"/>
        <w:rPr>
          <w:rFonts w:ascii="宋体" w:hAnsi="宋体"/>
          <w:sz w:val="24"/>
        </w:rPr>
      </w:pPr>
      <w:r>
        <w:rPr>
          <w:rFonts w:hint="eastAsia" w:ascii="宋体" w:hAnsi="宋体"/>
          <w:sz w:val="24"/>
        </w:rPr>
        <w:t>2.</w:t>
      </w:r>
      <w:r>
        <w:rPr>
          <w:rFonts w:hint="eastAsia" w:ascii="宋体" w:hAnsi="宋体"/>
          <w:sz w:val="24"/>
          <w:szCs w:val="28"/>
        </w:rPr>
        <w:t>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b/>
          <w:sz w:val="24"/>
        </w:rPr>
        <w:cr/>
      </w:r>
      <w:r>
        <w:rPr>
          <w:rFonts w:hint="eastAsia" w:ascii="宋体" w:hAnsi="宋体"/>
          <w:bCs/>
          <w:sz w:val="24"/>
        </w:rPr>
        <w:t>3.</w:t>
      </w:r>
      <w:r>
        <w:rPr>
          <w:rFonts w:hint="eastAsia" w:ascii="宋体" w:hAnsi="宋体"/>
          <w:sz w:val="24"/>
        </w:rPr>
        <w:t>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rPr>
          <w:rFonts w:ascii="宋体" w:hAnsi="宋体"/>
          <w:sz w:val="24"/>
        </w:rPr>
      </w:pPr>
    </w:p>
    <w:p>
      <w:pPr>
        <w:pStyle w:val="4"/>
        <w:keepNext w:val="0"/>
        <w:widowControl w:val="0"/>
        <w:spacing w:line="360" w:lineRule="auto"/>
        <w:rPr>
          <w:rFonts w:hAnsi="宋体"/>
          <w:sz w:val="24"/>
          <w:szCs w:val="24"/>
        </w:rPr>
      </w:pPr>
      <w:bookmarkStart w:id="9" w:name="_Toc73976253"/>
      <w:r>
        <w:rPr>
          <w:rFonts w:hint="eastAsia" w:hAnsi="宋体"/>
          <w:sz w:val="24"/>
          <w:szCs w:val="24"/>
        </w:rPr>
        <w:t>一、项目概述</w:t>
      </w:r>
      <w:bookmarkEnd w:id="5"/>
      <w:bookmarkEnd w:id="6"/>
      <w:bookmarkEnd w:id="7"/>
      <w:bookmarkEnd w:id="8"/>
      <w:bookmarkEnd w:id="9"/>
    </w:p>
    <w:p>
      <w:pPr>
        <w:spacing w:line="360" w:lineRule="auto"/>
        <w:ind w:firstLine="480"/>
        <w:rPr>
          <w:rFonts w:ascii="宋体" w:hAnsi="宋体"/>
          <w:sz w:val="24"/>
        </w:rPr>
      </w:pPr>
      <w:r>
        <w:rPr>
          <w:rFonts w:hint="eastAsia" w:ascii="宋体" w:hAnsi="宋体"/>
          <w:sz w:val="24"/>
        </w:rPr>
        <w:t>合肥百货大楼集团铜陵合百商厦有限责任公司（以下简称铜陵合百商厦）于2003年12月20日开业，隶属于合肥百货大楼集团，其位于皖南铜陵市商业最繁华的黄金地段长江路和义安路交汇处。楼体为框架结构，地下一层，地上九层，总经营面积近3万平米，一楼层高5米、一楼夹层层高2.9米、其他楼层3.8米。目前公司的监控广播客流系统使用10年，使用效果、功能实均满足不了发展的需求。</w:t>
      </w:r>
    </w:p>
    <w:p>
      <w:pPr>
        <w:spacing w:line="360" w:lineRule="auto"/>
        <w:ind w:firstLine="480"/>
        <w:rPr>
          <w:rFonts w:ascii="宋体" w:hAnsi="宋体"/>
          <w:sz w:val="24"/>
        </w:rPr>
      </w:pPr>
      <w:r>
        <w:rPr>
          <w:rFonts w:hint="eastAsia" w:ascii="宋体" w:hAnsi="宋体" w:eastAsia="宋体" w:cs="宋体"/>
          <w:sz w:val="24"/>
          <w:szCs w:val="24"/>
        </w:rPr>
        <w:t>铜陵</w:t>
      </w:r>
      <w:r>
        <w:rPr>
          <w:rFonts w:hint="eastAsia" w:ascii="宋体" w:hAnsi="宋体" w:cs="宋体"/>
          <w:sz w:val="24"/>
          <w:szCs w:val="24"/>
          <w:lang w:eastAsia="zh-CN"/>
        </w:rPr>
        <w:t>百大购物中心</w:t>
      </w:r>
      <w:r>
        <w:rPr>
          <w:rFonts w:hint="eastAsia" w:ascii="宋体" w:hAnsi="宋体"/>
          <w:sz w:val="24"/>
        </w:rPr>
        <w:t>监控广播客流系统升级改造遵循“投资合理，统一规划、立足现在、适度超前”的指导思想，以满足目前应用为基础，同时考虑到今后智能化技术的发展趋势，改造后的广播、监控系统需具备技术先进性、经济实用性、结构合理性、使用可靠稳定性、可扩展性。</w:t>
      </w:r>
    </w:p>
    <w:p>
      <w:pPr>
        <w:spacing w:line="360" w:lineRule="auto"/>
        <w:ind w:firstLine="480"/>
        <w:rPr>
          <w:rFonts w:ascii="宋体" w:hAnsi="宋体"/>
          <w:sz w:val="24"/>
        </w:rPr>
      </w:pPr>
      <w:r>
        <w:rPr>
          <w:rFonts w:hint="eastAsia" w:ascii="宋体" w:hAnsi="宋体"/>
          <w:sz w:val="24"/>
        </w:rPr>
        <w:t>本次项目改造主要包括以下方面内容：</w:t>
      </w:r>
    </w:p>
    <w:p>
      <w:pPr>
        <w:spacing w:line="360" w:lineRule="auto"/>
        <w:ind w:left="420" w:firstLine="420"/>
        <w:rPr>
          <w:rFonts w:ascii="宋体" w:hAnsi="宋体"/>
          <w:sz w:val="24"/>
        </w:rPr>
      </w:pPr>
      <w:r>
        <w:rPr>
          <w:rFonts w:hint="eastAsia" w:ascii="宋体" w:hAnsi="宋体"/>
          <w:b/>
          <w:sz w:val="24"/>
        </w:rPr>
        <w:t>※</w:t>
      </w:r>
      <w:r>
        <w:rPr>
          <w:rFonts w:hint="eastAsia" w:ascii="宋体" w:hAnsi="宋体"/>
          <w:sz w:val="24"/>
        </w:rPr>
        <w:t>监控系统；</w:t>
      </w:r>
    </w:p>
    <w:p>
      <w:pPr>
        <w:spacing w:line="360" w:lineRule="auto"/>
        <w:ind w:left="420" w:firstLine="420"/>
        <w:rPr>
          <w:rFonts w:ascii="宋体" w:hAnsi="宋体"/>
          <w:sz w:val="24"/>
        </w:rPr>
      </w:pPr>
      <w:r>
        <w:rPr>
          <w:rFonts w:hint="eastAsia" w:ascii="宋体" w:hAnsi="宋体"/>
          <w:b/>
          <w:sz w:val="24"/>
        </w:rPr>
        <w:t>※</w:t>
      </w:r>
      <w:r>
        <w:rPr>
          <w:rFonts w:hint="eastAsia" w:ascii="宋体" w:hAnsi="宋体"/>
          <w:sz w:val="24"/>
        </w:rPr>
        <w:t xml:space="preserve"> 广播系统；</w:t>
      </w:r>
    </w:p>
    <w:p>
      <w:pPr>
        <w:spacing w:line="360" w:lineRule="auto"/>
        <w:ind w:left="420" w:firstLine="420"/>
        <w:rPr>
          <w:rFonts w:hint="eastAsia" w:ascii="宋体" w:hAnsi="宋体"/>
          <w:sz w:val="24"/>
        </w:rPr>
      </w:pPr>
      <w:r>
        <w:rPr>
          <w:rFonts w:hint="eastAsia" w:ascii="宋体" w:hAnsi="宋体"/>
          <w:b/>
          <w:sz w:val="24"/>
        </w:rPr>
        <w:t>※</w:t>
      </w:r>
      <w:r>
        <w:rPr>
          <w:rFonts w:hint="eastAsia" w:ascii="宋体" w:hAnsi="宋体"/>
          <w:sz w:val="24"/>
        </w:rPr>
        <w:t xml:space="preserve"> 客流系统；</w:t>
      </w:r>
    </w:p>
    <w:p>
      <w:pPr>
        <w:spacing w:line="360" w:lineRule="auto"/>
        <w:ind w:left="420" w:firstLine="420"/>
        <w:rPr>
          <w:rFonts w:hint="eastAsia" w:ascii="宋体" w:hAnsi="宋体"/>
          <w:sz w:val="24"/>
        </w:rPr>
      </w:pPr>
    </w:p>
    <w:p>
      <w:pPr>
        <w:pStyle w:val="4"/>
        <w:spacing w:line="360" w:lineRule="auto"/>
        <w:rPr>
          <w:rFonts w:hAnsi="宋体"/>
          <w:sz w:val="24"/>
          <w:szCs w:val="24"/>
        </w:rPr>
      </w:pPr>
      <w:bookmarkStart w:id="10" w:name="_Toc73976254"/>
      <w:bookmarkStart w:id="11" w:name="_Toc484762215"/>
      <w:bookmarkStart w:id="12" w:name="_Toc486433796"/>
      <w:bookmarkStart w:id="13" w:name="_Toc486253613"/>
      <w:bookmarkStart w:id="14" w:name="_Toc486254520"/>
      <w:r>
        <w:rPr>
          <w:rFonts w:hint="eastAsia" w:hAnsi="宋体"/>
          <w:sz w:val="24"/>
          <w:szCs w:val="24"/>
        </w:rPr>
        <w:t>二、监控系统</w:t>
      </w:r>
      <w:bookmarkEnd w:id="10"/>
    </w:p>
    <w:p>
      <w:pPr>
        <w:spacing w:line="360" w:lineRule="auto"/>
        <w:ind w:firstLine="420"/>
        <w:rPr>
          <w:rFonts w:ascii="宋体" w:hAnsi="宋体" w:cs="宋体"/>
          <w:sz w:val="24"/>
        </w:rPr>
      </w:pPr>
      <w:r>
        <w:rPr>
          <w:rFonts w:ascii="宋体" w:hAnsi="宋体" w:cs="宋体"/>
          <w:sz w:val="24"/>
        </w:rPr>
        <w:t>根据</w:t>
      </w:r>
      <w:r>
        <w:rPr>
          <w:rFonts w:hint="eastAsia" w:ascii="宋体" w:hAnsi="宋体" w:cs="宋体"/>
          <w:sz w:val="24"/>
        </w:rPr>
        <w:t>铜陵百大</w:t>
      </w:r>
      <w:r>
        <w:rPr>
          <w:rFonts w:ascii="宋体" w:hAnsi="宋体" w:cs="宋体"/>
          <w:sz w:val="24"/>
        </w:rPr>
        <w:t>使用功能及安全防范管理的要求，监控系统采用网络高清监控解决方案，主要功能是对于各个现场实况进行监视，使得管理人员在中心控制室内能观察楼内重要地点的情况，对出入办公楼的人员进行监视、记录，管理人员可以在权限范围内查看前端图像并对前端图像采集设备进行操控。监控图像根据要求进行可靠的存储，各级管理人员可以在权限范围内方便地调用、查询。</w:t>
      </w:r>
    </w:p>
    <w:p>
      <w:pPr>
        <w:spacing w:line="360" w:lineRule="auto"/>
        <w:ind w:firstLine="480" w:firstLineChars="200"/>
        <w:rPr>
          <w:rFonts w:ascii="宋体" w:hAnsi="宋体" w:cs="宋体"/>
          <w:sz w:val="24"/>
        </w:rPr>
      </w:pPr>
      <w:r>
        <w:rPr>
          <w:rFonts w:ascii="宋体" w:hAnsi="宋体" w:cs="宋体"/>
          <w:sz w:val="24"/>
        </w:rPr>
        <w:t>整个购物中心实行安全保卫统一监控管理。在监控机房（监控中心）设置监控平台。监控中心的监控平台可以管理和查看室内和室外所有的监控图像。整个建筑区的监控中心、监控室设置及管理范围：室内、室外</w:t>
      </w:r>
      <w:r>
        <w:rPr>
          <w:rFonts w:hint="eastAsia" w:ascii="宋体" w:hAnsi="宋体" w:cs="宋体"/>
          <w:sz w:val="24"/>
        </w:rPr>
        <w:t>停车广场</w:t>
      </w:r>
      <w:r>
        <w:rPr>
          <w:rFonts w:ascii="宋体" w:hAnsi="宋体" w:cs="宋体"/>
          <w:sz w:val="24"/>
        </w:rPr>
        <w:t>、</w:t>
      </w:r>
      <w:r>
        <w:rPr>
          <w:rFonts w:hint="eastAsia" w:ascii="宋体" w:hAnsi="宋体" w:cs="宋体"/>
          <w:sz w:val="24"/>
        </w:rPr>
        <w:t>安全通道及出入口</w:t>
      </w:r>
      <w:r>
        <w:rPr>
          <w:rFonts w:ascii="宋体" w:hAnsi="宋体" w:cs="宋体"/>
          <w:sz w:val="24"/>
        </w:rPr>
        <w:t>、地下层、电梯内、楼顶的监控摄像机，并具有最高权限可管理、调阅整个</w:t>
      </w:r>
      <w:r>
        <w:rPr>
          <w:rFonts w:hint="eastAsia" w:ascii="宋体" w:hAnsi="宋体" w:cs="宋体"/>
          <w:sz w:val="24"/>
        </w:rPr>
        <w:t>铜陵百大</w:t>
      </w:r>
      <w:r>
        <w:rPr>
          <w:rFonts w:ascii="宋体" w:hAnsi="宋体" w:cs="宋体"/>
          <w:sz w:val="24"/>
        </w:rPr>
        <w:t>所有监控图像</w:t>
      </w:r>
      <w:r>
        <w:rPr>
          <w:rFonts w:hint="eastAsia" w:ascii="宋体" w:hAnsi="宋体" w:cs="宋体"/>
          <w:sz w:val="24"/>
        </w:rPr>
        <w:t>。整个商厦内部分专柜、专厅、重要场所的现有摄像头（约10个）须接入改造后的新系统。收银台位置监控隐蔽安装，手扶摄像头摄像方向从下往上。</w:t>
      </w:r>
    </w:p>
    <w:p>
      <w:pPr>
        <w:spacing w:line="360" w:lineRule="auto"/>
        <w:ind w:firstLine="480" w:firstLineChars="200"/>
        <w:rPr>
          <w:rFonts w:ascii="宋体" w:hAnsi="宋体" w:cs="宋体"/>
          <w:sz w:val="24"/>
        </w:rPr>
      </w:pPr>
      <w:r>
        <w:rPr>
          <w:rFonts w:hint="eastAsia" w:ascii="宋体" w:hAnsi="宋体" w:cs="宋体"/>
          <w:sz w:val="24"/>
        </w:rPr>
        <w:t>监控系统建设要求：</w:t>
      </w:r>
    </w:p>
    <w:p>
      <w:pPr>
        <w:spacing w:line="360" w:lineRule="auto"/>
        <w:ind w:firstLine="480"/>
        <w:rPr>
          <w:rFonts w:ascii="宋体" w:hAnsi="宋体" w:cs="宋体"/>
          <w:sz w:val="24"/>
        </w:rPr>
      </w:pPr>
      <w:r>
        <w:rPr>
          <w:rFonts w:ascii="宋体" w:hAnsi="宋体" w:cs="宋体"/>
          <w:sz w:val="24"/>
        </w:rPr>
        <w:t>⑴系统设计规范和技术要求严格执行国家及行业相关标准、规范。</w:t>
      </w:r>
    </w:p>
    <w:p>
      <w:pPr>
        <w:spacing w:line="360" w:lineRule="auto"/>
        <w:ind w:firstLine="480"/>
        <w:rPr>
          <w:rFonts w:ascii="宋体" w:hAnsi="宋体" w:cs="宋体"/>
          <w:sz w:val="24"/>
        </w:rPr>
      </w:pPr>
      <w:r>
        <w:rPr>
          <w:rFonts w:ascii="宋体" w:hAnsi="宋体" w:cs="宋体"/>
          <w:sz w:val="24"/>
        </w:rPr>
        <w:t>⑵系统能自成网络，独立运行，任一个子系统的故障不应影响其他子系统的正常工作。</w:t>
      </w:r>
    </w:p>
    <w:p>
      <w:pPr>
        <w:spacing w:line="360" w:lineRule="auto"/>
        <w:ind w:firstLine="480"/>
        <w:rPr>
          <w:rFonts w:ascii="宋体" w:hAnsi="宋体" w:cs="宋体"/>
          <w:sz w:val="24"/>
        </w:rPr>
      </w:pPr>
      <w:r>
        <w:rPr>
          <w:rFonts w:ascii="宋体" w:hAnsi="宋体" w:cs="宋体"/>
          <w:sz w:val="24"/>
        </w:rPr>
        <w:t>⑶系统管理软件具有用户密码权限分级设置功能，能够划分操作级别和控制权限。系统重要数据需要进行修改、增删操作时，采用更高级别的安全认证措施。</w:t>
      </w:r>
    </w:p>
    <w:p>
      <w:pPr>
        <w:spacing w:line="360" w:lineRule="auto"/>
        <w:ind w:firstLine="480"/>
        <w:rPr>
          <w:rFonts w:ascii="宋体" w:hAnsi="宋体" w:cs="宋体"/>
          <w:sz w:val="24"/>
        </w:rPr>
      </w:pPr>
      <w:r>
        <w:rPr>
          <w:rFonts w:ascii="宋体" w:hAnsi="宋体" w:cs="宋体"/>
          <w:sz w:val="24"/>
        </w:rPr>
        <w:t>⑷各系统设备时钟必须保持同步，并具有自动校时功能，以保证总系统时间的一致性。系统内设备重新启动或网络中断后重新连通时，能够自动进行时钟同步。</w:t>
      </w:r>
    </w:p>
    <w:p>
      <w:pPr>
        <w:spacing w:line="360" w:lineRule="auto"/>
        <w:ind w:firstLine="480"/>
        <w:rPr>
          <w:rFonts w:ascii="宋体" w:hAnsi="宋体" w:cs="宋体"/>
          <w:sz w:val="24"/>
        </w:rPr>
      </w:pPr>
      <w:r>
        <w:rPr>
          <w:rFonts w:ascii="宋体" w:hAnsi="宋体" w:cs="宋体"/>
          <w:sz w:val="24"/>
        </w:rPr>
        <w:t>⑸系统前端设备与技术（包括性能指标）的选用，应根据防护区域或部位的现场情况和重要程度确定，按照均衡布防的原则，建立点、线、面、空间或组合的综合防护系统。</w:t>
      </w:r>
    </w:p>
    <w:p>
      <w:pPr>
        <w:spacing w:line="360" w:lineRule="auto"/>
        <w:ind w:firstLine="480"/>
        <w:rPr>
          <w:rFonts w:ascii="宋体" w:hAnsi="宋体" w:cs="宋体"/>
          <w:sz w:val="24"/>
        </w:rPr>
      </w:pPr>
      <w:r>
        <w:rPr>
          <w:rFonts w:ascii="宋体" w:hAnsi="宋体" w:cs="宋体"/>
          <w:sz w:val="24"/>
        </w:rPr>
        <w:t>⑹为满足高质量视频监控管理的需求，系统图像数字化、传输、存储、管理应构建在高质量的安防专网之上，采用开放的IP架构、基于全IP软交换技术实现所有业务流的交换分发，实现控制信令与视频交换承载网络相分离，符合下一代网络架构展的趋势。</w:t>
      </w:r>
    </w:p>
    <w:p>
      <w:pPr>
        <w:spacing w:line="360" w:lineRule="auto"/>
        <w:ind w:firstLine="480"/>
        <w:rPr>
          <w:rFonts w:ascii="宋体" w:hAnsi="宋体" w:cs="宋体"/>
          <w:sz w:val="24"/>
        </w:rPr>
      </w:pPr>
      <w:r>
        <w:rPr>
          <w:rFonts w:ascii="宋体" w:hAnsi="宋体" w:cs="宋体"/>
          <w:sz w:val="24"/>
        </w:rPr>
        <w:t>⑺视频监控系统平台通过接口协议实现对入侵报警系统的集成，掌握入侵报警系统设备的运行情况和防区报警信号(包括各防区报警信号、故障信号和各防拆报警)，实现对入侵报警系统的联动。</w:t>
      </w:r>
    </w:p>
    <w:p>
      <w:pPr>
        <w:spacing w:line="360" w:lineRule="auto"/>
        <w:ind w:firstLine="480"/>
        <w:rPr>
          <w:rFonts w:ascii="宋体" w:hAnsi="宋体" w:cs="宋体"/>
          <w:sz w:val="24"/>
        </w:rPr>
      </w:pPr>
      <w:r>
        <w:rPr>
          <w:rFonts w:ascii="宋体" w:hAnsi="宋体" w:cs="宋体"/>
          <w:sz w:val="24"/>
        </w:rPr>
        <w:t>⑻安防视频监控主要设备必须支持GB/T 28181-2011标准，系统维保须遵循DB33/T 2134-2014等标准。</w:t>
      </w:r>
    </w:p>
    <w:p>
      <w:pPr>
        <w:spacing w:line="360" w:lineRule="auto"/>
        <w:rPr>
          <w:rFonts w:ascii="宋体" w:hAnsi="宋体" w:cs="宋体"/>
          <w:sz w:val="24"/>
        </w:rPr>
      </w:pPr>
      <w:r>
        <w:rPr>
          <w:rFonts w:ascii="宋体" w:hAnsi="宋体" w:cs="宋体"/>
          <w:sz w:val="24"/>
        </w:rPr>
        <w:tab/>
      </w:r>
      <w:r>
        <w:rPr>
          <w:rFonts w:hint="eastAsia" w:ascii="宋体" w:hAnsi="宋体" w:cs="宋体"/>
          <w:sz w:val="24"/>
        </w:rPr>
        <w:t>视频监控系统对监控部位进行全天24小时不间断实时监控，监控系统须采用全数字型的建设模式，摄像机选用网络摄像机，传输网络在智能化专网中设置，满足视频监控系统的全局看、控、存、管、用的业务需求，系统接入监控系统监控信号，通过视频解码设备将视频图像解码到拼接大屏。</w:t>
      </w:r>
    </w:p>
    <w:p>
      <w:pPr>
        <w:spacing w:line="360" w:lineRule="auto"/>
        <w:ind w:firstLine="480" w:firstLineChars="200"/>
        <w:jc w:val="left"/>
        <w:rPr>
          <w:rFonts w:ascii="宋体" w:hAnsi="宋体" w:cs="宋体"/>
          <w:sz w:val="24"/>
        </w:rPr>
      </w:pPr>
      <w:r>
        <w:rPr>
          <w:rFonts w:hint="eastAsia" w:ascii="宋体" w:hAnsi="宋体" w:cs="宋体"/>
          <w:sz w:val="24"/>
        </w:rPr>
        <w:t>前端部分：主要有摄像机及其附件（支架、防护罩）</w:t>
      </w:r>
    </w:p>
    <w:p>
      <w:pPr>
        <w:spacing w:line="360" w:lineRule="auto"/>
        <w:ind w:firstLine="480" w:firstLineChars="200"/>
        <w:jc w:val="left"/>
        <w:rPr>
          <w:rFonts w:ascii="宋体" w:hAnsi="宋体" w:cs="宋体"/>
          <w:sz w:val="24"/>
        </w:rPr>
      </w:pPr>
      <w:r>
        <w:rPr>
          <w:rFonts w:hint="eastAsia" w:ascii="宋体" w:hAnsi="宋体" w:cs="宋体"/>
          <w:sz w:val="24"/>
        </w:rPr>
        <w:t>传输部分：六类非屏蔽双绞线；</w:t>
      </w:r>
    </w:p>
    <w:p>
      <w:pPr>
        <w:spacing w:line="360" w:lineRule="auto"/>
        <w:ind w:firstLine="480" w:firstLineChars="200"/>
        <w:jc w:val="left"/>
        <w:rPr>
          <w:rFonts w:ascii="宋体" w:hAnsi="宋体" w:cs="宋体"/>
          <w:sz w:val="24"/>
        </w:rPr>
      </w:pPr>
      <w:r>
        <w:rPr>
          <w:rFonts w:hint="eastAsia" w:ascii="宋体" w:hAnsi="宋体" w:cs="宋体"/>
          <w:sz w:val="24"/>
        </w:rPr>
        <w:t>控制部分：视频联网管理服务器、网络键盘；</w:t>
      </w:r>
    </w:p>
    <w:p>
      <w:pPr>
        <w:spacing w:line="360" w:lineRule="auto"/>
        <w:ind w:firstLine="480" w:firstLineChars="200"/>
        <w:jc w:val="left"/>
        <w:rPr>
          <w:rFonts w:ascii="宋体" w:hAnsi="宋体" w:cs="Arial"/>
          <w:sz w:val="24"/>
        </w:rPr>
      </w:pPr>
      <w:r>
        <w:rPr>
          <w:rFonts w:hint="eastAsia" w:ascii="宋体" w:hAnsi="宋体" w:cs="宋体"/>
          <w:sz w:val="24"/>
        </w:rPr>
        <w:t>显示及记录：由6台（2行3列）55寸液晶监视器拼接屏组成的电视墙、存储服务器；</w:t>
      </w:r>
      <w:r>
        <w:rPr>
          <w:rFonts w:hint="eastAsia" w:ascii="宋体" w:hAnsi="宋体" w:cs="Arial"/>
          <w:sz w:val="24"/>
        </w:rPr>
        <w:t>数据存储应有保障数据安全的措施，在硬盘损坏时不至于使数据丢失。数据的保存时间应满足所有探头24H录像的情况下不小于90天。</w:t>
      </w:r>
    </w:p>
    <w:p>
      <w:pPr>
        <w:spacing w:line="360" w:lineRule="auto"/>
        <w:jc w:val="left"/>
        <w:rPr>
          <w:rFonts w:hint="eastAsia" w:ascii="宋体" w:hAnsi="宋体" w:cs="宋体"/>
          <w:sz w:val="24"/>
        </w:rPr>
      </w:pPr>
      <w:r>
        <w:rPr>
          <w:rFonts w:ascii="宋体" w:hAnsi="宋体" w:cs="宋体"/>
          <w:sz w:val="24"/>
        </w:rPr>
        <w:tab/>
      </w:r>
      <w:r>
        <w:rPr>
          <w:rFonts w:hint="eastAsia" w:ascii="宋体" w:hAnsi="宋体" w:cs="宋体"/>
          <w:sz w:val="24"/>
        </w:rPr>
        <w:t>本改造项目综合布线中除包含的监控信息点外，还包含35个网络信息点，用作专柜收银使用。</w:t>
      </w:r>
    </w:p>
    <w:p>
      <w:pPr>
        <w:spacing w:line="360" w:lineRule="auto"/>
        <w:jc w:val="left"/>
        <w:rPr>
          <w:rFonts w:hint="eastAsia" w:ascii="宋体" w:hAnsi="宋体" w:cs="宋体"/>
          <w:sz w:val="24"/>
        </w:rPr>
      </w:pPr>
    </w:p>
    <w:p>
      <w:pPr>
        <w:pStyle w:val="4"/>
        <w:spacing w:line="360" w:lineRule="auto"/>
        <w:rPr>
          <w:rFonts w:hAnsi="宋体"/>
          <w:sz w:val="24"/>
          <w:szCs w:val="24"/>
        </w:rPr>
      </w:pPr>
      <w:bookmarkStart w:id="15" w:name="_Toc73976255"/>
      <w:r>
        <w:rPr>
          <w:rFonts w:hint="eastAsia" w:hAnsi="宋体"/>
          <w:sz w:val="24"/>
          <w:szCs w:val="24"/>
        </w:rPr>
        <w:t>三、广播系统</w:t>
      </w:r>
      <w:bookmarkEnd w:id="11"/>
      <w:bookmarkEnd w:id="12"/>
      <w:bookmarkEnd w:id="13"/>
      <w:bookmarkEnd w:id="14"/>
      <w:bookmarkEnd w:id="15"/>
    </w:p>
    <w:p>
      <w:pPr>
        <w:spacing w:line="420" w:lineRule="exact"/>
        <w:ind w:firstLine="480"/>
        <w:rPr>
          <w:rFonts w:ascii="宋体" w:hAnsi="宋体"/>
          <w:sz w:val="24"/>
        </w:rPr>
      </w:pPr>
      <w:r>
        <w:rPr>
          <w:rFonts w:hint="eastAsia" w:ascii="宋体" w:hAnsi="宋体"/>
          <w:sz w:val="24"/>
        </w:rPr>
        <w:t>根据广播系统应用需求，结合商业综合体建设环境也已成型的实际情况，整体规模大，功能分区明确等，实现每个楼层单独分区，可实现不同分区播放不同节目源，便于播放背景音乐及寻人启事。</w:t>
      </w:r>
    </w:p>
    <w:p>
      <w:pPr>
        <w:spacing w:line="420" w:lineRule="exact"/>
        <w:ind w:firstLine="480"/>
        <w:rPr>
          <w:rFonts w:ascii="宋体" w:hAnsi="宋体"/>
          <w:sz w:val="24"/>
        </w:rPr>
      </w:pPr>
      <w:r>
        <w:rPr>
          <w:rFonts w:hint="eastAsia" w:ascii="宋体" w:hAnsi="宋体"/>
          <w:sz w:val="24"/>
        </w:rPr>
        <w:t>公共广播系统总体架构设计包含了音源部分、控制部分、功率放大部分、扬声器部分以及传输介质，分为两级管理控制，三大区域相对独立运行。</w:t>
      </w:r>
    </w:p>
    <w:p>
      <w:pPr>
        <w:spacing w:line="420" w:lineRule="exact"/>
        <w:ind w:firstLine="480"/>
        <w:rPr>
          <w:rFonts w:ascii="宋体" w:hAnsi="宋体"/>
          <w:sz w:val="24"/>
        </w:rPr>
      </w:pPr>
      <w:r>
        <w:rPr>
          <w:rFonts w:hint="eastAsia" w:ascii="宋体" w:hAnsi="宋体"/>
          <w:sz w:val="24"/>
        </w:rPr>
        <w:t>关于和消防系统对接问题：根据要求，可通过相应模块方便接入，分区单独报警、全区报警、邻区报警等功能，并实现不涉及整个系统架构调整和业内各项系统正常运行。</w:t>
      </w:r>
    </w:p>
    <w:p>
      <w:pPr>
        <w:spacing w:line="420" w:lineRule="exact"/>
        <w:ind w:firstLine="480"/>
        <w:rPr>
          <w:rFonts w:ascii="宋体" w:hAnsi="宋体"/>
          <w:sz w:val="24"/>
        </w:rPr>
      </w:pPr>
      <w:r>
        <w:rPr>
          <w:rFonts w:hint="eastAsia" w:ascii="宋体" w:hAnsi="宋体"/>
          <w:sz w:val="24"/>
        </w:rPr>
        <w:t>优先级控制和权限分配如下：</w:t>
      </w:r>
    </w:p>
    <w:p>
      <w:pPr>
        <w:spacing w:line="420" w:lineRule="exact"/>
        <w:ind w:firstLine="480"/>
        <w:rPr>
          <w:rFonts w:ascii="宋体" w:hAnsi="宋体"/>
          <w:sz w:val="24"/>
        </w:rPr>
      </w:pPr>
      <w:r>
        <w:rPr>
          <w:rFonts w:hint="eastAsia" w:ascii="宋体" w:hAnsi="宋体"/>
          <w:sz w:val="24"/>
        </w:rPr>
        <w:t>1、消防广播</w:t>
      </w:r>
    </w:p>
    <w:p>
      <w:pPr>
        <w:spacing w:line="420" w:lineRule="exact"/>
        <w:ind w:firstLine="480"/>
        <w:rPr>
          <w:rFonts w:ascii="宋体" w:hAnsi="宋体"/>
          <w:sz w:val="24"/>
        </w:rPr>
      </w:pPr>
      <w:r>
        <w:rPr>
          <w:rFonts w:hint="eastAsia" w:ascii="宋体" w:hAnsi="宋体"/>
          <w:sz w:val="24"/>
        </w:rPr>
        <w:t>2、广播控制中心人工广播</w:t>
      </w:r>
    </w:p>
    <w:p>
      <w:pPr>
        <w:spacing w:line="420" w:lineRule="exact"/>
        <w:ind w:firstLine="480"/>
        <w:rPr>
          <w:rFonts w:ascii="宋体" w:hAnsi="宋体"/>
          <w:sz w:val="24"/>
        </w:rPr>
      </w:pPr>
      <w:r>
        <w:rPr>
          <w:rFonts w:hint="eastAsia" w:ascii="宋体" w:hAnsi="宋体"/>
          <w:sz w:val="24"/>
        </w:rPr>
        <w:t>3、自动广播</w:t>
      </w:r>
    </w:p>
    <w:p>
      <w:pPr>
        <w:spacing w:line="420" w:lineRule="exact"/>
        <w:ind w:firstLine="480"/>
        <w:rPr>
          <w:rFonts w:ascii="宋体" w:hAnsi="宋体"/>
          <w:sz w:val="24"/>
        </w:rPr>
      </w:pPr>
      <w:r>
        <w:rPr>
          <w:rFonts w:hint="eastAsia" w:ascii="宋体" w:hAnsi="宋体"/>
          <w:sz w:val="24"/>
        </w:rPr>
        <w:t>4、现场区域的分控广播</w:t>
      </w:r>
    </w:p>
    <w:p>
      <w:pPr>
        <w:spacing w:line="420" w:lineRule="exact"/>
        <w:ind w:firstLine="480"/>
        <w:rPr>
          <w:rFonts w:ascii="宋体" w:hAnsi="宋体"/>
          <w:sz w:val="24"/>
        </w:rPr>
      </w:pPr>
      <w:r>
        <w:rPr>
          <w:rFonts w:hint="eastAsia" w:ascii="宋体" w:hAnsi="宋体"/>
          <w:sz w:val="24"/>
        </w:rPr>
        <w:t>5、背景音乐广播</w:t>
      </w:r>
    </w:p>
    <w:p>
      <w:pPr>
        <w:spacing w:line="420" w:lineRule="exact"/>
        <w:ind w:firstLine="480"/>
        <w:rPr>
          <w:rFonts w:ascii="宋体" w:hAnsi="宋体"/>
          <w:sz w:val="24"/>
        </w:rPr>
      </w:pPr>
      <w:r>
        <w:rPr>
          <w:rFonts w:hint="eastAsia" w:ascii="宋体" w:hAnsi="宋体"/>
          <w:sz w:val="24"/>
        </w:rPr>
        <w:t>广播人员的权限高低顺序如下</w:t>
      </w:r>
    </w:p>
    <w:p>
      <w:pPr>
        <w:spacing w:line="420" w:lineRule="exact"/>
        <w:ind w:firstLine="480"/>
        <w:rPr>
          <w:rFonts w:ascii="宋体" w:hAnsi="宋体"/>
          <w:sz w:val="24"/>
        </w:rPr>
      </w:pPr>
      <w:r>
        <w:rPr>
          <w:rFonts w:hint="eastAsia" w:ascii="宋体" w:hAnsi="宋体"/>
          <w:sz w:val="24"/>
        </w:rPr>
        <w:t>1、广播控制中心广播员</w:t>
      </w:r>
    </w:p>
    <w:p>
      <w:pPr>
        <w:spacing w:line="420" w:lineRule="exact"/>
        <w:ind w:firstLine="480"/>
        <w:rPr>
          <w:rFonts w:ascii="宋体" w:hAnsi="宋体"/>
          <w:sz w:val="24"/>
        </w:rPr>
      </w:pPr>
      <w:r>
        <w:rPr>
          <w:rFonts w:hint="eastAsia" w:ascii="宋体" w:hAnsi="宋体"/>
          <w:sz w:val="24"/>
        </w:rPr>
        <w:t>2、各区域广播的工作人员</w:t>
      </w:r>
    </w:p>
    <w:p>
      <w:pPr>
        <w:spacing w:line="420" w:lineRule="exact"/>
        <w:ind w:firstLine="480"/>
        <w:rPr>
          <w:rFonts w:ascii="宋体" w:hAnsi="宋体"/>
          <w:sz w:val="24"/>
        </w:rPr>
      </w:pPr>
      <w:r>
        <w:rPr>
          <w:rFonts w:hint="eastAsia" w:ascii="宋体" w:hAnsi="宋体"/>
          <w:sz w:val="24"/>
        </w:rPr>
        <w:t>3、优先级的顺序和权限的高低可以灵活调整。</w:t>
      </w:r>
    </w:p>
    <w:p>
      <w:pPr>
        <w:spacing w:line="420" w:lineRule="exact"/>
        <w:ind w:firstLine="480"/>
        <w:rPr>
          <w:rFonts w:ascii="宋体" w:hAnsi="宋体"/>
          <w:sz w:val="24"/>
        </w:rPr>
      </w:pPr>
      <w:r>
        <w:rPr>
          <w:rFonts w:hint="eastAsia" w:ascii="宋体" w:hAnsi="宋体"/>
          <w:sz w:val="24"/>
        </w:rPr>
        <w:t>广播分组：</w:t>
      </w:r>
    </w:p>
    <w:p>
      <w:pPr>
        <w:spacing w:line="420" w:lineRule="exact"/>
        <w:ind w:firstLine="480"/>
        <w:rPr>
          <w:rFonts w:ascii="宋体" w:hAnsi="宋体"/>
          <w:sz w:val="24"/>
        </w:rPr>
      </w:pPr>
      <w:r>
        <w:rPr>
          <w:rFonts w:hint="eastAsia" w:ascii="宋体" w:hAnsi="宋体"/>
          <w:sz w:val="24"/>
        </w:rPr>
        <w:t>广播系统支持分组功能，系统主机将常用的广播分区通过配置软件进行组合定义成组，方便选区。</w:t>
      </w:r>
    </w:p>
    <w:p>
      <w:pPr>
        <w:spacing w:line="420" w:lineRule="exact"/>
        <w:ind w:firstLine="480"/>
        <w:rPr>
          <w:rFonts w:ascii="宋体" w:hAnsi="宋体"/>
          <w:sz w:val="24"/>
        </w:rPr>
      </w:pPr>
      <w:r>
        <w:rPr>
          <w:rFonts w:hint="eastAsia" w:ascii="宋体" w:hAnsi="宋体"/>
          <w:sz w:val="24"/>
        </w:rPr>
        <w:t>预示音：系统内置的预示音提示有多种，可通过配置软件进行选用。</w:t>
      </w:r>
    </w:p>
    <w:p>
      <w:pPr>
        <w:spacing w:line="420" w:lineRule="exact"/>
        <w:ind w:firstLine="480"/>
        <w:rPr>
          <w:rFonts w:ascii="宋体" w:hAnsi="宋体"/>
          <w:sz w:val="24"/>
        </w:rPr>
      </w:pPr>
      <w:r>
        <w:rPr>
          <w:rFonts w:hint="eastAsia" w:ascii="宋体" w:hAnsi="宋体"/>
          <w:sz w:val="24"/>
        </w:rPr>
        <w:t>录音：系统具有录音功能，对所有人工广播内容可以进行实时录音。</w:t>
      </w:r>
    </w:p>
    <w:p>
      <w:pPr>
        <w:spacing w:line="420" w:lineRule="exact"/>
        <w:ind w:firstLine="480"/>
        <w:rPr>
          <w:rFonts w:ascii="宋体" w:hAnsi="宋体"/>
          <w:sz w:val="24"/>
        </w:rPr>
      </w:pPr>
      <w:r>
        <w:rPr>
          <w:rFonts w:hint="eastAsia" w:ascii="宋体" w:hAnsi="宋体"/>
          <w:sz w:val="24"/>
        </w:rPr>
        <w:t>监听：系统具有选区监听功能，可对各广播区进行监听，根据监听音量可进行调整。</w:t>
      </w:r>
    </w:p>
    <w:p>
      <w:pPr>
        <w:spacing w:line="420" w:lineRule="exact"/>
        <w:ind w:firstLine="480"/>
        <w:rPr>
          <w:rFonts w:ascii="宋体" w:hAnsi="宋体"/>
          <w:sz w:val="24"/>
        </w:rPr>
      </w:pPr>
      <w:r>
        <w:rPr>
          <w:rFonts w:hint="eastAsia" w:ascii="宋体" w:hAnsi="宋体"/>
          <w:sz w:val="24"/>
        </w:rPr>
        <w:t>信源试听：系统具有试听语音合成信源的功能，在信源播出之前需经过广播员的审核。</w:t>
      </w:r>
    </w:p>
    <w:p>
      <w:pPr>
        <w:spacing w:line="420" w:lineRule="exact"/>
        <w:ind w:firstLine="480"/>
        <w:rPr>
          <w:rFonts w:ascii="宋体" w:hAnsi="宋体"/>
          <w:sz w:val="24"/>
        </w:rPr>
      </w:pPr>
      <w:r>
        <w:rPr>
          <w:rFonts w:hint="eastAsia" w:ascii="宋体" w:hAnsi="宋体"/>
          <w:sz w:val="24"/>
        </w:rPr>
        <w:t>音量调整：广播员可以在广播控制中心通过调节功放或通过及集成平台来调节系统的音量。</w:t>
      </w:r>
    </w:p>
    <w:p>
      <w:pPr>
        <w:ind w:firstLine="420"/>
        <w:rPr>
          <w:rFonts w:ascii="宋体" w:hAnsi="宋体"/>
          <w:b/>
          <w:sz w:val="24"/>
        </w:rPr>
      </w:pPr>
      <w:r>
        <w:rPr>
          <w:rFonts w:hint="eastAsia" w:ascii="宋体" w:hAnsi="宋体"/>
          <w:b/>
          <w:sz w:val="24"/>
        </w:rPr>
        <w:t>原有设备接入：</w:t>
      </w:r>
    </w:p>
    <w:p>
      <w:pPr>
        <w:spacing w:line="420" w:lineRule="exact"/>
        <w:ind w:firstLine="480"/>
        <w:rPr>
          <w:rFonts w:ascii="宋体" w:hAnsi="宋体"/>
          <w:sz w:val="24"/>
        </w:rPr>
      </w:pPr>
      <w:r>
        <w:rPr>
          <w:rFonts w:hint="eastAsia" w:ascii="宋体" w:hAnsi="宋体"/>
          <w:sz w:val="24"/>
        </w:rPr>
        <w:t>1、商厦正大门口（两狮子侧面）音柱喇叭接入新系统，并能单独控制。</w:t>
      </w:r>
    </w:p>
    <w:p>
      <w:pPr>
        <w:spacing w:line="420" w:lineRule="exact"/>
        <w:ind w:firstLine="480"/>
        <w:rPr>
          <w:rFonts w:ascii="宋体" w:hAnsi="宋体"/>
          <w:sz w:val="24"/>
        </w:rPr>
      </w:pPr>
      <w:r>
        <w:rPr>
          <w:rFonts w:hint="eastAsia" w:ascii="宋体" w:hAnsi="宋体"/>
          <w:sz w:val="24"/>
        </w:rPr>
        <w:t>2、楼体内合家福超市广播系统接入新广播系统。</w:t>
      </w:r>
    </w:p>
    <w:p>
      <w:pPr>
        <w:spacing w:line="420" w:lineRule="exact"/>
        <w:rPr>
          <w:rFonts w:ascii="宋体" w:hAnsi="宋体"/>
          <w:b/>
          <w:sz w:val="24"/>
        </w:rPr>
      </w:pPr>
    </w:p>
    <w:p>
      <w:pPr>
        <w:rPr>
          <w:rFonts w:ascii="宋体" w:hAnsi="宋体"/>
          <w:b/>
          <w:sz w:val="24"/>
        </w:rPr>
      </w:pPr>
      <w:r>
        <w:rPr>
          <w:rFonts w:hint="eastAsia" w:ascii="宋体" w:hAnsi="宋体"/>
          <w:b/>
          <w:sz w:val="24"/>
        </w:rPr>
        <w:t>四、客流系统</w:t>
      </w:r>
    </w:p>
    <w:p>
      <w:pPr>
        <w:spacing w:line="420" w:lineRule="exact"/>
        <w:ind w:firstLine="480"/>
        <w:rPr>
          <w:rFonts w:ascii="宋体" w:hAnsi="宋体"/>
          <w:sz w:val="24"/>
        </w:rPr>
      </w:pPr>
      <w:r>
        <w:rPr>
          <w:rFonts w:hint="eastAsia" w:ascii="宋体" w:hAnsi="宋体"/>
          <w:sz w:val="24"/>
        </w:rPr>
        <w:t>客流系统共4个客流摄像头，一楼三个，一楼夹层1个；超市至百货的出口（一楼扶梯处）预留信息点。</w:t>
      </w:r>
    </w:p>
    <w:p>
      <w:pPr>
        <w:spacing w:line="420" w:lineRule="exact"/>
        <w:ind w:firstLine="480"/>
        <w:rPr>
          <w:rFonts w:ascii="宋体" w:hAnsi="宋体"/>
          <w:sz w:val="24"/>
        </w:rPr>
      </w:pPr>
      <w:r>
        <w:rPr>
          <w:rFonts w:hint="eastAsia" w:ascii="宋体" w:hAnsi="宋体"/>
          <w:sz w:val="24"/>
        </w:rPr>
        <w:t>投标人所投产品须与集团公司现有使用的文安客流系统无缝对接，投标时投标人须出具满足此项要求的证明材料，签订合同前招标人有权要求中标人先行测试，如不满足，</w:t>
      </w:r>
      <w:r>
        <w:rPr>
          <w:rFonts w:hint="eastAsia" w:ascii="宋体" w:hAnsi="宋体"/>
          <w:b/>
          <w:sz w:val="24"/>
        </w:rPr>
        <w:t>则作为废标处理</w:t>
      </w:r>
      <w:r>
        <w:rPr>
          <w:rFonts w:hint="eastAsia" w:ascii="宋体" w:hAnsi="宋体"/>
          <w:sz w:val="24"/>
        </w:rPr>
        <w:t>，由此产生的一切后果由中标人自行承担。</w:t>
      </w:r>
    </w:p>
    <w:p>
      <w:pPr>
        <w:spacing w:line="420" w:lineRule="exact"/>
        <w:rPr>
          <w:rFonts w:ascii="宋体" w:hAnsi="宋体"/>
          <w:sz w:val="24"/>
        </w:rPr>
      </w:pPr>
    </w:p>
    <w:p>
      <w:pPr>
        <w:spacing w:line="360" w:lineRule="auto"/>
        <w:ind w:firstLine="482" w:firstLineChars="200"/>
        <w:rPr>
          <w:rFonts w:hint="eastAsia" w:ascii="宋体" w:hAnsi="宋体"/>
          <w:b/>
          <w:sz w:val="24"/>
          <w:szCs w:val="28"/>
        </w:rPr>
      </w:pPr>
    </w:p>
    <w:p>
      <w:pPr>
        <w:spacing w:line="360" w:lineRule="auto"/>
        <w:ind w:firstLine="482" w:firstLineChars="200"/>
        <w:rPr>
          <w:rFonts w:hint="eastAsia" w:ascii="宋体" w:hAnsi="宋体"/>
          <w:b/>
          <w:sz w:val="24"/>
          <w:szCs w:val="28"/>
        </w:rPr>
      </w:pPr>
    </w:p>
    <w:p>
      <w:pPr>
        <w:numPr>
          <w:ilvl w:val="0"/>
          <w:numId w:val="4"/>
        </w:numPr>
        <w:spacing w:line="360" w:lineRule="auto"/>
        <w:ind w:firstLine="482" w:firstLineChars="200"/>
        <w:rPr>
          <w:rFonts w:hint="eastAsia" w:ascii="宋体" w:hAnsi="宋体"/>
          <w:b/>
          <w:bCs w:val="0"/>
          <w:sz w:val="24"/>
          <w:szCs w:val="24"/>
          <w:lang w:eastAsia="zh-CN"/>
        </w:rPr>
      </w:pPr>
      <w:r>
        <w:rPr>
          <w:rFonts w:hint="eastAsia" w:ascii="宋体" w:hAnsi="宋体"/>
          <w:b/>
          <w:bCs w:val="0"/>
          <w:sz w:val="24"/>
          <w:szCs w:val="24"/>
          <w:lang w:eastAsia="zh-CN"/>
        </w:rPr>
        <w:t>设备清单（详见附件）：</w:t>
      </w:r>
    </w:p>
    <w:p>
      <w:pPr>
        <w:widowControl w:val="0"/>
        <w:numPr>
          <w:ilvl w:val="0"/>
          <w:numId w:val="5"/>
        </w:numPr>
        <w:spacing w:line="360" w:lineRule="auto"/>
        <w:ind w:firstLine="480" w:firstLineChars="200"/>
        <w:jc w:val="both"/>
        <w:rPr>
          <w:rFonts w:hint="eastAsia" w:ascii="宋体" w:hAnsi="宋体"/>
          <w:b w:val="0"/>
          <w:bCs/>
          <w:sz w:val="24"/>
          <w:szCs w:val="24"/>
          <w:lang w:val="en-US" w:eastAsia="zh-CN"/>
        </w:rPr>
      </w:pPr>
      <w:r>
        <w:rPr>
          <w:rFonts w:hint="eastAsia" w:ascii="宋体" w:hAnsi="宋体"/>
          <w:b w:val="0"/>
          <w:bCs/>
          <w:sz w:val="24"/>
          <w:szCs w:val="24"/>
          <w:lang w:val="en-US" w:eastAsia="zh-CN"/>
        </w:rPr>
        <w:t>监控系统</w:t>
      </w:r>
    </w:p>
    <w:p>
      <w:pPr>
        <w:widowControl w:val="0"/>
        <w:numPr>
          <w:ilvl w:val="0"/>
          <w:numId w:val="5"/>
        </w:numPr>
        <w:spacing w:line="360" w:lineRule="auto"/>
        <w:ind w:firstLine="480" w:firstLineChars="200"/>
        <w:jc w:val="both"/>
        <w:rPr>
          <w:rFonts w:hint="eastAsia" w:ascii="宋体" w:hAnsi="宋体"/>
          <w:b w:val="0"/>
          <w:bCs/>
          <w:sz w:val="24"/>
          <w:szCs w:val="24"/>
          <w:lang w:val="en-US" w:eastAsia="zh-CN"/>
        </w:rPr>
      </w:pPr>
      <w:r>
        <w:rPr>
          <w:rFonts w:hint="eastAsia" w:ascii="宋体" w:hAnsi="宋体"/>
          <w:b w:val="0"/>
          <w:bCs/>
          <w:sz w:val="24"/>
          <w:szCs w:val="24"/>
          <w:lang w:val="en-US" w:eastAsia="zh-CN"/>
        </w:rPr>
        <w:t>广播系统</w:t>
      </w:r>
    </w:p>
    <w:p>
      <w:pPr>
        <w:widowControl w:val="0"/>
        <w:numPr>
          <w:ilvl w:val="0"/>
          <w:numId w:val="5"/>
        </w:numPr>
        <w:spacing w:line="360" w:lineRule="auto"/>
        <w:ind w:firstLine="480" w:firstLineChars="200"/>
        <w:jc w:val="both"/>
        <w:rPr>
          <w:rFonts w:hint="default" w:ascii="宋体" w:hAnsi="宋体"/>
          <w:b w:val="0"/>
          <w:bCs/>
          <w:sz w:val="24"/>
          <w:szCs w:val="24"/>
          <w:lang w:val="en-US" w:eastAsia="zh-CN"/>
        </w:rPr>
      </w:pPr>
      <w:r>
        <w:rPr>
          <w:rFonts w:hint="eastAsia" w:ascii="宋体" w:hAnsi="宋体"/>
          <w:b w:val="0"/>
          <w:bCs/>
          <w:sz w:val="24"/>
          <w:szCs w:val="24"/>
          <w:lang w:val="en-US" w:eastAsia="zh-CN"/>
        </w:rPr>
        <w:t>客流系统</w:t>
      </w:r>
    </w:p>
    <w:p>
      <w:pPr>
        <w:widowControl w:val="0"/>
        <w:numPr>
          <w:ilvl w:val="0"/>
          <w:numId w:val="5"/>
        </w:numPr>
        <w:spacing w:line="360" w:lineRule="auto"/>
        <w:ind w:firstLine="480" w:firstLineChars="200"/>
        <w:jc w:val="both"/>
        <w:rPr>
          <w:rFonts w:hint="default" w:ascii="宋体" w:hAnsi="宋体"/>
          <w:b w:val="0"/>
          <w:bCs/>
          <w:sz w:val="24"/>
          <w:szCs w:val="24"/>
          <w:lang w:val="en-US" w:eastAsia="zh-CN"/>
        </w:rPr>
      </w:pPr>
      <w:r>
        <w:rPr>
          <w:rFonts w:hint="eastAsia" w:ascii="宋体" w:hAnsi="宋体"/>
          <w:b w:val="0"/>
          <w:bCs/>
          <w:sz w:val="24"/>
          <w:szCs w:val="24"/>
          <w:lang w:val="en-US" w:eastAsia="zh-CN"/>
        </w:rPr>
        <w:t>相关要求：</w:t>
      </w:r>
    </w:p>
    <w:p>
      <w:pPr>
        <w:spacing w:line="360" w:lineRule="auto"/>
        <w:ind w:firstLine="240" w:firstLineChars="100"/>
        <w:rPr>
          <w:rFonts w:hint="eastAsia" w:ascii="宋体" w:hAnsi="宋体"/>
          <w:b w:val="0"/>
          <w:bCs/>
          <w:sz w:val="24"/>
          <w:szCs w:val="24"/>
        </w:rPr>
      </w:pPr>
      <w:r>
        <w:rPr>
          <w:rFonts w:hint="eastAsia" w:ascii="宋体" w:hAnsi="宋体"/>
          <w:b w:val="0"/>
          <w:bCs/>
          <w:sz w:val="24"/>
          <w:szCs w:val="24"/>
          <w:lang w:eastAsia="zh-CN"/>
        </w:rPr>
        <w:t>（</w:t>
      </w:r>
      <w:r>
        <w:rPr>
          <w:rFonts w:hint="eastAsia" w:ascii="宋体" w:hAnsi="宋体"/>
          <w:b w:val="0"/>
          <w:bCs/>
          <w:sz w:val="24"/>
          <w:szCs w:val="24"/>
        </w:rPr>
        <w:t>1</w:t>
      </w:r>
      <w:r>
        <w:rPr>
          <w:rFonts w:hint="eastAsia" w:ascii="宋体" w:hAnsi="宋体"/>
          <w:b w:val="0"/>
          <w:bCs/>
          <w:sz w:val="24"/>
          <w:szCs w:val="24"/>
          <w:lang w:eastAsia="zh-CN"/>
        </w:rPr>
        <w:t>）</w:t>
      </w:r>
      <w:r>
        <w:rPr>
          <w:rFonts w:hint="eastAsia" w:ascii="宋体" w:hAnsi="宋体"/>
          <w:b w:val="0"/>
          <w:bCs/>
          <w:sz w:val="24"/>
          <w:szCs w:val="24"/>
        </w:rPr>
        <w:t>招标需求各子系统中要求提供的检测报告、原厂授权、质保函、证书、检测报告等，均不作为初审要求，投标人须在投标文件中承诺将于合同签订前向招标人提供招标需求中要求的资料，否则按自愿放弃中标资格并承担由此带来的一切后果。</w:t>
      </w:r>
    </w:p>
    <w:p>
      <w:pPr>
        <w:spacing w:line="360" w:lineRule="auto"/>
        <w:ind w:firstLine="240" w:firstLineChars="100"/>
        <w:rPr>
          <w:rFonts w:hint="eastAsia" w:ascii="宋体" w:hAnsi="宋体"/>
          <w:b w:val="0"/>
          <w:bCs/>
          <w:sz w:val="24"/>
          <w:szCs w:val="24"/>
        </w:rPr>
      </w:pPr>
      <w:r>
        <w:rPr>
          <w:rFonts w:hint="eastAsia" w:ascii="宋体" w:hAnsi="宋体"/>
          <w:b w:val="0"/>
          <w:bCs/>
          <w:sz w:val="24"/>
          <w:szCs w:val="24"/>
          <w:lang w:eastAsia="zh-CN"/>
        </w:rPr>
        <w:t>（</w:t>
      </w:r>
      <w:r>
        <w:rPr>
          <w:rFonts w:hint="eastAsia" w:ascii="宋体" w:hAnsi="宋体"/>
          <w:b w:val="0"/>
          <w:bCs/>
          <w:sz w:val="24"/>
          <w:szCs w:val="24"/>
          <w:lang w:val="en-US" w:eastAsia="zh-CN"/>
        </w:rPr>
        <w:t>2</w:t>
      </w:r>
      <w:r>
        <w:rPr>
          <w:rFonts w:hint="eastAsia" w:ascii="宋体" w:hAnsi="宋体"/>
          <w:b w:val="0"/>
          <w:bCs/>
          <w:sz w:val="24"/>
          <w:szCs w:val="24"/>
          <w:lang w:eastAsia="zh-CN"/>
        </w:rPr>
        <w:t>）</w:t>
      </w:r>
      <w:r>
        <w:rPr>
          <w:rFonts w:hint="eastAsia" w:ascii="宋体" w:hAnsi="宋体"/>
          <w:b w:val="0"/>
          <w:bCs/>
          <w:sz w:val="24"/>
          <w:szCs w:val="24"/>
        </w:rPr>
        <w:t>本招标需求中所有标注“</w:t>
      </w:r>
      <w:r>
        <w:rPr>
          <w:rFonts w:hint="eastAsia" w:ascii="宋体" w:hAnsi="宋体" w:cs="宋体"/>
          <w:b w:val="0"/>
          <w:bCs/>
          <w:kern w:val="0"/>
          <w:sz w:val="24"/>
          <w:szCs w:val="24"/>
        </w:rPr>
        <w:t>★</w:t>
      </w:r>
      <w:r>
        <w:rPr>
          <w:rFonts w:hint="eastAsia" w:ascii="宋体" w:hAnsi="宋体"/>
          <w:b w:val="0"/>
          <w:bCs/>
          <w:sz w:val="24"/>
          <w:szCs w:val="24"/>
        </w:rPr>
        <w:t>”标识条款，要求提供的检测报告、原厂授权、质保函、证书、检测报告等，均做为竣工报告内容的一部分，无法提供、弄虚作假一经发现的不予竣工验收，由此造成的一切后果由投标人自行承担；</w:t>
      </w:r>
    </w:p>
    <w:p>
      <w:pPr>
        <w:spacing w:line="360" w:lineRule="auto"/>
        <w:ind w:firstLine="240" w:firstLineChars="100"/>
        <w:rPr>
          <w:rFonts w:hint="eastAsia" w:ascii="宋体" w:hAnsi="宋体"/>
          <w:b w:val="0"/>
          <w:bCs/>
          <w:sz w:val="24"/>
          <w:szCs w:val="24"/>
        </w:rPr>
      </w:pPr>
      <w:r>
        <w:rPr>
          <w:rFonts w:hint="eastAsia" w:ascii="宋体" w:hAnsi="宋体"/>
          <w:b w:val="0"/>
          <w:bCs/>
          <w:sz w:val="24"/>
          <w:szCs w:val="24"/>
          <w:lang w:eastAsia="zh-CN"/>
        </w:rPr>
        <w:t>（</w:t>
      </w:r>
      <w:r>
        <w:rPr>
          <w:rFonts w:hint="eastAsia" w:ascii="宋体" w:hAnsi="宋体"/>
          <w:b w:val="0"/>
          <w:bCs/>
          <w:sz w:val="24"/>
          <w:szCs w:val="24"/>
          <w:lang w:val="en-US" w:eastAsia="zh-CN"/>
        </w:rPr>
        <w:t>3</w:t>
      </w:r>
      <w:r>
        <w:rPr>
          <w:rFonts w:hint="eastAsia" w:ascii="宋体" w:hAnsi="宋体"/>
          <w:b w:val="0"/>
          <w:bCs/>
          <w:sz w:val="24"/>
          <w:szCs w:val="24"/>
          <w:lang w:eastAsia="zh-CN"/>
        </w:rPr>
        <w:t>）</w:t>
      </w:r>
      <w:r>
        <w:rPr>
          <w:rFonts w:hint="eastAsia" w:ascii="宋体" w:hAnsi="宋体"/>
          <w:b w:val="0"/>
          <w:bCs/>
          <w:sz w:val="24"/>
          <w:szCs w:val="24"/>
        </w:rPr>
        <w:t>本次改造的布线管路，应有区别旧线路的明显标识，方便后期维护或线路改造时识别，如不满足将不予竣工验收，由此造成的一切后果由投标人自行承担；</w:t>
      </w:r>
    </w:p>
    <w:p>
      <w:pPr>
        <w:spacing w:line="360" w:lineRule="auto"/>
        <w:ind w:firstLine="241" w:firstLineChars="100"/>
        <w:rPr>
          <w:rFonts w:ascii="宋体" w:hAnsi="宋体"/>
          <w:b w:val="0"/>
          <w:bCs/>
          <w:sz w:val="24"/>
          <w:szCs w:val="24"/>
        </w:rPr>
      </w:pPr>
      <w:r>
        <w:rPr>
          <w:rFonts w:hint="eastAsia" w:ascii="宋体" w:hAnsi="宋体"/>
          <w:b/>
          <w:bCs w:val="0"/>
          <w:sz w:val="24"/>
          <w:szCs w:val="24"/>
          <w:lang w:val="en-US" w:eastAsia="zh-CN"/>
        </w:rPr>
        <w:t>（4）</w:t>
      </w:r>
      <w:r>
        <w:rPr>
          <w:rFonts w:hint="eastAsia" w:ascii="宋体" w:hAnsi="宋体"/>
          <w:b/>
          <w:bCs w:val="0"/>
          <w:sz w:val="24"/>
          <w:szCs w:val="24"/>
        </w:rPr>
        <w:t>改造期间不停止营业，中标单位在施工时，应有保持现有网络系统不受损坏的妥善措施，不得影响收银系统的正常使用，否则投标人自行承担一切后果。</w:t>
      </w:r>
    </w:p>
    <w:p>
      <w:pPr>
        <w:spacing w:line="360" w:lineRule="auto"/>
        <w:ind w:firstLine="482" w:firstLineChars="200"/>
        <w:rPr>
          <w:rFonts w:hint="eastAsia"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spacing w:line="360" w:lineRule="auto"/>
        <w:ind w:firstLine="482" w:firstLineChars="200"/>
        <w:rPr>
          <w:rFonts w:ascii="宋体" w:hAnsi="宋体"/>
          <w:b/>
          <w:sz w:val="24"/>
          <w:szCs w:val="28"/>
        </w:rPr>
      </w:pPr>
    </w:p>
    <w:p>
      <w:pPr>
        <w:pStyle w:val="2"/>
        <w:numPr>
          <w:ilvl w:val="0"/>
          <w:numId w:val="0"/>
        </w:numPr>
      </w:pPr>
      <w:bookmarkStart w:id="16" w:name="_Toc73976256"/>
      <w:r>
        <w:rPr>
          <w:rFonts w:hint="eastAsia"/>
        </w:rPr>
        <w:t>第五章</w:t>
      </w:r>
      <w:r>
        <w:rPr>
          <w:rFonts w:hint="eastAsia"/>
          <w:lang w:val="en-US" w:eastAsia="zh-CN"/>
        </w:rPr>
        <w:t xml:space="preserve">  </w:t>
      </w:r>
      <w:r>
        <w:rPr>
          <w:rFonts w:hint="eastAsia"/>
        </w:rPr>
        <w:t>合同</w:t>
      </w:r>
      <w:bookmarkEnd w:id="16"/>
    </w:p>
    <w:p>
      <w:pPr>
        <w:tabs>
          <w:tab w:val="left" w:pos="360"/>
          <w:tab w:val="left" w:pos="540"/>
          <w:tab w:val="left" w:pos="3600"/>
          <w:tab w:val="left" w:pos="3780"/>
          <w:tab w:val="left" w:pos="8460"/>
          <w:tab w:val="left" w:pos="9180"/>
        </w:tabs>
        <w:adjustRightInd w:val="0"/>
        <w:snapToGrid w:val="0"/>
        <w:ind w:right="-21" w:rightChars="-10"/>
        <w:rPr>
          <w:rFonts w:ascii="宋体" w:hAnsi="宋体"/>
          <w:sz w:val="24"/>
          <w:u w:val="single"/>
        </w:rPr>
      </w:pPr>
      <w:r>
        <w:rPr>
          <w:rFonts w:hint="eastAsia" w:ascii="宋体" w:hAnsi="宋体"/>
          <w:sz w:val="24"/>
        </w:rPr>
        <w:t>招标人</w:t>
      </w:r>
      <w:r>
        <w:rPr>
          <w:rFonts w:ascii="宋体" w:hAnsi="宋体"/>
          <w:sz w:val="24"/>
        </w:rPr>
        <w:t>（甲方）：</w:t>
      </w:r>
    </w:p>
    <w:p>
      <w:pPr>
        <w:spacing w:line="360" w:lineRule="auto"/>
        <w:rPr>
          <w:rFonts w:ascii="宋体" w:hAnsi="宋体"/>
          <w:sz w:val="24"/>
        </w:rPr>
      </w:pPr>
      <w:r>
        <w:rPr>
          <w:rFonts w:hint="eastAsia" w:ascii="宋体" w:hAnsi="宋体"/>
          <w:sz w:val="24"/>
        </w:rPr>
        <w:t>供货人</w:t>
      </w:r>
      <w:r>
        <w:rPr>
          <w:rFonts w:ascii="宋体" w:hAnsi="宋体"/>
          <w:sz w:val="24"/>
        </w:rPr>
        <w:t>（乙方）</w:t>
      </w:r>
      <w:r>
        <w:rPr>
          <w:rFonts w:hint="eastAsia" w:ascii="宋体" w:hAnsi="宋体"/>
          <w:sz w:val="24"/>
        </w:rPr>
        <w:t>：</w:t>
      </w:r>
    </w:p>
    <w:p>
      <w:pPr>
        <w:spacing w:line="360" w:lineRule="auto"/>
        <w:rPr>
          <w:rFonts w:ascii="宋体" w:hAnsi="宋体"/>
          <w:sz w:val="24"/>
        </w:rPr>
      </w:pPr>
      <w:r>
        <w:rPr>
          <w:rFonts w:hint="eastAsia" w:ascii="宋体" w:hAnsi="宋体"/>
          <w:sz w:val="24"/>
        </w:rPr>
        <w:t>签订地点：</w:t>
      </w:r>
    </w:p>
    <w:p>
      <w:pPr>
        <w:spacing w:line="360" w:lineRule="auto"/>
        <w:rPr>
          <w:rFonts w:ascii="宋体" w:hAnsi="宋体"/>
          <w:sz w:val="24"/>
        </w:rPr>
      </w:pPr>
      <w:r>
        <w:rPr>
          <w:rFonts w:hint="eastAsia" w:ascii="宋体" w:hAnsi="宋体"/>
          <w:sz w:val="24"/>
        </w:rPr>
        <w:t>项目名称：</w:t>
      </w:r>
      <w:r>
        <w:rPr>
          <w:rFonts w:hint="eastAsia" w:ascii="宋体" w:hAnsi="宋体" w:eastAsia="宋体" w:cs="宋体"/>
          <w:sz w:val="24"/>
          <w:szCs w:val="24"/>
        </w:rPr>
        <w:t>铜陵</w:t>
      </w:r>
      <w:r>
        <w:rPr>
          <w:rFonts w:hint="eastAsia" w:ascii="宋体" w:hAnsi="宋体" w:cs="宋体"/>
          <w:sz w:val="24"/>
          <w:szCs w:val="24"/>
          <w:lang w:eastAsia="zh-CN"/>
        </w:rPr>
        <w:t>百大购物中心</w:t>
      </w:r>
      <w:r>
        <w:rPr>
          <w:rFonts w:hint="eastAsia" w:ascii="宋体" w:hAnsi="宋体"/>
          <w:sz w:val="24"/>
        </w:rPr>
        <w:t>监控广播客流系统升级改造</w:t>
      </w:r>
    </w:p>
    <w:p>
      <w:pPr>
        <w:spacing w:line="360" w:lineRule="auto"/>
        <w:rPr>
          <w:rFonts w:ascii="宋体" w:hAnsi="宋体"/>
          <w:sz w:val="24"/>
        </w:rPr>
      </w:pPr>
      <w:r>
        <w:rPr>
          <w:rFonts w:hint="eastAsia" w:ascii="宋体" w:hAnsi="宋体"/>
          <w:sz w:val="24"/>
        </w:rPr>
        <w:t>项目编号：</w:t>
      </w:r>
    </w:p>
    <w:p>
      <w:pPr>
        <w:spacing w:beforeLines="50" w:beforeAutospacing="1" w:afterLines="30" w:afterAutospacing="1" w:line="360" w:lineRule="auto"/>
        <w:ind w:firstLine="460" w:firstLineChars="192"/>
        <w:rPr>
          <w:rFonts w:ascii="宋体" w:hAnsi="宋体"/>
          <w:sz w:val="24"/>
        </w:rPr>
      </w:pPr>
      <w:r>
        <w:rPr>
          <w:rFonts w:hint="eastAsia" w:ascii="宋体" w:hAnsi="宋体"/>
          <w:sz w:val="24"/>
        </w:rPr>
        <w:t>本项目采用</w:t>
      </w:r>
      <w:r>
        <w:rPr>
          <w:rFonts w:hint="eastAsia" w:ascii="宋体" w:hAnsi="宋体"/>
          <w:sz w:val="24"/>
          <w:u w:val="single"/>
        </w:rPr>
        <w:t>公开招标</w:t>
      </w:r>
      <w:r>
        <w:rPr>
          <w:rFonts w:hint="eastAsia" w:ascii="宋体" w:hAnsi="宋体"/>
          <w:sz w:val="24"/>
        </w:rPr>
        <w:t>方式，经本项目评审委员会认真评审，决定将采购合同授予乙方。为进一步明确双方的责任，确保合同的顺利履行，</w:t>
      </w:r>
      <w:r>
        <w:rPr>
          <w:rFonts w:ascii="宋体" w:hAnsi="宋体"/>
          <w:sz w:val="24"/>
        </w:rPr>
        <w:t>根据《中华人民共和国</w:t>
      </w:r>
      <w:r>
        <w:rPr>
          <w:rFonts w:hint="eastAsia" w:ascii="宋体" w:hAnsi="宋体"/>
          <w:sz w:val="24"/>
          <w:lang w:eastAsia="zh-CN"/>
        </w:rPr>
        <w:t>民法典</w:t>
      </w:r>
      <w:r>
        <w:rPr>
          <w:rFonts w:ascii="宋体" w:hAnsi="宋体"/>
          <w:sz w:val="24"/>
        </w:rPr>
        <w:t>》之规定，经甲乙双方充分协商，特订立</w:t>
      </w:r>
      <w:r>
        <w:rPr>
          <w:rFonts w:hint="eastAsia" w:ascii="宋体" w:hAnsi="宋体"/>
          <w:sz w:val="24"/>
        </w:rPr>
        <w:t>本</w:t>
      </w:r>
      <w:r>
        <w:rPr>
          <w:rFonts w:ascii="宋体" w:hAnsi="宋体"/>
          <w:sz w:val="24"/>
        </w:rPr>
        <w:t>合同，以便共同遵守。</w:t>
      </w:r>
    </w:p>
    <w:p>
      <w:pPr>
        <w:spacing w:beforeLines="50" w:beforeAutospacing="1" w:afterLines="30" w:afterAutospacing="1" w:line="360" w:lineRule="auto"/>
        <w:rPr>
          <w:rFonts w:ascii="宋体" w:hAnsi="宋体"/>
          <w:sz w:val="24"/>
          <w:u w:val="single"/>
        </w:rPr>
      </w:pPr>
      <w:r>
        <w:rPr>
          <w:rFonts w:ascii="宋体" w:hAnsi="宋体"/>
          <w:b/>
          <w:bCs/>
          <w:sz w:val="24"/>
        </w:rPr>
        <w:t>第一条</w:t>
      </w:r>
      <w:r>
        <w:rPr>
          <w:rFonts w:ascii="宋体" w:hAnsi="宋体"/>
          <w:sz w:val="24"/>
        </w:rPr>
        <w:t> 产品的名称、品种、规格</w:t>
      </w:r>
      <w:r>
        <w:rPr>
          <w:rFonts w:hint="eastAsia" w:ascii="宋体" w:hAnsi="宋体"/>
          <w:sz w:val="24"/>
        </w:rPr>
        <w:t>、数量和价格：详见附表（附表须双方加盖印章）</w:t>
      </w:r>
    </w:p>
    <w:p>
      <w:pPr>
        <w:spacing w:beforeLines="50" w:beforeAutospacing="1" w:afterLines="30" w:afterAutospacing="1" w:line="360" w:lineRule="auto"/>
        <w:rPr>
          <w:rFonts w:ascii="宋体" w:hAnsi="宋体"/>
          <w:sz w:val="24"/>
        </w:rPr>
      </w:pPr>
      <w:r>
        <w:rPr>
          <w:rFonts w:hint="eastAsia" w:ascii="宋体" w:hAnsi="宋体"/>
          <w:b/>
          <w:bCs/>
          <w:sz w:val="24"/>
        </w:rPr>
        <w:t xml:space="preserve">第二条  </w:t>
      </w:r>
      <w:r>
        <w:rPr>
          <w:rFonts w:ascii="宋体" w:hAnsi="宋体"/>
          <w:sz w:val="24"/>
        </w:rPr>
        <w:t>产品的技术标准（包括质量要求），按下列第（</w:t>
      </w:r>
      <w:r>
        <w:rPr>
          <w:rFonts w:hint="eastAsia" w:ascii="宋体" w:hAnsi="宋体"/>
          <w:sz w:val="24"/>
        </w:rPr>
        <w:t>1</w:t>
      </w:r>
      <w:r>
        <w:rPr>
          <w:rFonts w:ascii="宋体" w:hAnsi="宋体"/>
          <w:sz w:val="24"/>
        </w:rPr>
        <w:t>）</w:t>
      </w:r>
      <w:r>
        <w:rPr>
          <w:rFonts w:hint="eastAsia" w:ascii="宋体" w:hAnsi="宋体"/>
          <w:sz w:val="24"/>
        </w:rPr>
        <w:t>、（4）</w:t>
      </w:r>
      <w:r>
        <w:rPr>
          <w:rFonts w:ascii="宋体" w:hAnsi="宋体"/>
          <w:sz w:val="24"/>
        </w:rPr>
        <w:t>项执行：</w:t>
      </w:r>
    </w:p>
    <w:p>
      <w:pPr>
        <w:spacing w:beforeLines="50" w:beforeAutospacing="1" w:afterLines="30" w:afterAutospacing="1" w:line="360" w:lineRule="auto"/>
        <w:rPr>
          <w:rFonts w:ascii="宋体" w:hAnsi="宋体"/>
          <w:sz w:val="24"/>
        </w:rPr>
      </w:pPr>
      <w:r>
        <w:rPr>
          <w:rFonts w:hint="eastAsia" w:ascii="宋体" w:hAnsi="宋体"/>
          <w:sz w:val="24"/>
        </w:rPr>
        <w:t>（1）</w:t>
      </w:r>
      <w:r>
        <w:rPr>
          <w:rFonts w:ascii="宋体" w:hAnsi="宋体"/>
          <w:sz w:val="24"/>
        </w:rPr>
        <w:t>按国家标准执行；（2）按部颁标准执行；（3）</w:t>
      </w:r>
      <w:r>
        <w:rPr>
          <w:rFonts w:hint="eastAsia" w:ascii="宋体" w:hAnsi="宋体"/>
          <w:sz w:val="24"/>
        </w:rPr>
        <w:t>若无以上标准，则应不低于同行业质量标准；（4）</w:t>
      </w:r>
      <w:r>
        <w:rPr>
          <w:rFonts w:ascii="宋体" w:hAnsi="宋体"/>
          <w:sz w:val="24"/>
        </w:rPr>
        <w:t>有特殊要求的，按甲乙双方在合同中商定的技术条件、样品或补充的技术要求执行</w:t>
      </w:r>
      <w:r>
        <w:rPr>
          <w:rFonts w:hint="eastAsia" w:ascii="宋体" w:hAnsi="宋体"/>
          <w:sz w:val="24"/>
        </w:rPr>
        <w:t>；</w:t>
      </w:r>
    </w:p>
    <w:p>
      <w:pPr>
        <w:spacing w:beforeLines="50" w:beforeAutospacing="1" w:afterLines="30" w:afterAutospacing="1" w:line="360" w:lineRule="auto"/>
        <w:ind w:firstLine="448" w:firstLineChars="187"/>
        <w:rPr>
          <w:rFonts w:ascii="宋体" w:hAnsi="宋体"/>
          <w:sz w:val="24"/>
        </w:rPr>
      </w:pPr>
      <w:r>
        <w:rPr>
          <w:rFonts w:hint="eastAsia" w:ascii="宋体" w:hAnsi="宋体"/>
          <w:sz w:val="24"/>
        </w:rPr>
        <w:t>乙方提供和交付的货物技术标准应与招标文件规定的技术标准相一致。若技术标准中无相应规定，所投货物应符合相应的国际标准或原产地国家有关部门最新颁布的相应的正式标准。</w:t>
      </w:r>
    </w:p>
    <w:p>
      <w:pPr>
        <w:spacing w:beforeLines="50" w:beforeAutospacing="1" w:afterLines="30" w:afterAutospacing="1" w:line="360" w:lineRule="auto"/>
        <w:ind w:firstLine="460" w:firstLineChars="192"/>
        <w:rPr>
          <w:rFonts w:ascii="宋体" w:hAnsi="宋体"/>
          <w:sz w:val="24"/>
          <w:u w:val="single"/>
        </w:rPr>
      </w:pPr>
      <w:r>
        <w:rPr>
          <w:rFonts w:hint="eastAsia" w:ascii="宋体" w:hAnsi="宋体"/>
          <w:sz w:val="24"/>
        </w:rPr>
        <w:t>进口产品的质量标准为</w:t>
      </w:r>
    </w:p>
    <w:p>
      <w:pPr>
        <w:pStyle w:val="14"/>
        <w:spacing w:before="156" w:beforeAutospacing="1" w:afterLines="30" w:afterAutospacing="1" w:line="360" w:lineRule="auto"/>
        <w:rPr>
          <w:rFonts w:ascii="宋体" w:hAnsi="宋体"/>
          <w:sz w:val="24"/>
        </w:rPr>
      </w:pPr>
      <w:r>
        <w:rPr>
          <w:rFonts w:hint="eastAsia" w:ascii="宋体" w:hAnsi="宋体"/>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pStyle w:val="14"/>
        <w:spacing w:before="156" w:beforeAutospacing="1" w:afterLines="30" w:afterAutospacing="1" w:line="360" w:lineRule="auto"/>
        <w:ind w:left="0" w:leftChars="0"/>
        <w:rPr>
          <w:rFonts w:ascii="宋体" w:hAnsi="宋体"/>
          <w:sz w:val="24"/>
        </w:rPr>
      </w:pPr>
      <w:r>
        <w:rPr>
          <w:rFonts w:hint="eastAsia" w:ascii="宋体" w:hAnsi="宋体"/>
          <w:b/>
          <w:bCs/>
          <w:sz w:val="24"/>
        </w:rPr>
        <w:t>第</w:t>
      </w:r>
      <w:r>
        <w:rPr>
          <w:rFonts w:ascii="宋体" w:hAnsi="宋体"/>
          <w:b/>
          <w:bCs/>
          <w:sz w:val="24"/>
        </w:rPr>
        <w:t>三</w:t>
      </w:r>
      <w:r>
        <w:rPr>
          <w:rFonts w:hint="eastAsia" w:ascii="宋体" w:hAnsi="宋体"/>
          <w:b/>
          <w:bCs/>
          <w:sz w:val="24"/>
        </w:rPr>
        <w:t xml:space="preserve">条  </w:t>
      </w:r>
      <w:r>
        <w:rPr>
          <w:rFonts w:ascii="宋体" w:hAnsi="宋体"/>
          <w:sz w:val="24"/>
        </w:rPr>
        <w:t>产品的包装标准和包装物的供应与回收</w:t>
      </w:r>
      <w:r>
        <w:rPr>
          <w:rFonts w:hint="eastAsia" w:ascii="宋体" w:hAnsi="宋体"/>
          <w:sz w:val="24"/>
          <w:u w:val="single"/>
        </w:rPr>
        <w:t>原厂原包装，包装不回收</w:t>
      </w:r>
      <w:r>
        <w:rPr>
          <w:rFonts w:ascii="宋体" w:hAnsi="宋体"/>
          <w:sz w:val="24"/>
          <w:u w:val="single"/>
        </w:rPr>
        <w:t> </w:t>
      </w:r>
      <w:r>
        <w:rPr>
          <w:rFonts w:hint="eastAsia" w:ascii="宋体" w:hAnsi="宋体"/>
          <w:sz w:val="24"/>
        </w:rPr>
        <w:t>。乙方所供货物的制造商原装出厂包装箱与设备出场批号一致。</w:t>
      </w:r>
    </w:p>
    <w:p>
      <w:pPr>
        <w:spacing w:beforeLines="50" w:beforeAutospacing="1" w:afterLines="30" w:afterAutospacing="1" w:line="360" w:lineRule="auto"/>
        <w:rPr>
          <w:rFonts w:ascii="宋体" w:hAnsi="宋体"/>
          <w:sz w:val="24"/>
        </w:rPr>
      </w:pPr>
      <w:r>
        <w:rPr>
          <w:rFonts w:ascii="宋体" w:hAnsi="宋体"/>
          <w:sz w:val="24"/>
        </w:rPr>
        <w:t>（国家或业务主管部门有技术规定的，按技术规定执行；国家与业务主管部门无技术规定的，由甲乙双方商定。）</w:t>
      </w:r>
    </w:p>
    <w:p>
      <w:pPr>
        <w:spacing w:beforeLines="50" w:beforeAutospacing="1" w:afterLines="30" w:afterAutospacing="1" w:line="360" w:lineRule="auto"/>
        <w:rPr>
          <w:rFonts w:ascii="宋体" w:hAnsi="宋体"/>
          <w:sz w:val="24"/>
        </w:rPr>
      </w:pPr>
      <w:r>
        <w:rPr>
          <w:rFonts w:hint="eastAsia" w:ascii="宋体" w:hAnsi="宋体"/>
          <w:sz w:val="24"/>
        </w:rPr>
        <w:t>【注：合同中约定的包装标准应与乙方在投标书中承诺的一致，且投标书应作为合同附件与合同具有同等法律效力。】</w:t>
      </w:r>
    </w:p>
    <w:p>
      <w:pPr>
        <w:spacing w:beforeLines="50" w:beforeAutospacing="1" w:afterLines="30" w:afterAutospacing="1" w:line="360" w:lineRule="auto"/>
        <w:ind w:firstLine="480" w:firstLineChars="200"/>
        <w:rPr>
          <w:rFonts w:ascii="宋体"/>
          <w:sz w:val="24"/>
        </w:rPr>
      </w:pPr>
      <w:r>
        <w:rPr>
          <w:rFonts w:hint="eastAsia" w:ascii="宋体" w:hAnsi="宋体"/>
          <w:sz w:val="24"/>
        </w:rPr>
        <w:t>包装必须与运输方式相适应，包装方式的确定及包装费用均由乙方负责，由于不适当的包装而造成货物在运输过程中有任何损坏、丢失由乙方负责。</w:t>
      </w:r>
    </w:p>
    <w:p>
      <w:pPr>
        <w:spacing w:beforeLines="50" w:beforeAutospacing="1" w:afterLines="30" w:afterAutospacing="1" w:line="360" w:lineRule="auto"/>
        <w:ind w:firstLine="480" w:firstLineChars="200"/>
        <w:rPr>
          <w:rFonts w:ascii="宋体" w:hAnsi="宋体"/>
          <w:sz w:val="24"/>
        </w:rPr>
      </w:pPr>
      <w:r>
        <w:rPr>
          <w:rFonts w:hint="eastAsia" w:ascii="宋体" w:hAnsi="宋体"/>
          <w:sz w:val="24"/>
        </w:rPr>
        <w:t>货物在验收合格前的保险由乙方负责，并负责其派出的现场服务人员人身意外保险。</w:t>
      </w:r>
    </w:p>
    <w:p>
      <w:pPr>
        <w:spacing w:beforeLines="50" w:beforeAutospacing="1" w:afterLines="30" w:afterAutospacing="1"/>
        <w:rPr>
          <w:rFonts w:ascii="宋体" w:hAnsi="宋体"/>
          <w:sz w:val="24"/>
        </w:rPr>
      </w:pPr>
      <w:r>
        <w:rPr>
          <w:rFonts w:hint="eastAsia" w:ascii="宋体" w:hAnsi="宋体"/>
          <w:b/>
          <w:bCs/>
          <w:sz w:val="24"/>
        </w:rPr>
        <w:t xml:space="preserve">第四条  </w:t>
      </w:r>
      <w:r>
        <w:rPr>
          <w:rFonts w:ascii="宋体" w:hAnsi="宋体"/>
          <w:sz w:val="24"/>
        </w:rPr>
        <w:t>产品的交货方法、到货地点</w:t>
      </w:r>
      <w:r>
        <w:rPr>
          <w:rFonts w:hint="eastAsia" w:ascii="宋体" w:hAnsi="宋体"/>
          <w:sz w:val="24"/>
        </w:rPr>
        <w:t>和交货期限</w:t>
      </w:r>
    </w:p>
    <w:p>
      <w:pPr>
        <w:spacing w:beforeLines="50" w:beforeAutospacing="1" w:afterLines="30" w:afterAutospacing="1"/>
        <w:rPr>
          <w:rFonts w:ascii="宋体" w:hAnsi="宋体"/>
          <w:sz w:val="24"/>
        </w:rPr>
      </w:pPr>
      <w:r>
        <w:rPr>
          <w:rFonts w:hint="eastAsia" w:ascii="宋体" w:hAnsi="宋体"/>
          <w:sz w:val="24"/>
        </w:rPr>
        <w:t>1.</w:t>
      </w:r>
      <w:r>
        <w:rPr>
          <w:rFonts w:ascii="宋体" w:hAnsi="宋体"/>
          <w:sz w:val="24"/>
        </w:rPr>
        <w:t>交货方法，按下列第（</w:t>
      </w:r>
      <w:r>
        <w:rPr>
          <w:rFonts w:hint="eastAsia" w:ascii="宋体" w:hAnsi="宋体"/>
          <w:sz w:val="24"/>
        </w:rPr>
        <w:t xml:space="preserve"> 1</w:t>
      </w:r>
      <w:r>
        <w:rPr>
          <w:rFonts w:ascii="宋体" w:hAnsi="宋体"/>
          <w:sz w:val="24"/>
        </w:rPr>
        <w:t xml:space="preserve"> ）项执行：</w:t>
      </w:r>
    </w:p>
    <w:p>
      <w:pPr>
        <w:numPr>
          <w:ilvl w:val="0"/>
          <w:numId w:val="6"/>
        </w:numPr>
        <w:spacing w:beforeLines="50" w:beforeAutospacing="1" w:afterLines="30" w:afterAutospacing="1"/>
        <w:rPr>
          <w:rFonts w:ascii="宋体" w:hAnsi="宋体"/>
          <w:sz w:val="24"/>
        </w:rPr>
      </w:pPr>
      <w:r>
        <w:rPr>
          <w:rFonts w:ascii="宋体" w:hAnsi="宋体"/>
          <w:sz w:val="24"/>
        </w:rPr>
        <w:t>乙方送货</w:t>
      </w:r>
      <w:r>
        <w:rPr>
          <w:rFonts w:hint="eastAsia" w:ascii="宋体" w:hAnsi="宋体"/>
          <w:sz w:val="24"/>
        </w:rPr>
        <w:t>上门；</w:t>
      </w:r>
      <w:r>
        <w:rPr>
          <w:rFonts w:ascii="宋体" w:hAnsi="宋体"/>
          <w:sz w:val="24"/>
        </w:rPr>
        <w:t>（2）乙方代运；（3）甲方自提自运。</w:t>
      </w:r>
    </w:p>
    <w:p>
      <w:pPr>
        <w:spacing w:beforeLines="50" w:beforeAutospacing="1" w:afterLines="30" w:afterAutospacing="1"/>
        <w:rPr>
          <w:rFonts w:ascii="宋体" w:hAnsi="宋体"/>
          <w:sz w:val="24"/>
        </w:rPr>
      </w:pPr>
      <w:r>
        <w:rPr>
          <w:rFonts w:hint="eastAsia" w:ascii="宋体" w:hAnsi="宋体"/>
          <w:sz w:val="24"/>
        </w:rPr>
        <w:t>2.</w:t>
      </w:r>
      <w:r>
        <w:rPr>
          <w:rFonts w:ascii="宋体" w:hAnsi="宋体"/>
          <w:sz w:val="24"/>
        </w:rPr>
        <w:t>到货地点</w:t>
      </w:r>
      <w:r>
        <w:rPr>
          <w:rFonts w:hint="eastAsia" w:ascii="宋体" w:hAnsi="宋体"/>
          <w:sz w:val="24"/>
        </w:rPr>
        <w:t>：</w:t>
      </w:r>
      <w:r>
        <w:rPr>
          <w:rFonts w:hint="eastAsia" w:ascii="宋体" w:hAnsi="宋体"/>
          <w:sz w:val="24"/>
          <w:u w:val="single"/>
        </w:rPr>
        <w:t>（</w:t>
      </w:r>
      <w:r>
        <w:rPr>
          <w:rFonts w:hint="eastAsia" w:ascii="宋体" w:hAnsi="宋体"/>
          <w:sz w:val="24"/>
        </w:rPr>
        <w:t>安装并调试。)</w:t>
      </w:r>
    </w:p>
    <w:p>
      <w:pPr>
        <w:spacing w:beforeLines="50" w:beforeAutospacing="1" w:afterLines="30" w:afterAutospacing="1"/>
        <w:rPr>
          <w:rFonts w:ascii="宋体" w:hAnsi="宋体"/>
          <w:sz w:val="24"/>
        </w:rPr>
      </w:pPr>
      <w:r>
        <w:rPr>
          <w:rFonts w:hint="eastAsia" w:ascii="宋体" w:hAnsi="宋体"/>
          <w:sz w:val="24"/>
        </w:rPr>
        <w:t>3.</w:t>
      </w:r>
      <w:r>
        <w:rPr>
          <w:rFonts w:ascii="宋体" w:hAnsi="宋体"/>
          <w:sz w:val="24"/>
        </w:rPr>
        <w:t>产品</w:t>
      </w:r>
      <w:r>
        <w:rPr>
          <w:rFonts w:hint="eastAsia" w:ascii="宋体" w:hAnsi="宋体"/>
          <w:sz w:val="24"/>
        </w:rPr>
        <w:t>的交货期限：</w:t>
      </w:r>
      <w:r>
        <w:rPr>
          <w:rFonts w:ascii="宋体" w:hAnsi="宋体"/>
          <w:sz w:val="24"/>
          <w:u w:val="single"/>
        </w:rPr>
        <w:t>        </w:t>
      </w:r>
      <w:r>
        <w:rPr>
          <w:rFonts w:ascii="宋体" w:hAnsi="宋体"/>
          <w:sz w:val="24"/>
        </w:rPr>
        <w:t>。</w:t>
      </w:r>
    </w:p>
    <w:p>
      <w:pPr>
        <w:rPr>
          <w:rFonts w:ascii="宋体" w:hAnsi="宋体"/>
          <w:sz w:val="24"/>
        </w:rPr>
      </w:pPr>
      <w:r>
        <w:rPr>
          <w:rFonts w:hint="eastAsia" w:ascii="宋体" w:hAnsi="宋体"/>
          <w:sz w:val="24"/>
        </w:rPr>
        <w:t>4.安装调试期限：</w:t>
      </w:r>
      <w:r>
        <w:rPr>
          <w:rFonts w:ascii="宋体" w:hAnsi="宋体"/>
          <w:sz w:val="24"/>
          <w:u w:val="single"/>
        </w:rPr>
        <w:t>        </w:t>
      </w:r>
      <w:r>
        <w:rPr>
          <w:rFonts w:ascii="宋体" w:hAnsi="宋体"/>
          <w:sz w:val="24"/>
        </w:rPr>
        <w:t>。</w:t>
      </w:r>
    </w:p>
    <w:p>
      <w:pPr>
        <w:spacing w:beforeLines="50" w:beforeAutospacing="1" w:afterLines="30" w:afterAutospacing="1"/>
        <w:rPr>
          <w:rFonts w:ascii="宋体" w:hAnsi="宋体"/>
          <w:sz w:val="24"/>
        </w:rPr>
      </w:pPr>
      <w:r>
        <w:rPr>
          <w:rFonts w:hint="eastAsia" w:ascii="宋体" w:hAnsi="宋体"/>
          <w:b/>
          <w:bCs/>
          <w:sz w:val="24"/>
        </w:rPr>
        <w:t>第五条</w:t>
      </w:r>
      <w:r>
        <w:rPr>
          <w:rFonts w:hint="eastAsia" w:ascii="宋体" w:hAnsi="宋体"/>
          <w:sz w:val="24"/>
        </w:rPr>
        <w:t xml:space="preserve">  合同总价款</w:t>
      </w:r>
    </w:p>
    <w:p>
      <w:pPr>
        <w:spacing w:line="360" w:lineRule="auto"/>
        <w:ind w:firstLine="420"/>
        <w:rPr>
          <w:rFonts w:ascii="宋体" w:hAnsi="Arial"/>
          <w:sz w:val="24"/>
        </w:rPr>
      </w:pPr>
      <w:r>
        <w:rPr>
          <w:rFonts w:hint="eastAsia" w:ascii="宋体" w:hAnsi="宋体"/>
          <w:sz w:val="24"/>
        </w:rPr>
        <w:t>合同总价款（大小写）：</w:t>
      </w:r>
      <w:r>
        <w:rPr>
          <w:rFonts w:hint="eastAsia" w:ascii="宋体" w:hAnsi="宋体"/>
          <w:sz w:val="24"/>
          <w:u w:val="single"/>
          <w:lang w:val="en-US" w:eastAsia="zh-CN"/>
        </w:rPr>
        <w:t xml:space="preserve">                  </w:t>
      </w:r>
      <w:r>
        <w:rPr>
          <w:rFonts w:hint="eastAsia" w:ascii="宋体" w:hAnsi="Arial"/>
          <w:sz w:val="24"/>
        </w:rPr>
        <w:t>。</w:t>
      </w:r>
    </w:p>
    <w:p>
      <w:pPr>
        <w:spacing w:line="420" w:lineRule="atLeast"/>
        <w:ind w:firstLine="420"/>
        <w:rPr>
          <w:rFonts w:ascii="宋体"/>
          <w:sz w:val="24"/>
        </w:rPr>
      </w:pPr>
      <w:r>
        <w:rPr>
          <w:rFonts w:hint="eastAsia" w:ascii="宋体" w:hAnsi="宋体"/>
          <w:sz w:val="24"/>
        </w:rPr>
        <w:t>合同总价款包含货物及所需附件购置费、包装费、运输费、人工费、保险费、安装调试费、各种税费、资料费、售后服务费、技术服务与支持费及合同实施过程中的不可预见费用等全部费用。除上述费用外，甲方无需为履行本合同承担其他任何费用。</w:t>
      </w:r>
    </w:p>
    <w:p>
      <w:pPr>
        <w:numPr>
          <w:ilvl w:val="0"/>
          <w:numId w:val="7"/>
        </w:numPr>
        <w:spacing w:beforeLines="50" w:beforeAutospacing="1" w:afterLines="30" w:afterAutospacing="1"/>
        <w:rPr>
          <w:rFonts w:ascii="宋体" w:hAnsi="宋体"/>
          <w:sz w:val="24"/>
        </w:rPr>
      </w:pPr>
      <w:r>
        <w:rPr>
          <w:rFonts w:hint="eastAsia" w:ascii="宋体" w:hAnsi="宋体"/>
          <w:sz w:val="24"/>
        </w:rPr>
        <w:t xml:space="preserve">付款条件 </w:t>
      </w:r>
    </w:p>
    <w:p>
      <w:pPr>
        <w:spacing w:line="500" w:lineRule="exact"/>
        <w:ind w:firstLine="448" w:firstLineChars="187"/>
        <w:rPr>
          <w:rFonts w:ascii="宋体" w:hAnsi="宋体"/>
          <w:sz w:val="24"/>
        </w:rPr>
      </w:pPr>
      <w:r>
        <w:rPr>
          <w:rFonts w:hint="eastAsia" w:ascii="宋体" w:hAnsi="宋体"/>
          <w:sz w:val="24"/>
        </w:rPr>
        <w:t>1. 本合同以人民币付款。</w:t>
      </w:r>
    </w:p>
    <w:p>
      <w:pPr>
        <w:spacing w:line="500" w:lineRule="exact"/>
        <w:ind w:firstLine="420"/>
        <w:rPr>
          <w:rFonts w:ascii="宋体" w:hAnsi="宋体"/>
          <w:sz w:val="24"/>
          <w:highlight w:val="cyan"/>
        </w:rPr>
      </w:pPr>
      <w:r>
        <w:rPr>
          <w:rFonts w:hint="eastAsia" w:ascii="宋体" w:hAnsi="宋体"/>
          <w:sz w:val="24"/>
        </w:rPr>
        <w:t>2. 具体付款方式：</w:t>
      </w:r>
    </w:p>
    <w:p>
      <w:pPr>
        <w:pStyle w:val="45"/>
        <w:spacing w:line="500" w:lineRule="exact"/>
        <w:ind w:firstLine="420"/>
        <w:rPr>
          <w:rFonts w:ascii="宋体" w:hAnsi="宋体"/>
          <w:bCs/>
        </w:rPr>
      </w:pPr>
      <w:r>
        <w:rPr>
          <w:rFonts w:hint="eastAsia" w:ascii="宋体" w:hAnsi="宋体"/>
          <w:bCs/>
        </w:rPr>
        <w:t>⑴ 乙方使用农民工施工时依照下列方式付款：</w:t>
      </w:r>
    </w:p>
    <w:p>
      <w:pPr>
        <w:pStyle w:val="45"/>
        <w:numPr>
          <w:ilvl w:val="0"/>
          <w:numId w:val="8"/>
        </w:numPr>
        <w:spacing w:line="500" w:lineRule="exact"/>
        <w:rPr>
          <w:rFonts w:hint="eastAsia" w:ascii="宋体" w:hAnsi="宋体" w:eastAsia="宋体" w:cs="宋体"/>
          <w:bCs/>
        </w:rPr>
      </w:pPr>
      <w:r>
        <w:rPr>
          <w:rFonts w:hint="eastAsia" w:ascii="宋体" w:hAnsi="宋体" w:eastAsia="宋体" w:cs="宋体"/>
          <w:bCs/>
        </w:rPr>
        <w:t>货物到场验收合格后支付相应设备款的30%；</w:t>
      </w:r>
    </w:p>
    <w:p>
      <w:pPr>
        <w:pStyle w:val="45"/>
        <w:numPr>
          <w:ilvl w:val="0"/>
          <w:numId w:val="8"/>
        </w:numPr>
        <w:spacing w:line="500" w:lineRule="exact"/>
        <w:rPr>
          <w:rFonts w:hint="eastAsia" w:ascii="宋体" w:hAnsi="宋体" w:eastAsia="宋体" w:cs="宋体"/>
          <w:bCs/>
        </w:rPr>
      </w:pPr>
      <w:r>
        <w:rPr>
          <w:rFonts w:hint="eastAsia" w:ascii="宋体" w:hAnsi="宋体" w:eastAsia="宋体" w:cs="宋体"/>
          <w:bCs/>
        </w:rPr>
        <w:t>项目整体验收合格后支付至合同总金额的60%，其中扣除至验收日当月已支付未扣回的全部农民工工资；</w:t>
      </w:r>
    </w:p>
    <w:p>
      <w:pPr>
        <w:pStyle w:val="45"/>
        <w:numPr>
          <w:ilvl w:val="0"/>
          <w:numId w:val="8"/>
        </w:numPr>
        <w:spacing w:line="500" w:lineRule="exact"/>
        <w:rPr>
          <w:rFonts w:hint="eastAsia" w:ascii="宋体" w:hAnsi="宋体" w:eastAsia="宋体" w:cs="宋体"/>
          <w:bCs/>
        </w:rPr>
      </w:pPr>
      <w:r>
        <w:rPr>
          <w:rFonts w:hint="eastAsia" w:ascii="宋体" w:hAnsi="宋体" w:eastAsia="宋体" w:cs="宋体"/>
          <w:bCs/>
        </w:rPr>
        <w:t>决算审计后付至审计额的95%，余款作为质保金，质保期满（3年）后15</w:t>
      </w:r>
    </w:p>
    <w:p>
      <w:pPr>
        <w:pStyle w:val="45"/>
        <w:spacing w:line="500" w:lineRule="exact"/>
        <w:ind w:left="420"/>
        <w:rPr>
          <w:rFonts w:hint="eastAsia" w:ascii="宋体" w:hAnsi="宋体" w:eastAsia="宋体" w:cs="宋体"/>
          <w:bCs/>
        </w:rPr>
      </w:pPr>
      <w:r>
        <w:rPr>
          <w:rFonts w:hint="eastAsia" w:ascii="宋体" w:hAnsi="宋体" w:eastAsia="宋体" w:cs="宋体"/>
          <w:bCs/>
        </w:rPr>
        <w:t>个工作日内付清（无息）。</w:t>
      </w:r>
    </w:p>
    <w:p>
      <w:pPr>
        <w:spacing w:line="500" w:lineRule="exact"/>
        <w:ind w:firstLine="420"/>
        <w:rPr>
          <w:rFonts w:ascii="宋体" w:hAnsi="宋体"/>
          <w:bCs/>
          <w:sz w:val="24"/>
          <w:szCs w:val="20"/>
        </w:rPr>
      </w:pPr>
      <w:r>
        <w:rPr>
          <w:rFonts w:hint="eastAsia" w:ascii="宋体" w:hAnsi="宋体"/>
          <w:bCs/>
          <w:sz w:val="24"/>
        </w:rPr>
        <w:t xml:space="preserve">⑵ </w:t>
      </w:r>
      <w:r>
        <w:rPr>
          <w:rFonts w:hint="eastAsia" w:ascii="宋体" w:hAnsi="宋体"/>
          <w:bCs/>
          <w:sz w:val="24"/>
          <w:szCs w:val="20"/>
        </w:rPr>
        <w:t>乙方使用自有员工施工时依照下列方式付款：</w:t>
      </w:r>
    </w:p>
    <w:p>
      <w:pPr>
        <w:spacing w:line="500" w:lineRule="exact"/>
        <w:ind w:firstLine="420"/>
        <w:rPr>
          <w:rFonts w:ascii="宋体" w:hAnsi="宋体"/>
          <w:bCs/>
          <w:sz w:val="24"/>
          <w:szCs w:val="20"/>
        </w:rPr>
      </w:pPr>
      <w:r>
        <w:rPr>
          <w:rFonts w:hint="eastAsia" w:ascii="宋体" w:hAnsi="宋体"/>
          <w:bCs/>
          <w:sz w:val="24"/>
          <w:szCs w:val="20"/>
        </w:rPr>
        <w:t>货物到场验收合格后支付相应货款的30%；项目整体验收合格后支付至合同额的60%；决算审计后付至审计额的95%，余款作为质保金，质保期满（3年）后15个工作日内付清（无息）。</w:t>
      </w:r>
    </w:p>
    <w:p>
      <w:pPr>
        <w:spacing w:line="500" w:lineRule="exact"/>
        <w:ind w:left="480" w:leftChars="200" w:hanging="60" w:hangingChars="25"/>
        <w:rPr>
          <w:rFonts w:ascii="宋体" w:hAnsi="宋体"/>
          <w:sz w:val="24"/>
        </w:rPr>
      </w:pPr>
      <w:r>
        <w:rPr>
          <w:rFonts w:hint="eastAsia" w:ascii="宋体" w:hAnsi="宋体"/>
          <w:sz w:val="24"/>
        </w:rPr>
        <w:t>3.税率要求：</w:t>
      </w:r>
    </w:p>
    <w:p>
      <w:pPr>
        <w:spacing w:line="500" w:lineRule="exact"/>
        <w:ind w:firstLine="420"/>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每次付款前乙方需向甲方提供13%的等额增值税专用发票，否则甲方有权拒绝付款且不视为违约。合同执行期间如遇国家税率调整，未付金额按新的税率开具等额增值税发票，如税率下浮的，甲方有权扣除因税率调整产生的差额部分。</w:t>
      </w:r>
    </w:p>
    <w:p>
      <w:pPr>
        <w:numPr>
          <w:ilvl w:val="0"/>
          <w:numId w:val="7"/>
        </w:numPr>
        <w:spacing w:beforeLines="50" w:beforeAutospacing="1" w:afterLines="30" w:afterAutospacing="1" w:line="360" w:lineRule="auto"/>
        <w:rPr>
          <w:rFonts w:ascii="宋体" w:hAnsi="宋体"/>
          <w:sz w:val="24"/>
        </w:rPr>
      </w:pPr>
      <w:r>
        <w:rPr>
          <w:rFonts w:hint="eastAsia" w:ascii="宋体" w:hAnsi="宋体"/>
          <w:sz w:val="24"/>
        </w:rPr>
        <w:t>施工人员及农民工工资管理</w:t>
      </w:r>
    </w:p>
    <w:p>
      <w:pPr>
        <w:tabs>
          <w:tab w:val="left" w:pos="284"/>
          <w:tab w:val="left" w:pos="1680"/>
        </w:tabs>
        <w:spacing w:line="360" w:lineRule="auto"/>
        <w:rPr>
          <w:rFonts w:ascii="宋体" w:hAnsi="宋体" w:cs="宋体"/>
          <w:b/>
          <w:szCs w:val="21"/>
        </w:rPr>
      </w:pPr>
      <w:r>
        <w:rPr>
          <w:rFonts w:ascii="宋体" w:hAnsi="宋体" w:cs="宋体"/>
          <w:b/>
          <w:szCs w:val="21"/>
        </w:rPr>
        <w:tab/>
      </w:r>
      <w:r>
        <w:rPr>
          <w:rFonts w:hint="eastAsia" w:ascii="宋体" w:hAnsi="Arial"/>
          <w:sz w:val="24"/>
        </w:rPr>
        <w:t>1.乙方</w:t>
      </w:r>
      <w:r>
        <w:rPr>
          <w:rFonts w:ascii="宋体" w:hAnsi="Arial"/>
          <w:sz w:val="24"/>
        </w:rPr>
        <w:t>须严格遵守</w:t>
      </w:r>
      <w:r>
        <w:rPr>
          <w:rFonts w:hint="eastAsia" w:ascii="宋体" w:hAnsi="Arial"/>
          <w:sz w:val="24"/>
        </w:rPr>
        <w:t>合建（</w:t>
      </w:r>
      <w:r>
        <w:rPr>
          <w:rFonts w:ascii="宋体" w:hAnsi="Arial"/>
          <w:sz w:val="24"/>
        </w:rPr>
        <w:t>2019）224号文件《关于进一步落实房屋</w:t>
      </w:r>
      <w:r>
        <w:rPr>
          <w:rFonts w:hint="eastAsia" w:ascii="宋体" w:hAnsi="Arial"/>
          <w:sz w:val="24"/>
        </w:rPr>
        <w:t>建筑和市政基础设施工程建筑工人实名制管理工作的通知》的规定，依托“合肥市建设行业监管综合服务平台”（合肥市工程建设云平台）开展项目建筑工人实名信息登记、认证、考勤、工资代发及数据上传等实名制相关工作。</w:t>
      </w:r>
    </w:p>
    <w:p>
      <w:pPr>
        <w:spacing w:line="360" w:lineRule="auto"/>
        <w:ind w:firstLine="420"/>
        <w:rPr>
          <w:rFonts w:ascii="宋体" w:hAnsi="Arial"/>
          <w:sz w:val="24"/>
        </w:rPr>
      </w:pPr>
      <w:r>
        <w:rPr>
          <w:rFonts w:hint="eastAsia" w:ascii="宋体" w:hAnsi="Arial"/>
          <w:sz w:val="24"/>
        </w:rPr>
        <w:t>2.乙方在工程实施过程中用工行为，必须严格执行国家及地方政府的有关规定，依法签订劳动合同；严格按照《合肥市建设领域农民工工资专用账户管理意见》（合政办[2013]55号文件）的规定，执行农民工工资发放。</w:t>
      </w:r>
    </w:p>
    <w:p>
      <w:pPr>
        <w:spacing w:line="360" w:lineRule="auto"/>
        <w:ind w:firstLine="420"/>
        <w:rPr>
          <w:rFonts w:ascii="宋体" w:hAnsi="Arial"/>
          <w:sz w:val="24"/>
        </w:rPr>
      </w:pPr>
      <w:r>
        <w:rPr>
          <w:rFonts w:hint="eastAsia" w:ascii="宋体" w:hAnsi="Arial"/>
          <w:sz w:val="24"/>
        </w:rPr>
        <w:t>3．本工程农民工工资实行专用账户管理，承包人设立的专用账户开户行为_</w:t>
      </w:r>
      <w:r>
        <w:rPr>
          <w:rFonts w:ascii="宋体" w:hAnsi="Arial"/>
          <w:sz w:val="24"/>
        </w:rPr>
        <w:t>_____________</w:t>
      </w:r>
      <w:r>
        <w:rPr>
          <w:rFonts w:hint="eastAsia" w:ascii="宋体" w:hAnsi="Arial"/>
          <w:sz w:val="24"/>
        </w:rPr>
        <w:t>，账号：_</w:t>
      </w:r>
      <w:r>
        <w:rPr>
          <w:rFonts w:ascii="宋体" w:hAnsi="Arial"/>
          <w:sz w:val="24"/>
        </w:rPr>
        <w:t>_____________</w:t>
      </w:r>
      <w:r>
        <w:rPr>
          <w:rFonts w:hint="eastAsia" w:ascii="宋体" w:hAnsi="Arial"/>
          <w:sz w:val="24"/>
        </w:rPr>
        <w:t>;</w:t>
      </w:r>
    </w:p>
    <w:p>
      <w:pPr>
        <w:spacing w:line="360" w:lineRule="auto"/>
        <w:ind w:firstLine="420"/>
        <w:rPr>
          <w:rFonts w:ascii="宋体" w:hAnsi="Arial"/>
          <w:sz w:val="24"/>
        </w:rPr>
      </w:pPr>
      <w:r>
        <w:rPr>
          <w:rFonts w:hint="eastAsia" w:ascii="宋体" w:hAnsi="Arial"/>
          <w:sz w:val="24"/>
        </w:rPr>
        <w:t>4.本工程工资性工程款计算公式：工资性工程款=合同金额X30%；</w:t>
      </w:r>
    </w:p>
    <w:p>
      <w:pPr>
        <w:spacing w:line="360" w:lineRule="auto"/>
        <w:ind w:firstLine="420"/>
        <w:rPr>
          <w:rFonts w:ascii="宋体" w:hAnsi="Arial"/>
          <w:sz w:val="24"/>
        </w:rPr>
      </w:pPr>
      <w:r>
        <w:rPr>
          <w:rFonts w:hint="eastAsia" w:ascii="宋体" w:hAnsi="Arial"/>
          <w:sz w:val="24"/>
        </w:rPr>
        <w:t>5．发包人在监理人签发开工报告后10日内，将首月工资性工程预付款转入承包人开立的农民工工资专用账户。之后发包人于每月25日前将工资性工程进度款(当月已完工程量的安装工程性工程款的30%，不含设备款)转入农民工工资专用账户。</w:t>
      </w:r>
    </w:p>
    <w:p>
      <w:pPr>
        <w:spacing w:line="360" w:lineRule="auto"/>
        <w:ind w:firstLine="420"/>
        <w:rPr>
          <w:rFonts w:ascii="宋体" w:hAnsi="Arial"/>
          <w:sz w:val="24"/>
        </w:rPr>
      </w:pPr>
      <w:r>
        <w:rPr>
          <w:rFonts w:hint="eastAsia" w:ascii="宋体" w:hAnsi="Arial"/>
          <w:sz w:val="24"/>
        </w:rPr>
        <w:t>6．发包人于每月25日前将工资性工程进度款转入农民工工资专用账户。</w:t>
      </w:r>
    </w:p>
    <w:p>
      <w:pPr>
        <w:spacing w:line="360" w:lineRule="auto"/>
        <w:ind w:firstLine="420"/>
        <w:rPr>
          <w:rFonts w:ascii="宋体" w:hAnsi="Arial"/>
          <w:sz w:val="24"/>
        </w:rPr>
      </w:pPr>
      <w:r>
        <w:rPr>
          <w:rFonts w:hint="eastAsia" w:ascii="宋体" w:hAnsi="Arial"/>
          <w:sz w:val="24"/>
        </w:rPr>
        <w:t>7．承包人每月25日前上报本工程农民工工资清单，每月10日前委托开设农民工工资专用账户的银行支付农民工工资。</w:t>
      </w:r>
    </w:p>
    <w:p>
      <w:pPr>
        <w:spacing w:line="360" w:lineRule="auto"/>
        <w:ind w:firstLine="420"/>
        <w:rPr>
          <w:rFonts w:ascii="宋体" w:hAnsi="Arial"/>
          <w:sz w:val="24"/>
        </w:rPr>
      </w:pPr>
      <w:r>
        <w:rPr>
          <w:rFonts w:hint="eastAsia" w:ascii="宋体" w:hAnsi="Arial"/>
          <w:sz w:val="24"/>
        </w:rPr>
        <w:t>8．工程竣工后，经项目部农民工维权组确认无农民工工资拖欠后，发、承双方办理农民工工资专用账户撤销手续，农民工工资专用账户余额划至本合同约定的承包人账户。</w:t>
      </w:r>
    </w:p>
    <w:p>
      <w:pPr>
        <w:snapToGrid w:val="0"/>
        <w:spacing w:beforeLines="30" w:line="360" w:lineRule="auto"/>
        <w:ind w:firstLine="420"/>
        <w:rPr>
          <w:rFonts w:ascii="宋体" w:hAnsi="Arial"/>
          <w:sz w:val="24"/>
        </w:rPr>
      </w:pPr>
      <w:r>
        <w:rPr>
          <w:rFonts w:hint="eastAsia" w:ascii="宋体" w:hAnsi="Arial"/>
          <w:sz w:val="24"/>
        </w:rPr>
        <w:t>9．工程竣工验收后，承包人在申请支付至合同价60%工程款时，须提供农民工工资结清证明，否则发包人将相关款项支付至农民工工资专户。</w:t>
      </w:r>
    </w:p>
    <w:p>
      <w:pPr>
        <w:snapToGrid w:val="0"/>
        <w:spacing w:beforeLines="30" w:line="360" w:lineRule="auto"/>
        <w:ind w:firstLine="420"/>
        <w:rPr>
          <w:rFonts w:ascii="宋体" w:hAnsi="Arial"/>
          <w:b/>
          <w:sz w:val="24"/>
        </w:rPr>
      </w:pPr>
      <w:r>
        <w:rPr>
          <w:rFonts w:hint="eastAsia" w:ascii="宋体" w:hAnsi="Arial"/>
          <w:b/>
          <w:sz w:val="24"/>
        </w:rPr>
        <w:t>若承包人施工人员全部为其本公司员工，在合同签订前，须提供本项目施工人员最近一个月的相关社保证明，并提交发包人备案，则上述第七条内容双方无须再约定，付款方式按照第六条第2点第（2）款内容签订合同。</w:t>
      </w:r>
    </w:p>
    <w:p>
      <w:pPr>
        <w:numPr>
          <w:ilvl w:val="0"/>
          <w:numId w:val="7"/>
        </w:numPr>
        <w:spacing w:beforeLines="50" w:beforeAutospacing="1" w:afterLines="30" w:afterAutospacing="1" w:line="360" w:lineRule="auto"/>
        <w:rPr>
          <w:rFonts w:ascii="宋体" w:hAnsi="宋体"/>
          <w:sz w:val="24"/>
        </w:rPr>
      </w:pPr>
      <w:r>
        <w:rPr>
          <w:rFonts w:ascii="宋体" w:hAnsi="宋体"/>
          <w:sz w:val="24"/>
        </w:rPr>
        <w:t>验收方法</w:t>
      </w:r>
    </w:p>
    <w:p>
      <w:pPr>
        <w:spacing w:beforeLines="50" w:beforeAutospacing="1" w:afterLines="30" w:afterAutospacing="1" w:line="360" w:lineRule="auto"/>
        <w:rPr>
          <w:rFonts w:ascii="宋体" w:hAnsi="宋体"/>
          <w:sz w:val="24"/>
        </w:rPr>
      </w:pPr>
      <w:r>
        <w:rPr>
          <w:rFonts w:hint="eastAsia" w:ascii="宋体" w:hAnsi="宋体"/>
          <w:sz w:val="24"/>
        </w:rPr>
        <w:t>1.乙方安装调试后，在</w:t>
      </w:r>
      <w:r>
        <w:rPr>
          <w:rFonts w:hint="eastAsia" w:ascii="宋体" w:hAnsi="宋体"/>
          <w:sz w:val="24"/>
          <w:u w:val="single"/>
        </w:rPr>
        <w:t xml:space="preserve">  15   </w:t>
      </w:r>
      <w:r>
        <w:rPr>
          <w:rFonts w:hint="eastAsia" w:ascii="宋体" w:hAnsi="宋体"/>
          <w:sz w:val="24"/>
        </w:rPr>
        <w:t>天内通知甲方组织验收。验收不合格的，乙方应负责重新提供达到本合同约定的质量要求的产品。</w:t>
      </w:r>
    </w:p>
    <w:p>
      <w:pPr>
        <w:pStyle w:val="9"/>
        <w:spacing w:before="100" w:beforeAutospacing="1" w:afterLines="30" w:afterAutospacing="1" w:line="360" w:lineRule="auto"/>
        <w:ind w:left="0" w:leftChars="0"/>
        <w:rPr>
          <w:rFonts w:ascii="宋体" w:hAnsi="Arial"/>
          <w:sz w:val="24"/>
        </w:rPr>
      </w:pPr>
      <w:r>
        <w:rPr>
          <w:rFonts w:hint="eastAsia" w:ascii="宋体" w:hAnsi="Arial"/>
          <w:sz w:val="24"/>
        </w:rPr>
        <w:t>2.甲方验收时，应成立三人以上（由甲、乙双方、甲方资产管理人、技术人员、财务等相关人员组成）验收小组，明确责任，严格依照招标文件、中标（成交）通知书、合同及相关验收规范进行核对、验收，形成验收结论，并出具书面验收报告。</w:t>
      </w:r>
    </w:p>
    <w:p>
      <w:pPr>
        <w:pStyle w:val="9"/>
        <w:spacing w:before="100" w:beforeAutospacing="1" w:afterLines="30" w:afterAutospacing="1" w:line="360" w:lineRule="auto"/>
        <w:ind w:left="0" w:leftChars="0"/>
        <w:rPr>
          <w:rFonts w:ascii="宋体" w:hAnsi="Arial"/>
          <w:sz w:val="24"/>
        </w:rPr>
      </w:pPr>
      <w:r>
        <w:rPr>
          <w:rFonts w:hint="eastAsia" w:ascii="宋体" w:hAnsi="Arial"/>
          <w:sz w:val="24"/>
        </w:rPr>
        <w:t>3.涉及安全、消防、环保等其他需要由质检或行业主管部门进行验收的项目，必须邀请相关部门或相关专家参与验收。</w:t>
      </w:r>
    </w:p>
    <w:p>
      <w:pPr>
        <w:spacing w:beforeLines="50" w:beforeAutospacing="1" w:afterLines="30" w:afterAutospacing="1" w:line="360" w:lineRule="auto"/>
        <w:rPr>
          <w:rFonts w:ascii="宋体" w:hAnsi="宋体"/>
          <w:sz w:val="24"/>
        </w:rPr>
      </w:pPr>
      <w:r>
        <w:rPr>
          <w:rFonts w:hint="eastAsia" w:ascii="宋体" w:hAnsi="宋体"/>
          <w:sz w:val="24"/>
          <w:szCs w:val="27"/>
        </w:rPr>
        <w:t>4.检测、验收费用均由乙方承担。</w:t>
      </w:r>
    </w:p>
    <w:p>
      <w:pPr>
        <w:pStyle w:val="9"/>
        <w:spacing w:before="156" w:beforeAutospacing="1" w:afterLines="30" w:afterAutospacing="1" w:line="360" w:lineRule="auto"/>
        <w:ind w:left="0" w:leftChars="0" w:firstLine="420"/>
        <w:rPr>
          <w:rFonts w:ascii="宋体" w:hAnsi="宋体"/>
          <w:b/>
          <w:bCs/>
          <w:sz w:val="24"/>
        </w:rPr>
      </w:pPr>
      <w:r>
        <w:rPr>
          <w:rFonts w:hint="eastAsia" w:ascii="宋体" w:hAnsi="宋体"/>
          <w:b/>
          <w:bCs/>
          <w:sz w:val="24"/>
        </w:rPr>
        <w:t>甲、乙双方应严格履行合同有关条款，如果验收过程中发现乙方擅自变更合同标的物，将拒绝通过验收，由此引起的一后果及损失由乙方承担。</w:t>
      </w:r>
    </w:p>
    <w:p>
      <w:pPr>
        <w:spacing w:beforeLines="50" w:beforeAutospacing="1" w:afterLines="30" w:afterAutospacing="1" w:line="360" w:lineRule="auto"/>
        <w:rPr>
          <w:rFonts w:ascii="宋体" w:hAnsi="宋体"/>
          <w:sz w:val="24"/>
        </w:rPr>
      </w:pPr>
      <w:r>
        <w:rPr>
          <w:rFonts w:ascii="宋体" w:hAnsi="宋体"/>
          <w:b/>
          <w:bCs/>
          <w:sz w:val="24"/>
        </w:rPr>
        <w:t>第</w:t>
      </w:r>
      <w:r>
        <w:rPr>
          <w:rFonts w:hint="eastAsia" w:ascii="宋体" w:hAnsi="宋体"/>
          <w:b/>
          <w:bCs/>
          <w:sz w:val="24"/>
        </w:rPr>
        <w:t>九</w:t>
      </w:r>
      <w:r>
        <w:rPr>
          <w:rFonts w:ascii="宋体" w:hAnsi="宋体"/>
          <w:b/>
          <w:bCs/>
          <w:sz w:val="24"/>
        </w:rPr>
        <w:t>条 </w:t>
      </w:r>
      <w:r>
        <w:rPr>
          <w:rFonts w:ascii="宋体" w:hAnsi="宋体"/>
          <w:sz w:val="24"/>
        </w:rPr>
        <w:t xml:space="preserve"> 对产品提出异议的时间和办法</w:t>
      </w:r>
    </w:p>
    <w:p>
      <w:pPr>
        <w:spacing w:beforeLines="50" w:beforeAutospacing="1" w:afterLines="30" w:afterAutospacing="1" w:line="360" w:lineRule="auto"/>
        <w:rPr>
          <w:rFonts w:ascii="宋体" w:hAnsi="宋体"/>
          <w:sz w:val="24"/>
        </w:rPr>
      </w:pPr>
      <w:r>
        <w:rPr>
          <w:rFonts w:hint="eastAsia" w:ascii="宋体" w:hAnsi="宋体"/>
          <w:sz w:val="24"/>
        </w:rPr>
        <w:t>1.</w:t>
      </w:r>
      <w:r>
        <w:rPr>
          <w:rFonts w:ascii="宋体" w:hAnsi="宋体"/>
          <w:sz w:val="24"/>
        </w:rPr>
        <w:t>甲方在验收中，如果发现产品不</w:t>
      </w:r>
      <w:r>
        <w:rPr>
          <w:rFonts w:hint="eastAsia" w:ascii="宋体" w:hAnsi="宋体"/>
          <w:sz w:val="24"/>
        </w:rPr>
        <w:t>符合合同约定的</w:t>
      </w:r>
      <w:r>
        <w:rPr>
          <w:rFonts w:ascii="宋体" w:hAnsi="宋体"/>
          <w:sz w:val="24"/>
        </w:rPr>
        <w:t>，应一面妥为保管，一面在</w:t>
      </w:r>
      <w:r>
        <w:rPr>
          <w:rFonts w:hint="eastAsia" w:ascii="宋体" w:hAnsi="宋体"/>
          <w:sz w:val="24"/>
          <w:u w:val="single"/>
        </w:rPr>
        <w:t>7</w:t>
      </w:r>
      <w:r>
        <w:rPr>
          <w:rFonts w:hint="eastAsia" w:ascii="宋体" w:hAnsi="宋体"/>
          <w:sz w:val="24"/>
        </w:rPr>
        <w:t>个工作日</w:t>
      </w:r>
      <w:r>
        <w:rPr>
          <w:rFonts w:ascii="宋体" w:hAnsi="宋体"/>
          <w:sz w:val="24"/>
        </w:rPr>
        <w:t>内向乙方</w:t>
      </w:r>
      <w:r>
        <w:rPr>
          <w:rFonts w:hint="eastAsia" w:ascii="宋体" w:hAnsi="宋体"/>
          <w:sz w:val="24"/>
        </w:rPr>
        <w:t>书面</w:t>
      </w:r>
      <w:r>
        <w:rPr>
          <w:rFonts w:ascii="宋体" w:hAnsi="宋体"/>
          <w:sz w:val="24"/>
        </w:rPr>
        <w:t>提出异议。</w:t>
      </w:r>
      <w:r>
        <w:rPr>
          <w:rFonts w:hint="eastAsia" w:ascii="宋体" w:hAnsi="宋体"/>
          <w:sz w:val="24"/>
        </w:rPr>
        <w:t>具体说明产品</w:t>
      </w:r>
      <w:r>
        <w:rPr>
          <w:rFonts w:ascii="宋体" w:hAnsi="宋体"/>
          <w:sz w:val="24"/>
        </w:rPr>
        <w:t>不符合规定的</w:t>
      </w:r>
      <w:r>
        <w:rPr>
          <w:rFonts w:hint="eastAsia" w:ascii="宋体" w:hAnsi="宋体"/>
          <w:sz w:val="24"/>
        </w:rPr>
        <w:t>内容并附相关验收材料，同时</w:t>
      </w:r>
      <w:r>
        <w:rPr>
          <w:rFonts w:ascii="宋体" w:hAnsi="宋体"/>
          <w:sz w:val="24"/>
        </w:rPr>
        <w:t>提出不符合规定产品的处理意见。</w:t>
      </w:r>
    </w:p>
    <w:p>
      <w:pPr>
        <w:spacing w:beforeLines="50" w:beforeAutospacing="1" w:afterLines="30" w:afterAutospacing="1" w:line="360" w:lineRule="auto"/>
        <w:rPr>
          <w:rFonts w:ascii="宋体" w:hAnsi="宋体"/>
          <w:sz w:val="24"/>
        </w:rPr>
      </w:pPr>
      <w:r>
        <w:rPr>
          <w:rFonts w:hint="eastAsia" w:ascii="宋体" w:hAnsi="宋体"/>
          <w:sz w:val="24"/>
        </w:rPr>
        <w:t>2.</w:t>
      </w:r>
      <w:r>
        <w:rPr>
          <w:rFonts w:ascii="宋体" w:hAnsi="宋体"/>
          <w:sz w:val="24"/>
        </w:rPr>
        <w:t>乙方在接到</w:t>
      </w:r>
      <w:r>
        <w:rPr>
          <w:rFonts w:hint="eastAsia" w:ascii="宋体" w:hAnsi="宋体"/>
          <w:sz w:val="24"/>
        </w:rPr>
        <w:t>甲</w:t>
      </w:r>
      <w:r>
        <w:rPr>
          <w:rFonts w:ascii="宋体" w:hAnsi="宋体"/>
          <w:sz w:val="24"/>
        </w:rPr>
        <w:t>方异议后，应在</w:t>
      </w:r>
      <w:r>
        <w:rPr>
          <w:rFonts w:hint="eastAsia" w:ascii="宋体" w:hAnsi="宋体"/>
          <w:sz w:val="24"/>
          <w:u w:val="single"/>
        </w:rPr>
        <w:t>7</w:t>
      </w:r>
      <w:r>
        <w:rPr>
          <w:rFonts w:hint="eastAsia" w:ascii="宋体" w:hAnsi="宋体"/>
          <w:sz w:val="24"/>
        </w:rPr>
        <w:t xml:space="preserve"> 工作日</w:t>
      </w:r>
      <w:r>
        <w:rPr>
          <w:rFonts w:ascii="宋体" w:hAnsi="宋体"/>
          <w:sz w:val="24"/>
        </w:rPr>
        <w:t>内负责处理，否则，即视为默认甲方提出的异议和处理意见。</w:t>
      </w:r>
    </w:p>
    <w:p>
      <w:pPr>
        <w:spacing w:beforeLines="50" w:beforeAutospacing="1" w:afterLines="30" w:afterAutospacing="1" w:line="360" w:lineRule="auto"/>
        <w:rPr>
          <w:rFonts w:ascii="宋体" w:hAnsi="宋体"/>
          <w:sz w:val="24"/>
        </w:rPr>
      </w:pPr>
      <w:r>
        <w:rPr>
          <w:rFonts w:hint="eastAsia" w:ascii="宋体" w:hAnsi="宋体"/>
          <w:b/>
          <w:bCs/>
          <w:sz w:val="24"/>
        </w:rPr>
        <w:t>第十条</w:t>
      </w:r>
      <w:r>
        <w:rPr>
          <w:rFonts w:hint="eastAsia" w:ascii="宋体" w:hAnsi="宋体"/>
          <w:sz w:val="24"/>
        </w:rPr>
        <w:t xml:space="preserve">  乙方应提供完善周到的技术支持和售后服务，否则甲方有权视情节轻重从乙方的履约保证金中扣除部分或全部补偿甲方。</w:t>
      </w:r>
    </w:p>
    <w:p>
      <w:pPr>
        <w:spacing w:beforeLines="50" w:beforeAutospacing="1" w:afterLines="30" w:afterAutospacing="1" w:line="360" w:lineRule="auto"/>
        <w:rPr>
          <w:rFonts w:ascii="宋体" w:hAnsi="宋体"/>
          <w:sz w:val="24"/>
        </w:rPr>
      </w:pPr>
      <w:r>
        <w:rPr>
          <w:rFonts w:hint="eastAsia" w:ascii="宋体" w:hAnsi="宋体"/>
          <w:sz w:val="24"/>
        </w:rPr>
        <w:t>（1）保修</w:t>
      </w:r>
    </w:p>
    <w:p>
      <w:pPr>
        <w:spacing w:beforeLines="50" w:beforeAutospacing="1" w:afterLines="30" w:afterAutospacing="1" w:line="360" w:lineRule="auto"/>
        <w:ind w:firstLine="460" w:firstLineChars="192"/>
        <w:rPr>
          <w:rFonts w:ascii="宋体" w:hAnsi="宋体"/>
          <w:sz w:val="24"/>
        </w:rPr>
      </w:pPr>
      <w:r>
        <w:rPr>
          <w:rFonts w:hint="eastAsia" w:ascii="宋体" w:hAnsi="宋体"/>
          <w:sz w:val="24"/>
        </w:rPr>
        <w:t>乙方对其所提供的货物免费保修</w:t>
      </w:r>
      <w:r>
        <w:rPr>
          <w:rFonts w:hint="eastAsia" w:ascii="宋体" w:hAnsi="宋体"/>
          <w:sz w:val="24"/>
          <w:u w:val="single"/>
        </w:rPr>
        <w:t>叁</w:t>
      </w:r>
      <w:r>
        <w:rPr>
          <w:rFonts w:hint="eastAsia" w:ascii="宋体" w:hAnsi="宋体"/>
          <w:sz w:val="24"/>
        </w:rPr>
        <w:t>年，保修期从</w:t>
      </w:r>
      <w:r>
        <w:rPr>
          <w:rFonts w:hint="eastAsia" w:ascii="宋体" w:hAnsi="宋体"/>
          <w:sz w:val="24"/>
          <w:u w:val="single"/>
        </w:rPr>
        <w:t xml:space="preserve">  竣工验收合格之日           </w:t>
      </w:r>
      <w:r>
        <w:rPr>
          <w:rFonts w:hint="eastAsia" w:ascii="宋体" w:hAnsi="宋体"/>
          <w:sz w:val="24"/>
        </w:rPr>
        <w:t>开始起算。乙方应在接到报修通知后</w:t>
      </w:r>
      <w:r>
        <w:rPr>
          <w:rFonts w:hint="eastAsia" w:ascii="宋体" w:hAnsi="宋体"/>
          <w:sz w:val="24"/>
          <w:u w:val="single"/>
        </w:rPr>
        <w:t xml:space="preserve">   1   </w:t>
      </w:r>
      <w:r>
        <w:rPr>
          <w:rFonts w:hint="eastAsia" w:ascii="宋体" w:hAnsi="宋体"/>
          <w:sz w:val="24"/>
        </w:rPr>
        <w:t>天内上门维修，负责更换有瑕疵的货物、部件或提供相应的质量保证期内的服务。由此造成的损失，甲方保留索赔的权利。</w:t>
      </w:r>
    </w:p>
    <w:p>
      <w:pPr>
        <w:spacing w:beforeLines="50" w:beforeAutospacing="1" w:afterLines="30" w:afterAutospacing="1" w:line="360" w:lineRule="auto"/>
        <w:ind w:firstLine="460" w:firstLineChars="192"/>
        <w:rPr>
          <w:rFonts w:ascii="宋体" w:hAnsi="宋体"/>
          <w:sz w:val="24"/>
        </w:rPr>
      </w:pPr>
      <w:r>
        <w:rPr>
          <w:rFonts w:hint="eastAsia" w:ascii="宋体" w:hAnsi="宋体"/>
          <w:sz w:val="24"/>
        </w:rPr>
        <w:t>如果乙方在收到报修通知后</w:t>
      </w:r>
      <w:r>
        <w:rPr>
          <w:rFonts w:hint="eastAsia" w:ascii="宋体" w:hAnsi="宋体"/>
          <w:sz w:val="24"/>
          <w:u w:val="single"/>
        </w:rPr>
        <w:t xml:space="preserve">   3   </w:t>
      </w:r>
      <w:r>
        <w:rPr>
          <w:rFonts w:hint="eastAsia" w:ascii="宋体" w:hAnsi="宋体"/>
          <w:sz w:val="24"/>
        </w:rPr>
        <w:t>天内没有弥补缺陷，甲方可采取必要的补救措施，但费用和风险由乙方承担。</w:t>
      </w:r>
    </w:p>
    <w:p>
      <w:pPr>
        <w:spacing w:beforeLines="50" w:beforeAutospacing="1" w:afterLines="30" w:afterAutospacing="1" w:line="360" w:lineRule="auto"/>
        <w:rPr>
          <w:rFonts w:ascii="宋体" w:hAnsi="宋体"/>
          <w:sz w:val="24"/>
        </w:rPr>
      </w:pPr>
      <w:r>
        <w:rPr>
          <w:rFonts w:hint="eastAsia" w:ascii="宋体" w:hAnsi="宋体"/>
          <w:sz w:val="24"/>
        </w:rPr>
        <w:t>（2）维修</w:t>
      </w:r>
    </w:p>
    <w:p>
      <w:pPr>
        <w:pStyle w:val="14"/>
        <w:spacing w:before="156" w:beforeAutospacing="1" w:afterLines="30" w:afterAutospacing="1" w:line="360" w:lineRule="auto"/>
        <w:rPr>
          <w:rFonts w:ascii="宋体" w:hAnsi="宋体"/>
          <w:sz w:val="24"/>
        </w:rPr>
      </w:pPr>
      <w:r>
        <w:rPr>
          <w:rFonts w:hint="eastAsia" w:ascii="宋体" w:hAnsi="宋体"/>
          <w:sz w:val="24"/>
        </w:rPr>
        <w:t>保修期届满后，乙方应对其提供的货物负有维修维保义务，但所涉及的费用由甲方承担。</w:t>
      </w:r>
    </w:p>
    <w:p>
      <w:pPr>
        <w:spacing w:beforeLines="50" w:beforeAutospacing="1" w:afterLines="30" w:afterAutospacing="1" w:line="360" w:lineRule="auto"/>
        <w:rPr>
          <w:rFonts w:ascii="宋体" w:hAnsi="宋体"/>
          <w:sz w:val="24"/>
        </w:rPr>
      </w:pPr>
      <w:r>
        <w:rPr>
          <w:rFonts w:ascii="宋体" w:hAnsi="宋体"/>
          <w:b/>
          <w:bCs/>
          <w:sz w:val="24"/>
        </w:rPr>
        <w:t>第</w:t>
      </w:r>
      <w:r>
        <w:rPr>
          <w:rFonts w:hint="eastAsia" w:ascii="宋体" w:hAnsi="宋体"/>
          <w:b/>
          <w:bCs/>
          <w:sz w:val="24"/>
        </w:rPr>
        <w:t>十一</w:t>
      </w:r>
      <w:r>
        <w:rPr>
          <w:rFonts w:ascii="宋体" w:hAnsi="宋体"/>
          <w:b/>
          <w:bCs/>
          <w:sz w:val="24"/>
        </w:rPr>
        <w:t>条</w:t>
      </w:r>
      <w:r>
        <w:rPr>
          <w:rFonts w:ascii="宋体" w:hAnsi="宋体"/>
          <w:sz w:val="24"/>
        </w:rPr>
        <w:t>  乙方的违约责任</w:t>
      </w:r>
    </w:p>
    <w:p>
      <w:pPr>
        <w:spacing w:beforeLines="50" w:beforeAutospacing="1" w:afterLines="30" w:afterAutospacing="1" w:line="360" w:lineRule="auto"/>
        <w:rPr>
          <w:rFonts w:ascii="宋体" w:hAnsi="宋体"/>
          <w:sz w:val="24"/>
        </w:rPr>
      </w:pPr>
      <w:r>
        <w:rPr>
          <w:rFonts w:ascii="宋体" w:hAnsi="宋体"/>
          <w:sz w:val="24"/>
        </w:rPr>
        <w:t>1.乙方不能交货的，应向甲方偿付不能交货部分货款的</w:t>
      </w:r>
      <w:r>
        <w:rPr>
          <w:rFonts w:ascii="宋体" w:hAnsi="宋体"/>
          <w:sz w:val="24"/>
          <w:u w:val="single"/>
        </w:rPr>
        <w:t> </w:t>
      </w:r>
      <w:r>
        <w:rPr>
          <w:rFonts w:hint="eastAsia" w:ascii="宋体" w:hAnsi="宋体"/>
          <w:sz w:val="24"/>
          <w:u w:val="single"/>
        </w:rPr>
        <w:t>2</w:t>
      </w:r>
      <w:r>
        <w:rPr>
          <w:rFonts w:ascii="宋体" w:hAnsi="宋体"/>
          <w:sz w:val="24"/>
          <w:u w:val="single"/>
        </w:rPr>
        <w:t> %</w:t>
      </w:r>
      <w:r>
        <w:rPr>
          <w:rFonts w:ascii="宋体" w:hAnsi="宋体"/>
          <w:sz w:val="24"/>
        </w:rPr>
        <w:t>的违约金</w:t>
      </w:r>
      <w:r>
        <w:rPr>
          <w:rFonts w:hint="eastAsia" w:ascii="宋体" w:hAnsi="宋体"/>
          <w:sz w:val="24"/>
        </w:rPr>
        <w:t>，，并赔偿因此给甲方造成的全部损失。</w:t>
      </w:r>
    </w:p>
    <w:p>
      <w:pPr>
        <w:spacing w:beforeLines="50" w:beforeAutospacing="1" w:afterLines="30" w:afterAutospacing="1" w:line="360" w:lineRule="auto"/>
        <w:rPr>
          <w:rFonts w:ascii="宋体" w:hAnsi="宋体"/>
          <w:sz w:val="24"/>
        </w:rPr>
      </w:pPr>
      <w:r>
        <w:rPr>
          <w:rFonts w:hint="eastAsia" w:ascii="宋体" w:hAnsi="宋体"/>
          <w:sz w:val="24"/>
        </w:rPr>
        <w:t>2.</w:t>
      </w:r>
      <w:r>
        <w:rPr>
          <w:rFonts w:ascii="宋体" w:hAnsi="宋体"/>
          <w:sz w:val="24"/>
        </w:rPr>
        <w:t>乙方所交产品不符合合同规定的，</w:t>
      </w:r>
      <w:r>
        <w:rPr>
          <w:rFonts w:hint="eastAsia" w:ascii="宋体" w:hAnsi="宋体"/>
          <w:sz w:val="24"/>
        </w:rPr>
        <w:t>应根据产品的具体情况，由乙方负责包换或包修，并承担修理、调换或退货而支付的实际费用</w:t>
      </w:r>
      <w:r>
        <w:rPr>
          <w:rFonts w:ascii="宋体"/>
          <w:sz w:val="24"/>
        </w:rPr>
        <w:t>,</w:t>
      </w:r>
      <w:r>
        <w:rPr>
          <w:rFonts w:hint="eastAsia" w:ascii="宋体" w:hAnsi="宋体"/>
          <w:sz w:val="24"/>
        </w:rPr>
        <w:t>同时，乙方应按规定，对更换件相应延长质量保证期，并赔偿甲方相应的损失。乙方不能修理或者不能调换的，按不能交货处理。</w:t>
      </w:r>
    </w:p>
    <w:p>
      <w:pPr>
        <w:spacing w:beforeLines="50" w:beforeAutospacing="1" w:afterLines="30" w:afterAutospacing="1" w:line="360" w:lineRule="auto"/>
        <w:rPr>
          <w:rFonts w:ascii="宋体" w:hAnsi="宋体"/>
          <w:sz w:val="24"/>
        </w:rPr>
      </w:pPr>
      <w:r>
        <w:rPr>
          <w:rFonts w:hint="eastAsia" w:ascii="宋体" w:hAnsi="宋体"/>
          <w:sz w:val="24"/>
        </w:rPr>
        <w:t>3.</w:t>
      </w:r>
      <w:r>
        <w:rPr>
          <w:rFonts w:ascii="宋体" w:hAnsi="宋体"/>
          <w:sz w:val="24"/>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ascii="宋体" w:hAnsi="宋体"/>
          <w:sz w:val="24"/>
        </w:rPr>
        <w:t>每件货物包装箱内应附一份详细装箱单和质量证书。为进口件的，应出具报关手续和原产地、原产工厂证明、报关手续和商检证明等。</w:t>
      </w:r>
    </w:p>
    <w:p>
      <w:pPr>
        <w:spacing w:before="100" w:beforeAutospacing="1" w:after="100" w:afterAutospacing="1" w:line="360" w:lineRule="auto"/>
        <w:rPr>
          <w:rFonts w:ascii="宋体" w:hAnsi="宋体"/>
          <w:sz w:val="24"/>
        </w:rPr>
      </w:pPr>
      <w:r>
        <w:rPr>
          <w:rFonts w:hint="eastAsia" w:ascii="宋体" w:hAnsi="宋体"/>
          <w:sz w:val="24"/>
        </w:rPr>
        <w:t>4.如果乙方没有按照规定的时间交货、完成设备安装和提供服务，甲方将对其课以违约金，违约金应从货款中扣除，违约金应按每周迟交货物或未提供服务价格的</w:t>
      </w:r>
      <w:r>
        <w:rPr>
          <w:rFonts w:ascii="宋体" w:hAnsi="宋体"/>
          <w:sz w:val="24"/>
        </w:rPr>
        <w:t>0.5%</w:t>
      </w:r>
      <w:r>
        <w:rPr>
          <w:rFonts w:hint="eastAsia" w:ascii="宋体" w:hAnsi="宋体"/>
          <w:sz w:val="24"/>
        </w:rPr>
        <w:t>计收。但违约金的最高限额为迟交货物或提供服务合同价的5%。一周按7天计算，不足7天按一周计算。如果达到最高限额，甲方有权考虑终止合同，由此给甲方造成的损失由乙方承担</w:t>
      </w:r>
      <w:r>
        <w:rPr>
          <w:rFonts w:ascii="宋体" w:hAnsi="宋体"/>
          <w:sz w:val="24"/>
        </w:rPr>
        <w:t>。</w:t>
      </w:r>
    </w:p>
    <w:p>
      <w:pPr>
        <w:spacing w:beforeLines="50" w:beforeAutospacing="1" w:afterLines="30" w:afterAutospacing="1" w:line="360" w:lineRule="auto"/>
        <w:rPr>
          <w:rFonts w:ascii="宋体" w:hAnsi="宋体"/>
          <w:sz w:val="24"/>
        </w:rPr>
      </w:pPr>
      <w:r>
        <w:rPr>
          <w:rFonts w:hint="eastAsia" w:ascii="宋体" w:hAnsi="宋体"/>
          <w:sz w:val="24"/>
        </w:rPr>
        <w:t>5.</w:t>
      </w:r>
      <w:r>
        <w:rPr>
          <w:rFonts w:ascii="宋体" w:hAnsi="宋体"/>
          <w:sz w:val="24"/>
        </w:rPr>
        <w:t>乙方提前交货的产品、多交的产品和不符合合同规定的产品，甲方在代保管期内实际支付的保管、保养等费用以及非因甲方保管不善而发生的损失，应当由乙方承担。</w:t>
      </w:r>
    </w:p>
    <w:p>
      <w:pPr>
        <w:spacing w:beforeLines="50" w:beforeAutospacing="1" w:afterLines="30" w:afterAutospacing="1" w:line="360" w:lineRule="auto"/>
        <w:rPr>
          <w:rFonts w:ascii="宋体" w:hAnsi="宋体"/>
          <w:sz w:val="24"/>
        </w:rPr>
      </w:pPr>
      <w:r>
        <w:rPr>
          <w:rFonts w:hint="eastAsia" w:ascii="宋体" w:hAnsi="宋体"/>
          <w:sz w:val="24"/>
        </w:rPr>
        <w:t>6.乙方应对其所提供的货物承担所有权担保责任，并应保证甲方在中华人民共和国内使用该货物时不侵犯第三人的知识产权。否则乙方应承担由此引起的一切法律责任及费用。</w:t>
      </w:r>
    </w:p>
    <w:p>
      <w:pPr>
        <w:spacing w:beforeLines="50" w:beforeAutospacing="1" w:afterLines="30" w:afterAutospacing="1" w:line="360" w:lineRule="auto"/>
        <w:rPr>
          <w:rFonts w:ascii="宋体" w:hAnsi="宋体"/>
          <w:sz w:val="24"/>
        </w:rPr>
      </w:pPr>
      <w:r>
        <w:rPr>
          <w:rFonts w:hint="eastAsia" w:ascii="宋体" w:hAnsi="宋体"/>
          <w:sz w:val="24"/>
        </w:rPr>
        <w:t>7.任何一方未经对方同意而单方面终止合同的，应向对方赔偿相当于本合同总价款</w:t>
      </w:r>
      <w:r>
        <w:rPr>
          <w:rFonts w:hint="eastAsia" w:ascii="宋体" w:hAnsi="宋体"/>
          <w:sz w:val="24"/>
          <w:u w:val="single"/>
        </w:rPr>
        <w:t xml:space="preserve">   5   %</w:t>
      </w:r>
      <w:r>
        <w:rPr>
          <w:rFonts w:hint="eastAsia" w:ascii="宋体" w:hAnsi="宋体"/>
          <w:sz w:val="24"/>
        </w:rPr>
        <w:t>违约金。</w:t>
      </w:r>
    </w:p>
    <w:p>
      <w:pPr>
        <w:spacing w:beforeLines="50" w:beforeAutospacing="1" w:afterLines="30" w:afterAutospacing="1" w:line="360" w:lineRule="auto"/>
        <w:rPr>
          <w:rFonts w:ascii="宋体" w:hAnsi="宋体"/>
          <w:sz w:val="24"/>
        </w:rPr>
      </w:pPr>
      <w:r>
        <w:rPr>
          <w:rFonts w:ascii="宋体" w:hAnsi="宋体"/>
          <w:b/>
          <w:bCs/>
          <w:sz w:val="24"/>
        </w:rPr>
        <w:t>第十</w:t>
      </w:r>
      <w:r>
        <w:rPr>
          <w:rFonts w:hint="eastAsia" w:ascii="宋体" w:hAnsi="宋体"/>
          <w:b/>
          <w:bCs/>
          <w:sz w:val="24"/>
        </w:rPr>
        <w:t>二</w:t>
      </w:r>
      <w:r>
        <w:rPr>
          <w:rFonts w:ascii="宋体" w:hAnsi="宋体"/>
          <w:b/>
          <w:bCs/>
          <w:sz w:val="24"/>
        </w:rPr>
        <w:t>条</w:t>
      </w:r>
      <w:r>
        <w:rPr>
          <w:rFonts w:ascii="宋体" w:hAnsi="宋体"/>
          <w:sz w:val="24"/>
        </w:rPr>
        <w:t>  甲方的违约责任</w:t>
      </w:r>
    </w:p>
    <w:p>
      <w:pPr>
        <w:spacing w:beforeLines="50" w:beforeAutospacing="1" w:afterLines="30" w:afterAutospacing="1" w:line="360" w:lineRule="auto"/>
        <w:rPr>
          <w:rFonts w:ascii="宋体" w:hAnsi="宋体"/>
          <w:sz w:val="24"/>
        </w:rPr>
      </w:pPr>
      <w:r>
        <w:rPr>
          <w:rFonts w:hint="eastAsia" w:ascii="宋体" w:hAnsi="宋体"/>
          <w:sz w:val="24"/>
        </w:rPr>
        <w:t>1.</w:t>
      </w:r>
      <w:r>
        <w:rPr>
          <w:rFonts w:ascii="宋体" w:hAnsi="宋体"/>
          <w:sz w:val="24"/>
        </w:rPr>
        <w:t>甲方中途退货，应向乙方偿付退货部分货款</w:t>
      </w:r>
      <w:r>
        <w:rPr>
          <w:rFonts w:hint="eastAsia" w:ascii="宋体" w:hAnsi="宋体"/>
          <w:sz w:val="24"/>
          <w:u w:val="single"/>
        </w:rPr>
        <w:t xml:space="preserve"> 2 % </w:t>
      </w:r>
      <w:r>
        <w:rPr>
          <w:rFonts w:ascii="宋体" w:hAnsi="宋体"/>
          <w:sz w:val="24"/>
        </w:rPr>
        <w:t>的违约金。</w:t>
      </w:r>
    </w:p>
    <w:p>
      <w:pPr>
        <w:spacing w:beforeLines="50" w:beforeAutospacing="1" w:afterLines="30" w:afterAutospacing="1" w:line="360" w:lineRule="auto"/>
        <w:rPr>
          <w:rFonts w:ascii="宋体" w:hAnsi="宋体"/>
          <w:sz w:val="24"/>
        </w:rPr>
      </w:pPr>
      <w:r>
        <w:rPr>
          <w:rFonts w:hint="eastAsia" w:ascii="宋体" w:hAnsi="宋体"/>
          <w:sz w:val="24"/>
        </w:rPr>
        <w:t>2..</w:t>
      </w:r>
      <w:r>
        <w:rPr>
          <w:rFonts w:ascii="宋体" w:hAnsi="宋体"/>
          <w:sz w:val="24"/>
        </w:rPr>
        <w:t>甲方违反合同规定拒绝接货的，应当承担由此造成的损失。</w:t>
      </w:r>
    </w:p>
    <w:p>
      <w:pPr>
        <w:spacing w:beforeLines="50" w:beforeAutospacing="1" w:afterLines="30" w:afterAutospacing="1" w:line="360" w:lineRule="auto"/>
        <w:rPr>
          <w:rFonts w:ascii="宋体" w:hAnsi="宋体"/>
          <w:b/>
          <w:sz w:val="24"/>
        </w:rPr>
      </w:pPr>
      <w:r>
        <w:rPr>
          <w:rFonts w:ascii="宋体" w:hAnsi="宋体"/>
          <w:b/>
          <w:bCs/>
          <w:sz w:val="24"/>
        </w:rPr>
        <w:t>第十</w:t>
      </w:r>
      <w:r>
        <w:rPr>
          <w:rFonts w:hint="eastAsia" w:ascii="宋体" w:hAnsi="宋体"/>
          <w:b/>
          <w:bCs/>
          <w:sz w:val="24"/>
        </w:rPr>
        <w:t>三</w:t>
      </w:r>
      <w:r>
        <w:rPr>
          <w:rFonts w:ascii="宋体" w:hAnsi="宋体"/>
          <w:b/>
          <w:bCs/>
          <w:sz w:val="24"/>
        </w:rPr>
        <w:t>条 </w:t>
      </w:r>
      <w:r>
        <w:rPr>
          <w:rFonts w:ascii="宋体" w:hAnsi="宋体"/>
          <w:sz w:val="24"/>
        </w:rPr>
        <w:t xml:space="preserve"> 不可抗力</w:t>
      </w:r>
    </w:p>
    <w:p>
      <w:pPr>
        <w:spacing w:before="100" w:beforeAutospacing="1" w:after="100" w:afterAutospacing="1" w:line="360" w:lineRule="auto"/>
        <w:ind w:firstLine="549"/>
        <w:rPr>
          <w:rFonts w:ascii="宋体" w:hAnsi="宋体"/>
          <w:sz w:val="24"/>
        </w:rPr>
      </w:pPr>
      <w:r>
        <w:rPr>
          <w:rFonts w:hint="eastAsia" w:ascii="宋体" w:hAnsi="宋体"/>
          <w:sz w:val="24"/>
        </w:rPr>
        <w:t>⑴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100" w:beforeAutospacing="1" w:after="100" w:afterAutospacing="1" w:line="360" w:lineRule="auto"/>
        <w:ind w:firstLine="549"/>
        <w:rPr>
          <w:rFonts w:ascii="宋体" w:hAnsi="宋体"/>
          <w:sz w:val="24"/>
        </w:rPr>
      </w:pPr>
      <w:r>
        <w:rPr>
          <w:rFonts w:hint="eastAsia" w:ascii="宋体" w:hAnsi="宋体"/>
          <w:sz w:val="24"/>
        </w:rPr>
        <w:t>⑵</w:t>
      </w:r>
      <w:r>
        <w:rPr>
          <w:rFonts w:ascii="宋体" w:hAnsi="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before="100" w:beforeAutospacing="1" w:after="100" w:afterAutospacing="1" w:line="360" w:lineRule="auto"/>
        <w:rPr>
          <w:rFonts w:ascii="宋体" w:hAnsi="宋体"/>
          <w:b/>
          <w:bCs/>
          <w:sz w:val="24"/>
        </w:rPr>
      </w:pPr>
      <w:r>
        <w:rPr>
          <w:rFonts w:ascii="宋体" w:hAnsi="宋体"/>
          <w:b/>
          <w:bCs/>
          <w:sz w:val="24"/>
        </w:rPr>
        <w:t>第十</w:t>
      </w:r>
      <w:r>
        <w:rPr>
          <w:rFonts w:hint="eastAsia" w:ascii="宋体" w:hAnsi="宋体"/>
          <w:b/>
          <w:bCs/>
          <w:sz w:val="24"/>
        </w:rPr>
        <w:t>四</w:t>
      </w:r>
      <w:r>
        <w:rPr>
          <w:rFonts w:ascii="宋体" w:hAnsi="宋体"/>
          <w:b/>
          <w:bCs/>
          <w:sz w:val="24"/>
        </w:rPr>
        <w:t>条</w:t>
      </w:r>
      <w:r>
        <w:rPr>
          <w:rFonts w:hint="eastAsia" w:ascii="宋体" w:hAnsi="宋体"/>
          <w:sz w:val="24"/>
        </w:rPr>
        <w:t>履约保证金</w:t>
      </w:r>
    </w:p>
    <w:p>
      <w:pPr>
        <w:spacing w:before="100" w:beforeAutospacing="1" w:after="100" w:afterAutospacing="1" w:line="360" w:lineRule="auto"/>
        <w:rPr>
          <w:rFonts w:ascii="宋体" w:hAnsi="宋体"/>
          <w:sz w:val="24"/>
        </w:rPr>
      </w:pPr>
      <w:r>
        <w:rPr>
          <w:rFonts w:hint="eastAsia" w:ascii="宋体" w:hAnsi="宋体"/>
          <w:sz w:val="24"/>
        </w:rPr>
        <w:t>（1）本项目履约保证金为(人民币),期限。</w:t>
      </w:r>
    </w:p>
    <w:p>
      <w:pPr>
        <w:spacing w:before="100" w:beforeAutospacing="1" w:after="100" w:afterAutospacing="1" w:line="360" w:lineRule="auto"/>
        <w:rPr>
          <w:rFonts w:ascii="宋体" w:hAnsi="宋体"/>
          <w:sz w:val="24"/>
        </w:rPr>
      </w:pPr>
      <w:r>
        <w:rPr>
          <w:rFonts w:hint="eastAsia" w:ascii="宋体" w:hAnsi="宋体"/>
          <w:sz w:val="24"/>
        </w:rPr>
        <w:t>（2）乙方提供的履约保证金按规定格式以银行保函形式提供的，与此有关的费用由乙方承担。</w:t>
      </w:r>
    </w:p>
    <w:p>
      <w:pPr>
        <w:numPr>
          <w:ilvl w:val="0"/>
          <w:numId w:val="9"/>
        </w:numPr>
        <w:spacing w:before="100" w:beforeAutospacing="1" w:after="100" w:afterAutospacing="1" w:line="360" w:lineRule="auto"/>
        <w:rPr>
          <w:rFonts w:ascii="宋体" w:hAnsi="宋体"/>
          <w:sz w:val="24"/>
        </w:rPr>
      </w:pPr>
      <w:r>
        <w:rPr>
          <w:rFonts w:hint="eastAsia" w:ascii="宋体" w:hAnsi="宋体"/>
          <w:sz w:val="24"/>
        </w:rPr>
        <w:t>乙方未能履行其合同规定的任何义务，甲方有权从履约保证金中取得补偿。</w:t>
      </w:r>
    </w:p>
    <w:p>
      <w:pPr>
        <w:spacing w:before="100" w:beforeAutospacing="1" w:after="100" w:afterAutospacing="1" w:line="360" w:lineRule="auto"/>
        <w:rPr>
          <w:rFonts w:ascii="宋体" w:hAnsi="宋体"/>
          <w:b/>
          <w:sz w:val="24"/>
        </w:rPr>
      </w:pPr>
      <w:r>
        <w:rPr>
          <w:rFonts w:ascii="宋体" w:hAnsi="宋体"/>
          <w:b/>
          <w:bCs/>
          <w:sz w:val="24"/>
        </w:rPr>
        <w:t>第十</w:t>
      </w:r>
      <w:r>
        <w:rPr>
          <w:rFonts w:hint="eastAsia" w:ascii="宋体" w:hAnsi="宋体"/>
          <w:b/>
          <w:bCs/>
          <w:sz w:val="24"/>
        </w:rPr>
        <w:t>五</w:t>
      </w:r>
      <w:r>
        <w:rPr>
          <w:rFonts w:ascii="宋体" w:hAnsi="宋体"/>
          <w:b/>
          <w:bCs/>
          <w:sz w:val="24"/>
        </w:rPr>
        <w:t>条</w:t>
      </w:r>
      <w:r>
        <w:rPr>
          <w:rFonts w:hint="eastAsia" w:ascii="宋体" w:hAnsi="宋体"/>
          <w:bCs/>
          <w:sz w:val="24"/>
        </w:rPr>
        <w:t>转让与分包</w:t>
      </w:r>
    </w:p>
    <w:p>
      <w:pPr>
        <w:spacing w:before="100" w:beforeAutospacing="1" w:after="100" w:afterAutospacing="1" w:line="360" w:lineRule="auto"/>
        <w:rPr>
          <w:rFonts w:ascii="宋体" w:hAnsi="宋体"/>
          <w:sz w:val="24"/>
        </w:rPr>
      </w:pPr>
      <w:r>
        <w:rPr>
          <w:rFonts w:hint="eastAsia" w:ascii="宋体" w:hAnsi="宋体"/>
          <w:sz w:val="24"/>
        </w:rPr>
        <w:t>（1）除甲方事先书面同意外，乙方不得部分转让或全部转让其应履行的合同义务。</w:t>
      </w:r>
    </w:p>
    <w:p>
      <w:pPr>
        <w:spacing w:before="100" w:beforeAutospacing="1" w:after="100" w:afterAutospacing="1" w:line="360" w:lineRule="auto"/>
        <w:rPr>
          <w:rFonts w:ascii="宋体" w:hAnsi="宋体"/>
          <w:sz w:val="24"/>
        </w:rPr>
      </w:pPr>
      <w:r>
        <w:rPr>
          <w:rFonts w:hint="eastAsia" w:ascii="宋体" w:hAnsi="宋体"/>
          <w:sz w:val="24"/>
        </w:rPr>
        <w:t>（2）乙方应在投标文件中或以其他书面形式对甲方确认本合同项下所授予的所有分包合同。但该确认不解除乙方承担的本合同下的任何责任或义务。意即在本合同项下，乙方对甲方负总责。</w:t>
      </w:r>
    </w:p>
    <w:p>
      <w:pPr>
        <w:spacing w:before="100" w:beforeAutospacing="1" w:after="100" w:afterAutospacing="1" w:line="360" w:lineRule="auto"/>
        <w:rPr>
          <w:rFonts w:ascii="宋体" w:hAnsi="宋体"/>
          <w:bCs/>
          <w:sz w:val="24"/>
        </w:rPr>
      </w:pPr>
      <w:r>
        <w:rPr>
          <w:rFonts w:ascii="宋体" w:hAnsi="宋体"/>
          <w:b/>
          <w:bCs/>
          <w:sz w:val="24"/>
        </w:rPr>
        <w:t>第十</w:t>
      </w:r>
      <w:r>
        <w:rPr>
          <w:rFonts w:hint="eastAsia" w:ascii="宋体" w:hAnsi="宋体"/>
          <w:b/>
          <w:bCs/>
          <w:sz w:val="24"/>
        </w:rPr>
        <w:t>六</w:t>
      </w:r>
      <w:r>
        <w:rPr>
          <w:rFonts w:ascii="宋体" w:hAnsi="宋体"/>
          <w:b/>
          <w:bCs/>
          <w:sz w:val="24"/>
        </w:rPr>
        <w:t>条</w:t>
      </w:r>
      <w:r>
        <w:rPr>
          <w:rFonts w:hint="eastAsia" w:ascii="宋体" w:hAnsi="宋体"/>
          <w:bCs/>
          <w:sz w:val="24"/>
        </w:rPr>
        <w:t>合同文件及资料的使用</w:t>
      </w:r>
    </w:p>
    <w:p>
      <w:pPr>
        <w:spacing w:before="100" w:beforeAutospacing="1" w:after="100" w:afterAutospacing="1" w:line="360" w:lineRule="auto"/>
        <w:ind w:firstLine="420"/>
        <w:rPr>
          <w:rFonts w:ascii="宋体" w:hAnsi="宋体"/>
          <w:sz w:val="24"/>
        </w:rPr>
      </w:pPr>
      <w:r>
        <w:rPr>
          <w:rFonts w:hint="eastAsia" w:ascii="宋体" w:hAnsi="宋体"/>
          <w:sz w:val="24"/>
        </w:rPr>
        <w:t>1</w:t>
      </w:r>
      <w:r>
        <w:rPr>
          <w:rFonts w:hint="eastAsia" w:ascii="宋体" w:hAnsi="宋体"/>
          <w:sz w:val="24"/>
          <w:szCs w:val="27"/>
        </w:rPr>
        <w:t>.</w:t>
      </w:r>
      <w:r>
        <w:rPr>
          <w:rFonts w:hint="eastAsia" w:ascii="宋体" w:hAnsi="宋体"/>
          <w:sz w:val="24"/>
        </w:rPr>
        <w:t>乙方在未经甲方书面同意的情况下，不得将合同、合同中的规定、有关计划、图纸、样本或甲方为上述内容向乙方提供的资料透露给任何人。</w:t>
      </w:r>
    </w:p>
    <w:p>
      <w:pPr>
        <w:kinsoku w:val="0"/>
        <w:overflowPunct w:val="0"/>
        <w:spacing w:line="360" w:lineRule="auto"/>
        <w:ind w:left="8" w:right="137" w:firstLine="412"/>
        <w:rPr>
          <w:rFonts w:ascii="宋体" w:hAnsi="宋体"/>
          <w:sz w:val="24"/>
        </w:rPr>
      </w:pPr>
      <w:r>
        <w:rPr>
          <w:rFonts w:hint="eastAsia" w:ascii="宋体" w:hAnsi="宋体"/>
          <w:sz w:val="24"/>
        </w:rPr>
        <w:t>2</w:t>
      </w:r>
      <w:r>
        <w:rPr>
          <w:rFonts w:hint="eastAsia" w:ascii="宋体" w:hAnsi="宋体"/>
          <w:sz w:val="24"/>
          <w:szCs w:val="27"/>
        </w:rPr>
        <w:t>.</w:t>
      </w:r>
      <w:r>
        <w:rPr>
          <w:rFonts w:hint="eastAsia" w:ascii="宋体" w:hAnsi="宋体"/>
          <w:sz w:val="24"/>
        </w:rPr>
        <w:t>除非执行合同需要，在事先未得到甲方同意的情况下，乙方不得使用前款所列的任何文件和资料。</w:t>
      </w:r>
    </w:p>
    <w:p>
      <w:pPr>
        <w:kinsoku w:val="0"/>
        <w:overflowPunct w:val="0"/>
        <w:spacing w:line="360" w:lineRule="auto"/>
        <w:ind w:left="8" w:right="137" w:firstLine="412"/>
        <w:rPr>
          <w:rFonts w:ascii="宋体" w:hAnsi="Arial"/>
          <w:sz w:val="24"/>
        </w:rPr>
      </w:pPr>
    </w:p>
    <w:p>
      <w:pPr>
        <w:kinsoku w:val="0"/>
        <w:overflowPunct w:val="0"/>
        <w:spacing w:line="360" w:lineRule="auto"/>
        <w:rPr>
          <w:rFonts w:ascii="宋体" w:hAnsi="Arial"/>
          <w:b/>
          <w:bCs/>
          <w:spacing w:val="2"/>
          <w:sz w:val="24"/>
        </w:rPr>
      </w:pPr>
      <w:bookmarkStart w:id="17" w:name="_Toc292559903"/>
      <w:bookmarkStart w:id="18" w:name="_Toc300934989"/>
      <w:bookmarkStart w:id="19" w:name="_Toc297048379"/>
      <w:bookmarkStart w:id="20" w:name="_Toc296891021"/>
      <w:bookmarkStart w:id="21" w:name="_Toc297120493"/>
      <w:bookmarkStart w:id="22" w:name="_Toc292559398"/>
      <w:bookmarkStart w:id="23" w:name="_Toc297216199"/>
      <w:bookmarkStart w:id="24" w:name="_Toc296346694"/>
      <w:bookmarkStart w:id="25" w:name="_Toc296944532"/>
      <w:bookmarkStart w:id="26" w:name="_Toc296347192"/>
      <w:bookmarkStart w:id="27" w:name="_Toc296891233"/>
      <w:bookmarkStart w:id="28" w:name="_Toc304295566"/>
      <w:bookmarkStart w:id="29" w:name="_Toc296503193"/>
      <w:bookmarkStart w:id="30" w:name="_Toc303539146"/>
      <w:bookmarkStart w:id="31" w:name="_Toc351203642"/>
      <w:bookmarkStart w:id="32" w:name="_Toc297123540"/>
      <w:bookmarkStart w:id="33" w:name="_Toc312678025"/>
      <w:bookmarkStart w:id="34" w:name="_Toc312677499"/>
      <w:r>
        <w:rPr>
          <w:rFonts w:hint="eastAsia" w:ascii="宋体" w:hAnsi="Arial"/>
          <w:b/>
          <w:bCs/>
          <w:spacing w:val="2"/>
          <w:sz w:val="24"/>
        </w:rPr>
        <w:t xml:space="preserve">第十七条 </w:t>
      </w:r>
      <w:r>
        <w:rPr>
          <w:rFonts w:ascii="宋体" w:hAnsi="Arial"/>
          <w:bCs/>
          <w:spacing w:val="2"/>
          <w:sz w:val="24"/>
        </w:rPr>
        <w:t>变更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bookmarkEnd w:id="33"/>
    <w:bookmarkEnd w:id="34"/>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1.变更的范围</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关于变更的范围的约定：招标施工图纸和工程量清单以外部分（招标施工图纸与工程量清单不符，以二者中标准较高的为准）。</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 变更估价</w:t>
      </w:r>
    </w:p>
    <w:p>
      <w:pPr>
        <w:snapToGrid w:val="0"/>
        <w:spacing w:beforeLines="30" w:line="360" w:lineRule="auto"/>
        <w:ind w:firstLine="480" w:firstLineChars="200"/>
        <w:rPr>
          <w:rFonts w:ascii="宋体" w:hAnsi="宋体"/>
          <w:sz w:val="24"/>
        </w:rPr>
      </w:pPr>
      <w:r>
        <w:rPr>
          <w:rFonts w:hint="eastAsia" w:ascii="宋体" w:hAnsi="宋体"/>
          <w:sz w:val="24"/>
        </w:rPr>
        <w:t>2.1 变更估价原则</w:t>
      </w:r>
    </w:p>
    <w:p>
      <w:pPr>
        <w:snapToGrid w:val="0"/>
        <w:spacing w:beforeLines="30" w:line="360" w:lineRule="auto"/>
        <w:ind w:firstLine="480" w:firstLineChars="200"/>
        <w:rPr>
          <w:rFonts w:ascii="宋体" w:hAnsi="宋体"/>
          <w:color w:val="000000"/>
          <w:sz w:val="24"/>
        </w:rPr>
      </w:pPr>
      <w:r>
        <w:rPr>
          <w:rFonts w:ascii="宋体" w:hAnsi="宋体"/>
          <w:color w:val="000000"/>
          <w:sz w:val="24"/>
        </w:rPr>
        <w:t xml:space="preserve">关于变更估价的约定: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 xml:space="preserve">2.1.1 因工程变更引起已标价工程量清单项目或其工程数量发生变化时，按下列规定调整：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 xml:space="preserve">1、已标价工程量清单中有适用于变更工程项目的，采用该项目的单价；但对于分部分项工程项目的单价投标报价高于控制价相应子目的单价的清单项目，工程量增加幅度超过本项目工程数量 15%（不含 15%）的，超过 15%的增加部分工程量的单价按控制价相应子目的单价与投标总价降幅同比下浮标准，经甲方确认后，作为结算的依据；对于分部分项的单价投标报价降幅低于控制价相应子目的单价 30%以上的清单项目，工程量减少幅度超过本项目工程数量 15%（不含 15%）的，超过 15%的减少部分工程量的单价按控制价相应子目的单价与投标总价降幅同比下浮标准，提出变更工程项目的单价，经甲方确认后，作为结算的依据；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 xml:space="preserve">2、已标价工程量清单中没有适用但有类似于变更工程项目的，经甲方确认后可在合理范围内参照类似项目的单价。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 xml:space="preserve">3、已标价工程量清单中没有适用也没有类似于变更工程项目的，由乙方根据变更工程资料、招标时的计量规则和计价办法、当期的工程造价管理机构发布的信息价格和乙方投标总价降幅同比下浮标准，经甲方确认后，提出变更工程项目的单价；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 xml:space="preserve">4、已标价工程量清单中没有适用也没有类似于变更工程项目的，且工程造价管理机构发布的信息价缺价的，由乙方根据变更工程资料、招标时的计量规则和计价办法和通过市场调查等取得有合法依据的市场价格和乙方投标总价降幅同比下浮标准，提出变更工程项目的单价，经甲方确认后，作为结算的依据；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 xml:space="preserve">2.1.2 工程变更引起施工方案改变并使措施项目发生变化时，乙方提出调整措施项目费的，应事前将拟实施的方案提交甲方确认，并应详细说明与原方案措施项目相比的变化情况。拟实施的方案经发承包双方确认后执行，并应按照下列规定调整措施项目费：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 xml:space="preserve">1、安全文明施工费应按照实际发生变化的措施项目依据原招标文件规定的费率计算；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 xml:space="preserve">2、按照单价计算的措施项目费，按照实际发生变化的措施项目和乙方投标总价降幅同比下浮标准，提出新的措施项目费，经甲方确认后，作为结算的依据；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 xml:space="preserve">3、按总价（或系数）计算的措施项目费，按照实际发生变化的措施项目和乙方投标总价降幅同比下浮标准，提出新的措施项目费，经甲方确认后，作为结算的依据； </w:t>
      </w:r>
    </w:p>
    <w:p>
      <w:pPr>
        <w:snapToGrid w:val="0"/>
        <w:spacing w:beforeLines="30" w:line="360" w:lineRule="auto"/>
        <w:ind w:firstLine="480" w:firstLineChars="200"/>
        <w:rPr>
          <w:rFonts w:ascii="宋体" w:hAnsi="宋体"/>
          <w:color w:val="000000"/>
          <w:sz w:val="24"/>
        </w:rPr>
      </w:pPr>
      <w:r>
        <w:rPr>
          <w:rFonts w:hint="eastAsia" w:ascii="宋体" w:hAnsi="宋体"/>
          <w:color w:val="000000"/>
          <w:sz w:val="24"/>
        </w:rPr>
        <w:t>4、如果乙方未事前将拟实施的方案提交给甲方确认，则应视为工程变更不引起措施项目费的调整或乙方放弃调整措施项目费的权利。</w:t>
      </w:r>
    </w:p>
    <w:p>
      <w:pPr>
        <w:spacing w:beforeLines="50" w:beforeAutospacing="1" w:afterLines="30" w:afterAutospacing="1" w:line="360" w:lineRule="auto"/>
        <w:rPr>
          <w:rFonts w:ascii="宋体" w:hAnsi="宋体"/>
          <w:sz w:val="24"/>
        </w:rPr>
      </w:pPr>
      <w:r>
        <w:rPr>
          <w:rFonts w:ascii="宋体" w:hAnsi="宋体"/>
          <w:b/>
          <w:bCs/>
          <w:sz w:val="24"/>
        </w:rPr>
        <w:t>第十</w:t>
      </w:r>
      <w:r>
        <w:rPr>
          <w:rFonts w:hint="eastAsia" w:ascii="宋体" w:hAnsi="宋体"/>
          <w:b/>
          <w:bCs/>
          <w:sz w:val="24"/>
        </w:rPr>
        <w:t>八</w:t>
      </w:r>
      <w:r>
        <w:rPr>
          <w:rFonts w:ascii="宋体" w:hAnsi="宋体"/>
          <w:b/>
          <w:bCs/>
          <w:sz w:val="24"/>
        </w:rPr>
        <w:t>条 </w:t>
      </w:r>
      <w:r>
        <w:rPr>
          <w:rFonts w:ascii="宋体" w:hAnsi="宋体"/>
          <w:sz w:val="24"/>
        </w:rPr>
        <w:t xml:space="preserve"> 其他</w:t>
      </w:r>
      <w:r>
        <w:rPr>
          <w:rFonts w:ascii="宋体" w:hAnsi="宋体"/>
          <w:sz w:val="24"/>
          <w:u w:val="single"/>
        </w:rPr>
        <w:t>            </w:t>
      </w:r>
      <w:r>
        <w:rPr>
          <w:rFonts w:ascii="宋体" w:hAnsi="宋体"/>
          <w:sz w:val="24"/>
        </w:rPr>
        <w:t>。</w:t>
      </w:r>
    </w:p>
    <w:p>
      <w:pPr>
        <w:spacing w:beforeLines="50" w:beforeAutospacing="1" w:afterLines="30" w:afterAutospacing="1" w:line="360" w:lineRule="auto"/>
        <w:ind w:firstLine="460" w:firstLineChars="192"/>
        <w:rPr>
          <w:rFonts w:ascii="宋体" w:hAnsi="宋体"/>
          <w:sz w:val="24"/>
        </w:rPr>
      </w:pPr>
      <w:r>
        <w:rPr>
          <w:rFonts w:ascii="宋体" w:hAnsi="宋体"/>
          <w:sz w:val="24"/>
        </w:rPr>
        <w:t>按本合同规定应该偿付的违约金、赔偿金、保管保养费和各种经济损失，应当在明确责任后</w:t>
      </w:r>
      <w:r>
        <w:rPr>
          <w:rFonts w:hint="eastAsia" w:ascii="宋体" w:hAnsi="宋体"/>
          <w:sz w:val="24"/>
        </w:rPr>
        <w:t>10</w:t>
      </w:r>
      <w:r>
        <w:rPr>
          <w:rFonts w:ascii="宋体" w:hAnsi="宋体"/>
          <w:sz w:val="24"/>
        </w:rPr>
        <w:t>天内，按银行规定的结算办法付清，否则按逾期付款处理。</w:t>
      </w:r>
    </w:p>
    <w:p>
      <w:pPr>
        <w:spacing w:beforeLines="50" w:beforeAutospacing="1" w:afterLines="30" w:afterAutospacing="1" w:line="360" w:lineRule="auto"/>
        <w:ind w:firstLine="460" w:firstLineChars="192"/>
        <w:rPr>
          <w:rFonts w:ascii="宋体" w:hAnsi="宋体"/>
          <w:sz w:val="24"/>
        </w:rPr>
      </w:pPr>
      <w:r>
        <w:rPr>
          <w:rFonts w:ascii="宋体" w:hAnsi="宋体"/>
          <w:sz w:val="24"/>
        </w:rPr>
        <w:t>本合同如发生纠纷，当事人双方应当及时协商解决，协商不成时，任何一方均可请</w:t>
      </w:r>
      <w:r>
        <w:rPr>
          <w:rFonts w:hint="eastAsia" w:ascii="宋体" w:hAnsi="宋体"/>
          <w:sz w:val="24"/>
        </w:rPr>
        <w:t>采购管理机关</w:t>
      </w:r>
      <w:r>
        <w:rPr>
          <w:rFonts w:ascii="宋体" w:hAnsi="宋体"/>
          <w:sz w:val="24"/>
        </w:rPr>
        <w:t>调解，调解不成，按以下第（</w:t>
      </w:r>
      <w:r>
        <w:rPr>
          <w:rFonts w:hint="eastAsia" w:ascii="宋体" w:hAnsi="宋体"/>
          <w:sz w:val="24"/>
        </w:rPr>
        <w:t xml:space="preserve">2 </w:t>
      </w:r>
      <w:r>
        <w:rPr>
          <w:rFonts w:ascii="宋体" w:hAnsi="宋体"/>
          <w:sz w:val="24"/>
        </w:rPr>
        <w:t>）项方式处理：（1）</w:t>
      </w:r>
      <w:r>
        <w:rPr>
          <w:rFonts w:hint="eastAsia" w:ascii="宋体" w:hAnsi="宋体"/>
          <w:sz w:val="24"/>
        </w:rPr>
        <w:t>根据《中华人民共和国仲裁法》的规定向</w:t>
      </w:r>
      <w:r>
        <w:rPr>
          <w:rFonts w:hint="eastAsia" w:ascii="宋体" w:hAnsi="宋体"/>
          <w:b/>
          <w:bCs/>
          <w:sz w:val="24"/>
          <w:u w:val="single"/>
        </w:rPr>
        <w:t>合肥仲裁委员会</w:t>
      </w:r>
      <w:r>
        <w:rPr>
          <w:rFonts w:hint="eastAsia" w:ascii="宋体" w:hAnsi="宋体"/>
          <w:sz w:val="24"/>
        </w:rPr>
        <w:t>申请仲裁。</w:t>
      </w:r>
      <w:r>
        <w:rPr>
          <w:rFonts w:ascii="宋体" w:hAnsi="宋体"/>
          <w:sz w:val="24"/>
        </w:rPr>
        <w:t>（2）向</w:t>
      </w:r>
      <w:r>
        <w:rPr>
          <w:rFonts w:hint="eastAsia" w:ascii="宋体" w:hAnsi="宋体"/>
          <w:sz w:val="24"/>
        </w:rPr>
        <w:t>甲方所在地</w:t>
      </w:r>
      <w:r>
        <w:rPr>
          <w:rFonts w:ascii="宋体" w:hAnsi="宋体"/>
          <w:sz w:val="24"/>
        </w:rPr>
        <w:t>人民法院起诉。</w:t>
      </w:r>
    </w:p>
    <w:p>
      <w:pPr>
        <w:spacing w:beforeLines="50" w:afterLines="30" w:line="360" w:lineRule="auto"/>
        <w:rPr>
          <w:rFonts w:ascii="宋体" w:hAnsi="宋体"/>
          <w:color w:val="000000"/>
          <w:sz w:val="24"/>
        </w:rPr>
      </w:pPr>
      <w:r>
        <w:rPr>
          <w:rFonts w:hint="eastAsia" w:ascii="宋体" w:hAnsi="宋体"/>
          <w:b/>
          <w:bCs/>
          <w:color w:val="000000"/>
          <w:sz w:val="24"/>
        </w:rPr>
        <w:t>第十九条</w:t>
      </w:r>
      <w:r>
        <w:rPr>
          <w:rFonts w:ascii="宋体" w:hAnsi="宋体"/>
          <w:b/>
          <w:bCs/>
          <w:color w:val="000000"/>
          <w:sz w:val="24"/>
        </w:rPr>
        <w:t> </w:t>
      </w:r>
      <w:r>
        <w:rPr>
          <w:rFonts w:hint="eastAsia" w:ascii="宋体" w:hAnsi="宋体"/>
          <w:color w:val="000000"/>
          <w:sz w:val="24"/>
        </w:rPr>
        <w:t>本合同自甲乙双方当事人签字盖章后生效。本合同一式份，甲乙双方各执份。</w:t>
      </w:r>
      <w:r>
        <w:rPr>
          <w:rFonts w:hint="eastAsia" w:ascii="宋体" w:hAnsi="宋体"/>
          <w:bCs/>
          <w:sz w:val="24"/>
        </w:rPr>
        <w:t>甲乙双方必须严格按照招标文件、投标文件及有关承诺签订合同，不得擅自变更。</w:t>
      </w:r>
    </w:p>
    <w:p>
      <w:pPr>
        <w:spacing w:beforeLines="50" w:afterLines="30" w:line="360" w:lineRule="auto"/>
        <w:rPr>
          <w:rFonts w:ascii="宋体" w:hAnsi="宋体"/>
          <w:color w:val="000000"/>
          <w:sz w:val="24"/>
        </w:rPr>
      </w:pPr>
      <w:r>
        <w:rPr>
          <w:rFonts w:hint="eastAsia" w:ascii="宋体" w:hAnsi="宋体"/>
          <w:b/>
          <w:bCs/>
          <w:sz w:val="24"/>
        </w:rPr>
        <w:t xml:space="preserve">第二十条 </w:t>
      </w:r>
      <w:r>
        <w:rPr>
          <w:rFonts w:hint="eastAsia" w:ascii="宋体" w:hAnsi="宋体"/>
          <w:color w:val="000000"/>
          <w:sz w:val="24"/>
        </w:rPr>
        <w:t>合同执行期内，甲乙双方均不得随意变更或解除合同。合同如有未尽事宜，须经双方共同协商，做出补充规定，补充规定与本合同具有同等效力，也可按照中华人民共和国《</w:t>
      </w:r>
      <w:r>
        <w:rPr>
          <w:rFonts w:hint="eastAsia" w:ascii="宋体" w:hAnsi="宋体"/>
          <w:color w:val="000000"/>
          <w:sz w:val="24"/>
          <w:lang w:eastAsia="zh-CN"/>
        </w:rPr>
        <w:t>民法典</w:t>
      </w:r>
      <w:r>
        <w:rPr>
          <w:rFonts w:hint="eastAsia" w:ascii="宋体" w:hAnsi="宋体"/>
          <w:color w:val="000000"/>
          <w:sz w:val="24"/>
        </w:rPr>
        <w:t>》的规定执行。</w:t>
      </w:r>
    </w:p>
    <w:p>
      <w:pPr>
        <w:kinsoku w:val="0"/>
        <w:overflowPunct w:val="0"/>
        <w:spacing w:line="360" w:lineRule="auto"/>
        <w:ind w:left="8" w:hanging="8"/>
        <w:rPr>
          <w:rFonts w:ascii="宋体" w:hAnsi="Arial"/>
          <w:sz w:val="24"/>
        </w:rPr>
      </w:pPr>
      <w:r>
        <w:rPr>
          <w:rFonts w:hint="eastAsia" w:ascii="宋体" w:hAnsi="宋体"/>
          <w:b/>
          <w:bCs/>
          <w:sz w:val="24"/>
        </w:rPr>
        <w:t xml:space="preserve">第二十一条 </w:t>
      </w:r>
      <w:r>
        <w:rPr>
          <w:rFonts w:ascii="宋体" w:hAnsi="Arial"/>
          <w:sz w:val="24"/>
        </w:rPr>
        <w:t>下列关</w:t>
      </w:r>
      <w:r>
        <w:rPr>
          <w:rFonts w:ascii="宋体" w:hAnsi="Arial"/>
          <w:spacing w:val="-36"/>
          <w:sz w:val="24"/>
        </w:rPr>
        <w:t>于</w:t>
      </w:r>
      <w:r>
        <w:rPr>
          <w:rFonts w:hint="eastAsia" w:ascii="宋体" w:hAnsi="Arial"/>
          <w:spacing w:val="-3"/>
          <w:sz w:val="24"/>
        </w:rPr>
        <w:t>“铜陵合百商厦监控广播客流系统升级改造”</w:t>
      </w:r>
      <w:r>
        <w:rPr>
          <w:rFonts w:ascii="宋体" w:hAnsi="Arial"/>
          <w:sz w:val="24"/>
        </w:rPr>
        <w:t>的第号招标文件及有关附件均是本合同不可分割的组成部分</w:t>
      </w:r>
      <w:r>
        <w:rPr>
          <w:rFonts w:ascii="宋体" w:hAnsi="Arial"/>
          <w:spacing w:val="-46"/>
          <w:sz w:val="24"/>
        </w:rPr>
        <w:t>，</w:t>
      </w:r>
      <w:r>
        <w:rPr>
          <w:rFonts w:ascii="宋体" w:hAnsi="Arial"/>
          <w:sz w:val="24"/>
        </w:rPr>
        <w:t>这些文件包括但不限于：（1）招标文</w:t>
      </w:r>
      <w:r>
        <w:rPr>
          <w:rFonts w:ascii="宋体" w:hAnsi="Arial"/>
          <w:spacing w:val="-46"/>
          <w:sz w:val="24"/>
        </w:rPr>
        <w:t>件</w:t>
      </w:r>
      <w:r>
        <w:rPr>
          <w:rFonts w:ascii="宋体" w:hAnsi="Arial"/>
          <w:sz w:val="24"/>
        </w:rPr>
        <w:t>（2）乙方提供的投标文</w:t>
      </w:r>
      <w:r>
        <w:rPr>
          <w:rFonts w:ascii="宋体" w:hAnsi="Arial"/>
          <w:spacing w:val="-15"/>
          <w:sz w:val="24"/>
        </w:rPr>
        <w:t>件</w:t>
      </w:r>
      <w:r>
        <w:rPr>
          <w:rFonts w:ascii="宋体" w:hAnsi="Arial"/>
          <w:sz w:val="24"/>
        </w:rPr>
        <w:t>（3</w:t>
      </w:r>
      <w:r>
        <w:rPr>
          <w:rFonts w:ascii="宋体" w:hAnsi="Arial"/>
          <w:spacing w:val="-15"/>
          <w:sz w:val="24"/>
        </w:rPr>
        <w:t>）</w:t>
      </w:r>
      <w:r>
        <w:rPr>
          <w:rFonts w:ascii="宋体" w:hAnsi="Arial"/>
          <w:sz w:val="24"/>
        </w:rPr>
        <w:t>服务承诺</w:t>
      </w:r>
      <w:r>
        <w:rPr>
          <w:rFonts w:ascii="宋体" w:hAnsi="Arial"/>
          <w:spacing w:val="-135"/>
          <w:sz w:val="24"/>
        </w:rPr>
        <w:t>；</w:t>
      </w:r>
      <w:r>
        <w:rPr>
          <w:rFonts w:ascii="宋体" w:hAnsi="Arial"/>
          <w:sz w:val="24"/>
        </w:rPr>
        <w:t>（4</w:t>
      </w:r>
      <w:r>
        <w:rPr>
          <w:rFonts w:ascii="宋体" w:hAnsi="Arial"/>
          <w:spacing w:val="-15"/>
          <w:sz w:val="24"/>
        </w:rPr>
        <w:t>）</w:t>
      </w:r>
      <w:r>
        <w:rPr>
          <w:rFonts w:ascii="宋体" w:hAnsi="Arial"/>
          <w:spacing w:val="2"/>
          <w:sz w:val="24"/>
        </w:rPr>
        <w:t>甲</w:t>
      </w:r>
      <w:r>
        <w:rPr>
          <w:rFonts w:ascii="宋体" w:hAnsi="Arial"/>
          <w:sz w:val="24"/>
        </w:rPr>
        <w:t>乙双方商定的其他文件</w:t>
      </w:r>
      <w:r>
        <w:rPr>
          <w:rFonts w:ascii="宋体" w:hAnsi="Arial"/>
          <w:spacing w:val="-15"/>
          <w:sz w:val="24"/>
        </w:rPr>
        <w:t>。</w:t>
      </w:r>
      <w:r>
        <w:rPr>
          <w:rFonts w:ascii="宋体" w:hAnsi="Arial"/>
          <w:sz w:val="24"/>
        </w:rPr>
        <w:t>以上附件顺序在前的具有优先解释权。</w:t>
      </w:r>
    </w:p>
    <w:p>
      <w:pPr>
        <w:kinsoku w:val="0"/>
        <w:overflowPunct w:val="0"/>
        <w:spacing w:line="360" w:lineRule="auto"/>
        <w:ind w:left="8" w:hanging="8"/>
        <w:rPr>
          <w:rFonts w:ascii="宋体" w:hAnsi="Arial"/>
          <w:sz w:val="24"/>
        </w:rPr>
      </w:pPr>
    </w:p>
    <w:p>
      <w:pPr>
        <w:kinsoku w:val="0"/>
        <w:overflowPunct w:val="0"/>
        <w:spacing w:line="360" w:lineRule="auto"/>
        <w:ind w:left="8" w:hanging="8"/>
        <w:rPr>
          <w:rFonts w:ascii="宋体" w:hAnsi="Arial"/>
          <w:sz w:val="24"/>
        </w:rPr>
      </w:pPr>
    </w:p>
    <w:p>
      <w:pPr>
        <w:kinsoku w:val="0"/>
        <w:overflowPunct w:val="0"/>
        <w:spacing w:line="360" w:lineRule="auto"/>
        <w:ind w:right="788"/>
        <w:rPr>
          <w:rFonts w:ascii="宋体" w:hAnsi="Arial"/>
          <w:sz w:val="24"/>
        </w:rPr>
      </w:pPr>
      <w:r>
        <w:rPr>
          <w:rFonts w:ascii="宋体" w:hAnsi="Arial"/>
          <w:sz w:val="24"/>
        </w:rPr>
        <w:t>招标</w:t>
      </w:r>
      <w:r>
        <w:rPr>
          <w:rFonts w:ascii="宋体" w:hAnsi="Arial"/>
          <w:spacing w:val="-43"/>
          <w:sz w:val="24"/>
        </w:rPr>
        <w:t>人</w:t>
      </w:r>
      <w:r>
        <w:rPr>
          <w:rFonts w:ascii="宋体" w:hAnsi="Arial"/>
          <w:sz w:val="24"/>
        </w:rPr>
        <w:t>（甲方</w:t>
      </w:r>
      <w:r>
        <w:rPr>
          <w:rFonts w:ascii="宋体" w:hAnsi="Arial"/>
          <w:spacing w:val="-120"/>
          <w:sz w:val="24"/>
        </w:rPr>
        <w:t>）</w:t>
      </w:r>
      <w:r>
        <w:rPr>
          <w:rFonts w:ascii="宋体" w:hAnsi="Arial"/>
          <w:sz w:val="24"/>
        </w:rPr>
        <w:t xml:space="preserve">  ：（</w:t>
      </w:r>
      <w:r>
        <w:rPr>
          <w:rFonts w:ascii="宋体" w:hAnsi="Arial"/>
          <w:spacing w:val="-3"/>
          <w:sz w:val="24"/>
        </w:rPr>
        <w:t>公</w:t>
      </w:r>
      <w:r>
        <w:rPr>
          <w:rFonts w:ascii="宋体" w:hAnsi="Arial"/>
          <w:sz w:val="24"/>
        </w:rPr>
        <w:t>章</w:t>
      </w:r>
      <w:r>
        <w:rPr>
          <w:rFonts w:ascii="宋体" w:hAnsi="Arial"/>
          <w:spacing w:val="-44"/>
          <w:sz w:val="24"/>
        </w:rPr>
        <w:t>）</w:t>
      </w:r>
      <w:r>
        <w:rPr>
          <w:rFonts w:ascii="宋体" w:hAnsi="Arial"/>
          <w:sz w:val="24"/>
        </w:rPr>
        <w:t xml:space="preserve">            供货</w:t>
      </w:r>
      <w:r>
        <w:rPr>
          <w:rFonts w:ascii="宋体" w:hAnsi="Arial"/>
          <w:spacing w:val="-44"/>
          <w:sz w:val="24"/>
        </w:rPr>
        <w:t>人</w:t>
      </w:r>
      <w:r>
        <w:rPr>
          <w:rFonts w:ascii="宋体" w:hAnsi="Arial"/>
          <w:sz w:val="24"/>
        </w:rPr>
        <w:t>（乙方</w:t>
      </w:r>
      <w:r>
        <w:rPr>
          <w:rFonts w:ascii="宋体" w:hAnsi="Arial"/>
          <w:spacing w:val="-120"/>
          <w:sz w:val="24"/>
        </w:rPr>
        <w:t>）</w:t>
      </w:r>
      <w:r>
        <w:rPr>
          <w:rFonts w:ascii="宋体" w:hAnsi="Arial"/>
          <w:sz w:val="24"/>
        </w:rPr>
        <w:t xml:space="preserve">   ：（公 章）  </w:t>
      </w:r>
    </w:p>
    <w:p>
      <w:pPr>
        <w:kinsoku w:val="0"/>
        <w:overflowPunct w:val="0"/>
        <w:spacing w:line="360" w:lineRule="auto"/>
        <w:rPr>
          <w:rFonts w:ascii="宋体" w:hAnsi="Arial"/>
          <w:sz w:val="24"/>
        </w:rPr>
      </w:pPr>
      <w:r>
        <w:rPr>
          <w:rFonts w:ascii="宋体" w:hAnsi="Arial"/>
          <w:sz w:val="24"/>
        </w:rPr>
        <w:t>地址：                      地址：</w:t>
      </w:r>
    </w:p>
    <w:p>
      <w:pPr>
        <w:spacing w:line="360" w:lineRule="auto"/>
        <w:rPr>
          <w:b/>
          <w:bCs/>
          <w:sz w:val="24"/>
        </w:rPr>
      </w:pPr>
      <w:r>
        <w:rPr>
          <w:rFonts w:hint="eastAsia"/>
          <w:sz w:val="24"/>
        </w:rPr>
        <w:t>法人代表：法人代表：</w:t>
      </w:r>
    </w:p>
    <w:p>
      <w:pPr>
        <w:spacing w:line="360" w:lineRule="auto"/>
        <w:rPr>
          <w:sz w:val="24"/>
        </w:rPr>
      </w:pPr>
      <w:r>
        <w:rPr>
          <w:rFonts w:hint="eastAsia"/>
          <w:sz w:val="24"/>
        </w:rPr>
        <w:t>委托代理人：委托代理人：</w:t>
      </w:r>
    </w:p>
    <w:p>
      <w:pPr>
        <w:kinsoku w:val="0"/>
        <w:overflowPunct w:val="0"/>
        <w:spacing w:line="360" w:lineRule="auto"/>
        <w:rPr>
          <w:rFonts w:ascii="宋体" w:hAnsi="Arial"/>
          <w:sz w:val="24"/>
        </w:rPr>
      </w:pPr>
      <w:r>
        <w:rPr>
          <w:rFonts w:ascii="宋体" w:hAnsi="Arial"/>
          <w:sz w:val="24"/>
        </w:rPr>
        <w:t>电话：                               电话：</w:t>
      </w:r>
    </w:p>
    <w:p>
      <w:pPr>
        <w:spacing w:line="360" w:lineRule="auto"/>
        <w:rPr>
          <w:sz w:val="24"/>
        </w:rPr>
      </w:pPr>
      <w:r>
        <w:rPr>
          <w:rFonts w:hint="eastAsia"/>
          <w:sz w:val="24"/>
        </w:rPr>
        <w:t>开户银行：开户银行：</w:t>
      </w:r>
    </w:p>
    <w:p>
      <w:pPr>
        <w:spacing w:line="360" w:lineRule="auto"/>
        <w:rPr>
          <w:sz w:val="24"/>
        </w:rPr>
      </w:pPr>
      <w:r>
        <w:rPr>
          <w:rFonts w:hint="eastAsia"/>
          <w:sz w:val="24"/>
        </w:rPr>
        <w:t>账号：账号：</w:t>
      </w:r>
    </w:p>
    <w:p>
      <w:pPr>
        <w:tabs>
          <w:tab w:val="left" w:pos="2066"/>
        </w:tabs>
        <w:spacing w:line="360" w:lineRule="auto"/>
        <w:rPr>
          <w:sz w:val="24"/>
        </w:rPr>
      </w:pPr>
      <w:r>
        <w:rPr>
          <w:rFonts w:hint="eastAsia"/>
          <w:sz w:val="24"/>
        </w:rPr>
        <w:t>年月日年月日</w:t>
      </w: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pStyle w:val="2"/>
        <w:numPr>
          <w:ilvl w:val="0"/>
          <w:numId w:val="0"/>
        </w:numPr>
      </w:pPr>
      <w:bookmarkStart w:id="35" w:name="_Toc220232390"/>
      <w:bookmarkStart w:id="36" w:name="_Toc486433812"/>
      <w:bookmarkStart w:id="37" w:name="_Toc73976257"/>
      <w:r>
        <w:rPr>
          <w:rFonts w:hint="eastAsia"/>
        </w:rPr>
        <w:t>第六章</w:t>
      </w:r>
      <w:bookmarkEnd w:id="35"/>
      <w:r>
        <w:rPr>
          <w:rFonts w:hint="eastAsia"/>
          <w:lang w:val="en-US" w:eastAsia="zh-CN"/>
        </w:rPr>
        <w:t xml:space="preserve">  </w:t>
      </w:r>
      <w:r>
        <w:rPr>
          <w:rFonts w:hint="eastAsia"/>
        </w:rPr>
        <w:t>评标办法</w:t>
      </w:r>
      <w:bookmarkEnd w:id="36"/>
      <w:bookmarkEnd w:id="37"/>
    </w:p>
    <w:p/>
    <w:p>
      <w:pPr>
        <w:adjustRightInd w:val="0"/>
        <w:snapToGrid w:val="0"/>
        <w:spacing w:line="360" w:lineRule="auto"/>
        <w:ind w:right="-10" w:firstLine="420" w:firstLineChars="175"/>
        <w:rPr>
          <w:rFonts w:ascii="宋体" w:hAnsi="宋体"/>
          <w:sz w:val="24"/>
        </w:rPr>
      </w:pPr>
      <w:r>
        <w:rPr>
          <w:rFonts w:hint="eastAsia" w:ascii="宋体" w:hAnsi="宋体"/>
          <w:bCs/>
          <w:sz w:val="24"/>
        </w:rPr>
        <w:t>1.</w:t>
      </w:r>
      <w:r>
        <w:rPr>
          <w:rFonts w:hint="eastAsia" w:ascii="宋体" w:hAnsi="宋体"/>
          <w:sz w:val="24"/>
        </w:rPr>
        <w:t>为了做好铜陵合百商厦监控广播客流系统升级改造（项目编号：</w:t>
      </w:r>
      <w:r>
        <w:rPr>
          <w:rFonts w:hint="eastAsia" w:ascii="宋体" w:hAnsi="宋体"/>
          <w:sz w:val="24"/>
          <w:lang w:val="en-US" w:eastAsia="zh-CN"/>
        </w:rPr>
        <w:t>HBZ-21056-TLBD03</w:t>
      </w:r>
      <w:r>
        <w:rPr>
          <w:rFonts w:hint="eastAsia" w:ascii="宋体" w:hAnsi="宋体"/>
          <w:sz w:val="24"/>
        </w:rPr>
        <w:t>）的招标评标工作，维护投标人的合法权益，依据《中华人民共和国招标投标法》、《中华人民共和国招标投标法实施条例》及其它相关法律法规，本着公开、公平、公正的原则，制定评标办法。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0" w:firstLineChars="175"/>
        <w:rPr>
          <w:rFonts w:ascii="宋体" w:hAnsi="宋体"/>
          <w:sz w:val="24"/>
        </w:rPr>
      </w:pPr>
      <w:r>
        <w:rPr>
          <w:rFonts w:hint="eastAsia" w:ascii="宋体" w:hAnsi="宋体"/>
          <w:bCs/>
          <w:sz w:val="24"/>
        </w:rPr>
        <w:t>2.</w:t>
      </w:r>
      <w:r>
        <w:rPr>
          <w:rFonts w:hint="eastAsia" w:ascii="宋体" w:hAnsi="宋体"/>
          <w:sz w:val="24"/>
        </w:rPr>
        <w:t>本次项目评标采用有效最低价作为对投标人标书的比较方法。</w:t>
      </w:r>
    </w:p>
    <w:p>
      <w:pPr>
        <w:adjustRightInd w:val="0"/>
        <w:snapToGrid w:val="0"/>
        <w:spacing w:line="360" w:lineRule="auto"/>
        <w:ind w:left="-61" w:leftChars="-29" w:right="-10" w:firstLine="480" w:firstLineChars="200"/>
        <w:rPr>
          <w:rFonts w:ascii="宋体" w:hAnsi="宋体"/>
          <w:sz w:val="24"/>
        </w:rPr>
      </w:pPr>
      <w:r>
        <w:rPr>
          <w:rFonts w:hint="eastAsia" w:ascii="宋体" w:hAnsi="宋体"/>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360" w:lineRule="auto"/>
        <w:ind w:left="-61" w:leftChars="-29" w:right="-10" w:firstLine="480" w:firstLineChars="200"/>
        <w:rPr>
          <w:rFonts w:ascii="宋体" w:hAnsi="宋体"/>
          <w:sz w:val="24"/>
        </w:rPr>
      </w:pPr>
      <w:r>
        <w:rPr>
          <w:rFonts w:hint="eastAsia" w:ascii="宋体" w:hAnsi="宋体"/>
          <w:sz w:val="24"/>
        </w:rPr>
        <w:t>4.评标委员会按照“客观公正，实事求是”的原则，评价参加本次招标的投标人所提供的产品或服务价格、性能、质量、服务及对招标文件的符合性及响应性。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0" w:firstLineChars="200"/>
        <w:rPr>
          <w:rFonts w:ascii="宋体" w:hAnsi="宋体"/>
          <w:sz w:val="24"/>
        </w:rPr>
      </w:pPr>
      <w:r>
        <w:rPr>
          <w:rFonts w:hint="eastAsia" w:ascii="宋体" w:hAnsi="宋体"/>
          <w:sz w:val="24"/>
        </w:rPr>
        <w:t>5.有效投标应符合以下原则：</w:t>
      </w:r>
    </w:p>
    <w:p>
      <w:pPr>
        <w:spacing w:line="360" w:lineRule="auto"/>
        <w:ind w:left="480" w:right="-10"/>
        <w:rPr>
          <w:rFonts w:ascii="宋体" w:hAnsi="宋体"/>
          <w:sz w:val="24"/>
        </w:rPr>
      </w:pPr>
      <w:r>
        <w:rPr>
          <w:rFonts w:hint="eastAsia" w:ascii="宋体" w:hAnsi="宋体"/>
          <w:sz w:val="24"/>
        </w:rPr>
        <w:t>5.1满足招标文件的实质性要求；</w:t>
      </w:r>
    </w:p>
    <w:p>
      <w:pPr>
        <w:spacing w:line="360" w:lineRule="auto"/>
        <w:ind w:left="480" w:right="-10"/>
        <w:rPr>
          <w:rFonts w:ascii="宋体" w:hAnsi="宋体"/>
          <w:sz w:val="24"/>
        </w:rPr>
      </w:pPr>
      <w:r>
        <w:rPr>
          <w:rFonts w:hint="eastAsia" w:ascii="宋体" w:hAnsi="宋体"/>
          <w:sz w:val="24"/>
        </w:rPr>
        <w:t>5.2无重大偏离、保留或招标人不能接受的附加条件；</w:t>
      </w:r>
    </w:p>
    <w:p>
      <w:pPr>
        <w:spacing w:line="360" w:lineRule="auto"/>
        <w:ind w:left="480" w:right="-10"/>
        <w:rPr>
          <w:rFonts w:ascii="宋体" w:hAnsi="宋体"/>
          <w:sz w:val="24"/>
        </w:rPr>
      </w:pPr>
      <w:r>
        <w:rPr>
          <w:rFonts w:hint="eastAsia" w:ascii="宋体" w:hAnsi="宋体"/>
          <w:sz w:val="24"/>
        </w:rPr>
        <w:t>5.3通过初审；</w:t>
      </w:r>
    </w:p>
    <w:p>
      <w:pPr>
        <w:adjustRightInd w:val="0"/>
        <w:snapToGrid w:val="0"/>
        <w:spacing w:line="360" w:lineRule="auto"/>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360" w:lineRule="auto"/>
        <w:ind w:right="-10" w:firstLine="480" w:firstLineChars="200"/>
        <w:rPr>
          <w:rFonts w:ascii="宋体" w:hAnsi="宋体"/>
          <w:b/>
          <w:sz w:val="24"/>
        </w:rPr>
      </w:pPr>
      <w:r>
        <w:rPr>
          <w:rFonts w:hint="eastAsia" w:ascii="宋体" w:hAnsi="宋体"/>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360" w:lineRule="auto"/>
        <w:ind w:right="-10" w:firstLine="480" w:firstLineChars="200"/>
        <w:rPr>
          <w:rFonts w:ascii="宋体" w:hAnsi="宋体"/>
          <w:b/>
          <w:sz w:val="24"/>
        </w:rPr>
      </w:pPr>
      <w:r>
        <w:rPr>
          <w:rFonts w:hint="eastAsia" w:ascii="宋体" w:hAnsi="宋体"/>
          <w:sz w:val="24"/>
        </w:rPr>
        <w:t>7.</w:t>
      </w:r>
      <w:r>
        <w:rPr>
          <w:rFonts w:hint="eastAsia" w:ascii="宋体" w:hAnsi="宋体" w:cs="宋体-18030"/>
          <w:sz w:val="24"/>
        </w:rPr>
        <w:t>评审程序</w:t>
      </w:r>
    </w:p>
    <w:p>
      <w:pPr>
        <w:adjustRightInd w:val="0"/>
        <w:snapToGrid w:val="0"/>
        <w:spacing w:line="360" w:lineRule="auto"/>
        <w:ind w:right="-10" w:firstLine="424" w:firstLineChars="177"/>
        <w:rPr>
          <w:rFonts w:ascii="宋体" w:hAnsi="宋体"/>
          <w:bCs/>
          <w:sz w:val="24"/>
        </w:rPr>
      </w:pPr>
      <w:r>
        <w:rPr>
          <w:rFonts w:hint="eastAsia" w:ascii="宋体" w:hAnsi="宋体"/>
          <w:bCs/>
          <w:sz w:val="24"/>
        </w:rPr>
        <w:t>7.1评标委员会首先对所有投标人进行初审，初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初审结论分为通过和未通过。</w:t>
      </w:r>
    </w:p>
    <w:p>
      <w:pPr>
        <w:adjustRightInd w:val="0"/>
        <w:snapToGrid w:val="0"/>
        <w:spacing w:line="360" w:lineRule="auto"/>
        <w:ind w:right="-10" w:firstLine="480" w:firstLineChars="200"/>
        <w:rPr>
          <w:rFonts w:ascii="宋体" w:hAnsi="宋体"/>
          <w:sz w:val="24"/>
        </w:rPr>
      </w:pPr>
      <w:r>
        <w:rPr>
          <w:rFonts w:hint="eastAsia" w:ascii="宋体" w:hAnsi="宋体"/>
          <w:bCs/>
          <w:sz w:val="24"/>
        </w:rPr>
        <w:t>7.2评委独立评审后，评标委员会对投标人某项指标如有不同意见，按照少数服从多数的原则，确定该项指标是否通过。符合初审指标通过标准的，为有效投标。评标委员会按下表内容进行初审。</w:t>
      </w:r>
    </w:p>
    <w:p>
      <w:pPr>
        <w:adjustRightInd w:val="0"/>
        <w:snapToGrid w:val="0"/>
        <w:spacing w:line="360" w:lineRule="auto"/>
        <w:ind w:right="-10" w:firstLine="480" w:firstLineChars="200"/>
        <w:rPr>
          <w:rFonts w:ascii="宋体" w:hAnsi="宋体"/>
          <w:sz w:val="24"/>
        </w:rPr>
      </w:pPr>
      <w:r>
        <w:rPr>
          <w:rFonts w:hint="eastAsia" w:ascii="宋体" w:hAnsi="宋体"/>
          <w:sz w:val="24"/>
        </w:rPr>
        <w:t>7.3初审：</w:t>
      </w:r>
    </w:p>
    <w:tbl>
      <w:tblPr>
        <w:tblStyle w:val="24"/>
        <w:tblW w:w="805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526"/>
        <w:gridCol w:w="2480"/>
        <w:gridCol w:w="780"/>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054" w:type="dxa"/>
            <w:gridSpan w:val="5"/>
            <w:vAlign w:val="center"/>
          </w:tcPr>
          <w:p>
            <w:pPr>
              <w:pStyle w:val="44"/>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初审表（废标指标一览表）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72"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序号</w:t>
            </w:r>
          </w:p>
        </w:tc>
        <w:tc>
          <w:tcPr>
            <w:tcW w:w="1526" w:type="dxa"/>
            <w:tcBorders>
              <w:bottom w:val="single" w:color="auto" w:sz="4" w:space="0"/>
            </w:tcBorders>
            <w:vAlign w:val="center"/>
          </w:tcPr>
          <w:p>
            <w:pPr>
              <w:pStyle w:val="44"/>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kern w:val="2"/>
                <w:szCs w:val="24"/>
              </w:rPr>
              <w:t>指标名称</w:t>
            </w:r>
          </w:p>
        </w:tc>
        <w:tc>
          <w:tcPr>
            <w:tcW w:w="248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指标要求</w:t>
            </w:r>
          </w:p>
        </w:tc>
        <w:tc>
          <w:tcPr>
            <w:tcW w:w="78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是否通过</w:t>
            </w:r>
          </w:p>
        </w:tc>
        <w:tc>
          <w:tcPr>
            <w:tcW w:w="2596"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780" w:type="dxa"/>
            <w:vAlign w:val="center"/>
          </w:tcPr>
          <w:p>
            <w:pPr>
              <w:adjustRightInd w:val="0"/>
              <w:snapToGrid w:val="0"/>
              <w:spacing w:line="360" w:lineRule="auto"/>
              <w:ind w:right="-10"/>
              <w:jc w:val="center"/>
              <w:rPr>
                <w:rFonts w:ascii="宋体" w:hAnsi="宋体"/>
                <w:sz w:val="24"/>
              </w:rPr>
            </w:pPr>
          </w:p>
        </w:tc>
        <w:tc>
          <w:tcPr>
            <w:tcW w:w="2596" w:type="dxa"/>
            <w:vMerge w:val="restart"/>
            <w:vAlign w:val="center"/>
          </w:tcPr>
          <w:p>
            <w:pPr>
              <w:adjustRightInd w:val="0"/>
              <w:snapToGrid w:val="0"/>
              <w:spacing w:line="360" w:lineRule="auto"/>
              <w:ind w:right="-10"/>
              <w:jc w:val="center"/>
              <w:rPr>
                <w:rFonts w:ascii="宋体" w:hAnsi="宋体"/>
                <w:sz w:val="24"/>
              </w:rPr>
            </w:pPr>
            <w:r>
              <w:rPr>
                <w:rFonts w:hint="eastAsia" w:ascii="宋体" w:hAnsi="宋体"/>
                <w:sz w:val="24"/>
              </w:rPr>
              <w:t>提供有效的营业执照和税务登记证的扫描件</w:t>
            </w:r>
            <w:r>
              <w:rPr>
                <w:rFonts w:hint="eastAsia" w:ascii="宋体" w:hAnsi="宋体"/>
                <w:b/>
                <w:bCs/>
                <w:sz w:val="24"/>
              </w:rPr>
              <w:t>，应完整的体现出营业执照</w:t>
            </w:r>
            <w:r>
              <w:rPr>
                <w:rFonts w:hint="eastAsia" w:ascii="宋体" w:hAnsi="宋体"/>
                <w:b/>
                <w:sz w:val="24"/>
              </w:rPr>
              <w:t>（或</w:t>
            </w:r>
            <w:r>
              <w:rPr>
                <w:rFonts w:hint="eastAsia" w:ascii="宋体" w:hAnsi="宋体"/>
                <w:b/>
                <w:sz w:val="24"/>
                <w:szCs w:val="28"/>
              </w:rPr>
              <w:t>事业单位法人证书</w:t>
            </w:r>
            <w:r>
              <w:rPr>
                <w:rFonts w:hint="eastAsia" w:ascii="宋体" w:hAnsi="宋体"/>
                <w:b/>
                <w:sz w:val="24"/>
              </w:rPr>
              <w:t>）</w:t>
            </w:r>
            <w:r>
              <w:rPr>
                <w:rFonts w:hint="eastAsia" w:ascii="宋体" w:hAnsi="宋体"/>
                <w:b/>
                <w:bCs/>
                <w:sz w:val="24"/>
              </w:rPr>
              <w:t>和税务登记证的全部内容。提供三证合一营业执照扫描件的，税务登记证无需提供。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4" w:hRule="atLeas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税务登记证</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780" w:type="dxa"/>
            <w:vAlign w:val="center"/>
          </w:tcPr>
          <w:p>
            <w:pPr>
              <w:adjustRightInd w:val="0"/>
              <w:snapToGrid w:val="0"/>
              <w:spacing w:line="360" w:lineRule="auto"/>
              <w:ind w:right="-10"/>
              <w:jc w:val="center"/>
              <w:rPr>
                <w:rFonts w:ascii="宋体" w:hAnsi="宋体"/>
                <w:sz w:val="24"/>
              </w:rPr>
            </w:pPr>
          </w:p>
        </w:tc>
        <w:tc>
          <w:tcPr>
            <w:tcW w:w="2596" w:type="dxa"/>
            <w:vMerge w:val="continue"/>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r>
              <w:rPr>
                <w:rFonts w:hint="eastAsia" w:ascii="宋体" w:hAnsi="宋体"/>
                <w:sz w:val="24"/>
              </w:rPr>
              <w:t>要求详见第七章投标文件格式“投标授权书”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报名情况</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未在报名截止时间前完成招标文件规定报名手续的，投标无效（核查报名手续）</w:t>
            </w:r>
          </w:p>
        </w:tc>
        <w:tc>
          <w:tcPr>
            <w:tcW w:w="780" w:type="dxa"/>
            <w:vAlign w:val="center"/>
          </w:tcPr>
          <w:p>
            <w:pPr>
              <w:spacing w:after="50" w:line="360" w:lineRule="auto"/>
              <w:ind w:right="-10"/>
              <w:jc w:val="center"/>
              <w:rPr>
                <w:rFonts w:ascii="宋体" w:hAnsi="宋体"/>
                <w:sz w:val="24"/>
                <w:szCs w:val="28"/>
              </w:rPr>
            </w:pPr>
          </w:p>
        </w:tc>
        <w:tc>
          <w:tcPr>
            <w:tcW w:w="2596" w:type="dxa"/>
            <w:vAlign w:val="center"/>
          </w:tcPr>
          <w:p>
            <w:pPr>
              <w:spacing w:after="50" w:line="360" w:lineRule="auto"/>
              <w:ind w:right="-1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投标保证金</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r>
              <w:rPr>
                <w:rFonts w:hint="eastAsia" w:ascii="宋体" w:hAnsi="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开标一览表</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1526" w:type="dxa"/>
          </w:tcPr>
          <w:p>
            <w:pPr>
              <w:spacing w:after="50" w:line="360" w:lineRule="auto"/>
              <w:ind w:right="-10"/>
              <w:jc w:val="center"/>
              <w:rPr>
                <w:rFonts w:ascii="宋体" w:hAnsi="宋体"/>
                <w:sz w:val="24"/>
                <w:szCs w:val="28"/>
              </w:rPr>
            </w:pPr>
            <w:r>
              <w:rPr>
                <w:rFonts w:hint="eastAsia" w:ascii="宋体" w:hAnsi="宋体"/>
                <w:sz w:val="24"/>
                <w:szCs w:val="28"/>
              </w:rPr>
              <w:t>投标人资质</w:t>
            </w:r>
          </w:p>
        </w:tc>
        <w:tc>
          <w:tcPr>
            <w:tcW w:w="2480" w:type="dxa"/>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780" w:type="dxa"/>
          </w:tcPr>
          <w:p>
            <w:pPr>
              <w:adjustRightInd w:val="0"/>
              <w:snapToGrid w:val="0"/>
              <w:spacing w:line="360" w:lineRule="auto"/>
              <w:ind w:right="-10"/>
              <w:jc w:val="center"/>
              <w:rPr>
                <w:rFonts w:ascii="宋体" w:hAnsi="宋体"/>
                <w:sz w:val="24"/>
              </w:rPr>
            </w:pPr>
          </w:p>
        </w:tc>
        <w:tc>
          <w:tcPr>
            <w:tcW w:w="2596" w:type="dxa"/>
          </w:tcPr>
          <w:p>
            <w:pPr>
              <w:adjustRightInd w:val="0"/>
              <w:snapToGrid w:val="0"/>
              <w:spacing w:line="360" w:lineRule="auto"/>
              <w:ind w:right="-10"/>
              <w:jc w:val="center"/>
              <w:rPr>
                <w:rFonts w:ascii="宋体" w:hAnsi="宋体"/>
                <w:sz w:val="24"/>
              </w:rPr>
            </w:pPr>
            <w:r>
              <w:rPr>
                <w:rFonts w:hint="eastAsia" w:ascii="宋体" w:hAnsi="宋体"/>
                <w:sz w:val="24"/>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10</w:t>
            </w:r>
          </w:p>
        </w:tc>
        <w:tc>
          <w:tcPr>
            <w:tcW w:w="1526" w:type="dxa"/>
          </w:tcPr>
          <w:p>
            <w:pPr>
              <w:spacing w:after="50" w:line="360" w:lineRule="auto"/>
              <w:ind w:right="-10"/>
              <w:jc w:val="center"/>
              <w:rPr>
                <w:rFonts w:ascii="宋体" w:hAnsi="宋体"/>
                <w:sz w:val="24"/>
                <w:szCs w:val="28"/>
              </w:rPr>
            </w:pPr>
            <w:r>
              <w:rPr>
                <w:rFonts w:hint="eastAsia" w:ascii="宋体" w:hAnsi="宋体"/>
                <w:sz w:val="24"/>
                <w:szCs w:val="28"/>
              </w:rPr>
              <w:t>项目经理资质</w:t>
            </w:r>
          </w:p>
        </w:tc>
        <w:tc>
          <w:tcPr>
            <w:tcW w:w="2480" w:type="dxa"/>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780" w:type="dxa"/>
          </w:tcPr>
          <w:p/>
        </w:tc>
        <w:tc>
          <w:tcPr>
            <w:tcW w:w="25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11</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投标人业绩</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r>
              <w:rPr>
                <w:rFonts w:hint="eastAsia" w:ascii="宋体" w:hAnsi="宋体"/>
                <w:sz w:val="24"/>
              </w:rPr>
              <w:t>详见投标人须知前附表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12</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技术响应（无重大偏离）、付款响应、完工期响应、质保期响应等。</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13</w:t>
            </w:r>
          </w:p>
        </w:tc>
        <w:tc>
          <w:tcPr>
            <w:tcW w:w="1526"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480" w:type="dxa"/>
            <w:vAlign w:val="center"/>
          </w:tcPr>
          <w:p>
            <w:pPr>
              <w:pStyle w:val="44"/>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2" w:type="dxa"/>
            <w:vAlign w:val="center"/>
          </w:tcPr>
          <w:p>
            <w:pPr>
              <w:adjustRightInd w:val="0"/>
              <w:snapToGrid w:val="0"/>
              <w:spacing w:line="360" w:lineRule="auto"/>
              <w:ind w:right="-10"/>
              <w:jc w:val="center"/>
              <w:rPr>
                <w:rFonts w:ascii="宋体" w:hAnsi="宋体"/>
                <w:sz w:val="24"/>
              </w:rPr>
            </w:pPr>
            <w:r>
              <w:rPr>
                <w:rFonts w:hint="eastAsia" w:ascii="宋体" w:hAnsi="宋体"/>
                <w:sz w:val="24"/>
              </w:rPr>
              <w:t>14</w:t>
            </w:r>
          </w:p>
        </w:tc>
        <w:tc>
          <w:tcPr>
            <w:tcW w:w="1526"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480"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上述指标中未列出，但国家相关法律法规或招标文件有明确规定的</w:t>
            </w:r>
          </w:p>
        </w:tc>
        <w:tc>
          <w:tcPr>
            <w:tcW w:w="780" w:type="dxa"/>
            <w:vAlign w:val="center"/>
          </w:tcPr>
          <w:p>
            <w:pPr>
              <w:adjustRightInd w:val="0"/>
              <w:snapToGrid w:val="0"/>
              <w:spacing w:line="360" w:lineRule="auto"/>
              <w:ind w:right="-10"/>
              <w:jc w:val="center"/>
              <w:rPr>
                <w:rFonts w:ascii="宋体" w:hAnsi="宋体"/>
                <w:sz w:val="24"/>
              </w:rPr>
            </w:pPr>
          </w:p>
        </w:tc>
        <w:tc>
          <w:tcPr>
            <w:tcW w:w="259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4" w:type="dxa"/>
            <w:gridSpan w:val="5"/>
            <w:vAlign w:val="center"/>
          </w:tcPr>
          <w:p>
            <w:pPr>
              <w:adjustRightInd w:val="0"/>
              <w:snapToGrid w:val="0"/>
              <w:spacing w:line="360" w:lineRule="auto"/>
              <w:ind w:right="-10"/>
              <w:rPr>
                <w:rFonts w:ascii="宋体" w:hAnsi="宋体"/>
                <w:sz w:val="24"/>
              </w:rPr>
            </w:pPr>
            <w:r>
              <w:rPr>
                <w:rFonts w:hint="eastAsia" w:ascii="宋体" w:hAnsi="宋体"/>
                <w:sz w:val="24"/>
              </w:rPr>
              <w:t>初审指标通过标准：投标人必须通过上述全部指标。</w:t>
            </w:r>
          </w:p>
          <w:p>
            <w:pPr>
              <w:adjustRightInd w:val="0"/>
              <w:snapToGrid w:val="0"/>
              <w:spacing w:line="360" w:lineRule="auto"/>
              <w:ind w:right="-10"/>
              <w:rPr>
                <w:rFonts w:ascii="宋体" w:hAnsi="宋体"/>
                <w:sz w:val="24"/>
              </w:rPr>
            </w:pPr>
            <w:r>
              <w:rPr>
                <w:rFonts w:hint="eastAsia" w:ascii="宋体" w:hAnsi="宋体"/>
                <w:sz w:val="24"/>
              </w:rPr>
              <w:t>评标委员会根据表中所列各项指标对投标人是否为有效标进行评审。</w:t>
            </w:r>
          </w:p>
        </w:tc>
      </w:tr>
    </w:tbl>
    <w:p>
      <w:pPr>
        <w:adjustRightInd w:val="0"/>
        <w:snapToGrid w:val="0"/>
        <w:spacing w:line="360" w:lineRule="auto"/>
        <w:ind w:right="-10" w:firstLine="420" w:firstLineChars="175"/>
        <w:rPr>
          <w:rFonts w:ascii="宋体" w:hAnsi="宋体"/>
          <w:bCs/>
          <w:sz w:val="24"/>
        </w:rPr>
      </w:pPr>
      <w:r>
        <w:rPr>
          <w:rFonts w:hint="eastAsia" w:ascii="宋体" w:hAnsi="宋体"/>
          <w:bCs/>
          <w:sz w:val="24"/>
        </w:rPr>
        <w:t>7.4评标委员会将对所有通过初审的投标文件进行详细评审，按有效报价由低到高排出中标候选人。</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8.中标候选人一经得出，任何人不得更改。</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9.评标委员会在评标过程中发现的问题，应当及时作出处理或者向招标人提出处理建议，并作书面记录。</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10.投标人投标报价与公布的预算价相比降幅过小，或投标人投标报价明显缺乏竞争性的，评标委员会可以否决所有投标。</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11.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12.评标委员会和评标工作人员应严格遵守国家的法律、法规和规章制度；严格按照本次招标文件进行评标；公正廉洁、不徇私情，不得损害国家利益；保护投标人的合法权益。</w:t>
      </w:r>
    </w:p>
    <w:p>
      <w:pPr>
        <w:adjustRightInd w:val="0"/>
        <w:snapToGrid w:val="0"/>
        <w:spacing w:line="360" w:lineRule="auto"/>
        <w:ind w:right="-10" w:firstLine="420" w:firstLineChars="175"/>
        <w:rPr>
          <w:rFonts w:ascii="宋体" w:hAnsi="宋体"/>
          <w:bCs/>
          <w:sz w:val="24"/>
        </w:rPr>
      </w:pPr>
      <w:r>
        <w:rPr>
          <w:rFonts w:hint="eastAsia" w:ascii="宋体" w:hAnsi="宋体"/>
          <w:bCs/>
          <w:sz w:val="24"/>
        </w:rPr>
        <w:t>13.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pPr>
        <w:adjustRightInd w:val="0"/>
        <w:snapToGrid w:val="0"/>
        <w:spacing w:line="360" w:lineRule="auto"/>
        <w:ind w:right="-10" w:firstLine="480" w:firstLineChars="200"/>
        <w:rPr>
          <w:rFonts w:ascii="宋体" w:hAnsi="宋体"/>
          <w:sz w:val="24"/>
        </w:rPr>
      </w:pPr>
      <w:r>
        <w:rPr>
          <w:rFonts w:hint="eastAsia" w:ascii="宋体" w:hAnsi="宋体"/>
          <w:bCs/>
          <w:sz w:val="24"/>
        </w:rPr>
        <w:t>14.本评标办法的解释权属于合肥百货大楼集团铜陵合百商厦有限责任公司。</w:t>
      </w: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spacing w:before="150" w:line="440" w:lineRule="exact"/>
        <w:rPr>
          <w:sz w:val="24"/>
        </w:rPr>
      </w:pPr>
    </w:p>
    <w:p>
      <w:pPr>
        <w:pStyle w:val="2"/>
        <w:numPr>
          <w:ilvl w:val="0"/>
          <w:numId w:val="0"/>
        </w:numPr>
      </w:pPr>
      <w:bookmarkStart w:id="38" w:name="_Toc73976258"/>
      <w:r>
        <w:rPr>
          <w:rFonts w:hint="eastAsia"/>
        </w:rPr>
        <w:t>第七章</w:t>
      </w:r>
      <w:r>
        <w:rPr>
          <w:rFonts w:hint="eastAsia"/>
          <w:lang w:val="en-US" w:eastAsia="zh-CN"/>
        </w:rPr>
        <w:t xml:space="preserve">  </w:t>
      </w:r>
      <w:r>
        <w:rPr>
          <w:rFonts w:hint="eastAsia"/>
        </w:rPr>
        <w:t>投标文件格式</w:t>
      </w:r>
      <w:bookmarkEnd w:id="38"/>
    </w:p>
    <w:p>
      <w:pPr>
        <w:jc w:val="center"/>
        <w:rPr>
          <w:b/>
          <w:sz w:val="28"/>
          <w:szCs w:val="28"/>
        </w:rPr>
      </w:pPr>
      <w:r>
        <w:rPr>
          <w:rFonts w:hint="eastAsia"/>
          <w:b/>
          <w:sz w:val="28"/>
          <w:szCs w:val="28"/>
        </w:rPr>
        <w:t>一、投标承诺书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rPr>
      </w:pPr>
      <w:r>
        <w:rPr>
          <w:rFonts w:hint="eastAsia"/>
          <w:sz w:val="24"/>
        </w:rPr>
        <w:t>致合肥百货大楼集团铜陵合百商厦有限责任公司：</w:t>
      </w:r>
    </w:p>
    <w:p>
      <w:pPr>
        <w:keepNext w:val="0"/>
        <w:keepLines w:val="0"/>
        <w:pageBreakBefore w:val="0"/>
        <w:widowControl w:val="0"/>
        <w:kinsoku/>
        <w:wordWrap/>
        <w:overflowPunct/>
        <w:topLinePunct w:val="0"/>
        <w:autoSpaceDE/>
        <w:autoSpaceDN/>
        <w:bidi w:val="0"/>
        <w:adjustRightInd/>
        <w:snapToGrid/>
        <w:spacing w:line="500" w:lineRule="exact"/>
        <w:ind w:firstLine="360"/>
        <w:textAlignment w:val="auto"/>
        <w:rPr>
          <w:sz w:val="24"/>
        </w:rPr>
      </w:pPr>
      <w:r>
        <w:rPr>
          <w:rFonts w:hint="eastAsia"/>
          <w:sz w:val="24"/>
        </w:rPr>
        <w:t>根据贵司号招标文件要求，我司签字代表</w:t>
      </w:r>
      <w:r>
        <w:rPr>
          <w:rFonts w:hint="eastAsia"/>
          <w:sz w:val="24"/>
          <w:u w:val="single"/>
          <w:lang w:val="en-US" w:eastAsia="zh-CN"/>
        </w:rPr>
        <w:t xml:space="preserve">            </w:t>
      </w:r>
      <w:r>
        <w:rPr>
          <w:rFonts w:hint="eastAsia"/>
          <w:sz w:val="24"/>
        </w:rPr>
        <w:t>（姓名、职务）已被正式授权代表投标人</w:t>
      </w:r>
      <w:r>
        <w:rPr>
          <w:rFonts w:hint="eastAsia"/>
          <w:sz w:val="24"/>
          <w:u w:val="single"/>
          <w:lang w:val="en-US" w:eastAsia="zh-CN"/>
        </w:rPr>
        <w:t xml:space="preserve">              </w:t>
      </w:r>
      <w:r>
        <w:rPr>
          <w:rFonts w:hint="eastAsia"/>
          <w:sz w:val="24"/>
        </w:rPr>
        <w:t>（投标人名称）提交下述文件：</w:t>
      </w:r>
    </w:p>
    <w:p>
      <w:pPr>
        <w:pStyle w:val="46"/>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Chars="0"/>
        <w:textAlignment w:val="auto"/>
        <w:rPr>
          <w:sz w:val="24"/>
        </w:rPr>
      </w:pPr>
      <w:r>
        <w:rPr>
          <w:rFonts w:hint="eastAsia"/>
          <w:sz w:val="24"/>
        </w:rPr>
        <w:t>开标一览表</w:t>
      </w:r>
      <w:r>
        <w:rPr>
          <w:rFonts w:hint="eastAsia" w:ascii="宋体" w:hAnsi="宋体" w:eastAsia="宋体" w:cs="宋体"/>
          <w:sz w:val="24"/>
          <w:lang w:val="en-US" w:eastAsia="zh-CN"/>
        </w:rPr>
        <w:t>(</w:t>
      </w:r>
      <w:r>
        <w:rPr>
          <w:rFonts w:hint="eastAsia" w:ascii="宋体" w:hAnsi="宋体" w:cs="宋体"/>
          <w:sz w:val="24"/>
          <w:lang w:val="en-US" w:eastAsia="zh-CN"/>
        </w:rPr>
        <w:t>含</w:t>
      </w:r>
      <w:r>
        <w:rPr>
          <w:rFonts w:hint="eastAsia" w:ascii="宋体" w:hAnsi="宋体" w:eastAsia="宋体" w:cs="宋体"/>
          <w:sz w:val="24"/>
          <w:lang w:val="en-US" w:eastAsia="zh-CN"/>
        </w:rPr>
        <w:t>分项报价表)</w:t>
      </w:r>
      <w:r>
        <w:rPr>
          <w:rFonts w:hint="eastAsia" w:ascii="宋体" w:hAnsi="宋体" w:eastAsia="宋体" w:cs="宋体"/>
          <w:sz w:val="24"/>
        </w:rPr>
        <w:t>；</w:t>
      </w:r>
    </w:p>
    <w:p>
      <w:pPr>
        <w:pStyle w:val="46"/>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Chars="0"/>
        <w:textAlignment w:val="auto"/>
        <w:rPr>
          <w:sz w:val="24"/>
        </w:rPr>
      </w:pPr>
      <w:r>
        <w:rPr>
          <w:rFonts w:hint="eastAsia"/>
          <w:sz w:val="24"/>
        </w:rPr>
        <w:t>服务方案；</w:t>
      </w:r>
      <w:bookmarkStart w:id="39" w:name="_GoBack"/>
      <w:bookmarkEnd w:id="39"/>
    </w:p>
    <w:p>
      <w:pPr>
        <w:pStyle w:val="46"/>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Chars="0"/>
        <w:textAlignment w:val="auto"/>
        <w:rPr>
          <w:sz w:val="24"/>
        </w:rPr>
      </w:pPr>
      <w:r>
        <w:rPr>
          <w:rFonts w:hint="eastAsia"/>
          <w:sz w:val="24"/>
        </w:rPr>
        <w:t>资质文件；</w:t>
      </w:r>
    </w:p>
    <w:p>
      <w:pPr>
        <w:pStyle w:val="46"/>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Chars="0"/>
        <w:textAlignment w:val="auto"/>
        <w:rPr>
          <w:sz w:val="24"/>
        </w:rPr>
      </w:pPr>
      <w:r>
        <w:rPr>
          <w:rFonts w:hint="eastAsia"/>
          <w:sz w:val="24"/>
        </w:rPr>
        <w:t>产品（设备）参数偏离表；</w:t>
      </w:r>
    </w:p>
    <w:p>
      <w:pPr>
        <w:keepNext w:val="0"/>
        <w:keepLines w:val="0"/>
        <w:pageBreakBefore w:val="0"/>
        <w:widowControl w:val="0"/>
        <w:kinsoku/>
        <w:wordWrap/>
        <w:overflowPunct/>
        <w:topLinePunct w:val="0"/>
        <w:autoSpaceDE/>
        <w:autoSpaceDN/>
        <w:bidi w:val="0"/>
        <w:adjustRightInd/>
        <w:snapToGrid/>
        <w:spacing w:line="500" w:lineRule="exact"/>
        <w:ind w:firstLine="120" w:firstLineChars="50"/>
        <w:textAlignment w:val="auto"/>
        <w:rPr>
          <w:sz w:val="24"/>
        </w:rPr>
      </w:pPr>
      <w:r>
        <w:rPr>
          <w:rFonts w:hint="eastAsia"/>
          <w:sz w:val="24"/>
        </w:rPr>
        <w:t>同时，签字代表宣布承诺如下：</w:t>
      </w:r>
    </w:p>
    <w:p>
      <w:pPr>
        <w:keepNext w:val="0"/>
        <w:keepLines w:val="0"/>
        <w:pageBreakBefore w:val="0"/>
        <w:widowControl w:val="0"/>
        <w:kinsoku/>
        <w:wordWrap/>
        <w:overflowPunct/>
        <w:topLinePunct w:val="0"/>
        <w:autoSpaceDE/>
        <w:autoSpaceDN/>
        <w:bidi w:val="0"/>
        <w:adjustRightInd/>
        <w:snapToGrid/>
        <w:spacing w:line="500" w:lineRule="exact"/>
        <w:ind w:firstLine="120"/>
        <w:textAlignment w:val="auto"/>
        <w:rPr>
          <w:sz w:val="24"/>
        </w:rPr>
      </w:pPr>
      <w:r>
        <w:rPr>
          <w:rFonts w:hint="eastAsia"/>
          <w:sz w:val="24"/>
        </w:rPr>
        <w:t>⑴投标人已详细阅读全部招标文件（含修改文件），并理解其实质性内容，同意承担其规定的全部义务和相关责任。</w:t>
      </w:r>
    </w:p>
    <w:p>
      <w:pPr>
        <w:keepNext w:val="0"/>
        <w:keepLines w:val="0"/>
        <w:pageBreakBefore w:val="0"/>
        <w:widowControl w:val="0"/>
        <w:kinsoku/>
        <w:wordWrap/>
        <w:overflowPunct/>
        <w:topLinePunct w:val="0"/>
        <w:autoSpaceDE/>
        <w:autoSpaceDN/>
        <w:bidi w:val="0"/>
        <w:adjustRightInd/>
        <w:snapToGrid/>
        <w:spacing w:line="500" w:lineRule="exact"/>
        <w:ind w:firstLine="120"/>
        <w:textAlignment w:val="auto"/>
        <w:rPr>
          <w:sz w:val="24"/>
        </w:rPr>
      </w:pPr>
      <w:r>
        <w:rPr>
          <w:rFonts w:hint="eastAsia"/>
          <w:sz w:val="24"/>
        </w:rPr>
        <w:t>⑵投标人严格按照招标文件的规定报价，如被确定为中标人后，将全面履行合同。</w:t>
      </w:r>
    </w:p>
    <w:p>
      <w:pPr>
        <w:keepNext w:val="0"/>
        <w:keepLines w:val="0"/>
        <w:pageBreakBefore w:val="0"/>
        <w:widowControl w:val="0"/>
        <w:kinsoku/>
        <w:wordWrap/>
        <w:overflowPunct/>
        <w:topLinePunct w:val="0"/>
        <w:autoSpaceDE/>
        <w:autoSpaceDN/>
        <w:bidi w:val="0"/>
        <w:adjustRightInd/>
        <w:snapToGrid/>
        <w:spacing w:line="500" w:lineRule="exact"/>
        <w:ind w:firstLine="120"/>
        <w:textAlignment w:val="auto"/>
        <w:rPr>
          <w:sz w:val="24"/>
        </w:rPr>
      </w:pPr>
      <w:r>
        <w:rPr>
          <w:rFonts w:hint="eastAsia"/>
          <w:sz w:val="24"/>
        </w:rPr>
        <w:t>⑶投标人在交付投标保证金后，如出现串标、毁标、中标后不签订合同等违规行为，招标人有权没收该保证金。</w:t>
      </w:r>
    </w:p>
    <w:p>
      <w:pPr>
        <w:keepNext w:val="0"/>
        <w:keepLines w:val="0"/>
        <w:pageBreakBefore w:val="0"/>
        <w:widowControl w:val="0"/>
        <w:kinsoku/>
        <w:wordWrap/>
        <w:overflowPunct/>
        <w:topLinePunct w:val="0"/>
        <w:autoSpaceDE/>
        <w:autoSpaceDN/>
        <w:bidi w:val="0"/>
        <w:adjustRightInd/>
        <w:snapToGrid/>
        <w:spacing w:line="500" w:lineRule="exact"/>
        <w:ind w:firstLine="120"/>
        <w:textAlignment w:val="auto"/>
        <w:rPr>
          <w:sz w:val="24"/>
        </w:rPr>
      </w:pPr>
      <w:r>
        <w:rPr>
          <w:rFonts w:hint="eastAsia"/>
          <w:sz w:val="24"/>
        </w:rPr>
        <w:t>⑷投标人近三年来没有骗取中标和严重违约及重大质量、安全问题。</w:t>
      </w:r>
    </w:p>
    <w:p>
      <w:pPr>
        <w:keepNext w:val="0"/>
        <w:keepLines w:val="0"/>
        <w:pageBreakBefore w:val="0"/>
        <w:widowControl w:val="0"/>
        <w:kinsoku/>
        <w:wordWrap/>
        <w:overflowPunct/>
        <w:topLinePunct w:val="0"/>
        <w:autoSpaceDE/>
        <w:autoSpaceDN/>
        <w:bidi w:val="0"/>
        <w:adjustRightInd/>
        <w:snapToGrid/>
        <w:spacing w:line="500" w:lineRule="exact"/>
        <w:ind w:firstLine="120"/>
        <w:textAlignment w:val="auto"/>
        <w:rPr>
          <w:sz w:val="24"/>
        </w:rPr>
      </w:pPr>
      <w:r>
        <w:rPr>
          <w:rFonts w:hint="eastAsia"/>
          <w:sz w:val="24"/>
        </w:rPr>
        <w:t>⑸投标人完全理解招标人不以最低报价作为确定中标人唯一标准的评定标方式。</w:t>
      </w:r>
    </w:p>
    <w:p>
      <w:pPr>
        <w:keepNext w:val="0"/>
        <w:keepLines w:val="0"/>
        <w:pageBreakBefore w:val="0"/>
        <w:widowControl w:val="0"/>
        <w:kinsoku/>
        <w:wordWrap/>
        <w:overflowPunct/>
        <w:topLinePunct w:val="0"/>
        <w:autoSpaceDE/>
        <w:autoSpaceDN/>
        <w:bidi w:val="0"/>
        <w:adjustRightInd/>
        <w:snapToGrid/>
        <w:spacing w:line="500" w:lineRule="exact"/>
        <w:ind w:firstLine="120"/>
        <w:textAlignment w:val="auto"/>
        <w:rPr>
          <w:sz w:val="24"/>
        </w:rPr>
      </w:pPr>
      <w:r>
        <w:rPr>
          <w:rFonts w:hint="eastAsia"/>
          <w:sz w:val="24"/>
        </w:rPr>
        <w:t>⑹投标人同意提供招标人可能要求的与其投标有关的一切数据或资料。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sz w:val="24"/>
        </w:rPr>
      </w:pPr>
      <w:r>
        <w:rPr>
          <w:rFonts w:hint="eastAsia"/>
          <w:sz w:val="24"/>
        </w:rPr>
        <w:t>特此承诺</w:t>
      </w:r>
    </w:p>
    <w:p>
      <w:pPr>
        <w:spacing w:line="440" w:lineRule="exact"/>
        <w:jc w:val="right"/>
        <w:rPr>
          <w:sz w:val="24"/>
        </w:rPr>
      </w:pPr>
    </w:p>
    <w:p>
      <w:pPr>
        <w:spacing w:line="500" w:lineRule="exact"/>
        <w:jc w:val="right"/>
        <w:rPr>
          <w:sz w:val="24"/>
        </w:rPr>
      </w:pPr>
      <w:r>
        <w:rPr>
          <w:rFonts w:hint="eastAsia"/>
          <w:sz w:val="24"/>
        </w:rPr>
        <w:t>投标人（公章）：</w:t>
      </w:r>
    </w:p>
    <w:p>
      <w:pPr>
        <w:spacing w:line="500" w:lineRule="exact"/>
        <w:jc w:val="right"/>
        <w:rPr>
          <w:sz w:val="24"/>
        </w:rPr>
      </w:pPr>
      <w:r>
        <w:rPr>
          <w:rFonts w:hint="eastAsia"/>
          <w:sz w:val="24"/>
        </w:rPr>
        <w:t>企业法人（签字）：</w:t>
      </w:r>
    </w:p>
    <w:p>
      <w:pPr>
        <w:spacing w:line="500" w:lineRule="exact"/>
        <w:jc w:val="right"/>
        <w:rPr>
          <w:sz w:val="24"/>
        </w:rPr>
      </w:pPr>
      <w:r>
        <w:rPr>
          <w:rFonts w:hint="eastAsia"/>
          <w:sz w:val="24"/>
        </w:rPr>
        <w:t>授权代表（签字）：</w:t>
      </w:r>
    </w:p>
    <w:p>
      <w:pPr>
        <w:spacing w:line="500" w:lineRule="exact"/>
        <w:jc w:val="right"/>
        <w:rPr>
          <w:sz w:val="24"/>
        </w:rPr>
      </w:pPr>
      <w:r>
        <w:rPr>
          <w:rFonts w:hint="eastAsia"/>
          <w:sz w:val="24"/>
        </w:rPr>
        <w:t>二〇二</w:t>
      </w:r>
      <w:r>
        <w:rPr>
          <w:rFonts w:hint="eastAsia"/>
          <w:sz w:val="24"/>
          <w:lang w:eastAsia="zh-CN"/>
        </w:rPr>
        <w:t>一</w:t>
      </w:r>
      <w:r>
        <w:rPr>
          <w:rFonts w:hint="eastAsia"/>
          <w:sz w:val="24"/>
        </w:rPr>
        <w:t>年月日</w:t>
      </w:r>
    </w:p>
    <w:p/>
    <w:p>
      <w:pPr>
        <w:jc w:val="center"/>
        <w:rPr>
          <w:b/>
          <w:sz w:val="28"/>
          <w:szCs w:val="28"/>
        </w:rPr>
      </w:pPr>
      <w:r>
        <w:rPr>
          <w:rFonts w:hint="eastAsia"/>
          <w:b/>
          <w:sz w:val="28"/>
          <w:szCs w:val="28"/>
        </w:rPr>
        <w:t>二、开标一览表</w:t>
      </w:r>
    </w:p>
    <w:p/>
    <w:tbl>
      <w:tblPr>
        <w:tblStyle w:val="2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81"/>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579" w:type="dxa"/>
            <w:gridSpan w:val="2"/>
            <w:vAlign w:val="center"/>
          </w:tcPr>
          <w:p>
            <w:pPr>
              <w:jc w:val="center"/>
              <w:rPr>
                <w:rFonts w:ascii="宋体"/>
                <w:b/>
                <w:sz w:val="24"/>
              </w:rPr>
            </w:pPr>
            <w:r>
              <w:rPr>
                <w:rFonts w:hint="eastAsia" w:ascii="宋体" w:hAnsi="宋体"/>
                <w:b/>
                <w:sz w:val="24"/>
              </w:rPr>
              <w:t>招标项目名称</w:t>
            </w:r>
          </w:p>
        </w:tc>
        <w:tc>
          <w:tcPr>
            <w:tcW w:w="7176" w:type="dxa"/>
            <w:vAlign w:val="center"/>
          </w:tcPr>
          <w:p>
            <w:pPr>
              <w:jc w:val="center"/>
              <w:rPr>
                <w:sz w:val="24"/>
              </w:rPr>
            </w:pPr>
            <w:r>
              <w:rPr>
                <w:rFonts w:hint="eastAsia" w:ascii="宋体" w:hAnsi="宋体" w:eastAsia="宋体" w:cs="宋体"/>
                <w:sz w:val="24"/>
                <w:szCs w:val="24"/>
              </w:rPr>
              <w:t>铜陵</w:t>
            </w:r>
            <w:r>
              <w:rPr>
                <w:rFonts w:hint="eastAsia" w:ascii="宋体" w:hAnsi="宋体" w:cs="宋体"/>
                <w:sz w:val="24"/>
                <w:szCs w:val="24"/>
                <w:lang w:eastAsia="zh-CN"/>
              </w:rPr>
              <w:t>百大购物中心</w:t>
            </w:r>
            <w:r>
              <w:rPr>
                <w:rFonts w:hint="eastAsia"/>
                <w:sz w:val="24"/>
              </w:rPr>
              <w:t>监控广播客流系统升级改造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2579" w:type="dxa"/>
            <w:gridSpan w:val="2"/>
            <w:vAlign w:val="center"/>
          </w:tcPr>
          <w:p>
            <w:pPr>
              <w:jc w:val="center"/>
              <w:rPr>
                <w:rFonts w:ascii="宋体"/>
                <w:b/>
                <w:sz w:val="24"/>
              </w:rPr>
            </w:pPr>
            <w:r>
              <w:rPr>
                <w:rFonts w:hint="eastAsia" w:ascii="宋体" w:hAnsi="宋体"/>
                <w:b/>
                <w:sz w:val="24"/>
              </w:rPr>
              <w:t>招标编号</w:t>
            </w:r>
          </w:p>
        </w:tc>
        <w:tc>
          <w:tcPr>
            <w:tcW w:w="7176" w:type="dxa"/>
            <w:vAlign w:val="center"/>
          </w:tcPr>
          <w:p>
            <w:pPr>
              <w:rPr>
                <w:rFonts w:asci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579" w:type="dxa"/>
            <w:gridSpan w:val="2"/>
            <w:vAlign w:val="center"/>
          </w:tcPr>
          <w:p>
            <w:pPr>
              <w:jc w:val="center"/>
              <w:rPr>
                <w:rFonts w:ascii="宋体"/>
                <w:b/>
                <w:sz w:val="24"/>
              </w:rPr>
            </w:pPr>
            <w:r>
              <w:rPr>
                <w:rFonts w:hint="eastAsia" w:ascii="宋体" w:hAnsi="宋体"/>
                <w:b/>
                <w:sz w:val="24"/>
              </w:rPr>
              <w:t>投标人全称</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755" w:type="dxa"/>
            <w:gridSpan w:val="3"/>
            <w:vAlign w:val="center"/>
          </w:tcPr>
          <w:p>
            <w:pPr>
              <w:rPr>
                <w:rFonts w:ascii="宋体"/>
                <w:b/>
                <w:sz w:val="24"/>
              </w:rPr>
            </w:pPr>
            <w:r>
              <w:rPr>
                <w:rFonts w:hint="eastAsia" w:ascii="宋体" w:hAnsi="宋体"/>
                <w:b/>
                <w:sz w:val="24"/>
              </w:rPr>
              <w:t>一、服务承诺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598" w:type="dxa"/>
            <w:vAlign w:val="center"/>
          </w:tcPr>
          <w:p>
            <w:pPr>
              <w:rPr>
                <w:rFonts w:ascii="宋体"/>
                <w:sz w:val="24"/>
              </w:rPr>
            </w:pPr>
            <w:r>
              <w:rPr>
                <w:rFonts w:ascii="宋体" w:hAnsi="宋体"/>
                <w:sz w:val="24"/>
              </w:rPr>
              <w:t>1</w:t>
            </w:r>
          </w:p>
        </w:tc>
        <w:tc>
          <w:tcPr>
            <w:tcW w:w="1981" w:type="dxa"/>
            <w:vAlign w:val="center"/>
          </w:tcPr>
          <w:p>
            <w:pPr>
              <w:rPr>
                <w:rFonts w:ascii="宋体"/>
                <w:sz w:val="24"/>
              </w:rPr>
            </w:pPr>
            <w:r>
              <w:rPr>
                <w:rFonts w:hint="eastAsia" w:ascii="宋体" w:hAnsi="宋体"/>
                <w:sz w:val="24"/>
              </w:rPr>
              <w:t>主要服务内容</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598" w:type="dxa"/>
            <w:vAlign w:val="center"/>
          </w:tcPr>
          <w:p>
            <w:pPr>
              <w:rPr>
                <w:rFonts w:ascii="宋体"/>
                <w:sz w:val="24"/>
              </w:rPr>
            </w:pPr>
            <w:r>
              <w:rPr>
                <w:rFonts w:ascii="宋体" w:hAnsi="宋体"/>
                <w:sz w:val="24"/>
              </w:rPr>
              <w:t>2</w:t>
            </w:r>
          </w:p>
        </w:tc>
        <w:tc>
          <w:tcPr>
            <w:tcW w:w="1981" w:type="dxa"/>
            <w:vAlign w:val="center"/>
          </w:tcPr>
          <w:p>
            <w:pPr>
              <w:rPr>
                <w:rFonts w:ascii="宋体"/>
                <w:sz w:val="24"/>
              </w:rPr>
            </w:pPr>
            <w:r>
              <w:rPr>
                <w:rFonts w:hint="eastAsia" w:ascii="宋体" w:hAnsi="宋体"/>
                <w:sz w:val="24"/>
              </w:rPr>
              <w:t>服务周期</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598" w:type="dxa"/>
            <w:vAlign w:val="center"/>
          </w:tcPr>
          <w:p>
            <w:pPr>
              <w:rPr>
                <w:rFonts w:ascii="宋体"/>
                <w:sz w:val="24"/>
              </w:rPr>
            </w:pPr>
            <w:r>
              <w:rPr>
                <w:rFonts w:ascii="宋体" w:hAnsi="宋体"/>
                <w:sz w:val="24"/>
              </w:rPr>
              <w:t>3</w:t>
            </w:r>
          </w:p>
        </w:tc>
        <w:tc>
          <w:tcPr>
            <w:tcW w:w="1981" w:type="dxa"/>
            <w:vAlign w:val="center"/>
          </w:tcPr>
          <w:p>
            <w:pPr>
              <w:rPr>
                <w:rFonts w:ascii="宋体"/>
                <w:sz w:val="24"/>
              </w:rPr>
            </w:pPr>
            <w:r>
              <w:rPr>
                <w:rFonts w:hint="eastAsia" w:ascii="宋体" w:hAnsi="宋体"/>
                <w:sz w:val="24"/>
              </w:rPr>
              <w:t>付款方式</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755" w:type="dxa"/>
            <w:gridSpan w:val="3"/>
            <w:vAlign w:val="center"/>
          </w:tcPr>
          <w:p>
            <w:pPr>
              <w:rPr>
                <w:rFonts w:ascii="宋体"/>
                <w:b/>
                <w:sz w:val="24"/>
              </w:rPr>
            </w:pPr>
            <w:r>
              <w:rPr>
                <w:rFonts w:hint="eastAsia" w:ascii="宋体" w:hAnsi="宋体"/>
                <w:b/>
                <w:sz w:val="24"/>
              </w:rPr>
              <w:t>二、服务报价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jc w:val="center"/>
        </w:trPr>
        <w:tc>
          <w:tcPr>
            <w:tcW w:w="598" w:type="dxa"/>
            <w:vAlign w:val="center"/>
          </w:tcPr>
          <w:p>
            <w:pPr>
              <w:rPr>
                <w:rFonts w:ascii="宋体"/>
                <w:sz w:val="24"/>
              </w:rPr>
            </w:pPr>
            <w:r>
              <w:rPr>
                <w:rFonts w:ascii="宋体" w:hAnsi="宋体"/>
                <w:sz w:val="24"/>
              </w:rPr>
              <w:t>1</w:t>
            </w:r>
          </w:p>
        </w:tc>
        <w:tc>
          <w:tcPr>
            <w:tcW w:w="1981" w:type="dxa"/>
            <w:vAlign w:val="center"/>
          </w:tcPr>
          <w:p>
            <w:pPr>
              <w:rPr>
                <w:rFonts w:ascii="宋体"/>
                <w:sz w:val="24"/>
              </w:rPr>
            </w:pPr>
            <w:r>
              <w:rPr>
                <w:rFonts w:hint="eastAsia" w:ascii="宋体" w:hAnsi="宋体"/>
                <w:sz w:val="24"/>
              </w:rPr>
              <w:t>投标总报价</w:t>
            </w:r>
          </w:p>
        </w:tc>
        <w:tc>
          <w:tcPr>
            <w:tcW w:w="7176" w:type="dxa"/>
            <w:vAlign w:val="center"/>
          </w:tcPr>
          <w:p>
            <w:pPr>
              <w:widowControl/>
              <w:spacing w:line="520" w:lineRule="exact"/>
              <w:rPr>
                <w:rFonts w:hint="default" w:ascii="宋体" w:eastAsia="宋体" w:cs="宋体"/>
                <w:kern w:val="0"/>
                <w:sz w:val="24"/>
                <w:u w:val="single"/>
                <w:lang w:val="en-US" w:eastAsia="zh-CN"/>
              </w:rPr>
            </w:pPr>
            <w:r>
              <w:rPr>
                <w:rFonts w:hint="eastAsia" w:ascii="宋体" w:hAnsi="宋体" w:cs="宋体"/>
                <w:kern w:val="0"/>
                <w:sz w:val="24"/>
              </w:rPr>
              <w:t>大写：</w:t>
            </w:r>
            <w:r>
              <w:rPr>
                <w:rFonts w:hint="eastAsia" w:ascii="宋体" w:hAnsi="宋体" w:cs="宋体"/>
                <w:kern w:val="0"/>
                <w:sz w:val="24"/>
                <w:u w:val="single"/>
              </w:rPr>
              <w:t>人民币</w:t>
            </w:r>
            <w:r>
              <w:rPr>
                <w:rFonts w:hint="eastAsia" w:ascii="宋体" w:hAnsi="宋体" w:cs="宋体"/>
                <w:kern w:val="0"/>
                <w:sz w:val="24"/>
                <w:u w:val="single"/>
                <w:lang w:val="en-US" w:eastAsia="zh-CN"/>
              </w:rPr>
              <w:t xml:space="preserve">                      </w:t>
            </w:r>
          </w:p>
          <w:p>
            <w:pPr>
              <w:rPr>
                <w:rFonts w:hint="default" w:ascii="宋体" w:eastAsia="宋体"/>
                <w:sz w:val="24"/>
                <w:lang w:val="en-US" w:eastAsia="zh-CN"/>
              </w:rPr>
            </w:pPr>
            <w:r>
              <w:rPr>
                <w:rFonts w:hint="eastAsia" w:ascii="宋体" w:hAnsi="宋体" w:cs="宋体"/>
                <w:kern w:val="0"/>
                <w:sz w:val="24"/>
              </w:rPr>
              <w:t>小写：</w:t>
            </w:r>
            <w:r>
              <w:rPr>
                <w:rFonts w:hint="eastAsia" w:ascii="宋体" w:hAnsi="宋体" w:cs="宋体"/>
                <w:kern w:val="0"/>
                <w:sz w:val="24"/>
                <w:u w:val="single"/>
              </w:rPr>
              <w:t>￥</w:t>
            </w:r>
            <w:r>
              <w:rPr>
                <w:rFonts w:hint="eastAsia" w:ascii="宋体" w:hAnsi="宋体" w:cs="宋体"/>
                <w:kern w:val="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598" w:type="dxa"/>
            <w:vAlign w:val="center"/>
          </w:tcPr>
          <w:p>
            <w:pPr>
              <w:rPr>
                <w:rFonts w:ascii="宋体"/>
                <w:sz w:val="24"/>
              </w:rPr>
            </w:pPr>
            <w:r>
              <w:rPr>
                <w:rFonts w:ascii="宋体" w:hAnsi="宋体"/>
                <w:sz w:val="24"/>
              </w:rPr>
              <w:t>2</w:t>
            </w:r>
          </w:p>
        </w:tc>
        <w:tc>
          <w:tcPr>
            <w:tcW w:w="1981" w:type="dxa"/>
            <w:vAlign w:val="center"/>
          </w:tcPr>
          <w:p>
            <w:pPr>
              <w:rPr>
                <w:rFonts w:ascii="宋体"/>
                <w:sz w:val="24"/>
              </w:rPr>
            </w:pPr>
            <w:r>
              <w:rPr>
                <w:rFonts w:hint="eastAsia" w:ascii="宋体" w:hAnsi="宋体"/>
                <w:sz w:val="24"/>
              </w:rPr>
              <w:t>备注</w:t>
            </w:r>
          </w:p>
        </w:tc>
        <w:tc>
          <w:tcPr>
            <w:tcW w:w="7176" w:type="dxa"/>
            <w:vAlign w:val="center"/>
          </w:tcPr>
          <w:p>
            <w:pPr>
              <w:rPr>
                <w:rFonts w:ascii="宋体"/>
                <w:sz w:val="24"/>
              </w:rPr>
            </w:pPr>
          </w:p>
        </w:tc>
      </w:tr>
    </w:tbl>
    <w:p>
      <w:pPr>
        <w:spacing w:line="700" w:lineRule="exact"/>
        <w:jc w:val="left"/>
        <w:rPr>
          <w:rFonts w:ascii="宋体"/>
          <w:b/>
          <w:sz w:val="24"/>
        </w:rPr>
      </w:pPr>
      <w:r>
        <w:rPr>
          <w:rFonts w:hint="eastAsia" w:ascii="宋体" w:hAnsi="宋体"/>
          <w:b/>
          <w:sz w:val="24"/>
        </w:rPr>
        <w:t>投标人（签章）：</w:t>
      </w:r>
      <w:r>
        <w:rPr>
          <w:rFonts w:hint="eastAsia" w:ascii="宋体" w:hAnsi="宋体"/>
          <w:b/>
          <w:sz w:val="24"/>
          <w:lang w:val="en-US" w:eastAsia="zh-CN"/>
        </w:rPr>
        <w:t xml:space="preserve">                                   </w:t>
      </w:r>
      <w:r>
        <w:rPr>
          <w:rFonts w:hint="eastAsia" w:ascii="宋体" w:hAnsi="宋体"/>
          <w:b/>
          <w:sz w:val="24"/>
        </w:rPr>
        <w:t>授权代表（签字）：</w:t>
      </w:r>
    </w:p>
    <w:p>
      <w:pPr>
        <w:spacing w:line="700" w:lineRule="exact"/>
        <w:jc w:val="both"/>
        <w:rPr>
          <w:rFonts w:ascii="宋体"/>
          <w:b/>
          <w:sz w:val="24"/>
        </w:rPr>
      </w:pPr>
      <w:r>
        <w:rPr>
          <w:rFonts w:hint="eastAsia" w:ascii="宋体" w:hAnsi="宋体"/>
          <w:b/>
          <w:sz w:val="24"/>
        </w:rPr>
        <w:t>联系方式：</w:t>
      </w:r>
      <w:r>
        <w:rPr>
          <w:rFonts w:hint="eastAsia" w:ascii="宋体" w:hAnsi="宋体"/>
          <w:b/>
          <w:sz w:val="24"/>
          <w:lang w:val="en-US" w:eastAsia="zh-CN"/>
        </w:rPr>
        <w:t xml:space="preserve">                                         </w:t>
      </w:r>
      <w:r>
        <w:rPr>
          <w:rFonts w:hint="eastAsia" w:ascii="宋体" w:hAnsi="宋体"/>
          <w:b/>
          <w:sz w:val="24"/>
        </w:rPr>
        <w:t>二〇二</w:t>
      </w:r>
      <w:r>
        <w:rPr>
          <w:rFonts w:hint="eastAsia" w:ascii="宋体" w:hAnsi="宋体"/>
          <w:b/>
          <w:sz w:val="24"/>
          <w:lang w:eastAsia="zh-CN"/>
        </w:rPr>
        <w:t>一</w:t>
      </w:r>
      <w:r>
        <w:rPr>
          <w:rFonts w:hint="eastAsia" w:ascii="宋体" w:hAnsi="宋体"/>
          <w:b/>
          <w:sz w:val="24"/>
        </w:rPr>
        <w:t>年</w:t>
      </w:r>
      <w:r>
        <w:rPr>
          <w:rFonts w:hint="eastAsia" w:ascii="宋体" w:hAnsi="宋体"/>
          <w:b/>
          <w:sz w:val="24"/>
          <w:lang w:val="en-US" w:eastAsia="zh-CN"/>
        </w:rPr>
        <w:t xml:space="preserve">  </w:t>
      </w:r>
      <w:r>
        <w:rPr>
          <w:rFonts w:hint="eastAsia" w:ascii="宋体" w:hAnsi="宋体"/>
          <w:b/>
          <w:sz w:val="24"/>
        </w:rPr>
        <w:t>月</w:t>
      </w:r>
      <w:r>
        <w:rPr>
          <w:rFonts w:hint="eastAsia" w:ascii="宋体" w:hAnsi="宋体"/>
          <w:b/>
          <w:sz w:val="24"/>
          <w:lang w:val="en-US" w:eastAsia="zh-CN"/>
        </w:rPr>
        <w:t xml:space="preserve">  </w:t>
      </w:r>
      <w:r>
        <w:rPr>
          <w:rFonts w:hint="eastAsia" w:ascii="宋体" w:hAnsi="宋体"/>
          <w:b/>
          <w:sz w:val="24"/>
        </w:rPr>
        <w:t>日</w:t>
      </w:r>
    </w:p>
    <w:p>
      <w:pPr>
        <w:spacing w:line="600" w:lineRule="exact"/>
        <w:rPr>
          <w:rFonts w:ascii="宋体"/>
          <w:b/>
          <w:sz w:val="24"/>
        </w:rPr>
      </w:pPr>
    </w:p>
    <w:p>
      <w:pPr>
        <w:spacing w:line="600" w:lineRule="exact"/>
        <w:rPr>
          <w:rFonts w:ascii="宋体"/>
          <w:b/>
          <w:sz w:val="24"/>
        </w:rPr>
      </w:pPr>
    </w:p>
    <w:p>
      <w:pPr>
        <w:jc w:val="center"/>
        <w:rPr>
          <w:b/>
          <w:sz w:val="28"/>
          <w:szCs w:val="28"/>
        </w:rPr>
      </w:pPr>
      <w:r>
        <w:rPr>
          <w:rFonts w:hint="eastAsia"/>
          <w:b/>
          <w:sz w:val="28"/>
          <w:szCs w:val="28"/>
        </w:rPr>
        <w:t>三、投标承诺事项</w:t>
      </w:r>
    </w:p>
    <w:p>
      <w:pPr>
        <w:widowControl/>
        <w:spacing w:line="460" w:lineRule="exact"/>
        <w:ind w:firstLine="354" w:firstLineChars="147"/>
        <w:jc w:val="left"/>
        <w:rPr>
          <w:rFonts w:ascii="宋体" w:hAnsi="宋体" w:cs="宋体"/>
          <w:b/>
          <w:kern w:val="0"/>
          <w:sz w:val="24"/>
        </w:rPr>
      </w:pPr>
      <w:r>
        <w:rPr>
          <w:rFonts w:hint="eastAsia" w:ascii="宋体" w:hAnsi="宋体" w:cs="宋体"/>
          <w:b/>
          <w:kern w:val="0"/>
          <w:sz w:val="24"/>
        </w:rPr>
        <w:t>内容包括如下：</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1．对工期的承诺；</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2．对工程质量、安全施工及保修服务的承诺；</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3.对产品性能参数符合性的承诺；</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4．投标人的其他承诺</w:t>
      </w:r>
    </w:p>
    <w:p>
      <w:pPr>
        <w:rPr>
          <w:rFonts w:ascii="宋体"/>
          <w:sz w:val="28"/>
          <w:szCs w:val="28"/>
        </w:rPr>
      </w:pPr>
    </w:p>
    <w:p>
      <w:pPr>
        <w:numPr>
          <w:ilvl w:val="0"/>
          <w:numId w:val="11"/>
        </w:numPr>
        <w:jc w:val="center"/>
        <w:rPr>
          <w:rFonts w:hint="default" w:ascii="宋体"/>
          <w:b/>
          <w:color w:val="auto"/>
          <w:sz w:val="28"/>
          <w:szCs w:val="28"/>
          <w:lang w:val="en-US" w:eastAsia="zh-CN"/>
        </w:rPr>
      </w:pPr>
      <w:r>
        <w:rPr>
          <w:rFonts w:hint="eastAsia" w:ascii="宋体"/>
          <w:b/>
          <w:color w:val="auto"/>
          <w:sz w:val="28"/>
          <w:szCs w:val="28"/>
          <w:lang w:eastAsia="zh-CN"/>
        </w:rPr>
        <w:t>分项报价表（必须按照附件设备清单编制）</w:t>
      </w:r>
      <w:r>
        <w:rPr>
          <w:rFonts w:hint="eastAsia" w:ascii="宋体"/>
          <w:b/>
          <w:color w:val="auto"/>
          <w:sz w:val="28"/>
          <w:szCs w:val="28"/>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4"/>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4" w:type="dxa"/>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序号</w:t>
            </w:r>
          </w:p>
        </w:tc>
        <w:tc>
          <w:tcPr>
            <w:tcW w:w="1064" w:type="dxa"/>
            <w:vAlign w:val="center"/>
          </w:tcPr>
          <w:p>
            <w:pPr>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设备名称</w:t>
            </w:r>
          </w:p>
        </w:tc>
        <w:tc>
          <w:tcPr>
            <w:tcW w:w="1064" w:type="dxa"/>
            <w:vAlign w:val="center"/>
          </w:tcPr>
          <w:p>
            <w:pPr>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投标品牌</w:t>
            </w:r>
          </w:p>
        </w:tc>
        <w:tc>
          <w:tcPr>
            <w:tcW w:w="1064" w:type="dxa"/>
            <w:vAlign w:val="center"/>
          </w:tcPr>
          <w:p>
            <w:pPr>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性能参数</w:t>
            </w:r>
          </w:p>
        </w:tc>
        <w:tc>
          <w:tcPr>
            <w:tcW w:w="1065" w:type="dxa"/>
            <w:vAlign w:val="center"/>
          </w:tcPr>
          <w:p>
            <w:pPr>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单位</w:t>
            </w:r>
          </w:p>
        </w:tc>
        <w:tc>
          <w:tcPr>
            <w:tcW w:w="1065" w:type="dxa"/>
            <w:vAlign w:val="center"/>
          </w:tcPr>
          <w:p>
            <w:pPr>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数量</w:t>
            </w:r>
          </w:p>
        </w:tc>
        <w:tc>
          <w:tcPr>
            <w:tcW w:w="1065" w:type="dxa"/>
            <w:vAlign w:val="center"/>
          </w:tcPr>
          <w:p>
            <w:pPr>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单价</w:t>
            </w:r>
          </w:p>
        </w:tc>
        <w:tc>
          <w:tcPr>
            <w:tcW w:w="1065" w:type="dxa"/>
            <w:vAlign w:val="center"/>
          </w:tcPr>
          <w:p>
            <w:pPr>
              <w:jc w:val="center"/>
              <w:rPr>
                <w:rFonts w:hint="eastAsia" w:ascii="宋体" w:hAnsi="宋体" w:cs="宋体"/>
                <w:color w:val="auto"/>
                <w:kern w:val="0"/>
                <w:sz w:val="21"/>
                <w:szCs w:val="21"/>
                <w:lang w:eastAsia="zh-CN"/>
              </w:rPr>
            </w:pPr>
            <w:r>
              <w:rPr>
                <w:rFonts w:hint="eastAsia" w:ascii="宋体" w:hAnsi="宋体" w:cs="宋体"/>
                <w:color w:val="auto"/>
                <w:kern w:val="0"/>
                <w:sz w:val="21"/>
                <w:szCs w:val="21"/>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4"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c>
          <w:tcPr>
            <w:tcW w:w="1065" w:type="dxa"/>
            <w:vAlign w:val="center"/>
          </w:tcPr>
          <w:p>
            <w:pPr>
              <w:jc w:val="center"/>
              <w:rPr>
                <w:rFonts w:ascii="宋体" w:hAnsi="宋体" w:cs="宋体"/>
                <w:color w:val="FF0000"/>
                <w:kern w:val="0"/>
                <w:sz w:val="24"/>
              </w:rPr>
            </w:pPr>
          </w:p>
        </w:tc>
      </w:tr>
    </w:tbl>
    <w:p>
      <w:pPr>
        <w:rPr>
          <w:rFonts w:ascii="宋体"/>
          <w:sz w:val="28"/>
          <w:szCs w:val="28"/>
        </w:rPr>
      </w:pPr>
    </w:p>
    <w:p>
      <w:pPr>
        <w:spacing w:line="480" w:lineRule="auto"/>
        <w:jc w:val="center"/>
        <w:rPr>
          <w:rFonts w:ascii="宋体"/>
          <w:b/>
          <w:sz w:val="28"/>
          <w:szCs w:val="28"/>
        </w:rPr>
      </w:pPr>
      <w:r>
        <w:rPr>
          <w:rFonts w:hint="eastAsia" w:ascii="宋体"/>
          <w:b/>
          <w:sz w:val="28"/>
          <w:szCs w:val="28"/>
        </w:rPr>
        <w:t>五、产品（设备）参数偏离表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227"/>
        <w:gridCol w:w="1276"/>
        <w:gridCol w:w="1280"/>
        <w:gridCol w:w="1275"/>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36" w:type="dxa"/>
            <w:vAlign w:val="center"/>
          </w:tcPr>
          <w:p>
            <w:pPr>
              <w:jc w:val="center"/>
              <w:rPr>
                <w:rFonts w:ascii="宋体" w:hAnsi="宋体" w:cs="宋体"/>
                <w:kern w:val="0"/>
                <w:sz w:val="24"/>
              </w:rPr>
            </w:pPr>
            <w:r>
              <w:rPr>
                <w:rFonts w:hint="eastAsia" w:ascii="宋体" w:hAnsi="宋体" w:cs="宋体"/>
                <w:kern w:val="0"/>
                <w:sz w:val="24"/>
              </w:rPr>
              <w:t>序号</w:t>
            </w:r>
          </w:p>
        </w:tc>
        <w:tc>
          <w:tcPr>
            <w:tcW w:w="1227" w:type="dxa"/>
            <w:vAlign w:val="center"/>
          </w:tcPr>
          <w:p>
            <w:pPr>
              <w:jc w:val="center"/>
              <w:rPr>
                <w:rFonts w:ascii="宋体" w:hAnsi="宋体" w:cs="宋体"/>
                <w:kern w:val="0"/>
                <w:sz w:val="24"/>
              </w:rPr>
            </w:pPr>
            <w:r>
              <w:rPr>
                <w:rFonts w:hint="eastAsia" w:ascii="宋体" w:hAnsi="宋体" w:cs="宋体"/>
                <w:kern w:val="0"/>
                <w:sz w:val="24"/>
              </w:rPr>
              <w:t>货物名称</w:t>
            </w:r>
          </w:p>
        </w:tc>
        <w:tc>
          <w:tcPr>
            <w:tcW w:w="1276" w:type="dxa"/>
            <w:vAlign w:val="center"/>
          </w:tcPr>
          <w:p>
            <w:pPr>
              <w:jc w:val="center"/>
              <w:rPr>
                <w:rFonts w:ascii="宋体" w:hAnsi="宋体" w:cs="宋体"/>
                <w:kern w:val="0"/>
                <w:sz w:val="24"/>
              </w:rPr>
            </w:pPr>
            <w:r>
              <w:rPr>
                <w:rFonts w:hint="eastAsia" w:ascii="宋体" w:hAnsi="宋体" w:cs="宋体"/>
                <w:kern w:val="0"/>
                <w:sz w:val="24"/>
              </w:rPr>
              <w:t>数量</w:t>
            </w:r>
          </w:p>
        </w:tc>
        <w:tc>
          <w:tcPr>
            <w:tcW w:w="1280" w:type="dxa"/>
            <w:vAlign w:val="center"/>
          </w:tcPr>
          <w:p>
            <w:pPr>
              <w:jc w:val="center"/>
              <w:rPr>
                <w:rFonts w:ascii="宋体" w:hAnsi="宋体" w:cs="宋体"/>
                <w:kern w:val="0"/>
                <w:sz w:val="24"/>
              </w:rPr>
            </w:pPr>
            <w:r>
              <w:rPr>
                <w:rFonts w:hint="eastAsia" w:ascii="宋体" w:hAnsi="宋体" w:cs="宋体"/>
                <w:kern w:val="0"/>
                <w:sz w:val="24"/>
              </w:rPr>
              <w:t>招标文件技术参数</w:t>
            </w:r>
          </w:p>
        </w:tc>
        <w:tc>
          <w:tcPr>
            <w:tcW w:w="1275" w:type="dxa"/>
            <w:vAlign w:val="center"/>
          </w:tcPr>
          <w:p>
            <w:pPr>
              <w:jc w:val="center"/>
              <w:rPr>
                <w:rFonts w:ascii="宋体" w:hAnsi="宋体" w:cs="宋体"/>
                <w:kern w:val="0"/>
                <w:sz w:val="24"/>
              </w:rPr>
            </w:pPr>
            <w:r>
              <w:rPr>
                <w:rFonts w:hint="eastAsia" w:ascii="宋体" w:hAnsi="宋体" w:cs="宋体"/>
                <w:kern w:val="0"/>
                <w:sz w:val="24"/>
              </w:rPr>
              <w:t>报价文件技术参数</w:t>
            </w:r>
          </w:p>
        </w:tc>
        <w:tc>
          <w:tcPr>
            <w:tcW w:w="1134" w:type="dxa"/>
            <w:vAlign w:val="center"/>
          </w:tcPr>
          <w:p>
            <w:pPr>
              <w:jc w:val="center"/>
              <w:rPr>
                <w:rFonts w:ascii="宋体" w:hAnsi="宋体" w:cs="宋体"/>
                <w:kern w:val="0"/>
                <w:sz w:val="24"/>
              </w:rPr>
            </w:pPr>
            <w:r>
              <w:rPr>
                <w:rFonts w:hint="eastAsia" w:ascii="宋体" w:hAnsi="宋体" w:cs="宋体"/>
                <w:kern w:val="0"/>
                <w:sz w:val="24"/>
              </w:rPr>
              <w:t>偏离值</w:t>
            </w:r>
          </w:p>
        </w:tc>
        <w:tc>
          <w:tcPr>
            <w:tcW w:w="851" w:type="dxa"/>
            <w:vAlign w:val="center"/>
          </w:tcPr>
          <w:p>
            <w:pPr>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pPr>
              <w:rPr>
                <w:rFonts w:ascii="宋体"/>
                <w:sz w:val="28"/>
                <w:szCs w:val="28"/>
              </w:rPr>
            </w:pPr>
          </w:p>
        </w:tc>
        <w:tc>
          <w:tcPr>
            <w:tcW w:w="1227" w:type="dxa"/>
          </w:tcPr>
          <w:p>
            <w:pPr>
              <w:rPr>
                <w:rFonts w:ascii="宋体"/>
                <w:sz w:val="28"/>
                <w:szCs w:val="28"/>
              </w:rPr>
            </w:pPr>
          </w:p>
        </w:tc>
        <w:tc>
          <w:tcPr>
            <w:tcW w:w="1276" w:type="dxa"/>
          </w:tcPr>
          <w:p>
            <w:pPr>
              <w:rPr>
                <w:rFonts w:ascii="宋体"/>
                <w:sz w:val="28"/>
                <w:szCs w:val="28"/>
              </w:rPr>
            </w:pPr>
          </w:p>
        </w:tc>
        <w:tc>
          <w:tcPr>
            <w:tcW w:w="1280" w:type="dxa"/>
          </w:tcPr>
          <w:p>
            <w:pPr>
              <w:rPr>
                <w:rFonts w:ascii="宋体"/>
                <w:sz w:val="28"/>
                <w:szCs w:val="28"/>
              </w:rPr>
            </w:pPr>
          </w:p>
        </w:tc>
        <w:tc>
          <w:tcPr>
            <w:tcW w:w="1275" w:type="dxa"/>
          </w:tcPr>
          <w:p>
            <w:pPr>
              <w:rPr>
                <w:rFonts w:ascii="宋体"/>
                <w:sz w:val="28"/>
                <w:szCs w:val="28"/>
              </w:rPr>
            </w:pPr>
          </w:p>
        </w:tc>
        <w:tc>
          <w:tcPr>
            <w:tcW w:w="1134" w:type="dxa"/>
          </w:tcPr>
          <w:p>
            <w:pPr>
              <w:rPr>
                <w:rFonts w:ascii="宋体"/>
                <w:sz w:val="28"/>
                <w:szCs w:val="28"/>
              </w:rPr>
            </w:pPr>
          </w:p>
        </w:tc>
        <w:tc>
          <w:tcPr>
            <w:tcW w:w="851" w:type="dxa"/>
          </w:tcPr>
          <w:p>
            <w:pPr>
              <w:rPr>
                <w:rFonts w:ascii="宋体"/>
                <w:sz w:val="28"/>
                <w:szCs w:val="28"/>
              </w:rPr>
            </w:pPr>
          </w:p>
        </w:tc>
      </w:tr>
    </w:tbl>
    <w:p>
      <w:pPr>
        <w:rPr>
          <w:rFonts w:ascii="宋体"/>
          <w:sz w:val="28"/>
          <w:szCs w:val="28"/>
        </w:rPr>
      </w:pPr>
      <w:r>
        <w:rPr>
          <w:rFonts w:hint="eastAsia" w:ascii="宋体"/>
          <w:sz w:val="24"/>
        </w:rPr>
        <w:t>注：偏离值应填写无偏离、正偏离或负偏离；</w:t>
      </w:r>
    </w:p>
    <w:p>
      <w:pPr>
        <w:numPr>
          <w:ilvl w:val="0"/>
          <w:numId w:val="12"/>
        </w:numPr>
        <w:jc w:val="center"/>
        <w:rPr>
          <w:rFonts w:hint="eastAsia" w:ascii="宋体" w:hAnsi="宋体"/>
          <w:b/>
          <w:sz w:val="28"/>
          <w:szCs w:val="28"/>
        </w:rPr>
      </w:pPr>
      <w:r>
        <w:rPr>
          <w:rFonts w:hint="eastAsia" w:ascii="宋体" w:hAnsi="宋体"/>
          <w:b/>
          <w:sz w:val="28"/>
          <w:szCs w:val="28"/>
        </w:rPr>
        <w:t>投标人资格证明文件</w:t>
      </w:r>
    </w:p>
    <w:p>
      <w:pPr>
        <w:numPr>
          <w:ilvl w:val="0"/>
          <w:numId w:val="0"/>
        </w:numPr>
        <w:jc w:val="both"/>
        <w:rPr>
          <w:rFonts w:hint="eastAsia" w:ascii="宋体" w:hAnsi="宋体"/>
          <w:b/>
          <w:sz w:val="28"/>
          <w:szCs w:val="28"/>
        </w:rPr>
      </w:pPr>
    </w:p>
    <w:p>
      <w:pPr>
        <w:widowControl/>
        <w:spacing w:line="400" w:lineRule="exact"/>
        <w:ind w:firstLine="361" w:firstLineChars="150"/>
        <w:jc w:val="left"/>
        <w:rPr>
          <w:rFonts w:asci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cs="宋体"/>
          <w:kern w:val="0"/>
          <w:sz w:val="24"/>
        </w:rPr>
      </w:pPr>
      <w:r>
        <w:rPr>
          <w:rFonts w:hint="eastAsia" w:ascii="宋体" w:hAnsi="宋体" w:cs="宋体"/>
          <w:kern w:val="0"/>
          <w:sz w:val="24"/>
        </w:rPr>
        <w:t>基本情况说明</w:t>
      </w:r>
    </w:p>
    <w:p>
      <w:pPr>
        <w:widowControl/>
        <w:spacing w:line="400" w:lineRule="exact"/>
        <w:ind w:firstLine="360" w:firstLineChars="150"/>
        <w:jc w:val="left"/>
        <w:rPr>
          <w:rFonts w:asci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p>
    <w:p>
      <w:pPr>
        <w:widowControl/>
        <w:spacing w:line="400" w:lineRule="exact"/>
        <w:ind w:firstLine="360" w:firstLineChars="150"/>
        <w:jc w:val="left"/>
        <w:rPr>
          <w:rFonts w:ascii="宋体" w:cs="宋体"/>
          <w:kern w:val="0"/>
          <w:sz w:val="24"/>
        </w:rPr>
      </w:pPr>
      <w:r>
        <w:rPr>
          <w:rFonts w:hint="eastAsia" w:ascii="宋体" w:hAnsi="宋体" w:cs="宋体"/>
          <w:kern w:val="0"/>
          <w:sz w:val="24"/>
        </w:rPr>
        <w:t>⑵开户银行名称及地址</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⑶投标人负责本项目弱电专业项目经理证书复印件</w:t>
      </w:r>
    </w:p>
    <w:p>
      <w:pPr>
        <w:autoSpaceDE w:val="0"/>
        <w:autoSpaceDN w:val="0"/>
        <w:adjustRightInd w:val="0"/>
        <w:spacing w:line="400" w:lineRule="exact"/>
        <w:ind w:firstLine="360" w:firstLineChars="150"/>
        <w:rPr>
          <w:rFonts w:ascii="宋体" w:cs="宋体"/>
          <w:kern w:val="0"/>
          <w:sz w:val="24"/>
        </w:rPr>
      </w:pPr>
      <w:r>
        <w:rPr>
          <w:rFonts w:hint="eastAsia"/>
          <w:sz w:val="24"/>
        </w:rPr>
        <w:t>⑷</w:t>
      </w:r>
      <w:r>
        <w:rPr>
          <w:rFonts w:hint="eastAsia" w:ascii="宋体" w:hAnsi="宋体" w:cs="宋体"/>
          <w:kern w:val="0"/>
          <w:sz w:val="24"/>
        </w:rPr>
        <w:t>投标人需要说明的其它情况</w:t>
      </w:r>
    </w:p>
    <w:p>
      <w:pPr>
        <w:autoSpaceDE w:val="0"/>
        <w:autoSpaceDN w:val="0"/>
        <w:adjustRightInd w:val="0"/>
        <w:spacing w:line="400" w:lineRule="exact"/>
        <w:ind w:firstLine="360" w:firstLineChars="150"/>
        <w:rPr>
          <w:rFonts w:ascii="宋体" w:cs="宋体"/>
          <w:kern w:val="0"/>
          <w:sz w:val="24"/>
        </w:rPr>
      </w:pPr>
    </w:p>
    <w:p>
      <w:pPr>
        <w:autoSpaceDE w:val="0"/>
        <w:autoSpaceDN w:val="0"/>
        <w:adjustRightInd w:val="0"/>
        <w:spacing w:line="400" w:lineRule="exact"/>
        <w:ind w:firstLine="360" w:firstLineChars="150"/>
        <w:rPr>
          <w:rFonts w:ascii="宋体" w:cs="宋体"/>
          <w:kern w:val="0"/>
          <w:sz w:val="24"/>
        </w:rPr>
      </w:pPr>
    </w:p>
    <w:p>
      <w:pPr>
        <w:autoSpaceDE w:val="0"/>
        <w:autoSpaceDN w:val="0"/>
        <w:adjustRightInd w:val="0"/>
        <w:spacing w:line="400" w:lineRule="exact"/>
        <w:rPr>
          <w:rFonts w:ascii="宋体" w:cs="宋体"/>
          <w:kern w:val="0"/>
          <w:sz w:val="24"/>
        </w:rPr>
      </w:pPr>
    </w:p>
    <w:p>
      <w:pPr>
        <w:autoSpaceDE w:val="0"/>
        <w:autoSpaceDN w:val="0"/>
        <w:adjustRightInd w:val="0"/>
        <w:spacing w:line="400" w:lineRule="exact"/>
        <w:ind w:firstLine="360" w:firstLineChars="150"/>
        <w:rPr>
          <w:rFonts w:ascii="宋体" w:cs="宋体"/>
          <w:kern w:val="0"/>
          <w:sz w:val="24"/>
        </w:rPr>
      </w:pPr>
    </w:p>
    <w:p>
      <w:pPr>
        <w:jc w:val="center"/>
        <w:rPr>
          <w:rFonts w:ascii="宋体" w:hAnsi="宋体"/>
          <w:b/>
          <w:sz w:val="28"/>
          <w:szCs w:val="28"/>
        </w:rPr>
      </w:pPr>
      <w:r>
        <w:rPr>
          <w:rFonts w:hint="eastAsia" w:ascii="宋体" w:hAnsi="宋体"/>
          <w:b/>
          <w:sz w:val="28"/>
          <w:szCs w:val="28"/>
        </w:rPr>
        <w:t>七、投标保证金退还申请书</w:t>
      </w:r>
    </w:p>
    <w:p>
      <w:pPr>
        <w:spacing w:beforeLines="150" w:afterLines="100"/>
        <w:rPr>
          <w:rFonts w:ascii="宋体" w:cs="宋体"/>
          <w:sz w:val="24"/>
        </w:rPr>
      </w:pPr>
      <w:r>
        <w:rPr>
          <w:rFonts w:hint="eastAsia" w:ascii="宋体" w:hAnsi="宋体" w:cs="宋体"/>
          <w:kern w:val="0"/>
          <w:sz w:val="24"/>
          <w:lang w:val="zh-CN"/>
        </w:rPr>
        <w:t>合肥百货大楼集团铜陵合百商厦有限责任公司</w:t>
      </w:r>
    </w:p>
    <w:p>
      <w:pPr>
        <w:ind w:firstLine="460" w:firstLineChars="192"/>
        <w:rPr>
          <w:rFonts w:ascii="宋体" w:cs="宋体"/>
          <w:sz w:val="24"/>
        </w:rPr>
      </w:pPr>
      <w:r>
        <w:rPr>
          <w:rFonts w:hint="eastAsia" w:ascii="宋体" w:hAnsi="宋体" w:cs="宋体"/>
          <w:sz w:val="24"/>
        </w:rPr>
        <w:t>我公司于</w:t>
      </w:r>
      <w:r>
        <w:rPr>
          <w:rFonts w:ascii="宋体" w:hAnsi="宋体" w:cs="宋体"/>
          <w:sz w:val="24"/>
          <w:u w:val="single"/>
        </w:rPr>
        <w:t>20</w:t>
      </w:r>
      <w:r>
        <w:rPr>
          <w:rFonts w:hint="eastAsia" w:ascii="宋体" w:hAnsi="宋体" w:cs="宋体"/>
          <w:sz w:val="24"/>
          <w:u w:val="single"/>
        </w:rPr>
        <w:t>2</w:t>
      </w:r>
      <w:r>
        <w:rPr>
          <w:rFonts w:hint="eastAsia" w:ascii="宋体" w:hAnsi="宋体" w:cs="宋体"/>
          <w:sz w:val="24"/>
          <w:u w:val="single"/>
          <w:lang w:val="en-US" w:eastAsia="zh-CN"/>
        </w:rPr>
        <w:t>1</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参加项目招投标，交纳保证金</w:t>
      </w:r>
      <w:r>
        <w:rPr>
          <w:rFonts w:hint="eastAsia" w:ascii="宋体" w:hAnsi="宋体" w:cs="宋体"/>
          <w:sz w:val="24"/>
          <w:u w:val="single"/>
          <w:lang w:val="en-US" w:eastAsia="zh-CN"/>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cs="宋体"/>
          <w:sz w:val="24"/>
        </w:rPr>
      </w:pPr>
      <w:r>
        <w:rPr>
          <w:rFonts w:hint="eastAsia" w:ascii="宋体" w:hAnsi="宋体" w:cs="宋体"/>
          <w:sz w:val="24"/>
        </w:rPr>
        <w:t>请予办理。</w:t>
      </w:r>
    </w:p>
    <w:p>
      <w:pPr>
        <w:ind w:firstLine="460" w:firstLineChars="192"/>
        <w:rPr>
          <w:rFonts w:ascii="宋体" w:cs="宋体"/>
          <w:sz w:val="24"/>
        </w:rPr>
      </w:pPr>
    </w:p>
    <w:p>
      <w:pPr>
        <w:ind w:firstLine="460" w:firstLineChars="192"/>
        <w:rPr>
          <w:rFonts w:ascii="宋体" w:cs="宋体"/>
          <w:sz w:val="24"/>
        </w:rPr>
      </w:pPr>
      <w:r>
        <w:rPr>
          <w:rFonts w:hint="eastAsia" w:ascii="宋体" w:hAnsi="宋体" w:cs="宋体"/>
          <w:sz w:val="24"/>
        </w:rPr>
        <w:t>户名：</w:t>
      </w:r>
    </w:p>
    <w:p>
      <w:pPr>
        <w:ind w:firstLine="460" w:firstLineChars="192"/>
        <w:rPr>
          <w:rFonts w:ascii="宋体" w:cs="宋体"/>
          <w:sz w:val="24"/>
        </w:rPr>
      </w:pPr>
      <w:r>
        <w:rPr>
          <w:rFonts w:hint="eastAsia" w:ascii="宋体" w:hAnsi="宋体" w:cs="宋体"/>
          <w:sz w:val="24"/>
        </w:rPr>
        <w:t>开户银行：</w:t>
      </w:r>
    </w:p>
    <w:p>
      <w:pPr>
        <w:ind w:firstLine="460" w:firstLineChars="192"/>
        <w:rPr>
          <w:rFonts w:ascii="宋体" w:cs="宋体"/>
          <w:sz w:val="24"/>
        </w:rPr>
      </w:pPr>
      <w:r>
        <w:rPr>
          <w:rFonts w:hint="eastAsia" w:ascii="宋体" w:hAnsi="宋体" w:cs="宋体"/>
          <w:sz w:val="24"/>
        </w:rPr>
        <w:t>帐号：</w:t>
      </w:r>
    </w:p>
    <w:p>
      <w:pPr>
        <w:ind w:firstLine="460" w:firstLineChars="192"/>
        <w:rPr>
          <w:rFonts w:ascii="宋体" w:cs="宋体"/>
          <w:sz w:val="24"/>
        </w:rPr>
      </w:pPr>
      <w:r>
        <w:rPr>
          <w:rFonts w:hint="eastAsia" w:ascii="宋体" w:hAnsi="宋体" w:cs="宋体"/>
          <w:sz w:val="24"/>
        </w:rPr>
        <w:t>联系电话：</w:t>
      </w:r>
    </w:p>
    <w:tbl>
      <w:tblPr>
        <w:tblStyle w:val="24"/>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854" w:type="dxa"/>
          </w:tcPr>
          <w:p>
            <w:pPr>
              <w:jc w:val="center"/>
              <w:rPr>
                <w:rFonts w:ascii="宋体" w:hAnsi="宋体" w:cs="宋体"/>
                <w:sz w:val="24"/>
              </w:rPr>
            </w:pPr>
          </w:p>
          <w:p>
            <w:pPr>
              <w:jc w:val="center"/>
              <w:rPr>
                <w:rFonts w:ascii="宋体" w:hAnsi="宋体" w:cs="宋体"/>
                <w:sz w:val="24"/>
              </w:rPr>
            </w:pPr>
          </w:p>
          <w:p>
            <w:pPr>
              <w:jc w:val="center"/>
              <w:rPr>
                <w:rFonts w:ascii="宋体" w:cs="宋体"/>
                <w:sz w:val="24"/>
              </w:rPr>
            </w:pPr>
            <w:r>
              <w:rPr>
                <w:rFonts w:hint="eastAsia" w:ascii="宋体" w:hAnsi="宋体" w:cs="宋体"/>
                <w:sz w:val="24"/>
              </w:rPr>
              <w:t>此处提供转账单复印件</w:t>
            </w:r>
          </w:p>
        </w:tc>
      </w:tr>
    </w:tbl>
    <w:p>
      <w:pPr>
        <w:rPr>
          <w:rFonts w:ascii="宋体" w:cs="宋体"/>
          <w:sz w:val="24"/>
        </w:rPr>
      </w:pPr>
    </w:p>
    <w:p>
      <w:pPr>
        <w:rPr>
          <w:rFonts w:ascii="宋体" w:cs="宋体"/>
          <w:sz w:val="24"/>
        </w:rPr>
      </w:pPr>
    </w:p>
    <w:p>
      <w:pPr>
        <w:ind w:firstLine="5673" w:firstLineChars="2364"/>
        <w:rPr>
          <w:rFonts w:ascii="宋体" w:cs="宋体"/>
          <w:sz w:val="24"/>
        </w:rPr>
      </w:pPr>
      <w:r>
        <w:rPr>
          <w:rFonts w:hint="eastAsia" w:ascii="宋体" w:hAnsi="宋体" w:cs="宋体"/>
          <w:sz w:val="24"/>
        </w:rPr>
        <w:t>投标人：</w:t>
      </w:r>
    </w:p>
    <w:p>
      <w:pPr>
        <w:ind w:firstLine="5640" w:firstLineChars="2350"/>
        <w:rPr>
          <w:rFonts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ind w:firstLine="5160" w:firstLineChars="2150"/>
        <w:rPr>
          <w:rFonts w:ascii="宋体" w:hAnsi="宋体" w:cs="宋体"/>
          <w:sz w:val="24"/>
        </w:rPr>
      </w:pPr>
    </w:p>
    <w:p>
      <w:pPr>
        <w:ind w:firstLine="5160" w:firstLineChars="2150"/>
        <w:rPr>
          <w:rFonts w:ascii="宋体" w:hAnsi="宋体" w:cs="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宋体-18030">
    <w:altName w:val="宋体"/>
    <w:panose1 w:val="00000000000000000000"/>
    <w:charset w:val="7A"/>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b/>
      </w:rPr>
      <w:fldChar w:fldCharType="begin"/>
    </w:r>
    <w:r>
      <w:rPr>
        <w:b/>
      </w:rPr>
      <w:instrText xml:space="preserve">PAGE</w:instrText>
    </w:r>
    <w:r>
      <w:rPr>
        <w:b/>
      </w:rPr>
      <w:fldChar w:fldCharType="separate"/>
    </w:r>
    <w:r>
      <w:rPr>
        <w:b/>
      </w:rPr>
      <w:t>24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33</w:t>
    </w:r>
    <w:r>
      <w:rPr>
        <w:b/>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129A4"/>
    <w:multiLevelType w:val="singleLevel"/>
    <w:tmpl w:val="988129A4"/>
    <w:lvl w:ilvl="0" w:tentative="0">
      <w:start w:val="6"/>
      <w:numFmt w:val="chineseCounting"/>
      <w:suff w:val="nothing"/>
      <w:lvlText w:val="%1、"/>
      <w:lvlJc w:val="left"/>
      <w:rPr>
        <w:rFonts w:hint="eastAsia"/>
      </w:rPr>
    </w:lvl>
  </w:abstractNum>
  <w:abstractNum w:abstractNumId="1">
    <w:nsid w:val="EEBCB89B"/>
    <w:multiLevelType w:val="singleLevel"/>
    <w:tmpl w:val="EEBCB89B"/>
    <w:lvl w:ilvl="0" w:tentative="0">
      <w:start w:val="4"/>
      <w:numFmt w:val="chineseCounting"/>
      <w:suff w:val="nothing"/>
      <w:lvlText w:val="%1、"/>
      <w:lvlJc w:val="left"/>
      <w:rPr>
        <w:rFonts w:hint="eastAsia"/>
      </w:rPr>
    </w:lvl>
  </w:abstractNum>
  <w:abstractNum w:abstractNumId="2">
    <w:nsid w:val="058D2015"/>
    <w:multiLevelType w:val="multilevel"/>
    <w:tmpl w:val="058D2015"/>
    <w:lvl w:ilvl="0" w:tentative="0">
      <w:start w:val="1"/>
      <w:numFmt w:val="decimalEnclosedParen"/>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0957635E"/>
    <w:multiLevelType w:val="singleLevel"/>
    <w:tmpl w:val="0957635E"/>
    <w:lvl w:ilvl="0" w:tentative="0">
      <w:start w:val="3"/>
      <w:numFmt w:val="chineseCounting"/>
      <w:suff w:val="space"/>
      <w:lvlText w:val="第%1章"/>
      <w:lvlJc w:val="left"/>
      <w:rPr>
        <w:rFonts w:hint="eastAsia"/>
      </w:rPr>
    </w:lvl>
  </w:abstractNum>
  <w:abstractNum w:abstractNumId="4">
    <w:nsid w:val="1A9D35FD"/>
    <w:multiLevelType w:val="multilevel"/>
    <w:tmpl w:val="1A9D35F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E8ACF94"/>
    <w:multiLevelType w:val="singleLevel"/>
    <w:tmpl w:val="2E8ACF94"/>
    <w:lvl w:ilvl="0" w:tentative="0">
      <w:start w:val="1"/>
      <w:numFmt w:val="decimal"/>
      <w:lvlText w:val="%1."/>
      <w:lvlJc w:val="left"/>
      <w:pPr>
        <w:tabs>
          <w:tab w:val="left" w:pos="312"/>
        </w:tabs>
      </w:pPr>
    </w:lvl>
  </w:abstractNum>
  <w:abstractNum w:abstractNumId="6">
    <w:nsid w:val="3C00FF19"/>
    <w:multiLevelType w:val="singleLevel"/>
    <w:tmpl w:val="3C00FF19"/>
    <w:lvl w:ilvl="0" w:tentative="0">
      <w:start w:val="5"/>
      <w:numFmt w:val="chineseCounting"/>
      <w:suff w:val="nothing"/>
      <w:lvlText w:val="%1、"/>
      <w:lvlJc w:val="left"/>
      <w:rPr>
        <w:rFonts w:hint="eastAsia"/>
      </w:rPr>
    </w:lvl>
  </w:abstractNum>
  <w:abstractNum w:abstractNumId="7">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8">
    <w:nsid w:val="45D717F6"/>
    <w:multiLevelType w:val="multilevel"/>
    <w:tmpl w:val="45D717F6"/>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EE039A9"/>
    <w:multiLevelType w:val="multilevel"/>
    <w:tmpl w:val="4EE039A9"/>
    <w:lvl w:ilvl="0" w:tentative="0">
      <w:start w:val="3"/>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6F7873D"/>
    <w:multiLevelType w:val="singleLevel"/>
    <w:tmpl w:val="56F7873D"/>
    <w:lvl w:ilvl="0" w:tentative="0">
      <w:start w:val="5"/>
      <w:numFmt w:val="chineseCounting"/>
      <w:suff w:val="nothing"/>
      <w:lvlText w:val="%1、"/>
      <w:lvlJc w:val="left"/>
      <w:rPr>
        <w:rFonts w:hint="eastAsia"/>
      </w:rPr>
    </w:lvl>
  </w:abstractNum>
  <w:abstractNum w:abstractNumId="11">
    <w:nsid w:val="71440E20"/>
    <w:multiLevelType w:val="multilevel"/>
    <w:tmpl w:val="71440E2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3"/>
  </w:num>
  <w:num w:numId="4">
    <w:abstractNumId w:val="10"/>
  </w:num>
  <w:num w:numId="5">
    <w:abstractNumId w:val="5"/>
  </w:num>
  <w:num w:numId="6">
    <w:abstractNumId w:val="11"/>
  </w:num>
  <w:num w:numId="7">
    <w:abstractNumId w:val="8"/>
  </w:num>
  <w:num w:numId="8">
    <w:abstractNumId w:val="4"/>
  </w:num>
  <w:num w:numId="9">
    <w:abstractNumId w:val="9"/>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A7"/>
    <w:rsid w:val="000042E0"/>
    <w:rsid w:val="000044D8"/>
    <w:rsid w:val="00004DDB"/>
    <w:rsid w:val="00005997"/>
    <w:rsid w:val="00006B7E"/>
    <w:rsid w:val="00006C6E"/>
    <w:rsid w:val="000074B0"/>
    <w:rsid w:val="00010828"/>
    <w:rsid w:val="00012042"/>
    <w:rsid w:val="00013014"/>
    <w:rsid w:val="000131F7"/>
    <w:rsid w:val="00015031"/>
    <w:rsid w:val="0001677F"/>
    <w:rsid w:val="000202E0"/>
    <w:rsid w:val="00032554"/>
    <w:rsid w:val="0003375B"/>
    <w:rsid w:val="00034475"/>
    <w:rsid w:val="00035F5C"/>
    <w:rsid w:val="00036347"/>
    <w:rsid w:val="00042824"/>
    <w:rsid w:val="0004327D"/>
    <w:rsid w:val="0004337A"/>
    <w:rsid w:val="000454BF"/>
    <w:rsid w:val="000475D7"/>
    <w:rsid w:val="00052731"/>
    <w:rsid w:val="00052D08"/>
    <w:rsid w:val="00055F55"/>
    <w:rsid w:val="00056E4E"/>
    <w:rsid w:val="000574D5"/>
    <w:rsid w:val="00060339"/>
    <w:rsid w:val="0006173C"/>
    <w:rsid w:val="00062B70"/>
    <w:rsid w:val="00070C4E"/>
    <w:rsid w:val="0007450C"/>
    <w:rsid w:val="00074B2A"/>
    <w:rsid w:val="00075D1F"/>
    <w:rsid w:val="00075DD8"/>
    <w:rsid w:val="000769E4"/>
    <w:rsid w:val="0007766A"/>
    <w:rsid w:val="00080DF5"/>
    <w:rsid w:val="00082A8D"/>
    <w:rsid w:val="00083A5C"/>
    <w:rsid w:val="00086F6C"/>
    <w:rsid w:val="00087C56"/>
    <w:rsid w:val="0009161A"/>
    <w:rsid w:val="00091AD5"/>
    <w:rsid w:val="00092C71"/>
    <w:rsid w:val="000939EB"/>
    <w:rsid w:val="000953E9"/>
    <w:rsid w:val="00096CEC"/>
    <w:rsid w:val="000A22D7"/>
    <w:rsid w:val="000A7700"/>
    <w:rsid w:val="000B0E44"/>
    <w:rsid w:val="000B44A8"/>
    <w:rsid w:val="000B5D8D"/>
    <w:rsid w:val="000B79DE"/>
    <w:rsid w:val="000C0CDB"/>
    <w:rsid w:val="000C3A2E"/>
    <w:rsid w:val="000C4C50"/>
    <w:rsid w:val="000C5BE8"/>
    <w:rsid w:val="000C6814"/>
    <w:rsid w:val="000C6D4C"/>
    <w:rsid w:val="000D3AB8"/>
    <w:rsid w:val="000D4259"/>
    <w:rsid w:val="000D4ACF"/>
    <w:rsid w:val="000D6F52"/>
    <w:rsid w:val="000D7693"/>
    <w:rsid w:val="000E13A3"/>
    <w:rsid w:val="000E436E"/>
    <w:rsid w:val="00105A65"/>
    <w:rsid w:val="001066BC"/>
    <w:rsid w:val="001070A3"/>
    <w:rsid w:val="00107138"/>
    <w:rsid w:val="00107706"/>
    <w:rsid w:val="00107CD0"/>
    <w:rsid w:val="001139EB"/>
    <w:rsid w:val="00117391"/>
    <w:rsid w:val="0012314F"/>
    <w:rsid w:val="00124FA2"/>
    <w:rsid w:val="00132262"/>
    <w:rsid w:val="00134315"/>
    <w:rsid w:val="00135D0C"/>
    <w:rsid w:val="001365ED"/>
    <w:rsid w:val="00144846"/>
    <w:rsid w:val="001450F0"/>
    <w:rsid w:val="00147067"/>
    <w:rsid w:val="00147FA1"/>
    <w:rsid w:val="00152F05"/>
    <w:rsid w:val="00153B19"/>
    <w:rsid w:val="00154F93"/>
    <w:rsid w:val="0015517C"/>
    <w:rsid w:val="00156702"/>
    <w:rsid w:val="00165084"/>
    <w:rsid w:val="00165953"/>
    <w:rsid w:val="00170022"/>
    <w:rsid w:val="00172858"/>
    <w:rsid w:val="0017472E"/>
    <w:rsid w:val="00177707"/>
    <w:rsid w:val="00181E12"/>
    <w:rsid w:val="00185DDE"/>
    <w:rsid w:val="001878B0"/>
    <w:rsid w:val="00190435"/>
    <w:rsid w:val="00191874"/>
    <w:rsid w:val="001919AD"/>
    <w:rsid w:val="00193267"/>
    <w:rsid w:val="001A021B"/>
    <w:rsid w:val="001A3042"/>
    <w:rsid w:val="001A7B5F"/>
    <w:rsid w:val="001B12DB"/>
    <w:rsid w:val="001B2D25"/>
    <w:rsid w:val="001B2D4E"/>
    <w:rsid w:val="001B331D"/>
    <w:rsid w:val="001B65E3"/>
    <w:rsid w:val="001B70BB"/>
    <w:rsid w:val="001B7AB9"/>
    <w:rsid w:val="001C2E85"/>
    <w:rsid w:val="001C3C43"/>
    <w:rsid w:val="001C4725"/>
    <w:rsid w:val="001D090E"/>
    <w:rsid w:val="001D3C5A"/>
    <w:rsid w:val="001D64FD"/>
    <w:rsid w:val="001D6721"/>
    <w:rsid w:val="001D7451"/>
    <w:rsid w:val="001E1756"/>
    <w:rsid w:val="001E260E"/>
    <w:rsid w:val="001E3301"/>
    <w:rsid w:val="001E7B7B"/>
    <w:rsid w:val="001F311A"/>
    <w:rsid w:val="001F4870"/>
    <w:rsid w:val="001F49E3"/>
    <w:rsid w:val="00207235"/>
    <w:rsid w:val="00210437"/>
    <w:rsid w:val="002109DA"/>
    <w:rsid w:val="00210A5D"/>
    <w:rsid w:val="00212663"/>
    <w:rsid w:val="00221174"/>
    <w:rsid w:val="00221BB4"/>
    <w:rsid w:val="0022671A"/>
    <w:rsid w:val="002268E0"/>
    <w:rsid w:val="00226CB4"/>
    <w:rsid w:val="00230FE7"/>
    <w:rsid w:val="00231DAA"/>
    <w:rsid w:val="00235F0B"/>
    <w:rsid w:val="0023688C"/>
    <w:rsid w:val="00241B74"/>
    <w:rsid w:val="002449C9"/>
    <w:rsid w:val="00246FC9"/>
    <w:rsid w:val="002474AC"/>
    <w:rsid w:val="002477DB"/>
    <w:rsid w:val="00247B74"/>
    <w:rsid w:val="00247C44"/>
    <w:rsid w:val="00250D1F"/>
    <w:rsid w:val="00251C85"/>
    <w:rsid w:val="002530D1"/>
    <w:rsid w:val="002541CC"/>
    <w:rsid w:val="00260719"/>
    <w:rsid w:val="0026186F"/>
    <w:rsid w:val="002630BC"/>
    <w:rsid w:val="00263E36"/>
    <w:rsid w:val="002734FA"/>
    <w:rsid w:val="00274514"/>
    <w:rsid w:val="00277753"/>
    <w:rsid w:val="00280E8C"/>
    <w:rsid w:val="00281368"/>
    <w:rsid w:val="002818B9"/>
    <w:rsid w:val="00283E02"/>
    <w:rsid w:val="002840B1"/>
    <w:rsid w:val="0028600F"/>
    <w:rsid w:val="00290F4D"/>
    <w:rsid w:val="002912AD"/>
    <w:rsid w:val="0029179A"/>
    <w:rsid w:val="00291ADB"/>
    <w:rsid w:val="00294271"/>
    <w:rsid w:val="0029622D"/>
    <w:rsid w:val="00297219"/>
    <w:rsid w:val="002A2B9B"/>
    <w:rsid w:val="002A5040"/>
    <w:rsid w:val="002A72FD"/>
    <w:rsid w:val="002A7E78"/>
    <w:rsid w:val="002B0899"/>
    <w:rsid w:val="002B23C5"/>
    <w:rsid w:val="002B5029"/>
    <w:rsid w:val="002B552A"/>
    <w:rsid w:val="002B7240"/>
    <w:rsid w:val="002C029E"/>
    <w:rsid w:val="002C2837"/>
    <w:rsid w:val="002C3193"/>
    <w:rsid w:val="002C4E2C"/>
    <w:rsid w:val="002C510E"/>
    <w:rsid w:val="002C591E"/>
    <w:rsid w:val="002C6312"/>
    <w:rsid w:val="002D0215"/>
    <w:rsid w:val="002D1C2E"/>
    <w:rsid w:val="002D1C4D"/>
    <w:rsid w:val="002D49B4"/>
    <w:rsid w:val="002D5A14"/>
    <w:rsid w:val="002D7DD5"/>
    <w:rsid w:val="002E7102"/>
    <w:rsid w:val="002F0F8A"/>
    <w:rsid w:val="002F31F2"/>
    <w:rsid w:val="002F63FE"/>
    <w:rsid w:val="0030146A"/>
    <w:rsid w:val="00302B0D"/>
    <w:rsid w:val="0030381C"/>
    <w:rsid w:val="0030645A"/>
    <w:rsid w:val="00316173"/>
    <w:rsid w:val="0031729F"/>
    <w:rsid w:val="00317ED7"/>
    <w:rsid w:val="00320767"/>
    <w:rsid w:val="00322B33"/>
    <w:rsid w:val="00327582"/>
    <w:rsid w:val="00331B0E"/>
    <w:rsid w:val="00334345"/>
    <w:rsid w:val="00334BC1"/>
    <w:rsid w:val="00335380"/>
    <w:rsid w:val="003378A5"/>
    <w:rsid w:val="003406C1"/>
    <w:rsid w:val="00341780"/>
    <w:rsid w:val="00344A65"/>
    <w:rsid w:val="00345E9B"/>
    <w:rsid w:val="00346E54"/>
    <w:rsid w:val="003514E0"/>
    <w:rsid w:val="00351C3F"/>
    <w:rsid w:val="0035311B"/>
    <w:rsid w:val="00355671"/>
    <w:rsid w:val="00361171"/>
    <w:rsid w:val="00361BF0"/>
    <w:rsid w:val="00362D0D"/>
    <w:rsid w:val="00363EBF"/>
    <w:rsid w:val="00364DD1"/>
    <w:rsid w:val="003659D9"/>
    <w:rsid w:val="00367DB5"/>
    <w:rsid w:val="003701EB"/>
    <w:rsid w:val="00370D3D"/>
    <w:rsid w:val="0037712B"/>
    <w:rsid w:val="003821C8"/>
    <w:rsid w:val="00384B3E"/>
    <w:rsid w:val="003872AE"/>
    <w:rsid w:val="00390504"/>
    <w:rsid w:val="00391B47"/>
    <w:rsid w:val="003921B7"/>
    <w:rsid w:val="0039320C"/>
    <w:rsid w:val="00393E65"/>
    <w:rsid w:val="00395684"/>
    <w:rsid w:val="00395D97"/>
    <w:rsid w:val="00396502"/>
    <w:rsid w:val="00396E4F"/>
    <w:rsid w:val="003A1F40"/>
    <w:rsid w:val="003A22BB"/>
    <w:rsid w:val="003A44E4"/>
    <w:rsid w:val="003A4BF2"/>
    <w:rsid w:val="003A6A94"/>
    <w:rsid w:val="003A6C3F"/>
    <w:rsid w:val="003A6D2C"/>
    <w:rsid w:val="003A7480"/>
    <w:rsid w:val="003B0445"/>
    <w:rsid w:val="003B0A93"/>
    <w:rsid w:val="003B4C69"/>
    <w:rsid w:val="003B507A"/>
    <w:rsid w:val="003B55D4"/>
    <w:rsid w:val="003C0E64"/>
    <w:rsid w:val="003C1A24"/>
    <w:rsid w:val="003C382E"/>
    <w:rsid w:val="003C5FBD"/>
    <w:rsid w:val="003D0150"/>
    <w:rsid w:val="003D0A93"/>
    <w:rsid w:val="003D2E2F"/>
    <w:rsid w:val="003D550F"/>
    <w:rsid w:val="003E1199"/>
    <w:rsid w:val="003E155F"/>
    <w:rsid w:val="003E532C"/>
    <w:rsid w:val="003E6581"/>
    <w:rsid w:val="003E7368"/>
    <w:rsid w:val="003F0186"/>
    <w:rsid w:val="003F0DF4"/>
    <w:rsid w:val="003F0FD0"/>
    <w:rsid w:val="003F16C5"/>
    <w:rsid w:val="003F208D"/>
    <w:rsid w:val="003F6D47"/>
    <w:rsid w:val="003F6ED5"/>
    <w:rsid w:val="00400F89"/>
    <w:rsid w:val="00403738"/>
    <w:rsid w:val="00407850"/>
    <w:rsid w:val="00412AD1"/>
    <w:rsid w:val="00412DCE"/>
    <w:rsid w:val="00413502"/>
    <w:rsid w:val="00413AFD"/>
    <w:rsid w:val="004143F1"/>
    <w:rsid w:val="004144CA"/>
    <w:rsid w:val="0041633C"/>
    <w:rsid w:val="00417465"/>
    <w:rsid w:val="004208F8"/>
    <w:rsid w:val="00425F20"/>
    <w:rsid w:val="00427F5A"/>
    <w:rsid w:val="00432009"/>
    <w:rsid w:val="00432060"/>
    <w:rsid w:val="00432BDB"/>
    <w:rsid w:val="00433749"/>
    <w:rsid w:val="00433D43"/>
    <w:rsid w:val="004401D0"/>
    <w:rsid w:val="0044032D"/>
    <w:rsid w:val="004414C5"/>
    <w:rsid w:val="004416DF"/>
    <w:rsid w:val="00444765"/>
    <w:rsid w:val="00450C36"/>
    <w:rsid w:val="0045275C"/>
    <w:rsid w:val="00456A1F"/>
    <w:rsid w:val="0045731C"/>
    <w:rsid w:val="00461F96"/>
    <w:rsid w:val="004624EB"/>
    <w:rsid w:val="004641CF"/>
    <w:rsid w:val="0046799E"/>
    <w:rsid w:val="004721EB"/>
    <w:rsid w:val="00472A8A"/>
    <w:rsid w:val="004765EA"/>
    <w:rsid w:val="00477507"/>
    <w:rsid w:val="004775FF"/>
    <w:rsid w:val="0048471E"/>
    <w:rsid w:val="00484B46"/>
    <w:rsid w:val="00485681"/>
    <w:rsid w:val="00487048"/>
    <w:rsid w:val="004873D1"/>
    <w:rsid w:val="004946BE"/>
    <w:rsid w:val="00497DC2"/>
    <w:rsid w:val="004A038E"/>
    <w:rsid w:val="004A0F11"/>
    <w:rsid w:val="004A1A34"/>
    <w:rsid w:val="004A4AFB"/>
    <w:rsid w:val="004A6623"/>
    <w:rsid w:val="004B074E"/>
    <w:rsid w:val="004B3313"/>
    <w:rsid w:val="004B3FF4"/>
    <w:rsid w:val="004B40DB"/>
    <w:rsid w:val="004B5182"/>
    <w:rsid w:val="004B777F"/>
    <w:rsid w:val="004C119E"/>
    <w:rsid w:val="004C22F2"/>
    <w:rsid w:val="004C2492"/>
    <w:rsid w:val="004C299B"/>
    <w:rsid w:val="004C368C"/>
    <w:rsid w:val="004C5B6C"/>
    <w:rsid w:val="004C7050"/>
    <w:rsid w:val="004D220D"/>
    <w:rsid w:val="004D23E1"/>
    <w:rsid w:val="004D3109"/>
    <w:rsid w:val="004D4999"/>
    <w:rsid w:val="004D7124"/>
    <w:rsid w:val="004E3C04"/>
    <w:rsid w:val="004E3EE6"/>
    <w:rsid w:val="004E4DBF"/>
    <w:rsid w:val="004E77E3"/>
    <w:rsid w:val="004E7A79"/>
    <w:rsid w:val="004F33D4"/>
    <w:rsid w:val="004F4095"/>
    <w:rsid w:val="004F58C4"/>
    <w:rsid w:val="00500E72"/>
    <w:rsid w:val="005062D6"/>
    <w:rsid w:val="005067EF"/>
    <w:rsid w:val="005078C6"/>
    <w:rsid w:val="005102A2"/>
    <w:rsid w:val="00513BA8"/>
    <w:rsid w:val="00514890"/>
    <w:rsid w:val="00514D66"/>
    <w:rsid w:val="00516937"/>
    <w:rsid w:val="00517504"/>
    <w:rsid w:val="005206EE"/>
    <w:rsid w:val="00521C92"/>
    <w:rsid w:val="00525E42"/>
    <w:rsid w:val="005260C2"/>
    <w:rsid w:val="005317F5"/>
    <w:rsid w:val="00531EF2"/>
    <w:rsid w:val="0053303F"/>
    <w:rsid w:val="005336D0"/>
    <w:rsid w:val="00534EEE"/>
    <w:rsid w:val="005355EF"/>
    <w:rsid w:val="00537D38"/>
    <w:rsid w:val="005404E2"/>
    <w:rsid w:val="00540BF6"/>
    <w:rsid w:val="00540C90"/>
    <w:rsid w:val="00543533"/>
    <w:rsid w:val="005508F6"/>
    <w:rsid w:val="005525EE"/>
    <w:rsid w:val="00553938"/>
    <w:rsid w:val="00554E0E"/>
    <w:rsid w:val="00557185"/>
    <w:rsid w:val="00561E9C"/>
    <w:rsid w:val="00561F06"/>
    <w:rsid w:val="00564DAC"/>
    <w:rsid w:val="005655D0"/>
    <w:rsid w:val="005658EB"/>
    <w:rsid w:val="00566329"/>
    <w:rsid w:val="00566A31"/>
    <w:rsid w:val="00570DC4"/>
    <w:rsid w:val="005720D1"/>
    <w:rsid w:val="005730D1"/>
    <w:rsid w:val="005733B8"/>
    <w:rsid w:val="005742C4"/>
    <w:rsid w:val="00577FE6"/>
    <w:rsid w:val="005813A9"/>
    <w:rsid w:val="005819AE"/>
    <w:rsid w:val="00583F63"/>
    <w:rsid w:val="00586AA1"/>
    <w:rsid w:val="00592928"/>
    <w:rsid w:val="00594B4E"/>
    <w:rsid w:val="005960F0"/>
    <w:rsid w:val="0059648B"/>
    <w:rsid w:val="005A11E1"/>
    <w:rsid w:val="005A213E"/>
    <w:rsid w:val="005A3837"/>
    <w:rsid w:val="005B5C42"/>
    <w:rsid w:val="005C246D"/>
    <w:rsid w:val="005C3170"/>
    <w:rsid w:val="005C475D"/>
    <w:rsid w:val="005C6444"/>
    <w:rsid w:val="005D0118"/>
    <w:rsid w:val="005D300F"/>
    <w:rsid w:val="005D6341"/>
    <w:rsid w:val="005E1CFE"/>
    <w:rsid w:val="005E20C1"/>
    <w:rsid w:val="005E427F"/>
    <w:rsid w:val="005E7DE4"/>
    <w:rsid w:val="005F2A3F"/>
    <w:rsid w:val="005F35B4"/>
    <w:rsid w:val="005F614E"/>
    <w:rsid w:val="005F61ED"/>
    <w:rsid w:val="00610DAE"/>
    <w:rsid w:val="006113FC"/>
    <w:rsid w:val="00611E50"/>
    <w:rsid w:val="006149E2"/>
    <w:rsid w:val="00616DCF"/>
    <w:rsid w:val="00617395"/>
    <w:rsid w:val="00617E8F"/>
    <w:rsid w:val="00621EA0"/>
    <w:rsid w:val="00623B71"/>
    <w:rsid w:val="00624658"/>
    <w:rsid w:val="006255B7"/>
    <w:rsid w:val="00630F56"/>
    <w:rsid w:val="006310A3"/>
    <w:rsid w:val="006319B2"/>
    <w:rsid w:val="006321A4"/>
    <w:rsid w:val="006347F0"/>
    <w:rsid w:val="00634C9C"/>
    <w:rsid w:val="00634F25"/>
    <w:rsid w:val="00636FB3"/>
    <w:rsid w:val="0064060B"/>
    <w:rsid w:val="00643BF6"/>
    <w:rsid w:val="0064480A"/>
    <w:rsid w:val="00644B69"/>
    <w:rsid w:val="006452D1"/>
    <w:rsid w:val="00651426"/>
    <w:rsid w:val="006613AC"/>
    <w:rsid w:val="006624FC"/>
    <w:rsid w:val="00664968"/>
    <w:rsid w:val="006661C7"/>
    <w:rsid w:val="00666229"/>
    <w:rsid w:val="00666A55"/>
    <w:rsid w:val="00670026"/>
    <w:rsid w:val="00672521"/>
    <w:rsid w:val="00673C71"/>
    <w:rsid w:val="00674590"/>
    <w:rsid w:val="00676573"/>
    <w:rsid w:val="006826A6"/>
    <w:rsid w:val="00683210"/>
    <w:rsid w:val="00685F56"/>
    <w:rsid w:val="00692B7E"/>
    <w:rsid w:val="00697EB4"/>
    <w:rsid w:val="006A1965"/>
    <w:rsid w:val="006A2611"/>
    <w:rsid w:val="006A6CDC"/>
    <w:rsid w:val="006B0529"/>
    <w:rsid w:val="006B2A65"/>
    <w:rsid w:val="006B2CA4"/>
    <w:rsid w:val="006B7816"/>
    <w:rsid w:val="006B7979"/>
    <w:rsid w:val="006C5D3A"/>
    <w:rsid w:val="006C61E7"/>
    <w:rsid w:val="006C709A"/>
    <w:rsid w:val="006D07E9"/>
    <w:rsid w:val="006D12C7"/>
    <w:rsid w:val="006D2A94"/>
    <w:rsid w:val="006D3ADB"/>
    <w:rsid w:val="006D6780"/>
    <w:rsid w:val="006D67F6"/>
    <w:rsid w:val="006D6B6D"/>
    <w:rsid w:val="006D6E03"/>
    <w:rsid w:val="006E0D8C"/>
    <w:rsid w:val="006E1C82"/>
    <w:rsid w:val="006E387F"/>
    <w:rsid w:val="006E51FE"/>
    <w:rsid w:val="006E53D7"/>
    <w:rsid w:val="006E63AA"/>
    <w:rsid w:val="006E7287"/>
    <w:rsid w:val="006F22B1"/>
    <w:rsid w:val="006F2C86"/>
    <w:rsid w:val="006F37D6"/>
    <w:rsid w:val="006F4EED"/>
    <w:rsid w:val="006F50BB"/>
    <w:rsid w:val="006F6C66"/>
    <w:rsid w:val="006F7392"/>
    <w:rsid w:val="00704713"/>
    <w:rsid w:val="007051B5"/>
    <w:rsid w:val="00705745"/>
    <w:rsid w:val="007062A2"/>
    <w:rsid w:val="00706F1A"/>
    <w:rsid w:val="00715F36"/>
    <w:rsid w:val="00721CB0"/>
    <w:rsid w:val="0072415C"/>
    <w:rsid w:val="00724472"/>
    <w:rsid w:val="00724749"/>
    <w:rsid w:val="007260E7"/>
    <w:rsid w:val="00730E75"/>
    <w:rsid w:val="007349E6"/>
    <w:rsid w:val="007360D9"/>
    <w:rsid w:val="00736274"/>
    <w:rsid w:val="00744BA6"/>
    <w:rsid w:val="00745927"/>
    <w:rsid w:val="00750DFE"/>
    <w:rsid w:val="00751C19"/>
    <w:rsid w:val="00751C6C"/>
    <w:rsid w:val="00760225"/>
    <w:rsid w:val="0076144A"/>
    <w:rsid w:val="00761C85"/>
    <w:rsid w:val="0076222E"/>
    <w:rsid w:val="007627EB"/>
    <w:rsid w:val="0076301F"/>
    <w:rsid w:val="00763F28"/>
    <w:rsid w:val="0076613A"/>
    <w:rsid w:val="007707E6"/>
    <w:rsid w:val="00770C53"/>
    <w:rsid w:val="00780901"/>
    <w:rsid w:val="007809ED"/>
    <w:rsid w:val="0078361A"/>
    <w:rsid w:val="007861B1"/>
    <w:rsid w:val="0078654F"/>
    <w:rsid w:val="00787DDE"/>
    <w:rsid w:val="00790B47"/>
    <w:rsid w:val="00792C04"/>
    <w:rsid w:val="007941BE"/>
    <w:rsid w:val="00795553"/>
    <w:rsid w:val="00795FFD"/>
    <w:rsid w:val="007961F8"/>
    <w:rsid w:val="00797C6B"/>
    <w:rsid w:val="007A288E"/>
    <w:rsid w:val="007A29F8"/>
    <w:rsid w:val="007A5779"/>
    <w:rsid w:val="007A7747"/>
    <w:rsid w:val="007A790E"/>
    <w:rsid w:val="007A7ED2"/>
    <w:rsid w:val="007B0FF5"/>
    <w:rsid w:val="007B20DA"/>
    <w:rsid w:val="007B3781"/>
    <w:rsid w:val="007B409C"/>
    <w:rsid w:val="007B40DC"/>
    <w:rsid w:val="007B5D0C"/>
    <w:rsid w:val="007B5FC1"/>
    <w:rsid w:val="007B6146"/>
    <w:rsid w:val="007B662C"/>
    <w:rsid w:val="007C066E"/>
    <w:rsid w:val="007D14AB"/>
    <w:rsid w:val="007D29A4"/>
    <w:rsid w:val="007D3685"/>
    <w:rsid w:val="007D77C7"/>
    <w:rsid w:val="007E11B0"/>
    <w:rsid w:val="007E737F"/>
    <w:rsid w:val="007E7FB0"/>
    <w:rsid w:val="007F3404"/>
    <w:rsid w:val="007F355B"/>
    <w:rsid w:val="007F4B59"/>
    <w:rsid w:val="008027CE"/>
    <w:rsid w:val="00804A48"/>
    <w:rsid w:val="00804CC6"/>
    <w:rsid w:val="00807EA1"/>
    <w:rsid w:val="0081241E"/>
    <w:rsid w:val="0081296A"/>
    <w:rsid w:val="008158A4"/>
    <w:rsid w:val="00815A0E"/>
    <w:rsid w:val="00817ED6"/>
    <w:rsid w:val="0082202B"/>
    <w:rsid w:val="00822DC9"/>
    <w:rsid w:val="00823AF2"/>
    <w:rsid w:val="0082555C"/>
    <w:rsid w:val="00827B0C"/>
    <w:rsid w:val="0083172B"/>
    <w:rsid w:val="008329DE"/>
    <w:rsid w:val="00832B1B"/>
    <w:rsid w:val="008412EF"/>
    <w:rsid w:val="00841642"/>
    <w:rsid w:val="00841FB6"/>
    <w:rsid w:val="008428E7"/>
    <w:rsid w:val="00842BC8"/>
    <w:rsid w:val="00842DCE"/>
    <w:rsid w:val="008441DC"/>
    <w:rsid w:val="00844D64"/>
    <w:rsid w:val="00844F38"/>
    <w:rsid w:val="00850F0B"/>
    <w:rsid w:val="0085350D"/>
    <w:rsid w:val="008538BB"/>
    <w:rsid w:val="00856626"/>
    <w:rsid w:val="00862013"/>
    <w:rsid w:val="00864C1E"/>
    <w:rsid w:val="008754C0"/>
    <w:rsid w:val="008761E8"/>
    <w:rsid w:val="008856E8"/>
    <w:rsid w:val="00885957"/>
    <w:rsid w:val="008876F9"/>
    <w:rsid w:val="00892685"/>
    <w:rsid w:val="008937EB"/>
    <w:rsid w:val="00893E2A"/>
    <w:rsid w:val="00895418"/>
    <w:rsid w:val="00896990"/>
    <w:rsid w:val="008A2B66"/>
    <w:rsid w:val="008A314C"/>
    <w:rsid w:val="008A6450"/>
    <w:rsid w:val="008A6873"/>
    <w:rsid w:val="008B0F95"/>
    <w:rsid w:val="008B2335"/>
    <w:rsid w:val="008B2798"/>
    <w:rsid w:val="008B4135"/>
    <w:rsid w:val="008B5440"/>
    <w:rsid w:val="008B555A"/>
    <w:rsid w:val="008B5EA1"/>
    <w:rsid w:val="008B64D6"/>
    <w:rsid w:val="008D074A"/>
    <w:rsid w:val="008D40A7"/>
    <w:rsid w:val="008D4579"/>
    <w:rsid w:val="008D51F4"/>
    <w:rsid w:val="008E2198"/>
    <w:rsid w:val="008E66AF"/>
    <w:rsid w:val="008E72BD"/>
    <w:rsid w:val="008F03D5"/>
    <w:rsid w:val="008F1A4E"/>
    <w:rsid w:val="008F579C"/>
    <w:rsid w:val="008F622D"/>
    <w:rsid w:val="008F730C"/>
    <w:rsid w:val="00900C46"/>
    <w:rsid w:val="009030CA"/>
    <w:rsid w:val="00903195"/>
    <w:rsid w:val="0090404B"/>
    <w:rsid w:val="009064A2"/>
    <w:rsid w:val="009078B4"/>
    <w:rsid w:val="00913595"/>
    <w:rsid w:val="0091377D"/>
    <w:rsid w:val="00915A90"/>
    <w:rsid w:val="00920680"/>
    <w:rsid w:val="0092116E"/>
    <w:rsid w:val="00926645"/>
    <w:rsid w:val="00927894"/>
    <w:rsid w:val="00927960"/>
    <w:rsid w:val="00930040"/>
    <w:rsid w:val="00931475"/>
    <w:rsid w:val="00931FD9"/>
    <w:rsid w:val="0093235C"/>
    <w:rsid w:val="0094079C"/>
    <w:rsid w:val="00941509"/>
    <w:rsid w:val="00942AF5"/>
    <w:rsid w:val="00942DE1"/>
    <w:rsid w:val="00950BB8"/>
    <w:rsid w:val="0095237B"/>
    <w:rsid w:val="00954F99"/>
    <w:rsid w:val="009563FF"/>
    <w:rsid w:val="0095678F"/>
    <w:rsid w:val="00956C22"/>
    <w:rsid w:val="00956D58"/>
    <w:rsid w:val="00960913"/>
    <w:rsid w:val="0096293F"/>
    <w:rsid w:val="0096427F"/>
    <w:rsid w:val="009707FA"/>
    <w:rsid w:val="00970F15"/>
    <w:rsid w:val="0097494E"/>
    <w:rsid w:val="00975015"/>
    <w:rsid w:val="0097638D"/>
    <w:rsid w:val="00980761"/>
    <w:rsid w:val="00980F5A"/>
    <w:rsid w:val="009836CF"/>
    <w:rsid w:val="0098474C"/>
    <w:rsid w:val="00984D71"/>
    <w:rsid w:val="00986950"/>
    <w:rsid w:val="00986F45"/>
    <w:rsid w:val="00987ACF"/>
    <w:rsid w:val="00992CB9"/>
    <w:rsid w:val="00994D68"/>
    <w:rsid w:val="00996DA5"/>
    <w:rsid w:val="009A1697"/>
    <w:rsid w:val="009A3A2A"/>
    <w:rsid w:val="009A67A1"/>
    <w:rsid w:val="009A6A8C"/>
    <w:rsid w:val="009B1D13"/>
    <w:rsid w:val="009B6CEE"/>
    <w:rsid w:val="009C15AC"/>
    <w:rsid w:val="009C2A38"/>
    <w:rsid w:val="009C51E0"/>
    <w:rsid w:val="009C74C1"/>
    <w:rsid w:val="009D1456"/>
    <w:rsid w:val="009D2F5C"/>
    <w:rsid w:val="009D5C8B"/>
    <w:rsid w:val="009D6E26"/>
    <w:rsid w:val="009E04D9"/>
    <w:rsid w:val="009E113E"/>
    <w:rsid w:val="009E226E"/>
    <w:rsid w:val="009E389D"/>
    <w:rsid w:val="009F558C"/>
    <w:rsid w:val="009F700F"/>
    <w:rsid w:val="00A0157D"/>
    <w:rsid w:val="00A04D1F"/>
    <w:rsid w:val="00A1051E"/>
    <w:rsid w:val="00A12F34"/>
    <w:rsid w:val="00A155C2"/>
    <w:rsid w:val="00A15C60"/>
    <w:rsid w:val="00A17560"/>
    <w:rsid w:val="00A17E3E"/>
    <w:rsid w:val="00A2076B"/>
    <w:rsid w:val="00A20EA6"/>
    <w:rsid w:val="00A23FB4"/>
    <w:rsid w:val="00A2714A"/>
    <w:rsid w:val="00A32710"/>
    <w:rsid w:val="00A334F7"/>
    <w:rsid w:val="00A34146"/>
    <w:rsid w:val="00A34C5E"/>
    <w:rsid w:val="00A36B3E"/>
    <w:rsid w:val="00A3766D"/>
    <w:rsid w:val="00A40FBA"/>
    <w:rsid w:val="00A41195"/>
    <w:rsid w:val="00A432EF"/>
    <w:rsid w:val="00A4696D"/>
    <w:rsid w:val="00A567E6"/>
    <w:rsid w:val="00A62E56"/>
    <w:rsid w:val="00A63ED9"/>
    <w:rsid w:val="00A70674"/>
    <w:rsid w:val="00A81B43"/>
    <w:rsid w:val="00A82924"/>
    <w:rsid w:val="00A9230F"/>
    <w:rsid w:val="00AA18B1"/>
    <w:rsid w:val="00AA1E54"/>
    <w:rsid w:val="00AB00D4"/>
    <w:rsid w:val="00AB6FFB"/>
    <w:rsid w:val="00AC6675"/>
    <w:rsid w:val="00AD04E4"/>
    <w:rsid w:val="00AD27AC"/>
    <w:rsid w:val="00AD5612"/>
    <w:rsid w:val="00AE3CF4"/>
    <w:rsid w:val="00AE532F"/>
    <w:rsid w:val="00AE589A"/>
    <w:rsid w:val="00AE5D2C"/>
    <w:rsid w:val="00AF1324"/>
    <w:rsid w:val="00AF3150"/>
    <w:rsid w:val="00B06AF8"/>
    <w:rsid w:val="00B101F8"/>
    <w:rsid w:val="00B20B7A"/>
    <w:rsid w:val="00B216BF"/>
    <w:rsid w:val="00B2462D"/>
    <w:rsid w:val="00B251F8"/>
    <w:rsid w:val="00B34696"/>
    <w:rsid w:val="00B34890"/>
    <w:rsid w:val="00B34CCE"/>
    <w:rsid w:val="00B35E88"/>
    <w:rsid w:val="00B3761A"/>
    <w:rsid w:val="00B4171C"/>
    <w:rsid w:val="00B418FB"/>
    <w:rsid w:val="00B41D69"/>
    <w:rsid w:val="00B4208D"/>
    <w:rsid w:val="00B43701"/>
    <w:rsid w:val="00B43EA2"/>
    <w:rsid w:val="00B453A4"/>
    <w:rsid w:val="00B50409"/>
    <w:rsid w:val="00B5093C"/>
    <w:rsid w:val="00B50BEC"/>
    <w:rsid w:val="00B530A8"/>
    <w:rsid w:val="00B547CB"/>
    <w:rsid w:val="00B54A22"/>
    <w:rsid w:val="00B570F9"/>
    <w:rsid w:val="00B61E91"/>
    <w:rsid w:val="00B6238F"/>
    <w:rsid w:val="00B63666"/>
    <w:rsid w:val="00B63CFD"/>
    <w:rsid w:val="00B67179"/>
    <w:rsid w:val="00B671C6"/>
    <w:rsid w:val="00B73CDD"/>
    <w:rsid w:val="00B74E6A"/>
    <w:rsid w:val="00B74E8F"/>
    <w:rsid w:val="00B83090"/>
    <w:rsid w:val="00B91D9F"/>
    <w:rsid w:val="00B93A04"/>
    <w:rsid w:val="00B96180"/>
    <w:rsid w:val="00B96BE4"/>
    <w:rsid w:val="00B9721F"/>
    <w:rsid w:val="00BA1E46"/>
    <w:rsid w:val="00BA3025"/>
    <w:rsid w:val="00BA4D13"/>
    <w:rsid w:val="00BA58F7"/>
    <w:rsid w:val="00BB067B"/>
    <w:rsid w:val="00BB4716"/>
    <w:rsid w:val="00BB49DD"/>
    <w:rsid w:val="00BB55C7"/>
    <w:rsid w:val="00BB5E73"/>
    <w:rsid w:val="00BC1FC3"/>
    <w:rsid w:val="00BC36C1"/>
    <w:rsid w:val="00BC6209"/>
    <w:rsid w:val="00BD3B75"/>
    <w:rsid w:val="00BD7774"/>
    <w:rsid w:val="00BE319B"/>
    <w:rsid w:val="00BE684E"/>
    <w:rsid w:val="00BF1235"/>
    <w:rsid w:val="00BF1273"/>
    <w:rsid w:val="00BF1832"/>
    <w:rsid w:val="00C0334D"/>
    <w:rsid w:val="00C05A0B"/>
    <w:rsid w:val="00C078D6"/>
    <w:rsid w:val="00C117EB"/>
    <w:rsid w:val="00C11EBD"/>
    <w:rsid w:val="00C21269"/>
    <w:rsid w:val="00C23245"/>
    <w:rsid w:val="00C24306"/>
    <w:rsid w:val="00C264BF"/>
    <w:rsid w:val="00C27E81"/>
    <w:rsid w:val="00C30AF5"/>
    <w:rsid w:val="00C41FA9"/>
    <w:rsid w:val="00C430C8"/>
    <w:rsid w:val="00C4422C"/>
    <w:rsid w:val="00C443C7"/>
    <w:rsid w:val="00C44C76"/>
    <w:rsid w:val="00C518E9"/>
    <w:rsid w:val="00C53C2A"/>
    <w:rsid w:val="00C54AD9"/>
    <w:rsid w:val="00C561ED"/>
    <w:rsid w:val="00C565C1"/>
    <w:rsid w:val="00C57BB1"/>
    <w:rsid w:val="00C65382"/>
    <w:rsid w:val="00C76729"/>
    <w:rsid w:val="00C8029F"/>
    <w:rsid w:val="00C81CA0"/>
    <w:rsid w:val="00C849C1"/>
    <w:rsid w:val="00C922A7"/>
    <w:rsid w:val="00C94BE4"/>
    <w:rsid w:val="00CA2AF7"/>
    <w:rsid w:val="00CA377E"/>
    <w:rsid w:val="00CA3FA3"/>
    <w:rsid w:val="00CA5471"/>
    <w:rsid w:val="00CB12DE"/>
    <w:rsid w:val="00CB18DA"/>
    <w:rsid w:val="00CB20AB"/>
    <w:rsid w:val="00CB3453"/>
    <w:rsid w:val="00CB4F78"/>
    <w:rsid w:val="00CC03C8"/>
    <w:rsid w:val="00CC148F"/>
    <w:rsid w:val="00CC7F07"/>
    <w:rsid w:val="00CD0744"/>
    <w:rsid w:val="00CD26B4"/>
    <w:rsid w:val="00CD2B74"/>
    <w:rsid w:val="00CD602C"/>
    <w:rsid w:val="00CE1CE6"/>
    <w:rsid w:val="00CE1D9F"/>
    <w:rsid w:val="00CE2063"/>
    <w:rsid w:val="00CE38C0"/>
    <w:rsid w:val="00CE42E2"/>
    <w:rsid w:val="00CF7B70"/>
    <w:rsid w:val="00D02B24"/>
    <w:rsid w:val="00D04FA5"/>
    <w:rsid w:val="00D079E9"/>
    <w:rsid w:val="00D07E50"/>
    <w:rsid w:val="00D10392"/>
    <w:rsid w:val="00D11608"/>
    <w:rsid w:val="00D117F5"/>
    <w:rsid w:val="00D11874"/>
    <w:rsid w:val="00D11E34"/>
    <w:rsid w:val="00D12C92"/>
    <w:rsid w:val="00D14512"/>
    <w:rsid w:val="00D1507D"/>
    <w:rsid w:val="00D162BB"/>
    <w:rsid w:val="00D17F0B"/>
    <w:rsid w:val="00D2011D"/>
    <w:rsid w:val="00D2244D"/>
    <w:rsid w:val="00D22BA2"/>
    <w:rsid w:val="00D26279"/>
    <w:rsid w:val="00D27EDC"/>
    <w:rsid w:val="00D31569"/>
    <w:rsid w:val="00D328F9"/>
    <w:rsid w:val="00D32D51"/>
    <w:rsid w:val="00D3382D"/>
    <w:rsid w:val="00D33A1C"/>
    <w:rsid w:val="00D3477E"/>
    <w:rsid w:val="00D35F67"/>
    <w:rsid w:val="00D37140"/>
    <w:rsid w:val="00D4102B"/>
    <w:rsid w:val="00D41F87"/>
    <w:rsid w:val="00D42778"/>
    <w:rsid w:val="00D53BDA"/>
    <w:rsid w:val="00D5407F"/>
    <w:rsid w:val="00D55E50"/>
    <w:rsid w:val="00D564FD"/>
    <w:rsid w:val="00D56A89"/>
    <w:rsid w:val="00D57940"/>
    <w:rsid w:val="00D62DE4"/>
    <w:rsid w:val="00D70229"/>
    <w:rsid w:val="00D716B5"/>
    <w:rsid w:val="00D72769"/>
    <w:rsid w:val="00D72E0D"/>
    <w:rsid w:val="00D730DB"/>
    <w:rsid w:val="00D7787E"/>
    <w:rsid w:val="00D81591"/>
    <w:rsid w:val="00D87472"/>
    <w:rsid w:val="00D874C3"/>
    <w:rsid w:val="00D87D9E"/>
    <w:rsid w:val="00D90A2E"/>
    <w:rsid w:val="00D9110C"/>
    <w:rsid w:val="00D914EF"/>
    <w:rsid w:val="00D9199A"/>
    <w:rsid w:val="00D92612"/>
    <w:rsid w:val="00D9506E"/>
    <w:rsid w:val="00DA0255"/>
    <w:rsid w:val="00DA1C06"/>
    <w:rsid w:val="00DA235B"/>
    <w:rsid w:val="00DA4040"/>
    <w:rsid w:val="00DA772F"/>
    <w:rsid w:val="00DB2AC9"/>
    <w:rsid w:val="00DB3870"/>
    <w:rsid w:val="00DC137E"/>
    <w:rsid w:val="00DC2953"/>
    <w:rsid w:val="00DC389C"/>
    <w:rsid w:val="00DD29CB"/>
    <w:rsid w:val="00DD63BC"/>
    <w:rsid w:val="00DE09FF"/>
    <w:rsid w:val="00DE5D5C"/>
    <w:rsid w:val="00DE5F6A"/>
    <w:rsid w:val="00DE6544"/>
    <w:rsid w:val="00DF4730"/>
    <w:rsid w:val="00DF74D5"/>
    <w:rsid w:val="00E0162A"/>
    <w:rsid w:val="00E04082"/>
    <w:rsid w:val="00E05306"/>
    <w:rsid w:val="00E07A40"/>
    <w:rsid w:val="00E1047C"/>
    <w:rsid w:val="00E132AA"/>
    <w:rsid w:val="00E13F86"/>
    <w:rsid w:val="00E14601"/>
    <w:rsid w:val="00E16A66"/>
    <w:rsid w:val="00E20C4E"/>
    <w:rsid w:val="00E23AF7"/>
    <w:rsid w:val="00E27158"/>
    <w:rsid w:val="00E40DB7"/>
    <w:rsid w:val="00E4140F"/>
    <w:rsid w:val="00E47545"/>
    <w:rsid w:val="00E50066"/>
    <w:rsid w:val="00E52C5A"/>
    <w:rsid w:val="00E52CD6"/>
    <w:rsid w:val="00E54DFB"/>
    <w:rsid w:val="00E57228"/>
    <w:rsid w:val="00E6118B"/>
    <w:rsid w:val="00E61C03"/>
    <w:rsid w:val="00E62215"/>
    <w:rsid w:val="00E62D58"/>
    <w:rsid w:val="00E655F8"/>
    <w:rsid w:val="00E67375"/>
    <w:rsid w:val="00E76877"/>
    <w:rsid w:val="00E829DA"/>
    <w:rsid w:val="00E82D56"/>
    <w:rsid w:val="00E85395"/>
    <w:rsid w:val="00E865E3"/>
    <w:rsid w:val="00E8747A"/>
    <w:rsid w:val="00E9052A"/>
    <w:rsid w:val="00E95009"/>
    <w:rsid w:val="00E95A63"/>
    <w:rsid w:val="00EA0F66"/>
    <w:rsid w:val="00EA246D"/>
    <w:rsid w:val="00EA5414"/>
    <w:rsid w:val="00EA5858"/>
    <w:rsid w:val="00EB16CE"/>
    <w:rsid w:val="00EB408E"/>
    <w:rsid w:val="00EB4D8C"/>
    <w:rsid w:val="00EB5BD2"/>
    <w:rsid w:val="00EB7792"/>
    <w:rsid w:val="00EB7CF6"/>
    <w:rsid w:val="00EC026A"/>
    <w:rsid w:val="00EC0F48"/>
    <w:rsid w:val="00EC2A8F"/>
    <w:rsid w:val="00EC2D5D"/>
    <w:rsid w:val="00EC7246"/>
    <w:rsid w:val="00ED1839"/>
    <w:rsid w:val="00ED4C10"/>
    <w:rsid w:val="00ED692E"/>
    <w:rsid w:val="00ED7B81"/>
    <w:rsid w:val="00EE1D5F"/>
    <w:rsid w:val="00EE2910"/>
    <w:rsid w:val="00EE402D"/>
    <w:rsid w:val="00EE5ABF"/>
    <w:rsid w:val="00EE6717"/>
    <w:rsid w:val="00EE792F"/>
    <w:rsid w:val="00EF70B9"/>
    <w:rsid w:val="00F07CBF"/>
    <w:rsid w:val="00F07CF6"/>
    <w:rsid w:val="00F11677"/>
    <w:rsid w:val="00F11E42"/>
    <w:rsid w:val="00F17961"/>
    <w:rsid w:val="00F21974"/>
    <w:rsid w:val="00F22322"/>
    <w:rsid w:val="00F22DC4"/>
    <w:rsid w:val="00F2387E"/>
    <w:rsid w:val="00F24A24"/>
    <w:rsid w:val="00F24EFB"/>
    <w:rsid w:val="00F279E5"/>
    <w:rsid w:val="00F27EA9"/>
    <w:rsid w:val="00F3072D"/>
    <w:rsid w:val="00F33A4A"/>
    <w:rsid w:val="00F33EC9"/>
    <w:rsid w:val="00F34468"/>
    <w:rsid w:val="00F344D4"/>
    <w:rsid w:val="00F3458C"/>
    <w:rsid w:val="00F36D2D"/>
    <w:rsid w:val="00F4174E"/>
    <w:rsid w:val="00F42049"/>
    <w:rsid w:val="00F45234"/>
    <w:rsid w:val="00F47E6B"/>
    <w:rsid w:val="00F5221F"/>
    <w:rsid w:val="00F53E5A"/>
    <w:rsid w:val="00F555EB"/>
    <w:rsid w:val="00F60E7C"/>
    <w:rsid w:val="00F60FC6"/>
    <w:rsid w:val="00F618F3"/>
    <w:rsid w:val="00F621E0"/>
    <w:rsid w:val="00F65BE5"/>
    <w:rsid w:val="00F664F9"/>
    <w:rsid w:val="00F70607"/>
    <w:rsid w:val="00F72B9C"/>
    <w:rsid w:val="00F73B94"/>
    <w:rsid w:val="00F74488"/>
    <w:rsid w:val="00F826ED"/>
    <w:rsid w:val="00F84503"/>
    <w:rsid w:val="00F84C24"/>
    <w:rsid w:val="00F854FB"/>
    <w:rsid w:val="00F908D9"/>
    <w:rsid w:val="00F90BF1"/>
    <w:rsid w:val="00F9115C"/>
    <w:rsid w:val="00F92509"/>
    <w:rsid w:val="00F95B81"/>
    <w:rsid w:val="00F95FCB"/>
    <w:rsid w:val="00F9744A"/>
    <w:rsid w:val="00FA13AF"/>
    <w:rsid w:val="00FA244F"/>
    <w:rsid w:val="00FA3AB1"/>
    <w:rsid w:val="00FA58A8"/>
    <w:rsid w:val="00FA65BE"/>
    <w:rsid w:val="00FB1755"/>
    <w:rsid w:val="00FB537D"/>
    <w:rsid w:val="00FB5398"/>
    <w:rsid w:val="00FB7887"/>
    <w:rsid w:val="00FC0674"/>
    <w:rsid w:val="00FC20DD"/>
    <w:rsid w:val="00FC35EC"/>
    <w:rsid w:val="00FC4420"/>
    <w:rsid w:val="00FC5B71"/>
    <w:rsid w:val="00FD01CD"/>
    <w:rsid w:val="00FD147B"/>
    <w:rsid w:val="00FD4C4D"/>
    <w:rsid w:val="00FE0DBA"/>
    <w:rsid w:val="00FE1C2B"/>
    <w:rsid w:val="00FF079D"/>
    <w:rsid w:val="00FF1BE6"/>
    <w:rsid w:val="010803B6"/>
    <w:rsid w:val="01174964"/>
    <w:rsid w:val="019538F2"/>
    <w:rsid w:val="01CC40FE"/>
    <w:rsid w:val="01D4492D"/>
    <w:rsid w:val="021821C3"/>
    <w:rsid w:val="03091028"/>
    <w:rsid w:val="037A2077"/>
    <w:rsid w:val="03A44D8F"/>
    <w:rsid w:val="03A93BDF"/>
    <w:rsid w:val="041E5723"/>
    <w:rsid w:val="046D08E2"/>
    <w:rsid w:val="051E5CE4"/>
    <w:rsid w:val="0582638F"/>
    <w:rsid w:val="061268C0"/>
    <w:rsid w:val="062A78B5"/>
    <w:rsid w:val="072F2F59"/>
    <w:rsid w:val="073A0EAF"/>
    <w:rsid w:val="084F0743"/>
    <w:rsid w:val="089D117A"/>
    <w:rsid w:val="08DF49F8"/>
    <w:rsid w:val="094E7A1B"/>
    <w:rsid w:val="09845AA9"/>
    <w:rsid w:val="09CB15A9"/>
    <w:rsid w:val="09FA5A54"/>
    <w:rsid w:val="0A034EF5"/>
    <w:rsid w:val="0B10385A"/>
    <w:rsid w:val="0C33367E"/>
    <w:rsid w:val="0C7F4E2A"/>
    <w:rsid w:val="0D1B1290"/>
    <w:rsid w:val="0D9E4BE5"/>
    <w:rsid w:val="0E455049"/>
    <w:rsid w:val="0F0A0B46"/>
    <w:rsid w:val="0F6F3C52"/>
    <w:rsid w:val="10C8632E"/>
    <w:rsid w:val="119C00DF"/>
    <w:rsid w:val="11D17964"/>
    <w:rsid w:val="12087315"/>
    <w:rsid w:val="123A3D97"/>
    <w:rsid w:val="12B9288A"/>
    <w:rsid w:val="13636069"/>
    <w:rsid w:val="144B38F1"/>
    <w:rsid w:val="145823B8"/>
    <w:rsid w:val="147B0724"/>
    <w:rsid w:val="149A3EA5"/>
    <w:rsid w:val="158E61DA"/>
    <w:rsid w:val="160B3FDA"/>
    <w:rsid w:val="165948E1"/>
    <w:rsid w:val="1668601C"/>
    <w:rsid w:val="16A41C18"/>
    <w:rsid w:val="16AC1E85"/>
    <w:rsid w:val="16D12162"/>
    <w:rsid w:val="16E352B4"/>
    <w:rsid w:val="16FC0F20"/>
    <w:rsid w:val="175478E1"/>
    <w:rsid w:val="178D3649"/>
    <w:rsid w:val="18B907FB"/>
    <w:rsid w:val="19753799"/>
    <w:rsid w:val="19DC1DCB"/>
    <w:rsid w:val="1A004298"/>
    <w:rsid w:val="1A4F61AF"/>
    <w:rsid w:val="1A616DC1"/>
    <w:rsid w:val="1B8D1CCF"/>
    <w:rsid w:val="1C043913"/>
    <w:rsid w:val="1C4E6E40"/>
    <w:rsid w:val="1C892334"/>
    <w:rsid w:val="1CA736B1"/>
    <w:rsid w:val="1CF31FA3"/>
    <w:rsid w:val="1D403AEA"/>
    <w:rsid w:val="1D40524C"/>
    <w:rsid w:val="1D8A2F90"/>
    <w:rsid w:val="1DD6475C"/>
    <w:rsid w:val="1DF3575E"/>
    <w:rsid w:val="1EC023D8"/>
    <w:rsid w:val="1F29300B"/>
    <w:rsid w:val="1F480C52"/>
    <w:rsid w:val="1FAF402A"/>
    <w:rsid w:val="1FD068FD"/>
    <w:rsid w:val="203712E1"/>
    <w:rsid w:val="20B2042F"/>
    <w:rsid w:val="216E513B"/>
    <w:rsid w:val="22AF56F4"/>
    <w:rsid w:val="22DB448F"/>
    <w:rsid w:val="22E4097E"/>
    <w:rsid w:val="23BD7562"/>
    <w:rsid w:val="23D71B43"/>
    <w:rsid w:val="246D09AE"/>
    <w:rsid w:val="25B31ABA"/>
    <w:rsid w:val="25C72B39"/>
    <w:rsid w:val="26965F0B"/>
    <w:rsid w:val="271B1192"/>
    <w:rsid w:val="28020C45"/>
    <w:rsid w:val="28901CA0"/>
    <w:rsid w:val="28B24B96"/>
    <w:rsid w:val="29603FCA"/>
    <w:rsid w:val="29891F46"/>
    <w:rsid w:val="29F33914"/>
    <w:rsid w:val="2A723B81"/>
    <w:rsid w:val="2B3418CA"/>
    <w:rsid w:val="2C6939C0"/>
    <w:rsid w:val="2CB43A87"/>
    <w:rsid w:val="2CE33F63"/>
    <w:rsid w:val="2CF8514D"/>
    <w:rsid w:val="2D0D0F9A"/>
    <w:rsid w:val="2E1C33E0"/>
    <w:rsid w:val="2E9C6C6F"/>
    <w:rsid w:val="2EA82F57"/>
    <w:rsid w:val="2F465B56"/>
    <w:rsid w:val="2FA06758"/>
    <w:rsid w:val="2FA87B5D"/>
    <w:rsid w:val="303D3344"/>
    <w:rsid w:val="30F2369C"/>
    <w:rsid w:val="31E6345A"/>
    <w:rsid w:val="32537CAD"/>
    <w:rsid w:val="328E78C2"/>
    <w:rsid w:val="32C524DE"/>
    <w:rsid w:val="32C5329E"/>
    <w:rsid w:val="3304516F"/>
    <w:rsid w:val="336175EB"/>
    <w:rsid w:val="33792A28"/>
    <w:rsid w:val="338C1E23"/>
    <w:rsid w:val="33CC74DE"/>
    <w:rsid w:val="33E24755"/>
    <w:rsid w:val="34193AD6"/>
    <w:rsid w:val="34FD712B"/>
    <w:rsid w:val="358D60AD"/>
    <w:rsid w:val="35BE77D3"/>
    <w:rsid w:val="35C15240"/>
    <w:rsid w:val="35E72E05"/>
    <w:rsid w:val="362D114F"/>
    <w:rsid w:val="3692657B"/>
    <w:rsid w:val="36D03F41"/>
    <w:rsid w:val="37097322"/>
    <w:rsid w:val="376D2A46"/>
    <w:rsid w:val="37BD27A7"/>
    <w:rsid w:val="37C46FB1"/>
    <w:rsid w:val="3888393C"/>
    <w:rsid w:val="38A45C83"/>
    <w:rsid w:val="38DF1FAE"/>
    <w:rsid w:val="39040D6B"/>
    <w:rsid w:val="39BB18DF"/>
    <w:rsid w:val="39F37B9A"/>
    <w:rsid w:val="3A663306"/>
    <w:rsid w:val="3A68126B"/>
    <w:rsid w:val="3B7D5053"/>
    <w:rsid w:val="3B9223A1"/>
    <w:rsid w:val="3BE65E54"/>
    <w:rsid w:val="3C697688"/>
    <w:rsid w:val="3C927625"/>
    <w:rsid w:val="3CF00CFD"/>
    <w:rsid w:val="3D066200"/>
    <w:rsid w:val="3DF3186D"/>
    <w:rsid w:val="3E7E57D7"/>
    <w:rsid w:val="3FB835CE"/>
    <w:rsid w:val="40616D50"/>
    <w:rsid w:val="411B515D"/>
    <w:rsid w:val="412128C9"/>
    <w:rsid w:val="414801C5"/>
    <w:rsid w:val="41837255"/>
    <w:rsid w:val="41A0142C"/>
    <w:rsid w:val="41D8119A"/>
    <w:rsid w:val="41DE1924"/>
    <w:rsid w:val="41DF59E2"/>
    <w:rsid w:val="4345710E"/>
    <w:rsid w:val="43704654"/>
    <w:rsid w:val="43D02AF1"/>
    <w:rsid w:val="45173989"/>
    <w:rsid w:val="4580356D"/>
    <w:rsid w:val="45E35D22"/>
    <w:rsid w:val="46033F26"/>
    <w:rsid w:val="46C36E31"/>
    <w:rsid w:val="475D457A"/>
    <w:rsid w:val="47781BFB"/>
    <w:rsid w:val="47A56790"/>
    <w:rsid w:val="47B31310"/>
    <w:rsid w:val="47DC701A"/>
    <w:rsid w:val="484F6420"/>
    <w:rsid w:val="486F237F"/>
    <w:rsid w:val="48DD62BF"/>
    <w:rsid w:val="49254FCD"/>
    <w:rsid w:val="493A04E4"/>
    <w:rsid w:val="4941492E"/>
    <w:rsid w:val="4989527D"/>
    <w:rsid w:val="49925D56"/>
    <w:rsid w:val="4A302513"/>
    <w:rsid w:val="4B8B5901"/>
    <w:rsid w:val="4BF621EC"/>
    <w:rsid w:val="4CA800CC"/>
    <w:rsid w:val="4D9E5A4A"/>
    <w:rsid w:val="4DA15215"/>
    <w:rsid w:val="4DC52A69"/>
    <w:rsid w:val="4DF63BD0"/>
    <w:rsid w:val="4E27049A"/>
    <w:rsid w:val="4E811840"/>
    <w:rsid w:val="4F426282"/>
    <w:rsid w:val="5021770B"/>
    <w:rsid w:val="50433CA9"/>
    <w:rsid w:val="50C76788"/>
    <w:rsid w:val="529A34BD"/>
    <w:rsid w:val="53AA3063"/>
    <w:rsid w:val="54122823"/>
    <w:rsid w:val="545B1329"/>
    <w:rsid w:val="54EF7443"/>
    <w:rsid w:val="55985F93"/>
    <w:rsid w:val="5606740C"/>
    <w:rsid w:val="561A437B"/>
    <w:rsid w:val="564476CC"/>
    <w:rsid w:val="565B38BD"/>
    <w:rsid w:val="576C04C1"/>
    <w:rsid w:val="57884587"/>
    <w:rsid w:val="57C8441D"/>
    <w:rsid w:val="58194C6E"/>
    <w:rsid w:val="58BB28F3"/>
    <w:rsid w:val="58C43C0F"/>
    <w:rsid w:val="58F07F43"/>
    <w:rsid w:val="58F7732A"/>
    <w:rsid w:val="59132BBC"/>
    <w:rsid w:val="59881617"/>
    <w:rsid w:val="598E709C"/>
    <w:rsid w:val="59D356BB"/>
    <w:rsid w:val="59FE0738"/>
    <w:rsid w:val="5A3404A2"/>
    <w:rsid w:val="5B4C755B"/>
    <w:rsid w:val="5BE66210"/>
    <w:rsid w:val="5D9928FE"/>
    <w:rsid w:val="5DC5032A"/>
    <w:rsid w:val="5E06519A"/>
    <w:rsid w:val="5EA31DC4"/>
    <w:rsid w:val="5EDE44A2"/>
    <w:rsid w:val="5F8464D9"/>
    <w:rsid w:val="5FCD4349"/>
    <w:rsid w:val="601279E5"/>
    <w:rsid w:val="607D5E9A"/>
    <w:rsid w:val="61204C2F"/>
    <w:rsid w:val="617603B1"/>
    <w:rsid w:val="62083196"/>
    <w:rsid w:val="630217F1"/>
    <w:rsid w:val="63A078A4"/>
    <w:rsid w:val="6400218D"/>
    <w:rsid w:val="648F59FC"/>
    <w:rsid w:val="65341B27"/>
    <w:rsid w:val="65832CEC"/>
    <w:rsid w:val="670A15D6"/>
    <w:rsid w:val="673767FA"/>
    <w:rsid w:val="676409E2"/>
    <w:rsid w:val="681832E7"/>
    <w:rsid w:val="683256BE"/>
    <w:rsid w:val="69404DF0"/>
    <w:rsid w:val="696D16AD"/>
    <w:rsid w:val="699E3590"/>
    <w:rsid w:val="6A6842AA"/>
    <w:rsid w:val="6AA8451B"/>
    <w:rsid w:val="6B414FDD"/>
    <w:rsid w:val="6B416BEC"/>
    <w:rsid w:val="6C377801"/>
    <w:rsid w:val="6C90458A"/>
    <w:rsid w:val="6CE47D45"/>
    <w:rsid w:val="6D0708BA"/>
    <w:rsid w:val="6E2C1119"/>
    <w:rsid w:val="6E890F9A"/>
    <w:rsid w:val="6EC77ED9"/>
    <w:rsid w:val="6F0920B4"/>
    <w:rsid w:val="6FE532B7"/>
    <w:rsid w:val="70230376"/>
    <w:rsid w:val="70264AFE"/>
    <w:rsid w:val="70615B40"/>
    <w:rsid w:val="70FB6116"/>
    <w:rsid w:val="71AC1455"/>
    <w:rsid w:val="71AF341C"/>
    <w:rsid w:val="71F371EF"/>
    <w:rsid w:val="72A129D4"/>
    <w:rsid w:val="730A4F2C"/>
    <w:rsid w:val="75074DF7"/>
    <w:rsid w:val="75684B94"/>
    <w:rsid w:val="771A610E"/>
    <w:rsid w:val="77A12843"/>
    <w:rsid w:val="77EF17E0"/>
    <w:rsid w:val="780A6463"/>
    <w:rsid w:val="79215CF6"/>
    <w:rsid w:val="796315D2"/>
    <w:rsid w:val="797E44EF"/>
    <w:rsid w:val="79953905"/>
    <w:rsid w:val="79C47964"/>
    <w:rsid w:val="7BBF4046"/>
    <w:rsid w:val="7C0D1A45"/>
    <w:rsid w:val="7C5F3746"/>
    <w:rsid w:val="7CAC1E96"/>
    <w:rsid w:val="7CB40EF9"/>
    <w:rsid w:val="7CE405B0"/>
    <w:rsid w:val="7D0D0ED8"/>
    <w:rsid w:val="7DED0A3E"/>
    <w:rsid w:val="7E6D11DC"/>
    <w:rsid w:val="7EB97843"/>
    <w:rsid w:val="7F0642EA"/>
    <w:rsid w:val="7FF435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iPriority="0" w:name="toc 4" w:locked="1"/>
    <w:lsdException w:uiPriority="0" w:name="toc 5" w:locked="1"/>
    <w:lsdException w:uiPriority="0" w:name="toc 6" w:locked="1"/>
    <w:lsdException w:uiPriority="0" w:name="toc 7" w:locked="1"/>
    <w:lsdException w:uiPriority="0" w:name="toc 8" w:locked="1"/>
    <w:lsdException w:qFormat="1" w:unhideWhenUsed="0" w:uiPriority="0" w:name="toc 9" w:locked="1"/>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1"/>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2"/>
    <w:qFormat/>
    <w:uiPriority w:val="99"/>
    <w:pPr>
      <w:keepNext/>
      <w:widowControl/>
      <w:jc w:val="left"/>
      <w:outlineLvl w:val="2"/>
    </w:pPr>
    <w:rPr>
      <w:rFonts w:ascii="Cambria" w:hAnsi="Cambria"/>
      <w:b/>
      <w:bCs/>
      <w:kern w:val="0"/>
      <w:szCs w:val="26"/>
    </w:rPr>
  </w:style>
  <w:style w:type="paragraph" w:styleId="5">
    <w:name w:val="heading 4"/>
    <w:basedOn w:val="1"/>
    <w:next w:val="1"/>
    <w:link w:val="49"/>
    <w:unhideWhenUsed/>
    <w:qFormat/>
    <w:locked/>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33"/>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9"/>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annotation text"/>
    <w:basedOn w:val="1"/>
    <w:link w:val="57"/>
    <w:unhideWhenUsed/>
    <w:qFormat/>
    <w:uiPriority w:val="0"/>
    <w:pPr>
      <w:jc w:val="left"/>
    </w:pPr>
  </w:style>
  <w:style w:type="paragraph" w:styleId="9">
    <w:name w:val="Body Text Indent"/>
    <w:basedOn w:val="1"/>
    <w:link w:val="53"/>
    <w:qFormat/>
    <w:uiPriority w:val="0"/>
    <w:pPr>
      <w:spacing w:after="120"/>
      <w:ind w:left="420" w:leftChars="200"/>
    </w:pPr>
  </w:style>
  <w:style w:type="paragraph" w:styleId="10">
    <w:name w:val="Block Text"/>
    <w:basedOn w:val="1"/>
    <w:qFormat/>
    <w:uiPriority w:val="99"/>
    <w:pPr>
      <w:spacing w:after="156"/>
    </w:pPr>
    <w:rPr>
      <w:rFonts w:ascii="宋体" w:hAnsi="Calibri"/>
      <w:szCs w:val="22"/>
    </w:rPr>
  </w:style>
  <w:style w:type="paragraph" w:styleId="11">
    <w:name w:val="toc 3"/>
    <w:basedOn w:val="1"/>
    <w:next w:val="1"/>
    <w:unhideWhenUsed/>
    <w:qFormat/>
    <w:locked/>
    <w:uiPriority w:val="39"/>
    <w:pPr>
      <w:widowControl/>
      <w:spacing w:after="100" w:line="276" w:lineRule="auto"/>
      <w:ind w:left="440"/>
      <w:jc w:val="left"/>
    </w:pPr>
    <w:rPr>
      <w:rFonts w:ascii="Calibri" w:hAnsi="Calibri"/>
      <w:kern w:val="0"/>
      <w:sz w:val="22"/>
      <w:szCs w:val="22"/>
    </w:rPr>
  </w:style>
  <w:style w:type="paragraph" w:styleId="12">
    <w:name w:val="Plain Text"/>
    <w:basedOn w:val="1"/>
    <w:link w:val="52"/>
    <w:qFormat/>
    <w:uiPriority w:val="0"/>
    <w:rPr>
      <w:rFonts w:ascii="宋体" w:hAnsi="Courier New"/>
      <w:szCs w:val="20"/>
    </w:rPr>
  </w:style>
  <w:style w:type="paragraph" w:styleId="13">
    <w:name w:val="Date"/>
    <w:basedOn w:val="1"/>
    <w:next w:val="1"/>
    <w:link w:val="34"/>
    <w:qFormat/>
    <w:uiPriority w:val="0"/>
    <w:pPr>
      <w:ind w:left="100" w:leftChars="2500"/>
    </w:pPr>
  </w:style>
  <w:style w:type="paragraph" w:styleId="14">
    <w:name w:val="Body Text Indent 2"/>
    <w:basedOn w:val="1"/>
    <w:link w:val="54"/>
    <w:qFormat/>
    <w:uiPriority w:val="0"/>
    <w:pPr>
      <w:spacing w:after="120" w:line="480" w:lineRule="auto"/>
      <w:ind w:left="420" w:leftChars="200"/>
    </w:pPr>
  </w:style>
  <w:style w:type="paragraph" w:styleId="15">
    <w:name w:val="Balloon Text"/>
    <w:basedOn w:val="1"/>
    <w:link w:val="42"/>
    <w:semiHidden/>
    <w:qFormat/>
    <w:uiPriority w:val="99"/>
    <w:rPr>
      <w:sz w:val="18"/>
      <w:szCs w:val="18"/>
    </w:rPr>
  </w:style>
  <w:style w:type="paragraph" w:styleId="16">
    <w:name w:val="footer"/>
    <w:basedOn w:val="1"/>
    <w:link w:val="35"/>
    <w:qFormat/>
    <w:uiPriority w:val="99"/>
    <w:pPr>
      <w:tabs>
        <w:tab w:val="center" w:pos="4153"/>
        <w:tab w:val="right" w:pos="8306"/>
      </w:tabs>
      <w:snapToGrid w:val="0"/>
      <w:jc w:val="left"/>
    </w:pPr>
    <w:rPr>
      <w:sz w:val="18"/>
      <w:szCs w:val="18"/>
    </w:rPr>
  </w:style>
  <w:style w:type="paragraph" w:styleId="17">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locked/>
    <w:uiPriority w:val="39"/>
    <w:pPr>
      <w:widowControl/>
      <w:spacing w:after="100" w:line="276" w:lineRule="auto"/>
      <w:jc w:val="left"/>
    </w:pPr>
    <w:rPr>
      <w:rFonts w:ascii="Calibri" w:hAnsi="Calibri"/>
      <w:kern w:val="0"/>
      <w:sz w:val="22"/>
      <w:szCs w:val="22"/>
    </w:rPr>
  </w:style>
  <w:style w:type="paragraph" w:styleId="19">
    <w:name w:val="toc 2"/>
    <w:basedOn w:val="1"/>
    <w:next w:val="1"/>
    <w:unhideWhenUsed/>
    <w:qFormat/>
    <w:locked/>
    <w:uiPriority w:val="39"/>
    <w:pPr>
      <w:widowControl/>
      <w:spacing w:after="100" w:line="276" w:lineRule="auto"/>
      <w:ind w:left="220"/>
      <w:jc w:val="left"/>
    </w:pPr>
    <w:rPr>
      <w:rFonts w:ascii="Calibri" w:hAnsi="Calibri"/>
      <w:kern w:val="0"/>
      <w:sz w:val="22"/>
      <w:szCs w:val="22"/>
    </w:rPr>
  </w:style>
  <w:style w:type="paragraph" w:styleId="20">
    <w:name w:val="toc 9"/>
    <w:basedOn w:val="1"/>
    <w:next w:val="1"/>
    <w:semiHidden/>
    <w:qFormat/>
    <w:locked/>
    <w:uiPriority w:val="0"/>
    <w:pPr>
      <w:ind w:left="3360" w:leftChars="1600"/>
    </w:pPr>
  </w:style>
  <w:style w:type="paragraph" w:styleId="21">
    <w:name w:val="Normal (Web)"/>
    <w:basedOn w:val="1"/>
    <w:qFormat/>
    <w:uiPriority w:val="99"/>
    <w:pPr>
      <w:widowControl/>
      <w:spacing w:before="100" w:beforeAutospacing="1" w:after="100" w:afterAutospacing="1"/>
      <w:jc w:val="left"/>
    </w:pPr>
    <w:rPr>
      <w:rFonts w:ascii="宋体" w:hAnsi="宋体"/>
      <w:kern w:val="0"/>
      <w:sz w:val="24"/>
    </w:rPr>
  </w:style>
  <w:style w:type="paragraph" w:styleId="22">
    <w:name w:val="Title"/>
    <w:basedOn w:val="1"/>
    <w:next w:val="1"/>
    <w:link w:val="50"/>
    <w:qFormat/>
    <w:locked/>
    <w:uiPriority w:val="0"/>
    <w:pPr>
      <w:spacing w:before="240" w:after="60"/>
      <w:jc w:val="center"/>
      <w:outlineLvl w:val="0"/>
    </w:pPr>
    <w:rPr>
      <w:rFonts w:ascii="Cambria" w:hAnsi="Cambria"/>
      <w:b/>
      <w:bCs/>
      <w:sz w:val="32"/>
      <w:szCs w:val="32"/>
    </w:rPr>
  </w:style>
  <w:style w:type="paragraph" w:styleId="23">
    <w:name w:val="annotation subject"/>
    <w:basedOn w:val="8"/>
    <w:next w:val="8"/>
    <w:link w:val="58"/>
    <w:semiHidden/>
    <w:unhideWhenUsed/>
    <w:qFormat/>
    <w:uiPriority w:val="99"/>
    <w:rPr>
      <w:b/>
      <w:bCs/>
    </w:rPr>
  </w:style>
  <w:style w:type="table" w:styleId="25">
    <w:name w:val="Table Grid"/>
    <w:basedOn w:val="2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locked/>
    <w:uiPriority w:val="22"/>
    <w:rPr>
      <w:b/>
      <w:bCs/>
    </w:rPr>
  </w:style>
  <w:style w:type="character" w:styleId="28">
    <w:name w:val="Hyperlink"/>
    <w:basedOn w:val="26"/>
    <w:qFormat/>
    <w:uiPriority w:val="99"/>
    <w:rPr>
      <w:rFonts w:cs="Times New Roman"/>
      <w:color w:val="0000FF"/>
      <w:u w:val="single"/>
    </w:rPr>
  </w:style>
  <w:style w:type="character" w:styleId="29">
    <w:name w:val="annotation reference"/>
    <w:basedOn w:val="26"/>
    <w:unhideWhenUsed/>
    <w:qFormat/>
    <w:uiPriority w:val="0"/>
    <w:rPr>
      <w:sz w:val="21"/>
      <w:szCs w:val="21"/>
    </w:rPr>
  </w:style>
  <w:style w:type="character" w:customStyle="1" w:styleId="30">
    <w:name w:val="标题 1 Char"/>
    <w:basedOn w:val="26"/>
    <w:link w:val="2"/>
    <w:qFormat/>
    <w:locked/>
    <w:uiPriority w:val="99"/>
    <w:rPr>
      <w:rFonts w:ascii="Cambria" w:hAnsi="Cambria" w:eastAsia="黑体"/>
      <w:b/>
      <w:bCs/>
      <w:kern w:val="32"/>
      <w:sz w:val="32"/>
      <w:szCs w:val="32"/>
    </w:rPr>
  </w:style>
  <w:style w:type="character" w:customStyle="1" w:styleId="31">
    <w:name w:val="标题 2 Char"/>
    <w:basedOn w:val="26"/>
    <w:link w:val="3"/>
    <w:qFormat/>
    <w:locked/>
    <w:uiPriority w:val="99"/>
    <w:rPr>
      <w:rFonts w:ascii="Cambria" w:hAnsi="Cambria" w:eastAsia="黑体"/>
      <w:b/>
      <w:bCs/>
      <w:iCs/>
      <w:sz w:val="32"/>
      <w:szCs w:val="28"/>
    </w:rPr>
  </w:style>
  <w:style w:type="character" w:customStyle="1" w:styleId="32">
    <w:name w:val="标题 3 Char"/>
    <w:basedOn w:val="26"/>
    <w:link w:val="4"/>
    <w:qFormat/>
    <w:locked/>
    <w:uiPriority w:val="99"/>
    <w:rPr>
      <w:rFonts w:ascii="Cambria" w:hAnsi="Cambria" w:eastAsia="宋体" w:cs="Times New Roman"/>
      <w:b/>
      <w:bCs/>
      <w:kern w:val="0"/>
      <w:sz w:val="26"/>
      <w:szCs w:val="26"/>
    </w:rPr>
  </w:style>
  <w:style w:type="character" w:customStyle="1" w:styleId="33">
    <w:name w:val="标题 5 Char"/>
    <w:basedOn w:val="26"/>
    <w:link w:val="6"/>
    <w:qFormat/>
    <w:locked/>
    <w:uiPriority w:val="99"/>
    <w:rPr>
      <w:rFonts w:ascii="宋体" w:hAnsi="宋体" w:eastAsia="宋体" w:cs="Times New Roman"/>
      <w:b/>
      <w:bCs/>
      <w:i/>
      <w:iCs/>
      <w:kern w:val="0"/>
      <w:sz w:val="26"/>
      <w:szCs w:val="26"/>
    </w:rPr>
  </w:style>
  <w:style w:type="character" w:customStyle="1" w:styleId="34">
    <w:name w:val="日期 Char"/>
    <w:basedOn w:val="26"/>
    <w:link w:val="13"/>
    <w:qFormat/>
    <w:locked/>
    <w:uiPriority w:val="0"/>
    <w:rPr>
      <w:rFonts w:ascii="Times New Roman" w:hAnsi="Times New Roman" w:eastAsia="宋体" w:cs="Times New Roman"/>
      <w:sz w:val="24"/>
      <w:szCs w:val="24"/>
    </w:rPr>
  </w:style>
  <w:style w:type="character" w:customStyle="1" w:styleId="35">
    <w:name w:val="页脚 Char"/>
    <w:basedOn w:val="26"/>
    <w:link w:val="16"/>
    <w:qFormat/>
    <w:locked/>
    <w:uiPriority w:val="99"/>
    <w:rPr>
      <w:rFonts w:cs="Times New Roman"/>
      <w:sz w:val="18"/>
      <w:szCs w:val="18"/>
    </w:rPr>
  </w:style>
  <w:style w:type="character" w:customStyle="1" w:styleId="36">
    <w:name w:val="页眉 Char"/>
    <w:basedOn w:val="26"/>
    <w:link w:val="17"/>
    <w:semiHidden/>
    <w:qFormat/>
    <w:locked/>
    <w:uiPriority w:val="99"/>
    <w:rPr>
      <w:rFonts w:cs="Times New Roman"/>
      <w:sz w:val="18"/>
      <w:szCs w:val="18"/>
    </w:rPr>
  </w:style>
  <w:style w:type="paragraph" w:customStyle="1" w:styleId="37">
    <w:name w:val="Char Char Char"/>
    <w:basedOn w:val="1"/>
    <w:qFormat/>
    <w:uiPriority w:val="99"/>
    <w:rPr>
      <w:rFonts w:ascii="Tahoma" w:hAnsi="Tahoma"/>
      <w:sz w:val="24"/>
      <w:szCs w:val="20"/>
    </w:rPr>
  </w:style>
  <w:style w:type="paragraph" w:customStyle="1" w:styleId="38">
    <w:name w:val="列出段落1"/>
    <w:basedOn w:val="1"/>
    <w:link w:val="40"/>
    <w:qFormat/>
    <w:uiPriority w:val="34"/>
    <w:pPr>
      <w:ind w:firstLine="420" w:firstLineChars="200"/>
    </w:pPr>
    <w:rPr>
      <w:kern w:val="0"/>
      <w:sz w:val="24"/>
      <w:szCs w:val="20"/>
    </w:rPr>
  </w:style>
  <w:style w:type="character" w:customStyle="1" w:styleId="39">
    <w:name w:val="正文缩进 Char"/>
    <w:link w:val="7"/>
    <w:qFormat/>
    <w:locked/>
    <w:uiPriority w:val="99"/>
    <w:rPr>
      <w:rFonts w:eastAsia="宋体"/>
    </w:rPr>
  </w:style>
  <w:style w:type="character" w:customStyle="1" w:styleId="40">
    <w:name w:val="列出段落 Char"/>
    <w:link w:val="38"/>
    <w:qFormat/>
    <w:locked/>
    <w:uiPriority w:val="34"/>
    <w:rPr>
      <w:rFonts w:ascii="Times New Roman" w:hAnsi="Times New Roman" w:eastAsia="宋体"/>
      <w:sz w:val="24"/>
    </w:rPr>
  </w:style>
  <w:style w:type="paragraph" w:customStyle="1" w:styleId="41">
    <w:name w:val="正文-带编号1)"/>
    <w:basedOn w:val="1"/>
    <w:qFormat/>
    <w:uiPriority w:val="99"/>
    <w:pPr>
      <w:spacing w:line="400" w:lineRule="exact"/>
    </w:pPr>
    <w:rPr>
      <w:rFonts w:ascii="Arial" w:hAnsi="Arial"/>
    </w:rPr>
  </w:style>
  <w:style w:type="character" w:customStyle="1" w:styleId="42">
    <w:name w:val="批注框文本 Char"/>
    <w:basedOn w:val="26"/>
    <w:link w:val="15"/>
    <w:semiHidden/>
    <w:qFormat/>
    <w:locked/>
    <w:uiPriority w:val="99"/>
    <w:rPr>
      <w:rFonts w:ascii="Times New Roman" w:hAnsi="Times New Roman" w:eastAsia="宋体" w:cs="Times New Roman"/>
      <w:kern w:val="2"/>
      <w:sz w:val="18"/>
      <w:szCs w:val="18"/>
    </w:rPr>
  </w:style>
  <w:style w:type="paragraph" w:customStyle="1" w:styleId="4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4">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45">
    <w:name w:val="Char Char Char Char Char Char Char1 Char"/>
    <w:basedOn w:val="1"/>
    <w:qFormat/>
    <w:uiPriority w:val="0"/>
    <w:rPr>
      <w:rFonts w:ascii="Tahoma" w:hAnsi="Tahoma"/>
      <w:sz w:val="24"/>
      <w:szCs w:val="20"/>
    </w:rPr>
  </w:style>
  <w:style w:type="paragraph" w:styleId="46">
    <w:name w:val="List Paragraph"/>
    <w:basedOn w:val="1"/>
    <w:qFormat/>
    <w:uiPriority w:val="34"/>
    <w:pPr>
      <w:ind w:firstLine="420" w:firstLineChars="200"/>
    </w:pPr>
    <w:rPr>
      <w:rFonts w:ascii="Calibri" w:hAnsi="Calibri"/>
      <w:szCs w:val="22"/>
    </w:rPr>
  </w:style>
  <w:style w:type="paragraph" w:customStyle="1" w:styleId="47">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48">
    <w:name w:val="TOC 标题1"/>
    <w:basedOn w:val="2"/>
    <w:next w:val="1"/>
    <w:semiHidden/>
    <w:unhideWhenUsed/>
    <w:qFormat/>
    <w:uiPriority w:val="39"/>
    <w:pPr>
      <w:keepLines/>
      <w:numPr>
        <w:numId w:val="0"/>
      </w:numPr>
      <w:spacing w:before="480" w:line="276" w:lineRule="auto"/>
      <w:outlineLvl w:val="9"/>
    </w:pPr>
    <w:rPr>
      <w:rFonts w:eastAsia="宋体"/>
      <w:color w:val="365F91"/>
      <w:kern w:val="0"/>
      <w:sz w:val="28"/>
      <w:szCs w:val="28"/>
    </w:rPr>
  </w:style>
  <w:style w:type="character" w:customStyle="1" w:styleId="49">
    <w:name w:val="标题 4 Char"/>
    <w:basedOn w:val="26"/>
    <w:link w:val="5"/>
    <w:qFormat/>
    <w:uiPriority w:val="0"/>
    <w:rPr>
      <w:rFonts w:ascii="Cambria" w:hAnsi="Cambria" w:eastAsia="宋体" w:cs="Times New Roman"/>
      <w:b/>
      <w:bCs/>
      <w:kern w:val="2"/>
      <w:sz w:val="28"/>
      <w:szCs w:val="28"/>
    </w:rPr>
  </w:style>
  <w:style w:type="character" w:customStyle="1" w:styleId="50">
    <w:name w:val="标题 Char"/>
    <w:basedOn w:val="26"/>
    <w:link w:val="22"/>
    <w:qFormat/>
    <w:uiPriority w:val="0"/>
    <w:rPr>
      <w:rFonts w:ascii="Cambria" w:hAnsi="Cambria" w:cs="Times New Roman"/>
      <w:b/>
      <w:bCs/>
      <w:kern w:val="2"/>
      <w:sz w:val="32"/>
      <w:szCs w:val="32"/>
    </w:rPr>
  </w:style>
  <w:style w:type="character" w:customStyle="1" w:styleId="51">
    <w:name w:val="纯文本 Char"/>
    <w:basedOn w:val="26"/>
    <w:semiHidden/>
    <w:qFormat/>
    <w:uiPriority w:val="99"/>
    <w:rPr>
      <w:rFonts w:ascii="宋体" w:hAnsi="Courier New" w:cs="Courier New"/>
      <w:kern w:val="2"/>
      <w:sz w:val="21"/>
      <w:szCs w:val="21"/>
    </w:rPr>
  </w:style>
  <w:style w:type="character" w:customStyle="1" w:styleId="52">
    <w:name w:val="纯文本 Char1"/>
    <w:link w:val="12"/>
    <w:qFormat/>
    <w:locked/>
    <w:uiPriority w:val="0"/>
    <w:rPr>
      <w:rFonts w:ascii="宋体" w:hAnsi="Courier New"/>
      <w:kern w:val="2"/>
      <w:sz w:val="21"/>
    </w:rPr>
  </w:style>
  <w:style w:type="character" w:customStyle="1" w:styleId="53">
    <w:name w:val="正文文本缩进 Char"/>
    <w:basedOn w:val="26"/>
    <w:link w:val="9"/>
    <w:qFormat/>
    <w:uiPriority w:val="0"/>
    <w:rPr>
      <w:rFonts w:ascii="Times New Roman" w:hAnsi="Times New Roman"/>
      <w:kern w:val="2"/>
      <w:sz w:val="21"/>
      <w:szCs w:val="24"/>
    </w:rPr>
  </w:style>
  <w:style w:type="character" w:customStyle="1" w:styleId="54">
    <w:name w:val="正文文本缩进 2 Char"/>
    <w:basedOn w:val="26"/>
    <w:link w:val="14"/>
    <w:qFormat/>
    <w:uiPriority w:val="0"/>
    <w:rPr>
      <w:rFonts w:ascii="Times New Roman" w:hAnsi="Times New Roman"/>
      <w:kern w:val="2"/>
      <w:sz w:val="21"/>
      <w:szCs w:val="24"/>
    </w:rPr>
  </w:style>
  <w:style w:type="paragraph" w:customStyle="1" w:styleId="5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6">
    <w:name w:val="项目正文"/>
    <w:basedOn w:val="1"/>
    <w:qFormat/>
    <w:uiPriority w:val="0"/>
    <w:pPr>
      <w:ind w:firstLine="482"/>
    </w:pPr>
  </w:style>
  <w:style w:type="character" w:customStyle="1" w:styleId="57">
    <w:name w:val="批注文字 Char"/>
    <w:basedOn w:val="26"/>
    <w:link w:val="8"/>
    <w:qFormat/>
    <w:uiPriority w:val="0"/>
    <w:rPr>
      <w:rFonts w:ascii="Times New Roman" w:hAnsi="Times New Roman" w:eastAsia="宋体" w:cs="Times New Roman"/>
      <w:kern w:val="2"/>
      <w:sz w:val="21"/>
      <w:szCs w:val="24"/>
    </w:rPr>
  </w:style>
  <w:style w:type="character" w:customStyle="1" w:styleId="58">
    <w:name w:val="批注主题 Char"/>
    <w:basedOn w:val="57"/>
    <w:link w:val="23"/>
    <w:qFormat/>
    <w:uiPriority w:val="0"/>
    <w:rPr>
      <w:rFonts w:ascii="Times New Roman" w:hAnsi="Times New Roman" w:eastAsia="宋体" w:cs="Times New Roman"/>
      <w:kern w:val="2"/>
      <w:sz w:val="21"/>
      <w:szCs w:val="24"/>
    </w:rPr>
  </w:style>
  <w:style w:type="character" w:customStyle="1" w:styleId="59">
    <w:name w:val="font101"/>
    <w:basedOn w:val="26"/>
    <w:qFormat/>
    <w:uiPriority w:val="0"/>
    <w:rPr>
      <w:rFonts w:hint="eastAsia" w:ascii="宋体" w:hAnsi="宋体" w:eastAsia="宋体" w:cs="宋体"/>
      <w:b/>
      <w:color w:val="000000"/>
      <w:sz w:val="20"/>
      <w:szCs w:val="20"/>
      <w:u w:val="none"/>
    </w:rPr>
  </w:style>
  <w:style w:type="character" w:customStyle="1" w:styleId="60">
    <w:name w:val="font111"/>
    <w:basedOn w:val="26"/>
    <w:qFormat/>
    <w:uiPriority w:val="0"/>
    <w:rPr>
      <w:rFonts w:hint="eastAsia" w:ascii="宋体" w:hAnsi="宋体" w:eastAsia="宋体" w:cs="宋体"/>
      <w:color w:val="000000"/>
      <w:sz w:val="20"/>
      <w:szCs w:val="20"/>
      <w:u w:val="none"/>
    </w:rPr>
  </w:style>
  <w:style w:type="character" w:customStyle="1" w:styleId="61">
    <w:name w:val="font181"/>
    <w:basedOn w:val="26"/>
    <w:qFormat/>
    <w:uiPriority w:val="0"/>
    <w:rPr>
      <w:rFonts w:hint="eastAsia" w:ascii="宋体" w:hAnsi="宋体" w:eastAsia="宋体" w:cs="宋体"/>
      <w:color w:val="FF0000"/>
      <w:sz w:val="20"/>
      <w:szCs w:val="20"/>
      <w:u w:val="none"/>
    </w:rPr>
  </w:style>
  <w:style w:type="character" w:customStyle="1" w:styleId="62">
    <w:name w:val="font12"/>
    <w:basedOn w:val="26"/>
    <w:qFormat/>
    <w:uiPriority w:val="0"/>
    <w:rPr>
      <w:rFonts w:hint="eastAsia" w:ascii="宋体" w:hAnsi="宋体" w:eastAsia="宋体" w:cs="宋体"/>
      <w:color w:val="000000"/>
      <w:sz w:val="22"/>
      <w:szCs w:val="22"/>
      <w:u w:val="none"/>
    </w:rPr>
  </w:style>
  <w:style w:type="character" w:customStyle="1" w:styleId="63">
    <w:name w:val="font161"/>
    <w:basedOn w:val="26"/>
    <w:qFormat/>
    <w:uiPriority w:val="0"/>
    <w:rPr>
      <w:rFonts w:hint="eastAsia" w:ascii="宋体" w:hAnsi="宋体" w:eastAsia="宋体" w:cs="宋体"/>
      <w:color w:val="000000"/>
      <w:sz w:val="22"/>
      <w:szCs w:val="22"/>
      <w:u w:val="none"/>
    </w:rPr>
  </w:style>
  <w:style w:type="character" w:customStyle="1" w:styleId="64">
    <w:name w:val="font51"/>
    <w:basedOn w:val="26"/>
    <w:qFormat/>
    <w:uiPriority w:val="0"/>
    <w:rPr>
      <w:rFonts w:hint="eastAsia" w:ascii="宋体" w:hAnsi="宋体" w:eastAsia="宋体" w:cs="宋体"/>
      <w:b/>
      <w:color w:val="000000"/>
      <w:sz w:val="20"/>
      <w:szCs w:val="20"/>
      <w:u w:val="none"/>
    </w:rPr>
  </w:style>
  <w:style w:type="character" w:customStyle="1" w:styleId="65">
    <w:name w:val="font122"/>
    <w:basedOn w:val="26"/>
    <w:qFormat/>
    <w:uiPriority w:val="0"/>
    <w:rPr>
      <w:rFonts w:hint="eastAsia" w:ascii="宋体" w:hAnsi="宋体" w:eastAsia="宋体" w:cs="宋体"/>
      <w:color w:val="000000"/>
      <w:sz w:val="22"/>
      <w:szCs w:val="22"/>
      <w:u w:val="none"/>
    </w:rPr>
  </w:style>
  <w:style w:type="paragraph" w:customStyle="1" w:styleId="6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F0984-D3E1-4902-A338-2017D907EB5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2905</Words>
  <Characters>16561</Characters>
  <Lines>138</Lines>
  <Paragraphs>38</Paragraphs>
  <TotalTime>0</TotalTime>
  <ScaleCrop>false</ScaleCrop>
  <LinksUpToDate>false</LinksUpToDate>
  <CharactersWithSpaces>19428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2021-06-08T03:55:00Z</dcterms:created>
  <dc:creator>WG</dc:creator>
  <cp:lastModifiedBy>着迷</cp:lastModifiedBy>
  <cp:lastPrinted>2020-03-27T01:55:00Z</cp:lastPrinted>
  <dcterms:modified xsi:type="dcterms:W3CDTF">2021-06-20T23:32:17Z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52D301E8B99346F59272898DB24D435A</vt:lpwstr>
  </property>
</Properties>
</file>