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491005864"/>
      <w:bookmarkStart w:id="1" w:name="_Toc13732416"/>
    </w:p>
    <w:p>
      <w:pPr>
        <w:jc w:val="center"/>
        <w:rPr>
          <w:b/>
          <w:sz w:val="44"/>
          <w:szCs w:val="44"/>
        </w:rPr>
      </w:pPr>
    </w:p>
    <w:p>
      <w:pPr>
        <w:jc w:val="center"/>
        <w:rPr>
          <w:rFonts w:hint="eastAsia"/>
          <w:b/>
          <w:sz w:val="44"/>
          <w:szCs w:val="44"/>
        </w:rPr>
      </w:pPr>
      <w:r>
        <w:rPr>
          <w:rFonts w:hint="eastAsia"/>
          <w:b/>
          <w:sz w:val="44"/>
          <w:szCs w:val="44"/>
        </w:rPr>
        <w:t>合肥百货大楼集团股份有限公司</w:t>
      </w:r>
    </w:p>
    <w:p>
      <w:pPr>
        <w:jc w:val="center"/>
        <w:rPr>
          <w:rFonts w:hint="eastAsia"/>
          <w:b/>
          <w:sz w:val="44"/>
          <w:szCs w:val="44"/>
        </w:rPr>
      </w:pPr>
    </w:p>
    <w:p>
      <w:pPr>
        <w:jc w:val="center"/>
        <w:rPr>
          <w:rFonts w:hint="eastAsia" w:eastAsia="宋体"/>
          <w:b/>
          <w:kern w:val="2"/>
          <w:sz w:val="44"/>
          <w:szCs w:val="44"/>
          <w:lang w:val="en-US" w:eastAsia="zh-CN"/>
        </w:rPr>
      </w:pPr>
      <w:r>
        <w:rPr>
          <w:rFonts w:hint="eastAsia" w:eastAsia="宋体"/>
          <w:b/>
          <w:kern w:val="2"/>
          <w:sz w:val="44"/>
          <w:szCs w:val="44"/>
          <w:lang w:eastAsia="zh-CN"/>
        </w:rPr>
        <w:t>成员企业</w:t>
      </w:r>
      <w:r>
        <w:rPr>
          <w:rFonts w:hint="eastAsia" w:eastAsia="宋体"/>
          <w:b/>
          <w:kern w:val="2"/>
          <w:sz w:val="44"/>
          <w:szCs w:val="44"/>
        </w:rPr>
        <w:t>合同能源管理服务</w:t>
      </w:r>
      <w:r>
        <w:rPr>
          <w:rFonts w:hint="eastAsia"/>
          <w:b/>
          <w:kern w:val="2"/>
          <w:sz w:val="44"/>
          <w:szCs w:val="44"/>
          <w:lang w:eastAsia="zh-CN"/>
        </w:rPr>
        <w:t>（四次）</w:t>
      </w:r>
    </w:p>
    <w:p>
      <w:pPr>
        <w:jc w:val="center"/>
      </w:pPr>
    </w:p>
    <w:p>
      <w:pPr>
        <w:jc w:val="center"/>
      </w:pPr>
    </w:p>
    <w:p>
      <w:pPr>
        <w:jc w:val="center"/>
      </w:pPr>
    </w:p>
    <w:p>
      <w:pPr>
        <w:jc w:val="center"/>
      </w:pPr>
    </w:p>
    <w:p>
      <w:pPr>
        <w:jc w:val="center"/>
      </w:pPr>
    </w:p>
    <w:p>
      <w:pPr>
        <w:jc w:val="center"/>
      </w:pPr>
    </w:p>
    <w:p>
      <w:pPr>
        <w:jc w:val="center"/>
        <w:rPr>
          <w:rFonts w:ascii="黑体" w:eastAsia="黑体"/>
          <w:b/>
          <w:sz w:val="52"/>
          <w:szCs w:val="52"/>
        </w:rPr>
      </w:pPr>
      <w:r>
        <w:rPr>
          <w:rFonts w:hint="eastAsia" w:ascii="黑体" w:eastAsia="黑体"/>
          <w:b/>
          <w:sz w:val="52"/>
          <w:szCs w:val="52"/>
        </w:rPr>
        <w:t>招标文件</w:t>
      </w:r>
    </w:p>
    <w:p/>
    <w:p/>
    <w:p/>
    <w:p/>
    <w:p/>
    <w:p/>
    <w:p/>
    <w:p/>
    <w:p/>
    <w:p/>
    <w:p/>
    <w:p/>
    <w:p/>
    <w:p/>
    <w:p/>
    <w:p/>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项目编号: HBZ-200</w:t>
      </w:r>
      <w:r>
        <w:rPr>
          <w:rFonts w:hint="eastAsia" w:ascii="宋体" w:hAnsi="DotumChe" w:cs="宋体"/>
          <w:b/>
          <w:spacing w:val="20"/>
          <w:kern w:val="0"/>
          <w:sz w:val="32"/>
          <w:szCs w:val="32"/>
          <w:lang w:val="en-US" w:eastAsia="zh-CN"/>
        </w:rPr>
        <w:t>98</w:t>
      </w:r>
      <w:r>
        <w:rPr>
          <w:rFonts w:hint="eastAsia" w:ascii="宋体" w:hAnsi="DotumChe" w:cs="宋体"/>
          <w:b/>
          <w:spacing w:val="20"/>
          <w:kern w:val="0"/>
          <w:sz w:val="32"/>
          <w:szCs w:val="32"/>
        </w:rPr>
        <w:t>-JT0</w:t>
      </w:r>
      <w:r>
        <w:rPr>
          <w:rFonts w:hint="eastAsia" w:ascii="宋体" w:hAnsi="DotumChe" w:cs="宋体"/>
          <w:b/>
          <w:spacing w:val="20"/>
          <w:kern w:val="0"/>
          <w:sz w:val="32"/>
          <w:szCs w:val="32"/>
          <w:lang w:val="en-US" w:eastAsia="zh-CN"/>
        </w:rPr>
        <w:t>9</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合肥百货大楼集团股份有限公司</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highlight w:val="none"/>
          <w:lang w:eastAsia="zh-CN"/>
        </w:rPr>
      </w:pPr>
      <w:r>
        <w:rPr>
          <w:rFonts w:hint="eastAsia" w:ascii="宋体" w:hAnsi="DotumChe" w:cs="宋体"/>
          <w:b/>
          <w:spacing w:val="20"/>
          <w:kern w:val="0"/>
          <w:sz w:val="32"/>
          <w:szCs w:val="32"/>
        </w:rPr>
        <w:t>招标时间：</w:t>
      </w:r>
      <w:r>
        <w:rPr>
          <w:rFonts w:hint="eastAsia" w:ascii="宋体" w:hAnsi="DotumChe" w:cs="宋体"/>
          <w:b/>
          <w:spacing w:val="20"/>
          <w:kern w:val="0"/>
          <w:sz w:val="32"/>
          <w:szCs w:val="32"/>
          <w:highlight w:val="none"/>
        </w:rPr>
        <w:t>二〇二</w:t>
      </w:r>
      <w:r>
        <w:rPr>
          <w:rFonts w:hint="eastAsia" w:ascii="宋体" w:hAnsi="DotumChe" w:cs="宋体"/>
          <w:b/>
          <w:spacing w:val="20"/>
          <w:kern w:val="0"/>
          <w:sz w:val="32"/>
          <w:szCs w:val="32"/>
          <w:highlight w:val="none"/>
          <w:lang w:eastAsia="zh-CN"/>
        </w:rPr>
        <w:t>一</w:t>
      </w:r>
      <w:r>
        <w:rPr>
          <w:rFonts w:hint="eastAsia" w:ascii="宋体" w:hAnsi="DotumChe" w:cs="宋体"/>
          <w:b/>
          <w:spacing w:val="20"/>
          <w:kern w:val="0"/>
          <w:sz w:val="32"/>
          <w:szCs w:val="32"/>
          <w:highlight w:val="none"/>
        </w:rPr>
        <w:t>年</w:t>
      </w:r>
      <w:r>
        <w:rPr>
          <w:rFonts w:hint="eastAsia" w:ascii="宋体" w:hAnsi="DotumChe" w:cs="宋体"/>
          <w:b/>
          <w:spacing w:val="20"/>
          <w:kern w:val="0"/>
          <w:sz w:val="32"/>
          <w:szCs w:val="32"/>
          <w:highlight w:val="none"/>
          <w:lang w:eastAsia="zh-CN"/>
        </w:rPr>
        <w:t>三月</w:t>
      </w:r>
    </w:p>
    <w:p>
      <w:pPr>
        <w:tabs>
          <w:tab w:val="left" w:pos="2410"/>
        </w:tabs>
        <w:autoSpaceDE w:val="0"/>
        <w:autoSpaceDN w:val="0"/>
        <w:adjustRightInd w:val="0"/>
        <w:snapToGrid w:val="0"/>
        <w:spacing w:line="360" w:lineRule="auto"/>
        <w:rPr>
          <w:rFonts w:hint="eastAsia" w:ascii="宋体" w:hAnsi="DotumChe" w:cs="宋体"/>
          <w:b/>
          <w:spacing w:val="20"/>
          <w:kern w:val="0"/>
          <w:sz w:val="32"/>
          <w:szCs w:val="32"/>
          <w:lang w:eastAsia="zh-CN"/>
        </w:rPr>
      </w:pP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Pr>
        <w:spacing w:line="50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我公司现对合肥百货大楼集团股份有限公司所属</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家</w:t>
      </w:r>
      <w:r>
        <w:rPr>
          <w:rFonts w:hint="eastAsia" w:asciiTheme="minorEastAsia" w:hAnsiTheme="minorEastAsia" w:eastAsiaTheme="minorEastAsia" w:cstheme="minorEastAsia"/>
          <w:sz w:val="24"/>
        </w:rPr>
        <w:t>门店（以下简称：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）的合同能源管理服务招标，欢迎合格的投标人前来投标，相关事项如下：</w:t>
      </w:r>
    </w:p>
    <w:p>
      <w:pPr>
        <w:widowControl/>
        <w:spacing w:line="500" w:lineRule="exact"/>
        <w:ind w:firstLine="482"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一、标的简介：</w:t>
      </w:r>
    </w:p>
    <w:p>
      <w:pPr>
        <w:spacing w:line="500" w:lineRule="exact"/>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highlight w:val="none"/>
        </w:rPr>
        <w:t>HBZ-200</w:t>
      </w:r>
      <w:r>
        <w:rPr>
          <w:rFonts w:hint="eastAsia" w:asciiTheme="minorEastAsia" w:hAnsiTheme="minorEastAsia" w:eastAsiaTheme="minorEastAsia" w:cstheme="minorEastAsia"/>
          <w:sz w:val="24"/>
          <w:highlight w:val="none"/>
          <w:lang w:val="en-US" w:eastAsia="zh-CN"/>
        </w:rPr>
        <w:t>98</w:t>
      </w:r>
      <w:r>
        <w:rPr>
          <w:rFonts w:hint="eastAsia" w:asciiTheme="minorEastAsia" w:hAnsiTheme="minorEastAsia" w:eastAsiaTheme="minorEastAsia" w:cstheme="minorEastAsia"/>
          <w:sz w:val="24"/>
          <w:highlight w:val="none"/>
        </w:rPr>
        <w:t>-JT0</w:t>
      </w:r>
      <w:r>
        <w:rPr>
          <w:rFonts w:hint="eastAsia" w:asciiTheme="minorEastAsia" w:hAnsiTheme="minorEastAsia" w:eastAsiaTheme="minorEastAsia" w:cstheme="minorEastAsia"/>
          <w:sz w:val="24"/>
          <w:highlight w:val="none"/>
          <w:lang w:val="en-US" w:eastAsia="zh-CN"/>
        </w:rPr>
        <w:t>9</w:t>
      </w:r>
    </w:p>
    <w:p>
      <w:pPr>
        <w:spacing w:line="500" w:lineRule="exact"/>
        <w:ind w:firstLine="360" w:firstLineChars="15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2.项目名称：</w:t>
      </w: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（四次）</w:t>
      </w:r>
    </w:p>
    <w:p>
      <w:pPr>
        <w:pStyle w:val="71"/>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3.项目地点：</w:t>
      </w:r>
    </w:p>
    <w:tbl>
      <w:tblPr>
        <w:tblStyle w:val="28"/>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91"/>
        <w:gridCol w:w="2386"/>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序号</w:t>
            </w:r>
          </w:p>
        </w:tc>
        <w:tc>
          <w:tcPr>
            <w:tcW w:w="1391"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区域</w:t>
            </w:r>
          </w:p>
        </w:tc>
        <w:tc>
          <w:tcPr>
            <w:tcW w:w="2386" w:type="dxa"/>
            <w:vAlign w:val="center"/>
          </w:tcPr>
          <w:p>
            <w:pPr>
              <w:jc w:val="center"/>
              <w:rPr>
                <w:rFonts w:hint="eastAsia" w:eastAsia="宋体"/>
                <w:sz w:val="28"/>
                <w:szCs w:val="28"/>
                <w:vertAlign w:val="baseline"/>
                <w:lang w:eastAsia="zh-CN"/>
              </w:rPr>
            </w:pPr>
            <w:r>
              <w:rPr>
                <w:rFonts w:hint="eastAsia" w:ascii="宋体" w:hAnsi="宋体" w:cs="宋体"/>
                <w:b/>
                <w:bCs/>
                <w:color w:val="000000"/>
                <w:kern w:val="0"/>
                <w:sz w:val="28"/>
                <w:szCs w:val="28"/>
              </w:rPr>
              <w:t>门店</w:t>
            </w:r>
            <w:r>
              <w:rPr>
                <w:rFonts w:hint="eastAsia" w:ascii="宋体" w:hAnsi="宋体" w:cs="宋体"/>
                <w:b/>
                <w:bCs/>
                <w:color w:val="000000"/>
                <w:kern w:val="0"/>
                <w:sz w:val="28"/>
                <w:szCs w:val="28"/>
                <w:lang w:eastAsia="zh-CN"/>
              </w:rPr>
              <w:t>名称</w:t>
            </w:r>
          </w:p>
        </w:tc>
        <w:tc>
          <w:tcPr>
            <w:tcW w:w="4109" w:type="dxa"/>
            <w:vAlign w:val="center"/>
          </w:tcPr>
          <w:p>
            <w:pPr>
              <w:jc w:val="center"/>
              <w:rPr>
                <w:rFonts w:hint="eastAsia"/>
                <w:sz w:val="28"/>
                <w:szCs w:val="28"/>
                <w:vertAlign w:val="baseline"/>
                <w:lang w:eastAsia="zh-CN"/>
              </w:rPr>
            </w:pPr>
            <w:r>
              <w:rPr>
                <w:rFonts w:hint="eastAsia" w:ascii="宋体" w:hAnsi="宋体" w:cs="宋体"/>
                <w:b/>
                <w:bCs/>
                <w:color w:val="000000"/>
                <w:kern w:val="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91" w:type="dxa"/>
            <w:vMerge w:val="restart"/>
            <w:vAlign w:val="center"/>
          </w:tcPr>
          <w:p>
            <w:pPr>
              <w:jc w:val="center"/>
              <w:rPr>
                <w:rFonts w:hint="eastAsia" w:ascii="宋体" w:hAnsi="宋体" w:eastAsia="宋体" w:cs="宋体"/>
                <w:sz w:val="21"/>
                <w:szCs w:val="21"/>
                <w:vertAlign w:val="baseline"/>
                <w:lang w:eastAsia="zh-CN"/>
              </w:rPr>
            </w:pPr>
            <w:r>
              <w:rPr>
                <w:rFonts w:hint="eastAsia" w:asciiTheme="minorEastAsia" w:hAnsiTheme="minorEastAsia" w:eastAsiaTheme="minorEastAsia" w:cstheme="minorEastAsia"/>
                <w:sz w:val="24"/>
                <w:lang w:eastAsia="zh-CN"/>
              </w:rPr>
              <w:t>合肥</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合家福高教基地店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新站区文忠路与前江路交口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391" w:type="dxa"/>
            <w:vMerge w:val="continue"/>
            <w:vAlign w:val="center"/>
          </w:tcPr>
          <w:p>
            <w:pPr>
              <w:jc w:val="center"/>
              <w:rPr>
                <w:rFonts w:hint="eastAsia" w:ascii="宋体" w:hAnsi="宋体" w:eastAsia="宋体" w:cs="宋体"/>
                <w:sz w:val="21"/>
                <w:szCs w:val="21"/>
                <w:vertAlign w:val="baseline"/>
                <w:lang w:eastAsia="zh-CN"/>
              </w:rPr>
            </w:pP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合家福琥珀名城店</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瑶海区长江东路与龙岗路交口琥珀名城和园一、二层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391"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异地</w:t>
            </w:r>
          </w:p>
        </w:tc>
        <w:tc>
          <w:tcPr>
            <w:tcW w:w="2386"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蚌埠百大名品中心</w:t>
            </w:r>
          </w:p>
        </w:tc>
        <w:tc>
          <w:tcPr>
            <w:tcW w:w="4109"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安徽省蚌埠市淮河路981号</w:t>
            </w:r>
          </w:p>
        </w:tc>
      </w:tr>
    </w:tbl>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4.项目节能率：</w:t>
      </w:r>
      <w:r>
        <w:rPr>
          <w:rFonts w:hint="eastAsia" w:asciiTheme="minorEastAsia" w:hAnsiTheme="minorEastAsia" w:eastAsiaTheme="minorEastAsia" w:cstheme="minorEastAsia"/>
          <w:sz w:val="24"/>
          <w:lang w:eastAsia="zh-CN"/>
        </w:rPr>
        <w:t>各成员企业项目节能率</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15</w:t>
      </w:r>
      <w:r>
        <w:rPr>
          <w:rFonts w:hint="eastAsia" w:asciiTheme="minorEastAsia" w:hAnsiTheme="minorEastAsia" w:eastAsiaTheme="minorEastAsia" w:cstheme="minorEastAsia"/>
          <w:sz w:val="24"/>
        </w:rPr>
        <w:t>%</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二、投标人资格：</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1.具有独立法人和一般纳税人资质,注册资金不小于人民币1000万元</w:t>
      </w:r>
      <w:r>
        <w:rPr>
          <w:rFonts w:hint="eastAsia" w:asciiTheme="minorEastAsia" w:hAnsiTheme="minorEastAsia" w:eastAsiaTheme="minorEastAsia" w:cstheme="minorEastAsia"/>
          <w:sz w:val="24"/>
          <w:lang w:eastAsia="zh-CN"/>
        </w:rPr>
        <w:t>。</w:t>
      </w:r>
    </w:p>
    <w:p>
      <w:pPr>
        <w:spacing w:line="500" w:lineRule="exact"/>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sz w:val="24"/>
        </w:rPr>
        <w:t>2.须提供一份2015年1月1日至今公共建筑合同能源管理业绩合同</w:t>
      </w:r>
      <w:r>
        <w:rPr>
          <w:rFonts w:hint="eastAsia" w:asciiTheme="minorEastAsia" w:hAnsiTheme="minorEastAsia" w:eastAsiaTheme="minorEastAsia" w:cstheme="minorEastAsia"/>
          <w:kern w:val="0"/>
          <w:sz w:val="24"/>
          <w:lang w:val="en-US" w:eastAsia="zh-CN"/>
        </w:rPr>
        <w:t>（业绩要求详见投标人须知前附表第18条）。</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3.投标人须符合下列情形之一（以在“安徽合肥公共资源交易中心”网站http://ggzy.hefei.gov.cn/pgt/exposureDesk.html查询信息为准）；</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1）开标日前两年内未被合肥市及其所辖县（市）公共资源交易监督管理局记不良行为记录或记不良行为记录累计未满10分的。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2）最近一次被合肥市及其所辖县（市）公共资源交易监督管理局记不良行为记录累计记分达10分(含10分)到15分且公布日距开标日超过6个月。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3）最近一次被合肥市及其所辖县（市）公共资源交易监督管理局记不良行为记录累计记分达15分(含15分)到20分且公布日距开标日超过12个月。 </w:t>
      </w:r>
      <w:r>
        <w:rPr>
          <w:rFonts w:hint="eastAsia" w:asciiTheme="minorEastAsia" w:hAnsiTheme="minorEastAsia" w:eastAsiaTheme="minorEastAsia" w:cstheme="minorEastAsia"/>
          <w:kern w:val="0"/>
          <w:sz w:val="24"/>
        </w:rPr>
        <w:br w:type="textWrapping"/>
      </w:r>
      <w:r>
        <w:rPr>
          <w:rFonts w:hint="eastAsia" w:asciiTheme="minorEastAsia" w:hAnsiTheme="minorEastAsia" w:eastAsiaTheme="minorEastAsia" w:cstheme="minorEastAsia"/>
          <w:kern w:val="0"/>
          <w:sz w:val="24"/>
        </w:rPr>
        <w:t xml:space="preserve">    4）最近一次被合肥市及其所辖县（市）公共资源交易监督管理局记不良行为记录累计记分达20分(含20分)及以上且公布日距开标日超过24个月。</w:t>
      </w:r>
    </w:p>
    <w:p>
      <w:pPr>
        <w:spacing w:line="500" w:lineRule="exact"/>
        <w:ind w:left="420" w:leftChars="20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4.投标人存在以下不良信用记录情形之一的，不得推荐为中标候选人，不得确定为中标人（以在“信用中国”网站http://www.creditchina.gov.cn/查询信息为准）</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1)投标人被人民法院列入失信被执行人的。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)投标人被工商行政管理部门列入企业经营异常名录的。</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)投标人被税务部门列入重大税收违法案件当事人名单的。</w:t>
      </w:r>
    </w:p>
    <w:p>
      <w:pPr>
        <w:spacing w:line="50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DFFFB"/>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本项目不接受联合体投标</w:t>
      </w:r>
      <w:r>
        <w:rPr>
          <w:rFonts w:hint="eastAsia" w:asciiTheme="minorEastAsia" w:hAnsiTheme="minorEastAsia" w:eastAsiaTheme="minorEastAsia" w:cstheme="minorEastAsia"/>
          <w:kern w:val="0"/>
          <w:sz w:val="24"/>
        </w:rPr>
        <w:t>；</w:t>
      </w:r>
    </w:p>
    <w:p>
      <w:pPr>
        <w:spacing w:line="500" w:lineRule="exact"/>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b/>
          <w:kern w:val="0"/>
          <w:sz w:val="24"/>
        </w:rPr>
        <w:t>以上证明文件复印件加盖公章后做入投标文件；</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三、标书领取日期及方法</w:t>
      </w:r>
      <w:r>
        <w:rPr>
          <w:rFonts w:hint="eastAsia" w:asciiTheme="minorEastAsia" w:hAnsiTheme="minorEastAsia" w:eastAsiaTheme="minorEastAsia" w:cstheme="minorEastAsia"/>
          <w:sz w:val="24"/>
        </w:rPr>
        <w:t>： </w:t>
      </w:r>
    </w:p>
    <w:p>
      <w:pPr>
        <w:pStyle w:val="72"/>
        <w:spacing w:line="500" w:lineRule="exact"/>
        <w:ind w:firstLine="480" w:firstLineChars="200"/>
        <w:rPr>
          <w:rFonts w:hint="default"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rPr>
        <w:t>1.标书领取日期：</w:t>
      </w:r>
      <w:r>
        <w:rPr>
          <w:rFonts w:hint="eastAsia" w:asciiTheme="minorEastAsia" w:hAnsiTheme="minorEastAsia" w:eastAsiaTheme="minorEastAsia" w:cstheme="minorEastAsia"/>
          <w:highlight w:val="none"/>
        </w:rPr>
        <w:t>202</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lang w:val="en-US" w:eastAsia="zh-CN"/>
        </w:rPr>
        <w:t>03</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19</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12:00 </w:t>
      </w:r>
      <w:r>
        <w:rPr>
          <w:rFonts w:hint="eastAsia" w:asciiTheme="minorEastAsia" w:hAnsiTheme="minorEastAsia" w:eastAsiaTheme="minorEastAsia" w:cstheme="minorEastAsia"/>
          <w:highlight w:val="none"/>
        </w:rPr>
        <w:t>至202</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lang w:val="en-US" w:eastAsia="zh-CN"/>
        </w:rPr>
        <w:t>04</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06</w:t>
      </w:r>
      <w:r>
        <w:rPr>
          <w:rFonts w:hint="eastAsia" w:asciiTheme="minorEastAsia" w:hAnsiTheme="minorEastAsia" w:eastAsiaTheme="minorEastAsia" w:cstheme="minorEastAsia"/>
          <w:highlight w:val="none"/>
        </w:rPr>
        <w:t>日</w:t>
      </w:r>
      <w:r>
        <w:rPr>
          <w:rFonts w:hint="eastAsia" w:asciiTheme="minorEastAsia" w:hAnsiTheme="minorEastAsia" w:eastAsiaTheme="minorEastAsia" w:cstheme="minorEastAsia"/>
          <w:highlight w:val="none"/>
          <w:lang w:val="en-US" w:eastAsia="zh-CN"/>
        </w:rPr>
        <w:t xml:space="preserve"> 17:30</w:t>
      </w:r>
    </w:p>
    <w:p>
      <w:pPr>
        <w:pStyle w:val="72"/>
        <w:spacing w:line="5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2.标书领取方法：登录网站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"http://www.hfbh.com.cn/" \t "http://www.hfbh.com.cn/WebArticle/_blank"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www.hfbh.com.cn</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下载标书（下载标书的投标单位按要求参加资格审查）。</w:t>
      </w:r>
    </w:p>
    <w:p>
      <w:pPr>
        <w:pStyle w:val="72"/>
        <w:spacing w:line="500" w:lineRule="exact"/>
        <w:ind w:firstLine="482"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四、资格预审：</w:t>
      </w:r>
      <w:r>
        <w:rPr>
          <w:rFonts w:hint="eastAsia" w:asciiTheme="minorEastAsia" w:hAnsiTheme="minorEastAsia" w:eastAsiaTheme="minorEastAsia" w:cstheme="minorEastAsia"/>
          <w:kern w:val="0"/>
          <w:sz w:val="24"/>
          <w:szCs w:val="24"/>
          <w:highlight w:val="none"/>
          <w:lang w:val="en-US" w:eastAsia="zh-CN" w:bidi="ar-SA"/>
        </w:rPr>
        <w:t>2021年04月07日12:00</w:t>
      </w:r>
      <w:r>
        <w:rPr>
          <w:rFonts w:hint="eastAsia" w:asciiTheme="minorEastAsia" w:hAnsiTheme="minorEastAsia" w:eastAsiaTheme="minorEastAsia" w:cstheme="minorEastAsia"/>
          <w:kern w:val="0"/>
          <w:sz w:val="24"/>
          <w:szCs w:val="24"/>
          <w:lang w:val="en-US" w:eastAsia="zh-CN" w:bidi="ar-SA"/>
        </w:rPr>
        <w:t>之前将本章第二条“投标人要求”中的相关材料电子版发送至QQ邮箱277351016接受资格预审，审查合格的投标人以转账方式缴纳投标保证金，逾期或未参加资格预审的投标人，招标人有权利不接受其投标。资格预审仅为报名参加投标依据，投标人资质是否符合招标文件要求以评标复审为准。</w:t>
      </w:r>
    </w:p>
    <w:p>
      <w:pPr>
        <w:spacing w:line="5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五、投标保证金：</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04</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07</w:t>
      </w:r>
      <w:r>
        <w:rPr>
          <w:rFonts w:hint="eastAsia" w:asciiTheme="minorEastAsia" w:hAnsiTheme="minorEastAsia" w:eastAsiaTheme="minorEastAsia" w:cstheme="minorEastAsia"/>
          <w:sz w:val="24"/>
          <w:highlight w:val="none"/>
        </w:rPr>
        <w:t>日16：00前</w:t>
      </w:r>
      <w:r>
        <w:rPr>
          <w:rFonts w:hint="eastAsia" w:asciiTheme="minorEastAsia" w:hAnsiTheme="minorEastAsia" w:eastAsiaTheme="minorEastAsia" w:cstheme="minorEastAsia"/>
          <w:sz w:val="24"/>
        </w:rPr>
        <w:t>（以实际到账时间为准）通过转账的方式缴纳投标保证金</w:t>
      </w:r>
      <w:r>
        <w:rPr>
          <w:rFonts w:hint="eastAsia" w:asciiTheme="minorEastAsia" w:hAnsiTheme="minorEastAsia" w:eastAsiaTheme="minorEastAsia" w:cstheme="minorEastAsia"/>
          <w:b/>
          <w:sz w:val="24"/>
          <w:highlight w:val="none"/>
          <w:lang w:eastAsia="zh-CN"/>
        </w:rPr>
        <w:t>贰</w:t>
      </w:r>
      <w:r>
        <w:rPr>
          <w:rFonts w:hint="eastAsia" w:asciiTheme="minorEastAsia" w:hAnsiTheme="minorEastAsia" w:eastAsiaTheme="minorEastAsia" w:cstheme="minorEastAsia"/>
          <w:b/>
          <w:sz w:val="24"/>
        </w:rPr>
        <w:t>万元，</w:t>
      </w:r>
      <w:r>
        <w:rPr>
          <w:rFonts w:hint="eastAsia" w:asciiTheme="minorEastAsia" w:hAnsiTheme="minorEastAsia" w:eastAsiaTheme="minorEastAsia" w:cstheme="minorEastAsia"/>
          <w:sz w:val="24"/>
        </w:rPr>
        <w:t>如未中标，招标结束后无息退还。</w:t>
      </w:r>
    </w:p>
    <w:p>
      <w:pPr>
        <w:spacing w:line="50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1.</w:t>
      </w:r>
      <w:r>
        <w:rPr>
          <w:rFonts w:hint="eastAsia" w:asciiTheme="minorEastAsia" w:hAnsiTheme="minorEastAsia" w:eastAsiaTheme="minorEastAsia" w:cstheme="minorEastAsia"/>
          <w:kern w:val="0"/>
          <w:sz w:val="24"/>
          <w:lang w:val="zh-CN"/>
        </w:rPr>
        <w:t>名称</w:t>
      </w: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账　号：34050146380800000974</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开户行： 中国建设银行股份有限公司合肥濉溪路支行</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4.下列任何情况发生，投标保证金将不予退还：</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（1）在开标之日后投标人擅自撤回投标的；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（2）中标人不按规定与招标人签订合同的；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（3）中标人不按规定提交履约保证金的；</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（4）投标文件中提供虚假文件骗取中标的。</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六、开标时间及地点：</w:t>
      </w:r>
    </w:p>
    <w:p>
      <w:pPr>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1.开标时间</w:t>
      </w:r>
      <w:r>
        <w:rPr>
          <w:rFonts w:hint="eastAsia" w:asciiTheme="minorEastAsia" w:hAnsiTheme="minorEastAsia" w:eastAsiaTheme="minorEastAsia" w:cstheme="minorEastAsia"/>
          <w:sz w:val="24"/>
          <w:lang w:eastAsia="zh-CN"/>
        </w:rPr>
        <w:t>（投标截止时间）</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04</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09</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 xml:space="preserve">14:30 </w:t>
      </w:r>
      <w:r>
        <w:rPr>
          <w:rFonts w:hint="eastAsia" w:asciiTheme="minorEastAsia" w:hAnsiTheme="minorEastAsia" w:eastAsiaTheme="minorEastAsia" w:cstheme="minorEastAsia"/>
          <w:sz w:val="24"/>
          <w:highlight w:val="none"/>
        </w:rPr>
        <w:t>（如有调整，另行通知）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2.开标地点：</w:t>
      </w:r>
      <w:r>
        <w:rPr>
          <w:rFonts w:hint="eastAsia" w:asciiTheme="minorEastAsia" w:hAnsiTheme="minorEastAsia" w:eastAsiaTheme="minorEastAsia" w:cstheme="minorEastAsia"/>
          <w:kern w:val="0"/>
          <w:sz w:val="24"/>
        </w:rPr>
        <w:t>合肥市黄山路596号合肥百大集团1209室</w:t>
      </w:r>
    </w:p>
    <w:p>
      <w:pPr>
        <w:spacing w:line="50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七、联系方式：</w:t>
      </w:r>
    </w:p>
    <w:p>
      <w:pPr>
        <w:spacing w:line="50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张</w:t>
      </w:r>
      <w:r>
        <w:rPr>
          <w:rFonts w:hint="eastAsia" w:asciiTheme="minorEastAsia" w:hAnsiTheme="minorEastAsia" w:eastAsiaTheme="minorEastAsia" w:cstheme="minorEastAsia"/>
          <w:sz w:val="24"/>
        </w:rPr>
        <w:t>工   联系电话：0551-</w:t>
      </w:r>
      <w:r>
        <w:rPr>
          <w:rFonts w:hint="eastAsia" w:asciiTheme="minorEastAsia" w:hAnsiTheme="minorEastAsia" w:eastAsiaTheme="minorEastAsia" w:cstheme="minorEastAsia"/>
          <w:sz w:val="24"/>
          <w:lang w:val="en-US" w:eastAsia="zh-CN"/>
        </w:rPr>
        <w:t>65771036（项目咨询）</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朱工   联系电话：0551-65771025（资格审查）</w:t>
      </w:r>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spacing w:line="440" w:lineRule="exact"/>
        <w:ind w:firstLine="420" w:firstLineChars="200"/>
        <w:rPr>
          <w:rFonts w:asciiTheme="majorEastAsia" w:hAnsiTheme="majorEastAsia" w:eastAsiaTheme="majorEastAsia"/>
          <w:szCs w:val="21"/>
        </w:rPr>
      </w:pPr>
    </w:p>
    <w:p>
      <w:pPr>
        <w:pStyle w:val="2"/>
        <w:numPr>
          <w:ilvl w:val="0"/>
          <w:numId w:val="0"/>
        </w:numPr>
        <w:rPr>
          <w:rFonts w:asciiTheme="majorEastAsia" w:hAnsiTheme="majorEastAsia" w:eastAsiaTheme="majorEastAsia"/>
          <w:sz w:val="28"/>
          <w:szCs w:val="28"/>
        </w:rPr>
      </w:pPr>
      <w:bookmarkStart w:id="2" w:name="_Toc491005865"/>
      <w:bookmarkStart w:id="3" w:name="_Toc13732417"/>
      <w:bookmarkStart w:id="4" w:name="_Toc486433785"/>
      <w:r>
        <w:rPr>
          <w:rFonts w:hint="eastAsia" w:asciiTheme="majorEastAsia" w:hAnsiTheme="majorEastAsia" w:eastAsiaTheme="majorEastAsia"/>
          <w:sz w:val="28"/>
          <w:szCs w:val="28"/>
        </w:rPr>
        <w:t xml:space="preserve">第二章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投标人须知前附表</w:t>
      </w:r>
      <w:bookmarkEnd w:id="2"/>
      <w:bookmarkEnd w:id="3"/>
      <w:bookmarkEnd w:id="4"/>
    </w:p>
    <w:p>
      <w:pPr>
        <w:rPr>
          <w:rFonts w:asciiTheme="majorEastAsia" w:hAnsiTheme="majorEastAsia" w:eastAsiaTheme="majorEastAsia"/>
          <w:szCs w:val="21"/>
        </w:rPr>
      </w:pPr>
    </w:p>
    <w:tbl>
      <w:tblPr>
        <w:tblStyle w:val="27"/>
        <w:tblW w:w="95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75"/>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1975"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内容</w:t>
            </w:r>
          </w:p>
        </w:tc>
        <w:tc>
          <w:tcPr>
            <w:tcW w:w="6697" w:type="dxa"/>
            <w:vAlign w:val="center"/>
          </w:tcPr>
          <w:p>
            <w:pPr>
              <w:pStyle w:val="52"/>
              <w:widowControl w:val="0"/>
              <w:spacing w:before="0" w:beforeAutospacing="0" w:after="0" w:afterAutospacing="0"/>
              <w:rPr>
                <w:rFonts w:asciiTheme="majorEastAsia" w:hAnsiTheme="majorEastAsia" w:eastAsiaTheme="majorEastAsia"/>
                <w:bCs w:val="0"/>
                <w:kern w:val="2"/>
                <w:sz w:val="21"/>
                <w:szCs w:val="21"/>
              </w:rPr>
            </w:pPr>
            <w:r>
              <w:rPr>
                <w:rFonts w:hint="eastAsia" w:asciiTheme="majorEastAsia" w:hAnsiTheme="majorEastAsia" w:eastAsiaTheme="majorEastAsia"/>
                <w:bCs w:val="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66" w:type="dxa"/>
            <w:vAlign w:val="center"/>
          </w:tcPr>
          <w:p>
            <w:pPr>
              <w:pStyle w:val="53"/>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97"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合肥</w:t>
            </w:r>
            <w:r>
              <w:rPr>
                <w:rFonts w:hint="eastAsia" w:asciiTheme="minorEastAsia" w:hAnsiTheme="minorEastAsia" w:eastAsiaTheme="minorEastAsia" w:cstheme="minorEastAsia"/>
                <w:sz w:val="24"/>
                <w:lang w:eastAsia="zh-CN"/>
              </w:rPr>
              <w:t>百货大楼集团股份有限公司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97"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7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highlight w:val="none"/>
              </w:rPr>
              <w:t>HBZ-200</w:t>
            </w:r>
            <w:r>
              <w:rPr>
                <w:rFonts w:hint="eastAsia" w:asciiTheme="minorEastAsia" w:hAnsiTheme="minorEastAsia" w:eastAsiaTheme="minorEastAsia" w:cstheme="minorEastAsia"/>
                <w:b w:val="0"/>
                <w:bCs w:val="0"/>
                <w:sz w:val="24"/>
                <w:szCs w:val="24"/>
                <w:highlight w:val="none"/>
                <w:lang w:val="en-US" w:eastAsia="zh-CN"/>
              </w:rPr>
              <w:t>98</w:t>
            </w:r>
            <w:r>
              <w:rPr>
                <w:rFonts w:hint="eastAsia" w:asciiTheme="minorEastAsia" w:hAnsiTheme="minorEastAsia" w:eastAsiaTheme="minorEastAsia" w:cstheme="minorEastAsia"/>
                <w:b w:val="0"/>
                <w:bCs w:val="0"/>
                <w:sz w:val="24"/>
                <w:szCs w:val="24"/>
                <w:highlight w:val="none"/>
              </w:rPr>
              <w:t>-JT0</w:t>
            </w:r>
            <w:r>
              <w:rPr>
                <w:rFonts w:hint="eastAsia" w:asciiTheme="minorEastAsia" w:hAnsiTheme="minorEastAsia" w:eastAsiaTheme="minorEastAsia" w:cstheme="minorEastAsia"/>
                <w:b w:val="0"/>
                <w:bCs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75"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97" w:type="dxa"/>
            <w:vAlign w:val="center"/>
          </w:tcPr>
          <w:p>
            <w:pPr>
              <w:pStyle w:val="52"/>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1975" w:type="dxa"/>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标段划分</w:t>
            </w:r>
          </w:p>
        </w:tc>
        <w:tc>
          <w:tcPr>
            <w:tcW w:w="6697" w:type="dxa"/>
            <w:vAlign w:val="center"/>
          </w:tcPr>
          <w:p>
            <w:pPr>
              <w:spacing w:line="500" w:lineRule="exact"/>
              <w:ind w:left="841" w:hanging="84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不分标段□分为个标段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97" w:type="dxa"/>
          </w:tcPr>
          <w:p>
            <w:pPr>
              <w:pStyle w:val="54"/>
              <w:spacing w:line="500" w:lineRule="exact"/>
              <w:rPr>
                <w:rFonts w:asciiTheme="minorEastAsia" w:hAnsiTheme="minorEastAsia" w:eastAsiaTheme="minorEastAsia" w:cstheme="minorEastAsia"/>
                <w:color w:val="000000" w:themeColor="text1"/>
                <w:szCs w:val="24"/>
                <w:u w:val="single"/>
                <w:lang w:val="zh-CN"/>
                <w14:textFill>
                  <w14:solidFill>
                    <w14:schemeClr w14:val="tx1"/>
                  </w14:solidFill>
                </w14:textFill>
              </w:rPr>
            </w:pPr>
            <w:r>
              <w:rPr>
                <w:rFonts w:hint="eastAsia" w:asciiTheme="minorEastAsia" w:hAnsiTheme="minorEastAsia" w:eastAsiaTheme="minorEastAsia" w:cstheme="minorEastAsia"/>
                <w:bCs/>
                <w:szCs w:val="24"/>
              </w:rPr>
              <w:t>按月支付。</w:t>
            </w:r>
            <w:r>
              <w:rPr>
                <w:rFonts w:hint="eastAsia" w:asciiTheme="minorEastAsia" w:hAnsiTheme="minorEastAsia" w:eastAsiaTheme="minorEastAsia" w:cstheme="minorEastAsia"/>
                <w:bCs/>
                <w:color w:val="auto"/>
                <w:szCs w:val="24"/>
              </w:rPr>
              <w:t>中标人于签订合同后的60个工作日完成改造，完成改造并验收后的次月1日为结算起始日，在合同期限内，每月为一个结算认定</w:t>
            </w:r>
            <w:r>
              <w:rPr>
                <w:rFonts w:hint="eastAsia" w:asciiTheme="minorEastAsia" w:hAnsiTheme="minorEastAsia" w:eastAsiaTheme="minorEastAsia" w:cstheme="minorEastAsia"/>
                <w:bCs/>
                <w:color w:val="auto"/>
                <w:szCs w:val="24"/>
                <w:lang w:eastAsia="zh-CN"/>
              </w:rPr>
              <w:t>周期</w:t>
            </w:r>
            <w:r>
              <w:rPr>
                <w:rFonts w:hint="eastAsia" w:asciiTheme="minorEastAsia" w:hAnsiTheme="minorEastAsia" w:eastAsiaTheme="minorEastAsia" w:cstheme="minorEastAsia"/>
                <w:bCs/>
                <w:color w:val="auto"/>
                <w:szCs w:val="24"/>
              </w:rPr>
              <w:t>，招标方在每结算周期届满后一个月内完成收益收到投标方节能改造效益确认单,经招标人确认后，中标人10个工作日内提供相应的增值税发票给招标人，招标人按照约定分享比例支付费用给中标人。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联合体投标</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r>
              <w:rPr>
                <w:rFonts w:hint="eastAsia" w:asciiTheme="minorEastAsia" w:hAnsiTheme="minorEastAsia" w:eastAsiaTheme="minorEastAsia" w:cstheme="minorEastAsia"/>
                <w:b/>
                <w:bCs/>
                <w:sz w:val="24"/>
              </w:rPr>
              <w:sym w:font="Wingdings" w:char="00FE"/>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197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项目地点</w:t>
            </w:r>
          </w:p>
        </w:tc>
        <w:tc>
          <w:tcPr>
            <w:tcW w:w="6697" w:type="dxa"/>
            <w:vAlign w:val="center"/>
          </w:tcPr>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合肥市</w:t>
            </w:r>
            <w:r>
              <w:rPr>
                <w:rFonts w:hint="eastAsia" w:asciiTheme="minorEastAsia" w:hAnsiTheme="minorEastAsia" w:eastAsiaTheme="minorEastAsia" w:cstheme="minorEastAsia"/>
                <w:sz w:val="24"/>
                <w:lang w:val="en-US" w:eastAsia="zh-CN"/>
              </w:rPr>
              <w:t>2</w:t>
            </w:r>
            <w:bookmarkStart w:id="18" w:name="_GoBack"/>
            <w:bookmarkEnd w:id="18"/>
            <w:r>
              <w:rPr>
                <w:rFonts w:hint="eastAsia" w:asciiTheme="minorEastAsia" w:hAnsiTheme="minorEastAsia" w:eastAsiaTheme="minorEastAsia" w:cstheme="minorEastAsia"/>
                <w:sz w:val="24"/>
                <w:lang w:eastAsia="zh-CN"/>
              </w:rPr>
              <w:t>个门店，蚌埠市</w:t>
            </w:r>
            <w:r>
              <w:rPr>
                <w:rFonts w:hint="eastAsia" w:asciiTheme="minorEastAsia" w:hAnsiTheme="minorEastAsia" w:eastAsiaTheme="minorEastAsia" w:cstheme="minorEastAsia"/>
                <w:sz w:val="24"/>
                <w:lang w:val="en-US" w:eastAsia="zh-CN"/>
              </w:rPr>
              <w:t>1个</w:t>
            </w:r>
            <w:r>
              <w:rPr>
                <w:rFonts w:hint="eastAsia" w:asciiTheme="minorEastAsia" w:hAnsiTheme="minorEastAsia" w:eastAsiaTheme="minorEastAsia" w:cstheme="minorEastAsia"/>
                <w:sz w:val="24"/>
                <w:lang w:eastAsia="zh-CN"/>
              </w:rPr>
              <w:t>门店。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服务周期</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八年（202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年起至202</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止</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答疑</w:t>
            </w:r>
          </w:p>
        </w:tc>
        <w:tc>
          <w:tcPr>
            <w:tcW w:w="6697" w:type="dxa"/>
            <w:vAlign w:val="center"/>
          </w:tcPr>
          <w:p>
            <w:pPr>
              <w:spacing w:line="500" w:lineRule="exact"/>
              <w:rPr>
                <w:rFonts w:asciiTheme="minorEastAsia" w:hAnsiTheme="minorEastAsia" w:eastAsiaTheme="minorEastAsia" w:cstheme="minorEastAsia"/>
                <w:b w:val="0"/>
                <w:bCs w:val="0"/>
                <w:i/>
                <w:sz w:val="24"/>
              </w:rPr>
            </w:pPr>
            <w:r>
              <w:rPr>
                <w:rFonts w:hint="eastAsia" w:asciiTheme="minorEastAsia" w:hAnsiTheme="minorEastAsia" w:eastAsiaTheme="minorEastAsia" w:cstheme="minorEastAsia"/>
                <w:b w:val="0"/>
                <w:bCs w:val="0"/>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97"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投标文件份数及要求</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1975"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开标时间及地点</w:t>
            </w:r>
          </w:p>
        </w:tc>
        <w:tc>
          <w:tcPr>
            <w:tcW w:w="6697" w:type="dxa"/>
            <w:vAlign w:val="center"/>
          </w:tcPr>
          <w:p>
            <w:pPr>
              <w:spacing w:line="500" w:lineRule="exac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开标时间：</w:t>
            </w:r>
            <w:r>
              <w:rPr>
                <w:rFonts w:hint="eastAsia" w:asciiTheme="minorEastAsia" w:hAnsiTheme="minorEastAsia" w:eastAsiaTheme="minorEastAsia" w:cstheme="minorEastAsia"/>
                <w:sz w:val="24"/>
                <w:lang w:val="zh-CN"/>
              </w:rPr>
              <w:t>详见招标公告</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w:t>
            </w:r>
            <w:r>
              <w:rPr>
                <w:rFonts w:hint="eastAsia" w:asciiTheme="minorEastAsia" w:hAnsiTheme="minorEastAsia" w:eastAsiaTheme="minorEastAsia" w:cstheme="minorEastAsia"/>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评标办法</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详见</w:t>
            </w:r>
            <w:r>
              <w:rPr>
                <w:rFonts w:hint="eastAsia" w:asciiTheme="minorEastAsia" w:hAnsiTheme="minorEastAsia" w:eastAsiaTheme="minorEastAsia" w:cstheme="minorEastAsia"/>
                <w:sz w:val="24"/>
              </w:rPr>
              <w:t>招标文件</w:t>
            </w:r>
            <w:r>
              <w:rPr>
                <w:rFonts w:hint="eastAsia" w:asciiTheme="minorEastAsia" w:hAnsiTheme="minorEastAsia" w:eastAsiaTheme="minorEastAsia" w:cstheme="minorEastAsia"/>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5</w:t>
            </w:r>
          </w:p>
        </w:tc>
        <w:tc>
          <w:tcPr>
            <w:tcW w:w="1975"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97"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单个</w:t>
            </w:r>
            <w:r>
              <w:rPr>
                <w:rFonts w:hint="eastAsia" w:asciiTheme="minorEastAsia" w:hAnsiTheme="minorEastAsia" w:eastAsiaTheme="minorEastAsia" w:cstheme="minorEastAsia"/>
                <w:sz w:val="24"/>
                <w:highlight w:val="none"/>
                <w:lang w:eastAsia="zh-CN"/>
              </w:rPr>
              <w:t>成员企业</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万元整，期限至</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。收受方式为：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，收受人为</w:t>
            </w:r>
            <w:r>
              <w:rPr>
                <w:rFonts w:hint="eastAsia" w:asciiTheme="minorEastAsia" w:hAnsiTheme="minorEastAsia" w:eastAsiaTheme="minorEastAsia" w:cstheme="minorEastAsia"/>
                <w:b w:val="0"/>
                <w:bCs/>
                <w:color w:val="000000" w:themeColor="text1"/>
                <w:sz w:val="24"/>
                <w:highlight w:val="none"/>
                <w:u w:val="single"/>
                <w:lang w:eastAsia="zh-CN"/>
                <w14:textFill>
                  <w14:solidFill>
                    <w14:schemeClr w14:val="tx1"/>
                  </w14:solidFill>
                </w14:textFill>
              </w:rPr>
              <w:t>各成员企业</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w:t>
            </w:r>
          </w:p>
        </w:tc>
        <w:tc>
          <w:tcPr>
            <w:tcW w:w="6697" w:type="dxa"/>
            <w:vAlign w:val="center"/>
          </w:tcPr>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本项目提供除电子版招标文件以外的其他资料</w:t>
            </w:r>
          </w:p>
        </w:tc>
        <w:tc>
          <w:tcPr>
            <w:tcW w:w="6697" w:type="dxa"/>
            <w:vAlign w:val="center"/>
          </w:tcPr>
          <w:p>
            <w:pPr>
              <w:spacing w:line="5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val="0"/>
                <w:bCs/>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w:t>
            </w:r>
          </w:p>
        </w:tc>
        <w:tc>
          <w:tcPr>
            <w:tcW w:w="1975" w:type="dxa"/>
            <w:vAlign w:val="center"/>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业绩要求</w:t>
            </w:r>
          </w:p>
        </w:tc>
        <w:tc>
          <w:tcPr>
            <w:tcW w:w="6697" w:type="dxa"/>
            <w:vAlign w:val="center"/>
          </w:tcPr>
          <w:p>
            <w:pPr>
              <w:numPr>
                <w:ilvl w:val="0"/>
                <w:numId w:val="0"/>
              </w:num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本招标文件中要求的业绩合同：a、合同在实施的，提供合同期内</w:t>
            </w:r>
            <w:r>
              <w:rPr>
                <w:rFonts w:hint="eastAsia" w:asciiTheme="minorEastAsia" w:hAnsiTheme="minorEastAsia" w:eastAsiaTheme="minorEastAsia" w:cstheme="minorEastAsia"/>
                <w:b/>
                <w:bCs/>
                <w:sz w:val="24"/>
                <w:lang w:eastAsia="zh-CN"/>
              </w:rPr>
              <w:t>任意</w:t>
            </w:r>
            <w:r>
              <w:rPr>
                <w:rFonts w:hint="eastAsia" w:asciiTheme="minorEastAsia" w:hAnsiTheme="minorEastAsia" w:eastAsiaTheme="minorEastAsia" w:cstheme="minorEastAsia"/>
                <w:b/>
                <w:bCs/>
                <w:sz w:val="24"/>
              </w:rPr>
              <w:t>一年度的节能确认单</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节能确认单须体现节能要求及完成情况。</w:t>
            </w:r>
            <w:r>
              <w:rPr>
                <w:rFonts w:hint="eastAsia" w:asciiTheme="minorEastAsia" w:hAnsiTheme="minorEastAsia" w:eastAsiaTheme="minorEastAsia" w:cstheme="minorEastAsia"/>
                <w:b/>
                <w:bCs/>
                <w:sz w:val="24"/>
              </w:rPr>
              <w:t>b、合同实施完毕的，提供业主回访单或节能确认单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业主回访单或节能确认单</w:t>
            </w:r>
            <w:r>
              <w:rPr>
                <w:rFonts w:hint="eastAsia" w:asciiTheme="minorEastAsia" w:hAnsiTheme="minorEastAsia" w:eastAsiaTheme="minorEastAsia" w:cstheme="minorEastAsia"/>
                <w:b/>
                <w:bCs/>
                <w:sz w:val="24"/>
                <w:lang w:eastAsia="zh-CN"/>
              </w:rPr>
              <w:t>须体现节能要求及完成情况。</w:t>
            </w:r>
          </w:p>
          <w:p>
            <w:pPr>
              <w:spacing w:line="46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注：（1）提供</w:t>
            </w:r>
            <w:r>
              <w:rPr>
                <w:rFonts w:hint="eastAsia" w:asciiTheme="minorEastAsia" w:hAnsiTheme="minorEastAsia" w:eastAsiaTheme="minorEastAsia" w:cstheme="minorEastAsia"/>
                <w:b/>
                <w:bCs/>
                <w:sz w:val="24"/>
                <w:lang w:eastAsia="zh-CN"/>
              </w:rPr>
              <w:t>的</w:t>
            </w:r>
            <w:r>
              <w:rPr>
                <w:rFonts w:hint="eastAsia" w:asciiTheme="minorEastAsia" w:hAnsiTheme="minorEastAsia" w:eastAsiaTheme="minorEastAsia" w:cstheme="minorEastAsia"/>
                <w:b/>
                <w:bCs/>
                <w:sz w:val="24"/>
              </w:rPr>
              <w:t>业绩合同</w:t>
            </w:r>
            <w:r>
              <w:rPr>
                <w:rFonts w:hint="eastAsia" w:asciiTheme="minorEastAsia" w:hAnsiTheme="minorEastAsia" w:eastAsiaTheme="minorEastAsia" w:cstheme="minorEastAsia"/>
                <w:b/>
                <w:bCs/>
                <w:sz w:val="24"/>
                <w:lang w:eastAsia="zh-CN"/>
              </w:rPr>
              <w:t>须</w:t>
            </w:r>
            <w:r>
              <w:rPr>
                <w:rFonts w:hint="eastAsia" w:asciiTheme="minorEastAsia" w:hAnsiTheme="minorEastAsia" w:eastAsiaTheme="minorEastAsia" w:cstheme="minorEastAsia"/>
                <w:b/>
                <w:bCs/>
                <w:sz w:val="24"/>
              </w:rPr>
              <w:t>包含甲乙方、项目名称、合同总金额、合同签订时间、合同范围、合同签字盖章页等关键页内容；（2）</w:t>
            </w:r>
            <w:r>
              <w:rPr>
                <w:rFonts w:hint="eastAsia" w:asciiTheme="minorEastAsia" w:hAnsiTheme="minorEastAsia" w:eastAsiaTheme="minorEastAsia" w:cstheme="minorEastAsia"/>
                <w:b/>
                <w:bCs/>
                <w:sz w:val="24"/>
                <w:lang w:eastAsia="zh-CN"/>
              </w:rPr>
              <w:t>节能确认单或</w:t>
            </w:r>
            <w:r>
              <w:rPr>
                <w:rFonts w:hint="eastAsia" w:asciiTheme="minorEastAsia" w:hAnsiTheme="minorEastAsia" w:eastAsiaTheme="minorEastAsia" w:cstheme="minorEastAsia"/>
                <w:b/>
                <w:bCs/>
                <w:sz w:val="24"/>
              </w:rPr>
              <w:t>业主</w:t>
            </w:r>
            <w:r>
              <w:rPr>
                <w:rFonts w:hint="eastAsia" w:asciiTheme="minorEastAsia" w:hAnsiTheme="minorEastAsia" w:eastAsiaTheme="minorEastAsia" w:cstheme="minorEastAsia"/>
                <w:b/>
                <w:bCs/>
                <w:sz w:val="24"/>
                <w:lang w:eastAsia="zh-CN"/>
              </w:rPr>
              <w:t>回访单</w:t>
            </w:r>
            <w:r>
              <w:rPr>
                <w:rFonts w:hint="eastAsia" w:asciiTheme="minorEastAsia" w:hAnsiTheme="minorEastAsia" w:eastAsiaTheme="minorEastAsia" w:cstheme="minorEastAsia"/>
                <w:b/>
                <w:bCs/>
                <w:sz w:val="24"/>
              </w:rPr>
              <w:t>须</w:t>
            </w:r>
            <w:r>
              <w:rPr>
                <w:rFonts w:hint="eastAsia" w:asciiTheme="minorEastAsia" w:hAnsiTheme="minorEastAsia" w:eastAsiaTheme="minorEastAsia" w:cstheme="minorEastAsia"/>
                <w:b/>
                <w:bCs/>
                <w:sz w:val="24"/>
                <w:lang w:eastAsia="zh-CN"/>
              </w:rPr>
              <w:t>经业主签字并</w:t>
            </w:r>
            <w:r>
              <w:rPr>
                <w:rFonts w:hint="eastAsia" w:asciiTheme="minorEastAsia" w:hAnsiTheme="minorEastAsia" w:eastAsiaTheme="minorEastAsia" w:cstheme="minorEastAsia"/>
                <w:b/>
                <w:bCs/>
                <w:sz w:val="24"/>
              </w:rPr>
              <w:t>加盖业主单位公章</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否则评标委员会可不予认可</w:t>
            </w:r>
            <w:r>
              <w:rPr>
                <w:rFonts w:hint="eastAsia" w:asciiTheme="minorEastAsia" w:hAnsiTheme="minorEastAsia" w:eastAsiaTheme="minorEastAsia" w:cstheme="minorEastAsia"/>
                <w:b/>
                <w:bCs/>
                <w:sz w:val="24"/>
                <w:lang w:eastAsia="zh-CN"/>
              </w:rPr>
              <w:t>。</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所提供的业绩合同</w:t>
            </w:r>
            <w:r>
              <w:rPr>
                <w:rFonts w:hint="eastAsia" w:asciiTheme="minorEastAsia" w:hAnsiTheme="minorEastAsia" w:eastAsiaTheme="minorEastAsia" w:cstheme="minorEastAsia"/>
                <w:b/>
                <w:bCs/>
                <w:sz w:val="24"/>
                <w:lang w:eastAsia="zh-CN"/>
              </w:rPr>
              <w:t>（含</w:t>
            </w:r>
            <w:r>
              <w:rPr>
                <w:rFonts w:hint="eastAsia" w:asciiTheme="minorEastAsia" w:hAnsiTheme="minorEastAsia" w:eastAsiaTheme="minorEastAsia" w:cstheme="minorEastAsia"/>
                <w:b/>
                <w:bCs/>
                <w:sz w:val="24"/>
              </w:rPr>
              <w:t>业主回访单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节能确认单</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不能明确反映出招标文件所要求的内容的（如合同总金额或</w:t>
            </w:r>
            <w:r>
              <w:rPr>
                <w:rFonts w:hint="eastAsia" w:asciiTheme="minorEastAsia" w:hAnsiTheme="minorEastAsia" w:eastAsiaTheme="minorEastAsia" w:cstheme="minorEastAsia"/>
                <w:b/>
                <w:bCs/>
                <w:sz w:val="24"/>
                <w:lang w:eastAsia="zh-CN"/>
              </w:rPr>
              <w:t>节能要求及完成情况</w:t>
            </w:r>
            <w:r>
              <w:rPr>
                <w:rFonts w:hint="eastAsia" w:asciiTheme="minorEastAsia" w:hAnsiTheme="minorEastAsia" w:eastAsiaTheme="minorEastAsia" w:cstheme="minorEastAsia"/>
                <w:b/>
                <w:bCs/>
                <w:sz w:val="24"/>
              </w:rPr>
              <w:t>等），应另附业主证明材料予以明确说明，须加盖业主单位公章，否则评标委员会可不予认可。</w:t>
            </w:r>
          </w:p>
        </w:tc>
      </w:tr>
    </w:tbl>
    <w:p>
      <w:pPr>
        <w:pStyle w:val="2"/>
        <w:numPr>
          <w:ilvl w:val="0"/>
          <w:numId w:val="0"/>
        </w:numPr>
        <w:rPr>
          <w:rFonts w:hint="eastAsia" w:asciiTheme="majorEastAsia" w:hAnsiTheme="majorEastAsia" w:eastAsiaTheme="majorEastAsia" w:cstheme="majorEastAsia"/>
          <w:sz w:val="28"/>
          <w:szCs w:val="28"/>
        </w:rPr>
      </w:pPr>
      <w:bookmarkStart w:id="5" w:name="_Toc13732418"/>
      <w:bookmarkStart w:id="6" w:name="_Toc491005866"/>
    </w:p>
    <w:p>
      <w:pPr>
        <w:rPr>
          <w:rFonts w:hint="eastAsia"/>
        </w:rPr>
      </w:pPr>
    </w:p>
    <w:p>
      <w:pPr>
        <w:pStyle w:val="2"/>
        <w:numPr>
          <w:ilvl w:val="0"/>
          <w:numId w:val="0"/>
        </w:numPr>
        <w:rPr>
          <w:rFonts w:hint="eastAsia" w:asciiTheme="majorEastAsia" w:hAnsiTheme="majorEastAsia" w:eastAsiaTheme="majorEastAsia" w:cstheme="majorEastAsia"/>
          <w:sz w:val="28"/>
          <w:szCs w:val="28"/>
        </w:rPr>
      </w:pPr>
    </w:p>
    <w:p>
      <w:pPr>
        <w:rPr>
          <w:rFonts w:hint="eastAsia"/>
        </w:rPr>
      </w:pPr>
    </w:p>
    <w:p>
      <w:pPr>
        <w:rPr>
          <w:rFonts w:hint="eastAsia"/>
        </w:rPr>
      </w:pPr>
    </w:p>
    <w:p>
      <w:pPr>
        <w:rPr>
          <w:rFonts w:hint="eastAsia"/>
        </w:rPr>
      </w:pPr>
    </w:p>
    <w:p>
      <w:pPr>
        <w:rPr>
          <w:rFonts w:hint="eastAsia"/>
        </w:rPr>
      </w:pPr>
    </w:p>
    <w:p>
      <w:pPr>
        <w:pStyle w:val="2"/>
        <w:keepLines w:val="0"/>
        <w:pageBreakBefore w:val="0"/>
        <w:numPr>
          <w:ilvl w:val="0"/>
          <w:numId w:val="0"/>
        </w:numPr>
        <w:kinsoku/>
        <w:wordWrap/>
        <w:overflowPunct/>
        <w:topLinePunct w:val="0"/>
        <w:autoSpaceDE/>
        <w:autoSpaceDN/>
        <w:bidi w:val="0"/>
        <w:adjustRightInd/>
        <w:snapToGrid/>
        <w:spacing w:line="500" w:lineRule="exact"/>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一、说明及注意事项</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.投标文件的编写要求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⑴投标人须以招标人正式发布的《招标文件》为制作《投标文件》的依据；</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⑶投标文件的书面内容不得涂抹或改写；</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⑷满足本招标文件规定的其它要求。</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2.</w:t>
      </w:r>
      <w:r>
        <w:rPr>
          <w:rFonts w:hint="eastAsia" w:ascii="宋体" w:hAnsi="宋体"/>
          <w:sz w:val="24"/>
        </w:rPr>
        <w:t>投标文件由以下部分构成</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⑴投标承诺书、开标一览表、投标事项承诺等；</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⑵投标人资质证明文件、法人和授权代表人身份证复印件；</w:t>
      </w:r>
    </w:p>
    <w:p>
      <w:pPr>
        <w:keepLines w:val="0"/>
        <w:pageBreakBefore w:val="0"/>
        <w:kinsoku/>
        <w:wordWrap/>
        <w:overflowPunct/>
        <w:topLinePunct w:val="0"/>
        <w:autoSpaceDE/>
        <w:autoSpaceDN/>
        <w:bidi w:val="0"/>
        <w:adjustRightInd/>
        <w:snapToGrid/>
        <w:spacing w:line="500" w:lineRule="exact"/>
        <w:ind w:firstLine="420"/>
        <w:textAlignment w:val="auto"/>
        <w:rPr>
          <w:rFonts w:hint="eastAsia" w:ascii="宋体" w:eastAsia="宋体"/>
          <w:b/>
          <w:bCs/>
          <w:sz w:val="24"/>
          <w:lang w:val="en-US" w:eastAsia="zh-CN"/>
        </w:rPr>
      </w:pPr>
      <w:r>
        <w:rPr>
          <w:rFonts w:hint="eastAsia" w:ascii="宋体" w:hAnsi="宋体"/>
          <w:b/>
          <w:bCs/>
          <w:sz w:val="24"/>
        </w:rPr>
        <w:t>⑶本项目的改造方案（包括投资概算、所使用的设备型号、数量，主要改造内容包括招标文件中的四章第三条要求的必须实施的内容）</w:t>
      </w:r>
      <w:r>
        <w:rPr>
          <w:rFonts w:hint="eastAsia" w:ascii="宋体" w:hAnsi="宋体"/>
          <w:b/>
          <w:bCs/>
          <w:sz w:val="24"/>
          <w:lang w:eastAsia="zh-CN"/>
        </w:rPr>
        <w:t>。</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⑷相关案例材料，服务计划、项目负责人及拟派往本项目的管理人员情况（包括履历和项目经验）。</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3</w:t>
      </w:r>
      <w:r>
        <w:rPr>
          <w:rFonts w:hint="eastAsia" w:ascii="宋体" w:hAnsi="宋体"/>
          <w:sz w:val="24"/>
        </w:rPr>
        <w:t>.投标报价说明</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⑴除招标文件中另有规定外，计量单位为我国法定计量单位；投标报价、服务费结算一律使用人民币；</w:t>
      </w:r>
    </w:p>
    <w:p>
      <w:pPr>
        <w:keepLines w:val="0"/>
        <w:pageBreakBefore w:val="0"/>
        <w:kinsoku/>
        <w:wordWrap/>
        <w:overflowPunct/>
        <w:topLinePunct w:val="0"/>
        <w:autoSpaceDE/>
        <w:autoSpaceDN/>
        <w:bidi w:val="0"/>
        <w:adjustRightInd/>
        <w:snapToGrid/>
        <w:spacing w:line="500" w:lineRule="exact"/>
        <w:ind w:firstLine="424" w:firstLineChars="177"/>
        <w:textAlignment w:val="auto"/>
        <w:rPr>
          <w:rFonts w:ascii="宋体"/>
          <w:b w:val="0"/>
          <w:bCs w:val="0"/>
          <w:sz w:val="24"/>
        </w:rPr>
      </w:pPr>
      <w:r>
        <w:rPr>
          <w:rFonts w:hint="eastAsia" w:ascii="宋体" w:hAnsi="宋体"/>
          <w:sz w:val="24"/>
        </w:rPr>
        <w:t>⑵投标人投标前应进行现场勘查，各种风险须充分考虑，请投标人谨慎报价。</w:t>
      </w:r>
      <w:r>
        <w:rPr>
          <w:rFonts w:hint="eastAsia" w:ascii="宋体" w:hAnsi="宋体"/>
          <w:b w:val="0"/>
          <w:bCs w:val="0"/>
          <w:color w:val="000000"/>
          <w:sz w:val="24"/>
        </w:rPr>
        <w:t>中标后不得以任何理由提出变更等理由调整价格。</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sz w:val="24"/>
        </w:rPr>
        <w:t>二、投标文件的递交</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sz w:val="24"/>
        </w:rPr>
      </w:pPr>
      <w:r>
        <w:rPr>
          <w:rFonts w:ascii="宋体" w:hAnsi="宋体"/>
          <w:sz w:val="24"/>
        </w:rPr>
        <w:t>1</w:t>
      </w:r>
      <w:r>
        <w:rPr>
          <w:rFonts w:hint="eastAsia" w:ascii="宋体" w:hAnsi="宋体"/>
          <w:sz w:val="24"/>
        </w:rPr>
        <w:t>.投标文件的密封和标记</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val="0"/>
          <w:bCs w:val="0"/>
          <w:sz w:val="24"/>
        </w:rPr>
      </w:pPr>
      <w:r>
        <w:rPr>
          <w:rFonts w:hint="eastAsia" w:ascii="宋体" w:hAnsi="宋体"/>
          <w:b w:val="0"/>
          <w:bCs w:val="0"/>
          <w:sz w:val="24"/>
        </w:rPr>
        <w:t>⑴投标文件应密封并在封口加贴封条，并在封面注明招标编号、投标项目、投标单位等；同时，在密封处加盖骑缝章；</w:t>
      </w:r>
    </w:p>
    <w:p>
      <w:pPr>
        <w:keepLines w:val="0"/>
        <w:pageBreakBefore w:val="0"/>
        <w:kinsoku/>
        <w:wordWrap/>
        <w:overflowPunct/>
        <w:topLinePunct w:val="0"/>
        <w:autoSpaceDE/>
        <w:autoSpaceDN/>
        <w:bidi w:val="0"/>
        <w:adjustRightInd/>
        <w:snapToGrid/>
        <w:spacing w:line="500" w:lineRule="exact"/>
        <w:ind w:firstLine="420"/>
        <w:textAlignment w:val="auto"/>
        <w:rPr>
          <w:rFonts w:ascii="宋体"/>
          <w:b/>
          <w:sz w:val="24"/>
        </w:rPr>
      </w:pPr>
      <w:r>
        <w:rPr>
          <w:rFonts w:hint="eastAsia" w:ascii="宋体" w:hAnsi="宋体"/>
          <w:b/>
          <w:bCs/>
          <w:sz w:val="24"/>
        </w:rPr>
        <w:t>⑵投标文件要求：</w:t>
      </w:r>
      <w:r>
        <w:rPr>
          <w:rFonts w:hint="eastAsia" w:ascii="宋体" w:hAnsi="宋体"/>
          <w:b/>
          <w:bCs/>
          <w:sz w:val="24"/>
          <w:lang w:eastAsia="zh-CN"/>
        </w:rPr>
        <w:t>胶装，</w:t>
      </w:r>
      <w:r>
        <w:rPr>
          <w:rFonts w:hint="eastAsia" w:ascii="宋体" w:hAnsi="宋体"/>
          <w:b/>
          <w:sz w:val="24"/>
        </w:rPr>
        <w:t>正、副本各一份，PDF电子版一份。</w:t>
      </w:r>
    </w:p>
    <w:p>
      <w:pPr>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kern w:val="0"/>
          <w:sz w:val="24"/>
        </w:rPr>
      </w:pPr>
      <w:r>
        <w:rPr>
          <w:rFonts w:hint="eastAsia" w:ascii="宋体" w:hAnsi="宋体"/>
          <w:kern w:val="0"/>
          <w:sz w:val="24"/>
        </w:rPr>
        <w:t>2.投标文件的递交、修改和撤回。</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2.1投标人应在开标前将密封合格的投标文件送达开标现场；</w:t>
      </w:r>
    </w:p>
    <w:p>
      <w:pPr>
        <w:keepLines w:val="0"/>
        <w:pageBreakBefore w:val="0"/>
        <w:kinsoku/>
        <w:wordWrap/>
        <w:overflowPunct/>
        <w:topLinePunct w:val="0"/>
        <w:autoSpaceDE/>
        <w:autoSpaceDN/>
        <w:bidi w:val="0"/>
        <w:adjustRightInd/>
        <w:snapToGrid/>
        <w:spacing w:line="500" w:lineRule="exact"/>
        <w:textAlignment w:val="auto"/>
        <w:rPr>
          <w:rFonts w:ascii="宋体" w:hAnsi="宋体"/>
          <w:kern w:val="0"/>
          <w:sz w:val="24"/>
        </w:rPr>
      </w:pPr>
      <w:r>
        <w:rPr>
          <w:rFonts w:hint="eastAsia" w:ascii="宋体" w:hAnsi="宋体"/>
          <w:kern w:val="0"/>
          <w:sz w:val="24"/>
        </w:rPr>
        <w:t xml:space="preserve">    2.2投标人递交投标文件后，不得修改或撤回投标文件。</w:t>
      </w:r>
    </w:p>
    <w:p>
      <w:pPr>
        <w:spacing w:line="520" w:lineRule="exact"/>
        <w:ind w:firstLine="420"/>
        <w:rPr>
          <w:rFonts w:ascii="宋体"/>
          <w:b/>
          <w:sz w:val="24"/>
        </w:rPr>
      </w:pPr>
      <w:r>
        <w:rPr>
          <w:rFonts w:hint="eastAsia" w:ascii="宋体" w:hAnsi="宋体"/>
          <w:b/>
          <w:sz w:val="24"/>
        </w:rPr>
        <w:t>三、开标、评标和定标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.按投标邀请中规定的时间和地点开标，届时请投标人授权一名代表参加商务标的开标，拟派项目负责人作投标陈述并作为答辩代表参加项目答辩。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.开标时，查验投标文件的密封状况，确认无误后拆封唱标。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w:t>
      </w:r>
      <w:r>
        <w:rPr>
          <w:rFonts w:hint="eastAsia" w:asciiTheme="minorEastAsia" w:hAnsiTheme="minorEastAsia" w:eastAsiaTheme="minorEastAsia" w:cstheme="minorEastAsia"/>
          <w:b/>
          <w:bCs/>
          <w:sz w:val="24"/>
          <w:lang w:eastAsia="zh-CN"/>
        </w:rPr>
        <w:t>单个成员企业</w:t>
      </w:r>
      <w:r>
        <w:rPr>
          <w:rFonts w:hint="eastAsia" w:asciiTheme="minorEastAsia" w:hAnsiTheme="minorEastAsia" w:eastAsiaTheme="minorEastAsia" w:cstheme="minorEastAsia"/>
          <w:b/>
          <w:bCs/>
          <w:sz w:val="24"/>
        </w:rPr>
        <w:t>项目节能率报价最高的投标人为</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有</w:t>
      </w:r>
      <w:r>
        <w:rPr>
          <w:rFonts w:hint="eastAsia" w:asciiTheme="minorEastAsia" w:hAnsiTheme="minorEastAsia" w:eastAsiaTheme="minorEastAsia" w:cstheme="minorEastAsia"/>
          <w:b/>
          <w:bCs/>
          <w:sz w:val="24"/>
          <w:lang w:val="en-US" w:eastAsia="zh-CN"/>
        </w:rPr>
        <w:t>2家时，现场采取竞争性谈判的方式确定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r>
        <w:rPr>
          <w:rFonts w:hint="eastAsia" w:asciiTheme="minorEastAsia" w:hAnsiTheme="minorEastAsia" w:eastAsiaTheme="minorEastAsia" w:cstheme="minorEastAsia"/>
          <w:b/>
          <w:bCs/>
          <w:sz w:val="24"/>
          <w:lang w:eastAsia="zh-CN"/>
        </w:rPr>
        <w:t>如单个成员企业</w:t>
      </w:r>
      <w:r>
        <w:rPr>
          <w:rFonts w:hint="eastAsia" w:asciiTheme="minorEastAsia" w:hAnsiTheme="minorEastAsia" w:eastAsiaTheme="minorEastAsia" w:cstheme="minorEastAsia"/>
          <w:b/>
          <w:bCs/>
          <w:sz w:val="24"/>
        </w:rPr>
        <w:t>项目节能率报价最高的投标人</w:t>
      </w:r>
      <w:r>
        <w:rPr>
          <w:rFonts w:hint="eastAsia" w:asciiTheme="minorEastAsia" w:hAnsiTheme="minorEastAsia" w:eastAsiaTheme="minorEastAsia" w:cstheme="minorEastAsia"/>
          <w:b/>
          <w:bCs/>
          <w:sz w:val="24"/>
          <w:lang w:eastAsia="zh-CN"/>
        </w:rPr>
        <w:t>大于</w:t>
      </w:r>
      <w:r>
        <w:rPr>
          <w:rFonts w:hint="eastAsia" w:asciiTheme="minorEastAsia" w:hAnsiTheme="minorEastAsia" w:eastAsiaTheme="minorEastAsia" w:cstheme="minorEastAsia"/>
          <w:b/>
          <w:bCs/>
          <w:sz w:val="24"/>
          <w:lang w:val="en-US" w:eastAsia="zh-CN"/>
        </w:rPr>
        <w:t>2家时，现场采取抽签形式确定</w:t>
      </w:r>
      <w:r>
        <w:rPr>
          <w:rFonts w:hint="eastAsia" w:asciiTheme="minorEastAsia" w:hAnsiTheme="minorEastAsia" w:eastAsiaTheme="minorEastAsia" w:cstheme="minorEastAsia"/>
          <w:b/>
          <w:bCs/>
          <w:sz w:val="24"/>
          <w:lang w:eastAsia="zh-CN"/>
        </w:rPr>
        <w:t>该企业的</w:t>
      </w:r>
      <w:r>
        <w:rPr>
          <w:rFonts w:hint="eastAsia" w:asciiTheme="minorEastAsia" w:hAnsiTheme="minorEastAsia" w:eastAsiaTheme="minorEastAsia" w:cstheme="minorEastAsia"/>
          <w:b/>
          <w:bCs/>
          <w:sz w:val="24"/>
        </w:rPr>
        <w:t>中标候选人</w:t>
      </w:r>
      <w:r>
        <w:rPr>
          <w:rFonts w:hint="eastAsia" w:asciiTheme="minorEastAsia" w:hAnsiTheme="minorEastAsia" w:eastAsiaTheme="minorEastAsia" w:cstheme="minorEastAsia"/>
          <w:b/>
          <w:bCs/>
          <w:sz w:val="24"/>
          <w:lang w:val="en-US" w:eastAsia="zh-CN"/>
        </w:rPr>
        <w:t>。</w:t>
      </w:r>
    </w:p>
    <w:p>
      <w:pPr>
        <w:spacing w:line="520" w:lineRule="exact"/>
        <w:ind w:firstLine="241" w:firstLineChars="10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w:t>
      </w:r>
      <w:r>
        <w:rPr>
          <w:rFonts w:hint="eastAsia" w:asciiTheme="minorEastAsia" w:hAnsiTheme="minorEastAsia" w:eastAsiaTheme="minorEastAsia" w:cstheme="minorEastAsia"/>
          <w:b/>
          <w:bCs/>
          <w:sz w:val="24"/>
          <w:lang w:eastAsia="zh-CN"/>
        </w:rPr>
        <w:t>节能分享</w:t>
      </w:r>
      <w:r>
        <w:rPr>
          <w:rFonts w:hint="eastAsia" w:asciiTheme="minorEastAsia" w:hAnsiTheme="minorEastAsia" w:eastAsiaTheme="minorEastAsia" w:cstheme="minorEastAsia"/>
          <w:b/>
          <w:bCs/>
          <w:sz w:val="24"/>
        </w:rPr>
        <w:t>方案表</w:t>
      </w:r>
    </w:p>
    <w:tbl>
      <w:tblPr>
        <w:tblStyle w:val="2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938"/>
        <w:gridCol w:w="2233"/>
        <w:gridCol w:w="1320"/>
        <w:gridCol w:w="1468"/>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193"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  容</w:t>
            </w:r>
          </w:p>
        </w:tc>
        <w:tc>
          <w:tcPr>
            <w:tcW w:w="1938"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w:t>
            </w:r>
            <w:r>
              <w:rPr>
                <w:rFonts w:hint="eastAsia" w:asciiTheme="minorEastAsia" w:hAnsiTheme="minorEastAsia" w:eastAsiaTheme="minorEastAsia" w:cstheme="minorEastAsia"/>
                <w:b/>
                <w:bCs/>
                <w:sz w:val="24"/>
                <w:lang w:eastAsia="zh-CN"/>
              </w:rPr>
              <w:t>对比基准</w:t>
            </w:r>
            <w:r>
              <w:rPr>
                <w:rFonts w:hint="eastAsia" w:asciiTheme="minorEastAsia" w:hAnsiTheme="minorEastAsia" w:eastAsiaTheme="minorEastAsia" w:cstheme="minorEastAsia"/>
                <w:b/>
                <w:bCs/>
                <w:sz w:val="24"/>
              </w:rPr>
              <w:t>能耗下降比例（≧）</w:t>
            </w:r>
          </w:p>
        </w:tc>
        <w:tc>
          <w:tcPr>
            <w:tcW w:w="2233" w:type="dxa"/>
          </w:tcPr>
          <w:p>
            <w:pPr>
              <w:rPr>
                <w:rFonts w:asciiTheme="minorEastAsia" w:hAnsiTheme="minorEastAsia" w:eastAsiaTheme="minorEastAsia" w:cstheme="minorEastAsia"/>
                <w:b/>
                <w:bCs/>
                <w:sz w:val="24"/>
              </w:rPr>
            </w:pPr>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8年服务期内每年能耗下降量（≧）</w:t>
            </w:r>
          </w:p>
        </w:tc>
        <w:tc>
          <w:tcPr>
            <w:tcW w:w="13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下降能耗</w:t>
            </w:r>
          </w:p>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分享比例</w:t>
            </w:r>
          </w:p>
        </w:tc>
        <w:tc>
          <w:tcPr>
            <w:tcW w:w="146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政府奖补资金分享比例</w:t>
            </w:r>
          </w:p>
        </w:tc>
        <w:tc>
          <w:tcPr>
            <w:tcW w:w="2162" w:type="dxa"/>
            <w:vAlign w:val="center"/>
          </w:tcPr>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节能下降量达不到最低指标，现金补齐下降量差额费用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3" w:type="dxa"/>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甲  方</w:t>
            </w:r>
          </w:p>
        </w:tc>
        <w:tc>
          <w:tcPr>
            <w:tcW w:w="1938"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15</w:t>
            </w:r>
            <w:r>
              <w:rPr>
                <w:rFonts w:hint="eastAsia" w:asciiTheme="minorEastAsia" w:hAnsiTheme="minorEastAsia" w:eastAsiaTheme="minorEastAsia" w:cstheme="minorEastAsia"/>
                <w:b/>
                <w:bCs/>
                <w:sz w:val="24"/>
              </w:rPr>
              <w:t>%</w:t>
            </w:r>
          </w:p>
        </w:tc>
        <w:tc>
          <w:tcPr>
            <w:tcW w:w="2233" w:type="dxa"/>
            <w:vMerge w:val="restart"/>
            <w:vAlign w:val="center"/>
          </w:tcPr>
          <w:p>
            <w:pPr>
              <w:spacing w:line="520" w:lineRule="exact"/>
              <w:jc w:val="lef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highlight w:val="none"/>
                <w:lang w:eastAsia="zh-CN"/>
              </w:rPr>
              <w:t>资格预审通过后，招标人提供对应企业能耗附件</w:t>
            </w: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30%</w:t>
            </w:r>
          </w:p>
        </w:tc>
        <w:tc>
          <w:tcPr>
            <w:tcW w:w="2162" w:type="dxa"/>
            <w:vMerge w:val="restart"/>
            <w:vAlign w:val="center"/>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3"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乙  方</w:t>
            </w:r>
          </w:p>
        </w:tc>
        <w:tc>
          <w:tcPr>
            <w:tcW w:w="1938" w:type="dxa"/>
            <w:vMerge w:val="continue"/>
            <w:vAlign w:val="center"/>
          </w:tcPr>
          <w:p>
            <w:pPr>
              <w:spacing w:line="520" w:lineRule="exact"/>
              <w:jc w:val="center"/>
              <w:rPr>
                <w:rFonts w:asciiTheme="minorEastAsia" w:hAnsiTheme="minorEastAsia" w:eastAsiaTheme="minorEastAsia" w:cstheme="minorEastAsia"/>
                <w:b/>
                <w:bCs/>
                <w:sz w:val="24"/>
              </w:rPr>
            </w:pPr>
          </w:p>
        </w:tc>
        <w:tc>
          <w:tcPr>
            <w:tcW w:w="2233" w:type="dxa"/>
            <w:vMerge w:val="continue"/>
          </w:tcPr>
          <w:p>
            <w:pPr>
              <w:spacing w:line="520" w:lineRule="exact"/>
              <w:jc w:val="center"/>
              <w:rPr>
                <w:rFonts w:asciiTheme="minorEastAsia" w:hAnsiTheme="minorEastAsia" w:eastAsiaTheme="minorEastAsia" w:cstheme="minorEastAsia"/>
                <w:b/>
                <w:bCs/>
                <w:sz w:val="24"/>
              </w:rPr>
            </w:pPr>
          </w:p>
        </w:tc>
        <w:tc>
          <w:tcPr>
            <w:tcW w:w="1320"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1468" w:type="dxa"/>
            <w:vAlign w:val="center"/>
          </w:tcPr>
          <w:p>
            <w:pPr>
              <w:spacing w:line="52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70%</w:t>
            </w:r>
          </w:p>
        </w:tc>
        <w:tc>
          <w:tcPr>
            <w:tcW w:w="2162" w:type="dxa"/>
            <w:vMerge w:val="continue"/>
            <w:vAlign w:val="center"/>
          </w:tcPr>
          <w:p>
            <w:pPr>
              <w:spacing w:line="520" w:lineRule="exact"/>
              <w:jc w:val="center"/>
              <w:rPr>
                <w:rFonts w:asciiTheme="minorEastAsia" w:hAnsiTheme="minorEastAsia" w:eastAsiaTheme="minorEastAsia" w:cstheme="minorEastAsia"/>
                <w:b/>
                <w:bCs/>
                <w:sz w:val="24"/>
              </w:rPr>
            </w:pPr>
          </w:p>
        </w:tc>
      </w:tr>
    </w:tbl>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b/>
          <w:bCs/>
          <w:sz w:val="24"/>
          <w:lang w:val="en-US" w:eastAsia="zh-CN"/>
        </w:rPr>
      </w:pPr>
      <w:r>
        <w:rPr>
          <w:rFonts w:hint="eastAsia" w:ascii="宋体" w:hAnsi="宋体"/>
          <w:b/>
          <w:bCs/>
          <w:sz w:val="24"/>
          <w:lang w:val="en-US" w:eastAsia="zh-CN"/>
        </w:rPr>
        <w:t>4.</w:t>
      </w:r>
      <w:r>
        <w:rPr>
          <w:rFonts w:hint="eastAsia" w:ascii="宋体" w:hAnsi="宋体"/>
          <w:b/>
          <w:sz w:val="24"/>
        </w:rPr>
        <w:t>本项目</w:t>
      </w:r>
      <w:r>
        <w:rPr>
          <w:rFonts w:hint="eastAsia" w:ascii="宋体" w:hAnsi="宋体"/>
          <w:b/>
          <w:sz w:val="24"/>
          <w:lang w:eastAsia="zh-CN"/>
        </w:rPr>
        <w:t>节能率报价包含</w:t>
      </w:r>
      <w:r>
        <w:rPr>
          <w:rFonts w:hint="eastAsia" w:ascii="宋体" w:hAnsi="宋体"/>
          <w:b/>
          <w:sz w:val="24"/>
          <w:highlight w:val="none"/>
          <w:lang w:val="en-US" w:eastAsia="zh-CN"/>
        </w:rPr>
        <w:t>3</w:t>
      </w:r>
      <w:r>
        <w:rPr>
          <w:rFonts w:hint="eastAsia" w:ascii="宋体" w:hAnsi="宋体"/>
          <w:b/>
          <w:sz w:val="24"/>
          <w:lang w:val="en-US" w:eastAsia="zh-CN"/>
        </w:rPr>
        <w:t>家成员企业</w:t>
      </w:r>
      <w:r>
        <w:rPr>
          <w:rFonts w:ascii="宋体" w:hAnsi="宋体"/>
          <w:b/>
          <w:sz w:val="24"/>
        </w:rPr>
        <w:t>，投标人可根据自身</w:t>
      </w:r>
      <w:r>
        <w:rPr>
          <w:rFonts w:hint="eastAsia" w:ascii="宋体" w:hAnsi="宋体"/>
          <w:b/>
          <w:sz w:val="24"/>
          <w:lang w:eastAsia="zh-CN"/>
        </w:rPr>
        <w:t>情况</w:t>
      </w:r>
      <w:r>
        <w:rPr>
          <w:rFonts w:ascii="宋体" w:hAnsi="宋体"/>
          <w:b/>
          <w:sz w:val="24"/>
        </w:rPr>
        <w:t>选择单投或多投，</w:t>
      </w:r>
      <w:r>
        <w:rPr>
          <w:rFonts w:hint="eastAsia" w:ascii="宋体" w:hAnsi="宋体"/>
          <w:b/>
          <w:sz w:val="24"/>
          <w:lang w:eastAsia="zh-CN"/>
        </w:rPr>
        <w:t>可单投单中，也</w:t>
      </w:r>
      <w:r>
        <w:rPr>
          <w:rFonts w:ascii="宋体" w:hAnsi="宋体"/>
          <w:b/>
          <w:sz w:val="24"/>
        </w:rPr>
        <w:t>可多投多中</w:t>
      </w:r>
      <w:r>
        <w:rPr>
          <w:rFonts w:hint="eastAsia" w:ascii="宋体" w:hAnsi="宋体"/>
          <w:b/>
          <w:sz w:val="24"/>
          <w:lang w:eastAsia="zh-CN"/>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sz w:val="24"/>
        </w:rPr>
      </w:pPr>
      <w:r>
        <w:rPr>
          <w:rFonts w:hint="eastAsia" w:ascii="宋体" w:hAnsi="宋体"/>
          <w:b/>
          <w:bCs/>
          <w:sz w:val="24"/>
        </w:rPr>
        <w:t>5.有下列情况之一的投标文件为废标：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hint="eastAsia" w:ascii="宋体" w:hAnsi="宋体"/>
          <w:sz w:val="24"/>
        </w:rPr>
        <w:t>⑴不响应节能分享方案或项目节能率不符合招标文件要求的；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⑵未加盖投标人公章的；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hAnsi="宋体"/>
          <w:sz w:val="24"/>
        </w:rPr>
      </w:pPr>
      <w:r>
        <w:rPr>
          <w:rFonts w:hint="eastAsia" w:ascii="宋体" w:hAnsi="宋体"/>
          <w:sz w:val="24"/>
        </w:rPr>
        <w:t>⑶投标文件无法定代表人或委托代理人签字、盖章的；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sz w:val="24"/>
        </w:rPr>
        <w:t>⑷投标文件字迹潦草、模糊致使无法辨认的；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⑹</w:t>
      </w:r>
      <w:r>
        <w:rPr>
          <w:rFonts w:hint="eastAsia" w:ascii="宋体" w:hAnsi="宋体"/>
          <w:sz w:val="24"/>
        </w:rPr>
        <w:t>投标文件存在缺项、漏项的</w:t>
      </w:r>
      <w:r>
        <w:rPr>
          <w:rFonts w:hint="eastAsia" w:ascii="宋体" w:hAnsi="宋体"/>
          <w:sz w:val="24"/>
          <w:lang w:eastAsia="zh-CN"/>
        </w:rPr>
        <w:t>，如</w:t>
      </w:r>
      <w:r>
        <w:rPr>
          <w:rFonts w:hint="eastAsia" w:ascii="宋体" w:hAnsi="宋体"/>
          <w:b/>
          <w:bCs/>
          <w:sz w:val="24"/>
          <w:lang w:eastAsia="zh-CN"/>
        </w:rPr>
        <w:t>未按招标文件要求提供</w:t>
      </w:r>
      <w:r>
        <w:rPr>
          <w:rFonts w:hint="eastAsia" w:ascii="宋体" w:hAnsi="宋体"/>
          <w:b/>
          <w:bCs/>
          <w:sz w:val="24"/>
        </w:rPr>
        <w:t>本项目的改造方案</w:t>
      </w:r>
      <w:r>
        <w:rPr>
          <w:rFonts w:hint="eastAsia" w:ascii="宋体" w:hAnsi="宋体"/>
          <w:b/>
          <w:bCs/>
          <w:sz w:val="24"/>
          <w:lang w:eastAsia="zh-CN"/>
        </w:rPr>
        <w:t>等</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keepNext w:val="0"/>
        <w:keepLines w:val="0"/>
        <w:pageBreakBefore w:val="0"/>
        <w:kinsoku/>
        <w:wordWrap/>
        <w:overflowPunct/>
        <w:topLinePunct w:val="0"/>
        <w:autoSpaceDE/>
        <w:autoSpaceDN/>
        <w:bidi w:val="0"/>
        <w:adjustRightInd/>
        <w:snapToGrid/>
        <w:spacing w:line="500" w:lineRule="exact"/>
        <w:ind w:left="218" w:leftChars="104" w:firstLine="259" w:firstLineChars="108"/>
        <w:textAlignment w:val="auto"/>
        <w:rPr>
          <w:rFonts w:ascii="宋体"/>
          <w:sz w:val="24"/>
        </w:rPr>
      </w:pPr>
      <w:r>
        <w:rPr>
          <w:rFonts w:hint="eastAsia" w:ascii="宋体" w:hAnsi="宋体" w:cs="宋体"/>
          <w:sz w:val="24"/>
        </w:rPr>
        <w:t>⑻</w:t>
      </w:r>
      <w:r>
        <w:rPr>
          <w:rFonts w:hint="eastAsia" w:ascii="宋体" w:hAnsi="宋体"/>
          <w:sz w:val="24"/>
        </w:rPr>
        <w:t>项目负责人未参加现场答辩的；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sz w:val="24"/>
        </w:rPr>
        <w:t>6．</w:t>
      </w:r>
      <w:r>
        <w:rPr>
          <w:rFonts w:hint="eastAsia" w:ascii="宋体" w:hAnsi="宋体" w:cs="宋体"/>
          <w:b/>
          <w:bCs/>
          <w:sz w:val="24"/>
        </w:rPr>
        <w:t>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bCs/>
          <w:kern w:val="0"/>
          <w:sz w:val="24"/>
        </w:rPr>
      </w:pPr>
      <w:r>
        <w:rPr>
          <w:rFonts w:hint="eastAsia" w:ascii="宋体" w:hAnsi="宋体" w:cs="宋体"/>
          <w:b/>
          <w:bCs/>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bCs/>
          <w:kern w:val="0"/>
          <w:sz w:val="24"/>
        </w:rPr>
        <w:t>596</w:t>
      </w:r>
      <w:r>
        <w:rPr>
          <w:rFonts w:hint="eastAsia" w:ascii="宋体" w:hAnsi="宋体" w:cs="宋体"/>
          <w:b/>
          <w:bCs/>
          <w:kern w:val="0"/>
          <w:sz w:val="24"/>
        </w:rPr>
        <w:t>号</w:t>
      </w:r>
      <w:r>
        <w:rPr>
          <w:rFonts w:ascii="宋体" w:hAnsi="宋体" w:cs="宋体"/>
          <w:b/>
          <w:bCs/>
          <w:kern w:val="0"/>
          <w:sz w:val="24"/>
        </w:rPr>
        <w:t>A</w:t>
      </w:r>
      <w:r>
        <w:rPr>
          <w:rFonts w:hint="eastAsia" w:ascii="宋体" w:hAnsi="宋体" w:cs="宋体"/>
          <w:b/>
          <w:bCs/>
          <w:kern w:val="0"/>
          <w:sz w:val="24"/>
        </w:rPr>
        <w:t>楼</w:t>
      </w:r>
      <w:r>
        <w:rPr>
          <w:rFonts w:ascii="宋体" w:hAnsi="宋体" w:cs="宋体"/>
          <w:b/>
          <w:bCs/>
          <w:kern w:val="0"/>
          <w:sz w:val="24"/>
        </w:rPr>
        <w:t>1503</w:t>
      </w:r>
      <w:r>
        <w:rPr>
          <w:rFonts w:hint="eastAsia" w:ascii="宋体" w:hAnsi="宋体" w:cs="宋体"/>
          <w:b/>
          <w:bCs/>
          <w:kern w:val="0"/>
          <w:sz w:val="24"/>
        </w:rPr>
        <w:t>室百大集团纪检监察室。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b/>
          <w:sz w:val="24"/>
        </w:rPr>
      </w:pPr>
      <w:r>
        <w:rPr>
          <w:rFonts w:hint="eastAsia" w:ascii="宋体" w:hAnsi="宋体"/>
          <w:b/>
          <w:sz w:val="24"/>
        </w:rPr>
        <w:t>四、答疑及招标文件的澄清与修改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val="0"/>
          <w:bCs/>
          <w:sz w:val="24"/>
        </w:rPr>
        <w:t>投标人应当按照招标人通知的时间、地点，指派专人进行答疑和澄清。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五、服务合同的确定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keepNext w:val="0"/>
        <w:keepLines w:val="0"/>
        <w:pageBreakBefore w:val="0"/>
        <w:kinsoku/>
        <w:wordWrap/>
        <w:overflowPunct/>
        <w:topLinePunct w:val="0"/>
        <w:autoSpaceDE/>
        <w:autoSpaceDN/>
        <w:bidi w:val="0"/>
        <w:adjustRightInd/>
        <w:snapToGrid/>
        <w:spacing w:line="500" w:lineRule="exact"/>
        <w:ind w:firstLine="236" w:firstLineChars="98"/>
        <w:textAlignment w:val="auto"/>
        <w:rPr>
          <w:rFonts w:ascii="宋体"/>
          <w:b/>
          <w:sz w:val="24"/>
        </w:rPr>
      </w:pPr>
      <w:r>
        <w:rPr>
          <w:rFonts w:hint="eastAsia" w:ascii="宋体" w:hAnsi="宋体"/>
          <w:b/>
          <w:sz w:val="24"/>
        </w:rPr>
        <w:t>六、履约保证金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sz w:val="24"/>
          <w:lang w:eastAsia="zh-CN"/>
        </w:rPr>
      </w:pPr>
      <w:r>
        <w:rPr>
          <w:rFonts w:hint="eastAsia" w:ascii="宋体" w:hAnsi="宋体"/>
          <w:sz w:val="24"/>
        </w:rPr>
        <w:t>4.扣除履约保证金的情形</w:t>
      </w:r>
      <w:r>
        <w:rPr>
          <w:rFonts w:hint="eastAsia" w:ascii="宋体" w:hAnsi="宋体"/>
          <w:sz w:val="24"/>
          <w:lang w:eastAsia="zh-CN"/>
        </w:rPr>
        <w:t>详见合同。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rPr>
      </w:pPr>
      <w:r>
        <w:rPr>
          <w:rFonts w:hint="eastAsia" w:ascii="宋体" w:hAnsi="宋体"/>
          <w:sz w:val="24"/>
        </w:rPr>
        <w:t>5.如中标人因违约行为导致履约保证金被扣除，若合同继续履行，则中标人应在履约保证金扣除后</w:t>
      </w:r>
      <w:r>
        <w:rPr>
          <w:rFonts w:hint="eastAsia" w:ascii="宋体" w:hAnsi="宋体"/>
          <w:sz w:val="24"/>
          <w:lang w:val="en-US" w:eastAsia="zh-CN"/>
        </w:rPr>
        <w:t>5</w:t>
      </w:r>
      <w:r>
        <w:rPr>
          <w:rFonts w:hint="eastAsia" w:ascii="宋体" w:hAnsi="宋体"/>
          <w:sz w:val="24"/>
        </w:rPr>
        <w:t>日内补足履约保证金。</w:t>
      </w:r>
    </w:p>
    <w:p>
      <w:pPr>
        <w:spacing w:line="520" w:lineRule="exact"/>
        <w:ind w:firstLine="480" w:firstLineChars="200"/>
        <w:rPr>
          <w:rFonts w:hint="eastAsia" w:ascii="宋体" w:hAnsi="宋体"/>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jc w:val="both"/>
        <w:rPr>
          <w:rFonts w:asciiTheme="minorEastAsia" w:hAnsiTheme="minorEastAsia" w:eastAsiaTheme="minorEastAsia" w:cstheme="minorEastAsia"/>
          <w:b/>
          <w:sz w:val="24"/>
        </w:rPr>
      </w:pPr>
    </w:p>
    <w:p>
      <w:pPr>
        <w:pStyle w:val="2"/>
        <w:numPr>
          <w:ilvl w:val="0"/>
          <w:numId w:val="0"/>
        </w:numPr>
        <w:rPr>
          <w:rFonts w:asciiTheme="minorEastAsia" w:hAnsiTheme="minorEastAsia" w:eastAsiaTheme="minorEastAsia" w:cstheme="minorEastAsia"/>
          <w:sz w:val="28"/>
          <w:szCs w:val="28"/>
        </w:rPr>
      </w:pPr>
      <w:bookmarkStart w:id="7" w:name="_Toc491005867"/>
      <w:bookmarkStart w:id="8" w:name="_Toc13732419"/>
      <w:r>
        <w:rPr>
          <w:rFonts w:hint="eastAsia" w:asciiTheme="minorEastAsia" w:hAnsiTheme="minorEastAsia" w:eastAsiaTheme="minorEastAsia" w:cstheme="minorEastAsia"/>
          <w:sz w:val="28"/>
          <w:szCs w:val="28"/>
        </w:rPr>
        <w:t>第四章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招标需求</w:t>
      </w:r>
      <w:bookmarkEnd w:id="7"/>
      <w:bookmarkEnd w:id="8"/>
    </w:p>
    <w:p>
      <w:pPr>
        <w:spacing w:line="520" w:lineRule="exact"/>
        <w:rPr>
          <w:rFonts w:asciiTheme="minorEastAsia" w:hAnsiTheme="minorEastAsia" w:eastAsiaTheme="minorEastAsia" w:cstheme="minorEastAsia"/>
          <w:sz w:val="24"/>
        </w:rPr>
      </w:pPr>
      <w:bookmarkStart w:id="9" w:name="_Toc486433794"/>
      <w:bookmarkStart w:id="10" w:name="_Toc486253611"/>
      <w:bookmarkStart w:id="11" w:name="_Toc486254518"/>
      <w:bookmarkStart w:id="12" w:name="_Toc484762213"/>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ind w:firstLine="241"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w:t>
      </w:r>
      <w:r>
        <w:rPr>
          <w:rFonts w:hint="eastAsia" w:asciiTheme="minorEastAsia" w:hAnsiTheme="minorEastAsia" w:eastAsiaTheme="minorEastAsia" w:cstheme="minorEastAsia"/>
          <w:sz w:val="24"/>
          <w:lang w:eastAsia="zh-CN"/>
        </w:rPr>
        <w:t>招标的合肥百大集团成员企业合同能源管理服务涉及</w:t>
      </w:r>
      <w:r>
        <w:rPr>
          <w:rFonts w:hint="eastAsia" w:asciiTheme="minorEastAsia" w:hAnsiTheme="minorEastAsia" w:eastAsiaTheme="minorEastAsia" w:cstheme="minorEastAsia"/>
          <w:sz w:val="24"/>
          <w:lang w:val="en-US" w:eastAsia="zh-CN"/>
        </w:rPr>
        <w:t>3家企业</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合家福高教基地店、合家福琥珀名城店、蚌埠百大名品中心。</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高教基地店项目，2012年开业，建筑面积12000㎡，共设置2台中央空调机组（1用1备）。输配系统方面大楼冷冻水与冷却水系统均采用1用2备设置。大楼共设有2组冷却塔。中央空调主机设备运行大致时段：5月-10初月；空调根据天气室内外温度和人流量来开；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合家福琥珀名城店项目，2013年开业，建筑面积8000㎡，共设置2台中央空调机组；输配系统方面大楼冷冻水泵与冷却水泵各设置3台；大楼共设有2组冷却塔；中央空调主机设备运行大致时段：6月-10月初；空调根据天气室内外温度和人流量来开启；夏天开小机组；开启时间：8：30—21：30，营业时间：7：30-21：50（重大活动、节假日时间顺延）；高峰期开，低峰期关闭。</w:t>
      </w:r>
    </w:p>
    <w:p>
      <w:pPr>
        <w:widowControl/>
        <w:spacing w:line="52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蚌埠百大名品中心项目，总建筑面积5.3万平方。其中一期项目于2009年建成使用，建筑为地上七层，地下一层，建筑面积为21123平方米。二期项目于2015年建成使用，建筑为地上十一层，地下二层，建筑面积为32331平方米。共设置4台离心式冷水机组1-6层商场夏季供冷，配备4组冷却塔搭配制冷机组使用，中央制冷空调水循环系统冷冻水与冷却水循环水泵无备用泵组，7-9层为12台风冷模块机组，冬季采用三台热水锅炉进行供暖。中央空调系统运行大致时间段，制冷为每年4月初至10月底，采暖时间为每年12月初第二年3月中旬。经营时间：9:00—22:00（重大节假日、活动顺延）。</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、项目节能目标及相关说明：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（一）对中央空调系统进行节能改造。包括能耗监测系统搭建、中央空调自控系统、输配系统改造、系统调试；系统的改造费用及节能改造设计咨询费均由投标人承担。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（二）中央空调系统运行环境目标：不得低于现有环境舒适度。夏季环境温度要求室内温度≤26度，梅雨季节室内闷热天也应当开启，冬季环境温度要求一楼商场≥18℃。</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加工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（四）供冷面积调整、功能（用电功率）如有变化：双方协商或选择第三方公司进行计算能耗变化，在结算时予以增减。</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（五）营业时间调整变化：因营业时间调整造成</w:t>
      </w:r>
      <w:r>
        <w:rPr>
          <w:rFonts w:hint="eastAsia" w:asciiTheme="minorEastAsia" w:hAnsiTheme="minorEastAsia" w:eastAsiaTheme="minorEastAsia" w:cstheme="minorEastAsia"/>
          <w:kern w:val="0"/>
          <w:sz w:val="24"/>
        </w:rPr>
        <w:t>各用电设备运行时间与改造前不一致的，则按照所影响的设备总功率和调整的时间计算出用电量变化值，在结算时予以</w:t>
      </w:r>
      <w:r>
        <w:rPr>
          <w:rFonts w:hint="eastAsia" w:asciiTheme="minorEastAsia" w:hAnsiTheme="minorEastAsia" w:eastAsiaTheme="minorEastAsia" w:cstheme="minorEastAsia"/>
          <w:sz w:val="24"/>
        </w:rPr>
        <w:t>增减</w:t>
      </w:r>
      <w:r>
        <w:rPr>
          <w:rFonts w:hint="eastAsia" w:asciiTheme="minorEastAsia" w:hAnsiTheme="minorEastAsia" w:eastAsiaTheme="minorEastAsia" w:cstheme="minorEastAsia"/>
          <w:kern w:val="0"/>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（六）专厅照明及</w:t>
      </w:r>
      <w:r>
        <w:rPr>
          <w:rFonts w:hint="eastAsia" w:asciiTheme="minorEastAsia" w:hAnsiTheme="minorEastAsia" w:eastAsiaTheme="minorEastAsia" w:cstheme="minorEastAsia"/>
          <w:sz w:val="24"/>
          <w:lang w:eastAsia="zh-CN"/>
        </w:rPr>
        <w:t>涉及的租赁商铺</w:t>
      </w:r>
      <w:r>
        <w:rPr>
          <w:rFonts w:hint="eastAsia" w:asciiTheme="minorEastAsia" w:hAnsiTheme="minorEastAsia" w:eastAsiaTheme="minorEastAsia" w:cstheme="minorEastAsia"/>
          <w:sz w:val="24"/>
        </w:rPr>
        <w:t>不在改造范围内，专厅照明能耗在基础能耗考核下降范围。改造后的灯光亮度在整个合同期都不低于改造前亮度（改造前后在相同点位采用国标照度仪测试照度值留存）。</w:t>
      </w:r>
    </w:p>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、中标人必须实施以下改造，并可根据专业知识和现场情况进行其他改造，改造方案、图纸需报招标方审核批准后方可实施：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1.加装中央空调智能优化控制系统（节能BA系统），提高系统用电效率；</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2.空调水泵增加智能逻辑控制，依据实时负荷动态变流量运行；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3.空调风柜增加变风量控制系统，实现自动启停和精确控温；</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4.空调冷却塔增加智能变频系统，实现自动启停和变风量运行；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5.优化或增加新风换气系统并实现按气温变化和室内空气质量自动运行；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6.采用高光效、高显指、长寿命LED灯具，替换商场公共区域原有灯具。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7.增加智慧照明控制，实现自动灯光控制；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8.配套超市内的灯具全部替换成高光效、高显指、长寿命LED灯具；</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9.配套超市内的冷柜和冷库加装精密控制系统实现节能运行；</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10.配套超市内的冷柜加装保温Low-e镀膜玻璃门（盖）；</w:t>
      </w:r>
    </w:p>
    <w:p>
      <w:pPr>
        <w:spacing w:line="520" w:lineRule="exact"/>
        <w:ind w:left="479" w:leftChars="22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11.建立整体能源监控管理平台，远程测量各用电设备的用电情况以及监测设备运行状态。</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12.推荐品牌:</w:t>
      </w:r>
    </w:p>
    <w:tbl>
      <w:tblPr>
        <w:tblStyle w:val="28"/>
        <w:tblW w:w="873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9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设备名称</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元器件</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西门子、施耐德、ABB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能耗计量装置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天康、E+T、华斯源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能耗传输装置</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卡林、艾克、华斯源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pacing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9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变频器</w:t>
            </w:r>
          </w:p>
        </w:tc>
        <w:tc>
          <w:tcPr>
            <w:tcW w:w="5400" w:type="dxa"/>
          </w:tcPr>
          <w:p>
            <w:pPr>
              <w:spacing w:line="52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西门子、ABB、丹佛斯</w:t>
            </w:r>
          </w:p>
        </w:tc>
      </w:tr>
    </w:tbl>
    <w:p>
      <w:pPr>
        <w:spacing w:line="44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四</w:t>
      </w:r>
      <w:r>
        <w:rPr>
          <w:rFonts w:hint="eastAsia" w:asciiTheme="minorEastAsia" w:hAnsiTheme="minorEastAsia" w:eastAsiaTheme="minorEastAsia" w:cstheme="minorEastAsia"/>
          <w:b/>
          <w:bCs/>
          <w:sz w:val="24"/>
        </w:rPr>
        <w:t>、服务周期要求：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2.改造实施：</w:t>
      </w:r>
      <w:r>
        <w:rPr>
          <w:rFonts w:hint="eastAsia" w:asciiTheme="minorEastAsia" w:hAnsiTheme="minorEastAsia" w:eastAsiaTheme="minorEastAsia" w:cstheme="minorEastAsia"/>
          <w:sz w:val="24"/>
          <w:highlight w:val="none"/>
          <w:lang w:eastAsia="zh-CN"/>
        </w:rPr>
        <w:t>单个成员企</w:t>
      </w:r>
      <w:r>
        <w:rPr>
          <w:rFonts w:hint="eastAsia" w:asciiTheme="minorEastAsia" w:hAnsiTheme="minorEastAsia" w:eastAsiaTheme="minorEastAsia" w:cstheme="minorEastAsia"/>
          <w:strike w:val="0"/>
          <w:sz w:val="24"/>
          <w:highlight w:val="none"/>
          <w:lang w:eastAsia="zh-CN"/>
        </w:rPr>
        <w:t>业</w:t>
      </w:r>
      <w:r>
        <w:rPr>
          <w:rFonts w:hint="eastAsia" w:asciiTheme="minorEastAsia" w:hAnsiTheme="minorEastAsia" w:eastAsiaTheme="minorEastAsia" w:cstheme="minorEastAsia"/>
          <w:strike w:val="0"/>
          <w:sz w:val="24"/>
          <w:highlight w:val="none"/>
        </w:rPr>
        <w:t>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trike w:val="0"/>
          <w:sz w:val="24"/>
          <w:highlight w:val="none"/>
        </w:rPr>
        <w:t>3.服务周期：自完工验收后的次</w:t>
      </w:r>
      <w:r>
        <w:rPr>
          <w:rFonts w:hint="eastAsia" w:asciiTheme="minorEastAsia" w:hAnsiTheme="minorEastAsia" w:eastAsiaTheme="minorEastAsia" w:cstheme="minorEastAsia"/>
          <w:sz w:val="24"/>
        </w:rPr>
        <w:t>月1日开始，至分享96期节能收益后合同终止（共8年）。</w:t>
      </w: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spacing w:line="520" w:lineRule="exact"/>
        <w:ind w:firstLine="480" w:firstLineChars="200"/>
        <w:rPr>
          <w:rFonts w:asciiTheme="minorEastAsia" w:hAnsiTheme="minorEastAsia" w:eastAsiaTheme="minorEastAsia" w:cstheme="minorEastAsia"/>
          <w:color w:val="FF0000"/>
          <w:sz w:val="24"/>
        </w:rPr>
      </w:pPr>
    </w:p>
    <w:p>
      <w:pPr>
        <w:pStyle w:val="2"/>
        <w:numPr>
          <w:ilvl w:val="0"/>
          <w:numId w:val="0"/>
        </w:numPr>
        <w:jc w:val="center"/>
        <w:rPr>
          <w:color w:val="auto"/>
        </w:rPr>
      </w:pPr>
      <w:bookmarkStart w:id="14" w:name="_Toc491005868"/>
      <w:bookmarkStart w:id="15" w:name="_Toc13732426"/>
      <w:r>
        <w:rPr>
          <w:rFonts w:hint="eastAsia" w:asciiTheme="majorEastAsia" w:hAnsiTheme="majorEastAsia" w:eastAsiaTheme="majorEastAsia" w:cstheme="majorEastAsia"/>
          <w:color w:val="auto"/>
          <w:sz w:val="28"/>
          <w:szCs w:val="28"/>
        </w:rPr>
        <w:t>第五章</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合同</w:t>
      </w:r>
      <w:bookmarkEnd w:id="14"/>
      <w:bookmarkEnd w:id="15"/>
      <w:r>
        <w:rPr>
          <w:rFonts w:hint="eastAsia" w:asciiTheme="majorEastAsia" w:hAnsiTheme="majorEastAsia" w:eastAsiaTheme="majorEastAsia" w:cstheme="majorEastAsia"/>
          <w:color w:val="auto"/>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719" w:leftChars="228" w:hanging="240" w:hanging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w:t>
      </w:r>
      <w:r>
        <w:rPr>
          <w:rFonts w:hint="eastAsia" w:asciiTheme="minorEastAsia" w:hAnsiTheme="minorEastAsia" w:eastAsiaTheme="minorEastAsia" w:cstheme="minorEastAsia"/>
          <w:kern w:val="0"/>
          <w:sz w:val="24"/>
          <w:u w:val="single"/>
          <w:lang w:val="en-US" w:eastAsia="zh-CN"/>
        </w:rPr>
        <w:t xml:space="preserve">   XXX</w:t>
      </w:r>
      <w:r>
        <w:rPr>
          <w:rFonts w:hint="eastAsia" w:asciiTheme="minorEastAsia" w:hAnsiTheme="minorEastAsia" w:eastAsiaTheme="minorEastAsia" w:cstheme="minorEastAsia"/>
          <w:kern w:val="0"/>
          <w:sz w:val="24"/>
          <w:u w:val="single"/>
          <w:lang w:eastAsia="zh-CN"/>
        </w:rPr>
        <w:t>公司</w:t>
      </w:r>
      <w:r>
        <w:rPr>
          <w:rFonts w:hint="eastAsia" w:asciiTheme="minorEastAsia" w:hAnsiTheme="minorEastAsia" w:eastAsiaTheme="minorEastAsia" w:cstheme="minorEastAsia"/>
          <w:kern w:val="0"/>
          <w:sz w:val="24"/>
        </w:rPr>
        <w:t>进行合同能源管理服务（以下简称“项目”或“本项目”）进行“效益分享型”专项节能改造及运行策略周期性服务，双方经平等协商，在真实、充分地表达各自意愿的基础上，根据《中华人民共和国合同法》及其他相关法律法规的规定，达成如下协议，由双方共同遵守。</w:t>
      </w:r>
    </w:p>
    <w:p>
      <w:pPr>
        <w:autoSpaceDE w:val="0"/>
        <w:autoSpaceDN w:val="0"/>
        <w:adjustRightInd w:val="0"/>
        <w:spacing w:line="500" w:lineRule="exact"/>
        <w:jc w:val="center"/>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asciiTheme="minorEastAsia" w:hAnsiTheme="minorEastAsia" w:eastAsiaTheme="minorEastAsia" w:cstheme="minorEastAsia"/>
          <w:b/>
          <w:kern w:val="0"/>
          <w:sz w:val="24"/>
        </w:rPr>
        <w:br w:type="textWrapping"/>
      </w: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投资进行综合节能改造，并派遣专业管理人员参与新投入节能设备和与节能设备相关的用电设备的日常运行管理工作，并提供节能设备日常保养维修服务，以及在合同期内节能设备的后期升级和再投入改造等，由此产生的合同能源管理效益（包括但不限于节省的电费、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在合同期内，乙方对乙方所有投入的节能设备拥有所有权；甲方对乙方所有投入的节能设备拥有使用权。</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，乙方将节能设备的所有权无偿转让给甲方，并应保证所有设备设施在转让时运行正常。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XXX    </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用电设备实施节能改造而由乙方所提供的设备设施。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1.3用电设备：是指本合同所涉及的除乙方提供的节能设备之外所有权（或使用权）属于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none"/>
          <w:lang w:eastAsia="zh-CN"/>
        </w:rPr>
        <w:t>公司</w:t>
      </w:r>
      <w:r>
        <w:rPr>
          <w:rFonts w:hint="eastAsia" w:asciiTheme="minorEastAsia" w:hAnsiTheme="minorEastAsia" w:eastAsiaTheme="minorEastAsia" w:cstheme="minorEastAsia"/>
          <w:sz w:val="24"/>
        </w:rPr>
        <w:t>的所有用电设备。</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边界条件：在达到项目实施的节能目标的要求下，必须满足的临界条件。</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节能指标：量化评价项目节能效果的指标，如节能量和节省的电费等。</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w:t>
      </w:r>
      <w:r>
        <w:rPr>
          <w:rFonts w:hint="eastAsia" w:asciiTheme="minorEastAsia" w:hAnsiTheme="minorEastAsia" w:eastAsiaTheme="minorEastAsia" w:cstheme="minorEastAsia"/>
          <w:kern w:val="0"/>
          <w:sz w:val="24"/>
          <w:highlight w:val="none"/>
          <w:lang w:eastAsia="zh-CN"/>
        </w:rPr>
        <w:t>单个成员企业</w:t>
      </w:r>
      <w:r>
        <w:rPr>
          <w:rFonts w:hint="eastAsia" w:asciiTheme="minorEastAsia" w:hAnsiTheme="minorEastAsia" w:eastAsiaTheme="minorEastAsia" w:cstheme="minorEastAsia"/>
          <w:kern w:val="0"/>
          <w:sz w:val="24"/>
        </w:rPr>
        <w:t>的建设期为</w:t>
      </w:r>
      <w:r>
        <w:rPr>
          <w:rFonts w:hint="eastAsia" w:asciiTheme="minorEastAsia" w:hAnsiTheme="minorEastAsia" w:eastAsiaTheme="minorEastAsia" w:cstheme="minorEastAsia"/>
          <w:b/>
          <w:kern w:val="0"/>
          <w:sz w:val="24"/>
        </w:rPr>
        <w:t>60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本项目节能效益分享期的起始日为本项目验收合格的次月1日起,效益分享期为8年，双方分享96期节能效益后，本合同终止。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项目实施方案由乙方制定并报甲方备案（含施工图），如无特殊原因，乙方将依照既定方案实施本项目。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3.3 </w:t>
      </w:r>
      <w:r>
        <w:rPr>
          <w:rFonts w:hint="eastAsia" w:asciiTheme="minorEastAsia" w:hAnsiTheme="minorEastAsia" w:eastAsiaTheme="minorEastAsia" w:cstheme="minorEastAsia"/>
          <w:sz w:val="24"/>
        </w:rPr>
        <w:t>环境标准：不得低于现有环境舒适度。夏季环境温度要求室内平均温度≤26度，梅雨季节室内闷热天也应当开启，冬季环境温度要求室内平均温度≥18℃。</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对原有灯具的更换，外形定制样品须经甲方审核通过后进行更换，改造后的灯光亮度在整个合同期都不低于改造前亮度（改造前后在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3.5 </w:t>
      </w:r>
      <w:r>
        <w:rPr>
          <w:rFonts w:hint="eastAsia" w:asciiTheme="minorEastAsia" w:hAnsiTheme="minorEastAsia" w:eastAsiaTheme="minorEastAsia" w:cstheme="minorEastAsia"/>
          <w:sz w:val="24"/>
        </w:rPr>
        <w:t>乙方应在本项目安装完毕前的七个工作日告知甲方完工日期，工程完工后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在十个工作日内</w:t>
      </w:r>
      <w:r>
        <w:rPr>
          <w:rFonts w:hint="eastAsia" w:asciiTheme="minorEastAsia" w:hAnsiTheme="minorEastAsia" w:eastAsiaTheme="minorEastAsia" w:cstheme="minorEastAsia"/>
          <w:kern w:val="0"/>
          <w:sz w:val="24"/>
        </w:rPr>
        <w:t>按照附件8的规定进行项目验收，并签署确认验收文件，由于甲方原因造成改造完工后15天仍未验收的，视同验收合格。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 xml:space="preserve">4.1 </w:t>
      </w:r>
      <w:r>
        <w:rPr>
          <w:rFonts w:hint="eastAsia" w:asciiTheme="minorEastAsia" w:hAnsiTheme="minorEastAsia" w:eastAsiaTheme="minorEastAsia" w:cstheme="minorEastAsia"/>
          <w:sz w:val="24"/>
        </w:rPr>
        <w:t>以改造前最近一个年度的“</w:t>
      </w:r>
      <w:r>
        <w:rPr>
          <w:rFonts w:hint="eastAsia" w:asciiTheme="minorEastAsia" w:hAnsiTheme="minorEastAsia" w:eastAsiaTheme="minorEastAsia" w:cstheme="minorEastAsia"/>
          <w:kern w:val="0"/>
          <w:sz w:val="24"/>
          <w:highlight w:val="none"/>
        </w:rPr>
        <w:t>公用电量＋合家福电量</w:t>
      </w:r>
      <w:r>
        <w:rPr>
          <w:rFonts w:hint="eastAsia" w:asciiTheme="minorEastAsia" w:hAnsiTheme="minorEastAsia" w:eastAsiaTheme="minorEastAsia" w:cstheme="minorEastAsia"/>
          <w:kern w:val="0"/>
          <w:sz w:val="24"/>
          <w:highlight w:val="none"/>
          <w:lang w:val="en-US" w:eastAsia="zh-CN"/>
        </w:rPr>
        <w:t>(如有）</w:t>
      </w:r>
      <w:r>
        <w:rPr>
          <w:rFonts w:hint="eastAsia" w:asciiTheme="minorEastAsia" w:hAnsiTheme="minorEastAsia" w:eastAsiaTheme="minorEastAsia" w:cstheme="minorEastAsia"/>
          <w:kern w:val="0"/>
          <w:sz w:val="24"/>
          <w:highlight w:val="none"/>
        </w:rPr>
        <w:t>＋家电商场电量</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”之和（</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度</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kern w:val="0"/>
          <w:sz w:val="24"/>
          <w:highlight w:val="none"/>
        </w:rPr>
        <w:t>项目基准能耗</w:t>
      </w:r>
      <w:r>
        <w:rPr>
          <w:rFonts w:hint="eastAsia" w:asciiTheme="minorEastAsia" w:hAnsiTheme="minorEastAsia" w:eastAsiaTheme="minorEastAsia" w:cstheme="minorEastAsia"/>
          <w:sz w:val="24"/>
          <w:highlight w:val="none"/>
        </w:rPr>
        <w:t>，每年至少节省电量</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万度（燃气用量不做考核），每月结算时凭供电局电费单（刨除</w:t>
      </w:r>
      <w:r>
        <w:rPr>
          <w:rFonts w:hint="eastAsia" w:asciiTheme="minorEastAsia" w:hAnsiTheme="minorEastAsia" w:eastAsiaTheme="minorEastAsia" w:cstheme="minorEastAsia"/>
          <w:sz w:val="24"/>
          <w:highlight w:val="none"/>
          <w:lang w:eastAsia="zh-CN"/>
        </w:rPr>
        <w:t>租赁商铺</w:t>
      </w:r>
      <w:r>
        <w:rPr>
          <w:rFonts w:hint="eastAsia" w:asciiTheme="minorEastAsia" w:hAnsiTheme="minorEastAsia" w:eastAsiaTheme="minorEastAsia" w:cstheme="minorEastAsia"/>
          <w:sz w:val="24"/>
          <w:highlight w:val="none"/>
        </w:rPr>
        <w:t>租户）直接对比基准能耗月计算节能量。</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年的效益分享期内，乙方每年分享</w:t>
      </w:r>
      <w:r>
        <w:rPr>
          <w:rFonts w:hint="eastAsia" w:asciiTheme="minorEastAsia" w:hAnsiTheme="minorEastAsia" w:eastAsiaTheme="minorEastAsia" w:cstheme="minorEastAsia"/>
          <w:b/>
          <w:kern w:val="0"/>
          <w:sz w:val="24"/>
          <w:highlight w:val="none"/>
        </w:rPr>
        <w:t xml:space="preserve"> 70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 在</w:t>
      </w:r>
      <w:r>
        <w:rPr>
          <w:rFonts w:hint="eastAsia" w:asciiTheme="minorEastAsia" w:hAnsiTheme="minorEastAsia" w:eastAsiaTheme="minorEastAsia" w:cstheme="minorEastAsia"/>
          <w:b/>
          <w:kern w:val="0"/>
          <w:sz w:val="24"/>
          <w:highlight w:val="none"/>
        </w:rPr>
        <w:t>8</w:t>
      </w:r>
      <w:r>
        <w:rPr>
          <w:rFonts w:hint="eastAsia" w:asciiTheme="minorEastAsia" w:hAnsiTheme="minorEastAsia" w:eastAsiaTheme="minorEastAsia" w:cstheme="minorEastAsia"/>
          <w:kern w:val="0"/>
          <w:sz w:val="24"/>
          <w:highlight w:val="none"/>
        </w:rPr>
        <w:t>年的效益分享其内，甲方每年分享</w:t>
      </w:r>
      <w:r>
        <w:rPr>
          <w:rFonts w:hint="eastAsia" w:asciiTheme="minorEastAsia" w:hAnsiTheme="minorEastAsia" w:eastAsiaTheme="minorEastAsia" w:cstheme="minorEastAsia"/>
          <w:b/>
          <w:kern w:val="0"/>
          <w:sz w:val="24"/>
          <w:highlight w:val="none"/>
        </w:rPr>
        <w:t xml:space="preserve"> 30</w:t>
      </w:r>
      <w:r>
        <w:rPr>
          <w:rFonts w:hint="eastAsia" w:asciiTheme="minorEastAsia" w:hAnsiTheme="minorEastAsia" w:eastAsiaTheme="minorEastAsia" w:cstheme="minorEastAsia"/>
          <w:kern w:val="0"/>
          <w:sz w:val="24"/>
          <w:highlight w:val="none"/>
        </w:rPr>
        <w:t>％的项目节能效益和政府相关节能奖补资金</w:t>
      </w:r>
      <w:r>
        <w:rPr>
          <w:rFonts w:hint="eastAsia" w:asciiTheme="minorEastAsia" w:hAnsiTheme="minorEastAsia" w:eastAsiaTheme="minorEastAsia" w:cstheme="minorEastAsia"/>
          <w:kern w:val="0"/>
          <w:sz w:val="24"/>
          <w:highlight w:val="none"/>
          <w:lang w:eastAsia="zh-CN"/>
        </w:rPr>
        <w:t>（如有）</w:t>
      </w:r>
      <w:r>
        <w:rPr>
          <w:rFonts w:hint="eastAsia" w:asciiTheme="minorEastAsia" w:hAnsiTheme="minorEastAsia" w:eastAsiaTheme="minorEastAsia" w:cstheme="minorEastAsia"/>
          <w:kern w:val="0"/>
          <w:sz w:val="24"/>
          <w:highlight w:val="none"/>
        </w:rPr>
        <w:t xml:space="preserve">，如甲方实际分享的节能效益不足合同承诺节能效益的 </w:t>
      </w:r>
      <w:r>
        <w:rPr>
          <w:rFonts w:hint="eastAsia" w:asciiTheme="minorEastAsia" w:hAnsiTheme="minorEastAsia" w:eastAsiaTheme="minorEastAsia" w:cstheme="minorEastAsia"/>
          <w:b/>
          <w:kern w:val="0"/>
          <w:sz w:val="24"/>
          <w:highlight w:val="none"/>
        </w:rPr>
        <w:t>30</w:t>
      </w:r>
      <w:r>
        <w:rPr>
          <w:rFonts w:hint="eastAsia" w:asciiTheme="minorEastAsia" w:hAnsiTheme="minorEastAsia" w:eastAsiaTheme="minorEastAsia" w:cstheme="minorEastAsia"/>
          <w:kern w:val="0"/>
          <w:sz w:val="24"/>
          <w:highlight w:val="none"/>
        </w:rPr>
        <w:t>％(即每年</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b/>
          <w:kern w:val="0"/>
          <w:sz w:val="24"/>
          <w:highlight w:val="none"/>
          <w:u w:val="single"/>
          <w:lang w:val="en-US" w:eastAsia="zh-CN"/>
        </w:rPr>
        <w:t xml:space="preserve">   </w:t>
      </w:r>
      <w:r>
        <w:rPr>
          <w:rFonts w:hint="eastAsia" w:asciiTheme="minorEastAsia" w:hAnsiTheme="minorEastAsia" w:eastAsiaTheme="minorEastAsia" w:cstheme="minorEastAsia"/>
          <w:b/>
          <w:kern w:val="0"/>
          <w:sz w:val="24"/>
          <w:highlight w:val="none"/>
          <w:u w:val="single"/>
        </w:rPr>
        <w:t xml:space="preserve">  </w:t>
      </w:r>
      <w:r>
        <w:rPr>
          <w:rFonts w:hint="eastAsia" w:asciiTheme="minorEastAsia" w:hAnsiTheme="minorEastAsia" w:eastAsiaTheme="minorEastAsia" w:cstheme="minorEastAsia"/>
          <w:kern w:val="0"/>
          <w:sz w:val="24"/>
          <w:highlight w:val="none"/>
        </w:rPr>
        <w:t>万度电量对应的电费)，不足部分由乙方</w:t>
      </w:r>
      <w:r>
        <w:rPr>
          <w:rFonts w:hint="eastAsia" w:asciiTheme="minorEastAsia" w:hAnsiTheme="minorEastAsia" w:eastAsiaTheme="minorEastAsia" w:cstheme="minorEastAsia"/>
          <w:kern w:val="0"/>
          <w:sz w:val="24"/>
          <w:highlight w:val="none"/>
          <w:lang w:eastAsia="zh-CN"/>
        </w:rPr>
        <w:t>现金</w:t>
      </w:r>
      <w:r>
        <w:rPr>
          <w:rFonts w:hint="eastAsia" w:asciiTheme="minorEastAsia" w:hAnsiTheme="minorEastAsia" w:eastAsiaTheme="minorEastAsia" w:cstheme="minorEastAsia"/>
          <w:kern w:val="0"/>
          <w:sz w:val="24"/>
          <w:highlight w:val="none"/>
        </w:rPr>
        <w:t>补足，详见</w:t>
      </w:r>
      <w:r>
        <w:rPr>
          <w:rFonts w:hint="eastAsia" w:asciiTheme="minorEastAsia" w:hAnsiTheme="minorEastAsia" w:eastAsiaTheme="minorEastAsia" w:cstheme="minorEastAsia"/>
          <w:b/>
          <w:kern w:val="0"/>
          <w:sz w:val="24"/>
          <w:highlight w:val="none"/>
        </w:rPr>
        <w:t>《附件11 其他约定》</w:t>
      </w:r>
      <w:r>
        <w:rPr>
          <w:rFonts w:hint="eastAsia" w:asciiTheme="minorEastAsia" w:hAnsiTheme="minorEastAsia" w:eastAsiaTheme="minorEastAsia" w:cstheme="minorEastAsia"/>
          <w:kern w:val="0"/>
          <w:sz w:val="24"/>
          <w:highlight w:val="none"/>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w:t>
      </w:r>
      <w:r>
        <w:rPr>
          <w:rFonts w:hint="eastAsia" w:asciiTheme="minorEastAsia" w:hAnsiTheme="minorEastAsia" w:eastAsiaTheme="minorEastAsia" w:cstheme="minorEastAsia"/>
          <w:b/>
          <w:kern w:val="0"/>
          <w:sz w:val="24"/>
        </w:rPr>
        <w:t>附件3</w:t>
      </w:r>
      <w:r>
        <w:rPr>
          <w:rFonts w:hint="eastAsia" w:asciiTheme="minorEastAsia" w:hAnsiTheme="minorEastAsia" w:eastAsiaTheme="minorEastAsia" w:cstheme="minorEastAsia"/>
          <w:kern w:val="0"/>
          <w:sz w:val="24"/>
        </w:rPr>
        <w:t xml:space="preserve">规定的程序和方式共同对项目节能量进行测量和确认，并按照 </w:t>
      </w:r>
      <w:r>
        <w:rPr>
          <w:rFonts w:hint="eastAsia" w:asciiTheme="minorEastAsia" w:hAnsiTheme="minorEastAsia" w:eastAsiaTheme="minorEastAsia" w:cstheme="minorEastAsia"/>
          <w:b/>
          <w:kern w:val="0"/>
          <w:sz w:val="24"/>
        </w:rPr>
        <w:t xml:space="preserve">附件4 </w:t>
      </w:r>
      <w:r>
        <w:rPr>
          <w:rFonts w:hint="eastAsia" w:asciiTheme="minorEastAsia" w:hAnsiTheme="minorEastAsia" w:eastAsiaTheme="minorEastAsia" w:cstheme="minorEastAsia"/>
          <w:kern w:val="0"/>
          <w:sz w:val="24"/>
        </w:rPr>
        <w:t>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节能效益由甲方按照第4.2条的规定分期（每月一次）支付给乙方，具体支付方式如下：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(a)在相应的节约电费确认后，乙方应当根据确认的节约电费向甲方发出书面的付款申请表，叙明付款的金额、方式以及对应的节约电费，并提供增值税普通发票（合同能源管理项目0税率发票）。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(b)甲方应当在收到上述付款请求之后的10个工作日内，将相应的款项支付给乙方，乙方须在甲方付款前先行提供该笔款项的发票。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highlight w:val="none"/>
        </w:rPr>
        <w:t>奖补资金分享</w:t>
      </w:r>
      <w:r>
        <w:rPr>
          <w:rFonts w:hint="eastAsia" w:asciiTheme="minorEastAsia" w:hAnsiTheme="minorEastAsia" w:eastAsiaTheme="minorEastAsia" w:cstheme="minorEastAsia"/>
          <w:bCs/>
          <w:sz w:val="24"/>
          <w:highlight w:val="none"/>
          <w:lang w:eastAsia="zh-CN"/>
        </w:rPr>
        <w:t>（如有）</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rPr>
        <w:t>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甲乙双方按3:7分享，在10个工作日内转至甲方专用账户，逾期将从次月节能分享资金中扣除。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甲方应当根据乙方的合理要求，及时提供节能项目设计和实施所必须的资料、图纸和数据，并确保其真实、准确、完整。并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提供节能项目实施所需要的现场条件和必要的协助，包括提供施工场地、材料存放空间、以及乙方管理人员的工作空间等。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5.3 </w:t>
      </w:r>
      <w:r>
        <w:rPr>
          <w:rFonts w:hint="eastAsia" w:asciiTheme="minorEastAsia" w:hAnsiTheme="minorEastAsia" w:eastAsiaTheme="minorEastAsia" w:cstheme="minorEastAsia"/>
          <w:bCs/>
          <w:sz w:val="24"/>
        </w:rPr>
        <w:t>指派具有资质的操作人员参加培训</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 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甲方应保证与项目相关的用电设备、设施连续稳定运行且运行状况良好，非因乙方原因造成的原甲方设备发生故障或老化破损，甲方应及时维修或更换；</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5.6 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5.8 甲方应当将与项目有关的其内部规章制度和特殊安全规定要求及时提前告知乙方、乙方的工作人员或其聘请的第三方，并根据需要提供相应的防护用品。</w:t>
      </w:r>
    </w:p>
    <w:p>
      <w:pPr>
        <w:autoSpaceDE w:val="0"/>
        <w:autoSpaceDN w:val="0"/>
        <w:adjustRightInd w:val="0"/>
        <w:spacing w:line="500" w:lineRule="exact"/>
        <w:ind w:right="-20" w:firstLine="42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5.9 甲方应当协助乙方（乙方作为节能改造投资方和奖补政策申报方）向有关政府机构或者组织申请与项目相关的补助、奖励或其他可适用的优惠政策；此部分补助、奖励或优惠在8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乙方应当按照附件的项目方案文件规定的技术标准和要求以及本合同的规定，自行或者委托合格的第三方按时完成本项目的方案设计、建设、运营以及维护,费用由乙方承担。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乙方应当确保其工作人员或其聘请的第三方严格遵守甲方有关施工场地安全和卫生等方面的规定，并听从甲方合理的现场指挥，</w:t>
      </w:r>
      <w:r>
        <w:rPr>
          <w:rFonts w:hint="eastAsia" w:asciiTheme="minorEastAsia" w:hAnsiTheme="minorEastAsia" w:eastAsiaTheme="minorEastAsia" w:cstheme="minorEastAsia"/>
          <w:sz w:val="24"/>
        </w:rPr>
        <w:t>乙方应当依照相关规定，对甲方指派的操作人员进行适当的培训，以使其能承担相应的操作和设施维护要求</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 乙方应当确保其工作人员或其聘请的第三方人员在项目实施、运行的整个过程中遵守相关法律法规，以及甲方的相关规章制度，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在接到甲方关于项目运行故障的通知之后，乙方应按照</w:t>
      </w:r>
      <w:r>
        <w:rPr>
          <w:rFonts w:hint="eastAsia" w:asciiTheme="minorEastAsia" w:hAnsiTheme="minorEastAsia" w:eastAsiaTheme="minorEastAsia" w:cstheme="minorEastAsia"/>
          <w:b/>
          <w:sz w:val="24"/>
        </w:rPr>
        <w:t>附件8</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设备故障处理约定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的规定及时完成相关维修或设备更换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6.5 </w:t>
      </w:r>
      <w:r>
        <w:rPr>
          <w:rFonts w:hint="eastAsia" w:asciiTheme="minorEastAsia" w:hAnsiTheme="minorEastAsia" w:eastAsiaTheme="minorEastAsia" w:cstheme="minorEastAsia"/>
          <w:bCs/>
          <w:sz w:val="24"/>
        </w:rPr>
        <w:t>乙方应当对甲方指派的操作人员进行适当的培训，以使其能承担相应的操作和设施维护要求。</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6.7 </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甲方提供</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增减设备负荷表》，乙方负责复核，经双方签字确认后，准确性互不追责。</w:t>
      </w:r>
    </w:p>
    <w:p>
      <w:pPr>
        <w:pStyle w:val="9"/>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甲方用电设备的设备名称、规格、数量、用电功率、用电时间等以</w:t>
      </w: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用电设备清单</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登记情况为准，</w:t>
      </w:r>
      <w:r>
        <w:rPr>
          <w:rFonts w:hint="eastAsia" w:asciiTheme="minorEastAsia" w:hAnsiTheme="minorEastAsia" w:eastAsiaTheme="minorEastAsia" w:cstheme="minorEastAsia"/>
          <w:spacing w:val="-8"/>
          <w:sz w:val="24"/>
        </w:rPr>
        <w:t>在本项目运行期间，甲方拆除、更换、更改、添加或移动现有设备、设施</w:t>
      </w:r>
      <w:r>
        <w:rPr>
          <w:rFonts w:hint="eastAsia" w:asciiTheme="minorEastAsia" w:hAnsiTheme="minorEastAsia" w:eastAsiaTheme="minorEastAsia" w:cstheme="minorEastAsia"/>
          <w:sz w:val="24"/>
        </w:rPr>
        <w:t>场地，以致对本项目的用电量和节能效益产生影响，甲方应提前以公文、邮件、微信等方式告知乙方，具体增加或减少负荷的大小、运行时间、用电量变量的计算等方面的事项，均以双方协商或选择第三方公司计算能耗变化确认后的书面文件作为增减负荷的依据，并填写《</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增减设备负荷表》由甲、乙双方代表签字确认。由此造成乙方较大损失的，双方协商解决。</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8.l </w:t>
      </w:r>
      <w:r>
        <w:rPr>
          <w:rFonts w:hint="eastAsia" w:asciiTheme="minorEastAsia" w:hAnsiTheme="minorEastAsia" w:eastAsiaTheme="minorEastAsia" w:cstheme="minorEastAsia"/>
          <w:kern w:val="2"/>
          <w:sz w:val="24"/>
          <w:szCs w:val="24"/>
          <w:lang w:val="en-US" w:eastAsia="zh-CN" w:bidi="ar-SA"/>
        </w:rPr>
        <w:t>在本合同到期并且甲方付清本合同项下全部款项之前，本项目下的所有由乙方采购并安装的设备、设施和仪器等财产（简称“项目财产”</w:t>
      </w:r>
      <w:r>
        <w:rPr>
          <w:rFonts w:hint="eastAsia" w:asciiTheme="minorEastAsia" w:hAnsiTheme="minorEastAsia" w:eastAsiaTheme="minorEastAsia" w:cstheme="minorEastAsia"/>
          <w:kern w:val="0"/>
          <w:sz w:val="24"/>
        </w:rPr>
        <w:t>）的所有权属于乙方。</w:t>
      </w:r>
      <w:r>
        <w:rPr>
          <w:rFonts w:hint="eastAsia" w:asciiTheme="minorEastAsia" w:hAnsiTheme="minorEastAsia" w:eastAsiaTheme="minorEastAsia" w:cstheme="minorEastAsia"/>
          <w:kern w:val="0"/>
          <w:sz w:val="24"/>
          <w:highlight w:val="none"/>
        </w:rPr>
        <w:t>合同期限届满且甲方付清</w:t>
      </w:r>
      <w:r>
        <w:rPr>
          <w:rFonts w:hint="eastAsia" w:asciiTheme="minorEastAsia" w:hAnsiTheme="minorEastAsia" w:eastAsiaTheme="minorEastAsia" w:cstheme="minorEastAsia"/>
          <w:kern w:val="0"/>
          <w:sz w:val="24"/>
          <w:highlight w:val="none"/>
          <w:lang w:eastAsia="zh-CN"/>
        </w:rPr>
        <w:t>合同期内约定的分享的能耗费用</w:t>
      </w:r>
      <w:r>
        <w:rPr>
          <w:rFonts w:hint="eastAsia" w:asciiTheme="minorEastAsia" w:hAnsiTheme="minorEastAsia" w:eastAsiaTheme="minorEastAsia" w:cstheme="minorEastAsia"/>
          <w:kern w:val="0"/>
          <w:sz w:val="24"/>
          <w:highlight w:val="none"/>
        </w:rPr>
        <w:t>款项后，</w:t>
      </w:r>
      <w:r>
        <w:rPr>
          <w:rFonts w:hint="eastAsia" w:asciiTheme="minorEastAsia" w:hAnsiTheme="minorEastAsia" w:eastAsiaTheme="minorEastAsia" w:cstheme="minorEastAsia"/>
          <w:kern w:val="0"/>
          <w:sz w:val="24"/>
        </w:rPr>
        <w:t>乙方应将本项目财产的所有权及项目全部设计资料无偿转让给甲方并应保证项目设备设施在转让时运行正常。项目财产清单见</w:t>
      </w:r>
      <w:r>
        <w:rPr>
          <w:rFonts w:hint="eastAsia" w:asciiTheme="minorEastAsia" w:hAnsiTheme="minorEastAsia" w:eastAsiaTheme="minorEastAsia" w:cstheme="minorEastAsia"/>
          <w:b/>
          <w:kern w:val="0"/>
          <w:sz w:val="24"/>
        </w:rPr>
        <w:t>附件5</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项目财产的所有权由乙方移交给甲方时，应同时移交本项目继续运行所必需的资料。如该项目财产的继续使用需要乙方的相关技术和相关知识产权的授权，乙方应当无偿向甲方提供该等授权。</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合同到期如甲方需要乙方继续提供服务，则在合同有效期满前，双方可友好协商继续为本项目签定合同能源管理服务事宜。</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甲方违约和相关赔偿：</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9.1.1在本合同生效后、乙方开始施工至竣工验收之前，如果甲方无故解除本合同，则甲方应赔偿乙方为此项目所支出的设备购置费、运费、安装费、设计费等实际投入的损失。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w:t>
      </w:r>
      <w:r>
        <w:rPr>
          <w:rFonts w:hint="eastAsia" w:asciiTheme="minorEastAsia" w:hAnsiTheme="minorEastAsia" w:eastAsiaTheme="minorEastAsia" w:cstheme="minorEastAsia"/>
          <w:sz w:val="24"/>
          <w:highlight w:val="none"/>
        </w:rPr>
        <w:t>按时足额收取节能效益分享款是乙方持续经营的必要条件，</w:t>
      </w:r>
      <w:r>
        <w:rPr>
          <w:rFonts w:hint="eastAsia" w:asciiTheme="minorEastAsia" w:hAnsiTheme="minorEastAsia" w:eastAsiaTheme="minorEastAsia" w:cstheme="minorEastAsia"/>
          <w:sz w:val="24"/>
        </w:rPr>
        <w:t>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96-M）×R/M，其中W为违约金总额，M为已履行付款期数，R为已支付乙方的分享款总额，（96-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月平均分享金额*48个月作为最低补偿额，项目关停前如合同履行付款超过48个月的不再补偿。因此甲方补偿乙方损失的实际金额为：S=（48-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96-M）×N/M，其中Z为违约金总额，M为双方已执行分享的总期数，N为甲方所有分享款总额，（96-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highlight w:val="none"/>
        </w:rPr>
        <w:t>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trike w:val="0"/>
          <w:sz w:val="24"/>
          <w:szCs w:val="24"/>
          <w:highlight w:val="none"/>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trike w:val="0"/>
          <w:sz w:val="24"/>
          <w:szCs w:val="24"/>
          <w:highlight w:val="none"/>
        </w:rPr>
        <w:t>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trike w:val="0"/>
          <w:kern w:val="0"/>
          <w:sz w:val="24"/>
          <w:highlight w:val="none"/>
        </w:rPr>
        <w:t>11.</w:t>
      </w:r>
      <w:r>
        <w:rPr>
          <w:rFonts w:hint="eastAsia" w:asciiTheme="minorEastAsia" w:hAnsiTheme="minorEastAsia" w:eastAsiaTheme="minorEastAsia" w:cstheme="minorEastAsia"/>
          <w:strike w:val="0"/>
          <w:kern w:val="0"/>
          <w:sz w:val="24"/>
          <w:highlight w:val="none"/>
          <w:lang w:val="en-US" w:eastAsia="zh-CN"/>
        </w:rPr>
        <w:t>8</w:t>
      </w:r>
      <w:r>
        <w:rPr>
          <w:rFonts w:hint="eastAsia" w:asciiTheme="minorEastAsia" w:hAnsiTheme="minorEastAsia" w:eastAsiaTheme="minorEastAsia" w:cstheme="minorEastAsia"/>
          <w:strike w:val="0"/>
          <w:kern w:val="0"/>
          <w:sz w:val="24"/>
          <w:highlight w:val="none"/>
        </w:rPr>
        <w:t>本合同的解除不影响任何</w:t>
      </w:r>
      <w:r>
        <w:rPr>
          <w:rFonts w:hint="eastAsia" w:asciiTheme="minorEastAsia" w:hAnsiTheme="minorEastAsia" w:eastAsiaTheme="minorEastAsia" w:cstheme="minorEastAsia"/>
          <w:kern w:val="0"/>
          <w:sz w:val="24"/>
        </w:rPr>
        <w:t>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受损害或伤害的一方对损害或伤害的发生也有过错时，应当根据其过错程度承担相应的责任，并适当减轻造成损害或伤害一方的责任。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 乙方在履行合同时对自身人员人身和设备的安全性负全责。因乙方提供的产品造成安全事故的，乙方应在事故处理完毕叁个工作日内赔偿甲方的实际损失。</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第14节 保密条款</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双方确定因履行本合同应遵守的保密义务如下：</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14.1甲方保密义务：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14.1.1保密内容（包括技术信息和经营信息）：乙方的技术信息和合同条款。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14.1.2负有保密义务的人员范围：甲方全体人员。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14.1.4泄密责任：依法追究法律责任。</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14.2乙方保密义务：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14.2.1保密内容（包括技术信息和经营信息）：甲方的经营信息和合同条款。</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14.2.2负有保密义务的人员范围：乙方全体人员。</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14.2.3保密期限：合同期满。</w:t>
      </w:r>
    </w:p>
    <w:p>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14.2.4泄密责任：依法追究法律责任。</w:t>
      </w: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第15节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3855" w:firstLineChars="1600"/>
        <w:jc w:val="both"/>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 xml:space="preserve">第16节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第17节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w:t>
      </w:r>
      <w:r>
        <w:rPr>
          <w:rFonts w:hint="eastAsia" w:asciiTheme="minorEastAsia" w:hAnsiTheme="minorEastAsia" w:eastAsiaTheme="minorEastAsia" w:cstheme="minorEastAsia"/>
          <w:color w:val="auto"/>
          <w:kern w:val="0"/>
          <w:sz w:val="24"/>
        </w:rPr>
        <w:t>、运行、监测的所有费</w:t>
      </w:r>
      <w:r>
        <w:rPr>
          <w:rFonts w:hint="eastAsia" w:asciiTheme="minorEastAsia" w:hAnsiTheme="minorEastAsia" w:eastAsiaTheme="minorEastAsia" w:cstheme="minorEastAsia"/>
          <w:kern w:val="0"/>
          <w:sz w:val="24"/>
        </w:rPr>
        <w:t>用，包括项目所需设备、技术购置、更换、维保等费用。</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第18节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本合同必要的附件包括以下9项：</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   项目内容和边界条件</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附件2  能耗基准、项目节能目标预测及电网电价调整方式</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附件3、节能量测量及节能效益分成计算</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附件4.节能量确认单及付款申请表</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附件5. 项目验收程序和标准</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附件6. 施工条件约定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附件7. 项目投资分担方案</w:t>
      </w:r>
    </w:p>
    <w:p>
      <w:pPr>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 xml:space="preserve">附件8. </w:t>
      </w:r>
      <w:r>
        <w:rPr>
          <w:rFonts w:hint="eastAsia" w:asciiTheme="minorEastAsia" w:hAnsiTheme="minorEastAsia" w:eastAsiaTheme="minorEastAsia" w:cstheme="minorEastAsia"/>
          <w:bCs/>
          <w:kern w:val="0"/>
          <w:sz w:val="24"/>
        </w:rPr>
        <w:t>设备故障处理约定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附件9. 其它约定</w:t>
      </w: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500" w:lineRule="exact"/>
        <w:ind w:firstLine="480" w:firstLineChars="200"/>
        <w:jc w:val="left"/>
        <w:outlineLvl w:val="0"/>
        <w:rPr>
          <w:rFonts w:hint="eastAsia"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附件1   项目内容和边界条件</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项目内容：</w:t>
      </w:r>
    </w:p>
    <w:p>
      <w:pPr>
        <w:numPr>
          <w:ilvl w:val="0"/>
          <w:numId w:val="3"/>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XXX</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kern w:val="0"/>
          <w:sz w:val="24"/>
        </w:rPr>
        <w:t>具体改造项目如下；</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加装中央空调智能优化控制系统（节能BA系统），提高系统用电效率并实现自动运行；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空调水泵增加智能逻辑控制，依据实时负荷动态变流量运行；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空调风柜增加变风量控制系统，实现自动启停和精确控温；</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空调冷却塔增加智能变频系统，实现自动启停和变风量运行；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优化或增加新风换气系统并实现按气温变化和室内空气质量自动运行；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采用符合商业照明标准之高光效、高显指、长寿命LED灯具，替换商场公共区域原有灯具。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增加智慧照明控制，实现自动灯光控制； </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配套超市内的灯具全部替换成高光效、高显指、长寿命LED灯具；</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配套超市内的冷链制冷机组、冷柜、以及冷库加装精密控制系统实现节能运行；</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配套超市内的冷柜加装保温Low-e镀膜玻璃门（盖）；</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建立整体能源监控管理平台，远程测量各用电设备的用电情况以及监测设备运行状态；</w:t>
      </w:r>
    </w:p>
    <w:p>
      <w:pPr>
        <w:numPr>
          <w:ilvl w:val="0"/>
          <w:numId w:val="4"/>
        </w:num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其它适用于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XXX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lang w:eastAsia="zh-CN"/>
        </w:rPr>
        <w:t>公司</w:t>
      </w:r>
      <w:r>
        <w:rPr>
          <w:rFonts w:hint="eastAsia" w:asciiTheme="minorEastAsia" w:hAnsiTheme="minorEastAsia" w:eastAsiaTheme="minorEastAsia" w:cstheme="minorEastAsia"/>
          <w:sz w:val="24"/>
        </w:rPr>
        <w:t>的节能技术改造；</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（2）乙方派遣专业技术人员参与节能设备和用电设备（不含门店供配电设备、收银、消防、监控设备）日常运行管理工作。</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（3）合同期内由乙方负责节能设备的日常保养、维修工作；</w:t>
      </w:r>
      <w:r>
        <w:rPr>
          <w:rFonts w:hint="eastAsia" w:asciiTheme="minorEastAsia" w:hAnsiTheme="minorEastAsia" w:eastAsiaTheme="minorEastAsia" w:cstheme="minorEastAsia"/>
          <w:kern w:val="0"/>
          <w:sz w:val="24"/>
        </w:rPr>
        <w:t>合同期满且甲方付清全部款项后，乙方将设备设施的所有权无偿转让给甲方，如果甲方需要乙方维修保养或者继续管理，乙方可以与</w:t>
      </w:r>
      <w:r>
        <w:rPr>
          <w:rFonts w:hint="eastAsia" w:asciiTheme="minorEastAsia" w:hAnsiTheme="minorEastAsia" w:eastAsiaTheme="minorEastAsia" w:cstheme="minorEastAsia"/>
          <w:sz w:val="24"/>
        </w:rPr>
        <w:t>甲方另行签订合同以收费模式延续服务。</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边界条件：</w:t>
      </w:r>
    </w:p>
    <w:p>
      <w:pPr>
        <w:numPr>
          <w:ilvl w:val="0"/>
          <w:numId w:val="5"/>
        </w:num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改造完成后，门店各用电设备运行模式和运行时间与改造前应保持基本一致（如今后门店调整灯光和空调及其他能耗设备的开放时间，造成当月灯光和相应设备用电增加或减少，则在结算时相应体现该部分用电变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rPr>
        <w:t>（2）项目改造完成后，</w:t>
      </w:r>
      <w:r>
        <w:rPr>
          <w:rFonts w:hint="eastAsia" w:asciiTheme="minorEastAsia" w:hAnsiTheme="minorEastAsia" w:eastAsiaTheme="minorEastAsia" w:cstheme="minorEastAsia"/>
          <w:sz w:val="24"/>
        </w:rPr>
        <w:t>经甲乙双方共同确认</w:t>
      </w:r>
      <w:r>
        <w:rPr>
          <w:rFonts w:hint="eastAsia" w:asciiTheme="minorEastAsia" w:hAnsiTheme="minorEastAsia" w:eastAsiaTheme="minorEastAsia" w:cstheme="minorEastAsia"/>
          <w:kern w:val="0"/>
          <w:sz w:val="24"/>
        </w:rPr>
        <w:t>空调平均温度需达到国家标准，即</w:t>
      </w:r>
      <w:r>
        <w:rPr>
          <w:rFonts w:hint="eastAsia" w:asciiTheme="minorEastAsia" w:hAnsiTheme="minorEastAsia" w:eastAsiaTheme="minorEastAsia" w:cstheme="minorEastAsia"/>
          <w:sz w:val="24"/>
        </w:rPr>
        <w:t>夏季环境温度要求室内温度≤26℃，梅雨季节室内闷热天也应当开启空调，冬季环境温度要求一楼商场≥18℃的环境目标</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中央空调系统运行改造后，必须参照现有开启时间开关，并不得低于现有环境舒适度。</w:t>
      </w:r>
      <w:r>
        <w:rPr>
          <w:rFonts w:hint="eastAsia" w:asciiTheme="minorEastAsia" w:hAnsiTheme="minorEastAsia" w:eastAsiaTheme="minorEastAsia" w:cstheme="minorEastAsia"/>
          <w:sz w:val="24"/>
          <w:highlight w:val="none"/>
        </w:rPr>
        <w:t>且</w:t>
      </w:r>
      <w:r>
        <w:rPr>
          <w:rFonts w:hint="eastAsia" w:asciiTheme="minorEastAsia" w:hAnsiTheme="minorEastAsia" w:eastAsiaTheme="minorEastAsia" w:cstheme="minorEastAsia"/>
          <w:strike w:val="0"/>
          <w:sz w:val="24"/>
          <w:highlight w:val="none"/>
        </w:rPr>
        <w:t>综合节电率≥</w:t>
      </w:r>
      <w:r>
        <w:rPr>
          <w:rFonts w:hint="eastAsia" w:asciiTheme="minorEastAsia" w:hAnsiTheme="minorEastAsia" w:eastAsiaTheme="minorEastAsia" w:cstheme="minorEastAsia"/>
          <w:strike w:val="0"/>
          <w:sz w:val="24"/>
          <w:highlight w:val="none"/>
          <w:lang w:val="en-US" w:eastAsia="zh-CN"/>
        </w:rPr>
        <w:t>XX</w:t>
      </w:r>
      <w:r>
        <w:rPr>
          <w:rFonts w:hint="eastAsia" w:asciiTheme="minorEastAsia" w:hAnsiTheme="minorEastAsia" w:eastAsiaTheme="minorEastAsia" w:cstheme="minorEastAsia"/>
          <w:strike w:val="0"/>
          <w:sz w:val="24"/>
          <w:highlight w:val="none"/>
        </w:rPr>
        <w:t>%</w:t>
      </w:r>
      <w:r>
        <w:rPr>
          <w:rFonts w:hint="eastAsia" w:asciiTheme="minorEastAsia" w:hAnsiTheme="minorEastAsia" w:eastAsiaTheme="minorEastAsia" w:cstheme="minorEastAsia"/>
          <w:strike w:val="0"/>
          <w:sz w:val="24"/>
          <w:highlight w:val="none"/>
          <w:lang w:val="en-US" w:eastAsia="zh-CN"/>
        </w:rPr>
        <w:t>(中</w:t>
      </w:r>
      <w:r>
        <w:rPr>
          <w:rFonts w:hint="eastAsia" w:asciiTheme="minorEastAsia" w:hAnsiTheme="minorEastAsia" w:eastAsiaTheme="minorEastAsia" w:cstheme="minorEastAsia"/>
          <w:sz w:val="24"/>
          <w:highlight w:val="none"/>
          <w:lang w:val="en-US" w:eastAsia="zh-CN"/>
        </w:rPr>
        <w:t>标人投标所报项目节能率）</w:t>
      </w:r>
      <w:r>
        <w:rPr>
          <w:rFonts w:hint="eastAsia" w:asciiTheme="minorEastAsia" w:hAnsiTheme="minorEastAsia" w:eastAsiaTheme="minorEastAsia" w:cstheme="minorEastAsia"/>
          <w:sz w:val="24"/>
          <w:highlight w:val="none"/>
        </w:rPr>
        <w:t>。</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（3）在整个合同期内，替换了节能灯具的区域，平均照度不得低于改造前各区域的平均照度（改造前和改造后在相同的测量点测量离地1米高度的亮度，并进行记录）。</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附件2  能耗基准、项目节能目标预测及电网电价调整方式</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能耗基准：</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highlight w:val="none"/>
        </w:rPr>
        <w:t>以</w:t>
      </w:r>
      <w:r>
        <w:rPr>
          <w:rFonts w:hint="eastAsia" w:asciiTheme="minorEastAsia" w:hAnsiTheme="minorEastAsia" w:eastAsiaTheme="minorEastAsia" w:cstheme="minorEastAsia"/>
          <w:kern w:val="0"/>
          <w:sz w:val="24"/>
          <w:highlight w:val="none"/>
          <w:lang w:val="en-US" w:eastAsia="zh-CN"/>
        </w:rPr>
        <w:t>XXX</w:t>
      </w:r>
      <w:r>
        <w:rPr>
          <w:rFonts w:hint="eastAsia" w:asciiTheme="minorEastAsia" w:hAnsiTheme="minorEastAsia" w:eastAsiaTheme="minorEastAsia" w:cstheme="minorEastAsia"/>
          <w:kern w:val="0"/>
          <w:sz w:val="24"/>
          <w:highlight w:val="none"/>
          <w:lang w:eastAsia="zh-CN"/>
        </w:rPr>
        <w:t>公司</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月各月份总</w:t>
      </w:r>
      <w:r>
        <w:rPr>
          <w:rFonts w:hint="eastAsia" w:asciiTheme="minorEastAsia" w:hAnsiTheme="minorEastAsia" w:eastAsiaTheme="minorEastAsia" w:cstheme="minorEastAsia"/>
          <w:kern w:val="0"/>
          <w:sz w:val="24"/>
        </w:rPr>
        <w:t>用电量减去外租商户电量得到的公用</w:t>
      </w:r>
      <w:r>
        <w:rPr>
          <w:rFonts w:hint="eastAsia" w:asciiTheme="minorEastAsia" w:hAnsiTheme="minorEastAsia" w:eastAsiaTheme="minorEastAsia" w:cstheme="minorEastAsia"/>
          <w:bCs/>
          <w:kern w:val="0"/>
          <w:sz w:val="24"/>
        </w:rPr>
        <w:t>电量为结算基准电量，详见下表《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bCs/>
          <w:kern w:val="0"/>
          <w:sz w:val="24"/>
        </w:rPr>
        <w:t>每月基准电量电费表》</w:t>
      </w:r>
      <w:r>
        <w:rPr>
          <w:rFonts w:hint="eastAsia" w:asciiTheme="minorEastAsia" w:hAnsiTheme="minorEastAsia" w:eastAsiaTheme="minorEastAsia" w:cstheme="minorEastAsia"/>
          <w:kern w:val="0"/>
          <w:sz w:val="24"/>
        </w:rPr>
        <w:t>。</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项目节能目标承诺：</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在合同期内，门店每结算年度（12个月）公用电总电量同比年度基准量（12个月）总电量节省</w:t>
      </w:r>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u w:val="single"/>
          <w:lang w:val="en-US" w:eastAsia="zh-CN"/>
        </w:rPr>
        <w:t xml:space="preserve">    </w:t>
      </w:r>
      <w:r>
        <w:rPr>
          <w:rFonts w:hint="eastAsia" w:asciiTheme="minorEastAsia" w:hAnsiTheme="minorEastAsia" w:eastAsiaTheme="minorEastAsia" w:cstheme="minorEastAsia"/>
          <w:kern w:val="0"/>
          <w:sz w:val="24"/>
        </w:rPr>
        <w:t>万度以上。</w:t>
      </w:r>
    </w:p>
    <w:p>
      <w:pPr>
        <w:autoSpaceDE w:val="0"/>
        <w:autoSpaceDN w:val="0"/>
        <w:adjustRightInd w:val="0"/>
        <w:spacing w:line="360" w:lineRule="auto"/>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能源价格波动、调整方式：</w:t>
      </w: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甲乙双方的当月结算电价为：当月供电局电费单的电费总额（+电损费）/总用电量</w:t>
      </w:r>
      <w:r>
        <w:rPr>
          <w:rFonts w:hint="eastAsia" w:asciiTheme="minorEastAsia" w:hAnsiTheme="minorEastAsia" w:eastAsiaTheme="minorEastAsia" w:cstheme="minorEastAsia"/>
          <w:kern w:val="0"/>
          <w:sz w:val="24"/>
        </w:rPr>
        <w:t>。</w:t>
      </w:r>
    </w:p>
    <w:p>
      <w:pPr>
        <w:spacing w:line="44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kern w:val="0"/>
          <w:sz w:val="24"/>
        </w:rPr>
        <w:t>集团</w:t>
      </w:r>
      <w:r>
        <w:rPr>
          <w:rFonts w:hint="eastAsia" w:asciiTheme="minorEastAsia" w:hAnsiTheme="minorEastAsia" w:eastAsiaTheme="minorEastAsia" w:cstheme="minorEastAsia"/>
          <w:b/>
          <w:kern w:val="0"/>
          <w:sz w:val="24"/>
          <w:lang w:val="en-US" w:eastAsia="zh-CN"/>
        </w:rPr>
        <w:t>XX</w:t>
      </w:r>
      <w:r>
        <w:rPr>
          <w:rFonts w:hint="eastAsia" w:asciiTheme="minorEastAsia" w:hAnsiTheme="minorEastAsia" w:eastAsiaTheme="minorEastAsia" w:cstheme="minorEastAsia"/>
          <w:b/>
          <w:kern w:val="0"/>
          <w:sz w:val="24"/>
        </w:rPr>
        <w:t>店</w:t>
      </w:r>
      <w:r>
        <w:rPr>
          <w:rFonts w:hint="eastAsia" w:asciiTheme="minorEastAsia" w:hAnsiTheme="minorEastAsia" w:eastAsiaTheme="minorEastAsia" w:cstheme="minorEastAsia"/>
          <w:b/>
          <w:bCs/>
          <w:kern w:val="0"/>
          <w:sz w:val="24"/>
        </w:rPr>
        <w:t>每月基准能耗表</w:t>
      </w:r>
    </w:p>
    <w:tbl>
      <w:tblPr>
        <w:tblStyle w:val="27"/>
        <w:tblW w:w="9649" w:type="dxa"/>
        <w:tblInd w:w="0" w:type="dxa"/>
        <w:tblLayout w:type="fixed"/>
        <w:tblCellMar>
          <w:top w:w="0" w:type="dxa"/>
          <w:left w:w="0" w:type="dxa"/>
          <w:bottom w:w="0" w:type="dxa"/>
          <w:right w:w="0" w:type="dxa"/>
        </w:tblCellMar>
      </w:tblPr>
      <w:tblGrid>
        <w:gridCol w:w="1284"/>
        <w:gridCol w:w="991"/>
        <w:gridCol w:w="698"/>
        <w:gridCol w:w="994"/>
        <w:gridCol w:w="996"/>
        <w:gridCol w:w="993"/>
        <w:gridCol w:w="1000"/>
        <w:gridCol w:w="991"/>
        <w:gridCol w:w="1702"/>
      </w:tblGrid>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Cs/>
                <w:kern w:val="0"/>
                <w:sz w:val="24"/>
                <w:lang w:val="en-US" w:eastAsia="zh-CN"/>
              </w:rPr>
              <w:t>XXX</w:t>
            </w:r>
            <w:r>
              <w:rPr>
                <w:rFonts w:hint="eastAsia" w:asciiTheme="minorEastAsia" w:hAnsiTheme="minorEastAsia" w:eastAsiaTheme="minorEastAsia" w:cstheme="minorEastAsia"/>
                <w:bCs/>
                <w:kern w:val="0"/>
                <w:sz w:val="24"/>
              </w:rPr>
              <w:t>店20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月-20</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年</w:t>
            </w:r>
            <w:r>
              <w:rPr>
                <w:rFonts w:hint="eastAsia" w:asciiTheme="minorEastAsia" w:hAnsiTheme="minorEastAsia" w:eastAsiaTheme="minorEastAsia" w:cstheme="minorEastAsia"/>
                <w:bCs/>
                <w:kern w:val="0"/>
                <w:sz w:val="24"/>
                <w:lang w:val="en-US" w:eastAsia="zh-CN"/>
              </w:rPr>
              <w:t>XX</w:t>
            </w:r>
            <w:r>
              <w:rPr>
                <w:rFonts w:hint="eastAsia" w:asciiTheme="minorEastAsia" w:hAnsiTheme="minorEastAsia" w:eastAsiaTheme="minorEastAsia" w:cstheme="minorEastAsia"/>
                <w:bCs/>
                <w:kern w:val="0"/>
                <w:sz w:val="24"/>
              </w:rPr>
              <w:t>月年度基准能耗表</w:t>
            </w:r>
          </w:p>
        </w:tc>
      </w:tr>
      <w:tr>
        <w:tblPrEx>
          <w:tblCellMar>
            <w:top w:w="0" w:type="dxa"/>
            <w:left w:w="0" w:type="dxa"/>
            <w:bottom w:w="0" w:type="dxa"/>
            <w:right w:w="0" w:type="dxa"/>
          </w:tblCellMar>
        </w:tblPrEx>
        <w:trPr>
          <w:trHeight w:val="321" w:hRule="atLeast"/>
        </w:trPr>
        <w:tc>
          <w:tcPr>
            <w:tcW w:w="9649" w:type="dxa"/>
            <w:gridSpan w:val="9"/>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电表户号：</w:t>
            </w:r>
            <w:r>
              <w:rPr>
                <w:rFonts w:hint="eastAsia" w:asciiTheme="minorEastAsia" w:hAnsiTheme="minorEastAsia" w:eastAsiaTheme="minorEastAsia" w:cstheme="minorEastAsia"/>
                <w:kern w:val="0"/>
                <w:sz w:val="24"/>
                <w:lang w:val="en-US" w:eastAsia="zh-CN"/>
              </w:rPr>
              <w:t xml:space="preserve"> </w:t>
            </w:r>
          </w:p>
        </w:tc>
      </w:tr>
      <w:tr>
        <w:tblPrEx>
          <w:tblCellMar>
            <w:top w:w="0" w:type="dxa"/>
            <w:left w:w="0" w:type="dxa"/>
            <w:bottom w:w="0" w:type="dxa"/>
            <w:right w:w="0" w:type="dxa"/>
          </w:tblCellMar>
        </w:tblPrEx>
        <w:trPr>
          <w:trHeight w:val="321" w:hRule="atLeast"/>
        </w:trPr>
        <w:tc>
          <w:tcPr>
            <w:tcW w:w="7947"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历史用电数据</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基准能耗量</w:t>
            </w:r>
          </w:p>
        </w:tc>
      </w:tr>
      <w:tr>
        <w:tblPrEx>
          <w:tblCellMar>
            <w:top w:w="0" w:type="dxa"/>
            <w:left w:w="0" w:type="dxa"/>
            <w:bottom w:w="0" w:type="dxa"/>
            <w:right w:w="0" w:type="dxa"/>
          </w:tblCellMar>
        </w:tblPrEx>
        <w:trPr>
          <w:trHeight w:val="86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21"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Theme="minorEastAsia" w:hAnsiTheme="minorEastAsia" w:eastAsiaTheme="minorEastAsia" w:cstheme="minorEastAsia"/>
                <w:b/>
                <w:bCs/>
                <w:sz w:val="24"/>
              </w:rPr>
            </w:pPr>
          </w:p>
        </w:tc>
      </w:tr>
      <w:tr>
        <w:tblPrEx>
          <w:tblCellMar>
            <w:top w:w="0" w:type="dxa"/>
            <w:left w:w="0" w:type="dxa"/>
            <w:bottom w:w="0" w:type="dxa"/>
            <w:right w:w="0" w:type="dxa"/>
          </w:tblCellMar>
        </w:tblPrEx>
        <w:trPr>
          <w:trHeight w:val="330" w:hRule="atLeast"/>
        </w:trPr>
        <w:tc>
          <w:tcPr>
            <w:tcW w:w="12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6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Theme="minorEastAsia" w:hAnsiTheme="minorEastAsia" w:eastAsiaTheme="minorEastAsia" w:cstheme="minorEastAsia"/>
                <w:sz w:val="24"/>
              </w:rPr>
            </w:pPr>
          </w:p>
        </w:tc>
        <w:tc>
          <w:tcPr>
            <w:tcW w:w="99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0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9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sz w:val="24"/>
              </w:rPr>
            </w:pPr>
          </w:p>
        </w:tc>
        <w:tc>
          <w:tcPr>
            <w:tcW w:w="17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Theme="minorEastAsia" w:hAnsiTheme="minorEastAsia" w:eastAsiaTheme="minorEastAsia" w:cstheme="minorEastAsia"/>
                <w:b/>
                <w:bCs/>
                <w:sz w:val="24"/>
              </w:rPr>
            </w:pPr>
          </w:p>
        </w:tc>
      </w:tr>
    </w:tbl>
    <w:p>
      <w:pPr>
        <w:spacing w:line="440" w:lineRule="exact"/>
        <w:ind w:firstLine="482" w:firstLineChars="200"/>
        <w:rPr>
          <w:rFonts w:asciiTheme="minorEastAsia" w:hAnsiTheme="minorEastAsia" w:eastAsiaTheme="minorEastAsia" w:cstheme="minorEastAsia"/>
          <w:b/>
          <w:bCs/>
          <w:sz w:val="24"/>
        </w:rPr>
      </w:pPr>
    </w:p>
    <w:p>
      <w:pPr>
        <w:autoSpaceDE w:val="0"/>
        <w:autoSpaceDN w:val="0"/>
        <w:adjustRightInd w:val="0"/>
        <w:spacing w:line="360" w:lineRule="auto"/>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备注：1、以上全部数据由集团店提供，双方已经确认；</w:t>
      </w:r>
    </w:p>
    <w:p>
      <w:pPr>
        <w:autoSpaceDE w:val="0"/>
        <w:autoSpaceDN w:val="0"/>
        <w:adjustRightInd w:val="0"/>
        <w:spacing w:line="360" w:lineRule="auto"/>
        <w:ind w:firstLine="1560" w:firstLineChars="6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甲方代表签字：                             乙方代表签字：</w:t>
      </w:r>
    </w:p>
    <w:p>
      <w:pPr>
        <w:autoSpaceDE w:val="0"/>
        <w:autoSpaceDN w:val="0"/>
        <w:adjustRightIn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甲方（盖章）：                             乙方（盖章）：</w:t>
      </w: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hint="eastAsia"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附件3、节能量测量及节能效益分成计算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XXX</w:t>
      </w:r>
      <w:r>
        <w:rPr>
          <w:rFonts w:hint="eastAsia" w:asciiTheme="minorEastAsia" w:hAnsiTheme="minorEastAsia" w:eastAsiaTheme="minorEastAsia" w:cstheme="minorEastAsia"/>
          <w:sz w:val="24"/>
          <w:u w:val="single"/>
          <w:lang w:eastAsia="zh-CN"/>
        </w:rPr>
        <w:t>公司</w:t>
      </w:r>
      <w:r>
        <w:rPr>
          <w:rFonts w:hint="eastAsia" w:asciiTheme="minorEastAsia" w:hAnsiTheme="minorEastAsia" w:eastAsiaTheme="minorEastAsia" w:cstheme="minorEastAsia"/>
          <w:kern w:val="0"/>
          <w:sz w:val="24"/>
        </w:rPr>
        <w:t>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月-20</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XX</w:t>
      </w:r>
      <w:r>
        <w:rPr>
          <w:rFonts w:hint="eastAsia" w:asciiTheme="minorEastAsia" w:hAnsiTheme="minorEastAsia" w:eastAsiaTheme="minorEastAsia" w:cstheme="minorEastAsia"/>
          <w:kern w:val="0"/>
          <w:sz w:val="24"/>
        </w:rPr>
        <w:t>月各月份总用电</w:t>
      </w:r>
      <w:r>
        <w:rPr>
          <w:rFonts w:hint="eastAsia" w:asciiTheme="minorEastAsia" w:hAnsiTheme="minorEastAsia" w:eastAsiaTheme="minorEastAsia" w:cstheme="minorEastAsia"/>
          <w:color w:val="auto"/>
          <w:kern w:val="0"/>
          <w:sz w:val="24"/>
        </w:rPr>
        <w:t>量减去</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color w:val="auto"/>
          <w:kern w:val="0"/>
          <w:sz w:val="24"/>
        </w:rPr>
        <w:t>总电</w:t>
      </w:r>
      <w:r>
        <w:rPr>
          <w:rFonts w:hint="eastAsia" w:asciiTheme="minorEastAsia" w:hAnsiTheme="minorEastAsia" w:eastAsiaTheme="minorEastAsia" w:cstheme="minorEastAsia"/>
          <w:kern w:val="0"/>
          <w:sz w:val="24"/>
        </w:rPr>
        <w:t>量得到的12个月公用</w:t>
      </w:r>
      <w:r>
        <w:rPr>
          <w:rFonts w:hint="eastAsia" w:asciiTheme="minorEastAsia" w:hAnsiTheme="minorEastAsia" w:eastAsiaTheme="minorEastAsia" w:cstheme="minorEastAsia"/>
          <w:bCs/>
          <w:kern w:val="0"/>
          <w:sz w:val="24"/>
        </w:rPr>
        <w:t>电量为结算基准量，每个结算月份以当月实际公用电量同比相同月份基准量得出节省电量</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在合同期内，甲、乙双方每月共同对门店在合同能源管理状态下电费单总用电量、</w:t>
      </w:r>
      <w:r>
        <w:rPr>
          <w:rFonts w:hint="eastAsia" w:asciiTheme="minorEastAsia" w:hAnsiTheme="minorEastAsia" w:eastAsiaTheme="minorEastAsia" w:cstheme="minorEastAsia"/>
          <w:color w:val="auto"/>
          <w:kern w:val="0"/>
          <w:sz w:val="24"/>
          <w:lang w:eastAsia="zh-CN"/>
        </w:rPr>
        <w:t>租赁商铺租户</w:t>
      </w:r>
      <w:r>
        <w:rPr>
          <w:rFonts w:hint="eastAsia" w:asciiTheme="minorEastAsia" w:hAnsiTheme="minorEastAsia" w:eastAsiaTheme="minorEastAsia" w:cstheme="minorEastAsia"/>
          <w:sz w:val="24"/>
        </w:rPr>
        <w:t>用电量进行记录汇总，计算出当月该项目实际公用电量，并对应</w:t>
      </w:r>
      <w:r>
        <w:rPr>
          <w:rFonts w:hint="eastAsia" w:asciiTheme="minorEastAsia" w:hAnsiTheme="minorEastAsia" w:eastAsiaTheme="minorEastAsia" w:cstheme="minorEastAsia"/>
          <w:b/>
          <w:sz w:val="24"/>
        </w:rPr>
        <w:t>附件2</w:t>
      </w:r>
      <w:r>
        <w:rPr>
          <w:rFonts w:hint="eastAsia" w:asciiTheme="minorEastAsia" w:hAnsiTheme="minorEastAsia" w:eastAsiaTheme="minorEastAsia" w:cstheme="minorEastAsia"/>
          <w:sz w:val="24"/>
        </w:rPr>
        <w:t>的基准电量差额为当期节省量。</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（3）合同期乙方每月应得分享效益的计算方法：</w:t>
      </w:r>
    </w:p>
    <w:p>
      <w:pPr>
        <w:spacing w:line="360" w:lineRule="auto"/>
        <w:ind w:firstLine="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计算公式：M=(A-B+C)×D×E</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式中：M—为当期乙方节能效益分成金额；</w:t>
      </w:r>
    </w:p>
    <w:p>
      <w:pPr>
        <w:spacing w:line="360" w:lineRule="auto"/>
        <w:ind w:firstLine="720" w:firstLineChars="3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A为门店当月同期</w:t>
      </w:r>
      <w:r>
        <w:rPr>
          <w:rFonts w:hint="eastAsia" w:asciiTheme="minorEastAsia" w:hAnsiTheme="minorEastAsia" w:eastAsiaTheme="minorEastAsia" w:cstheme="minorEastAsia"/>
          <w:b/>
          <w:bCs/>
          <w:kern w:val="0"/>
          <w:sz w:val="24"/>
        </w:rPr>
        <w:t>基准公用电量</w:t>
      </w:r>
      <w:r>
        <w:rPr>
          <w:rFonts w:hint="eastAsia" w:asciiTheme="minorEastAsia" w:hAnsiTheme="minorEastAsia" w:eastAsiaTheme="minorEastAsia" w:cstheme="minorEastAsia"/>
          <w:sz w:val="24"/>
        </w:rPr>
        <w:t>；</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B为当月门店在合同能源管理状态下的公用电量；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C为当月门店因各种变更增加（减少）的用电量，包括但不限于用电设备增减、运行时间变化、以及建筑区域或功能调整等对能耗有影响的变更（能耗增加取正值，减少取负值）；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D 为当月综合电价=（电业局电费单的电费总额+电损费）/电业局电费单总用电量；</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 为合同约定的乙方当月节能效益分享比例；</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（4）验证方案：</w:t>
      </w:r>
    </w:p>
    <w:p>
      <w:pPr>
        <w:autoSpaceDE w:val="0"/>
        <w:autoSpaceDN w:val="0"/>
        <w:adjustRightInd w:val="0"/>
        <w:spacing w:line="360" w:lineRule="auto"/>
        <w:ind w:firstLine="405"/>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由甲乙双方共同对上述数据进行抄表、记录、汇总、计算，双方共同验证：</w:t>
      </w:r>
    </w:p>
    <w:p>
      <w:pPr>
        <w:autoSpaceDE w:val="0"/>
        <w:autoSpaceDN w:val="0"/>
        <w:adjustRightInd w:val="0"/>
        <w:spacing w:line="360" w:lineRule="auto"/>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rPr>
        <w:t xml:space="preserve">    1、基</w:t>
      </w:r>
      <w:r>
        <w:rPr>
          <w:rFonts w:hint="eastAsia" w:asciiTheme="minorEastAsia" w:hAnsiTheme="minorEastAsia" w:eastAsiaTheme="minorEastAsia" w:cstheme="minorEastAsia"/>
          <w:sz w:val="24"/>
          <w:highlight w:val="none"/>
        </w:rPr>
        <w:t>准电量为经双方确认的</w:t>
      </w:r>
      <w:r>
        <w:rPr>
          <w:rFonts w:hint="eastAsia" w:asciiTheme="minorEastAsia" w:hAnsiTheme="minorEastAsia" w:eastAsiaTheme="minorEastAsia" w:cstheme="minorEastAsia"/>
          <w:kern w:val="0"/>
          <w:sz w:val="24"/>
          <w:highlight w:val="none"/>
        </w:rPr>
        <w:t>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月-20</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kern w:val="0"/>
          <w:sz w:val="24"/>
          <w:highlight w:val="none"/>
          <w:lang w:val="en-US" w:eastAsia="zh-CN"/>
        </w:rPr>
        <w:t>XX</w:t>
      </w:r>
      <w:r>
        <w:rPr>
          <w:rFonts w:hint="eastAsia" w:asciiTheme="minorEastAsia" w:hAnsiTheme="minorEastAsia" w:eastAsiaTheme="minorEastAsia" w:cstheme="minorEastAsia"/>
          <w:kern w:val="0"/>
          <w:sz w:val="24"/>
          <w:highlight w:val="none"/>
        </w:rPr>
        <w:t>月各月</w:t>
      </w:r>
      <w:r>
        <w:rPr>
          <w:rFonts w:hint="eastAsia" w:asciiTheme="minorEastAsia" w:hAnsiTheme="minorEastAsia" w:eastAsiaTheme="minorEastAsia" w:cstheme="minorEastAsia"/>
          <w:sz w:val="24"/>
          <w:highlight w:val="none"/>
        </w:rPr>
        <w:t>的公用电量为准。</w:t>
      </w:r>
    </w:p>
    <w:p>
      <w:pPr>
        <w:spacing w:line="360" w:lineRule="auto"/>
        <w:ind w:left="720" w:hanging="720" w:hangingChars="3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2、当月如有用电设备增减或营业面积调整，双方需共同确认并填写《</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XXX</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店</w:t>
      </w:r>
      <w:r>
        <w:rPr>
          <w:rFonts w:hint="eastAsia" w:asciiTheme="minorEastAsia" w:hAnsiTheme="minorEastAsia" w:eastAsiaTheme="minorEastAsia" w:cstheme="minorEastAsia"/>
          <w:sz w:val="24"/>
        </w:rPr>
        <w:t>增减设备负荷表》并依据该设备的使用时间计算出当月开始增加（减少）的电量，所增加（减少）的电量并入附件4 节能量确认单，以准确计算从此以后各月份的节能量。</w:t>
      </w:r>
    </w:p>
    <w:p>
      <w:pPr>
        <w:autoSpaceDE w:val="0"/>
        <w:autoSpaceDN w:val="0"/>
        <w:adjustRightInd w:val="0"/>
        <w:spacing w:line="360" w:lineRule="auto"/>
        <w:jc w:val="left"/>
        <w:rPr>
          <w:rFonts w:hAnsi="宋体"/>
          <w:szCs w:val="21"/>
        </w:rPr>
      </w:pPr>
    </w:p>
    <w:p/>
    <w:p/>
    <w:p/>
    <w:p/>
    <w:p/>
    <w:p>
      <w:pPr>
        <w:jc w:val="center"/>
        <w:rPr>
          <w:rFonts w:ascii="宋体" w:hAnsi="宋体"/>
          <w:b/>
          <w:sz w:val="24"/>
        </w:rPr>
      </w:pPr>
      <w:r>
        <w:rPr>
          <w:rFonts w:hint="eastAsia" w:ascii="宋体" w:hAnsi="宋体" w:cs="宋体"/>
          <w:b/>
          <w:kern w:val="0"/>
          <w:sz w:val="24"/>
          <w:lang w:val="en-US" w:eastAsia="zh-CN"/>
        </w:rPr>
        <w:t xml:space="preserve"> 合肥百大</w:t>
      </w:r>
      <w:r>
        <w:rPr>
          <w:rFonts w:hint="eastAsia" w:ascii="宋体" w:hAnsi="宋体" w:cs="宋体"/>
          <w:b/>
          <w:kern w:val="0"/>
          <w:sz w:val="24"/>
        </w:rPr>
        <w:t>集团</w:t>
      </w:r>
      <w:r>
        <w:rPr>
          <w:rFonts w:hint="eastAsia" w:ascii="宋体" w:hAnsi="宋体" w:cs="宋体"/>
          <w:b/>
          <w:kern w:val="0"/>
          <w:sz w:val="24"/>
          <w:u w:val="single"/>
          <w:lang w:val="en-US" w:eastAsia="zh-CN"/>
        </w:rPr>
        <w:t xml:space="preserve">    XXX  店</w:t>
      </w:r>
      <w:r>
        <w:rPr>
          <w:rFonts w:hint="eastAsia" w:ascii="宋体" w:hAnsi="宋体"/>
          <w:b/>
          <w:sz w:val="24"/>
        </w:rPr>
        <w:t>增减设备负荷表</w:t>
      </w:r>
    </w:p>
    <w:p>
      <w:pPr>
        <w:jc w:val="center"/>
        <w:rPr>
          <w:rFonts w:ascii="宋体" w:hAnsi="宋体"/>
          <w:b/>
          <w:sz w:val="24"/>
        </w:rPr>
      </w:pPr>
    </w:p>
    <w:p>
      <w:pPr>
        <w:rPr>
          <w:sz w:val="24"/>
        </w:rPr>
      </w:pPr>
      <w:r>
        <w:rPr>
          <w:rFonts w:hint="eastAsia"/>
          <w:sz w:val="24"/>
        </w:rPr>
        <w:t xml:space="preserve">                                                 日期：20</w:t>
      </w:r>
      <w:r>
        <w:rPr>
          <w:rFonts w:hint="eastAsia"/>
          <w:sz w:val="24"/>
          <w:lang w:val="en-US" w:eastAsia="zh-CN"/>
        </w:rPr>
        <w:t>XX</w:t>
      </w:r>
      <w:r>
        <w:rPr>
          <w:rFonts w:hint="eastAsia"/>
          <w:sz w:val="24"/>
        </w:rPr>
        <w:t>年</w:t>
      </w:r>
      <w:r>
        <w:rPr>
          <w:rFonts w:hint="eastAsia"/>
          <w:sz w:val="24"/>
          <w:lang w:val="en-US" w:eastAsia="zh-CN"/>
        </w:rPr>
        <w:t>XX</w:t>
      </w:r>
      <w:r>
        <w:rPr>
          <w:rFonts w:hint="eastAsia"/>
          <w:sz w:val="24"/>
        </w:rPr>
        <w:t>月</w:t>
      </w:r>
      <w:r>
        <w:rPr>
          <w:rFonts w:hint="eastAsia"/>
          <w:sz w:val="24"/>
          <w:lang w:val="en-US" w:eastAsia="zh-CN"/>
        </w:rPr>
        <w:t>XX</w:t>
      </w:r>
      <w:r>
        <w:rPr>
          <w:rFonts w:hint="eastAsia"/>
          <w:sz w:val="24"/>
        </w:rPr>
        <w:t>日</w:t>
      </w:r>
    </w:p>
    <w:tbl>
      <w:tblPr>
        <w:tblStyle w:val="2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708"/>
        <w:gridCol w:w="1276"/>
        <w:gridCol w:w="284"/>
        <w:gridCol w:w="1842"/>
        <w:gridCol w:w="993"/>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Cs w:val="21"/>
              </w:rPr>
            </w:pPr>
            <w:r>
              <w:rPr>
                <w:rFonts w:hint="eastAsia"/>
                <w:szCs w:val="21"/>
              </w:rPr>
              <w:t>增加</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708"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月增加电量（度）</w:t>
            </w:r>
          </w:p>
        </w:tc>
        <w:tc>
          <w:tcPr>
            <w:tcW w:w="284" w:type="dxa"/>
            <w:vMerge w:val="restart"/>
          </w:tcPr>
          <w:p>
            <w:pPr>
              <w:jc w:val="center"/>
              <w:rPr>
                <w:szCs w:val="21"/>
              </w:rPr>
            </w:pPr>
          </w:p>
          <w:p>
            <w:pPr>
              <w:jc w:val="center"/>
              <w:rPr>
                <w:szCs w:val="21"/>
              </w:rPr>
            </w:pPr>
          </w:p>
        </w:tc>
        <w:tc>
          <w:tcPr>
            <w:tcW w:w="1842" w:type="dxa"/>
          </w:tcPr>
          <w:p>
            <w:pPr>
              <w:jc w:val="center"/>
              <w:rPr>
                <w:szCs w:val="21"/>
              </w:rPr>
            </w:pPr>
            <w:r>
              <w:rPr>
                <w:rFonts w:hint="eastAsia"/>
                <w:szCs w:val="21"/>
              </w:rPr>
              <w:t>减少</w:t>
            </w:r>
          </w:p>
          <w:p>
            <w:pPr>
              <w:jc w:val="center"/>
              <w:rPr>
                <w:szCs w:val="21"/>
              </w:rPr>
            </w:pPr>
            <w:r>
              <w:rPr>
                <w:rFonts w:hint="eastAsia"/>
                <w:szCs w:val="21"/>
              </w:rPr>
              <w:t>设备名称</w:t>
            </w:r>
          </w:p>
        </w:tc>
        <w:tc>
          <w:tcPr>
            <w:tcW w:w="993" w:type="dxa"/>
          </w:tcPr>
          <w:p>
            <w:pPr>
              <w:jc w:val="center"/>
              <w:rPr>
                <w:szCs w:val="21"/>
              </w:rPr>
            </w:pPr>
          </w:p>
          <w:p>
            <w:pPr>
              <w:jc w:val="center"/>
              <w:rPr>
                <w:szCs w:val="21"/>
              </w:rPr>
            </w:pPr>
            <w:r>
              <w:rPr>
                <w:rFonts w:hint="eastAsia"/>
                <w:szCs w:val="21"/>
              </w:rPr>
              <w:t>日期</w:t>
            </w:r>
          </w:p>
        </w:tc>
        <w:tc>
          <w:tcPr>
            <w:tcW w:w="850" w:type="dxa"/>
          </w:tcPr>
          <w:p>
            <w:pPr>
              <w:jc w:val="center"/>
              <w:rPr>
                <w:szCs w:val="21"/>
              </w:rPr>
            </w:pPr>
            <w:r>
              <w:rPr>
                <w:rFonts w:hint="eastAsia"/>
                <w:szCs w:val="21"/>
              </w:rPr>
              <w:t>功率</w:t>
            </w:r>
          </w:p>
          <w:p>
            <w:pPr>
              <w:jc w:val="center"/>
              <w:rPr>
                <w:szCs w:val="21"/>
              </w:rPr>
            </w:pPr>
            <w:r>
              <w:rPr>
                <w:rFonts w:hint="eastAsia"/>
                <w:szCs w:val="21"/>
              </w:rPr>
              <w:t>kw</w:t>
            </w:r>
          </w:p>
        </w:tc>
        <w:tc>
          <w:tcPr>
            <w:tcW w:w="1276" w:type="dxa"/>
          </w:tcPr>
          <w:p>
            <w:pPr>
              <w:jc w:val="center"/>
              <w:rPr>
                <w:szCs w:val="21"/>
              </w:rPr>
            </w:pPr>
            <w:r>
              <w:rPr>
                <w:rFonts w:hint="eastAsia"/>
                <w:szCs w:val="21"/>
              </w:rPr>
              <w:t>月减少电量（度）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sz w:val="24"/>
              </w:rPr>
            </w:pPr>
          </w:p>
        </w:tc>
        <w:tc>
          <w:tcPr>
            <w:tcW w:w="993" w:type="dxa"/>
          </w:tcPr>
          <w:p>
            <w:pPr>
              <w:jc w:val="center"/>
              <w:rPr>
                <w:sz w:val="24"/>
              </w:rPr>
            </w:pPr>
          </w:p>
        </w:tc>
        <w:tc>
          <w:tcPr>
            <w:tcW w:w="708" w:type="dxa"/>
          </w:tcPr>
          <w:p>
            <w:pPr>
              <w:jc w:val="center"/>
              <w:rPr>
                <w:sz w:val="24"/>
              </w:rPr>
            </w:pPr>
          </w:p>
        </w:tc>
        <w:tc>
          <w:tcPr>
            <w:tcW w:w="1276" w:type="dxa"/>
          </w:tcPr>
          <w:p>
            <w:pPr>
              <w:jc w:val="center"/>
              <w:rPr>
                <w:sz w:val="24"/>
              </w:rPr>
            </w:pPr>
          </w:p>
        </w:tc>
        <w:tc>
          <w:tcPr>
            <w:tcW w:w="284" w:type="dxa"/>
            <w:vMerge w:val="continue"/>
          </w:tcPr>
          <w:p>
            <w:pPr>
              <w:jc w:val="center"/>
              <w:rPr>
                <w:sz w:val="24"/>
              </w:rPr>
            </w:pPr>
          </w:p>
        </w:tc>
        <w:tc>
          <w:tcPr>
            <w:tcW w:w="1842" w:type="dxa"/>
          </w:tcPr>
          <w:p>
            <w:pPr>
              <w:jc w:val="center"/>
              <w:rPr>
                <w:sz w:val="24"/>
              </w:rPr>
            </w:pPr>
          </w:p>
        </w:tc>
        <w:tc>
          <w:tcPr>
            <w:tcW w:w="993" w:type="dxa"/>
          </w:tcPr>
          <w:p>
            <w:pPr>
              <w:jc w:val="center"/>
              <w:rPr>
                <w:sz w:val="24"/>
              </w:rPr>
            </w:pPr>
          </w:p>
        </w:tc>
        <w:tc>
          <w:tcPr>
            <w:tcW w:w="850" w:type="dxa"/>
          </w:tcPr>
          <w:p>
            <w:pPr>
              <w:jc w:val="center"/>
              <w:rPr>
                <w:sz w:val="24"/>
              </w:rPr>
            </w:pPr>
          </w:p>
        </w:tc>
        <w:tc>
          <w:tcPr>
            <w:tcW w:w="1276" w:type="dxa"/>
          </w:tcPr>
          <w:p>
            <w:pPr>
              <w:jc w:val="center"/>
              <w:rPr>
                <w:sz w:val="24"/>
              </w:rPr>
            </w:pPr>
          </w:p>
        </w:tc>
      </w:tr>
    </w:tbl>
    <w:p>
      <w:pPr>
        <w:spacing w:line="360" w:lineRule="auto"/>
        <w:rPr>
          <w:sz w:val="24"/>
        </w:rPr>
      </w:pPr>
      <w:r>
        <w:rPr>
          <w:rFonts w:hint="eastAsia"/>
          <w:sz w:val="24"/>
        </w:rPr>
        <w:t>通过上表得出：当月“</w:t>
      </w:r>
      <w:r>
        <w:rPr>
          <w:rFonts w:hint="eastAsia" w:ascii="宋体" w:hAnsi="宋体"/>
          <w:sz w:val="24"/>
        </w:rPr>
        <w:t>设备增加</w:t>
      </w:r>
      <w:r>
        <w:rPr>
          <w:rFonts w:ascii="宋体" w:hAnsi="宋体"/>
          <w:sz w:val="24"/>
        </w:rPr>
        <w:t>/</w:t>
      </w:r>
      <w:r>
        <w:rPr>
          <w:rFonts w:hint="eastAsia" w:ascii="宋体" w:hAnsi="宋体"/>
          <w:sz w:val="24"/>
        </w:rPr>
        <w:t>减少的用电量</w:t>
      </w:r>
      <w:r>
        <w:rPr>
          <w:rFonts w:hint="eastAsia"/>
          <w:sz w:val="24"/>
        </w:rPr>
        <w:t>”为度，</w:t>
      </w:r>
    </w:p>
    <w:p>
      <w:pPr>
        <w:spacing w:line="360" w:lineRule="auto"/>
        <w:ind w:firstLine="1560" w:firstLineChars="650"/>
        <w:rPr>
          <w:sz w:val="24"/>
        </w:rPr>
      </w:pPr>
      <w:r>
        <w:rPr>
          <w:rFonts w:hint="eastAsia"/>
          <w:sz w:val="24"/>
        </w:rPr>
        <w:t>（增加用+值、减少用—值）</w:t>
      </w:r>
    </w:p>
    <w:p>
      <w:pPr>
        <w:spacing w:line="360" w:lineRule="auto"/>
        <w:rPr>
          <w:szCs w:val="21"/>
        </w:rPr>
      </w:pPr>
      <w:r>
        <w:rPr>
          <w:rFonts w:hint="eastAsia"/>
          <w:szCs w:val="21"/>
        </w:rPr>
        <w:t>备注：1、上表的增加（减少）设备为逐次累加填写，需体现合同期内所有增加（减少）的全部设备；</w:t>
      </w:r>
    </w:p>
    <w:p>
      <w:pPr>
        <w:spacing w:line="360" w:lineRule="auto"/>
        <w:rPr>
          <w:szCs w:val="21"/>
        </w:rPr>
      </w:pPr>
      <w:r>
        <w:rPr>
          <w:rFonts w:hint="eastAsia"/>
          <w:szCs w:val="21"/>
        </w:rPr>
        <w:t xml:space="preserve">      2、每项设备的月增加（减少）电量=该设备功率（千瓦）×每天用电时间（小时）×30天；</w:t>
      </w:r>
    </w:p>
    <w:p>
      <w:pPr>
        <w:spacing w:line="360" w:lineRule="auto"/>
        <w:ind w:firstLine="840" w:firstLineChars="400"/>
        <w:rPr>
          <w:rFonts w:ascii="宋体" w:hAnsi="宋体"/>
          <w:szCs w:val="21"/>
        </w:rPr>
      </w:pPr>
      <w:r>
        <w:rPr>
          <w:rFonts w:hint="eastAsia" w:ascii="宋体" w:hAnsi="宋体"/>
          <w:szCs w:val="21"/>
        </w:rPr>
        <w:t>增加大功率设备或新增用电线路时可采用加装电表，每月抄表计算该项增加电量；</w:t>
      </w:r>
    </w:p>
    <w:p>
      <w:pPr>
        <w:numPr>
          <w:ilvl w:val="0"/>
          <w:numId w:val="6"/>
        </w:numPr>
        <w:spacing w:line="360" w:lineRule="auto"/>
        <w:rPr>
          <w:szCs w:val="21"/>
        </w:rPr>
      </w:pPr>
      <w:r>
        <w:rPr>
          <w:rFonts w:hint="eastAsia"/>
          <w:szCs w:val="21"/>
        </w:rPr>
        <w:t>当月“</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rPr>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附件4.</w:t>
      </w:r>
      <w:r>
        <w:rPr>
          <w:rFonts w:hint="eastAsia" w:ascii="宋体" w:hAnsi="宋体" w:cs="宋体"/>
          <w:b/>
          <w:kern w:val="0"/>
          <w:szCs w:val="21"/>
        </w:rPr>
        <w:t>节能量确认单及付款申请表</w:t>
      </w:r>
    </w:p>
    <w:tbl>
      <w:tblPr>
        <w:tblStyle w:val="27"/>
        <w:tblpPr w:leftFromText="180" w:rightFromText="180" w:vertAnchor="text" w:horzAnchor="margin" w:tblpXSpec="center" w:tblpY="158"/>
        <w:tblW w:w="8755" w:type="dxa"/>
        <w:tblInd w:w="0" w:type="dxa"/>
        <w:tblLayout w:type="fixed"/>
        <w:tblCellMar>
          <w:top w:w="0" w:type="dxa"/>
          <w:left w:w="108" w:type="dxa"/>
          <w:bottom w:w="0" w:type="dxa"/>
          <w:right w:w="108" w:type="dxa"/>
        </w:tblCellMar>
      </w:tblPr>
      <w:tblGrid>
        <w:gridCol w:w="815"/>
        <w:gridCol w:w="3971"/>
        <w:gridCol w:w="1559"/>
        <w:gridCol w:w="2410"/>
      </w:tblGrid>
      <w:tr>
        <w:tblPrEx>
          <w:tblCellMar>
            <w:top w:w="0" w:type="dxa"/>
            <w:left w:w="108" w:type="dxa"/>
            <w:bottom w:w="0" w:type="dxa"/>
            <w:right w:w="108" w:type="dxa"/>
          </w:tblCellMar>
        </w:tblPrEx>
        <w:trPr>
          <w:trHeight w:val="850" w:hRule="atLeast"/>
        </w:trPr>
        <w:tc>
          <w:tcPr>
            <w:tcW w:w="8755" w:type="dxa"/>
            <w:gridSpan w:val="4"/>
            <w:tcBorders>
              <w:top w:val="nil"/>
              <w:left w:val="nil"/>
              <w:bottom w:val="single" w:color="auto" w:sz="4" w:space="0"/>
              <w:right w:val="nil"/>
            </w:tcBorders>
            <w:vAlign w:val="center"/>
          </w:tcPr>
          <w:p>
            <w:pPr>
              <w:widowControl/>
              <w:spacing w:line="360" w:lineRule="auto"/>
              <w:ind w:firstLine="211" w:firstLineChars="100"/>
              <w:rPr>
                <w:rFonts w:ascii="宋体" w:cs="宋体"/>
                <w:b/>
                <w:bCs/>
                <w:kern w:val="0"/>
                <w:szCs w:val="21"/>
              </w:rPr>
            </w:pPr>
            <w:r>
              <w:rPr>
                <w:rFonts w:hint="eastAsia" w:ascii="宋体" w:hAnsi="宋体" w:cs="宋体"/>
                <w:b/>
                <w:kern w:val="0"/>
                <w:szCs w:val="21"/>
              </w:rPr>
              <w:t>集团</w:t>
            </w:r>
            <w:r>
              <w:rPr>
                <w:rFonts w:hint="eastAsia" w:ascii="宋体" w:hAnsi="宋体" w:cs="宋体"/>
                <w:b/>
                <w:kern w:val="0"/>
                <w:szCs w:val="21"/>
                <w:u w:val="single"/>
                <w:lang w:val="en-US" w:eastAsia="zh-CN"/>
              </w:rPr>
              <w:t xml:space="preserve">XXX </w:t>
            </w:r>
            <w:r>
              <w:rPr>
                <w:rFonts w:hint="eastAsia" w:ascii="宋体" w:hAnsi="宋体" w:cs="宋体"/>
                <w:b/>
                <w:kern w:val="0"/>
                <w:szCs w:val="21"/>
              </w:rPr>
              <w:t>店合同能源管理节能量</w:t>
            </w:r>
            <w:r>
              <w:rPr>
                <w:rFonts w:hint="eastAsia" w:ascii="宋体" w:hAnsi="宋体" w:cs="宋体"/>
                <w:b/>
                <w:bCs/>
                <w:kern w:val="0"/>
                <w:szCs w:val="21"/>
              </w:rPr>
              <w:t>确认单（</w:t>
            </w:r>
            <w:r>
              <w:rPr>
                <w:rFonts w:ascii="宋体" w:hAnsi="宋体" w:cs="宋体"/>
                <w:b/>
                <w:bCs/>
                <w:kern w:val="0"/>
                <w:szCs w:val="21"/>
              </w:rPr>
              <w:t xml:space="preserve">20 </w:t>
            </w:r>
            <w:r>
              <w:rPr>
                <w:rFonts w:hint="eastAsia" w:ascii="宋体" w:hAnsi="宋体" w:cs="宋体"/>
                <w:b/>
                <w:bCs/>
                <w:kern w:val="0"/>
                <w:szCs w:val="21"/>
                <w:lang w:val="en-US" w:eastAsia="zh-CN"/>
              </w:rPr>
              <w:t>XX</w:t>
            </w:r>
            <w:r>
              <w:rPr>
                <w:rFonts w:hint="eastAsia" w:ascii="宋体" w:hAnsi="宋体" w:cs="宋体"/>
                <w:b/>
                <w:bCs/>
                <w:kern w:val="0"/>
                <w:szCs w:val="21"/>
              </w:rPr>
              <w:t>年</w:t>
            </w:r>
            <w:r>
              <w:rPr>
                <w:rFonts w:hint="eastAsia" w:ascii="宋体" w:hAnsi="宋体" w:cs="宋体"/>
                <w:b/>
                <w:bCs/>
                <w:kern w:val="0"/>
                <w:szCs w:val="21"/>
                <w:lang w:val="en-US" w:eastAsia="zh-CN"/>
              </w:rPr>
              <w:t>XX</w:t>
            </w:r>
            <w:r>
              <w:rPr>
                <w:rFonts w:hint="eastAsia" w:ascii="宋体" w:hAnsi="宋体" w:cs="宋体"/>
                <w:b/>
                <w:bCs/>
                <w:kern w:val="0"/>
                <w:szCs w:val="21"/>
              </w:rPr>
              <w:t>月）</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kern w:val="0"/>
                <w:szCs w:val="21"/>
              </w:rPr>
            </w:pPr>
            <w:r>
              <w:rPr>
                <w:rFonts w:ascii="宋体" w:cs="宋体"/>
                <w:b/>
                <w:bCs/>
                <w:kern w:val="0"/>
                <w:szCs w:val="21"/>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数量</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ascii="宋体" w:cs="宋体"/>
                <w:b/>
                <w:kern w:val="0"/>
                <w:szCs w:val="21"/>
              </w:rPr>
              <w:t>备注或计算方法</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峰谷平总电量</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电费单实际缴费金额</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ascii="宋体" w:hAnsi="宋体" w:cs="宋体"/>
                <w:b/>
                <w:kern w:val="0"/>
                <w:szCs w:val="21"/>
              </w:rPr>
              <w:t>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ascii="宋体" w:cs="宋体"/>
                <w:b/>
                <w:bCs/>
                <w:kern w:val="0"/>
                <w:szCs w:val="21"/>
              </w:rPr>
              <w:t>本月额外电损费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r>
              <w:rPr>
                <w:rFonts w:ascii="宋体" w:cs="宋体"/>
                <w:b/>
                <w:kern w:val="0"/>
                <w:szCs w:val="21"/>
              </w:rPr>
              <w:t>如有、则加入总电费内</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4</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w:t>
            </w:r>
            <w:r>
              <w:rPr>
                <w:rFonts w:hint="eastAsia" w:ascii="宋体" w:hAnsi="宋体" w:cs="宋体"/>
                <w:b/>
                <w:bCs/>
                <w:kern w:val="0"/>
                <w:szCs w:val="21"/>
                <w:lang w:eastAsia="zh-CN"/>
              </w:rPr>
              <w:t>租赁商铺租户</w:t>
            </w:r>
            <w:r>
              <w:rPr>
                <w:rFonts w:hint="eastAsia" w:ascii="宋体" w:hAnsi="宋体" w:cs="宋体"/>
                <w:b/>
                <w:bCs/>
                <w:kern w:val="0"/>
                <w:szCs w:val="21"/>
              </w:rPr>
              <w:t>总用电量（度）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5</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本月门店实际公用电量（度）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6</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当月同期基准公用电量（度）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shd w:val="pct10" w:color="auto" w:fill="FFFFFF"/>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shd w:val="pct10" w:color="auto" w:fill="FFFFFF"/>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7</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b/>
                <w:szCs w:val="21"/>
              </w:rPr>
              <w:t>设备增加</w:t>
            </w:r>
            <w:r>
              <w:rPr>
                <w:rFonts w:ascii="宋体" w:hAnsi="宋体"/>
                <w:b/>
                <w:szCs w:val="21"/>
              </w:rPr>
              <w:t>/</w:t>
            </w:r>
            <w:r>
              <w:rPr>
                <w:rFonts w:hint="eastAsia" w:ascii="宋体" w:hAnsi="宋体"/>
                <w:b/>
                <w:szCs w:val="21"/>
              </w:rPr>
              <w:t>减少的用电量</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ascii="宋体" w:cs="宋体"/>
                <w:b/>
                <w:kern w:val="0"/>
                <w:szCs w:val="21"/>
              </w:rPr>
              <w:t>增加取</w:t>
            </w:r>
            <w:r>
              <w:rPr>
                <w:rFonts w:hint="eastAsia" w:ascii="宋体" w:cs="宋体"/>
                <w:b/>
                <w:kern w:val="0"/>
                <w:szCs w:val="21"/>
              </w:rPr>
              <w:t>+值、减少取-值</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8</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6项+7项-5项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9</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本月综合平均电价（元</w:t>
            </w:r>
            <w:r>
              <w:rPr>
                <w:rFonts w:ascii="宋体" w:hAnsi="宋体" w:cs="宋体"/>
                <w:b/>
                <w:bCs/>
                <w:kern w:val="0"/>
                <w:szCs w:val="21"/>
              </w:rPr>
              <w:t>/</w:t>
            </w:r>
            <w:r>
              <w:rPr>
                <w:rFonts w:hint="eastAsia" w:ascii="宋体" w:hAnsi="宋体" w:cs="宋体"/>
                <w:b/>
                <w:bCs/>
                <w:kern w:val="0"/>
                <w:szCs w:val="21"/>
              </w:rPr>
              <w:t>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（2项+3项）÷1项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10</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本月节省电量折算电费（元</w:t>
            </w:r>
            <w:r>
              <w:rPr>
                <w:rFonts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　</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8项×9项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r>
              <w:rPr>
                <w:rFonts w:hint="eastAsia" w:ascii="宋体" w:hAnsi="宋体" w:cs="宋体"/>
                <w:b/>
                <w:kern w:val="0"/>
                <w:szCs w:val="21"/>
              </w:rPr>
              <w:t>11</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r>
              <w:rPr>
                <w:rFonts w:hint="eastAsia" w:ascii="宋体" w:hAnsi="宋体" w:cs="宋体"/>
                <w:b/>
                <w:bCs/>
                <w:kern w:val="0"/>
                <w:szCs w:val="21"/>
              </w:rPr>
              <w:t>本月节省能耗费金额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10项</w:t>
            </w: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12</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kern w:val="0"/>
                <w:szCs w:val="21"/>
              </w:rPr>
            </w:pPr>
            <w:r>
              <w:rPr>
                <w:rFonts w:hint="eastAsia" w:ascii="宋体" w:hAnsi="宋体" w:cs="宋体"/>
                <w:b/>
                <w:bCs/>
                <w:kern w:val="0"/>
                <w:szCs w:val="21"/>
              </w:rPr>
              <w:t>本月乙方节能效益分享比例（</w:t>
            </w:r>
            <w:r>
              <w:rPr>
                <w:rFonts w:ascii="宋体" w:hAnsi="宋体" w:cs="宋体"/>
                <w:b/>
                <w:bCs/>
                <w:kern w:val="0"/>
                <w:szCs w:val="21"/>
              </w:rPr>
              <w:t>%</w:t>
            </w:r>
            <w:r>
              <w:rPr>
                <w:rFonts w:hint="eastAsia" w:ascii="宋体" w:hAnsi="宋体" w:cs="宋体"/>
                <w:b/>
                <w:bCs/>
                <w:kern w:val="0"/>
                <w:szCs w:val="21"/>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p>
        </w:tc>
      </w:tr>
      <w:tr>
        <w:tblPrEx>
          <w:tblCellMar>
            <w:top w:w="0" w:type="dxa"/>
            <w:left w:w="108" w:type="dxa"/>
            <w:bottom w:w="0" w:type="dxa"/>
            <w:right w:w="108" w:type="dxa"/>
          </w:tblCellMar>
        </w:tblPrEx>
        <w:trPr>
          <w:trHeight w:val="45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Cs w:val="21"/>
              </w:rPr>
            </w:pPr>
            <w:r>
              <w:rPr>
                <w:rFonts w:hint="eastAsia" w:ascii="宋体" w:hAnsi="宋体" w:cs="宋体"/>
                <w:b/>
                <w:kern w:val="0"/>
                <w:szCs w:val="21"/>
              </w:rPr>
              <w:t>13</w:t>
            </w:r>
          </w:p>
        </w:tc>
        <w:tc>
          <w:tcPr>
            <w:tcW w:w="39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szCs w:val="21"/>
              </w:rPr>
            </w:pPr>
            <w:r>
              <w:rPr>
                <w:rFonts w:hint="eastAsia" w:ascii="宋体" w:hAnsi="宋体" w:cs="宋体"/>
                <w:b/>
                <w:bCs/>
                <w:kern w:val="0"/>
                <w:szCs w:val="21"/>
              </w:rPr>
              <w:t>本月乙方节能效益分享金额（元）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kern w:val="0"/>
                <w:szCs w:val="21"/>
              </w:rPr>
            </w:pP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kern w:val="0"/>
                <w:szCs w:val="21"/>
              </w:rPr>
            </w:pPr>
            <w:r>
              <w:rPr>
                <w:rFonts w:hint="eastAsia" w:ascii="宋体" w:cs="宋体"/>
                <w:b/>
                <w:kern w:val="0"/>
                <w:szCs w:val="21"/>
              </w:rPr>
              <w:t>11项×12项</w:t>
            </w:r>
          </w:p>
        </w:tc>
      </w:tr>
      <w:tr>
        <w:tblPrEx>
          <w:tblCellMar>
            <w:top w:w="0" w:type="dxa"/>
            <w:left w:w="108" w:type="dxa"/>
            <w:bottom w:w="0" w:type="dxa"/>
            <w:right w:w="108" w:type="dxa"/>
          </w:tblCellMar>
        </w:tblPrEx>
        <w:trPr>
          <w:trHeight w:val="1602" w:hRule="atLeast"/>
        </w:trPr>
        <w:tc>
          <w:tcPr>
            <w:tcW w:w="8755" w:type="dxa"/>
            <w:gridSpan w:val="4"/>
            <w:tcBorders>
              <w:top w:val="nil"/>
              <w:left w:val="nil"/>
              <w:bottom w:val="nil"/>
              <w:right w:val="nil"/>
            </w:tcBorders>
            <w:vAlign w:val="center"/>
          </w:tcPr>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甲方代表签字：</w:t>
            </w:r>
            <w:r>
              <w:rPr>
                <w:rFonts w:ascii="宋体" w:hAnsi="宋体" w:cs="宋体"/>
                <w:b/>
                <w:kern w:val="0"/>
                <w:szCs w:val="21"/>
              </w:rPr>
              <w:t xml:space="preserve">                             乙方代表</w:t>
            </w:r>
            <w:r>
              <w:rPr>
                <w:rFonts w:hint="eastAsia" w:ascii="宋体" w:hAnsi="宋体" w:cs="宋体"/>
                <w:b/>
                <w:kern w:val="0"/>
                <w:szCs w:val="21"/>
              </w:rPr>
              <w:t>签字：</w:t>
            </w:r>
          </w:p>
          <w:p>
            <w:pPr>
              <w:widowControl/>
              <w:spacing w:line="360" w:lineRule="auto"/>
              <w:jc w:val="left"/>
              <w:rPr>
                <w:rFonts w:ascii="宋体" w:cs="宋体"/>
                <w:b/>
                <w:kern w:val="0"/>
                <w:szCs w:val="21"/>
              </w:rPr>
            </w:pPr>
          </w:p>
          <w:p>
            <w:pPr>
              <w:widowControl/>
              <w:spacing w:line="360" w:lineRule="auto"/>
              <w:jc w:val="left"/>
              <w:rPr>
                <w:rFonts w:ascii="宋体" w:cs="宋体"/>
                <w:b/>
                <w:kern w:val="0"/>
                <w:szCs w:val="21"/>
              </w:rPr>
            </w:pPr>
            <w:r>
              <w:rPr>
                <w:rFonts w:hint="eastAsia" w:ascii="宋体" w:hAnsi="宋体" w:cs="宋体"/>
                <w:b/>
                <w:kern w:val="0"/>
                <w:szCs w:val="21"/>
              </w:rPr>
              <w:t xml:space="preserve">    甲方（盖章）： 乙方（盖章）：</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cs="宋体"/>
          <w:b/>
          <w:kern w:val="0"/>
          <w:sz w:val="24"/>
        </w:rPr>
        <w:t>集团</w:t>
      </w:r>
      <w:r>
        <w:rPr>
          <w:rFonts w:hint="eastAsia" w:ascii="宋体" w:hAnsi="宋体" w:cs="宋体"/>
          <w:b/>
          <w:kern w:val="0"/>
          <w:sz w:val="24"/>
          <w:u w:val="single"/>
          <w:lang w:val="en-US" w:eastAsia="zh-CN"/>
        </w:rPr>
        <w:t>xxx</w:t>
      </w:r>
      <w:r>
        <w:rPr>
          <w:rFonts w:hint="eastAsia" w:ascii="宋体" w:hAnsi="宋体" w:cs="宋体"/>
          <w:b/>
          <w:kern w:val="0"/>
          <w:sz w:val="24"/>
        </w:rPr>
        <w:t>店</w:t>
      </w:r>
      <w:r>
        <w:rPr>
          <w:rFonts w:hint="eastAsia" w:ascii="宋体" w:hAnsi="宋体"/>
          <w:b/>
          <w:sz w:val="24"/>
        </w:rPr>
        <w:t>：</w:t>
      </w:r>
    </w:p>
    <w:p>
      <w:pPr>
        <w:spacing w:line="360" w:lineRule="auto"/>
        <w:ind w:firstLine="480" w:firstLineChars="200"/>
        <w:rPr>
          <w:rFonts w:ascii="宋体" w:hAnsi="宋体"/>
          <w:sz w:val="24"/>
          <w:u w:val="single"/>
        </w:rPr>
      </w:pPr>
      <w:r>
        <w:rPr>
          <w:rFonts w:hint="eastAsia" w:ascii="宋体" w:hAnsi="宋体"/>
          <w:sz w:val="24"/>
        </w:rPr>
        <w:t>据申请人与</w:t>
      </w:r>
      <w:r>
        <w:rPr>
          <w:rFonts w:hint="eastAsia" w:ascii="宋体" w:hAnsi="宋体" w:cs="宋体"/>
          <w:kern w:val="0"/>
          <w:sz w:val="24"/>
        </w:rPr>
        <w:t>集团店</w:t>
      </w:r>
      <w:r>
        <w:rPr>
          <w:rFonts w:hint="eastAsia" w:ascii="宋体" w:hAnsi="宋体"/>
          <w:sz w:val="24"/>
        </w:rPr>
        <w:t>于年月日签订的《</w:t>
      </w:r>
      <w:r>
        <w:rPr>
          <w:rFonts w:hint="eastAsia" w:ascii="宋体" w:hAnsi="宋体" w:cs="宋体"/>
          <w:kern w:val="0"/>
          <w:sz w:val="24"/>
        </w:rPr>
        <w:t>集团</w:t>
      </w:r>
      <w:r>
        <w:rPr>
          <w:rFonts w:hint="eastAsia" w:ascii="宋体" w:hAnsi="宋体" w:cs="宋体"/>
          <w:kern w:val="0"/>
          <w:sz w:val="24"/>
          <w:u w:val="single"/>
          <w:lang w:val="en-US" w:eastAsia="zh-CN"/>
        </w:rPr>
        <w:t>xxx</w:t>
      </w:r>
      <w:r>
        <w:rPr>
          <w:rFonts w:hint="eastAsia" w:ascii="宋体" w:hAnsi="宋体" w:cs="宋体"/>
          <w:kern w:val="0"/>
          <w:sz w:val="24"/>
        </w:rPr>
        <w:t>店</w:t>
      </w:r>
      <w:r>
        <w:rPr>
          <w:rFonts w:hint="eastAsia" w:ascii="宋体" w:hAnsi="宋体"/>
          <w:sz w:val="24"/>
        </w:rPr>
        <w:t>合同能源管理服务合同》 ，</w:t>
      </w:r>
      <w:r>
        <w:rPr>
          <w:rFonts w:hint="eastAsia" w:ascii="宋体" w:hAnsi="宋体" w:cs="宋体"/>
          <w:kern w:val="0"/>
          <w:sz w:val="24"/>
        </w:rPr>
        <w:t>集团店</w:t>
      </w:r>
      <w:r>
        <w:rPr>
          <w:rFonts w:hint="eastAsia" w:ascii="宋体" w:hAnsi="宋体"/>
          <w:sz w:val="24"/>
        </w:rPr>
        <w:t>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w:t>
      </w:r>
      <w:r>
        <w:rPr>
          <w:rFonts w:hint="eastAsia" w:ascii="宋体" w:hAnsi="宋体" w:cs="宋体"/>
          <w:kern w:val="0"/>
          <w:sz w:val="24"/>
        </w:rPr>
        <w:t>集团</w:t>
      </w:r>
      <w:r>
        <w:rPr>
          <w:rFonts w:hint="eastAsia" w:ascii="宋体" w:hAnsi="宋体" w:cs="宋体"/>
          <w:kern w:val="0"/>
          <w:sz w:val="24"/>
          <w:lang w:val="en-US" w:eastAsia="zh-CN"/>
        </w:rPr>
        <w:t>XX</w:t>
      </w:r>
      <w:r>
        <w:rPr>
          <w:rFonts w:hint="eastAsia" w:ascii="宋体" w:hAnsi="宋体" w:cs="宋体"/>
          <w:kern w:val="0"/>
          <w:sz w:val="24"/>
        </w:rPr>
        <w:t>店</w:t>
      </w:r>
      <w:r>
        <w:rPr>
          <w:rFonts w:hint="eastAsia" w:ascii="宋体" w:hAnsi="宋体"/>
          <w:sz w:val="24"/>
        </w:rPr>
        <w:t>留存。</w:t>
      </w:r>
    </w:p>
    <w:p>
      <w:pPr>
        <w:spacing w:line="360" w:lineRule="auto"/>
        <w:rPr>
          <w:rFonts w:ascii="宋体" w:hAnsi="宋体"/>
          <w:sz w:val="24"/>
        </w:rPr>
      </w:pPr>
    </w:p>
    <w:p>
      <w:pPr>
        <w:spacing w:line="360" w:lineRule="auto"/>
        <w:ind w:firstLine="0" w:firstLineChars="0"/>
        <w:rPr>
          <w:rFonts w:ascii="宋体" w:hAnsi="宋体"/>
          <w:sz w:val="24"/>
        </w:rPr>
      </w:pPr>
      <w:r>
        <w:rPr>
          <w:rFonts w:hint="eastAsia" w:ascii="宋体" w:hAnsi="宋体"/>
          <w:sz w:val="24"/>
        </w:rPr>
        <w:t xml:space="preserve">申请人: </w:t>
      </w:r>
      <w:r>
        <w:rPr>
          <w:rFonts w:hint="eastAsia" w:ascii="宋体" w:hAnsi="宋体"/>
          <w:sz w:val="24"/>
          <w:lang w:val="en-US" w:eastAsia="zh-CN"/>
        </w:rPr>
        <w:t xml:space="preserve">                                                  </w:t>
      </w:r>
      <w:r>
        <w:rPr>
          <w:rFonts w:hint="eastAsia" w:ascii="宋体" w:hAnsi="宋体"/>
          <w:sz w:val="24"/>
        </w:rPr>
        <w:t>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firstLine="6360" w:firstLineChars="265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）节能改造后门店空调效果的测量验收；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）节能改造后门店照明效果的测量验收；</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）项目整体验收。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（5）双方在验收文件（包括乙方投入设备的财产清单）上签字盖章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）节能设备安装、调试至正常运行，改造工程施工质量达到国家相关标准；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）节能改造后测试门店空调效果，达到国家相关规定；</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改造前参数</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改造后参数</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备注：该财产清单为乙方投入的节能设备和系统设施清单，乙方将在安装时根据现场情况调整，实际以验收时为准，验收后甲方须签字盖章确认。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甲方代表签字：</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 xml:space="preserve">                                                     甲方盖章                                                    </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color w:val="FF0000"/>
                <w:szCs w:val="21"/>
                <w:lang w:val="en-US" w:eastAsia="zh-CN"/>
              </w:rPr>
              <w:t>XXX店</w:t>
            </w:r>
            <w:r>
              <w:rPr>
                <w:rFonts w:hint="eastAsia" w:cs="宋体" w:asciiTheme="majorEastAsia" w:hAnsiTheme="majorEastAsia" w:eastAsiaTheme="majorEastAsia"/>
                <w:b/>
                <w:bCs/>
                <w:color w:val="FF0000"/>
                <w:szCs w:val="21"/>
              </w:rPr>
              <w:t>合同能源管理</w:t>
            </w:r>
            <w:r>
              <w:rPr>
                <w:rFonts w:hint="eastAsia" w:asciiTheme="majorEastAsia" w:hAnsiTheme="majorEastAsia" w:eastAsiaTheme="majorEastAsia"/>
                <w:b/>
                <w:szCs w:val="21"/>
              </w:rPr>
              <w:t>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设备品质</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Lines="50"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附件6.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w:t>
      </w:r>
      <w:r>
        <w:rPr>
          <w:rFonts w:hint="eastAsia" w:ascii="宋体" w:hAnsi="宋体"/>
          <w:szCs w:val="21"/>
          <w:u w:val="single"/>
          <w:lang w:val="en-US" w:eastAsia="zh-CN"/>
        </w:rPr>
        <w:t>xx</w:t>
      </w:r>
      <w:r>
        <w:rPr>
          <w:rFonts w:hint="eastAsia" w:ascii="宋体" w:hAnsi="宋体"/>
          <w:szCs w:val="21"/>
          <w:u w:val="single"/>
        </w:rPr>
        <w:t xml:space="preserve">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）乙方必须自带工具到现场施工，未经许可，不得使用甲方的设施、工具。若施工过程中损坏甲方门店的设施、设备、工具、商品等，乙方照价赔偿。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附件7.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附件</w:t>
      </w:r>
      <w:r>
        <w:rPr>
          <w:rFonts w:hint="eastAsia" w:ascii="宋体" w:hAnsi="宋体"/>
          <w:b/>
          <w:szCs w:val="21"/>
        </w:rPr>
        <w:t>8</w:t>
      </w:r>
      <w:r>
        <w:rPr>
          <w:rFonts w:ascii="宋体" w:hAnsi="宋体"/>
          <w:b/>
          <w:szCs w:val="21"/>
        </w:rPr>
        <w:t xml:space="preserve">.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ind w:firstLine="420" w:firstLineChars="200"/>
        <w:rPr>
          <w:rFonts w:ascii="宋体" w:hAnsi="宋体" w:cs="宋体"/>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附件</w:t>
      </w:r>
      <w:r>
        <w:rPr>
          <w:rFonts w:hint="eastAsia" w:ascii="宋体" w:hAnsi="宋体" w:cs="宋体"/>
          <w:b/>
          <w:kern w:val="0"/>
          <w:szCs w:val="21"/>
        </w:rPr>
        <w:t>9</w:t>
      </w:r>
      <w:r>
        <w:rPr>
          <w:rFonts w:ascii="宋体" w:hAnsi="宋体" w:cs="宋体"/>
          <w:b/>
          <w:kern w:val="0"/>
          <w:szCs w:val="21"/>
        </w:rPr>
        <w:t xml:space="preserve">.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）合同期内，甲方或其租户的新增空调区域使用门店中央空调冷冻水制冷的，属于新增用电量，可按</w:t>
      </w:r>
      <w:r>
        <w:rPr>
          <w:rFonts w:ascii="宋体" w:hAnsi="宋体" w:cs="宋体"/>
          <w:kern w:val="0"/>
          <w:szCs w:val="21"/>
        </w:rPr>
        <w:t>“</w:t>
      </w:r>
      <w:r>
        <w:rPr>
          <w:rFonts w:hint="eastAsia" w:ascii="宋体" w:hAnsi="宋体" w:cs="宋体"/>
          <w:kern w:val="0"/>
          <w:szCs w:val="21"/>
        </w:rPr>
        <w:t>历史同期单位面积空调用电量</w:t>
      </w:r>
      <w:r>
        <w:rPr>
          <w:rFonts w:ascii="宋体" w:hAnsi="宋体" w:cs="Tahoma"/>
          <w:sz w:val="23"/>
          <w:szCs w:val="23"/>
        </w:rPr>
        <w:t>×</w:t>
      </w:r>
      <w:r>
        <w:rPr>
          <w:rFonts w:ascii="宋体" w:hAnsi="宋体" w:cs="Tahoma"/>
          <w:szCs w:val="21"/>
        </w:rPr>
        <w:t>新增使用空调面积</w:t>
      </w:r>
      <w:r>
        <w:rPr>
          <w:rFonts w:ascii="宋体" w:hAnsi="宋体" w:cs="宋体"/>
          <w:kern w:val="0"/>
          <w:szCs w:val="21"/>
        </w:rPr>
        <w:t>”</w:t>
      </w:r>
      <w:r>
        <w:rPr>
          <w:rFonts w:ascii="宋体" w:hAnsi="宋体" w:cs="Tahoma"/>
          <w:szCs w:val="21"/>
        </w:rPr>
        <w:t>的方法</w:t>
      </w:r>
      <w:r>
        <w:rPr>
          <w:rFonts w:hint="eastAsia" w:ascii="宋体" w:hAnsi="宋体" w:cs="宋体"/>
          <w:kern w:val="0"/>
          <w:szCs w:val="21"/>
        </w:rPr>
        <w:t>计算新增空调面积的用电量。具体为：以使用面积增加前的当月所有空调设备总用电量之和÷面积增加前的当月空调实际使用面积，得出每平方米的“历史同期单位面积空调用电量”，在后面结算时如该结算月份空调使用面积有增加（以平方米为单位），则以该“历史同期单位面积空调用电量”与当月增加面积相乘，得出增加面积的空调用电量。</w:t>
      </w:r>
    </w:p>
    <w:p>
      <w:pPr>
        <w:spacing w:line="360" w:lineRule="auto"/>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）合同期内，甲方因经营需要进行门店装修或布局调整</w:t>
      </w:r>
      <w:r>
        <w:rPr>
          <w:rFonts w:ascii="宋体" w:cs="宋体"/>
          <w:kern w:val="0"/>
          <w:szCs w:val="21"/>
        </w:rPr>
        <w:t>,</w:t>
      </w:r>
      <w:r>
        <w:rPr>
          <w:rFonts w:hint="eastAsia" w:ascii="宋体" w:hAnsi="宋体" w:cs="宋体"/>
          <w:kern w:val="0"/>
          <w:szCs w:val="21"/>
        </w:rPr>
        <w:t>门店自行加装或拆除用电设备均按附件之文件</w:t>
      </w:r>
      <w:r>
        <w:rPr>
          <w:rFonts w:ascii="宋体" w:hAnsi="宋体" w:cs="宋体"/>
          <w:kern w:val="0"/>
          <w:szCs w:val="21"/>
        </w:rPr>
        <w:t>3下的《</w:t>
      </w:r>
      <w:r>
        <w:rPr>
          <w:rFonts w:hint="eastAsia" w:ascii="宋体" w:hAnsi="宋体" w:cs="宋体"/>
          <w:kern w:val="0"/>
          <w:szCs w:val="21"/>
          <w:u w:val="single"/>
          <w:lang w:val="en-US" w:eastAsia="zh-CN"/>
        </w:rPr>
        <w:t>XXX</w:t>
      </w:r>
      <w:r>
        <w:rPr>
          <w:rFonts w:hint="eastAsia" w:ascii="宋体" w:hAnsi="宋体" w:cs="宋体"/>
          <w:kern w:val="0"/>
          <w:szCs w:val="21"/>
          <w:u w:val="single"/>
        </w:rPr>
        <w:t xml:space="preserve"> </w:t>
      </w:r>
      <w:r>
        <w:rPr>
          <w:rFonts w:hint="eastAsia" w:ascii="宋体" w:hAnsi="宋体" w:cs="宋体"/>
          <w:kern w:val="0"/>
          <w:szCs w:val="21"/>
        </w:rPr>
        <w:t>店</w:t>
      </w:r>
      <w:r>
        <w:rPr>
          <w:rFonts w:hint="eastAsia" w:ascii="宋体" w:hAnsi="宋体"/>
          <w:szCs w:val="21"/>
        </w:rPr>
        <w:t>增减设备负荷表》</w:t>
      </w:r>
      <w:r>
        <w:rPr>
          <w:rFonts w:hint="eastAsia" w:ascii="宋体" w:hAnsi="宋体" w:cs="宋体"/>
          <w:kern w:val="0"/>
          <w:szCs w:val="21"/>
        </w:rPr>
        <w:t>处理。</w:t>
      </w:r>
    </w:p>
    <w:p>
      <w:pPr>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（5）营业时间调整变化：</w:t>
      </w:r>
      <w:r>
        <w:rPr>
          <w:rFonts w:hint="eastAsia" w:ascii="宋体" w:hAnsi="宋体" w:cs="宋体"/>
          <w:kern w:val="0"/>
          <w:szCs w:val="21"/>
        </w:rPr>
        <w:t>门店各用电设备运行模式与改造前应保持基本一致，如有调整按相应变化计算能耗变化。</w:t>
      </w:r>
    </w:p>
    <w:p>
      <w:pPr>
        <w:snapToGrid w:val="0"/>
        <w:spacing w:line="360" w:lineRule="auto"/>
        <w:ind w:firstLine="468"/>
        <w:rPr>
          <w:rFonts w:ascii="宋体"/>
          <w:szCs w:val="21"/>
        </w:rPr>
      </w:pPr>
      <w:r>
        <w:rPr>
          <w:rFonts w:hint="eastAsia" w:ascii="宋体" w:hAnsi="宋体"/>
          <w:szCs w:val="21"/>
        </w:rPr>
        <w:t>（6）在整个效益分享期内，甲、乙任意一方对节能量数值有异议，可聘请具有相关资质的第三方进行审核，聘请费用由过错方承担，如无过错方，聘请费用由提出异议方承担。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80"/>
        <w:rPr>
          <w:rFonts w:ascii="宋体"/>
          <w:szCs w:val="21"/>
        </w:rPr>
      </w:pPr>
      <w:r>
        <w:rPr>
          <w:rFonts w:hint="eastAsia" w:ascii="宋体" w:hAnsi="宋体"/>
          <w:szCs w:val="21"/>
        </w:rPr>
        <w:t>（7）结算方式：采用每月结算一次的方式，每12个月为一个周期年，每个周期年的第</w:t>
      </w:r>
      <w:r>
        <w:rPr>
          <w:rFonts w:ascii="宋体" w:hAnsi="宋体"/>
          <w:szCs w:val="21"/>
        </w:rPr>
        <w:t>1</w:t>
      </w:r>
      <w:r>
        <w:rPr>
          <w:rFonts w:hint="eastAsia" w:ascii="宋体" w:hAnsi="宋体"/>
          <w:szCs w:val="21"/>
        </w:rPr>
        <w:t>至</w:t>
      </w:r>
      <w:r>
        <w:rPr>
          <w:rFonts w:ascii="宋体" w:hAnsi="宋体"/>
          <w:szCs w:val="21"/>
        </w:rPr>
        <w:t>11</w:t>
      </w:r>
      <w:r>
        <w:rPr>
          <w:rFonts w:hint="eastAsia" w:ascii="宋体" w:hAnsi="宋体"/>
          <w:szCs w:val="21"/>
        </w:rPr>
        <w:t>个月以实际节电量计算双方的节能效益分享款，在第</w:t>
      </w:r>
      <w:r>
        <w:rPr>
          <w:rFonts w:ascii="宋体" w:hAnsi="宋体"/>
          <w:szCs w:val="21"/>
        </w:rPr>
        <w:t>12</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12</w:t>
      </w:r>
      <w:r>
        <w:rPr>
          <w:rFonts w:hint="eastAsia" w:ascii="宋体" w:hAnsi="宋体"/>
          <w:szCs w:val="21"/>
        </w:rPr>
        <w:t>个月的节能效益分享款还不足以补偿的甲方全年应得部分，则乙方直接以现金补足。</w:t>
      </w:r>
    </w:p>
    <w:p>
      <w:pPr>
        <w:snapToGrid w:val="0"/>
        <w:spacing w:line="360" w:lineRule="auto"/>
        <w:ind w:firstLine="480"/>
        <w:rPr>
          <w:rFonts w:ascii="宋体" w:hAnsi="宋体"/>
          <w:szCs w:val="21"/>
        </w:rPr>
      </w:pPr>
      <w:r>
        <w:rPr>
          <w:rFonts w:hint="eastAsia" w:ascii="宋体" w:hAnsi="宋体"/>
          <w:szCs w:val="21"/>
        </w:rPr>
        <w:t>（8）项目合同签署之后，甲、乙双方就改造范围内甲方用电设备是否运行正常进行检查，甲方应确保其设备运行正常，如甲方设备有不能正常运行的，须由甲方负责维修直至恢复正常状态。</w:t>
      </w:r>
    </w:p>
    <w:p>
      <w:pPr>
        <w:snapToGrid w:val="0"/>
        <w:spacing w:line="360" w:lineRule="auto"/>
        <w:ind w:firstLine="480"/>
        <w:rPr>
          <w:rFonts w:ascii="宋体" w:hAnsi="宋体"/>
          <w:szCs w:val="21"/>
        </w:rPr>
      </w:pPr>
      <w:r>
        <w:rPr>
          <w:rFonts w:hint="eastAsia" w:ascii="宋体" w:hAnsi="宋体"/>
          <w:szCs w:val="21"/>
        </w:rPr>
        <w:t>（9）合同期内甲方原有大型设备设施的外包保养服务（如空调、电梯以及冷链系统的外包保养等）费用甲方需继续承担，如果改由乙方维保，须征得乙方同意并与乙方另签维保合同，费用乙方可优惠但亦由甲方负担，合同期内乙方投入的节能设备设施的维修保养由乙方免费负责，合同期满后甲方需要乙方继续维保或管理的，双方另签维保协议或新的能源管理合同。</w:t>
      </w:r>
    </w:p>
    <w:p>
      <w:pPr>
        <w:snapToGrid w:val="0"/>
        <w:spacing w:line="360" w:lineRule="auto"/>
        <w:rPr>
          <w:rFonts w:ascii="宋体" w:hAnsi="宋体"/>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rPr>
          <w:rFonts w:ascii="仿宋" w:hAnsi="仿宋" w:eastAsia="仿宋"/>
          <w:b/>
          <w:szCs w:val="21"/>
        </w:rPr>
      </w:pPr>
    </w:p>
    <w:p>
      <w:pPr>
        <w:pStyle w:val="2"/>
        <w:numPr>
          <w:ilvl w:val="0"/>
          <w:numId w:val="0"/>
        </w:numPr>
        <w:rPr>
          <w:rFonts w:asciiTheme="majorEastAsia" w:hAnsiTheme="majorEastAsia" w:eastAsiaTheme="majorEastAsia"/>
          <w:sz w:val="28"/>
          <w:szCs w:val="28"/>
        </w:rPr>
      </w:pPr>
      <w:bookmarkStart w:id="16" w:name="_Toc491005870"/>
      <w:bookmarkStart w:id="17" w:name="_Toc13732428"/>
      <w:r>
        <w:rPr>
          <w:rFonts w:hint="eastAsia" w:asciiTheme="majorEastAsia" w:hAnsiTheme="majorEastAsia" w:eastAsiaTheme="majorEastAsia"/>
          <w:sz w:val="28"/>
          <w:szCs w:val="28"/>
        </w:rPr>
        <w:t>第六章</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投标文件格式</w:t>
      </w:r>
      <w:bookmarkEnd w:id="16"/>
      <w:bookmarkEnd w:id="17"/>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val="en-US" w:eastAsia="zh-CN"/>
        </w:rPr>
        <w:t>合肥百货大楼集团股份有限公司</w:t>
      </w:r>
      <w:r>
        <w:rPr>
          <w:rFonts w:hint="eastAsia" w:asciiTheme="minorEastAsia" w:hAnsiTheme="minorEastAsia" w:eastAsiaTheme="minorEastAsia" w:cstheme="minorEastAsia"/>
          <w:sz w:val="24"/>
        </w:rPr>
        <w:t>：</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号招标文件要求，我司签字代表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⑸投标人同意提供招标人可能要求的与其投标有关的一切数据或资料。</w:t>
      </w:r>
    </w:p>
    <w:p>
      <w:pPr>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授权代表（签字）：</w:t>
      </w:r>
    </w:p>
    <w:p>
      <w:pPr>
        <w:spacing w:line="500" w:lineRule="exact"/>
        <w:jc w:val="center"/>
        <w:rPr>
          <w:rFonts w:asciiTheme="majorEastAsia" w:hAnsiTheme="majorEastAsia" w:eastAsiaTheme="majorEastAsia"/>
          <w:sz w:val="28"/>
          <w:szCs w:val="28"/>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二〇二〇年月日</w:t>
      </w:r>
    </w:p>
    <w:p>
      <w:pPr>
        <w:spacing w:line="500" w:lineRule="exact"/>
        <w:jc w:val="center"/>
        <w:rPr>
          <w:rFonts w:asciiTheme="minorEastAsia" w:hAnsiTheme="minorEastAsia" w:eastAsiaTheme="minorEastAsia" w:cstheme="minorEastAsia"/>
          <w:sz w:val="24"/>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08"/>
        <w:gridCol w:w="7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7591"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320" w:firstLineChars="550"/>
              <w:jc w:val="left"/>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lang w:eastAsia="zh-CN"/>
              </w:rPr>
              <w:t>合肥百大集团成员企业</w:t>
            </w:r>
            <w:r>
              <w:rPr>
                <w:rFonts w:hint="eastAsia" w:asciiTheme="minorEastAsia" w:hAnsiTheme="minorEastAsia" w:eastAsiaTheme="minorEastAsia" w:cstheme="minorEastAsia"/>
                <w:sz w:val="24"/>
              </w:rPr>
              <w:t>合同能源管理</w:t>
            </w:r>
            <w:r>
              <w:rPr>
                <w:rFonts w:hint="eastAsia" w:asciiTheme="minorEastAsia" w:hAnsiTheme="minorEastAsia" w:eastAsiaTheme="minorEastAsia" w:cstheme="minorEastAsia"/>
                <w:sz w:val="24"/>
                <w:lang w:eastAsia="zh-CN"/>
              </w:rPr>
              <w:t>服务（四次）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759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7591"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hint="eastAsia" w:ascii="宋体" w:hAnsi="宋体" w:eastAsia="宋体" w:cs="宋体"/>
                <w:b/>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7591"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7591"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60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1608"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7591"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7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979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208"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项目节能率</w:t>
            </w:r>
          </w:p>
        </w:tc>
        <w:tc>
          <w:tcPr>
            <w:tcW w:w="7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合家福琥珀名城店：</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208" w:type="dxa"/>
            <w:gridSpan w:val="2"/>
            <w:vMerge w:val="continue"/>
            <w:tcBorders>
              <w:left w:val="single" w:color="auto" w:sz="4" w:space="0"/>
              <w:right w:val="single" w:color="auto" w:sz="4" w:space="0"/>
            </w:tcBorders>
            <w:vAlign w:val="center"/>
          </w:tcPr>
          <w:p>
            <w:pPr>
              <w:spacing w:line="400" w:lineRule="exact"/>
              <w:jc w:val="center"/>
              <w:rPr>
                <w:rFonts w:hint="eastAsia" w:ascii="宋体" w:hAnsi="宋体" w:cs="宋体"/>
                <w:kern w:val="0"/>
                <w:sz w:val="22"/>
              </w:rPr>
            </w:pPr>
          </w:p>
        </w:tc>
        <w:tc>
          <w:tcPr>
            <w:tcW w:w="7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合家福高教基地店：</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208" w:type="dxa"/>
            <w:gridSpan w:val="2"/>
            <w:vMerge w:val="continue"/>
            <w:tcBorders>
              <w:left w:val="single" w:color="auto" w:sz="4" w:space="0"/>
              <w:right w:val="single" w:color="auto" w:sz="4" w:space="0"/>
            </w:tcBorders>
            <w:vAlign w:val="center"/>
          </w:tcPr>
          <w:p>
            <w:pPr>
              <w:spacing w:line="400" w:lineRule="exact"/>
              <w:jc w:val="center"/>
              <w:rPr>
                <w:rFonts w:hint="eastAsia" w:ascii="宋体" w:hAnsi="宋体" w:cs="宋体"/>
                <w:kern w:val="0"/>
                <w:sz w:val="22"/>
              </w:rPr>
            </w:pPr>
          </w:p>
        </w:tc>
        <w:tc>
          <w:tcPr>
            <w:tcW w:w="7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cs="宋体"/>
                <w:sz w:val="21"/>
                <w:szCs w:val="21"/>
                <w:highlight w:val="none"/>
                <w:vertAlign w:val="baseline"/>
                <w:lang w:eastAsia="zh-CN"/>
              </w:rPr>
            </w:pPr>
            <w:r>
              <w:rPr>
                <w:rFonts w:hint="eastAsia" w:ascii="宋体" w:hAnsi="宋体" w:cs="宋体"/>
                <w:sz w:val="21"/>
                <w:szCs w:val="21"/>
                <w:highlight w:val="none"/>
                <w:vertAlign w:val="baseline"/>
                <w:lang w:eastAsia="zh-CN"/>
              </w:rPr>
              <w:t>蚌埠百大名品中心：</w:t>
            </w:r>
            <w:r>
              <w:rPr>
                <w:rFonts w:hint="eastAsia" w:ascii="宋体" w:hAnsi="宋体" w:cs="宋体"/>
                <w:sz w:val="21"/>
                <w:szCs w:val="21"/>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2"/>
                <w:szCs w:val="22"/>
              </w:rPr>
              <w:t>注：</w:t>
            </w:r>
            <w:r>
              <w:rPr>
                <w:rFonts w:hint="eastAsia" w:ascii="宋体" w:hAnsi="宋体" w:cs="宋体"/>
                <w:b/>
                <w:bCs/>
                <w:kern w:val="0"/>
                <w:sz w:val="22"/>
                <w:szCs w:val="22"/>
                <w:lang w:eastAsia="zh-CN"/>
              </w:rPr>
              <w:t>各成员企业</w:t>
            </w:r>
            <w:r>
              <w:rPr>
                <w:rFonts w:hint="eastAsia" w:ascii="宋体" w:hAnsi="宋体" w:cs="宋体"/>
                <w:b/>
                <w:bCs/>
                <w:kern w:val="0"/>
                <w:sz w:val="22"/>
                <w:szCs w:val="22"/>
              </w:rPr>
              <w:t>项目节能率不得低于</w:t>
            </w:r>
            <w:r>
              <w:rPr>
                <w:rFonts w:hint="eastAsia" w:ascii="宋体" w:hAnsi="宋体" w:cs="宋体"/>
                <w:b/>
                <w:bCs/>
                <w:kern w:val="0"/>
                <w:sz w:val="22"/>
                <w:szCs w:val="22"/>
                <w:lang w:val="en-US" w:eastAsia="zh-CN"/>
              </w:rPr>
              <w:t>15</w:t>
            </w:r>
            <w:r>
              <w:rPr>
                <w:rFonts w:hint="eastAsia" w:ascii="宋体" w:hAnsi="宋体" w:cs="宋体"/>
                <w:b/>
                <w:bCs/>
                <w:kern w:val="0"/>
                <w:sz w:val="22"/>
                <w:szCs w:val="22"/>
              </w:rPr>
              <w:t>%，否则视为废标；</w:t>
            </w:r>
          </w:p>
        </w:tc>
      </w:tr>
    </w:tbl>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jc w:val="center"/>
        <w:rPr>
          <w:rFonts w:hint="eastAsia" w:asciiTheme="majorEastAsia" w:hAnsiTheme="majorEastAsia" w:eastAsiaTheme="majorEastAsia"/>
          <w:b/>
          <w:sz w:val="28"/>
          <w:szCs w:val="28"/>
        </w:rPr>
      </w:pPr>
    </w:p>
    <w:p>
      <w:pPr>
        <w:jc w:val="center"/>
        <w:rPr>
          <w:rFonts w:hint="eastAsia"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numPr>
          <w:ilvl w:val="0"/>
          <w:numId w:val="7"/>
        </w:num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投标人信用承诺</w:t>
      </w:r>
    </w:p>
    <w:p>
      <w:pPr>
        <w:numPr>
          <w:ilvl w:val="0"/>
          <w:numId w:val="0"/>
        </w:numPr>
        <w:jc w:val="both"/>
        <w:rPr>
          <w:rFonts w:hint="eastAsia" w:asciiTheme="majorEastAsia" w:hAnsiTheme="majorEastAsia" w:eastAsiaTheme="majorEastAsia"/>
          <w:b/>
          <w:sz w:val="28"/>
          <w:szCs w:val="28"/>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hint="eastAsia" w:asciiTheme="majorEastAsia" w:hAnsiTheme="majorEastAsia" w:eastAsiaTheme="majorEastAsia"/>
          <w:b/>
          <w:sz w:val="24"/>
        </w:rPr>
      </w:pPr>
      <w:r>
        <w:rPr>
          <w:rFonts w:hint="eastAsia" w:asciiTheme="majorEastAsia" w:hAnsiTheme="majorEastAsia" w:eastAsiaTheme="majorEastAsia"/>
          <w:b/>
          <w:sz w:val="24"/>
        </w:rPr>
        <w:t>投标人签章：</w:t>
      </w:r>
    </w:p>
    <w:p>
      <w:pPr>
        <w:spacing w:line="360" w:lineRule="auto"/>
        <w:ind w:firstLine="630"/>
        <w:rPr>
          <w:rFonts w:hint="eastAsia" w:asciiTheme="majorEastAsia" w:hAnsiTheme="majorEastAsia" w:eastAsiaTheme="majorEastAsia"/>
          <w:b/>
          <w:sz w:val="24"/>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numPr>
          <w:ilvl w:val="0"/>
          <w:numId w:val="7"/>
        </w:numPr>
        <w:ind w:left="0" w:leftChars="0" w:firstLine="0" w:firstLineChars="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投标保证金退还申请书</w:t>
      </w:r>
    </w:p>
    <w:p>
      <w:pPr>
        <w:numPr>
          <w:ilvl w:val="0"/>
          <w:numId w:val="0"/>
        </w:numPr>
        <w:ind w:leftChars="0"/>
        <w:jc w:val="both"/>
        <w:rPr>
          <w:rFonts w:hint="eastAsia" w:asciiTheme="majorEastAsia" w:hAnsiTheme="majorEastAsia" w:eastAsiaTheme="majorEastAsia"/>
          <w:b/>
          <w:sz w:val="28"/>
          <w:szCs w:val="28"/>
        </w:rPr>
      </w:pPr>
    </w:p>
    <w:p>
      <w:pPr>
        <w:ind w:firstLine="537" w:firstLineChars="192"/>
        <w:rPr>
          <w:rFonts w:hint="eastAsia" w:cs="宋体" w:asciiTheme="majorEastAsia" w:hAnsiTheme="majorEastAsia" w:eastAsiaTheme="majorEastAsia"/>
          <w:sz w:val="28"/>
          <w:szCs w:val="28"/>
          <w:lang w:val="en-US" w:eastAsia="zh-CN"/>
        </w:rPr>
      </w:pPr>
      <w:r>
        <w:rPr>
          <w:rFonts w:hint="eastAsia" w:cs="宋体" w:asciiTheme="majorEastAsia" w:hAnsiTheme="majorEastAsia" w:eastAsiaTheme="majorEastAsia"/>
          <w:sz w:val="28"/>
          <w:szCs w:val="28"/>
          <w:lang w:val="en-US" w:eastAsia="zh-CN"/>
        </w:rPr>
        <w:t>合肥百货大楼集团股份有限公司：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20年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rPr>
          <w:rFonts w:cs="宋体" w:asciiTheme="majorEastAsia" w:hAnsiTheme="majorEastAsia" w:eastAsiaTheme="majorEastAsia"/>
          <w:sz w:val="28"/>
          <w:szCs w:val="28"/>
        </w:rPr>
      </w:pPr>
    </w:p>
    <w:p>
      <w:pPr>
        <w:ind w:firstLine="6893" w:firstLineChars="2462"/>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6893" w:firstLineChars="2462"/>
        <w:rPr>
          <w:rFonts w:hint="eastAsia" w:cs="宋体" w:asciiTheme="majorEastAsia" w:hAnsiTheme="majorEastAsia" w:eastAsiaTheme="majorEastAsia"/>
          <w:sz w:val="28"/>
          <w:szCs w:val="28"/>
        </w:rPr>
      </w:pPr>
    </w:p>
    <w:p>
      <w:pPr>
        <w:ind w:firstLine="7980" w:firstLineChars="28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41</w:t>
    </w:r>
    <w:r>
      <w:rPr>
        <w:b/>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A5AC7A"/>
    <w:multiLevelType w:val="singleLevel"/>
    <w:tmpl w:val="82A5AC7A"/>
    <w:lvl w:ilvl="0" w:tentative="0">
      <w:start w:val="5"/>
      <w:numFmt w:val="chineseCounting"/>
      <w:suff w:val="nothing"/>
      <w:lvlText w:val="%1、"/>
      <w:lvlJc w:val="left"/>
      <w:rPr>
        <w:rFonts w:hint="eastAsia"/>
      </w:rPr>
    </w:lvl>
  </w:abstractNum>
  <w:abstractNum w:abstractNumId="1">
    <w:nsid w:val="83BDAB0D"/>
    <w:multiLevelType w:val="singleLevel"/>
    <w:tmpl w:val="83BDAB0D"/>
    <w:lvl w:ilvl="0" w:tentative="0">
      <w:start w:val="1"/>
      <w:numFmt w:val="chineseCounting"/>
      <w:suff w:val="space"/>
      <w:lvlText w:val="第%1章"/>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F4884698"/>
    <w:multiLevelType w:val="singleLevel"/>
    <w:tmpl w:val="F4884698"/>
    <w:lvl w:ilvl="0" w:tentative="0">
      <w:start w:val="1"/>
      <w:numFmt w:val="decimal"/>
      <w:suff w:val="nothing"/>
      <w:lvlText w:val="（%1）"/>
      <w:lvlJc w:val="left"/>
    </w:lvl>
  </w:abstractNum>
  <w:abstractNum w:abstractNumId="4">
    <w:nsid w:val="2F8F2DF0"/>
    <w:multiLevelType w:val="multilevel"/>
    <w:tmpl w:val="2F8F2DF0"/>
    <w:lvl w:ilvl="0" w:tentative="0">
      <w:start w:val="1"/>
      <w:numFmt w:val="upperLetter"/>
      <w:lvlText w:val="%1、"/>
      <w:lvlJc w:val="left"/>
      <w:pPr>
        <w:ind w:left="1730" w:hanging="360"/>
      </w:pPr>
      <w:rPr>
        <w:rFonts w:hint="default"/>
      </w:rPr>
    </w:lvl>
    <w:lvl w:ilvl="1" w:tentative="0">
      <w:start w:val="1"/>
      <w:numFmt w:val="lowerLetter"/>
      <w:lvlText w:val="%2)"/>
      <w:lvlJc w:val="left"/>
      <w:pPr>
        <w:ind w:left="2210" w:hanging="420"/>
      </w:pPr>
    </w:lvl>
    <w:lvl w:ilvl="2" w:tentative="0">
      <w:start w:val="1"/>
      <w:numFmt w:val="lowerRoman"/>
      <w:lvlText w:val="%3."/>
      <w:lvlJc w:val="right"/>
      <w:pPr>
        <w:ind w:left="2630" w:hanging="420"/>
      </w:pPr>
    </w:lvl>
    <w:lvl w:ilvl="3" w:tentative="0">
      <w:start w:val="1"/>
      <w:numFmt w:val="decimal"/>
      <w:lvlText w:val="%4."/>
      <w:lvlJc w:val="left"/>
      <w:pPr>
        <w:ind w:left="3050" w:hanging="420"/>
      </w:pPr>
    </w:lvl>
    <w:lvl w:ilvl="4" w:tentative="0">
      <w:start w:val="1"/>
      <w:numFmt w:val="lowerLetter"/>
      <w:lvlText w:val="%5)"/>
      <w:lvlJc w:val="left"/>
      <w:pPr>
        <w:ind w:left="3470" w:hanging="420"/>
      </w:pPr>
    </w:lvl>
    <w:lvl w:ilvl="5" w:tentative="0">
      <w:start w:val="1"/>
      <w:numFmt w:val="lowerRoman"/>
      <w:lvlText w:val="%6."/>
      <w:lvlJc w:val="right"/>
      <w:pPr>
        <w:ind w:left="3890" w:hanging="420"/>
      </w:pPr>
    </w:lvl>
    <w:lvl w:ilvl="6" w:tentative="0">
      <w:start w:val="1"/>
      <w:numFmt w:val="decimal"/>
      <w:lvlText w:val="%7."/>
      <w:lvlJc w:val="left"/>
      <w:pPr>
        <w:ind w:left="4310" w:hanging="420"/>
      </w:pPr>
    </w:lvl>
    <w:lvl w:ilvl="7" w:tentative="0">
      <w:start w:val="1"/>
      <w:numFmt w:val="lowerLetter"/>
      <w:lvlText w:val="%8)"/>
      <w:lvlJc w:val="left"/>
      <w:pPr>
        <w:ind w:left="4730" w:hanging="420"/>
      </w:pPr>
    </w:lvl>
    <w:lvl w:ilvl="8" w:tentative="0">
      <w:start w:val="1"/>
      <w:numFmt w:val="lowerRoman"/>
      <w:lvlText w:val="%9."/>
      <w:lvlJc w:val="right"/>
      <w:pPr>
        <w:ind w:left="5150" w:hanging="420"/>
      </w:pPr>
    </w:lvl>
  </w:abstractNum>
  <w:abstractNum w:abstractNumId="5">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6">
    <w:nsid w:val="5EEF3F7D"/>
    <w:multiLevelType w:val="multilevel"/>
    <w:tmpl w:val="5EEF3F7D"/>
    <w:lvl w:ilvl="0" w:tentative="0">
      <w:start w:val="1"/>
      <w:numFmt w:val="decimal"/>
      <w:lvlText w:val="（%1）"/>
      <w:lvlJc w:val="left"/>
      <w:pPr>
        <w:ind w:left="1350" w:hanging="720"/>
      </w:pPr>
      <w:rPr>
        <w:rFonts w:hint="default"/>
        <w:color w:val="auto"/>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5B0"/>
    <w:rsid w:val="01163433"/>
    <w:rsid w:val="020F38B3"/>
    <w:rsid w:val="0221514B"/>
    <w:rsid w:val="0259732C"/>
    <w:rsid w:val="02B55A38"/>
    <w:rsid w:val="03624E9A"/>
    <w:rsid w:val="03BA600F"/>
    <w:rsid w:val="04084853"/>
    <w:rsid w:val="044171C6"/>
    <w:rsid w:val="0455496F"/>
    <w:rsid w:val="05507A9D"/>
    <w:rsid w:val="062833F8"/>
    <w:rsid w:val="0822198E"/>
    <w:rsid w:val="085F3B8B"/>
    <w:rsid w:val="08AE4632"/>
    <w:rsid w:val="09F61DD7"/>
    <w:rsid w:val="0A8D6EDE"/>
    <w:rsid w:val="0AB73897"/>
    <w:rsid w:val="0B184425"/>
    <w:rsid w:val="0B856E94"/>
    <w:rsid w:val="0E302723"/>
    <w:rsid w:val="0EC97783"/>
    <w:rsid w:val="0F8E014B"/>
    <w:rsid w:val="0FB74AD2"/>
    <w:rsid w:val="1078511E"/>
    <w:rsid w:val="10953D2C"/>
    <w:rsid w:val="116C7778"/>
    <w:rsid w:val="12227FA8"/>
    <w:rsid w:val="13184616"/>
    <w:rsid w:val="13B677FE"/>
    <w:rsid w:val="13C25660"/>
    <w:rsid w:val="15A6752A"/>
    <w:rsid w:val="15BA313B"/>
    <w:rsid w:val="15CF1EAE"/>
    <w:rsid w:val="16090BD3"/>
    <w:rsid w:val="1710173B"/>
    <w:rsid w:val="17D13CB9"/>
    <w:rsid w:val="1A3F4B81"/>
    <w:rsid w:val="1C656229"/>
    <w:rsid w:val="1D120381"/>
    <w:rsid w:val="1DB456ED"/>
    <w:rsid w:val="1E1D2B30"/>
    <w:rsid w:val="1EF471F3"/>
    <w:rsid w:val="1FEA3395"/>
    <w:rsid w:val="20ED605A"/>
    <w:rsid w:val="23E514E1"/>
    <w:rsid w:val="23F24846"/>
    <w:rsid w:val="24EE1E04"/>
    <w:rsid w:val="27622F4B"/>
    <w:rsid w:val="277B7E9B"/>
    <w:rsid w:val="28D61E32"/>
    <w:rsid w:val="2A276854"/>
    <w:rsid w:val="2AC1152C"/>
    <w:rsid w:val="2AEF3166"/>
    <w:rsid w:val="2BA926B2"/>
    <w:rsid w:val="2C794B86"/>
    <w:rsid w:val="2CDC7C62"/>
    <w:rsid w:val="2E9E20B2"/>
    <w:rsid w:val="2FA45F49"/>
    <w:rsid w:val="31555B66"/>
    <w:rsid w:val="316F1296"/>
    <w:rsid w:val="31B21735"/>
    <w:rsid w:val="31D33007"/>
    <w:rsid w:val="3287182F"/>
    <w:rsid w:val="32AB7A49"/>
    <w:rsid w:val="340760E5"/>
    <w:rsid w:val="35682A87"/>
    <w:rsid w:val="365C2055"/>
    <w:rsid w:val="38077AEA"/>
    <w:rsid w:val="38214995"/>
    <w:rsid w:val="3A075012"/>
    <w:rsid w:val="3BE53008"/>
    <w:rsid w:val="3C97374A"/>
    <w:rsid w:val="3DA63A27"/>
    <w:rsid w:val="416E0D97"/>
    <w:rsid w:val="417C461A"/>
    <w:rsid w:val="424B79A9"/>
    <w:rsid w:val="438924BC"/>
    <w:rsid w:val="43EB0972"/>
    <w:rsid w:val="44216EC7"/>
    <w:rsid w:val="44D97FE8"/>
    <w:rsid w:val="4516234F"/>
    <w:rsid w:val="46EA25C8"/>
    <w:rsid w:val="4735432A"/>
    <w:rsid w:val="474A6596"/>
    <w:rsid w:val="47ED6EC5"/>
    <w:rsid w:val="486E2267"/>
    <w:rsid w:val="48744FCF"/>
    <w:rsid w:val="48E04880"/>
    <w:rsid w:val="4A6A43F7"/>
    <w:rsid w:val="4A983F0E"/>
    <w:rsid w:val="4AB817AD"/>
    <w:rsid w:val="4ADA6DE1"/>
    <w:rsid w:val="4B777296"/>
    <w:rsid w:val="4BD61225"/>
    <w:rsid w:val="4C055A88"/>
    <w:rsid w:val="4C9B7CF8"/>
    <w:rsid w:val="4EBB684F"/>
    <w:rsid w:val="4F443AAE"/>
    <w:rsid w:val="4F6F282A"/>
    <w:rsid w:val="4F8335D1"/>
    <w:rsid w:val="51321C15"/>
    <w:rsid w:val="514A5F5C"/>
    <w:rsid w:val="521A5726"/>
    <w:rsid w:val="52653DD2"/>
    <w:rsid w:val="52870254"/>
    <w:rsid w:val="53046F07"/>
    <w:rsid w:val="545364BA"/>
    <w:rsid w:val="54C924CB"/>
    <w:rsid w:val="55B04951"/>
    <w:rsid w:val="55D1111F"/>
    <w:rsid w:val="5654249F"/>
    <w:rsid w:val="56CD054B"/>
    <w:rsid w:val="57283D12"/>
    <w:rsid w:val="577C18D9"/>
    <w:rsid w:val="57AD67BC"/>
    <w:rsid w:val="58036BBB"/>
    <w:rsid w:val="59404E68"/>
    <w:rsid w:val="59825BDE"/>
    <w:rsid w:val="5AD3471D"/>
    <w:rsid w:val="5B477142"/>
    <w:rsid w:val="5DF1769B"/>
    <w:rsid w:val="5EB73FFE"/>
    <w:rsid w:val="60F6341A"/>
    <w:rsid w:val="619E522D"/>
    <w:rsid w:val="623C1DD4"/>
    <w:rsid w:val="628A0F7F"/>
    <w:rsid w:val="63B34A88"/>
    <w:rsid w:val="64596099"/>
    <w:rsid w:val="65B24CD6"/>
    <w:rsid w:val="66BD69A5"/>
    <w:rsid w:val="6989057F"/>
    <w:rsid w:val="6989202B"/>
    <w:rsid w:val="6A125170"/>
    <w:rsid w:val="6AD922E7"/>
    <w:rsid w:val="6B8E6DC8"/>
    <w:rsid w:val="6C1945EC"/>
    <w:rsid w:val="6C8A3DD5"/>
    <w:rsid w:val="6DD43482"/>
    <w:rsid w:val="6DDD6F6E"/>
    <w:rsid w:val="70194923"/>
    <w:rsid w:val="710669AA"/>
    <w:rsid w:val="71252EBB"/>
    <w:rsid w:val="739812B4"/>
    <w:rsid w:val="74936A2A"/>
    <w:rsid w:val="75571281"/>
    <w:rsid w:val="760A5DED"/>
    <w:rsid w:val="76585A1C"/>
    <w:rsid w:val="76C93133"/>
    <w:rsid w:val="774A1A33"/>
    <w:rsid w:val="7768440A"/>
    <w:rsid w:val="779F3705"/>
    <w:rsid w:val="77DA7B64"/>
    <w:rsid w:val="781B6870"/>
    <w:rsid w:val="78983268"/>
    <w:rsid w:val="79016CF0"/>
    <w:rsid w:val="795F429A"/>
    <w:rsid w:val="7B4974EE"/>
    <w:rsid w:val="7B835085"/>
    <w:rsid w:val="7D206987"/>
    <w:rsid w:val="7D4956A4"/>
    <w:rsid w:val="7F767EFE"/>
    <w:rsid w:val="7F8E6382"/>
    <w:rsid w:val="7FED60A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4"/>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5"/>
    <w:qFormat/>
    <w:uiPriority w:val="99"/>
    <w:pPr>
      <w:keepNext/>
      <w:widowControl/>
      <w:jc w:val="left"/>
      <w:outlineLvl w:val="2"/>
    </w:pPr>
    <w:rPr>
      <w:rFonts w:ascii="Cambria" w:hAnsi="Cambria"/>
      <w:b/>
      <w:bCs/>
      <w:kern w:val="0"/>
      <w:szCs w:val="26"/>
    </w:rPr>
  </w:style>
  <w:style w:type="paragraph" w:styleId="5">
    <w:name w:val="heading 4"/>
    <w:basedOn w:val="1"/>
    <w:next w:val="1"/>
    <w:link w:val="36"/>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7"/>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3"/>
    <w:unhideWhenUsed/>
    <w:qFormat/>
    <w:locked/>
    <w:uiPriority w:val="99"/>
    <w:rPr>
      <w:rFonts w:ascii="宋体"/>
      <w:sz w:val="18"/>
      <w:szCs w:val="18"/>
    </w:rPr>
  </w:style>
  <w:style w:type="paragraph" w:styleId="9">
    <w:name w:val="annotation text"/>
    <w:basedOn w:val="1"/>
    <w:link w:val="38"/>
    <w:qFormat/>
    <w:uiPriority w:val="99"/>
    <w:pPr>
      <w:jc w:val="left"/>
    </w:pPr>
  </w:style>
  <w:style w:type="paragraph" w:styleId="10">
    <w:name w:val="Body Text"/>
    <w:basedOn w:val="1"/>
    <w:link w:val="69"/>
    <w:qFormat/>
    <w:locked/>
    <w:uiPriority w:val="99"/>
    <w:pPr>
      <w:spacing w:after="120"/>
    </w:pPr>
  </w:style>
  <w:style w:type="paragraph" w:styleId="11">
    <w:name w:val="Body Text Indent"/>
    <w:basedOn w:val="1"/>
    <w:link w:val="39"/>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0"/>
    <w:qFormat/>
    <w:uiPriority w:val="99"/>
    <w:rPr>
      <w:rFonts w:ascii="宋体" w:hAnsi="Courier New" w:eastAsia="微软雅黑"/>
      <w:szCs w:val="20"/>
    </w:rPr>
  </w:style>
  <w:style w:type="paragraph" w:styleId="15">
    <w:name w:val="Date"/>
    <w:basedOn w:val="1"/>
    <w:next w:val="1"/>
    <w:link w:val="41"/>
    <w:qFormat/>
    <w:uiPriority w:val="99"/>
    <w:pPr>
      <w:ind w:left="100" w:leftChars="2500"/>
    </w:pPr>
  </w:style>
  <w:style w:type="paragraph" w:styleId="16">
    <w:name w:val="Body Text Indent 2"/>
    <w:basedOn w:val="1"/>
    <w:link w:val="42"/>
    <w:qFormat/>
    <w:uiPriority w:val="99"/>
    <w:pPr>
      <w:spacing w:after="120" w:line="480" w:lineRule="auto"/>
      <w:ind w:left="420" w:leftChars="200"/>
    </w:pPr>
  </w:style>
  <w:style w:type="paragraph" w:styleId="17">
    <w:name w:val="Balloon Text"/>
    <w:basedOn w:val="1"/>
    <w:link w:val="43"/>
    <w:semiHidden/>
    <w:qFormat/>
    <w:uiPriority w:val="99"/>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4"/>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6"/>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1"/>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character" w:customStyle="1" w:styleId="33">
    <w:name w:val="标题 1 Char"/>
    <w:basedOn w:val="29"/>
    <w:link w:val="2"/>
    <w:qFormat/>
    <w:locked/>
    <w:uiPriority w:val="99"/>
    <w:rPr>
      <w:rFonts w:ascii="Cambria" w:hAnsi="Cambria" w:eastAsia="黑体" w:cs="Times New Roman"/>
      <w:b/>
      <w:bCs/>
      <w:kern w:val="32"/>
      <w:sz w:val="32"/>
      <w:szCs w:val="32"/>
    </w:rPr>
  </w:style>
  <w:style w:type="character" w:customStyle="1" w:styleId="34">
    <w:name w:val="标题 2 Char"/>
    <w:basedOn w:val="29"/>
    <w:link w:val="3"/>
    <w:qFormat/>
    <w:locked/>
    <w:uiPriority w:val="99"/>
    <w:rPr>
      <w:rFonts w:ascii="Cambria" w:hAnsi="Cambria" w:eastAsia="黑体" w:cs="Times New Roman"/>
      <w:b/>
      <w:bCs/>
      <w:iCs/>
      <w:sz w:val="28"/>
      <w:szCs w:val="28"/>
    </w:rPr>
  </w:style>
  <w:style w:type="character" w:customStyle="1" w:styleId="35">
    <w:name w:val="标题 3 Char"/>
    <w:basedOn w:val="29"/>
    <w:link w:val="4"/>
    <w:qFormat/>
    <w:locked/>
    <w:uiPriority w:val="99"/>
    <w:rPr>
      <w:rFonts w:ascii="Cambria" w:hAnsi="Cambria" w:eastAsia="宋体" w:cs="Times New Roman"/>
      <w:b/>
      <w:bCs/>
      <w:kern w:val="0"/>
      <w:sz w:val="26"/>
      <w:szCs w:val="26"/>
    </w:rPr>
  </w:style>
  <w:style w:type="character" w:customStyle="1" w:styleId="36">
    <w:name w:val="标题 4 Char"/>
    <w:basedOn w:val="29"/>
    <w:link w:val="5"/>
    <w:qFormat/>
    <w:locked/>
    <w:uiPriority w:val="99"/>
    <w:rPr>
      <w:rFonts w:ascii="Cambria" w:hAnsi="Cambria" w:eastAsia="宋体" w:cs="Times New Roman"/>
      <w:b/>
      <w:bCs/>
      <w:kern w:val="2"/>
      <w:sz w:val="28"/>
      <w:szCs w:val="28"/>
    </w:rPr>
  </w:style>
  <w:style w:type="character" w:customStyle="1" w:styleId="37">
    <w:name w:val="标题 5 Char"/>
    <w:basedOn w:val="29"/>
    <w:link w:val="6"/>
    <w:qFormat/>
    <w:locked/>
    <w:uiPriority w:val="99"/>
    <w:rPr>
      <w:rFonts w:ascii="宋体" w:hAnsi="宋体" w:eastAsia="宋体" w:cs="Times New Roman"/>
      <w:b/>
      <w:bCs/>
      <w:i/>
      <w:iCs/>
      <w:kern w:val="0"/>
      <w:sz w:val="26"/>
      <w:szCs w:val="26"/>
    </w:rPr>
  </w:style>
  <w:style w:type="character" w:customStyle="1" w:styleId="38">
    <w:name w:val="批注文字 Char"/>
    <w:basedOn w:val="29"/>
    <w:link w:val="9"/>
    <w:qFormat/>
    <w:locked/>
    <w:uiPriority w:val="99"/>
    <w:rPr>
      <w:rFonts w:ascii="Times New Roman" w:hAnsi="Times New Roman" w:eastAsia="宋体" w:cs="Times New Roman"/>
      <w:kern w:val="2"/>
      <w:sz w:val="24"/>
      <w:szCs w:val="24"/>
    </w:rPr>
  </w:style>
  <w:style w:type="character" w:customStyle="1" w:styleId="39">
    <w:name w:val="正文文本缩进 Char"/>
    <w:basedOn w:val="29"/>
    <w:link w:val="11"/>
    <w:qFormat/>
    <w:locked/>
    <w:uiPriority w:val="99"/>
    <w:rPr>
      <w:rFonts w:ascii="Times New Roman" w:hAnsi="Times New Roman" w:cs="Times New Roman"/>
      <w:kern w:val="2"/>
      <w:sz w:val="24"/>
      <w:szCs w:val="24"/>
    </w:rPr>
  </w:style>
  <w:style w:type="character" w:customStyle="1" w:styleId="40">
    <w:name w:val="纯文本 Char1"/>
    <w:basedOn w:val="29"/>
    <w:link w:val="14"/>
    <w:qFormat/>
    <w:locked/>
    <w:uiPriority w:val="99"/>
    <w:rPr>
      <w:rFonts w:ascii="宋体" w:hAnsi="Courier New" w:cs="Times New Roman"/>
      <w:kern w:val="2"/>
      <w:sz w:val="21"/>
    </w:rPr>
  </w:style>
  <w:style w:type="character" w:customStyle="1" w:styleId="41">
    <w:name w:val="日期 Char"/>
    <w:basedOn w:val="29"/>
    <w:link w:val="15"/>
    <w:qFormat/>
    <w:locked/>
    <w:uiPriority w:val="99"/>
    <w:rPr>
      <w:rFonts w:ascii="Times New Roman" w:hAnsi="Times New Roman" w:eastAsia="宋体" w:cs="Times New Roman"/>
      <w:sz w:val="24"/>
      <w:szCs w:val="24"/>
    </w:rPr>
  </w:style>
  <w:style w:type="character" w:customStyle="1" w:styleId="42">
    <w:name w:val="正文文本缩进 2 Char"/>
    <w:basedOn w:val="29"/>
    <w:link w:val="16"/>
    <w:qFormat/>
    <w:locked/>
    <w:uiPriority w:val="99"/>
    <w:rPr>
      <w:rFonts w:ascii="Times New Roman" w:hAnsi="Times New Roman" w:cs="Times New Roman"/>
      <w:kern w:val="2"/>
      <w:sz w:val="24"/>
      <w:szCs w:val="24"/>
    </w:rPr>
  </w:style>
  <w:style w:type="character" w:customStyle="1" w:styleId="43">
    <w:name w:val="批注框文本 Char"/>
    <w:basedOn w:val="29"/>
    <w:link w:val="17"/>
    <w:semiHidden/>
    <w:qFormat/>
    <w:locked/>
    <w:uiPriority w:val="99"/>
    <w:rPr>
      <w:rFonts w:ascii="Times New Roman" w:hAnsi="Times New Roman" w:eastAsia="宋体" w:cs="Times New Roman"/>
      <w:kern w:val="2"/>
      <w:sz w:val="18"/>
      <w:szCs w:val="18"/>
    </w:rPr>
  </w:style>
  <w:style w:type="character" w:customStyle="1" w:styleId="44">
    <w:name w:val="页脚 Char"/>
    <w:basedOn w:val="29"/>
    <w:link w:val="18"/>
    <w:qFormat/>
    <w:locked/>
    <w:uiPriority w:val="99"/>
    <w:rPr>
      <w:rFonts w:cs="Times New Roman"/>
      <w:sz w:val="18"/>
      <w:szCs w:val="18"/>
    </w:rPr>
  </w:style>
  <w:style w:type="character" w:customStyle="1" w:styleId="45">
    <w:name w:val="页眉 Char"/>
    <w:basedOn w:val="29"/>
    <w:link w:val="19"/>
    <w:semiHidden/>
    <w:qFormat/>
    <w:locked/>
    <w:uiPriority w:val="99"/>
    <w:rPr>
      <w:rFonts w:cs="Times New Roman"/>
      <w:sz w:val="18"/>
      <w:szCs w:val="18"/>
    </w:rPr>
  </w:style>
  <w:style w:type="character" w:customStyle="1" w:styleId="46">
    <w:name w:val="标题 Char"/>
    <w:basedOn w:val="29"/>
    <w:link w:val="25"/>
    <w:qFormat/>
    <w:locked/>
    <w:uiPriority w:val="99"/>
    <w:rPr>
      <w:rFonts w:ascii="Cambria" w:hAnsi="Cambria" w:cs="Times New Roman"/>
      <w:b/>
      <w:bCs/>
      <w:kern w:val="2"/>
      <w:sz w:val="32"/>
      <w:szCs w:val="32"/>
    </w:rPr>
  </w:style>
  <w:style w:type="paragraph" w:customStyle="1" w:styleId="47">
    <w:name w:val="Char Char Char"/>
    <w:basedOn w:val="1"/>
    <w:qFormat/>
    <w:uiPriority w:val="99"/>
    <w:rPr>
      <w:rFonts w:ascii="Tahoma" w:hAnsi="Tahoma"/>
      <w:sz w:val="24"/>
      <w:szCs w:val="20"/>
    </w:rPr>
  </w:style>
  <w:style w:type="paragraph" w:customStyle="1" w:styleId="48">
    <w:name w:val="列出段落1"/>
    <w:basedOn w:val="1"/>
    <w:link w:val="50"/>
    <w:qFormat/>
    <w:uiPriority w:val="99"/>
    <w:pPr>
      <w:ind w:firstLine="420" w:firstLineChars="200"/>
    </w:pPr>
    <w:rPr>
      <w:kern w:val="0"/>
      <w:sz w:val="24"/>
      <w:szCs w:val="20"/>
    </w:rPr>
  </w:style>
  <w:style w:type="character" w:customStyle="1" w:styleId="49">
    <w:name w:val="正文缩进 Char"/>
    <w:link w:val="7"/>
    <w:qFormat/>
    <w:locked/>
    <w:uiPriority w:val="99"/>
    <w:rPr>
      <w:rFonts w:eastAsia="宋体"/>
    </w:rPr>
  </w:style>
  <w:style w:type="character" w:customStyle="1" w:styleId="50">
    <w:name w:val="列出段落 Char"/>
    <w:link w:val="48"/>
    <w:qFormat/>
    <w:locked/>
    <w:uiPriority w:val="99"/>
    <w:rPr>
      <w:rFonts w:ascii="Times New Roman" w:hAnsi="Times New Roman" w:eastAsia="宋体"/>
      <w:sz w:val="24"/>
    </w:rPr>
  </w:style>
  <w:style w:type="paragraph" w:customStyle="1" w:styleId="51">
    <w:name w:val="正文-带编号1)"/>
    <w:basedOn w:val="1"/>
    <w:qFormat/>
    <w:uiPriority w:val="99"/>
    <w:pPr>
      <w:spacing w:line="400" w:lineRule="exact"/>
    </w:pPr>
    <w:rPr>
      <w:rFonts w:ascii="Arial" w:hAnsi="Arial"/>
    </w:rPr>
  </w:style>
  <w:style w:type="paragraph" w:customStyle="1" w:styleId="52">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3">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4">
    <w:name w:val="Char Char Char Char Char Char Char1 Char"/>
    <w:basedOn w:val="1"/>
    <w:qFormat/>
    <w:uiPriority w:val="99"/>
    <w:rPr>
      <w:rFonts w:ascii="Tahoma" w:hAnsi="Tahoma"/>
      <w:sz w:val="24"/>
      <w:szCs w:val="20"/>
    </w:rPr>
  </w:style>
  <w:style w:type="paragraph" w:customStyle="1" w:styleId="55">
    <w:name w:val="List Paragraph"/>
    <w:basedOn w:val="1"/>
    <w:qFormat/>
    <w:uiPriority w:val="99"/>
    <w:pPr>
      <w:ind w:firstLine="420" w:firstLineChars="200"/>
    </w:pPr>
    <w:rPr>
      <w:rFonts w:ascii="Calibri" w:hAnsi="Calibri"/>
      <w:szCs w:val="22"/>
    </w:rPr>
  </w:style>
  <w:style w:type="paragraph" w:customStyle="1" w:styleId="56">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7">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8">
    <w:name w:val="纯文本 Char"/>
    <w:basedOn w:val="29"/>
    <w:semiHidden/>
    <w:qFormat/>
    <w:uiPriority w:val="99"/>
    <w:rPr>
      <w:rFonts w:ascii="宋体" w:hAnsi="Courier New" w:cs="Courier New"/>
      <w:kern w:val="2"/>
      <w:sz w:val="21"/>
      <w:szCs w:val="21"/>
    </w:rPr>
  </w:style>
  <w:style w:type="paragraph" w:customStyle="1" w:styleId="59">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0">
    <w:name w:val="项目正文"/>
    <w:basedOn w:val="1"/>
    <w:qFormat/>
    <w:uiPriority w:val="99"/>
    <w:pPr>
      <w:ind w:firstLine="482"/>
    </w:pPr>
  </w:style>
  <w:style w:type="character" w:customStyle="1" w:styleId="61">
    <w:name w:val="批注主题 Char"/>
    <w:basedOn w:val="38"/>
    <w:link w:val="26"/>
    <w:qFormat/>
    <w:locked/>
    <w:uiPriority w:val="99"/>
    <w:rPr>
      <w:rFonts w:ascii="Times New Roman" w:hAnsi="Times New Roman" w:eastAsia="宋体" w:cs="Times New Roman"/>
      <w:kern w:val="2"/>
      <w:sz w:val="24"/>
      <w:szCs w:val="24"/>
    </w:rPr>
  </w:style>
  <w:style w:type="character" w:customStyle="1" w:styleId="62">
    <w:name w:val="font101"/>
    <w:basedOn w:val="29"/>
    <w:qFormat/>
    <w:uiPriority w:val="99"/>
    <w:rPr>
      <w:rFonts w:ascii="宋体" w:hAnsi="宋体" w:eastAsia="宋体" w:cs="宋体"/>
      <w:b/>
      <w:color w:val="000000"/>
      <w:sz w:val="20"/>
      <w:szCs w:val="20"/>
      <w:u w:val="none"/>
    </w:rPr>
  </w:style>
  <w:style w:type="character" w:customStyle="1" w:styleId="63">
    <w:name w:val="font111"/>
    <w:basedOn w:val="29"/>
    <w:qFormat/>
    <w:uiPriority w:val="99"/>
    <w:rPr>
      <w:rFonts w:ascii="宋体" w:hAnsi="宋体" w:eastAsia="宋体" w:cs="宋体"/>
      <w:color w:val="000000"/>
      <w:sz w:val="20"/>
      <w:szCs w:val="20"/>
      <w:u w:val="none"/>
    </w:rPr>
  </w:style>
  <w:style w:type="character" w:customStyle="1" w:styleId="64">
    <w:name w:val="font181"/>
    <w:basedOn w:val="29"/>
    <w:qFormat/>
    <w:uiPriority w:val="99"/>
    <w:rPr>
      <w:rFonts w:ascii="宋体" w:hAnsi="宋体" w:eastAsia="宋体" w:cs="宋体"/>
      <w:color w:val="FF0000"/>
      <w:sz w:val="20"/>
      <w:szCs w:val="20"/>
      <w:u w:val="none"/>
    </w:rPr>
  </w:style>
  <w:style w:type="character" w:customStyle="1" w:styleId="65">
    <w:name w:val="font12"/>
    <w:basedOn w:val="29"/>
    <w:qFormat/>
    <w:uiPriority w:val="99"/>
    <w:rPr>
      <w:rFonts w:ascii="宋体" w:hAnsi="宋体" w:eastAsia="宋体" w:cs="宋体"/>
      <w:color w:val="000000"/>
      <w:sz w:val="22"/>
      <w:szCs w:val="22"/>
      <w:u w:val="none"/>
    </w:rPr>
  </w:style>
  <w:style w:type="character" w:customStyle="1" w:styleId="66">
    <w:name w:val="font161"/>
    <w:basedOn w:val="29"/>
    <w:qFormat/>
    <w:uiPriority w:val="99"/>
    <w:rPr>
      <w:rFonts w:ascii="宋体" w:hAnsi="宋体" w:eastAsia="宋体" w:cs="宋体"/>
      <w:color w:val="000000"/>
      <w:sz w:val="22"/>
      <w:szCs w:val="22"/>
      <w:u w:val="none"/>
    </w:rPr>
  </w:style>
  <w:style w:type="character" w:customStyle="1" w:styleId="67">
    <w:name w:val="font51"/>
    <w:basedOn w:val="29"/>
    <w:qFormat/>
    <w:uiPriority w:val="99"/>
    <w:rPr>
      <w:rFonts w:ascii="宋体" w:hAnsi="宋体" w:eastAsia="宋体" w:cs="宋体"/>
      <w:b/>
      <w:color w:val="000000"/>
      <w:sz w:val="20"/>
      <w:szCs w:val="20"/>
      <w:u w:val="none"/>
    </w:rPr>
  </w:style>
  <w:style w:type="character" w:customStyle="1" w:styleId="68">
    <w:name w:val="font122"/>
    <w:basedOn w:val="29"/>
    <w:qFormat/>
    <w:uiPriority w:val="99"/>
    <w:rPr>
      <w:rFonts w:ascii="宋体" w:hAnsi="宋体" w:eastAsia="宋体" w:cs="宋体"/>
      <w:color w:val="000000"/>
      <w:sz w:val="22"/>
      <w:szCs w:val="22"/>
      <w:u w:val="none"/>
    </w:rPr>
  </w:style>
  <w:style w:type="character" w:customStyle="1" w:styleId="69">
    <w:name w:val="正文文本 Char"/>
    <w:basedOn w:val="29"/>
    <w:link w:val="10"/>
    <w:qFormat/>
    <w:locked/>
    <w:uiPriority w:val="99"/>
    <w:rPr>
      <w:rFonts w:ascii="Times New Roman" w:hAnsi="Times New Roman" w:eastAsia="宋体" w:cs="Times New Roman"/>
      <w:sz w:val="24"/>
      <w:szCs w:val="24"/>
    </w:rPr>
  </w:style>
  <w:style w:type="paragraph" w:customStyle="1" w:styleId="70">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1">
    <w:name w:val="MsoNormal"/>
    <w:basedOn w:val="1"/>
    <w:qFormat/>
    <w:uiPriority w:val="0"/>
    <w:pPr>
      <w:widowControl/>
      <w:jc w:val="left"/>
    </w:pPr>
    <w:rPr>
      <w:rFonts w:eastAsia="Calibri"/>
      <w:kern w:val="0"/>
    </w:rPr>
  </w:style>
  <w:style w:type="paragraph" w:customStyle="1" w:styleId="72">
    <w:name w:val="p0"/>
    <w:basedOn w:val="1"/>
    <w:qFormat/>
    <w:uiPriority w:val="0"/>
    <w:pPr>
      <w:widowControl/>
      <w:jc w:val="left"/>
    </w:pPr>
    <w:rPr>
      <w:kern w:val="0"/>
      <w:sz w:val="24"/>
    </w:rPr>
  </w:style>
  <w:style w:type="character" w:customStyle="1" w:styleId="73">
    <w:name w:val="文档结构图 Char"/>
    <w:basedOn w:val="29"/>
    <w:link w:val="8"/>
    <w:semiHidden/>
    <w:qFormat/>
    <w:uiPriority w:val="99"/>
    <w:rPr>
      <w:rFonts w:ascii="宋体"/>
      <w:kern w:val="2"/>
      <w:sz w:val="18"/>
      <w:szCs w:val="18"/>
    </w:rPr>
  </w:style>
  <w:style w:type="character" w:customStyle="1" w:styleId="74">
    <w:name w:val="HTML 预设格式 Char"/>
    <w:basedOn w:val="29"/>
    <w:link w:val="23"/>
    <w:qFormat/>
    <w:uiPriority w:val="99"/>
    <w:rPr>
      <w:rFonts w:ascii="Courier New" w:hAnsi="Courier New"/>
    </w:r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3889</Words>
  <Characters>22172</Characters>
  <Lines>184</Lines>
  <Paragraphs>52</Paragraphs>
  <TotalTime>5</TotalTime>
  <ScaleCrop>false</ScaleCrop>
  <LinksUpToDate>false</LinksUpToDate>
  <CharactersWithSpaces>26009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2019-07-18T19:38:00Z</dcterms:created>
  <dc:creator>WG</dc:creator>
  <cp:lastModifiedBy>着迷</cp:lastModifiedBy>
  <cp:lastPrinted>2020-08-21T03:07:00Z</cp:lastPrinted>
  <dcterms:modified xsi:type="dcterms:W3CDTF">2021-03-19T00:54:32Z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