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8"/>
          <w:szCs w:val="52"/>
        </w:rPr>
      </w:pPr>
      <w:bookmarkStart w:id="0" w:name="_Toc491005864"/>
      <w:bookmarkStart w:id="1" w:name="_Toc13732416"/>
    </w:p>
    <w:p>
      <w:pPr>
        <w:jc w:val="center"/>
        <w:rPr>
          <w:b/>
          <w:sz w:val="48"/>
          <w:szCs w:val="52"/>
        </w:rPr>
      </w:pPr>
    </w:p>
    <w:p>
      <w:pPr>
        <w:jc w:val="center"/>
        <w:rPr>
          <w:b/>
          <w:sz w:val="48"/>
          <w:szCs w:val="52"/>
        </w:rPr>
      </w:pPr>
      <w:r>
        <w:rPr>
          <w:rFonts w:hint="eastAsia"/>
          <w:b/>
          <w:sz w:val="48"/>
          <w:szCs w:val="52"/>
        </w:rPr>
        <w:t>合肥百货大楼集团股份有限公司</w:t>
      </w:r>
    </w:p>
    <w:p>
      <w:pPr>
        <w:jc w:val="center"/>
        <w:rPr>
          <w:b/>
          <w:sz w:val="40"/>
          <w:szCs w:val="44"/>
        </w:rPr>
      </w:pPr>
    </w:p>
    <w:p>
      <w:pPr>
        <w:pStyle w:val="72"/>
        <w:spacing w:line="480" w:lineRule="auto"/>
        <w:ind w:firstLine="640"/>
        <w:jc w:val="center"/>
        <w:rPr>
          <w:rFonts w:eastAsia="宋体"/>
          <w:b/>
          <w:kern w:val="2"/>
          <w:sz w:val="40"/>
          <w:szCs w:val="44"/>
        </w:rPr>
      </w:pPr>
      <w:r>
        <w:rPr>
          <w:rFonts w:hint="eastAsia" w:eastAsia="宋体"/>
          <w:b/>
          <w:kern w:val="2"/>
          <w:sz w:val="40"/>
          <w:szCs w:val="44"/>
        </w:rPr>
        <w:t>蚌埠百货大楼</w:t>
      </w:r>
      <w:r>
        <w:rPr>
          <w:rFonts w:hint="eastAsia" w:eastAsia="宋体"/>
          <w:b/>
          <w:kern w:val="2"/>
          <w:sz w:val="40"/>
          <w:szCs w:val="44"/>
          <w:lang w:val="en-US" w:eastAsia="zh-CN"/>
        </w:rPr>
        <w:t>2021-2029年</w:t>
      </w:r>
      <w:r>
        <w:rPr>
          <w:rFonts w:hint="eastAsia" w:eastAsia="宋体"/>
          <w:b/>
          <w:kern w:val="2"/>
          <w:sz w:val="40"/>
          <w:szCs w:val="44"/>
        </w:rPr>
        <w:t>合同能源管理服务</w:t>
      </w:r>
    </w:p>
    <w:p>
      <w:pPr>
        <w:jc w:val="center"/>
      </w:pPr>
    </w:p>
    <w:p>
      <w:pPr>
        <w:jc w:val="center"/>
      </w:pPr>
    </w:p>
    <w:p>
      <w:pPr>
        <w:jc w:val="center"/>
      </w:pPr>
    </w:p>
    <w:p>
      <w:pPr>
        <w:jc w:val="center"/>
      </w:pPr>
    </w:p>
    <w:p>
      <w:pPr>
        <w:jc w:val="center"/>
      </w:pPr>
    </w:p>
    <w:p>
      <w:pPr>
        <w:jc w:val="center"/>
      </w:pPr>
    </w:p>
    <w:p>
      <w:pPr>
        <w:jc w:val="center"/>
        <w:rPr>
          <w:rFonts w:ascii="黑体" w:eastAsia="黑体"/>
          <w:b/>
          <w:sz w:val="52"/>
          <w:szCs w:val="52"/>
        </w:rPr>
      </w:pPr>
      <w:r>
        <w:rPr>
          <w:rFonts w:hint="eastAsia" w:ascii="黑体" w:eastAsia="黑体"/>
          <w:b/>
          <w:sz w:val="52"/>
          <w:szCs w:val="52"/>
        </w:rPr>
        <w:t>招标文件</w:t>
      </w:r>
    </w:p>
    <w:p/>
    <w:p/>
    <w:p/>
    <w:p/>
    <w:p/>
    <w:p/>
    <w:p/>
    <w:p/>
    <w:p/>
    <w:p/>
    <w:p/>
    <w:p/>
    <w:p/>
    <w:p/>
    <w:p/>
    <w:p/>
    <w:p/>
    <w:p>
      <w:pPr>
        <w:tabs>
          <w:tab w:val="left" w:pos="2410"/>
        </w:tabs>
        <w:autoSpaceDE w:val="0"/>
        <w:autoSpaceDN w:val="0"/>
        <w:adjustRightInd w:val="0"/>
        <w:snapToGrid w:val="0"/>
        <w:spacing w:line="360" w:lineRule="auto"/>
        <w:rPr>
          <w:rFonts w:hint="default" w:ascii="宋体" w:hAnsi="DotumChe" w:eastAsia="宋体" w:cs="宋体"/>
          <w:b/>
          <w:color w:val="auto"/>
          <w:spacing w:val="20"/>
          <w:kern w:val="0"/>
          <w:sz w:val="32"/>
          <w:szCs w:val="32"/>
          <w:lang w:val="en-US" w:eastAsia="zh-CN"/>
        </w:rPr>
      </w:pPr>
      <w:r>
        <w:rPr>
          <w:rFonts w:hint="eastAsia" w:ascii="宋体" w:hAnsi="DotumChe" w:cs="宋体"/>
          <w:b/>
          <w:spacing w:val="20"/>
          <w:kern w:val="0"/>
          <w:sz w:val="32"/>
          <w:szCs w:val="32"/>
        </w:rPr>
        <w:t xml:space="preserve">项目编号: </w:t>
      </w:r>
      <w:r>
        <w:rPr>
          <w:rFonts w:hint="eastAsia" w:ascii="宋体" w:hAnsi="DotumChe" w:cs="宋体"/>
          <w:b/>
          <w:color w:val="auto"/>
          <w:spacing w:val="20"/>
          <w:kern w:val="0"/>
          <w:sz w:val="32"/>
          <w:szCs w:val="32"/>
          <w:lang w:val="en-US" w:eastAsia="zh-CN"/>
        </w:rPr>
        <w:t>HBZ-20148-BBBD03</w:t>
      </w:r>
    </w:p>
    <w:p>
      <w:pPr>
        <w:tabs>
          <w:tab w:val="left" w:pos="2410"/>
        </w:tabs>
        <w:autoSpaceDE w:val="0"/>
        <w:autoSpaceDN w:val="0"/>
        <w:adjustRightInd w:val="0"/>
        <w:snapToGrid w:val="0"/>
        <w:spacing w:line="360" w:lineRule="auto"/>
        <w:rPr>
          <w:rFonts w:ascii="宋体" w:hAnsi="DotumChe" w:cs="宋体"/>
          <w:b/>
          <w:spacing w:val="20"/>
          <w:kern w:val="0"/>
          <w:sz w:val="32"/>
          <w:szCs w:val="32"/>
        </w:rPr>
      </w:pPr>
      <w:r>
        <w:rPr>
          <w:rFonts w:hint="eastAsia" w:ascii="宋体" w:hAnsi="DotumChe" w:cs="宋体"/>
          <w:b/>
          <w:spacing w:val="20"/>
          <w:kern w:val="0"/>
          <w:sz w:val="32"/>
          <w:szCs w:val="32"/>
        </w:rPr>
        <w:t>招 标 人：蚌埠百货大楼有限责任公司</w:t>
      </w:r>
    </w:p>
    <w:p>
      <w:pPr>
        <w:tabs>
          <w:tab w:val="left" w:pos="2410"/>
        </w:tabs>
        <w:autoSpaceDE w:val="0"/>
        <w:autoSpaceDN w:val="0"/>
        <w:adjustRightInd w:val="0"/>
        <w:snapToGrid w:val="0"/>
        <w:spacing w:line="360" w:lineRule="auto"/>
        <w:rPr>
          <w:rFonts w:ascii="宋体" w:hAnsi="DotumChe" w:cs="宋体"/>
          <w:b/>
          <w:spacing w:val="20"/>
          <w:kern w:val="0"/>
          <w:sz w:val="32"/>
          <w:szCs w:val="32"/>
        </w:rPr>
      </w:pPr>
      <w:r>
        <w:rPr>
          <w:rFonts w:hint="eastAsia" w:ascii="宋体" w:hAnsi="DotumChe" w:cs="宋体"/>
          <w:b/>
          <w:spacing w:val="20"/>
          <w:kern w:val="0"/>
          <w:sz w:val="32"/>
          <w:szCs w:val="32"/>
        </w:rPr>
        <w:t>招标时间：二〇二〇年十</w:t>
      </w:r>
      <w:r>
        <w:rPr>
          <w:rFonts w:hint="eastAsia" w:ascii="宋体" w:hAnsi="DotumChe" w:cs="宋体"/>
          <w:b/>
          <w:spacing w:val="20"/>
          <w:kern w:val="0"/>
          <w:sz w:val="32"/>
          <w:szCs w:val="32"/>
          <w:lang w:eastAsia="zh-CN"/>
        </w:rPr>
        <w:t>二</w:t>
      </w:r>
      <w:r>
        <w:rPr>
          <w:rFonts w:hint="eastAsia" w:ascii="宋体" w:hAnsi="DotumChe" w:cs="宋体"/>
          <w:b/>
          <w:spacing w:val="20"/>
          <w:kern w:val="0"/>
          <w:sz w:val="32"/>
          <w:szCs w:val="32"/>
        </w:rPr>
        <w:t>月</w:t>
      </w:r>
    </w:p>
    <w:p>
      <w:pPr>
        <w:widowControl/>
        <w:jc w:val="left"/>
        <w:rPr>
          <w:rFonts w:asciiTheme="majorEastAsia" w:hAnsiTheme="majorEastAsia" w:eastAsiaTheme="majorEastAsia"/>
          <w:b/>
          <w:bCs/>
          <w:kern w:val="32"/>
          <w:sz w:val="28"/>
          <w:szCs w:val="28"/>
        </w:rPr>
      </w:pPr>
    </w:p>
    <w:p>
      <w:pPr>
        <w:pStyle w:val="2"/>
        <w:numPr>
          <w:ilvl w:val="0"/>
          <w:numId w:val="2"/>
        </w:numPr>
        <w:rPr>
          <w:rFonts w:asciiTheme="majorEastAsia" w:hAnsiTheme="majorEastAsia" w:eastAsiaTheme="majorEastAsia"/>
          <w:sz w:val="28"/>
          <w:szCs w:val="28"/>
        </w:rPr>
      </w:pPr>
      <w:r>
        <w:rPr>
          <w:rFonts w:hint="eastAsia" w:asciiTheme="majorEastAsia" w:hAnsiTheme="majorEastAsia" w:eastAsiaTheme="majorEastAsia"/>
          <w:sz w:val="28"/>
          <w:szCs w:val="28"/>
        </w:rPr>
        <w:t>投标邀请</w:t>
      </w:r>
      <w:bookmarkEnd w:id="0"/>
      <w:bookmarkEnd w:id="1"/>
    </w:p>
    <w:p/>
    <w:p>
      <w:pPr>
        <w:keepNext w:val="0"/>
        <w:keepLines w:val="0"/>
        <w:pageBreakBefore w:val="0"/>
        <w:kinsoku/>
        <w:wordWrap/>
        <w:overflowPunct/>
        <w:topLinePunct w:val="0"/>
        <w:autoSpaceDE/>
        <w:autoSpaceDN/>
        <w:bidi w:val="0"/>
        <w:adjustRightInd/>
        <w:snapToGrid/>
        <w:spacing w:line="490" w:lineRule="exact"/>
        <w:ind w:firstLine="600" w:firstLine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我公司现对合肥百货大楼集团蚌埠百货大楼有限责任公司（以下简称：蚌埠百大）的合同能源管理服务招标，欢迎合格的投标人前来投标，相关事项如下：</w:t>
      </w:r>
    </w:p>
    <w:p>
      <w:pPr>
        <w:keepNext w:val="0"/>
        <w:keepLines w:val="0"/>
        <w:pageBreakBefore w:val="0"/>
        <w:widowControl/>
        <w:numPr>
          <w:ilvl w:val="0"/>
          <w:numId w:val="3"/>
        </w:numPr>
        <w:kinsoku/>
        <w:wordWrap/>
        <w:overflowPunct/>
        <w:topLinePunct w:val="0"/>
        <w:autoSpaceDE/>
        <w:autoSpaceDN/>
        <w:bidi w:val="0"/>
        <w:adjustRightInd/>
        <w:snapToGrid/>
        <w:spacing w:line="490" w:lineRule="exact"/>
        <w:ind w:firstLine="482" w:firstLineChars="200"/>
        <w:jc w:val="left"/>
        <w:textAlignment w:val="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lang w:eastAsia="zh-CN"/>
        </w:rPr>
        <w:t>项目</w:t>
      </w:r>
      <w:r>
        <w:rPr>
          <w:rFonts w:hint="eastAsia" w:asciiTheme="minorEastAsia" w:hAnsiTheme="minorEastAsia" w:eastAsiaTheme="minorEastAsia" w:cstheme="minorEastAsia"/>
          <w:b/>
          <w:sz w:val="24"/>
        </w:rPr>
        <w:t>简介：</w:t>
      </w:r>
    </w:p>
    <w:p>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1.项目名称：蚌埠百大</w:t>
      </w:r>
      <w:r>
        <w:rPr>
          <w:rFonts w:hint="eastAsia" w:asciiTheme="minorEastAsia" w:hAnsiTheme="minorEastAsia" w:eastAsiaTheme="minorEastAsia" w:cstheme="minorEastAsia"/>
          <w:sz w:val="24"/>
          <w:lang w:val="en-US" w:eastAsia="zh-CN"/>
        </w:rPr>
        <w:t>2021-2029年</w:t>
      </w:r>
      <w:r>
        <w:rPr>
          <w:rFonts w:hint="eastAsia" w:asciiTheme="minorEastAsia" w:hAnsiTheme="minorEastAsia" w:eastAsiaTheme="minorEastAsia" w:cstheme="minorEastAsia"/>
          <w:sz w:val="24"/>
        </w:rPr>
        <w:t>合同能源管理服务</w:t>
      </w:r>
    </w:p>
    <w:p>
      <w:pPr>
        <w:keepNext w:val="0"/>
        <w:keepLines w:val="0"/>
        <w:pageBreakBefore w:val="0"/>
        <w:widowControl/>
        <w:numPr>
          <w:ilvl w:val="0"/>
          <w:numId w:val="0"/>
        </w:numPr>
        <w:kinsoku/>
        <w:wordWrap/>
        <w:overflowPunct/>
        <w:topLinePunct w:val="0"/>
        <w:autoSpaceDE/>
        <w:autoSpaceDN/>
        <w:bidi w:val="0"/>
        <w:adjustRightInd/>
        <w:snapToGrid/>
        <w:spacing w:line="490" w:lineRule="exact"/>
        <w:ind w:firstLine="480" w:firstLineChars="200"/>
        <w:jc w:val="lef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2.项目编号：</w:t>
      </w:r>
      <w:r>
        <w:rPr>
          <w:rFonts w:hint="eastAsia" w:asciiTheme="minorEastAsia" w:hAnsiTheme="minorEastAsia" w:eastAsiaTheme="minorEastAsia" w:cstheme="minorEastAsia"/>
          <w:sz w:val="24"/>
          <w:lang w:val="en-US" w:eastAsia="zh-CN"/>
        </w:rPr>
        <w:t>HBZ-20148-BBBD03</w:t>
      </w:r>
    </w:p>
    <w:p>
      <w:pPr>
        <w:pStyle w:val="72"/>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3.项目地点：</w:t>
      </w:r>
      <w:r>
        <w:rPr>
          <w:rFonts w:hint="eastAsia" w:asciiTheme="minorEastAsia" w:hAnsiTheme="minorEastAsia" w:eastAsiaTheme="minorEastAsia" w:cstheme="minorEastAsia"/>
          <w:kern w:val="2"/>
          <w:sz w:val="24"/>
        </w:rPr>
        <w:t>安徽省蚌埠市淮河路968号</w:t>
      </w:r>
    </w:p>
    <w:p>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hint="eastAsia" w:asciiTheme="minorEastAsia" w:hAnsiTheme="minorEastAsia" w:eastAsiaTheme="minorEastAsia" w:cstheme="minorEastAsia"/>
          <w:b w:val="0"/>
          <w:bCs w:val="0"/>
          <w:sz w:val="24"/>
          <w:lang w:eastAsia="zh-CN"/>
        </w:rPr>
      </w:pPr>
      <w:r>
        <w:rPr>
          <w:rFonts w:hint="eastAsia" w:asciiTheme="minorEastAsia" w:hAnsiTheme="minorEastAsia" w:eastAsiaTheme="minorEastAsia" w:cstheme="minorEastAsia"/>
          <w:sz w:val="24"/>
        </w:rPr>
        <w:t>4.</w:t>
      </w:r>
      <w:r>
        <w:rPr>
          <w:rFonts w:hint="eastAsia" w:asciiTheme="minorEastAsia" w:hAnsiTheme="minorEastAsia" w:eastAsiaTheme="minorEastAsia" w:cstheme="minorEastAsia"/>
          <w:b w:val="0"/>
          <w:bCs w:val="0"/>
          <w:sz w:val="24"/>
          <w:highlight w:val="none"/>
          <w:lang w:val="en-US" w:eastAsia="zh-CN"/>
        </w:rPr>
        <w:t>项目服务期：8年</w:t>
      </w:r>
    </w:p>
    <w:p>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hint="default" w:asciiTheme="minorEastAsia" w:hAnsiTheme="minorEastAsia" w:eastAsiaTheme="minorEastAsia" w:cstheme="minorEastAsia"/>
          <w:b w:val="0"/>
          <w:bCs w:val="0"/>
          <w:sz w:val="24"/>
          <w:highlight w:val="none"/>
          <w:lang w:val="en-US" w:eastAsia="zh-CN"/>
        </w:rPr>
      </w:pPr>
      <w:r>
        <w:rPr>
          <w:rFonts w:hint="eastAsia" w:asciiTheme="minorEastAsia" w:hAnsiTheme="minorEastAsia" w:eastAsiaTheme="minorEastAsia" w:cstheme="minorEastAsia"/>
          <w:b w:val="0"/>
          <w:bCs w:val="0"/>
          <w:sz w:val="24"/>
          <w:highlight w:val="none"/>
          <w:lang w:val="en-US" w:eastAsia="zh-CN"/>
        </w:rPr>
        <w:t>5.</w:t>
      </w:r>
      <w:r>
        <w:rPr>
          <w:rFonts w:hint="eastAsia" w:asciiTheme="minorEastAsia" w:hAnsiTheme="minorEastAsia" w:eastAsiaTheme="minorEastAsia" w:cstheme="minorEastAsia"/>
          <w:b w:val="0"/>
          <w:bCs w:val="0"/>
          <w:sz w:val="24"/>
          <w:lang w:val="en-US" w:eastAsia="zh-CN"/>
        </w:rPr>
        <w:t>项目能耗下降控制底价：2101177.20元</w:t>
      </w:r>
      <w:r>
        <w:rPr>
          <w:rFonts w:hint="eastAsia" w:asciiTheme="minorEastAsia" w:hAnsiTheme="minorEastAsia" w:eastAsiaTheme="minorEastAsia" w:cstheme="minorEastAsia"/>
          <w:b w:val="0"/>
          <w:bCs w:val="0"/>
          <w:sz w:val="24"/>
          <w:lang w:eastAsia="zh-CN"/>
        </w:rPr>
        <w:t>（</w:t>
      </w:r>
      <w:r>
        <w:rPr>
          <w:rFonts w:hint="eastAsia" w:asciiTheme="minorEastAsia" w:hAnsiTheme="minorEastAsia" w:eastAsiaTheme="minorEastAsia" w:cstheme="minorEastAsia"/>
          <w:b w:val="0"/>
          <w:bCs w:val="0"/>
          <w:sz w:val="24"/>
          <w:highlight w:val="none"/>
        </w:rPr>
        <w:t>262647.15元</w:t>
      </w:r>
      <w:r>
        <w:rPr>
          <w:rFonts w:hint="eastAsia" w:asciiTheme="minorEastAsia" w:hAnsiTheme="minorEastAsia" w:eastAsiaTheme="minorEastAsia" w:cstheme="minorEastAsia"/>
          <w:b w:val="0"/>
          <w:bCs w:val="0"/>
          <w:sz w:val="24"/>
          <w:highlight w:val="none"/>
          <w:lang w:val="en-US" w:eastAsia="zh-CN"/>
        </w:rPr>
        <w:t>/年</w:t>
      </w:r>
      <w:r>
        <w:rPr>
          <w:rFonts w:hint="eastAsia" w:asciiTheme="minorEastAsia" w:hAnsiTheme="minorEastAsia" w:eastAsiaTheme="minorEastAsia" w:cstheme="minorEastAsia"/>
          <w:b w:val="0"/>
          <w:bCs w:val="0"/>
          <w:sz w:val="24"/>
          <w:lang w:eastAsia="zh-CN"/>
        </w:rPr>
        <w:t>）</w:t>
      </w:r>
    </w:p>
    <w:p>
      <w:pPr>
        <w:keepNext w:val="0"/>
        <w:keepLines w:val="0"/>
        <w:pageBreakBefore w:val="0"/>
        <w:kinsoku/>
        <w:wordWrap/>
        <w:overflowPunct/>
        <w:topLinePunct w:val="0"/>
        <w:autoSpaceDE/>
        <w:autoSpaceDN/>
        <w:bidi w:val="0"/>
        <w:adjustRightInd/>
        <w:snapToGrid/>
        <w:spacing w:line="490" w:lineRule="exact"/>
        <w:ind w:firstLine="482" w:firstLineChars="200"/>
        <w:textAlignment w:val="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二、投标人资格：</w:t>
      </w:r>
    </w:p>
    <w:p>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kern w:val="0"/>
          <w:sz w:val="24"/>
        </w:rPr>
        <w:t>须具有独立法人和一般纳税人资质,注册资金不小于人民币1000万元；</w:t>
      </w:r>
    </w:p>
    <w:p>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shd w:val="clear" w:color="auto" w:fill="FDFFFB"/>
        </w:rPr>
        <w:t>2.</w:t>
      </w:r>
      <w:r>
        <w:rPr>
          <w:rFonts w:hint="eastAsia" w:asciiTheme="minorEastAsia" w:hAnsiTheme="minorEastAsia" w:eastAsiaTheme="minorEastAsia" w:cstheme="minorEastAsia"/>
          <w:kern w:val="0"/>
          <w:sz w:val="24"/>
        </w:rPr>
        <w:t>投标人具有机电安装专业承包三级及以上资质；</w:t>
      </w:r>
    </w:p>
    <w:p>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3.投标人须提供一份201</w:t>
      </w:r>
      <w:r>
        <w:rPr>
          <w:rFonts w:hint="eastAsia" w:asciiTheme="minorEastAsia" w:hAnsiTheme="minorEastAsia" w:eastAsiaTheme="minorEastAsia" w:cstheme="minorEastAsia"/>
          <w:kern w:val="0"/>
          <w:sz w:val="24"/>
          <w:lang w:val="en-US" w:eastAsia="zh-CN"/>
        </w:rPr>
        <w:t>5</w:t>
      </w:r>
      <w:r>
        <w:rPr>
          <w:rFonts w:hint="eastAsia" w:asciiTheme="minorEastAsia" w:hAnsiTheme="minorEastAsia" w:eastAsiaTheme="minorEastAsia" w:cstheme="minorEastAsia"/>
          <w:kern w:val="0"/>
          <w:sz w:val="24"/>
        </w:rPr>
        <w:t>年1月1日至今公共建筑合同能源管理业绩合同（业绩要求详见投标人须知前附表第18条）。</w:t>
      </w:r>
    </w:p>
    <w:p>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4.投标人须符合下列情形之一（以在“安徽合肥公共资源交易中心”网站http://ggzy.hefei.gov.cn/pgt/exposureDesk.html查询信息为准）：</w:t>
      </w:r>
      <w:r>
        <w:rPr>
          <w:rFonts w:hint="eastAsia" w:asciiTheme="minorEastAsia" w:hAnsiTheme="minorEastAsia" w:eastAsiaTheme="minorEastAsia" w:cstheme="minorEastAsia"/>
          <w:kern w:val="0"/>
          <w:sz w:val="24"/>
        </w:rPr>
        <w:br w:type="textWrapping"/>
      </w:r>
      <w:r>
        <w:rPr>
          <w:rFonts w:hint="eastAsia" w:asciiTheme="minorEastAsia" w:hAnsiTheme="minorEastAsia" w:eastAsiaTheme="minorEastAsia" w:cstheme="minorEastAsia"/>
          <w:kern w:val="0"/>
          <w:sz w:val="24"/>
        </w:rPr>
        <w:t xml:space="preserve">    1）开标日前两年内未被合肥市及其所辖县（市）公共资源交易监督管理局记不良行为记录或记不良行为记录累计未满10分的。 </w:t>
      </w:r>
      <w:r>
        <w:rPr>
          <w:rFonts w:hint="eastAsia" w:asciiTheme="minorEastAsia" w:hAnsiTheme="minorEastAsia" w:eastAsiaTheme="minorEastAsia" w:cstheme="minorEastAsia"/>
          <w:kern w:val="0"/>
          <w:sz w:val="24"/>
        </w:rPr>
        <w:br w:type="textWrapping"/>
      </w:r>
      <w:r>
        <w:rPr>
          <w:rFonts w:hint="eastAsia" w:asciiTheme="minorEastAsia" w:hAnsiTheme="minorEastAsia" w:eastAsiaTheme="minorEastAsia" w:cstheme="minorEastAsia"/>
          <w:kern w:val="0"/>
          <w:sz w:val="24"/>
        </w:rPr>
        <w:t xml:space="preserve">    2）最近一次被合肥市及其所辖县（市）公共资源交易监督管理局记不良行为记录累计记分达10分(含10分)到15分且公布日距开标日超过6个月。 </w:t>
      </w:r>
      <w:r>
        <w:rPr>
          <w:rFonts w:hint="eastAsia" w:asciiTheme="minorEastAsia" w:hAnsiTheme="minorEastAsia" w:eastAsiaTheme="minorEastAsia" w:cstheme="minorEastAsia"/>
          <w:kern w:val="0"/>
          <w:sz w:val="24"/>
        </w:rPr>
        <w:br w:type="textWrapping"/>
      </w:r>
      <w:r>
        <w:rPr>
          <w:rFonts w:hint="eastAsia" w:asciiTheme="minorEastAsia" w:hAnsiTheme="minorEastAsia" w:eastAsiaTheme="minorEastAsia" w:cstheme="minorEastAsia"/>
          <w:kern w:val="0"/>
          <w:sz w:val="24"/>
        </w:rPr>
        <w:t xml:space="preserve">    3）最近一次被合肥市及其所辖县（市）公共资源交易监督管理局记不良行为记录累计记分达15分(含15分)到20分且公布日距开标日超过12个月。 </w:t>
      </w:r>
      <w:r>
        <w:rPr>
          <w:rFonts w:hint="eastAsia" w:asciiTheme="minorEastAsia" w:hAnsiTheme="minorEastAsia" w:eastAsiaTheme="minorEastAsia" w:cstheme="minorEastAsia"/>
          <w:kern w:val="0"/>
          <w:sz w:val="24"/>
        </w:rPr>
        <w:br w:type="textWrapping"/>
      </w:r>
      <w:r>
        <w:rPr>
          <w:rFonts w:hint="eastAsia" w:asciiTheme="minorEastAsia" w:hAnsiTheme="minorEastAsia" w:eastAsiaTheme="minorEastAsia" w:cstheme="minorEastAsia"/>
          <w:kern w:val="0"/>
          <w:sz w:val="24"/>
        </w:rPr>
        <w:t xml:space="preserve">    4）最近一次被合肥市及其所辖县（市）公共资源交易监督管理局记不良行为记录累计记分达20分(含20分)及以上且公布日距开标日超过24个月。</w:t>
      </w:r>
    </w:p>
    <w:p>
      <w:pPr>
        <w:keepNext w:val="0"/>
        <w:keepLines w:val="0"/>
        <w:pageBreakBefore w:val="0"/>
        <w:kinsoku/>
        <w:wordWrap/>
        <w:overflowPunct/>
        <w:topLinePunct w:val="0"/>
        <w:autoSpaceDE/>
        <w:autoSpaceDN/>
        <w:bidi w:val="0"/>
        <w:adjustRightInd/>
        <w:snapToGrid/>
        <w:spacing w:line="490" w:lineRule="exact"/>
        <w:ind w:left="420" w:leftChars="200" w:firstLine="120" w:firstLineChars="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4.投标人存在以下不良信用记录情形之一的，不得推荐为中标候选人，不得确定为中标人（以在“信用中国”网站http://www.creditchina.gov.cn/查询信息为准）：</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xml:space="preserve"> 1)投标人被人民法院列入失信被执行人的。</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xml:space="preserve"> 2)投标人被列入政府采购严重违法失信名单的。 </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xml:space="preserve"> 3)投标人被工商行政管理部门列入企业经营异常名录的。</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xml:space="preserve"> 4)投标人被税务部门列入重大税收违法案件当事人名单的。</w:t>
      </w:r>
    </w:p>
    <w:p>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shd w:val="clear" w:color="auto" w:fill="FDFFFB"/>
          <w14:textFill>
            <w14:solidFill>
              <w14:schemeClr w14:val="tx1"/>
            </w14:solidFill>
          </w14:textFill>
        </w:rPr>
        <w:t>5.</w:t>
      </w:r>
      <w:r>
        <w:rPr>
          <w:rFonts w:hint="eastAsia" w:asciiTheme="minorEastAsia" w:hAnsiTheme="minorEastAsia" w:eastAsiaTheme="minorEastAsia" w:cstheme="minorEastAsia"/>
          <w:color w:val="000000" w:themeColor="text1"/>
          <w:sz w:val="24"/>
          <w14:textFill>
            <w14:solidFill>
              <w14:schemeClr w14:val="tx1"/>
            </w14:solidFill>
          </w14:textFill>
        </w:rPr>
        <w:t>本项目不接受联合体投标。</w:t>
      </w:r>
    </w:p>
    <w:p>
      <w:pPr>
        <w:keepNext w:val="0"/>
        <w:keepLines w:val="0"/>
        <w:pageBreakBefore w:val="0"/>
        <w:kinsoku/>
        <w:wordWrap/>
        <w:overflowPunct/>
        <w:topLinePunct w:val="0"/>
        <w:autoSpaceDE/>
        <w:autoSpaceDN/>
        <w:bidi w:val="0"/>
        <w:adjustRightInd/>
        <w:snapToGrid/>
        <w:spacing w:line="490" w:lineRule="exact"/>
        <w:ind w:firstLine="482" w:firstLineChars="200"/>
        <w:textAlignment w:val="auto"/>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sz w:val="24"/>
        </w:rPr>
        <w:t>注：</w:t>
      </w:r>
      <w:r>
        <w:rPr>
          <w:rFonts w:hint="eastAsia" w:asciiTheme="minorEastAsia" w:hAnsiTheme="minorEastAsia" w:eastAsiaTheme="minorEastAsia" w:cstheme="minorEastAsia"/>
          <w:b/>
          <w:kern w:val="0"/>
          <w:sz w:val="24"/>
        </w:rPr>
        <w:t>以上证明文件复印件加盖公章后做入投标文件；</w:t>
      </w:r>
    </w:p>
    <w:p>
      <w:pPr>
        <w:keepNext w:val="0"/>
        <w:keepLines w:val="0"/>
        <w:pageBreakBefore w:val="0"/>
        <w:kinsoku/>
        <w:wordWrap/>
        <w:overflowPunct/>
        <w:topLinePunct w:val="0"/>
        <w:autoSpaceDE/>
        <w:autoSpaceDN/>
        <w:bidi w:val="0"/>
        <w:adjustRightInd/>
        <w:snapToGrid/>
        <w:spacing w:line="490" w:lineRule="exact"/>
        <w:ind w:firstLine="482"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三、招标文件领取方法</w:t>
      </w:r>
      <w:r>
        <w:rPr>
          <w:rFonts w:hint="eastAsia" w:asciiTheme="minorEastAsia" w:hAnsiTheme="minorEastAsia" w:eastAsiaTheme="minorEastAsia" w:cstheme="minorEastAsia"/>
          <w:sz w:val="24"/>
        </w:rPr>
        <w:t>： </w:t>
      </w:r>
    </w:p>
    <w:p>
      <w:pPr>
        <w:keepNext w:val="0"/>
        <w:keepLines w:val="0"/>
        <w:pageBreakBefore w:val="0"/>
        <w:kinsoku/>
        <w:wordWrap/>
        <w:overflowPunct/>
        <w:topLinePunct w:val="0"/>
        <w:autoSpaceDE/>
        <w:autoSpaceDN/>
        <w:bidi w:val="0"/>
        <w:adjustRightInd/>
        <w:snapToGrid/>
        <w:spacing w:line="490" w:lineRule="exact"/>
        <w:ind w:firstLine="465"/>
        <w:textAlignment w:val="auto"/>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1.领取日期：2020年</w:t>
      </w:r>
      <w:r>
        <w:rPr>
          <w:rFonts w:hint="eastAsia" w:asciiTheme="minorEastAsia" w:hAnsiTheme="minorEastAsia" w:eastAsiaTheme="minorEastAsia" w:cstheme="minorEastAsia"/>
          <w:color w:val="auto"/>
          <w:sz w:val="24"/>
          <w:lang w:val="en-US" w:eastAsia="zh-CN"/>
        </w:rPr>
        <w:t>12</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lang w:val="en-US" w:eastAsia="zh-CN"/>
        </w:rPr>
        <w:t>03</w:t>
      </w:r>
      <w:r>
        <w:rPr>
          <w:rFonts w:hint="eastAsia" w:asciiTheme="minorEastAsia" w:hAnsiTheme="minorEastAsia" w:eastAsiaTheme="minorEastAsia" w:cstheme="minorEastAsia"/>
          <w:color w:val="auto"/>
          <w:sz w:val="24"/>
        </w:rPr>
        <w:t>日</w:t>
      </w:r>
      <w:r>
        <w:rPr>
          <w:rFonts w:hint="eastAsia" w:asciiTheme="minorEastAsia" w:hAnsiTheme="minorEastAsia" w:eastAsiaTheme="minorEastAsia" w:cstheme="minorEastAsia"/>
          <w:color w:val="auto"/>
          <w:sz w:val="24"/>
          <w:lang w:val="en-US" w:eastAsia="zh-CN"/>
        </w:rPr>
        <w:t>9:00</w:t>
      </w:r>
      <w:r>
        <w:rPr>
          <w:rFonts w:hint="eastAsia" w:asciiTheme="minorEastAsia" w:hAnsiTheme="minorEastAsia" w:eastAsiaTheme="minorEastAsia" w:cstheme="minorEastAsia"/>
          <w:color w:val="auto"/>
          <w:sz w:val="24"/>
        </w:rPr>
        <w:t>—2020年</w:t>
      </w:r>
      <w:r>
        <w:rPr>
          <w:rFonts w:hint="eastAsia" w:asciiTheme="minorEastAsia" w:hAnsiTheme="minorEastAsia" w:eastAsiaTheme="minorEastAsia" w:cstheme="minorEastAsia"/>
          <w:color w:val="auto"/>
          <w:sz w:val="24"/>
          <w:lang w:val="en-US" w:eastAsia="zh-CN"/>
        </w:rPr>
        <w:t>12</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lang w:val="en-US" w:eastAsia="zh-CN"/>
        </w:rPr>
        <w:t>11</w:t>
      </w:r>
      <w:r>
        <w:rPr>
          <w:rFonts w:hint="eastAsia" w:asciiTheme="minorEastAsia" w:hAnsiTheme="minorEastAsia" w:eastAsiaTheme="minorEastAsia" w:cstheme="minorEastAsia"/>
          <w:color w:val="auto"/>
          <w:sz w:val="24"/>
        </w:rPr>
        <w:t>日</w:t>
      </w:r>
      <w:r>
        <w:rPr>
          <w:rFonts w:hint="eastAsia" w:asciiTheme="minorEastAsia" w:hAnsiTheme="minorEastAsia" w:eastAsiaTheme="minorEastAsia" w:cstheme="minorEastAsia"/>
          <w:color w:val="auto"/>
          <w:sz w:val="24"/>
          <w:lang w:val="en-US" w:eastAsia="zh-CN"/>
        </w:rPr>
        <w:t>17:30</w:t>
      </w:r>
      <w:bookmarkStart w:id="24" w:name="_GoBack"/>
      <w:bookmarkEnd w:id="24"/>
    </w:p>
    <w:p>
      <w:pPr>
        <w:keepNext w:val="0"/>
        <w:keepLines w:val="0"/>
        <w:pageBreakBefore w:val="0"/>
        <w:widowControl/>
        <w:kinsoku/>
        <w:wordWrap/>
        <w:overflowPunct/>
        <w:topLinePunct w:val="0"/>
        <w:autoSpaceDE/>
        <w:autoSpaceDN/>
        <w:bidi w:val="0"/>
        <w:adjustRightInd/>
        <w:snapToGrid/>
        <w:spacing w:line="490" w:lineRule="exact"/>
        <w:ind w:firstLine="480" w:firstLineChars="200"/>
        <w:textAlignment w:val="auto"/>
        <w:rPr>
          <w:rFonts w:ascii="宋体" w:hAnsi="宋体"/>
          <w:bCs/>
          <w:kern w:val="0"/>
          <w:sz w:val="24"/>
          <w:szCs w:val="21"/>
        </w:rPr>
      </w:pPr>
      <w:r>
        <w:rPr>
          <w:rFonts w:hint="eastAsia" w:asciiTheme="minorEastAsia" w:hAnsiTheme="minorEastAsia" w:eastAsiaTheme="minorEastAsia" w:cstheme="minorEastAsia"/>
          <w:color w:val="auto"/>
          <w:sz w:val="24"/>
        </w:rPr>
        <w:t>2.领取方法：登录网站</w:t>
      </w:r>
      <w:r>
        <w:rPr>
          <w:rFonts w:hint="eastAsia" w:asciiTheme="minorEastAsia" w:hAnsiTheme="minorEastAsia" w:eastAsiaTheme="minorEastAsia" w:cstheme="minorEastAsia"/>
          <w:color w:val="auto"/>
          <w:sz w:val="24"/>
        </w:rPr>
        <w:fldChar w:fldCharType="begin"/>
      </w:r>
      <w:r>
        <w:rPr>
          <w:rFonts w:hint="eastAsia" w:asciiTheme="minorEastAsia" w:hAnsiTheme="minorEastAsia" w:eastAsiaTheme="minorEastAsia" w:cstheme="minorEastAsia"/>
          <w:color w:val="auto"/>
          <w:sz w:val="24"/>
        </w:rPr>
        <w:instrText xml:space="preserve"> HYPERLINK "http://www.hfbh.com.cn/" \t "_blank" </w:instrText>
      </w:r>
      <w:r>
        <w:rPr>
          <w:rFonts w:hint="eastAsia" w:asciiTheme="minorEastAsia" w:hAnsiTheme="minorEastAsia" w:eastAsiaTheme="minorEastAsia" w:cstheme="minorEastAsia"/>
          <w:color w:val="auto"/>
          <w:sz w:val="24"/>
        </w:rPr>
        <w:fldChar w:fldCharType="separate"/>
      </w:r>
      <w:r>
        <w:rPr>
          <w:rFonts w:hint="eastAsia" w:asciiTheme="minorEastAsia" w:hAnsiTheme="minorEastAsia" w:eastAsiaTheme="minorEastAsia" w:cstheme="minorEastAsia"/>
          <w:color w:val="auto"/>
          <w:sz w:val="24"/>
        </w:rPr>
        <w:t>www.hfbh.com.cn</w:t>
      </w:r>
      <w:r>
        <w:rPr>
          <w:rFonts w:hint="eastAsia" w:asciiTheme="minorEastAsia" w:hAnsiTheme="minorEastAsia" w:eastAsiaTheme="minorEastAsia" w:cstheme="minorEastAsia"/>
          <w:color w:val="auto"/>
          <w:sz w:val="24"/>
        </w:rPr>
        <w:fldChar w:fldCharType="end"/>
      </w:r>
      <w:r>
        <w:rPr>
          <w:rFonts w:hint="eastAsia" w:asciiTheme="minorEastAsia" w:hAnsiTheme="minorEastAsia" w:eastAsiaTheme="minorEastAsia" w:cstheme="minorEastAsia"/>
          <w:color w:val="auto"/>
          <w:sz w:val="24"/>
        </w:rPr>
        <w:t>下载标书（下标书的投标单位按要求参加资格审查）。</w:t>
      </w:r>
      <w:r>
        <w:rPr>
          <w:rFonts w:hint="eastAsia" w:asciiTheme="minorEastAsia" w:hAnsiTheme="minorEastAsia" w:eastAsiaTheme="minorEastAsia" w:cstheme="minorEastAsia"/>
          <w:color w:val="auto"/>
          <w:sz w:val="24"/>
        </w:rPr>
        <w:br w:type="textWrapping"/>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b/>
          <w:color w:val="auto"/>
          <w:sz w:val="24"/>
        </w:rPr>
        <w:t>四、资格预审时间：</w:t>
      </w:r>
      <w:r>
        <w:rPr>
          <w:rFonts w:hint="eastAsia" w:ascii="宋体" w:hAnsi="宋体"/>
          <w:color w:val="000000"/>
          <w:sz w:val="24"/>
        </w:rPr>
        <w:t>2020年</w:t>
      </w:r>
      <w:r>
        <w:rPr>
          <w:rFonts w:hint="eastAsia" w:ascii="宋体" w:hAnsi="宋体"/>
          <w:color w:val="000000"/>
          <w:sz w:val="24"/>
          <w:lang w:val="en-US" w:eastAsia="zh-CN"/>
        </w:rPr>
        <w:t>12</w:t>
      </w:r>
      <w:r>
        <w:rPr>
          <w:rFonts w:hint="eastAsia" w:ascii="宋体" w:hAnsi="宋体"/>
          <w:color w:val="000000"/>
          <w:sz w:val="24"/>
        </w:rPr>
        <w:t>月</w:t>
      </w:r>
      <w:r>
        <w:rPr>
          <w:rFonts w:hint="eastAsia" w:ascii="宋体" w:hAnsi="宋体"/>
          <w:color w:val="000000"/>
          <w:sz w:val="24"/>
          <w:lang w:val="en-US" w:eastAsia="zh-CN"/>
        </w:rPr>
        <w:t>11</w:t>
      </w:r>
      <w:r>
        <w:rPr>
          <w:rFonts w:hint="eastAsia" w:ascii="宋体" w:hAnsi="宋体"/>
          <w:color w:val="000000"/>
          <w:sz w:val="24"/>
        </w:rPr>
        <w:t>日1</w:t>
      </w:r>
      <w:r>
        <w:rPr>
          <w:rFonts w:hint="eastAsia" w:ascii="宋体" w:hAnsi="宋体"/>
          <w:color w:val="000000"/>
          <w:sz w:val="24"/>
          <w:lang w:val="en-US" w:eastAsia="zh-CN"/>
        </w:rPr>
        <w:t>2</w:t>
      </w:r>
      <w:r>
        <w:rPr>
          <w:rFonts w:hint="eastAsia" w:ascii="宋体" w:hAnsi="宋体"/>
          <w:color w:val="000000"/>
          <w:sz w:val="24"/>
        </w:rPr>
        <w:t>:00之前将本章第二条“投标人要求”中的相关材料电子版发送至邮箱接受资格预审，审查合格的投标人以转账方式缴纳投标保证金，逾期或未参加资格预审的投标人，招标人有权利不接受其投标。资格预审仅作为报名依据，投标人资质是否符合招标文件要求以评标复审为准。</w:t>
      </w:r>
    </w:p>
    <w:p>
      <w:pPr>
        <w:keepNext w:val="0"/>
        <w:keepLines w:val="0"/>
        <w:pageBreakBefore w:val="0"/>
        <w:kinsoku/>
        <w:wordWrap/>
        <w:overflowPunct/>
        <w:topLinePunct w:val="0"/>
        <w:autoSpaceDE/>
        <w:autoSpaceDN/>
        <w:bidi w:val="0"/>
        <w:adjustRightInd/>
        <w:snapToGrid/>
        <w:spacing w:line="490" w:lineRule="exact"/>
        <w:ind w:firstLine="482" w:firstLineChars="20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
          <w:color w:val="auto"/>
          <w:sz w:val="24"/>
        </w:rPr>
        <w:t>五、投标保证金：</w:t>
      </w:r>
      <w:r>
        <w:rPr>
          <w:rFonts w:hint="eastAsia" w:asciiTheme="minorEastAsia" w:hAnsiTheme="minorEastAsia" w:eastAsiaTheme="minorEastAsia" w:cstheme="minorEastAsia"/>
          <w:color w:val="auto"/>
          <w:sz w:val="24"/>
        </w:rPr>
        <w:t>2020 年</w:t>
      </w:r>
      <w:r>
        <w:rPr>
          <w:rFonts w:hint="eastAsia" w:asciiTheme="minorEastAsia" w:hAnsiTheme="minorEastAsia" w:eastAsiaTheme="minorEastAsia" w:cstheme="minorEastAsia"/>
          <w:color w:val="auto"/>
          <w:sz w:val="24"/>
          <w:lang w:val="en-US" w:eastAsia="zh-CN"/>
        </w:rPr>
        <w:t>12</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lang w:val="en-US" w:eastAsia="zh-CN"/>
        </w:rPr>
        <w:t>11</w:t>
      </w:r>
      <w:r>
        <w:rPr>
          <w:rFonts w:hint="eastAsia" w:asciiTheme="minorEastAsia" w:hAnsiTheme="minorEastAsia" w:eastAsiaTheme="minorEastAsia" w:cstheme="minorEastAsia"/>
          <w:color w:val="auto"/>
          <w:sz w:val="24"/>
        </w:rPr>
        <w:t>日16：00前（以实际到账时间为准）通过转账的方式缴纳投标保证金</w:t>
      </w:r>
      <w:r>
        <w:rPr>
          <w:rFonts w:hint="eastAsia" w:asciiTheme="minorEastAsia" w:hAnsiTheme="minorEastAsia" w:eastAsiaTheme="minorEastAsia" w:cstheme="minorEastAsia"/>
          <w:b/>
          <w:color w:val="auto"/>
          <w:sz w:val="24"/>
          <w:lang w:eastAsia="zh-CN"/>
        </w:rPr>
        <w:t>肆</w:t>
      </w:r>
      <w:r>
        <w:rPr>
          <w:rFonts w:hint="eastAsia" w:asciiTheme="minorEastAsia" w:hAnsiTheme="minorEastAsia" w:eastAsiaTheme="minorEastAsia" w:cstheme="minorEastAsia"/>
          <w:b/>
          <w:color w:val="auto"/>
          <w:sz w:val="24"/>
        </w:rPr>
        <w:t>万元，</w:t>
      </w:r>
      <w:r>
        <w:rPr>
          <w:rFonts w:hint="eastAsia" w:asciiTheme="minorEastAsia" w:hAnsiTheme="minorEastAsia" w:eastAsiaTheme="minorEastAsia" w:cstheme="minorEastAsia"/>
          <w:color w:val="auto"/>
          <w:sz w:val="24"/>
        </w:rPr>
        <w:t>如中标，该保证金自动转为履约保证金；如未中标，招标结束后无息退还。</w:t>
      </w:r>
    </w:p>
    <w:p>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val="zh-CN"/>
        </w:rPr>
        <w:t>名称</w:t>
      </w:r>
      <w:r>
        <w:rPr>
          <w:rFonts w:hint="eastAsia" w:asciiTheme="minorEastAsia" w:hAnsiTheme="minorEastAsia" w:eastAsiaTheme="minorEastAsia" w:cstheme="minorEastAsia"/>
          <w:color w:val="auto"/>
          <w:sz w:val="24"/>
        </w:rPr>
        <w:t>：合肥百货大楼集团蚌埠百货大楼有限责任公司</w:t>
      </w:r>
    </w:p>
    <w:p>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账　号：</w:t>
      </w:r>
      <w:r>
        <w:rPr>
          <w:rFonts w:hint="eastAsia" w:ascii="宋体" w:hAnsi="宋体" w:cs="宋体"/>
          <w:color w:val="auto"/>
          <w:kern w:val="0"/>
          <w:sz w:val="24"/>
        </w:rPr>
        <w:t>34001628608050126729</w:t>
      </w:r>
      <w:r>
        <w:rPr>
          <w:rFonts w:hint="eastAsia" w:asciiTheme="minorEastAsia" w:hAnsiTheme="minorEastAsia" w:eastAsiaTheme="minorEastAsia" w:cstheme="minorEastAsia"/>
          <w:color w:val="auto"/>
          <w:sz w:val="24"/>
        </w:rPr>
        <w:t>-002</w:t>
      </w:r>
    </w:p>
    <w:p>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开户行： 中国建设银行蚌埠分行营业部</w:t>
      </w:r>
    </w:p>
    <w:p>
      <w:pPr>
        <w:keepNext w:val="0"/>
        <w:keepLines w:val="0"/>
        <w:pageBreakBefore w:val="0"/>
        <w:kinsoku/>
        <w:wordWrap/>
        <w:overflowPunct/>
        <w:topLinePunct w:val="0"/>
        <w:autoSpaceDE/>
        <w:autoSpaceDN/>
        <w:bidi w:val="0"/>
        <w:adjustRightInd/>
        <w:snapToGrid/>
        <w:spacing w:line="490" w:lineRule="exact"/>
        <w:ind w:left="60" w:firstLine="420"/>
        <w:textAlignment w:val="auto"/>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val="zh-CN"/>
        </w:rPr>
        <w:t>纳税识别号：</w:t>
      </w:r>
      <w:r>
        <w:rPr>
          <w:rFonts w:hint="eastAsia" w:ascii="宋体" w:hAnsi="宋体" w:cs="宋体"/>
          <w:color w:val="auto"/>
          <w:kern w:val="0"/>
          <w:sz w:val="24"/>
        </w:rPr>
        <w:t>913403001498762621</w:t>
      </w:r>
    </w:p>
    <w:p>
      <w:pPr>
        <w:keepNext w:val="0"/>
        <w:keepLines w:val="0"/>
        <w:pageBreakBefore w:val="0"/>
        <w:kinsoku/>
        <w:wordWrap/>
        <w:overflowPunct/>
        <w:topLinePunct w:val="0"/>
        <w:autoSpaceDE/>
        <w:autoSpaceDN/>
        <w:bidi w:val="0"/>
        <w:adjustRightInd/>
        <w:snapToGrid/>
        <w:spacing w:line="490" w:lineRule="exact"/>
        <w:ind w:left="420"/>
        <w:textAlignment w:val="auto"/>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val="zh-CN"/>
        </w:rPr>
        <w:t>地址、电话：</w:t>
      </w:r>
      <w:r>
        <w:rPr>
          <w:rFonts w:hint="eastAsia" w:asciiTheme="minorEastAsia" w:hAnsiTheme="minorEastAsia" w:eastAsiaTheme="minorEastAsia" w:cstheme="minorEastAsia"/>
          <w:color w:val="auto"/>
          <w:sz w:val="24"/>
        </w:rPr>
        <w:t>蚌埠市淮河路968号</w:t>
      </w:r>
      <w:r>
        <w:rPr>
          <w:rFonts w:hint="eastAsia" w:asciiTheme="minorEastAsia" w:hAnsiTheme="minorEastAsia" w:eastAsiaTheme="minorEastAsia" w:cstheme="minorEastAsia"/>
          <w:color w:val="auto"/>
          <w:kern w:val="0"/>
          <w:sz w:val="24"/>
        </w:rPr>
        <w:t>0552--3836113</w:t>
      </w:r>
      <w:r>
        <w:rPr>
          <w:rFonts w:hint="eastAsia" w:asciiTheme="minorEastAsia" w:hAnsiTheme="minorEastAsia" w:eastAsiaTheme="minorEastAsia" w:cstheme="minorEastAsia"/>
          <w:color w:val="auto"/>
          <w:kern w:val="0"/>
          <w:sz w:val="24"/>
          <w:lang w:val="zh-CN"/>
        </w:rPr>
        <w:t>（转帐时请备注“××项目投标保证金”）</w:t>
      </w:r>
    </w:p>
    <w:p>
      <w:pPr>
        <w:keepNext w:val="0"/>
        <w:keepLines w:val="0"/>
        <w:pageBreakBefore w:val="0"/>
        <w:kinsoku/>
        <w:wordWrap/>
        <w:overflowPunct/>
        <w:topLinePunct w:val="0"/>
        <w:autoSpaceDE/>
        <w:autoSpaceDN/>
        <w:bidi w:val="0"/>
        <w:adjustRightInd/>
        <w:snapToGrid/>
        <w:spacing w:line="490" w:lineRule="exact"/>
        <w:ind w:firstLine="482" w:firstLineChars="200"/>
        <w:textAlignment w:val="auto"/>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六、开标时间及地点：</w:t>
      </w:r>
    </w:p>
    <w:p>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1.开标时间：2020年</w:t>
      </w:r>
      <w:r>
        <w:rPr>
          <w:rFonts w:hint="eastAsia" w:asciiTheme="minorEastAsia" w:hAnsiTheme="minorEastAsia" w:eastAsiaTheme="minorEastAsia" w:cstheme="minorEastAsia"/>
          <w:color w:val="auto"/>
          <w:sz w:val="24"/>
          <w:lang w:val="en-US" w:eastAsia="zh-CN"/>
        </w:rPr>
        <w:t>12</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lang w:val="en-US" w:eastAsia="zh-CN"/>
        </w:rPr>
        <w:t>15</w:t>
      </w:r>
      <w:r>
        <w:rPr>
          <w:rFonts w:hint="eastAsia" w:asciiTheme="minorEastAsia" w:hAnsiTheme="minorEastAsia" w:eastAsiaTheme="minorEastAsia" w:cstheme="minorEastAsia"/>
          <w:color w:val="auto"/>
          <w:sz w:val="24"/>
        </w:rPr>
        <w:t>日1</w:t>
      </w:r>
      <w:r>
        <w:rPr>
          <w:rFonts w:hint="eastAsia" w:asciiTheme="minorEastAsia" w:hAnsiTheme="minorEastAsia" w:eastAsiaTheme="minorEastAsia" w:cstheme="minorEastAsia"/>
          <w:color w:val="auto"/>
          <w:sz w:val="24"/>
          <w:lang w:val="en-US" w:eastAsia="zh-CN"/>
        </w:rPr>
        <w:t>4</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en-US" w:eastAsia="zh-CN"/>
        </w:rPr>
        <w:t>3</w:t>
      </w:r>
      <w:r>
        <w:rPr>
          <w:rFonts w:hint="eastAsia" w:asciiTheme="minorEastAsia" w:hAnsiTheme="minorEastAsia" w:eastAsiaTheme="minorEastAsia" w:cstheme="minorEastAsia"/>
          <w:color w:val="auto"/>
          <w:sz w:val="24"/>
        </w:rPr>
        <w:t>0（如有调整，另行通知）</w:t>
      </w:r>
    </w:p>
    <w:p>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2.开标地点：</w:t>
      </w:r>
      <w:r>
        <w:rPr>
          <w:rFonts w:hint="eastAsia" w:asciiTheme="minorEastAsia" w:hAnsiTheme="minorEastAsia" w:eastAsiaTheme="minorEastAsia" w:cstheme="minorEastAsia"/>
          <w:kern w:val="0"/>
          <w:sz w:val="24"/>
        </w:rPr>
        <w:t>合肥市黄山路596号合肥百大集团1209室</w:t>
      </w:r>
    </w:p>
    <w:p>
      <w:pPr>
        <w:keepNext w:val="0"/>
        <w:keepLines w:val="0"/>
        <w:pageBreakBefore w:val="0"/>
        <w:kinsoku/>
        <w:wordWrap/>
        <w:overflowPunct/>
        <w:topLinePunct w:val="0"/>
        <w:autoSpaceDE/>
        <w:autoSpaceDN/>
        <w:bidi w:val="0"/>
        <w:adjustRightInd/>
        <w:snapToGrid/>
        <w:spacing w:line="490" w:lineRule="exact"/>
        <w:ind w:firstLine="482" w:firstLineChars="200"/>
        <w:textAlignment w:val="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七、联系方式：</w:t>
      </w:r>
    </w:p>
    <w:p>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资格预审：朱工   联系电话：0551-65771025</w:t>
      </w:r>
      <w:r>
        <w:rPr>
          <w:rFonts w:hint="eastAsia" w:asciiTheme="minorEastAsia" w:hAnsiTheme="minorEastAsia" w:eastAsiaTheme="minorEastAsia" w:cstheme="minorEastAsia"/>
          <w:sz w:val="24"/>
          <w:lang w:val="en-US" w:eastAsia="zh-CN"/>
        </w:rPr>
        <w:t xml:space="preserve"> 邮箱：277351016@qq.com</w:t>
      </w:r>
    </w:p>
    <w:p>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Theme="minorEastAsia" w:hAnsiTheme="minorEastAsia" w:eastAsiaTheme="minorEastAsia" w:cstheme="minorEastAsia"/>
          <w:sz w:val="24"/>
        </w:rPr>
      </w:pPr>
      <w:bookmarkStart w:id="2" w:name="_Toc486433785"/>
      <w:bookmarkStart w:id="3" w:name="_Toc13732417"/>
      <w:bookmarkStart w:id="4" w:name="_Toc491005865"/>
      <w:r>
        <w:rPr>
          <w:rFonts w:hint="eastAsia" w:asciiTheme="minorEastAsia" w:hAnsiTheme="minorEastAsia" w:eastAsiaTheme="minorEastAsia" w:cstheme="minorEastAsia"/>
          <w:sz w:val="24"/>
        </w:rPr>
        <w:t>现场勘查：马工   联系电话：0552-3836119</w:t>
      </w:r>
    </w:p>
    <w:p>
      <w:pPr>
        <w:widowControl/>
        <w:jc w:val="left"/>
        <w:rPr>
          <w:rFonts w:asciiTheme="majorEastAsia" w:hAnsiTheme="majorEastAsia" w:eastAsiaTheme="majorEastAsia"/>
          <w:b/>
          <w:bCs/>
          <w:kern w:val="32"/>
          <w:sz w:val="28"/>
          <w:szCs w:val="28"/>
        </w:rPr>
      </w:pPr>
    </w:p>
    <w:p>
      <w:pPr>
        <w:pStyle w:val="2"/>
        <w:numPr>
          <w:ilvl w:val="0"/>
          <w:numId w:val="0"/>
        </w:numPr>
        <w:rPr>
          <w:rFonts w:asciiTheme="majorEastAsia" w:hAnsiTheme="majorEastAsia" w:eastAsiaTheme="majorEastAsia"/>
          <w:sz w:val="28"/>
          <w:szCs w:val="28"/>
        </w:rPr>
      </w:pPr>
      <w:r>
        <w:rPr>
          <w:rFonts w:hint="eastAsia" w:asciiTheme="majorEastAsia" w:hAnsiTheme="majorEastAsia" w:eastAsiaTheme="majorEastAsia"/>
          <w:sz w:val="28"/>
          <w:szCs w:val="28"/>
        </w:rPr>
        <w:t>第二章 投标人须知前附表</w:t>
      </w:r>
      <w:bookmarkEnd w:id="2"/>
      <w:bookmarkEnd w:id="3"/>
      <w:bookmarkEnd w:id="4"/>
    </w:p>
    <w:p>
      <w:pPr>
        <w:rPr>
          <w:rFonts w:asciiTheme="majorEastAsia" w:hAnsiTheme="majorEastAsia" w:eastAsiaTheme="majorEastAsia"/>
          <w:szCs w:val="21"/>
        </w:rPr>
      </w:pPr>
    </w:p>
    <w:tbl>
      <w:tblPr>
        <w:tblStyle w:val="27"/>
        <w:tblW w:w="95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975"/>
        <w:gridCol w:w="6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jc w:val="center"/>
              <w:rPr>
                <w:rFonts w:asciiTheme="majorEastAsia" w:hAnsiTheme="majorEastAsia" w:eastAsiaTheme="majorEastAsia"/>
                <w:b/>
                <w:szCs w:val="21"/>
              </w:rPr>
            </w:pPr>
            <w:r>
              <w:rPr>
                <w:rFonts w:hint="eastAsia" w:asciiTheme="majorEastAsia" w:hAnsiTheme="majorEastAsia" w:eastAsiaTheme="majorEastAsia"/>
                <w:b/>
                <w:szCs w:val="21"/>
              </w:rPr>
              <w:t>序号</w:t>
            </w:r>
          </w:p>
        </w:tc>
        <w:tc>
          <w:tcPr>
            <w:tcW w:w="1975" w:type="dxa"/>
            <w:vAlign w:val="center"/>
          </w:tcPr>
          <w:p>
            <w:pPr>
              <w:jc w:val="center"/>
              <w:rPr>
                <w:rFonts w:asciiTheme="majorEastAsia" w:hAnsiTheme="majorEastAsia" w:eastAsiaTheme="majorEastAsia"/>
                <w:b/>
                <w:szCs w:val="21"/>
              </w:rPr>
            </w:pPr>
            <w:r>
              <w:rPr>
                <w:rFonts w:hint="eastAsia" w:asciiTheme="majorEastAsia" w:hAnsiTheme="majorEastAsia" w:eastAsiaTheme="majorEastAsia"/>
                <w:b/>
                <w:szCs w:val="21"/>
              </w:rPr>
              <w:t>内容</w:t>
            </w:r>
          </w:p>
        </w:tc>
        <w:tc>
          <w:tcPr>
            <w:tcW w:w="6697" w:type="dxa"/>
            <w:vAlign w:val="center"/>
          </w:tcPr>
          <w:p>
            <w:pPr>
              <w:pStyle w:val="53"/>
              <w:widowControl w:val="0"/>
              <w:spacing w:before="0" w:beforeAutospacing="0" w:after="0" w:afterAutospacing="0"/>
              <w:rPr>
                <w:rFonts w:asciiTheme="majorEastAsia" w:hAnsiTheme="majorEastAsia" w:eastAsiaTheme="majorEastAsia"/>
                <w:bCs w:val="0"/>
                <w:kern w:val="2"/>
                <w:sz w:val="21"/>
                <w:szCs w:val="21"/>
              </w:rPr>
            </w:pPr>
            <w:r>
              <w:rPr>
                <w:rFonts w:hint="eastAsia" w:asciiTheme="majorEastAsia" w:hAnsiTheme="majorEastAsia" w:eastAsiaTheme="majorEastAsia"/>
                <w:bCs w:val="0"/>
                <w:kern w:val="2"/>
                <w:sz w:val="21"/>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66" w:type="dxa"/>
            <w:vAlign w:val="center"/>
          </w:tcPr>
          <w:p>
            <w:pPr>
              <w:pStyle w:val="54"/>
              <w:pBdr>
                <w:bottom w:val="none" w:color="auto" w:sz="0" w:space="0"/>
              </w:pBdr>
              <w:adjustRightInd/>
              <w:spacing w:line="240" w:lineRule="auto"/>
              <w:textAlignment w:val="auto"/>
              <w:rPr>
                <w:rFonts w:asciiTheme="minorEastAsia" w:hAnsiTheme="minorEastAsia" w:eastAsiaTheme="minorEastAsia" w:cstheme="minorEastAsia"/>
                <w:bCs/>
                <w:kern w:val="2"/>
                <w:szCs w:val="24"/>
              </w:rPr>
            </w:pPr>
            <w:r>
              <w:rPr>
                <w:rFonts w:hint="eastAsia" w:asciiTheme="minorEastAsia" w:hAnsiTheme="minorEastAsia" w:eastAsiaTheme="minorEastAsia" w:cstheme="minorEastAsia"/>
                <w:bCs/>
                <w:kern w:val="2"/>
                <w:szCs w:val="24"/>
              </w:rPr>
              <w:t>1</w:t>
            </w:r>
          </w:p>
        </w:tc>
        <w:tc>
          <w:tcPr>
            <w:tcW w:w="1975"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招标人</w:t>
            </w:r>
          </w:p>
        </w:tc>
        <w:tc>
          <w:tcPr>
            <w:tcW w:w="6697" w:type="dxa"/>
            <w:vAlign w:val="center"/>
          </w:tcPr>
          <w:p>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蚌埠百货大楼有限责任公司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w:t>
            </w:r>
          </w:p>
        </w:tc>
        <w:tc>
          <w:tcPr>
            <w:tcW w:w="1975"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c>
        <w:tc>
          <w:tcPr>
            <w:tcW w:w="6697" w:type="dxa"/>
            <w:vAlign w:val="center"/>
          </w:tcPr>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蚌埠百大</w:t>
            </w:r>
            <w:r>
              <w:rPr>
                <w:rFonts w:hint="eastAsia" w:asciiTheme="minorEastAsia" w:hAnsiTheme="minorEastAsia" w:eastAsiaTheme="minorEastAsia" w:cstheme="minorEastAsia"/>
                <w:sz w:val="24"/>
                <w:lang w:val="en-US" w:eastAsia="zh-CN"/>
              </w:rPr>
              <w:t>2021-2029年</w:t>
            </w:r>
            <w:r>
              <w:rPr>
                <w:rFonts w:hint="eastAsia" w:asciiTheme="minorEastAsia" w:hAnsiTheme="minorEastAsia" w:eastAsiaTheme="minorEastAsia" w:cstheme="minorEastAsia"/>
                <w:sz w:val="24"/>
              </w:rPr>
              <w:t>合同能源管理服务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w:t>
            </w:r>
          </w:p>
        </w:tc>
        <w:tc>
          <w:tcPr>
            <w:tcW w:w="1975"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p>
        </w:tc>
        <w:tc>
          <w:tcPr>
            <w:tcW w:w="6697" w:type="dxa"/>
            <w:vAlign w:val="center"/>
          </w:tcPr>
          <w:p>
            <w:pPr>
              <w:widowControl/>
              <w:numPr>
                <w:ilvl w:val="0"/>
                <w:numId w:val="0"/>
              </w:numPr>
              <w:spacing w:line="500" w:lineRule="exact"/>
              <w:jc w:val="left"/>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lang w:val="en-US" w:eastAsia="zh-CN"/>
              </w:rPr>
              <w:t>HBZ-20148-BBBD03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w:t>
            </w:r>
          </w:p>
        </w:tc>
        <w:tc>
          <w:tcPr>
            <w:tcW w:w="1975" w:type="dxa"/>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项目性质</w:t>
            </w:r>
          </w:p>
        </w:tc>
        <w:tc>
          <w:tcPr>
            <w:tcW w:w="6697" w:type="dxa"/>
            <w:vAlign w:val="center"/>
          </w:tcPr>
          <w:p>
            <w:pPr>
              <w:pStyle w:val="53"/>
              <w:widowControl w:val="0"/>
              <w:spacing w:before="0" w:beforeAutospacing="0" w:after="0" w:afterAutospacing="0"/>
              <w:jc w:val="both"/>
              <w:rPr>
                <w:rFonts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1975" w:type="dxa"/>
          </w:tcPr>
          <w:p>
            <w:pPr>
              <w:spacing w:line="500" w:lineRule="exact"/>
              <w:jc w:val="center"/>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标段划分</w:t>
            </w:r>
          </w:p>
        </w:tc>
        <w:tc>
          <w:tcPr>
            <w:tcW w:w="6697" w:type="dxa"/>
            <w:vAlign w:val="center"/>
          </w:tcPr>
          <w:p>
            <w:pPr>
              <w:spacing w:line="500" w:lineRule="exact"/>
              <w:ind w:left="841" w:hanging="841"/>
              <w:rPr>
                <w:rFonts w:asciiTheme="minorEastAsia" w:hAnsiTheme="minorEastAsia" w:eastAsiaTheme="minorEastAsia" w:cstheme="minorEastAsia"/>
                <w:bCs/>
                <w:sz w:val="24"/>
              </w:rPr>
            </w:pPr>
            <w:r>
              <w:rPr>
                <w:rFonts w:hint="eastAsia" w:asciiTheme="minorEastAsia" w:hAnsiTheme="minorEastAsia" w:eastAsiaTheme="minorEastAsia" w:cstheme="minorEastAsia"/>
                <w:b/>
                <w:bCs/>
                <w:sz w:val="24"/>
              </w:rPr>
              <w:sym w:font="Wingdings" w:char="F0FE"/>
            </w:r>
            <w:r>
              <w:rPr>
                <w:rFonts w:hint="eastAsia" w:asciiTheme="minorEastAsia" w:hAnsiTheme="minorEastAsia" w:eastAsiaTheme="minorEastAsia" w:cstheme="minorEastAsia"/>
                <w:sz w:val="24"/>
              </w:rPr>
              <w:t>不分标段□分为个标段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866" w:type="dxa"/>
            <w:vAlign w:val="center"/>
          </w:tcPr>
          <w:p>
            <w:pPr>
              <w:spacing w:line="500" w:lineRule="exact"/>
              <w:ind w:right="102"/>
              <w:jc w:val="center"/>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6</w:t>
            </w:r>
          </w:p>
        </w:tc>
        <w:tc>
          <w:tcPr>
            <w:tcW w:w="1975" w:type="dxa"/>
            <w:vAlign w:val="center"/>
          </w:tcPr>
          <w:p>
            <w:pPr>
              <w:spacing w:line="50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zh-CN"/>
                <w14:textFill>
                  <w14:solidFill>
                    <w14:schemeClr w14:val="tx1"/>
                  </w14:solidFill>
                </w14:textFill>
              </w:rPr>
              <w:t>付款方式</w:t>
            </w:r>
          </w:p>
        </w:tc>
        <w:tc>
          <w:tcPr>
            <w:tcW w:w="6697" w:type="dxa"/>
            <w:vAlign w:val="top"/>
          </w:tcPr>
          <w:p>
            <w:pPr>
              <w:pStyle w:val="55"/>
              <w:spacing w:line="360" w:lineRule="auto"/>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按月支付。中标人于签订合同后的60个工作日完成改造，完成改造并验收后的次月1日为结算起始日，在合同期限内，每月为一个结算认定周期，招标方在每结算周期届满后一个月内完成收益收到投标方节能改造效益确认单,经招标人确认后，中标人10个工作日内提供相应的增值税发票给招标人，招标人按照约定分享比例支付费用给中标人。</w:t>
            </w:r>
          </w:p>
          <w:p>
            <w:pPr>
              <w:spacing w:line="360" w:lineRule="auto"/>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中标人需保证运营模式及运营费用与现有模式保持不变。</w:t>
            </w:r>
          </w:p>
          <w:p>
            <w:pPr>
              <w:spacing w:line="360" w:lineRule="auto"/>
              <w:rPr>
                <w:rFonts w:hint="eastAsia" w:eastAsia="宋体" w:asciiTheme="minorEastAsia" w:hAnsiTheme="minorEastAsia" w:cstheme="minorEastAsia"/>
                <w:bCs/>
                <w:color w:val="000000" w:themeColor="text1"/>
                <w:szCs w:val="24"/>
                <w:lang w:val="en-US" w:eastAsia="zh-CN"/>
                <w14:textFill>
                  <w14:solidFill>
                    <w14:schemeClr w14:val="tx1"/>
                  </w14:solidFill>
                </w14:textFill>
              </w:rPr>
            </w:pPr>
            <w:r>
              <w:rPr>
                <w:rFonts w:ascii="宋体" w:hAnsi="宋体" w:eastAsia="宋体" w:cs="宋体"/>
                <w:sz w:val="24"/>
                <w:szCs w:val="24"/>
              </w:rPr>
              <w:t>现运营模式为托管式，提供制冷、采暖；机房系统的运行操作；机房系统设备保安；承担水质管理； 中央空调使用巡查管理；末端设备管理及维护保养； 机房系统的设备维护保养；管道和冷却塔维护保养</w:t>
            </w:r>
            <w:r>
              <w:rPr>
                <w:rFonts w:hint="eastAsia" w:ascii="宋体" w:hAnsi="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66" w:type="dxa"/>
            <w:vAlign w:val="center"/>
          </w:tcPr>
          <w:p>
            <w:pPr>
              <w:spacing w:line="500" w:lineRule="exact"/>
              <w:ind w:right="102"/>
              <w:jc w:val="center"/>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7</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联合体投标</w:t>
            </w:r>
          </w:p>
        </w:tc>
        <w:tc>
          <w:tcPr>
            <w:tcW w:w="6697" w:type="dxa"/>
            <w:vAlign w:val="center"/>
          </w:tcPr>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□允</w:t>
            </w:r>
            <w:r>
              <w:rPr>
                <w:rFonts w:hint="eastAsia" w:asciiTheme="minorEastAsia" w:hAnsiTheme="minorEastAsia" w:eastAsiaTheme="minorEastAsia" w:cstheme="minorEastAsia"/>
                <w:sz w:val="24"/>
                <w:lang w:val="zh-CN"/>
              </w:rPr>
              <w:t>许</w:t>
            </w:r>
            <w:r>
              <w:rPr>
                <w:rFonts w:hint="eastAsia" w:asciiTheme="minorEastAsia" w:hAnsiTheme="minorEastAsia" w:eastAsiaTheme="minorEastAsia" w:cstheme="minorEastAsia"/>
                <w:b/>
                <w:bCs/>
                <w:sz w:val="24"/>
              </w:rPr>
              <w:sym w:font="Wingdings" w:char="00FE"/>
            </w:r>
            <w:r>
              <w:rPr>
                <w:rFonts w:hint="eastAsia" w:asciiTheme="minorEastAsia" w:hAnsiTheme="minorEastAsia" w:eastAsiaTheme="minorEastAsia" w:cstheme="minorEastAsia"/>
                <w:sz w:val="24"/>
              </w:rPr>
              <w:t>不</w:t>
            </w:r>
            <w:r>
              <w:rPr>
                <w:rFonts w:hint="eastAsia" w:asciiTheme="minorEastAsia" w:hAnsiTheme="minorEastAsia" w:eastAsiaTheme="minorEastAsia" w:cstheme="minorEastAsia"/>
                <w:sz w:val="24"/>
                <w:lang w:val="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66"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1975" w:type="dxa"/>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项目地点</w:t>
            </w:r>
          </w:p>
        </w:tc>
        <w:tc>
          <w:tcPr>
            <w:tcW w:w="6697" w:type="dxa"/>
            <w:vAlign w:val="center"/>
          </w:tcPr>
          <w:p>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安徽省蚌埠市淮河路968号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6"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服务周期</w:t>
            </w:r>
          </w:p>
        </w:tc>
        <w:tc>
          <w:tcPr>
            <w:tcW w:w="6697" w:type="dxa"/>
            <w:vAlign w:val="center"/>
          </w:tcPr>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八年（2021年起至202</w:t>
            </w:r>
            <w:r>
              <w:rPr>
                <w:rFonts w:hint="eastAsia" w:asciiTheme="minorEastAsia" w:hAnsiTheme="minorEastAsia" w:eastAsiaTheme="minorEastAsia" w:cstheme="minorEastAsia"/>
                <w:sz w:val="24"/>
                <w:lang w:val="en-US" w:eastAsia="zh-CN"/>
              </w:rPr>
              <w:t>9</w:t>
            </w:r>
            <w:r>
              <w:rPr>
                <w:rFonts w:hint="eastAsia" w:asciiTheme="minorEastAsia" w:hAnsiTheme="minorEastAsia" w:eastAsiaTheme="minorEastAsia" w:cstheme="minorEastAsia"/>
                <w:sz w:val="24"/>
              </w:rPr>
              <w:t>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10</w:t>
            </w:r>
          </w:p>
        </w:tc>
        <w:tc>
          <w:tcPr>
            <w:tcW w:w="1975" w:type="dxa"/>
            <w:vAlign w:val="center"/>
          </w:tcPr>
          <w:p>
            <w:pPr>
              <w:spacing w:line="500" w:lineRule="exact"/>
              <w:jc w:val="center"/>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bCs/>
                <w:sz w:val="24"/>
              </w:rPr>
              <w:t>答疑</w:t>
            </w:r>
          </w:p>
        </w:tc>
        <w:tc>
          <w:tcPr>
            <w:tcW w:w="6697" w:type="dxa"/>
            <w:vAlign w:val="center"/>
          </w:tcPr>
          <w:p>
            <w:pPr>
              <w:spacing w:line="500" w:lineRule="exact"/>
              <w:rPr>
                <w:rFonts w:asciiTheme="minorEastAsia" w:hAnsiTheme="minorEastAsia" w:eastAsiaTheme="minorEastAsia" w:cstheme="minorEastAsia"/>
                <w:b w:val="0"/>
                <w:bCs w:val="0"/>
                <w:i/>
                <w:sz w:val="24"/>
              </w:rPr>
            </w:pPr>
            <w:r>
              <w:rPr>
                <w:rFonts w:hint="eastAsia" w:asciiTheme="minorEastAsia" w:hAnsiTheme="minorEastAsia" w:eastAsiaTheme="minorEastAsia" w:cstheme="minorEastAsia"/>
                <w:b w:val="0"/>
                <w:bCs w:val="0"/>
                <w:sz w:val="24"/>
              </w:rPr>
              <w:t>招标公告发布之日起五日内接受答疑（逾期不予受理），疑问的提出与答疑获取详见招标文件第三章投标人须知第四条。</w:t>
            </w:r>
          </w:p>
          <w:p>
            <w:pPr>
              <w:spacing w:line="50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b/>
                <w:sz w:val="24"/>
              </w:rPr>
              <w:t>投标人请注意：</w:t>
            </w:r>
            <w:r>
              <w:rPr>
                <w:rFonts w:hint="eastAsia" w:asciiTheme="minorEastAsia" w:hAnsiTheme="minorEastAsia" w:eastAsiaTheme="minorEastAsia" w:cstheme="minorEastAsia"/>
                <w:bCs/>
                <w:sz w:val="24"/>
              </w:rPr>
              <w:t>我司对招标文件进行的澄清、更正或更改，将在网站上及时发布，该公告内容为招标文件的组成部分，对投标人具有同样约束力效力。投标人应主动上网查询。我司不承担投标人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1</w:t>
            </w:r>
          </w:p>
        </w:tc>
        <w:tc>
          <w:tcPr>
            <w:tcW w:w="1975" w:type="dxa"/>
            <w:vAlign w:val="center"/>
          </w:tcPr>
          <w:p>
            <w:pPr>
              <w:spacing w:line="50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踏勘现场</w:t>
            </w:r>
          </w:p>
        </w:tc>
        <w:tc>
          <w:tcPr>
            <w:tcW w:w="6697" w:type="dxa"/>
            <w:vAlign w:val="center"/>
          </w:tcPr>
          <w:p>
            <w:pPr>
              <w:spacing w:line="5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
                <w:bCs/>
                <w:sz w:val="24"/>
              </w:rPr>
              <w:sym w:font="Wingdings" w:char="F0FE"/>
            </w:r>
            <w:r>
              <w:rPr>
                <w:rFonts w:hint="eastAsia" w:asciiTheme="minorEastAsia" w:hAnsiTheme="minorEastAsia" w:eastAsiaTheme="minorEastAsia" w:cstheme="minorEastAsia"/>
                <w:bCs/>
                <w:sz w:val="24"/>
              </w:rPr>
              <w:t>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2</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投标文件份数及要求</w:t>
            </w:r>
          </w:p>
        </w:tc>
        <w:tc>
          <w:tcPr>
            <w:tcW w:w="6697" w:type="dxa"/>
            <w:vAlign w:val="center"/>
          </w:tcPr>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详见招标文件第三章第二条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3</w:t>
            </w:r>
          </w:p>
        </w:tc>
        <w:tc>
          <w:tcPr>
            <w:tcW w:w="1975" w:type="dxa"/>
            <w:vAlign w:val="center"/>
          </w:tcPr>
          <w:p>
            <w:pPr>
              <w:spacing w:line="50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开标时间及地点</w:t>
            </w:r>
          </w:p>
        </w:tc>
        <w:tc>
          <w:tcPr>
            <w:tcW w:w="6697" w:type="dxa"/>
            <w:vAlign w:val="center"/>
          </w:tcPr>
          <w:p>
            <w:pPr>
              <w:spacing w:line="500" w:lineRule="exact"/>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开标时间：</w:t>
            </w:r>
            <w:r>
              <w:rPr>
                <w:rFonts w:hint="eastAsia" w:asciiTheme="minorEastAsia" w:hAnsiTheme="minorEastAsia" w:eastAsiaTheme="minorEastAsia" w:cstheme="minorEastAsia"/>
                <w:sz w:val="24"/>
                <w:lang w:val="zh-CN"/>
              </w:rPr>
              <w:t>详见招标公告</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开标地点：</w:t>
            </w:r>
            <w:r>
              <w:rPr>
                <w:rFonts w:hint="eastAsia" w:asciiTheme="minorEastAsia" w:hAnsiTheme="minorEastAsia" w:eastAsiaTheme="minorEastAsia" w:cstheme="minorEastAsia"/>
                <w:sz w:val="24"/>
                <w:lang w:val="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4</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评标办法</w:t>
            </w:r>
          </w:p>
        </w:tc>
        <w:tc>
          <w:tcPr>
            <w:tcW w:w="6697" w:type="dxa"/>
            <w:vAlign w:val="center"/>
          </w:tcPr>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详见</w:t>
            </w:r>
            <w:r>
              <w:rPr>
                <w:rFonts w:hint="eastAsia" w:asciiTheme="minorEastAsia" w:hAnsiTheme="minorEastAsia" w:eastAsiaTheme="minorEastAsia" w:cstheme="minorEastAsia"/>
                <w:sz w:val="24"/>
              </w:rPr>
              <w:t>招标文件</w:t>
            </w:r>
            <w:r>
              <w:rPr>
                <w:rFonts w:hint="eastAsia" w:asciiTheme="minorEastAsia" w:hAnsiTheme="minorEastAsia" w:eastAsiaTheme="minorEastAsia" w:cstheme="minorEastAsia"/>
                <w:bCs/>
                <w:sz w:val="24"/>
              </w:rPr>
              <w:t>第六章评标办法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66" w:type="dxa"/>
            <w:vAlign w:val="center"/>
          </w:tcPr>
          <w:p>
            <w:pPr>
              <w:spacing w:line="500" w:lineRule="exact"/>
              <w:jc w:val="center"/>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5</w:t>
            </w:r>
          </w:p>
        </w:tc>
        <w:tc>
          <w:tcPr>
            <w:tcW w:w="1975" w:type="dxa"/>
            <w:vAlign w:val="center"/>
          </w:tcPr>
          <w:p>
            <w:pPr>
              <w:spacing w:line="500" w:lineRule="exact"/>
              <w:jc w:val="center"/>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履约保证金</w:t>
            </w:r>
          </w:p>
        </w:tc>
        <w:tc>
          <w:tcPr>
            <w:tcW w:w="6697" w:type="dxa"/>
            <w:vAlign w:val="center"/>
          </w:tcPr>
          <w:p>
            <w:pPr>
              <w:spacing w:line="500" w:lineRule="exac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壹万元整，期限至</w:t>
            </w:r>
            <w:r>
              <w:rPr>
                <w:rFonts w:hint="eastAsia" w:asciiTheme="minorEastAsia" w:hAnsiTheme="minorEastAsia" w:eastAsiaTheme="minorEastAsia" w:cstheme="minorEastAsia"/>
                <w:bCs/>
                <w:color w:val="000000" w:themeColor="text1"/>
                <w:sz w:val="24"/>
                <w14:textFill>
                  <w14:solidFill>
                    <w14:schemeClr w14:val="tx1"/>
                  </w14:solidFill>
                </w14:textFill>
              </w:rPr>
              <w:t>合同履行完毕，服务期满后</w:t>
            </w:r>
            <w:r>
              <w:rPr>
                <w:rFonts w:hint="eastAsia" w:asciiTheme="minorEastAsia" w:hAnsiTheme="minorEastAsia" w:eastAsiaTheme="minorEastAsia" w:cstheme="minorEastAsia"/>
                <w:color w:val="000000" w:themeColor="text1"/>
                <w:sz w:val="24"/>
                <w:u w:val="single"/>
                <w14:textFill>
                  <w14:solidFill>
                    <w14:schemeClr w14:val="tx1"/>
                  </w14:solidFill>
                </w14:textFill>
              </w:rPr>
              <w:t>15个日历天</w:t>
            </w:r>
            <w:r>
              <w:rPr>
                <w:rFonts w:hint="eastAsia" w:asciiTheme="minorEastAsia" w:hAnsiTheme="minorEastAsia" w:eastAsiaTheme="minorEastAsia" w:cstheme="minorEastAsia"/>
                <w:color w:val="000000" w:themeColor="text1"/>
                <w:sz w:val="24"/>
                <w14:textFill>
                  <w14:solidFill>
                    <w14:schemeClr w14:val="tx1"/>
                  </w14:solidFill>
                </w14:textFill>
              </w:rPr>
              <w:t>。收受方式为：</w:t>
            </w:r>
            <w:r>
              <w:rPr>
                <w:rFonts w:hint="eastAsia" w:asciiTheme="minorEastAsia" w:hAnsiTheme="minorEastAsia" w:eastAsiaTheme="minorEastAsia" w:cstheme="minorEastAsia"/>
                <w:color w:val="000000" w:themeColor="text1"/>
                <w:sz w:val="24"/>
                <w:u w:val="single"/>
                <w14:textFill>
                  <w14:solidFill>
                    <w14:schemeClr w14:val="tx1"/>
                  </w14:solidFill>
                </w14:textFill>
              </w:rPr>
              <w:t>□现金、</w:t>
            </w:r>
            <w:r>
              <w:rPr>
                <w:rFonts w:hint="eastAsia" w:asciiTheme="minorEastAsia" w:hAnsiTheme="minorEastAsia" w:eastAsiaTheme="minorEastAsia" w:cstheme="minorEastAsia"/>
                <w:b/>
                <w:bCs/>
                <w:color w:val="000000" w:themeColor="text1"/>
                <w:sz w:val="24"/>
                <w:u w:val="single"/>
                <w14:textFill>
                  <w14:solidFill>
                    <w14:schemeClr w14:val="tx1"/>
                  </w14:solidFill>
                </w14:textFill>
              </w:rPr>
              <w:sym w:font="Wingdings" w:char="F0FE"/>
            </w:r>
            <w:r>
              <w:rPr>
                <w:rFonts w:hint="eastAsia" w:asciiTheme="minorEastAsia" w:hAnsiTheme="minorEastAsia" w:eastAsiaTheme="minorEastAsia" w:cstheme="minorEastAsia"/>
                <w:color w:val="000000" w:themeColor="text1"/>
                <w:sz w:val="24"/>
                <w:u w:val="single"/>
                <w14:textFill>
                  <w14:solidFill>
                    <w14:schemeClr w14:val="tx1"/>
                  </w14:solidFill>
                </w14:textFill>
              </w:rPr>
              <w:t>转账/电汇</w:t>
            </w:r>
            <w:r>
              <w:rPr>
                <w:rFonts w:hint="eastAsia" w:asciiTheme="minorEastAsia" w:hAnsiTheme="minorEastAsia" w:eastAsiaTheme="minorEastAsia" w:cstheme="minorEastAsia"/>
                <w:color w:val="000000" w:themeColor="text1"/>
                <w:sz w:val="24"/>
                <w14:textFill>
                  <w14:solidFill>
                    <w14:schemeClr w14:val="tx1"/>
                  </w14:solidFill>
                </w14:textFill>
              </w:rPr>
              <w:t>，收受人为</w:t>
            </w:r>
            <w:r>
              <w:rPr>
                <w:rFonts w:hint="eastAsia" w:asciiTheme="minorEastAsia" w:hAnsiTheme="minorEastAsia" w:eastAsiaTheme="minorEastAsia" w:cstheme="minorEastAsia"/>
                <w:b/>
                <w:color w:val="000000" w:themeColor="text1"/>
                <w:sz w:val="24"/>
                <w:u w:val="single"/>
                <w14:textFill>
                  <w14:solidFill>
                    <w14:schemeClr w14:val="tx1"/>
                  </w14:solidFill>
                </w14:textFill>
              </w:rPr>
              <w:t>合肥百货大楼集团蚌埠百货大楼有限责任公司</w:t>
            </w:r>
            <w:r>
              <w:rPr>
                <w:rFonts w:hint="eastAsia" w:asciiTheme="minorEastAsia" w:hAnsiTheme="minorEastAsia" w:eastAsiaTheme="minorEastAsia" w:cstheme="minorEastAsia"/>
                <w:color w:val="000000" w:themeColor="text1"/>
                <w:sz w:val="24"/>
                <w14:textFill>
                  <w14:solidFill>
                    <w14:schemeClr w14:val="tx1"/>
                  </w14:solidFill>
                </w14:textFill>
              </w:rPr>
              <w:t>，详见招标文件第三章投标人须知第六条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6</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投标样品</w:t>
            </w:r>
          </w:p>
        </w:tc>
        <w:tc>
          <w:tcPr>
            <w:tcW w:w="6697" w:type="dxa"/>
            <w:vAlign w:val="center"/>
          </w:tcPr>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需要</w:t>
            </w:r>
            <w:r>
              <w:rPr>
                <w:rFonts w:hint="eastAsia" w:asciiTheme="minorEastAsia" w:hAnsiTheme="minorEastAsia" w:eastAsiaTheme="minorEastAsia" w:cstheme="minorEastAsia"/>
                <w:b/>
                <w:bCs/>
                <w:sz w:val="24"/>
              </w:rPr>
              <w:sym w:font="Wingdings" w:char="F0FE"/>
            </w:r>
            <w:r>
              <w:rPr>
                <w:rFonts w:hint="eastAsia" w:asciiTheme="minorEastAsia" w:hAnsiTheme="minorEastAsia" w:eastAsiaTheme="minorEastAsia" w:cstheme="minorEastAsia"/>
                <w:sz w:val="24"/>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7</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本项目提供除电子版招标文件以外的其他资料</w:t>
            </w:r>
          </w:p>
        </w:tc>
        <w:tc>
          <w:tcPr>
            <w:tcW w:w="6697" w:type="dxa"/>
            <w:vAlign w:val="center"/>
          </w:tcPr>
          <w:p>
            <w:pPr>
              <w:spacing w:line="50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获得方式：上述资料如有请投标人在获取招标文件后，自行登录我公司网站下载本项目附件（该附件为招标文件的组成部分）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66" w:type="dxa"/>
            <w:vAlign w:val="center"/>
          </w:tcPr>
          <w:p>
            <w:pPr>
              <w:spacing w:line="5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18</w:t>
            </w:r>
          </w:p>
        </w:tc>
        <w:tc>
          <w:tcPr>
            <w:tcW w:w="1975" w:type="dxa"/>
            <w:vAlign w:val="center"/>
          </w:tcPr>
          <w:p>
            <w:pPr>
              <w:spacing w:line="5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业绩要求</w:t>
            </w:r>
          </w:p>
        </w:tc>
        <w:tc>
          <w:tcPr>
            <w:tcW w:w="6697" w:type="dxa"/>
            <w:vAlign w:val="center"/>
          </w:tcPr>
          <w:p>
            <w:pPr>
              <w:numPr>
                <w:ilvl w:val="0"/>
                <w:numId w:val="0"/>
              </w:numPr>
              <w:spacing w:line="460" w:lineRule="exact"/>
              <w:rPr>
                <w:rFonts w:hint="eastAsia" w:asciiTheme="minorEastAsia" w:hAnsiTheme="minorEastAsia" w:eastAsiaTheme="minorEastAsia" w:cstheme="minorEastAsia"/>
                <w:b/>
                <w:bCs/>
                <w:sz w:val="24"/>
                <w:lang w:eastAsia="zh-CN"/>
              </w:rPr>
            </w:pPr>
            <w:r>
              <w:rPr>
                <w:rFonts w:hint="eastAsia" w:asciiTheme="minorEastAsia" w:hAnsiTheme="minorEastAsia" w:eastAsiaTheme="minorEastAsia" w:cstheme="minorEastAsia"/>
                <w:b/>
                <w:bCs/>
                <w:sz w:val="24"/>
                <w:lang w:val="en-US" w:eastAsia="zh-CN"/>
              </w:rPr>
              <w:t>1.</w:t>
            </w:r>
            <w:r>
              <w:rPr>
                <w:rFonts w:hint="eastAsia" w:asciiTheme="minorEastAsia" w:hAnsiTheme="minorEastAsia" w:eastAsiaTheme="minorEastAsia" w:cstheme="minorEastAsia"/>
                <w:b/>
                <w:bCs/>
                <w:sz w:val="24"/>
              </w:rPr>
              <w:t>本招标文件中要求的业绩合同：a、合同在实施的，提供合同期内</w:t>
            </w:r>
            <w:r>
              <w:rPr>
                <w:rFonts w:hint="eastAsia" w:asciiTheme="minorEastAsia" w:hAnsiTheme="minorEastAsia" w:eastAsiaTheme="minorEastAsia" w:cstheme="minorEastAsia"/>
                <w:b/>
                <w:bCs/>
                <w:sz w:val="24"/>
                <w:lang w:eastAsia="zh-CN"/>
              </w:rPr>
              <w:t>任意</w:t>
            </w:r>
            <w:r>
              <w:rPr>
                <w:rFonts w:hint="eastAsia" w:asciiTheme="minorEastAsia" w:hAnsiTheme="minorEastAsia" w:eastAsiaTheme="minorEastAsia" w:cstheme="minorEastAsia"/>
                <w:b/>
                <w:bCs/>
                <w:sz w:val="24"/>
              </w:rPr>
              <w:t>一年度的节能确认单</w:t>
            </w:r>
            <w:r>
              <w:rPr>
                <w:rFonts w:hint="eastAsia" w:asciiTheme="minorEastAsia" w:hAnsiTheme="minorEastAsia" w:eastAsiaTheme="minorEastAsia" w:cstheme="minorEastAsia"/>
                <w:b/>
                <w:bCs/>
                <w:sz w:val="24"/>
                <w:lang w:val="en-US" w:eastAsia="zh-CN"/>
              </w:rPr>
              <w:t>,</w:t>
            </w:r>
            <w:r>
              <w:rPr>
                <w:rFonts w:hint="eastAsia" w:asciiTheme="minorEastAsia" w:hAnsiTheme="minorEastAsia" w:eastAsiaTheme="minorEastAsia" w:cstheme="minorEastAsia"/>
                <w:b/>
                <w:bCs/>
                <w:sz w:val="24"/>
                <w:lang w:eastAsia="zh-CN"/>
              </w:rPr>
              <w:t>节能确认单须体现节能要求及完成情况。</w:t>
            </w:r>
            <w:r>
              <w:rPr>
                <w:rFonts w:hint="eastAsia" w:asciiTheme="minorEastAsia" w:hAnsiTheme="minorEastAsia" w:eastAsiaTheme="minorEastAsia" w:cstheme="minorEastAsia"/>
                <w:b/>
                <w:bCs/>
                <w:sz w:val="24"/>
              </w:rPr>
              <w:t>b、合同实施完毕的，提供业主回访单或节能确认单</w:t>
            </w:r>
            <w:r>
              <w:rPr>
                <w:rFonts w:hint="eastAsia" w:asciiTheme="minorEastAsia" w:hAnsiTheme="minorEastAsia" w:eastAsiaTheme="minorEastAsia" w:cstheme="minorEastAsia"/>
                <w:b/>
                <w:bCs/>
                <w:sz w:val="24"/>
                <w:lang w:eastAsia="zh-CN"/>
              </w:rPr>
              <w:t>，</w:t>
            </w:r>
            <w:r>
              <w:rPr>
                <w:rFonts w:hint="eastAsia" w:asciiTheme="minorEastAsia" w:hAnsiTheme="minorEastAsia" w:eastAsiaTheme="minorEastAsia" w:cstheme="minorEastAsia"/>
                <w:b/>
                <w:bCs/>
                <w:sz w:val="24"/>
              </w:rPr>
              <w:t>业主回访单或节能确认单</w:t>
            </w:r>
            <w:r>
              <w:rPr>
                <w:rFonts w:hint="eastAsia" w:asciiTheme="minorEastAsia" w:hAnsiTheme="minorEastAsia" w:eastAsiaTheme="minorEastAsia" w:cstheme="minorEastAsia"/>
                <w:b/>
                <w:bCs/>
                <w:sz w:val="24"/>
                <w:lang w:eastAsia="zh-CN"/>
              </w:rPr>
              <w:t>须体现节能要求及完成情况。</w:t>
            </w:r>
          </w:p>
          <w:p>
            <w:pPr>
              <w:spacing w:line="460" w:lineRule="exact"/>
              <w:rPr>
                <w:rFonts w:hint="eastAsia" w:asciiTheme="minorEastAsia" w:hAnsiTheme="minorEastAsia" w:eastAsiaTheme="minorEastAsia" w:cstheme="minorEastAsia"/>
                <w:b/>
                <w:bCs/>
                <w:sz w:val="24"/>
                <w:lang w:eastAsia="zh-CN"/>
              </w:rPr>
            </w:pPr>
            <w:r>
              <w:rPr>
                <w:rFonts w:hint="eastAsia" w:asciiTheme="minorEastAsia" w:hAnsiTheme="minorEastAsia" w:eastAsiaTheme="minorEastAsia" w:cstheme="minorEastAsia"/>
                <w:b/>
                <w:bCs/>
                <w:sz w:val="24"/>
              </w:rPr>
              <w:t>注：（1）提供</w:t>
            </w:r>
            <w:r>
              <w:rPr>
                <w:rFonts w:hint="eastAsia" w:asciiTheme="minorEastAsia" w:hAnsiTheme="minorEastAsia" w:eastAsiaTheme="minorEastAsia" w:cstheme="minorEastAsia"/>
                <w:b/>
                <w:bCs/>
                <w:sz w:val="24"/>
                <w:lang w:eastAsia="zh-CN"/>
              </w:rPr>
              <w:t>的</w:t>
            </w:r>
            <w:r>
              <w:rPr>
                <w:rFonts w:hint="eastAsia" w:asciiTheme="minorEastAsia" w:hAnsiTheme="minorEastAsia" w:eastAsiaTheme="minorEastAsia" w:cstheme="minorEastAsia"/>
                <w:b/>
                <w:bCs/>
                <w:sz w:val="24"/>
              </w:rPr>
              <w:t>业绩合同</w:t>
            </w:r>
            <w:r>
              <w:rPr>
                <w:rFonts w:hint="eastAsia" w:asciiTheme="minorEastAsia" w:hAnsiTheme="minorEastAsia" w:eastAsiaTheme="minorEastAsia" w:cstheme="minorEastAsia"/>
                <w:b/>
                <w:bCs/>
                <w:sz w:val="24"/>
                <w:lang w:eastAsia="zh-CN"/>
              </w:rPr>
              <w:t>须</w:t>
            </w:r>
            <w:r>
              <w:rPr>
                <w:rFonts w:hint="eastAsia" w:asciiTheme="minorEastAsia" w:hAnsiTheme="minorEastAsia" w:eastAsiaTheme="minorEastAsia" w:cstheme="minorEastAsia"/>
                <w:b/>
                <w:bCs/>
                <w:sz w:val="24"/>
              </w:rPr>
              <w:t>包含甲乙方、项目名称、合同总金额、合同签订时间、合同范围、合同签字盖章页等关键页内容；（2）</w:t>
            </w:r>
            <w:r>
              <w:rPr>
                <w:rFonts w:hint="eastAsia" w:asciiTheme="minorEastAsia" w:hAnsiTheme="minorEastAsia" w:eastAsiaTheme="minorEastAsia" w:cstheme="minorEastAsia"/>
                <w:b/>
                <w:bCs/>
                <w:sz w:val="24"/>
                <w:lang w:eastAsia="zh-CN"/>
              </w:rPr>
              <w:t>节能确认单或</w:t>
            </w:r>
            <w:r>
              <w:rPr>
                <w:rFonts w:hint="eastAsia" w:asciiTheme="minorEastAsia" w:hAnsiTheme="minorEastAsia" w:eastAsiaTheme="minorEastAsia" w:cstheme="minorEastAsia"/>
                <w:b/>
                <w:bCs/>
                <w:sz w:val="24"/>
              </w:rPr>
              <w:t>业主</w:t>
            </w:r>
            <w:r>
              <w:rPr>
                <w:rFonts w:hint="eastAsia" w:asciiTheme="minorEastAsia" w:hAnsiTheme="minorEastAsia" w:eastAsiaTheme="minorEastAsia" w:cstheme="minorEastAsia"/>
                <w:b/>
                <w:bCs/>
                <w:sz w:val="24"/>
                <w:lang w:eastAsia="zh-CN"/>
              </w:rPr>
              <w:t>回访单</w:t>
            </w:r>
            <w:r>
              <w:rPr>
                <w:rFonts w:hint="eastAsia" w:asciiTheme="minorEastAsia" w:hAnsiTheme="minorEastAsia" w:eastAsiaTheme="minorEastAsia" w:cstheme="minorEastAsia"/>
                <w:b/>
                <w:bCs/>
                <w:sz w:val="24"/>
              </w:rPr>
              <w:t>须</w:t>
            </w:r>
            <w:r>
              <w:rPr>
                <w:rFonts w:hint="eastAsia" w:asciiTheme="minorEastAsia" w:hAnsiTheme="minorEastAsia" w:eastAsiaTheme="minorEastAsia" w:cstheme="minorEastAsia"/>
                <w:b/>
                <w:bCs/>
                <w:sz w:val="24"/>
                <w:lang w:eastAsia="zh-CN"/>
              </w:rPr>
              <w:t>经业主签字并</w:t>
            </w:r>
            <w:r>
              <w:rPr>
                <w:rFonts w:hint="eastAsia" w:asciiTheme="minorEastAsia" w:hAnsiTheme="minorEastAsia" w:eastAsiaTheme="minorEastAsia" w:cstheme="minorEastAsia"/>
                <w:b/>
                <w:bCs/>
                <w:sz w:val="24"/>
              </w:rPr>
              <w:t>加盖业主单位公章</w:t>
            </w:r>
            <w:r>
              <w:rPr>
                <w:rFonts w:hint="eastAsia" w:asciiTheme="minorEastAsia" w:hAnsiTheme="minorEastAsia" w:eastAsiaTheme="minorEastAsia" w:cstheme="minorEastAsia"/>
                <w:b/>
                <w:bCs/>
                <w:sz w:val="24"/>
                <w:lang w:eastAsia="zh-CN"/>
              </w:rPr>
              <w:t>；</w:t>
            </w:r>
            <w:r>
              <w:rPr>
                <w:rFonts w:hint="eastAsia" w:asciiTheme="minorEastAsia" w:hAnsiTheme="minorEastAsia" w:eastAsiaTheme="minorEastAsia" w:cstheme="minorEastAsia"/>
                <w:b/>
                <w:bCs/>
                <w:sz w:val="24"/>
              </w:rPr>
              <w:t>否则评标委员会可不予认可</w:t>
            </w:r>
            <w:r>
              <w:rPr>
                <w:rFonts w:hint="eastAsia" w:asciiTheme="minorEastAsia" w:hAnsiTheme="minorEastAsia" w:eastAsiaTheme="minorEastAsia" w:cstheme="minorEastAsia"/>
                <w:b/>
                <w:bCs/>
                <w:sz w:val="24"/>
                <w:lang w:eastAsia="zh-CN"/>
              </w:rPr>
              <w:t>。</w:t>
            </w:r>
          </w:p>
          <w:p>
            <w:pPr>
              <w:spacing w:line="460" w:lineRule="exac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bCs/>
                <w:sz w:val="24"/>
                <w:lang w:val="en-US" w:eastAsia="zh-CN"/>
              </w:rPr>
              <w:t>2.</w:t>
            </w:r>
            <w:r>
              <w:rPr>
                <w:rFonts w:hint="eastAsia" w:asciiTheme="minorEastAsia" w:hAnsiTheme="minorEastAsia" w:eastAsiaTheme="minorEastAsia" w:cstheme="minorEastAsia"/>
                <w:b/>
                <w:bCs/>
                <w:sz w:val="24"/>
              </w:rPr>
              <w:t>所提供的业绩合同</w:t>
            </w:r>
            <w:r>
              <w:rPr>
                <w:rFonts w:hint="eastAsia" w:asciiTheme="minorEastAsia" w:hAnsiTheme="minorEastAsia" w:eastAsiaTheme="minorEastAsia" w:cstheme="minorEastAsia"/>
                <w:b/>
                <w:bCs/>
                <w:sz w:val="24"/>
                <w:lang w:eastAsia="zh-CN"/>
              </w:rPr>
              <w:t>（含</w:t>
            </w:r>
            <w:r>
              <w:rPr>
                <w:rFonts w:hint="eastAsia" w:asciiTheme="minorEastAsia" w:hAnsiTheme="minorEastAsia" w:eastAsiaTheme="minorEastAsia" w:cstheme="minorEastAsia"/>
                <w:b/>
                <w:bCs/>
                <w:sz w:val="24"/>
              </w:rPr>
              <w:t>业主回访单</w:t>
            </w:r>
            <w:r>
              <w:rPr>
                <w:rFonts w:hint="eastAsia" w:asciiTheme="minorEastAsia" w:hAnsiTheme="minorEastAsia" w:eastAsiaTheme="minorEastAsia" w:cstheme="minorEastAsia"/>
                <w:b/>
                <w:bCs/>
                <w:sz w:val="24"/>
                <w:lang w:eastAsia="zh-CN"/>
              </w:rPr>
              <w:t>、</w:t>
            </w:r>
            <w:r>
              <w:rPr>
                <w:rFonts w:hint="eastAsia" w:asciiTheme="minorEastAsia" w:hAnsiTheme="minorEastAsia" w:eastAsiaTheme="minorEastAsia" w:cstheme="minorEastAsia"/>
                <w:b/>
                <w:bCs/>
                <w:sz w:val="24"/>
              </w:rPr>
              <w:t>节能确认单</w:t>
            </w:r>
            <w:r>
              <w:rPr>
                <w:rFonts w:hint="eastAsia" w:asciiTheme="minorEastAsia" w:hAnsiTheme="minorEastAsia" w:eastAsiaTheme="minorEastAsia" w:cstheme="minorEastAsia"/>
                <w:b/>
                <w:bCs/>
                <w:sz w:val="24"/>
                <w:lang w:eastAsia="zh-CN"/>
              </w:rPr>
              <w:t>）</w:t>
            </w:r>
            <w:r>
              <w:rPr>
                <w:rFonts w:hint="eastAsia" w:asciiTheme="minorEastAsia" w:hAnsiTheme="minorEastAsia" w:eastAsiaTheme="minorEastAsia" w:cstheme="minorEastAsia"/>
                <w:b/>
                <w:bCs/>
                <w:sz w:val="24"/>
              </w:rPr>
              <w:t>不能明确反映出招标文件所要求的内容的（如合同总金额或</w:t>
            </w:r>
            <w:r>
              <w:rPr>
                <w:rFonts w:hint="eastAsia" w:asciiTheme="minorEastAsia" w:hAnsiTheme="minorEastAsia" w:eastAsiaTheme="minorEastAsia" w:cstheme="minorEastAsia"/>
                <w:b/>
                <w:bCs/>
                <w:sz w:val="24"/>
                <w:lang w:eastAsia="zh-CN"/>
              </w:rPr>
              <w:t>节能要求及完成情况</w:t>
            </w:r>
            <w:r>
              <w:rPr>
                <w:rFonts w:hint="eastAsia" w:asciiTheme="minorEastAsia" w:hAnsiTheme="minorEastAsia" w:eastAsiaTheme="minorEastAsia" w:cstheme="minorEastAsia"/>
                <w:b/>
                <w:bCs/>
                <w:sz w:val="24"/>
              </w:rPr>
              <w:t>等），应另附业主证明材料予以明确说明，须加盖业主单位公章，否则评标委员会可不予认可。</w:t>
            </w:r>
          </w:p>
        </w:tc>
      </w:tr>
    </w:tbl>
    <w:p>
      <w:pPr>
        <w:pStyle w:val="2"/>
        <w:numPr>
          <w:ilvl w:val="0"/>
          <w:numId w:val="0"/>
        </w:numPr>
        <w:rPr>
          <w:rFonts w:asciiTheme="majorEastAsia" w:hAnsiTheme="majorEastAsia" w:eastAsiaTheme="majorEastAsia" w:cstheme="majorEastAsia"/>
          <w:sz w:val="28"/>
          <w:szCs w:val="28"/>
        </w:rPr>
      </w:pPr>
      <w:bookmarkStart w:id="5" w:name="_Toc13732418"/>
      <w:bookmarkStart w:id="6" w:name="_Toc491005866"/>
      <w:r>
        <w:rPr>
          <w:rFonts w:hint="eastAsia" w:asciiTheme="majorEastAsia" w:hAnsiTheme="majorEastAsia" w:eastAsiaTheme="majorEastAsia" w:cstheme="majorEastAsia"/>
          <w:sz w:val="28"/>
          <w:szCs w:val="28"/>
        </w:rPr>
        <w:t>第三章 投标人须知</w:t>
      </w:r>
      <w:bookmarkEnd w:id="5"/>
      <w:bookmarkEnd w:id="6"/>
    </w:p>
    <w:p>
      <w:pPr>
        <w:spacing w:line="520" w:lineRule="exact"/>
        <w:ind w:firstLine="420"/>
        <w:rPr>
          <w:rFonts w:ascii="宋体"/>
          <w:b/>
          <w:sz w:val="24"/>
        </w:rPr>
      </w:pPr>
      <w:r>
        <w:rPr>
          <w:rFonts w:hint="eastAsia" w:ascii="宋体" w:hAnsi="宋体"/>
          <w:b/>
          <w:sz w:val="24"/>
        </w:rPr>
        <w:t>一、说明及注意事项</w:t>
      </w:r>
    </w:p>
    <w:p>
      <w:pPr>
        <w:spacing w:line="520" w:lineRule="exact"/>
        <w:ind w:firstLine="420"/>
        <w:rPr>
          <w:rFonts w:ascii="宋体"/>
          <w:sz w:val="24"/>
        </w:rPr>
      </w:pPr>
      <w:r>
        <w:rPr>
          <w:rFonts w:ascii="宋体" w:hAnsi="宋体"/>
          <w:sz w:val="24"/>
        </w:rPr>
        <w:t>1</w:t>
      </w:r>
      <w:r>
        <w:rPr>
          <w:rFonts w:hint="eastAsia" w:ascii="宋体" w:hAnsi="宋体"/>
          <w:sz w:val="24"/>
        </w:rPr>
        <w:t>.投标文件的编写要求</w:t>
      </w:r>
    </w:p>
    <w:p>
      <w:pPr>
        <w:spacing w:line="520" w:lineRule="exact"/>
        <w:ind w:firstLine="420"/>
        <w:rPr>
          <w:rFonts w:ascii="宋体"/>
          <w:sz w:val="24"/>
        </w:rPr>
      </w:pPr>
      <w:r>
        <w:rPr>
          <w:rFonts w:hint="eastAsia" w:ascii="宋体" w:hAnsi="宋体"/>
          <w:sz w:val="24"/>
        </w:rPr>
        <w:t>⑴投标人须以招标人正式发布的《招标文件》为制作《投标文件》的依据；</w:t>
      </w:r>
    </w:p>
    <w:p>
      <w:pPr>
        <w:spacing w:line="520" w:lineRule="exact"/>
        <w:ind w:firstLine="420"/>
        <w:rPr>
          <w:rFonts w:ascii="宋体"/>
          <w:sz w:val="24"/>
        </w:rPr>
      </w:pPr>
      <w:r>
        <w:rPr>
          <w:rFonts w:hint="eastAsia" w:ascii="宋体" w:hAnsi="宋体"/>
          <w:sz w:val="24"/>
        </w:rPr>
        <w:t>⑵投标人应仔细阅读招标文件的所有内容，按招标文件的要求提供投标文件，并保证所提供的全部资料真实有效；</w:t>
      </w:r>
    </w:p>
    <w:p>
      <w:pPr>
        <w:spacing w:line="520" w:lineRule="exact"/>
        <w:ind w:firstLine="420"/>
        <w:rPr>
          <w:rFonts w:ascii="宋体"/>
          <w:sz w:val="24"/>
        </w:rPr>
      </w:pPr>
      <w:r>
        <w:rPr>
          <w:rFonts w:hint="eastAsia" w:ascii="宋体" w:hAnsi="宋体"/>
          <w:sz w:val="24"/>
        </w:rPr>
        <w:t>⑶投标文件的书面内容不得涂抹或改写；并胶装成册</w:t>
      </w:r>
    </w:p>
    <w:p>
      <w:pPr>
        <w:spacing w:line="520" w:lineRule="exact"/>
        <w:ind w:firstLine="420"/>
        <w:rPr>
          <w:rFonts w:ascii="宋体"/>
          <w:sz w:val="24"/>
        </w:rPr>
      </w:pPr>
      <w:r>
        <w:rPr>
          <w:rFonts w:hint="eastAsia" w:ascii="宋体" w:hAnsi="宋体"/>
          <w:sz w:val="24"/>
        </w:rPr>
        <w:t>⑷满足本招标文件规定的其它要求。</w:t>
      </w:r>
    </w:p>
    <w:p>
      <w:pPr>
        <w:spacing w:line="520" w:lineRule="exact"/>
        <w:ind w:firstLine="420"/>
        <w:rPr>
          <w:rFonts w:ascii="宋体"/>
          <w:sz w:val="24"/>
        </w:rPr>
      </w:pPr>
      <w:r>
        <w:rPr>
          <w:rFonts w:ascii="宋体" w:hAnsi="宋体"/>
          <w:sz w:val="24"/>
        </w:rPr>
        <w:t>2.</w:t>
      </w:r>
      <w:r>
        <w:rPr>
          <w:rFonts w:hint="eastAsia" w:ascii="宋体" w:hAnsi="宋体"/>
          <w:sz w:val="24"/>
        </w:rPr>
        <w:t>投标文件由以下部分构成</w:t>
      </w:r>
    </w:p>
    <w:p>
      <w:pPr>
        <w:spacing w:line="520" w:lineRule="exact"/>
        <w:ind w:firstLine="420"/>
        <w:rPr>
          <w:rFonts w:ascii="宋体"/>
          <w:sz w:val="24"/>
        </w:rPr>
      </w:pPr>
      <w:r>
        <w:rPr>
          <w:rFonts w:hint="eastAsia" w:ascii="宋体" w:hAnsi="宋体"/>
          <w:sz w:val="24"/>
        </w:rPr>
        <w:t>⑴投标承诺书、开标一览表、投标事项承诺等；</w:t>
      </w:r>
    </w:p>
    <w:p>
      <w:pPr>
        <w:spacing w:line="520" w:lineRule="exact"/>
        <w:ind w:firstLine="420"/>
        <w:rPr>
          <w:rFonts w:ascii="宋体"/>
          <w:sz w:val="24"/>
        </w:rPr>
      </w:pPr>
      <w:r>
        <w:rPr>
          <w:rFonts w:hint="eastAsia" w:ascii="宋体" w:hAnsi="宋体"/>
          <w:sz w:val="24"/>
        </w:rPr>
        <w:t>⑵投标人资质证明文件、法人和授权代表人身份证复印件；</w:t>
      </w:r>
    </w:p>
    <w:p>
      <w:pPr>
        <w:spacing w:line="520" w:lineRule="exact"/>
        <w:ind w:firstLine="420"/>
        <w:rPr>
          <w:rFonts w:ascii="宋体"/>
          <w:sz w:val="24"/>
        </w:rPr>
      </w:pPr>
      <w:r>
        <w:rPr>
          <w:rFonts w:hint="eastAsia" w:ascii="宋体" w:hAnsi="宋体"/>
          <w:sz w:val="24"/>
        </w:rPr>
        <w:t>⑶本项目的改造方案（包括投资概算、所使用的设备型号、数量，主要改造内容包括招标文件中的四章第三条要求的必须实施的内容）</w:t>
      </w:r>
    </w:p>
    <w:p>
      <w:pPr>
        <w:spacing w:line="520" w:lineRule="exact"/>
        <w:ind w:firstLine="420"/>
        <w:rPr>
          <w:rFonts w:ascii="宋体"/>
          <w:sz w:val="24"/>
        </w:rPr>
      </w:pPr>
      <w:r>
        <w:rPr>
          <w:rFonts w:hint="eastAsia" w:ascii="宋体" w:hAnsi="宋体"/>
          <w:sz w:val="24"/>
        </w:rPr>
        <w:t>⑷相关案例材料，服务计划、项目负责人及拟派往本项目的管理人员情况（包括履历和项目经验）。</w:t>
      </w:r>
    </w:p>
    <w:p>
      <w:pPr>
        <w:spacing w:line="520" w:lineRule="exact"/>
        <w:ind w:firstLine="420"/>
        <w:rPr>
          <w:rFonts w:ascii="宋体"/>
          <w:sz w:val="24"/>
        </w:rPr>
      </w:pPr>
      <w:r>
        <w:rPr>
          <w:rFonts w:ascii="宋体" w:hAnsi="宋体"/>
          <w:sz w:val="24"/>
        </w:rPr>
        <w:t>3</w:t>
      </w:r>
      <w:r>
        <w:rPr>
          <w:rFonts w:hint="eastAsia" w:ascii="宋体" w:hAnsi="宋体"/>
          <w:sz w:val="24"/>
        </w:rPr>
        <w:t>.投标报价说明</w:t>
      </w:r>
    </w:p>
    <w:p>
      <w:pPr>
        <w:spacing w:line="520" w:lineRule="exact"/>
        <w:ind w:firstLine="420"/>
        <w:rPr>
          <w:rFonts w:ascii="宋体"/>
          <w:sz w:val="24"/>
        </w:rPr>
      </w:pPr>
      <w:r>
        <w:rPr>
          <w:rFonts w:hint="eastAsia" w:ascii="宋体" w:hAnsi="宋体"/>
          <w:sz w:val="24"/>
        </w:rPr>
        <w:t>⑴除招标文件中另有规定外，计量单位为我国法定计量单位；投标报价、服务费结算一律使用人民币；</w:t>
      </w:r>
    </w:p>
    <w:p>
      <w:pPr>
        <w:spacing w:line="520" w:lineRule="exact"/>
        <w:ind w:firstLine="424" w:firstLineChars="177"/>
        <w:rPr>
          <w:rFonts w:ascii="宋体"/>
          <w:sz w:val="24"/>
        </w:rPr>
      </w:pPr>
      <w:r>
        <w:rPr>
          <w:rFonts w:hint="eastAsia" w:ascii="宋体" w:hAnsi="宋体"/>
          <w:sz w:val="24"/>
        </w:rPr>
        <w:t>⑵投标人投标前应进行现场勘查，各种风险须充分考虑，请投标人谨慎报价。中标后不得以任何理由提出变更等理由调整价格。</w:t>
      </w:r>
    </w:p>
    <w:p>
      <w:pPr>
        <w:spacing w:line="520" w:lineRule="exact"/>
        <w:ind w:firstLine="420"/>
        <w:rPr>
          <w:rFonts w:ascii="宋体"/>
          <w:sz w:val="24"/>
        </w:rPr>
      </w:pPr>
      <w:r>
        <w:rPr>
          <w:rFonts w:hint="eastAsia" w:ascii="宋体" w:hAnsi="宋体"/>
          <w:sz w:val="24"/>
        </w:rPr>
        <w:t>⑶投标人须充分考虑所投服务成本，中标及合同履约期内，不得以任何理由要求对其投标价格进行变更或拒绝服务。</w:t>
      </w:r>
    </w:p>
    <w:p>
      <w:pPr>
        <w:spacing w:line="520" w:lineRule="exact"/>
        <w:ind w:firstLine="420"/>
        <w:rPr>
          <w:rFonts w:ascii="宋体"/>
          <w:sz w:val="24"/>
        </w:rPr>
      </w:pPr>
      <w:r>
        <w:rPr>
          <w:rFonts w:ascii="宋体" w:hAnsi="宋体"/>
          <w:sz w:val="24"/>
        </w:rPr>
        <w:t>4</w:t>
      </w:r>
      <w:r>
        <w:rPr>
          <w:rFonts w:hint="eastAsia" w:ascii="宋体" w:hAnsi="宋体"/>
          <w:sz w:val="24"/>
        </w:rPr>
        <w:t>.请投标人接到招标文件后</w:t>
      </w:r>
      <w:r>
        <w:rPr>
          <w:rFonts w:ascii="宋体"/>
          <w:sz w:val="24"/>
        </w:rPr>
        <w:t>,</w:t>
      </w:r>
      <w:r>
        <w:rPr>
          <w:rFonts w:hint="eastAsia" w:ascii="宋体" w:hAnsi="宋体"/>
          <w:sz w:val="24"/>
        </w:rPr>
        <w:t>认真审阅和全面理解招标文件中所有的须知、条件、格式、条款，如果投标人的投标文件不符合招标文件要求，该投标文件将被拒绝，责任自负。</w:t>
      </w:r>
    </w:p>
    <w:p>
      <w:pPr>
        <w:spacing w:line="520" w:lineRule="exact"/>
        <w:ind w:firstLine="420"/>
        <w:rPr>
          <w:rFonts w:hint="eastAsia" w:ascii="宋体" w:eastAsia="宋体"/>
          <w:sz w:val="24"/>
          <w:lang w:eastAsia="zh-CN"/>
        </w:rPr>
      </w:pPr>
      <w:r>
        <w:rPr>
          <w:rFonts w:ascii="宋体" w:hAnsi="宋体"/>
          <w:sz w:val="24"/>
        </w:rPr>
        <w:t>5</w:t>
      </w:r>
      <w:r>
        <w:rPr>
          <w:rFonts w:hint="eastAsia" w:ascii="宋体" w:hAnsi="宋体"/>
          <w:sz w:val="24"/>
        </w:rPr>
        <w:t>.投标人在交付保证金后，如出现串标、毁标、中标后不签订合同或在履行合同时出现违约行为，招标人有权没收</w:t>
      </w:r>
      <w:r>
        <w:rPr>
          <w:rFonts w:hint="eastAsia" w:ascii="宋体" w:hAnsi="宋体"/>
          <w:sz w:val="24"/>
          <w:lang w:eastAsia="zh-CN"/>
        </w:rPr>
        <w:t>投标</w:t>
      </w:r>
      <w:r>
        <w:rPr>
          <w:rFonts w:hint="eastAsia" w:ascii="宋体" w:hAnsi="宋体"/>
          <w:sz w:val="24"/>
          <w:lang w:val="en-US" w:eastAsia="zh-CN"/>
        </w:rPr>
        <w:t>/</w:t>
      </w:r>
      <w:r>
        <w:rPr>
          <w:rFonts w:hint="eastAsia" w:ascii="宋体" w:hAnsi="宋体"/>
          <w:sz w:val="24"/>
          <w:lang w:eastAsia="zh-CN"/>
        </w:rPr>
        <w:t>履约</w:t>
      </w:r>
      <w:r>
        <w:rPr>
          <w:rFonts w:hint="eastAsia" w:ascii="宋体" w:hAnsi="宋体"/>
          <w:sz w:val="24"/>
        </w:rPr>
        <w:t>保证金并记入百大集团招投标黑名单</w:t>
      </w:r>
      <w:r>
        <w:rPr>
          <w:rFonts w:hint="eastAsia" w:ascii="宋体" w:hAnsi="宋体"/>
          <w:sz w:val="24"/>
          <w:lang w:eastAsia="zh-CN"/>
        </w:rPr>
        <w:t>。</w:t>
      </w:r>
    </w:p>
    <w:p>
      <w:pPr>
        <w:spacing w:line="520" w:lineRule="exact"/>
        <w:ind w:firstLine="420"/>
        <w:rPr>
          <w:rFonts w:ascii="宋体"/>
          <w:sz w:val="24"/>
        </w:rPr>
      </w:pPr>
      <w:r>
        <w:rPr>
          <w:rFonts w:ascii="宋体" w:hAnsi="宋体"/>
          <w:sz w:val="24"/>
        </w:rPr>
        <w:t>6</w:t>
      </w:r>
      <w:r>
        <w:rPr>
          <w:rFonts w:hint="eastAsia" w:ascii="宋体" w:hAnsi="宋体"/>
          <w:sz w:val="24"/>
        </w:rPr>
        <w:t>.招标人将按本招标文件时间安排表确定的时间、地点开标，投标人的法定代表人（或代理人）应准时出席，否则将视为弃权，投标保证金不予返还。</w:t>
      </w:r>
    </w:p>
    <w:p>
      <w:pPr>
        <w:spacing w:line="520" w:lineRule="exact"/>
        <w:ind w:firstLine="420"/>
        <w:rPr>
          <w:rFonts w:ascii="宋体"/>
          <w:b/>
          <w:sz w:val="24"/>
        </w:rPr>
      </w:pPr>
      <w:r>
        <w:rPr>
          <w:rFonts w:hint="eastAsia" w:ascii="宋体" w:hAnsi="宋体"/>
          <w:b/>
          <w:sz w:val="24"/>
        </w:rPr>
        <w:t>二、投标文件的递交</w:t>
      </w:r>
    </w:p>
    <w:p>
      <w:pPr>
        <w:spacing w:line="520" w:lineRule="exact"/>
        <w:ind w:firstLine="420"/>
        <w:rPr>
          <w:rFonts w:ascii="宋体"/>
          <w:sz w:val="24"/>
        </w:rPr>
      </w:pPr>
      <w:r>
        <w:rPr>
          <w:rFonts w:ascii="宋体" w:hAnsi="宋体"/>
          <w:sz w:val="24"/>
        </w:rPr>
        <w:t>1</w:t>
      </w:r>
      <w:r>
        <w:rPr>
          <w:rFonts w:hint="eastAsia" w:ascii="宋体" w:hAnsi="宋体"/>
          <w:sz w:val="24"/>
        </w:rPr>
        <w:t>.投标文件的密封和标记</w:t>
      </w:r>
    </w:p>
    <w:p>
      <w:pPr>
        <w:spacing w:line="520" w:lineRule="exact"/>
        <w:ind w:firstLine="420"/>
        <w:rPr>
          <w:rFonts w:ascii="宋体"/>
          <w:sz w:val="24"/>
        </w:rPr>
      </w:pPr>
      <w:r>
        <w:rPr>
          <w:rFonts w:hint="eastAsia" w:ascii="宋体" w:hAnsi="宋体"/>
          <w:sz w:val="24"/>
        </w:rPr>
        <w:t>⑴投标文件应密封并在封口加贴封条，并在封面注明招标编号、投标项目、投标单位等；同时，在密封处加盖骑缝章；</w:t>
      </w:r>
    </w:p>
    <w:p>
      <w:pPr>
        <w:spacing w:line="520" w:lineRule="exact"/>
        <w:ind w:firstLine="420"/>
        <w:rPr>
          <w:rFonts w:ascii="宋体"/>
          <w:b/>
          <w:sz w:val="24"/>
        </w:rPr>
      </w:pPr>
      <w:r>
        <w:rPr>
          <w:rFonts w:hint="eastAsia" w:ascii="宋体" w:hAnsi="宋体"/>
          <w:sz w:val="24"/>
        </w:rPr>
        <w:t>⑵投标文件要求：</w:t>
      </w:r>
      <w:r>
        <w:rPr>
          <w:rFonts w:hint="eastAsia" w:ascii="宋体" w:hAnsi="宋体"/>
          <w:b/>
          <w:sz w:val="24"/>
        </w:rPr>
        <w:t>正、副本各一份，PDF电子版一份。</w:t>
      </w:r>
    </w:p>
    <w:p>
      <w:pPr>
        <w:spacing w:line="520" w:lineRule="exact"/>
        <w:ind w:firstLine="420"/>
        <w:rPr>
          <w:rFonts w:ascii="宋体" w:hAnsi="宋体"/>
          <w:sz w:val="24"/>
        </w:rPr>
      </w:pPr>
      <w:r>
        <w:rPr>
          <w:rFonts w:ascii="宋体" w:hAnsi="宋体"/>
          <w:sz w:val="24"/>
        </w:rPr>
        <w:t>2</w:t>
      </w:r>
      <w:r>
        <w:rPr>
          <w:rFonts w:hint="eastAsia" w:ascii="宋体" w:hAnsi="宋体"/>
          <w:sz w:val="24"/>
        </w:rPr>
        <w:t>．投标文件的递交</w:t>
      </w:r>
    </w:p>
    <w:p>
      <w:pPr>
        <w:spacing w:line="520" w:lineRule="exact"/>
        <w:ind w:firstLine="420"/>
        <w:rPr>
          <w:rFonts w:ascii="宋体"/>
          <w:sz w:val="24"/>
        </w:rPr>
      </w:pPr>
      <w:r>
        <w:rPr>
          <w:rFonts w:hint="eastAsia" w:ascii="宋体" w:hAnsi="宋体"/>
          <w:sz w:val="24"/>
        </w:rPr>
        <w:t>⑴投标人应在开标时间前将密封合格的投标文件送达开标现场；招标人对开标时间后送达的投标文件将不予签收。</w:t>
      </w:r>
    </w:p>
    <w:p>
      <w:pPr>
        <w:spacing w:line="520" w:lineRule="exact"/>
        <w:ind w:firstLine="420"/>
        <w:rPr>
          <w:rFonts w:ascii="宋体"/>
          <w:b/>
          <w:sz w:val="24"/>
        </w:rPr>
      </w:pPr>
      <w:r>
        <w:rPr>
          <w:rFonts w:hint="eastAsia" w:ascii="宋体" w:hAnsi="宋体"/>
          <w:b/>
          <w:sz w:val="24"/>
        </w:rPr>
        <w:t>三、开标、评标和定标</w:t>
      </w:r>
    </w:p>
    <w:p>
      <w:pPr>
        <w:spacing w:line="520" w:lineRule="exact"/>
        <w:ind w:firstLine="240" w:firstLineChars="100"/>
        <w:rPr>
          <w:rFonts w:ascii="宋体"/>
          <w:sz w:val="24"/>
        </w:rPr>
      </w:pPr>
      <w:r>
        <w:rPr>
          <w:rFonts w:ascii="宋体" w:hAnsi="宋体"/>
          <w:sz w:val="24"/>
        </w:rPr>
        <w:t>1</w:t>
      </w:r>
      <w:r>
        <w:rPr>
          <w:rFonts w:hint="eastAsia" w:ascii="宋体" w:hAnsi="宋体"/>
          <w:sz w:val="24"/>
        </w:rPr>
        <w:t>.按投标邀请中规定的时间和地点开标，届时请投标人授权一名代表参加商务标的开标，拟派项目负责人作投标陈述并作为答辩代表参加项目答辩。</w:t>
      </w:r>
    </w:p>
    <w:p>
      <w:pPr>
        <w:spacing w:line="520" w:lineRule="exact"/>
        <w:ind w:firstLine="240" w:firstLineChars="100"/>
        <w:rPr>
          <w:rFonts w:ascii="宋体"/>
          <w:sz w:val="24"/>
        </w:rPr>
      </w:pPr>
      <w:r>
        <w:rPr>
          <w:rFonts w:ascii="宋体" w:hAnsi="宋体"/>
          <w:sz w:val="24"/>
        </w:rPr>
        <w:t>2</w:t>
      </w:r>
      <w:r>
        <w:rPr>
          <w:rFonts w:hint="eastAsia" w:ascii="宋体" w:hAnsi="宋体"/>
          <w:sz w:val="24"/>
        </w:rPr>
        <w:t>.开标时，查验投标文件的密封状况，确认无误后拆封唱标。</w:t>
      </w:r>
    </w:p>
    <w:p>
      <w:pPr>
        <w:spacing w:line="520" w:lineRule="exact"/>
        <w:ind w:firstLine="241" w:firstLineChars="1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3.各投标人通过资格审查，投标文件响应下表方案的前提下，项目</w:t>
      </w:r>
      <w:r>
        <w:rPr>
          <w:rFonts w:hint="eastAsia" w:asciiTheme="minorEastAsia" w:hAnsiTheme="minorEastAsia" w:eastAsiaTheme="minorEastAsia" w:cstheme="minorEastAsia"/>
          <w:b/>
          <w:bCs/>
          <w:sz w:val="24"/>
          <w:lang w:eastAsia="zh-CN"/>
        </w:rPr>
        <w:t>能耗下降金额报价</w:t>
      </w:r>
      <w:r>
        <w:rPr>
          <w:rFonts w:hint="eastAsia" w:asciiTheme="minorEastAsia" w:hAnsiTheme="minorEastAsia" w:eastAsiaTheme="minorEastAsia" w:cstheme="minorEastAsia"/>
          <w:b/>
          <w:bCs/>
          <w:sz w:val="24"/>
        </w:rPr>
        <w:t>最高的投标人为中标候选人。</w:t>
      </w:r>
    </w:p>
    <w:p>
      <w:pPr>
        <w:spacing w:line="520" w:lineRule="exact"/>
        <w:ind w:firstLine="241" w:firstLineChars="1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表：定价方案表</w:t>
      </w:r>
    </w:p>
    <w:tbl>
      <w:tblPr>
        <w:tblStyle w:val="28"/>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1938"/>
        <w:gridCol w:w="1912"/>
        <w:gridCol w:w="1521"/>
        <w:gridCol w:w="1588"/>
        <w:gridCol w:w="2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1193" w:type="dxa"/>
            <w:vAlign w:val="center"/>
          </w:tcPr>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内  容</w:t>
            </w:r>
          </w:p>
        </w:tc>
        <w:tc>
          <w:tcPr>
            <w:tcW w:w="1938" w:type="dxa"/>
            <w:vAlign w:val="center"/>
          </w:tcPr>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8年服务期内每年对比基准能耗下降比例（≧）</w:t>
            </w:r>
          </w:p>
        </w:tc>
        <w:tc>
          <w:tcPr>
            <w:tcW w:w="1912" w:type="dxa"/>
          </w:tcPr>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8年服务期内每年对比基准能耗下降</w:t>
            </w:r>
            <w:r>
              <w:rPr>
                <w:rFonts w:hint="eastAsia" w:asciiTheme="minorEastAsia" w:hAnsiTheme="minorEastAsia" w:eastAsiaTheme="minorEastAsia" w:cstheme="minorEastAsia"/>
                <w:b/>
                <w:bCs/>
                <w:sz w:val="24"/>
                <w:lang w:eastAsia="zh-CN"/>
              </w:rPr>
              <w:t>金额</w:t>
            </w:r>
            <w:r>
              <w:rPr>
                <w:rFonts w:hint="eastAsia" w:asciiTheme="minorEastAsia" w:hAnsiTheme="minorEastAsia" w:eastAsiaTheme="minorEastAsia" w:cstheme="minorEastAsia"/>
                <w:b/>
                <w:bCs/>
                <w:sz w:val="24"/>
              </w:rPr>
              <w:t>（≧）</w:t>
            </w:r>
          </w:p>
        </w:tc>
        <w:tc>
          <w:tcPr>
            <w:tcW w:w="1521" w:type="dxa"/>
            <w:vAlign w:val="center"/>
          </w:tcPr>
          <w:p>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下降能耗</w:t>
            </w:r>
          </w:p>
          <w:p>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分享比例</w:t>
            </w:r>
          </w:p>
        </w:tc>
        <w:tc>
          <w:tcPr>
            <w:tcW w:w="1588" w:type="dxa"/>
            <w:vAlign w:val="center"/>
          </w:tcPr>
          <w:p>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政府奖补资金分享比例</w:t>
            </w:r>
          </w:p>
        </w:tc>
        <w:tc>
          <w:tcPr>
            <w:tcW w:w="2162" w:type="dxa"/>
            <w:vAlign w:val="center"/>
          </w:tcPr>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节能下降量达不到最低指标，现金补齐下降量差额费用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Align w:val="center"/>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甲  方</w:t>
            </w:r>
          </w:p>
        </w:tc>
        <w:tc>
          <w:tcPr>
            <w:tcW w:w="1938" w:type="dxa"/>
            <w:vMerge w:val="restart"/>
            <w:vAlign w:val="center"/>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15%</w:t>
            </w:r>
          </w:p>
        </w:tc>
        <w:tc>
          <w:tcPr>
            <w:tcW w:w="1912" w:type="dxa"/>
            <w:vMerge w:val="restart"/>
            <w:vAlign w:val="center"/>
          </w:tcPr>
          <w:p>
            <w:pPr>
              <w:spacing w:line="520" w:lineRule="exact"/>
              <w:jc w:val="center"/>
              <w:rPr>
                <w:rFonts w:asciiTheme="minorEastAsia" w:hAnsiTheme="minorEastAsia" w:eastAsiaTheme="minorEastAsia" w:cstheme="minorEastAsia"/>
                <w:b/>
                <w:bCs/>
                <w:sz w:val="24"/>
                <w:highlight w:val="yellow"/>
              </w:rPr>
            </w:pPr>
            <w:r>
              <w:rPr>
                <w:rFonts w:hint="eastAsia" w:asciiTheme="minorEastAsia" w:hAnsiTheme="minorEastAsia" w:eastAsiaTheme="minorEastAsia" w:cstheme="minorEastAsia"/>
                <w:b/>
                <w:bCs/>
                <w:sz w:val="24"/>
                <w:highlight w:val="none"/>
              </w:rPr>
              <w:t>262647.15元</w:t>
            </w:r>
          </w:p>
        </w:tc>
        <w:tc>
          <w:tcPr>
            <w:tcW w:w="1521" w:type="dxa"/>
            <w:vAlign w:val="center"/>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30%</w:t>
            </w:r>
          </w:p>
        </w:tc>
        <w:tc>
          <w:tcPr>
            <w:tcW w:w="1588" w:type="dxa"/>
            <w:vAlign w:val="center"/>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30%</w:t>
            </w:r>
          </w:p>
        </w:tc>
        <w:tc>
          <w:tcPr>
            <w:tcW w:w="2162" w:type="dxa"/>
            <w:vMerge w:val="restart"/>
            <w:vAlign w:val="center"/>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乙  方</w:t>
            </w:r>
          </w:p>
        </w:tc>
        <w:tc>
          <w:tcPr>
            <w:tcW w:w="1938" w:type="dxa"/>
            <w:vMerge w:val="continue"/>
            <w:vAlign w:val="center"/>
          </w:tcPr>
          <w:p>
            <w:pPr>
              <w:spacing w:line="520" w:lineRule="exact"/>
              <w:jc w:val="center"/>
              <w:rPr>
                <w:rFonts w:asciiTheme="minorEastAsia" w:hAnsiTheme="minorEastAsia" w:eastAsiaTheme="minorEastAsia" w:cstheme="minorEastAsia"/>
                <w:b/>
                <w:bCs/>
                <w:sz w:val="24"/>
              </w:rPr>
            </w:pPr>
          </w:p>
        </w:tc>
        <w:tc>
          <w:tcPr>
            <w:tcW w:w="1912" w:type="dxa"/>
            <w:vMerge w:val="continue"/>
          </w:tcPr>
          <w:p>
            <w:pPr>
              <w:spacing w:line="520" w:lineRule="exact"/>
              <w:jc w:val="center"/>
              <w:rPr>
                <w:rFonts w:asciiTheme="minorEastAsia" w:hAnsiTheme="minorEastAsia" w:eastAsiaTheme="minorEastAsia" w:cstheme="minorEastAsia"/>
                <w:b/>
                <w:bCs/>
                <w:sz w:val="24"/>
              </w:rPr>
            </w:pPr>
          </w:p>
        </w:tc>
        <w:tc>
          <w:tcPr>
            <w:tcW w:w="1521" w:type="dxa"/>
            <w:vAlign w:val="center"/>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70%</w:t>
            </w:r>
          </w:p>
        </w:tc>
        <w:tc>
          <w:tcPr>
            <w:tcW w:w="1588" w:type="dxa"/>
            <w:vAlign w:val="center"/>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70%</w:t>
            </w:r>
          </w:p>
        </w:tc>
        <w:tc>
          <w:tcPr>
            <w:tcW w:w="2162" w:type="dxa"/>
            <w:vMerge w:val="continue"/>
            <w:vAlign w:val="center"/>
          </w:tcPr>
          <w:p>
            <w:pPr>
              <w:spacing w:line="520" w:lineRule="exact"/>
              <w:jc w:val="center"/>
              <w:rPr>
                <w:rFonts w:asciiTheme="minorEastAsia" w:hAnsiTheme="minorEastAsia" w:eastAsiaTheme="minorEastAsia" w:cstheme="minorEastAsia"/>
                <w:b/>
                <w:bCs/>
                <w:sz w:val="24"/>
              </w:rPr>
            </w:pPr>
          </w:p>
        </w:tc>
      </w:tr>
    </w:tbl>
    <w:p>
      <w:pPr>
        <w:spacing w:line="520" w:lineRule="exact"/>
        <w:ind w:firstLine="240" w:firstLineChars="100"/>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lang w:val="en-US" w:eastAsia="zh-CN"/>
        </w:rPr>
        <w:t>4.</w:t>
      </w:r>
      <w:r>
        <w:rPr>
          <w:rFonts w:hint="eastAsia" w:asciiTheme="minorEastAsia" w:hAnsiTheme="minorEastAsia" w:eastAsiaTheme="minorEastAsia" w:cstheme="minorEastAsia"/>
          <w:b w:val="0"/>
          <w:bCs w:val="0"/>
          <w:sz w:val="24"/>
        </w:rPr>
        <w:t>如项目</w:t>
      </w:r>
      <w:r>
        <w:rPr>
          <w:rFonts w:hint="eastAsia" w:asciiTheme="minorEastAsia" w:hAnsiTheme="minorEastAsia" w:eastAsiaTheme="minorEastAsia" w:cstheme="minorEastAsia"/>
          <w:b w:val="0"/>
          <w:bCs w:val="0"/>
          <w:sz w:val="24"/>
          <w:lang w:eastAsia="zh-CN"/>
        </w:rPr>
        <w:t>能耗下降金额</w:t>
      </w:r>
      <w:r>
        <w:rPr>
          <w:rFonts w:hint="eastAsia" w:asciiTheme="minorEastAsia" w:hAnsiTheme="minorEastAsia" w:eastAsiaTheme="minorEastAsia" w:cstheme="minorEastAsia"/>
          <w:b w:val="0"/>
          <w:bCs w:val="0"/>
          <w:sz w:val="24"/>
        </w:rPr>
        <w:t>报价最高的投标人有2家时，现场采取竞争性谈判的方式确定中标候选人；如项目</w:t>
      </w:r>
      <w:r>
        <w:rPr>
          <w:rFonts w:hint="eastAsia" w:asciiTheme="minorEastAsia" w:hAnsiTheme="minorEastAsia" w:eastAsiaTheme="minorEastAsia" w:cstheme="minorEastAsia"/>
          <w:b w:val="0"/>
          <w:bCs w:val="0"/>
          <w:sz w:val="24"/>
          <w:lang w:eastAsia="zh-CN"/>
        </w:rPr>
        <w:t>能耗下降金额</w:t>
      </w:r>
      <w:r>
        <w:rPr>
          <w:rFonts w:hint="eastAsia" w:asciiTheme="minorEastAsia" w:hAnsiTheme="minorEastAsia" w:eastAsiaTheme="minorEastAsia" w:cstheme="minorEastAsia"/>
          <w:b w:val="0"/>
          <w:bCs w:val="0"/>
          <w:sz w:val="24"/>
        </w:rPr>
        <w:t>报价最高的投标人大于2家时，现场采取抽签形式确定该企业的中标候选人。</w:t>
      </w:r>
    </w:p>
    <w:p>
      <w:pPr>
        <w:spacing w:line="520" w:lineRule="exact"/>
        <w:ind w:firstLine="482" w:firstLineChars="200"/>
        <w:rPr>
          <w:rFonts w:hint="eastAsia" w:ascii="宋体" w:hAnsi="宋体"/>
          <w:b/>
          <w:bCs/>
          <w:sz w:val="24"/>
          <w:lang w:val="en-US" w:eastAsia="zh-CN"/>
        </w:rPr>
      </w:pPr>
    </w:p>
    <w:p>
      <w:pPr>
        <w:spacing w:line="520" w:lineRule="exact"/>
        <w:ind w:firstLine="482" w:firstLineChars="200"/>
        <w:rPr>
          <w:rFonts w:ascii="宋体"/>
          <w:b/>
          <w:bCs/>
          <w:sz w:val="24"/>
        </w:rPr>
      </w:pPr>
      <w:r>
        <w:rPr>
          <w:rFonts w:hint="eastAsia" w:ascii="宋体" w:hAnsi="宋体"/>
          <w:b/>
          <w:bCs/>
          <w:sz w:val="24"/>
          <w:lang w:val="en-US" w:eastAsia="zh-CN"/>
        </w:rPr>
        <w:t>5</w:t>
      </w:r>
      <w:r>
        <w:rPr>
          <w:rFonts w:hint="eastAsia" w:ascii="宋体" w:hAnsi="宋体"/>
          <w:b/>
          <w:bCs/>
          <w:sz w:val="24"/>
        </w:rPr>
        <w:t>.有下列情况之一的投标文件为废标：</w:t>
      </w:r>
    </w:p>
    <w:p>
      <w:pPr>
        <w:spacing w:line="520" w:lineRule="exact"/>
        <w:ind w:firstLine="480" w:firstLineChars="200"/>
        <w:rPr>
          <w:rFonts w:ascii="宋体"/>
          <w:sz w:val="24"/>
        </w:rPr>
      </w:pPr>
      <w:r>
        <w:rPr>
          <w:rFonts w:hint="eastAsia" w:ascii="宋体" w:hAnsi="宋体"/>
          <w:sz w:val="24"/>
        </w:rPr>
        <w:t>⑴不响应节能分享方案或</w:t>
      </w:r>
      <w:r>
        <w:rPr>
          <w:rFonts w:hint="eastAsia" w:asciiTheme="minorEastAsia" w:hAnsiTheme="minorEastAsia" w:eastAsiaTheme="minorEastAsia" w:cstheme="minorEastAsia"/>
          <w:b w:val="0"/>
          <w:bCs w:val="0"/>
          <w:sz w:val="24"/>
        </w:rPr>
        <w:t>项目</w:t>
      </w:r>
      <w:r>
        <w:rPr>
          <w:rFonts w:hint="eastAsia" w:asciiTheme="minorEastAsia" w:hAnsiTheme="minorEastAsia" w:eastAsiaTheme="minorEastAsia" w:cstheme="minorEastAsia"/>
          <w:b w:val="0"/>
          <w:bCs w:val="0"/>
          <w:sz w:val="24"/>
          <w:lang w:eastAsia="zh-CN"/>
        </w:rPr>
        <w:t>能耗下降金额</w:t>
      </w:r>
      <w:r>
        <w:rPr>
          <w:rFonts w:hint="eastAsia" w:ascii="宋体" w:hAnsi="宋体"/>
          <w:sz w:val="24"/>
        </w:rPr>
        <w:t>不符合招标文件要求的；</w:t>
      </w:r>
    </w:p>
    <w:p>
      <w:pPr>
        <w:spacing w:line="520" w:lineRule="exact"/>
        <w:ind w:left="218" w:leftChars="104" w:firstLine="259" w:firstLineChars="108"/>
        <w:rPr>
          <w:rStyle w:val="30"/>
        </w:rPr>
      </w:pPr>
      <w:r>
        <w:rPr>
          <w:rFonts w:hint="eastAsia" w:ascii="宋体" w:hAnsi="宋体"/>
          <w:sz w:val="24"/>
        </w:rPr>
        <w:t>⑵未加盖投标人公章的；</w:t>
      </w:r>
    </w:p>
    <w:p>
      <w:pPr>
        <w:spacing w:line="520" w:lineRule="exact"/>
        <w:ind w:left="218" w:leftChars="104" w:firstLine="259" w:firstLineChars="108"/>
        <w:rPr>
          <w:rFonts w:ascii="宋体" w:hAnsi="宋体"/>
          <w:sz w:val="24"/>
        </w:rPr>
      </w:pPr>
      <w:r>
        <w:rPr>
          <w:rFonts w:hint="eastAsia" w:ascii="宋体" w:hAnsi="宋体"/>
          <w:sz w:val="24"/>
        </w:rPr>
        <w:t>⑶投标文件无法定代表人或委托代理人签字、盖章的；</w:t>
      </w:r>
    </w:p>
    <w:p>
      <w:pPr>
        <w:spacing w:line="520" w:lineRule="exact"/>
        <w:ind w:left="218" w:leftChars="104" w:firstLine="259" w:firstLineChars="108"/>
        <w:rPr>
          <w:rFonts w:ascii="宋体"/>
          <w:sz w:val="24"/>
        </w:rPr>
      </w:pPr>
      <w:r>
        <w:rPr>
          <w:rFonts w:hint="eastAsia" w:ascii="宋体" w:hAnsi="宋体"/>
          <w:sz w:val="24"/>
        </w:rPr>
        <w:t>⑷投标文件字迹潦草、模糊致使无法辨认的；</w:t>
      </w:r>
    </w:p>
    <w:p>
      <w:pPr>
        <w:spacing w:line="520" w:lineRule="exact"/>
        <w:ind w:left="218" w:leftChars="104" w:firstLine="259" w:firstLineChars="108"/>
        <w:rPr>
          <w:rFonts w:ascii="宋体"/>
          <w:sz w:val="24"/>
        </w:rPr>
      </w:pPr>
      <w:r>
        <w:rPr>
          <w:rFonts w:hint="eastAsia" w:ascii="宋体" w:hAnsi="宋体" w:cs="宋体"/>
          <w:sz w:val="24"/>
        </w:rPr>
        <w:t>⑸</w:t>
      </w:r>
      <w:r>
        <w:rPr>
          <w:rFonts w:hint="eastAsia" w:ascii="宋体" w:hAnsi="宋体"/>
          <w:sz w:val="24"/>
        </w:rPr>
        <w:t>投标单位在一份投标文件中，报有两个或多个不同报价，且未书面声明以哪个报价为准的；</w:t>
      </w:r>
    </w:p>
    <w:p>
      <w:pPr>
        <w:spacing w:line="520" w:lineRule="exact"/>
        <w:ind w:left="218" w:leftChars="104" w:firstLine="259" w:firstLineChars="108"/>
        <w:rPr>
          <w:rFonts w:ascii="宋体"/>
          <w:sz w:val="24"/>
        </w:rPr>
      </w:pPr>
      <w:r>
        <w:rPr>
          <w:rFonts w:hint="eastAsia" w:ascii="宋体" w:hAnsi="宋体" w:cs="宋体"/>
          <w:sz w:val="24"/>
        </w:rPr>
        <w:t>⑹</w:t>
      </w:r>
      <w:r>
        <w:rPr>
          <w:rFonts w:hint="eastAsia" w:ascii="宋体" w:hAnsi="宋体"/>
          <w:sz w:val="24"/>
        </w:rPr>
        <w:t>投标文件存在缺项、漏项的；</w:t>
      </w:r>
    </w:p>
    <w:p>
      <w:pPr>
        <w:spacing w:line="520" w:lineRule="exact"/>
        <w:ind w:left="218" w:leftChars="104" w:firstLine="259" w:firstLineChars="108"/>
        <w:rPr>
          <w:rFonts w:ascii="宋体"/>
          <w:sz w:val="24"/>
        </w:rPr>
      </w:pPr>
      <w:r>
        <w:rPr>
          <w:rFonts w:hint="eastAsia" w:ascii="宋体" w:hAnsi="宋体" w:cs="宋体"/>
          <w:sz w:val="24"/>
        </w:rPr>
        <w:t>⑺</w:t>
      </w:r>
      <w:r>
        <w:rPr>
          <w:rFonts w:hint="eastAsia" w:ascii="宋体" w:hAnsi="宋体"/>
          <w:sz w:val="24"/>
        </w:rPr>
        <w:t>评委委员会评议认为构成废标的其他情况；</w:t>
      </w:r>
    </w:p>
    <w:p>
      <w:pPr>
        <w:spacing w:line="520" w:lineRule="exact"/>
        <w:ind w:left="218" w:leftChars="104" w:firstLine="259" w:firstLineChars="108"/>
        <w:rPr>
          <w:rFonts w:ascii="宋体"/>
          <w:sz w:val="24"/>
        </w:rPr>
      </w:pPr>
      <w:r>
        <w:rPr>
          <w:rFonts w:hint="eastAsia" w:ascii="宋体" w:hAnsi="宋体" w:cs="宋体"/>
          <w:sz w:val="24"/>
        </w:rPr>
        <w:t>⑻</w:t>
      </w:r>
      <w:r>
        <w:rPr>
          <w:rFonts w:hint="eastAsia" w:ascii="宋体" w:hAnsi="宋体"/>
          <w:sz w:val="24"/>
        </w:rPr>
        <w:t>项目负责人未参加现场答辩的；</w:t>
      </w:r>
    </w:p>
    <w:p>
      <w:pPr>
        <w:spacing w:line="520" w:lineRule="exact"/>
        <w:ind w:firstLine="480" w:firstLineChars="200"/>
        <w:rPr>
          <w:rFonts w:ascii="宋体"/>
          <w:b/>
          <w:sz w:val="24"/>
        </w:rPr>
      </w:pPr>
      <w:r>
        <w:rPr>
          <w:rFonts w:hint="eastAsia" w:ascii="宋体" w:hAnsi="宋体" w:cs="宋体"/>
          <w:sz w:val="24"/>
        </w:rPr>
        <w:t>⑼</w:t>
      </w:r>
      <w:r>
        <w:rPr>
          <w:rFonts w:hint="eastAsia" w:ascii="宋体" w:hAnsi="宋体"/>
          <w:bCs/>
          <w:sz w:val="24"/>
        </w:rPr>
        <w:t>其他未实质性响应招标文件要求的。</w:t>
      </w:r>
    </w:p>
    <w:p>
      <w:pPr>
        <w:widowControl/>
        <w:spacing w:line="520" w:lineRule="exact"/>
        <w:ind w:firstLine="482" w:firstLineChars="200"/>
        <w:jc w:val="left"/>
        <w:rPr>
          <w:rFonts w:ascii="宋体"/>
          <w:b/>
          <w:bCs/>
          <w:sz w:val="24"/>
        </w:rPr>
      </w:pPr>
      <w:r>
        <w:rPr>
          <w:rFonts w:hint="eastAsia" w:ascii="宋体" w:hAnsi="宋体"/>
          <w:b/>
          <w:bCs/>
          <w:sz w:val="24"/>
          <w:lang w:val="en-US" w:eastAsia="zh-CN"/>
        </w:rPr>
        <w:t>6</w:t>
      </w:r>
      <w:r>
        <w:rPr>
          <w:rFonts w:hint="eastAsia" w:ascii="宋体" w:hAnsi="宋体"/>
          <w:b/>
          <w:bCs/>
          <w:sz w:val="24"/>
        </w:rPr>
        <w:t>．</w:t>
      </w:r>
      <w:r>
        <w:rPr>
          <w:rFonts w:hint="eastAsia" w:ascii="宋体" w:hAnsi="宋体" w:cs="宋体"/>
          <w:b/>
          <w:bCs/>
          <w:sz w:val="24"/>
        </w:rPr>
        <w:t>二次招标</w:t>
      </w:r>
    </w:p>
    <w:p>
      <w:pPr>
        <w:spacing w:line="580" w:lineRule="exact"/>
        <w:ind w:firstLine="480" w:firstLineChars="200"/>
        <w:rPr>
          <w:rFonts w:ascii="宋体" w:hAnsi="宋体"/>
          <w:kern w:val="0"/>
          <w:sz w:val="24"/>
        </w:rPr>
      </w:pPr>
      <w:r>
        <w:rPr>
          <w:rFonts w:hint="eastAsia" w:ascii="宋体" w:hAnsi="宋体" w:cs="宋体"/>
          <w:sz w:val="24"/>
          <w:lang w:val="en-US" w:eastAsia="zh-CN"/>
        </w:rPr>
        <w:t>6</w:t>
      </w:r>
      <w:r>
        <w:rPr>
          <w:rFonts w:ascii="宋体" w:hAnsi="宋体" w:cs="宋体"/>
          <w:sz w:val="24"/>
        </w:rPr>
        <w:t>.1</w:t>
      </w:r>
      <w:r>
        <w:rPr>
          <w:rFonts w:hint="eastAsia" w:ascii="宋体" w:hAnsi="宋体" w:cs="宋体"/>
          <w:sz w:val="24"/>
        </w:rPr>
        <w:t>如项目流标，招标人根据情况可能发布二次公告，进行二次招标。</w:t>
      </w:r>
      <w:r>
        <w:rPr>
          <w:rFonts w:hint="eastAsia" w:ascii="宋体" w:hAnsi="宋体"/>
          <w:kern w:val="0"/>
          <w:sz w:val="24"/>
        </w:rPr>
        <w:t>二次招标如符合专业条件的投标人或对招标文件作实质响应的投标人只有两家，评委会将视情况现场转为竞争性谈判；</w:t>
      </w:r>
    </w:p>
    <w:p>
      <w:pPr>
        <w:widowControl/>
        <w:spacing w:line="520" w:lineRule="exact"/>
        <w:ind w:firstLine="480" w:firstLineChars="200"/>
        <w:jc w:val="left"/>
        <w:rPr>
          <w:rFonts w:ascii="宋体"/>
          <w:b/>
          <w:bCs/>
          <w:sz w:val="24"/>
        </w:rPr>
      </w:pPr>
      <w:r>
        <w:rPr>
          <w:rFonts w:hint="eastAsia" w:ascii="宋体" w:hAnsi="宋体" w:cs="宋体"/>
          <w:sz w:val="24"/>
          <w:lang w:val="en-US" w:eastAsia="zh-CN"/>
        </w:rPr>
        <w:t>6</w:t>
      </w:r>
      <w:r>
        <w:rPr>
          <w:rFonts w:ascii="宋体" w:hAnsi="宋体" w:cs="宋体"/>
          <w:sz w:val="24"/>
        </w:rPr>
        <w:t>.2</w:t>
      </w:r>
      <w:r>
        <w:rPr>
          <w:rFonts w:hint="eastAsia" w:ascii="宋体" w:hAnsi="宋体" w:cs="宋体"/>
          <w:sz w:val="24"/>
        </w:rPr>
        <w:t>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widowControl/>
        <w:spacing w:line="520" w:lineRule="exact"/>
        <w:ind w:firstLine="480" w:firstLineChars="200"/>
        <w:jc w:val="left"/>
        <w:rPr>
          <w:rFonts w:ascii="宋体"/>
          <w:b/>
          <w:bCs/>
          <w:sz w:val="24"/>
        </w:rPr>
      </w:pPr>
      <w:r>
        <w:rPr>
          <w:rFonts w:hint="eastAsia" w:ascii="宋体" w:hAnsi="宋体" w:cs="宋体"/>
          <w:sz w:val="24"/>
          <w:lang w:val="en-US" w:eastAsia="zh-CN"/>
        </w:rPr>
        <w:t>6</w:t>
      </w:r>
      <w:r>
        <w:rPr>
          <w:rFonts w:ascii="宋体" w:hAnsi="宋体" w:cs="宋体"/>
          <w:sz w:val="24"/>
        </w:rPr>
        <w:t>.3</w:t>
      </w:r>
      <w:r>
        <w:rPr>
          <w:rFonts w:hint="eastAsia" w:ascii="宋体" w:hAnsi="宋体" w:cs="宋体"/>
          <w:sz w:val="24"/>
        </w:rPr>
        <w:t>前次招标流标后，投标人如继续参加二次投标，投标保证金无需重复缴纳。如不参加二次投标的的投标人须书面告知招标人，招标人在规定时间内予以退还投标保证金。</w:t>
      </w:r>
    </w:p>
    <w:p>
      <w:pPr>
        <w:spacing w:line="520" w:lineRule="exact"/>
        <w:ind w:firstLine="482" w:firstLineChars="200"/>
        <w:rPr>
          <w:rFonts w:ascii="宋体"/>
          <w:b/>
          <w:bCs/>
          <w:kern w:val="0"/>
          <w:sz w:val="24"/>
        </w:rPr>
      </w:pPr>
      <w:r>
        <w:rPr>
          <w:rFonts w:hint="eastAsia" w:ascii="宋体" w:hAnsi="宋体" w:cs="宋体"/>
          <w:b/>
          <w:bCs/>
          <w:kern w:val="0"/>
          <w:sz w:val="24"/>
          <w:lang w:val="en-US" w:eastAsia="zh-CN"/>
        </w:rPr>
        <w:t>6</w:t>
      </w:r>
      <w:r>
        <w:rPr>
          <w:rFonts w:hint="eastAsia" w:ascii="宋体" w:hAnsi="宋体" w:cs="宋体"/>
          <w:b/>
          <w:bCs/>
          <w:kern w:val="0"/>
          <w:sz w:val="24"/>
        </w:rPr>
        <w:t>.4招标人依据公开、公平、公正原则进行评定标，投标人若认为本次招标过程中存在有违“三公”原则的，可向监标人书面投诉（只接受书面投诉）；联系地址：合肥市黄山路</w:t>
      </w:r>
      <w:r>
        <w:rPr>
          <w:rFonts w:ascii="宋体" w:hAnsi="宋体" w:cs="宋体"/>
          <w:b/>
          <w:bCs/>
          <w:kern w:val="0"/>
          <w:sz w:val="24"/>
        </w:rPr>
        <w:t>596</w:t>
      </w:r>
      <w:r>
        <w:rPr>
          <w:rFonts w:hint="eastAsia" w:ascii="宋体" w:hAnsi="宋体" w:cs="宋体"/>
          <w:b/>
          <w:bCs/>
          <w:kern w:val="0"/>
          <w:sz w:val="24"/>
        </w:rPr>
        <w:t>号</w:t>
      </w:r>
      <w:r>
        <w:rPr>
          <w:rFonts w:ascii="宋体" w:hAnsi="宋体" w:cs="宋体"/>
          <w:b/>
          <w:bCs/>
          <w:kern w:val="0"/>
          <w:sz w:val="24"/>
        </w:rPr>
        <w:t>A</w:t>
      </w:r>
      <w:r>
        <w:rPr>
          <w:rFonts w:hint="eastAsia" w:ascii="宋体" w:hAnsi="宋体" w:cs="宋体"/>
          <w:b/>
          <w:bCs/>
          <w:kern w:val="0"/>
          <w:sz w:val="24"/>
        </w:rPr>
        <w:t>楼</w:t>
      </w:r>
      <w:r>
        <w:rPr>
          <w:rFonts w:ascii="宋体" w:hAnsi="宋体" w:cs="宋体"/>
          <w:b/>
          <w:bCs/>
          <w:kern w:val="0"/>
          <w:sz w:val="24"/>
        </w:rPr>
        <w:t>1503</w:t>
      </w:r>
      <w:r>
        <w:rPr>
          <w:rFonts w:hint="eastAsia" w:ascii="宋体" w:hAnsi="宋体" w:cs="宋体"/>
          <w:b/>
          <w:bCs/>
          <w:kern w:val="0"/>
          <w:sz w:val="24"/>
        </w:rPr>
        <w:t>室百大集团纪检监察室。</w:t>
      </w:r>
    </w:p>
    <w:p>
      <w:pPr>
        <w:spacing w:line="520" w:lineRule="exact"/>
        <w:ind w:firstLine="241" w:firstLineChars="100"/>
        <w:rPr>
          <w:rFonts w:ascii="宋体"/>
          <w:b/>
          <w:sz w:val="24"/>
        </w:rPr>
      </w:pPr>
      <w:r>
        <w:rPr>
          <w:rFonts w:hint="eastAsia" w:ascii="宋体" w:hAnsi="宋体"/>
          <w:b/>
          <w:sz w:val="24"/>
        </w:rPr>
        <w:t>四、答疑及招标文件的澄清与修改</w:t>
      </w:r>
    </w:p>
    <w:p>
      <w:pPr>
        <w:spacing w:line="520" w:lineRule="exact"/>
        <w:ind w:firstLine="480" w:firstLineChars="200"/>
        <w:rPr>
          <w:rFonts w:ascii="宋体"/>
          <w:sz w:val="24"/>
        </w:rPr>
      </w:pPr>
      <w:r>
        <w:rPr>
          <w:rFonts w:ascii="宋体" w:hAnsi="宋体"/>
          <w:sz w:val="24"/>
        </w:rPr>
        <w:t>1</w:t>
      </w:r>
      <w:r>
        <w:rPr>
          <w:rFonts w:hint="eastAsia" w:ascii="宋体" w:hAnsi="宋体"/>
          <w:sz w:val="24"/>
        </w:rPr>
        <w:t>．投标人如果对招标文件有相关疑问，可以于投标人须知前附表列明的答疑接受时间前，按照第一章联系人及联系方式向我公司提出（疑问文件以文档形式提供，如</w:t>
      </w:r>
      <w:r>
        <w:rPr>
          <w:rFonts w:ascii="宋体" w:hAnsi="宋体"/>
          <w:sz w:val="24"/>
        </w:rPr>
        <w:t>WORD</w:t>
      </w:r>
      <w:r>
        <w:rPr>
          <w:rFonts w:hint="eastAsia" w:ascii="宋体" w:hAnsi="宋体"/>
          <w:sz w:val="24"/>
        </w:rPr>
        <w:t>文档等）。</w:t>
      </w:r>
    </w:p>
    <w:p>
      <w:pPr>
        <w:spacing w:line="520" w:lineRule="exact"/>
        <w:ind w:firstLine="480" w:firstLineChars="200"/>
        <w:rPr>
          <w:rFonts w:ascii="宋体"/>
          <w:sz w:val="24"/>
        </w:rPr>
      </w:pPr>
      <w:r>
        <w:rPr>
          <w:rFonts w:ascii="宋体" w:hAnsi="宋体"/>
          <w:sz w:val="24"/>
        </w:rPr>
        <w:t>2</w:t>
      </w:r>
      <w:r>
        <w:rPr>
          <w:rFonts w:hint="eastAsia" w:ascii="宋体" w:hAnsi="宋体"/>
          <w:sz w:val="24"/>
        </w:rPr>
        <w:t>．如招标文件存在不一致时，优先顺序如下：（</w:t>
      </w:r>
      <w:r>
        <w:rPr>
          <w:rFonts w:ascii="宋体" w:hAnsi="宋体"/>
          <w:sz w:val="24"/>
        </w:rPr>
        <w:t>1</w:t>
      </w:r>
      <w:r>
        <w:rPr>
          <w:rFonts w:hint="eastAsia" w:ascii="宋体" w:hAnsi="宋体"/>
          <w:sz w:val="24"/>
        </w:rPr>
        <w:t>）招标公告；（</w:t>
      </w:r>
      <w:r>
        <w:rPr>
          <w:rFonts w:ascii="宋体" w:hAnsi="宋体"/>
          <w:sz w:val="24"/>
        </w:rPr>
        <w:t>2</w:t>
      </w:r>
      <w:r>
        <w:rPr>
          <w:rFonts w:hint="eastAsia" w:ascii="宋体" w:hAnsi="宋体"/>
          <w:sz w:val="24"/>
        </w:rPr>
        <w:t>）投标人须知前附表；（</w:t>
      </w:r>
      <w:r>
        <w:rPr>
          <w:rFonts w:ascii="宋体" w:hAnsi="宋体"/>
          <w:sz w:val="24"/>
        </w:rPr>
        <w:t>3</w:t>
      </w:r>
      <w:r>
        <w:rPr>
          <w:rFonts w:hint="eastAsia" w:ascii="宋体" w:hAnsi="宋体"/>
          <w:sz w:val="24"/>
        </w:rPr>
        <w:t>）招标需求；（</w:t>
      </w:r>
      <w:r>
        <w:rPr>
          <w:rFonts w:ascii="宋体" w:hAnsi="宋体"/>
          <w:sz w:val="24"/>
        </w:rPr>
        <w:t>4</w:t>
      </w:r>
      <w:r>
        <w:rPr>
          <w:rFonts w:hint="eastAsia" w:ascii="宋体" w:hAnsi="宋体"/>
          <w:sz w:val="24"/>
        </w:rPr>
        <w:t>）评标办法；（</w:t>
      </w:r>
      <w:r>
        <w:rPr>
          <w:rFonts w:ascii="宋体" w:hAnsi="宋体"/>
          <w:sz w:val="24"/>
        </w:rPr>
        <w:t>5</w:t>
      </w:r>
      <w:r>
        <w:rPr>
          <w:rFonts w:hint="eastAsia" w:ascii="宋体" w:hAnsi="宋体"/>
          <w:sz w:val="24"/>
        </w:rPr>
        <w:t>）其他。</w:t>
      </w:r>
    </w:p>
    <w:p>
      <w:pPr>
        <w:spacing w:line="520" w:lineRule="exact"/>
        <w:ind w:firstLine="480" w:firstLineChars="200"/>
        <w:rPr>
          <w:rFonts w:ascii="宋体"/>
          <w:sz w:val="24"/>
        </w:rPr>
      </w:pPr>
      <w:r>
        <w:rPr>
          <w:rFonts w:ascii="宋体" w:hAnsi="宋体"/>
          <w:sz w:val="24"/>
        </w:rPr>
        <w:t>3</w:t>
      </w:r>
      <w:r>
        <w:rPr>
          <w:rFonts w:hint="eastAsia" w:ascii="宋体" w:hAnsi="宋体"/>
          <w:sz w:val="24"/>
        </w:rPr>
        <w:t>．我公司对招标文件进行的答疑、澄清、变更或补充，将在网站上及时发布，该公告内容为招标文件的组成部分，对投标人具有同样约束效力。当招标文件、招标文件的答疑、澄清、变更或补充等在同一内容的表述上不一致时，以最后发出的书面文件为准。投标人应主动上网查询。我公司不承担投标人未及时关注相关信息引发的相关责任。</w:t>
      </w:r>
    </w:p>
    <w:p>
      <w:pPr>
        <w:spacing w:line="520" w:lineRule="exact"/>
        <w:ind w:firstLine="480" w:firstLineChars="200"/>
        <w:rPr>
          <w:rFonts w:ascii="宋体"/>
          <w:sz w:val="24"/>
        </w:rPr>
      </w:pPr>
      <w:r>
        <w:rPr>
          <w:rFonts w:ascii="宋体" w:hAnsi="宋体"/>
          <w:sz w:val="24"/>
        </w:rPr>
        <w:t>4</w:t>
      </w:r>
      <w:r>
        <w:rPr>
          <w:rFonts w:hint="eastAsia" w:ascii="宋体" w:hAnsi="宋体"/>
          <w:sz w:val="24"/>
        </w:rPr>
        <w:t>．在开标前，我公司可以视招标具体情况，延长开标时间，并在招标文件要求提交投标文件的截止时间三日前，在网站上发布变更公告。在上述情况下，我公司和投标人在投标截止期方面的全部权力、责任和义务，将适用于延长后新的投标截止期。</w:t>
      </w:r>
    </w:p>
    <w:p>
      <w:pPr>
        <w:spacing w:line="520" w:lineRule="exact"/>
        <w:ind w:firstLine="480" w:firstLineChars="200"/>
        <w:rPr>
          <w:rFonts w:ascii="宋体"/>
          <w:b/>
          <w:sz w:val="24"/>
        </w:rPr>
      </w:pPr>
      <w:r>
        <w:rPr>
          <w:rFonts w:ascii="宋体" w:hAnsi="宋体"/>
          <w:sz w:val="24"/>
        </w:rPr>
        <w:t>5</w:t>
      </w:r>
      <w:r>
        <w:rPr>
          <w:rFonts w:hint="eastAsia" w:ascii="宋体" w:hAnsi="宋体"/>
          <w:sz w:val="24"/>
        </w:rPr>
        <w:t>．为有助于投标文件的审查、评估和比较，招标人有权向投标人质疑并请投标人澄清其投标内容。</w:t>
      </w:r>
      <w:r>
        <w:rPr>
          <w:rFonts w:hint="eastAsia" w:ascii="宋体" w:hAnsi="宋体"/>
          <w:b/>
          <w:sz w:val="24"/>
        </w:rPr>
        <w:t>投标人应当按照招标人通知的时间、地点，指派专人进行答疑和澄清。</w:t>
      </w:r>
    </w:p>
    <w:p>
      <w:pPr>
        <w:spacing w:line="520" w:lineRule="exact"/>
        <w:ind w:firstLine="480" w:firstLineChars="200"/>
        <w:rPr>
          <w:rFonts w:ascii="宋体"/>
          <w:sz w:val="24"/>
        </w:rPr>
      </w:pPr>
      <w:r>
        <w:rPr>
          <w:rFonts w:ascii="宋体" w:hAnsi="宋体"/>
          <w:sz w:val="24"/>
        </w:rPr>
        <w:t>6</w:t>
      </w:r>
      <w:r>
        <w:rPr>
          <w:rFonts w:hint="eastAsia" w:ascii="宋体" w:hAnsi="宋体"/>
          <w:sz w:val="24"/>
        </w:rPr>
        <w:t>．重要的澄清应是书面的，但不得对投标内容进行实质性修改。</w:t>
      </w:r>
    </w:p>
    <w:p>
      <w:pPr>
        <w:spacing w:line="520" w:lineRule="exact"/>
        <w:ind w:firstLine="236" w:firstLineChars="98"/>
        <w:rPr>
          <w:rFonts w:ascii="宋体"/>
          <w:b/>
          <w:sz w:val="24"/>
        </w:rPr>
      </w:pPr>
      <w:r>
        <w:rPr>
          <w:rFonts w:hint="eastAsia" w:ascii="宋体" w:hAnsi="宋体"/>
          <w:b/>
          <w:sz w:val="24"/>
        </w:rPr>
        <w:t>五、服务合同的确定</w:t>
      </w:r>
    </w:p>
    <w:p>
      <w:pPr>
        <w:spacing w:line="520" w:lineRule="exact"/>
        <w:ind w:firstLine="480" w:firstLineChars="200"/>
        <w:rPr>
          <w:rFonts w:ascii="宋体"/>
          <w:sz w:val="24"/>
        </w:rPr>
      </w:pPr>
      <w:r>
        <w:rPr>
          <w:rFonts w:ascii="宋体" w:hAnsi="宋体"/>
          <w:sz w:val="24"/>
        </w:rPr>
        <w:t>1.</w:t>
      </w:r>
      <w:r>
        <w:rPr>
          <w:rFonts w:hint="eastAsia" w:ascii="宋体" w:hAnsi="宋体"/>
          <w:sz w:val="24"/>
        </w:rPr>
        <w:t>确定中标人及相关事宜后，甲方（招标人）、乙方（中标人）签订服务合同；</w:t>
      </w:r>
    </w:p>
    <w:p>
      <w:pPr>
        <w:spacing w:line="520" w:lineRule="exact"/>
        <w:ind w:firstLine="480" w:firstLineChars="200"/>
        <w:rPr>
          <w:rFonts w:ascii="宋体"/>
          <w:sz w:val="24"/>
        </w:rPr>
      </w:pPr>
      <w:r>
        <w:rPr>
          <w:rFonts w:ascii="宋体" w:hAnsi="宋体"/>
          <w:sz w:val="24"/>
        </w:rPr>
        <w:t>2.</w:t>
      </w:r>
      <w:r>
        <w:rPr>
          <w:rFonts w:hint="eastAsia" w:ascii="宋体" w:hAnsi="宋体"/>
          <w:sz w:val="24"/>
        </w:rPr>
        <w:t>招标文件、中标人的投标文件（含澄清文件）均为签订合同不可分割的一部分；</w:t>
      </w:r>
    </w:p>
    <w:p>
      <w:pPr>
        <w:spacing w:line="520" w:lineRule="exact"/>
        <w:ind w:firstLine="480" w:firstLineChars="200"/>
        <w:rPr>
          <w:rFonts w:ascii="宋体"/>
          <w:sz w:val="24"/>
        </w:rPr>
      </w:pPr>
      <w:r>
        <w:rPr>
          <w:rFonts w:ascii="宋体" w:hAnsi="宋体"/>
          <w:sz w:val="24"/>
        </w:rPr>
        <w:t>3.</w:t>
      </w:r>
      <w:r>
        <w:rPr>
          <w:rFonts w:hint="eastAsia" w:ascii="宋体" w:hAnsi="宋体"/>
          <w:sz w:val="24"/>
        </w:rPr>
        <w:t>无特殊原因乙方拒不履行合同，招标方可单方面取消其中标资格，并追究违约责任，且我公司将拒不接洽随后的同类型招标。</w:t>
      </w:r>
    </w:p>
    <w:p>
      <w:pPr>
        <w:spacing w:line="520" w:lineRule="exact"/>
        <w:ind w:firstLine="236" w:firstLineChars="98"/>
        <w:rPr>
          <w:rFonts w:ascii="宋体"/>
          <w:b/>
          <w:sz w:val="24"/>
        </w:rPr>
      </w:pPr>
      <w:r>
        <w:rPr>
          <w:rFonts w:hint="eastAsia" w:ascii="宋体" w:hAnsi="宋体"/>
          <w:b/>
          <w:sz w:val="24"/>
        </w:rPr>
        <w:t>六、履约保证金</w:t>
      </w:r>
    </w:p>
    <w:p>
      <w:pPr>
        <w:spacing w:line="520" w:lineRule="exact"/>
        <w:ind w:firstLine="480" w:firstLineChars="200"/>
        <w:rPr>
          <w:rFonts w:ascii="宋体"/>
          <w:dstrike/>
          <w:sz w:val="24"/>
        </w:rPr>
      </w:pPr>
      <w:r>
        <w:rPr>
          <w:rFonts w:ascii="宋体" w:hAnsi="宋体"/>
          <w:sz w:val="24"/>
        </w:rPr>
        <w:t>1.</w:t>
      </w:r>
      <w:r>
        <w:rPr>
          <w:rFonts w:hint="eastAsia" w:ascii="宋体" w:hAnsi="宋体"/>
          <w:sz w:val="24"/>
        </w:rPr>
        <w:t>签订合同前，投标人应提交履约保证金。履约保证金金额、收受方式及收受人见投标人须知前附表规定。</w:t>
      </w:r>
    </w:p>
    <w:p>
      <w:pPr>
        <w:spacing w:line="520" w:lineRule="exact"/>
        <w:ind w:firstLine="480" w:firstLineChars="200"/>
        <w:rPr>
          <w:rFonts w:ascii="宋体"/>
          <w:sz w:val="24"/>
        </w:rPr>
      </w:pPr>
      <w:r>
        <w:rPr>
          <w:rFonts w:ascii="宋体" w:hAnsi="宋体"/>
          <w:sz w:val="24"/>
        </w:rPr>
        <w:t>2.</w:t>
      </w:r>
      <w:r>
        <w:rPr>
          <w:rFonts w:hint="eastAsia" w:ascii="宋体" w:hAnsi="宋体"/>
          <w:sz w:val="24"/>
        </w:rPr>
        <w:t>投标人须知前附表约定收取定额履约保证金或免收履约保证金的，从其规定。</w:t>
      </w:r>
    </w:p>
    <w:p>
      <w:pPr>
        <w:spacing w:line="520" w:lineRule="exact"/>
        <w:ind w:firstLine="480" w:firstLineChars="200"/>
        <w:rPr>
          <w:rFonts w:ascii="宋体"/>
          <w:sz w:val="24"/>
        </w:rPr>
      </w:pPr>
      <w:r>
        <w:rPr>
          <w:rFonts w:ascii="宋体" w:hAnsi="宋体"/>
          <w:sz w:val="24"/>
        </w:rPr>
        <w:t>3.</w:t>
      </w:r>
      <w:r>
        <w:rPr>
          <w:rFonts w:hint="eastAsia" w:ascii="宋体" w:hAnsi="宋体"/>
          <w:sz w:val="24"/>
        </w:rPr>
        <w:t>如果中标人未按规定交纳履约保证金，招标人有权取消其中标资格，并没收其投标保证金。</w:t>
      </w:r>
    </w:p>
    <w:p>
      <w:pPr>
        <w:spacing w:line="440" w:lineRule="exact"/>
        <w:rPr>
          <w:rFonts w:asciiTheme="minorEastAsia" w:hAnsiTheme="minorEastAsia" w:eastAsiaTheme="minorEastAsia" w:cstheme="minorEastAsia"/>
          <w:sz w:val="24"/>
        </w:rPr>
      </w:pPr>
    </w:p>
    <w:p>
      <w:pPr>
        <w:widowControl/>
        <w:jc w:val="left"/>
        <w:rPr>
          <w:rFonts w:asciiTheme="minorEastAsia" w:hAnsiTheme="minorEastAsia" w:eastAsiaTheme="minorEastAsia" w:cstheme="minorEastAsia"/>
          <w:b/>
          <w:bCs/>
          <w:kern w:val="32"/>
          <w:sz w:val="28"/>
          <w:szCs w:val="28"/>
        </w:rPr>
      </w:pPr>
      <w:bookmarkStart w:id="7" w:name="_Toc13732419"/>
      <w:bookmarkStart w:id="8" w:name="_Toc491005867"/>
    </w:p>
    <w:p>
      <w:pPr>
        <w:widowControl/>
        <w:jc w:val="left"/>
        <w:rPr>
          <w:rFonts w:asciiTheme="minorEastAsia" w:hAnsiTheme="minorEastAsia" w:eastAsiaTheme="minorEastAsia" w:cstheme="minorEastAsia"/>
          <w:b/>
          <w:bCs/>
          <w:kern w:val="32"/>
          <w:sz w:val="28"/>
          <w:szCs w:val="28"/>
        </w:rPr>
      </w:pPr>
      <w:r>
        <w:rPr>
          <w:rFonts w:asciiTheme="minorEastAsia" w:hAnsiTheme="minorEastAsia" w:eastAsiaTheme="minorEastAsia" w:cstheme="minorEastAsia"/>
          <w:sz w:val="28"/>
          <w:szCs w:val="28"/>
        </w:rPr>
        <w:br w:type="page"/>
      </w:r>
    </w:p>
    <w:p>
      <w:pPr>
        <w:pStyle w:val="2"/>
        <w:numPr>
          <w:ilvl w:val="0"/>
          <w:numId w:val="0"/>
        </w:num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第四章  招标需求</w:t>
      </w:r>
      <w:bookmarkEnd w:id="7"/>
      <w:bookmarkEnd w:id="8"/>
    </w:p>
    <w:p>
      <w:pPr>
        <w:spacing w:line="520" w:lineRule="exact"/>
        <w:rPr>
          <w:rFonts w:asciiTheme="minorEastAsia" w:hAnsiTheme="minorEastAsia" w:eastAsiaTheme="minorEastAsia" w:cstheme="minorEastAsia"/>
          <w:sz w:val="24"/>
        </w:rPr>
      </w:pPr>
      <w:bookmarkStart w:id="9" w:name="_Toc484762213"/>
      <w:bookmarkStart w:id="10" w:name="_Toc486253611"/>
      <w:bookmarkStart w:id="11" w:name="_Toc486254518"/>
      <w:bookmarkStart w:id="12" w:name="_Toc486433794"/>
      <w:r>
        <w:rPr>
          <w:rFonts w:hint="eastAsia" w:asciiTheme="minorEastAsia" w:hAnsiTheme="minorEastAsia" w:eastAsiaTheme="minorEastAsia" w:cstheme="minorEastAsia"/>
          <w:sz w:val="24"/>
        </w:rPr>
        <w:t>前注：</w:t>
      </w:r>
    </w:p>
    <w:p>
      <w:pPr>
        <w:spacing w:line="520" w:lineRule="exact"/>
        <w:ind w:firstLine="480" w:firstLineChars="200"/>
        <w:rPr>
          <w:rFonts w:asciiTheme="minorEastAsia" w:hAnsiTheme="minorEastAsia" w:eastAsiaTheme="minorEastAsia" w:cstheme="minorEastAsia"/>
          <w:b/>
          <w:sz w:val="24"/>
          <w:u w:val="single"/>
        </w:rPr>
      </w:pPr>
      <w:bookmarkStart w:id="13" w:name="_Toc13732420"/>
      <w:r>
        <w:rPr>
          <w:rFonts w:hint="eastAsia" w:asciiTheme="minorEastAsia" w:hAnsiTheme="minorEastAsia" w:eastAsiaTheme="minorEastAsia" w:cstheme="minorEastAsia"/>
          <w:sz w:val="24"/>
        </w:rPr>
        <w:t>1.本需求中提出的技术方案仅为参考，如无明确限制，投标人可以进行优化，提供满足用户实际需要的更优（或者性能实质上不低于的）技术方案或者设备配置，且此方案或配置须经评标委员会审核认可；</w:t>
      </w:r>
      <w:r>
        <w:rPr>
          <w:rFonts w:hint="eastAsia" w:asciiTheme="minorEastAsia" w:hAnsiTheme="minorEastAsia" w:eastAsiaTheme="minorEastAsia" w:cstheme="minorEastAsia"/>
          <w:sz w:val="24"/>
        </w:rPr>
        <w:cr/>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2.为鼓励不同品牌的充分竞争，如某设备的某技术参数或要求属于个别品牌专有，则该技术参数及要求不具有限制性，投标人可对该参数或要求进行适当调整，并应当说明调整的理由，且此调整须经评标委员会审核认可；</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委员会评审，未提供的或评审不通过的投标无效。</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投标人应当在投标文件中列出完成本项目并通过验收所需的所有各项服务等明细表及全部费用。中标人必须确保整体通过用户方及有关主管部门验收,所发生的验收费用由中标人承担；投标人应自行踏勘施工建设现场，如投标人因未及时踏勘现场而导致的报价缺项漏项废标、或中标后无法完工，投标人自行承担一切后果；</w:t>
      </w:r>
    </w:p>
    <w:p>
      <w:pPr>
        <w:pStyle w:val="4"/>
        <w:spacing w:line="5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一、项目概述</w:t>
      </w:r>
      <w:bookmarkEnd w:id="9"/>
      <w:bookmarkEnd w:id="10"/>
      <w:bookmarkEnd w:id="11"/>
      <w:bookmarkEnd w:id="12"/>
      <w:bookmarkEnd w:id="13"/>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合肥百货大楼集团蚌埠百货大楼有限责任公司项目建筑物地上10层，地下1层，建筑面积2.6万平方</w:t>
      </w:r>
      <w:r>
        <w:rPr>
          <w:rFonts w:hint="eastAsia" w:asciiTheme="minorEastAsia" w:hAnsiTheme="minorEastAsia" w:eastAsiaTheme="minorEastAsia" w:cstheme="minorEastAsia"/>
          <w:sz w:val="24"/>
          <w:lang w:val="en-US" w:eastAsia="zh-CN"/>
        </w:rPr>
        <w:t>米</w:t>
      </w:r>
      <w:r>
        <w:rPr>
          <w:rFonts w:hint="eastAsia" w:asciiTheme="minorEastAsia" w:hAnsiTheme="minorEastAsia" w:eastAsiaTheme="minorEastAsia" w:cstheme="minorEastAsia"/>
          <w:sz w:val="24"/>
        </w:rPr>
        <w:t>，营业面积1.6万平方</w:t>
      </w:r>
      <w:r>
        <w:rPr>
          <w:rFonts w:hint="eastAsia" w:asciiTheme="minorEastAsia" w:hAnsiTheme="minorEastAsia" w:eastAsiaTheme="minorEastAsia" w:cstheme="minorEastAsia"/>
          <w:sz w:val="24"/>
          <w:lang w:val="en-US" w:eastAsia="zh-CN"/>
        </w:rPr>
        <w:t>米</w:t>
      </w:r>
      <w:r>
        <w:rPr>
          <w:rFonts w:hint="eastAsia" w:asciiTheme="minorEastAsia" w:hAnsiTheme="minorEastAsia" w:eastAsiaTheme="minorEastAsia" w:cstheme="minorEastAsia"/>
          <w:sz w:val="24"/>
        </w:rPr>
        <w:t>，项目中央空调系统现为托管式合同管理，共设置3台溴化锂吸收式机组进行供冷供暖，建筑使用的输配系统采用冷冻水泵、冷却水泵各4台（三用一备），冷却塔方面与制冷主机一对一使用，共3台。中央空调机组每年制冷运行时段大致为：4月中旬-10月中旬；采暖运行时段大致为11月-3月初。经营时间为8:50-21:00（重大活动、节假日延迟营业时间）。现有主要用能设备、性能参数如下表所示：</w:t>
      </w:r>
    </w:p>
    <w:tbl>
      <w:tblPr>
        <w:tblStyle w:val="27"/>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3965"/>
        <w:gridCol w:w="1449"/>
        <w:gridCol w:w="1502"/>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27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396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设备名称与规格</w:t>
            </w:r>
          </w:p>
        </w:tc>
        <w:tc>
          <w:tcPr>
            <w:tcW w:w="1449"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投入使用年份</w:t>
            </w:r>
          </w:p>
        </w:tc>
        <w:tc>
          <w:tcPr>
            <w:tcW w:w="1502"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数量（台）</w:t>
            </w:r>
          </w:p>
        </w:tc>
        <w:tc>
          <w:tcPr>
            <w:tcW w:w="1348"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功率（kw）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7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396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溴化锂吸收式冷水机组BZ100VID</w:t>
            </w:r>
          </w:p>
        </w:tc>
        <w:tc>
          <w:tcPr>
            <w:tcW w:w="1449"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1996</w:t>
            </w:r>
          </w:p>
        </w:tc>
        <w:tc>
          <w:tcPr>
            <w:tcW w:w="1502"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348"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396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空调水泵IS150-125-400A</w:t>
            </w:r>
          </w:p>
        </w:tc>
        <w:tc>
          <w:tcPr>
            <w:tcW w:w="1449"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1996</w:t>
            </w:r>
          </w:p>
        </w:tc>
        <w:tc>
          <w:tcPr>
            <w:tcW w:w="1502"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348"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396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空调水泵GDD150-32</w:t>
            </w:r>
          </w:p>
        </w:tc>
        <w:tc>
          <w:tcPr>
            <w:tcW w:w="1449"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2010</w:t>
            </w:r>
          </w:p>
        </w:tc>
        <w:tc>
          <w:tcPr>
            <w:tcW w:w="1502"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348"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396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冷却水泵IS200-150-315</w:t>
            </w:r>
          </w:p>
        </w:tc>
        <w:tc>
          <w:tcPr>
            <w:tcW w:w="1449"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1996</w:t>
            </w:r>
          </w:p>
        </w:tc>
        <w:tc>
          <w:tcPr>
            <w:tcW w:w="1502"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348"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396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冷却水泵GDD200-32A</w:t>
            </w:r>
          </w:p>
        </w:tc>
        <w:tc>
          <w:tcPr>
            <w:tcW w:w="1449"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2010</w:t>
            </w:r>
          </w:p>
        </w:tc>
        <w:tc>
          <w:tcPr>
            <w:tcW w:w="1502"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348"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396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冷却塔ST-400T</w:t>
            </w:r>
          </w:p>
        </w:tc>
        <w:tc>
          <w:tcPr>
            <w:tcW w:w="1449"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2014</w:t>
            </w:r>
          </w:p>
        </w:tc>
        <w:tc>
          <w:tcPr>
            <w:tcW w:w="1502"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348"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396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空调风柜YSM-B30VIE6R0D0A</w:t>
            </w:r>
          </w:p>
        </w:tc>
        <w:tc>
          <w:tcPr>
            <w:tcW w:w="1449"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2014</w:t>
            </w:r>
          </w:p>
        </w:tc>
        <w:tc>
          <w:tcPr>
            <w:tcW w:w="1502"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1348"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396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空调风柜YSM-B25VIE6R0D1A</w:t>
            </w:r>
          </w:p>
        </w:tc>
        <w:tc>
          <w:tcPr>
            <w:tcW w:w="1449"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2013</w:t>
            </w:r>
          </w:p>
        </w:tc>
        <w:tc>
          <w:tcPr>
            <w:tcW w:w="1502"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w:t>
            </w:r>
          </w:p>
        </w:tc>
        <w:tc>
          <w:tcPr>
            <w:tcW w:w="1348"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396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风机盘管FP-10</w:t>
            </w:r>
          </w:p>
        </w:tc>
        <w:tc>
          <w:tcPr>
            <w:tcW w:w="1449"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1996</w:t>
            </w:r>
          </w:p>
        </w:tc>
        <w:tc>
          <w:tcPr>
            <w:tcW w:w="1502"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w:t>
            </w:r>
          </w:p>
        </w:tc>
        <w:tc>
          <w:tcPr>
            <w:tcW w:w="1348"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w:t>
            </w:r>
          </w:p>
        </w:tc>
        <w:tc>
          <w:tcPr>
            <w:tcW w:w="396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暖风风幕机RM125-18-30D/Y-B-2-X</w:t>
            </w:r>
          </w:p>
        </w:tc>
        <w:tc>
          <w:tcPr>
            <w:tcW w:w="1449"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2018</w:t>
            </w:r>
          </w:p>
        </w:tc>
        <w:tc>
          <w:tcPr>
            <w:tcW w:w="1502"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1348"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w:t>
            </w:r>
          </w:p>
        </w:tc>
        <w:tc>
          <w:tcPr>
            <w:tcW w:w="396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变频控制柜BBK30X2-Q</w:t>
            </w:r>
          </w:p>
        </w:tc>
        <w:tc>
          <w:tcPr>
            <w:tcW w:w="1449"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2010</w:t>
            </w:r>
          </w:p>
        </w:tc>
        <w:tc>
          <w:tcPr>
            <w:tcW w:w="1502"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348"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396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软启控制柜BRK30X2-K</w:t>
            </w:r>
          </w:p>
        </w:tc>
        <w:tc>
          <w:tcPr>
            <w:tcW w:w="1449"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2010</w:t>
            </w:r>
          </w:p>
        </w:tc>
        <w:tc>
          <w:tcPr>
            <w:tcW w:w="1502"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348"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396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水泵配电柜</w:t>
            </w:r>
          </w:p>
        </w:tc>
        <w:tc>
          <w:tcPr>
            <w:tcW w:w="1449"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1996</w:t>
            </w:r>
          </w:p>
        </w:tc>
        <w:tc>
          <w:tcPr>
            <w:tcW w:w="1502"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1348"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bl>
    <w:p>
      <w:pPr>
        <w:spacing w:line="440" w:lineRule="exact"/>
        <w:rPr>
          <w:rFonts w:asciiTheme="minorEastAsia" w:hAnsiTheme="minorEastAsia" w:eastAsiaTheme="minorEastAsia" w:cstheme="minorEastAsia"/>
          <w:b/>
          <w:bCs/>
          <w:kern w:val="0"/>
          <w:sz w:val="24"/>
        </w:rPr>
      </w:pPr>
    </w:p>
    <w:p>
      <w:pPr>
        <w:spacing w:line="440" w:lineRule="exac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二、系统能耗情况：</w:t>
      </w:r>
      <w:bookmarkStart w:id="14" w:name="_Hlk49960253"/>
    </w:p>
    <w:p>
      <w:pPr>
        <w:pStyle w:val="33"/>
        <w:ind w:firstLine="420"/>
      </w:pPr>
    </w:p>
    <w:tbl>
      <w:tblPr>
        <w:tblStyle w:val="28"/>
        <w:tblW w:w="11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816"/>
        <w:gridCol w:w="816"/>
        <w:gridCol w:w="816"/>
        <w:gridCol w:w="816"/>
        <w:gridCol w:w="816"/>
        <w:gridCol w:w="816"/>
        <w:gridCol w:w="816"/>
        <w:gridCol w:w="816"/>
        <w:gridCol w:w="816"/>
        <w:gridCol w:w="816"/>
        <w:gridCol w:w="816"/>
        <w:gridCol w:w="816"/>
        <w:gridCol w:w="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124" w:type="dxa"/>
            <w:gridSpan w:val="14"/>
            <w:vAlign w:val="center"/>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百大集团蚌埠百货大楼2018年度用电能耗表（kw·h）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1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月份</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12月</w:t>
            </w:r>
          </w:p>
        </w:tc>
        <w:tc>
          <w:tcPr>
            <w:tcW w:w="9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1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耗量</w:t>
            </w: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132256 </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107145 </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100245 </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138073 </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160421 </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128398 </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195049 </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189939 </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153074 </w:t>
            </w:r>
          </w:p>
          <w:p>
            <w:pPr>
              <w:spacing w:before="100" w:beforeAutospacing="1" w:after="100" w:afterAutospacing="1"/>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147287 </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90717 </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141950 </w:t>
            </w:r>
          </w:p>
          <w:p>
            <w:pPr>
              <w:spacing w:before="100" w:beforeAutospacing="1" w:after="100" w:afterAutospacing="1"/>
              <w:jc w:val="center"/>
              <w:rPr>
                <w:rFonts w:asciiTheme="minorEastAsia" w:hAnsiTheme="minorEastAsia" w:eastAsiaTheme="minorEastAsia" w:cstheme="minorEastAsia"/>
                <w:sz w:val="20"/>
                <w:szCs w:val="20"/>
              </w:rPr>
            </w:pPr>
          </w:p>
        </w:tc>
        <w:tc>
          <w:tcPr>
            <w:tcW w:w="9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1684554 </w:t>
            </w:r>
          </w:p>
          <w:p>
            <w:pPr>
              <w:spacing w:before="100" w:beforeAutospacing="1" w:after="100" w:afterAutospacing="1"/>
              <w:jc w:val="center"/>
              <w:rPr>
                <w:rFonts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41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费用</w:t>
            </w: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119533.79</w:t>
            </w:r>
          </w:p>
          <w:p>
            <w:pPr>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96960.111</w:t>
            </w:r>
          </w:p>
          <w:p>
            <w:pPr>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91667.258</w:t>
            </w:r>
          </w:p>
          <w:p>
            <w:pPr>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122774.32</w:t>
            </w:r>
          </w:p>
          <w:p>
            <w:pPr>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142787.26</w:t>
            </w:r>
          </w:p>
          <w:p>
            <w:pPr>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118337.91</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170685.38</w:t>
            </w:r>
          </w:p>
          <w:p>
            <w:pPr>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170207.05</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109251.87</w:t>
            </w:r>
          </w:p>
          <w:p>
            <w:pPr>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121561.18</w:t>
            </w:r>
          </w:p>
          <w:p>
            <w:pPr>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74422.883</w:t>
            </w:r>
          </w:p>
          <w:p>
            <w:pPr>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116451.64</w:t>
            </w:r>
          </w:p>
          <w:p>
            <w:pPr>
              <w:jc w:val="center"/>
              <w:rPr>
                <w:rFonts w:asciiTheme="minorEastAsia" w:hAnsiTheme="minorEastAsia" w:eastAsiaTheme="minorEastAsia" w:cstheme="minorEastAsia"/>
                <w:sz w:val="20"/>
                <w:szCs w:val="20"/>
              </w:rPr>
            </w:pPr>
          </w:p>
        </w:tc>
        <w:tc>
          <w:tcPr>
            <w:tcW w:w="9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1454641 </w:t>
            </w:r>
          </w:p>
          <w:p>
            <w:pPr>
              <w:jc w:val="center"/>
              <w:rPr>
                <w:rFonts w:asciiTheme="minorEastAsia" w:hAnsiTheme="minorEastAsia" w:eastAsiaTheme="minorEastAsia" w:cstheme="minorEastAsia"/>
                <w:sz w:val="20"/>
                <w:szCs w:val="20"/>
              </w:rPr>
            </w:pPr>
          </w:p>
        </w:tc>
      </w:tr>
    </w:tbl>
    <w:p>
      <w:pPr>
        <w:spacing w:line="440" w:lineRule="exact"/>
        <w:rPr>
          <w:rFonts w:asciiTheme="minorEastAsia" w:hAnsiTheme="minorEastAsia" w:eastAsiaTheme="minorEastAsia" w:cstheme="minorEastAsia"/>
          <w:b/>
          <w:bCs/>
          <w:sz w:val="24"/>
        </w:rPr>
      </w:pPr>
    </w:p>
    <w:tbl>
      <w:tblPr>
        <w:tblStyle w:val="28"/>
        <w:tblW w:w="11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817"/>
        <w:gridCol w:w="799"/>
        <w:gridCol w:w="716"/>
        <w:gridCol w:w="849"/>
        <w:gridCol w:w="849"/>
        <w:gridCol w:w="774"/>
        <w:gridCol w:w="816"/>
        <w:gridCol w:w="827"/>
        <w:gridCol w:w="806"/>
        <w:gridCol w:w="799"/>
        <w:gridCol w:w="813"/>
        <w:gridCol w:w="853"/>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51" w:type="dxa"/>
            <w:gridSpan w:val="14"/>
            <w:vAlign w:val="center"/>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百大集团蚌埠百货大楼2018年度燃气能耗表（m</w:t>
            </w:r>
            <w:r>
              <w:rPr>
                <w:rFonts w:hint="eastAsia" w:asciiTheme="minorEastAsia" w:hAnsiTheme="minorEastAsia" w:eastAsiaTheme="minorEastAsia" w:cstheme="minorEastAsia"/>
                <w:sz w:val="24"/>
                <w:vertAlign w:val="superscript"/>
              </w:rPr>
              <w:t>3</w:t>
            </w:r>
            <w:r>
              <w:rPr>
                <w:rFonts w:hint="eastAsia" w:asciiTheme="minorEastAsia" w:hAnsiTheme="minorEastAsia" w:eastAsiaTheme="minorEastAsia" w:cs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月份</w:t>
            </w:r>
          </w:p>
        </w:tc>
        <w:tc>
          <w:tcPr>
            <w:tcW w:w="817"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1月</w:t>
            </w:r>
          </w:p>
        </w:tc>
        <w:tc>
          <w:tcPr>
            <w:tcW w:w="799"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2月</w:t>
            </w:r>
          </w:p>
        </w:tc>
        <w:tc>
          <w:tcPr>
            <w:tcW w:w="7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3月</w:t>
            </w:r>
          </w:p>
        </w:tc>
        <w:tc>
          <w:tcPr>
            <w:tcW w:w="849"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4月</w:t>
            </w:r>
          </w:p>
        </w:tc>
        <w:tc>
          <w:tcPr>
            <w:tcW w:w="849"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5月</w:t>
            </w:r>
          </w:p>
        </w:tc>
        <w:tc>
          <w:tcPr>
            <w:tcW w:w="774"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7月</w:t>
            </w:r>
          </w:p>
        </w:tc>
        <w:tc>
          <w:tcPr>
            <w:tcW w:w="827"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8月</w:t>
            </w:r>
          </w:p>
        </w:tc>
        <w:tc>
          <w:tcPr>
            <w:tcW w:w="80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9月</w:t>
            </w:r>
          </w:p>
        </w:tc>
        <w:tc>
          <w:tcPr>
            <w:tcW w:w="799"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10月</w:t>
            </w:r>
          </w:p>
        </w:tc>
        <w:tc>
          <w:tcPr>
            <w:tcW w:w="813"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11月</w:t>
            </w:r>
          </w:p>
        </w:tc>
        <w:tc>
          <w:tcPr>
            <w:tcW w:w="853"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12月</w:t>
            </w:r>
          </w:p>
        </w:tc>
        <w:tc>
          <w:tcPr>
            <w:tcW w:w="927"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耗量</w:t>
            </w:r>
          </w:p>
        </w:tc>
        <w:tc>
          <w:tcPr>
            <w:tcW w:w="817"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26032</w:t>
            </w:r>
          </w:p>
          <w:p>
            <w:pPr>
              <w:spacing w:before="100" w:beforeAutospacing="1" w:after="100" w:afterAutospacing="1"/>
              <w:jc w:val="center"/>
              <w:rPr>
                <w:rFonts w:asciiTheme="minorEastAsia" w:hAnsiTheme="minorEastAsia" w:eastAsiaTheme="minorEastAsia" w:cstheme="minorEastAsia"/>
                <w:sz w:val="20"/>
                <w:szCs w:val="20"/>
              </w:rPr>
            </w:pPr>
          </w:p>
        </w:tc>
        <w:tc>
          <w:tcPr>
            <w:tcW w:w="799"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16832</w:t>
            </w:r>
          </w:p>
          <w:p>
            <w:pPr>
              <w:spacing w:before="100" w:beforeAutospacing="1" w:after="100" w:afterAutospacing="1"/>
              <w:jc w:val="center"/>
              <w:rPr>
                <w:rFonts w:asciiTheme="minorEastAsia" w:hAnsiTheme="minorEastAsia" w:eastAsiaTheme="minorEastAsia" w:cstheme="minorEastAsia"/>
                <w:sz w:val="20"/>
                <w:szCs w:val="20"/>
              </w:rPr>
            </w:pPr>
          </w:p>
        </w:tc>
        <w:tc>
          <w:tcPr>
            <w:tcW w:w="7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1362</w:t>
            </w:r>
          </w:p>
          <w:p>
            <w:pPr>
              <w:spacing w:before="100" w:beforeAutospacing="1" w:after="100" w:afterAutospacing="1"/>
              <w:jc w:val="center"/>
              <w:rPr>
                <w:rFonts w:asciiTheme="minorEastAsia" w:hAnsiTheme="minorEastAsia" w:eastAsiaTheme="minorEastAsia" w:cstheme="minorEastAsia"/>
                <w:sz w:val="20"/>
                <w:szCs w:val="20"/>
              </w:rPr>
            </w:pPr>
          </w:p>
        </w:tc>
        <w:tc>
          <w:tcPr>
            <w:tcW w:w="849"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5107</w:t>
            </w:r>
          </w:p>
          <w:p>
            <w:pPr>
              <w:spacing w:before="100" w:beforeAutospacing="1" w:after="100" w:afterAutospacing="1"/>
              <w:jc w:val="center"/>
              <w:rPr>
                <w:rFonts w:asciiTheme="minorEastAsia" w:hAnsiTheme="minorEastAsia" w:eastAsiaTheme="minorEastAsia" w:cstheme="minorEastAsia"/>
                <w:sz w:val="20"/>
                <w:szCs w:val="20"/>
              </w:rPr>
            </w:pPr>
          </w:p>
        </w:tc>
        <w:tc>
          <w:tcPr>
            <w:tcW w:w="849"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15190</w:t>
            </w:r>
          </w:p>
          <w:p>
            <w:pPr>
              <w:spacing w:before="100" w:beforeAutospacing="1" w:after="100" w:afterAutospacing="1"/>
              <w:jc w:val="center"/>
              <w:rPr>
                <w:rFonts w:asciiTheme="minorEastAsia" w:hAnsiTheme="minorEastAsia" w:eastAsiaTheme="minorEastAsia" w:cstheme="minorEastAsia"/>
                <w:sz w:val="20"/>
                <w:szCs w:val="20"/>
              </w:rPr>
            </w:pPr>
          </w:p>
        </w:tc>
        <w:tc>
          <w:tcPr>
            <w:tcW w:w="774"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26593</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39793</w:t>
            </w:r>
          </w:p>
          <w:p>
            <w:pPr>
              <w:spacing w:before="100" w:beforeAutospacing="1" w:after="100" w:afterAutospacing="1"/>
              <w:jc w:val="center"/>
              <w:rPr>
                <w:rFonts w:asciiTheme="minorEastAsia" w:hAnsiTheme="minorEastAsia" w:eastAsiaTheme="minorEastAsia" w:cstheme="minorEastAsia"/>
                <w:sz w:val="20"/>
                <w:szCs w:val="20"/>
              </w:rPr>
            </w:pPr>
          </w:p>
        </w:tc>
        <w:tc>
          <w:tcPr>
            <w:tcW w:w="827"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42370</w:t>
            </w:r>
          </w:p>
          <w:p>
            <w:pPr>
              <w:spacing w:before="100" w:beforeAutospacing="1" w:after="100" w:afterAutospacing="1"/>
              <w:jc w:val="center"/>
              <w:rPr>
                <w:rFonts w:asciiTheme="minorEastAsia" w:hAnsiTheme="minorEastAsia" w:eastAsiaTheme="minorEastAsia" w:cstheme="minorEastAsia"/>
                <w:sz w:val="20"/>
                <w:szCs w:val="20"/>
              </w:rPr>
            </w:pPr>
          </w:p>
        </w:tc>
        <w:tc>
          <w:tcPr>
            <w:tcW w:w="80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30312</w:t>
            </w:r>
          </w:p>
          <w:p>
            <w:pPr>
              <w:spacing w:before="100" w:beforeAutospacing="1" w:after="100" w:afterAutospacing="1"/>
              <w:jc w:val="center"/>
              <w:rPr>
                <w:rFonts w:asciiTheme="minorEastAsia" w:hAnsiTheme="minorEastAsia" w:eastAsiaTheme="minorEastAsia" w:cstheme="minorEastAsia"/>
                <w:sz w:val="20"/>
                <w:szCs w:val="20"/>
              </w:rPr>
            </w:pPr>
          </w:p>
        </w:tc>
        <w:tc>
          <w:tcPr>
            <w:tcW w:w="799"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8942</w:t>
            </w:r>
          </w:p>
          <w:p>
            <w:pPr>
              <w:spacing w:before="100" w:beforeAutospacing="1" w:after="100" w:afterAutospacing="1"/>
              <w:jc w:val="center"/>
              <w:rPr>
                <w:rFonts w:asciiTheme="minorEastAsia" w:hAnsiTheme="minorEastAsia" w:eastAsiaTheme="minorEastAsia" w:cstheme="minorEastAsia"/>
                <w:sz w:val="20"/>
                <w:szCs w:val="20"/>
              </w:rPr>
            </w:pPr>
          </w:p>
        </w:tc>
        <w:tc>
          <w:tcPr>
            <w:tcW w:w="813"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1290</w:t>
            </w:r>
          </w:p>
          <w:p>
            <w:pPr>
              <w:spacing w:before="100" w:beforeAutospacing="1" w:after="100" w:afterAutospacing="1"/>
              <w:jc w:val="center"/>
              <w:rPr>
                <w:rFonts w:asciiTheme="minorEastAsia" w:hAnsiTheme="minorEastAsia" w:eastAsiaTheme="minorEastAsia" w:cstheme="minorEastAsia"/>
                <w:sz w:val="20"/>
                <w:szCs w:val="20"/>
              </w:rPr>
            </w:pPr>
          </w:p>
        </w:tc>
        <w:tc>
          <w:tcPr>
            <w:tcW w:w="853"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15812</w:t>
            </w:r>
          </w:p>
          <w:p>
            <w:pPr>
              <w:spacing w:before="100" w:beforeAutospacing="1" w:after="100" w:afterAutospacing="1"/>
              <w:jc w:val="center"/>
              <w:rPr>
                <w:rFonts w:asciiTheme="minorEastAsia" w:hAnsiTheme="minorEastAsia" w:eastAsiaTheme="minorEastAsia" w:cstheme="minorEastAsia"/>
                <w:sz w:val="20"/>
                <w:szCs w:val="20"/>
              </w:rPr>
            </w:pPr>
          </w:p>
        </w:tc>
        <w:tc>
          <w:tcPr>
            <w:tcW w:w="927"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229635 </w:t>
            </w:r>
          </w:p>
          <w:p>
            <w:pPr>
              <w:spacing w:before="100" w:beforeAutospacing="1" w:after="100" w:afterAutospacing="1"/>
              <w:jc w:val="center"/>
              <w:rPr>
                <w:rFonts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费用</w:t>
            </w:r>
          </w:p>
        </w:tc>
        <w:tc>
          <w:tcPr>
            <w:tcW w:w="817"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83563 </w:t>
            </w:r>
          </w:p>
          <w:p>
            <w:pPr>
              <w:spacing w:before="100" w:beforeAutospacing="1" w:after="100" w:afterAutospacing="1"/>
              <w:jc w:val="center"/>
              <w:rPr>
                <w:rFonts w:asciiTheme="minorEastAsia" w:hAnsiTheme="minorEastAsia" w:eastAsiaTheme="minorEastAsia" w:cstheme="minorEastAsia"/>
                <w:sz w:val="20"/>
                <w:szCs w:val="20"/>
              </w:rPr>
            </w:pPr>
          </w:p>
        </w:tc>
        <w:tc>
          <w:tcPr>
            <w:tcW w:w="799"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54031 </w:t>
            </w:r>
          </w:p>
          <w:p>
            <w:pPr>
              <w:spacing w:before="100" w:beforeAutospacing="1" w:after="100" w:afterAutospacing="1"/>
              <w:jc w:val="center"/>
              <w:rPr>
                <w:rFonts w:asciiTheme="minorEastAsia" w:hAnsiTheme="minorEastAsia" w:eastAsiaTheme="minorEastAsia" w:cstheme="minorEastAsia"/>
                <w:sz w:val="20"/>
                <w:szCs w:val="20"/>
              </w:rPr>
            </w:pPr>
          </w:p>
        </w:tc>
        <w:tc>
          <w:tcPr>
            <w:tcW w:w="7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4372 </w:t>
            </w:r>
          </w:p>
          <w:p>
            <w:pPr>
              <w:spacing w:before="100" w:beforeAutospacing="1" w:after="100" w:afterAutospacing="1"/>
              <w:jc w:val="center"/>
              <w:rPr>
                <w:rFonts w:asciiTheme="minorEastAsia" w:hAnsiTheme="minorEastAsia" w:eastAsiaTheme="minorEastAsia" w:cstheme="minorEastAsia"/>
                <w:sz w:val="20"/>
                <w:szCs w:val="20"/>
              </w:rPr>
            </w:pPr>
          </w:p>
        </w:tc>
        <w:tc>
          <w:tcPr>
            <w:tcW w:w="849"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15781 </w:t>
            </w:r>
          </w:p>
          <w:p>
            <w:pPr>
              <w:spacing w:before="100" w:beforeAutospacing="1" w:after="100" w:afterAutospacing="1"/>
              <w:jc w:val="center"/>
              <w:rPr>
                <w:rFonts w:asciiTheme="minorEastAsia" w:hAnsiTheme="minorEastAsia" w:eastAsiaTheme="minorEastAsia" w:cstheme="minorEastAsia"/>
                <w:sz w:val="20"/>
                <w:szCs w:val="20"/>
              </w:rPr>
            </w:pPr>
          </w:p>
        </w:tc>
        <w:tc>
          <w:tcPr>
            <w:tcW w:w="849"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46937 </w:t>
            </w:r>
          </w:p>
          <w:p>
            <w:pPr>
              <w:spacing w:before="100" w:beforeAutospacing="1" w:after="100" w:afterAutospacing="1"/>
              <w:jc w:val="center"/>
              <w:rPr>
                <w:rFonts w:asciiTheme="minorEastAsia" w:hAnsiTheme="minorEastAsia" w:eastAsiaTheme="minorEastAsia" w:cstheme="minorEastAsia"/>
                <w:sz w:val="20"/>
                <w:szCs w:val="20"/>
              </w:rPr>
            </w:pPr>
          </w:p>
        </w:tc>
        <w:tc>
          <w:tcPr>
            <w:tcW w:w="774"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82172 </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122960 </w:t>
            </w:r>
          </w:p>
          <w:p>
            <w:pPr>
              <w:spacing w:before="100" w:beforeAutospacing="1" w:after="100" w:afterAutospacing="1"/>
              <w:jc w:val="center"/>
              <w:rPr>
                <w:rFonts w:asciiTheme="minorEastAsia" w:hAnsiTheme="minorEastAsia" w:eastAsiaTheme="minorEastAsia" w:cstheme="minorEastAsia"/>
                <w:sz w:val="20"/>
                <w:szCs w:val="20"/>
              </w:rPr>
            </w:pPr>
          </w:p>
        </w:tc>
        <w:tc>
          <w:tcPr>
            <w:tcW w:w="827"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130923 </w:t>
            </w:r>
          </w:p>
          <w:p>
            <w:pPr>
              <w:spacing w:before="100" w:beforeAutospacing="1" w:after="100" w:afterAutospacing="1"/>
              <w:jc w:val="center"/>
              <w:rPr>
                <w:rFonts w:asciiTheme="minorEastAsia" w:hAnsiTheme="minorEastAsia" w:eastAsiaTheme="minorEastAsia" w:cstheme="minorEastAsia"/>
                <w:sz w:val="20"/>
                <w:szCs w:val="20"/>
              </w:rPr>
            </w:pPr>
          </w:p>
        </w:tc>
        <w:tc>
          <w:tcPr>
            <w:tcW w:w="80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93664 </w:t>
            </w:r>
          </w:p>
          <w:p>
            <w:pPr>
              <w:spacing w:before="100" w:beforeAutospacing="1" w:after="100" w:afterAutospacing="1"/>
              <w:jc w:val="center"/>
              <w:rPr>
                <w:rFonts w:asciiTheme="minorEastAsia" w:hAnsiTheme="minorEastAsia" w:eastAsiaTheme="minorEastAsia" w:cstheme="minorEastAsia"/>
                <w:sz w:val="20"/>
                <w:szCs w:val="20"/>
              </w:rPr>
            </w:pPr>
          </w:p>
        </w:tc>
        <w:tc>
          <w:tcPr>
            <w:tcW w:w="799"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27631 </w:t>
            </w:r>
          </w:p>
          <w:p>
            <w:pPr>
              <w:spacing w:before="100" w:beforeAutospacing="1" w:after="100" w:afterAutospacing="1"/>
              <w:jc w:val="center"/>
              <w:rPr>
                <w:rFonts w:asciiTheme="minorEastAsia" w:hAnsiTheme="minorEastAsia" w:eastAsiaTheme="minorEastAsia" w:cstheme="minorEastAsia"/>
                <w:sz w:val="20"/>
                <w:szCs w:val="20"/>
              </w:rPr>
            </w:pPr>
          </w:p>
        </w:tc>
        <w:tc>
          <w:tcPr>
            <w:tcW w:w="813"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4670 </w:t>
            </w:r>
          </w:p>
          <w:p>
            <w:pPr>
              <w:spacing w:before="100" w:beforeAutospacing="1" w:after="100" w:afterAutospacing="1"/>
              <w:jc w:val="center"/>
              <w:rPr>
                <w:rFonts w:asciiTheme="minorEastAsia" w:hAnsiTheme="minorEastAsia" w:eastAsiaTheme="minorEastAsia" w:cstheme="minorEastAsia"/>
                <w:sz w:val="20"/>
                <w:szCs w:val="20"/>
              </w:rPr>
            </w:pPr>
          </w:p>
        </w:tc>
        <w:tc>
          <w:tcPr>
            <w:tcW w:w="853"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57239 </w:t>
            </w:r>
          </w:p>
          <w:p>
            <w:pPr>
              <w:spacing w:before="100" w:beforeAutospacing="1" w:after="100" w:afterAutospacing="1"/>
              <w:jc w:val="center"/>
              <w:rPr>
                <w:rFonts w:asciiTheme="minorEastAsia" w:hAnsiTheme="minorEastAsia" w:eastAsiaTheme="minorEastAsia" w:cstheme="minorEastAsia"/>
                <w:sz w:val="20"/>
                <w:szCs w:val="20"/>
              </w:rPr>
            </w:pPr>
          </w:p>
        </w:tc>
        <w:tc>
          <w:tcPr>
            <w:tcW w:w="927"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723943 </w:t>
            </w:r>
          </w:p>
          <w:p>
            <w:pPr>
              <w:spacing w:before="100" w:beforeAutospacing="1" w:after="100" w:afterAutospacing="1"/>
              <w:jc w:val="center"/>
              <w:rPr>
                <w:rFonts w:asciiTheme="minorEastAsia" w:hAnsiTheme="minorEastAsia" w:eastAsiaTheme="minorEastAsia" w:cstheme="minorEastAsia"/>
                <w:sz w:val="20"/>
                <w:szCs w:val="20"/>
              </w:rPr>
            </w:pPr>
          </w:p>
        </w:tc>
      </w:tr>
    </w:tbl>
    <w:p>
      <w:pPr>
        <w:pStyle w:val="33"/>
        <w:ind w:firstLine="420"/>
      </w:pPr>
    </w:p>
    <w:tbl>
      <w:tblPr>
        <w:tblStyle w:val="28"/>
        <w:tblW w:w="11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816"/>
        <w:gridCol w:w="816"/>
        <w:gridCol w:w="816"/>
        <w:gridCol w:w="816"/>
        <w:gridCol w:w="816"/>
        <w:gridCol w:w="816"/>
        <w:gridCol w:w="816"/>
        <w:gridCol w:w="816"/>
        <w:gridCol w:w="816"/>
        <w:gridCol w:w="816"/>
        <w:gridCol w:w="816"/>
        <w:gridCol w:w="816"/>
        <w:gridCol w:w="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124" w:type="dxa"/>
            <w:gridSpan w:val="14"/>
            <w:vAlign w:val="center"/>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百大集团蚌埠百货大楼2019年度用电能耗表（kw·h）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1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月份</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12月</w:t>
            </w:r>
          </w:p>
        </w:tc>
        <w:tc>
          <w:tcPr>
            <w:tcW w:w="9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1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耗量</w:t>
            </w:r>
          </w:p>
        </w:tc>
        <w:tc>
          <w:tcPr>
            <w:tcW w:w="81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132679</w:t>
            </w:r>
          </w:p>
        </w:tc>
        <w:tc>
          <w:tcPr>
            <w:tcW w:w="81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122824</w:t>
            </w:r>
          </w:p>
        </w:tc>
        <w:tc>
          <w:tcPr>
            <w:tcW w:w="81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93914</w:t>
            </w:r>
          </w:p>
        </w:tc>
        <w:tc>
          <w:tcPr>
            <w:tcW w:w="81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108209</w:t>
            </w:r>
          </w:p>
        </w:tc>
        <w:tc>
          <w:tcPr>
            <w:tcW w:w="81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147482</w:t>
            </w:r>
          </w:p>
        </w:tc>
        <w:tc>
          <w:tcPr>
            <w:tcW w:w="81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162002</w:t>
            </w:r>
          </w:p>
        </w:tc>
        <w:tc>
          <w:tcPr>
            <w:tcW w:w="81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175348</w:t>
            </w:r>
          </w:p>
        </w:tc>
        <w:tc>
          <w:tcPr>
            <w:tcW w:w="81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193486</w:t>
            </w:r>
          </w:p>
        </w:tc>
        <w:tc>
          <w:tcPr>
            <w:tcW w:w="816" w:type="dxa"/>
          </w:tcPr>
          <w:p>
            <w:pPr>
              <w:spacing w:before="100" w:beforeAutospacing="1" w:after="100" w:afterAutospacing="1"/>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144501</w:t>
            </w:r>
          </w:p>
        </w:tc>
        <w:tc>
          <w:tcPr>
            <w:tcW w:w="81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131976</w:t>
            </w:r>
          </w:p>
        </w:tc>
        <w:tc>
          <w:tcPr>
            <w:tcW w:w="81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105393</w:t>
            </w:r>
          </w:p>
        </w:tc>
        <w:tc>
          <w:tcPr>
            <w:tcW w:w="81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96670</w:t>
            </w:r>
          </w:p>
        </w:tc>
        <w:tc>
          <w:tcPr>
            <w:tcW w:w="91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1614484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41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费用</w:t>
            </w: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94145.638</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87143.476</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66668.24</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77051.411</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100237.05</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112863.07</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113649.74</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125521.3</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93637.918</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85325.762</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67958.08</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62153.979</w:t>
            </w:r>
          </w:p>
          <w:p>
            <w:pPr>
              <w:spacing w:before="100" w:beforeAutospacing="1" w:after="100" w:afterAutospacing="1"/>
              <w:jc w:val="center"/>
              <w:rPr>
                <w:rFonts w:asciiTheme="minorEastAsia" w:hAnsiTheme="minorEastAsia" w:eastAsiaTheme="minorEastAsia" w:cstheme="minorEastAsia"/>
                <w:sz w:val="20"/>
                <w:szCs w:val="20"/>
              </w:rPr>
            </w:pPr>
          </w:p>
        </w:tc>
        <w:tc>
          <w:tcPr>
            <w:tcW w:w="9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1086355.7</w:t>
            </w:r>
          </w:p>
          <w:p>
            <w:pPr>
              <w:spacing w:before="100" w:beforeAutospacing="1" w:after="100" w:afterAutospacing="1"/>
              <w:jc w:val="center"/>
              <w:rPr>
                <w:rFonts w:asciiTheme="minorEastAsia" w:hAnsiTheme="minorEastAsia" w:eastAsiaTheme="minorEastAsia" w:cstheme="minorEastAsia"/>
                <w:sz w:val="20"/>
                <w:szCs w:val="20"/>
              </w:rPr>
            </w:pPr>
          </w:p>
        </w:tc>
      </w:tr>
    </w:tbl>
    <w:p>
      <w:pPr>
        <w:spacing w:line="440" w:lineRule="exact"/>
        <w:rPr>
          <w:rFonts w:asciiTheme="minorEastAsia" w:hAnsiTheme="minorEastAsia" w:eastAsiaTheme="minorEastAsia" w:cstheme="minorEastAsia"/>
          <w:b/>
          <w:bCs/>
          <w:sz w:val="24"/>
        </w:rPr>
      </w:pPr>
    </w:p>
    <w:tbl>
      <w:tblPr>
        <w:tblStyle w:val="28"/>
        <w:tblW w:w="11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817"/>
        <w:gridCol w:w="799"/>
        <w:gridCol w:w="716"/>
        <w:gridCol w:w="849"/>
        <w:gridCol w:w="849"/>
        <w:gridCol w:w="774"/>
        <w:gridCol w:w="816"/>
        <w:gridCol w:w="827"/>
        <w:gridCol w:w="806"/>
        <w:gridCol w:w="799"/>
        <w:gridCol w:w="813"/>
        <w:gridCol w:w="853"/>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51" w:type="dxa"/>
            <w:gridSpan w:val="14"/>
            <w:vAlign w:val="center"/>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百大集团蚌埠百货大楼2019年度燃气能耗表（m</w:t>
            </w:r>
            <w:r>
              <w:rPr>
                <w:rFonts w:hint="eastAsia" w:asciiTheme="minorEastAsia" w:hAnsiTheme="minorEastAsia" w:eastAsiaTheme="minorEastAsia" w:cstheme="minorEastAsia"/>
                <w:sz w:val="24"/>
                <w:vertAlign w:val="superscript"/>
              </w:rPr>
              <w:t>3</w:t>
            </w:r>
            <w:r>
              <w:rPr>
                <w:rFonts w:hint="eastAsia" w:asciiTheme="minorEastAsia" w:hAnsiTheme="minorEastAsia" w:eastAsiaTheme="minorEastAsia" w:cs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月份</w:t>
            </w:r>
          </w:p>
        </w:tc>
        <w:tc>
          <w:tcPr>
            <w:tcW w:w="817"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1月</w:t>
            </w:r>
          </w:p>
        </w:tc>
        <w:tc>
          <w:tcPr>
            <w:tcW w:w="799"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2月</w:t>
            </w:r>
          </w:p>
        </w:tc>
        <w:tc>
          <w:tcPr>
            <w:tcW w:w="7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3月</w:t>
            </w:r>
          </w:p>
        </w:tc>
        <w:tc>
          <w:tcPr>
            <w:tcW w:w="849"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4月</w:t>
            </w:r>
          </w:p>
        </w:tc>
        <w:tc>
          <w:tcPr>
            <w:tcW w:w="849"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5月</w:t>
            </w:r>
          </w:p>
        </w:tc>
        <w:tc>
          <w:tcPr>
            <w:tcW w:w="774"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7月</w:t>
            </w:r>
          </w:p>
        </w:tc>
        <w:tc>
          <w:tcPr>
            <w:tcW w:w="827"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8月</w:t>
            </w:r>
          </w:p>
        </w:tc>
        <w:tc>
          <w:tcPr>
            <w:tcW w:w="80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9月</w:t>
            </w:r>
          </w:p>
        </w:tc>
        <w:tc>
          <w:tcPr>
            <w:tcW w:w="799"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10月</w:t>
            </w:r>
          </w:p>
        </w:tc>
        <w:tc>
          <w:tcPr>
            <w:tcW w:w="813"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11月</w:t>
            </w:r>
          </w:p>
        </w:tc>
        <w:tc>
          <w:tcPr>
            <w:tcW w:w="853"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12月</w:t>
            </w:r>
          </w:p>
        </w:tc>
        <w:tc>
          <w:tcPr>
            <w:tcW w:w="927"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耗量</w:t>
            </w:r>
          </w:p>
        </w:tc>
        <w:tc>
          <w:tcPr>
            <w:tcW w:w="817"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29783 </w:t>
            </w:r>
          </w:p>
        </w:tc>
        <w:tc>
          <w:tcPr>
            <w:tcW w:w="799"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24404 </w:t>
            </w:r>
          </w:p>
        </w:tc>
        <w:tc>
          <w:tcPr>
            <w:tcW w:w="716"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4088 </w:t>
            </w:r>
          </w:p>
        </w:tc>
        <w:tc>
          <w:tcPr>
            <w:tcW w:w="849"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1624 </w:t>
            </w:r>
          </w:p>
        </w:tc>
        <w:tc>
          <w:tcPr>
            <w:tcW w:w="849"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15302 </w:t>
            </w:r>
          </w:p>
        </w:tc>
        <w:tc>
          <w:tcPr>
            <w:tcW w:w="774"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24111 </w:t>
            </w:r>
          </w:p>
        </w:tc>
        <w:tc>
          <w:tcPr>
            <w:tcW w:w="816"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33062 </w:t>
            </w:r>
          </w:p>
        </w:tc>
        <w:tc>
          <w:tcPr>
            <w:tcW w:w="827"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37756 </w:t>
            </w:r>
          </w:p>
        </w:tc>
        <w:tc>
          <w:tcPr>
            <w:tcW w:w="806"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23976 </w:t>
            </w:r>
          </w:p>
        </w:tc>
        <w:tc>
          <w:tcPr>
            <w:tcW w:w="799"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11784 </w:t>
            </w:r>
          </w:p>
        </w:tc>
        <w:tc>
          <w:tcPr>
            <w:tcW w:w="813"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3366 </w:t>
            </w:r>
          </w:p>
        </w:tc>
        <w:tc>
          <w:tcPr>
            <w:tcW w:w="853"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12119 </w:t>
            </w:r>
          </w:p>
        </w:tc>
        <w:tc>
          <w:tcPr>
            <w:tcW w:w="927"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221375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费用</w:t>
            </w:r>
          </w:p>
        </w:tc>
        <w:tc>
          <w:tcPr>
            <w:tcW w:w="817"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107814 </w:t>
            </w:r>
          </w:p>
        </w:tc>
        <w:tc>
          <w:tcPr>
            <w:tcW w:w="799"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88342 </w:t>
            </w:r>
          </w:p>
        </w:tc>
        <w:tc>
          <w:tcPr>
            <w:tcW w:w="716"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14799 </w:t>
            </w:r>
          </w:p>
        </w:tc>
        <w:tc>
          <w:tcPr>
            <w:tcW w:w="849"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5018 </w:t>
            </w:r>
          </w:p>
        </w:tc>
        <w:tc>
          <w:tcPr>
            <w:tcW w:w="849"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47283 </w:t>
            </w:r>
          </w:p>
        </w:tc>
        <w:tc>
          <w:tcPr>
            <w:tcW w:w="774"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74503 </w:t>
            </w:r>
          </w:p>
        </w:tc>
        <w:tc>
          <w:tcPr>
            <w:tcW w:w="816"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102162 </w:t>
            </w:r>
          </w:p>
        </w:tc>
        <w:tc>
          <w:tcPr>
            <w:tcW w:w="827"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116666 </w:t>
            </w:r>
          </w:p>
        </w:tc>
        <w:tc>
          <w:tcPr>
            <w:tcW w:w="806"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74086 </w:t>
            </w:r>
          </w:p>
        </w:tc>
        <w:tc>
          <w:tcPr>
            <w:tcW w:w="799"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36413 </w:t>
            </w:r>
          </w:p>
        </w:tc>
        <w:tc>
          <w:tcPr>
            <w:tcW w:w="813"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10401 </w:t>
            </w:r>
          </w:p>
        </w:tc>
        <w:tc>
          <w:tcPr>
            <w:tcW w:w="853"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37448 </w:t>
            </w:r>
          </w:p>
        </w:tc>
        <w:tc>
          <w:tcPr>
            <w:tcW w:w="927"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714935 </w:t>
            </w:r>
          </w:p>
        </w:tc>
      </w:tr>
      <w:bookmarkEnd w:id="14"/>
    </w:tbl>
    <w:p>
      <w:pPr>
        <w:spacing w:line="440" w:lineRule="exact"/>
        <w:rPr>
          <w:rFonts w:asciiTheme="minorEastAsia" w:hAnsiTheme="minorEastAsia" w:eastAsiaTheme="minorEastAsia" w:cstheme="minorEastAsia"/>
          <w:b/>
          <w:bCs/>
          <w:sz w:val="24"/>
        </w:rPr>
      </w:pPr>
    </w:p>
    <w:p>
      <w:pPr>
        <w:spacing w:line="440" w:lineRule="exact"/>
        <w:jc w:val="left"/>
        <w:rPr>
          <w:rFonts w:asciiTheme="minorEastAsia" w:hAnsiTheme="minorEastAsia" w:eastAsiaTheme="minorEastAsia" w:cstheme="minorEastAsia"/>
          <w:b/>
          <w:bCs/>
          <w:i/>
          <w:sz w:val="24"/>
          <w:highlight w:val="none"/>
        </w:rPr>
      </w:pPr>
      <w:r>
        <w:rPr>
          <w:rFonts w:hint="eastAsia" w:asciiTheme="minorEastAsia" w:hAnsiTheme="minorEastAsia" w:eastAsiaTheme="minorEastAsia" w:cstheme="minorEastAsia"/>
          <w:b/>
          <w:bCs/>
          <w:sz w:val="24"/>
          <w:highlight w:val="none"/>
        </w:rPr>
        <w:t>两年平均用电量：1649519  kw·h</w:t>
      </w:r>
    </w:p>
    <w:p>
      <w:pPr>
        <w:spacing w:line="440" w:lineRule="exact"/>
        <w:jc w:val="left"/>
        <w:rPr>
          <w:rFonts w:asciiTheme="minorEastAsia" w:hAnsiTheme="minorEastAsia" w:eastAsiaTheme="minorEastAsia" w:cstheme="minorEastAsia"/>
          <w:b/>
          <w:bCs/>
          <w:sz w:val="24"/>
          <w:highlight w:val="none"/>
          <w:vertAlign w:val="superscript"/>
        </w:rPr>
      </w:pPr>
      <w:r>
        <w:rPr>
          <w:rFonts w:hint="eastAsia" w:asciiTheme="minorEastAsia" w:hAnsiTheme="minorEastAsia" w:eastAsiaTheme="minorEastAsia" w:cstheme="minorEastAsia"/>
          <w:b/>
          <w:bCs/>
          <w:sz w:val="24"/>
          <w:highlight w:val="none"/>
        </w:rPr>
        <w:t xml:space="preserve">平均燃气用量：225496  </w:t>
      </w:r>
      <w:r>
        <w:rPr>
          <w:rFonts w:hint="eastAsia" w:asciiTheme="minorEastAsia" w:hAnsiTheme="minorEastAsia" w:eastAsiaTheme="minorEastAsia" w:cstheme="minorEastAsia"/>
          <w:b/>
          <w:bCs/>
          <w:sz w:val="24"/>
          <w:highlight w:val="none"/>
          <w:lang w:val="en-US" w:eastAsia="zh-CN"/>
        </w:rPr>
        <w:t>m³</w:t>
      </w:r>
    </w:p>
    <w:p>
      <w:pPr>
        <w:spacing w:line="440" w:lineRule="exact"/>
        <w:jc w:val="left"/>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按当下用电单价为0.6596</w:t>
      </w:r>
      <w:r>
        <w:rPr>
          <w:rFonts w:hint="eastAsia" w:asciiTheme="minorEastAsia" w:hAnsiTheme="minorEastAsia" w:eastAsiaTheme="minorEastAsia" w:cstheme="minorEastAsia"/>
          <w:b/>
          <w:bCs/>
          <w:sz w:val="24"/>
          <w:highlight w:val="none"/>
          <w:lang w:val="en-US" w:eastAsia="zh-CN"/>
        </w:rPr>
        <w:t>元</w:t>
      </w:r>
      <w:r>
        <w:rPr>
          <w:rFonts w:hint="eastAsia" w:asciiTheme="minorEastAsia" w:hAnsiTheme="minorEastAsia" w:eastAsiaTheme="minorEastAsia" w:cstheme="minorEastAsia"/>
          <w:b/>
          <w:bCs/>
          <w:sz w:val="24"/>
          <w:highlight w:val="none"/>
        </w:rPr>
        <w:t>/ kw·h，年平均用电金额为1088022.73元</w:t>
      </w:r>
    </w:p>
    <w:p>
      <w:pPr>
        <w:spacing w:line="440" w:lineRule="exact"/>
        <w:jc w:val="left"/>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 xml:space="preserve">当下天然气单价为2.94元/ </w:t>
      </w:r>
      <w:r>
        <w:rPr>
          <w:rFonts w:hint="eastAsia" w:asciiTheme="minorEastAsia" w:hAnsiTheme="minorEastAsia" w:eastAsiaTheme="minorEastAsia" w:cstheme="minorEastAsia"/>
          <w:b/>
          <w:bCs/>
          <w:sz w:val="24"/>
          <w:highlight w:val="none"/>
          <w:lang w:val="en-US" w:eastAsia="zh-CN"/>
        </w:rPr>
        <w:t>m³</w:t>
      </w:r>
      <w:r>
        <w:rPr>
          <w:rFonts w:hint="eastAsia" w:asciiTheme="minorEastAsia" w:hAnsiTheme="minorEastAsia" w:eastAsiaTheme="minorEastAsia" w:cstheme="minorEastAsia"/>
          <w:b/>
          <w:bCs/>
          <w:sz w:val="24"/>
          <w:highlight w:val="none"/>
        </w:rPr>
        <w:t xml:space="preserve"> , 年平均用气金额为662958.24元</w:t>
      </w:r>
    </w:p>
    <w:p>
      <w:pPr>
        <w:spacing w:line="440" w:lineRule="exact"/>
        <w:jc w:val="left"/>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合计金额：1750980.97元/年</w:t>
      </w:r>
    </w:p>
    <w:p>
      <w:pPr>
        <w:spacing w:line="440" w:lineRule="exact"/>
        <w:ind w:firstLine="482" w:firstLineChars="200"/>
        <w:rPr>
          <w:rFonts w:hint="eastAsia" w:asciiTheme="minorEastAsia" w:hAnsiTheme="minorEastAsia" w:eastAsiaTheme="minorEastAsia" w:cstheme="minorEastAsia"/>
          <w:b/>
          <w:bCs/>
          <w:sz w:val="24"/>
        </w:rPr>
      </w:pPr>
    </w:p>
    <w:p>
      <w:pPr>
        <w:spacing w:line="44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三、项目节能目标及相关说明：</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对中央空调系统进行节能改造。项目的技术改造不能影响原设备的使用，并保证项目运行的安全性、可靠性。使用先进、节能的设备替换原有设备的，需要征得招标人同意，并保证新投入设备必需要有符合国家规定的证明文件，不影响商场正常运营。</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（二）中央空调系统运行环境目标：不得低于现有环境舒适度。夏季环境温度要求室内温度≤26度，梅雨季节室内闷热天也应当开启，冬季环境温度要求一楼商场≥18℃。</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投标单位应考虑到所有技术问题、材料规格、加工制作、施工安装、现场配合协调、竣工验收和保修因素。合同期满所有投入设备、系统无偿交由业主方，并保证无偿交付时系统正常使用。中标人新增改造的设备维保，在合同期内由中标人自行承担。</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（四）供冷面积调整、功能（用电功率）如有变化：双方协商或选择第三方公司进行计算能耗变化，在结算时予以增减。</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（五）营业时间调整变化：因营业时间调整造成</w:t>
      </w:r>
      <w:r>
        <w:rPr>
          <w:rFonts w:hint="eastAsia" w:asciiTheme="minorEastAsia" w:hAnsiTheme="minorEastAsia" w:eastAsiaTheme="minorEastAsia" w:cstheme="minorEastAsia"/>
          <w:kern w:val="0"/>
          <w:sz w:val="24"/>
        </w:rPr>
        <w:t>各用能设备运行时间与改造前不一致的，则按照所影响的设备总功率和调整的时间计算出用能量变化值，在结算时予以</w:t>
      </w:r>
      <w:r>
        <w:rPr>
          <w:rFonts w:hint="eastAsia" w:asciiTheme="minorEastAsia" w:hAnsiTheme="minorEastAsia" w:eastAsiaTheme="minorEastAsia" w:cstheme="minorEastAsia"/>
          <w:sz w:val="24"/>
        </w:rPr>
        <w:t>增减</w:t>
      </w:r>
      <w:r>
        <w:rPr>
          <w:rFonts w:hint="eastAsia" w:asciiTheme="minorEastAsia" w:hAnsiTheme="minorEastAsia" w:eastAsiaTheme="minorEastAsia" w:cstheme="minorEastAsia"/>
          <w:kern w:val="0"/>
          <w:sz w:val="24"/>
        </w:rPr>
        <w:t>。</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（六）专厅照明及涉及的租赁商铺不在改造范围内，专厅照明能耗在基础能耗考核下降范围。改造后的灯光亮度在整个合同期都不低于改造前亮度（改造前后在相同点位采用国标照度仪测试照度值留存）。</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（七）中标单位投资承包整个商场</w:t>
      </w:r>
      <w:r>
        <w:rPr>
          <w:rFonts w:hint="eastAsia" w:asciiTheme="minorEastAsia" w:hAnsiTheme="minorEastAsia" w:eastAsiaTheme="minorEastAsia" w:cstheme="minorEastAsia"/>
          <w:sz w:val="24"/>
          <w:lang w:val="en-US" w:eastAsia="zh-CN"/>
        </w:rPr>
        <w:t>投资及改造</w:t>
      </w:r>
      <w:r>
        <w:rPr>
          <w:rFonts w:hint="eastAsia" w:asciiTheme="minorEastAsia" w:hAnsiTheme="minorEastAsia" w:eastAsiaTheme="minorEastAsia" w:cstheme="minorEastAsia"/>
          <w:sz w:val="24"/>
        </w:rPr>
        <w:t>设备的运营：</w:t>
      </w:r>
      <w:r>
        <w:rPr>
          <w:rFonts w:hint="eastAsia" w:asciiTheme="minorEastAsia" w:hAnsiTheme="minorEastAsia" w:eastAsiaTheme="minorEastAsia" w:cstheme="minorEastAsia"/>
          <w:sz w:val="24"/>
          <w:lang w:val="en-US" w:eastAsia="zh-CN"/>
        </w:rPr>
        <w:t>包含空调运行、</w:t>
      </w:r>
      <w:r>
        <w:rPr>
          <w:rFonts w:hint="eastAsia" w:asciiTheme="minorEastAsia" w:hAnsiTheme="minorEastAsia" w:eastAsiaTheme="minorEastAsia" w:cstheme="minorEastAsia"/>
          <w:sz w:val="24"/>
        </w:rPr>
        <w:t>商场照明以及</w:t>
      </w:r>
      <w:r>
        <w:rPr>
          <w:rFonts w:hint="eastAsia" w:asciiTheme="minorEastAsia" w:hAnsiTheme="minorEastAsia" w:eastAsiaTheme="minorEastAsia" w:cstheme="minorEastAsia"/>
          <w:sz w:val="24"/>
          <w:lang w:val="en-US" w:eastAsia="zh-CN"/>
        </w:rPr>
        <w:t>空调</w:t>
      </w:r>
      <w:r>
        <w:rPr>
          <w:rFonts w:hint="eastAsia" w:asciiTheme="minorEastAsia" w:hAnsiTheme="minorEastAsia" w:eastAsiaTheme="minorEastAsia" w:cstheme="minorEastAsia"/>
          <w:sz w:val="24"/>
        </w:rPr>
        <w:t>机房内设备设施、管路系统、末端设备的保养、维修</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水质管理、运营人员配备（按要求持证上岗），承担风险并同时享有合同约定的项目运营收益权。</w:t>
      </w:r>
    </w:p>
    <w:p>
      <w:pPr>
        <w:spacing w:line="440" w:lineRule="exact"/>
        <w:ind w:firstLine="482" w:firstLineChars="200"/>
        <w:rPr>
          <w:rFonts w:hint="eastAsia" w:asciiTheme="minorEastAsia" w:hAnsiTheme="minorEastAsia" w:eastAsiaTheme="minorEastAsia" w:cstheme="minorEastAsia"/>
          <w:b/>
          <w:bCs/>
          <w:sz w:val="24"/>
        </w:rPr>
      </w:pPr>
    </w:p>
    <w:p>
      <w:pPr>
        <w:spacing w:line="44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四、中标人必须满足以下条件，并根据专业知识和现场情况提供其他改造，改造方案、图纸需报招标方审核批准后方可实施：</w:t>
      </w:r>
    </w:p>
    <w:p>
      <w:pPr>
        <w:keepNext w:val="0"/>
        <w:keepLines w:val="0"/>
        <w:pageBreakBefore w:val="0"/>
        <w:kinsoku/>
        <w:wordWrap/>
        <w:overflowPunct/>
        <w:topLinePunct w:val="0"/>
        <w:bidi w:val="0"/>
        <w:snapToGrid/>
        <w:spacing w:line="520" w:lineRule="exact"/>
        <w:ind w:firstLine="480" w:firstLineChars="200"/>
        <w:textAlignment w:val="auto"/>
        <w:rPr>
          <w:rFonts w:asciiTheme="minorEastAsia" w:hAnsiTheme="minorEastAsia" w:eastAsiaTheme="minorEastAsia" w:cstheme="minorEastAsia"/>
          <w:sz w:val="24"/>
        </w:rPr>
      </w:pPr>
      <w:bookmarkStart w:id="15" w:name="_Hlk46757462"/>
      <w:r>
        <w:rPr>
          <w:rFonts w:hint="eastAsia" w:asciiTheme="minorEastAsia" w:hAnsiTheme="minorEastAsia" w:eastAsiaTheme="minorEastAsia" w:cstheme="minorEastAsia"/>
          <w:sz w:val="24"/>
        </w:rPr>
        <w:t>1.</w:t>
      </w:r>
      <w:bookmarkStart w:id="16" w:name="_Hlk49959459"/>
      <w:bookmarkStart w:id="17" w:name="_Hlk50049722"/>
      <w:r>
        <w:rPr>
          <w:rFonts w:hint="eastAsia" w:asciiTheme="minorEastAsia" w:hAnsiTheme="minorEastAsia" w:eastAsiaTheme="minorEastAsia" w:cstheme="minorEastAsia"/>
          <w:sz w:val="24"/>
        </w:rPr>
        <w:t>为使商场达到更好的舒适性要求，更好的满足招标范围内的中央空调系统供应（制冷和采暖），要求投入一台或多台全新的磁悬浮空调</w:t>
      </w:r>
      <w:bookmarkEnd w:id="16"/>
      <w:r>
        <w:rPr>
          <w:rFonts w:hint="eastAsia" w:asciiTheme="minorEastAsia" w:hAnsiTheme="minorEastAsia" w:eastAsiaTheme="minorEastAsia" w:cstheme="minorEastAsia"/>
          <w:sz w:val="24"/>
        </w:rPr>
        <w:t>主机，参数及技术要求如下：</w:t>
      </w:r>
    </w:p>
    <w:tbl>
      <w:tblPr>
        <w:tblStyle w:val="27"/>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369"/>
        <w:gridCol w:w="857"/>
        <w:gridCol w:w="1227"/>
        <w:gridCol w:w="4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167" w:type="dxa"/>
            <w:gridSpan w:val="4"/>
            <w:vAlign w:val="center"/>
          </w:tcPr>
          <w:p>
            <w:pPr>
              <w:keepNext w:val="0"/>
              <w:keepLines w:val="0"/>
              <w:pageBreakBefore w:val="0"/>
              <w:widowControl/>
              <w:kinsoku/>
              <w:wordWrap/>
              <w:overflowPunct/>
              <w:topLinePunct w:val="0"/>
              <w:bidi w:val="0"/>
              <w:snapToGrid/>
              <w:spacing w:line="520" w:lineRule="exact"/>
              <w:textAlignment w:val="auto"/>
              <w:rPr>
                <w:rFonts w:ascii="宋体" w:hAnsi="宋体" w:cs="宋体"/>
                <w:color w:val="000000"/>
                <w:kern w:val="0"/>
                <w:sz w:val="24"/>
              </w:rPr>
            </w:pPr>
            <w:bookmarkStart w:id="18" w:name="_Hlk55201844"/>
            <w:r>
              <w:rPr>
                <w:rFonts w:hint="eastAsia" w:ascii="宋体" w:hAnsi="宋体" w:cs="宋体"/>
                <w:color w:val="000000"/>
                <w:kern w:val="0"/>
                <w:sz w:val="24"/>
              </w:rPr>
              <w:t xml:space="preserve">设备名称         </w:t>
            </w:r>
          </w:p>
        </w:tc>
        <w:tc>
          <w:tcPr>
            <w:tcW w:w="4432" w:type="dxa"/>
            <w:vAlign w:val="center"/>
          </w:tcPr>
          <w:p>
            <w:pPr>
              <w:keepNext w:val="0"/>
              <w:keepLines w:val="0"/>
              <w:pageBreakBefore w:val="0"/>
              <w:widowControl/>
              <w:kinsoku/>
              <w:wordWrap/>
              <w:overflowPunct/>
              <w:topLinePunct w:val="0"/>
              <w:bidi w:val="0"/>
              <w:snapToGrid/>
              <w:spacing w:line="520" w:lineRule="exact"/>
              <w:jc w:val="center"/>
              <w:textAlignment w:val="auto"/>
              <w:rPr>
                <w:rFonts w:ascii="宋体" w:hAnsi="宋体" w:cs="宋体"/>
                <w:color w:val="000000"/>
                <w:kern w:val="0"/>
                <w:sz w:val="24"/>
              </w:rPr>
            </w:pPr>
            <w:r>
              <w:rPr>
                <w:rFonts w:hint="eastAsia" w:ascii="宋体" w:hAnsi="宋体" w:cs="宋体"/>
                <w:color w:val="000000"/>
                <w:kern w:val="0"/>
                <w:sz w:val="24"/>
              </w:rPr>
              <w:t>磁悬浮离心机组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167" w:type="dxa"/>
            <w:gridSpan w:val="4"/>
            <w:vAlign w:val="center"/>
          </w:tcPr>
          <w:p>
            <w:pPr>
              <w:keepNext w:val="0"/>
              <w:keepLines w:val="0"/>
              <w:pageBreakBefore w:val="0"/>
              <w:widowControl/>
              <w:kinsoku/>
              <w:wordWrap/>
              <w:overflowPunct/>
              <w:topLinePunct w:val="0"/>
              <w:bidi w:val="0"/>
              <w:snapToGrid/>
              <w:spacing w:line="520" w:lineRule="exact"/>
              <w:textAlignment w:val="auto"/>
              <w:rPr>
                <w:rFonts w:ascii="宋体" w:hAnsi="宋体" w:cs="宋体"/>
                <w:color w:val="000000"/>
                <w:kern w:val="0"/>
                <w:sz w:val="24"/>
              </w:rPr>
            </w:pPr>
            <w:r>
              <w:rPr>
                <w:rFonts w:hint="eastAsia" w:ascii="宋体" w:hAnsi="宋体" w:cs="宋体"/>
                <w:color w:val="000000"/>
                <w:kern w:val="0"/>
                <w:sz w:val="24"/>
              </w:rPr>
              <w:t>压缩机</w:t>
            </w:r>
            <w:r>
              <w:rPr>
                <w:rFonts w:hint="eastAsia" w:ascii="宋体" w:hAnsi="宋体" w:cs="宋体"/>
                <w:color w:val="000000"/>
                <w:kern w:val="0"/>
                <w:sz w:val="24"/>
                <w:lang w:eastAsia="zh-CN"/>
              </w:rPr>
              <w:t>推荐</w:t>
            </w:r>
            <w:r>
              <w:rPr>
                <w:rFonts w:hint="eastAsia" w:ascii="宋体" w:hAnsi="宋体" w:cs="宋体"/>
                <w:color w:val="000000"/>
                <w:kern w:val="0"/>
                <w:sz w:val="24"/>
              </w:rPr>
              <w:t>品牌</w:t>
            </w:r>
          </w:p>
        </w:tc>
        <w:tc>
          <w:tcPr>
            <w:tcW w:w="4432" w:type="dxa"/>
            <w:vAlign w:val="center"/>
          </w:tcPr>
          <w:p>
            <w:pPr>
              <w:keepNext w:val="0"/>
              <w:keepLines w:val="0"/>
              <w:pageBreakBefore w:val="0"/>
              <w:widowControl/>
              <w:kinsoku/>
              <w:wordWrap/>
              <w:overflowPunct/>
              <w:topLinePunct w:val="0"/>
              <w:bidi w:val="0"/>
              <w:snapToGrid/>
              <w:spacing w:line="520" w:lineRule="exact"/>
              <w:jc w:val="center"/>
              <w:textAlignment w:val="auto"/>
              <w:rPr>
                <w:rFonts w:ascii="宋体" w:hAnsi="宋体" w:cs="宋体"/>
                <w:color w:val="000000"/>
                <w:kern w:val="0"/>
                <w:sz w:val="24"/>
              </w:rPr>
            </w:pPr>
            <w:r>
              <w:rPr>
                <w:rFonts w:ascii="宋体" w:hAnsi="宋体" w:eastAsia="宋体" w:cs="宋体"/>
                <w:sz w:val="24"/>
                <w:szCs w:val="24"/>
              </w:rPr>
              <w:t>丹佛斯</w:t>
            </w:r>
            <w:r>
              <w:rPr>
                <w:rFonts w:hint="eastAsia" w:ascii="宋体" w:hAnsi="宋体" w:cs="宋体"/>
                <w:sz w:val="24"/>
                <w:szCs w:val="24"/>
                <w:lang w:eastAsia="zh-CN"/>
              </w:rPr>
              <w:t>、</w:t>
            </w:r>
            <w:r>
              <w:rPr>
                <w:rFonts w:ascii="宋体" w:hAnsi="宋体" w:eastAsia="宋体" w:cs="宋体"/>
                <w:sz w:val="24"/>
                <w:szCs w:val="24"/>
              </w:rPr>
              <w:t>比泽尔</w:t>
            </w:r>
            <w:r>
              <w:rPr>
                <w:rFonts w:hint="eastAsia" w:ascii="宋体" w:hAnsi="宋体" w:cs="宋体"/>
                <w:sz w:val="24"/>
                <w:szCs w:val="24"/>
                <w:lang w:eastAsia="zh-CN"/>
              </w:rPr>
              <w:t>、</w:t>
            </w:r>
            <w:r>
              <w:rPr>
                <w:rFonts w:ascii="宋体" w:hAnsi="宋体" w:eastAsia="宋体" w:cs="宋体"/>
                <w:sz w:val="24"/>
                <w:szCs w:val="24"/>
              </w:rPr>
              <w:t>谷轮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714" w:type="dxa"/>
            <w:vAlign w:val="center"/>
          </w:tcPr>
          <w:p>
            <w:pPr>
              <w:keepNext w:val="0"/>
              <w:keepLines w:val="0"/>
              <w:pageBreakBefore w:val="0"/>
              <w:kinsoku/>
              <w:wordWrap/>
              <w:overflowPunct/>
              <w:topLinePunct w:val="0"/>
              <w:bidi w:val="0"/>
              <w:snapToGrid/>
              <w:spacing w:line="520" w:lineRule="exact"/>
              <w:jc w:val="left"/>
              <w:textAlignment w:val="auto"/>
              <w:rPr>
                <w:rFonts w:ascii="宋体" w:hAnsi="宋体" w:cs="宋体"/>
                <w:color w:val="000000"/>
                <w:kern w:val="0"/>
                <w:sz w:val="24"/>
              </w:rPr>
            </w:pPr>
            <w:r>
              <w:rPr>
                <w:rFonts w:hint="eastAsia" w:ascii="宋体" w:hAnsi="宋体" w:cs="宋体"/>
                <w:color w:val="000000"/>
                <w:kern w:val="0"/>
                <w:sz w:val="24"/>
              </w:rPr>
              <w:t>总制冷量</w:t>
            </w:r>
          </w:p>
        </w:tc>
        <w:tc>
          <w:tcPr>
            <w:tcW w:w="2453" w:type="dxa"/>
            <w:gridSpan w:val="3"/>
            <w:vAlign w:val="center"/>
          </w:tcPr>
          <w:p>
            <w:pPr>
              <w:keepNext w:val="0"/>
              <w:keepLines w:val="0"/>
              <w:pageBreakBefore w:val="0"/>
              <w:kinsoku/>
              <w:wordWrap/>
              <w:overflowPunct/>
              <w:topLinePunct w:val="0"/>
              <w:bidi w:val="0"/>
              <w:snapToGrid/>
              <w:spacing w:line="520" w:lineRule="exact"/>
              <w:jc w:val="left"/>
              <w:textAlignment w:val="auto"/>
              <w:rPr>
                <w:rFonts w:ascii="宋体" w:hAnsi="宋体" w:cs="宋体"/>
                <w:color w:val="000000"/>
                <w:kern w:val="0"/>
                <w:sz w:val="24"/>
              </w:rPr>
            </w:pPr>
            <w:r>
              <w:rPr>
                <w:rFonts w:hint="eastAsia" w:ascii="宋体" w:hAnsi="宋体" w:cs="宋体"/>
                <w:color w:val="000000"/>
                <w:kern w:val="0"/>
                <w:sz w:val="24"/>
              </w:rPr>
              <w:t>kW</w:t>
            </w:r>
          </w:p>
        </w:tc>
        <w:tc>
          <w:tcPr>
            <w:tcW w:w="4432" w:type="dxa"/>
          </w:tcPr>
          <w:p>
            <w:pPr>
              <w:keepNext w:val="0"/>
              <w:keepLines w:val="0"/>
              <w:pageBreakBefore w:val="0"/>
              <w:widowControl/>
              <w:kinsoku/>
              <w:wordWrap/>
              <w:overflowPunct/>
              <w:topLinePunct w:val="0"/>
              <w:bidi w:val="0"/>
              <w:snapToGrid/>
              <w:spacing w:line="520" w:lineRule="exact"/>
              <w:jc w:val="center"/>
              <w:textAlignment w:val="auto"/>
              <w:rPr>
                <w:rFonts w:ascii="宋体" w:hAnsi="宋体" w:cs="宋体"/>
                <w:color w:val="000000"/>
                <w:kern w:val="0"/>
                <w:sz w:val="24"/>
              </w:rPr>
            </w:pPr>
            <w:r>
              <w:rPr>
                <w:rFonts w:hint="eastAsia" w:ascii="宋体" w:hAnsi="宋体" w:cs="宋体"/>
                <w:color w:val="000000"/>
                <w:kern w:val="0"/>
                <w:sz w:val="24"/>
              </w:rPr>
              <w:t>≥1040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167" w:type="dxa"/>
            <w:gridSpan w:val="4"/>
            <w:vAlign w:val="center"/>
          </w:tcPr>
          <w:p>
            <w:pPr>
              <w:keepNext w:val="0"/>
              <w:keepLines w:val="0"/>
              <w:pageBreakBefore w:val="0"/>
              <w:widowControl/>
              <w:kinsoku/>
              <w:wordWrap/>
              <w:overflowPunct/>
              <w:topLinePunct w:val="0"/>
              <w:bidi w:val="0"/>
              <w:snapToGrid/>
              <w:spacing w:line="520" w:lineRule="exact"/>
              <w:jc w:val="left"/>
              <w:textAlignment w:val="auto"/>
              <w:rPr>
                <w:rFonts w:ascii="宋体" w:hAnsi="宋体" w:cs="宋体"/>
                <w:color w:val="000000"/>
                <w:kern w:val="0"/>
                <w:sz w:val="24"/>
              </w:rPr>
            </w:pPr>
            <w:r>
              <w:rPr>
                <w:rFonts w:hint="eastAsia" w:ascii="宋体" w:hAnsi="宋体" w:cs="宋体"/>
                <w:color w:val="000000"/>
                <w:kern w:val="0"/>
                <w:sz w:val="24"/>
              </w:rPr>
              <w:t>COP</w:t>
            </w:r>
          </w:p>
        </w:tc>
        <w:tc>
          <w:tcPr>
            <w:tcW w:w="4432" w:type="dxa"/>
          </w:tcPr>
          <w:p>
            <w:pPr>
              <w:keepNext w:val="0"/>
              <w:keepLines w:val="0"/>
              <w:pageBreakBefore w:val="0"/>
              <w:widowControl/>
              <w:kinsoku/>
              <w:wordWrap/>
              <w:overflowPunct/>
              <w:topLinePunct w:val="0"/>
              <w:bidi w:val="0"/>
              <w:snapToGrid/>
              <w:spacing w:line="520" w:lineRule="exact"/>
              <w:jc w:val="center"/>
              <w:textAlignment w:val="auto"/>
              <w:rPr>
                <w:rFonts w:ascii="宋体" w:hAnsi="宋体" w:cs="宋体"/>
                <w:color w:val="000000"/>
                <w:kern w:val="0"/>
                <w:sz w:val="24"/>
              </w:rPr>
            </w:pPr>
            <w:r>
              <w:rPr>
                <w:rFonts w:hint="eastAsia" w:ascii="宋体" w:hAnsi="宋体" w:cs="宋体"/>
                <w:color w:val="000000"/>
                <w:kern w:val="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167" w:type="dxa"/>
            <w:gridSpan w:val="4"/>
            <w:vAlign w:val="center"/>
          </w:tcPr>
          <w:p>
            <w:pPr>
              <w:keepNext w:val="0"/>
              <w:keepLines w:val="0"/>
              <w:pageBreakBefore w:val="0"/>
              <w:widowControl/>
              <w:kinsoku/>
              <w:wordWrap/>
              <w:overflowPunct/>
              <w:topLinePunct w:val="0"/>
              <w:bidi w:val="0"/>
              <w:snapToGrid/>
              <w:spacing w:line="520" w:lineRule="exact"/>
              <w:jc w:val="left"/>
              <w:textAlignment w:val="auto"/>
              <w:rPr>
                <w:rFonts w:ascii="宋体" w:hAnsi="宋体" w:cs="宋体"/>
                <w:color w:val="000000"/>
                <w:kern w:val="0"/>
                <w:sz w:val="24"/>
              </w:rPr>
            </w:pPr>
            <w:r>
              <w:rPr>
                <w:rFonts w:hint="eastAsia" w:ascii="宋体" w:hAnsi="宋体" w:cs="宋体"/>
                <w:color w:val="000000"/>
                <w:kern w:val="0"/>
                <w:sz w:val="24"/>
              </w:rPr>
              <w:t>IPLV</w:t>
            </w:r>
          </w:p>
        </w:tc>
        <w:tc>
          <w:tcPr>
            <w:tcW w:w="4432" w:type="dxa"/>
          </w:tcPr>
          <w:p>
            <w:pPr>
              <w:keepNext w:val="0"/>
              <w:keepLines w:val="0"/>
              <w:pageBreakBefore w:val="0"/>
              <w:widowControl/>
              <w:kinsoku/>
              <w:wordWrap/>
              <w:overflowPunct/>
              <w:topLinePunct w:val="0"/>
              <w:bidi w:val="0"/>
              <w:snapToGrid/>
              <w:spacing w:line="520" w:lineRule="exact"/>
              <w:jc w:val="center"/>
              <w:textAlignment w:val="auto"/>
              <w:rPr>
                <w:rFonts w:ascii="宋体" w:hAnsi="宋体" w:cs="宋体"/>
                <w:color w:val="000000"/>
                <w:kern w:val="0"/>
                <w:sz w:val="24"/>
              </w:rPr>
            </w:pPr>
            <w:r>
              <w:rPr>
                <w:rFonts w:hint="eastAsia" w:ascii="宋体" w:hAnsi="宋体" w:cs="宋体"/>
                <w:color w:val="000000"/>
                <w:kern w:val="0"/>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714" w:type="dxa"/>
            <w:vAlign w:val="center"/>
          </w:tcPr>
          <w:p>
            <w:pPr>
              <w:keepNext w:val="0"/>
              <w:keepLines w:val="0"/>
              <w:pageBreakBefore w:val="0"/>
              <w:widowControl/>
              <w:kinsoku/>
              <w:wordWrap/>
              <w:overflowPunct/>
              <w:topLinePunct w:val="0"/>
              <w:bidi w:val="0"/>
              <w:snapToGrid/>
              <w:spacing w:line="520" w:lineRule="exact"/>
              <w:textAlignment w:val="auto"/>
              <w:rPr>
                <w:rFonts w:ascii="宋体" w:hAnsi="宋体" w:cs="宋体"/>
                <w:color w:val="000000"/>
                <w:kern w:val="0"/>
                <w:sz w:val="24"/>
              </w:rPr>
            </w:pPr>
            <w:r>
              <w:rPr>
                <w:rFonts w:hint="eastAsia" w:ascii="宋体" w:hAnsi="宋体" w:cs="宋体"/>
                <w:color w:val="000000"/>
                <w:kern w:val="0"/>
                <w:sz w:val="24"/>
              </w:rPr>
              <w:t>蒸发器</w:t>
            </w:r>
          </w:p>
        </w:tc>
        <w:tc>
          <w:tcPr>
            <w:tcW w:w="1226" w:type="dxa"/>
            <w:gridSpan w:val="2"/>
            <w:vAlign w:val="center"/>
          </w:tcPr>
          <w:p>
            <w:pPr>
              <w:keepNext w:val="0"/>
              <w:keepLines w:val="0"/>
              <w:pageBreakBefore w:val="0"/>
              <w:widowControl/>
              <w:kinsoku/>
              <w:wordWrap/>
              <w:overflowPunct/>
              <w:topLinePunct w:val="0"/>
              <w:bidi w:val="0"/>
              <w:snapToGrid/>
              <w:spacing w:line="520" w:lineRule="exact"/>
              <w:jc w:val="left"/>
              <w:textAlignment w:val="auto"/>
              <w:rPr>
                <w:rFonts w:ascii="宋体" w:hAnsi="宋体" w:cs="宋体"/>
                <w:color w:val="000000"/>
                <w:kern w:val="0"/>
                <w:sz w:val="24"/>
              </w:rPr>
            </w:pPr>
            <w:r>
              <w:rPr>
                <w:rFonts w:hint="eastAsia" w:ascii="宋体" w:hAnsi="宋体" w:cs="宋体"/>
                <w:color w:val="000000"/>
                <w:kern w:val="0"/>
                <w:sz w:val="24"/>
              </w:rPr>
              <w:t>压力损失</w:t>
            </w:r>
          </w:p>
        </w:tc>
        <w:tc>
          <w:tcPr>
            <w:tcW w:w="1227" w:type="dxa"/>
            <w:vAlign w:val="center"/>
          </w:tcPr>
          <w:p>
            <w:pPr>
              <w:keepNext w:val="0"/>
              <w:keepLines w:val="0"/>
              <w:pageBreakBefore w:val="0"/>
              <w:widowControl/>
              <w:kinsoku/>
              <w:wordWrap/>
              <w:overflowPunct/>
              <w:topLinePunct w:val="0"/>
              <w:bidi w:val="0"/>
              <w:snapToGrid/>
              <w:spacing w:line="520" w:lineRule="exact"/>
              <w:jc w:val="left"/>
              <w:textAlignment w:val="auto"/>
              <w:rPr>
                <w:rFonts w:ascii="宋体" w:hAnsi="宋体" w:cs="宋体"/>
                <w:color w:val="000000"/>
                <w:kern w:val="0"/>
                <w:sz w:val="24"/>
              </w:rPr>
            </w:pPr>
            <w:r>
              <w:rPr>
                <w:rFonts w:hint="eastAsia" w:ascii="宋体" w:hAnsi="宋体" w:cs="宋体"/>
                <w:color w:val="000000"/>
                <w:kern w:val="0"/>
                <w:sz w:val="24"/>
              </w:rPr>
              <w:t>kPa</w:t>
            </w:r>
          </w:p>
        </w:tc>
        <w:tc>
          <w:tcPr>
            <w:tcW w:w="4432" w:type="dxa"/>
          </w:tcPr>
          <w:p>
            <w:pPr>
              <w:keepNext w:val="0"/>
              <w:keepLines w:val="0"/>
              <w:pageBreakBefore w:val="0"/>
              <w:widowControl/>
              <w:kinsoku/>
              <w:wordWrap/>
              <w:overflowPunct/>
              <w:topLinePunct w:val="0"/>
              <w:bidi w:val="0"/>
              <w:snapToGrid/>
              <w:spacing w:line="520" w:lineRule="exact"/>
              <w:jc w:val="center"/>
              <w:textAlignment w:val="auto"/>
              <w:rPr>
                <w:rFonts w:ascii="宋体" w:hAnsi="宋体" w:cs="宋体"/>
                <w:color w:val="000000"/>
                <w:kern w:val="0"/>
                <w:sz w:val="24"/>
              </w:rPr>
            </w:pPr>
            <w:r>
              <w:rPr>
                <w:rFonts w:hint="eastAsia" w:ascii="宋体" w:hAnsi="宋体" w:cs="宋体"/>
                <w:color w:val="000000"/>
                <w:kern w:val="0"/>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714" w:type="dxa"/>
            <w:vAlign w:val="center"/>
          </w:tcPr>
          <w:p>
            <w:pPr>
              <w:keepNext w:val="0"/>
              <w:keepLines w:val="0"/>
              <w:pageBreakBefore w:val="0"/>
              <w:widowControl/>
              <w:kinsoku/>
              <w:wordWrap/>
              <w:overflowPunct/>
              <w:topLinePunct w:val="0"/>
              <w:bidi w:val="0"/>
              <w:snapToGrid/>
              <w:spacing w:line="520" w:lineRule="exact"/>
              <w:textAlignment w:val="auto"/>
              <w:rPr>
                <w:rFonts w:ascii="宋体" w:hAnsi="宋体" w:cs="宋体"/>
                <w:color w:val="000000"/>
                <w:kern w:val="0"/>
                <w:sz w:val="24"/>
              </w:rPr>
            </w:pPr>
            <w:r>
              <w:rPr>
                <w:rFonts w:hint="eastAsia" w:ascii="宋体" w:hAnsi="宋体" w:cs="宋体"/>
                <w:color w:val="000000"/>
                <w:kern w:val="0"/>
                <w:sz w:val="24"/>
              </w:rPr>
              <w:t>冷凝器</w:t>
            </w:r>
          </w:p>
        </w:tc>
        <w:tc>
          <w:tcPr>
            <w:tcW w:w="1226" w:type="dxa"/>
            <w:gridSpan w:val="2"/>
            <w:vAlign w:val="center"/>
          </w:tcPr>
          <w:p>
            <w:pPr>
              <w:keepNext w:val="0"/>
              <w:keepLines w:val="0"/>
              <w:pageBreakBefore w:val="0"/>
              <w:widowControl/>
              <w:kinsoku/>
              <w:wordWrap/>
              <w:overflowPunct/>
              <w:topLinePunct w:val="0"/>
              <w:bidi w:val="0"/>
              <w:snapToGrid/>
              <w:spacing w:line="520" w:lineRule="exact"/>
              <w:jc w:val="left"/>
              <w:textAlignment w:val="auto"/>
              <w:rPr>
                <w:rFonts w:ascii="宋体" w:hAnsi="宋体" w:cs="宋体"/>
                <w:color w:val="000000"/>
                <w:kern w:val="0"/>
                <w:sz w:val="24"/>
              </w:rPr>
            </w:pPr>
            <w:r>
              <w:rPr>
                <w:rFonts w:hint="eastAsia" w:ascii="宋体" w:hAnsi="宋体" w:cs="宋体"/>
                <w:color w:val="000000"/>
                <w:kern w:val="0"/>
                <w:sz w:val="24"/>
              </w:rPr>
              <w:t>压力损失</w:t>
            </w:r>
          </w:p>
        </w:tc>
        <w:tc>
          <w:tcPr>
            <w:tcW w:w="1227" w:type="dxa"/>
            <w:vAlign w:val="center"/>
          </w:tcPr>
          <w:p>
            <w:pPr>
              <w:keepNext w:val="0"/>
              <w:keepLines w:val="0"/>
              <w:pageBreakBefore w:val="0"/>
              <w:widowControl/>
              <w:kinsoku/>
              <w:wordWrap/>
              <w:overflowPunct/>
              <w:topLinePunct w:val="0"/>
              <w:bidi w:val="0"/>
              <w:snapToGrid/>
              <w:spacing w:line="520" w:lineRule="exact"/>
              <w:jc w:val="left"/>
              <w:textAlignment w:val="auto"/>
              <w:rPr>
                <w:rFonts w:ascii="宋体" w:hAnsi="宋体" w:cs="宋体"/>
                <w:color w:val="000000"/>
                <w:kern w:val="0"/>
                <w:sz w:val="24"/>
              </w:rPr>
            </w:pPr>
            <w:r>
              <w:rPr>
                <w:rFonts w:hint="eastAsia" w:ascii="宋体" w:hAnsi="宋体" w:cs="宋体"/>
                <w:color w:val="000000"/>
                <w:kern w:val="0"/>
                <w:sz w:val="24"/>
              </w:rPr>
              <w:t>kPa</w:t>
            </w:r>
          </w:p>
        </w:tc>
        <w:tc>
          <w:tcPr>
            <w:tcW w:w="4432" w:type="dxa"/>
          </w:tcPr>
          <w:p>
            <w:pPr>
              <w:keepNext w:val="0"/>
              <w:keepLines w:val="0"/>
              <w:pageBreakBefore w:val="0"/>
              <w:widowControl/>
              <w:kinsoku/>
              <w:wordWrap/>
              <w:overflowPunct/>
              <w:topLinePunct w:val="0"/>
              <w:bidi w:val="0"/>
              <w:snapToGrid/>
              <w:spacing w:line="520" w:lineRule="exact"/>
              <w:jc w:val="center"/>
              <w:textAlignment w:val="auto"/>
              <w:rPr>
                <w:rFonts w:ascii="宋体" w:hAnsi="宋体" w:cs="宋体"/>
                <w:color w:val="000000"/>
                <w:kern w:val="0"/>
                <w:sz w:val="24"/>
              </w:rPr>
            </w:pPr>
            <w:r>
              <w:rPr>
                <w:rFonts w:hint="eastAsia" w:ascii="宋体" w:hAnsi="宋体" w:cs="宋体"/>
                <w:color w:val="000000"/>
                <w:kern w:val="0"/>
                <w:sz w:val="24"/>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3" w:type="dxa"/>
            <w:gridSpan w:val="2"/>
            <w:vAlign w:val="center"/>
          </w:tcPr>
          <w:p>
            <w:pPr>
              <w:keepNext w:val="0"/>
              <w:keepLines w:val="0"/>
              <w:pageBreakBefore w:val="0"/>
              <w:widowControl/>
              <w:kinsoku/>
              <w:wordWrap/>
              <w:overflowPunct/>
              <w:topLinePunct w:val="0"/>
              <w:bidi w:val="0"/>
              <w:snapToGrid/>
              <w:spacing w:line="520" w:lineRule="exact"/>
              <w:jc w:val="left"/>
              <w:textAlignment w:val="auto"/>
              <w:rPr>
                <w:rFonts w:ascii="宋体" w:hAnsi="宋体" w:cs="宋体"/>
                <w:color w:val="000000"/>
                <w:kern w:val="0"/>
                <w:sz w:val="24"/>
              </w:rPr>
            </w:pPr>
            <w:r>
              <w:rPr>
                <w:rFonts w:hint="eastAsia" w:ascii="宋体" w:hAnsi="宋体" w:cs="宋体"/>
                <w:color w:val="000000"/>
                <w:kern w:val="0"/>
                <w:sz w:val="24"/>
              </w:rPr>
              <w:t xml:space="preserve">输入功率      </w:t>
            </w:r>
          </w:p>
        </w:tc>
        <w:tc>
          <w:tcPr>
            <w:tcW w:w="2084" w:type="dxa"/>
            <w:gridSpan w:val="2"/>
            <w:vAlign w:val="center"/>
          </w:tcPr>
          <w:p>
            <w:pPr>
              <w:keepNext w:val="0"/>
              <w:keepLines w:val="0"/>
              <w:pageBreakBefore w:val="0"/>
              <w:widowControl/>
              <w:kinsoku/>
              <w:wordWrap/>
              <w:overflowPunct/>
              <w:topLinePunct w:val="0"/>
              <w:bidi w:val="0"/>
              <w:snapToGrid/>
              <w:spacing w:line="520" w:lineRule="exact"/>
              <w:jc w:val="left"/>
              <w:textAlignment w:val="auto"/>
              <w:rPr>
                <w:rFonts w:ascii="宋体" w:hAnsi="宋体" w:cs="宋体"/>
                <w:color w:val="000000"/>
                <w:kern w:val="0"/>
                <w:sz w:val="24"/>
              </w:rPr>
            </w:pPr>
            <w:r>
              <w:rPr>
                <w:rFonts w:hint="eastAsia" w:ascii="宋体" w:hAnsi="宋体" w:cs="宋体"/>
                <w:color w:val="000000"/>
                <w:kern w:val="0"/>
                <w:sz w:val="24"/>
              </w:rPr>
              <w:t>kW</w:t>
            </w:r>
          </w:p>
        </w:tc>
        <w:tc>
          <w:tcPr>
            <w:tcW w:w="4432" w:type="dxa"/>
          </w:tcPr>
          <w:p>
            <w:pPr>
              <w:keepNext w:val="0"/>
              <w:keepLines w:val="0"/>
              <w:pageBreakBefore w:val="0"/>
              <w:widowControl/>
              <w:kinsoku/>
              <w:wordWrap/>
              <w:overflowPunct/>
              <w:topLinePunct w:val="0"/>
              <w:bidi w:val="0"/>
              <w:snapToGrid/>
              <w:spacing w:line="520" w:lineRule="exact"/>
              <w:jc w:val="center"/>
              <w:textAlignment w:val="auto"/>
              <w:rPr>
                <w:rFonts w:ascii="宋体" w:hAnsi="宋体" w:cs="宋体"/>
                <w:color w:val="000000"/>
                <w:kern w:val="0"/>
                <w:sz w:val="24"/>
              </w:rPr>
            </w:pPr>
            <w:r>
              <w:rPr>
                <w:rFonts w:hint="eastAsia" w:ascii="宋体" w:hAnsi="宋体" w:cs="宋体"/>
                <w:color w:val="000000"/>
                <w:kern w:val="0"/>
                <w:sz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083" w:type="dxa"/>
            <w:gridSpan w:val="2"/>
            <w:vAlign w:val="center"/>
          </w:tcPr>
          <w:p>
            <w:pPr>
              <w:keepNext w:val="0"/>
              <w:keepLines w:val="0"/>
              <w:pageBreakBefore w:val="0"/>
              <w:widowControl/>
              <w:kinsoku/>
              <w:wordWrap/>
              <w:overflowPunct/>
              <w:topLinePunct w:val="0"/>
              <w:bidi w:val="0"/>
              <w:snapToGrid/>
              <w:spacing w:line="520" w:lineRule="exact"/>
              <w:jc w:val="left"/>
              <w:textAlignment w:val="auto"/>
              <w:rPr>
                <w:rFonts w:ascii="宋体" w:hAnsi="宋体" w:cs="宋体"/>
                <w:color w:val="000000"/>
                <w:kern w:val="0"/>
                <w:sz w:val="24"/>
              </w:rPr>
            </w:pPr>
            <w:r>
              <w:rPr>
                <w:rFonts w:hint="eastAsia" w:ascii="宋体" w:hAnsi="宋体" w:cs="宋体"/>
                <w:color w:val="000000"/>
                <w:kern w:val="0"/>
                <w:sz w:val="24"/>
              </w:rPr>
              <w:t xml:space="preserve">冷水承压      </w:t>
            </w:r>
          </w:p>
        </w:tc>
        <w:tc>
          <w:tcPr>
            <w:tcW w:w="2084" w:type="dxa"/>
            <w:gridSpan w:val="2"/>
            <w:vAlign w:val="center"/>
          </w:tcPr>
          <w:p>
            <w:pPr>
              <w:keepNext w:val="0"/>
              <w:keepLines w:val="0"/>
              <w:pageBreakBefore w:val="0"/>
              <w:widowControl/>
              <w:kinsoku/>
              <w:wordWrap/>
              <w:overflowPunct/>
              <w:topLinePunct w:val="0"/>
              <w:bidi w:val="0"/>
              <w:snapToGrid/>
              <w:spacing w:line="520" w:lineRule="exact"/>
              <w:jc w:val="left"/>
              <w:textAlignment w:val="auto"/>
              <w:rPr>
                <w:rFonts w:ascii="宋体" w:hAnsi="宋体" w:cs="宋体"/>
                <w:color w:val="000000"/>
                <w:kern w:val="0"/>
                <w:sz w:val="24"/>
              </w:rPr>
            </w:pPr>
            <w:r>
              <w:rPr>
                <w:rFonts w:hint="eastAsia" w:ascii="宋体" w:hAnsi="宋体" w:cs="宋体"/>
                <w:color w:val="000000"/>
                <w:kern w:val="0"/>
                <w:sz w:val="24"/>
              </w:rPr>
              <w:t>MPa</w:t>
            </w:r>
          </w:p>
        </w:tc>
        <w:tc>
          <w:tcPr>
            <w:tcW w:w="4432" w:type="dxa"/>
            <w:vAlign w:val="center"/>
          </w:tcPr>
          <w:p>
            <w:pPr>
              <w:keepNext w:val="0"/>
              <w:keepLines w:val="0"/>
              <w:pageBreakBefore w:val="0"/>
              <w:widowControl/>
              <w:kinsoku/>
              <w:wordWrap/>
              <w:overflowPunct/>
              <w:topLinePunct w:val="0"/>
              <w:bidi w:val="0"/>
              <w:snapToGrid/>
              <w:spacing w:line="520" w:lineRule="exact"/>
              <w:jc w:val="center"/>
              <w:textAlignment w:val="auto"/>
              <w:rPr>
                <w:rFonts w:ascii="宋体" w:hAnsi="宋体" w:cs="宋体"/>
                <w:color w:val="000000"/>
                <w:kern w:val="0"/>
                <w:sz w:val="24"/>
              </w:rPr>
            </w:pPr>
            <w:r>
              <w:rPr>
                <w:rFonts w:hint="eastAsia" w:ascii="宋体" w:hAnsi="宋体" w:cs="宋体"/>
                <w:color w:val="000000"/>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083" w:type="dxa"/>
            <w:gridSpan w:val="2"/>
            <w:vAlign w:val="center"/>
          </w:tcPr>
          <w:p>
            <w:pPr>
              <w:keepNext w:val="0"/>
              <w:keepLines w:val="0"/>
              <w:pageBreakBefore w:val="0"/>
              <w:widowControl/>
              <w:kinsoku/>
              <w:wordWrap/>
              <w:overflowPunct/>
              <w:topLinePunct w:val="0"/>
              <w:bidi w:val="0"/>
              <w:snapToGrid/>
              <w:spacing w:line="520" w:lineRule="exact"/>
              <w:jc w:val="left"/>
              <w:textAlignment w:val="auto"/>
              <w:rPr>
                <w:rFonts w:ascii="宋体" w:hAnsi="宋体" w:cs="宋体"/>
                <w:color w:val="000000"/>
                <w:kern w:val="0"/>
                <w:sz w:val="24"/>
              </w:rPr>
            </w:pPr>
            <w:r>
              <w:rPr>
                <w:rFonts w:hint="eastAsia" w:ascii="宋体" w:hAnsi="宋体" w:cs="宋体"/>
                <w:color w:val="000000"/>
                <w:kern w:val="0"/>
                <w:sz w:val="24"/>
              </w:rPr>
              <w:t xml:space="preserve">冷却水承压    </w:t>
            </w:r>
          </w:p>
        </w:tc>
        <w:tc>
          <w:tcPr>
            <w:tcW w:w="2084" w:type="dxa"/>
            <w:gridSpan w:val="2"/>
            <w:vAlign w:val="center"/>
          </w:tcPr>
          <w:p>
            <w:pPr>
              <w:keepNext w:val="0"/>
              <w:keepLines w:val="0"/>
              <w:pageBreakBefore w:val="0"/>
              <w:widowControl/>
              <w:kinsoku/>
              <w:wordWrap/>
              <w:overflowPunct/>
              <w:topLinePunct w:val="0"/>
              <w:bidi w:val="0"/>
              <w:snapToGrid/>
              <w:spacing w:line="520" w:lineRule="exact"/>
              <w:jc w:val="left"/>
              <w:textAlignment w:val="auto"/>
              <w:rPr>
                <w:rFonts w:ascii="宋体" w:hAnsi="宋体" w:cs="宋体"/>
                <w:color w:val="000000"/>
                <w:kern w:val="0"/>
                <w:sz w:val="24"/>
              </w:rPr>
            </w:pPr>
            <w:r>
              <w:rPr>
                <w:rFonts w:hint="eastAsia" w:ascii="宋体" w:hAnsi="宋体" w:cs="宋体"/>
                <w:color w:val="000000"/>
                <w:kern w:val="0"/>
                <w:sz w:val="24"/>
              </w:rPr>
              <w:t>MPa</w:t>
            </w:r>
          </w:p>
        </w:tc>
        <w:tc>
          <w:tcPr>
            <w:tcW w:w="4432" w:type="dxa"/>
            <w:vAlign w:val="center"/>
          </w:tcPr>
          <w:p>
            <w:pPr>
              <w:keepNext w:val="0"/>
              <w:keepLines w:val="0"/>
              <w:pageBreakBefore w:val="0"/>
              <w:widowControl/>
              <w:kinsoku/>
              <w:wordWrap/>
              <w:overflowPunct/>
              <w:topLinePunct w:val="0"/>
              <w:bidi w:val="0"/>
              <w:snapToGrid/>
              <w:spacing w:line="520" w:lineRule="exact"/>
              <w:jc w:val="center"/>
              <w:textAlignment w:val="auto"/>
              <w:rPr>
                <w:rFonts w:ascii="宋体" w:hAnsi="宋体" w:cs="宋体"/>
                <w:color w:val="000000"/>
                <w:kern w:val="0"/>
                <w:sz w:val="24"/>
              </w:rPr>
            </w:pPr>
            <w:r>
              <w:rPr>
                <w:rFonts w:hint="eastAsia" w:ascii="宋体" w:hAnsi="宋体" w:cs="宋体"/>
                <w:color w:val="000000"/>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167" w:type="dxa"/>
            <w:gridSpan w:val="4"/>
            <w:vAlign w:val="center"/>
          </w:tcPr>
          <w:p>
            <w:pPr>
              <w:keepNext w:val="0"/>
              <w:keepLines w:val="0"/>
              <w:pageBreakBefore w:val="0"/>
              <w:widowControl/>
              <w:kinsoku/>
              <w:wordWrap/>
              <w:overflowPunct/>
              <w:topLinePunct w:val="0"/>
              <w:bidi w:val="0"/>
              <w:snapToGrid/>
              <w:spacing w:line="520" w:lineRule="exact"/>
              <w:jc w:val="left"/>
              <w:textAlignment w:val="auto"/>
              <w:rPr>
                <w:rFonts w:ascii="宋体" w:hAnsi="宋体" w:cs="宋体"/>
                <w:color w:val="000000"/>
                <w:kern w:val="0"/>
                <w:sz w:val="24"/>
              </w:rPr>
            </w:pPr>
            <w:r>
              <w:rPr>
                <w:rFonts w:hint="eastAsia" w:ascii="宋体" w:hAnsi="宋体" w:cs="宋体"/>
                <w:color w:val="000000"/>
                <w:kern w:val="0"/>
                <w:sz w:val="24"/>
              </w:rPr>
              <w:t>负荷调节范围</w:t>
            </w:r>
          </w:p>
        </w:tc>
        <w:tc>
          <w:tcPr>
            <w:tcW w:w="4432" w:type="dxa"/>
            <w:vAlign w:val="center"/>
          </w:tcPr>
          <w:p>
            <w:pPr>
              <w:keepNext w:val="0"/>
              <w:keepLines w:val="0"/>
              <w:pageBreakBefore w:val="0"/>
              <w:widowControl/>
              <w:kinsoku/>
              <w:wordWrap/>
              <w:overflowPunct/>
              <w:topLinePunct w:val="0"/>
              <w:bidi w:val="0"/>
              <w:snapToGrid/>
              <w:spacing w:line="520" w:lineRule="exact"/>
              <w:jc w:val="center"/>
              <w:textAlignment w:val="auto"/>
              <w:rPr>
                <w:rFonts w:ascii="宋体" w:hAnsi="宋体" w:cs="宋体"/>
                <w:color w:val="000000"/>
                <w:kern w:val="0"/>
                <w:sz w:val="24"/>
              </w:rPr>
            </w:pPr>
            <w:r>
              <w:rPr>
                <w:rFonts w:hint="eastAsia" w:ascii="宋体" w:hAnsi="宋体" w:cs="宋体"/>
                <w:color w:val="000000"/>
                <w:kern w:val="0"/>
                <w:sz w:val="24"/>
              </w:rPr>
              <w:t>10～100%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167" w:type="dxa"/>
            <w:gridSpan w:val="4"/>
            <w:vAlign w:val="center"/>
          </w:tcPr>
          <w:p>
            <w:pPr>
              <w:keepNext w:val="0"/>
              <w:keepLines w:val="0"/>
              <w:pageBreakBefore w:val="0"/>
              <w:widowControl/>
              <w:kinsoku/>
              <w:wordWrap/>
              <w:overflowPunct/>
              <w:topLinePunct w:val="0"/>
              <w:bidi w:val="0"/>
              <w:snapToGrid/>
              <w:spacing w:line="520" w:lineRule="exact"/>
              <w:jc w:val="left"/>
              <w:textAlignment w:val="auto"/>
              <w:rPr>
                <w:rFonts w:ascii="宋体" w:hAnsi="宋体" w:cs="宋体"/>
                <w:color w:val="000000"/>
                <w:kern w:val="0"/>
                <w:sz w:val="24"/>
              </w:rPr>
            </w:pPr>
            <w:r>
              <w:rPr>
                <w:rFonts w:hint="eastAsia" w:ascii="宋体" w:hAnsi="宋体" w:cs="宋体"/>
                <w:color w:val="000000"/>
                <w:kern w:val="0"/>
                <w:sz w:val="24"/>
              </w:rPr>
              <w:t>空调水进出口温度</w:t>
            </w:r>
          </w:p>
        </w:tc>
        <w:tc>
          <w:tcPr>
            <w:tcW w:w="4432" w:type="dxa"/>
            <w:vAlign w:val="center"/>
          </w:tcPr>
          <w:p>
            <w:pPr>
              <w:keepNext w:val="0"/>
              <w:keepLines w:val="0"/>
              <w:pageBreakBefore w:val="0"/>
              <w:widowControl/>
              <w:kinsoku/>
              <w:wordWrap/>
              <w:overflowPunct/>
              <w:topLinePunct w:val="0"/>
              <w:bidi w:val="0"/>
              <w:snapToGrid/>
              <w:spacing w:line="520" w:lineRule="exact"/>
              <w:jc w:val="center"/>
              <w:textAlignment w:val="auto"/>
              <w:rPr>
                <w:rFonts w:ascii="宋体" w:hAnsi="宋体" w:cs="宋体"/>
                <w:kern w:val="0"/>
                <w:sz w:val="24"/>
              </w:rPr>
            </w:pPr>
            <w:r>
              <w:rPr>
                <w:rFonts w:hint="eastAsia" w:ascii="宋体" w:hAnsi="宋体" w:cs="宋体"/>
                <w:kern w:val="0"/>
                <w:sz w:val="24"/>
              </w:rPr>
              <w:t>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167" w:type="dxa"/>
            <w:gridSpan w:val="4"/>
            <w:vAlign w:val="center"/>
          </w:tcPr>
          <w:p>
            <w:pPr>
              <w:keepNext w:val="0"/>
              <w:keepLines w:val="0"/>
              <w:pageBreakBefore w:val="0"/>
              <w:widowControl/>
              <w:kinsoku/>
              <w:wordWrap/>
              <w:overflowPunct/>
              <w:topLinePunct w:val="0"/>
              <w:bidi w:val="0"/>
              <w:snapToGrid/>
              <w:spacing w:line="520" w:lineRule="exact"/>
              <w:jc w:val="left"/>
              <w:textAlignment w:val="auto"/>
              <w:rPr>
                <w:rFonts w:ascii="宋体" w:hAnsi="宋体" w:cs="宋体"/>
                <w:color w:val="000000"/>
                <w:kern w:val="0"/>
                <w:sz w:val="24"/>
              </w:rPr>
            </w:pPr>
            <w:r>
              <w:rPr>
                <w:rFonts w:hint="eastAsia" w:ascii="宋体" w:hAnsi="宋体" w:cs="宋体"/>
                <w:color w:val="000000"/>
                <w:kern w:val="0"/>
                <w:sz w:val="24"/>
              </w:rPr>
              <w:t>冷却水进出口温度</w:t>
            </w:r>
          </w:p>
        </w:tc>
        <w:tc>
          <w:tcPr>
            <w:tcW w:w="4432" w:type="dxa"/>
            <w:vAlign w:val="center"/>
          </w:tcPr>
          <w:p>
            <w:pPr>
              <w:keepNext w:val="0"/>
              <w:keepLines w:val="0"/>
              <w:pageBreakBefore w:val="0"/>
              <w:widowControl/>
              <w:kinsoku/>
              <w:wordWrap/>
              <w:overflowPunct/>
              <w:topLinePunct w:val="0"/>
              <w:bidi w:val="0"/>
              <w:snapToGrid/>
              <w:spacing w:line="520" w:lineRule="exact"/>
              <w:jc w:val="center"/>
              <w:textAlignment w:val="auto"/>
              <w:rPr>
                <w:rFonts w:ascii="宋体" w:hAnsi="宋体" w:cs="宋体"/>
                <w:kern w:val="0"/>
                <w:sz w:val="24"/>
              </w:rPr>
            </w:pPr>
            <w:r>
              <w:rPr>
                <w:rFonts w:hint="eastAsia" w:ascii="宋体" w:hAnsi="宋体" w:cs="宋体"/>
                <w:kern w:val="0"/>
                <w:sz w:val="24"/>
              </w:rPr>
              <w:t>35/30℃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167" w:type="dxa"/>
            <w:gridSpan w:val="4"/>
            <w:vAlign w:val="center"/>
          </w:tcPr>
          <w:p>
            <w:pPr>
              <w:keepNext w:val="0"/>
              <w:keepLines w:val="0"/>
              <w:pageBreakBefore w:val="0"/>
              <w:widowControl/>
              <w:kinsoku/>
              <w:wordWrap/>
              <w:overflowPunct/>
              <w:topLinePunct w:val="0"/>
              <w:bidi w:val="0"/>
              <w:snapToGrid/>
              <w:spacing w:line="520" w:lineRule="exact"/>
              <w:jc w:val="left"/>
              <w:textAlignment w:val="auto"/>
              <w:rPr>
                <w:rFonts w:ascii="宋体" w:hAnsi="宋体" w:cs="宋体"/>
                <w:color w:val="000000"/>
                <w:kern w:val="0"/>
                <w:sz w:val="24"/>
              </w:rPr>
            </w:pPr>
            <w:r>
              <w:rPr>
                <w:rFonts w:hint="eastAsia" w:ascii="宋体" w:hAnsi="宋体" w:cs="宋体"/>
                <w:color w:val="000000"/>
                <w:kern w:val="0"/>
                <w:sz w:val="24"/>
              </w:rPr>
              <w:t>能耗要求</w:t>
            </w:r>
          </w:p>
        </w:tc>
        <w:tc>
          <w:tcPr>
            <w:tcW w:w="4432" w:type="dxa"/>
            <w:vAlign w:val="center"/>
          </w:tcPr>
          <w:p>
            <w:pPr>
              <w:keepNext w:val="0"/>
              <w:keepLines w:val="0"/>
              <w:pageBreakBefore w:val="0"/>
              <w:widowControl/>
              <w:kinsoku/>
              <w:wordWrap/>
              <w:overflowPunct/>
              <w:topLinePunct w:val="0"/>
              <w:bidi w:val="0"/>
              <w:snapToGrid/>
              <w:spacing w:line="520" w:lineRule="exact"/>
              <w:jc w:val="center"/>
              <w:textAlignment w:val="auto"/>
              <w:rPr>
                <w:rFonts w:ascii="宋体" w:hAnsi="宋体" w:cs="宋体"/>
                <w:color w:val="000000"/>
                <w:kern w:val="0"/>
                <w:sz w:val="24"/>
              </w:rPr>
            </w:pPr>
            <w:r>
              <w:rPr>
                <w:rFonts w:hint="eastAsia" w:ascii="宋体" w:hAnsi="宋体" w:cs="宋体"/>
                <w:color w:val="000000"/>
                <w:kern w:val="0"/>
                <w:sz w:val="24"/>
              </w:rPr>
              <w:t>一级能效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167" w:type="dxa"/>
            <w:gridSpan w:val="4"/>
            <w:vAlign w:val="center"/>
          </w:tcPr>
          <w:p>
            <w:pPr>
              <w:keepNext w:val="0"/>
              <w:keepLines w:val="0"/>
              <w:pageBreakBefore w:val="0"/>
              <w:widowControl/>
              <w:kinsoku/>
              <w:wordWrap/>
              <w:overflowPunct/>
              <w:topLinePunct w:val="0"/>
              <w:bidi w:val="0"/>
              <w:snapToGrid/>
              <w:spacing w:line="520" w:lineRule="exact"/>
              <w:jc w:val="left"/>
              <w:textAlignment w:val="auto"/>
              <w:rPr>
                <w:rFonts w:ascii="宋体" w:hAnsi="宋体" w:cs="宋体"/>
                <w:color w:val="000000"/>
                <w:kern w:val="0"/>
                <w:sz w:val="24"/>
              </w:rPr>
            </w:pPr>
            <w:r>
              <w:rPr>
                <w:rFonts w:hint="eastAsia" w:ascii="宋体" w:hAnsi="宋体" w:cs="宋体"/>
                <w:color w:val="000000"/>
                <w:kern w:val="0"/>
                <w:sz w:val="24"/>
              </w:rPr>
              <w:t>设计使用寿命</w:t>
            </w:r>
          </w:p>
        </w:tc>
        <w:tc>
          <w:tcPr>
            <w:tcW w:w="4432" w:type="dxa"/>
            <w:vAlign w:val="center"/>
          </w:tcPr>
          <w:p>
            <w:pPr>
              <w:keepNext w:val="0"/>
              <w:keepLines w:val="0"/>
              <w:pageBreakBefore w:val="0"/>
              <w:widowControl/>
              <w:kinsoku/>
              <w:wordWrap/>
              <w:overflowPunct/>
              <w:topLinePunct w:val="0"/>
              <w:bidi w:val="0"/>
              <w:snapToGrid/>
              <w:spacing w:line="520" w:lineRule="exact"/>
              <w:jc w:val="center"/>
              <w:textAlignment w:val="auto"/>
              <w:rPr>
                <w:rFonts w:ascii="宋体" w:hAnsi="宋体" w:cs="宋体"/>
                <w:color w:val="000000"/>
                <w:kern w:val="0"/>
                <w:sz w:val="24"/>
              </w:rPr>
            </w:pPr>
            <w:r>
              <w:rPr>
                <w:rFonts w:hint="eastAsia" w:ascii="宋体" w:hAnsi="宋体" w:cs="宋体"/>
                <w:color w:val="000000"/>
                <w:kern w:val="0"/>
                <w:sz w:val="24"/>
              </w:rPr>
              <w:t>≥30年</w:t>
            </w:r>
          </w:p>
        </w:tc>
      </w:tr>
      <w:bookmarkEnd w:id="18"/>
    </w:tbl>
    <w:p>
      <w:pPr>
        <w:keepNext w:val="0"/>
        <w:keepLines w:val="0"/>
        <w:pageBreakBefore w:val="0"/>
        <w:kinsoku/>
        <w:wordWrap/>
        <w:overflowPunct/>
        <w:topLinePunct w:val="0"/>
        <w:bidi w:val="0"/>
        <w:snapToGrid/>
        <w:spacing w:line="520" w:lineRule="exact"/>
        <w:ind w:firstLine="480" w:firstLineChars="200"/>
        <w:textAlignment w:val="auto"/>
        <w:rPr>
          <w:rFonts w:ascii="宋体" w:hAnsi="宋体" w:cs="仿宋"/>
          <w:sz w:val="24"/>
        </w:rPr>
      </w:pPr>
      <w:r>
        <w:rPr>
          <w:rFonts w:hint="eastAsia" w:ascii="宋体" w:hAnsi="宋体" w:cs="仿宋"/>
          <w:sz w:val="24"/>
        </w:rPr>
        <w:t>技术条件依据：</w:t>
      </w:r>
    </w:p>
    <w:p>
      <w:pPr>
        <w:keepNext w:val="0"/>
        <w:keepLines w:val="0"/>
        <w:pageBreakBefore w:val="0"/>
        <w:kinsoku/>
        <w:wordWrap/>
        <w:overflowPunct/>
        <w:topLinePunct w:val="0"/>
        <w:bidi w:val="0"/>
        <w:snapToGrid/>
        <w:spacing w:line="520" w:lineRule="exact"/>
        <w:ind w:firstLine="480" w:firstLineChars="200"/>
        <w:textAlignment w:val="auto"/>
        <w:rPr>
          <w:rFonts w:ascii="宋体" w:hAnsi="宋体" w:cs="仿宋"/>
          <w:sz w:val="24"/>
        </w:rPr>
      </w:pPr>
      <w:r>
        <w:rPr>
          <w:rFonts w:hint="eastAsia" w:ascii="宋体" w:hAnsi="宋体" w:cs="仿宋"/>
          <w:sz w:val="24"/>
        </w:rPr>
        <w:t>·GB25131《蒸气压缩循环冷水(热泵)机组安全要求》</w:t>
      </w:r>
    </w:p>
    <w:p>
      <w:pPr>
        <w:keepNext w:val="0"/>
        <w:keepLines w:val="0"/>
        <w:pageBreakBefore w:val="0"/>
        <w:kinsoku/>
        <w:wordWrap/>
        <w:overflowPunct/>
        <w:topLinePunct w:val="0"/>
        <w:bidi w:val="0"/>
        <w:snapToGrid/>
        <w:spacing w:line="520" w:lineRule="exact"/>
        <w:ind w:left="400"/>
        <w:textAlignment w:val="auto"/>
        <w:rPr>
          <w:rFonts w:ascii="宋体" w:hAnsi="宋体" w:cs="仿宋"/>
          <w:sz w:val="24"/>
        </w:rPr>
      </w:pPr>
      <w:r>
        <w:rPr>
          <w:rFonts w:hint="eastAsia" w:ascii="宋体" w:hAnsi="宋体" w:cs="仿宋"/>
          <w:sz w:val="24"/>
        </w:rPr>
        <w:t>·GB19577《冷水机组能效限定值及能源效率等级》</w:t>
      </w:r>
    </w:p>
    <w:p>
      <w:pPr>
        <w:keepNext w:val="0"/>
        <w:keepLines w:val="0"/>
        <w:pageBreakBefore w:val="0"/>
        <w:kinsoku/>
        <w:wordWrap/>
        <w:overflowPunct/>
        <w:topLinePunct w:val="0"/>
        <w:bidi w:val="0"/>
        <w:snapToGrid/>
        <w:spacing w:line="520" w:lineRule="exact"/>
        <w:ind w:left="400"/>
        <w:textAlignment w:val="auto"/>
        <w:rPr>
          <w:rFonts w:ascii="宋体" w:hAnsi="宋体" w:cs="仿宋"/>
          <w:sz w:val="24"/>
        </w:rPr>
      </w:pPr>
      <w:r>
        <w:rPr>
          <w:rFonts w:hint="eastAsia" w:ascii="宋体" w:hAnsi="宋体" w:cs="仿宋"/>
          <w:sz w:val="24"/>
        </w:rPr>
        <w:t>·《蒸气压缩循环冷水机组和热泵机组的性能评定》</w:t>
      </w:r>
    </w:p>
    <w:p>
      <w:pPr>
        <w:keepNext w:val="0"/>
        <w:keepLines w:val="0"/>
        <w:pageBreakBefore w:val="0"/>
        <w:kinsoku/>
        <w:wordWrap/>
        <w:overflowPunct/>
        <w:topLinePunct w:val="0"/>
        <w:bidi w:val="0"/>
        <w:snapToGrid/>
        <w:spacing w:line="520" w:lineRule="exact"/>
        <w:ind w:left="400"/>
        <w:textAlignment w:val="auto"/>
        <w:rPr>
          <w:rFonts w:ascii="宋体" w:hAnsi="宋体" w:cs="仿宋"/>
          <w:sz w:val="24"/>
        </w:rPr>
      </w:pPr>
      <w:r>
        <w:rPr>
          <w:rFonts w:hint="eastAsia" w:ascii="宋体" w:hAnsi="宋体" w:cs="仿宋"/>
          <w:sz w:val="24"/>
        </w:rPr>
        <w:t>·GB/T18430.1《工商业用蒸气压缩循环冷水(热泵)机组》</w:t>
      </w:r>
    </w:p>
    <w:p>
      <w:pPr>
        <w:keepNext w:val="0"/>
        <w:keepLines w:val="0"/>
        <w:pageBreakBefore w:val="0"/>
        <w:kinsoku/>
        <w:wordWrap/>
        <w:overflowPunct/>
        <w:topLinePunct w:val="0"/>
        <w:bidi w:val="0"/>
        <w:snapToGrid/>
        <w:spacing w:line="520" w:lineRule="exact"/>
        <w:ind w:left="400"/>
        <w:textAlignment w:val="auto"/>
        <w:rPr>
          <w:rFonts w:ascii="宋体" w:hAnsi="宋体" w:cs="仿宋"/>
          <w:sz w:val="24"/>
        </w:rPr>
      </w:pPr>
      <w:r>
        <w:rPr>
          <w:rFonts w:hint="eastAsia" w:ascii="宋体" w:hAnsi="宋体" w:cs="仿宋"/>
          <w:sz w:val="24"/>
        </w:rPr>
        <w:t>·GB/T19409《水(地)源热泵机组》</w:t>
      </w:r>
    </w:p>
    <w:p>
      <w:pPr>
        <w:keepNext w:val="0"/>
        <w:keepLines w:val="0"/>
        <w:pageBreakBefore w:val="0"/>
        <w:kinsoku/>
        <w:wordWrap/>
        <w:overflowPunct/>
        <w:topLinePunct w:val="0"/>
        <w:bidi w:val="0"/>
        <w:snapToGrid/>
        <w:spacing w:line="520" w:lineRule="exact"/>
        <w:ind w:left="4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机组要求：</w:t>
      </w:r>
    </w:p>
    <w:p>
      <w:pPr>
        <w:keepNext w:val="0"/>
        <w:keepLines w:val="0"/>
        <w:pageBreakBefore w:val="0"/>
        <w:kinsoku/>
        <w:wordWrap/>
        <w:overflowPunct/>
        <w:topLinePunct w:val="0"/>
        <w:bidi w:val="0"/>
        <w:snapToGrid/>
        <w:spacing w:line="520" w:lineRule="exact"/>
        <w:ind w:left="400"/>
        <w:textAlignment w:val="auto"/>
        <w:rPr>
          <w:rFonts w:asciiTheme="minorEastAsia" w:hAnsiTheme="minorEastAsia" w:eastAsiaTheme="minorEastAsia" w:cstheme="minorEastAsia"/>
          <w:sz w:val="24"/>
        </w:rPr>
      </w:pPr>
      <w:r>
        <w:rPr>
          <w:rFonts w:asciiTheme="minorEastAsia" w:hAnsiTheme="minorEastAsia" w:eastAsiaTheme="minorEastAsia" w:cstheme="minorEastAsia"/>
          <w:sz w:val="24"/>
        </w:rPr>
        <w:t></w:t>
      </w:r>
      <w:r>
        <w:rPr>
          <w:rFonts w:asciiTheme="minorEastAsia" w:hAnsiTheme="minorEastAsia" w:eastAsiaTheme="minorEastAsia" w:cstheme="minorEastAsia"/>
          <w:sz w:val="24"/>
        </w:rPr>
        <w:tab/>
      </w:r>
      <w:r>
        <w:rPr>
          <w:rFonts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1 \* GB3</w:instrText>
      </w:r>
      <w:r>
        <w:rPr>
          <w:rFonts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①</w:t>
      </w:r>
      <w:r>
        <w:rPr>
          <w:rFonts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t>机身应采用钢板以上级别材料，外加油漆处理，外形美观，保证机组壳体内外具有良好的防腐措施。</w:t>
      </w:r>
    </w:p>
    <w:p>
      <w:pPr>
        <w:keepNext w:val="0"/>
        <w:keepLines w:val="0"/>
        <w:pageBreakBefore w:val="0"/>
        <w:kinsoku/>
        <w:wordWrap/>
        <w:overflowPunct/>
        <w:topLinePunct w:val="0"/>
        <w:bidi w:val="0"/>
        <w:snapToGrid/>
        <w:spacing w:line="520" w:lineRule="exact"/>
        <w:ind w:left="400"/>
        <w:textAlignment w:val="auto"/>
        <w:rPr>
          <w:rFonts w:asciiTheme="minorEastAsia" w:hAnsiTheme="minorEastAsia" w:eastAsiaTheme="minorEastAsia" w:cstheme="minorEastAsia"/>
          <w:sz w:val="24"/>
        </w:rPr>
      </w:pPr>
      <w:r>
        <w:rPr>
          <w:rFonts w:asciiTheme="minorEastAsia" w:hAnsiTheme="minorEastAsia" w:eastAsiaTheme="minorEastAsia" w:cstheme="minorEastAsia"/>
          <w:sz w:val="24"/>
        </w:rPr>
        <w:t></w:t>
      </w:r>
      <w:r>
        <w:rPr>
          <w:rFonts w:asciiTheme="minorEastAsia" w:hAnsiTheme="minorEastAsia" w:eastAsiaTheme="minorEastAsia" w:cstheme="minorEastAsia"/>
          <w:sz w:val="24"/>
        </w:rPr>
        <w:tab/>
      </w:r>
      <w:r>
        <w:rPr>
          <w:rFonts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2 \* GB3</w:instrText>
      </w:r>
      <w:r>
        <w:rPr>
          <w:rFonts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②</w:t>
      </w:r>
      <w:r>
        <w:rPr>
          <w:rFonts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t>机身外观不应有指纹、划痕、气泡和缩孔等缺陷，主要部件应使用安全、无害、无异味。</w:t>
      </w:r>
    </w:p>
    <w:p>
      <w:pPr>
        <w:keepNext w:val="0"/>
        <w:keepLines w:val="0"/>
        <w:pageBreakBefore w:val="0"/>
        <w:kinsoku/>
        <w:wordWrap/>
        <w:overflowPunct/>
        <w:topLinePunct w:val="0"/>
        <w:bidi w:val="0"/>
        <w:snapToGrid/>
        <w:spacing w:line="520" w:lineRule="exact"/>
        <w:ind w:left="400"/>
        <w:textAlignment w:val="auto"/>
        <w:rPr>
          <w:rFonts w:asciiTheme="minorEastAsia" w:hAnsiTheme="minorEastAsia" w:eastAsiaTheme="minorEastAsia" w:cstheme="minorEastAsia"/>
          <w:sz w:val="24"/>
        </w:rPr>
      </w:pPr>
      <w:r>
        <w:rPr>
          <w:rFonts w:asciiTheme="minorEastAsia" w:hAnsiTheme="minorEastAsia" w:eastAsiaTheme="minorEastAsia" w:cstheme="minorEastAsia"/>
          <w:sz w:val="24"/>
        </w:rPr>
        <w:t></w:t>
      </w:r>
      <w:r>
        <w:rPr>
          <w:rFonts w:asciiTheme="minorEastAsia" w:hAnsiTheme="minorEastAsia" w:eastAsiaTheme="minorEastAsia" w:cstheme="minorEastAsia"/>
          <w:sz w:val="24"/>
        </w:rPr>
        <w:tab/>
      </w:r>
      <w:r>
        <w:rPr>
          <w:rFonts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3 \* GB3</w:instrText>
      </w:r>
      <w:r>
        <w:rPr>
          <w:rFonts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③</w:t>
      </w:r>
      <w:r>
        <w:rPr>
          <w:rFonts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t>投标产品应具备过热保护及防火、防触电等安全性能。</w:t>
      </w:r>
    </w:p>
    <w:p>
      <w:pPr>
        <w:keepNext w:val="0"/>
        <w:keepLines w:val="0"/>
        <w:pageBreakBefore w:val="0"/>
        <w:kinsoku/>
        <w:wordWrap/>
        <w:overflowPunct/>
        <w:topLinePunct w:val="0"/>
        <w:bidi w:val="0"/>
        <w:snapToGrid/>
        <w:spacing w:line="520" w:lineRule="exact"/>
        <w:ind w:left="400"/>
        <w:textAlignment w:val="auto"/>
        <w:rPr>
          <w:rFonts w:asciiTheme="minorEastAsia" w:hAnsiTheme="minorEastAsia" w:eastAsiaTheme="minorEastAsia" w:cstheme="minorEastAsia"/>
          <w:sz w:val="24"/>
        </w:rPr>
      </w:pPr>
      <w:r>
        <w:rPr>
          <w:rFonts w:asciiTheme="minorEastAsia" w:hAnsiTheme="minorEastAsia" w:eastAsiaTheme="minorEastAsia" w:cstheme="minorEastAsia"/>
          <w:sz w:val="24"/>
        </w:rPr>
        <w:t></w:t>
      </w:r>
      <w:r>
        <w:rPr>
          <w:rFonts w:asciiTheme="minorEastAsia" w:hAnsiTheme="minorEastAsia" w:eastAsiaTheme="minorEastAsia" w:cstheme="minorEastAsia"/>
          <w:sz w:val="24"/>
        </w:rPr>
        <w:tab/>
      </w:r>
      <w:r>
        <w:rPr>
          <w:rFonts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4 \* GB3</w:instrText>
      </w:r>
      <w:r>
        <w:rPr>
          <w:rFonts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④</w:t>
      </w:r>
      <w:r>
        <w:rPr>
          <w:rFonts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t>投标产品应具备断电保护功能，保证在打开机组进行维修或维护时，其内部装置自动断电。</w:t>
      </w:r>
    </w:p>
    <w:p>
      <w:pPr>
        <w:keepNext w:val="0"/>
        <w:keepLines w:val="0"/>
        <w:pageBreakBefore w:val="0"/>
        <w:kinsoku/>
        <w:wordWrap/>
        <w:overflowPunct/>
        <w:topLinePunct w:val="0"/>
        <w:bidi w:val="0"/>
        <w:snapToGrid/>
        <w:spacing w:line="520" w:lineRule="exact"/>
        <w:ind w:left="400" w:firstLine="480" w:firstLineChars="200"/>
        <w:textAlignment w:val="auto"/>
        <w:rPr>
          <w:rFonts w:asciiTheme="minorEastAsia" w:hAnsiTheme="minorEastAsia" w:eastAsiaTheme="minorEastAsia" w:cstheme="minorEastAsia"/>
          <w:sz w:val="24"/>
        </w:rPr>
      </w:pPr>
      <w:r>
        <w:rPr>
          <w:rFonts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5 \* GB3</w:instrText>
      </w:r>
      <w:r>
        <w:rPr>
          <w:rFonts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⑤</w:t>
      </w:r>
      <w:r>
        <w:rPr>
          <w:rFonts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t>机组必须采用一级能效；在主机屏幕上可以实现能效界面动态能效显示，要求具有精密温度计、流量计，检测空调水、冷却水温度及流量，实时精确显示能源效率。</w:t>
      </w:r>
    </w:p>
    <w:p>
      <w:pPr>
        <w:keepNext w:val="0"/>
        <w:keepLines w:val="0"/>
        <w:pageBreakBefore w:val="0"/>
        <w:kinsoku/>
        <w:wordWrap/>
        <w:overflowPunct/>
        <w:topLinePunct w:val="0"/>
        <w:bidi w:val="0"/>
        <w:snapToGrid/>
        <w:spacing w:line="520" w:lineRule="exact"/>
        <w:ind w:left="400" w:firstLine="480" w:firstLineChars="200"/>
        <w:textAlignment w:val="auto"/>
        <w:rPr>
          <w:rFonts w:asciiTheme="minorEastAsia" w:hAnsiTheme="minorEastAsia" w:eastAsiaTheme="minorEastAsia" w:cstheme="minorEastAsia"/>
          <w:sz w:val="24"/>
        </w:rPr>
      </w:pPr>
      <w:r>
        <w:rPr>
          <w:rFonts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5 \* GB3</w:instrText>
      </w:r>
      <w:r>
        <w:rPr>
          <w:rFonts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⑤</w:t>
      </w:r>
      <w:r>
        <w:rPr>
          <w:rFonts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t>主机需提供终身免费Internet远程联网服务功能可对机组进行监控，实现远程服务。</w:t>
      </w:r>
    </w:p>
    <w:p>
      <w:pPr>
        <w:keepNext w:val="0"/>
        <w:keepLines w:val="0"/>
        <w:pageBreakBefore w:val="0"/>
        <w:kinsoku/>
        <w:wordWrap/>
        <w:overflowPunct/>
        <w:topLinePunct w:val="0"/>
        <w:bidi w:val="0"/>
        <w:snapToGrid/>
        <w:spacing w:line="520" w:lineRule="exact"/>
        <w:ind w:left="400" w:firstLine="480" w:firstLineChars="200"/>
        <w:textAlignment w:val="auto"/>
        <w:rPr>
          <w:rFonts w:asciiTheme="minorEastAsia" w:hAnsiTheme="minorEastAsia" w:eastAsiaTheme="minorEastAsia" w:cstheme="minorEastAsia"/>
          <w:sz w:val="24"/>
        </w:rPr>
      </w:pPr>
      <w:r>
        <w:rPr>
          <w:rFonts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6 \* GB3</w:instrText>
      </w:r>
      <w:r>
        <w:rPr>
          <w:rFonts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⑥</w:t>
      </w:r>
      <w:r>
        <w:rPr>
          <w:rFonts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t>机房集中控制系统：集中控制主机及输配系统，实现一键开机与主机、水泵匹配，收集显示主机及输配系统能耗情况，运行参数；能实现远程监控及控制，能实现机房系统能源管理运行。</w:t>
      </w:r>
    </w:p>
    <w:bookmarkEnd w:id="17"/>
    <w:p>
      <w:pPr>
        <w:keepNext w:val="0"/>
        <w:keepLines w:val="0"/>
        <w:pageBreakBefore w:val="0"/>
        <w:kinsoku/>
        <w:wordWrap/>
        <w:overflowPunct/>
        <w:topLinePunct w:val="0"/>
        <w:bidi w:val="0"/>
        <w:snapToGrid/>
        <w:spacing w:line="52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2.中央空调机房及末端设备的日常值班操作、维护（修）保养及安保；详见附件11。</w:t>
      </w:r>
    </w:p>
    <w:p>
      <w:pPr>
        <w:keepNext w:val="0"/>
        <w:keepLines w:val="0"/>
        <w:pageBreakBefore w:val="0"/>
        <w:kinsoku/>
        <w:wordWrap/>
        <w:overflowPunct/>
        <w:topLinePunct w:val="0"/>
        <w:bidi w:val="0"/>
        <w:snapToGrid/>
        <w:spacing w:line="52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3.空调系统冷却水、冷温水的水质处理、保养维护；详见附件11。</w:t>
      </w:r>
    </w:p>
    <w:p>
      <w:pPr>
        <w:keepNext w:val="0"/>
        <w:keepLines w:val="0"/>
        <w:pageBreakBefore w:val="0"/>
        <w:kinsoku/>
        <w:wordWrap/>
        <w:overflowPunct/>
        <w:topLinePunct w:val="0"/>
        <w:bidi w:val="0"/>
        <w:snapToGrid/>
        <w:spacing w:line="52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4.冷却塔、新风系统的操作、维护保养及安保、新风主机的清洗、维护、耗材管理；详见附件11。</w:t>
      </w:r>
    </w:p>
    <w:p>
      <w:pPr>
        <w:keepNext w:val="0"/>
        <w:keepLines w:val="0"/>
        <w:pageBreakBefore w:val="0"/>
        <w:kinsoku/>
        <w:wordWrap/>
        <w:overflowPunct/>
        <w:topLinePunct w:val="0"/>
        <w:bidi w:val="0"/>
        <w:snapToGrid/>
        <w:spacing w:line="520" w:lineRule="exact"/>
        <w:ind w:firstLine="480" w:firstLineChars="200"/>
        <w:textAlignment w:val="auto"/>
        <w:rPr>
          <w:rFonts w:asciiTheme="minorEastAsia" w:hAnsiTheme="minorEastAsia" w:eastAsiaTheme="minorEastAsia" w:cstheme="minorEastAsia"/>
          <w:sz w:val="24"/>
        </w:rPr>
      </w:pPr>
      <w:bookmarkStart w:id="19" w:name="_Hlk55576944"/>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lang w:eastAsia="zh-CN"/>
        </w:rPr>
        <w:t>.</w:t>
      </w:r>
      <w:r>
        <w:rPr>
          <w:rFonts w:asciiTheme="minorEastAsia" w:hAnsiTheme="minorEastAsia" w:eastAsiaTheme="minorEastAsia" w:cstheme="minorEastAsia"/>
          <w:sz w:val="24"/>
        </w:rPr>
        <w:t>采购结算</w:t>
      </w:r>
      <w:r>
        <w:rPr>
          <w:rFonts w:hint="eastAsia" w:asciiTheme="minorEastAsia" w:hAnsiTheme="minorEastAsia" w:eastAsiaTheme="minorEastAsia" w:cstheme="minorEastAsia"/>
          <w:sz w:val="24"/>
        </w:rPr>
        <w:t>整个商场照明、制冷、采暖、电梯运行以及其他设备</w:t>
      </w:r>
      <w:r>
        <w:rPr>
          <w:rFonts w:asciiTheme="minorEastAsia" w:hAnsiTheme="minorEastAsia" w:eastAsiaTheme="minorEastAsia" w:cstheme="minorEastAsia"/>
          <w:sz w:val="24"/>
        </w:rPr>
        <w:t>所需的的天然气、电力能源费用</w:t>
      </w:r>
      <w:r>
        <w:rPr>
          <w:rFonts w:hint="eastAsia" w:asciiTheme="minorEastAsia" w:hAnsiTheme="minorEastAsia" w:eastAsiaTheme="minorEastAsia" w:cstheme="minorEastAsia"/>
          <w:sz w:val="24"/>
        </w:rPr>
        <w:t>（不包含租户用能费用）</w:t>
      </w:r>
      <w:r>
        <w:rPr>
          <w:rFonts w:asciiTheme="minorEastAsia" w:hAnsiTheme="minorEastAsia" w:eastAsiaTheme="minorEastAsia" w:cstheme="minorEastAsia"/>
          <w:sz w:val="24"/>
        </w:rPr>
        <w:t>；</w:t>
      </w:r>
    </w:p>
    <w:p>
      <w:pPr>
        <w:keepNext w:val="0"/>
        <w:keepLines w:val="0"/>
        <w:pageBreakBefore w:val="0"/>
        <w:kinsoku/>
        <w:wordWrap/>
        <w:overflowPunct/>
        <w:topLinePunct w:val="0"/>
        <w:bidi w:val="0"/>
        <w:snapToGrid/>
        <w:spacing w:line="52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6．中标单位对整个商场投资及改造项目的检修维护保养；</w:t>
      </w:r>
    </w:p>
    <w:p>
      <w:pPr>
        <w:keepNext w:val="0"/>
        <w:keepLines w:val="0"/>
        <w:pageBreakBefore w:val="0"/>
        <w:kinsoku/>
        <w:wordWrap/>
        <w:overflowPunct/>
        <w:topLinePunct w:val="0"/>
        <w:bidi w:val="0"/>
        <w:snapToGrid/>
        <w:spacing w:line="52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r>
        <w:rPr>
          <w:rFonts w:asciiTheme="minorEastAsia" w:hAnsiTheme="minorEastAsia" w:eastAsiaTheme="minorEastAsia" w:cstheme="minorEastAsia"/>
          <w:sz w:val="24"/>
        </w:rPr>
        <w:t>满足甲方日常管理要</w:t>
      </w:r>
      <w:r>
        <w:rPr>
          <w:rFonts w:hint="eastAsia" w:asciiTheme="minorEastAsia" w:hAnsiTheme="minorEastAsia" w:eastAsiaTheme="minorEastAsia" w:cstheme="minorEastAsia"/>
          <w:sz w:val="24"/>
        </w:rPr>
        <w:t>求；</w:t>
      </w:r>
    </w:p>
    <w:p>
      <w:pPr>
        <w:keepNext w:val="0"/>
        <w:keepLines w:val="0"/>
        <w:pageBreakBefore w:val="0"/>
        <w:kinsoku/>
        <w:wordWrap/>
        <w:overflowPunct/>
        <w:topLinePunct w:val="0"/>
        <w:bidi w:val="0"/>
        <w:snapToGrid/>
        <w:spacing w:line="52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r>
        <w:rPr>
          <w:rFonts w:asciiTheme="minorEastAsia" w:hAnsiTheme="minorEastAsia" w:eastAsiaTheme="minorEastAsia" w:cstheme="minorEastAsia"/>
          <w:sz w:val="24"/>
        </w:rPr>
        <w:t>长期</w:t>
      </w:r>
      <w:r>
        <w:rPr>
          <w:rFonts w:hint="eastAsia" w:asciiTheme="minorEastAsia" w:hAnsiTheme="minorEastAsia" w:eastAsiaTheme="minorEastAsia" w:cstheme="minorEastAsia"/>
          <w:sz w:val="24"/>
        </w:rPr>
        <w:t>运营</w:t>
      </w:r>
      <w:r>
        <w:rPr>
          <w:rFonts w:asciiTheme="minorEastAsia" w:hAnsiTheme="minorEastAsia" w:eastAsiaTheme="minorEastAsia" w:cstheme="minorEastAsia"/>
          <w:sz w:val="24"/>
        </w:rPr>
        <w:t>人员不少于</w:t>
      </w:r>
      <w:r>
        <w:rPr>
          <w:rFonts w:hint="eastAsia" w:asciiTheme="minorEastAsia" w:hAnsiTheme="minorEastAsia" w:eastAsiaTheme="minorEastAsia" w:cstheme="minorEastAsia"/>
          <w:sz w:val="24"/>
        </w:rPr>
        <w:t>3</w:t>
      </w:r>
      <w:r>
        <w:rPr>
          <w:rFonts w:asciiTheme="minorEastAsia" w:hAnsiTheme="minorEastAsia" w:eastAsiaTheme="minorEastAsia" w:cstheme="minorEastAsia"/>
          <w:sz w:val="24"/>
        </w:rPr>
        <w:t xml:space="preserve">人（运营人员持证上岗）； </w:t>
      </w:r>
    </w:p>
    <w:p>
      <w:pPr>
        <w:keepNext w:val="0"/>
        <w:keepLines w:val="0"/>
        <w:pageBreakBefore w:val="0"/>
        <w:kinsoku/>
        <w:wordWrap/>
        <w:overflowPunct/>
        <w:topLinePunct w:val="0"/>
        <w:autoSpaceDE w:val="0"/>
        <w:autoSpaceDN w:val="0"/>
        <w:bidi w:val="0"/>
        <w:adjustRightInd w:val="0"/>
        <w:snapToGrid/>
        <w:spacing w:line="52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9.对空调机房内设备进行联动控制，将原有设备与新增设备联动起来，实现自动启停和精确控温，提高系统用电效率，本次改造不得影响商场冬季采暖；</w:t>
      </w:r>
    </w:p>
    <w:p>
      <w:pPr>
        <w:keepNext w:val="0"/>
        <w:keepLines w:val="0"/>
        <w:pageBreakBefore w:val="0"/>
        <w:kinsoku/>
        <w:wordWrap/>
        <w:overflowPunct/>
        <w:topLinePunct w:val="0"/>
        <w:autoSpaceDE w:val="0"/>
        <w:autoSpaceDN w:val="0"/>
        <w:bidi w:val="0"/>
        <w:adjustRightInd w:val="0"/>
        <w:snapToGrid/>
        <w:spacing w:line="52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10.售后队伍齐全，当地有生产厂家直属专业服务团队，提供设备维护保养、免费安装指导，商场原有空调设备每年需进行原厂维保，不得经由第三方维保；</w:t>
      </w:r>
    </w:p>
    <w:p>
      <w:pPr>
        <w:keepNext w:val="0"/>
        <w:keepLines w:val="0"/>
        <w:pageBreakBefore w:val="0"/>
        <w:kinsoku/>
        <w:wordWrap/>
        <w:overflowPunct/>
        <w:topLinePunct w:val="0"/>
        <w:autoSpaceDE w:val="0"/>
        <w:autoSpaceDN w:val="0"/>
        <w:bidi w:val="0"/>
        <w:adjustRightInd w:val="0"/>
        <w:snapToGrid/>
        <w:spacing w:line="52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施工组织设计应体现确保工程质量的技术组织措施、确保安全文明施工的技术组织措施（包括成品保护措施）、确保工期的技术组织措施（施工进度表或工期网络图）、应急措施方案等，施工组织设计方案科学，有针对性。</w:t>
      </w:r>
    </w:p>
    <w:p>
      <w:pPr>
        <w:keepNext w:val="0"/>
        <w:keepLines w:val="0"/>
        <w:pageBreakBefore w:val="0"/>
        <w:kinsoku/>
        <w:wordWrap/>
        <w:overflowPunct/>
        <w:topLinePunct w:val="0"/>
        <w:autoSpaceDE w:val="0"/>
        <w:autoSpaceDN w:val="0"/>
        <w:bidi w:val="0"/>
        <w:adjustRightInd w:val="0"/>
        <w:snapToGrid/>
        <w:spacing w:line="52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12.</w:t>
      </w:r>
      <w:r>
        <w:rPr>
          <w:rFonts w:hint="eastAsia" w:asciiTheme="minorEastAsia" w:hAnsiTheme="minorEastAsia" w:eastAsiaTheme="minorEastAsia" w:cstheme="minorEastAsia"/>
          <w:sz w:val="24"/>
        </w:rPr>
        <w:t>其它适用于</w:t>
      </w:r>
      <w:r>
        <w:rPr>
          <w:rFonts w:hint="eastAsia" w:asciiTheme="minorEastAsia" w:hAnsiTheme="minorEastAsia" w:eastAsiaTheme="minorEastAsia" w:cstheme="minorEastAsia"/>
          <w:kern w:val="0"/>
          <w:sz w:val="24"/>
          <w:u w:val="single"/>
        </w:rPr>
        <w:t>合肥百货大楼集团蚌埠百货大楼有限责任公司</w:t>
      </w:r>
      <w:r>
        <w:rPr>
          <w:rFonts w:hint="eastAsia" w:asciiTheme="minorEastAsia" w:hAnsiTheme="minorEastAsia" w:eastAsiaTheme="minorEastAsia" w:cstheme="minorEastAsia"/>
          <w:kern w:val="0"/>
          <w:sz w:val="24"/>
        </w:rPr>
        <w:t>店</w:t>
      </w:r>
      <w:r>
        <w:rPr>
          <w:rFonts w:hint="eastAsia" w:asciiTheme="minorEastAsia" w:hAnsiTheme="minorEastAsia" w:eastAsiaTheme="minorEastAsia" w:cstheme="minorEastAsia"/>
          <w:sz w:val="24"/>
        </w:rPr>
        <w:t>的节能技术改造</w:t>
      </w:r>
      <w:bookmarkEnd w:id="19"/>
      <w:r>
        <w:rPr>
          <w:rFonts w:hint="eastAsia" w:asciiTheme="minorEastAsia" w:hAnsiTheme="minorEastAsia" w:eastAsiaTheme="minorEastAsia" w:cstheme="minorEastAsia"/>
          <w:sz w:val="24"/>
        </w:rPr>
        <w:t>；</w:t>
      </w:r>
    </w:p>
    <w:p>
      <w:pPr>
        <w:keepNext w:val="0"/>
        <w:keepLines w:val="0"/>
        <w:pageBreakBefore w:val="0"/>
        <w:kinsoku/>
        <w:wordWrap/>
        <w:overflowPunct/>
        <w:topLinePunct w:val="0"/>
        <w:autoSpaceDE w:val="0"/>
        <w:autoSpaceDN w:val="0"/>
        <w:bidi w:val="0"/>
        <w:adjustRightInd w:val="0"/>
        <w:snapToGrid/>
        <w:spacing w:line="52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安装要求：</w:t>
      </w:r>
    </w:p>
    <w:p>
      <w:pPr>
        <w:keepNext w:val="0"/>
        <w:keepLines w:val="0"/>
        <w:pageBreakBefore w:val="0"/>
        <w:kinsoku/>
        <w:wordWrap/>
        <w:overflowPunct/>
        <w:topLinePunct w:val="0"/>
        <w:autoSpaceDE w:val="0"/>
        <w:autoSpaceDN w:val="0"/>
        <w:bidi w:val="0"/>
        <w:adjustRightInd w:val="0"/>
        <w:snapToGrid/>
        <w:spacing w:line="520" w:lineRule="exact"/>
        <w:ind w:firstLine="480" w:firstLineChars="200"/>
        <w:textAlignment w:val="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1．本工程安装工程含冷热源设备安装、空调输配系统安装及</w:t>
      </w:r>
      <w:r>
        <w:rPr>
          <w:rFonts w:hint="eastAsia" w:asciiTheme="minorEastAsia" w:hAnsiTheme="minorEastAsia" w:eastAsiaTheme="minorEastAsia" w:cstheme="minorEastAsia"/>
          <w:kern w:val="0"/>
          <w:sz w:val="24"/>
          <w:lang w:eastAsia="zh-CN"/>
        </w:rPr>
        <w:t>中标方</w:t>
      </w:r>
      <w:r>
        <w:rPr>
          <w:rFonts w:hint="eastAsia" w:asciiTheme="minorEastAsia" w:hAnsiTheme="minorEastAsia" w:eastAsiaTheme="minorEastAsia" w:cstheme="minorEastAsia"/>
          <w:kern w:val="0"/>
          <w:sz w:val="24"/>
        </w:rPr>
        <w:t>工程范围内的相关设备及管道安装等，本工程整体安装要求安全、美观、运行可靠。</w:t>
      </w:r>
    </w:p>
    <w:p>
      <w:pPr>
        <w:keepNext w:val="0"/>
        <w:keepLines w:val="0"/>
        <w:pageBreakBefore w:val="0"/>
        <w:kinsoku/>
        <w:wordWrap/>
        <w:overflowPunct/>
        <w:topLinePunct w:val="0"/>
        <w:autoSpaceDE w:val="0"/>
        <w:autoSpaceDN w:val="0"/>
        <w:bidi w:val="0"/>
        <w:adjustRightInd w:val="0"/>
        <w:snapToGrid/>
        <w:spacing w:line="520" w:lineRule="exact"/>
        <w:ind w:firstLine="480" w:firstLineChars="200"/>
        <w:textAlignment w:val="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2．施工安装结果应美观，横平竖直，运行平稳无异常噪声，阀门、压力表、温度计等均安装在低点，人员可操作位置。</w:t>
      </w:r>
    </w:p>
    <w:p>
      <w:pPr>
        <w:keepNext w:val="0"/>
        <w:keepLines w:val="0"/>
        <w:pageBreakBefore w:val="0"/>
        <w:kinsoku/>
        <w:wordWrap/>
        <w:overflowPunct/>
        <w:topLinePunct w:val="0"/>
        <w:autoSpaceDE w:val="0"/>
        <w:autoSpaceDN w:val="0"/>
        <w:bidi w:val="0"/>
        <w:adjustRightInd w:val="0"/>
        <w:snapToGrid/>
        <w:spacing w:line="520" w:lineRule="exact"/>
        <w:ind w:firstLine="480" w:firstLineChars="200"/>
        <w:textAlignment w:val="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3．相关施工人员具备相关证书，操作熟练。</w:t>
      </w:r>
    </w:p>
    <w:p>
      <w:pPr>
        <w:keepNext w:val="0"/>
        <w:keepLines w:val="0"/>
        <w:pageBreakBefore w:val="0"/>
        <w:kinsoku/>
        <w:wordWrap/>
        <w:overflowPunct/>
        <w:topLinePunct w:val="0"/>
        <w:autoSpaceDE w:val="0"/>
        <w:autoSpaceDN w:val="0"/>
        <w:bidi w:val="0"/>
        <w:adjustRightInd w:val="0"/>
        <w:snapToGrid/>
        <w:spacing w:line="520" w:lineRule="exact"/>
        <w:ind w:firstLine="480" w:firstLineChars="200"/>
        <w:textAlignment w:val="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系统工作压力为1.1MPa，试验压力为1.6MPa；供回水管道管径≤DN50，采用热镀锌钢管,螺纹连接；管径＞DN50，采用无缝钢管,焊接或法兰连接，必要时无缝钢管二次镀锌。冷凝水管采用难燃UPVC管，粘接，管道安装时必须符合设计图中所注标高和坡度要求，凝结水管必须通畅地坡向图中指 定地点。(所有水管阀门按1.6MPa工作压力采购）；</w:t>
      </w:r>
    </w:p>
    <w:p>
      <w:pPr>
        <w:keepNext w:val="0"/>
        <w:keepLines w:val="0"/>
        <w:pageBreakBefore w:val="0"/>
        <w:kinsoku/>
        <w:wordWrap/>
        <w:overflowPunct/>
        <w:topLinePunct w:val="0"/>
        <w:autoSpaceDE w:val="0"/>
        <w:autoSpaceDN w:val="0"/>
        <w:bidi w:val="0"/>
        <w:adjustRightInd w:val="0"/>
        <w:snapToGrid/>
        <w:spacing w:line="520" w:lineRule="exact"/>
        <w:ind w:firstLine="480" w:firstLineChars="200"/>
        <w:textAlignment w:val="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管道安装前必须清除管内污垢及杂物,必要时用重碱水清洗后用水冲净.安装中的管道敞口应临时封闭；冷冻水系统低点设泄水阀（DN32），高点设自动排气阀（DN25）。de40及以下采用截止阀(风机盘管采用铜闸阀)，de50~de350采用对夹式手动蝶阀（亦可采用法兰连接的蝶阀），de350以上采用法兰连接的蝶阀，de150及以上蝶阀应采用涡轮传动手柄。</w:t>
      </w:r>
    </w:p>
    <w:p>
      <w:pPr>
        <w:keepNext w:val="0"/>
        <w:keepLines w:val="0"/>
        <w:pageBreakBefore w:val="0"/>
        <w:kinsoku/>
        <w:wordWrap/>
        <w:overflowPunct/>
        <w:topLinePunct w:val="0"/>
        <w:autoSpaceDE w:val="0"/>
        <w:autoSpaceDN w:val="0"/>
        <w:bidi w:val="0"/>
        <w:adjustRightInd w:val="0"/>
        <w:snapToGrid/>
        <w:spacing w:line="520" w:lineRule="exact"/>
        <w:ind w:firstLine="480" w:firstLineChars="200"/>
        <w:textAlignment w:val="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其他要求：</w:t>
      </w:r>
    </w:p>
    <w:p>
      <w:pPr>
        <w:keepNext w:val="0"/>
        <w:keepLines w:val="0"/>
        <w:pageBreakBefore w:val="0"/>
        <w:kinsoku/>
        <w:wordWrap/>
        <w:overflowPunct/>
        <w:topLinePunct w:val="0"/>
        <w:autoSpaceDE w:val="0"/>
        <w:autoSpaceDN w:val="0"/>
        <w:bidi w:val="0"/>
        <w:adjustRightInd w:val="0"/>
        <w:snapToGrid/>
        <w:spacing w:line="520" w:lineRule="exact"/>
        <w:ind w:firstLine="480" w:firstLineChars="200"/>
        <w:textAlignment w:val="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1．本工程为交钥匙工程，</w:t>
      </w:r>
      <w:r>
        <w:rPr>
          <w:rFonts w:hint="eastAsia" w:asciiTheme="minorEastAsia" w:hAnsiTheme="minorEastAsia" w:eastAsiaTheme="minorEastAsia" w:cstheme="minorEastAsia"/>
          <w:kern w:val="0"/>
          <w:sz w:val="24"/>
          <w:lang w:val="en-US" w:eastAsia="zh-CN"/>
        </w:rPr>
        <w:t>中标方</w:t>
      </w:r>
      <w:r>
        <w:rPr>
          <w:rFonts w:hint="eastAsia" w:asciiTheme="minorEastAsia" w:hAnsiTheme="minorEastAsia" w:eastAsiaTheme="minorEastAsia" w:cstheme="minorEastAsia"/>
          <w:kern w:val="0"/>
          <w:sz w:val="24"/>
        </w:rPr>
        <w:t>按照</w:t>
      </w:r>
      <w:r>
        <w:rPr>
          <w:rFonts w:hint="eastAsia" w:asciiTheme="minorEastAsia" w:hAnsiTheme="minorEastAsia" w:eastAsiaTheme="minorEastAsia" w:cstheme="minorEastAsia"/>
          <w:kern w:val="0"/>
          <w:sz w:val="24"/>
          <w:lang w:val="en-US" w:eastAsia="zh-CN"/>
        </w:rPr>
        <w:t>招标方</w:t>
      </w:r>
      <w:r>
        <w:rPr>
          <w:rFonts w:hint="eastAsia" w:asciiTheme="minorEastAsia" w:hAnsiTheme="minorEastAsia" w:eastAsiaTheme="minorEastAsia" w:cstheme="minorEastAsia"/>
          <w:kern w:val="0"/>
          <w:sz w:val="24"/>
        </w:rPr>
        <w:t>提供的有限场地施工。招标前</w:t>
      </w:r>
      <w:r>
        <w:rPr>
          <w:rFonts w:hint="eastAsia" w:asciiTheme="minorEastAsia" w:hAnsiTheme="minorEastAsia" w:eastAsiaTheme="minorEastAsia" w:cstheme="minorEastAsia"/>
          <w:kern w:val="0"/>
          <w:sz w:val="24"/>
          <w:lang w:eastAsia="zh-CN"/>
        </w:rPr>
        <w:t>中标方</w:t>
      </w:r>
      <w:r>
        <w:rPr>
          <w:rFonts w:hint="eastAsia" w:asciiTheme="minorEastAsia" w:hAnsiTheme="minorEastAsia" w:eastAsiaTheme="minorEastAsia" w:cstheme="minorEastAsia"/>
          <w:kern w:val="0"/>
          <w:sz w:val="24"/>
        </w:rPr>
        <w:t>应到现场实地测量。开标中标后10日内</w:t>
      </w:r>
      <w:r>
        <w:rPr>
          <w:rFonts w:hint="eastAsia" w:asciiTheme="minorEastAsia" w:hAnsiTheme="minorEastAsia" w:eastAsiaTheme="minorEastAsia" w:cstheme="minorEastAsia"/>
          <w:kern w:val="0"/>
          <w:sz w:val="24"/>
          <w:lang w:eastAsia="zh-CN"/>
        </w:rPr>
        <w:t>中标方</w:t>
      </w:r>
      <w:r>
        <w:rPr>
          <w:rFonts w:hint="eastAsia" w:asciiTheme="minorEastAsia" w:hAnsiTheme="minorEastAsia" w:eastAsiaTheme="minorEastAsia" w:cstheme="minorEastAsia"/>
          <w:kern w:val="0"/>
          <w:sz w:val="24"/>
        </w:rPr>
        <w:t>提供施工进度计划与施工方案。</w:t>
      </w:r>
    </w:p>
    <w:p>
      <w:pPr>
        <w:keepNext w:val="0"/>
        <w:keepLines w:val="0"/>
        <w:pageBreakBefore w:val="0"/>
        <w:kinsoku/>
        <w:wordWrap/>
        <w:overflowPunct/>
        <w:topLinePunct w:val="0"/>
        <w:autoSpaceDE w:val="0"/>
        <w:autoSpaceDN w:val="0"/>
        <w:bidi w:val="0"/>
        <w:adjustRightInd w:val="0"/>
        <w:snapToGrid/>
        <w:spacing w:line="520" w:lineRule="exact"/>
        <w:ind w:firstLine="480" w:firstLineChars="200"/>
        <w:textAlignment w:val="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r>
        <w:rPr>
          <w:rFonts w:hint="eastAsia" w:asciiTheme="minorEastAsia" w:hAnsiTheme="minorEastAsia" w:eastAsiaTheme="minorEastAsia" w:cstheme="minorEastAsia"/>
          <w:kern w:val="0"/>
          <w:sz w:val="24"/>
          <w:lang w:eastAsia="zh-CN"/>
        </w:rPr>
        <w:t>中标方</w:t>
      </w:r>
      <w:r>
        <w:rPr>
          <w:rFonts w:hint="eastAsia" w:asciiTheme="minorEastAsia" w:hAnsiTheme="minorEastAsia" w:eastAsiaTheme="minorEastAsia" w:cstheme="minorEastAsia"/>
          <w:kern w:val="0"/>
          <w:sz w:val="24"/>
        </w:rPr>
        <w:t>在</w:t>
      </w:r>
      <w:r>
        <w:rPr>
          <w:rFonts w:hint="eastAsia" w:asciiTheme="minorEastAsia" w:hAnsiTheme="minorEastAsia" w:eastAsiaTheme="minorEastAsia" w:cstheme="minorEastAsia"/>
          <w:kern w:val="0"/>
          <w:sz w:val="24"/>
          <w:lang w:eastAsia="zh-CN"/>
        </w:rPr>
        <w:t>招标方</w:t>
      </w:r>
      <w:r>
        <w:rPr>
          <w:rFonts w:hint="eastAsia" w:asciiTheme="minorEastAsia" w:hAnsiTheme="minorEastAsia" w:eastAsiaTheme="minorEastAsia" w:cstheme="minorEastAsia"/>
          <w:kern w:val="0"/>
          <w:sz w:val="24"/>
        </w:rPr>
        <w:t>工地内施工使用水电气等能源，需向</w:t>
      </w:r>
      <w:r>
        <w:rPr>
          <w:rFonts w:hint="eastAsia" w:asciiTheme="minorEastAsia" w:hAnsiTheme="minorEastAsia" w:eastAsiaTheme="minorEastAsia" w:cstheme="minorEastAsia"/>
          <w:kern w:val="0"/>
          <w:sz w:val="24"/>
          <w:lang w:eastAsia="zh-CN"/>
        </w:rPr>
        <w:t>招标方</w:t>
      </w:r>
      <w:r>
        <w:rPr>
          <w:rFonts w:hint="eastAsia" w:asciiTheme="minorEastAsia" w:hAnsiTheme="minorEastAsia" w:eastAsiaTheme="minorEastAsia" w:cstheme="minorEastAsia"/>
          <w:kern w:val="0"/>
          <w:sz w:val="24"/>
        </w:rPr>
        <w:t>申请。对于</w:t>
      </w:r>
      <w:r>
        <w:rPr>
          <w:rFonts w:hint="eastAsia" w:asciiTheme="minorEastAsia" w:hAnsiTheme="minorEastAsia" w:eastAsiaTheme="minorEastAsia" w:cstheme="minorEastAsia"/>
          <w:kern w:val="0"/>
          <w:sz w:val="24"/>
          <w:lang w:eastAsia="zh-CN"/>
        </w:rPr>
        <w:t>中标方</w:t>
      </w:r>
      <w:r>
        <w:rPr>
          <w:rFonts w:hint="eastAsia" w:asciiTheme="minorEastAsia" w:hAnsiTheme="minorEastAsia" w:eastAsiaTheme="minorEastAsia" w:cstheme="minorEastAsia"/>
          <w:kern w:val="0"/>
          <w:sz w:val="24"/>
        </w:rPr>
        <w:t>在施工中需要使用</w:t>
      </w:r>
      <w:r>
        <w:rPr>
          <w:rFonts w:hint="eastAsia" w:asciiTheme="minorEastAsia" w:hAnsiTheme="minorEastAsia" w:eastAsiaTheme="minorEastAsia" w:cstheme="minorEastAsia"/>
          <w:kern w:val="0"/>
          <w:sz w:val="24"/>
          <w:lang w:eastAsia="zh-CN"/>
        </w:rPr>
        <w:t>招标方</w:t>
      </w:r>
      <w:r>
        <w:rPr>
          <w:rFonts w:hint="eastAsia" w:asciiTheme="minorEastAsia" w:hAnsiTheme="minorEastAsia" w:eastAsiaTheme="minorEastAsia" w:cstheme="minorEastAsia"/>
          <w:kern w:val="0"/>
          <w:sz w:val="24"/>
        </w:rPr>
        <w:t>其他资源的，</w:t>
      </w:r>
      <w:r>
        <w:rPr>
          <w:rFonts w:hint="eastAsia" w:asciiTheme="minorEastAsia" w:hAnsiTheme="minorEastAsia" w:eastAsiaTheme="minorEastAsia" w:cstheme="minorEastAsia"/>
          <w:kern w:val="0"/>
          <w:sz w:val="24"/>
          <w:lang w:eastAsia="zh-CN"/>
        </w:rPr>
        <w:t>中标方</w:t>
      </w:r>
      <w:r>
        <w:rPr>
          <w:rFonts w:hint="eastAsia" w:asciiTheme="minorEastAsia" w:hAnsiTheme="minorEastAsia" w:eastAsiaTheme="minorEastAsia" w:cstheme="minorEastAsia"/>
          <w:kern w:val="0"/>
          <w:sz w:val="24"/>
        </w:rPr>
        <w:t>须与</w:t>
      </w:r>
      <w:r>
        <w:rPr>
          <w:rFonts w:hint="eastAsia" w:asciiTheme="minorEastAsia" w:hAnsiTheme="minorEastAsia" w:eastAsiaTheme="minorEastAsia" w:cstheme="minorEastAsia"/>
          <w:kern w:val="0"/>
          <w:sz w:val="24"/>
          <w:lang w:eastAsia="zh-CN"/>
        </w:rPr>
        <w:t>招标方</w:t>
      </w:r>
      <w:r>
        <w:rPr>
          <w:rFonts w:hint="eastAsia" w:asciiTheme="minorEastAsia" w:hAnsiTheme="minorEastAsia" w:eastAsiaTheme="minorEastAsia" w:cstheme="minorEastAsia"/>
          <w:kern w:val="0"/>
          <w:sz w:val="24"/>
        </w:rPr>
        <w:t>协商。</w:t>
      </w:r>
    </w:p>
    <w:p>
      <w:pPr>
        <w:keepNext w:val="0"/>
        <w:keepLines w:val="0"/>
        <w:pageBreakBefore w:val="0"/>
        <w:kinsoku/>
        <w:wordWrap/>
        <w:overflowPunct/>
        <w:topLinePunct w:val="0"/>
        <w:autoSpaceDE w:val="0"/>
        <w:autoSpaceDN w:val="0"/>
        <w:bidi w:val="0"/>
        <w:adjustRightInd w:val="0"/>
        <w:snapToGrid/>
        <w:spacing w:line="520" w:lineRule="exact"/>
        <w:ind w:firstLine="480" w:firstLineChars="200"/>
        <w:textAlignment w:val="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w:t>
      </w:r>
      <w:r>
        <w:rPr>
          <w:rFonts w:hint="eastAsia" w:asciiTheme="minorEastAsia" w:hAnsiTheme="minorEastAsia" w:eastAsiaTheme="minorEastAsia" w:cstheme="minorEastAsia"/>
          <w:kern w:val="0"/>
          <w:sz w:val="24"/>
          <w:lang w:eastAsia="zh-CN"/>
        </w:rPr>
        <w:t>中标方</w:t>
      </w:r>
      <w:r>
        <w:rPr>
          <w:rFonts w:hint="eastAsia" w:asciiTheme="minorEastAsia" w:hAnsiTheme="minorEastAsia" w:eastAsiaTheme="minorEastAsia" w:cstheme="minorEastAsia"/>
          <w:kern w:val="0"/>
          <w:sz w:val="24"/>
        </w:rPr>
        <w:t>在</w:t>
      </w:r>
      <w:r>
        <w:rPr>
          <w:rFonts w:hint="eastAsia" w:asciiTheme="minorEastAsia" w:hAnsiTheme="minorEastAsia" w:eastAsiaTheme="minorEastAsia" w:cstheme="minorEastAsia"/>
          <w:kern w:val="0"/>
          <w:sz w:val="24"/>
          <w:lang w:eastAsia="zh-CN"/>
        </w:rPr>
        <w:t>招标方</w:t>
      </w:r>
      <w:r>
        <w:rPr>
          <w:rFonts w:hint="eastAsia" w:asciiTheme="minorEastAsia" w:hAnsiTheme="minorEastAsia" w:eastAsiaTheme="minorEastAsia" w:cstheme="minorEastAsia"/>
          <w:kern w:val="0"/>
          <w:sz w:val="24"/>
        </w:rPr>
        <w:t>工地内放置施工设备材料等，须经</w:t>
      </w:r>
      <w:r>
        <w:rPr>
          <w:rFonts w:hint="eastAsia" w:asciiTheme="minorEastAsia" w:hAnsiTheme="minorEastAsia" w:eastAsiaTheme="minorEastAsia" w:cstheme="minorEastAsia"/>
          <w:kern w:val="0"/>
          <w:sz w:val="24"/>
          <w:lang w:eastAsia="zh-CN"/>
        </w:rPr>
        <w:t>招标方</w:t>
      </w:r>
      <w:r>
        <w:rPr>
          <w:rFonts w:hint="eastAsia" w:asciiTheme="minorEastAsia" w:hAnsiTheme="minorEastAsia" w:eastAsiaTheme="minorEastAsia" w:cstheme="minorEastAsia"/>
          <w:kern w:val="0"/>
          <w:sz w:val="24"/>
        </w:rPr>
        <w:t>同意，未经同意不得放置。放置在现场的设备材料</w:t>
      </w:r>
      <w:r>
        <w:rPr>
          <w:rFonts w:hint="eastAsia" w:asciiTheme="minorEastAsia" w:hAnsiTheme="minorEastAsia" w:eastAsiaTheme="minorEastAsia" w:cstheme="minorEastAsia"/>
          <w:kern w:val="0"/>
          <w:sz w:val="24"/>
          <w:lang w:eastAsia="zh-CN"/>
        </w:rPr>
        <w:t>招标方</w:t>
      </w:r>
      <w:r>
        <w:rPr>
          <w:rFonts w:hint="eastAsia" w:asciiTheme="minorEastAsia" w:hAnsiTheme="minorEastAsia" w:eastAsiaTheme="minorEastAsia" w:cstheme="minorEastAsia"/>
          <w:kern w:val="0"/>
          <w:sz w:val="24"/>
        </w:rPr>
        <w:t>不负责看管，</w:t>
      </w:r>
      <w:r>
        <w:rPr>
          <w:rFonts w:hint="eastAsia" w:asciiTheme="minorEastAsia" w:hAnsiTheme="minorEastAsia" w:eastAsiaTheme="minorEastAsia" w:cstheme="minorEastAsia"/>
          <w:kern w:val="0"/>
          <w:sz w:val="24"/>
          <w:lang w:eastAsia="zh-CN"/>
        </w:rPr>
        <w:t>中标方</w:t>
      </w:r>
      <w:r>
        <w:rPr>
          <w:rFonts w:hint="eastAsia" w:asciiTheme="minorEastAsia" w:hAnsiTheme="minorEastAsia" w:eastAsiaTheme="minorEastAsia" w:cstheme="minorEastAsia"/>
          <w:kern w:val="0"/>
          <w:sz w:val="24"/>
        </w:rPr>
        <w:t>自行负责。</w:t>
      </w:r>
    </w:p>
    <w:p>
      <w:pPr>
        <w:keepNext w:val="0"/>
        <w:keepLines w:val="0"/>
        <w:pageBreakBefore w:val="0"/>
        <w:kinsoku/>
        <w:wordWrap/>
        <w:overflowPunct/>
        <w:topLinePunct w:val="0"/>
        <w:autoSpaceDE w:val="0"/>
        <w:autoSpaceDN w:val="0"/>
        <w:bidi w:val="0"/>
        <w:adjustRightInd w:val="0"/>
        <w:snapToGrid/>
        <w:spacing w:line="520" w:lineRule="exact"/>
        <w:ind w:firstLine="480" w:firstLineChars="200"/>
        <w:textAlignment w:val="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4．质保期内维保，</w:t>
      </w:r>
      <w:r>
        <w:rPr>
          <w:rFonts w:hint="eastAsia" w:asciiTheme="minorEastAsia" w:hAnsiTheme="minorEastAsia" w:eastAsiaTheme="minorEastAsia" w:cstheme="minorEastAsia"/>
          <w:kern w:val="0"/>
          <w:sz w:val="24"/>
          <w:lang w:eastAsia="zh-CN"/>
        </w:rPr>
        <w:t>中标方</w:t>
      </w:r>
      <w:r>
        <w:rPr>
          <w:rFonts w:hint="eastAsia" w:asciiTheme="minorEastAsia" w:hAnsiTheme="minorEastAsia" w:eastAsiaTheme="minorEastAsia" w:cstheme="minorEastAsia"/>
          <w:kern w:val="0"/>
          <w:sz w:val="24"/>
        </w:rPr>
        <w:t>人员应在接到</w:t>
      </w:r>
      <w:r>
        <w:rPr>
          <w:rFonts w:hint="eastAsia" w:asciiTheme="minorEastAsia" w:hAnsiTheme="minorEastAsia" w:eastAsiaTheme="minorEastAsia" w:cstheme="minorEastAsia"/>
          <w:kern w:val="0"/>
          <w:sz w:val="24"/>
          <w:lang w:eastAsia="zh-CN"/>
        </w:rPr>
        <w:t>招标方</w:t>
      </w:r>
      <w:r>
        <w:rPr>
          <w:rFonts w:hint="eastAsia" w:asciiTheme="minorEastAsia" w:hAnsiTheme="minorEastAsia" w:eastAsiaTheme="minorEastAsia" w:cstheme="minorEastAsia"/>
          <w:kern w:val="0"/>
          <w:sz w:val="24"/>
        </w:rPr>
        <w:t>通知24小时内到达现场，处理问题过程中造成</w:t>
      </w:r>
      <w:r>
        <w:rPr>
          <w:rFonts w:hint="eastAsia" w:asciiTheme="minorEastAsia" w:hAnsiTheme="minorEastAsia" w:eastAsiaTheme="minorEastAsia" w:cstheme="minorEastAsia"/>
          <w:kern w:val="0"/>
          <w:sz w:val="24"/>
          <w:lang w:eastAsia="zh-CN"/>
        </w:rPr>
        <w:t>招标方</w:t>
      </w:r>
      <w:r>
        <w:rPr>
          <w:rFonts w:hint="eastAsia" w:asciiTheme="minorEastAsia" w:hAnsiTheme="minorEastAsia" w:eastAsiaTheme="minorEastAsia" w:cstheme="minorEastAsia"/>
          <w:kern w:val="0"/>
          <w:sz w:val="24"/>
        </w:rPr>
        <w:t>损失，</w:t>
      </w:r>
      <w:r>
        <w:rPr>
          <w:rFonts w:hint="eastAsia" w:asciiTheme="minorEastAsia" w:hAnsiTheme="minorEastAsia" w:eastAsiaTheme="minorEastAsia" w:cstheme="minorEastAsia"/>
          <w:kern w:val="0"/>
          <w:sz w:val="24"/>
          <w:lang w:eastAsia="zh-CN"/>
        </w:rPr>
        <w:t>中标方</w:t>
      </w:r>
      <w:r>
        <w:rPr>
          <w:rFonts w:hint="eastAsia" w:asciiTheme="minorEastAsia" w:hAnsiTheme="minorEastAsia" w:eastAsiaTheme="minorEastAsia" w:cstheme="minorEastAsia"/>
          <w:kern w:val="0"/>
          <w:sz w:val="24"/>
        </w:rPr>
        <w:t>承担赔偿责任。</w:t>
      </w:r>
      <w:r>
        <w:rPr>
          <w:rFonts w:hint="eastAsia" w:asciiTheme="minorEastAsia" w:hAnsiTheme="minorEastAsia" w:eastAsiaTheme="minorEastAsia" w:cstheme="minorEastAsia"/>
          <w:kern w:val="0"/>
          <w:sz w:val="24"/>
          <w:lang w:eastAsia="zh-CN"/>
        </w:rPr>
        <w:t>中标方</w:t>
      </w:r>
      <w:r>
        <w:rPr>
          <w:rFonts w:hint="eastAsia" w:asciiTheme="minorEastAsia" w:hAnsiTheme="minorEastAsia" w:eastAsiaTheme="minorEastAsia" w:cstheme="minorEastAsia"/>
          <w:kern w:val="0"/>
          <w:sz w:val="24"/>
        </w:rPr>
        <w:t>人员拖延到达现场处理问题，</w:t>
      </w:r>
      <w:r>
        <w:rPr>
          <w:rFonts w:hint="eastAsia" w:asciiTheme="minorEastAsia" w:hAnsiTheme="minorEastAsia" w:eastAsiaTheme="minorEastAsia" w:cstheme="minorEastAsia"/>
          <w:kern w:val="0"/>
          <w:sz w:val="24"/>
          <w:lang w:eastAsia="zh-CN"/>
        </w:rPr>
        <w:t>招标方</w:t>
      </w:r>
      <w:r>
        <w:rPr>
          <w:rFonts w:hint="eastAsia" w:asciiTheme="minorEastAsia" w:hAnsiTheme="minorEastAsia" w:eastAsiaTheme="minorEastAsia" w:cstheme="minorEastAsia"/>
          <w:kern w:val="0"/>
          <w:sz w:val="24"/>
        </w:rPr>
        <w:t>有权找第三方维修处理，所需费用按照第三方报价双倍扣除质保金，拖延期间造成</w:t>
      </w:r>
      <w:r>
        <w:rPr>
          <w:rFonts w:hint="eastAsia" w:asciiTheme="minorEastAsia" w:hAnsiTheme="minorEastAsia" w:eastAsiaTheme="minorEastAsia" w:cstheme="minorEastAsia"/>
          <w:kern w:val="0"/>
          <w:sz w:val="24"/>
          <w:lang w:eastAsia="zh-CN"/>
        </w:rPr>
        <w:t>招标方</w:t>
      </w:r>
      <w:r>
        <w:rPr>
          <w:rFonts w:hint="eastAsia" w:asciiTheme="minorEastAsia" w:hAnsiTheme="minorEastAsia" w:eastAsiaTheme="minorEastAsia" w:cstheme="minorEastAsia"/>
          <w:kern w:val="0"/>
          <w:sz w:val="24"/>
        </w:rPr>
        <w:t>损失，</w:t>
      </w:r>
      <w:r>
        <w:rPr>
          <w:rFonts w:hint="eastAsia" w:asciiTheme="minorEastAsia" w:hAnsiTheme="minorEastAsia" w:eastAsiaTheme="minorEastAsia" w:cstheme="minorEastAsia"/>
          <w:kern w:val="0"/>
          <w:sz w:val="24"/>
          <w:lang w:eastAsia="zh-CN"/>
        </w:rPr>
        <w:t>中标方</w:t>
      </w:r>
      <w:r>
        <w:rPr>
          <w:rFonts w:hint="eastAsia" w:asciiTheme="minorEastAsia" w:hAnsiTheme="minorEastAsia" w:eastAsiaTheme="minorEastAsia" w:cstheme="minorEastAsia"/>
          <w:kern w:val="0"/>
          <w:sz w:val="24"/>
        </w:rPr>
        <w:t>承担赔偿责任。</w:t>
      </w:r>
    </w:p>
    <w:p>
      <w:pPr>
        <w:keepNext w:val="0"/>
        <w:keepLines w:val="0"/>
        <w:pageBreakBefore w:val="0"/>
        <w:kinsoku/>
        <w:wordWrap/>
        <w:overflowPunct/>
        <w:topLinePunct w:val="0"/>
        <w:autoSpaceDE w:val="0"/>
        <w:autoSpaceDN w:val="0"/>
        <w:bidi w:val="0"/>
        <w:adjustRightInd w:val="0"/>
        <w:snapToGrid/>
        <w:spacing w:line="520" w:lineRule="exact"/>
        <w:ind w:firstLine="480" w:firstLineChars="200"/>
        <w:textAlignment w:val="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w:t>
      </w:r>
      <w:r>
        <w:rPr>
          <w:rFonts w:hint="eastAsia" w:asciiTheme="minorEastAsia" w:hAnsiTheme="minorEastAsia" w:eastAsiaTheme="minorEastAsia" w:cstheme="minorEastAsia"/>
          <w:kern w:val="0"/>
          <w:sz w:val="24"/>
          <w:lang w:eastAsia="zh-CN"/>
        </w:rPr>
        <w:t>招标方</w:t>
      </w:r>
      <w:r>
        <w:rPr>
          <w:rFonts w:hint="eastAsia" w:asciiTheme="minorEastAsia" w:hAnsiTheme="minorEastAsia" w:eastAsiaTheme="minorEastAsia" w:cstheme="minorEastAsia"/>
          <w:kern w:val="0"/>
          <w:sz w:val="24"/>
        </w:rPr>
        <w:t>在质保期使用过程中发现某些设备、附件等参数选型不满足整个系统使用要求，</w:t>
      </w:r>
      <w:r>
        <w:rPr>
          <w:rFonts w:hint="eastAsia" w:asciiTheme="minorEastAsia" w:hAnsiTheme="minorEastAsia" w:eastAsiaTheme="minorEastAsia" w:cstheme="minorEastAsia"/>
          <w:kern w:val="0"/>
          <w:sz w:val="24"/>
          <w:lang w:eastAsia="zh-CN"/>
        </w:rPr>
        <w:t>中标方</w:t>
      </w:r>
      <w:r>
        <w:rPr>
          <w:rFonts w:hint="eastAsia" w:asciiTheme="minorEastAsia" w:hAnsiTheme="minorEastAsia" w:eastAsiaTheme="minorEastAsia" w:cstheme="minorEastAsia"/>
          <w:kern w:val="0"/>
          <w:sz w:val="24"/>
        </w:rPr>
        <w:t>无条件更换。</w:t>
      </w:r>
      <w:bookmarkEnd w:id="15"/>
    </w:p>
    <w:p>
      <w:pPr>
        <w:keepNext w:val="0"/>
        <w:keepLines w:val="0"/>
        <w:pageBreakBefore w:val="0"/>
        <w:kinsoku/>
        <w:wordWrap/>
        <w:overflowPunct/>
        <w:topLinePunct w:val="0"/>
        <w:bidi w:val="0"/>
        <w:snapToGrid/>
        <w:spacing w:line="520" w:lineRule="exact"/>
        <w:ind w:firstLine="482" w:firstLineChars="200"/>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五、服务周期要求：</w:t>
      </w:r>
    </w:p>
    <w:p>
      <w:pPr>
        <w:keepNext w:val="0"/>
        <w:keepLines w:val="0"/>
        <w:pageBreakBefore w:val="0"/>
        <w:kinsoku/>
        <w:wordWrap/>
        <w:overflowPunct/>
        <w:topLinePunct w:val="0"/>
        <w:bidi w:val="0"/>
        <w:snapToGrid/>
        <w:spacing w:line="52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1.方案设计：自合同签订后20个日历天内；</w:t>
      </w:r>
    </w:p>
    <w:p>
      <w:pPr>
        <w:keepNext w:val="0"/>
        <w:keepLines w:val="0"/>
        <w:pageBreakBefore w:val="0"/>
        <w:kinsoku/>
        <w:wordWrap/>
        <w:overflowPunct/>
        <w:topLinePunct w:val="0"/>
        <w:bidi w:val="0"/>
        <w:snapToGrid/>
        <w:spacing w:line="52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2.改造实施：须在签订合同后的60个工作日完成并通过招标方验收；</w:t>
      </w:r>
    </w:p>
    <w:p>
      <w:pPr>
        <w:keepNext w:val="0"/>
        <w:keepLines w:val="0"/>
        <w:pageBreakBefore w:val="0"/>
        <w:kinsoku/>
        <w:wordWrap/>
        <w:overflowPunct/>
        <w:topLinePunct w:val="0"/>
        <w:bidi w:val="0"/>
        <w:snapToGrid/>
        <w:spacing w:line="52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3.服务周期：自完工验收后的次月1日开始，至分享96期节能收益后合同终止（共8年）。</w:t>
      </w:r>
      <w:bookmarkStart w:id="20" w:name="_Toc13732426"/>
      <w:bookmarkStart w:id="21" w:name="_Toc491005868"/>
    </w:p>
    <w:p>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br w:type="page"/>
      </w:r>
    </w:p>
    <w:p>
      <w:pPr>
        <w:pStyle w:val="2"/>
        <w:numPr>
          <w:ilvl w:val="0"/>
          <w:numId w:val="0"/>
        </w:numPr>
      </w:pPr>
      <w:r>
        <w:rPr>
          <w:rFonts w:hint="eastAsia" w:asciiTheme="majorEastAsia" w:hAnsiTheme="majorEastAsia" w:eastAsiaTheme="majorEastAsia" w:cstheme="majorEastAsia"/>
          <w:sz w:val="28"/>
          <w:szCs w:val="28"/>
        </w:rPr>
        <w:t>第五章  合同</w:t>
      </w:r>
      <w:bookmarkEnd w:id="20"/>
      <w:bookmarkEnd w:id="21"/>
      <w:r>
        <w:rPr>
          <w:rFonts w:hint="eastAsia" w:asciiTheme="majorEastAsia" w:hAnsiTheme="majorEastAsia" w:eastAsiaTheme="majorEastAsia" w:cstheme="majorEastAsia"/>
          <w:sz w:val="28"/>
          <w:szCs w:val="28"/>
        </w:rPr>
        <w:t>能源管理项目合同范本</w:t>
      </w:r>
    </w:p>
    <w:p/>
    <w:tbl>
      <w:tblPr>
        <w:tblStyle w:val="27"/>
        <w:tblW w:w="9039" w:type="dxa"/>
        <w:tblInd w:w="4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1485"/>
        <w:gridCol w:w="1953"/>
        <w:gridCol w:w="1589"/>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057" w:type="dxa"/>
            <w:vMerge w:val="restart"/>
            <w:vAlign w:val="center"/>
          </w:tcPr>
          <w:p>
            <w:pPr>
              <w:jc w:val="center"/>
              <w:rPr>
                <w:rFonts w:ascii="宋体"/>
                <w:szCs w:val="21"/>
              </w:rPr>
            </w:pPr>
            <w:r>
              <w:rPr>
                <w:rFonts w:hint="eastAsia" w:ascii="宋体" w:hAnsi="宋体"/>
                <w:szCs w:val="21"/>
              </w:rPr>
              <w:t>甲方</w:t>
            </w:r>
          </w:p>
          <w:p>
            <w:pPr>
              <w:jc w:val="center"/>
              <w:rPr>
                <w:rFonts w:ascii="宋体"/>
                <w:szCs w:val="21"/>
              </w:rPr>
            </w:pPr>
            <w:r>
              <w:rPr>
                <w:rFonts w:hint="eastAsia" w:ascii="宋体" w:hAnsi="宋体"/>
                <w:szCs w:val="21"/>
              </w:rPr>
              <w:t>（用能单位）</w:t>
            </w:r>
          </w:p>
        </w:tc>
        <w:tc>
          <w:tcPr>
            <w:tcW w:w="1485" w:type="dxa"/>
            <w:vAlign w:val="center"/>
          </w:tcPr>
          <w:p>
            <w:pPr>
              <w:jc w:val="center"/>
              <w:rPr>
                <w:rFonts w:ascii="宋体"/>
                <w:szCs w:val="21"/>
              </w:rPr>
            </w:pPr>
            <w:r>
              <w:rPr>
                <w:rFonts w:hint="eastAsia" w:ascii="宋体" w:hAnsi="宋体"/>
                <w:szCs w:val="21"/>
              </w:rPr>
              <w:t>单位名称</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法定代表人</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联系人</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通讯地址</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电话</w:t>
            </w:r>
          </w:p>
        </w:tc>
        <w:tc>
          <w:tcPr>
            <w:tcW w:w="1953" w:type="dxa"/>
            <w:vAlign w:val="center"/>
          </w:tcPr>
          <w:p>
            <w:pPr>
              <w:jc w:val="center"/>
              <w:rPr>
                <w:rFonts w:ascii="宋体"/>
                <w:szCs w:val="21"/>
              </w:rPr>
            </w:pPr>
          </w:p>
        </w:tc>
        <w:tc>
          <w:tcPr>
            <w:tcW w:w="1589" w:type="dxa"/>
            <w:vAlign w:val="center"/>
          </w:tcPr>
          <w:p>
            <w:pPr>
              <w:jc w:val="center"/>
              <w:rPr>
                <w:rFonts w:ascii="宋体"/>
                <w:szCs w:val="21"/>
              </w:rPr>
            </w:pPr>
          </w:p>
        </w:tc>
        <w:tc>
          <w:tcPr>
            <w:tcW w:w="1955"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电子邮箱</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开户银行</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账号</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057" w:type="dxa"/>
            <w:vMerge w:val="restart"/>
            <w:vAlign w:val="center"/>
          </w:tcPr>
          <w:p>
            <w:pPr>
              <w:jc w:val="center"/>
              <w:rPr>
                <w:rFonts w:ascii="宋体"/>
                <w:szCs w:val="21"/>
              </w:rPr>
            </w:pPr>
            <w:r>
              <w:rPr>
                <w:rFonts w:hint="eastAsia" w:ascii="宋体" w:hAnsi="宋体"/>
                <w:szCs w:val="21"/>
              </w:rPr>
              <w:t>乙方</w:t>
            </w:r>
          </w:p>
          <w:p>
            <w:pPr>
              <w:jc w:val="center"/>
              <w:rPr>
                <w:rFonts w:ascii="宋体"/>
                <w:szCs w:val="21"/>
              </w:rPr>
            </w:pPr>
            <w:r>
              <w:rPr>
                <w:rFonts w:hint="eastAsia" w:ascii="宋体" w:hAnsi="宋体"/>
                <w:szCs w:val="21"/>
              </w:rPr>
              <w:t>（节能服务公司）</w:t>
            </w:r>
          </w:p>
        </w:tc>
        <w:tc>
          <w:tcPr>
            <w:tcW w:w="1485" w:type="dxa"/>
            <w:vAlign w:val="center"/>
          </w:tcPr>
          <w:p>
            <w:pPr>
              <w:jc w:val="center"/>
              <w:rPr>
                <w:rFonts w:ascii="宋体"/>
                <w:szCs w:val="21"/>
              </w:rPr>
            </w:pPr>
            <w:r>
              <w:rPr>
                <w:rFonts w:hint="eastAsia" w:ascii="宋体" w:hAnsi="宋体"/>
                <w:szCs w:val="21"/>
              </w:rPr>
              <w:t>单位名称</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法定代表人</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联系人</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通讯地址</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电话</w:t>
            </w:r>
          </w:p>
        </w:tc>
        <w:tc>
          <w:tcPr>
            <w:tcW w:w="1953" w:type="dxa"/>
            <w:vAlign w:val="center"/>
          </w:tcPr>
          <w:p>
            <w:pPr>
              <w:rPr>
                <w:rFonts w:ascii="宋体"/>
                <w:szCs w:val="21"/>
              </w:rPr>
            </w:pPr>
          </w:p>
        </w:tc>
        <w:tc>
          <w:tcPr>
            <w:tcW w:w="1589" w:type="dxa"/>
            <w:vAlign w:val="center"/>
          </w:tcPr>
          <w:p>
            <w:pPr>
              <w:jc w:val="center"/>
              <w:rPr>
                <w:rFonts w:ascii="宋体"/>
                <w:szCs w:val="21"/>
              </w:rPr>
            </w:pPr>
          </w:p>
        </w:tc>
        <w:tc>
          <w:tcPr>
            <w:tcW w:w="1955" w:type="dxa"/>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电子邮箱</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开户银行</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账号</w:t>
            </w:r>
          </w:p>
        </w:tc>
        <w:tc>
          <w:tcPr>
            <w:tcW w:w="5497" w:type="dxa"/>
            <w:gridSpan w:val="3"/>
            <w:vAlign w:val="center"/>
          </w:tcPr>
          <w:p>
            <w:pPr>
              <w:rPr>
                <w:rFonts w:ascii="宋体"/>
                <w:szCs w:val="21"/>
              </w:rPr>
            </w:pPr>
          </w:p>
        </w:tc>
      </w:tr>
    </w:tbl>
    <w:p>
      <w:pPr>
        <w:rPr>
          <w:rFonts w:ascii="仿宋" w:hAnsi="仿宋" w:eastAsia="仿宋"/>
          <w:b/>
          <w:szCs w:val="21"/>
        </w:rPr>
      </w:pPr>
    </w:p>
    <w:p>
      <w:pPr>
        <w:tabs>
          <w:tab w:val="left" w:pos="3180"/>
          <w:tab w:val="center" w:pos="4535"/>
        </w:tabs>
        <w:spacing w:line="500" w:lineRule="exact"/>
        <w:ind w:left="239" w:leftChars="114"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（以下为合同盖章页，无正文）</w:t>
      </w:r>
      <w:r>
        <w:rPr>
          <w:rFonts w:hint="eastAsia" w:asciiTheme="minorEastAsia" w:hAnsiTheme="minorEastAsia" w:eastAsiaTheme="minorEastAsia" w:cstheme="minorEastAsia"/>
          <w:kern w:val="0"/>
          <w:sz w:val="24"/>
        </w:rPr>
        <w:t>鉴于本合同双方同意按“合同能源管理”模式就</w:t>
      </w:r>
      <w:r>
        <w:rPr>
          <w:rFonts w:hint="eastAsia" w:asciiTheme="minorEastAsia" w:hAnsiTheme="minorEastAsia" w:eastAsiaTheme="minorEastAsia" w:cstheme="minorEastAsia"/>
          <w:kern w:val="0"/>
          <w:sz w:val="24"/>
          <w:u w:val="single"/>
          <w:lang w:val="en-US" w:eastAsia="zh-CN"/>
        </w:rPr>
        <w:t>合肥百货大楼集团</w:t>
      </w:r>
      <w:r>
        <w:rPr>
          <w:rFonts w:hint="eastAsia" w:asciiTheme="minorEastAsia" w:hAnsiTheme="minorEastAsia" w:eastAsiaTheme="minorEastAsia" w:cstheme="minorEastAsia"/>
          <w:kern w:val="0"/>
          <w:sz w:val="24"/>
          <w:u w:val="single"/>
        </w:rPr>
        <w:t>蚌埠百货大楼有限责任公司</w:t>
      </w:r>
      <w:r>
        <w:rPr>
          <w:rFonts w:hint="eastAsia" w:asciiTheme="minorEastAsia" w:hAnsiTheme="minorEastAsia" w:eastAsiaTheme="minorEastAsia" w:cstheme="minorEastAsia"/>
          <w:kern w:val="0"/>
          <w:sz w:val="24"/>
        </w:rPr>
        <w:t>进行合同能源管理服务（以下简称“项目”或“本项目”）进行“效益分享型”专项节能改造及运行策略周期性服务，双方经平等协商，在真实、充分地表达各自意愿的基础上，根据《中华人民共和国合同法》及其他相关法律法规的规定，达成如下协议，由双方共同遵守。</w:t>
      </w:r>
    </w:p>
    <w:p>
      <w:pPr>
        <w:autoSpaceDE w:val="0"/>
        <w:autoSpaceDN w:val="0"/>
        <w:adjustRightInd w:val="0"/>
        <w:spacing w:line="500" w:lineRule="exact"/>
        <w:rPr>
          <w:rFonts w:asciiTheme="minorEastAsia" w:hAnsiTheme="minorEastAsia" w:eastAsiaTheme="minorEastAsia" w:cstheme="minorEastAsia"/>
          <w:b/>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第1节 术语和定义</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双方确定：本合同及相关附件中所涉及的有关名词和技术术语，其定义和解释如下：</w:t>
      </w:r>
    </w:p>
    <w:p>
      <w:pPr>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1.1合同能源管理服务：是指由乙方负责对</w:t>
      </w:r>
      <w:r>
        <w:rPr>
          <w:rFonts w:hint="eastAsia" w:asciiTheme="minorEastAsia" w:hAnsiTheme="minorEastAsia" w:eastAsiaTheme="minorEastAsia" w:cstheme="minorEastAsia"/>
          <w:kern w:val="0"/>
          <w:sz w:val="24"/>
          <w:u w:val="single"/>
        </w:rPr>
        <w:t>合肥百货大楼集团蚌埠百货大楼有限责任公司</w:t>
      </w:r>
      <w:r>
        <w:rPr>
          <w:rFonts w:hint="eastAsia" w:asciiTheme="minorEastAsia" w:hAnsiTheme="minorEastAsia" w:eastAsiaTheme="minorEastAsia" w:cstheme="minorEastAsia"/>
          <w:sz w:val="24"/>
        </w:rPr>
        <w:t>投资进行综合节能改造，并派遣专业管理人员参与新投入节能设备和与节能设备相关的用电设备的日常运行管理工作，并提供节能设备日常保养维修服务，以及在合同期内节能设备的后期升级和再投入改造等，由此产生的合同能源管理效益（包括但不限于节省的</w:t>
      </w:r>
      <w:r>
        <w:rPr>
          <w:rFonts w:hint="eastAsia" w:asciiTheme="minorEastAsia" w:hAnsiTheme="minorEastAsia" w:eastAsiaTheme="minorEastAsia" w:cstheme="minorEastAsia"/>
          <w:sz w:val="24"/>
          <w:lang w:val="en-US" w:eastAsia="zh-CN"/>
        </w:rPr>
        <w:t>能耗</w:t>
      </w:r>
      <w:r>
        <w:rPr>
          <w:rFonts w:hint="eastAsia" w:asciiTheme="minorEastAsia" w:hAnsiTheme="minorEastAsia" w:eastAsiaTheme="minorEastAsia" w:cstheme="minorEastAsia"/>
          <w:sz w:val="24"/>
        </w:rPr>
        <w:t>费</w:t>
      </w:r>
      <w:r>
        <w:rPr>
          <w:rFonts w:hint="eastAsia" w:asciiTheme="minorEastAsia" w:hAnsiTheme="minorEastAsia" w:eastAsiaTheme="minorEastAsia" w:cstheme="minorEastAsia"/>
          <w:sz w:val="24"/>
          <w:lang w:val="en-US" w:eastAsia="zh-CN"/>
        </w:rPr>
        <w:t>用</w:t>
      </w:r>
      <w:r>
        <w:rPr>
          <w:rFonts w:hint="eastAsia" w:asciiTheme="minorEastAsia" w:hAnsiTheme="minorEastAsia" w:eastAsiaTheme="minorEastAsia" w:cstheme="minorEastAsia"/>
          <w:sz w:val="24"/>
        </w:rPr>
        <w:t>、以及政府节能补贴奖励等）由甲方和乙方按合同约定比例和约定期限内进行分享，</w:t>
      </w:r>
      <w:r>
        <w:rPr>
          <w:rFonts w:hint="eastAsia" w:asciiTheme="minorEastAsia" w:hAnsiTheme="minorEastAsia" w:eastAsiaTheme="minorEastAsia" w:cstheme="minorEastAsia"/>
          <w:kern w:val="0"/>
          <w:sz w:val="24"/>
        </w:rPr>
        <w:t>在合同期内，乙方对乙方所有投入的节能设备拥有所有权；甲方对乙方所有投入的节能设备拥有使用权。合同期限届满且甲方付清全部款项后，乙方将节能设备的所有权无偿转让给甲方，并应保证所有设备设施在转让时运行正常。</w:t>
      </w:r>
    </w:p>
    <w:p>
      <w:pPr>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1.2节能设备：是指为</w:t>
      </w:r>
      <w:r>
        <w:rPr>
          <w:rFonts w:hint="eastAsia" w:asciiTheme="minorEastAsia" w:hAnsiTheme="minorEastAsia" w:eastAsiaTheme="minorEastAsia" w:cstheme="minorEastAsia"/>
          <w:kern w:val="0"/>
          <w:sz w:val="24"/>
          <w:u w:val="single"/>
        </w:rPr>
        <w:t>合肥百货大楼集团蚌埠百货大楼有限责任公司</w:t>
      </w:r>
      <w:r>
        <w:rPr>
          <w:rFonts w:hint="eastAsia" w:asciiTheme="minorEastAsia" w:hAnsiTheme="minorEastAsia" w:eastAsiaTheme="minorEastAsia" w:cstheme="minorEastAsia"/>
          <w:sz w:val="24"/>
        </w:rPr>
        <w:t>用能设备实施节能改造而由乙方所提供的设备设施。</w:t>
      </w:r>
    </w:p>
    <w:p>
      <w:pPr>
        <w:spacing w:line="500" w:lineRule="exact"/>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1.3用能设备：是指本合同所涉及的除乙方提供的节能设备之外所有权（或使用权）属于</w:t>
      </w:r>
      <w:r>
        <w:rPr>
          <w:rFonts w:hint="eastAsia" w:asciiTheme="minorEastAsia" w:hAnsiTheme="minorEastAsia" w:eastAsiaTheme="minorEastAsia" w:cstheme="minorEastAsia"/>
          <w:kern w:val="0"/>
          <w:sz w:val="24"/>
          <w:u w:val="single"/>
        </w:rPr>
        <w:t>合肥百货大楼集团蚌埠百货大楼有限责任公司</w:t>
      </w:r>
      <w:r>
        <w:rPr>
          <w:rFonts w:hint="eastAsia" w:asciiTheme="minorEastAsia" w:hAnsiTheme="minorEastAsia" w:eastAsiaTheme="minorEastAsia" w:cstheme="minorEastAsia"/>
          <w:sz w:val="24"/>
        </w:rPr>
        <w:t>的所有用能设备。</w:t>
      </w:r>
    </w:p>
    <w:p>
      <w:pPr>
        <w:autoSpaceDE w:val="0"/>
        <w:autoSpaceDN w:val="0"/>
        <w:adjustRightInd w:val="0"/>
        <w:spacing w:line="500" w:lineRule="exact"/>
        <w:ind w:firstLine="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 边界条件：在达到项目实施的节能目标的要求下，必须满足的临界条件。</w:t>
      </w:r>
    </w:p>
    <w:p>
      <w:pPr>
        <w:autoSpaceDE w:val="0"/>
        <w:autoSpaceDN w:val="0"/>
        <w:adjustRightInd w:val="0"/>
        <w:spacing w:line="500" w:lineRule="exact"/>
        <w:ind w:firstLine="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1.5 节能指标：量化评价项目节能效果的指标，如节能量和节省的</w:t>
      </w:r>
      <w:r>
        <w:rPr>
          <w:rFonts w:hint="eastAsia" w:asciiTheme="minorEastAsia" w:hAnsiTheme="minorEastAsia" w:eastAsiaTheme="minorEastAsia" w:cstheme="minorEastAsia"/>
          <w:bCs/>
          <w:sz w:val="24"/>
          <w:lang w:val="en-US" w:eastAsia="zh-CN"/>
        </w:rPr>
        <w:t>能耗费</w:t>
      </w:r>
      <w:r>
        <w:rPr>
          <w:rFonts w:hint="eastAsia" w:asciiTheme="minorEastAsia" w:hAnsiTheme="minorEastAsia" w:eastAsiaTheme="minorEastAsia" w:cstheme="minorEastAsia"/>
          <w:bCs/>
          <w:sz w:val="24"/>
        </w:rPr>
        <w:t>等。</w:t>
      </w:r>
    </w:p>
    <w:p>
      <w:pPr>
        <w:autoSpaceDE w:val="0"/>
        <w:autoSpaceDN w:val="0"/>
        <w:adjustRightInd w:val="0"/>
        <w:spacing w:line="500" w:lineRule="exact"/>
        <w:ind w:firstLine="420"/>
        <w:rPr>
          <w:rFonts w:asciiTheme="minorEastAsia" w:hAnsiTheme="minorEastAsia" w:eastAsiaTheme="minorEastAsia" w:cstheme="minorEastAsia"/>
          <w:bCs/>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第2节 项目期限</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 本合同期限自合同签订之日始，至节能效益分享期结束之日止。</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2.2 本项目的建设期为</w:t>
      </w:r>
      <w:r>
        <w:rPr>
          <w:rFonts w:hint="eastAsia" w:asciiTheme="minorEastAsia" w:hAnsiTheme="minorEastAsia" w:eastAsiaTheme="minorEastAsia" w:cstheme="minorEastAsia"/>
          <w:b/>
          <w:kern w:val="0"/>
          <w:sz w:val="24"/>
        </w:rPr>
        <w:t>60</w:t>
      </w:r>
      <w:r>
        <w:rPr>
          <w:rFonts w:hint="eastAsia" w:asciiTheme="minorEastAsia" w:hAnsiTheme="minorEastAsia" w:eastAsiaTheme="minorEastAsia" w:cstheme="minorEastAsia"/>
          <w:kern w:val="0"/>
          <w:sz w:val="24"/>
        </w:rPr>
        <w:t>个工作日，自合同签订后的之次日开始计算。</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2.3 本项目节能效益分享期的起始日为本项目验收合格的次月1日起,效益分享期为8年，双方分享96期节能效益后，本合同终止。</w:t>
      </w:r>
    </w:p>
    <w:p>
      <w:pPr>
        <w:autoSpaceDE w:val="0"/>
        <w:autoSpaceDN w:val="0"/>
        <w:adjustRightInd w:val="0"/>
        <w:spacing w:line="500" w:lineRule="exact"/>
        <w:ind w:firstLine="420"/>
        <w:rPr>
          <w:rFonts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第3节 项目方案设计、实施和项目的验收</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 甲乙双方应当按照本合同附件所列项目方案文件要求以及本合同规定进行本项目的实施。</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 项目实施方案由乙方制定并报甲方备案（含施工图），如无特殊原因，乙方将依照既定方案实施本项目。</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3.3 </w:t>
      </w:r>
      <w:r>
        <w:rPr>
          <w:rFonts w:hint="eastAsia" w:asciiTheme="minorEastAsia" w:hAnsiTheme="minorEastAsia" w:eastAsiaTheme="minorEastAsia" w:cstheme="minorEastAsia"/>
          <w:sz w:val="24"/>
        </w:rPr>
        <w:t>环境标准：不得低于现有环境舒适度。夏季环境温度要求室内平均温度≤26℃，梅雨季节室内闷热天也应当开启，冬季环境温度要求室内平均温度≥18℃。</w:t>
      </w:r>
    </w:p>
    <w:p>
      <w:pPr>
        <w:pStyle w:val="9"/>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3.4若对原有灯具的改造，外形定制样品须经甲方审核通过后进行更换，改造后的灯光亮度在整个合同期都不低于改造前亮度（改造前后在相同点位采用国标照度仪测试照度值双方签字确认留存）。改造后的灯具维修更换费用在整个合同期内由乙方负责。</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3.5 </w:t>
      </w:r>
      <w:r>
        <w:rPr>
          <w:rFonts w:hint="eastAsia" w:asciiTheme="minorEastAsia" w:hAnsiTheme="minorEastAsia" w:eastAsiaTheme="minorEastAsia" w:cstheme="minorEastAsia"/>
          <w:sz w:val="24"/>
        </w:rPr>
        <w:t>乙方应在本项目安装完毕前的七个工作日告知甲方完工日期，工程完工后</w:t>
      </w:r>
      <w:r>
        <w:rPr>
          <w:rFonts w:hint="eastAsia" w:asciiTheme="minorEastAsia" w:hAnsiTheme="minorEastAsia" w:eastAsiaTheme="minorEastAsia" w:cstheme="minorEastAsia"/>
          <w:kern w:val="0"/>
          <w:sz w:val="24"/>
        </w:rPr>
        <w:t>甲乙双方应当</w:t>
      </w:r>
      <w:r>
        <w:rPr>
          <w:rFonts w:hint="eastAsia" w:asciiTheme="minorEastAsia" w:hAnsiTheme="minorEastAsia" w:eastAsiaTheme="minorEastAsia" w:cstheme="minorEastAsia"/>
          <w:sz w:val="24"/>
        </w:rPr>
        <w:t>在十个工作日内</w:t>
      </w:r>
      <w:r>
        <w:rPr>
          <w:rFonts w:hint="eastAsia" w:asciiTheme="minorEastAsia" w:hAnsiTheme="minorEastAsia" w:eastAsiaTheme="minorEastAsia" w:cstheme="minorEastAsia"/>
          <w:kern w:val="0"/>
          <w:sz w:val="24"/>
        </w:rPr>
        <w:t>按照附件8的规定进行项目验收，并签署确认验收文件，由于甲方原因造成改造完工后15天仍未验收的，视同验收合格。</w:t>
      </w:r>
    </w:p>
    <w:p>
      <w:pPr>
        <w:autoSpaceDE w:val="0"/>
        <w:autoSpaceDN w:val="0"/>
        <w:adjustRightInd w:val="0"/>
        <w:spacing w:line="500" w:lineRule="exact"/>
        <w:ind w:firstLine="420"/>
        <w:rPr>
          <w:rFonts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第4节 节能效益承诺和分享方式</w:t>
      </w:r>
    </w:p>
    <w:p>
      <w:pPr>
        <w:autoSpaceDE w:val="0"/>
        <w:autoSpaceDN w:val="0"/>
        <w:adjustRightInd w:val="0"/>
        <w:spacing w:line="500" w:lineRule="exact"/>
        <w:ind w:firstLine="42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4.1 以改造前最近二个年度的</w:t>
      </w:r>
      <w:r>
        <w:rPr>
          <w:rFonts w:hint="eastAsia" w:asciiTheme="minorEastAsia" w:hAnsiTheme="minorEastAsia" w:eastAsiaTheme="minorEastAsia" w:cstheme="minorEastAsia"/>
          <w:kern w:val="0"/>
          <w:sz w:val="24"/>
          <w:lang w:val="en-US" w:eastAsia="zh-CN"/>
        </w:rPr>
        <w:t>平均</w:t>
      </w:r>
      <w:r>
        <w:rPr>
          <w:rFonts w:hint="eastAsia" w:asciiTheme="minorEastAsia" w:hAnsiTheme="minorEastAsia" w:eastAsiaTheme="minorEastAsia" w:cstheme="minorEastAsia"/>
          <w:kern w:val="0"/>
          <w:sz w:val="24"/>
        </w:rPr>
        <w:t>自用电量、燃气用量乘以当前用电单价</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用气单价算出总费用为基准能耗，每年至少节省262647.15元，每</w:t>
      </w:r>
      <w:r>
        <w:rPr>
          <w:rFonts w:hint="eastAsia" w:asciiTheme="minorEastAsia" w:hAnsiTheme="minorEastAsia" w:eastAsiaTheme="minorEastAsia" w:cstheme="minorEastAsia"/>
          <w:kern w:val="0"/>
          <w:sz w:val="24"/>
          <w:lang w:val="en-US" w:eastAsia="zh-CN"/>
        </w:rPr>
        <w:t>月</w:t>
      </w:r>
      <w:r>
        <w:rPr>
          <w:rFonts w:hint="eastAsia" w:asciiTheme="minorEastAsia" w:hAnsiTheme="minorEastAsia" w:eastAsiaTheme="minorEastAsia" w:cstheme="minorEastAsia"/>
          <w:kern w:val="0"/>
          <w:sz w:val="24"/>
        </w:rPr>
        <w:t>结算时凭供电局电费单（用电量）（刨除租赁商铺租户）和燃气公司燃气缴费凭证（燃气用量）分别转换，两者相加之和对比基准能耗季度计算节能量。</w:t>
      </w:r>
    </w:p>
    <w:p>
      <w:pPr>
        <w:autoSpaceDE w:val="0"/>
        <w:autoSpaceDN w:val="0"/>
        <w:adjustRightInd w:val="0"/>
        <w:spacing w:line="500" w:lineRule="exact"/>
        <w:ind w:firstLine="42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 在8年的效益分享</w:t>
      </w:r>
      <w:r>
        <w:rPr>
          <w:rFonts w:hint="eastAsia" w:asciiTheme="minorEastAsia" w:hAnsiTheme="minorEastAsia" w:eastAsiaTheme="minorEastAsia" w:cstheme="minorEastAsia"/>
          <w:kern w:val="0"/>
          <w:sz w:val="24"/>
          <w:lang w:eastAsia="zh-CN"/>
        </w:rPr>
        <w:t>期</w:t>
      </w:r>
      <w:r>
        <w:rPr>
          <w:rFonts w:hint="eastAsia" w:asciiTheme="minorEastAsia" w:hAnsiTheme="minorEastAsia" w:eastAsiaTheme="minorEastAsia" w:cstheme="minorEastAsia"/>
          <w:kern w:val="0"/>
          <w:sz w:val="24"/>
        </w:rPr>
        <w:t>内，甲方每年分享 30％的项目节能效益</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lang w:val="en-US" w:eastAsia="zh-CN"/>
        </w:rPr>
        <w:t>如有</w:t>
      </w:r>
      <w:r>
        <w:rPr>
          <w:rFonts w:hint="eastAsia" w:asciiTheme="minorEastAsia" w:hAnsiTheme="minorEastAsia" w:eastAsiaTheme="minorEastAsia" w:cstheme="minorEastAsia"/>
          <w:kern w:val="0"/>
          <w:sz w:val="24"/>
        </w:rPr>
        <w:t>政府相关节能奖补资金</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lang w:val="en-US" w:eastAsia="zh-CN"/>
        </w:rPr>
        <w:t>甲方同样享受30%</w:t>
      </w:r>
      <w:r>
        <w:rPr>
          <w:rFonts w:hint="eastAsia" w:asciiTheme="minorEastAsia" w:hAnsiTheme="minorEastAsia" w:eastAsiaTheme="minorEastAsia" w:cstheme="minorEastAsia"/>
          <w:kern w:val="0"/>
          <w:sz w:val="24"/>
        </w:rPr>
        <w:t>。，如甲方实际分享的节能效益不足合同承诺节能效益的 30％，不足部分由乙方现金补足，详见</w:t>
      </w:r>
      <w:r>
        <w:rPr>
          <w:rFonts w:hint="eastAsia" w:asciiTheme="minorEastAsia" w:hAnsiTheme="minorEastAsia" w:eastAsiaTheme="minorEastAsia" w:cstheme="minorEastAsia"/>
          <w:b/>
          <w:kern w:val="0"/>
          <w:sz w:val="24"/>
        </w:rPr>
        <w:t>《附件10 其他约定》</w:t>
      </w:r>
      <w:r>
        <w:rPr>
          <w:rFonts w:hint="eastAsia" w:asciiTheme="minorEastAsia" w:hAnsiTheme="minorEastAsia" w:eastAsiaTheme="minorEastAsia" w:cstheme="minorEastAsia"/>
          <w:kern w:val="0"/>
          <w:sz w:val="24"/>
        </w:rPr>
        <w:t>。</w:t>
      </w:r>
    </w:p>
    <w:p>
      <w:pPr>
        <w:autoSpaceDE w:val="0"/>
        <w:autoSpaceDN w:val="0"/>
        <w:adjustRightInd w:val="0"/>
        <w:spacing w:line="500" w:lineRule="exact"/>
        <w:ind w:firstLine="42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4.3</w:t>
      </w:r>
      <w:r>
        <w:rPr>
          <w:rFonts w:hint="eastAsia" w:asciiTheme="minorEastAsia" w:hAnsiTheme="minorEastAsia" w:eastAsiaTheme="minorEastAsia" w:cstheme="minorEastAsia"/>
          <w:kern w:val="0"/>
          <w:sz w:val="24"/>
          <w:lang w:val="en-US" w:eastAsia="zh-CN"/>
        </w:rPr>
        <w:t xml:space="preserve"> </w:t>
      </w:r>
      <w:r>
        <w:rPr>
          <w:rFonts w:hint="eastAsia" w:asciiTheme="minorEastAsia" w:hAnsiTheme="minorEastAsia" w:eastAsiaTheme="minorEastAsia" w:cstheme="minorEastAsia"/>
          <w:kern w:val="0"/>
          <w:sz w:val="24"/>
        </w:rPr>
        <w:t>在8年的效益分享期内，乙方每年分享 70％的项目节能效益</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lang w:val="en-US" w:eastAsia="zh-CN"/>
        </w:rPr>
        <w:t>如有</w:t>
      </w:r>
      <w:r>
        <w:rPr>
          <w:rFonts w:hint="eastAsia" w:asciiTheme="minorEastAsia" w:hAnsiTheme="minorEastAsia" w:eastAsiaTheme="minorEastAsia" w:cstheme="minorEastAsia"/>
          <w:kern w:val="0"/>
          <w:sz w:val="24"/>
        </w:rPr>
        <w:t>政府相关节能奖补资金</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lang w:val="en-US" w:eastAsia="zh-CN"/>
        </w:rPr>
        <w:t>乙方同样享受70%</w:t>
      </w:r>
      <w:r>
        <w:rPr>
          <w:rFonts w:hint="eastAsia" w:asciiTheme="minorEastAsia" w:hAnsiTheme="minorEastAsia" w:eastAsiaTheme="minorEastAsia" w:cstheme="minorEastAsia"/>
          <w:kern w:val="0"/>
          <w:sz w:val="24"/>
        </w:rPr>
        <w:t>。</w:t>
      </w:r>
    </w:p>
    <w:p>
      <w:pPr>
        <w:autoSpaceDE w:val="0"/>
        <w:autoSpaceDN w:val="0"/>
        <w:adjustRightInd w:val="0"/>
        <w:spacing w:line="500" w:lineRule="exact"/>
        <w:ind w:firstLine="42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4.4 双方应当按照附件3规定的程序和方式共同对项目节能量进行测量和确认，并按照附件4的格式填制和签发节能量确认单及付款申请表。</w:t>
      </w:r>
    </w:p>
    <w:p>
      <w:pPr>
        <w:autoSpaceDE w:val="0"/>
        <w:autoSpaceDN w:val="0"/>
        <w:adjustRightInd w:val="0"/>
        <w:spacing w:line="500" w:lineRule="exact"/>
        <w:ind w:firstLine="42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4.5 节能效益由甲方按照第</w:t>
      </w:r>
      <w:r>
        <w:rPr>
          <w:rFonts w:hint="eastAsia" w:asciiTheme="minorEastAsia" w:hAnsiTheme="minorEastAsia" w:eastAsiaTheme="minorEastAsia" w:cstheme="minorEastAsia"/>
          <w:kern w:val="0"/>
          <w:sz w:val="24"/>
          <w:lang w:val="en-US" w:eastAsia="zh-CN"/>
        </w:rPr>
        <w:t>4.3</w:t>
      </w:r>
      <w:r>
        <w:rPr>
          <w:rFonts w:hint="eastAsia" w:asciiTheme="minorEastAsia" w:hAnsiTheme="minorEastAsia" w:eastAsiaTheme="minorEastAsia" w:cstheme="minorEastAsia"/>
          <w:kern w:val="0"/>
          <w:sz w:val="24"/>
        </w:rPr>
        <w:t>条的规定分期（</w:t>
      </w:r>
      <w:r>
        <w:rPr>
          <w:rFonts w:hint="eastAsia" w:asciiTheme="minorEastAsia" w:hAnsiTheme="minorEastAsia" w:eastAsiaTheme="minorEastAsia" w:cstheme="minorEastAsia"/>
          <w:kern w:val="0"/>
          <w:sz w:val="24"/>
          <w:lang w:val="en-US" w:eastAsia="zh-CN"/>
        </w:rPr>
        <w:t>每月</w:t>
      </w:r>
      <w:r>
        <w:rPr>
          <w:rFonts w:hint="eastAsia" w:asciiTheme="minorEastAsia" w:hAnsiTheme="minorEastAsia" w:eastAsiaTheme="minorEastAsia" w:cstheme="minorEastAsia"/>
          <w:kern w:val="0"/>
          <w:sz w:val="24"/>
        </w:rPr>
        <w:t>一次）支付给乙方，具体支付方式如下：</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(a)在相应的节约费用确认后，乙方应当根据确认的节约费用向甲方发出书面的付款申请表，叙明付款的金额、方式以及对应的节约费用，并提供增值税</w:t>
      </w:r>
      <w:r>
        <w:rPr>
          <w:rFonts w:hint="eastAsia" w:asciiTheme="minorEastAsia" w:hAnsiTheme="minorEastAsia" w:eastAsiaTheme="minorEastAsia" w:cstheme="minorEastAsia"/>
          <w:kern w:val="0"/>
          <w:sz w:val="24"/>
          <w:lang w:val="en-US" w:eastAsia="zh-CN"/>
        </w:rPr>
        <w:t>专用</w:t>
      </w:r>
      <w:r>
        <w:rPr>
          <w:rFonts w:hint="eastAsia" w:asciiTheme="minorEastAsia" w:hAnsiTheme="minorEastAsia" w:eastAsiaTheme="minorEastAsia" w:cstheme="minorEastAsia"/>
          <w:kern w:val="0"/>
          <w:sz w:val="24"/>
        </w:rPr>
        <w:t>发票。</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(b)甲方应当在收到上述付款请求之后的10个工作日内，将相应的款项支付给乙方，乙方须在甲方付款前先行提供该笔款项的发票。</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4.6 如双方对任何一期节能效益全部或部分存在争议，该项争议不影响当期节能效益的分享和相应款项的支付时间，待双方友好协商解决争议内容后，争议涉及的款项待下次结算时多退少补，并不影响合同的正常执行。</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4.7 </w:t>
      </w:r>
      <w:r>
        <w:rPr>
          <w:rFonts w:hint="eastAsia" w:asciiTheme="minorEastAsia" w:hAnsiTheme="minorEastAsia" w:eastAsiaTheme="minorEastAsia" w:cstheme="minorEastAsia"/>
          <w:bCs/>
          <w:sz w:val="24"/>
        </w:rPr>
        <w:t>奖补资金分享（如有）：双方须积极配合申报政府奖补资金（按照国家政策规定是奖励节能改造投资方，故申报奖补单位主体为乙方），政府奖补资金将在到乙方账后10个工作日内，</w:t>
      </w:r>
      <w:r>
        <w:rPr>
          <w:rFonts w:hint="eastAsia" w:asciiTheme="minorEastAsia" w:hAnsiTheme="minorEastAsia" w:eastAsiaTheme="minorEastAsia" w:cstheme="minorEastAsia"/>
          <w:kern w:val="0"/>
          <w:sz w:val="24"/>
        </w:rPr>
        <w:t>甲乙双方按3:7分享，在10个工作日内转至甲方专用账户，逾期将从次月节能分享资金中扣除。</w:t>
      </w:r>
    </w:p>
    <w:p>
      <w:pPr>
        <w:autoSpaceDE w:val="0"/>
        <w:autoSpaceDN w:val="0"/>
        <w:adjustRightInd w:val="0"/>
        <w:spacing w:line="500" w:lineRule="exact"/>
        <w:ind w:firstLine="420"/>
        <w:rPr>
          <w:rFonts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第5节 甲方的义务</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5.1 </w:t>
      </w:r>
      <w:r>
        <w:rPr>
          <w:rFonts w:hint="eastAsia" w:asciiTheme="minorEastAsia" w:hAnsiTheme="minorEastAsia" w:eastAsiaTheme="minorEastAsia" w:cstheme="minorEastAsia"/>
          <w:sz w:val="24"/>
        </w:rPr>
        <w:t>甲方应当根据乙方的合理要求，及时提供节能项目设计和实施所必须的资料、图纸和数据，并确保其真实、准确、完整。并</w:t>
      </w:r>
      <w:r>
        <w:rPr>
          <w:rFonts w:hint="eastAsia" w:asciiTheme="minorEastAsia" w:hAnsiTheme="minorEastAsia" w:eastAsiaTheme="minorEastAsia" w:cstheme="minorEastAsia"/>
          <w:kern w:val="0"/>
          <w:sz w:val="24"/>
        </w:rPr>
        <w:t>配合乙方开展节能量测量和确认。</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5.2 提供节能项目实施所需要的现场条件和必要的协助，包括提供施工场地、材料存放空间、以及乙方管理人员的工作空间等。</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5.3 </w:t>
      </w:r>
      <w:r>
        <w:rPr>
          <w:rFonts w:hint="eastAsia" w:asciiTheme="minorEastAsia" w:hAnsiTheme="minorEastAsia" w:eastAsiaTheme="minorEastAsia" w:cstheme="minorEastAsia"/>
          <w:bCs/>
          <w:sz w:val="24"/>
        </w:rPr>
        <w:t>指派具有资质的操作人员参加培训</w:t>
      </w:r>
      <w:r>
        <w:rPr>
          <w:rFonts w:hint="eastAsia" w:asciiTheme="minorEastAsia" w:hAnsiTheme="minorEastAsia" w:eastAsiaTheme="minorEastAsia" w:cstheme="minorEastAsia"/>
          <w:kern w:val="0"/>
          <w:sz w:val="24"/>
        </w:rPr>
        <w:t>。</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5.4 甲方应及时协助乙方完成项目的试运行和验收，并确认验收文件。</w:t>
      </w:r>
    </w:p>
    <w:p>
      <w:pPr>
        <w:autoSpaceDE w:val="0"/>
        <w:autoSpaceDN w:val="0"/>
        <w:adjustRightInd w:val="0"/>
        <w:spacing w:line="500" w:lineRule="exact"/>
        <w:ind w:right="-20"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5.5 </w:t>
      </w:r>
      <w:r>
        <w:rPr>
          <w:rFonts w:hint="eastAsia" w:asciiTheme="minorEastAsia" w:hAnsiTheme="minorEastAsia" w:eastAsiaTheme="minorEastAsia" w:cstheme="minorEastAsia"/>
          <w:sz w:val="24"/>
        </w:rPr>
        <w:t>甲方应保证与项目相关的用电设备、设施连续稳定运行且运行状况良好，非因乙方原因造成的原甲方设备发生故障或老化破损，甲方应及时维修或更换；</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5.6 节能效益分享期间，如乙方投入的节能设备发生故障、损坏和丢失，甲方应在得知此情况后及时书面通知乙方，配合乙方对设备进行维修和监管。</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5.7 甲方应当按照本合同的规定，及时向乙方付款。</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5.8 甲方应当将与项目有关的其内部规章制度和特殊安全规定要求及时提前告知乙方、乙方的工作人员或其聘请的第三方，并根据需要提供相应的防护用品。</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5.9 甲方应当协助乙方（乙方作为节能改造投资方和奖补政策申报方）向有关政府机构或者组织申请与项目相关的补助、奖励或其他可适用的优惠政策；此部分补助、奖励或优惠在8年的效益分享期内，甲乙双方按3:7分享。乙方无法向有关政府机构或者组织申请与项目相关的补助、奖励或其他可适用的优惠政策的，由甲方进行申报，乙方予以配合，甲乙双方另行约定分享比例。</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第6节 乙方的义务</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6.1 乙方应当按照附件的项目方案文件规定的技术标准和要求以及本合同的规定，自行或者委托合格的第三方按时完成本项目的方案设计、建设、运营以及维护,费用由乙方承担。</w:t>
      </w:r>
      <w:r>
        <w:rPr>
          <w:rFonts w:hint="eastAsia" w:asciiTheme="minorEastAsia" w:hAnsiTheme="minorEastAsia" w:eastAsiaTheme="minorEastAsia" w:cstheme="minorEastAsia"/>
          <w:bCs/>
          <w:sz w:val="24"/>
        </w:rPr>
        <w:t>乙方新增的节能设备的维保，在合同期内由乙方自行承担。</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6.2 乙方应当确保其工作人员或其聘请的第三方严格遵守甲方有关施工场地安全和卫生等方面的规定，并听从甲方合理的现场指挥，</w:t>
      </w:r>
      <w:r>
        <w:rPr>
          <w:rFonts w:hint="eastAsia" w:asciiTheme="minorEastAsia" w:hAnsiTheme="minorEastAsia" w:eastAsiaTheme="minorEastAsia" w:cstheme="minorEastAsia"/>
          <w:sz w:val="24"/>
        </w:rPr>
        <w:t>乙方应当依照相关规定，对甲方指派的操作人员进行适当的培训，以使其能承担相应的操作和设施维护要求</w:t>
      </w:r>
      <w:r>
        <w:rPr>
          <w:rFonts w:hint="eastAsia" w:asciiTheme="minorEastAsia" w:hAnsiTheme="minorEastAsia" w:eastAsiaTheme="minorEastAsia" w:cstheme="minorEastAsia"/>
          <w:kern w:val="0"/>
          <w:sz w:val="24"/>
        </w:rPr>
        <w:t xml:space="preserve">。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6.3 乙方应当确保其工作人员或其聘请的第三方人员在项目实施、运行的整个过程中遵守相关法律法规，以及甲方的相关规章制度，</w:t>
      </w:r>
      <w:r>
        <w:rPr>
          <w:rFonts w:hint="eastAsia" w:asciiTheme="minorEastAsia" w:hAnsiTheme="minorEastAsia" w:eastAsiaTheme="minorEastAsia" w:cstheme="minorEastAsia"/>
          <w:sz w:val="24"/>
        </w:rPr>
        <w:t>乙方安装和调试相关设备、设施应符合国家、行业有关施工管理法律法规和与项目相对应的技术标准规范要求，以及甲方合理的特有的施工、管理要求</w:t>
      </w:r>
      <w:r>
        <w:rPr>
          <w:rFonts w:hint="eastAsia" w:asciiTheme="minorEastAsia" w:hAnsiTheme="minorEastAsia" w:eastAsiaTheme="minorEastAsia" w:cstheme="minorEastAsia"/>
          <w:kern w:val="0"/>
          <w:sz w:val="24"/>
        </w:rPr>
        <w:t>。</w:t>
      </w:r>
    </w:p>
    <w:p>
      <w:pPr>
        <w:spacing w:line="500" w:lineRule="exact"/>
        <w:ind w:firstLine="480" w:firstLineChars="200"/>
        <w:jc w:val="left"/>
        <w:outlineLvl w:val="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6.4 乙方应配合甲方开展节能量测量和验证，</w:t>
      </w:r>
      <w:r>
        <w:rPr>
          <w:rFonts w:hint="eastAsia" w:asciiTheme="minorEastAsia" w:hAnsiTheme="minorEastAsia" w:eastAsiaTheme="minorEastAsia" w:cstheme="minorEastAsia"/>
          <w:sz w:val="24"/>
        </w:rPr>
        <w:t>在接到甲方关于项目运行故障的通知之后，乙方应按照</w:t>
      </w:r>
      <w:r>
        <w:rPr>
          <w:rFonts w:hint="eastAsia" w:asciiTheme="minorEastAsia" w:hAnsiTheme="minorEastAsia" w:eastAsiaTheme="minorEastAsia" w:cstheme="minorEastAsia"/>
          <w:b/>
          <w:sz w:val="24"/>
        </w:rPr>
        <w:t>附件8</w:t>
      </w: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Cs/>
          <w:kern w:val="0"/>
          <w:sz w:val="24"/>
        </w:rPr>
        <w:t>设备故障处理约定</w:t>
      </w: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sz w:val="24"/>
        </w:rPr>
        <w:t>的规定及时完成相关维修或设备更换</w:t>
      </w:r>
      <w:r>
        <w:rPr>
          <w:rFonts w:hint="eastAsia" w:asciiTheme="minorEastAsia" w:hAnsiTheme="minorEastAsia" w:eastAsiaTheme="minorEastAsia" w:cstheme="minorEastAsia"/>
          <w:kern w:val="0"/>
          <w:sz w:val="24"/>
        </w:rPr>
        <w:t>。</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6.5 </w:t>
      </w:r>
      <w:r>
        <w:rPr>
          <w:rFonts w:hint="eastAsia" w:asciiTheme="minorEastAsia" w:hAnsiTheme="minorEastAsia" w:eastAsiaTheme="minorEastAsia" w:cstheme="minorEastAsia"/>
          <w:bCs/>
          <w:sz w:val="24"/>
        </w:rPr>
        <w:t>乙方应当对甲方指派的操作人员进行适当的培训，以使其能承担相应的操作和设施维护要求。</w:t>
      </w:r>
    </w:p>
    <w:p>
      <w:pPr>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6.6 甲方支付给乙方的款项，乙方应在甲方付款前及时出具发票，否则甲方有权拒绝支付。</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kern w:val="0"/>
          <w:sz w:val="24"/>
        </w:rPr>
        <w:t xml:space="preserve">6.7 </w:t>
      </w:r>
      <w:r>
        <w:rPr>
          <w:rFonts w:hint="eastAsia" w:asciiTheme="minorEastAsia" w:hAnsiTheme="minorEastAsia" w:eastAsiaTheme="minorEastAsia" w:cstheme="minorEastAsia"/>
          <w:bCs/>
          <w:sz w:val="24"/>
        </w:rPr>
        <w:t>乙方应配合甲方开展节能量测量和验证。</w:t>
      </w:r>
    </w:p>
    <w:p>
      <w:pPr>
        <w:spacing w:line="500" w:lineRule="exact"/>
        <w:ind w:firstLine="480" w:firstLineChars="200"/>
        <w:rPr>
          <w:rFonts w:asciiTheme="minorEastAsia" w:hAnsiTheme="minorEastAsia" w:eastAsiaTheme="minorEastAsia" w:cstheme="minorEastAsia"/>
          <w:bCs/>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第7节 项目的更改</w:t>
      </w:r>
    </w:p>
    <w:p>
      <w:pPr>
        <w:spacing w:line="500" w:lineRule="exac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7.1 项目开始运行之后，甲方和乙方应及时沟通，讨论与项目运行和维护有关的事宜。</w:t>
      </w:r>
    </w:p>
    <w:p>
      <w:pPr>
        <w:autoSpaceDE w:val="0"/>
        <w:autoSpaceDN w:val="0"/>
        <w:adjustRightInd w:val="0"/>
        <w:spacing w:line="500" w:lineRule="exact"/>
        <w:ind w:firstLine="360" w:firstLineChars="1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7.2 如在项目的建设期间出现乙方作为专业的节能服务提供者能够合理预料之外的情况，从而导致原有项目方案需要修改，经甲方同意后，乙方可对原有项目方案进行修改并实施修改的方案，但前提是不会对原有项目方案设定的节能目标和技术指标造成影响。</w:t>
      </w:r>
      <w:r>
        <w:rPr>
          <w:rFonts w:hint="eastAsia" w:asciiTheme="minorEastAsia" w:hAnsiTheme="minorEastAsia" w:eastAsiaTheme="minorEastAsia" w:cstheme="minorEastAsia"/>
          <w:bCs/>
          <w:sz w:val="24"/>
        </w:rPr>
        <w:t>除非该情况的出现是由甲方的过错造成，所有由此产生的费用由乙方承担。</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7.3 在本项目运行期间，乙方有权为优化项目方案、提高节能效益对项目进行再次改造，包括但不限于对相关设备或设施进行添加、替换、去除、升级，或者是对相关操作、维护程序和方法进行修改，所有的改造费用由乙方承担。</w:t>
      </w:r>
    </w:p>
    <w:p>
      <w:pPr>
        <w:autoSpaceDE w:val="0"/>
        <w:autoSpaceDN w:val="0"/>
        <w:adjustRightInd w:val="0"/>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7.4 甲方提供</w:t>
      </w:r>
      <w:r>
        <w:rPr>
          <w:rFonts w:hint="eastAsia" w:asciiTheme="minorEastAsia" w:hAnsiTheme="minorEastAsia" w:eastAsiaTheme="minorEastAsia" w:cstheme="minorEastAsia"/>
          <w:kern w:val="0"/>
          <w:sz w:val="24"/>
        </w:rPr>
        <w:t>《蚌埠百货大楼有限责任公司</w:t>
      </w:r>
      <w:r>
        <w:rPr>
          <w:rFonts w:hint="eastAsia" w:asciiTheme="minorEastAsia" w:hAnsiTheme="minorEastAsia" w:eastAsiaTheme="minorEastAsia" w:cstheme="minorEastAsia"/>
          <w:sz w:val="24"/>
        </w:rPr>
        <w:t>用电设备清单</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kern w:val="0"/>
          <w:sz w:val="24"/>
        </w:rPr>
        <w:t>蚌埠百货大楼有限责任公司</w:t>
      </w:r>
      <w:r>
        <w:rPr>
          <w:rFonts w:hint="eastAsia" w:asciiTheme="minorEastAsia" w:hAnsiTheme="minorEastAsia" w:eastAsiaTheme="minorEastAsia" w:cstheme="minorEastAsia"/>
          <w:sz w:val="24"/>
        </w:rPr>
        <w:t>增减设备负荷表》，乙方负责复核，经双方签字确认后，准确性互不追责。</w:t>
      </w:r>
    </w:p>
    <w:p>
      <w:pPr>
        <w:pStyle w:val="9"/>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7.5 </w:t>
      </w:r>
      <w:r>
        <w:rPr>
          <w:rFonts w:hint="eastAsia" w:asciiTheme="minorEastAsia" w:hAnsiTheme="minorEastAsia" w:eastAsiaTheme="minorEastAsia" w:cstheme="minorEastAsia"/>
          <w:sz w:val="24"/>
        </w:rPr>
        <w:t>甲方用能设备的设备名称、规格、数量、能耗、用能时间等以</w:t>
      </w:r>
      <w:r>
        <w:rPr>
          <w:rFonts w:hint="eastAsia" w:asciiTheme="minorEastAsia" w:hAnsiTheme="minorEastAsia" w:eastAsiaTheme="minorEastAsia" w:cstheme="minorEastAsia"/>
          <w:kern w:val="0"/>
          <w:sz w:val="24"/>
        </w:rPr>
        <w:t>《蚌埠百货大楼有限责任公司</w:t>
      </w:r>
      <w:r>
        <w:rPr>
          <w:rFonts w:hint="eastAsia" w:asciiTheme="minorEastAsia" w:hAnsiTheme="minorEastAsia" w:eastAsiaTheme="minorEastAsia" w:cstheme="minorEastAsia"/>
          <w:sz w:val="24"/>
        </w:rPr>
        <w:t>用能设备清单</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sz w:val="24"/>
        </w:rPr>
        <w:t>登记情况为准，</w:t>
      </w:r>
      <w:r>
        <w:rPr>
          <w:rFonts w:hint="eastAsia" w:asciiTheme="minorEastAsia" w:hAnsiTheme="minorEastAsia" w:eastAsiaTheme="minorEastAsia" w:cstheme="minorEastAsia"/>
          <w:spacing w:val="-8"/>
          <w:sz w:val="24"/>
        </w:rPr>
        <w:t>在本项目运行期间，甲方拆除、更换、更改、添加或移动现有设备、设施</w:t>
      </w:r>
      <w:r>
        <w:rPr>
          <w:rFonts w:hint="eastAsia" w:asciiTheme="minorEastAsia" w:hAnsiTheme="minorEastAsia" w:eastAsiaTheme="minorEastAsia" w:cstheme="minorEastAsia"/>
          <w:sz w:val="24"/>
        </w:rPr>
        <w:t>场地，以致对本项目的用能量和节能效益产生影响，甲方应提前以公文、邮件、微信等方式告知乙方，具体增加或减少负荷的大小、运行时间、用电量变量的计算等方面的事项，均以双方协商或选择第三方公司计算能耗变化确认后的书面文件作为增减负荷的依据，并填写《</w:t>
      </w:r>
      <w:r>
        <w:rPr>
          <w:rFonts w:hint="eastAsia" w:asciiTheme="minorEastAsia" w:hAnsiTheme="minorEastAsia" w:eastAsiaTheme="minorEastAsia" w:cstheme="minorEastAsia"/>
          <w:kern w:val="0"/>
          <w:sz w:val="24"/>
        </w:rPr>
        <w:t>蚌埠百货大楼有限责任公司</w:t>
      </w:r>
      <w:r>
        <w:rPr>
          <w:rFonts w:hint="eastAsia" w:asciiTheme="minorEastAsia" w:hAnsiTheme="minorEastAsia" w:eastAsiaTheme="minorEastAsia" w:cstheme="minorEastAsia"/>
          <w:sz w:val="24"/>
        </w:rPr>
        <w:t>增减设备负荷表》由甲、乙双方代表签字确认。由此造成乙方较大损失的，双方协商解决。</w:t>
      </w:r>
    </w:p>
    <w:p>
      <w:pPr>
        <w:pStyle w:val="9"/>
        <w:spacing w:line="500" w:lineRule="exact"/>
        <w:rPr>
          <w:rFonts w:asciiTheme="minorEastAsia" w:hAnsiTheme="minorEastAsia" w:eastAsiaTheme="minorEastAsia" w:cstheme="minorEastAsia"/>
          <w:sz w:val="24"/>
        </w:rPr>
      </w:pPr>
    </w:p>
    <w:p>
      <w:pPr>
        <w:autoSpaceDE w:val="0"/>
        <w:autoSpaceDN w:val="0"/>
        <w:adjustRightInd w:val="0"/>
        <w:spacing w:line="500" w:lineRule="exact"/>
        <w:ind w:firstLine="420"/>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b/>
          <w:kern w:val="0"/>
          <w:sz w:val="24"/>
        </w:rPr>
        <w:t>第8节 所有权和风险分担</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8.l 在本合同到期并且甲方付清本合同项下全部款项之前，本项目下的所有由乙方采购并安装的设备、设施和仪器等财产（简称“项目财产”）的所有权属于乙方。合同期限届满且甲方付清合同期内约定的分享的能耗费用款项后，乙方应将本项目财产的所有权及项目全部设计资料无偿转让给甲方并应保证项目设备设施在转让时运行正常。项目财产清单见附件5。</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8.2 项目财产的所有权由乙方移交给甲方时，应同时移交本项目继续运行所必需的资料。如该项目财产的继续使用需要乙方的相关技术和相关知识产权的授权，乙方应当无偿向甲方提供该等授权。</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8.3 项目财产的所有权不因甲方违约提前解除而转移。在本合同因甲方违约提前解除时，项目财产依照第11.4条的规定处理。</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8.4 在本合同期间，项目财产被窃丢失的风险由甲方承担。</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8.5 合同到期如甲方需要乙方继续提供服务，则在合同有效期满前，双方可友好协商继续为本项目签定合同能源管理服务事宜。</w:t>
      </w: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 xml:space="preserve">第9节 违约责任 </w:t>
      </w:r>
    </w:p>
    <w:p>
      <w:pPr>
        <w:spacing w:line="500" w:lineRule="exac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sz w:val="24"/>
        </w:rPr>
        <w:t>9.</w:t>
      </w:r>
      <w:r>
        <w:rPr>
          <w:rFonts w:hint="eastAsia" w:asciiTheme="minorEastAsia" w:hAnsiTheme="minorEastAsia" w:eastAsiaTheme="minorEastAsia" w:cstheme="minorEastAsia"/>
          <w:color w:val="0000FF"/>
          <w:sz w:val="24"/>
        </w:rPr>
        <w:t xml:space="preserve">1 </w:t>
      </w:r>
      <w:r>
        <w:rPr>
          <w:rFonts w:hint="eastAsia" w:asciiTheme="minorEastAsia" w:hAnsiTheme="minorEastAsia" w:eastAsiaTheme="minorEastAsia" w:cstheme="minorEastAsia"/>
          <w:color w:val="000000" w:themeColor="text1"/>
          <w:sz w:val="24"/>
          <w14:textFill>
            <w14:solidFill>
              <w14:schemeClr w14:val="tx1"/>
            </w14:solidFill>
          </w14:textFill>
        </w:rPr>
        <w:t>甲方违约和相关赔偿：</w:t>
      </w:r>
    </w:p>
    <w:p>
      <w:pPr>
        <w:spacing w:line="500" w:lineRule="exac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9.1.1在本合同生效后、乙方开始施工至竣工验收之前，如果甲方无故解除本合同，则甲方应赔偿乙方为此项目所支出的设备购置费、运费、安装费、设计费等实际投入的损失。</w:t>
      </w:r>
    </w:p>
    <w:p>
      <w:pPr>
        <w:spacing w:line="50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9.1.2合同执行期间，乙方按时足额收取节能效益分享款是乙方持续经营的必要条件，若甲方超过三个月未按照合同约定向乙方支付分享款，属于甲方违约，乙方有权解除合同并拆除收回此项目的所有项目财产，同时追究甲方的违约责任，甲方需按照本节9.1.4条之约定支付违约金予乙方。</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9.1.3 合同执行期间，</w:t>
      </w:r>
      <w:r>
        <w:rPr>
          <w:rFonts w:hint="eastAsia" w:asciiTheme="minorEastAsia" w:hAnsiTheme="minorEastAsia" w:eastAsiaTheme="minorEastAsia" w:cstheme="minorEastAsia"/>
          <w:kern w:val="0"/>
          <w:sz w:val="24"/>
        </w:rPr>
        <w:t>甲方不得无故单方面终止合同。如甲方单方面无故终止合同，属于甲方违约，</w:t>
      </w:r>
      <w:r>
        <w:rPr>
          <w:rFonts w:hint="eastAsia" w:asciiTheme="minorEastAsia" w:hAnsiTheme="minorEastAsia" w:eastAsiaTheme="minorEastAsia" w:cstheme="minorEastAsia"/>
          <w:sz w:val="24"/>
        </w:rPr>
        <w:t>甲方需按照本节9.1.4条之约定支付违约金予乙方。</w:t>
      </w:r>
    </w:p>
    <w:p>
      <w:pPr>
        <w:autoSpaceDE w:val="0"/>
        <w:autoSpaceDN w:val="0"/>
        <w:adjustRightInd w:val="0"/>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9.1.4 双方约定如甲方出现以下三条违约情况：甲方延迟支付节能分享款超过约定时间90天的、甲方未与乙方协商并经乙方同意而无故终止合同的、甲方未经乙方同意无故停用（含拆除）部分或全部节能设备的，甲方需一次性支付整个合同期乙方的预期节能分享收入作为违约金，违约金的计算方法为：W=（96-M）×R/M，其中W为违约金总额，M为已履行付款期数，R为已支付乙方的分享款总额，（96-M）为合同期内剩余付款期数，R/M为已经付款期数的每期平均值。</w:t>
      </w:r>
    </w:p>
    <w:p>
      <w:pPr>
        <w:autoSpaceDE w:val="0"/>
        <w:autoSpaceDN w:val="0"/>
        <w:adjustRightInd w:val="0"/>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9.1.5 </w:t>
      </w:r>
      <w:r>
        <w:rPr>
          <w:rFonts w:hint="eastAsia" w:asciiTheme="minorEastAsia" w:hAnsiTheme="minorEastAsia" w:eastAsiaTheme="minorEastAsia" w:cstheme="minorEastAsia"/>
          <w:kern w:val="0"/>
          <w:sz w:val="24"/>
        </w:rPr>
        <w:t>当发生甲方因经营调整而整体关闭该项目营运的情况时，甲方需一次性</w:t>
      </w:r>
      <w:r>
        <w:rPr>
          <w:rFonts w:hint="eastAsia" w:asciiTheme="minorEastAsia" w:hAnsiTheme="minorEastAsia" w:eastAsiaTheme="minorEastAsia" w:cstheme="minorEastAsia"/>
          <w:sz w:val="24"/>
        </w:rPr>
        <w:t>补偿乙方投资损失，补偿标准为：乙方月平均分享金额*48个月作为最低补偿额，项目关停前如合同履行付款超过48个月的不再补偿。因此甲方补偿乙方损失的实际金额为：S=（48-M）×R/M。其中S为补偿金额，M为已履行付款期数，M期内已支付乙方的分享款总额为R，乙方月平均分享金额为R/M。</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 乙方违约和相关赔偿：</w:t>
      </w:r>
    </w:p>
    <w:p>
      <w:pPr>
        <w:autoSpaceDE w:val="0"/>
        <w:autoSpaceDN w:val="0"/>
        <w:adjustRightInd w:val="0"/>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9.2.1 乙方应按照本合同2.1条规定的工期完成项目改造，且施工期间不得影响正常营业，如乙方未能及时完成，乙方每逾期完工一日应当支付违约金1000元。施工期间造成甲方设备损坏或影响甲方正常营业的，乙方除需负责恢复甲方设备正常（包括维修或更换）外，还需按照甲方近3年最高日营业额/每日的标准进行赔偿，并恢复由此造成的社会不良信誉影响。</w:t>
      </w:r>
    </w:p>
    <w:p>
      <w:pPr>
        <w:autoSpaceDE w:val="0"/>
        <w:autoSpaceDN w:val="0"/>
        <w:adjustRightInd w:val="0"/>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9.2.2 节能设备安装调试运行后的合同期间，如发生由于乙方节能设备的原因影响甲方设备的正常运行，进而影响甲方全部或部分营业的，乙方需尽快恢复受影响的设备正常运行，同时乙方赔偿由此造成的损失（具体损失金额双方协商确定）</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9.2.3 乙</w:t>
      </w:r>
      <w:r>
        <w:rPr>
          <w:rFonts w:hint="eastAsia" w:asciiTheme="minorEastAsia" w:hAnsiTheme="minorEastAsia" w:eastAsiaTheme="minorEastAsia" w:cstheme="minorEastAsia"/>
          <w:kern w:val="0"/>
          <w:sz w:val="24"/>
        </w:rPr>
        <w:t>方不得无故单方面终止合同。如乙方单方面无故终止合同，属于乙方严重违约，甲方可扣留所有项目财产，</w:t>
      </w:r>
      <w:r>
        <w:rPr>
          <w:rFonts w:hint="eastAsia" w:asciiTheme="minorEastAsia" w:hAnsiTheme="minorEastAsia" w:eastAsiaTheme="minorEastAsia" w:cstheme="minorEastAsia"/>
          <w:sz w:val="24"/>
        </w:rPr>
        <w:t>乙方还需向甲方支付违约金，该违约金的支付标准按照合同的9.2.4条的规定执行。</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9.2.4 甲乙双方约定如乙方严重违约，乙方需一次性支付整个合同期的甲方预期节能分享收入作为违约金，违约金的计算方法为：Z=（96-M）×N/M，其中Z为违约金总额，M为双方已执行分享的总期数，N为甲方所有分享款总额，（96-M）为合同期内剩余分享期数，N/M为甲方已经分享期数的每期平均值。</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9.3如出现乙方未履行义务或出现9.2条乙方违约，扣除履约保证金。  </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9.4如中标人因违约行为导致履约保证金被扣除，若合同继续履行，则中标人应在履约保证金扣除后日内补足履约保证金。</w:t>
      </w:r>
    </w:p>
    <w:p>
      <w:pPr>
        <w:spacing w:line="500" w:lineRule="exact"/>
        <w:rPr>
          <w:rFonts w:asciiTheme="minorEastAsia" w:hAnsiTheme="minorEastAsia" w:eastAsiaTheme="minorEastAsia" w:cstheme="minorEastAsia"/>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第10节 不可抗力</w:t>
      </w:r>
    </w:p>
    <w:p>
      <w:pPr>
        <w:autoSpaceDE w:val="0"/>
        <w:autoSpaceDN w:val="0"/>
        <w:adjustRightInd w:val="0"/>
        <w:spacing w:line="500" w:lineRule="exac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10.1 本合同下不可抗力是指超出了相关方合理控制范围的任何行为或原因，包括但不限于： </w:t>
      </w:r>
    </w:p>
    <w:p>
      <w:pPr>
        <w:autoSpaceDE w:val="0"/>
        <w:autoSpaceDN w:val="0"/>
        <w:adjustRightInd w:val="0"/>
        <w:spacing w:line="500" w:lineRule="exact"/>
        <w:ind w:firstLine="420"/>
        <w:rPr>
          <w:rFonts w:asciiTheme="minorEastAsia" w:hAnsiTheme="minorEastAsia" w:eastAsiaTheme="minorEastAsia" w:cstheme="minorEastAsia"/>
          <w:kern w:val="0"/>
          <w:sz w:val="24"/>
          <w:shd w:val="pct10" w:color="auto" w:fill="FFFFFF"/>
        </w:rPr>
      </w:pPr>
      <w:r>
        <w:rPr>
          <w:rFonts w:hint="eastAsia" w:asciiTheme="minorEastAsia" w:hAnsiTheme="minorEastAsia" w:eastAsiaTheme="minorEastAsia" w:cstheme="minorEastAsia"/>
          <w:kern w:val="0"/>
          <w:sz w:val="24"/>
        </w:rPr>
        <w:t xml:space="preserve">(a) 雷电、洪水、风暴、地震、滑坡、暴雨等自然灾害、海上危险、航行事故、战争、骚乱、暴动、全国紧急状态（无论是实际情况或法律规定的情况）、戒严令、火灾、流行病、隔离、辐射或放射性污染；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(b) 任何政府单位或非政府单位或其它主管部门（包括任何有管辖权的法院或仲裁庭以及国际机构）的行动，包括但不限于法律、法规、规章或其他有法律强制约束力的法案所规定的没收、约束、禁止、干预、征用、要求、指示或禁运，但不得包括一方资金短缺的事实。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10.2 如果一方（“受影响方”）由于不可抗力事件的发生，无法履行或预计无法履行合同下的义务，受影响方必须在知晓不可抗力的有关事件的5日内向另一方（“非受影响方”）提交书面通知，提供不可抗力事件的细节。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10.3 受影响方必须采取一切合理的措施，以消除或减轻不可抗力事件有关的影响。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10.4 在不可抗力事件持续期间，受影响方的履行义务暂时中止，合同约定的义务履行期限相应顺延，并将不会对由此造成的损失或损坏对非受影响方承担责任。在不可抗力事件结束后，受影响方应该尽快恢复履行本合同下的义务。 </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 5 如果因为不可抗力事件的影响，受影响方不能继续履行本合同项下的任何义务，而且非影响方在收到不可抗力通知后，受影响方的不能履行义务持续时间达90个连续日，且在此期间，双方没有能够谈判达成一项彼此可以接受的替代方式来执行本合同下的权利和义务，任何一方皆可向另一方提供书面通知，解除本协议，而不用承担任何责任。</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10.6 本合同因不可抗力的原因解除后，乙方不要求甲方赔偿，但本合同下的项目财产所有权仍属乙方，甲方在可控的范围内有义务保持项目财产的完整，如乙方需要拆除并回收项目财产，甲方有义务协助乙方完成拆除工作，同时甲方不得要求乙方恢复原始状态。</w:t>
      </w:r>
    </w:p>
    <w:p>
      <w:pPr>
        <w:autoSpaceDE w:val="0"/>
        <w:autoSpaceDN w:val="0"/>
        <w:adjustRightInd w:val="0"/>
        <w:spacing w:line="500" w:lineRule="exact"/>
        <w:ind w:firstLine="420"/>
        <w:rPr>
          <w:rFonts w:asciiTheme="minorEastAsia" w:hAnsiTheme="minorEastAsia" w:eastAsiaTheme="minorEastAsia" w:cstheme="minorEastAsia"/>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第11节 合同解除</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11.1 本合同可经由甲、乙双方协商一致后书面解除。</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11.2 </w:t>
      </w:r>
      <w:r>
        <w:rPr>
          <w:rFonts w:hint="eastAsia" w:asciiTheme="minorEastAsia" w:hAnsiTheme="minorEastAsia" w:eastAsiaTheme="minorEastAsia" w:cstheme="minorEastAsia"/>
          <w:sz w:val="24"/>
        </w:rPr>
        <w:t>本合同可依照第10.5条(不可抗力)的规定解除</w:t>
      </w:r>
      <w:r>
        <w:rPr>
          <w:rFonts w:hint="eastAsia" w:asciiTheme="minorEastAsia" w:hAnsiTheme="minorEastAsia" w:eastAsiaTheme="minorEastAsia" w:cstheme="minorEastAsia"/>
          <w:kern w:val="0"/>
          <w:sz w:val="24"/>
        </w:rPr>
        <w:t xml:space="preserve">。 </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11.3 当甲方迟延履行付款义务达三个月，</w:t>
      </w:r>
      <w:r>
        <w:rPr>
          <w:rFonts w:hint="eastAsia" w:asciiTheme="minorEastAsia" w:hAnsiTheme="minorEastAsia" w:eastAsiaTheme="minorEastAsia" w:cstheme="minorEastAsia"/>
          <w:sz w:val="24"/>
        </w:rPr>
        <w:t>乙方</w:t>
      </w:r>
      <w:r>
        <w:rPr>
          <w:rFonts w:hint="eastAsia" w:asciiTheme="minorEastAsia" w:hAnsiTheme="minorEastAsia" w:eastAsiaTheme="minorEastAsia" w:cstheme="minorEastAsia"/>
          <w:kern w:val="0"/>
          <w:sz w:val="24"/>
        </w:rPr>
        <w:t>有权书面通知甲方解除本合同。同时甲方需承担本合同第9.1.4条规定的违约责任。</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11.4 </w:t>
      </w:r>
      <w:r>
        <w:rPr>
          <w:rFonts w:hint="eastAsia" w:asciiTheme="minorEastAsia" w:hAnsiTheme="minorEastAsia" w:eastAsiaTheme="minorEastAsia" w:cstheme="minorEastAsia"/>
          <w:bCs/>
          <w:sz w:val="24"/>
        </w:rPr>
        <w:t>当乙方延误项目建设期限达</w:t>
      </w:r>
      <w:r>
        <w:rPr>
          <w:rFonts w:hint="eastAsia" w:asciiTheme="minorEastAsia" w:hAnsiTheme="minorEastAsia" w:eastAsiaTheme="minorEastAsia" w:cstheme="minorEastAsia"/>
          <w:bCs/>
          <w:sz w:val="24"/>
          <w:u w:val="single"/>
        </w:rPr>
        <w:t>60</w:t>
      </w:r>
      <w:r>
        <w:rPr>
          <w:rFonts w:hint="eastAsia" w:asciiTheme="minorEastAsia" w:hAnsiTheme="minorEastAsia" w:eastAsiaTheme="minorEastAsia" w:cstheme="minorEastAsia"/>
          <w:kern w:val="0"/>
          <w:sz w:val="24"/>
        </w:rPr>
        <w:t>日历</w:t>
      </w:r>
      <w:r>
        <w:rPr>
          <w:rFonts w:hint="eastAsia" w:asciiTheme="minorEastAsia" w:hAnsiTheme="minorEastAsia" w:eastAsiaTheme="minorEastAsia" w:cstheme="minorEastAsia"/>
          <w:bCs/>
          <w:sz w:val="24"/>
          <w:u w:val="single"/>
        </w:rPr>
        <w:t>天</w:t>
      </w:r>
      <w:r>
        <w:rPr>
          <w:rFonts w:hint="eastAsia" w:asciiTheme="minorEastAsia" w:hAnsiTheme="minorEastAsia" w:eastAsiaTheme="minorEastAsia" w:cstheme="minorEastAsia"/>
          <w:bCs/>
          <w:sz w:val="24"/>
        </w:rPr>
        <w:t>时，甲方有权书面通知乙方解除本合同。</w:t>
      </w:r>
      <w:r>
        <w:rPr>
          <w:rFonts w:hint="eastAsia" w:asciiTheme="minorEastAsia" w:hAnsiTheme="minorEastAsia" w:eastAsiaTheme="minorEastAsia" w:cstheme="minorEastAsia"/>
          <w:kern w:val="0"/>
          <w:sz w:val="24"/>
        </w:rPr>
        <w:t>同时乙方需承担本合同第9.2.4条规定的违约责任。</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w:t>
      </w:r>
      <w:r>
        <w:rPr>
          <w:rFonts w:hint="eastAsia" w:asciiTheme="minorEastAsia" w:hAnsiTheme="minorEastAsia" w:eastAsiaTheme="minorEastAsia" w:cstheme="minorEastAsia"/>
          <w:kern w:val="0"/>
          <w:sz w:val="24"/>
          <w:lang w:val="en-US" w:eastAsia="zh-CN"/>
        </w:rPr>
        <w:t>5</w:t>
      </w:r>
      <w:r>
        <w:rPr>
          <w:rFonts w:hint="eastAsia" w:asciiTheme="minorEastAsia" w:hAnsiTheme="minorEastAsia" w:eastAsiaTheme="minorEastAsia" w:cstheme="minorEastAsia"/>
          <w:kern w:val="0"/>
          <w:sz w:val="24"/>
        </w:rPr>
        <w:t xml:space="preserve"> 当一方进入破产程序，另一方可书面通知对方解除本合同。</w:t>
      </w:r>
    </w:p>
    <w:p>
      <w:pPr>
        <w:pStyle w:val="23"/>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 本合同因甲方违约或甲方进入破产程序被解除后，本合同终止实施，项目财产由乙方负责拆除、取回，乙方不负责恢复原状，如甲方要求乙方恢复改造前原状，乙方只负责提供人工开支，恢复原状所用的原有设备和设施由甲方负责提供或由甲方重新购买。</w:t>
      </w:r>
    </w:p>
    <w:p>
      <w:pPr>
        <w:pStyle w:val="23"/>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本合同因乙方违约或乙方进入破产程序被解除后，项目财产归甲方，确保正常使用。</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w:t>
      </w:r>
      <w:r>
        <w:rPr>
          <w:rFonts w:hint="eastAsia" w:asciiTheme="minorEastAsia" w:hAnsiTheme="minorEastAsia" w:eastAsiaTheme="minorEastAsia" w:cstheme="minorEastAsia"/>
          <w:kern w:val="0"/>
          <w:sz w:val="24"/>
          <w:lang w:val="en-US" w:eastAsia="zh-CN"/>
        </w:rPr>
        <w:t>8</w:t>
      </w:r>
      <w:r>
        <w:rPr>
          <w:rFonts w:hint="eastAsia" w:asciiTheme="minorEastAsia" w:hAnsiTheme="minorEastAsia" w:eastAsiaTheme="minorEastAsia" w:cstheme="minorEastAsia"/>
          <w:kern w:val="0"/>
          <w:sz w:val="24"/>
        </w:rPr>
        <w:t xml:space="preserve"> 本合同的解除不影响任何一方根据本合同或者相关的法律法规向对方请求赔偿的权利，也不影响在合同解除前甲方应尽的付款义务的履行。</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第12节 合同项下的权利、义务的转让</w:t>
      </w:r>
    </w:p>
    <w:p>
      <w:pPr>
        <w:autoSpaceDE w:val="0"/>
        <w:autoSpaceDN w:val="0"/>
        <w:adjustRightInd w:val="0"/>
        <w:spacing w:line="500" w:lineRule="exact"/>
        <w:ind w:firstLine="48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kern w:val="0"/>
          <w:sz w:val="24"/>
        </w:rPr>
        <w:t xml:space="preserve">12.1 </w:t>
      </w:r>
      <w:r>
        <w:rPr>
          <w:rFonts w:hint="eastAsia" w:asciiTheme="minorEastAsia" w:hAnsiTheme="minorEastAsia" w:eastAsiaTheme="minorEastAsia" w:cstheme="minorEastAsia"/>
          <w:bCs/>
          <w:sz w:val="24"/>
        </w:rPr>
        <w:t>甲乙双方在转让本合同项下的权利和义务之前，应征得对方书面同意，在未征得对方同意之前，双方均无权以任何形式、在实质上转让或转移本合同项下的权利、义务。</w:t>
      </w:r>
    </w:p>
    <w:p>
      <w:pPr>
        <w:autoSpaceDE w:val="0"/>
        <w:autoSpaceDN w:val="0"/>
        <w:adjustRightInd w:val="0"/>
        <w:spacing w:line="500" w:lineRule="exact"/>
        <w:ind w:firstLine="480"/>
        <w:jc w:val="left"/>
        <w:rPr>
          <w:rFonts w:asciiTheme="minorEastAsia" w:hAnsiTheme="minorEastAsia" w:eastAsiaTheme="minorEastAsia" w:cstheme="minorEastAsia"/>
          <w:bCs/>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第13节 人身和财产损害和赔偿</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13.1 </w:t>
      </w:r>
      <w:r>
        <w:rPr>
          <w:rFonts w:hint="eastAsia" w:asciiTheme="minorEastAsia" w:hAnsiTheme="minorEastAsia" w:eastAsiaTheme="minorEastAsia" w:cstheme="minorEastAsia"/>
          <w:bCs/>
          <w:sz w:val="24"/>
        </w:rPr>
        <w:t>如果在履行本合同的过程中，因一方的工作人员或受其指派的第三方人员（“侵权方”）的故意或者是过失而导致另一方的工作人员、或者是任何第三方的人身或者是财产损害，侵权方应当为此负责。如果另一方因此受到其工作人员或者是该第三方的赔偿请求，则侵权方应当负责为另一方抗辩，并赔偿另一方由此而产生的所有费用和损失。</w:t>
      </w:r>
    </w:p>
    <w:p>
      <w:pPr>
        <w:autoSpaceDE w:val="0"/>
        <w:autoSpaceDN w:val="0"/>
        <w:adjustRightInd w:val="0"/>
        <w:spacing w:line="500" w:lineRule="exact"/>
        <w:ind w:firstLine="420"/>
        <w:rPr>
          <w:rFonts w:asciiTheme="minorEastAsia" w:hAnsiTheme="minorEastAsia" w:eastAsiaTheme="minorEastAsia" w:cstheme="minorEastAsia"/>
          <w:bCs/>
          <w:sz w:val="24"/>
        </w:rPr>
      </w:pPr>
      <w:r>
        <w:rPr>
          <w:rFonts w:hint="eastAsia" w:asciiTheme="minorEastAsia" w:hAnsiTheme="minorEastAsia" w:eastAsiaTheme="minorEastAsia" w:cstheme="minorEastAsia"/>
          <w:kern w:val="0"/>
          <w:sz w:val="24"/>
        </w:rPr>
        <w:t xml:space="preserve">13.2 </w:t>
      </w:r>
      <w:r>
        <w:rPr>
          <w:rFonts w:hint="eastAsia" w:asciiTheme="minorEastAsia" w:hAnsiTheme="minorEastAsia" w:eastAsiaTheme="minorEastAsia" w:cstheme="minorEastAsia"/>
          <w:bCs/>
          <w:sz w:val="24"/>
        </w:rPr>
        <w:t>受损害或伤害的一方对损害或伤害的发生也有过错时，应当根据其过错程度承担相应的责任，并适当减轻造成损害或伤害一方的责任。</w:t>
      </w:r>
    </w:p>
    <w:p>
      <w:pPr>
        <w:autoSpaceDE w:val="0"/>
        <w:autoSpaceDN w:val="0"/>
        <w:adjustRightInd w:val="0"/>
        <w:spacing w:line="500" w:lineRule="exact"/>
        <w:ind w:firstLine="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13.3 乙方在履行合同时对自身人员人身和设备的安全性负全责。因乙方提供的产品造成安全事故的，乙方应在事故处理完毕叁个工作日内赔偿甲方的实际损失。</w:t>
      </w:r>
    </w:p>
    <w:p>
      <w:pPr>
        <w:autoSpaceDE w:val="0"/>
        <w:autoSpaceDN w:val="0"/>
        <w:adjustRightInd w:val="0"/>
        <w:spacing w:line="500" w:lineRule="exact"/>
        <w:ind w:firstLine="420"/>
        <w:rPr>
          <w:rFonts w:asciiTheme="minorEastAsia" w:hAnsiTheme="minorEastAsia" w:eastAsiaTheme="minorEastAsia" w:cstheme="minorEastAsia"/>
          <w:bCs/>
          <w:sz w:val="24"/>
        </w:rPr>
      </w:pPr>
    </w:p>
    <w:p>
      <w:pPr>
        <w:autoSpaceDE w:val="0"/>
        <w:autoSpaceDN w:val="0"/>
        <w:adjustRightInd w:val="0"/>
        <w:spacing w:line="5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第14节 保密条款</w:t>
      </w:r>
    </w:p>
    <w:p>
      <w:pPr>
        <w:spacing w:line="5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双方确定因履行本合同应遵守的保密义务如下：</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14.1甲方保密义务：</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14.1.1保密内容（包括技术信息和经营信息）：乙方的技术信息和合同条款。</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14.1.2负有保密义务的人员范围：甲方全体人员。</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14.1.3保密期限：合同期满。</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14.1.4泄密责任：依法追究法律责任。</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14.2乙方保密义务：</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14.2.1保密内容（包括技术信息和经营信息）：甲方的经营信息和合同条款。</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14.2.2负有保密义务的人员范围：乙方全体人员。</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14.2.3保密期限：合同期满。</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14.2.4泄密责任：依法追究法律责任。</w:t>
      </w:r>
    </w:p>
    <w:p>
      <w:pPr>
        <w:autoSpaceDE w:val="0"/>
        <w:autoSpaceDN w:val="0"/>
        <w:adjustRightInd w:val="0"/>
        <w:spacing w:line="500" w:lineRule="exact"/>
        <w:rPr>
          <w:rFonts w:asciiTheme="minorEastAsia" w:hAnsiTheme="minorEastAsia" w:eastAsiaTheme="minorEastAsia" w:cstheme="minorEastAsia"/>
          <w:bCs/>
          <w:color w:val="FF000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第15节 争议的解决</w:t>
      </w:r>
    </w:p>
    <w:p>
      <w:pPr>
        <w:spacing w:line="500" w:lineRule="exact"/>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本合同履行中如发生争议，双方友好协商解决；协商解决不成，可向甲方所在地人民法院起诉。</w:t>
      </w:r>
    </w:p>
    <w:p>
      <w:pPr>
        <w:spacing w:line="500" w:lineRule="exact"/>
        <w:ind w:firstLine="480" w:firstLineChars="200"/>
        <w:jc w:val="left"/>
        <w:rPr>
          <w:rFonts w:asciiTheme="minorEastAsia" w:hAnsiTheme="minorEastAsia" w:eastAsiaTheme="minorEastAsia" w:cstheme="minorEastAsia"/>
          <w:bCs/>
          <w:sz w:val="24"/>
        </w:rPr>
      </w:pPr>
    </w:p>
    <w:p>
      <w:pPr>
        <w:spacing w:line="50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
          <w:kern w:val="0"/>
          <w:sz w:val="24"/>
        </w:rPr>
        <w:t xml:space="preserve">第16节 </w:t>
      </w:r>
      <w:r>
        <w:rPr>
          <w:rFonts w:hint="eastAsia" w:asciiTheme="minorEastAsia" w:hAnsiTheme="minorEastAsia" w:eastAsiaTheme="minorEastAsia" w:cstheme="minorEastAsia"/>
          <w:b/>
          <w:sz w:val="24"/>
        </w:rPr>
        <w:t>知识产权</w:t>
      </w:r>
    </w:p>
    <w:p>
      <w:pPr>
        <w:spacing w:line="5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      本合同涉及的专利实施许可和技术秘密许可，双方约定如下：无。</w:t>
      </w:r>
    </w:p>
    <w:p>
      <w:pPr>
        <w:spacing w:line="500" w:lineRule="exact"/>
        <w:rPr>
          <w:rFonts w:asciiTheme="minorEastAsia" w:hAnsiTheme="minorEastAsia" w:eastAsiaTheme="minorEastAsia" w:cstheme="minorEastAsia"/>
          <w:bCs/>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 xml:space="preserve">第17节 费用的分担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17.1 双方应当各自承担谈判和订立本合同的相关费用。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17.2 除非本合同下的其他条款另有规定，双方应当各自承担履行本协议下义务的费用。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17.3 除非本合同下的其他条款或附件另有规定外，则乙方应当负责本项目的投资，并承担本项目的方案设计、建设、运行、监测的所有费用，包括项目所需设备、技术购置、更换、维保等费用。</w:t>
      </w:r>
    </w:p>
    <w:p>
      <w:pPr>
        <w:autoSpaceDE w:val="0"/>
        <w:autoSpaceDN w:val="0"/>
        <w:adjustRightInd w:val="0"/>
        <w:spacing w:line="500" w:lineRule="exact"/>
        <w:ind w:firstLine="420"/>
        <w:rPr>
          <w:rFonts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 xml:space="preserve">  第18节 合同的生效及其他 </w:t>
      </w:r>
    </w:p>
    <w:p>
      <w:pPr>
        <w:autoSpaceDE w:val="0"/>
        <w:autoSpaceDN w:val="0"/>
        <w:adjustRightInd w:val="0"/>
        <w:spacing w:line="500" w:lineRule="exact"/>
        <w:ind w:firstLine="420"/>
        <w:outlineLvl w:val="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18.1 甲乙双方应指定具体的项目联系人负责合同的履行，一方变更项目联系人的，应在3日内以书面形式通知另一方。未及时通知并影响本合同履行或造成损失的，应承担相应的责任。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18.2 本合同下的通知应当用专人递交、挂号信、快递、微信、传真或者电子邮件的方式发送至本合同所列的地址和联系人。如该通知以口头发出，则应尽快的在合理的时间内以书面方式向对方确认。如一方联系地址改变，则应当尽速书面告知对方。如无其他约定，本合同首页所列的地址即为甲、乙双方的收件地址。</w:t>
      </w:r>
    </w:p>
    <w:p>
      <w:pPr>
        <w:autoSpaceDE w:val="0"/>
        <w:autoSpaceDN w:val="0"/>
        <w:adjustRightInd w:val="0"/>
        <w:spacing w:line="500" w:lineRule="exact"/>
        <w:ind w:firstLine="420"/>
        <w:outlineLvl w:val="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18.3 本合同附件是本合同的一部分，如部分内容与合同正文不一致，</w:t>
      </w:r>
      <w:r>
        <w:rPr>
          <w:rFonts w:hint="eastAsia" w:asciiTheme="minorEastAsia" w:hAnsiTheme="minorEastAsia" w:eastAsiaTheme="minorEastAsia" w:cstheme="minorEastAsia"/>
          <w:sz w:val="24"/>
        </w:rPr>
        <w:t>优先适用合同附件的规定</w:t>
      </w:r>
      <w:r>
        <w:rPr>
          <w:rFonts w:hint="eastAsia" w:asciiTheme="minorEastAsia" w:hAnsiTheme="minorEastAsia" w:eastAsiaTheme="minorEastAsia" w:cstheme="minorEastAsia"/>
          <w:kern w:val="0"/>
          <w:sz w:val="24"/>
        </w:rPr>
        <w:t>，经甲、乙双方的工作人员共同确认的合同附件和测试数据等，与本合同具有同等的法律效力。</w:t>
      </w:r>
    </w:p>
    <w:p>
      <w:pPr>
        <w:autoSpaceDE w:val="0"/>
        <w:autoSpaceDN w:val="0"/>
        <w:adjustRightInd w:val="0"/>
        <w:spacing w:line="500" w:lineRule="exact"/>
        <w:ind w:firstLine="420"/>
        <w:outlineLvl w:val="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18.4 </w:t>
      </w:r>
      <w:r>
        <w:rPr>
          <w:rFonts w:hint="eastAsia" w:asciiTheme="minorEastAsia" w:hAnsiTheme="minorEastAsia" w:eastAsiaTheme="minorEastAsia" w:cstheme="minorEastAsia"/>
          <w:bCs/>
          <w:sz w:val="24"/>
        </w:rPr>
        <w:t>本合同的修改应采取书面方式。</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18.5 本合同自双方授权代表签署之日起生效。合同文本一式陆份，具有同等法律效力，甲乙双方各执叁份。</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本合同必要的附件包括以下9项：</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附件1</w:t>
      </w:r>
      <w:r>
        <w:rPr>
          <w:rFonts w:asciiTheme="minorEastAsia" w:hAnsiTheme="minorEastAsia" w:eastAsiaTheme="minorEastAsia" w:cstheme="minorEastAsia"/>
          <w:bCs/>
          <w:kern w:val="0"/>
          <w:sz w:val="24"/>
        </w:rPr>
        <w:t>.</w:t>
      </w:r>
      <w:r>
        <w:rPr>
          <w:rFonts w:hint="eastAsia" w:asciiTheme="minorEastAsia" w:hAnsiTheme="minorEastAsia" w:eastAsiaTheme="minorEastAsia" w:cstheme="minorEastAsia"/>
          <w:bCs/>
          <w:kern w:val="0"/>
          <w:sz w:val="24"/>
        </w:rPr>
        <w:t xml:space="preserve">  项目内容和边界条件</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附件2</w:t>
      </w:r>
      <w:r>
        <w:rPr>
          <w:rFonts w:asciiTheme="minorEastAsia" w:hAnsiTheme="minorEastAsia" w:eastAsiaTheme="minorEastAsia" w:cstheme="minorEastAsia"/>
          <w:bCs/>
          <w:kern w:val="0"/>
          <w:sz w:val="24"/>
        </w:rPr>
        <w:t>.</w:t>
      </w:r>
      <w:r>
        <w:rPr>
          <w:rFonts w:hint="eastAsia" w:asciiTheme="minorEastAsia" w:hAnsiTheme="minorEastAsia" w:eastAsiaTheme="minorEastAsia" w:cstheme="minorEastAsia"/>
          <w:bCs/>
          <w:kern w:val="0"/>
          <w:sz w:val="24"/>
        </w:rPr>
        <w:t xml:space="preserve">  能耗基准、项目节能目标预测及电网电价调整方式</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附件3.节能量测量及节能效益分成计算</w:t>
      </w:r>
    </w:p>
    <w:p>
      <w:pPr>
        <w:autoSpaceDE w:val="0"/>
        <w:autoSpaceDN w:val="0"/>
        <w:adjustRightInd w:val="0"/>
        <w:spacing w:line="500" w:lineRule="exact"/>
        <w:ind w:firstLine="480" w:firstLineChars="200"/>
        <w:jc w:val="left"/>
        <w:outlineLvl w:val="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附件4.节能量确认单及付款申请表</w:t>
      </w:r>
    </w:p>
    <w:p>
      <w:pPr>
        <w:autoSpaceDE w:val="0"/>
        <w:autoSpaceDN w:val="0"/>
        <w:adjustRightInd w:val="0"/>
        <w:spacing w:line="500" w:lineRule="exact"/>
        <w:ind w:firstLine="480" w:firstLineChars="200"/>
        <w:jc w:val="left"/>
        <w:outlineLvl w:val="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附件5. 项目验收程序和标准</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附件6. 施工条件约定</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附件7. 项目投资分担方案</w:t>
      </w:r>
    </w:p>
    <w:p>
      <w:pPr>
        <w:spacing w:line="500" w:lineRule="exact"/>
        <w:ind w:firstLine="480" w:firstLineChars="200"/>
        <w:jc w:val="left"/>
        <w:outlineLvl w:val="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sz w:val="24"/>
        </w:rPr>
        <w:t xml:space="preserve">附件8. </w:t>
      </w:r>
      <w:r>
        <w:rPr>
          <w:rFonts w:hint="eastAsia" w:asciiTheme="minorEastAsia" w:hAnsiTheme="minorEastAsia" w:eastAsiaTheme="minorEastAsia" w:cstheme="minorEastAsia"/>
          <w:bCs/>
          <w:kern w:val="0"/>
          <w:sz w:val="24"/>
        </w:rPr>
        <w:t>设备故障处理约定</w:t>
      </w:r>
    </w:p>
    <w:p>
      <w:pPr>
        <w:autoSpaceDE w:val="0"/>
        <w:autoSpaceDN w:val="0"/>
        <w:adjustRightInd w:val="0"/>
        <w:spacing w:line="500" w:lineRule="exact"/>
        <w:ind w:firstLine="480" w:firstLineChars="200"/>
        <w:jc w:val="left"/>
        <w:outlineLvl w:val="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附件9. 空调服务内容</w:t>
      </w:r>
    </w:p>
    <w:p>
      <w:pPr>
        <w:autoSpaceDE w:val="0"/>
        <w:autoSpaceDN w:val="0"/>
        <w:adjustRightInd w:val="0"/>
        <w:spacing w:line="500" w:lineRule="exact"/>
        <w:ind w:firstLine="480" w:firstLineChars="200"/>
        <w:jc w:val="left"/>
        <w:outlineLvl w:val="0"/>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附件10.其他约定</w:t>
      </w:r>
    </w:p>
    <w:p>
      <w:pPr>
        <w:autoSpaceDE w:val="0"/>
        <w:autoSpaceDN w:val="0"/>
        <w:adjustRightInd w:val="0"/>
        <w:spacing w:line="500" w:lineRule="exact"/>
        <w:ind w:firstLine="480" w:firstLineChars="200"/>
        <w:jc w:val="left"/>
        <w:outlineLvl w:val="0"/>
        <w:rPr>
          <w:rFonts w:hint="default" w:asciiTheme="minorEastAsia" w:hAnsiTheme="minorEastAsia" w:eastAsiaTheme="minorEastAsia" w:cstheme="minorEastAsia"/>
          <w:b w:val="0"/>
          <w:bCs/>
          <w:kern w:val="0"/>
          <w:sz w:val="24"/>
          <w:lang w:val="en-US" w:eastAsia="zh-CN"/>
        </w:rPr>
      </w:pPr>
      <w:r>
        <w:rPr>
          <w:rFonts w:hint="eastAsia" w:asciiTheme="minorEastAsia" w:hAnsiTheme="minorEastAsia" w:eastAsiaTheme="minorEastAsia" w:cstheme="minorEastAsia"/>
          <w:bCs/>
          <w:kern w:val="0"/>
          <w:sz w:val="24"/>
          <w:lang w:val="en-US" w:eastAsia="zh-CN"/>
        </w:rPr>
        <w:t>附件11.</w:t>
      </w:r>
      <w:r>
        <w:rPr>
          <w:rFonts w:hint="eastAsia" w:ascii="宋体" w:hAnsi="宋体" w:cs="宋体"/>
          <w:b w:val="0"/>
          <w:bCs/>
          <w:kern w:val="0"/>
          <w:szCs w:val="21"/>
        </w:rPr>
        <w:t>中央空调系统设备保养项目</w:t>
      </w:r>
    </w:p>
    <w:p>
      <w:pPr>
        <w:autoSpaceDE w:val="0"/>
        <w:autoSpaceDN w:val="0"/>
        <w:adjustRightInd w:val="0"/>
        <w:spacing w:line="500" w:lineRule="exact"/>
        <w:ind w:firstLine="480" w:firstLineChars="200"/>
        <w:jc w:val="left"/>
        <w:outlineLvl w:val="0"/>
        <w:rPr>
          <w:rFonts w:asciiTheme="minorEastAsia" w:hAnsiTheme="minorEastAsia" w:eastAsiaTheme="minorEastAsia" w:cstheme="minorEastAsia"/>
          <w:bCs/>
          <w:kern w:val="0"/>
          <w:sz w:val="24"/>
        </w:rPr>
      </w:pPr>
    </w:p>
    <w:p>
      <w:pPr>
        <w:autoSpaceDE w:val="0"/>
        <w:autoSpaceDN w:val="0"/>
        <w:adjustRightInd w:val="0"/>
        <w:spacing w:line="360" w:lineRule="auto"/>
        <w:ind w:firstLine="964" w:firstLineChars="4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甲方（盖章）：                                乙方（盖章）：</w:t>
      </w:r>
    </w:p>
    <w:p>
      <w:pPr>
        <w:autoSpaceDE w:val="0"/>
        <w:autoSpaceDN w:val="0"/>
        <w:adjustRightInd w:val="0"/>
        <w:spacing w:line="360" w:lineRule="auto"/>
        <w:ind w:firstLine="354" w:firstLineChars="147"/>
        <w:rPr>
          <w:rFonts w:asciiTheme="minorEastAsia" w:hAnsiTheme="minorEastAsia" w:eastAsiaTheme="minorEastAsia" w:cstheme="minorEastAsia"/>
          <w:b/>
          <w:kern w:val="0"/>
          <w:sz w:val="24"/>
        </w:rPr>
      </w:pPr>
    </w:p>
    <w:p>
      <w:pPr>
        <w:autoSpaceDE w:val="0"/>
        <w:autoSpaceDN w:val="0"/>
        <w:adjustRightInd w:val="0"/>
        <w:spacing w:line="360" w:lineRule="auto"/>
        <w:ind w:firstLine="964" w:firstLineChars="4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授权代表签字：                                授权代表签字：</w:t>
      </w:r>
    </w:p>
    <w:p>
      <w:pPr>
        <w:autoSpaceDE w:val="0"/>
        <w:autoSpaceDN w:val="0"/>
        <w:adjustRightInd w:val="0"/>
        <w:spacing w:line="360" w:lineRule="auto"/>
        <w:ind w:firstLine="1077" w:firstLineChars="447"/>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签署日期：                                    签署日期：</w:t>
      </w:r>
    </w:p>
    <w:p>
      <w:pPr>
        <w:autoSpaceDE w:val="0"/>
        <w:autoSpaceDN w:val="0"/>
        <w:adjustRightInd w:val="0"/>
        <w:spacing w:line="360" w:lineRule="auto"/>
        <w:ind w:firstLine="1077" w:firstLineChars="447"/>
        <w:jc w:val="left"/>
        <w:rPr>
          <w:rFonts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asciiTheme="minorEastAsia" w:hAnsiTheme="minorEastAsia" w:eastAsiaTheme="minorEastAsia" w:cstheme="minorEastAsia"/>
          <w:b/>
          <w:kern w:val="0"/>
          <w:sz w:val="24"/>
        </w:rPr>
      </w:pPr>
    </w:p>
    <w:p>
      <w:pPr>
        <w:autoSpaceDE w:val="0"/>
        <w:autoSpaceDN w:val="0"/>
        <w:adjustRightInd w:val="0"/>
        <w:spacing w:line="360" w:lineRule="auto"/>
        <w:jc w:val="left"/>
        <w:rPr>
          <w:rFonts w:asciiTheme="minorEastAsia" w:hAnsiTheme="minorEastAsia" w:eastAsiaTheme="minorEastAsia" w:cstheme="minorEastAsia"/>
          <w:b/>
          <w:kern w:val="0"/>
          <w:sz w:val="24"/>
        </w:rPr>
      </w:pPr>
    </w:p>
    <w:p>
      <w:pPr>
        <w:widowControl/>
        <w:jc w:val="left"/>
        <w:rPr>
          <w:rFonts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附件1   项目内容和边界条件</w:t>
      </w:r>
    </w:p>
    <w:p>
      <w:pPr>
        <w:autoSpaceDE w:val="0"/>
        <w:autoSpaceDN w:val="0"/>
        <w:adjustRightInd w:val="0"/>
        <w:spacing w:line="360" w:lineRule="auto"/>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 xml:space="preserve">     </w:t>
      </w:r>
      <w:r>
        <w:rPr>
          <w:rFonts w:hint="eastAsia" w:asciiTheme="minorEastAsia" w:hAnsiTheme="minorEastAsia" w:eastAsiaTheme="minorEastAsia" w:cstheme="minorEastAsia"/>
          <w:b/>
          <w:kern w:val="0"/>
          <w:sz w:val="24"/>
          <w:lang w:eastAsia="zh-CN"/>
        </w:rPr>
        <w:t>一、</w:t>
      </w:r>
      <w:r>
        <w:rPr>
          <w:rFonts w:hint="eastAsia" w:asciiTheme="minorEastAsia" w:hAnsiTheme="minorEastAsia" w:eastAsiaTheme="minorEastAsia" w:cstheme="minorEastAsia"/>
          <w:b/>
          <w:kern w:val="0"/>
          <w:sz w:val="24"/>
        </w:rPr>
        <w:t>项目内容：</w:t>
      </w:r>
    </w:p>
    <w:p>
      <w:pPr>
        <w:numPr>
          <w:ilvl w:val="0"/>
          <w:numId w:val="0"/>
        </w:numPr>
        <w:autoSpaceDE w:val="0"/>
        <w:autoSpaceDN w:val="0"/>
        <w:adjustRightInd w:val="0"/>
        <w:spacing w:line="360" w:lineRule="auto"/>
        <w:ind w:left="630" w:leftChars="0"/>
        <w:rPr>
          <w:rFonts w:hint="eastAsia" w:asciiTheme="minorEastAsia" w:hAnsiTheme="minorEastAsia" w:eastAsiaTheme="minorEastAsia" w:cstheme="minorEastAsia"/>
          <w:kern w:val="0"/>
          <w:sz w:val="24"/>
          <w:lang w:eastAsia="zh-CN"/>
        </w:rPr>
      </w:pPr>
      <w:r>
        <w:rPr>
          <w:rFonts w:hint="eastAsia" w:asciiTheme="minorEastAsia" w:hAnsiTheme="minorEastAsia" w:eastAsiaTheme="minorEastAsia" w:cstheme="minorEastAsia"/>
          <w:kern w:val="0"/>
          <w:sz w:val="24"/>
          <w:lang w:eastAsia="zh-CN"/>
        </w:rPr>
        <w:t>（一）</w:t>
      </w:r>
      <w:r>
        <w:rPr>
          <w:rFonts w:hint="eastAsia" w:asciiTheme="minorEastAsia" w:hAnsiTheme="minorEastAsia" w:eastAsiaTheme="minorEastAsia" w:cstheme="minorEastAsia"/>
          <w:kern w:val="0"/>
          <w:sz w:val="24"/>
        </w:rPr>
        <w:t>合肥百货大楼集团蚌埠百货大楼有限责任公司具体要求如下</w:t>
      </w:r>
      <w:r>
        <w:rPr>
          <w:rFonts w:hint="eastAsia" w:asciiTheme="minorEastAsia" w:hAnsiTheme="minorEastAsia" w:eastAsiaTheme="minorEastAsia" w:cstheme="minorEastAsia"/>
          <w:kern w:val="0"/>
          <w:sz w:val="24"/>
          <w:lang w:eastAsia="zh-CN"/>
        </w:rPr>
        <w:t>：</w:t>
      </w:r>
    </w:p>
    <w:p>
      <w:pPr>
        <w:spacing w:line="520" w:lineRule="exact"/>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1.</w:t>
      </w:r>
      <w:r>
        <w:rPr>
          <w:rFonts w:hint="eastAsia" w:asciiTheme="minorEastAsia" w:hAnsiTheme="minorEastAsia" w:eastAsiaTheme="minorEastAsia" w:cstheme="minorEastAsia"/>
          <w:sz w:val="24"/>
        </w:rPr>
        <w:t>为使商场达到更好的舒适性要求，更好的满足招标范围内的中央空调系统供应（制冷和采暖），要求投入一台或多台全新的磁悬浮空调主机，参数及技术要求如下：</w:t>
      </w:r>
    </w:p>
    <w:tbl>
      <w:tblPr>
        <w:tblStyle w:val="27"/>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369"/>
        <w:gridCol w:w="857"/>
        <w:gridCol w:w="1227"/>
        <w:gridCol w:w="4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167" w:type="dxa"/>
            <w:gridSpan w:val="4"/>
            <w:vAlign w:val="center"/>
          </w:tcPr>
          <w:p>
            <w:pPr>
              <w:widowControl/>
              <w:rPr>
                <w:rFonts w:ascii="宋体" w:hAnsi="宋体" w:cs="宋体"/>
                <w:color w:val="000000"/>
                <w:kern w:val="0"/>
                <w:sz w:val="24"/>
              </w:rPr>
            </w:pPr>
            <w:r>
              <w:rPr>
                <w:rFonts w:hint="eastAsia" w:ascii="宋体" w:hAnsi="宋体" w:cs="宋体"/>
                <w:color w:val="000000"/>
                <w:kern w:val="0"/>
                <w:sz w:val="24"/>
              </w:rPr>
              <w:t xml:space="preserve">设备名称         </w:t>
            </w:r>
          </w:p>
        </w:tc>
        <w:tc>
          <w:tcPr>
            <w:tcW w:w="443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磁悬浮离心机组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167" w:type="dxa"/>
            <w:gridSpan w:val="4"/>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压缩机</w:t>
            </w:r>
            <w:r>
              <w:rPr>
                <w:rFonts w:hint="eastAsia" w:ascii="宋体" w:hAnsi="宋体" w:cs="宋体"/>
                <w:color w:val="000000"/>
                <w:kern w:val="0"/>
                <w:sz w:val="24"/>
                <w:lang w:eastAsia="zh-CN"/>
              </w:rPr>
              <w:t>推荐</w:t>
            </w:r>
            <w:r>
              <w:rPr>
                <w:rFonts w:hint="eastAsia" w:ascii="宋体" w:hAnsi="宋体" w:cs="宋体"/>
                <w:color w:val="000000"/>
                <w:kern w:val="0"/>
                <w:sz w:val="24"/>
              </w:rPr>
              <w:t>品牌</w:t>
            </w:r>
          </w:p>
        </w:tc>
        <w:tc>
          <w:tcPr>
            <w:tcW w:w="4432" w:type="dxa"/>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丹佛斯</w:t>
            </w:r>
            <w:r>
              <w:rPr>
                <w:rFonts w:hint="eastAsia" w:ascii="宋体" w:hAnsi="宋体" w:cs="宋体"/>
                <w:color w:val="000000"/>
                <w:kern w:val="0"/>
                <w:sz w:val="24"/>
                <w:lang w:eastAsia="zh-CN"/>
              </w:rPr>
              <w:t>、</w:t>
            </w:r>
            <w:r>
              <w:rPr>
                <w:rFonts w:hint="eastAsia" w:ascii="宋体" w:hAnsi="宋体" w:cs="宋体"/>
                <w:color w:val="000000"/>
                <w:kern w:val="0"/>
                <w:sz w:val="24"/>
              </w:rPr>
              <w:t>比泽尔</w:t>
            </w:r>
            <w:r>
              <w:rPr>
                <w:rFonts w:hint="eastAsia" w:ascii="宋体" w:hAnsi="宋体" w:cs="宋体"/>
                <w:color w:val="000000"/>
                <w:kern w:val="0"/>
                <w:sz w:val="24"/>
                <w:lang w:eastAsia="zh-CN"/>
              </w:rPr>
              <w:t>、</w:t>
            </w:r>
            <w:r>
              <w:rPr>
                <w:rFonts w:hint="eastAsia" w:ascii="宋体" w:hAnsi="宋体" w:cs="宋体"/>
                <w:color w:val="000000"/>
                <w:kern w:val="0"/>
                <w:sz w:val="24"/>
              </w:rPr>
              <w:t>谷轮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714" w:type="dxa"/>
            <w:vAlign w:val="center"/>
          </w:tcPr>
          <w:p>
            <w:pPr>
              <w:jc w:val="left"/>
              <w:rPr>
                <w:rFonts w:ascii="宋体" w:hAnsi="宋体" w:cs="宋体"/>
                <w:color w:val="000000"/>
                <w:kern w:val="0"/>
                <w:sz w:val="24"/>
              </w:rPr>
            </w:pPr>
            <w:r>
              <w:rPr>
                <w:rFonts w:hint="eastAsia" w:ascii="宋体" w:hAnsi="宋体" w:cs="宋体"/>
                <w:color w:val="000000"/>
                <w:kern w:val="0"/>
                <w:sz w:val="24"/>
              </w:rPr>
              <w:t>制冷量</w:t>
            </w:r>
          </w:p>
        </w:tc>
        <w:tc>
          <w:tcPr>
            <w:tcW w:w="2453" w:type="dxa"/>
            <w:gridSpan w:val="3"/>
            <w:vAlign w:val="center"/>
          </w:tcPr>
          <w:p>
            <w:pPr>
              <w:jc w:val="left"/>
              <w:rPr>
                <w:rFonts w:ascii="宋体" w:hAnsi="宋体" w:cs="宋体"/>
                <w:color w:val="000000"/>
                <w:kern w:val="0"/>
                <w:sz w:val="24"/>
              </w:rPr>
            </w:pPr>
            <w:r>
              <w:rPr>
                <w:rFonts w:hint="eastAsia" w:ascii="宋体" w:hAnsi="宋体" w:cs="宋体"/>
                <w:color w:val="000000"/>
                <w:kern w:val="0"/>
                <w:sz w:val="24"/>
              </w:rPr>
              <w:t>kW</w:t>
            </w:r>
          </w:p>
        </w:tc>
        <w:tc>
          <w:tcPr>
            <w:tcW w:w="4432" w:type="dxa"/>
          </w:tcPr>
          <w:p>
            <w:pPr>
              <w:widowControl/>
              <w:jc w:val="center"/>
              <w:rPr>
                <w:rFonts w:ascii="宋体" w:hAnsi="宋体" w:cs="宋体"/>
                <w:color w:val="000000"/>
                <w:kern w:val="0"/>
                <w:sz w:val="24"/>
              </w:rPr>
            </w:pPr>
            <w:r>
              <w:rPr>
                <w:rFonts w:hint="eastAsia" w:ascii="宋体" w:hAnsi="宋体" w:cs="宋体"/>
                <w:color w:val="000000"/>
                <w:kern w:val="0"/>
                <w:sz w:val="24"/>
              </w:rPr>
              <w:t>≥1040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167" w:type="dxa"/>
            <w:gridSpan w:val="4"/>
            <w:vAlign w:val="center"/>
          </w:tcPr>
          <w:p>
            <w:pPr>
              <w:widowControl/>
              <w:jc w:val="left"/>
              <w:rPr>
                <w:rFonts w:ascii="宋体" w:hAnsi="宋体" w:cs="宋体"/>
                <w:color w:val="000000"/>
                <w:kern w:val="0"/>
                <w:sz w:val="24"/>
              </w:rPr>
            </w:pPr>
            <w:r>
              <w:rPr>
                <w:rFonts w:hint="eastAsia" w:ascii="宋体" w:hAnsi="宋体" w:cs="宋体"/>
                <w:color w:val="000000"/>
                <w:kern w:val="0"/>
                <w:sz w:val="24"/>
              </w:rPr>
              <w:t>COP</w:t>
            </w:r>
          </w:p>
        </w:tc>
        <w:tc>
          <w:tcPr>
            <w:tcW w:w="4432" w:type="dxa"/>
          </w:tcPr>
          <w:p>
            <w:pPr>
              <w:widowControl/>
              <w:jc w:val="center"/>
              <w:rPr>
                <w:rFonts w:ascii="宋体" w:hAnsi="宋体" w:cs="宋体"/>
                <w:color w:val="000000"/>
                <w:kern w:val="0"/>
                <w:sz w:val="24"/>
              </w:rPr>
            </w:pPr>
            <w:r>
              <w:rPr>
                <w:rFonts w:hint="eastAsia" w:ascii="宋体" w:hAnsi="宋体" w:cs="宋体"/>
                <w:color w:val="000000"/>
                <w:kern w:val="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167" w:type="dxa"/>
            <w:gridSpan w:val="4"/>
            <w:vAlign w:val="center"/>
          </w:tcPr>
          <w:p>
            <w:pPr>
              <w:widowControl/>
              <w:jc w:val="left"/>
              <w:rPr>
                <w:rFonts w:ascii="宋体" w:hAnsi="宋体" w:cs="宋体"/>
                <w:color w:val="000000"/>
                <w:kern w:val="0"/>
                <w:sz w:val="24"/>
              </w:rPr>
            </w:pPr>
            <w:r>
              <w:rPr>
                <w:rFonts w:hint="eastAsia" w:ascii="宋体" w:hAnsi="宋体" w:cs="宋体"/>
                <w:color w:val="000000"/>
                <w:kern w:val="0"/>
                <w:sz w:val="24"/>
              </w:rPr>
              <w:t>IPLV</w:t>
            </w:r>
          </w:p>
        </w:tc>
        <w:tc>
          <w:tcPr>
            <w:tcW w:w="4432" w:type="dxa"/>
          </w:tcPr>
          <w:p>
            <w:pPr>
              <w:widowControl/>
              <w:jc w:val="center"/>
              <w:rPr>
                <w:rFonts w:ascii="宋体" w:hAnsi="宋体" w:cs="宋体"/>
                <w:color w:val="000000"/>
                <w:kern w:val="0"/>
                <w:sz w:val="24"/>
              </w:rPr>
            </w:pPr>
            <w:r>
              <w:rPr>
                <w:rFonts w:hint="eastAsia" w:ascii="宋体" w:hAnsi="宋体" w:cs="宋体"/>
                <w:color w:val="000000"/>
                <w:kern w:val="0"/>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714" w:type="dxa"/>
            <w:vAlign w:val="center"/>
          </w:tcPr>
          <w:p>
            <w:pPr>
              <w:widowControl/>
              <w:rPr>
                <w:rFonts w:ascii="宋体" w:hAnsi="宋体" w:cs="宋体"/>
                <w:color w:val="000000"/>
                <w:kern w:val="0"/>
                <w:sz w:val="24"/>
              </w:rPr>
            </w:pPr>
            <w:r>
              <w:rPr>
                <w:rFonts w:hint="eastAsia" w:ascii="宋体" w:hAnsi="宋体" w:cs="宋体"/>
                <w:color w:val="000000"/>
                <w:kern w:val="0"/>
                <w:sz w:val="24"/>
              </w:rPr>
              <w:t>蒸发器</w:t>
            </w:r>
          </w:p>
        </w:tc>
        <w:tc>
          <w:tcPr>
            <w:tcW w:w="1226" w:type="dxa"/>
            <w:gridSpan w:val="2"/>
            <w:vAlign w:val="center"/>
          </w:tcPr>
          <w:p>
            <w:pPr>
              <w:widowControl/>
              <w:jc w:val="left"/>
              <w:rPr>
                <w:rFonts w:ascii="宋体" w:hAnsi="宋体" w:cs="宋体"/>
                <w:color w:val="000000"/>
                <w:kern w:val="0"/>
                <w:sz w:val="24"/>
              </w:rPr>
            </w:pPr>
            <w:r>
              <w:rPr>
                <w:rFonts w:hint="eastAsia" w:ascii="宋体" w:hAnsi="宋体" w:cs="宋体"/>
                <w:color w:val="000000"/>
                <w:kern w:val="0"/>
                <w:sz w:val="24"/>
              </w:rPr>
              <w:t>压力损失</w:t>
            </w:r>
          </w:p>
        </w:tc>
        <w:tc>
          <w:tcPr>
            <w:tcW w:w="1227" w:type="dxa"/>
            <w:vAlign w:val="center"/>
          </w:tcPr>
          <w:p>
            <w:pPr>
              <w:widowControl/>
              <w:jc w:val="left"/>
              <w:rPr>
                <w:rFonts w:ascii="宋体" w:hAnsi="宋体" w:cs="宋体"/>
                <w:color w:val="000000"/>
                <w:kern w:val="0"/>
                <w:sz w:val="24"/>
              </w:rPr>
            </w:pPr>
            <w:r>
              <w:rPr>
                <w:rFonts w:hint="eastAsia" w:ascii="宋体" w:hAnsi="宋体" w:cs="宋体"/>
                <w:color w:val="000000"/>
                <w:kern w:val="0"/>
                <w:sz w:val="24"/>
              </w:rPr>
              <w:t>kPa</w:t>
            </w:r>
          </w:p>
        </w:tc>
        <w:tc>
          <w:tcPr>
            <w:tcW w:w="4432" w:type="dxa"/>
          </w:tcPr>
          <w:p>
            <w:pPr>
              <w:widowControl/>
              <w:jc w:val="center"/>
              <w:rPr>
                <w:rFonts w:ascii="宋体" w:hAnsi="宋体" w:cs="宋体"/>
                <w:color w:val="000000"/>
                <w:kern w:val="0"/>
                <w:sz w:val="24"/>
              </w:rPr>
            </w:pPr>
            <w:r>
              <w:rPr>
                <w:rFonts w:hint="eastAsia" w:ascii="宋体" w:hAnsi="宋体" w:cs="宋体"/>
                <w:color w:val="000000"/>
                <w:kern w:val="0"/>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714" w:type="dxa"/>
            <w:vAlign w:val="center"/>
          </w:tcPr>
          <w:p>
            <w:pPr>
              <w:widowControl/>
              <w:rPr>
                <w:rFonts w:ascii="宋体" w:hAnsi="宋体" w:cs="宋体"/>
                <w:color w:val="000000"/>
                <w:kern w:val="0"/>
                <w:sz w:val="24"/>
              </w:rPr>
            </w:pPr>
            <w:r>
              <w:rPr>
                <w:rFonts w:hint="eastAsia" w:ascii="宋体" w:hAnsi="宋体" w:cs="宋体"/>
                <w:color w:val="000000"/>
                <w:kern w:val="0"/>
                <w:sz w:val="24"/>
              </w:rPr>
              <w:t>冷凝器</w:t>
            </w:r>
          </w:p>
        </w:tc>
        <w:tc>
          <w:tcPr>
            <w:tcW w:w="1226" w:type="dxa"/>
            <w:gridSpan w:val="2"/>
            <w:vAlign w:val="center"/>
          </w:tcPr>
          <w:p>
            <w:pPr>
              <w:widowControl/>
              <w:jc w:val="left"/>
              <w:rPr>
                <w:rFonts w:ascii="宋体" w:hAnsi="宋体" w:cs="宋体"/>
                <w:color w:val="000000"/>
                <w:kern w:val="0"/>
                <w:sz w:val="24"/>
              </w:rPr>
            </w:pPr>
            <w:r>
              <w:rPr>
                <w:rFonts w:hint="eastAsia" w:ascii="宋体" w:hAnsi="宋体" w:cs="宋体"/>
                <w:color w:val="000000"/>
                <w:kern w:val="0"/>
                <w:sz w:val="24"/>
              </w:rPr>
              <w:t>压力损失</w:t>
            </w:r>
          </w:p>
        </w:tc>
        <w:tc>
          <w:tcPr>
            <w:tcW w:w="1227" w:type="dxa"/>
            <w:vAlign w:val="center"/>
          </w:tcPr>
          <w:p>
            <w:pPr>
              <w:widowControl/>
              <w:jc w:val="left"/>
              <w:rPr>
                <w:rFonts w:ascii="宋体" w:hAnsi="宋体" w:cs="宋体"/>
                <w:color w:val="000000"/>
                <w:kern w:val="0"/>
                <w:sz w:val="24"/>
              </w:rPr>
            </w:pPr>
            <w:r>
              <w:rPr>
                <w:rFonts w:hint="eastAsia" w:ascii="宋体" w:hAnsi="宋体" w:cs="宋体"/>
                <w:color w:val="000000"/>
                <w:kern w:val="0"/>
                <w:sz w:val="24"/>
              </w:rPr>
              <w:t>kPa</w:t>
            </w:r>
          </w:p>
        </w:tc>
        <w:tc>
          <w:tcPr>
            <w:tcW w:w="4432" w:type="dxa"/>
          </w:tcPr>
          <w:p>
            <w:pPr>
              <w:widowControl/>
              <w:jc w:val="center"/>
              <w:rPr>
                <w:rFonts w:ascii="宋体" w:hAnsi="宋体" w:cs="宋体"/>
                <w:color w:val="000000"/>
                <w:kern w:val="0"/>
                <w:sz w:val="24"/>
              </w:rPr>
            </w:pPr>
            <w:r>
              <w:rPr>
                <w:rFonts w:hint="eastAsia" w:ascii="宋体" w:hAnsi="宋体" w:cs="宋体"/>
                <w:color w:val="000000"/>
                <w:kern w:val="0"/>
                <w:sz w:val="24"/>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3" w:type="dxa"/>
            <w:gridSpan w:val="2"/>
            <w:vAlign w:val="center"/>
          </w:tcPr>
          <w:p>
            <w:pPr>
              <w:widowControl/>
              <w:jc w:val="left"/>
              <w:rPr>
                <w:rFonts w:ascii="宋体" w:hAnsi="宋体" w:cs="宋体"/>
                <w:color w:val="000000"/>
                <w:kern w:val="0"/>
                <w:sz w:val="24"/>
              </w:rPr>
            </w:pPr>
            <w:r>
              <w:rPr>
                <w:rFonts w:hint="eastAsia" w:ascii="宋体" w:hAnsi="宋体" w:cs="宋体"/>
                <w:color w:val="000000"/>
                <w:kern w:val="0"/>
                <w:sz w:val="24"/>
              </w:rPr>
              <w:t xml:space="preserve">输入功率      </w:t>
            </w:r>
          </w:p>
        </w:tc>
        <w:tc>
          <w:tcPr>
            <w:tcW w:w="2084" w:type="dxa"/>
            <w:gridSpan w:val="2"/>
            <w:vAlign w:val="center"/>
          </w:tcPr>
          <w:p>
            <w:pPr>
              <w:widowControl/>
              <w:jc w:val="left"/>
              <w:rPr>
                <w:rFonts w:ascii="宋体" w:hAnsi="宋体" w:cs="宋体"/>
                <w:color w:val="000000"/>
                <w:kern w:val="0"/>
                <w:sz w:val="24"/>
              </w:rPr>
            </w:pPr>
            <w:r>
              <w:rPr>
                <w:rFonts w:hint="eastAsia" w:ascii="宋体" w:hAnsi="宋体" w:cs="宋体"/>
                <w:color w:val="000000"/>
                <w:kern w:val="0"/>
                <w:sz w:val="24"/>
              </w:rPr>
              <w:t>kW</w:t>
            </w:r>
          </w:p>
        </w:tc>
        <w:tc>
          <w:tcPr>
            <w:tcW w:w="4432" w:type="dxa"/>
          </w:tcPr>
          <w:p>
            <w:pPr>
              <w:widowControl/>
              <w:jc w:val="center"/>
              <w:rPr>
                <w:rFonts w:ascii="宋体" w:hAnsi="宋体" w:cs="宋体"/>
                <w:color w:val="000000"/>
                <w:kern w:val="0"/>
                <w:sz w:val="24"/>
              </w:rPr>
            </w:pPr>
            <w:r>
              <w:rPr>
                <w:rFonts w:hint="eastAsia" w:ascii="宋体" w:hAnsi="宋体" w:cs="宋体"/>
                <w:color w:val="000000"/>
                <w:kern w:val="0"/>
                <w:sz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083" w:type="dxa"/>
            <w:gridSpan w:val="2"/>
            <w:vAlign w:val="center"/>
          </w:tcPr>
          <w:p>
            <w:pPr>
              <w:widowControl/>
              <w:jc w:val="left"/>
              <w:rPr>
                <w:rFonts w:ascii="宋体" w:hAnsi="宋体" w:cs="宋体"/>
                <w:color w:val="000000"/>
                <w:kern w:val="0"/>
                <w:sz w:val="24"/>
              </w:rPr>
            </w:pPr>
            <w:r>
              <w:rPr>
                <w:rFonts w:hint="eastAsia" w:ascii="宋体" w:hAnsi="宋体" w:cs="宋体"/>
                <w:color w:val="000000"/>
                <w:kern w:val="0"/>
                <w:sz w:val="24"/>
              </w:rPr>
              <w:t xml:space="preserve">冷水承压      </w:t>
            </w:r>
          </w:p>
        </w:tc>
        <w:tc>
          <w:tcPr>
            <w:tcW w:w="2084" w:type="dxa"/>
            <w:gridSpan w:val="2"/>
            <w:vAlign w:val="center"/>
          </w:tcPr>
          <w:p>
            <w:pPr>
              <w:widowControl/>
              <w:jc w:val="left"/>
              <w:rPr>
                <w:rFonts w:ascii="宋体" w:hAnsi="宋体" w:cs="宋体"/>
                <w:color w:val="000000"/>
                <w:kern w:val="0"/>
                <w:sz w:val="24"/>
              </w:rPr>
            </w:pPr>
            <w:r>
              <w:rPr>
                <w:rFonts w:hint="eastAsia" w:ascii="宋体" w:hAnsi="宋体" w:cs="宋体"/>
                <w:color w:val="000000"/>
                <w:kern w:val="0"/>
                <w:sz w:val="24"/>
              </w:rPr>
              <w:t>MPa</w:t>
            </w:r>
          </w:p>
        </w:tc>
        <w:tc>
          <w:tcPr>
            <w:tcW w:w="443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083" w:type="dxa"/>
            <w:gridSpan w:val="2"/>
            <w:vAlign w:val="center"/>
          </w:tcPr>
          <w:p>
            <w:pPr>
              <w:widowControl/>
              <w:jc w:val="left"/>
              <w:rPr>
                <w:rFonts w:ascii="宋体" w:hAnsi="宋体" w:cs="宋体"/>
                <w:color w:val="000000"/>
                <w:kern w:val="0"/>
                <w:sz w:val="24"/>
              </w:rPr>
            </w:pPr>
            <w:r>
              <w:rPr>
                <w:rFonts w:hint="eastAsia" w:ascii="宋体" w:hAnsi="宋体" w:cs="宋体"/>
                <w:color w:val="000000"/>
                <w:kern w:val="0"/>
                <w:sz w:val="24"/>
              </w:rPr>
              <w:t xml:space="preserve">冷却水承压    </w:t>
            </w:r>
          </w:p>
        </w:tc>
        <w:tc>
          <w:tcPr>
            <w:tcW w:w="2084" w:type="dxa"/>
            <w:gridSpan w:val="2"/>
            <w:vAlign w:val="center"/>
          </w:tcPr>
          <w:p>
            <w:pPr>
              <w:widowControl/>
              <w:jc w:val="left"/>
              <w:rPr>
                <w:rFonts w:ascii="宋体" w:hAnsi="宋体" w:cs="宋体"/>
                <w:color w:val="000000"/>
                <w:kern w:val="0"/>
                <w:sz w:val="24"/>
              </w:rPr>
            </w:pPr>
            <w:r>
              <w:rPr>
                <w:rFonts w:hint="eastAsia" w:ascii="宋体" w:hAnsi="宋体" w:cs="宋体"/>
                <w:color w:val="000000"/>
                <w:kern w:val="0"/>
                <w:sz w:val="24"/>
              </w:rPr>
              <w:t>MPa</w:t>
            </w:r>
          </w:p>
        </w:tc>
        <w:tc>
          <w:tcPr>
            <w:tcW w:w="443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167" w:type="dxa"/>
            <w:gridSpan w:val="4"/>
            <w:vAlign w:val="center"/>
          </w:tcPr>
          <w:p>
            <w:pPr>
              <w:widowControl/>
              <w:jc w:val="left"/>
              <w:rPr>
                <w:rFonts w:ascii="宋体" w:hAnsi="宋体" w:cs="宋体"/>
                <w:color w:val="000000"/>
                <w:kern w:val="0"/>
                <w:sz w:val="24"/>
              </w:rPr>
            </w:pPr>
            <w:r>
              <w:rPr>
                <w:rFonts w:hint="eastAsia" w:ascii="宋体" w:hAnsi="宋体" w:cs="宋体"/>
                <w:color w:val="000000"/>
                <w:kern w:val="0"/>
                <w:sz w:val="24"/>
              </w:rPr>
              <w:t>负荷调节范围</w:t>
            </w:r>
          </w:p>
        </w:tc>
        <w:tc>
          <w:tcPr>
            <w:tcW w:w="443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167" w:type="dxa"/>
            <w:gridSpan w:val="4"/>
            <w:vAlign w:val="center"/>
          </w:tcPr>
          <w:p>
            <w:pPr>
              <w:widowControl/>
              <w:jc w:val="left"/>
              <w:rPr>
                <w:rFonts w:ascii="宋体" w:hAnsi="宋体" w:cs="宋体"/>
                <w:color w:val="000000"/>
                <w:kern w:val="0"/>
                <w:sz w:val="24"/>
              </w:rPr>
            </w:pPr>
            <w:r>
              <w:rPr>
                <w:rFonts w:hint="eastAsia" w:ascii="宋体" w:hAnsi="宋体" w:cs="宋体"/>
                <w:color w:val="000000"/>
                <w:kern w:val="0"/>
                <w:sz w:val="24"/>
              </w:rPr>
              <w:t>空调水进出口温度</w:t>
            </w:r>
          </w:p>
        </w:tc>
        <w:tc>
          <w:tcPr>
            <w:tcW w:w="4432" w:type="dxa"/>
            <w:vAlign w:val="center"/>
          </w:tcPr>
          <w:p>
            <w:pPr>
              <w:widowControl/>
              <w:jc w:val="center"/>
              <w:rPr>
                <w:rFonts w:ascii="宋体" w:hAnsi="宋体" w:cs="宋体"/>
                <w:kern w:val="0"/>
                <w:sz w:val="24"/>
              </w:rPr>
            </w:pPr>
            <w:r>
              <w:rPr>
                <w:rFonts w:hint="eastAsia" w:ascii="宋体" w:hAnsi="宋体" w:cs="宋体"/>
                <w:kern w:val="0"/>
                <w:sz w:val="24"/>
              </w:rPr>
              <w:t>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167" w:type="dxa"/>
            <w:gridSpan w:val="4"/>
            <w:vAlign w:val="center"/>
          </w:tcPr>
          <w:p>
            <w:pPr>
              <w:widowControl/>
              <w:jc w:val="left"/>
              <w:rPr>
                <w:rFonts w:ascii="宋体" w:hAnsi="宋体" w:cs="宋体"/>
                <w:color w:val="000000"/>
                <w:kern w:val="0"/>
                <w:sz w:val="24"/>
              </w:rPr>
            </w:pPr>
            <w:r>
              <w:rPr>
                <w:rFonts w:hint="eastAsia" w:ascii="宋体" w:hAnsi="宋体" w:cs="宋体"/>
                <w:color w:val="000000"/>
                <w:kern w:val="0"/>
                <w:sz w:val="24"/>
              </w:rPr>
              <w:t>冷却水进出口温度</w:t>
            </w:r>
          </w:p>
        </w:tc>
        <w:tc>
          <w:tcPr>
            <w:tcW w:w="4432" w:type="dxa"/>
            <w:vAlign w:val="center"/>
          </w:tcPr>
          <w:p>
            <w:pPr>
              <w:widowControl/>
              <w:jc w:val="center"/>
              <w:rPr>
                <w:rFonts w:ascii="宋体" w:hAnsi="宋体" w:cs="宋体"/>
                <w:kern w:val="0"/>
                <w:sz w:val="24"/>
              </w:rPr>
            </w:pPr>
            <w:r>
              <w:rPr>
                <w:rFonts w:hint="eastAsia" w:ascii="宋体" w:hAnsi="宋体" w:cs="宋体"/>
                <w:kern w:val="0"/>
                <w:sz w:val="24"/>
              </w:rPr>
              <w:t>35/30℃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167" w:type="dxa"/>
            <w:gridSpan w:val="4"/>
            <w:vAlign w:val="center"/>
          </w:tcPr>
          <w:p>
            <w:pPr>
              <w:widowControl/>
              <w:jc w:val="left"/>
              <w:rPr>
                <w:rFonts w:ascii="宋体" w:hAnsi="宋体" w:cs="宋体"/>
                <w:color w:val="000000"/>
                <w:kern w:val="0"/>
                <w:sz w:val="24"/>
              </w:rPr>
            </w:pPr>
            <w:r>
              <w:rPr>
                <w:rFonts w:hint="eastAsia" w:ascii="宋体" w:hAnsi="宋体" w:cs="宋体"/>
                <w:color w:val="000000"/>
                <w:kern w:val="0"/>
                <w:sz w:val="24"/>
              </w:rPr>
              <w:t>能耗要求</w:t>
            </w:r>
          </w:p>
        </w:tc>
        <w:tc>
          <w:tcPr>
            <w:tcW w:w="443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一级能效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167" w:type="dxa"/>
            <w:gridSpan w:val="4"/>
            <w:vAlign w:val="center"/>
          </w:tcPr>
          <w:p>
            <w:pPr>
              <w:widowControl/>
              <w:jc w:val="left"/>
              <w:rPr>
                <w:rFonts w:ascii="宋体" w:hAnsi="宋体" w:cs="宋体"/>
                <w:color w:val="000000"/>
                <w:kern w:val="0"/>
                <w:sz w:val="24"/>
              </w:rPr>
            </w:pPr>
            <w:r>
              <w:rPr>
                <w:rFonts w:hint="eastAsia" w:ascii="宋体" w:hAnsi="宋体" w:cs="宋体"/>
                <w:color w:val="000000"/>
                <w:kern w:val="0"/>
                <w:sz w:val="24"/>
              </w:rPr>
              <w:t>设计使用寿命</w:t>
            </w:r>
          </w:p>
        </w:tc>
        <w:tc>
          <w:tcPr>
            <w:tcW w:w="443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≥30年</w:t>
            </w:r>
          </w:p>
        </w:tc>
      </w:tr>
    </w:tbl>
    <w:p>
      <w:pPr>
        <w:spacing w:line="360" w:lineRule="auto"/>
        <w:ind w:firstLine="480" w:firstLineChars="200"/>
        <w:rPr>
          <w:rFonts w:ascii="宋体" w:hAnsi="宋体" w:cs="仿宋"/>
          <w:sz w:val="24"/>
        </w:rPr>
      </w:pPr>
      <w:r>
        <w:rPr>
          <w:rFonts w:hint="eastAsia" w:ascii="宋体" w:hAnsi="宋体" w:cs="仿宋"/>
          <w:sz w:val="24"/>
          <w:lang w:val="en-US" w:eastAsia="zh-CN"/>
        </w:rPr>
        <w:t>2.</w:t>
      </w:r>
      <w:r>
        <w:rPr>
          <w:rFonts w:hint="eastAsia" w:ascii="宋体" w:hAnsi="宋体" w:cs="仿宋"/>
          <w:sz w:val="24"/>
        </w:rPr>
        <w:t>技术条件依据：</w:t>
      </w:r>
    </w:p>
    <w:p>
      <w:pPr>
        <w:spacing w:line="360" w:lineRule="auto"/>
        <w:ind w:left="400"/>
        <w:rPr>
          <w:rFonts w:ascii="宋体" w:hAnsi="宋体" w:cs="仿宋"/>
          <w:sz w:val="24"/>
        </w:rPr>
      </w:pPr>
      <w:r>
        <w:rPr>
          <w:rFonts w:hint="eastAsia" w:ascii="宋体" w:hAnsi="宋体" w:cs="仿宋"/>
          <w:sz w:val="24"/>
        </w:rPr>
        <w:t>·GB25131《蒸气压缩循环冷水(热泵)机组安全要求》</w:t>
      </w:r>
    </w:p>
    <w:p>
      <w:pPr>
        <w:spacing w:line="360" w:lineRule="auto"/>
        <w:ind w:left="400"/>
        <w:rPr>
          <w:rFonts w:ascii="宋体" w:hAnsi="宋体" w:cs="仿宋"/>
          <w:sz w:val="24"/>
        </w:rPr>
      </w:pPr>
      <w:r>
        <w:rPr>
          <w:rFonts w:hint="eastAsia" w:ascii="宋体" w:hAnsi="宋体" w:cs="仿宋"/>
          <w:sz w:val="24"/>
        </w:rPr>
        <w:t>·GB19577《冷水机组能效限定值及能源效率等级》</w:t>
      </w:r>
    </w:p>
    <w:p>
      <w:pPr>
        <w:spacing w:line="360" w:lineRule="auto"/>
        <w:ind w:left="400"/>
        <w:rPr>
          <w:rFonts w:ascii="宋体" w:hAnsi="宋体" w:cs="仿宋"/>
          <w:sz w:val="24"/>
        </w:rPr>
      </w:pPr>
      <w:r>
        <w:rPr>
          <w:rFonts w:hint="eastAsia" w:ascii="宋体" w:hAnsi="宋体" w:cs="仿宋"/>
          <w:sz w:val="24"/>
        </w:rPr>
        <w:t>·《蒸气压缩循环冷水机组和热泵机组的性能评定》</w:t>
      </w:r>
    </w:p>
    <w:p>
      <w:pPr>
        <w:spacing w:line="360" w:lineRule="auto"/>
        <w:ind w:left="400"/>
        <w:rPr>
          <w:rFonts w:ascii="宋体" w:hAnsi="宋体" w:cs="仿宋"/>
          <w:sz w:val="24"/>
        </w:rPr>
      </w:pPr>
      <w:r>
        <w:rPr>
          <w:rFonts w:hint="eastAsia" w:ascii="宋体" w:hAnsi="宋体" w:cs="仿宋"/>
          <w:sz w:val="24"/>
        </w:rPr>
        <w:t>·GB/T18430.1《工商业用蒸气压缩循环冷水(热泵)机组》</w:t>
      </w:r>
    </w:p>
    <w:p>
      <w:pPr>
        <w:spacing w:line="360" w:lineRule="auto"/>
        <w:ind w:left="400"/>
      </w:pPr>
      <w:r>
        <w:rPr>
          <w:rFonts w:hint="eastAsia" w:ascii="宋体" w:hAnsi="宋体" w:cs="仿宋"/>
          <w:sz w:val="24"/>
        </w:rPr>
        <w:t>·GB/T19409《水(地)源热泵机组》</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3</w:t>
      </w:r>
      <w:r>
        <w:rPr>
          <w:rFonts w:hint="eastAsia" w:asciiTheme="minorEastAsia" w:hAnsiTheme="minorEastAsia" w:eastAsiaTheme="minorEastAsia" w:cstheme="minorEastAsia"/>
          <w:kern w:val="0"/>
          <w:sz w:val="24"/>
        </w:rPr>
        <w:t>.中央空调机房及末端设备的日常值班操作、维护（修）保养及安保；</w:t>
      </w:r>
      <w:r>
        <w:rPr>
          <w:rFonts w:hint="eastAsia" w:asciiTheme="minorEastAsia" w:hAnsiTheme="minorEastAsia" w:eastAsiaTheme="minorEastAsia" w:cstheme="minorEastAsia"/>
          <w:sz w:val="24"/>
        </w:rPr>
        <w:t>详见附件11；</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4</w:t>
      </w:r>
      <w:r>
        <w:rPr>
          <w:rFonts w:hint="eastAsia" w:asciiTheme="minorEastAsia" w:hAnsiTheme="minorEastAsia" w:eastAsiaTheme="minorEastAsia" w:cstheme="minorEastAsia"/>
          <w:kern w:val="0"/>
          <w:sz w:val="24"/>
        </w:rPr>
        <w:t>.空调系统冷却水、冷温水的水质处理、保养维护；</w:t>
      </w:r>
      <w:r>
        <w:rPr>
          <w:rFonts w:hint="eastAsia" w:asciiTheme="minorEastAsia" w:hAnsiTheme="minorEastAsia" w:eastAsiaTheme="minorEastAsia" w:cstheme="minorEastAsia"/>
          <w:sz w:val="24"/>
        </w:rPr>
        <w:t>详见附件11；</w:t>
      </w:r>
    </w:p>
    <w:p>
      <w:pPr>
        <w:autoSpaceDE w:val="0"/>
        <w:autoSpaceDN w:val="0"/>
        <w:adjustRightIn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val="en-US" w:eastAsia="zh-CN"/>
        </w:rPr>
        <w:t>5</w:t>
      </w:r>
      <w:r>
        <w:rPr>
          <w:rFonts w:hint="eastAsia" w:asciiTheme="minorEastAsia" w:hAnsiTheme="minorEastAsia" w:eastAsiaTheme="minorEastAsia" w:cstheme="minorEastAsia"/>
          <w:kern w:val="0"/>
          <w:sz w:val="24"/>
        </w:rPr>
        <w:t>.冷却塔、新风系统的操作、维护保养及安保、新风主机的清洗、维护、耗材管理；</w:t>
      </w:r>
      <w:r>
        <w:rPr>
          <w:rFonts w:hint="eastAsia" w:asciiTheme="minorEastAsia" w:hAnsiTheme="minorEastAsia" w:eastAsiaTheme="minorEastAsia" w:cstheme="minorEastAsia"/>
          <w:sz w:val="24"/>
        </w:rPr>
        <w:t>详见附件11；</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6</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采购结算整个商场照明、制冷、采暖、电梯运行以及其他设备所需的的天然气、电力能源费用（不包含租户用能费用）；</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7</w:t>
      </w:r>
      <w:r>
        <w:rPr>
          <w:rFonts w:hint="eastAsia" w:asciiTheme="minorEastAsia" w:hAnsiTheme="minorEastAsia" w:eastAsiaTheme="minorEastAsia" w:cstheme="minorEastAsia"/>
          <w:kern w:val="0"/>
          <w:sz w:val="24"/>
        </w:rPr>
        <w:t>．中标单位对整个商场投资及改造项目的检修维护保养；</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8</w:t>
      </w:r>
      <w:r>
        <w:rPr>
          <w:rFonts w:hint="eastAsia" w:asciiTheme="minorEastAsia" w:hAnsiTheme="minorEastAsia" w:eastAsiaTheme="minorEastAsia" w:cstheme="minorEastAsia"/>
          <w:kern w:val="0"/>
          <w:sz w:val="24"/>
        </w:rPr>
        <w:t>.满足甲方日常管理要求；</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9</w:t>
      </w:r>
      <w:r>
        <w:rPr>
          <w:rFonts w:hint="eastAsia" w:asciiTheme="minorEastAsia" w:hAnsiTheme="minorEastAsia" w:eastAsiaTheme="minorEastAsia" w:cstheme="minorEastAsia"/>
          <w:kern w:val="0"/>
          <w:sz w:val="24"/>
        </w:rPr>
        <w:t xml:space="preserve">.长期运营人员不少于3人（运营人员持证上岗）； </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10</w:t>
      </w:r>
      <w:r>
        <w:rPr>
          <w:rFonts w:hint="eastAsia" w:asciiTheme="minorEastAsia" w:hAnsiTheme="minorEastAsia" w:eastAsiaTheme="minorEastAsia" w:cstheme="minorEastAsia"/>
          <w:kern w:val="0"/>
          <w:sz w:val="24"/>
        </w:rPr>
        <w:t>.对空调机房内设备进行联动控制，将原有设备与新增设备联动起来，实现自动启停和精确控温，提高系统用电效率，本次改造不得影响商场冬季采暖；</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w:t>
      </w:r>
      <w:r>
        <w:rPr>
          <w:rFonts w:hint="eastAsia" w:asciiTheme="minorEastAsia" w:hAnsiTheme="minorEastAsia" w:eastAsiaTheme="minorEastAsia" w:cstheme="minorEastAsia"/>
          <w:kern w:val="0"/>
          <w:sz w:val="24"/>
          <w:lang w:val="en-US" w:eastAsia="zh-CN"/>
        </w:rPr>
        <w:t>1</w:t>
      </w:r>
      <w:r>
        <w:rPr>
          <w:rFonts w:hint="eastAsia" w:asciiTheme="minorEastAsia" w:hAnsiTheme="minorEastAsia" w:eastAsiaTheme="minorEastAsia" w:cstheme="minorEastAsia"/>
          <w:kern w:val="0"/>
          <w:sz w:val="24"/>
        </w:rPr>
        <w:t>.售后队伍齐全，当地有生产厂家直属专业服务团队，提供设备维护保养、免费安装指导，商场原有设备继续由原厂家进行维保；</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w:t>
      </w:r>
      <w:r>
        <w:rPr>
          <w:rFonts w:hint="eastAsia" w:asciiTheme="minorEastAsia" w:hAnsiTheme="minorEastAsia" w:eastAsiaTheme="minorEastAsia" w:cstheme="minorEastAsia"/>
          <w:kern w:val="0"/>
          <w:sz w:val="24"/>
          <w:lang w:val="en-US" w:eastAsia="zh-CN"/>
        </w:rPr>
        <w:t>2</w:t>
      </w:r>
      <w:r>
        <w:rPr>
          <w:rFonts w:hint="eastAsia" w:asciiTheme="minorEastAsia" w:hAnsiTheme="minorEastAsia" w:eastAsiaTheme="minorEastAsia" w:cstheme="minorEastAsia"/>
          <w:kern w:val="0"/>
          <w:sz w:val="24"/>
        </w:rPr>
        <w:t>.施工组织设计应体现确保工程质量的技术组织措施、确保安全文明施工的技术组织措施（包括成品保护措施）、确保工期的技术组织措施（施工进度表或工期网络图）、应急措施方案等，施工组织设计方案科学，有针对性。</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w:t>
      </w:r>
      <w:r>
        <w:rPr>
          <w:rFonts w:hint="eastAsia" w:asciiTheme="minorEastAsia" w:hAnsiTheme="minorEastAsia" w:eastAsiaTheme="minorEastAsia" w:cstheme="minorEastAsia"/>
          <w:kern w:val="0"/>
          <w:sz w:val="24"/>
          <w:lang w:val="en-US" w:eastAsia="zh-CN"/>
        </w:rPr>
        <w:t>3</w:t>
      </w:r>
      <w:r>
        <w:rPr>
          <w:rFonts w:hint="eastAsia" w:asciiTheme="minorEastAsia" w:hAnsiTheme="minorEastAsia" w:eastAsiaTheme="minorEastAsia" w:cstheme="minorEastAsia"/>
          <w:kern w:val="0"/>
          <w:sz w:val="24"/>
        </w:rPr>
        <w:t>.其它适用于</w:t>
      </w:r>
      <w:r>
        <w:rPr>
          <w:rFonts w:hint="eastAsia" w:asciiTheme="minorEastAsia" w:hAnsiTheme="minorEastAsia" w:eastAsiaTheme="minorEastAsia" w:cstheme="minorEastAsia"/>
          <w:kern w:val="0"/>
          <w:sz w:val="24"/>
          <w:u w:val="single"/>
        </w:rPr>
        <w:t xml:space="preserve"> 合肥百货大楼集团蚌埠百货大楼有限责任公司 </w:t>
      </w:r>
      <w:r>
        <w:rPr>
          <w:rFonts w:hint="eastAsia" w:asciiTheme="minorEastAsia" w:hAnsiTheme="minorEastAsia" w:eastAsiaTheme="minorEastAsia" w:cstheme="minorEastAsia"/>
          <w:kern w:val="0"/>
          <w:sz w:val="24"/>
        </w:rPr>
        <w:t>店的节能技术改造</w:t>
      </w:r>
      <w:r>
        <w:rPr>
          <w:rFonts w:hint="eastAsia" w:asciiTheme="minorEastAsia" w:hAnsiTheme="minorEastAsia" w:eastAsiaTheme="minorEastAsia" w:cstheme="minorEastAsia"/>
          <w:sz w:val="24"/>
        </w:rPr>
        <w:t>；</w:t>
      </w:r>
    </w:p>
    <w:p>
      <w:pPr>
        <w:autoSpaceDE w:val="0"/>
        <w:autoSpaceDN w:val="0"/>
        <w:adjustRightInd w:val="0"/>
        <w:spacing w:line="360" w:lineRule="auto"/>
        <w:ind w:firstLine="240"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二</w:t>
      </w:r>
      <w:r>
        <w:rPr>
          <w:rFonts w:hint="eastAsia" w:asciiTheme="minorEastAsia" w:hAnsiTheme="minorEastAsia" w:eastAsiaTheme="minorEastAsia" w:cstheme="minorEastAsia"/>
          <w:sz w:val="24"/>
        </w:rPr>
        <w:t>）乙方派遣专业技术人员参与节能设备和用电设备（不含门店供配电设备、收银、消防、监控设备）日常运行管理工作。</w:t>
      </w:r>
    </w:p>
    <w:p>
      <w:pPr>
        <w:autoSpaceDE w:val="0"/>
        <w:autoSpaceDN w:val="0"/>
        <w:adjustRightInd w:val="0"/>
        <w:spacing w:line="360" w:lineRule="auto"/>
        <w:ind w:firstLine="240"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三</w:t>
      </w:r>
      <w:r>
        <w:rPr>
          <w:rFonts w:hint="eastAsia" w:asciiTheme="minorEastAsia" w:hAnsiTheme="minorEastAsia" w:eastAsiaTheme="minorEastAsia" w:cstheme="minorEastAsia"/>
          <w:sz w:val="24"/>
        </w:rPr>
        <w:t>）合同期内由乙方负责节能设备的日常保养、维修工作；合同期满且甲方付清全部款项后，乙方将设备设施的所有权无偿转让给甲方，如果甲方需要乙方维修保养或者继续管理，乙方可以与甲方另行签订合同以收费模式延续服务。</w:t>
      </w:r>
    </w:p>
    <w:p>
      <w:pPr>
        <w:autoSpaceDE w:val="0"/>
        <w:autoSpaceDN w:val="0"/>
        <w:adjustRightInd w:val="0"/>
        <w:spacing w:line="360" w:lineRule="auto"/>
        <w:ind w:firstLine="241" w:firstLineChars="1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lang w:eastAsia="zh-CN"/>
        </w:rPr>
        <w:t>二、</w:t>
      </w:r>
      <w:r>
        <w:rPr>
          <w:rFonts w:hint="eastAsia" w:asciiTheme="minorEastAsia" w:hAnsiTheme="minorEastAsia" w:eastAsiaTheme="minorEastAsia" w:cstheme="minorEastAsia"/>
          <w:b/>
          <w:kern w:val="0"/>
          <w:sz w:val="24"/>
        </w:rPr>
        <w:t>边界条件：</w:t>
      </w:r>
    </w:p>
    <w:p>
      <w:pPr>
        <w:numPr>
          <w:ilvl w:val="0"/>
          <w:numId w:val="0"/>
        </w:num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eastAsia="zh-CN"/>
        </w:rPr>
        <w:t>（一）</w:t>
      </w:r>
      <w:r>
        <w:rPr>
          <w:rFonts w:hint="eastAsia" w:asciiTheme="minorEastAsia" w:hAnsiTheme="minorEastAsia" w:eastAsiaTheme="minorEastAsia" w:cstheme="minorEastAsia"/>
          <w:kern w:val="0"/>
          <w:sz w:val="24"/>
        </w:rPr>
        <w:t>项目改造完成后，门店各用电设备运行模式和运行时间与改造前应保持基本一致（如今后门店调整灯光和空调及其他能耗设备的开放时间，造成当月灯光和相应设备用电增加或减少，则在结算时相应体现该部分用电变量）。</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lang w:eastAsia="zh-CN"/>
        </w:rPr>
        <w:t>二</w:t>
      </w:r>
      <w:r>
        <w:rPr>
          <w:rFonts w:hint="eastAsia" w:asciiTheme="minorEastAsia" w:hAnsiTheme="minorEastAsia" w:eastAsiaTheme="minorEastAsia" w:cstheme="minorEastAsia"/>
          <w:kern w:val="0"/>
          <w:sz w:val="24"/>
        </w:rPr>
        <w:t>）项目改造完成后，</w:t>
      </w:r>
      <w:r>
        <w:rPr>
          <w:rFonts w:hint="eastAsia" w:asciiTheme="minorEastAsia" w:hAnsiTheme="minorEastAsia" w:eastAsiaTheme="minorEastAsia" w:cstheme="minorEastAsia"/>
          <w:sz w:val="24"/>
        </w:rPr>
        <w:t>经甲乙双方共同确认</w:t>
      </w:r>
      <w:r>
        <w:rPr>
          <w:rFonts w:hint="eastAsia" w:asciiTheme="minorEastAsia" w:hAnsiTheme="minorEastAsia" w:eastAsiaTheme="minorEastAsia" w:cstheme="minorEastAsia"/>
          <w:kern w:val="0"/>
          <w:sz w:val="24"/>
        </w:rPr>
        <w:t>空调平均温度需达到国家标准，即</w:t>
      </w:r>
      <w:r>
        <w:rPr>
          <w:rFonts w:hint="eastAsia" w:asciiTheme="minorEastAsia" w:hAnsiTheme="minorEastAsia" w:eastAsiaTheme="minorEastAsia" w:cstheme="minorEastAsia"/>
          <w:sz w:val="24"/>
        </w:rPr>
        <w:t>夏季环境温度要求室内温度≤26℃，梅雨季节室内闷热天也应当开启空调，冬季环境温度要求一楼商场≥18℃的环境目标</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sz w:val="24"/>
        </w:rPr>
        <w:t>中央空调系统运行改造后，必须参照现有开启时间开关，并不得低于现有环境舒适度。且综合节能率≥15%。</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lang w:eastAsia="zh-CN"/>
        </w:rPr>
        <w:t>三</w:t>
      </w:r>
      <w:r>
        <w:rPr>
          <w:rFonts w:hint="eastAsia" w:asciiTheme="minorEastAsia" w:hAnsiTheme="minorEastAsia" w:eastAsiaTheme="minorEastAsia" w:cstheme="minorEastAsia"/>
          <w:kern w:val="0"/>
          <w:sz w:val="24"/>
        </w:rPr>
        <w:t>）在整个合同期内，替换了节能灯具的区域，平均照度不得低于改造前各区域的平均照度（改造前和改造后在相同的测量点测量离地1米高度的亮度，并进行记录）。</w:t>
      </w:r>
    </w:p>
    <w:p>
      <w:pPr>
        <w:widowControl/>
        <w:jc w:val="left"/>
        <w:rPr>
          <w:rFonts w:asciiTheme="minorEastAsia" w:hAnsiTheme="minorEastAsia" w:eastAsiaTheme="minorEastAsia" w:cstheme="minorEastAsia"/>
          <w:b/>
          <w:kern w:val="0"/>
          <w:sz w:val="24"/>
        </w:rPr>
      </w:pPr>
      <w:r>
        <w:rPr>
          <w:rFonts w:asciiTheme="minorEastAsia" w:hAnsiTheme="minorEastAsia" w:eastAsiaTheme="minorEastAsia" w:cstheme="minorEastAsia"/>
          <w:b/>
          <w:kern w:val="0"/>
          <w:sz w:val="24"/>
        </w:rPr>
        <w:br w:type="page"/>
      </w:r>
    </w:p>
    <w:p>
      <w:pPr>
        <w:autoSpaceDE w:val="0"/>
        <w:autoSpaceDN w:val="0"/>
        <w:adjustRightInd w:val="0"/>
        <w:spacing w:line="360" w:lineRule="auto"/>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附件2  能耗基准、项目节能目标预测及电网电价调整方式</w:t>
      </w:r>
    </w:p>
    <w:p>
      <w:pPr>
        <w:autoSpaceDE w:val="0"/>
        <w:autoSpaceDN w:val="0"/>
        <w:adjustRightInd w:val="0"/>
        <w:spacing w:line="360" w:lineRule="auto"/>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能耗基准：</w:t>
      </w:r>
    </w:p>
    <w:p>
      <w:pPr>
        <w:autoSpaceDE w:val="0"/>
        <w:autoSpaceDN w:val="0"/>
        <w:adjustRightInd w:val="0"/>
        <w:spacing w:line="360" w:lineRule="auto"/>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以合肥百货大楼集团蚌埠百货大楼有限责任公司19年各月份总用电量减去外租商户电量得到的公用</w:t>
      </w:r>
      <w:r>
        <w:rPr>
          <w:rFonts w:hint="eastAsia" w:asciiTheme="minorEastAsia" w:hAnsiTheme="minorEastAsia" w:eastAsiaTheme="minorEastAsia" w:cstheme="minorEastAsia"/>
          <w:bCs/>
          <w:kern w:val="0"/>
          <w:sz w:val="24"/>
        </w:rPr>
        <w:t>电量为结算基准电量，燃气用量以实际使用量</w:t>
      </w:r>
      <w:r>
        <w:rPr>
          <w:rFonts w:hint="eastAsia" w:asciiTheme="minorEastAsia" w:hAnsiTheme="minorEastAsia" w:eastAsiaTheme="minorEastAsia" w:cstheme="minorEastAsia"/>
          <w:kern w:val="0"/>
          <w:sz w:val="24"/>
        </w:rPr>
        <w:t>为基准用量。</w:t>
      </w:r>
      <w:r>
        <w:rPr>
          <w:rFonts w:hint="eastAsia" w:asciiTheme="minorEastAsia" w:hAnsiTheme="minorEastAsia" w:eastAsiaTheme="minorEastAsia" w:cstheme="minorEastAsia"/>
          <w:bCs/>
          <w:kern w:val="0"/>
          <w:sz w:val="24"/>
        </w:rPr>
        <w:t>详见下表《</w:t>
      </w:r>
      <w:r>
        <w:rPr>
          <w:rFonts w:hint="eastAsia" w:asciiTheme="minorEastAsia" w:hAnsiTheme="minorEastAsia" w:eastAsiaTheme="minorEastAsia" w:cstheme="minorEastAsia"/>
          <w:kern w:val="0"/>
          <w:sz w:val="24"/>
          <w:u w:val="single"/>
        </w:rPr>
        <w:t>合肥百货大楼集团蚌埠百货大楼有限责任公司</w:t>
      </w:r>
      <w:r>
        <w:rPr>
          <w:rFonts w:hint="eastAsia" w:asciiTheme="minorEastAsia" w:hAnsiTheme="minorEastAsia" w:eastAsiaTheme="minorEastAsia" w:cstheme="minorEastAsia"/>
          <w:kern w:val="0"/>
          <w:sz w:val="24"/>
        </w:rPr>
        <w:t>店</w:t>
      </w:r>
      <w:r>
        <w:rPr>
          <w:rFonts w:hint="eastAsia" w:asciiTheme="minorEastAsia" w:hAnsiTheme="minorEastAsia" w:eastAsiaTheme="minorEastAsia" w:cstheme="minorEastAsia"/>
          <w:bCs/>
          <w:kern w:val="0"/>
          <w:sz w:val="24"/>
        </w:rPr>
        <w:t>每月基准电量电费表》、《</w:t>
      </w:r>
      <w:r>
        <w:rPr>
          <w:rFonts w:hint="eastAsia" w:asciiTheme="minorEastAsia" w:hAnsiTheme="minorEastAsia" w:eastAsiaTheme="minorEastAsia" w:cstheme="minorEastAsia"/>
          <w:kern w:val="0"/>
          <w:sz w:val="24"/>
          <w:u w:val="single"/>
        </w:rPr>
        <w:t>合肥百货大楼集团蚌埠百货大楼有限责任公司</w:t>
      </w:r>
      <w:r>
        <w:rPr>
          <w:rFonts w:hint="eastAsia" w:asciiTheme="minorEastAsia" w:hAnsiTheme="minorEastAsia" w:eastAsiaTheme="minorEastAsia" w:cstheme="minorEastAsia"/>
          <w:kern w:val="0"/>
          <w:sz w:val="24"/>
        </w:rPr>
        <w:t>店</w:t>
      </w:r>
      <w:r>
        <w:rPr>
          <w:rFonts w:hint="eastAsia" w:asciiTheme="minorEastAsia" w:hAnsiTheme="minorEastAsia" w:eastAsiaTheme="minorEastAsia" w:cstheme="minorEastAsia"/>
          <w:bCs/>
          <w:kern w:val="0"/>
          <w:sz w:val="24"/>
        </w:rPr>
        <w:t>每月基准燃气费用表》</w:t>
      </w:r>
      <w:r>
        <w:rPr>
          <w:rFonts w:hint="eastAsia" w:asciiTheme="minorEastAsia" w:hAnsiTheme="minorEastAsia" w:eastAsiaTheme="minorEastAsia" w:cstheme="minorEastAsia"/>
          <w:kern w:val="0"/>
          <w:sz w:val="24"/>
        </w:rPr>
        <w:t>。</w:t>
      </w:r>
    </w:p>
    <w:p>
      <w:pPr>
        <w:autoSpaceDE w:val="0"/>
        <w:autoSpaceDN w:val="0"/>
        <w:adjustRightInd w:val="0"/>
        <w:spacing w:line="360" w:lineRule="auto"/>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项目节能目标承诺：</w:t>
      </w:r>
    </w:p>
    <w:p>
      <w:pPr>
        <w:autoSpaceDE w:val="0"/>
        <w:autoSpaceDN w:val="0"/>
        <w:adjustRightInd w:val="0"/>
        <w:spacing w:line="360" w:lineRule="auto"/>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在合同期内，门店每结算年度（12个月）电量及燃气用量转化用能耗费用比年度基准量（12个月）</w:t>
      </w:r>
      <w:r>
        <w:rPr>
          <w:rFonts w:hint="eastAsia" w:asciiTheme="minorEastAsia" w:hAnsiTheme="minorEastAsia" w:eastAsiaTheme="minorEastAsia" w:cstheme="minorEastAsia"/>
          <w:kern w:val="0"/>
          <w:sz w:val="24"/>
          <w:highlight w:val="none"/>
        </w:rPr>
        <w:t>节省</w:t>
      </w:r>
      <w:r>
        <w:rPr>
          <w:rFonts w:hint="eastAsia" w:asciiTheme="minorEastAsia" w:hAnsiTheme="minorEastAsia" w:eastAsiaTheme="minorEastAsia" w:cstheme="minorEastAsia"/>
          <w:b/>
          <w:bCs/>
          <w:sz w:val="24"/>
          <w:highlight w:val="none"/>
        </w:rPr>
        <w:t>262647.15元</w:t>
      </w:r>
      <w:r>
        <w:rPr>
          <w:rFonts w:hint="eastAsia" w:asciiTheme="minorEastAsia" w:hAnsiTheme="minorEastAsia" w:eastAsiaTheme="minorEastAsia" w:cstheme="minorEastAsia"/>
          <w:kern w:val="0"/>
          <w:sz w:val="24"/>
        </w:rPr>
        <w:t>以上。</w:t>
      </w:r>
    </w:p>
    <w:p>
      <w:pPr>
        <w:autoSpaceDE w:val="0"/>
        <w:autoSpaceDN w:val="0"/>
        <w:adjustRightInd w:val="0"/>
        <w:spacing w:line="360" w:lineRule="auto"/>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能源价格波动、调整方式：</w:t>
      </w:r>
    </w:p>
    <w:p>
      <w:pPr>
        <w:autoSpaceDE w:val="0"/>
        <w:autoSpaceDN w:val="0"/>
        <w:adjustRightInd w:val="0"/>
        <w:spacing w:line="360" w:lineRule="auto"/>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甲乙双方的当季度结算费用为：当季度供电局电费单的电费总额（+电损费）+当季度燃气公司燃气缴费单总额乘以节能比例</w:t>
      </w:r>
      <w:r>
        <w:rPr>
          <w:rFonts w:hint="eastAsia" w:asciiTheme="minorEastAsia" w:hAnsiTheme="minorEastAsia" w:eastAsiaTheme="minorEastAsia" w:cstheme="minorEastAsia"/>
          <w:kern w:val="0"/>
          <w:sz w:val="24"/>
        </w:rPr>
        <w:t>。</w:t>
      </w:r>
    </w:p>
    <w:p>
      <w:pPr>
        <w:spacing w:line="440" w:lineRule="exac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用能设备、性能参数表：</w:t>
      </w:r>
    </w:p>
    <w:tbl>
      <w:tblPr>
        <w:tblStyle w:val="27"/>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3965"/>
        <w:gridCol w:w="1449"/>
        <w:gridCol w:w="1502"/>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27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396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设备名称与规格</w:t>
            </w:r>
          </w:p>
        </w:tc>
        <w:tc>
          <w:tcPr>
            <w:tcW w:w="1449"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投入使用年份</w:t>
            </w:r>
          </w:p>
        </w:tc>
        <w:tc>
          <w:tcPr>
            <w:tcW w:w="1502"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数量（台）</w:t>
            </w:r>
          </w:p>
        </w:tc>
        <w:tc>
          <w:tcPr>
            <w:tcW w:w="1348"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功率（kw）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7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396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溴化锂吸收式冷水机组BZ100VID</w:t>
            </w:r>
          </w:p>
        </w:tc>
        <w:tc>
          <w:tcPr>
            <w:tcW w:w="1449"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1996</w:t>
            </w:r>
          </w:p>
        </w:tc>
        <w:tc>
          <w:tcPr>
            <w:tcW w:w="1502"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348"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396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空调水泵IS150-125-400A</w:t>
            </w:r>
          </w:p>
        </w:tc>
        <w:tc>
          <w:tcPr>
            <w:tcW w:w="1449"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1996</w:t>
            </w:r>
          </w:p>
        </w:tc>
        <w:tc>
          <w:tcPr>
            <w:tcW w:w="1502"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348"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396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空调水泵GDD150-32</w:t>
            </w:r>
          </w:p>
        </w:tc>
        <w:tc>
          <w:tcPr>
            <w:tcW w:w="1449"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2010</w:t>
            </w:r>
          </w:p>
        </w:tc>
        <w:tc>
          <w:tcPr>
            <w:tcW w:w="1502"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348"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396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冷却水泵IS200-150-315</w:t>
            </w:r>
          </w:p>
        </w:tc>
        <w:tc>
          <w:tcPr>
            <w:tcW w:w="1449"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1996</w:t>
            </w:r>
          </w:p>
        </w:tc>
        <w:tc>
          <w:tcPr>
            <w:tcW w:w="1502"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348"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396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冷却水泵GDD200-32A</w:t>
            </w:r>
          </w:p>
        </w:tc>
        <w:tc>
          <w:tcPr>
            <w:tcW w:w="1449"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2010</w:t>
            </w:r>
          </w:p>
        </w:tc>
        <w:tc>
          <w:tcPr>
            <w:tcW w:w="1502"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348"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396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冷却塔ST-400T</w:t>
            </w:r>
          </w:p>
        </w:tc>
        <w:tc>
          <w:tcPr>
            <w:tcW w:w="1449"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2014</w:t>
            </w:r>
          </w:p>
        </w:tc>
        <w:tc>
          <w:tcPr>
            <w:tcW w:w="1502"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348"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396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空调风柜YSM-B30VIE6R0D0A</w:t>
            </w:r>
          </w:p>
        </w:tc>
        <w:tc>
          <w:tcPr>
            <w:tcW w:w="1449"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2014</w:t>
            </w:r>
          </w:p>
        </w:tc>
        <w:tc>
          <w:tcPr>
            <w:tcW w:w="1502"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1348"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396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空调风柜YSM-B25VIE6R0D1A</w:t>
            </w:r>
          </w:p>
        </w:tc>
        <w:tc>
          <w:tcPr>
            <w:tcW w:w="1449"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2013</w:t>
            </w:r>
          </w:p>
        </w:tc>
        <w:tc>
          <w:tcPr>
            <w:tcW w:w="1502"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w:t>
            </w:r>
          </w:p>
        </w:tc>
        <w:tc>
          <w:tcPr>
            <w:tcW w:w="1348"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396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风机盘管FP-10</w:t>
            </w:r>
          </w:p>
        </w:tc>
        <w:tc>
          <w:tcPr>
            <w:tcW w:w="1449"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1996</w:t>
            </w:r>
          </w:p>
        </w:tc>
        <w:tc>
          <w:tcPr>
            <w:tcW w:w="1502"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w:t>
            </w:r>
          </w:p>
        </w:tc>
        <w:tc>
          <w:tcPr>
            <w:tcW w:w="1348"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w:t>
            </w:r>
          </w:p>
        </w:tc>
        <w:tc>
          <w:tcPr>
            <w:tcW w:w="396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暖风风幕机RM125-18-30D/Y-B-2-X</w:t>
            </w:r>
          </w:p>
        </w:tc>
        <w:tc>
          <w:tcPr>
            <w:tcW w:w="1449"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2018</w:t>
            </w:r>
          </w:p>
        </w:tc>
        <w:tc>
          <w:tcPr>
            <w:tcW w:w="1502"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1348"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w:t>
            </w:r>
          </w:p>
        </w:tc>
        <w:tc>
          <w:tcPr>
            <w:tcW w:w="396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变频控制柜BBK30X2-Q</w:t>
            </w:r>
          </w:p>
        </w:tc>
        <w:tc>
          <w:tcPr>
            <w:tcW w:w="1449"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2010</w:t>
            </w:r>
          </w:p>
        </w:tc>
        <w:tc>
          <w:tcPr>
            <w:tcW w:w="1502"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348"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396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软启控制柜BRK30X2-K</w:t>
            </w:r>
          </w:p>
        </w:tc>
        <w:tc>
          <w:tcPr>
            <w:tcW w:w="1449"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2010</w:t>
            </w:r>
          </w:p>
        </w:tc>
        <w:tc>
          <w:tcPr>
            <w:tcW w:w="1502"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348"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396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水泵配电柜</w:t>
            </w:r>
          </w:p>
        </w:tc>
        <w:tc>
          <w:tcPr>
            <w:tcW w:w="1449"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1996</w:t>
            </w:r>
          </w:p>
        </w:tc>
        <w:tc>
          <w:tcPr>
            <w:tcW w:w="1502"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1348"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4</w:t>
            </w:r>
          </w:p>
        </w:tc>
        <w:tc>
          <w:tcPr>
            <w:tcW w:w="396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迅达SWE30-100K</w:t>
            </w:r>
          </w:p>
        </w:tc>
        <w:tc>
          <w:tcPr>
            <w:tcW w:w="1449" w:type="dxa"/>
          </w:tcPr>
          <w:p>
            <w:pPr>
              <w:widowControl/>
              <w:spacing w:before="100" w:beforeAutospacing="1" w:after="100" w:afterAutospacing="1"/>
              <w:jc w:val="center"/>
              <w:rPr>
                <w:rFonts w:asciiTheme="minorEastAsia" w:hAnsiTheme="minorEastAsia" w:eastAsiaTheme="minorEastAsia" w:cstheme="minorEastAsia"/>
                <w:sz w:val="24"/>
              </w:rPr>
            </w:pPr>
          </w:p>
        </w:tc>
        <w:tc>
          <w:tcPr>
            <w:tcW w:w="1502" w:type="dxa"/>
          </w:tcPr>
          <w:p>
            <w:pPr>
              <w:widowControl/>
              <w:spacing w:before="100" w:beforeAutospacing="1" w:after="100" w:afterAutospacing="1"/>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8</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5</w:t>
            </w:r>
          </w:p>
        </w:tc>
        <w:tc>
          <w:tcPr>
            <w:tcW w:w="396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中迅SDS9300/30/100-KR</w:t>
            </w:r>
          </w:p>
        </w:tc>
        <w:tc>
          <w:tcPr>
            <w:tcW w:w="1449" w:type="dxa"/>
          </w:tcPr>
          <w:p>
            <w:pPr>
              <w:widowControl/>
              <w:spacing w:before="100" w:beforeAutospacing="1" w:after="100" w:afterAutospacing="1"/>
              <w:jc w:val="center"/>
              <w:rPr>
                <w:rFonts w:asciiTheme="minorEastAsia" w:hAnsiTheme="minorEastAsia" w:eastAsiaTheme="minorEastAsia" w:cstheme="minorEastAsia"/>
                <w:sz w:val="24"/>
              </w:rPr>
            </w:pPr>
          </w:p>
        </w:tc>
        <w:tc>
          <w:tcPr>
            <w:tcW w:w="1502" w:type="dxa"/>
          </w:tcPr>
          <w:p>
            <w:pPr>
              <w:widowControl/>
              <w:spacing w:before="100" w:beforeAutospacing="1" w:after="100" w:afterAutospacing="1"/>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6</w:t>
            </w:r>
          </w:p>
        </w:tc>
        <w:tc>
          <w:tcPr>
            <w:tcW w:w="396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快速p1atform302-1000</w:t>
            </w:r>
          </w:p>
        </w:tc>
        <w:tc>
          <w:tcPr>
            <w:tcW w:w="1449" w:type="dxa"/>
          </w:tcPr>
          <w:p>
            <w:pPr>
              <w:widowControl/>
              <w:spacing w:before="100" w:beforeAutospacing="1" w:after="100" w:afterAutospacing="1"/>
              <w:jc w:val="center"/>
              <w:rPr>
                <w:rFonts w:asciiTheme="minorEastAsia" w:hAnsiTheme="minorEastAsia" w:eastAsiaTheme="minorEastAsia" w:cstheme="minorEastAsia"/>
                <w:sz w:val="24"/>
              </w:rPr>
            </w:pPr>
          </w:p>
        </w:tc>
        <w:tc>
          <w:tcPr>
            <w:tcW w:w="1502" w:type="dxa"/>
          </w:tcPr>
          <w:p>
            <w:pPr>
              <w:widowControl/>
              <w:spacing w:before="100" w:beforeAutospacing="1" w:after="100" w:afterAutospacing="1"/>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7</w:t>
            </w:r>
          </w:p>
        </w:tc>
        <w:tc>
          <w:tcPr>
            <w:tcW w:w="396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通力kONEMonoSPace</w:t>
            </w:r>
          </w:p>
        </w:tc>
        <w:tc>
          <w:tcPr>
            <w:tcW w:w="1449" w:type="dxa"/>
          </w:tcPr>
          <w:p>
            <w:pPr>
              <w:widowControl/>
              <w:spacing w:before="100" w:beforeAutospacing="1" w:after="100" w:afterAutospacing="1"/>
              <w:jc w:val="center"/>
              <w:rPr>
                <w:rFonts w:asciiTheme="minorEastAsia" w:hAnsiTheme="minorEastAsia" w:eastAsiaTheme="minorEastAsia" w:cstheme="minorEastAsia"/>
                <w:sz w:val="24"/>
              </w:rPr>
            </w:pPr>
          </w:p>
        </w:tc>
        <w:tc>
          <w:tcPr>
            <w:tcW w:w="1502" w:type="dxa"/>
          </w:tcPr>
          <w:p>
            <w:pPr>
              <w:widowControl/>
              <w:spacing w:before="100" w:beforeAutospacing="1" w:after="100" w:afterAutospacing="1"/>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8</w:t>
            </w:r>
          </w:p>
        </w:tc>
        <w:tc>
          <w:tcPr>
            <w:tcW w:w="396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迅达APC1000DS/2KS</w:t>
            </w:r>
          </w:p>
        </w:tc>
        <w:tc>
          <w:tcPr>
            <w:tcW w:w="1449" w:type="dxa"/>
          </w:tcPr>
          <w:p>
            <w:pPr>
              <w:widowControl/>
              <w:spacing w:before="100" w:beforeAutospacing="1" w:after="100" w:afterAutospacing="1"/>
              <w:jc w:val="center"/>
              <w:rPr>
                <w:rFonts w:asciiTheme="minorEastAsia" w:hAnsiTheme="minorEastAsia" w:eastAsiaTheme="minorEastAsia" w:cstheme="minorEastAsia"/>
                <w:sz w:val="24"/>
              </w:rPr>
            </w:pPr>
          </w:p>
        </w:tc>
        <w:tc>
          <w:tcPr>
            <w:tcW w:w="1502" w:type="dxa"/>
          </w:tcPr>
          <w:p>
            <w:pPr>
              <w:widowControl/>
              <w:spacing w:before="100" w:beforeAutospacing="1" w:after="100" w:afterAutospacing="1"/>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9</w:t>
            </w:r>
          </w:p>
        </w:tc>
        <w:tc>
          <w:tcPr>
            <w:tcW w:w="396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日立LF-2000-2S60</w:t>
            </w:r>
          </w:p>
        </w:tc>
        <w:tc>
          <w:tcPr>
            <w:tcW w:w="1449" w:type="dxa"/>
          </w:tcPr>
          <w:p>
            <w:pPr>
              <w:widowControl/>
              <w:spacing w:before="100" w:beforeAutospacing="1" w:after="100" w:afterAutospacing="1"/>
              <w:jc w:val="center"/>
              <w:rPr>
                <w:rFonts w:asciiTheme="minorEastAsia" w:hAnsiTheme="minorEastAsia" w:eastAsiaTheme="minorEastAsia" w:cstheme="minorEastAsia"/>
                <w:sz w:val="24"/>
              </w:rPr>
            </w:pPr>
          </w:p>
        </w:tc>
        <w:tc>
          <w:tcPr>
            <w:tcW w:w="1502" w:type="dxa"/>
          </w:tcPr>
          <w:p>
            <w:pPr>
              <w:widowControl/>
              <w:spacing w:before="100" w:beforeAutospacing="1" w:after="100" w:afterAutospacing="1"/>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asciiTheme="minorEastAsia" w:hAnsiTheme="minorEastAsia" w:eastAsiaTheme="minorEastAsia" w:cstheme="minorEastAsia"/>
                <w:sz w:val="24"/>
              </w:rPr>
              <w:t>0</w:t>
            </w:r>
          </w:p>
        </w:tc>
        <w:tc>
          <w:tcPr>
            <w:tcW w:w="396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德国威乐</w:t>
            </w:r>
            <w:r>
              <w:rPr>
                <w:rFonts w:asciiTheme="minorEastAsia" w:hAnsiTheme="minorEastAsia" w:eastAsiaTheme="minorEastAsia" w:cstheme="minorEastAsia"/>
                <w:sz w:val="24"/>
              </w:rPr>
              <w:t>MV13206</w:t>
            </w:r>
          </w:p>
        </w:tc>
        <w:tc>
          <w:tcPr>
            <w:tcW w:w="1449" w:type="dxa"/>
          </w:tcPr>
          <w:p>
            <w:pPr>
              <w:widowControl/>
              <w:spacing w:before="100" w:beforeAutospacing="1" w:after="100" w:afterAutospacing="1"/>
              <w:jc w:val="center"/>
              <w:rPr>
                <w:rFonts w:asciiTheme="minorEastAsia" w:hAnsiTheme="minorEastAsia" w:eastAsiaTheme="minorEastAsia" w:cstheme="minorEastAsia"/>
                <w:sz w:val="24"/>
              </w:rPr>
            </w:pPr>
          </w:p>
        </w:tc>
        <w:tc>
          <w:tcPr>
            <w:tcW w:w="1502"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348"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asciiTheme="minorEastAsia" w:hAnsiTheme="minorEastAsia" w:eastAsiaTheme="minorEastAsia" w:cstheme="minorEastAsia"/>
                <w:sz w:val="24"/>
              </w:rPr>
              <w:t>1</w:t>
            </w:r>
          </w:p>
        </w:tc>
        <w:tc>
          <w:tcPr>
            <w:tcW w:w="396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上海红光锅炉</w:t>
            </w:r>
          </w:p>
        </w:tc>
        <w:tc>
          <w:tcPr>
            <w:tcW w:w="1449" w:type="dxa"/>
          </w:tcPr>
          <w:p>
            <w:pPr>
              <w:widowControl/>
              <w:spacing w:before="100" w:beforeAutospacing="1" w:after="100" w:afterAutospacing="1"/>
              <w:jc w:val="center"/>
              <w:rPr>
                <w:rFonts w:asciiTheme="minorEastAsia" w:hAnsiTheme="minorEastAsia" w:eastAsiaTheme="minorEastAsia" w:cstheme="minorEastAsia"/>
                <w:sz w:val="24"/>
              </w:rPr>
            </w:pPr>
          </w:p>
        </w:tc>
        <w:tc>
          <w:tcPr>
            <w:tcW w:w="1502"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348"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60</w:t>
            </w:r>
            <w:r>
              <w:rPr>
                <w:rFonts w:asciiTheme="minorEastAsia" w:hAnsiTheme="minorEastAsia" w:eastAsiaTheme="minorEastAsia" w:cstheme="minorEastAsia"/>
                <w:sz w:val="24"/>
              </w:rPr>
              <w:t>MW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asciiTheme="minorEastAsia" w:hAnsiTheme="minorEastAsia" w:eastAsiaTheme="minorEastAsia" w:cstheme="minorEastAsia"/>
                <w:sz w:val="24"/>
              </w:rPr>
              <w:t>2</w:t>
            </w:r>
          </w:p>
        </w:tc>
        <w:tc>
          <w:tcPr>
            <w:tcW w:w="3965" w:type="dxa"/>
            <w:vAlign w:val="center"/>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三安/FSL SA-TD6W14TXD/WT5-14-40/112</w:t>
            </w:r>
          </w:p>
        </w:tc>
        <w:tc>
          <w:tcPr>
            <w:tcW w:w="1449" w:type="dxa"/>
            <w:vAlign w:val="center"/>
          </w:tcPr>
          <w:p>
            <w:pPr>
              <w:widowControl/>
              <w:spacing w:before="100" w:beforeAutospacing="1" w:after="100" w:afterAutospacing="1"/>
              <w:jc w:val="center"/>
              <w:rPr>
                <w:rFonts w:asciiTheme="minorEastAsia" w:hAnsiTheme="minorEastAsia" w:eastAsiaTheme="minorEastAsia" w:cstheme="minorEastAsia"/>
                <w:sz w:val="24"/>
              </w:rPr>
            </w:pP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575/73</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15W/14W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asciiTheme="minorEastAsia" w:hAnsiTheme="minorEastAsia" w:eastAsiaTheme="minorEastAsia" w:cstheme="minorEastAsia"/>
                <w:sz w:val="24"/>
              </w:rPr>
              <w:t>3</w:t>
            </w:r>
          </w:p>
        </w:tc>
        <w:tc>
          <w:tcPr>
            <w:tcW w:w="3965" w:type="dxa"/>
            <w:vAlign w:val="center"/>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三安/FSL SA-TD6W14TXD/WT5-14-40/112</w:t>
            </w:r>
          </w:p>
        </w:tc>
        <w:tc>
          <w:tcPr>
            <w:tcW w:w="1449" w:type="dxa"/>
            <w:vAlign w:val="center"/>
          </w:tcPr>
          <w:p>
            <w:pPr>
              <w:widowControl/>
              <w:spacing w:before="100" w:beforeAutospacing="1" w:after="100" w:afterAutospacing="1"/>
              <w:jc w:val="center"/>
              <w:rPr>
                <w:rFonts w:asciiTheme="minorEastAsia" w:hAnsiTheme="minorEastAsia" w:eastAsiaTheme="minorEastAsia" w:cstheme="minorEastAsia"/>
                <w:sz w:val="24"/>
              </w:rPr>
            </w:pP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356/</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15W/14W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asciiTheme="minorEastAsia" w:hAnsiTheme="minorEastAsia" w:eastAsiaTheme="minorEastAsia" w:cstheme="minorEastAsia"/>
                <w:sz w:val="24"/>
              </w:rPr>
              <w:t>4</w:t>
            </w:r>
          </w:p>
        </w:tc>
        <w:tc>
          <w:tcPr>
            <w:tcW w:w="3965" w:type="dxa"/>
            <w:vAlign w:val="center"/>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雷士/雷士NLED9256/LED T5F12</w:t>
            </w:r>
          </w:p>
        </w:tc>
        <w:tc>
          <w:tcPr>
            <w:tcW w:w="1449" w:type="dxa"/>
            <w:vAlign w:val="center"/>
          </w:tcPr>
          <w:p>
            <w:pPr>
              <w:widowControl/>
              <w:spacing w:before="100" w:beforeAutospacing="1" w:after="100" w:afterAutospacing="1"/>
              <w:jc w:val="center"/>
              <w:rPr>
                <w:rFonts w:asciiTheme="minorEastAsia" w:hAnsiTheme="minorEastAsia" w:eastAsiaTheme="minorEastAsia" w:cstheme="minorEastAsia"/>
                <w:sz w:val="24"/>
              </w:rPr>
            </w:pP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183/</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20W/14W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asciiTheme="minorEastAsia" w:hAnsiTheme="minorEastAsia" w:eastAsiaTheme="minorEastAsia" w:cstheme="minorEastAsia"/>
                <w:sz w:val="24"/>
              </w:rPr>
              <w:t>5</w:t>
            </w:r>
          </w:p>
        </w:tc>
        <w:tc>
          <w:tcPr>
            <w:tcW w:w="3965" w:type="dxa"/>
            <w:vAlign w:val="center"/>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雷士/雷士NLED9256/TLED320D</w:t>
            </w:r>
          </w:p>
        </w:tc>
        <w:tc>
          <w:tcPr>
            <w:tcW w:w="1449" w:type="dxa"/>
            <w:vAlign w:val="center"/>
          </w:tcPr>
          <w:p>
            <w:pPr>
              <w:widowControl/>
              <w:spacing w:before="100" w:beforeAutospacing="1" w:after="100" w:afterAutospacing="1"/>
              <w:jc w:val="center"/>
              <w:rPr>
                <w:rFonts w:asciiTheme="minorEastAsia" w:hAnsiTheme="minorEastAsia" w:eastAsiaTheme="minorEastAsia" w:cstheme="minorEastAsia"/>
                <w:sz w:val="24"/>
              </w:rPr>
            </w:pP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164/146</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20W/35W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asciiTheme="minorEastAsia" w:hAnsiTheme="minorEastAsia" w:eastAsiaTheme="minorEastAsia" w:cstheme="minorEastAsia"/>
                <w:sz w:val="24"/>
              </w:rPr>
              <w:t>6</w:t>
            </w:r>
          </w:p>
        </w:tc>
        <w:tc>
          <w:tcPr>
            <w:tcW w:w="3965" w:type="dxa"/>
            <w:vAlign w:val="center"/>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三安/雷士SA-TD6W14TXD/LED T5F12</w:t>
            </w:r>
          </w:p>
        </w:tc>
        <w:tc>
          <w:tcPr>
            <w:tcW w:w="1449" w:type="dxa"/>
            <w:vAlign w:val="center"/>
          </w:tcPr>
          <w:p>
            <w:pPr>
              <w:widowControl/>
              <w:spacing w:before="100" w:beforeAutospacing="1" w:after="100" w:afterAutospacing="1"/>
              <w:jc w:val="center"/>
              <w:rPr>
                <w:rFonts w:asciiTheme="minorEastAsia" w:hAnsiTheme="minorEastAsia" w:eastAsiaTheme="minorEastAsia" w:cstheme="minorEastAsia"/>
                <w:sz w:val="24"/>
              </w:rPr>
            </w:pP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292/</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15W/14W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asciiTheme="minorEastAsia" w:hAnsiTheme="minorEastAsia" w:eastAsiaTheme="minorEastAsia" w:cstheme="minorEastAsia"/>
                <w:sz w:val="24"/>
              </w:rPr>
              <w:t>7</w:t>
            </w:r>
          </w:p>
        </w:tc>
        <w:tc>
          <w:tcPr>
            <w:tcW w:w="3965" w:type="dxa"/>
            <w:vAlign w:val="center"/>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三安SA-TD6W14TXD</w:t>
            </w:r>
          </w:p>
        </w:tc>
        <w:tc>
          <w:tcPr>
            <w:tcW w:w="1449" w:type="dxa"/>
            <w:vAlign w:val="center"/>
          </w:tcPr>
          <w:p>
            <w:pPr>
              <w:widowControl/>
              <w:spacing w:before="100" w:beforeAutospacing="1" w:after="100" w:afterAutospacing="1"/>
              <w:jc w:val="center"/>
              <w:rPr>
                <w:rFonts w:asciiTheme="minorEastAsia" w:hAnsiTheme="minorEastAsia" w:eastAsiaTheme="minorEastAsia" w:cstheme="minorEastAsia"/>
                <w:sz w:val="24"/>
              </w:rPr>
            </w:pP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763</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asciiTheme="minorEastAsia" w:hAnsiTheme="minorEastAsia" w:eastAsiaTheme="minorEastAsia" w:cstheme="minorEastAsia"/>
                <w:sz w:val="24"/>
              </w:rPr>
              <w:t>8</w:t>
            </w:r>
          </w:p>
        </w:tc>
        <w:tc>
          <w:tcPr>
            <w:tcW w:w="3965" w:type="dxa"/>
            <w:vAlign w:val="center"/>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BOE/三安T05NO5Q5000W-2/SA-TD6W14TXD</w:t>
            </w:r>
          </w:p>
        </w:tc>
        <w:tc>
          <w:tcPr>
            <w:tcW w:w="1449" w:type="dxa"/>
            <w:vAlign w:val="center"/>
          </w:tcPr>
          <w:p>
            <w:pPr>
              <w:widowControl/>
              <w:spacing w:before="100" w:beforeAutospacing="1" w:after="100" w:afterAutospacing="1"/>
              <w:jc w:val="center"/>
              <w:rPr>
                <w:rFonts w:asciiTheme="minorEastAsia" w:hAnsiTheme="minorEastAsia" w:eastAsiaTheme="minorEastAsia" w:cstheme="minorEastAsia"/>
                <w:sz w:val="24"/>
              </w:rPr>
            </w:pP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204/80</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10W/15W</w:t>
            </w:r>
          </w:p>
        </w:tc>
      </w:tr>
    </w:tbl>
    <w:p>
      <w:pPr>
        <w:spacing w:line="440" w:lineRule="exact"/>
        <w:rPr>
          <w:rFonts w:asciiTheme="minorEastAsia" w:hAnsiTheme="minorEastAsia" w:eastAsiaTheme="minorEastAsia" w:cstheme="minorEastAsia"/>
          <w:b/>
          <w:kern w:val="0"/>
          <w:sz w:val="24"/>
        </w:rPr>
      </w:pPr>
    </w:p>
    <w:p>
      <w:pPr>
        <w:spacing w:line="440" w:lineRule="exact"/>
        <w:rPr>
          <w:rFonts w:asciiTheme="minorEastAsia" w:hAnsiTheme="minorEastAsia" w:eastAsiaTheme="minorEastAsia" w:cstheme="minorEastAsia"/>
          <w:b/>
          <w:kern w:val="0"/>
          <w:sz w:val="24"/>
        </w:rPr>
      </w:pPr>
    </w:p>
    <w:p>
      <w:pPr>
        <w:spacing w:line="440" w:lineRule="exac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kern w:val="0"/>
          <w:sz w:val="24"/>
        </w:rPr>
        <w:t>蚌埠百货大楼</w:t>
      </w:r>
      <w:r>
        <w:rPr>
          <w:rFonts w:hint="eastAsia" w:asciiTheme="minorEastAsia" w:hAnsiTheme="minorEastAsia" w:eastAsiaTheme="minorEastAsia" w:cstheme="minorEastAsia"/>
          <w:b/>
          <w:bCs/>
          <w:kern w:val="0"/>
          <w:sz w:val="24"/>
        </w:rPr>
        <w:t>基准能耗表</w:t>
      </w:r>
    </w:p>
    <w:p>
      <w:pPr>
        <w:pStyle w:val="33"/>
        <w:ind w:firstLine="199" w:firstLineChars="95"/>
      </w:pPr>
    </w:p>
    <w:tbl>
      <w:tblPr>
        <w:tblStyle w:val="28"/>
        <w:tblW w:w="11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816"/>
        <w:gridCol w:w="816"/>
        <w:gridCol w:w="816"/>
        <w:gridCol w:w="816"/>
        <w:gridCol w:w="816"/>
        <w:gridCol w:w="816"/>
        <w:gridCol w:w="816"/>
        <w:gridCol w:w="816"/>
        <w:gridCol w:w="816"/>
        <w:gridCol w:w="816"/>
        <w:gridCol w:w="816"/>
        <w:gridCol w:w="816"/>
        <w:gridCol w:w="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124" w:type="dxa"/>
            <w:gridSpan w:val="14"/>
            <w:vAlign w:val="center"/>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百大集团蚌埠百货大楼2018年度用电能耗表（kw·h）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1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月份</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12月</w:t>
            </w:r>
          </w:p>
        </w:tc>
        <w:tc>
          <w:tcPr>
            <w:tcW w:w="9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1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耗量</w:t>
            </w: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132256 </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107145 </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100245 </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138073 </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160421 </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128398 </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195049 </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189939 </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153074 </w:t>
            </w:r>
          </w:p>
          <w:p>
            <w:pPr>
              <w:spacing w:before="100" w:beforeAutospacing="1" w:after="100" w:afterAutospacing="1"/>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147287 </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90717 </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141950 </w:t>
            </w:r>
          </w:p>
          <w:p>
            <w:pPr>
              <w:spacing w:before="100" w:beforeAutospacing="1" w:after="100" w:afterAutospacing="1"/>
              <w:jc w:val="center"/>
              <w:rPr>
                <w:rFonts w:asciiTheme="minorEastAsia" w:hAnsiTheme="minorEastAsia" w:eastAsiaTheme="minorEastAsia" w:cstheme="minorEastAsia"/>
                <w:sz w:val="20"/>
                <w:szCs w:val="20"/>
              </w:rPr>
            </w:pPr>
          </w:p>
        </w:tc>
        <w:tc>
          <w:tcPr>
            <w:tcW w:w="9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1684554 </w:t>
            </w:r>
          </w:p>
          <w:p>
            <w:pPr>
              <w:spacing w:before="100" w:beforeAutospacing="1" w:after="100" w:afterAutospacing="1"/>
              <w:jc w:val="center"/>
              <w:rPr>
                <w:rFonts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41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费用</w:t>
            </w: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119533.79</w:t>
            </w:r>
          </w:p>
          <w:p>
            <w:pPr>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96960.111</w:t>
            </w:r>
          </w:p>
          <w:p>
            <w:pPr>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91667.258</w:t>
            </w:r>
          </w:p>
          <w:p>
            <w:pPr>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122774.32</w:t>
            </w:r>
          </w:p>
          <w:p>
            <w:pPr>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142787.26</w:t>
            </w:r>
          </w:p>
          <w:p>
            <w:pPr>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118337.91</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170685.38</w:t>
            </w:r>
          </w:p>
          <w:p>
            <w:pPr>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170207.05</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109251.87</w:t>
            </w:r>
          </w:p>
          <w:p>
            <w:pPr>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121561.18</w:t>
            </w:r>
          </w:p>
          <w:p>
            <w:pPr>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74422.883</w:t>
            </w:r>
          </w:p>
          <w:p>
            <w:pPr>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116451.64</w:t>
            </w:r>
          </w:p>
          <w:p>
            <w:pPr>
              <w:jc w:val="center"/>
              <w:rPr>
                <w:rFonts w:asciiTheme="minorEastAsia" w:hAnsiTheme="minorEastAsia" w:eastAsiaTheme="minorEastAsia" w:cstheme="minorEastAsia"/>
                <w:sz w:val="20"/>
                <w:szCs w:val="20"/>
              </w:rPr>
            </w:pPr>
          </w:p>
        </w:tc>
        <w:tc>
          <w:tcPr>
            <w:tcW w:w="9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1454641 </w:t>
            </w:r>
          </w:p>
          <w:p>
            <w:pPr>
              <w:jc w:val="center"/>
              <w:rPr>
                <w:rFonts w:asciiTheme="minorEastAsia" w:hAnsiTheme="minorEastAsia" w:eastAsiaTheme="minorEastAsia" w:cstheme="minorEastAsia"/>
                <w:sz w:val="20"/>
                <w:szCs w:val="20"/>
              </w:rPr>
            </w:pPr>
          </w:p>
        </w:tc>
      </w:tr>
    </w:tbl>
    <w:p>
      <w:pPr>
        <w:spacing w:line="440" w:lineRule="exact"/>
        <w:rPr>
          <w:rFonts w:asciiTheme="minorEastAsia" w:hAnsiTheme="minorEastAsia" w:eastAsiaTheme="minorEastAsia" w:cstheme="minorEastAsia"/>
          <w:b/>
          <w:bCs/>
          <w:sz w:val="24"/>
        </w:rPr>
      </w:pPr>
    </w:p>
    <w:tbl>
      <w:tblPr>
        <w:tblStyle w:val="28"/>
        <w:tblW w:w="11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817"/>
        <w:gridCol w:w="799"/>
        <w:gridCol w:w="716"/>
        <w:gridCol w:w="849"/>
        <w:gridCol w:w="849"/>
        <w:gridCol w:w="774"/>
        <w:gridCol w:w="816"/>
        <w:gridCol w:w="827"/>
        <w:gridCol w:w="806"/>
        <w:gridCol w:w="799"/>
        <w:gridCol w:w="813"/>
        <w:gridCol w:w="853"/>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1" w:type="dxa"/>
            <w:gridSpan w:val="14"/>
            <w:vAlign w:val="center"/>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百大集团蚌埠百货大楼2018年度燃气能耗表（m</w:t>
            </w:r>
            <w:r>
              <w:rPr>
                <w:rFonts w:hint="eastAsia" w:asciiTheme="minorEastAsia" w:hAnsiTheme="minorEastAsia" w:eastAsiaTheme="minorEastAsia" w:cstheme="minorEastAsia"/>
                <w:sz w:val="24"/>
                <w:vertAlign w:val="superscript"/>
              </w:rPr>
              <w:t>3</w:t>
            </w:r>
            <w:r>
              <w:rPr>
                <w:rFonts w:hint="eastAsia" w:asciiTheme="minorEastAsia" w:hAnsiTheme="minorEastAsia" w:eastAsiaTheme="minorEastAsia" w:cs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月份</w:t>
            </w:r>
          </w:p>
        </w:tc>
        <w:tc>
          <w:tcPr>
            <w:tcW w:w="817"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1月</w:t>
            </w:r>
          </w:p>
        </w:tc>
        <w:tc>
          <w:tcPr>
            <w:tcW w:w="799"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2月</w:t>
            </w:r>
          </w:p>
        </w:tc>
        <w:tc>
          <w:tcPr>
            <w:tcW w:w="7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3月</w:t>
            </w:r>
          </w:p>
        </w:tc>
        <w:tc>
          <w:tcPr>
            <w:tcW w:w="849"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4月</w:t>
            </w:r>
          </w:p>
        </w:tc>
        <w:tc>
          <w:tcPr>
            <w:tcW w:w="849"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5月</w:t>
            </w:r>
          </w:p>
        </w:tc>
        <w:tc>
          <w:tcPr>
            <w:tcW w:w="774"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7月</w:t>
            </w:r>
          </w:p>
        </w:tc>
        <w:tc>
          <w:tcPr>
            <w:tcW w:w="827"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8月</w:t>
            </w:r>
          </w:p>
        </w:tc>
        <w:tc>
          <w:tcPr>
            <w:tcW w:w="80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9月</w:t>
            </w:r>
          </w:p>
        </w:tc>
        <w:tc>
          <w:tcPr>
            <w:tcW w:w="799"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10月</w:t>
            </w:r>
          </w:p>
        </w:tc>
        <w:tc>
          <w:tcPr>
            <w:tcW w:w="813"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11月</w:t>
            </w:r>
          </w:p>
        </w:tc>
        <w:tc>
          <w:tcPr>
            <w:tcW w:w="853"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12月</w:t>
            </w:r>
          </w:p>
        </w:tc>
        <w:tc>
          <w:tcPr>
            <w:tcW w:w="927"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耗量</w:t>
            </w:r>
          </w:p>
        </w:tc>
        <w:tc>
          <w:tcPr>
            <w:tcW w:w="817"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26032</w:t>
            </w:r>
          </w:p>
          <w:p>
            <w:pPr>
              <w:spacing w:before="100" w:beforeAutospacing="1" w:after="100" w:afterAutospacing="1"/>
              <w:jc w:val="center"/>
              <w:rPr>
                <w:rFonts w:asciiTheme="minorEastAsia" w:hAnsiTheme="minorEastAsia" w:eastAsiaTheme="minorEastAsia" w:cstheme="minorEastAsia"/>
                <w:sz w:val="20"/>
                <w:szCs w:val="20"/>
              </w:rPr>
            </w:pPr>
          </w:p>
        </w:tc>
        <w:tc>
          <w:tcPr>
            <w:tcW w:w="799"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16832</w:t>
            </w:r>
          </w:p>
          <w:p>
            <w:pPr>
              <w:spacing w:before="100" w:beforeAutospacing="1" w:after="100" w:afterAutospacing="1"/>
              <w:jc w:val="center"/>
              <w:rPr>
                <w:rFonts w:asciiTheme="minorEastAsia" w:hAnsiTheme="minorEastAsia" w:eastAsiaTheme="minorEastAsia" w:cstheme="minorEastAsia"/>
                <w:sz w:val="20"/>
                <w:szCs w:val="20"/>
              </w:rPr>
            </w:pPr>
          </w:p>
        </w:tc>
        <w:tc>
          <w:tcPr>
            <w:tcW w:w="7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1362</w:t>
            </w:r>
          </w:p>
          <w:p>
            <w:pPr>
              <w:spacing w:before="100" w:beforeAutospacing="1" w:after="100" w:afterAutospacing="1"/>
              <w:jc w:val="center"/>
              <w:rPr>
                <w:rFonts w:asciiTheme="minorEastAsia" w:hAnsiTheme="minorEastAsia" w:eastAsiaTheme="minorEastAsia" w:cstheme="minorEastAsia"/>
                <w:sz w:val="20"/>
                <w:szCs w:val="20"/>
              </w:rPr>
            </w:pPr>
          </w:p>
        </w:tc>
        <w:tc>
          <w:tcPr>
            <w:tcW w:w="849"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5107</w:t>
            </w:r>
          </w:p>
          <w:p>
            <w:pPr>
              <w:spacing w:before="100" w:beforeAutospacing="1" w:after="100" w:afterAutospacing="1"/>
              <w:jc w:val="center"/>
              <w:rPr>
                <w:rFonts w:asciiTheme="minorEastAsia" w:hAnsiTheme="minorEastAsia" w:eastAsiaTheme="minorEastAsia" w:cstheme="minorEastAsia"/>
                <w:sz w:val="20"/>
                <w:szCs w:val="20"/>
              </w:rPr>
            </w:pPr>
          </w:p>
        </w:tc>
        <w:tc>
          <w:tcPr>
            <w:tcW w:w="849"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15190</w:t>
            </w:r>
          </w:p>
          <w:p>
            <w:pPr>
              <w:spacing w:before="100" w:beforeAutospacing="1" w:after="100" w:afterAutospacing="1"/>
              <w:jc w:val="center"/>
              <w:rPr>
                <w:rFonts w:asciiTheme="minorEastAsia" w:hAnsiTheme="minorEastAsia" w:eastAsiaTheme="minorEastAsia" w:cstheme="minorEastAsia"/>
                <w:sz w:val="20"/>
                <w:szCs w:val="20"/>
              </w:rPr>
            </w:pPr>
          </w:p>
        </w:tc>
        <w:tc>
          <w:tcPr>
            <w:tcW w:w="774"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26593</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39793</w:t>
            </w:r>
          </w:p>
          <w:p>
            <w:pPr>
              <w:spacing w:before="100" w:beforeAutospacing="1" w:after="100" w:afterAutospacing="1"/>
              <w:jc w:val="center"/>
              <w:rPr>
                <w:rFonts w:asciiTheme="minorEastAsia" w:hAnsiTheme="minorEastAsia" w:eastAsiaTheme="minorEastAsia" w:cstheme="minorEastAsia"/>
                <w:sz w:val="20"/>
                <w:szCs w:val="20"/>
              </w:rPr>
            </w:pPr>
          </w:p>
        </w:tc>
        <w:tc>
          <w:tcPr>
            <w:tcW w:w="827"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42370</w:t>
            </w:r>
          </w:p>
          <w:p>
            <w:pPr>
              <w:spacing w:before="100" w:beforeAutospacing="1" w:after="100" w:afterAutospacing="1"/>
              <w:jc w:val="center"/>
              <w:rPr>
                <w:rFonts w:asciiTheme="minorEastAsia" w:hAnsiTheme="minorEastAsia" w:eastAsiaTheme="minorEastAsia" w:cstheme="minorEastAsia"/>
                <w:sz w:val="20"/>
                <w:szCs w:val="20"/>
              </w:rPr>
            </w:pPr>
          </w:p>
        </w:tc>
        <w:tc>
          <w:tcPr>
            <w:tcW w:w="80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30312</w:t>
            </w:r>
          </w:p>
          <w:p>
            <w:pPr>
              <w:spacing w:before="100" w:beforeAutospacing="1" w:after="100" w:afterAutospacing="1"/>
              <w:jc w:val="center"/>
              <w:rPr>
                <w:rFonts w:asciiTheme="minorEastAsia" w:hAnsiTheme="minorEastAsia" w:eastAsiaTheme="minorEastAsia" w:cstheme="minorEastAsia"/>
                <w:sz w:val="20"/>
                <w:szCs w:val="20"/>
              </w:rPr>
            </w:pPr>
          </w:p>
        </w:tc>
        <w:tc>
          <w:tcPr>
            <w:tcW w:w="799"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8942</w:t>
            </w:r>
          </w:p>
          <w:p>
            <w:pPr>
              <w:spacing w:before="100" w:beforeAutospacing="1" w:after="100" w:afterAutospacing="1"/>
              <w:jc w:val="center"/>
              <w:rPr>
                <w:rFonts w:asciiTheme="minorEastAsia" w:hAnsiTheme="minorEastAsia" w:eastAsiaTheme="minorEastAsia" w:cstheme="minorEastAsia"/>
                <w:sz w:val="20"/>
                <w:szCs w:val="20"/>
              </w:rPr>
            </w:pPr>
          </w:p>
        </w:tc>
        <w:tc>
          <w:tcPr>
            <w:tcW w:w="813"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1290</w:t>
            </w:r>
          </w:p>
          <w:p>
            <w:pPr>
              <w:spacing w:before="100" w:beforeAutospacing="1" w:after="100" w:afterAutospacing="1"/>
              <w:jc w:val="center"/>
              <w:rPr>
                <w:rFonts w:asciiTheme="minorEastAsia" w:hAnsiTheme="minorEastAsia" w:eastAsiaTheme="minorEastAsia" w:cstheme="minorEastAsia"/>
                <w:sz w:val="20"/>
                <w:szCs w:val="20"/>
              </w:rPr>
            </w:pPr>
          </w:p>
        </w:tc>
        <w:tc>
          <w:tcPr>
            <w:tcW w:w="853"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15812</w:t>
            </w:r>
          </w:p>
          <w:p>
            <w:pPr>
              <w:spacing w:before="100" w:beforeAutospacing="1" w:after="100" w:afterAutospacing="1"/>
              <w:jc w:val="center"/>
              <w:rPr>
                <w:rFonts w:asciiTheme="minorEastAsia" w:hAnsiTheme="minorEastAsia" w:eastAsiaTheme="minorEastAsia" w:cstheme="minorEastAsia"/>
                <w:sz w:val="20"/>
                <w:szCs w:val="20"/>
              </w:rPr>
            </w:pPr>
          </w:p>
        </w:tc>
        <w:tc>
          <w:tcPr>
            <w:tcW w:w="927"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229635 </w:t>
            </w:r>
          </w:p>
          <w:p>
            <w:pPr>
              <w:spacing w:before="100" w:beforeAutospacing="1" w:after="100" w:afterAutospacing="1"/>
              <w:jc w:val="center"/>
              <w:rPr>
                <w:rFonts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费用</w:t>
            </w:r>
          </w:p>
        </w:tc>
        <w:tc>
          <w:tcPr>
            <w:tcW w:w="817"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83563 </w:t>
            </w:r>
          </w:p>
          <w:p>
            <w:pPr>
              <w:spacing w:before="100" w:beforeAutospacing="1" w:after="100" w:afterAutospacing="1"/>
              <w:jc w:val="center"/>
              <w:rPr>
                <w:rFonts w:asciiTheme="minorEastAsia" w:hAnsiTheme="minorEastAsia" w:eastAsiaTheme="minorEastAsia" w:cstheme="minorEastAsia"/>
                <w:sz w:val="20"/>
                <w:szCs w:val="20"/>
              </w:rPr>
            </w:pPr>
          </w:p>
        </w:tc>
        <w:tc>
          <w:tcPr>
            <w:tcW w:w="799"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54031 </w:t>
            </w:r>
          </w:p>
          <w:p>
            <w:pPr>
              <w:spacing w:before="100" w:beforeAutospacing="1" w:after="100" w:afterAutospacing="1"/>
              <w:jc w:val="center"/>
              <w:rPr>
                <w:rFonts w:asciiTheme="minorEastAsia" w:hAnsiTheme="minorEastAsia" w:eastAsiaTheme="minorEastAsia" w:cstheme="minorEastAsia"/>
                <w:sz w:val="20"/>
                <w:szCs w:val="20"/>
              </w:rPr>
            </w:pPr>
          </w:p>
        </w:tc>
        <w:tc>
          <w:tcPr>
            <w:tcW w:w="7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4372 </w:t>
            </w:r>
          </w:p>
          <w:p>
            <w:pPr>
              <w:spacing w:before="100" w:beforeAutospacing="1" w:after="100" w:afterAutospacing="1"/>
              <w:jc w:val="center"/>
              <w:rPr>
                <w:rFonts w:asciiTheme="minorEastAsia" w:hAnsiTheme="minorEastAsia" w:eastAsiaTheme="minorEastAsia" w:cstheme="minorEastAsia"/>
                <w:sz w:val="20"/>
                <w:szCs w:val="20"/>
              </w:rPr>
            </w:pPr>
          </w:p>
        </w:tc>
        <w:tc>
          <w:tcPr>
            <w:tcW w:w="849"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15781 </w:t>
            </w:r>
          </w:p>
          <w:p>
            <w:pPr>
              <w:spacing w:before="100" w:beforeAutospacing="1" w:after="100" w:afterAutospacing="1"/>
              <w:jc w:val="center"/>
              <w:rPr>
                <w:rFonts w:asciiTheme="minorEastAsia" w:hAnsiTheme="minorEastAsia" w:eastAsiaTheme="minorEastAsia" w:cstheme="minorEastAsia"/>
                <w:sz w:val="20"/>
                <w:szCs w:val="20"/>
              </w:rPr>
            </w:pPr>
          </w:p>
        </w:tc>
        <w:tc>
          <w:tcPr>
            <w:tcW w:w="849"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46937 </w:t>
            </w:r>
          </w:p>
          <w:p>
            <w:pPr>
              <w:spacing w:before="100" w:beforeAutospacing="1" w:after="100" w:afterAutospacing="1"/>
              <w:jc w:val="center"/>
              <w:rPr>
                <w:rFonts w:asciiTheme="minorEastAsia" w:hAnsiTheme="minorEastAsia" w:eastAsiaTheme="minorEastAsia" w:cstheme="minorEastAsia"/>
                <w:sz w:val="20"/>
                <w:szCs w:val="20"/>
              </w:rPr>
            </w:pPr>
          </w:p>
        </w:tc>
        <w:tc>
          <w:tcPr>
            <w:tcW w:w="774"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82172 </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122960 </w:t>
            </w:r>
          </w:p>
          <w:p>
            <w:pPr>
              <w:spacing w:before="100" w:beforeAutospacing="1" w:after="100" w:afterAutospacing="1"/>
              <w:jc w:val="center"/>
              <w:rPr>
                <w:rFonts w:asciiTheme="minorEastAsia" w:hAnsiTheme="minorEastAsia" w:eastAsiaTheme="minorEastAsia" w:cstheme="minorEastAsia"/>
                <w:sz w:val="20"/>
                <w:szCs w:val="20"/>
              </w:rPr>
            </w:pPr>
          </w:p>
        </w:tc>
        <w:tc>
          <w:tcPr>
            <w:tcW w:w="827"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130923 </w:t>
            </w:r>
          </w:p>
          <w:p>
            <w:pPr>
              <w:spacing w:before="100" w:beforeAutospacing="1" w:after="100" w:afterAutospacing="1"/>
              <w:jc w:val="center"/>
              <w:rPr>
                <w:rFonts w:asciiTheme="minorEastAsia" w:hAnsiTheme="minorEastAsia" w:eastAsiaTheme="minorEastAsia" w:cstheme="minorEastAsia"/>
                <w:sz w:val="20"/>
                <w:szCs w:val="20"/>
              </w:rPr>
            </w:pPr>
          </w:p>
        </w:tc>
        <w:tc>
          <w:tcPr>
            <w:tcW w:w="80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93664 </w:t>
            </w:r>
          </w:p>
          <w:p>
            <w:pPr>
              <w:spacing w:before="100" w:beforeAutospacing="1" w:after="100" w:afterAutospacing="1"/>
              <w:jc w:val="center"/>
              <w:rPr>
                <w:rFonts w:asciiTheme="minorEastAsia" w:hAnsiTheme="minorEastAsia" w:eastAsiaTheme="minorEastAsia" w:cstheme="minorEastAsia"/>
                <w:sz w:val="20"/>
                <w:szCs w:val="20"/>
              </w:rPr>
            </w:pPr>
          </w:p>
        </w:tc>
        <w:tc>
          <w:tcPr>
            <w:tcW w:w="799"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27631 </w:t>
            </w:r>
          </w:p>
          <w:p>
            <w:pPr>
              <w:spacing w:before="100" w:beforeAutospacing="1" w:after="100" w:afterAutospacing="1"/>
              <w:jc w:val="center"/>
              <w:rPr>
                <w:rFonts w:asciiTheme="minorEastAsia" w:hAnsiTheme="minorEastAsia" w:eastAsiaTheme="minorEastAsia" w:cstheme="minorEastAsia"/>
                <w:sz w:val="20"/>
                <w:szCs w:val="20"/>
              </w:rPr>
            </w:pPr>
          </w:p>
        </w:tc>
        <w:tc>
          <w:tcPr>
            <w:tcW w:w="813"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4670 </w:t>
            </w:r>
          </w:p>
          <w:p>
            <w:pPr>
              <w:spacing w:before="100" w:beforeAutospacing="1" w:after="100" w:afterAutospacing="1"/>
              <w:jc w:val="center"/>
              <w:rPr>
                <w:rFonts w:asciiTheme="minorEastAsia" w:hAnsiTheme="minorEastAsia" w:eastAsiaTheme="minorEastAsia" w:cstheme="minorEastAsia"/>
                <w:sz w:val="20"/>
                <w:szCs w:val="20"/>
              </w:rPr>
            </w:pPr>
          </w:p>
        </w:tc>
        <w:tc>
          <w:tcPr>
            <w:tcW w:w="853"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57239 </w:t>
            </w:r>
          </w:p>
          <w:p>
            <w:pPr>
              <w:spacing w:before="100" w:beforeAutospacing="1" w:after="100" w:afterAutospacing="1"/>
              <w:jc w:val="center"/>
              <w:rPr>
                <w:rFonts w:asciiTheme="minorEastAsia" w:hAnsiTheme="minorEastAsia" w:eastAsiaTheme="minorEastAsia" w:cstheme="minorEastAsia"/>
                <w:sz w:val="20"/>
                <w:szCs w:val="20"/>
              </w:rPr>
            </w:pPr>
          </w:p>
        </w:tc>
        <w:tc>
          <w:tcPr>
            <w:tcW w:w="927"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723943 </w:t>
            </w:r>
          </w:p>
          <w:p>
            <w:pPr>
              <w:spacing w:before="100" w:beforeAutospacing="1" w:after="100" w:afterAutospacing="1"/>
              <w:jc w:val="center"/>
              <w:rPr>
                <w:rFonts w:asciiTheme="minorEastAsia" w:hAnsiTheme="minorEastAsia" w:eastAsiaTheme="minorEastAsia" w:cstheme="minorEastAsia"/>
                <w:sz w:val="20"/>
                <w:szCs w:val="20"/>
              </w:rPr>
            </w:pPr>
          </w:p>
        </w:tc>
      </w:tr>
    </w:tbl>
    <w:p>
      <w:pPr>
        <w:pStyle w:val="33"/>
        <w:ind w:firstLine="420"/>
      </w:pPr>
    </w:p>
    <w:tbl>
      <w:tblPr>
        <w:tblStyle w:val="28"/>
        <w:tblW w:w="11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816"/>
        <w:gridCol w:w="816"/>
        <w:gridCol w:w="816"/>
        <w:gridCol w:w="816"/>
        <w:gridCol w:w="816"/>
        <w:gridCol w:w="816"/>
        <w:gridCol w:w="816"/>
        <w:gridCol w:w="816"/>
        <w:gridCol w:w="816"/>
        <w:gridCol w:w="816"/>
        <w:gridCol w:w="816"/>
        <w:gridCol w:w="816"/>
        <w:gridCol w:w="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124" w:type="dxa"/>
            <w:gridSpan w:val="14"/>
            <w:vAlign w:val="center"/>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百大集团蚌埠百货大楼2019年度用电能耗表（kw·h）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1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月份</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12月</w:t>
            </w:r>
          </w:p>
        </w:tc>
        <w:tc>
          <w:tcPr>
            <w:tcW w:w="9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1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耗量</w:t>
            </w:r>
          </w:p>
        </w:tc>
        <w:tc>
          <w:tcPr>
            <w:tcW w:w="81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132679</w:t>
            </w:r>
          </w:p>
        </w:tc>
        <w:tc>
          <w:tcPr>
            <w:tcW w:w="81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122824</w:t>
            </w:r>
          </w:p>
        </w:tc>
        <w:tc>
          <w:tcPr>
            <w:tcW w:w="81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93914</w:t>
            </w:r>
          </w:p>
        </w:tc>
        <w:tc>
          <w:tcPr>
            <w:tcW w:w="81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108209</w:t>
            </w:r>
          </w:p>
        </w:tc>
        <w:tc>
          <w:tcPr>
            <w:tcW w:w="81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147482</w:t>
            </w:r>
          </w:p>
        </w:tc>
        <w:tc>
          <w:tcPr>
            <w:tcW w:w="81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162002</w:t>
            </w:r>
          </w:p>
        </w:tc>
        <w:tc>
          <w:tcPr>
            <w:tcW w:w="81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175348</w:t>
            </w:r>
          </w:p>
        </w:tc>
        <w:tc>
          <w:tcPr>
            <w:tcW w:w="81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193486</w:t>
            </w:r>
          </w:p>
        </w:tc>
        <w:tc>
          <w:tcPr>
            <w:tcW w:w="816" w:type="dxa"/>
          </w:tcPr>
          <w:p>
            <w:pPr>
              <w:spacing w:before="100" w:beforeAutospacing="1" w:after="100" w:afterAutospacing="1"/>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144501</w:t>
            </w:r>
          </w:p>
        </w:tc>
        <w:tc>
          <w:tcPr>
            <w:tcW w:w="81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131976</w:t>
            </w:r>
          </w:p>
        </w:tc>
        <w:tc>
          <w:tcPr>
            <w:tcW w:w="81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105393</w:t>
            </w:r>
          </w:p>
        </w:tc>
        <w:tc>
          <w:tcPr>
            <w:tcW w:w="81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96670</w:t>
            </w:r>
          </w:p>
        </w:tc>
        <w:tc>
          <w:tcPr>
            <w:tcW w:w="91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1614484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41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费用</w:t>
            </w: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94145.638</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87143.476</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66668.24</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77051.411</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100237.05</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112863.07</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113649.74</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125521.3</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93637.918</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85325.762</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67958.08</w:t>
            </w:r>
          </w:p>
          <w:p>
            <w:pPr>
              <w:spacing w:before="100" w:beforeAutospacing="1" w:after="100" w:afterAutospacing="1"/>
              <w:jc w:val="center"/>
              <w:rPr>
                <w:rFonts w:asciiTheme="minorEastAsia" w:hAnsiTheme="minorEastAsia" w:eastAsiaTheme="minorEastAsia" w:cstheme="minorEastAsia"/>
                <w:sz w:val="20"/>
                <w:szCs w:val="20"/>
              </w:rPr>
            </w:pPr>
          </w:p>
        </w:tc>
        <w:tc>
          <w:tcPr>
            <w:tcW w:w="8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62153.979</w:t>
            </w:r>
          </w:p>
          <w:p>
            <w:pPr>
              <w:spacing w:before="100" w:beforeAutospacing="1" w:after="100" w:afterAutospacing="1"/>
              <w:jc w:val="center"/>
              <w:rPr>
                <w:rFonts w:asciiTheme="minorEastAsia" w:hAnsiTheme="minorEastAsia" w:eastAsiaTheme="minorEastAsia" w:cstheme="minorEastAsia"/>
                <w:sz w:val="20"/>
                <w:szCs w:val="20"/>
              </w:rPr>
            </w:pPr>
          </w:p>
        </w:tc>
        <w:tc>
          <w:tcPr>
            <w:tcW w:w="916" w:type="dxa"/>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1086355.7</w:t>
            </w:r>
          </w:p>
          <w:p>
            <w:pPr>
              <w:spacing w:before="100" w:beforeAutospacing="1" w:after="100" w:afterAutospacing="1"/>
              <w:jc w:val="center"/>
              <w:rPr>
                <w:rFonts w:asciiTheme="minorEastAsia" w:hAnsiTheme="minorEastAsia" w:eastAsiaTheme="minorEastAsia" w:cstheme="minorEastAsia"/>
                <w:sz w:val="20"/>
                <w:szCs w:val="20"/>
              </w:rPr>
            </w:pPr>
          </w:p>
        </w:tc>
      </w:tr>
    </w:tbl>
    <w:p>
      <w:pPr>
        <w:spacing w:line="440" w:lineRule="exact"/>
        <w:rPr>
          <w:rFonts w:asciiTheme="minorEastAsia" w:hAnsiTheme="minorEastAsia" w:eastAsiaTheme="minorEastAsia" w:cstheme="minorEastAsia"/>
          <w:b/>
          <w:bCs/>
          <w:sz w:val="24"/>
        </w:rPr>
      </w:pPr>
    </w:p>
    <w:tbl>
      <w:tblPr>
        <w:tblStyle w:val="28"/>
        <w:tblW w:w="11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817"/>
        <w:gridCol w:w="799"/>
        <w:gridCol w:w="716"/>
        <w:gridCol w:w="849"/>
        <w:gridCol w:w="849"/>
        <w:gridCol w:w="774"/>
        <w:gridCol w:w="816"/>
        <w:gridCol w:w="827"/>
        <w:gridCol w:w="806"/>
        <w:gridCol w:w="799"/>
        <w:gridCol w:w="813"/>
        <w:gridCol w:w="853"/>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51" w:type="dxa"/>
            <w:gridSpan w:val="14"/>
            <w:vAlign w:val="center"/>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百大集团蚌埠百货大楼2019年度燃气能耗表（m</w:t>
            </w:r>
            <w:r>
              <w:rPr>
                <w:rFonts w:hint="eastAsia" w:asciiTheme="minorEastAsia" w:hAnsiTheme="minorEastAsia" w:eastAsiaTheme="minorEastAsia" w:cstheme="minorEastAsia"/>
                <w:sz w:val="24"/>
                <w:vertAlign w:val="superscript"/>
              </w:rPr>
              <w:t>3</w:t>
            </w:r>
            <w:r>
              <w:rPr>
                <w:rFonts w:hint="eastAsia" w:asciiTheme="minorEastAsia" w:hAnsiTheme="minorEastAsia" w:eastAsiaTheme="minorEastAsia" w:cs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月份</w:t>
            </w:r>
          </w:p>
        </w:tc>
        <w:tc>
          <w:tcPr>
            <w:tcW w:w="817"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1月</w:t>
            </w:r>
          </w:p>
        </w:tc>
        <w:tc>
          <w:tcPr>
            <w:tcW w:w="799"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2月</w:t>
            </w:r>
          </w:p>
        </w:tc>
        <w:tc>
          <w:tcPr>
            <w:tcW w:w="7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3月</w:t>
            </w:r>
          </w:p>
        </w:tc>
        <w:tc>
          <w:tcPr>
            <w:tcW w:w="849"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4月</w:t>
            </w:r>
          </w:p>
        </w:tc>
        <w:tc>
          <w:tcPr>
            <w:tcW w:w="849"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5月</w:t>
            </w:r>
          </w:p>
        </w:tc>
        <w:tc>
          <w:tcPr>
            <w:tcW w:w="774"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6月</w:t>
            </w:r>
          </w:p>
        </w:tc>
        <w:tc>
          <w:tcPr>
            <w:tcW w:w="81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7月</w:t>
            </w:r>
          </w:p>
        </w:tc>
        <w:tc>
          <w:tcPr>
            <w:tcW w:w="827"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8月</w:t>
            </w:r>
          </w:p>
        </w:tc>
        <w:tc>
          <w:tcPr>
            <w:tcW w:w="806"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9月</w:t>
            </w:r>
          </w:p>
        </w:tc>
        <w:tc>
          <w:tcPr>
            <w:tcW w:w="799"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10月</w:t>
            </w:r>
          </w:p>
        </w:tc>
        <w:tc>
          <w:tcPr>
            <w:tcW w:w="813"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11月</w:t>
            </w:r>
          </w:p>
        </w:tc>
        <w:tc>
          <w:tcPr>
            <w:tcW w:w="853"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12月</w:t>
            </w:r>
          </w:p>
        </w:tc>
        <w:tc>
          <w:tcPr>
            <w:tcW w:w="927" w:type="dxa"/>
          </w:tcPr>
          <w:p>
            <w:pPr>
              <w:spacing w:before="100" w:beforeAutospacing="1" w:after="100" w:afterAutospacing="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耗量</w:t>
            </w:r>
          </w:p>
        </w:tc>
        <w:tc>
          <w:tcPr>
            <w:tcW w:w="817"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29783 </w:t>
            </w:r>
          </w:p>
        </w:tc>
        <w:tc>
          <w:tcPr>
            <w:tcW w:w="799"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24404 </w:t>
            </w:r>
          </w:p>
        </w:tc>
        <w:tc>
          <w:tcPr>
            <w:tcW w:w="716"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4088 </w:t>
            </w:r>
          </w:p>
        </w:tc>
        <w:tc>
          <w:tcPr>
            <w:tcW w:w="849"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1624 </w:t>
            </w:r>
          </w:p>
        </w:tc>
        <w:tc>
          <w:tcPr>
            <w:tcW w:w="849"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15302 </w:t>
            </w:r>
          </w:p>
        </w:tc>
        <w:tc>
          <w:tcPr>
            <w:tcW w:w="774"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24111 </w:t>
            </w:r>
          </w:p>
        </w:tc>
        <w:tc>
          <w:tcPr>
            <w:tcW w:w="816"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33062 </w:t>
            </w:r>
          </w:p>
        </w:tc>
        <w:tc>
          <w:tcPr>
            <w:tcW w:w="827"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37756 </w:t>
            </w:r>
          </w:p>
        </w:tc>
        <w:tc>
          <w:tcPr>
            <w:tcW w:w="806"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23976 </w:t>
            </w:r>
          </w:p>
        </w:tc>
        <w:tc>
          <w:tcPr>
            <w:tcW w:w="799"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11784 </w:t>
            </w:r>
          </w:p>
        </w:tc>
        <w:tc>
          <w:tcPr>
            <w:tcW w:w="813"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3366 </w:t>
            </w:r>
          </w:p>
        </w:tc>
        <w:tc>
          <w:tcPr>
            <w:tcW w:w="853"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12119 </w:t>
            </w:r>
          </w:p>
        </w:tc>
        <w:tc>
          <w:tcPr>
            <w:tcW w:w="927"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221375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tcPr>
          <w:p>
            <w:pPr>
              <w:spacing w:before="100" w:beforeAutospacing="1" w:after="100" w:afterAutospacing="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费用</w:t>
            </w:r>
          </w:p>
        </w:tc>
        <w:tc>
          <w:tcPr>
            <w:tcW w:w="817"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107814 </w:t>
            </w:r>
          </w:p>
        </w:tc>
        <w:tc>
          <w:tcPr>
            <w:tcW w:w="799"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88342 </w:t>
            </w:r>
          </w:p>
        </w:tc>
        <w:tc>
          <w:tcPr>
            <w:tcW w:w="716"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14799 </w:t>
            </w:r>
          </w:p>
        </w:tc>
        <w:tc>
          <w:tcPr>
            <w:tcW w:w="849"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5018 </w:t>
            </w:r>
          </w:p>
        </w:tc>
        <w:tc>
          <w:tcPr>
            <w:tcW w:w="849"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47283 </w:t>
            </w:r>
          </w:p>
        </w:tc>
        <w:tc>
          <w:tcPr>
            <w:tcW w:w="774"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74503 </w:t>
            </w:r>
          </w:p>
        </w:tc>
        <w:tc>
          <w:tcPr>
            <w:tcW w:w="816"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102162 </w:t>
            </w:r>
          </w:p>
        </w:tc>
        <w:tc>
          <w:tcPr>
            <w:tcW w:w="827"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116666 </w:t>
            </w:r>
          </w:p>
        </w:tc>
        <w:tc>
          <w:tcPr>
            <w:tcW w:w="806"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74086 </w:t>
            </w:r>
          </w:p>
        </w:tc>
        <w:tc>
          <w:tcPr>
            <w:tcW w:w="799"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36413 </w:t>
            </w:r>
          </w:p>
        </w:tc>
        <w:tc>
          <w:tcPr>
            <w:tcW w:w="813"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10401 </w:t>
            </w:r>
          </w:p>
        </w:tc>
        <w:tc>
          <w:tcPr>
            <w:tcW w:w="853"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37448 </w:t>
            </w:r>
          </w:p>
        </w:tc>
        <w:tc>
          <w:tcPr>
            <w:tcW w:w="927" w:type="dxa"/>
          </w:tcPr>
          <w:p>
            <w:pPr>
              <w:spacing w:before="100" w:beforeAutospacing="1" w:after="100" w:afterAutospacing="1"/>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 xml:space="preserve">714935 </w:t>
            </w:r>
          </w:p>
        </w:tc>
      </w:tr>
    </w:tbl>
    <w:p>
      <w:pPr>
        <w:pStyle w:val="33"/>
        <w:ind w:firstLine="0" w:firstLineChars="0"/>
      </w:pPr>
    </w:p>
    <w:p>
      <w:pPr>
        <w:autoSpaceDE w:val="0"/>
        <w:autoSpaceDN w:val="0"/>
        <w:adjustRightInd w:val="0"/>
        <w:spacing w:line="360" w:lineRule="auto"/>
        <w:ind w:left="1500" w:leftChars="200" w:hanging="1080" w:hangingChars="4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备注：1、以上全部数据由合肥百货大楼集团蚌埠百货大楼有限责任公司提供，双方已经确认；</w:t>
      </w:r>
    </w:p>
    <w:p>
      <w:pPr>
        <w:autoSpaceDE w:val="0"/>
        <w:autoSpaceDN w:val="0"/>
        <w:adjustRightInd w:val="0"/>
        <w:spacing w:line="360" w:lineRule="auto"/>
        <w:ind w:firstLine="1560" w:firstLineChars="6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甲方代表签字：                             乙方代表签字：</w:t>
      </w:r>
    </w:p>
    <w:p>
      <w:p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甲方（盖章）：                             乙方（盖章）：</w:t>
      </w: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附件3、节能量测量及节能效益分成计算</w:t>
      </w:r>
    </w:p>
    <w:p>
      <w:pPr>
        <w:autoSpaceDE w:val="0"/>
        <w:autoSpaceDN w:val="0"/>
        <w:adjustRightInd w:val="0"/>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节能量测量方法：</w:t>
      </w:r>
    </w:p>
    <w:p>
      <w:pPr>
        <w:spacing w:line="360" w:lineRule="auto"/>
        <w:outlineLvl w:val="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（1）节能量测量范围</w:t>
      </w:r>
    </w:p>
    <w:p>
      <w:pPr>
        <w:spacing w:line="360" w:lineRule="auto"/>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以</w:t>
      </w:r>
      <w:r>
        <w:rPr>
          <w:rFonts w:hint="eastAsia" w:asciiTheme="minorEastAsia" w:hAnsiTheme="minorEastAsia" w:eastAsiaTheme="minorEastAsia" w:cstheme="minorEastAsia"/>
          <w:sz w:val="24"/>
          <w:u w:val="single"/>
        </w:rPr>
        <w:t xml:space="preserve">  蚌埠百货大楼有限责任公司</w:t>
      </w:r>
      <w:r>
        <w:rPr>
          <w:rFonts w:hint="eastAsia" w:asciiTheme="minorEastAsia" w:hAnsiTheme="minorEastAsia" w:eastAsiaTheme="minorEastAsia" w:cstheme="minorEastAsia"/>
          <w:kern w:val="0"/>
          <w:sz w:val="24"/>
        </w:rPr>
        <w:t>2018年1月-2018年12月,：2019年1月-2019年12月各月份用电量、用气量转换为能耗费用</w:t>
      </w:r>
      <w:r>
        <w:rPr>
          <w:rFonts w:hint="eastAsia" w:asciiTheme="minorEastAsia" w:hAnsiTheme="minorEastAsia" w:eastAsiaTheme="minorEastAsia" w:cstheme="minorEastAsia"/>
          <w:bCs/>
          <w:kern w:val="0"/>
          <w:sz w:val="24"/>
        </w:rPr>
        <w:t>结算基准量，每个结算季度以当季度实际公用电量、用气量转换的费用同比相同季度份基准量得出节省量</w:t>
      </w:r>
      <w:r>
        <w:rPr>
          <w:rFonts w:hint="eastAsia" w:asciiTheme="minorEastAsia" w:hAnsiTheme="minorEastAsia" w:eastAsiaTheme="minorEastAsia" w:cstheme="minorEastAsia"/>
          <w:sz w:val="24"/>
        </w:rPr>
        <w:t>。</w:t>
      </w:r>
    </w:p>
    <w:p>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（2）节能效益的计算方法：</w:t>
      </w:r>
    </w:p>
    <w:p>
      <w:pPr>
        <w:spacing w:line="360" w:lineRule="auto"/>
        <w:ind w:left="420" w:hanging="42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在合同期内，甲、乙双方每月共同对门店在合同能源管理状态下总用电量、总用气量进行记录汇总，计算出当季度该项目实际能耗费用，并对应</w:t>
      </w:r>
      <w:r>
        <w:rPr>
          <w:rFonts w:hint="eastAsia" w:asciiTheme="minorEastAsia" w:hAnsiTheme="minorEastAsia" w:eastAsiaTheme="minorEastAsia" w:cstheme="minorEastAsia"/>
          <w:b/>
          <w:sz w:val="24"/>
        </w:rPr>
        <w:t>附件2</w:t>
      </w:r>
      <w:r>
        <w:rPr>
          <w:rFonts w:hint="eastAsia" w:asciiTheme="minorEastAsia" w:hAnsiTheme="minorEastAsia" w:eastAsiaTheme="minorEastAsia" w:cstheme="minorEastAsia"/>
          <w:sz w:val="24"/>
        </w:rPr>
        <w:t>的基准用量差额为当期节省量。</w:t>
      </w:r>
    </w:p>
    <w:p>
      <w:pPr>
        <w:spacing w:line="360" w:lineRule="auto"/>
        <w:ind w:left="420" w:hanging="42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 xml:space="preserve"> （3）验证方案：</w:t>
      </w:r>
    </w:p>
    <w:p>
      <w:pPr>
        <w:autoSpaceDE w:val="0"/>
        <w:autoSpaceDN w:val="0"/>
        <w:adjustRightInd w:val="0"/>
        <w:spacing w:line="360" w:lineRule="auto"/>
        <w:ind w:firstLine="405"/>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由甲乙双方共同对上述数据进行抄表、记录、汇总、计算，双方共同验证：</w:t>
      </w:r>
    </w:p>
    <w:p>
      <w:pPr>
        <w:autoSpaceDE w:val="0"/>
        <w:autoSpaceDN w:val="0"/>
        <w:adjustRightInd w:val="0"/>
        <w:spacing w:line="360" w:lineRule="auto"/>
        <w:ind w:left="840" w:hanging="840" w:hangingChars="35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sz w:val="24"/>
        </w:rPr>
        <w:t xml:space="preserve">    1、基准数据为经双方确认的</w:t>
      </w:r>
      <w:r>
        <w:rPr>
          <w:rFonts w:hint="eastAsia" w:asciiTheme="minorEastAsia" w:hAnsiTheme="minorEastAsia" w:eastAsiaTheme="minorEastAsia" w:cstheme="minorEastAsia"/>
          <w:kern w:val="0"/>
          <w:sz w:val="24"/>
        </w:rPr>
        <w:t>2018年1月-2018年12月：2019年1月-2019年12月各月</w:t>
      </w:r>
      <w:r>
        <w:rPr>
          <w:rFonts w:hint="eastAsia" w:asciiTheme="minorEastAsia" w:hAnsiTheme="minorEastAsia" w:eastAsiaTheme="minorEastAsia" w:cstheme="minorEastAsia"/>
          <w:sz w:val="24"/>
        </w:rPr>
        <w:t>的公用电量+燃气量转换的能耗费用和为准。</w:t>
      </w:r>
    </w:p>
    <w:p>
      <w:pPr>
        <w:spacing w:line="360" w:lineRule="auto"/>
        <w:ind w:left="720" w:hanging="720" w:hangingChars="30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 xml:space="preserve">    2、当月如有用能设备增减或营业面积调整，双方需共同确认并填写《</w:t>
      </w:r>
      <w:r>
        <w:rPr>
          <w:rFonts w:hint="eastAsia" w:asciiTheme="minorEastAsia" w:hAnsiTheme="minorEastAsia" w:eastAsiaTheme="minorEastAsia" w:cstheme="minorEastAsia"/>
          <w:kern w:val="0"/>
          <w:sz w:val="24"/>
          <w:u w:val="single"/>
        </w:rPr>
        <w:t>合肥百货大楼集团 蚌埠百货大楼有限责任公司</w:t>
      </w:r>
      <w:r>
        <w:rPr>
          <w:rFonts w:hint="eastAsia" w:asciiTheme="minorEastAsia" w:hAnsiTheme="minorEastAsia" w:eastAsiaTheme="minorEastAsia" w:cstheme="minorEastAsia"/>
          <w:kern w:val="0"/>
          <w:sz w:val="24"/>
        </w:rPr>
        <w:t>店</w:t>
      </w:r>
      <w:r>
        <w:rPr>
          <w:rFonts w:hint="eastAsia" w:asciiTheme="minorEastAsia" w:hAnsiTheme="minorEastAsia" w:eastAsiaTheme="minorEastAsia" w:cstheme="minorEastAsia"/>
          <w:sz w:val="24"/>
        </w:rPr>
        <w:t>增减设备负荷表》并依据该设备的使用时间计算出当月开始增加（减少）的用量，所增加（减少）的用量并入附件4 节能量确认单，以准确计算从此以后各月份的节能量。</w:t>
      </w:r>
    </w:p>
    <w:p/>
    <w:p>
      <w:pPr>
        <w:jc w:val="center"/>
        <w:rPr>
          <w:rFonts w:ascii="宋体" w:hAnsi="宋体" w:cs="宋体"/>
          <w:b/>
          <w:kern w:val="0"/>
          <w:sz w:val="24"/>
        </w:rPr>
      </w:pPr>
    </w:p>
    <w:p>
      <w:pPr>
        <w:jc w:val="center"/>
        <w:rPr>
          <w:rFonts w:ascii="宋体" w:hAnsi="宋体"/>
          <w:b/>
          <w:sz w:val="24"/>
        </w:rPr>
      </w:pPr>
      <w:r>
        <w:rPr>
          <w:rFonts w:hint="eastAsia" w:ascii="宋体" w:hAnsi="宋体" w:cs="宋体"/>
          <w:b/>
          <w:kern w:val="0"/>
          <w:sz w:val="24"/>
        </w:rPr>
        <w:t>集团店</w:t>
      </w:r>
      <w:r>
        <w:rPr>
          <w:rFonts w:hint="eastAsia" w:ascii="宋体" w:hAnsi="宋体"/>
          <w:b/>
          <w:sz w:val="24"/>
        </w:rPr>
        <w:t>增减设备负荷表</w:t>
      </w:r>
    </w:p>
    <w:p>
      <w:pPr>
        <w:jc w:val="center"/>
        <w:rPr>
          <w:rFonts w:ascii="宋体" w:hAnsi="宋体"/>
          <w:b/>
          <w:sz w:val="24"/>
        </w:rPr>
      </w:pPr>
    </w:p>
    <w:p>
      <w:pPr>
        <w:rPr>
          <w:sz w:val="24"/>
        </w:rPr>
      </w:pPr>
      <w:r>
        <w:rPr>
          <w:rFonts w:hint="eastAsia"/>
          <w:sz w:val="24"/>
        </w:rPr>
        <w:t>日期：20年月日</w:t>
      </w:r>
    </w:p>
    <w:tbl>
      <w:tblPr>
        <w:tblStyle w:val="27"/>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993"/>
        <w:gridCol w:w="708"/>
        <w:gridCol w:w="1276"/>
        <w:gridCol w:w="284"/>
        <w:gridCol w:w="1842"/>
        <w:gridCol w:w="993"/>
        <w:gridCol w:w="85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Cs w:val="21"/>
              </w:rPr>
            </w:pPr>
            <w:r>
              <w:rPr>
                <w:rFonts w:hint="eastAsia"/>
                <w:szCs w:val="21"/>
              </w:rPr>
              <w:t>增加</w:t>
            </w:r>
          </w:p>
          <w:p>
            <w:pPr>
              <w:jc w:val="center"/>
              <w:rPr>
                <w:szCs w:val="21"/>
              </w:rPr>
            </w:pPr>
            <w:r>
              <w:rPr>
                <w:rFonts w:hint="eastAsia"/>
                <w:szCs w:val="21"/>
              </w:rPr>
              <w:t>设备名称</w:t>
            </w:r>
          </w:p>
        </w:tc>
        <w:tc>
          <w:tcPr>
            <w:tcW w:w="993" w:type="dxa"/>
          </w:tcPr>
          <w:p>
            <w:pPr>
              <w:jc w:val="center"/>
              <w:rPr>
                <w:szCs w:val="21"/>
              </w:rPr>
            </w:pPr>
          </w:p>
          <w:p>
            <w:pPr>
              <w:jc w:val="center"/>
              <w:rPr>
                <w:szCs w:val="21"/>
              </w:rPr>
            </w:pPr>
            <w:r>
              <w:rPr>
                <w:rFonts w:hint="eastAsia"/>
                <w:szCs w:val="21"/>
              </w:rPr>
              <w:t>日期</w:t>
            </w:r>
          </w:p>
        </w:tc>
        <w:tc>
          <w:tcPr>
            <w:tcW w:w="708" w:type="dxa"/>
          </w:tcPr>
          <w:p>
            <w:pPr>
              <w:jc w:val="center"/>
              <w:rPr>
                <w:szCs w:val="21"/>
              </w:rPr>
            </w:pPr>
            <w:r>
              <w:rPr>
                <w:rFonts w:hint="eastAsia"/>
                <w:szCs w:val="21"/>
              </w:rPr>
              <w:t>功率</w:t>
            </w:r>
          </w:p>
          <w:p>
            <w:pPr>
              <w:jc w:val="center"/>
              <w:rPr>
                <w:szCs w:val="21"/>
              </w:rPr>
            </w:pPr>
            <w:r>
              <w:rPr>
                <w:rFonts w:hint="eastAsia"/>
                <w:szCs w:val="21"/>
              </w:rPr>
              <w:t>kw</w:t>
            </w:r>
          </w:p>
        </w:tc>
        <w:tc>
          <w:tcPr>
            <w:tcW w:w="1276" w:type="dxa"/>
          </w:tcPr>
          <w:p>
            <w:pPr>
              <w:jc w:val="center"/>
              <w:rPr>
                <w:szCs w:val="21"/>
              </w:rPr>
            </w:pPr>
            <w:r>
              <w:rPr>
                <w:rFonts w:hint="eastAsia"/>
                <w:szCs w:val="21"/>
              </w:rPr>
              <w:t>月增加电量（度）</w:t>
            </w:r>
          </w:p>
        </w:tc>
        <w:tc>
          <w:tcPr>
            <w:tcW w:w="284" w:type="dxa"/>
            <w:vMerge w:val="restart"/>
          </w:tcPr>
          <w:p>
            <w:pPr>
              <w:jc w:val="center"/>
              <w:rPr>
                <w:szCs w:val="21"/>
              </w:rPr>
            </w:pPr>
          </w:p>
          <w:p>
            <w:pPr>
              <w:jc w:val="center"/>
              <w:rPr>
                <w:szCs w:val="21"/>
              </w:rPr>
            </w:pPr>
          </w:p>
        </w:tc>
        <w:tc>
          <w:tcPr>
            <w:tcW w:w="1842" w:type="dxa"/>
          </w:tcPr>
          <w:p>
            <w:pPr>
              <w:jc w:val="center"/>
              <w:rPr>
                <w:szCs w:val="21"/>
              </w:rPr>
            </w:pPr>
            <w:r>
              <w:rPr>
                <w:rFonts w:hint="eastAsia"/>
                <w:szCs w:val="21"/>
              </w:rPr>
              <w:t>减少</w:t>
            </w:r>
          </w:p>
          <w:p>
            <w:pPr>
              <w:jc w:val="center"/>
              <w:rPr>
                <w:szCs w:val="21"/>
              </w:rPr>
            </w:pPr>
            <w:r>
              <w:rPr>
                <w:rFonts w:hint="eastAsia"/>
                <w:szCs w:val="21"/>
              </w:rPr>
              <w:t>设备名称</w:t>
            </w:r>
          </w:p>
        </w:tc>
        <w:tc>
          <w:tcPr>
            <w:tcW w:w="993" w:type="dxa"/>
          </w:tcPr>
          <w:p>
            <w:pPr>
              <w:jc w:val="center"/>
              <w:rPr>
                <w:szCs w:val="21"/>
              </w:rPr>
            </w:pPr>
          </w:p>
          <w:p>
            <w:pPr>
              <w:jc w:val="center"/>
              <w:rPr>
                <w:szCs w:val="21"/>
              </w:rPr>
            </w:pPr>
            <w:r>
              <w:rPr>
                <w:rFonts w:hint="eastAsia"/>
                <w:szCs w:val="21"/>
              </w:rPr>
              <w:t>日期</w:t>
            </w:r>
          </w:p>
        </w:tc>
        <w:tc>
          <w:tcPr>
            <w:tcW w:w="850" w:type="dxa"/>
          </w:tcPr>
          <w:p>
            <w:pPr>
              <w:jc w:val="center"/>
              <w:rPr>
                <w:szCs w:val="21"/>
              </w:rPr>
            </w:pPr>
            <w:r>
              <w:rPr>
                <w:rFonts w:hint="eastAsia"/>
                <w:szCs w:val="21"/>
              </w:rPr>
              <w:t>功率</w:t>
            </w:r>
          </w:p>
          <w:p>
            <w:pPr>
              <w:jc w:val="center"/>
              <w:rPr>
                <w:szCs w:val="21"/>
              </w:rPr>
            </w:pPr>
            <w:r>
              <w:rPr>
                <w:rFonts w:hint="eastAsia"/>
                <w:szCs w:val="21"/>
              </w:rPr>
              <w:t>kw</w:t>
            </w:r>
          </w:p>
        </w:tc>
        <w:tc>
          <w:tcPr>
            <w:tcW w:w="1276" w:type="dxa"/>
          </w:tcPr>
          <w:p>
            <w:pPr>
              <w:jc w:val="center"/>
              <w:rPr>
                <w:szCs w:val="21"/>
              </w:rPr>
            </w:pPr>
            <w:r>
              <w:rPr>
                <w:rFonts w:hint="eastAsia"/>
                <w:szCs w:val="21"/>
              </w:rPr>
              <w:t>月减少电量（度）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bl>
    <w:p>
      <w:pPr>
        <w:spacing w:line="360" w:lineRule="auto"/>
        <w:rPr>
          <w:sz w:val="24"/>
        </w:rPr>
      </w:pPr>
    </w:p>
    <w:p>
      <w:pPr>
        <w:spacing w:line="360" w:lineRule="auto"/>
        <w:rPr>
          <w:sz w:val="24"/>
        </w:rPr>
      </w:pPr>
      <w:r>
        <w:rPr>
          <w:rFonts w:hint="eastAsia"/>
          <w:sz w:val="24"/>
        </w:rPr>
        <w:t>通过上表得出：当月“</w:t>
      </w:r>
      <w:r>
        <w:rPr>
          <w:rFonts w:hint="eastAsia" w:ascii="宋体" w:hAnsi="宋体"/>
          <w:sz w:val="24"/>
        </w:rPr>
        <w:t>设备增加</w:t>
      </w:r>
      <w:r>
        <w:rPr>
          <w:rFonts w:ascii="宋体" w:hAnsi="宋体"/>
          <w:sz w:val="24"/>
        </w:rPr>
        <w:t>/</w:t>
      </w:r>
      <w:r>
        <w:rPr>
          <w:rFonts w:hint="eastAsia" w:ascii="宋体" w:hAnsi="宋体"/>
          <w:sz w:val="24"/>
        </w:rPr>
        <w:t>减少的用电量</w:t>
      </w:r>
      <w:r>
        <w:rPr>
          <w:rFonts w:hint="eastAsia"/>
          <w:sz w:val="24"/>
        </w:rPr>
        <w:t>”为度，</w:t>
      </w:r>
    </w:p>
    <w:p>
      <w:pPr>
        <w:spacing w:line="360" w:lineRule="auto"/>
        <w:ind w:firstLine="1560" w:firstLineChars="650"/>
        <w:rPr>
          <w:color w:val="auto"/>
          <w:sz w:val="24"/>
        </w:rPr>
      </w:pPr>
      <w:r>
        <w:rPr>
          <w:rFonts w:hint="eastAsia"/>
          <w:color w:val="auto"/>
          <w:sz w:val="24"/>
        </w:rPr>
        <w:t>（增加用+值、减少用—值）</w:t>
      </w:r>
    </w:p>
    <w:p>
      <w:pPr>
        <w:spacing w:line="360" w:lineRule="auto"/>
        <w:rPr>
          <w:szCs w:val="21"/>
        </w:rPr>
      </w:pPr>
      <w:r>
        <w:rPr>
          <w:rFonts w:hint="eastAsia"/>
          <w:szCs w:val="21"/>
        </w:rPr>
        <w:t>备注：1、上表的增加（减少）设备为逐次累加填写，需体现合同期内所有增加（减少）的全部设备；</w:t>
      </w:r>
    </w:p>
    <w:p>
      <w:pPr>
        <w:spacing w:line="360" w:lineRule="auto"/>
        <w:rPr>
          <w:szCs w:val="21"/>
        </w:rPr>
      </w:pPr>
      <w:r>
        <w:rPr>
          <w:rFonts w:hint="eastAsia"/>
          <w:szCs w:val="21"/>
        </w:rPr>
        <w:t xml:space="preserve">      2、每项设备的月增加（减少）电量=该设备功率（千瓦）×每天用电时间（小时）×30天；</w:t>
      </w:r>
    </w:p>
    <w:p>
      <w:pPr>
        <w:spacing w:line="360" w:lineRule="auto"/>
        <w:ind w:firstLine="840" w:firstLineChars="400"/>
        <w:rPr>
          <w:rFonts w:ascii="宋体" w:hAnsi="宋体"/>
          <w:szCs w:val="21"/>
        </w:rPr>
      </w:pPr>
      <w:r>
        <w:rPr>
          <w:rFonts w:hint="eastAsia" w:ascii="宋体" w:hAnsi="宋体"/>
          <w:szCs w:val="21"/>
        </w:rPr>
        <w:t>增加大功率设备或新增用电线路时可采用加装电表，每月抄表计算该项增加电量；</w:t>
      </w:r>
    </w:p>
    <w:tbl>
      <w:tblPr>
        <w:tblStyle w:val="27"/>
        <w:tblpPr w:leftFromText="180" w:rightFromText="180" w:vertAnchor="text" w:horzAnchor="margin" w:tblpXSpec="center" w:tblpY="158"/>
        <w:tblW w:w="8755" w:type="dxa"/>
        <w:tblInd w:w="0" w:type="dxa"/>
        <w:tblLayout w:type="fixed"/>
        <w:tblCellMar>
          <w:top w:w="0" w:type="dxa"/>
          <w:left w:w="108" w:type="dxa"/>
          <w:bottom w:w="0" w:type="dxa"/>
          <w:right w:w="108" w:type="dxa"/>
        </w:tblCellMar>
      </w:tblPr>
      <w:tblGrid>
        <w:gridCol w:w="675"/>
        <w:gridCol w:w="4111"/>
        <w:gridCol w:w="1559"/>
        <w:gridCol w:w="2410"/>
      </w:tblGrid>
      <w:tr>
        <w:tblPrEx>
          <w:tblCellMar>
            <w:top w:w="0" w:type="dxa"/>
            <w:left w:w="108" w:type="dxa"/>
            <w:bottom w:w="0" w:type="dxa"/>
            <w:right w:w="108" w:type="dxa"/>
          </w:tblCellMar>
        </w:tblPrEx>
        <w:trPr>
          <w:trHeight w:val="850" w:hRule="atLeast"/>
        </w:trPr>
        <w:tc>
          <w:tcPr>
            <w:tcW w:w="8755" w:type="dxa"/>
            <w:gridSpan w:val="4"/>
            <w:tcBorders>
              <w:top w:val="nil"/>
              <w:left w:val="nil"/>
              <w:bottom w:val="single" w:color="auto" w:sz="4" w:space="0"/>
              <w:right w:val="nil"/>
            </w:tcBorders>
            <w:vAlign w:val="center"/>
          </w:tcPr>
          <w:p>
            <w:pPr>
              <w:widowControl/>
              <w:spacing w:line="360" w:lineRule="auto"/>
              <w:ind w:firstLine="211" w:firstLineChars="100"/>
              <w:rPr>
                <w:rFonts w:ascii="宋体" w:cs="宋体"/>
                <w:b/>
                <w:bCs/>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集团店合同能源管理节能量</w:t>
            </w:r>
            <w:r>
              <w:rPr>
                <w:rFonts w:hint="eastAsia" w:ascii="宋体" w:hAnsi="宋体" w:cs="宋体"/>
                <w:b/>
                <w:bCs/>
                <w:color w:val="000000" w:themeColor="text1"/>
                <w:kern w:val="0"/>
                <w:szCs w:val="21"/>
                <w14:textFill>
                  <w14:solidFill>
                    <w14:schemeClr w14:val="tx1"/>
                  </w14:solidFill>
                </w14:textFill>
              </w:rPr>
              <w:t>确认单（</w:t>
            </w:r>
            <w:r>
              <w:rPr>
                <w:rFonts w:ascii="宋体" w:hAnsi="宋体" w:cs="宋体"/>
                <w:b/>
                <w:bCs/>
                <w:color w:val="000000" w:themeColor="text1"/>
                <w:kern w:val="0"/>
                <w:szCs w:val="21"/>
                <w14:textFill>
                  <w14:solidFill>
                    <w14:schemeClr w14:val="tx1"/>
                  </w14:solidFill>
                </w14:textFill>
              </w:rPr>
              <w:t xml:space="preserve">20 </w:t>
            </w:r>
            <w:r>
              <w:rPr>
                <w:rFonts w:hint="eastAsia" w:ascii="宋体" w:hAnsi="宋体" w:cs="宋体"/>
                <w:b/>
                <w:bCs/>
                <w:color w:val="000000" w:themeColor="text1"/>
                <w:kern w:val="0"/>
                <w:szCs w:val="21"/>
                <w14:textFill>
                  <w14:solidFill>
                    <w14:schemeClr w14:val="tx1"/>
                  </w14:solidFill>
                </w14:textFill>
              </w:rPr>
              <w:t>年 月）</w:t>
            </w:r>
          </w:p>
        </w:tc>
      </w:tr>
      <w:tr>
        <w:tblPrEx>
          <w:tblCellMar>
            <w:top w:w="0" w:type="dxa"/>
            <w:left w:w="108" w:type="dxa"/>
            <w:bottom w:w="0" w:type="dxa"/>
            <w:right w:w="108" w:type="dxa"/>
          </w:tblCellMar>
        </w:tblPrEx>
        <w:trPr>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411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bCs/>
                <w:color w:val="000000" w:themeColor="text1"/>
                <w:kern w:val="0"/>
                <w:szCs w:val="21"/>
                <w14:textFill>
                  <w14:solidFill>
                    <w14:schemeClr w14:val="tx1"/>
                  </w14:solidFill>
                </w14:textFill>
              </w:rPr>
            </w:pPr>
            <w:r>
              <w:rPr>
                <w:rFonts w:ascii="宋体" w:cs="宋体"/>
                <w:b/>
                <w:bCs/>
                <w:color w:val="000000" w:themeColor="text1"/>
                <w:kern w:val="0"/>
                <w:szCs w:val="21"/>
                <w14:textFill>
                  <w14:solidFill>
                    <w14:schemeClr w14:val="tx1"/>
                  </w14:solidFill>
                </w14:textFill>
              </w:rPr>
              <w:t>项目</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color w:val="000000" w:themeColor="text1"/>
                <w:kern w:val="0"/>
                <w:szCs w:val="21"/>
                <w14:textFill>
                  <w14:solidFill>
                    <w14:schemeClr w14:val="tx1"/>
                  </w14:solidFill>
                </w14:textFill>
              </w:rPr>
            </w:pPr>
            <w:r>
              <w:rPr>
                <w:rFonts w:ascii="宋体" w:cs="宋体"/>
                <w:b/>
                <w:color w:val="000000" w:themeColor="text1"/>
                <w:kern w:val="0"/>
                <w:szCs w:val="21"/>
                <w14:textFill>
                  <w14:solidFill>
                    <w14:schemeClr w14:val="tx1"/>
                  </w14:solidFill>
                </w14:textFill>
              </w:rPr>
              <w:t>数量</w:t>
            </w: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color w:val="000000" w:themeColor="text1"/>
                <w:kern w:val="0"/>
                <w:szCs w:val="21"/>
                <w14:textFill>
                  <w14:solidFill>
                    <w14:schemeClr w14:val="tx1"/>
                  </w14:solidFill>
                </w14:textFill>
              </w:rPr>
            </w:pPr>
            <w:r>
              <w:rPr>
                <w:rFonts w:ascii="宋体" w:cs="宋体"/>
                <w:b/>
                <w:color w:val="000000" w:themeColor="text1"/>
                <w:kern w:val="0"/>
                <w:szCs w:val="21"/>
                <w14:textFill>
                  <w14:solidFill>
                    <w14:schemeClr w14:val="tx1"/>
                  </w14:solidFill>
                </w14:textFill>
              </w:rPr>
              <w:t>备注或计算方法</w:t>
            </w:r>
          </w:p>
        </w:tc>
      </w:tr>
      <w:tr>
        <w:tblPrEx>
          <w:tblCellMar>
            <w:top w:w="0" w:type="dxa"/>
            <w:left w:w="108" w:type="dxa"/>
            <w:bottom w:w="0" w:type="dxa"/>
            <w:right w:w="108" w:type="dxa"/>
          </w:tblCellMar>
        </w:tblPrEx>
        <w:trPr>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1</w:t>
            </w:r>
          </w:p>
        </w:tc>
        <w:tc>
          <w:tcPr>
            <w:tcW w:w="4111" w:type="dxa"/>
            <w:tcBorders>
              <w:top w:val="single" w:color="auto" w:sz="4" w:space="0"/>
              <w:left w:val="nil"/>
              <w:bottom w:val="single" w:color="auto" w:sz="4" w:space="0"/>
              <w:right w:val="single" w:color="auto" w:sz="4" w:space="0"/>
            </w:tcBorders>
            <w:vAlign w:val="center"/>
          </w:tcPr>
          <w:p>
            <w:pPr>
              <w:widowControl/>
              <w:spacing w:line="360" w:lineRule="auto"/>
              <w:rPr>
                <w:rFonts w:asci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本月燃气公司开票总用量（立方米）</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color w:val="000000" w:themeColor="text1"/>
                <w:kern w:val="0"/>
                <w:szCs w:val="21"/>
                <w14:textFill>
                  <w14:solidFill>
                    <w14:schemeClr w14:val="tx1"/>
                  </w14:solidFill>
                </w14:textFill>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rPr>
                <w:rFonts w:ascii="宋体" w:cs="宋体"/>
                <w:b/>
                <w:color w:val="000000" w:themeColor="text1"/>
                <w:kern w:val="0"/>
                <w:szCs w:val="21"/>
                <w14:textFill>
                  <w14:solidFill>
                    <w14:schemeClr w14:val="tx1"/>
                  </w14:solidFill>
                </w14:textFill>
              </w:rPr>
            </w:pPr>
            <w:r>
              <w:rPr>
                <w:rFonts w:hint="eastAsia" w:ascii="宋体" w:cs="宋体"/>
                <w:b/>
                <w:color w:val="000000" w:themeColor="text1"/>
                <w:kern w:val="0"/>
                <w:szCs w:val="21"/>
                <w14:textFill>
                  <w14:solidFill>
                    <w14:schemeClr w14:val="tx1"/>
                  </w14:solidFill>
                </w14:textFill>
              </w:rPr>
              <w:t>夏季、冬季燃气总量</w:t>
            </w:r>
          </w:p>
        </w:tc>
      </w:tr>
      <w:tr>
        <w:tblPrEx>
          <w:tblCellMar>
            <w:top w:w="0" w:type="dxa"/>
            <w:left w:w="108" w:type="dxa"/>
            <w:bottom w:w="0" w:type="dxa"/>
            <w:right w:w="108" w:type="dxa"/>
          </w:tblCellMar>
        </w:tblPrEx>
        <w:trPr>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2</w:t>
            </w:r>
          </w:p>
        </w:tc>
        <w:tc>
          <w:tcPr>
            <w:tcW w:w="4111" w:type="dxa"/>
            <w:tcBorders>
              <w:top w:val="single" w:color="auto" w:sz="4" w:space="0"/>
              <w:left w:val="nil"/>
              <w:bottom w:val="single" w:color="auto" w:sz="4" w:space="0"/>
              <w:right w:val="single" w:color="auto" w:sz="4" w:space="0"/>
            </w:tcBorders>
            <w:vAlign w:val="center"/>
          </w:tcPr>
          <w:p>
            <w:pPr>
              <w:widowControl/>
              <w:spacing w:line="360" w:lineRule="auto"/>
              <w:rPr>
                <w:rFonts w:asci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本月燃气公司开票总费用（元）</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color w:val="000000" w:themeColor="text1"/>
                <w:kern w:val="0"/>
                <w:szCs w:val="21"/>
                <w14:textFill>
                  <w14:solidFill>
                    <w14:schemeClr w14:val="tx1"/>
                  </w14:solidFill>
                </w14:textFill>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rPr>
                <w:rFonts w:ascii="宋体" w:cs="宋体"/>
                <w:b/>
                <w:color w:val="000000" w:themeColor="text1"/>
                <w:kern w:val="0"/>
                <w:szCs w:val="21"/>
                <w14:textFill>
                  <w14:solidFill>
                    <w14:schemeClr w14:val="tx1"/>
                  </w14:solidFill>
                </w14:textFill>
              </w:rPr>
            </w:pPr>
            <w:r>
              <w:rPr>
                <w:rFonts w:hint="eastAsia" w:ascii="宋体" w:cs="宋体"/>
                <w:b/>
                <w:color w:val="000000" w:themeColor="text1"/>
                <w:kern w:val="0"/>
                <w:szCs w:val="21"/>
                <w14:textFill>
                  <w14:solidFill>
                    <w14:schemeClr w14:val="tx1"/>
                  </w14:solidFill>
                </w14:textFill>
              </w:rPr>
              <w:t>实际缴费金额</w:t>
            </w:r>
          </w:p>
        </w:tc>
      </w:tr>
      <w:tr>
        <w:tblPrEx>
          <w:tblCellMar>
            <w:top w:w="0" w:type="dxa"/>
            <w:left w:w="108" w:type="dxa"/>
            <w:bottom w:w="0" w:type="dxa"/>
            <w:right w:w="108" w:type="dxa"/>
          </w:tblCellMar>
        </w:tblPrEx>
        <w:trPr>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3</w:t>
            </w:r>
          </w:p>
        </w:tc>
        <w:tc>
          <w:tcPr>
            <w:tcW w:w="411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本月供电公司开票总电量（度）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color w:val="000000" w:themeColor="text1"/>
                <w:kern w:val="0"/>
                <w:szCs w:val="21"/>
                <w14:textFill>
                  <w14:solidFill>
                    <w14:schemeClr w14:val="tx1"/>
                  </w14:solidFill>
                </w14:textFill>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color w:val="000000" w:themeColor="text1"/>
                <w:kern w:val="0"/>
                <w:szCs w:val="21"/>
                <w14:textFill>
                  <w14:solidFill>
                    <w14:schemeClr w14:val="tx1"/>
                  </w14:solidFill>
                </w14:textFill>
              </w:rPr>
            </w:pPr>
            <w:r>
              <w:rPr>
                <w:rFonts w:ascii="宋体" w:cs="宋体"/>
                <w:b/>
                <w:color w:val="000000" w:themeColor="text1"/>
                <w:kern w:val="0"/>
                <w:szCs w:val="21"/>
                <w14:textFill>
                  <w14:solidFill>
                    <w14:schemeClr w14:val="tx1"/>
                  </w14:solidFill>
                </w14:textFill>
              </w:rPr>
              <w:t>峰谷平总电量</w:t>
            </w:r>
          </w:p>
        </w:tc>
      </w:tr>
      <w:tr>
        <w:tblPrEx>
          <w:tblCellMar>
            <w:top w:w="0" w:type="dxa"/>
            <w:left w:w="108" w:type="dxa"/>
            <w:bottom w:w="0" w:type="dxa"/>
            <w:right w:w="108" w:type="dxa"/>
          </w:tblCellMar>
        </w:tblPrEx>
        <w:trPr>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4</w:t>
            </w:r>
          </w:p>
        </w:tc>
        <w:tc>
          <w:tcPr>
            <w:tcW w:w="411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本月供电公司开票总电费（元）</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color w:val="000000" w:themeColor="text1"/>
                <w:kern w:val="0"/>
                <w:szCs w:val="21"/>
                <w14:textFill>
                  <w14:solidFill>
                    <w14:schemeClr w14:val="tx1"/>
                  </w14:solidFill>
                </w14:textFill>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color w:val="000000" w:themeColor="text1"/>
                <w:kern w:val="0"/>
                <w:szCs w:val="21"/>
                <w14:textFill>
                  <w14:solidFill>
                    <w14:schemeClr w14:val="tx1"/>
                  </w14:solidFill>
                </w14:textFill>
              </w:rPr>
            </w:pPr>
            <w:r>
              <w:rPr>
                <w:rFonts w:ascii="宋体" w:cs="宋体"/>
                <w:b/>
                <w:color w:val="000000" w:themeColor="text1"/>
                <w:kern w:val="0"/>
                <w:szCs w:val="21"/>
                <w14:textFill>
                  <w14:solidFill>
                    <w14:schemeClr w14:val="tx1"/>
                  </w14:solidFill>
                </w14:textFill>
              </w:rPr>
              <w:t>电费单实际缴费金额</w:t>
            </w:r>
          </w:p>
        </w:tc>
      </w:tr>
      <w:tr>
        <w:tblPrEx>
          <w:tblCellMar>
            <w:top w:w="0" w:type="dxa"/>
            <w:left w:w="108" w:type="dxa"/>
            <w:bottom w:w="0" w:type="dxa"/>
            <w:right w:w="108" w:type="dxa"/>
          </w:tblCellMar>
        </w:tblPrEx>
        <w:trPr>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5</w:t>
            </w:r>
          </w:p>
        </w:tc>
        <w:tc>
          <w:tcPr>
            <w:tcW w:w="411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color w:val="000000" w:themeColor="text1"/>
                <w:kern w:val="0"/>
                <w:szCs w:val="21"/>
                <w14:textFill>
                  <w14:solidFill>
                    <w14:schemeClr w14:val="tx1"/>
                  </w14:solidFill>
                </w14:textFill>
              </w:rPr>
            </w:pPr>
            <w:r>
              <w:rPr>
                <w:rFonts w:ascii="宋体" w:cs="宋体"/>
                <w:b/>
                <w:bCs/>
                <w:color w:val="000000" w:themeColor="text1"/>
                <w:kern w:val="0"/>
                <w:szCs w:val="21"/>
                <w14:textFill>
                  <w14:solidFill>
                    <w14:schemeClr w14:val="tx1"/>
                  </w14:solidFill>
                </w14:textFill>
              </w:rPr>
              <w:t>本月额外电损费</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color w:val="000000" w:themeColor="text1"/>
                <w:kern w:val="0"/>
                <w:szCs w:val="21"/>
                <w:shd w:val="pct10" w:color="auto" w:fill="FFFFFF"/>
                <w14:textFill>
                  <w14:solidFill>
                    <w14:schemeClr w14:val="tx1"/>
                  </w14:solidFill>
                </w14:textFill>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color w:val="000000" w:themeColor="text1"/>
                <w:kern w:val="0"/>
                <w:szCs w:val="21"/>
                <w:shd w:val="pct10" w:color="auto" w:fill="FFFFFF"/>
                <w14:textFill>
                  <w14:solidFill>
                    <w14:schemeClr w14:val="tx1"/>
                  </w14:solidFill>
                </w14:textFill>
              </w:rPr>
            </w:pPr>
            <w:r>
              <w:rPr>
                <w:rFonts w:ascii="宋体" w:cs="宋体"/>
                <w:b/>
                <w:color w:val="000000" w:themeColor="text1"/>
                <w:kern w:val="0"/>
                <w:szCs w:val="21"/>
                <w14:textFill>
                  <w14:solidFill>
                    <w14:schemeClr w14:val="tx1"/>
                  </w14:solidFill>
                </w14:textFill>
              </w:rPr>
              <w:t>如有、则加入总电费内</w:t>
            </w:r>
          </w:p>
        </w:tc>
      </w:tr>
      <w:tr>
        <w:tblPrEx>
          <w:tblCellMar>
            <w:top w:w="0" w:type="dxa"/>
            <w:left w:w="108" w:type="dxa"/>
            <w:bottom w:w="0" w:type="dxa"/>
            <w:right w:w="108" w:type="dxa"/>
          </w:tblCellMar>
        </w:tblPrEx>
        <w:trPr>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6</w:t>
            </w:r>
          </w:p>
        </w:tc>
        <w:tc>
          <w:tcPr>
            <w:tcW w:w="411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本月节省能耗费金额</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color w:val="000000" w:themeColor="text1"/>
                <w:kern w:val="0"/>
                <w:szCs w:val="21"/>
                <w14:textFill>
                  <w14:solidFill>
                    <w14:schemeClr w14:val="tx1"/>
                  </w14:solidFill>
                </w14:textFill>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7</w:t>
            </w:r>
          </w:p>
        </w:tc>
        <w:tc>
          <w:tcPr>
            <w:tcW w:w="411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本月乙方节能效益分享比例（</w:t>
            </w:r>
            <w:r>
              <w:rPr>
                <w:rFonts w:ascii="宋体" w:hAnsi="宋体" w:cs="宋体"/>
                <w:b/>
                <w:bCs/>
                <w:color w:val="000000" w:themeColor="text1"/>
                <w:kern w:val="0"/>
                <w:szCs w:val="21"/>
                <w14:textFill>
                  <w14:solidFill>
                    <w14:schemeClr w14:val="tx1"/>
                  </w14:solidFill>
                </w14:textFill>
              </w:rPr>
              <w:t>%</w:t>
            </w:r>
            <w:r>
              <w:rPr>
                <w:rFonts w:hint="eastAsia" w:ascii="宋体" w:hAnsi="宋体" w:cs="宋体"/>
                <w:b/>
                <w:bCs/>
                <w:color w:val="000000" w:themeColor="text1"/>
                <w:kern w:val="0"/>
                <w:szCs w:val="21"/>
                <w14:textFill>
                  <w14:solidFill>
                    <w14:schemeClr w14:val="tx1"/>
                  </w14:solidFill>
                </w14:textFill>
              </w:rPr>
              <w:t>）</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color w:val="000000" w:themeColor="text1"/>
                <w:kern w:val="0"/>
                <w:szCs w:val="21"/>
                <w14:textFill>
                  <w14:solidFill>
                    <w14:schemeClr w14:val="tx1"/>
                  </w14:solidFill>
                </w14:textFill>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8</w:t>
            </w:r>
          </w:p>
        </w:tc>
        <w:tc>
          <w:tcPr>
            <w:tcW w:w="411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b/>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本月乙方节能效益分享金额（元）</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rPr>
                <w:rFonts w:ascii="宋体" w:cs="宋体"/>
                <w:b/>
                <w:color w:val="000000" w:themeColor="text1"/>
                <w:kern w:val="0"/>
                <w:szCs w:val="21"/>
                <w14:textFill>
                  <w14:solidFill>
                    <w14:schemeClr w14:val="tx1"/>
                  </w14:solidFill>
                </w14:textFill>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color w:val="000000" w:themeColor="text1"/>
                <w:kern w:val="0"/>
                <w:szCs w:val="21"/>
                <w14:textFill>
                  <w14:solidFill>
                    <w14:schemeClr w14:val="tx1"/>
                  </w14:solidFill>
                </w14:textFill>
              </w:rPr>
            </w:pPr>
          </w:p>
        </w:tc>
      </w:tr>
    </w:tbl>
    <w:p>
      <w:pPr>
        <w:spacing w:line="360" w:lineRule="auto"/>
        <w:ind w:firstLine="840" w:firstLineChars="400"/>
        <w:rPr>
          <w:rFonts w:ascii="宋体" w:hAnsi="宋体"/>
          <w:szCs w:val="21"/>
        </w:rPr>
      </w:pPr>
    </w:p>
    <w:p>
      <w:pPr>
        <w:numPr>
          <w:ilvl w:val="0"/>
          <w:numId w:val="4"/>
        </w:numPr>
        <w:spacing w:line="360" w:lineRule="auto"/>
        <w:rPr>
          <w:szCs w:val="21"/>
        </w:rPr>
      </w:pPr>
      <w:r>
        <w:rPr>
          <w:rFonts w:hint="eastAsia"/>
          <w:szCs w:val="21"/>
        </w:rPr>
        <w:t>当月“</w:t>
      </w:r>
      <w:r>
        <w:rPr>
          <w:rFonts w:hint="eastAsia" w:ascii="宋体" w:hAnsi="宋体"/>
          <w:szCs w:val="21"/>
        </w:rPr>
        <w:t>设备增加</w:t>
      </w:r>
      <w:r>
        <w:rPr>
          <w:rFonts w:ascii="宋体" w:hAnsi="宋体"/>
          <w:szCs w:val="21"/>
        </w:rPr>
        <w:t>/</w:t>
      </w:r>
      <w:r>
        <w:rPr>
          <w:rFonts w:hint="eastAsia" w:ascii="宋体" w:hAnsi="宋体"/>
          <w:szCs w:val="21"/>
        </w:rPr>
        <w:t>减少的用电量</w:t>
      </w:r>
      <w:r>
        <w:rPr>
          <w:rFonts w:hint="eastAsia"/>
          <w:szCs w:val="21"/>
        </w:rPr>
        <w:t>”为表中所有设备增加（减少）的用电量之和；</w:t>
      </w:r>
    </w:p>
    <w:p>
      <w:pPr>
        <w:widowControl/>
        <w:ind w:firstLine="422" w:firstLineChars="200"/>
        <w:jc w:val="left"/>
        <w:rPr>
          <w:rFonts w:ascii="宋体" w:hAnsi="宋体" w:cs="宋体"/>
          <w:b/>
          <w:kern w:val="0"/>
          <w:szCs w:val="21"/>
        </w:rPr>
      </w:pPr>
      <w:r>
        <w:rPr>
          <w:rFonts w:ascii="宋体" w:hAnsi="宋体" w:cs="宋体"/>
          <w:b/>
          <w:kern w:val="0"/>
          <w:szCs w:val="21"/>
        </w:rPr>
        <w:t>附件4.</w:t>
      </w:r>
      <w:r>
        <w:rPr>
          <w:rFonts w:hint="eastAsia" w:ascii="宋体" w:hAnsi="宋体" w:cs="宋体"/>
          <w:b/>
          <w:kern w:val="0"/>
          <w:szCs w:val="21"/>
        </w:rPr>
        <w:t>节能量确认单及付款申请表</w:t>
      </w:r>
    </w:p>
    <w:tbl>
      <w:tblPr>
        <w:tblStyle w:val="27"/>
        <w:tblpPr w:leftFromText="180" w:rightFromText="180" w:vertAnchor="text" w:horzAnchor="margin" w:tblpXSpec="center" w:tblpY="158"/>
        <w:tblW w:w="8755" w:type="dxa"/>
        <w:tblInd w:w="0" w:type="dxa"/>
        <w:tblLayout w:type="fixed"/>
        <w:tblCellMar>
          <w:top w:w="0" w:type="dxa"/>
          <w:left w:w="108" w:type="dxa"/>
          <w:bottom w:w="0" w:type="dxa"/>
          <w:right w:w="108" w:type="dxa"/>
        </w:tblCellMar>
      </w:tblPr>
      <w:tblGrid>
        <w:gridCol w:w="675"/>
        <w:gridCol w:w="4111"/>
        <w:gridCol w:w="1559"/>
        <w:gridCol w:w="2410"/>
      </w:tblGrid>
      <w:tr>
        <w:tblPrEx>
          <w:tblCellMar>
            <w:top w:w="0" w:type="dxa"/>
            <w:left w:w="108" w:type="dxa"/>
            <w:bottom w:w="0" w:type="dxa"/>
            <w:right w:w="108" w:type="dxa"/>
          </w:tblCellMar>
        </w:tblPrEx>
        <w:trPr>
          <w:trHeight w:val="850" w:hRule="atLeast"/>
        </w:trPr>
        <w:tc>
          <w:tcPr>
            <w:tcW w:w="8755" w:type="dxa"/>
            <w:gridSpan w:val="4"/>
            <w:tcBorders>
              <w:top w:val="nil"/>
              <w:left w:val="nil"/>
              <w:bottom w:val="single" w:color="auto" w:sz="4" w:space="0"/>
              <w:right w:val="nil"/>
            </w:tcBorders>
            <w:vAlign w:val="center"/>
          </w:tcPr>
          <w:p>
            <w:pPr>
              <w:widowControl/>
              <w:spacing w:line="360" w:lineRule="auto"/>
              <w:rPr>
                <w:rFonts w:ascii="宋体" w:cs="宋体"/>
                <w:b/>
                <w:bCs/>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
                <w:bCs/>
                <w:color w:val="000000" w:themeColor="text1"/>
                <w:kern w:val="0"/>
                <w:szCs w:val="21"/>
                <w14:textFill>
                  <w14:solidFill>
                    <w14:schemeClr w14:val="tx1"/>
                  </w14:solidFill>
                </w14:textFill>
              </w:rPr>
            </w:pPr>
          </w:p>
        </w:tc>
        <w:tc>
          <w:tcPr>
            <w:tcW w:w="411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bCs/>
                <w:color w:val="000000" w:themeColor="text1"/>
                <w:kern w:val="0"/>
                <w:szCs w:val="21"/>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color w:val="000000" w:themeColor="text1"/>
                <w:kern w:val="0"/>
                <w:szCs w:val="21"/>
                <w14:textFill>
                  <w14:solidFill>
                    <w14:schemeClr w14:val="tx1"/>
                  </w14:solidFill>
                </w14:textFill>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color w:val="000000" w:themeColor="text1"/>
                <w:kern w:val="0"/>
                <w:szCs w:val="21"/>
                <w14:textFill>
                  <w14:solidFill>
                    <w14:schemeClr w14:val="tx1"/>
                  </w14:solidFill>
                </w14:textFill>
              </w:rPr>
            </w:pPr>
          </w:p>
        </w:tc>
        <w:tc>
          <w:tcPr>
            <w:tcW w:w="4111" w:type="dxa"/>
            <w:tcBorders>
              <w:top w:val="single" w:color="auto" w:sz="4" w:space="0"/>
              <w:left w:val="nil"/>
              <w:bottom w:val="single" w:color="auto" w:sz="4" w:space="0"/>
              <w:right w:val="single" w:color="auto" w:sz="4" w:space="0"/>
            </w:tcBorders>
            <w:vAlign w:val="center"/>
          </w:tcPr>
          <w:p>
            <w:pPr>
              <w:widowControl/>
              <w:spacing w:line="360" w:lineRule="auto"/>
              <w:rPr>
                <w:rFonts w:ascii="宋体" w:cs="宋体"/>
                <w:b/>
                <w:bCs/>
                <w:color w:val="000000" w:themeColor="text1"/>
                <w:kern w:val="0"/>
                <w:szCs w:val="21"/>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color w:val="000000" w:themeColor="text1"/>
                <w:kern w:val="0"/>
                <w:szCs w:val="21"/>
                <w14:textFill>
                  <w14:solidFill>
                    <w14:schemeClr w14:val="tx1"/>
                  </w14:solidFill>
                </w14:textFill>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rPr>
                <w:rFonts w:ascii="宋体" w:cs="宋体"/>
                <w:b/>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color w:val="000000" w:themeColor="text1"/>
                <w:kern w:val="0"/>
                <w:szCs w:val="21"/>
                <w14:textFill>
                  <w14:solidFill>
                    <w14:schemeClr w14:val="tx1"/>
                  </w14:solidFill>
                </w14:textFill>
              </w:rPr>
            </w:pPr>
          </w:p>
        </w:tc>
        <w:tc>
          <w:tcPr>
            <w:tcW w:w="4111" w:type="dxa"/>
            <w:tcBorders>
              <w:top w:val="single" w:color="auto" w:sz="4" w:space="0"/>
              <w:left w:val="nil"/>
              <w:bottom w:val="single" w:color="auto" w:sz="4" w:space="0"/>
              <w:right w:val="single" w:color="auto" w:sz="4" w:space="0"/>
            </w:tcBorders>
            <w:vAlign w:val="center"/>
          </w:tcPr>
          <w:p>
            <w:pPr>
              <w:widowControl/>
              <w:spacing w:line="360" w:lineRule="auto"/>
              <w:rPr>
                <w:rFonts w:ascii="宋体" w:cs="宋体"/>
                <w:b/>
                <w:bCs/>
                <w:color w:val="000000" w:themeColor="text1"/>
                <w:kern w:val="0"/>
                <w:szCs w:val="21"/>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color w:val="000000" w:themeColor="text1"/>
                <w:kern w:val="0"/>
                <w:szCs w:val="21"/>
                <w14:textFill>
                  <w14:solidFill>
                    <w14:schemeClr w14:val="tx1"/>
                  </w14:solidFill>
                </w14:textFill>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rPr>
                <w:rFonts w:ascii="宋体" w:cs="宋体"/>
                <w:b/>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000000" w:themeColor="text1"/>
                <w:kern w:val="0"/>
                <w:szCs w:val="21"/>
                <w14:textFill>
                  <w14:solidFill>
                    <w14:schemeClr w14:val="tx1"/>
                  </w14:solidFill>
                </w14:textFill>
              </w:rPr>
            </w:pPr>
          </w:p>
        </w:tc>
        <w:tc>
          <w:tcPr>
            <w:tcW w:w="411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color w:val="000000" w:themeColor="text1"/>
                <w:kern w:val="0"/>
                <w:szCs w:val="21"/>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color w:val="000000" w:themeColor="text1"/>
                <w:kern w:val="0"/>
                <w:szCs w:val="21"/>
                <w14:textFill>
                  <w14:solidFill>
                    <w14:schemeClr w14:val="tx1"/>
                  </w14:solidFill>
                </w14:textFill>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000000" w:themeColor="text1"/>
                <w:kern w:val="0"/>
                <w:szCs w:val="21"/>
                <w14:textFill>
                  <w14:solidFill>
                    <w14:schemeClr w14:val="tx1"/>
                  </w14:solidFill>
                </w14:textFill>
              </w:rPr>
            </w:pPr>
          </w:p>
        </w:tc>
        <w:tc>
          <w:tcPr>
            <w:tcW w:w="411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color w:val="000000" w:themeColor="text1"/>
                <w:kern w:val="0"/>
                <w:szCs w:val="21"/>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color w:val="000000" w:themeColor="text1"/>
                <w:kern w:val="0"/>
                <w:szCs w:val="21"/>
                <w14:textFill>
                  <w14:solidFill>
                    <w14:schemeClr w14:val="tx1"/>
                  </w14:solidFill>
                </w14:textFill>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000000" w:themeColor="text1"/>
                <w:kern w:val="0"/>
                <w:szCs w:val="21"/>
                <w14:textFill>
                  <w14:solidFill>
                    <w14:schemeClr w14:val="tx1"/>
                  </w14:solidFill>
                </w14:textFill>
              </w:rPr>
            </w:pPr>
          </w:p>
        </w:tc>
        <w:tc>
          <w:tcPr>
            <w:tcW w:w="411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color w:val="000000" w:themeColor="text1"/>
                <w:kern w:val="0"/>
                <w:szCs w:val="21"/>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color w:val="000000" w:themeColor="text1"/>
                <w:kern w:val="0"/>
                <w:szCs w:val="21"/>
                <w:shd w:val="pct10" w:color="auto" w:fill="FFFFFF"/>
                <w14:textFill>
                  <w14:solidFill>
                    <w14:schemeClr w14:val="tx1"/>
                  </w14:solidFill>
                </w14:textFill>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color w:val="000000" w:themeColor="text1"/>
                <w:kern w:val="0"/>
                <w:szCs w:val="21"/>
                <w:shd w:val="pct10" w:color="auto" w:fill="FFFFFF"/>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000000" w:themeColor="text1"/>
                <w:kern w:val="0"/>
                <w:szCs w:val="21"/>
                <w14:textFill>
                  <w14:solidFill>
                    <w14:schemeClr w14:val="tx1"/>
                  </w14:solidFill>
                </w14:textFill>
              </w:rPr>
            </w:pPr>
          </w:p>
        </w:tc>
        <w:tc>
          <w:tcPr>
            <w:tcW w:w="411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b/>
                <w:bCs/>
                <w:color w:val="000000" w:themeColor="text1"/>
                <w:kern w:val="0"/>
                <w:szCs w:val="21"/>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color w:val="000000" w:themeColor="text1"/>
                <w:kern w:val="0"/>
                <w:szCs w:val="21"/>
                <w14:textFill>
                  <w14:solidFill>
                    <w14:schemeClr w14:val="tx1"/>
                  </w14:solidFill>
                </w14:textFill>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
                <w:color w:val="000000" w:themeColor="text1"/>
                <w:kern w:val="0"/>
                <w:szCs w:val="21"/>
                <w14:textFill>
                  <w14:solidFill>
                    <w14:schemeClr w14:val="tx1"/>
                  </w14:solidFill>
                </w14:textFill>
              </w:rPr>
            </w:pPr>
          </w:p>
        </w:tc>
        <w:tc>
          <w:tcPr>
            <w:tcW w:w="411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color w:val="000000" w:themeColor="text1"/>
                <w:kern w:val="0"/>
                <w:szCs w:val="21"/>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color w:val="000000" w:themeColor="text1"/>
                <w:kern w:val="0"/>
                <w:szCs w:val="21"/>
                <w14:textFill>
                  <w14:solidFill>
                    <w14:schemeClr w14:val="tx1"/>
                  </w14:solidFill>
                </w14:textFill>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
                <w:color w:val="000000" w:themeColor="text1"/>
                <w:kern w:val="0"/>
                <w:szCs w:val="21"/>
                <w14:textFill>
                  <w14:solidFill>
                    <w14:schemeClr w14:val="tx1"/>
                  </w14:solidFill>
                </w14:textFill>
              </w:rPr>
            </w:pPr>
          </w:p>
        </w:tc>
        <w:tc>
          <w:tcPr>
            <w:tcW w:w="411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b/>
                <w:color w:val="000000" w:themeColor="text1"/>
                <w:szCs w:val="21"/>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rPr>
                <w:rFonts w:ascii="宋体" w:cs="宋体"/>
                <w:b/>
                <w:color w:val="000000" w:themeColor="text1"/>
                <w:kern w:val="0"/>
                <w:szCs w:val="21"/>
                <w14:textFill>
                  <w14:solidFill>
                    <w14:schemeClr w14:val="tx1"/>
                  </w14:solidFill>
                </w14:textFill>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1602" w:hRule="atLeast"/>
        </w:trPr>
        <w:tc>
          <w:tcPr>
            <w:tcW w:w="8755" w:type="dxa"/>
            <w:gridSpan w:val="4"/>
            <w:tcBorders>
              <w:top w:val="nil"/>
              <w:left w:val="nil"/>
              <w:bottom w:val="nil"/>
              <w:right w:val="nil"/>
            </w:tcBorders>
            <w:vAlign w:val="center"/>
          </w:tcPr>
          <w:p>
            <w:pPr>
              <w:widowControl/>
              <w:spacing w:line="360" w:lineRule="auto"/>
              <w:jc w:val="left"/>
              <w:rPr>
                <w:rFonts w:ascii="宋体" w:cs="宋体"/>
                <w:b/>
                <w:kern w:val="0"/>
                <w:szCs w:val="21"/>
              </w:rPr>
            </w:pPr>
          </w:p>
          <w:p>
            <w:pPr>
              <w:widowControl/>
              <w:spacing w:line="360" w:lineRule="auto"/>
              <w:jc w:val="left"/>
              <w:rPr>
                <w:rFonts w:ascii="宋体" w:cs="宋体"/>
                <w:b/>
                <w:kern w:val="0"/>
                <w:szCs w:val="21"/>
              </w:rPr>
            </w:pPr>
            <w:r>
              <w:rPr>
                <w:rFonts w:hint="eastAsia" w:ascii="宋体" w:hAnsi="宋体" w:cs="宋体"/>
                <w:b/>
                <w:kern w:val="0"/>
                <w:szCs w:val="21"/>
              </w:rPr>
              <w:t xml:space="preserve">    甲方代表签字：</w:t>
            </w:r>
            <w:r>
              <w:rPr>
                <w:rFonts w:ascii="宋体" w:hAnsi="宋体" w:cs="宋体"/>
                <w:b/>
                <w:kern w:val="0"/>
                <w:szCs w:val="21"/>
              </w:rPr>
              <w:t>乙方代表</w:t>
            </w:r>
            <w:r>
              <w:rPr>
                <w:rFonts w:hint="eastAsia" w:ascii="宋体" w:hAnsi="宋体" w:cs="宋体"/>
                <w:b/>
                <w:kern w:val="0"/>
                <w:szCs w:val="21"/>
              </w:rPr>
              <w:t>签字：</w:t>
            </w:r>
          </w:p>
          <w:p>
            <w:pPr>
              <w:widowControl/>
              <w:spacing w:line="360" w:lineRule="auto"/>
              <w:jc w:val="left"/>
              <w:rPr>
                <w:rFonts w:ascii="宋体" w:cs="宋体"/>
                <w:b/>
                <w:kern w:val="0"/>
                <w:szCs w:val="21"/>
              </w:rPr>
            </w:pPr>
          </w:p>
          <w:p>
            <w:pPr>
              <w:widowControl/>
              <w:spacing w:line="360" w:lineRule="auto"/>
              <w:jc w:val="left"/>
              <w:rPr>
                <w:rFonts w:ascii="宋体" w:cs="宋体"/>
                <w:b/>
                <w:kern w:val="0"/>
                <w:szCs w:val="21"/>
              </w:rPr>
            </w:pPr>
            <w:r>
              <w:rPr>
                <w:rFonts w:hint="eastAsia" w:ascii="宋体" w:hAnsi="宋体" w:cs="宋体"/>
                <w:b/>
                <w:kern w:val="0"/>
                <w:szCs w:val="21"/>
              </w:rPr>
              <w:t xml:space="preserve">    甲方（盖章）：                              乙方（盖章）：</w:t>
            </w:r>
          </w:p>
        </w:tc>
      </w:tr>
    </w:tbl>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pStyle w:val="33"/>
        <w:ind w:firstLine="420"/>
      </w:pPr>
    </w:p>
    <w:p>
      <w:pPr>
        <w:spacing w:line="360" w:lineRule="auto"/>
        <w:jc w:val="center"/>
        <w:rPr>
          <w:rFonts w:ascii="宋体" w:hAnsi="宋体"/>
          <w:sz w:val="28"/>
          <w:szCs w:val="28"/>
        </w:rPr>
      </w:pPr>
      <w:r>
        <w:rPr>
          <w:rFonts w:hint="eastAsia" w:ascii="宋体" w:hAnsi="宋体"/>
          <w:sz w:val="28"/>
          <w:szCs w:val="28"/>
        </w:rPr>
        <w:t>付款申请表</w:t>
      </w:r>
    </w:p>
    <w:p>
      <w:pPr>
        <w:spacing w:line="360" w:lineRule="auto"/>
        <w:rPr>
          <w:rFonts w:ascii="宋体" w:hAnsi="宋体"/>
          <w:b/>
          <w:sz w:val="24"/>
        </w:rPr>
      </w:pPr>
      <w:r>
        <w:rPr>
          <w:rFonts w:hint="eastAsia" w:asciiTheme="minorEastAsia" w:hAnsiTheme="minorEastAsia" w:eastAsiaTheme="minorEastAsia" w:cstheme="minorEastAsia"/>
          <w:kern w:val="0"/>
          <w:sz w:val="24"/>
          <w:u w:val="single"/>
        </w:rPr>
        <w:t>合肥百货大楼集团蚌埠百货大楼有限责任公司</w:t>
      </w:r>
      <w:r>
        <w:rPr>
          <w:rFonts w:hint="eastAsia" w:ascii="宋体" w:hAnsi="宋体"/>
          <w:b/>
          <w:sz w:val="24"/>
        </w:rPr>
        <w:t>：</w:t>
      </w:r>
    </w:p>
    <w:p>
      <w:pPr>
        <w:spacing w:line="360" w:lineRule="auto"/>
        <w:ind w:firstLine="480" w:firstLineChars="200"/>
        <w:rPr>
          <w:rFonts w:ascii="宋体" w:hAnsi="宋体"/>
          <w:sz w:val="24"/>
          <w:u w:val="single"/>
        </w:rPr>
      </w:pPr>
      <w:r>
        <w:rPr>
          <w:rFonts w:hint="eastAsia" w:ascii="宋体" w:hAnsi="宋体"/>
          <w:sz w:val="24"/>
        </w:rPr>
        <w:t>据申请人与</w:t>
      </w:r>
      <w:r>
        <w:rPr>
          <w:rFonts w:hint="eastAsia" w:asciiTheme="minorEastAsia" w:hAnsiTheme="minorEastAsia" w:eastAsiaTheme="minorEastAsia" w:cstheme="minorEastAsia"/>
          <w:kern w:val="0"/>
          <w:sz w:val="24"/>
          <w:u w:val="single"/>
        </w:rPr>
        <w:t>合肥百货大楼集团蚌埠百货大楼有限责任公司</w:t>
      </w:r>
      <w:r>
        <w:rPr>
          <w:rFonts w:hint="eastAsia" w:ascii="宋体" w:hAnsi="宋体"/>
          <w:sz w:val="24"/>
        </w:rPr>
        <w:t>于年月日签订的《</w:t>
      </w:r>
      <w:r>
        <w:rPr>
          <w:rFonts w:hint="eastAsia" w:asciiTheme="minorEastAsia" w:hAnsiTheme="minorEastAsia" w:eastAsiaTheme="minorEastAsia" w:cstheme="minorEastAsia"/>
          <w:kern w:val="0"/>
          <w:sz w:val="24"/>
          <w:u w:val="single"/>
        </w:rPr>
        <w:t>合肥百货大楼集团蚌埠百货大楼有限责任公司</w:t>
      </w:r>
      <w:r>
        <w:rPr>
          <w:rFonts w:hint="eastAsia" w:ascii="宋体" w:hAnsi="宋体"/>
          <w:sz w:val="24"/>
        </w:rPr>
        <w:t>合同能源管理服务合同》 ，</w:t>
      </w:r>
      <w:r>
        <w:rPr>
          <w:rFonts w:hint="eastAsia" w:asciiTheme="minorEastAsia" w:hAnsiTheme="minorEastAsia" w:eastAsiaTheme="minorEastAsia" w:cstheme="minorEastAsia"/>
          <w:kern w:val="0"/>
          <w:sz w:val="24"/>
          <w:u w:val="single"/>
        </w:rPr>
        <w:t>合肥百货大楼集团蚌埠百货大楼有限责任公司</w:t>
      </w:r>
      <w:r>
        <w:rPr>
          <w:rFonts w:hint="eastAsia" w:ascii="宋体" w:hAnsi="宋体"/>
          <w:sz w:val="24"/>
        </w:rPr>
        <w:t>应支付给     年   月    份第   期的节能效益分享款为￥元（小写），大写（人民币）：</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详见下表：</w:t>
      </w:r>
    </w:p>
    <w:tbl>
      <w:tblPr>
        <w:tblStyle w:val="27"/>
        <w:tblW w:w="93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71"/>
        <w:gridCol w:w="2964"/>
        <w:gridCol w:w="3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2771" w:type="dxa"/>
            <w:vAlign w:val="center"/>
          </w:tcPr>
          <w:p>
            <w:pPr>
              <w:spacing w:line="360" w:lineRule="auto"/>
              <w:jc w:val="center"/>
              <w:rPr>
                <w:rFonts w:ascii="宋体" w:hAnsi="宋体"/>
                <w:sz w:val="24"/>
              </w:rPr>
            </w:pPr>
            <w:r>
              <w:rPr>
                <w:rFonts w:hint="eastAsia" w:ascii="宋体" w:hAnsi="宋体"/>
                <w:sz w:val="24"/>
              </w:rPr>
              <w:t>节能项目</w:t>
            </w:r>
          </w:p>
        </w:tc>
        <w:tc>
          <w:tcPr>
            <w:tcW w:w="2964" w:type="dxa"/>
            <w:vAlign w:val="center"/>
          </w:tcPr>
          <w:p>
            <w:pPr>
              <w:spacing w:line="360" w:lineRule="auto"/>
              <w:jc w:val="center"/>
              <w:rPr>
                <w:rFonts w:ascii="宋体" w:hAnsi="宋体"/>
                <w:sz w:val="24"/>
              </w:rPr>
            </w:pPr>
            <w:r>
              <w:rPr>
                <w:rFonts w:hint="eastAsia" w:ascii="宋体" w:hAnsi="宋体"/>
                <w:sz w:val="24"/>
              </w:rPr>
              <w:t>金额/元</w:t>
            </w:r>
          </w:p>
        </w:tc>
        <w:tc>
          <w:tcPr>
            <w:tcW w:w="3644" w:type="dxa"/>
            <w:vAlign w:val="center"/>
          </w:tcPr>
          <w:p>
            <w:pPr>
              <w:spacing w:line="360" w:lineRule="auto"/>
              <w:jc w:val="center"/>
              <w:rPr>
                <w:rFonts w:ascii="宋体" w:hAnsi="宋体"/>
                <w:sz w:val="24"/>
              </w:rPr>
            </w:pPr>
            <w:r>
              <w:rPr>
                <w:rFonts w:hint="eastAsia" w:ascii="宋体" w:hAnsi="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2771" w:type="dxa"/>
            <w:vAlign w:val="center"/>
          </w:tcPr>
          <w:p>
            <w:pPr>
              <w:spacing w:line="360" w:lineRule="auto"/>
              <w:jc w:val="center"/>
              <w:rPr>
                <w:rFonts w:ascii="宋体" w:hAnsi="宋体"/>
                <w:sz w:val="24"/>
              </w:rPr>
            </w:pPr>
            <w:r>
              <w:rPr>
                <w:rFonts w:ascii="宋体" w:hAnsi="宋体"/>
                <w:sz w:val="24"/>
              </w:rPr>
              <w:t>综合能源管理服务</w:t>
            </w:r>
          </w:p>
        </w:tc>
        <w:tc>
          <w:tcPr>
            <w:tcW w:w="2964" w:type="dxa"/>
            <w:vAlign w:val="center"/>
          </w:tcPr>
          <w:p>
            <w:pPr>
              <w:spacing w:line="360" w:lineRule="auto"/>
              <w:ind w:firstLine="480" w:firstLineChars="200"/>
              <w:rPr>
                <w:rFonts w:ascii="宋体" w:hAnsi="宋体"/>
                <w:sz w:val="24"/>
              </w:rPr>
            </w:pPr>
            <w:r>
              <w:rPr>
                <w:rFonts w:hint="eastAsia" w:ascii="宋体" w:hAnsi="宋体"/>
                <w:sz w:val="24"/>
              </w:rPr>
              <w:t>￥</w:t>
            </w:r>
          </w:p>
        </w:tc>
        <w:tc>
          <w:tcPr>
            <w:tcW w:w="3644" w:type="dxa"/>
            <w:vAlign w:val="center"/>
          </w:tcPr>
          <w:p>
            <w:pPr>
              <w:spacing w:line="360" w:lineRule="auto"/>
              <w:jc w:val="center"/>
              <w:rPr>
                <w:rFonts w:ascii="宋体" w:hAnsi="宋体"/>
                <w:sz w:val="24"/>
              </w:rPr>
            </w:pPr>
            <w:r>
              <w:rPr>
                <w:rFonts w:hint="eastAsia" w:ascii="宋体" w:hAnsi="宋体"/>
                <w:sz w:val="24"/>
              </w:rPr>
              <w:t>总第期</w:t>
            </w:r>
          </w:p>
        </w:tc>
      </w:tr>
    </w:tbl>
    <w:p>
      <w:pPr>
        <w:spacing w:line="360" w:lineRule="auto"/>
        <w:rPr>
          <w:rFonts w:ascii="宋体" w:hAnsi="宋体"/>
          <w:sz w:val="24"/>
        </w:rPr>
      </w:pPr>
    </w:p>
    <w:p>
      <w:pPr>
        <w:spacing w:line="360" w:lineRule="auto"/>
        <w:rPr>
          <w:rFonts w:ascii="宋体" w:hAnsi="宋体"/>
          <w:sz w:val="24"/>
        </w:rPr>
      </w:pPr>
      <w:r>
        <w:rPr>
          <w:rFonts w:hint="eastAsia" w:ascii="宋体" w:hAnsi="宋体"/>
          <w:sz w:val="24"/>
        </w:rPr>
        <w:t>本表一式两份，一份申请人留存，一份</w:t>
      </w:r>
      <w:r>
        <w:rPr>
          <w:rFonts w:hint="eastAsia" w:asciiTheme="minorEastAsia" w:hAnsiTheme="minorEastAsia" w:eastAsiaTheme="minorEastAsia" w:cstheme="minorEastAsia"/>
          <w:kern w:val="0"/>
          <w:sz w:val="24"/>
          <w:u w:val="single"/>
        </w:rPr>
        <w:t>合肥百货大楼集团蚌埠百货大楼有限责任公司</w:t>
      </w:r>
      <w:r>
        <w:rPr>
          <w:rFonts w:hint="eastAsia" w:ascii="宋体" w:hAnsi="宋体"/>
          <w:sz w:val="24"/>
        </w:rPr>
        <w:t>留存。</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申请人:                                                           签收人：</w:t>
      </w:r>
    </w:p>
    <w:p>
      <w:pPr>
        <w:autoSpaceDE w:val="0"/>
        <w:autoSpaceDN w:val="0"/>
        <w:adjustRightInd w:val="0"/>
        <w:spacing w:line="360" w:lineRule="auto"/>
        <w:jc w:val="left"/>
        <w:rPr>
          <w:rFonts w:ascii="宋体" w:hAnsi="宋体"/>
          <w:sz w:val="24"/>
        </w:rPr>
      </w:pPr>
    </w:p>
    <w:p>
      <w:pPr>
        <w:autoSpaceDE w:val="0"/>
        <w:autoSpaceDN w:val="0"/>
        <w:adjustRightInd w:val="0"/>
        <w:spacing w:line="360" w:lineRule="auto"/>
        <w:ind w:right="960" w:firstLine="6360" w:firstLineChars="2650"/>
        <w:rPr>
          <w:rFonts w:ascii="宋体" w:hAnsi="宋体"/>
          <w:sz w:val="24"/>
        </w:rPr>
      </w:pPr>
      <w:r>
        <w:rPr>
          <w:rFonts w:hint="eastAsia" w:ascii="宋体" w:hAnsi="宋体"/>
          <w:sz w:val="24"/>
        </w:rPr>
        <w:t xml:space="preserve"> 年     月     日</w:t>
      </w:r>
    </w:p>
    <w:p>
      <w:pPr>
        <w:autoSpaceDE w:val="0"/>
        <w:autoSpaceDN w:val="0"/>
        <w:adjustRightInd w:val="0"/>
        <w:spacing w:line="360" w:lineRule="auto"/>
        <w:ind w:right="960"/>
        <w:rPr>
          <w:rFonts w:ascii="宋体" w:hAnsi="宋体"/>
          <w:sz w:val="24"/>
        </w:rPr>
      </w:pPr>
    </w:p>
    <w:p>
      <w:pPr>
        <w:autoSpaceDE w:val="0"/>
        <w:autoSpaceDN w:val="0"/>
        <w:adjustRightInd w:val="0"/>
        <w:spacing w:line="360" w:lineRule="auto"/>
        <w:jc w:val="left"/>
        <w:outlineLvl w:val="0"/>
        <w:rPr>
          <w:rFonts w:ascii="宋体" w:hAnsi="宋体" w:cs="宋体"/>
          <w:b/>
          <w:kern w:val="0"/>
          <w:szCs w:val="21"/>
        </w:rPr>
      </w:pPr>
    </w:p>
    <w:p>
      <w:pPr>
        <w:autoSpaceDE w:val="0"/>
        <w:autoSpaceDN w:val="0"/>
        <w:adjustRightInd w:val="0"/>
        <w:spacing w:line="360" w:lineRule="auto"/>
        <w:jc w:val="left"/>
        <w:outlineLvl w:val="0"/>
        <w:rPr>
          <w:rFonts w:ascii="宋体" w:cs="宋体"/>
          <w:b/>
          <w:kern w:val="0"/>
          <w:szCs w:val="21"/>
        </w:rPr>
      </w:pPr>
      <w:r>
        <w:rPr>
          <w:rFonts w:ascii="宋体" w:hAnsi="宋体" w:cs="宋体"/>
          <w:b/>
          <w:kern w:val="0"/>
          <w:szCs w:val="21"/>
        </w:rPr>
        <w:t xml:space="preserve">附件5. </w:t>
      </w:r>
      <w:r>
        <w:rPr>
          <w:rFonts w:hint="eastAsia" w:ascii="宋体" w:hAnsi="宋体" w:cs="宋体"/>
          <w:b/>
          <w:kern w:val="0"/>
          <w:szCs w:val="21"/>
        </w:rPr>
        <w:t>项目验收程序和标准</w:t>
      </w:r>
    </w:p>
    <w:p>
      <w:pPr>
        <w:autoSpaceDE w:val="0"/>
        <w:autoSpaceDN w:val="0"/>
        <w:adjustRightInd w:val="0"/>
        <w:spacing w:line="360" w:lineRule="auto"/>
        <w:jc w:val="left"/>
        <w:rPr>
          <w:rFonts w:ascii="宋体" w:cs="宋体"/>
          <w:b/>
          <w:kern w:val="0"/>
          <w:szCs w:val="21"/>
        </w:rPr>
      </w:pPr>
      <w:r>
        <w:rPr>
          <w:rFonts w:hint="eastAsia" w:ascii="宋体" w:hAnsi="宋体" w:cs="宋体"/>
          <w:b/>
          <w:kern w:val="0"/>
          <w:szCs w:val="21"/>
        </w:rPr>
        <w:t>项目验收程序：</w:t>
      </w:r>
    </w:p>
    <w:p>
      <w:pPr>
        <w:autoSpaceDE w:val="0"/>
        <w:autoSpaceDN w:val="0"/>
        <w:adjustRightInd w:val="0"/>
        <w:spacing w:line="360" w:lineRule="auto"/>
        <w:ind w:firstLine="420" w:firstLineChars="200"/>
        <w:rPr>
          <w:rFonts w:ascii="宋体" w:cs="宋体"/>
          <w:b/>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）节能设备安装施工质量验收；</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）节能改造后门店空调效果的测量验收；</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）节能改造后门店照明效果的测量验收；</w:t>
      </w:r>
    </w:p>
    <w:p>
      <w:pPr>
        <w:autoSpaceDE w:val="0"/>
        <w:autoSpaceDN w:val="0"/>
        <w:adjustRightInd w:val="0"/>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）项目整体验收。</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（5）双方在验收文件（包括乙方投入设备的财产清单）上签字盖章</w:t>
      </w:r>
    </w:p>
    <w:p>
      <w:pPr>
        <w:autoSpaceDE w:val="0"/>
        <w:autoSpaceDN w:val="0"/>
        <w:adjustRightInd w:val="0"/>
        <w:spacing w:line="360" w:lineRule="auto"/>
        <w:rPr>
          <w:rFonts w:ascii="宋体" w:cs="宋体"/>
          <w:b/>
          <w:kern w:val="0"/>
          <w:szCs w:val="21"/>
        </w:rPr>
      </w:pPr>
      <w:r>
        <w:rPr>
          <w:rFonts w:hint="eastAsia" w:ascii="宋体" w:hAnsi="宋体" w:cs="宋体"/>
          <w:b/>
          <w:kern w:val="0"/>
          <w:szCs w:val="21"/>
        </w:rPr>
        <w:t>项目验收标准：</w:t>
      </w:r>
    </w:p>
    <w:p>
      <w:pPr>
        <w:autoSpaceDE w:val="0"/>
        <w:autoSpaceDN w:val="0"/>
        <w:adjustRightInd w:val="0"/>
        <w:spacing w:line="360" w:lineRule="auto"/>
        <w:ind w:firstLine="420" w:firstLineChars="200"/>
        <w:outlineLvl w:val="0"/>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）节能设备安装、调试至正常运行，改造工程施工质量达到国家相关标准；</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）节能改造后测试门店空调效果，达到国家相关规定；</w:t>
      </w:r>
    </w:p>
    <w:p>
      <w:pPr>
        <w:autoSpaceDE w:val="0"/>
        <w:autoSpaceDN w:val="0"/>
        <w:adjustRightInd w:val="0"/>
        <w:spacing w:line="360" w:lineRule="auto"/>
        <w:ind w:firstLine="424" w:firstLineChars="202"/>
        <w:rPr>
          <w:rFonts w:ascii="宋体" w:hAns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节能改造前，甲乙双方共同任意选取若干个原灯具下方的点（亮灯灯具正下方或两亮灯灯具中间正下方间隔选取）进行照度测量，测量值作为改造前的照度数值。改造完成后，在效益分享期内，在相同位置测量改造后的平均照度不低于改造前测量的平均照度，否则甲方有权要求乙方进行整改直至达到双方约定的照度标准（照度测试在距离地面1米的高度上测试）。</w:t>
      </w:r>
    </w:p>
    <w:p>
      <w:pPr>
        <w:autoSpaceDE w:val="0"/>
        <w:autoSpaceDN w:val="0"/>
        <w:adjustRightInd w:val="0"/>
        <w:spacing w:line="360" w:lineRule="auto"/>
        <w:ind w:firstLine="424" w:firstLineChars="202"/>
        <w:rPr>
          <w:rFonts w:ascii="宋体" w:hAnsi="宋体" w:cs="宋体"/>
          <w:kern w:val="0"/>
          <w:szCs w:val="21"/>
        </w:rPr>
      </w:pPr>
      <w:r>
        <w:rPr>
          <w:rFonts w:hint="eastAsia" w:ascii="宋体" w:hAnsi="宋体" w:cs="宋体"/>
          <w:kern w:val="0"/>
          <w:szCs w:val="21"/>
        </w:rPr>
        <w:t>（4） 验收后双方代表在《</w:t>
      </w:r>
      <w:r>
        <w:rPr>
          <w:rFonts w:hint="eastAsia" w:ascii="宋体" w:hAnsi="宋体" w:cs="宋体"/>
          <w:kern w:val="0"/>
          <w:szCs w:val="21"/>
          <w:u w:val="single"/>
        </w:rPr>
        <w:t>百大</w:t>
      </w:r>
      <w:r>
        <w:rPr>
          <w:rFonts w:hint="eastAsia" w:ascii="宋体" w:hAnsi="宋体" w:cs="宋体"/>
          <w:kern w:val="0"/>
          <w:szCs w:val="21"/>
        </w:rPr>
        <w:t>集团</w:t>
      </w:r>
      <w:r>
        <w:rPr>
          <w:rFonts w:hint="eastAsia" w:ascii="宋体" w:hAnsi="宋体" w:cs="宋体"/>
          <w:kern w:val="0"/>
          <w:szCs w:val="21"/>
          <w:u w:val="single"/>
        </w:rPr>
        <w:t xml:space="preserve">蚌埠百货大楼 </w:t>
      </w:r>
      <w:r>
        <w:rPr>
          <w:rFonts w:hint="eastAsia" w:ascii="宋体" w:hAnsi="宋体" w:cs="宋体"/>
          <w:kern w:val="0"/>
          <w:szCs w:val="21"/>
        </w:rPr>
        <w:t>店验收数据确认表》上签字，并加盖双方公章。</w:t>
      </w:r>
    </w:p>
    <w:p>
      <w:pPr>
        <w:autoSpaceDE w:val="0"/>
        <w:autoSpaceDN w:val="0"/>
        <w:adjustRightInd w:val="0"/>
        <w:spacing w:line="360" w:lineRule="auto"/>
        <w:jc w:val="left"/>
        <w:rPr>
          <w:rFonts w:ascii="宋体" w:cs="宋体"/>
          <w:b/>
          <w:kern w:val="0"/>
          <w:szCs w:val="21"/>
        </w:rPr>
      </w:pPr>
      <w:r>
        <w:rPr>
          <w:rFonts w:hint="eastAsia" w:ascii="宋体" w:hAnsi="宋体" w:cs="宋体"/>
          <w:b/>
          <w:kern w:val="0"/>
          <w:szCs w:val="21"/>
        </w:rPr>
        <w:t>节能项目财产验收清单</w:t>
      </w:r>
    </w:p>
    <w:tbl>
      <w:tblPr>
        <w:tblStyle w:val="27"/>
        <w:tblW w:w="10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563"/>
        <w:gridCol w:w="1402"/>
        <w:gridCol w:w="1505"/>
        <w:gridCol w:w="992"/>
        <w:gridCol w:w="127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rFonts w:ascii="宋体" w:cs="宋体"/>
                <w:szCs w:val="21"/>
              </w:rPr>
            </w:pPr>
            <w:r>
              <w:rPr>
                <w:rFonts w:hint="eastAsia" w:ascii="宋体" w:hAnsi="宋体" w:cs="宋体"/>
                <w:szCs w:val="21"/>
              </w:rPr>
              <w:t>序号</w:t>
            </w:r>
          </w:p>
        </w:tc>
        <w:tc>
          <w:tcPr>
            <w:tcW w:w="2563" w:type="dxa"/>
            <w:vAlign w:val="center"/>
          </w:tcPr>
          <w:p>
            <w:pPr>
              <w:spacing w:line="360" w:lineRule="auto"/>
              <w:jc w:val="center"/>
              <w:rPr>
                <w:rFonts w:ascii="宋体"/>
                <w:szCs w:val="21"/>
              </w:rPr>
            </w:pPr>
            <w:r>
              <w:rPr>
                <w:rFonts w:hint="eastAsia" w:ascii="宋体" w:hAnsi="宋体"/>
                <w:szCs w:val="21"/>
              </w:rPr>
              <w:t>设备（系统）名称</w:t>
            </w:r>
          </w:p>
        </w:tc>
        <w:tc>
          <w:tcPr>
            <w:tcW w:w="1402" w:type="dxa"/>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改造前参数</w:t>
            </w:r>
          </w:p>
        </w:tc>
        <w:tc>
          <w:tcPr>
            <w:tcW w:w="1505" w:type="dxa"/>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改造后参数</w:t>
            </w:r>
          </w:p>
        </w:tc>
        <w:tc>
          <w:tcPr>
            <w:tcW w:w="992" w:type="dxa"/>
            <w:vAlign w:val="center"/>
          </w:tcPr>
          <w:p>
            <w:pPr>
              <w:autoSpaceDE w:val="0"/>
              <w:autoSpaceDN w:val="0"/>
              <w:adjustRightInd w:val="0"/>
              <w:spacing w:line="360" w:lineRule="auto"/>
              <w:jc w:val="center"/>
              <w:rPr>
                <w:rFonts w:ascii="宋体"/>
                <w:szCs w:val="21"/>
              </w:rPr>
            </w:pPr>
            <w:r>
              <w:rPr>
                <w:rFonts w:hint="eastAsia" w:ascii="宋体" w:hAnsi="宋体" w:cs="宋体"/>
                <w:szCs w:val="21"/>
              </w:rPr>
              <w:t>单位</w:t>
            </w:r>
          </w:p>
        </w:tc>
        <w:tc>
          <w:tcPr>
            <w:tcW w:w="1276" w:type="dxa"/>
            <w:vAlign w:val="center"/>
          </w:tcPr>
          <w:p>
            <w:pPr>
              <w:spacing w:line="360" w:lineRule="auto"/>
              <w:jc w:val="center"/>
              <w:rPr>
                <w:rFonts w:ascii="宋体" w:cs="宋体"/>
                <w:szCs w:val="21"/>
              </w:rPr>
            </w:pPr>
            <w:r>
              <w:rPr>
                <w:rFonts w:hint="eastAsia" w:ascii="宋体" w:hAnsi="宋体"/>
                <w:szCs w:val="21"/>
              </w:rPr>
              <w:t>数量</w:t>
            </w:r>
          </w:p>
        </w:tc>
        <w:tc>
          <w:tcPr>
            <w:tcW w:w="1761" w:type="dxa"/>
            <w:vAlign w:val="center"/>
          </w:tcPr>
          <w:p>
            <w:pPr>
              <w:autoSpaceDE w:val="0"/>
              <w:autoSpaceDN w:val="0"/>
              <w:adjustRightInd w:val="0"/>
              <w:spacing w:line="360" w:lineRule="auto"/>
              <w:jc w:val="center"/>
              <w:rPr>
                <w:rFonts w:ascii="宋体" w:cs="宋体"/>
                <w:szCs w:val="21"/>
              </w:rPr>
            </w:pPr>
            <w:r>
              <w:rPr>
                <w:rFonts w:asci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widowControl/>
              <w:spacing w:line="360" w:lineRule="auto"/>
              <w:jc w:val="left"/>
              <w:rPr>
                <w:szCs w:val="21"/>
              </w:rPr>
            </w:pPr>
          </w:p>
        </w:tc>
        <w:tc>
          <w:tcPr>
            <w:tcW w:w="1402" w:type="dxa"/>
          </w:tcPr>
          <w:p>
            <w:pPr>
              <w:widowControl/>
              <w:spacing w:line="360" w:lineRule="auto"/>
              <w:jc w:val="center"/>
              <w:rPr>
                <w:szCs w:val="21"/>
              </w:rPr>
            </w:pPr>
          </w:p>
        </w:tc>
        <w:tc>
          <w:tcPr>
            <w:tcW w:w="1505" w:type="dxa"/>
          </w:tcPr>
          <w:p>
            <w:pPr>
              <w:widowControl/>
              <w:spacing w:line="360" w:lineRule="auto"/>
              <w:jc w:val="center"/>
              <w:rPr>
                <w:szCs w:val="21"/>
              </w:rPr>
            </w:pPr>
          </w:p>
        </w:tc>
        <w:tc>
          <w:tcPr>
            <w:tcW w:w="992" w:type="dxa"/>
            <w:vAlign w:val="center"/>
          </w:tcPr>
          <w:p>
            <w:pPr>
              <w:widowControl/>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widowControl/>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widowControl/>
              <w:spacing w:line="360" w:lineRule="auto"/>
              <w:jc w:val="left"/>
              <w:rPr>
                <w:szCs w:val="21"/>
              </w:rPr>
            </w:pPr>
          </w:p>
        </w:tc>
        <w:tc>
          <w:tcPr>
            <w:tcW w:w="1402" w:type="dxa"/>
          </w:tcPr>
          <w:p>
            <w:pPr>
              <w:widowControl/>
              <w:spacing w:line="360" w:lineRule="auto"/>
              <w:jc w:val="center"/>
              <w:rPr>
                <w:szCs w:val="21"/>
              </w:rPr>
            </w:pPr>
          </w:p>
        </w:tc>
        <w:tc>
          <w:tcPr>
            <w:tcW w:w="1505" w:type="dxa"/>
          </w:tcPr>
          <w:p>
            <w:pPr>
              <w:widowControl/>
              <w:spacing w:line="360" w:lineRule="auto"/>
              <w:jc w:val="center"/>
              <w:rPr>
                <w:szCs w:val="21"/>
              </w:rPr>
            </w:pPr>
          </w:p>
        </w:tc>
        <w:tc>
          <w:tcPr>
            <w:tcW w:w="992" w:type="dxa"/>
            <w:vAlign w:val="center"/>
          </w:tcPr>
          <w:p>
            <w:pPr>
              <w:widowControl/>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widowControl/>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widowControl/>
              <w:spacing w:line="360" w:lineRule="auto"/>
              <w:jc w:val="left"/>
              <w:rPr>
                <w:szCs w:val="21"/>
              </w:rPr>
            </w:pPr>
          </w:p>
        </w:tc>
        <w:tc>
          <w:tcPr>
            <w:tcW w:w="1402" w:type="dxa"/>
          </w:tcPr>
          <w:p>
            <w:pPr>
              <w:widowControl/>
              <w:spacing w:line="360" w:lineRule="auto"/>
              <w:jc w:val="center"/>
              <w:rPr>
                <w:szCs w:val="21"/>
              </w:rPr>
            </w:pPr>
          </w:p>
        </w:tc>
        <w:tc>
          <w:tcPr>
            <w:tcW w:w="1505" w:type="dxa"/>
          </w:tcPr>
          <w:p>
            <w:pPr>
              <w:widowControl/>
              <w:spacing w:line="360" w:lineRule="auto"/>
              <w:jc w:val="center"/>
              <w:rPr>
                <w:szCs w:val="21"/>
              </w:rPr>
            </w:pPr>
          </w:p>
        </w:tc>
        <w:tc>
          <w:tcPr>
            <w:tcW w:w="992" w:type="dxa"/>
            <w:vAlign w:val="center"/>
          </w:tcPr>
          <w:p>
            <w:pPr>
              <w:widowControl/>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widowControl/>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bl>
    <w:p>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备注：该财产清单为乙方投入的节能设备和系统设施清单，乙方将在安装时根据现场情况调整，实际以验收时为准，验收后甲方须签字盖章确认。</w:t>
      </w:r>
    </w:p>
    <w:p>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甲方代表签字：                              甲方盖章：</w:t>
      </w:r>
    </w:p>
    <w:p>
      <w:pPr>
        <w:autoSpaceDE w:val="0"/>
        <w:autoSpaceDN w:val="0"/>
        <w:adjustRightInd w:val="0"/>
        <w:spacing w:line="360" w:lineRule="auto"/>
        <w:rPr>
          <w:rFonts w:ascii="宋体" w:hAnsi="宋体" w:cs="宋体"/>
          <w:kern w:val="0"/>
          <w:szCs w:val="21"/>
        </w:rPr>
      </w:pPr>
    </w:p>
    <w:tbl>
      <w:tblPr>
        <w:tblStyle w:val="27"/>
        <w:tblW w:w="9464" w:type="dxa"/>
        <w:tblInd w:w="0" w:type="dxa"/>
        <w:tblLayout w:type="fixed"/>
        <w:tblCellMar>
          <w:top w:w="0" w:type="dxa"/>
          <w:left w:w="108" w:type="dxa"/>
          <w:bottom w:w="0" w:type="dxa"/>
          <w:right w:w="108" w:type="dxa"/>
        </w:tblCellMar>
      </w:tblPr>
      <w:tblGrid>
        <w:gridCol w:w="2093"/>
        <w:gridCol w:w="992"/>
        <w:gridCol w:w="992"/>
        <w:gridCol w:w="993"/>
        <w:gridCol w:w="850"/>
        <w:gridCol w:w="851"/>
        <w:gridCol w:w="992"/>
        <w:gridCol w:w="850"/>
        <w:gridCol w:w="851"/>
      </w:tblGrid>
      <w:tr>
        <w:tblPrEx>
          <w:tblCellMar>
            <w:top w:w="0" w:type="dxa"/>
            <w:left w:w="108" w:type="dxa"/>
            <w:bottom w:w="0" w:type="dxa"/>
            <w:right w:w="108" w:type="dxa"/>
          </w:tblCellMar>
        </w:tblPrEx>
        <w:trPr>
          <w:trHeight w:val="950" w:hRule="atLeast"/>
        </w:trPr>
        <w:tc>
          <w:tcPr>
            <w:tcW w:w="9464" w:type="dxa"/>
            <w:gridSpan w:val="9"/>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cs="宋体" w:asciiTheme="majorEastAsia" w:hAnsiTheme="majorEastAsia" w:eastAsiaTheme="majorEastAsia"/>
                <w:b/>
                <w:bCs/>
                <w:szCs w:val="21"/>
              </w:rPr>
            </w:pPr>
            <w:r>
              <w:rPr>
                <w:rFonts w:hint="eastAsia" w:asciiTheme="minorEastAsia" w:hAnsiTheme="minorEastAsia" w:eastAsiaTheme="minorEastAsia" w:cstheme="minorEastAsia"/>
                <w:kern w:val="0"/>
                <w:sz w:val="24"/>
                <w:u w:val="single"/>
              </w:rPr>
              <w:t>合肥百货大楼集团蚌埠百货大楼有限责任公司</w:t>
            </w:r>
            <w:r>
              <w:rPr>
                <w:rFonts w:hint="eastAsia" w:asciiTheme="majorEastAsia" w:hAnsiTheme="majorEastAsia" w:eastAsiaTheme="majorEastAsia"/>
                <w:b/>
                <w:szCs w:val="21"/>
              </w:rPr>
              <w:t>节能技改工程</w:t>
            </w:r>
            <w:r>
              <w:rPr>
                <w:rFonts w:hint="eastAsia" w:cs="宋体" w:asciiTheme="majorEastAsia" w:hAnsiTheme="majorEastAsia" w:eastAsiaTheme="majorEastAsia"/>
                <w:b/>
                <w:bCs/>
                <w:szCs w:val="21"/>
              </w:rPr>
              <w:t>验收报告</w:t>
            </w:r>
          </w:p>
        </w:tc>
      </w:tr>
      <w:tr>
        <w:tblPrEx>
          <w:tblCellMar>
            <w:top w:w="0" w:type="dxa"/>
            <w:left w:w="108" w:type="dxa"/>
            <w:bottom w:w="0" w:type="dxa"/>
            <w:right w:w="108" w:type="dxa"/>
          </w:tblCellMar>
        </w:tblPrEx>
        <w:trPr>
          <w:trHeight w:val="1064" w:hRule="atLeast"/>
        </w:trPr>
        <w:tc>
          <w:tcPr>
            <w:tcW w:w="9464" w:type="dxa"/>
            <w:gridSpan w:val="9"/>
            <w:tcBorders>
              <w:top w:val="single" w:color="000000" w:sz="4" w:space="0"/>
              <w:left w:val="single" w:color="000000" w:sz="4" w:space="0"/>
              <w:bottom w:val="single" w:color="000000" w:sz="4" w:space="0"/>
              <w:right w:val="single" w:color="000000" w:sz="4" w:space="0"/>
            </w:tcBorders>
            <w:vAlign w:val="center"/>
          </w:tcPr>
          <w:p>
            <w:pPr>
              <w:spacing w:line="480" w:lineRule="auto"/>
              <w:ind w:firstLine="840" w:firstLineChars="400"/>
              <w:rPr>
                <w:rFonts w:cs="宋体" w:asciiTheme="majorEastAsia" w:hAnsiTheme="majorEastAsia" w:eastAsiaTheme="majorEastAsia"/>
                <w:szCs w:val="21"/>
              </w:rPr>
            </w:pPr>
            <w:r>
              <w:rPr>
                <w:rFonts w:hint="eastAsia" w:cs="宋体" w:asciiTheme="majorEastAsia" w:hAnsiTheme="majorEastAsia" w:eastAsiaTheme="majorEastAsia"/>
                <w:szCs w:val="21"/>
              </w:rPr>
              <w:t>验收日期：</w:t>
            </w:r>
          </w:p>
        </w:tc>
      </w:tr>
      <w:tr>
        <w:tblPrEx>
          <w:tblCellMar>
            <w:top w:w="0" w:type="dxa"/>
            <w:left w:w="108" w:type="dxa"/>
            <w:bottom w:w="0" w:type="dxa"/>
            <w:right w:w="108" w:type="dxa"/>
          </w:tblCellMar>
        </w:tblPrEx>
        <w:trPr>
          <w:trHeight w:val="1137" w:hRule="atLeast"/>
        </w:trPr>
        <w:tc>
          <w:tcPr>
            <w:tcW w:w="2093" w:type="dxa"/>
            <w:tcBorders>
              <w:top w:val="single" w:color="000000" w:sz="4" w:space="0"/>
              <w:left w:val="single" w:color="auto" w:sz="8" w:space="0"/>
              <w:bottom w:val="single" w:color="auto" w:sz="4" w:space="0"/>
              <w:right w:val="single" w:color="auto" w:sz="4" w:space="0"/>
            </w:tcBorders>
            <w:vAlign w:val="center"/>
          </w:tcPr>
          <w:p>
            <w:pPr>
              <w:spacing w:line="48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项目</w:t>
            </w:r>
          </w:p>
        </w:tc>
        <w:tc>
          <w:tcPr>
            <w:tcW w:w="7371" w:type="dxa"/>
            <w:gridSpan w:val="8"/>
            <w:tcBorders>
              <w:top w:val="single" w:color="000000" w:sz="4" w:space="0"/>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r>
      <w:tr>
        <w:tblPrEx>
          <w:tblCellMar>
            <w:top w:w="0" w:type="dxa"/>
            <w:left w:w="108" w:type="dxa"/>
            <w:bottom w:w="0" w:type="dxa"/>
            <w:right w:w="108" w:type="dxa"/>
          </w:tblCellMar>
        </w:tblPrEx>
        <w:trPr>
          <w:trHeight w:val="1148" w:hRule="atLeast"/>
        </w:trPr>
        <w:tc>
          <w:tcPr>
            <w:tcW w:w="2093" w:type="dxa"/>
            <w:tcBorders>
              <w:top w:val="nil"/>
              <w:left w:val="single" w:color="auto" w:sz="8" w:space="0"/>
              <w:bottom w:val="single" w:color="auto" w:sz="4" w:space="0"/>
              <w:right w:val="single" w:color="auto" w:sz="4" w:space="0"/>
            </w:tcBorders>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改造后安装设备名称</w:t>
            </w: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3"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r>
      <w:tr>
        <w:tblPrEx>
          <w:tblCellMar>
            <w:top w:w="0" w:type="dxa"/>
            <w:left w:w="108" w:type="dxa"/>
            <w:bottom w:w="0" w:type="dxa"/>
            <w:right w:w="108" w:type="dxa"/>
          </w:tblCellMar>
        </w:tblPrEx>
        <w:trPr>
          <w:trHeight w:val="1147" w:hRule="atLeast"/>
        </w:trPr>
        <w:tc>
          <w:tcPr>
            <w:tcW w:w="2093" w:type="dxa"/>
            <w:tcBorders>
              <w:top w:val="nil"/>
              <w:left w:val="single" w:color="auto" w:sz="8" w:space="0"/>
              <w:bottom w:val="single" w:color="auto" w:sz="4" w:space="0"/>
              <w:right w:val="single" w:color="auto" w:sz="4" w:space="0"/>
            </w:tcBorders>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安装设备数量</w:t>
            </w: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3"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r>
      <w:tr>
        <w:tblPrEx>
          <w:tblCellMar>
            <w:top w:w="0" w:type="dxa"/>
            <w:left w:w="108" w:type="dxa"/>
            <w:bottom w:w="0" w:type="dxa"/>
            <w:right w:w="108" w:type="dxa"/>
          </w:tblCellMar>
        </w:tblPrEx>
        <w:trPr>
          <w:trHeight w:val="1148" w:hRule="atLeast"/>
        </w:trPr>
        <w:tc>
          <w:tcPr>
            <w:tcW w:w="2093" w:type="dxa"/>
            <w:tcBorders>
              <w:top w:val="nil"/>
              <w:left w:val="single" w:color="auto" w:sz="8" w:space="0"/>
              <w:bottom w:val="single" w:color="auto" w:sz="4" w:space="0"/>
              <w:right w:val="single" w:color="auto" w:sz="4" w:space="0"/>
            </w:tcBorders>
            <w:vAlign w:val="center"/>
          </w:tcPr>
          <w:p>
            <w:pPr>
              <w:spacing w:line="48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设备品质</w:t>
            </w: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3"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r>
      <w:tr>
        <w:tblPrEx>
          <w:tblCellMar>
            <w:top w:w="0" w:type="dxa"/>
            <w:left w:w="108" w:type="dxa"/>
            <w:bottom w:w="0" w:type="dxa"/>
            <w:right w:w="108" w:type="dxa"/>
          </w:tblCellMar>
        </w:tblPrEx>
        <w:trPr>
          <w:trHeight w:val="1148" w:hRule="atLeast"/>
        </w:trPr>
        <w:tc>
          <w:tcPr>
            <w:tcW w:w="2093" w:type="dxa"/>
            <w:tcBorders>
              <w:top w:val="nil"/>
              <w:left w:val="single" w:color="auto" w:sz="8" w:space="0"/>
              <w:bottom w:val="single" w:color="auto" w:sz="4" w:space="0"/>
              <w:right w:val="single" w:color="auto" w:sz="4" w:space="0"/>
            </w:tcBorders>
            <w:vAlign w:val="center"/>
          </w:tcPr>
          <w:p>
            <w:pPr>
              <w:spacing w:line="48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验收结论</w:t>
            </w:r>
          </w:p>
        </w:tc>
        <w:tc>
          <w:tcPr>
            <w:tcW w:w="7371" w:type="dxa"/>
            <w:gridSpan w:val="8"/>
            <w:tcBorders>
              <w:top w:val="nil"/>
              <w:left w:val="nil"/>
              <w:bottom w:val="single" w:color="auto" w:sz="4" w:space="0"/>
              <w:right w:val="single" w:color="auto" w:sz="8" w:space="0"/>
            </w:tcBorders>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项目经验收合格,符合合同约定.</w:t>
            </w:r>
          </w:p>
        </w:tc>
      </w:tr>
      <w:tr>
        <w:tblPrEx>
          <w:tblCellMar>
            <w:top w:w="0" w:type="dxa"/>
            <w:left w:w="108" w:type="dxa"/>
            <w:bottom w:w="0" w:type="dxa"/>
            <w:right w:w="108" w:type="dxa"/>
          </w:tblCellMar>
        </w:tblPrEx>
        <w:trPr>
          <w:trHeight w:val="1310" w:hRule="atLeast"/>
        </w:trPr>
        <w:tc>
          <w:tcPr>
            <w:tcW w:w="9464" w:type="dxa"/>
            <w:gridSpan w:val="9"/>
            <w:tcBorders>
              <w:top w:val="single" w:color="auto" w:sz="4" w:space="0"/>
              <w:left w:val="single" w:color="auto" w:sz="8" w:space="0"/>
              <w:bottom w:val="single" w:color="auto" w:sz="4" w:space="0"/>
              <w:right w:val="single" w:color="000000" w:sz="8" w:space="0"/>
            </w:tcBorders>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甲方（章）：参加验收人员签字：</w:t>
            </w:r>
          </w:p>
        </w:tc>
      </w:tr>
      <w:tr>
        <w:tblPrEx>
          <w:tblCellMar>
            <w:top w:w="0" w:type="dxa"/>
            <w:left w:w="108" w:type="dxa"/>
            <w:bottom w:w="0" w:type="dxa"/>
            <w:right w:w="108" w:type="dxa"/>
          </w:tblCellMar>
        </w:tblPrEx>
        <w:trPr>
          <w:trHeight w:val="1312" w:hRule="atLeast"/>
        </w:trPr>
        <w:tc>
          <w:tcPr>
            <w:tcW w:w="9464" w:type="dxa"/>
            <w:gridSpan w:val="9"/>
            <w:tcBorders>
              <w:top w:val="single" w:color="auto" w:sz="4" w:space="0"/>
              <w:left w:val="single" w:color="auto" w:sz="8" w:space="0"/>
              <w:bottom w:val="single" w:color="auto" w:sz="4" w:space="0"/>
              <w:right w:val="single" w:color="000000" w:sz="8" w:space="0"/>
            </w:tcBorders>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乙方（章）：                        参加验收人员签字：</w:t>
            </w:r>
          </w:p>
        </w:tc>
      </w:tr>
      <w:tr>
        <w:tblPrEx>
          <w:tblCellMar>
            <w:top w:w="0" w:type="dxa"/>
            <w:left w:w="108" w:type="dxa"/>
            <w:bottom w:w="0" w:type="dxa"/>
            <w:right w:w="108" w:type="dxa"/>
          </w:tblCellMar>
        </w:tblPrEx>
        <w:trPr>
          <w:trHeight w:val="1685" w:hRule="atLeast"/>
        </w:trPr>
        <w:tc>
          <w:tcPr>
            <w:tcW w:w="9464" w:type="dxa"/>
            <w:gridSpan w:val="9"/>
            <w:tcBorders>
              <w:top w:val="single" w:color="auto" w:sz="4" w:space="0"/>
              <w:left w:val="single" w:color="auto" w:sz="8" w:space="0"/>
              <w:bottom w:val="single" w:color="auto" w:sz="8" w:space="0"/>
              <w:right w:val="single" w:color="000000" w:sz="8" w:space="0"/>
            </w:tcBorders>
          </w:tcPr>
          <w:p>
            <w:pPr>
              <w:spacing w:line="480" w:lineRule="auto"/>
              <w:rPr>
                <w:rFonts w:cs="宋体" w:asciiTheme="majorEastAsia" w:hAnsiTheme="majorEastAsia" w:eastAsiaTheme="majorEastAsia"/>
                <w:szCs w:val="21"/>
              </w:rPr>
            </w:pPr>
          </w:p>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备注：</w:t>
            </w:r>
          </w:p>
        </w:tc>
      </w:tr>
    </w:tbl>
    <w:p>
      <w:pPr>
        <w:spacing w:beforeLines="50" w:afterLines="50" w:line="480" w:lineRule="auto"/>
        <w:rPr>
          <w:rFonts w:asciiTheme="majorEastAsia" w:hAnsiTheme="majorEastAsia" w:eastAsiaTheme="majorEastAsia"/>
          <w:b/>
          <w:szCs w:val="21"/>
        </w:rPr>
      </w:pPr>
    </w:p>
    <w:p>
      <w:pPr>
        <w:autoSpaceDE w:val="0"/>
        <w:autoSpaceDN w:val="0"/>
        <w:adjustRightInd w:val="0"/>
        <w:spacing w:line="360" w:lineRule="auto"/>
        <w:jc w:val="left"/>
        <w:rPr>
          <w:rFonts w:ascii="宋体" w:hAnsi="宋体" w:cs="宋体"/>
          <w:b/>
          <w:kern w:val="0"/>
          <w:szCs w:val="21"/>
        </w:rPr>
      </w:pPr>
    </w:p>
    <w:p>
      <w:pPr>
        <w:autoSpaceDE w:val="0"/>
        <w:autoSpaceDN w:val="0"/>
        <w:adjustRightInd w:val="0"/>
        <w:spacing w:line="360" w:lineRule="auto"/>
        <w:jc w:val="left"/>
        <w:rPr>
          <w:rFonts w:ascii="宋体" w:cs="宋体"/>
          <w:b/>
          <w:kern w:val="0"/>
          <w:szCs w:val="21"/>
        </w:rPr>
      </w:pPr>
      <w:r>
        <w:rPr>
          <w:rFonts w:ascii="宋体" w:hAnsi="宋体" w:cs="宋体"/>
          <w:b/>
          <w:kern w:val="0"/>
          <w:szCs w:val="21"/>
        </w:rPr>
        <w:t xml:space="preserve">附件6. </w:t>
      </w:r>
      <w:r>
        <w:rPr>
          <w:rFonts w:hint="eastAsia" w:ascii="宋体" w:hAnsi="宋体" w:cs="宋体"/>
          <w:b/>
          <w:kern w:val="0"/>
          <w:szCs w:val="21"/>
        </w:rPr>
        <w:t>施工条件约定</w:t>
      </w:r>
    </w:p>
    <w:p>
      <w:pPr>
        <w:autoSpaceDE w:val="0"/>
        <w:autoSpaceDN w:val="0"/>
        <w:adjustRightInd w:val="0"/>
        <w:spacing w:line="360" w:lineRule="auto"/>
        <w:rPr>
          <w:rFonts w:ascii="宋体" w:cs="宋体"/>
          <w:b/>
          <w:kern w:val="0"/>
          <w:szCs w:val="21"/>
        </w:rPr>
      </w:pPr>
      <w:r>
        <w:rPr>
          <w:rFonts w:hint="eastAsia" w:ascii="宋体" w:hAnsi="宋体" w:cs="宋体"/>
          <w:b/>
          <w:kern w:val="0"/>
          <w:szCs w:val="21"/>
        </w:rPr>
        <w:t>乙方责任：</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）乙方应保证其施工为文明施工，而且符合我国法律、法规及</w:t>
      </w:r>
      <w:r>
        <w:rPr>
          <w:rFonts w:hint="eastAsia" w:ascii="宋体" w:hAnsi="宋体"/>
          <w:szCs w:val="21"/>
          <w:u w:val="single"/>
        </w:rPr>
        <w:t xml:space="preserve"> 蚌埠  </w:t>
      </w:r>
      <w:r>
        <w:rPr>
          <w:rFonts w:hint="eastAsia" w:ascii="宋体" w:hAnsi="宋体"/>
          <w:szCs w:val="21"/>
        </w:rPr>
        <w:t>市有关各项法规规定的要求，如乙方施工未达到本条之要求而导致任何第三方投诉的，由乙方承担一切责任。</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乙方的施工时间为甲方营业结束后至次日甲方营业开始前，乙方须在甲方门店员工进场前清理现场，不得影响甲方门店的正常营业。若乙方没有清理施工现场，甲方有权安排清洁公司进行清理，所发生的费用将从乙方的节能效益分成款中扣除。清理过程中如有发生乙方损失，甲方概不负责。若因此影响甲方正常营业，由乙方负责赔偿。</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）乙方必须自带工具到现场施工，未经许可，不得使用甲方的设施、工具。若施工过程中损坏甲方门店的设施、设备、工具、商品等，乙方照价赔偿。</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4</w:t>
      </w:r>
      <w:r>
        <w:rPr>
          <w:rFonts w:hint="eastAsia" w:ascii="宋体" w:hAnsi="宋体"/>
          <w:szCs w:val="21"/>
        </w:rPr>
        <w:t>）施工过程中非因甲方原因产生的其它意外事件，由乙方负责。</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5</w:t>
      </w:r>
      <w:r>
        <w:rPr>
          <w:rFonts w:hint="eastAsia" w:ascii="宋体" w:hAnsi="宋体"/>
          <w:szCs w:val="21"/>
        </w:rPr>
        <w:t>）施工过程中因甲方原因造成停工或延误施工的，则施工工期顺延。临时增加工程量的，工期也相应的顺延。</w:t>
      </w:r>
    </w:p>
    <w:p>
      <w:pPr>
        <w:spacing w:line="360" w:lineRule="auto"/>
        <w:rPr>
          <w:rFonts w:ascii="宋体"/>
          <w:b/>
          <w:szCs w:val="21"/>
        </w:rPr>
      </w:pPr>
      <w:r>
        <w:rPr>
          <w:rFonts w:hint="eastAsia" w:ascii="宋体" w:hAnsi="宋体"/>
          <w:b/>
          <w:szCs w:val="21"/>
        </w:rPr>
        <w:t>甲方责任：</w:t>
      </w:r>
    </w:p>
    <w:p>
      <w:pPr>
        <w:tabs>
          <w:tab w:val="left" w:pos="567"/>
        </w:tabs>
        <w:snapToGrid w:val="0"/>
        <w:spacing w:line="360" w:lineRule="auto"/>
        <w:ind w:firstLine="420" w:firstLineChars="200"/>
        <w:rPr>
          <w:rFonts w:ascii="宋体"/>
          <w:bCs/>
          <w:szCs w:val="21"/>
        </w:rPr>
      </w:pPr>
      <w:r>
        <w:rPr>
          <w:rFonts w:hint="eastAsia" w:ascii="宋体" w:hAnsi="宋体"/>
          <w:bCs/>
          <w:szCs w:val="21"/>
        </w:rPr>
        <w:t>（</w:t>
      </w:r>
      <w:r>
        <w:rPr>
          <w:rFonts w:ascii="宋体" w:hAnsi="宋体"/>
          <w:bCs/>
          <w:szCs w:val="21"/>
        </w:rPr>
        <w:t>1</w:t>
      </w:r>
      <w:r>
        <w:rPr>
          <w:rFonts w:hint="eastAsia" w:ascii="宋体" w:hAnsi="宋体"/>
          <w:bCs/>
          <w:szCs w:val="21"/>
        </w:rPr>
        <w:t>）提供施工用水、用电和施工环境方便。</w:t>
      </w:r>
    </w:p>
    <w:p>
      <w:pPr>
        <w:tabs>
          <w:tab w:val="left" w:pos="567"/>
        </w:tabs>
        <w:snapToGrid w:val="0"/>
        <w:spacing w:line="360" w:lineRule="auto"/>
        <w:ind w:firstLine="420" w:firstLineChars="200"/>
        <w:rPr>
          <w:rFonts w:ascii="宋体"/>
          <w:bCs/>
          <w:szCs w:val="21"/>
        </w:rPr>
      </w:pPr>
      <w:r>
        <w:rPr>
          <w:rFonts w:hint="eastAsia" w:ascii="宋体" w:hAnsi="宋体"/>
          <w:bCs/>
          <w:szCs w:val="21"/>
        </w:rPr>
        <w:t>（</w:t>
      </w:r>
      <w:r>
        <w:rPr>
          <w:rFonts w:ascii="宋体" w:hAnsi="宋体"/>
          <w:bCs/>
          <w:szCs w:val="21"/>
        </w:rPr>
        <w:t>2</w:t>
      </w:r>
      <w:r>
        <w:rPr>
          <w:rFonts w:hint="eastAsia" w:ascii="宋体" w:hAnsi="宋体"/>
          <w:bCs/>
          <w:szCs w:val="21"/>
        </w:rPr>
        <w:t>）提供安全场地供乙方存放施工工具和设备设施。</w:t>
      </w:r>
    </w:p>
    <w:p>
      <w:pPr>
        <w:tabs>
          <w:tab w:val="left" w:pos="567"/>
        </w:tabs>
        <w:snapToGrid w:val="0"/>
        <w:spacing w:line="360" w:lineRule="auto"/>
        <w:ind w:firstLine="420" w:firstLineChars="200"/>
        <w:rPr>
          <w:rFonts w:ascii="宋体"/>
          <w:bCs/>
          <w:szCs w:val="21"/>
        </w:rPr>
      </w:pPr>
      <w:r>
        <w:rPr>
          <w:rFonts w:hint="eastAsia" w:ascii="宋体" w:hAnsi="宋体"/>
          <w:bCs/>
          <w:szCs w:val="21"/>
        </w:rPr>
        <w:t>（</w:t>
      </w:r>
      <w:r>
        <w:rPr>
          <w:rFonts w:ascii="宋体" w:hAnsi="宋体"/>
          <w:bCs/>
          <w:szCs w:val="21"/>
        </w:rPr>
        <w:t>3</w:t>
      </w:r>
      <w:r>
        <w:rPr>
          <w:rFonts w:hint="eastAsia" w:ascii="宋体" w:hAnsi="宋体"/>
          <w:bCs/>
          <w:szCs w:val="21"/>
        </w:rPr>
        <w:t>）积极配合乙方进行施工改造。</w:t>
      </w:r>
    </w:p>
    <w:p>
      <w:pPr>
        <w:tabs>
          <w:tab w:val="left" w:pos="567"/>
        </w:tabs>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w:t>
      </w:r>
      <w:r>
        <w:rPr>
          <w:rFonts w:hint="eastAsia" w:ascii="宋体" w:hAnsi="宋体"/>
          <w:bCs/>
          <w:szCs w:val="21"/>
        </w:rPr>
        <w:t>及时</w:t>
      </w:r>
      <w:r>
        <w:rPr>
          <w:rFonts w:hint="eastAsia" w:ascii="宋体" w:hAnsi="宋体"/>
          <w:szCs w:val="21"/>
        </w:rPr>
        <w:t>组织进行改造前后的测试工作和工程竣工验收工作。</w:t>
      </w:r>
    </w:p>
    <w:p>
      <w:pPr>
        <w:autoSpaceDE w:val="0"/>
        <w:autoSpaceDN w:val="0"/>
        <w:adjustRightInd w:val="0"/>
        <w:spacing w:line="360" w:lineRule="auto"/>
        <w:jc w:val="left"/>
        <w:rPr>
          <w:rFonts w:ascii="宋体" w:cs="宋体"/>
          <w:b/>
          <w:kern w:val="0"/>
          <w:szCs w:val="21"/>
        </w:rPr>
      </w:pPr>
      <w:r>
        <w:rPr>
          <w:rFonts w:ascii="宋体" w:hAnsi="宋体" w:cs="宋体"/>
          <w:b/>
          <w:kern w:val="0"/>
          <w:szCs w:val="21"/>
        </w:rPr>
        <w:t xml:space="preserve">附件7. </w:t>
      </w:r>
      <w:r>
        <w:rPr>
          <w:rFonts w:hint="eastAsia" w:ascii="宋体" w:hAnsi="宋体" w:cs="宋体"/>
          <w:b/>
          <w:kern w:val="0"/>
          <w:szCs w:val="21"/>
        </w:rPr>
        <w:t>项目投资分担方案</w:t>
      </w:r>
    </w:p>
    <w:p>
      <w:pPr>
        <w:autoSpaceDE w:val="0"/>
        <w:autoSpaceDN w:val="0"/>
        <w:adjustRightInd w:val="0"/>
        <w:spacing w:line="360" w:lineRule="auto"/>
        <w:ind w:firstLine="411" w:firstLineChars="196"/>
        <w:rPr>
          <w:rFonts w:ascii="宋体" w:hAnsi="宋体" w:cs="宋体"/>
          <w:kern w:val="0"/>
          <w:szCs w:val="21"/>
        </w:rPr>
      </w:pPr>
      <w:r>
        <w:rPr>
          <w:rFonts w:hint="eastAsia" w:ascii="宋体" w:hAnsi="宋体" w:cs="宋体"/>
          <w:kern w:val="0"/>
          <w:szCs w:val="21"/>
        </w:rPr>
        <w:t>项目中产生的投资全部由乙方承担，包括节能设备的生产、采购费用，工程改造费用以及安装、调试费用，及合同主文本约定应由乙方承担的设备运行维修保养费用。</w:t>
      </w:r>
    </w:p>
    <w:p>
      <w:pPr>
        <w:spacing w:line="360" w:lineRule="auto"/>
        <w:jc w:val="left"/>
        <w:outlineLvl w:val="0"/>
        <w:rPr>
          <w:rFonts w:ascii="宋体" w:cs="宋体"/>
          <w:b/>
          <w:kern w:val="0"/>
          <w:szCs w:val="21"/>
        </w:rPr>
      </w:pPr>
      <w:r>
        <w:rPr>
          <w:rFonts w:ascii="宋体" w:hAnsi="宋体"/>
          <w:b/>
          <w:szCs w:val="21"/>
        </w:rPr>
        <w:t>附件</w:t>
      </w:r>
      <w:r>
        <w:rPr>
          <w:rFonts w:hint="eastAsia" w:ascii="宋体" w:hAnsi="宋体"/>
          <w:b/>
          <w:szCs w:val="21"/>
        </w:rPr>
        <w:t>8</w:t>
      </w:r>
      <w:r>
        <w:rPr>
          <w:rFonts w:ascii="宋体" w:hAnsi="宋体"/>
          <w:b/>
          <w:szCs w:val="21"/>
        </w:rPr>
        <w:t xml:space="preserve">. </w:t>
      </w:r>
      <w:r>
        <w:rPr>
          <w:rFonts w:hint="eastAsia" w:ascii="宋体" w:hAnsi="宋体" w:cs="宋体"/>
          <w:b/>
          <w:kern w:val="0"/>
          <w:szCs w:val="21"/>
        </w:rPr>
        <w:t>设备故障处理约定</w:t>
      </w:r>
    </w:p>
    <w:p>
      <w:pPr>
        <w:autoSpaceDE w:val="0"/>
        <w:autoSpaceDN w:val="0"/>
        <w:adjustRightInd w:val="0"/>
        <w:spacing w:line="360" w:lineRule="auto"/>
        <w:ind w:firstLine="411" w:firstLineChars="196"/>
        <w:rPr>
          <w:rFonts w:ascii="宋体" w:cs="宋"/>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）在合同期内，甲方</w:t>
      </w:r>
      <w:r>
        <w:rPr>
          <w:rFonts w:hint="eastAsia" w:ascii="宋体" w:hAnsi="宋体" w:cs="宋"/>
          <w:kern w:val="0"/>
          <w:szCs w:val="21"/>
        </w:rPr>
        <w:t>保证供电稳定、安全，由于供电原因影响到节能设备正常使用时，由甲方负责将供电维修至正常使用；</w:t>
      </w:r>
    </w:p>
    <w:p>
      <w:pPr>
        <w:autoSpaceDE w:val="0"/>
        <w:autoSpaceDN w:val="0"/>
        <w:adjustRightInd w:val="0"/>
        <w:spacing w:line="360" w:lineRule="auto"/>
        <w:ind w:firstLine="411" w:firstLineChars="196"/>
        <w:rPr>
          <w:rFonts w:ascii="宋体" w:cs="宋"/>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）节能设备若出现故障，</w:t>
      </w:r>
      <w:r>
        <w:rPr>
          <w:rFonts w:hint="eastAsia" w:ascii="宋体" w:hAnsi="宋体"/>
          <w:szCs w:val="21"/>
        </w:rPr>
        <w:t>乙方承诺：接到甲方故障通知，2小时之内响应备料，8小时之内到场处理故障恢复设备运行（或启用备用方案），如超过48小时乙方未能解决问题并有影响甲方运营的，甲方有权另请第三方维修，第三方维修所产生的费用由乙方承担</w:t>
      </w:r>
      <w:r>
        <w:rPr>
          <w:rFonts w:hint="eastAsia" w:ascii="宋体" w:hAnsi="宋体" w:cs="宋体"/>
          <w:kern w:val="0"/>
          <w:szCs w:val="21"/>
        </w:rPr>
        <w:t>。</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）在合同期内，乙方负责所提供的节能设备的安全可靠运行，如因产品质量问题造成人员损伤、财产损失或其它损失，由乙方负责承担全部责任。</w:t>
      </w:r>
    </w:p>
    <w:p>
      <w:pPr>
        <w:autoSpaceDE w:val="0"/>
        <w:autoSpaceDN w:val="0"/>
        <w:adjustRightInd w:val="0"/>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在合同期内，若节能设备出现故障，乙方负责免费维修，如节能设备设施因甲方原因造成损坏，甲方需负担维修配件费用；在合同期满后，乙方提供有偿维修服务，并优惠提供零部件，具体服务方式和服务条款双方另行签约。</w:t>
      </w:r>
    </w:p>
    <w:p>
      <w:pPr>
        <w:spacing w:line="400" w:lineRule="exact"/>
        <w:rPr>
          <w:rFonts w:ascii="宋体" w:hAnsi="宋体" w:cs="宋体"/>
          <w:b/>
          <w:kern w:val="0"/>
          <w:szCs w:val="21"/>
        </w:rPr>
      </w:pPr>
    </w:p>
    <w:p>
      <w:pPr>
        <w:spacing w:line="400" w:lineRule="exact"/>
        <w:rPr>
          <w:rFonts w:ascii="宋体" w:hAnsi="宋体" w:cs="宋体"/>
          <w:b/>
          <w:kern w:val="0"/>
          <w:szCs w:val="21"/>
        </w:rPr>
      </w:pPr>
    </w:p>
    <w:p>
      <w:pPr>
        <w:spacing w:line="400" w:lineRule="exact"/>
        <w:rPr>
          <w:rFonts w:ascii="宋体" w:hAnsi="宋体" w:cs="宋体"/>
          <w:b/>
          <w:kern w:val="0"/>
          <w:szCs w:val="21"/>
        </w:rPr>
      </w:pPr>
      <w:r>
        <w:rPr>
          <w:rFonts w:ascii="宋体" w:hAnsi="宋体" w:cs="宋体"/>
          <w:b/>
          <w:kern w:val="0"/>
          <w:szCs w:val="21"/>
        </w:rPr>
        <w:t>附件</w:t>
      </w:r>
      <w:r>
        <w:rPr>
          <w:rFonts w:hint="eastAsia" w:ascii="宋体" w:hAnsi="宋体" w:cs="宋体"/>
          <w:b/>
          <w:kern w:val="0"/>
          <w:szCs w:val="21"/>
        </w:rPr>
        <w:t>9</w:t>
      </w:r>
      <w:r>
        <w:rPr>
          <w:rFonts w:ascii="宋体" w:hAnsi="宋体" w:cs="宋体"/>
          <w:b/>
          <w:kern w:val="0"/>
          <w:szCs w:val="21"/>
        </w:rPr>
        <w:t xml:space="preserve">. </w:t>
      </w:r>
      <w:r>
        <w:rPr>
          <w:rFonts w:hint="eastAsia" w:ascii="宋体" w:hAnsi="宋体" w:cs="宋体"/>
          <w:b/>
          <w:kern w:val="0"/>
          <w:szCs w:val="21"/>
        </w:rPr>
        <w:t>空调服务内容</w:t>
      </w:r>
    </w:p>
    <w:p>
      <w:pPr>
        <w:spacing w:line="400" w:lineRule="exact"/>
        <w:ind w:firstLine="525" w:firstLineChars="250"/>
        <w:rPr>
          <w:rFonts w:ascii="宋体" w:hAnsi="宋体" w:cs="宋体"/>
          <w:kern w:val="0"/>
          <w:szCs w:val="21"/>
        </w:rPr>
      </w:pPr>
      <w:r>
        <w:rPr>
          <w:rFonts w:hint="eastAsia" w:ascii="宋体" w:hAnsi="宋体" w:cs="宋体"/>
          <w:kern w:val="0"/>
          <w:szCs w:val="21"/>
        </w:rPr>
        <w:t>■提供制冷、采暖；             ■机房系统的运行操作；</w:t>
      </w:r>
    </w:p>
    <w:p>
      <w:pPr>
        <w:tabs>
          <w:tab w:val="left" w:pos="-1740"/>
          <w:tab w:val="left" w:pos="510"/>
        </w:tabs>
        <w:snapToGrid w:val="0"/>
        <w:spacing w:line="400" w:lineRule="exact"/>
        <w:ind w:left="539" w:right="-21"/>
        <w:textAlignment w:val="baseline"/>
        <w:rPr>
          <w:rFonts w:ascii="宋体" w:hAnsi="宋体" w:cs="宋体"/>
          <w:kern w:val="0"/>
          <w:szCs w:val="21"/>
        </w:rPr>
      </w:pPr>
      <w:r>
        <w:rPr>
          <w:rFonts w:hint="eastAsia" w:ascii="宋体" w:hAnsi="宋体" w:cs="宋体"/>
          <w:kern w:val="0"/>
          <w:szCs w:val="21"/>
        </w:rPr>
        <w:t xml:space="preserve">■机房系统设备保安；      　　 ■承担水质管理； </w:t>
      </w:r>
    </w:p>
    <w:p>
      <w:pPr>
        <w:tabs>
          <w:tab w:val="left" w:pos="-1740"/>
          <w:tab w:val="left" w:pos="510"/>
        </w:tabs>
        <w:snapToGrid w:val="0"/>
        <w:spacing w:line="400" w:lineRule="exact"/>
        <w:ind w:left="539" w:right="-21"/>
        <w:textAlignment w:val="baseline"/>
        <w:rPr>
          <w:rFonts w:ascii="宋体" w:hAnsi="宋体" w:cs="宋体"/>
          <w:kern w:val="0"/>
          <w:szCs w:val="21"/>
        </w:rPr>
      </w:pPr>
      <w:r>
        <w:rPr>
          <w:rFonts w:hint="eastAsia" w:ascii="宋体" w:hAnsi="宋体" w:cs="宋体"/>
          <w:kern w:val="0"/>
          <w:szCs w:val="21"/>
        </w:rPr>
        <w:t xml:space="preserve">■中央空调使用巡查管理；  　　 ■末端设备管理及维护保养（材料由甲方提供）；  </w:t>
      </w:r>
    </w:p>
    <w:p>
      <w:pPr>
        <w:tabs>
          <w:tab w:val="left" w:pos="-1740"/>
          <w:tab w:val="left" w:pos="510"/>
        </w:tabs>
        <w:snapToGrid w:val="0"/>
        <w:spacing w:line="400" w:lineRule="exact"/>
        <w:ind w:left="539" w:right="-21"/>
        <w:textAlignment w:val="baseline"/>
        <w:rPr>
          <w:rFonts w:ascii="宋体" w:hAnsi="宋体"/>
          <w:sz w:val="24"/>
        </w:rPr>
      </w:pPr>
      <w:r>
        <w:rPr>
          <w:rFonts w:hint="eastAsia" w:ascii="宋体" w:hAnsi="宋体" w:cs="宋体"/>
          <w:kern w:val="0"/>
          <w:szCs w:val="21"/>
        </w:rPr>
        <w:t>■机房系统的设备维护保养；　　 ■管道和冷却塔维护保养（材料由甲方提供）；　</w:t>
      </w:r>
      <w:r>
        <w:rPr>
          <w:rFonts w:hint="eastAsia" w:ascii="宋体" w:hAnsi="宋体"/>
          <w:sz w:val="24"/>
        </w:rPr>
        <w:t>　　　　　</w:t>
      </w:r>
    </w:p>
    <w:p>
      <w:pPr>
        <w:widowControl/>
        <w:jc w:val="left"/>
        <w:rPr>
          <w:rFonts w:ascii="宋体" w:hAnsi="宋体" w:cs="宋体"/>
          <w:b/>
          <w:kern w:val="0"/>
          <w:szCs w:val="21"/>
        </w:rPr>
      </w:pPr>
    </w:p>
    <w:p>
      <w:pPr>
        <w:widowControl/>
        <w:jc w:val="left"/>
        <w:rPr>
          <w:rFonts w:ascii="宋体" w:hAnsi="宋体" w:cs="宋体"/>
          <w:b/>
          <w:kern w:val="0"/>
          <w:szCs w:val="21"/>
        </w:rPr>
      </w:pPr>
    </w:p>
    <w:p>
      <w:pPr>
        <w:widowControl/>
        <w:jc w:val="left"/>
        <w:rPr>
          <w:rFonts w:ascii="宋体" w:hAnsi="宋体" w:cs="宋体"/>
          <w:b/>
          <w:kern w:val="0"/>
          <w:szCs w:val="21"/>
        </w:rPr>
      </w:pPr>
      <w:r>
        <w:rPr>
          <w:rFonts w:ascii="宋体" w:hAnsi="宋体" w:cs="宋体"/>
          <w:b/>
          <w:kern w:val="0"/>
          <w:szCs w:val="21"/>
        </w:rPr>
        <w:t>附件</w:t>
      </w:r>
      <w:r>
        <w:rPr>
          <w:rFonts w:hint="eastAsia" w:ascii="宋体" w:hAnsi="宋体" w:cs="宋体"/>
          <w:b/>
          <w:kern w:val="0"/>
          <w:szCs w:val="21"/>
        </w:rPr>
        <w:t>10</w:t>
      </w:r>
      <w:r>
        <w:rPr>
          <w:rFonts w:ascii="宋体" w:hAnsi="宋体" w:cs="宋体"/>
          <w:b/>
          <w:kern w:val="0"/>
          <w:szCs w:val="21"/>
        </w:rPr>
        <w:t xml:space="preserve">. </w:t>
      </w:r>
      <w:r>
        <w:rPr>
          <w:rFonts w:hint="eastAsia" w:ascii="宋体" w:hAnsi="宋体" w:cs="宋体"/>
          <w:b/>
          <w:kern w:val="0"/>
          <w:szCs w:val="21"/>
        </w:rPr>
        <w:t>其它约定</w:t>
      </w:r>
    </w:p>
    <w:p>
      <w:pPr>
        <w:spacing w:line="360" w:lineRule="auto"/>
        <w:ind w:left="945" w:leftChars="200" w:hanging="525" w:hangingChars="250"/>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）合同期内，未经乙方书面同意，甲方不得拆除、停用、损毁乙方投入的节能设备。</w:t>
      </w:r>
    </w:p>
    <w:p>
      <w:pPr>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）合同期内，甲方或其租户的新增空调区域使用门店中央空调冷冻水制冷的，属于新增用能量，可按</w:t>
      </w:r>
      <w:r>
        <w:rPr>
          <w:rFonts w:ascii="宋体" w:hAnsi="宋体" w:cs="宋体"/>
          <w:kern w:val="0"/>
          <w:szCs w:val="21"/>
        </w:rPr>
        <w:t>“</w:t>
      </w:r>
      <w:r>
        <w:rPr>
          <w:rFonts w:hint="eastAsia" w:ascii="宋体" w:hAnsi="宋体" w:cs="宋体"/>
          <w:kern w:val="0"/>
          <w:szCs w:val="21"/>
        </w:rPr>
        <w:t>历史同期单位面积空调用能量</w:t>
      </w:r>
      <w:r>
        <w:rPr>
          <w:rFonts w:ascii="宋体" w:hAnsi="宋体" w:cs="Tahoma"/>
          <w:sz w:val="23"/>
          <w:szCs w:val="23"/>
        </w:rPr>
        <w:t>×</w:t>
      </w:r>
      <w:r>
        <w:rPr>
          <w:rFonts w:ascii="宋体" w:hAnsi="宋体" w:cs="Tahoma"/>
          <w:szCs w:val="21"/>
        </w:rPr>
        <w:t>新增使用空调面积</w:t>
      </w:r>
      <w:r>
        <w:rPr>
          <w:rFonts w:ascii="宋体" w:hAnsi="宋体" w:cs="宋体"/>
          <w:kern w:val="0"/>
          <w:szCs w:val="21"/>
        </w:rPr>
        <w:t>”</w:t>
      </w:r>
      <w:r>
        <w:rPr>
          <w:rFonts w:ascii="宋体" w:hAnsi="宋体" w:cs="Tahoma"/>
          <w:szCs w:val="21"/>
        </w:rPr>
        <w:t>的方法</w:t>
      </w:r>
      <w:r>
        <w:rPr>
          <w:rFonts w:hint="eastAsia" w:ascii="宋体" w:hAnsi="宋体" w:cs="宋体"/>
          <w:kern w:val="0"/>
          <w:szCs w:val="21"/>
        </w:rPr>
        <w:t>计算新增空调面积的用能量。具体为：以使用面积增加前的当月所有空调设备总用能量之和÷面积增加前的当月空调实际使用面积，得出每平方米的“历史同期单位面积空调用能量”，在后面结算时如该结算月份空调使用面积有增加（以平方米为单位），则以该“历史同期单位面积空调用能量”与当月增加面积相乘，得出增加面积的空调用能量。</w:t>
      </w:r>
    </w:p>
    <w:p>
      <w:pPr>
        <w:spacing w:line="360" w:lineRule="auto"/>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）合同期内，若甲方原因致使节能设备设施全部或部分停止运行的（如因甲方原因造成节能设备故障或门店装修等），出现以上情况甲方应书面知会乙方</w:t>
      </w:r>
      <w:r>
        <w:rPr>
          <w:rFonts w:ascii="宋体" w:cs="宋体"/>
          <w:kern w:val="0"/>
          <w:szCs w:val="21"/>
        </w:rPr>
        <w:t>,分享</w:t>
      </w:r>
      <w:r>
        <w:rPr>
          <w:rFonts w:hint="eastAsia" w:ascii="宋体" w:hAnsi="宋体" w:cs="宋体"/>
          <w:kern w:val="0"/>
          <w:szCs w:val="21"/>
        </w:rPr>
        <w:t>期顺延。</w:t>
      </w:r>
    </w:p>
    <w:p>
      <w:pPr>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）合同期内，甲方因经营需要进行门店装修或布局调整</w:t>
      </w:r>
      <w:r>
        <w:rPr>
          <w:rFonts w:ascii="宋体" w:cs="宋体"/>
          <w:kern w:val="0"/>
          <w:szCs w:val="21"/>
        </w:rPr>
        <w:t>,</w:t>
      </w:r>
      <w:r>
        <w:rPr>
          <w:rFonts w:hint="eastAsia" w:ascii="宋体" w:hAnsi="宋体" w:cs="宋体"/>
          <w:kern w:val="0"/>
          <w:szCs w:val="21"/>
        </w:rPr>
        <w:t>门店自行加装或拆除用电设备均按附件之文件</w:t>
      </w:r>
      <w:r>
        <w:rPr>
          <w:rFonts w:ascii="宋体" w:hAnsi="宋体" w:cs="宋体"/>
          <w:kern w:val="0"/>
          <w:szCs w:val="21"/>
        </w:rPr>
        <w:t>3下的《</w:t>
      </w:r>
      <w:r>
        <w:rPr>
          <w:rFonts w:hint="eastAsia" w:asciiTheme="minorEastAsia" w:hAnsiTheme="minorEastAsia" w:eastAsiaTheme="minorEastAsia" w:cstheme="minorEastAsia"/>
          <w:kern w:val="0"/>
          <w:sz w:val="24"/>
          <w:u w:val="single"/>
        </w:rPr>
        <w:t>合肥百货大楼集团蚌埠百货大楼有限责任公司</w:t>
      </w:r>
      <w:r>
        <w:rPr>
          <w:rFonts w:hint="eastAsia" w:ascii="宋体" w:hAnsi="宋体" w:cs="宋体"/>
          <w:kern w:val="0"/>
          <w:szCs w:val="21"/>
        </w:rPr>
        <w:t>店</w:t>
      </w:r>
      <w:r>
        <w:rPr>
          <w:rFonts w:hint="eastAsia" w:ascii="宋体" w:hAnsi="宋体"/>
          <w:szCs w:val="21"/>
        </w:rPr>
        <w:t>增减设备负荷表》</w:t>
      </w:r>
      <w:r>
        <w:rPr>
          <w:rFonts w:hint="eastAsia" w:ascii="宋体" w:hAnsi="宋体" w:cs="宋体"/>
          <w:kern w:val="0"/>
          <w:szCs w:val="21"/>
        </w:rPr>
        <w:t>处理。</w:t>
      </w:r>
    </w:p>
    <w:p>
      <w:pPr>
        <w:spacing w:line="520" w:lineRule="exact"/>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（5）营业时间调整变化：</w:t>
      </w:r>
      <w:r>
        <w:rPr>
          <w:rFonts w:hint="eastAsia" w:ascii="宋体" w:hAnsi="宋体" w:cs="宋体"/>
          <w:kern w:val="0"/>
          <w:szCs w:val="21"/>
        </w:rPr>
        <w:t>门店各用电设备运行模式与改造前应保持基本一致，如有调整按相应变化计算能耗变化。</w:t>
      </w:r>
    </w:p>
    <w:p>
      <w:pPr>
        <w:snapToGrid w:val="0"/>
        <w:spacing w:line="360" w:lineRule="auto"/>
        <w:ind w:firstLine="468"/>
        <w:rPr>
          <w:rFonts w:ascii="宋体"/>
          <w:szCs w:val="21"/>
        </w:rPr>
      </w:pPr>
      <w:r>
        <w:rPr>
          <w:rFonts w:hint="eastAsia" w:ascii="宋体" w:hAnsi="宋体"/>
          <w:szCs w:val="21"/>
        </w:rPr>
        <w:t>（6）在整个效益分享期内，甲、乙任意一方对节能量数值有异议，可聘请具有相关资质的第三方进行审核，聘请费用由过错方承担，如无过错方，聘请费用由提出异议方承担。</w:t>
      </w:r>
    </w:p>
    <w:p>
      <w:pPr>
        <w:snapToGrid w:val="0"/>
        <w:spacing w:line="360" w:lineRule="auto"/>
        <w:ind w:firstLine="480"/>
        <w:rPr>
          <w:rFonts w:ascii="宋体"/>
          <w:color w:val="auto"/>
          <w:szCs w:val="21"/>
        </w:rPr>
      </w:pPr>
      <w:r>
        <w:rPr>
          <w:rFonts w:hint="eastAsia" w:ascii="宋体" w:hAnsi="宋体"/>
          <w:szCs w:val="21"/>
        </w:rPr>
        <w:t>（7）</w:t>
      </w:r>
      <w:r>
        <w:rPr>
          <w:rFonts w:hint="eastAsia" w:ascii="宋体" w:hAnsi="宋体"/>
          <w:color w:val="auto"/>
          <w:szCs w:val="21"/>
        </w:rPr>
        <w:t>结算方式：采用每月结算一次的方式，每12个月为一个周期年，每个周期年的第1至11个月以实际节电量计算双方的节能效益分享款，在第12个月结算时，如本周期年度12个月的总节省量低于乙方承诺的最低年节省量标准，则本周期年度内乙方承诺节省量中甲方应分享效益的不足部分从中扣除，如乙方第12个月的节能效益分享款还不足以补偿的甲方全年应得部分，则乙方直接以现金补足。</w:t>
      </w:r>
    </w:p>
    <w:p>
      <w:pPr>
        <w:snapToGrid w:val="0"/>
        <w:spacing w:line="360" w:lineRule="auto"/>
        <w:ind w:firstLine="480"/>
        <w:rPr>
          <w:rFonts w:ascii="宋体" w:hAnsi="宋体"/>
          <w:szCs w:val="21"/>
        </w:rPr>
      </w:pPr>
      <w:r>
        <w:rPr>
          <w:rFonts w:hint="eastAsia" w:ascii="宋体" w:hAnsi="宋体"/>
          <w:szCs w:val="21"/>
        </w:rPr>
        <w:t>（8）项目合同签署之后，甲、乙双方就改造范围内甲方用电设备是否运行正常进行检查，甲方应确保其设备运行正常，如甲方设备有不能正常运行的，须由甲方负责维修直至恢复正常状态。</w:t>
      </w:r>
    </w:p>
    <w:p>
      <w:pPr>
        <w:snapToGrid w:val="0"/>
        <w:spacing w:line="360" w:lineRule="auto"/>
        <w:ind w:firstLine="480"/>
        <w:rPr>
          <w:rFonts w:ascii="宋体" w:hAnsi="宋体"/>
          <w:szCs w:val="21"/>
        </w:rPr>
      </w:pPr>
      <w:r>
        <w:rPr>
          <w:rFonts w:hint="eastAsia" w:ascii="宋体" w:hAnsi="宋体"/>
          <w:szCs w:val="21"/>
        </w:rPr>
        <w:t>（9）合同期内甲方原有大型设备设施的外包保养服务（如空调、电梯以及冷链系统的外包保养等）费用甲方需继续承担，如果改由乙方维保，须征得乙方同意并与乙方另签维保合同，费用乙方可优惠但亦由甲方负担，合同期内乙方投入的节能设备设施的维修保养由乙方免费负责，合同期满后甲方需要乙方继续维保或管理的，双方另签维保协议或新的能源管理合同。</w:t>
      </w:r>
    </w:p>
    <w:p>
      <w:pPr>
        <w:widowControl/>
        <w:jc w:val="left"/>
        <w:rPr>
          <w:rFonts w:hint="eastAsia" w:ascii="宋体" w:hAnsi="宋体" w:cs="宋体"/>
          <w:b/>
          <w:kern w:val="0"/>
          <w:szCs w:val="21"/>
        </w:rPr>
      </w:pPr>
    </w:p>
    <w:p>
      <w:pPr>
        <w:widowControl/>
        <w:jc w:val="left"/>
        <w:rPr>
          <w:rFonts w:hint="eastAsia" w:ascii="宋体" w:hAnsi="宋体" w:cs="宋体"/>
          <w:b/>
          <w:kern w:val="0"/>
          <w:szCs w:val="21"/>
        </w:rPr>
      </w:pPr>
    </w:p>
    <w:p>
      <w:pPr>
        <w:widowControl/>
        <w:jc w:val="left"/>
        <w:rPr>
          <w:rFonts w:hint="eastAsia" w:ascii="宋体" w:hAnsi="宋体" w:cs="宋体"/>
          <w:b/>
          <w:kern w:val="0"/>
          <w:szCs w:val="21"/>
        </w:rPr>
      </w:pPr>
    </w:p>
    <w:p>
      <w:pPr>
        <w:widowControl/>
        <w:jc w:val="left"/>
        <w:rPr>
          <w:rFonts w:hint="eastAsia" w:ascii="宋体" w:hAnsi="宋体" w:cs="宋体"/>
          <w:b/>
          <w:kern w:val="0"/>
          <w:szCs w:val="21"/>
        </w:rPr>
      </w:pPr>
    </w:p>
    <w:p>
      <w:pPr>
        <w:widowControl/>
        <w:jc w:val="left"/>
        <w:rPr>
          <w:rFonts w:ascii="宋体" w:hAnsi="宋体" w:cs="宋体"/>
          <w:b/>
          <w:kern w:val="0"/>
          <w:szCs w:val="21"/>
        </w:rPr>
      </w:pPr>
      <w:r>
        <w:rPr>
          <w:rFonts w:hint="eastAsia" w:ascii="宋体" w:hAnsi="宋体" w:cs="宋体"/>
          <w:b/>
          <w:kern w:val="0"/>
          <w:szCs w:val="21"/>
        </w:rPr>
        <w:t>附件11中央空调系统设备保养项目</w:t>
      </w:r>
    </w:p>
    <w:p>
      <w:pPr>
        <w:adjustRightInd w:val="0"/>
        <w:snapToGrid w:val="0"/>
        <w:spacing w:afterLines="20" w:line="400" w:lineRule="atLeast"/>
        <w:ind w:left="-66"/>
        <w:rPr>
          <w:rFonts w:ascii="黑体" w:hAnsi="宋体" w:eastAsia="黑体"/>
          <w:color w:val="000000"/>
          <w:sz w:val="24"/>
          <w:szCs w:val="20"/>
        </w:rPr>
      </w:pPr>
      <w:r>
        <w:rPr>
          <w:rFonts w:hint="eastAsia" w:ascii="黑体" w:hAnsi="宋体" w:eastAsia="黑体"/>
          <w:color w:val="000000"/>
          <w:sz w:val="24"/>
          <w:szCs w:val="20"/>
        </w:rPr>
        <w:t>主机</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88"/>
        <w:gridCol w:w="2642"/>
        <w:gridCol w:w="62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tcPr>
          <w:p>
            <w:pPr>
              <w:adjustRightInd w:val="0"/>
              <w:snapToGrid w:val="0"/>
              <w:spacing w:line="360" w:lineRule="atLeast"/>
              <w:rPr>
                <w:rFonts w:ascii="宋体" w:hAnsi="宋体"/>
                <w:color w:val="000000"/>
                <w:szCs w:val="20"/>
              </w:rPr>
            </w:pPr>
            <w:r>
              <w:rPr>
                <w:rFonts w:ascii="宋体" w:hAnsi="宋体"/>
                <w:color w:val="000000"/>
                <w:szCs w:val="20"/>
              </w:rPr>
              <w:t>NO.</w:t>
            </w:r>
          </w:p>
        </w:tc>
        <w:tc>
          <w:tcPr>
            <w:tcW w:w="2642" w:type="dxa"/>
          </w:tcPr>
          <w:p>
            <w:pPr>
              <w:adjustRightInd w:val="0"/>
              <w:snapToGrid w:val="0"/>
              <w:spacing w:line="360" w:lineRule="atLeast"/>
              <w:rPr>
                <w:rFonts w:ascii="宋体" w:hAnsi="宋体"/>
                <w:color w:val="000000"/>
                <w:szCs w:val="20"/>
              </w:rPr>
            </w:pPr>
            <w:r>
              <w:rPr>
                <w:rFonts w:ascii="宋体" w:hAnsi="宋体"/>
                <w:color w:val="000000"/>
                <w:szCs w:val="20"/>
              </w:rPr>
              <w:t>服务项目</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1</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联网监控</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检查报警号码是否正确、完整、有无断线记录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2</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真空泵抽气性能检查、保养</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1.抽气能力的确认 2.阀门及连接管道的密封3.真空泵油面及油质检查、更换。</w:t>
            </w:r>
            <w:r>
              <w:rPr>
                <w:rFonts w:hint="eastAsia" w:ascii="宋体" w:hAnsi="宋体"/>
                <w:color w:val="000000"/>
                <w:szCs w:val="20"/>
              </w:rPr>
              <w:t>4</w:t>
            </w:r>
            <w:r>
              <w:rPr>
                <w:rFonts w:ascii="宋体" w:hAnsi="宋体"/>
                <w:color w:val="000000"/>
                <w:szCs w:val="20"/>
              </w:rPr>
              <w:t>.电器的常规检查。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3</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机组真空检查</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1．真空度符合规定要求 2.落差式抽气系统和真空泵工作正常。3.抽气的辅助设备及仪表工作正常。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4</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抽气电（磁）动阀性能检查</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检查连线正确、密封良好、工作正常。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5</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机组运行观察及控制检查</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1.对冷却水、冷温水进出水温度、流量、压差检查。2.主机各部温度、压力、电器控制的各部参数。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6</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燃烧机（热源阀）检查</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检查燃烧机运动部件、检测过量空气系数等参数。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7</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屏蔽泵噪声及电机温度检查</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检查噪音和电机温度在允许范围内。检查震动情况。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8</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浓度调节阀检查</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检查调节阀密封良好调试可靠。固定调节阀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9</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冷却水温度恒温校验</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用精密温度计测量冷水出入口温度与触摸屏上显示值对比。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10</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电眼（火焰检测器）</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清洁电眼并确认感光部位透明无损。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11</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烟管及炉膛烟垢检查</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开泄其门检查高发烟管，通过观火孔观察炉膛内结烟垢情况。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12</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排气成分分析</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检测过量空气系数。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13</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燃烧机保养</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清除钢带上的灰尘和水渍，防止生锈。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14</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燃料过滤器清洗</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检查并清洗燃料过滤器。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15</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燃烧机喷嘴清洗</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清洗喷嘴积炭、并确认其无损坏、位置正确。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16</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燃烧机风门伺候机构检查</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检查风门及转动情况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17</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燃烧机钢带调节机构检查</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燃烧机钢带伺候机构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18</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燃烧泄露检测装置检查</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检查燃气泄漏检测装置动作是否正常。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19</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冷水温度传感器校验</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1</w:t>
            </w:r>
            <w:r>
              <w:rPr>
                <w:rFonts w:hint="eastAsia" w:ascii="宋体" w:hAnsi="宋体"/>
                <w:color w:val="000000"/>
                <w:szCs w:val="20"/>
              </w:rPr>
              <w:t>.</w:t>
            </w:r>
            <w:r>
              <w:rPr>
                <w:rFonts w:ascii="宋体" w:hAnsi="宋体"/>
                <w:color w:val="000000"/>
                <w:szCs w:val="20"/>
              </w:rPr>
              <w:t>冷水温度准确校验合格 2.连接线接线牢固 3.动作灵敏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20</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mc:AlternateContent>
                <mc:Choice Requires="wps">
                  <w:drawing>
                    <wp:anchor distT="0" distB="0" distL="114300" distR="114300" simplePos="0" relativeHeight="251659264" behindDoc="0" locked="0" layoutInCell="0" allowOverlap="1">
                      <wp:simplePos x="0" y="0"/>
                      <wp:positionH relativeFrom="column">
                        <wp:posOffset>-1099185</wp:posOffset>
                      </wp:positionH>
                      <wp:positionV relativeFrom="paragraph">
                        <wp:posOffset>111760</wp:posOffset>
                      </wp:positionV>
                      <wp:extent cx="466725" cy="63182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66725" cy="631825"/>
                              </a:xfrm>
                              <a:prstGeom prst="rect">
                                <a:avLst/>
                              </a:prstGeom>
                              <a:noFill/>
                              <a:ln>
                                <a:noFill/>
                              </a:ln>
                              <a:effectLst/>
                            </wps:spPr>
                            <wps:txbx>
                              <w:txbxContent>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86.55pt;margin-top:8.8pt;height:49.75pt;width:36.75pt;z-index:251659264;mso-width-relative:page;mso-height-relative:page;" filled="f" stroked="f" coordsize="21600,21600" o:allowincell="f" o:gfxdata="UEsDBAoAAAAAAIdO4kAAAAAAAAAAAAAAAAAEAAAAZHJzL1BLAwQUAAAACACHTuJAfXo939sAAAAL&#10;AQAADwAAAGRycy9kb3ducmV2LnhtbE2PwU7DMBBE70j8g7VI3FLHgBIS4lQFCQlxiNTCoUc7NklE&#10;vA6x05Z+PcsJbrs7o9k31frkRnawcxg8ShCrFJjF1psBOwnvb8/JPbAQFRo1erQSvm2AdX15UanS&#10;+CNu7WEXO0YhGEoloY9xKjkPbW+dCis/WSTtw89ORVrnjptZHSncjfwmTTPu1ID0oVeTfept+7lb&#10;nISXzX75Wubmrjjvz5tG69fmUWdSXl+J9AFYtKf4Z4ZffEKHmpi0X9AENkpIRH4ryEtKngEjR1IU&#10;NGg6iFwAryv+v0P9A1BLAwQUAAAACACHTuJAPfoBjRsCAAAkBAAADgAAAGRycy9lMm9Eb2MueG1s&#10;rVPNjtMwEL4j8Q6W7zRt6XaXqOlq2WoR0vIjLXB3nUljkXiM7TbpC8AbcOLCnefqczC2s6Uslz1w&#10;SWY842/m+2a8uOzbhu3AOoW64JPRmDPQEkulNwX/+OHm2QVnzgtdigY1FHwPjl8unz5ZdCaHKdbY&#10;lGAZgWiXd6bgtfcmzzIna2iFG6EBTcEKbSs8uXaTlVZ0hN422XQ8nmcd2tJYlOAcna5SkA+I9jGA&#10;WFVKwgrltgXtE6qFRnii5GplHF/GbqsKpH9XVQ48awpOTH38UhGy1+GbLRci31hhaiWHFsRjWnjA&#10;qRVKU9Ej1Ep4wbZW/QPVKmnRYeVHEtssEYmKEIvJ+IE2d7UwELmQ1M4cRXf/D1a+3b23TJW0CZxp&#10;0dLAD9+/HX78Ovz8yiZBns64nLLuDOX5/iX2ITVQdeYW5WfHNF7XQm/gylrsahAltRdvZidXE44L&#10;IOvuDZZUR2w9RqC+sm0AJDUYodNo9sfRQO+ZpMPZfH4+PeNMUmj+fHJBNvWWifz+srHOvwJsWTAK&#10;bmnyEVzsbp1PqfcpoZbGG9U0cfqN/uuAMNMJxPUZbgcqofvEw/frfpBmjeWeSFlMq0UPiwwQn+jP&#10;WUeLVXD3ZSsscNa81iTNi8lsFjYxOrOz8yk59jSyPo0ILWukfSWwZF77tL1bY9WmplppGBqvSM5K&#10;Raqh2dQXSRQcWp4o1rDoYTtP/Zj153Ev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9ej3f2wAA&#10;AAsBAAAPAAAAAAAAAAEAIAAAACIAAABkcnMvZG93bnJldi54bWxQSwECFAAUAAAACACHTuJAPfoB&#10;jRsCAAAkBAAADgAAAAAAAAABACAAAAAqAQAAZHJzL2Uyb0RvYy54bWxQSwUGAAAAAAYABgBZAQAA&#10;twUAAAAA&#10;">
                      <v:fill on="f" focussize="0,0"/>
                      <v:stroke on="f"/>
                      <v:imagedata o:title=""/>
                      <o:lock v:ext="edit" aspectratio="f"/>
                      <v:textbox style="layout-flow:vertical-ideographic;">
                        <w:txbxContent>
                          <w:p/>
                        </w:txbxContent>
                      </v:textbox>
                    </v:shape>
                  </w:pict>
                </mc:Fallback>
              </mc:AlternateContent>
            </w:r>
            <w:r>
              <w:rPr>
                <w:rFonts w:ascii="宋体" w:hAnsi="宋体"/>
                <w:color w:val="000000"/>
                <w:szCs w:val="20"/>
              </w:rPr>
              <w:t>冷水校核温度传感器校验</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1</w:t>
            </w:r>
            <w:r>
              <w:rPr>
                <w:rFonts w:hint="eastAsia" w:ascii="宋体" w:hAnsi="宋体"/>
                <w:color w:val="000000"/>
                <w:szCs w:val="20"/>
              </w:rPr>
              <w:t>.</w:t>
            </w:r>
            <w:r>
              <w:rPr>
                <w:rFonts w:ascii="宋体" w:hAnsi="宋体"/>
                <w:color w:val="000000"/>
                <w:szCs w:val="20"/>
              </w:rPr>
              <w:t>冷水温度准确校验合格 2.连接线接线牢固 3.动作灵敏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21</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靶流动作试验</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1</w:t>
            </w:r>
            <w:r>
              <w:rPr>
                <w:rFonts w:hint="eastAsia" w:ascii="宋体" w:hAnsi="宋体"/>
                <w:color w:val="000000"/>
                <w:szCs w:val="20"/>
              </w:rPr>
              <w:t>.</w:t>
            </w:r>
            <w:r>
              <w:rPr>
                <w:rFonts w:ascii="宋体" w:hAnsi="宋体"/>
                <w:color w:val="000000"/>
                <w:szCs w:val="20"/>
              </w:rPr>
              <w:t>安装正确2.检验动作灵敏3.连接线接线牢固4.检查不漏水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22</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观察溶液及锈蚀</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1</w:t>
            </w:r>
            <w:r>
              <w:rPr>
                <w:rFonts w:hint="eastAsia" w:ascii="宋体" w:hAnsi="宋体"/>
                <w:color w:val="000000"/>
                <w:szCs w:val="20"/>
              </w:rPr>
              <w:t>.</w:t>
            </w:r>
            <w:r>
              <w:rPr>
                <w:rFonts w:ascii="宋体" w:hAnsi="宋体"/>
                <w:color w:val="000000"/>
                <w:szCs w:val="20"/>
              </w:rPr>
              <w:t xml:space="preserve">目测溶液透明清澈无杂质2.机内铜管有光泽，钢构件无锈蚀  </w:t>
            </w:r>
          </w:p>
          <w:p>
            <w:pPr>
              <w:adjustRightInd w:val="0"/>
              <w:snapToGrid w:val="0"/>
              <w:spacing w:line="360" w:lineRule="atLeast"/>
              <w:rPr>
                <w:rFonts w:ascii="宋体" w:hAnsi="宋体"/>
                <w:color w:val="000000"/>
                <w:szCs w:val="20"/>
              </w:rPr>
            </w:pPr>
            <w:r>
              <w:rPr>
                <w:rFonts w:ascii="宋体" w:hAnsi="宋体"/>
                <w:color w:val="000000"/>
                <w:szCs w:val="20"/>
              </w:rPr>
              <w:t xml:space="preserve">3.屏蔽泵过滤网无堵塞现象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23</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排水阀清理</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 xml:space="preserve">清除阀芯及阀体内残渣。阀杆处添加填料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24</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燃烧机油泵清洗</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清洗油泵过滤器。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25</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燃烧机雾化盘清理</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清洗雾化盘并确认其屋损坏、位置正确。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26</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燃气主电磁阀气密性检查</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用皂液对管阀连接处简陋并参照说明书对阀组充气保压。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27</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燃气上、下限开关校验</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确认电磁阀可靠开关，试验供气压力超限反应。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28</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离子火焰探针清洗及调整</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对火焰探针清洗积炭。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29</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点火电极清洗及校验</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对点火电极清洗并确认其无损坏、位置正确。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30</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冷却水低温试验</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1</w:t>
            </w:r>
            <w:r>
              <w:rPr>
                <w:rFonts w:hint="eastAsia" w:ascii="宋体" w:hAnsi="宋体"/>
                <w:color w:val="000000"/>
                <w:szCs w:val="20"/>
              </w:rPr>
              <w:t>.</w:t>
            </w:r>
            <w:r>
              <w:rPr>
                <w:rFonts w:ascii="宋体" w:hAnsi="宋体"/>
                <w:color w:val="000000"/>
                <w:szCs w:val="20"/>
              </w:rPr>
              <w:t>冷却水温度准确校验合格 2.连接线接线牢固 3.动作灵敏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31</w:t>
            </w:r>
          </w:p>
        </w:tc>
        <w:tc>
          <w:tcPr>
            <w:tcW w:w="2642" w:type="dxa"/>
            <w:vAlign w:val="center"/>
          </w:tcPr>
          <w:p>
            <w:pPr>
              <w:adjustRightInd w:val="0"/>
              <w:snapToGrid w:val="0"/>
              <w:spacing w:line="360" w:lineRule="atLeast"/>
              <w:rPr>
                <w:rFonts w:ascii="宋体" w:hAnsi="宋体"/>
                <w:color w:val="000000"/>
                <w:spacing w:val="-8"/>
                <w:szCs w:val="20"/>
              </w:rPr>
            </w:pPr>
            <w:r>
              <w:rPr>
                <w:rFonts w:ascii="宋体" w:hAnsi="宋体"/>
                <w:color w:val="000000"/>
                <w:spacing w:val="-8"/>
                <w:szCs w:val="20"/>
              </w:rPr>
              <w:t>冷却水、温水温度传感器校验</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1</w:t>
            </w:r>
            <w:r>
              <w:rPr>
                <w:rFonts w:hint="eastAsia" w:ascii="宋体" w:hAnsi="宋体"/>
                <w:color w:val="000000"/>
                <w:szCs w:val="20"/>
              </w:rPr>
              <w:t>.</w:t>
            </w:r>
            <w:r>
              <w:rPr>
                <w:rFonts w:ascii="宋体" w:hAnsi="宋体"/>
                <w:color w:val="000000"/>
                <w:szCs w:val="20"/>
              </w:rPr>
              <w:t>冷却水温度准确校验合格 2.连接线接线牢固 3.动作灵敏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32</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制冷运转溶液浓度检查</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1</w:t>
            </w:r>
            <w:r>
              <w:rPr>
                <w:rFonts w:hint="eastAsia" w:ascii="宋体" w:hAnsi="宋体"/>
                <w:color w:val="000000"/>
                <w:szCs w:val="20"/>
              </w:rPr>
              <w:t>.</w:t>
            </w:r>
            <w:r>
              <w:rPr>
                <w:rFonts w:ascii="宋体" w:hAnsi="宋体"/>
                <w:color w:val="000000"/>
                <w:szCs w:val="20"/>
              </w:rPr>
              <w:t xml:space="preserve">综合浓度的取样检测 2.高发浓度出口的取样检测3.低发浓度出口取样检测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33</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结晶温度传感器校验</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1．结晶温度准确校验合格 2.连接线接线牢固 3.动作灵敏 4.温度偏差调整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34</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排气温度传感器校验</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排气温度准确性校验合格；温度偏差调整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35</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 xml:space="preserve">环境温度等温度传感器校验 </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1</w:t>
            </w:r>
            <w:r>
              <w:rPr>
                <w:rFonts w:hint="eastAsia" w:ascii="宋体" w:hAnsi="宋体"/>
                <w:color w:val="000000"/>
                <w:szCs w:val="20"/>
              </w:rPr>
              <w:t>.</w:t>
            </w:r>
            <w:r>
              <w:rPr>
                <w:rFonts w:ascii="宋体" w:hAnsi="宋体"/>
                <w:color w:val="000000"/>
                <w:szCs w:val="20"/>
              </w:rPr>
              <w:t>环境温度准确性校验合格 2.连接线接线牢固 3.动作灵敏4.温度偏差调整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36</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 xml:space="preserve">高发温度控制器校验 </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1</w:t>
            </w:r>
            <w:r>
              <w:rPr>
                <w:rFonts w:hint="eastAsia" w:ascii="宋体" w:hAnsi="宋体"/>
                <w:color w:val="000000"/>
                <w:szCs w:val="20"/>
              </w:rPr>
              <w:t>.</w:t>
            </w:r>
            <w:r>
              <w:rPr>
                <w:rFonts w:ascii="宋体" w:hAnsi="宋体"/>
                <w:color w:val="000000"/>
                <w:szCs w:val="20"/>
              </w:rPr>
              <w:t>高发温度准确性校验合格 2.连接线接线牢固 3.动作灵敏4.温度偏差调整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37</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 xml:space="preserve">高发液位传感器校验 </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1</w:t>
            </w:r>
            <w:r>
              <w:rPr>
                <w:rFonts w:hint="eastAsia" w:ascii="宋体" w:hAnsi="宋体"/>
                <w:color w:val="000000"/>
                <w:szCs w:val="20"/>
              </w:rPr>
              <w:t>.</w:t>
            </w:r>
            <w:r>
              <w:rPr>
                <w:rFonts w:ascii="宋体" w:hAnsi="宋体"/>
                <w:color w:val="000000"/>
                <w:szCs w:val="20"/>
              </w:rPr>
              <w:t>高发液位准确性校验合格 2.连接线接线牢固 3.动作灵敏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38</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 xml:space="preserve">冷剂液位传感器校验 </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1</w:t>
            </w:r>
            <w:r>
              <w:rPr>
                <w:rFonts w:hint="eastAsia" w:ascii="宋体" w:hAnsi="宋体"/>
                <w:color w:val="000000"/>
                <w:szCs w:val="20"/>
              </w:rPr>
              <w:t>.</w:t>
            </w:r>
            <w:r>
              <w:rPr>
                <w:rFonts w:ascii="宋体" w:hAnsi="宋体"/>
                <w:color w:val="000000"/>
                <w:szCs w:val="20"/>
              </w:rPr>
              <w:t>冷剂液位准确性校验合格 2.连接线接线牢固 3.动作灵敏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39</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 xml:space="preserve">贮气量传感器校验 </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1</w:t>
            </w:r>
            <w:r>
              <w:rPr>
                <w:rFonts w:hint="eastAsia" w:ascii="宋体" w:hAnsi="宋体"/>
                <w:color w:val="000000"/>
                <w:szCs w:val="20"/>
              </w:rPr>
              <w:t>.</w:t>
            </w:r>
            <w:r>
              <w:rPr>
                <w:rFonts w:ascii="宋体" w:hAnsi="宋体"/>
                <w:color w:val="000000"/>
                <w:szCs w:val="20"/>
              </w:rPr>
              <w:t>贮气准确性校验合格 2.连接线接线牢固 3.动作灵敏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40</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 xml:space="preserve">锈蚀分析及保养 </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1</w:t>
            </w:r>
            <w:r>
              <w:rPr>
                <w:rFonts w:hint="eastAsia" w:ascii="宋体" w:hAnsi="宋体"/>
                <w:color w:val="000000"/>
                <w:szCs w:val="20"/>
              </w:rPr>
              <w:t>.</w:t>
            </w:r>
            <w:r>
              <w:rPr>
                <w:rFonts w:ascii="宋体" w:hAnsi="宋体"/>
                <w:color w:val="000000"/>
                <w:szCs w:val="20"/>
              </w:rPr>
              <w:t>目测金属件腐蚀情况2.溶液的化学分析 3.屏蔽泵过滤器堵塞情况 4.检测不凝性气体的产生 5.检测制冷量衰减情况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41</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 xml:space="preserve">控制柜器件除尘及检验 </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控制柜器件清洁。检验元器件的动作灵敏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42</w:t>
            </w:r>
          </w:p>
        </w:tc>
        <w:tc>
          <w:tcPr>
            <w:tcW w:w="2642" w:type="dxa"/>
            <w:vAlign w:val="center"/>
          </w:tcPr>
          <w:p>
            <w:pPr>
              <w:adjustRightInd w:val="0"/>
              <w:snapToGrid w:val="0"/>
              <w:spacing w:line="360" w:lineRule="atLeast"/>
              <w:rPr>
                <w:rFonts w:ascii="宋体" w:hAnsi="宋体"/>
                <w:color w:val="000000"/>
                <w:spacing w:val="-4"/>
                <w:szCs w:val="20"/>
              </w:rPr>
            </w:pPr>
            <w:r>
              <w:rPr>
                <w:rFonts w:ascii="宋体" w:hAnsi="宋体"/>
                <w:color w:val="000000"/>
                <w:spacing w:val="-4"/>
                <w:szCs w:val="20"/>
              </w:rPr>
              <w:t>温水恒温阀</w:t>
            </w:r>
            <w:r>
              <w:rPr>
                <w:rFonts w:hint="eastAsia" w:ascii="宋体" w:hAnsi="宋体"/>
                <w:color w:val="000000"/>
                <w:spacing w:val="-4"/>
                <w:szCs w:val="20"/>
              </w:rPr>
              <w:t>、</w:t>
            </w:r>
            <w:r>
              <w:rPr>
                <w:rFonts w:ascii="宋体" w:hAnsi="宋体"/>
                <w:color w:val="000000"/>
                <w:spacing w:val="-4"/>
                <w:szCs w:val="20"/>
              </w:rPr>
              <w:t>校验</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检查水温是否稳定、指制热水是否可独立调节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43</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 xml:space="preserve">冷水、冷却水铜管结垢检查 </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打开水盖，如有结垢立即清洗。化学清洗或手工清洗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44</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 xml:space="preserve">变频器保养 </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 xml:space="preserve">1．电器保养2.风机机械保养 3.除尘清洁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45</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 xml:space="preserve">溶液取样分析 </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溶液取样。送试验室分析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46</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 xml:space="preserve">机组接地电阻检查 </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摇表检测接地电阻，≤10欧姆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47</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 xml:space="preserve">电机对地绝缘电阻检查  </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摇表检测绝缘电阻，≥0.5兆欧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48</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 xml:space="preserve">冷热切换 </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水系统阀门切换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49</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 xml:space="preserve">变工况试验 </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安全保护试验，自动控制试验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50</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 xml:space="preserve">冬季保养 </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冷却水防冻、空调水系统防冻、末端系统防冻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51</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更换水盖橡胶板</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清洗检测时更换橡胶板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53</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 xml:space="preserve">高温区密封件更换 </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对O型圈橡胶密封件更换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adjustRightInd w:val="0"/>
              <w:snapToGrid w:val="0"/>
              <w:spacing w:line="360" w:lineRule="atLeast"/>
              <w:rPr>
                <w:rFonts w:ascii="宋体" w:hAnsi="宋体"/>
                <w:color w:val="000000"/>
                <w:szCs w:val="20"/>
              </w:rPr>
            </w:pPr>
            <w:r>
              <w:rPr>
                <w:rFonts w:ascii="宋体" w:hAnsi="宋体"/>
                <w:color w:val="000000"/>
                <w:szCs w:val="20"/>
              </w:rPr>
              <w:t>54</w:t>
            </w:r>
          </w:p>
        </w:tc>
        <w:tc>
          <w:tcPr>
            <w:tcW w:w="2642" w:type="dxa"/>
            <w:vAlign w:val="center"/>
          </w:tcPr>
          <w:p>
            <w:pPr>
              <w:adjustRightInd w:val="0"/>
              <w:snapToGrid w:val="0"/>
              <w:spacing w:line="360" w:lineRule="atLeast"/>
              <w:rPr>
                <w:rFonts w:ascii="宋体" w:hAnsi="宋体"/>
                <w:color w:val="000000"/>
                <w:szCs w:val="20"/>
              </w:rPr>
            </w:pPr>
            <w:r>
              <w:rPr>
                <w:rFonts w:ascii="宋体" w:hAnsi="宋体"/>
                <w:color w:val="000000"/>
                <w:szCs w:val="20"/>
              </w:rPr>
              <w:t xml:space="preserve">到期备件更换 </w:t>
            </w:r>
          </w:p>
        </w:tc>
        <w:tc>
          <w:tcPr>
            <w:tcW w:w="6227" w:type="dxa"/>
          </w:tcPr>
          <w:p>
            <w:pPr>
              <w:adjustRightInd w:val="0"/>
              <w:snapToGrid w:val="0"/>
              <w:spacing w:line="360" w:lineRule="atLeast"/>
              <w:rPr>
                <w:rFonts w:ascii="宋体" w:hAnsi="宋体"/>
                <w:color w:val="000000"/>
                <w:szCs w:val="20"/>
              </w:rPr>
            </w:pPr>
            <w:r>
              <w:rPr>
                <w:rFonts w:ascii="宋体" w:hAnsi="宋体"/>
                <w:color w:val="000000"/>
                <w:szCs w:val="20"/>
              </w:rPr>
              <w:t>按照规定要求更换所有到期零部件</w:t>
            </w:r>
          </w:p>
        </w:tc>
      </w:tr>
    </w:tbl>
    <w:p>
      <w:pPr>
        <w:adjustRightInd w:val="0"/>
        <w:snapToGrid w:val="0"/>
        <w:spacing w:afterLines="20" w:line="360" w:lineRule="atLeast"/>
        <w:rPr>
          <w:rFonts w:ascii="黑体" w:hAnsi="宋体" w:eastAsia="黑体"/>
          <w:color w:val="000000"/>
          <w:sz w:val="24"/>
          <w:szCs w:val="20"/>
        </w:rPr>
      </w:pPr>
      <w:r>
        <w:rPr>
          <w:rFonts w:ascii="黑体" w:hAnsi="宋体" w:eastAsia="黑体"/>
          <w:color w:val="000000"/>
          <w:sz w:val="24"/>
          <w:szCs w:val="20"/>
        </w:rPr>
        <w:t>泵组</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1"/>
        <w:gridCol w:w="2580"/>
        <w:gridCol w:w="64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Pr>
          <w:p>
            <w:pPr>
              <w:adjustRightInd w:val="0"/>
              <w:snapToGrid w:val="0"/>
              <w:spacing w:line="360" w:lineRule="atLeast"/>
              <w:rPr>
                <w:rFonts w:ascii="宋体" w:hAnsi="宋体"/>
                <w:color w:val="000000"/>
                <w:szCs w:val="20"/>
              </w:rPr>
            </w:pPr>
            <w:r>
              <w:rPr>
                <w:rFonts w:ascii="宋体" w:hAnsi="宋体"/>
                <w:color w:val="000000"/>
                <w:szCs w:val="20"/>
              </w:rPr>
              <w:t>NO.</w:t>
            </w:r>
          </w:p>
        </w:tc>
        <w:tc>
          <w:tcPr>
            <w:tcW w:w="2580" w:type="dxa"/>
          </w:tcPr>
          <w:p>
            <w:pPr>
              <w:adjustRightInd w:val="0"/>
              <w:snapToGrid w:val="0"/>
              <w:spacing w:line="360" w:lineRule="atLeast"/>
              <w:rPr>
                <w:rFonts w:ascii="宋体" w:hAnsi="宋体"/>
                <w:color w:val="000000"/>
                <w:szCs w:val="20"/>
              </w:rPr>
            </w:pPr>
            <w:r>
              <w:rPr>
                <w:rFonts w:ascii="宋体" w:hAnsi="宋体"/>
                <w:color w:val="000000"/>
                <w:szCs w:val="20"/>
              </w:rPr>
              <w:t>服务项目</w:t>
            </w:r>
          </w:p>
        </w:tc>
        <w:tc>
          <w:tcPr>
            <w:tcW w:w="6446" w:type="dxa"/>
          </w:tcPr>
          <w:p>
            <w:pPr>
              <w:adjustRightInd w:val="0"/>
              <w:snapToGrid w:val="0"/>
              <w:spacing w:line="360" w:lineRule="atLeast"/>
              <w:rPr>
                <w:rFonts w:ascii="宋体" w:hAnsi="宋体"/>
                <w:color w:val="000000"/>
                <w:szCs w:val="20"/>
              </w:rPr>
            </w:pPr>
            <w:r>
              <w:rPr>
                <w:rFonts w:ascii="宋体" w:hAnsi="宋体"/>
                <w:color w:val="000000"/>
                <w:szCs w:val="20"/>
              </w:rPr>
              <w:t>具体内容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60" w:lineRule="atLeast"/>
              <w:rPr>
                <w:rFonts w:ascii="宋体" w:hAnsi="宋体"/>
                <w:color w:val="000000"/>
                <w:szCs w:val="20"/>
              </w:rPr>
            </w:pPr>
            <w:r>
              <w:rPr>
                <w:rFonts w:ascii="宋体" w:hAnsi="宋体"/>
                <w:color w:val="000000"/>
                <w:szCs w:val="20"/>
              </w:rPr>
              <w:t>1</w:t>
            </w:r>
          </w:p>
        </w:tc>
        <w:tc>
          <w:tcPr>
            <w:tcW w:w="2580" w:type="dxa"/>
            <w:vAlign w:val="center"/>
          </w:tcPr>
          <w:p>
            <w:pPr>
              <w:adjustRightInd w:val="0"/>
              <w:snapToGrid w:val="0"/>
              <w:spacing w:line="360" w:lineRule="atLeast"/>
              <w:rPr>
                <w:rFonts w:ascii="宋体" w:hAnsi="宋体"/>
                <w:color w:val="000000"/>
                <w:szCs w:val="20"/>
              </w:rPr>
            </w:pPr>
            <w:r>
              <w:rPr>
                <w:rFonts w:ascii="宋体" w:hAnsi="宋体"/>
                <w:color w:val="000000"/>
                <w:szCs w:val="20"/>
              </w:rPr>
              <w:t>润滑油添加</w:t>
            </w:r>
          </w:p>
        </w:tc>
        <w:tc>
          <w:tcPr>
            <w:tcW w:w="6446" w:type="dxa"/>
          </w:tcPr>
          <w:p>
            <w:pPr>
              <w:adjustRightInd w:val="0"/>
              <w:snapToGrid w:val="0"/>
              <w:spacing w:line="360" w:lineRule="atLeast"/>
              <w:rPr>
                <w:rFonts w:ascii="宋体" w:hAnsi="宋体"/>
                <w:color w:val="000000"/>
                <w:spacing w:val="-4"/>
                <w:szCs w:val="20"/>
              </w:rPr>
            </w:pPr>
            <w:r>
              <w:rPr>
                <w:rFonts w:ascii="宋体" w:hAnsi="宋体"/>
                <w:color w:val="000000"/>
                <w:spacing w:val="-4"/>
                <w:szCs w:val="20"/>
              </w:rPr>
              <w:t xml:space="preserve">检查油面、油温、油质、油乳化、油无杂质；添加或更换新润滑油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60" w:lineRule="atLeast"/>
              <w:rPr>
                <w:rFonts w:ascii="宋体" w:hAnsi="宋体"/>
                <w:color w:val="000000"/>
                <w:szCs w:val="20"/>
              </w:rPr>
            </w:pPr>
            <w:r>
              <w:rPr>
                <w:rFonts w:ascii="宋体" w:hAnsi="宋体"/>
                <w:color w:val="000000"/>
                <w:szCs w:val="20"/>
              </w:rPr>
              <w:t>2</w:t>
            </w:r>
          </w:p>
        </w:tc>
        <w:tc>
          <w:tcPr>
            <w:tcW w:w="2580" w:type="dxa"/>
            <w:vAlign w:val="center"/>
          </w:tcPr>
          <w:p>
            <w:pPr>
              <w:adjustRightInd w:val="0"/>
              <w:snapToGrid w:val="0"/>
              <w:spacing w:line="360" w:lineRule="atLeast"/>
              <w:rPr>
                <w:rFonts w:ascii="宋体" w:hAnsi="宋体"/>
                <w:color w:val="000000"/>
                <w:szCs w:val="20"/>
              </w:rPr>
            </w:pPr>
            <w:r>
              <w:rPr>
                <w:rFonts w:ascii="宋体" w:hAnsi="宋体"/>
                <w:color w:val="000000"/>
                <w:szCs w:val="20"/>
              </w:rPr>
              <w:t>螺栓、连接件检查及更换</w:t>
            </w:r>
          </w:p>
        </w:tc>
        <w:tc>
          <w:tcPr>
            <w:tcW w:w="6446" w:type="dxa"/>
          </w:tcPr>
          <w:p>
            <w:pPr>
              <w:adjustRightInd w:val="0"/>
              <w:snapToGrid w:val="0"/>
              <w:spacing w:line="360" w:lineRule="atLeast"/>
              <w:rPr>
                <w:rFonts w:ascii="宋体" w:hAnsi="宋体"/>
                <w:color w:val="000000"/>
                <w:szCs w:val="20"/>
              </w:rPr>
            </w:pPr>
            <w:r>
              <w:rPr>
                <w:rFonts w:ascii="宋体" w:hAnsi="宋体"/>
                <w:color w:val="000000"/>
                <w:szCs w:val="20"/>
              </w:rPr>
              <w:t>检查及更换紧固螺栓及连接件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60" w:lineRule="atLeast"/>
              <w:rPr>
                <w:rFonts w:ascii="宋体" w:hAnsi="宋体"/>
                <w:color w:val="000000"/>
                <w:szCs w:val="20"/>
              </w:rPr>
            </w:pPr>
            <w:r>
              <w:rPr>
                <w:rFonts w:ascii="宋体" w:hAnsi="宋体"/>
                <w:color w:val="000000"/>
                <w:szCs w:val="20"/>
              </w:rPr>
              <w:t>3</w:t>
            </w:r>
          </w:p>
        </w:tc>
        <w:tc>
          <w:tcPr>
            <w:tcW w:w="2580" w:type="dxa"/>
            <w:vAlign w:val="center"/>
          </w:tcPr>
          <w:p>
            <w:pPr>
              <w:adjustRightInd w:val="0"/>
              <w:snapToGrid w:val="0"/>
              <w:spacing w:line="360" w:lineRule="atLeast"/>
              <w:rPr>
                <w:rFonts w:ascii="宋体" w:hAnsi="宋体"/>
                <w:color w:val="000000"/>
                <w:szCs w:val="20"/>
              </w:rPr>
            </w:pPr>
            <w:r>
              <w:rPr>
                <w:rFonts w:ascii="宋体" w:hAnsi="宋体"/>
                <w:color w:val="000000"/>
                <w:szCs w:val="20"/>
              </w:rPr>
              <w:t>填料轴封维护</w:t>
            </w:r>
          </w:p>
        </w:tc>
        <w:tc>
          <w:tcPr>
            <w:tcW w:w="6446" w:type="dxa"/>
          </w:tcPr>
          <w:p>
            <w:pPr>
              <w:adjustRightInd w:val="0"/>
              <w:snapToGrid w:val="0"/>
              <w:spacing w:line="360" w:lineRule="atLeast"/>
              <w:rPr>
                <w:rFonts w:ascii="宋体" w:hAnsi="宋体"/>
                <w:color w:val="000000"/>
                <w:szCs w:val="20"/>
              </w:rPr>
            </w:pPr>
            <w:r>
              <w:rPr>
                <w:rFonts w:ascii="宋体" w:hAnsi="宋体"/>
                <w:color w:val="000000"/>
                <w:szCs w:val="20"/>
              </w:rPr>
              <w:t>1</w:t>
            </w:r>
            <w:r>
              <w:rPr>
                <w:rFonts w:hint="eastAsia" w:ascii="宋体" w:hAnsi="宋体"/>
                <w:color w:val="000000"/>
                <w:szCs w:val="20"/>
              </w:rPr>
              <w:t>.</w:t>
            </w:r>
            <w:r>
              <w:rPr>
                <w:rFonts w:ascii="宋体" w:hAnsi="宋体"/>
                <w:color w:val="000000"/>
                <w:szCs w:val="20"/>
              </w:rPr>
              <w:t>检查填料式轴封漏水量。2.紧固轴封的填料压盖螺栓或更换成不锈钢螺栓螺帽。3.采用柔性石墨盘根填紧填料式轴封。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60" w:lineRule="atLeast"/>
              <w:rPr>
                <w:rFonts w:ascii="宋体" w:hAnsi="宋体"/>
                <w:color w:val="000000"/>
                <w:szCs w:val="20"/>
              </w:rPr>
            </w:pPr>
            <w:r>
              <w:rPr>
                <w:rFonts w:ascii="宋体" w:hAnsi="宋体"/>
                <w:color w:val="000000"/>
                <w:szCs w:val="20"/>
              </w:rPr>
              <w:t>4</w:t>
            </w:r>
          </w:p>
        </w:tc>
        <w:tc>
          <w:tcPr>
            <w:tcW w:w="2580" w:type="dxa"/>
            <w:vAlign w:val="center"/>
          </w:tcPr>
          <w:p>
            <w:pPr>
              <w:adjustRightInd w:val="0"/>
              <w:snapToGrid w:val="0"/>
              <w:spacing w:line="360" w:lineRule="atLeast"/>
              <w:rPr>
                <w:rFonts w:ascii="宋体" w:hAnsi="宋体"/>
                <w:color w:val="000000"/>
                <w:szCs w:val="20"/>
              </w:rPr>
            </w:pPr>
            <w:r>
              <w:rPr>
                <w:rFonts w:ascii="宋体" w:hAnsi="宋体"/>
                <w:color w:val="000000"/>
                <w:szCs w:val="20"/>
              </w:rPr>
              <w:t>机械轴封维护</w:t>
            </w:r>
          </w:p>
        </w:tc>
        <w:tc>
          <w:tcPr>
            <w:tcW w:w="6446" w:type="dxa"/>
          </w:tcPr>
          <w:p>
            <w:pPr>
              <w:adjustRightInd w:val="0"/>
              <w:snapToGrid w:val="0"/>
              <w:spacing w:line="360" w:lineRule="atLeast"/>
              <w:rPr>
                <w:rFonts w:ascii="宋体" w:hAnsi="宋体"/>
                <w:color w:val="000000"/>
                <w:szCs w:val="20"/>
              </w:rPr>
            </w:pPr>
            <w:r>
              <w:rPr>
                <w:rFonts w:ascii="宋体" w:hAnsi="宋体"/>
                <w:color w:val="000000"/>
                <w:szCs w:val="20"/>
              </w:rPr>
              <w:t>更换泄漏量大于10ml/h或轴套表面波纹状磨损的轴封。更换橡胶O型圈。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60" w:lineRule="atLeast"/>
              <w:rPr>
                <w:rFonts w:ascii="宋体" w:hAnsi="宋体"/>
                <w:color w:val="000000"/>
                <w:szCs w:val="20"/>
              </w:rPr>
            </w:pPr>
            <w:r>
              <w:rPr>
                <w:rFonts w:ascii="宋体" w:hAnsi="宋体"/>
                <w:color w:val="000000"/>
                <w:szCs w:val="20"/>
              </w:rPr>
              <w:t>5</w:t>
            </w:r>
          </w:p>
        </w:tc>
        <w:tc>
          <w:tcPr>
            <w:tcW w:w="2580" w:type="dxa"/>
            <w:vAlign w:val="center"/>
          </w:tcPr>
          <w:p>
            <w:pPr>
              <w:adjustRightInd w:val="0"/>
              <w:snapToGrid w:val="0"/>
              <w:spacing w:line="360" w:lineRule="atLeast"/>
              <w:rPr>
                <w:rFonts w:ascii="宋体" w:hAnsi="宋体"/>
                <w:color w:val="000000"/>
                <w:szCs w:val="20"/>
              </w:rPr>
            </w:pPr>
            <w:r>
              <w:rPr>
                <w:rFonts w:ascii="宋体" w:hAnsi="宋体"/>
                <w:color w:val="000000"/>
                <w:szCs w:val="20"/>
              </w:rPr>
              <w:t>润滑油更换</w:t>
            </w:r>
          </w:p>
        </w:tc>
        <w:tc>
          <w:tcPr>
            <w:tcW w:w="6446" w:type="dxa"/>
          </w:tcPr>
          <w:p>
            <w:pPr>
              <w:adjustRightInd w:val="0"/>
              <w:snapToGrid w:val="0"/>
              <w:spacing w:line="360" w:lineRule="atLeast"/>
              <w:rPr>
                <w:rFonts w:ascii="宋体" w:hAnsi="宋体"/>
                <w:color w:val="000000"/>
                <w:szCs w:val="20"/>
              </w:rPr>
            </w:pPr>
            <w:r>
              <w:rPr>
                <w:rFonts w:ascii="宋体" w:hAnsi="宋体"/>
                <w:color w:val="000000"/>
                <w:szCs w:val="20"/>
              </w:rPr>
              <w:t>更换润滑油、清洗油箱。对油箱轴封维护、更换。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60" w:lineRule="atLeast"/>
              <w:rPr>
                <w:rFonts w:ascii="宋体" w:hAnsi="宋体"/>
                <w:color w:val="000000"/>
                <w:szCs w:val="20"/>
              </w:rPr>
            </w:pPr>
            <w:r>
              <w:rPr>
                <w:rFonts w:ascii="宋体" w:hAnsi="宋体"/>
                <w:color w:val="000000"/>
                <w:szCs w:val="20"/>
              </w:rPr>
              <w:t>6</w:t>
            </w:r>
          </w:p>
        </w:tc>
        <w:tc>
          <w:tcPr>
            <w:tcW w:w="2580" w:type="dxa"/>
            <w:vAlign w:val="center"/>
          </w:tcPr>
          <w:p>
            <w:pPr>
              <w:adjustRightInd w:val="0"/>
              <w:snapToGrid w:val="0"/>
              <w:spacing w:line="360" w:lineRule="atLeast"/>
              <w:rPr>
                <w:rFonts w:ascii="宋体" w:hAnsi="宋体"/>
                <w:color w:val="000000"/>
                <w:szCs w:val="20"/>
              </w:rPr>
            </w:pPr>
            <w:r>
              <w:rPr>
                <w:rFonts w:ascii="宋体" w:hAnsi="宋体"/>
                <w:color w:val="000000"/>
                <w:szCs w:val="20"/>
              </w:rPr>
              <w:t>润滑油脂更换</w:t>
            </w:r>
          </w:p>
        </w:tc>
        <w:tc>
          <w:tcPr>
            <w:tcW w:w="6446" w:type="dxa"/>
          </w:tcPr>
          <w:p>
            <w:pPr>
              <w:adjustRightInd w:val="0"/>
              <w:snapToGrid w:val="0"/>
              <w:spacing w:line="360" w:lineRule="atLeast"/>
              <w:rPr>
                <w:rFonts w:ascii="宋体" w:hAnsi="宋体"/>
                <w:color w:val="000000"/>
                <w:szCs w:val="20"/>
              </w:rPr>
            </w:pPr>
            <w:r>
              <w:rPr>
                <w:rFonts w:ascii="宋体" w:hAnsi="宋体"/>
                <w:color w:val="000000"/>
                <w:szCs w:val="20"/>
              </w:rPr>
              <w:t>1．更换润滑脂、清洗轴承座和清除废油脂。2.对油嘴润滑脂的强力充注。3.对超出时限的润滑脂彻底清除、更换。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60" w:lineRule="atLeast"/>
              <w:rPr>
                <w:rFonts w:ascii="宋体" w:hAnsi="宋体"/>
                <w:color w:val="000000"/>
                <w:szCs w:val="20"/>
              </w:rPr>
            </w:pPr>
            <w:r>
              <w:rPr>
                <w:rFonts w:ascii="宋体" w:hAnsi="宋体"/>
                <w:color w:val="000000"/>
                <w:szCs w:val="20"/>
              </w:rPr>
              <w:t>7</w:t>
            </w:r>
          </w:p>
        </w:tc>
        <w:tc>
          <w:tcPr>
            <w:tcW w:w="2580" w:type="dxa"/>
            <w:vAlign w:val="center"/>
          </w:tcPr>
          <w:p>
            <w:pPr>
              <w:adjustRightInd w:val="0"/>
              <w:snapToGrid w:val="0"/>
              <w:spacing w:line="360" w:lineRule="atLeast"/>
              <w:rPr>
                <w:rFonts w:ascii="宋体" w:hAnsi="宋体"/>
                <w:color w:val="000000"/>
                <w:szCs w:val="20"/>
              </w:rPr>
            </w:pPr>
            <w:r>
              <w:rPr>
                <w:rFonts w:ascii="宋体" w:hAnsi="宋体"/>
                <w:color w:val="000000"/>
                <w:szCs w:val="20"/>
              </w:rPr>
              <w:t>解体检修</w:t>
            </w:r>
          </w:p>
        </w:tc>
        <w:tc>
          <w:tcPr>
            <w:tcW w:w="6446" w:type="dxa"/>
          </w:tcPr>
          <w:p>
            <w:pPr>
              <w:adjustRightInd w:val="0"/>
              <w:snapToGrid w:val="0"/>
              <w:spacing w:line="320" w:lineRule="atLeast"/>
              <w:rPr>
                <w:rFonts w:ascii="宋体" w:hAnsi="宋体"/>
                <w:color w:val="000000"/>
                <w:szCs w:val="20"/>
              </w:rPr>
            </w:pPr>
            <w:r>
              <w:rPr>
                <w:rFonts w:ascii="宋体" w:hAnsi="宋体"/>
                <w:color w:val="000000"/>
                <w:szCs w:val="20"/>
              </w:rPr>
              <w:t>对泵壳、叶轮内外面、叶轮流道、密封环、主轴等处清洗、除垢、更换、调整、油漆。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60" w:lineRule="atLeast"/>
              <w:rPr>
                <w:rFonts w:ascii="宋体" w:hAnsi="宋体"/>
                <w:color w:val="000000"/>
                <w:szCs w:val="20"/>
              </w:rPr>
            </w:pPr>
            <w:r>
              <w:rPr>
                <w:rFonts w:ascii="宋体" w:hAnsi="宋体"/>
                <w:color w:val="000000"/>
                <w:szCs w:val="20"/>
              </w:rPr>
              <w:t>8</w:t>
            </w:r>
          </w:p>
        </w:tc>
        <w:tc>
          <w:tcPr>
            <w:tcW w:w="2580" w:type="dxa"/>
            <w:vAlign w:val="center"/>
          </w:tcPr>
          <w:p>
            <w:pPr>
              <w:adjustRightInd w:val="0"/>
              <w:snapToGrid w:val="0"/>
              <w:spacing w:line="360" w:lineRule="atLeast"/>
              <w:rPr>
                <w:rFonts w:ascii="宋体" w:hAnsi="宋体"/>
                <w:color w:val="000000"/>
                <w:szCs w:val="20"/>
              </w:rPr>
            </w:pPr>
            <w:r>
              <w:rPr>
                <w:rFonts w:ascii="宋体" w:hAnsi="宋体"/>
                <w:color w:val="000000"/>
                <w:szCs w:val="20"/>
              </w:rPr>
              <w:t>电器检查</w:t>
            </w:r>
          </w:p>
        </w:tc>
        <w:tc>
          <w:tcPr>
            <w:tcW w:w="6446" w:type="dxa"/>
          </w:tcPr>
          <w:p>
            <w:pPr>
              <w:adjustRightInd w:val="0"/>
              <w:snapToGrid w:val="0"/>
              <w:spacing w:line="360" w:lineRule="atLeast"/>
              <w:rPr>
                <w:rFonts w:ascii="宋体" w:hAnsi="宋体"/>
                <w:color w:val="000000"/>
                <w:szCs w:val="20"/>
              </w:rPr>
            </w:pPr>
            <w:r>
              <w:rPr>
                <w:rFonts w:ascii="宋体" w:hAnsi="宋体"/>
                <w:color w:val="000000"/>
                <w:szCs w:val="20"/>
              </w:rPr>
              <w:t>对电机，控制系统，变频装置等常规检查。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60" w:lineRule="atLeast"/>
              <w:rPr>
                <w:rFonts w:ascii="宋体" w:hAnsi="宋体"/>
                <w:color w:val="000000"/>
                <w:szCs w:val="20"/>
              </w:rPr>
            </w:pPr>
            <w:r>
              <w:rPr>
                <w:rFonts w:ascii="宋体" w:hAnsi="宋体"/>
                <w:color w:val="000000"/>
                <w:szCs w:val="20"/>
              </w:rPr>
              <w:t>9</w:t>
            </w:r>
          </w:p>
        </w:tc>
        <w:tc>
          <w:tcPr>
            <w:tcW w:w="2580" w:type="dxa"/>
            <w:vAlign w:val="center"/>
          </w:tcPr>
          <w:p>
            <w:pPr>
              <w:adjustRightInd w:val="0"/>
              <w:snapToGrid w:val="0"/>
              <w:spacing w:line="360" w:lineRule="atLeast"/>
              <w:rPr>
                <w:rFonts w:ascii="宋体" w:hAnsi="宋体"/>
                <w:color w:val="000000"/>
                <w:szCs w:val="20"/>
              </w:rPr>
            </w:pPr>
            <w:r>
              <w:rPr>
                <w:rFonts w:ascii="宋体" w:hAnsi="宋体"/>
                <w:color w:val="000000"/>
                <w:szCs w:val="20"/>
              </w:rPr>
              <w:t>电器检修</w:t>
            </w:r>
          </w:p>
        </w:tc>
        <w:tc>
          <w:tcPr>
            <w:tcW w:w="6446" w:type="dxa"/>
          </w:tcPr>
          <w:p>
            <w:pPr>
              <w:adjustRightInd w:val="0"/>
              <w:snapToGrid w:val="0"/>
              <w:spacing w:line="360" w:lineRule="atLeast"/>
              <w:rPr>
                <w:rFonts w:ascii="宋体" w:hAnsi="宋体"/>
                <w:color w:val="000000"/>
                <w:szCs w:val="20"/>
              </w:rPr>
            </w:pPr>
            <w:r>
              <w:rPr>
                <w:rFonts w:ascii="宋体" w:hAnsi="宋体"/>
                <w:color w:val="000000"/>
                <w:szCs w:val="20"/>
              </w:rPr>
              <w:t>对电压、连接线、连接端子、接地、绝缘、电机等检修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60" w:lineRule="atLeast"/>
              <w:rPr>
                <w:rFonts w:ascii="宋体" w:hAnsi="宋体"/>
                <w:color w:val="000000"/>
                <w:szCs w:val="20"/>
              </w:rPr>
            </w:pPr>
            <w:r>
              <w:rPr>
                <w:rFonts w:ascii="宋体" w:hAnsi="宋体"/>
                <w:color w:val="000000"/>
                <w:szCs w:val="20"/>
              </w:rPr>
              <w:t>10</w:t>
            </w:r>
          </w:p>
        </w:tc>
        <w:tc>
          <w:tcPr>
            <w:tcW w:w="2580" w:type="dxa"/>
            <w:vAlign w:val="center"/>
          </w:tcPr>
          <w:p>
            <w:pPr>
              <w:adjustRightInd w:val="0"/>
              <w:snapToGrid w:val="0"/>
              <w:spacing w:line="360" w:lineRule="atLeast"/>
              <w:rPr>
                <w:rFonts w:ascii="宋体" w:hAnsi="宋体"/>
                <w:color w:val="000000"/>
                <w:szCs w:val="20"/>
              </w:rPr>
            </w:pPr>
            <w:r>
              <w:rPr>
                <w:rFonts w:ascii="宋体" w:hAnsi="宋体"/>
                <w:color w:val="000000"/>
                <w:szCs w:val="20"/>
              </w:rPr>
              <w:t>泵体除垢刷漆</w:t>
            </w:r>
          </w:p>
        </w:tc>
        <w:tc>
          <w:tcPr>
            <w:tcW w:w="6446" w:type="dxa"/>
          </w:tcPr>
          <w:p>
            <w:pPr>
              <w:adjustRightInd w:val="0"/>
              <w:snapToGrid w:val="0"/>
              <w:spacing w:line="360" w:lineRule="atLeast"/>
              <w:rPr>
                <w:rFonts w:ascii="宋体" w:hAnsi="宋体"/>
                <w:color w:val="000000"/>
                <w:szCs w:val="20"/>
              </w:rPr>
            </w:pPr>
            <w:r>
              <w:rPr>
                <w:rFonts w:ascii="宋体" w:hAnsi="宋体"/>
                <w:color w:val="000000"/>
                <w:szCs w:val="20"/>
              </w:rPr>
              <w:t>对泵内外除锈刷漆。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60" w:lineRule="atLeast"/>
              <w:rPr>
                <w:rFonts w:ascii="宋体" w:hAnsi="宋体"/>
                <w:color w:val="000000"/>
                <w:szCs w:val="20"/>
              </w:rPr>
            </w:pPr>
            <w:r>
              <w:rPr>
                <w:rFonts w:ascii="宋体" w:hAnsi="宋体"/>
                <w:color w:val="000000"/>
                <w:szCs w:val="20"/>
              </w:rPr>
              <w:t>11</w:t>
            </w:r>
          </w:p>
        </w:tc>
        <w:tc>
          <w:tcPr>
            <w:tcW w:w="2580" w:type="dxa"/>
            <w:vAlign w:val="center"/>
          </w:tcPr>
          <w:p>
            <w:pPr>
              <w:adjustRightInd w:val="0"/>
              <w:snapToGrid w:val="0"/>
              <w:spacing w:line="360" w:lineRule="atLeast"/>
              <w:rPr>
                <w:rFonts w:ascii="宋体" w:hAnsi="宋体"/>
                <w:color w:val="000000"/>
                <w:szCs w:val="20"/>
              </w:rPr>
            </w:pPr>
            <w:r>
              <w:rPr>
                <w:rFonts w:ascii="宋体" w:hAnsi="宋体"/>
                <w:color w:val="000000"/>
                <w:szCs w:val="20"/>
              </w:rPr>
              <w:t>压力表校对</w:t>
            </w:r>
          </w:p>
        </w:tc>
        <w:tc>
          <w:tcPr>
            <w:tcW w:w="6446" w:type="dxa"/>
          </w:tcPr>
          <w:p>
            <w:pPr>
              <w:adjustRightInd w:val="0"/>
              <w:snapToGrid w:val="0"/>
              <w:spacing w:line="360" w:lineRule="atLeast"/>
              <w:rPr>
                <w:rFonts w:ascii="宋体" w:hAnsi="宋体"/>
                <w:color w:val="000000"/>
                <w:szCs w:val="20"/>
              </w:rPr>
            </w:pPr>
            <w:r>
              <w:rPr>
                <w:rFonts w:ascii="宋体" w:hAnsi="宋体"/>
                <w:color w:val="000000"/>
                <w:szCs w:val="20"/>
              </w:rPr>
              <w:t>对压力表数据校对及检修。</w:t>
            </w:r>
          </w:p>
        </w:tc>
      </w:tr>
    </w:tbl>
    <w:p>
      <w:pPr>
        <w:adjustRightInd w:val="0"/>
        <w:snapToGrid w:val="0"/>
        <w:spacing w:afterLines="20" w:line="360" w:lineRule="atLeast"/>
        <w:rPr>
          <w:rFonts w:ascii="黑体" w:hAnsi="宋体" w:eastAsia="黑体"/>
          <w:color w:val="000000"/>
          <w:sz w:val="24"/>
          <w:szCs w:val="20"/>
        </w:rPr>
      </w:pPr>
      <w:r>
        <w:rPr>
          <w:rFonts w:ascii="黑体" w:hAnsi="宋体" w:eastAsia="黑体"/>
          <w:color w:val="000000"/>
          <w:sz w:val="24"/>
          <w:szCs w:val="20"/>
        </w:rPr>
        <w:t>冷却塔</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1"/>
        <w:gridCol w:w="2570"/>
        <w:gridCol w:w="64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Pr>
          <w:p>
            <w:pPr>
              <w:adjustRightInd w:val="0"/>
              <w:snapToGrid w:val="0"/>
              <w:spacing w:line="360" w:lineRule="atLeast"/>
              <w:rPr>
                <w:rFonts w:ascii="宋体" w:hAnsi="宋体"/>
                <w:color w:val="000000"/>
                <w:szCs w:val="20"/>
              </w:rPr>
            </w:pPr>
            <w:r>
              <w:rPr>
                <w:rFonts w:ascii="宋体" w:hAnsi="宋体"/>
                <w:color w:val="000000"/>
                <w:szCs w:val="20"/>
              </w:rPr>
              <w:t>NO.</w:t>
            </w:r>
          </w:p>
        </w:tc>
        <w:tc>
          <w:tcPr>
            <w:tcW w:w="2570" w:type="dxa"/>
          </w:tcPr>
          <w:p>
            <w:pPr>
              <w:adjustRightInd w:val="0"/>
              <w:snapToGrid w:val="0"/>
              <w:spacing w:line="360" w:lineRule="atLeast"/>
              <w:rPr>
                <w:rFonts w:ascii="宋体" w:hAnsi="宋体"/>
                <w:color w:val="000000"/>
                <w:szCs w:val="20"/>
              </w:rPr>
            </w:pPr>
            <w:r>
              <w:rPr>
                <w:rFonts w:ascii="宋体" w:hAnsi="宋体"/>
                <w:color w:val="000000"/>
                <w:szCs w:val="20"/>
              </w:rPr>
              <w:t>冷却塔</w:t>
            </w:r>
          </w:p>
        </w:tc>
        <w:tc>
          <w:tcPr>
            <w:tcW w:w="6456" w:type="dxa"/>
          </w:tcPr>
          <w:p>
            <w:pPr>
              <w:adjustRightInd w:val="0"/>
              <w:snapToGrid w:val="0"/>
              <w:spacing w:line="360" w:lineRule="atLeast"/>
              <w:rPr>
                <w:rFonts w:ascii="宋体" w:hAnsi="宋体"/>
                <w:color w:val="000000"/>
                <w:szCs w:val="20"/>
              </w:rPr>
            </w:pPr>
            <w:r>
              <w:rPr>
                <w:rFonts w:ascii="宋体" w:hAnsi="宋体"/>
                <w:color w:val="000000"/>
                <w:szCs w:val="20"/>
              </w:rPr>
              <w:t>具体内容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60" w:lineRule="atLeast"/>
              <w:rPr>
                <w:rFonts w:ascii="宋体" w:hAnsi="宋体"/>
                <w:color w:val="000000"/>
                <w:szCs w:val="20"/>
              </w:rPr>
            </w:pPr>
            <w:r>
              <w:rPr>
                <w:rFonts w:ascii="宋体" w:hAnsi="宋体"/>
                <w:color w:val="000000"/>
                <w:szCs w:val="20"/>
              </w:rPr>
              <w:t>1</w:t>
            </w:r>
          </w:p>
        </w:tc>
        <w:tc>
          <w:tcPr>
            <w:tcW w:w="2570" w:type="dxa"/>
            <w:vAlign w:val="center"/>
          </w:tcPr>
          <w:p>
            <w:pPr>
              <w:adjustRightInd w:val="0"/>
              <w:snapToGrid w:val="0"/>
              <w:spacing w:line="360" w:lineRule="atLeast"/>
              <w:rPr>
                <w:rFonts w:ascii="宋体" w:hAnsi="宋体"/>
                <w:color w:val="000000"/>
                <w:szCs w:val="20"/>
              </w:rPr>
            </w:pPr>
            <w:r>
              <w:rPr>
                <w:rFonts w:ascii="宋体" w:hAnsi="宋体"/>
                <w:color w:val="000000"/>
                <w:szCs w:val="20"/>
              </w:rPr>
              <w:t>通风装置紧固</w:t>
            </w:r>
          </w:p>
        </w:tc>
        <w:tc>
          <w:tcPr>
            <w:tcW w:w="6456" w:type="dxa"/>
          </w:tcPr>
          <w:p>
            <w:pPr>
              <w:adjustRightInd w:val="0"/>
              <w:snapToGrid w:val="0"/>
              <w:spacing w:line="360" w:lineRule="atLeast"/>
              <w:rPr>
                <w:rFonts w:ascii="宋体" w:hAnsi="宋体"/>
                <w:color w:val="000000"/>
                <w:szCs w:val="20"/>
              </w:rPr>
            </w:pPr>
            <w:r>
              <w:rPr>
                <w:rFonts w:ascii="宋体" w:hAnsi="宋体"/>
                <w:color w:val="000000"/>
                <w:szCs w:val="20"/>
              </w:rPr>
              <w:t>电机、风机减速装置和连接螺栓的紧固。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60" w:lineRule="atLeast"/>
              <w:rPr>
                <w:rFonts w:ascii="宋体" w:hAnsi="宋体"/>
                <w:color w:val="000000"/>
                <w:szCs w:val="20"/>
              </w:rPr>
            </w:pPr>
            <w:r>
              <w:rPr>
                <w:rFonts w:ascii="宋体" w:hAnsi="宋体"/>
                <w:color w:val="000000"/>
                <w:szCs w:val="20"/>
              </w:rPr>
              <w:t>2</w:t>
            </w:r>
          </w:p>
        </w:tc>
        <w:tc>
          <w:tcPr>
            <w:tcW w:w="2570" w:type="dxa"/>
            <w:vAlign w:val="center"/>
          </w:tcPr>
          <w:p>
            <w:pPr>
              <w:adjustRightInd w:val="0"/>
              <w:snapToGrid w:val="0"/>
              <w:spacing w:line="360" w:lineRule="atLeast"/>
              <w:rPr>
                <w:rFonts w:ascii="宋体" w:hAnsi="宋体"/>
                <w:color w:val="000000"/>
                <w:szCs w:val="20"/>
              </w:rPr>
            </w:pPr>
            <w:r>
              <w:rPr>
                <w:rFonts w:ascii="宋体" w:hAnsi="宋体"/>
                <w:color w:val="000000"/>
                <w:szCs w:val="20"/>
              </w:rPr>
              <w:t>风机皮带调整</w:t>
            </w:r>
          </w:p>
        </w:tc>
        <w:tc>
          <w:tcPr>
            <w:tcW w:w="6456" w:type="dxa"/>
          </w:tcPr>
          <w:p>
            <w:pPr>
              <w:adjustRightInd w:val="0"/>
              <w:snapToGrid w:val="0"/>
              <w:spacing w:line="360" w:lineRule="atLeast"/>
              <w:rPr>
                <w:rFonts w:ascii="宋体" w:hAnsi="宋体"/>
                <w:color w:val="000000"/>
                <w:szCs w:val="20"/>
              </w:rPr>
            </w:pPr>
            <w:r>
              <w:rPr>
                <w:rFonts w:ascii="宋体" w:hAnsi="宋体"/>
                <w:color w:val="000000"/>
                <w:szCs w:val="20"/>
              </w:rPr>
              <w:t>1</w:t>
            </w:r>
            <w:r>
              <w:rPr>
                <w:rFonts w:hint="eastAsia" w:ascii="宋体" w:hAnsi="宋体"/>
                <w:color w:val="000000"/>
                <w:szCs w:val="20"/>
              </w:rPr>
              <w:t>.</w:t>
            </w:r>
            <w:r>
              <w:rPr>
                <w:rFonts w:ascii="宋体" w:hAnsi="宋体"/>
                <w:color w:val="000000"/>
                <w:szCs w:val="20"/>
              </w:rPr>
              <w:t>对皮带的平行度、松紧度的调整。2.多皮带受力均匀检查。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60" w:lineRule="atLeast"/>
              <w:rPr>
                <w:rFonts w:ascii="宋体" w:hAnsi="宋体"/>
                <w:color w:val="000000"/>
                <w:szCs w:val="20"/>
              </w:rPr>
            </w:pPr>
            <w:r>
              <w:rPr>
                <w:rFonts w:ascii="宋体" w:hAnsi="宋体"/>
                <w:color w:val="000000"/>
                <w:szCs w:val="20"/>
              </w:rPr>
              <w:t>3</w:t>
            </w:r>
          </w:p>
        </w:tc>
        <w:tc>
          <w:tcPr>
            <w:tcW w:w="2570" w:type="dxa"/>
            <w:vAlign w:val="center"/>
          </w:tcPr>
          <w:p>
            <w:pPr>
              <w:adjustRightInd w:val="0"/>
              <w:snapToGrid w:val="0"/>
              <w:spacing w:line="360" w:lineRule="atLeast"/>
              <w:rPr>
                <w:rFonts w:ascii="宋体" w:hAnsi="宋体"/>
                <w:color w:val="000000"/>
                <w:szCs w:val="20"/>
              </w:rPr>
            </w:pPr>
            <w:r>
              <w:rPr>
                <w:rFonts w:ascii="宋体" w:hAnsi="宋体"/>
                <w:color w:val="000000"/>
                <w:szCs w:val="20"/>
              </w:rPr>
              <w:t>风机叶片检查</w:t>
            </w:r>
          </w:p>
        </w:tc>
        <w:tc>
          <w:tcPr>
            <w:tcW w:w="6456" w:type="dxa"/>
          </w:tcPr>
          <w:p>
            <w:pPr>
              <w:adjustRightInd w:val="0"/>
              <w:snapToGrid w:val="0"/>
              <w:spacing w:line="320" w:lineRule="atLeast"/>
              <w:rPr>
                <w:rFonts w:ascii="宋体" w:hAnsi="宋体"/>
                <w:color w:val="000000"/>
                <w:szCs w:val="20"/>
              </w:rPr>
            </w:pPr>
            <w:r>
              <w:rPr>
                <w:rFonts w:ascii="宋体" w:hAnsi="宋体"/>
                <w:color w:val="000000"/>
                <w:szCs w:val="20"/>
              </w:rPr>
              <w:t>1</w:t>
            </w:r>
            <w:r>
              <w:rPr>
                <w:rFonts w:hint="eastAsia" w:ascii="宋体" w:hAnsi="宋体"/>
                <w:color w:val="000000"/>
                <w:szCs w:val="20"/>
              </w:rPr>
              <w:t>.</w:t>
            </w:r>
            <w:r>
              <w:rPr>
                <w:rFonts w:ascii="宋体" w:hAnsi="宋体"/>
                <w:color w:val="000000"/>
                <w:szCs w:val="20"/>
              </w:rPr>
              <w:t>风机、叶片腐蚀及受损检查。2.风机叶片角度的检查。    3.风机叶片固定螺栓的检查。4.风机动静平衡检查。5.风机叶片与排风洞的间隙检查。6.风机震动与噪声检查。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60" w:lineRule="atLeast"/>
              <w:rPr>
                <w:rFonts w:ascii="宋体" w:hAnsi="宋体"/>
                <w:color w:val="000000"/>
                <w:szCs w:val="20"/>
              </w:rPr>
            </w:pPr>
            <w:r>
              <w:rPr>
                <w:rFonts w:ascii="宋体" w:hAnsi="宋体"/>
                <w:color w:val="000000"/>
                <w:szCs w:val="20"/>
              </w:rPr>
              <w:t>4</w:t>
            </w:r>
          </w:p>
        </w:tc>
        <w:tc>
          <w:tcPr>
            <w:tcW w:w="2570" w:type="dxa"/>
            <w:vAlign w:val="center"/>
          </w:tcPr>
          <w:p>
            <w:pPr>
              <w:adjustRightInd w:val="0"/>
              <w:snapToGrid w:val="0"/>
              <w:spacing w:line="360" w:lineRule="atLeast"/>
              <w:rPr>
                <w:rFonts w:ascii="宋体" w:hAnsi="宋体"/>
                <w:color w:val="000000"/>
                <w:szCs w:val="20"/>
              </w:rPr>
            </w:pPr>
            <w:r>
              <w:rPr>
                <w:rFonts w:ascii="宋体" w:hAnsi="宋体"/>
                <w:color w:val="000000"/>
                <w:szCs w:val="20"/>
              </w:rPr>
              <w:t>布水装置清洗及维护</w:t>
            </w:r>
          </w:p>
        </w:tc>
        <w:tc>
          <w:tcPr>
            <w:tcW w:w="6456" w:type="dxa"/>
          </w:tcPr>
          <w:p>
            <w:pPr>
              <w:adjustRightInd w:val="0"/>
              <w:snapToGrid w:val="0"/>
              <w:spacing w:line="360" w:lineRule="atLeast"/>
              <w:rPr>
                <w:rFonts w:ascii="宋体" w:hAnsi="宋体"/>
                <w:color w:val="000000"/>
                <w:szCs w:val="20"/>
              </w:rPr>
            </w:pPr>
            <w:r>
              <w:rPr>
                <w:rFonts w:ascii="宋体" w:hAnsi="宋体"/>
                <w:color w:val="000000"/>
                <w:szCs w:val="20"/>
              </w:rPr>
              <w:t>1</w:t>
            </w:r>
            <w:r>
              <w:rPr>
                <w:rFonts w:hint="eastAsia" w:ascii="宋体" w:hAnsi="宋体"/>
                <w:color w:val="000000"/>
                <w:szCs w:val="20"/>
              </w:rPr>
              <w:t>.</w:t>
            </w:r>
            <w:r>
              <w:rPr>
                <w:rFonts w:ascii="宋体" w:hAnsi="宋体"/>
                <w:color w:val="000000"/>
                <w:szCs w:val="20"/>
              </w:rPr>
              <w:t>布水速度的检查。2.布水器的漏水检查。3.布水孔清洗。4.布水管出水与填料夹角角度检查。5.布水管与壳体周边间隙检查。6.布水管与填料布水高度的检查。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60" w:lineRule="atLeast"/>
              <w:rPr>
                <w:rFonts w:ascii="宋体" w:hAnsi="宋体"/>
                <w:color w:val="000000"/>
                <w:szCs w:val="20"/>
              </w:rPr>
            </w:pPr>
            <w:r>
              <w:rPr>
                <w:rFonts w:ascii="宋体" w:hAnsi="宋体"/>
                <w:color w:val="000000"/>
                <w:szCs w:val="20"/>
              </w:rPr>
              <w:t>5</w:t>
            </w:r>
          </w:p>
        </w:tc>
        <w:tc>
          <w:tcPr>
            <w:tcW w:w="2570" w:type="dxa"/>
            <w:vAlign w:val="center"/>
          </w:tcPr>
          <w:p>
            <w:pPr>
              <w:adjustRightInd w:val="0"/>
              <w:snapToGrid w:val="0"/>
              <w:spacing w:line="360" w:lineRule="atLeast"/>
              <w:rPr>
                <w:rFonts w:ascii="宋体" w:hAnsi="宋体"/>
                <w:color w:val="000000"/>
                <w:szCs w:val="20"/>
              </w:rPr>
            </w:pPr>
            <w:r>
              <w:rPr>
                <w:rFonts w:ascii="宋体" w:hAnsi="宋体"/>
                <w:color w:val="000000"/>
                <w:szCs w:val="20"/>
              </w:rPr>
              <w:t>填料清洗</w:t>
            </w:r>
          </w:p>
        </w:tc>
        <w:tc>
          <w:tcPr>
            <w:tcW w:w="6456" w:type="dxa"/>
          </w:tcPr>
          <w:p>
            <w:pPr>
              <w:adjustRightInd w:val="0"/>
              <w:snapToGrid w:val="0"/>
              <w:spacing w:line="360" w:lineRule="atLeast"/>
              <w:rPr>
                <w:rFonts w:ascii="宋体" w:hAnsi="宋体"/>
                <w:color w:val="000000"/>
                <w:szCs w:val="20"/>
              </w:rPr>
            </w:pPr>
            <w:r>
              <w:rPr>
                <w:rFonts w:ascii="宋体" w:hAnsi="宋体"/>
                <w:color w:val="000000"/>
                <w:szCs w:val="20"/>
              </w:rPr>
              <w:t>1</w:t>
            </w:r>
            <w:r>
              <w:rPr>
                <w:rFonts w:hint="eastAsia" w:ascii="宋体" w:hAnsi="宋体"/>
                <w:color w:val="000000"/>
                <w:szCs w:val="20"/>
              </w:rPr>
              <w:t>.</w:t>
            </w:r>
            <w:r>
              <w:rPr>
                <w:rFonts w:ascii="宋体" w:hAnsi="宋体"/>
                <w:color w:val="000000"/>
                <w:szCs w:val="20"/>
              </w:rPr>
              <w:t>填料的破损检查、更换、添加。2.填料油污、泥垢、菌藻检查清洗。3.其它杂物及漂浮物的检查清洗。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60" w:lineRule="atLeast"/>
              <w:rPr>
                <w:rFonts w:ascii="宋体" w:hAnsi="宋体"/>
                <w:color w:val="000000"/>
                <w:szCs w:val="20"/>
              </w:rPr>
            </w:pPr>
            <w:r>
              <w:rPr>
                <w:rFonts w:ascii="宋体" w:hAnsi="宋体"/>
                <w:color w:val="000000"/>
                <w:szCs w:val="20"/>
              </w:rPr>
              <w:t>6</w:t>
            </w:r>
          </w:p>
        </w:tc>
        <w:tc>
          <w:tcPr>
            <w:tcW w:w="2570" w:type="dxa"/>
            <w:vAlign w:val="center"/>
          </w:tcPr>
          <w:p>
            <w:pPr>
              <w:adjustRightInd w:val="0"/>
              <w:snapToGrid w:val="0"/>
              <w:spacing w:line="360" w:lineRule="atLeast"/>
              <w:rPr>
                <w:rFonts w:ascii="宋体" w:hAnsi="宋体"/>
                <w:color w:val="000000"/>
                <w:szCs w:val="20"/>
              </w:rPr>
            </w:pPr>
            <w:r>
              <w:rPr>
                <w:rFonts w:ascii="宋体" w:hAnsi="宋体"/>
                <w:color w:val="000000"/>
                <w:szCs w:val="20"/>
              </w:rPr>
              <w:t>减速器加油</w:t>
            </w:r>
          </w:p>
        </w:tc>
        <w:tc>
          <w:tcPr>
            <w:tcW w:w="6456" w:type="dxa"/>
          </w:tcPr>
          <w:p>
            <w:pPr>
              <w:adjustRightInd w:val="0"/>
              <w:snapToGrid w:val="0"/>
              <w:spacing w:line="360" w:lineRule="atLeast"/>
              <w:rPr>
                <w:rFonts w:ascii="宋体" w:hAnsi="宋体"/>
                <w:color w:val="000000"/>
                <w:szCs w:val="20"/>
              </w:rPr>
            </w:pPr>
            <w:r>
              <w:rPr>
                <w:rFonts w:ascii="宋体" w:hAnsi="宋体"/>
                <w:color w:val="000000"/>
                <w:szCs w:val="20"/>
              </w:rPr>
              <w:t>1</w:t>
            </w:r>
            <w:r>
              <w:rPr>
                <w:rFonts w:hint="eastAsia" w:ascii="宋体" w:hAnsi="宋体"/>
                <w:color w:val="000000"/>
                <w:szCs w:val="20"/>
              </w:rPr>
              <w:t>.</w:t>
            </w:r>
            <w:r>
              <w:rPr>
                <w:rFonts w:ascii="宋体" w:hAnsi="宋体"/>
                <w:color w:val="000000"/>
                <w:szCs w:val="20"/>
              </w:rPr>
              <w:t>按规定加油。2.检查油面高度及油质。3.杜绝漏油。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60" w:lineRule="atLeast"/>
              <w:rPr>
                <w:rFonts w:ascii="宋体" w:hAnsi="宋体"/>
                <w:color w:val="000000"/>
                <w:szCs w:val="20"/>
              </w:rPr>
            </w:pPr>
            <w:r>
              <w:rPr>
                <w:rFonts w:ascii="宋体" w:hAnsi="宋体"/>
                <w:color w:val="000000"/>
                <w:szCs w:val="20"/>
              </w:rPr>
              <w:t>7</w:t>
            </w:r>
          </w:p>
        </w:tc>
        <w:tc>
          <w:tcPr>
            <w:tcW w:w="2570" w:type="dxa"/>
            <w:vAlign w:val="center"/>
          </w:tcPr>
          <w:p>
            <w:pPr>
              <w:adjustRightInd w:val="0"/>
              <w:snapToGrid w:val="0"/>
              <w:spacing w:line="360" w:lineRule="atLeast"/>
              <w:rPr>
                <w:rFonts w:ascii="宋体" w:hAnsi="宋体"/>
                <w:color w:val="000000"/>
                <w:szCs w:val="20"/>
              </w:rPr>
            </w:pPr>
            <w:r>
              <w:rPr>
                <w:rFonts w:ascii="宋体" w:hAnsi="宋体"/>
                <w:color w:val="000000"/>
                <w:szCs w:val="20"/>
              </w:rPr>
              <w:t>水盘清洗</w:t>
            </w:r>
          </w:p>
        </w:tc>
        <w:tc>
          <w:tcPr>
            <w:tcW w:w="6456" w:type="dxa"/>
          </w:tcPr>
          <w:p>
            <w:pPr>
              <w:adjustRightInd w:val="0"/>
              <w:snapToGrid w:val="0"/>
              <w:spacing w:line="360" w:lineRule="atLeast"/>
              <w:rPr>
                <w:rFonts w:ascii="宋体" w:hAnsi="宋体"/>
                <w:color w:val="000000"/>
                <w:szCs w:val="20"/>
              </w:rPr>
            </w:pPr>
            <w:r>
              <w:rPr>
                <w:rFonts w:ascii="宋体" w:hAnsi="宋体"/>
                <w:color w:val="000000"/>
                <w:szCs w:val="20"/>
              </w:rPr>
              <w:t>1</w:t>
            </w:r>
            <w:r>
              <w:rPr>
                <w:rFonts w:hint="eastAsia" w:ascii="宋体" w:hAnsi="宋体"/>
                <w:color w:val="000000"/>
                <w:szCs w:val="20"/>
              </w:rPr>
              <w:t>.</w:t>
            </w:r>
            <w:r>
              <w:rPr>
                <w:rFonts w:ascii="宋体" w:hAnsi="宋体"/>
                <w:color w:val="000000"/>
                <w:szCs w:val="20"/>
              </w:rPr>
              <w:t>油污清洗。2.泥垢、菌藻清洗。3.排放污水。4.清扫水盘。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60" w:lineRule="atLeast"/>
              <w:rPr>
                <w:rFonts w:ascii="宋体" w:hAnsi="宋体"/>
                <w:color w:val="000000"/>
                <w:szCs w:val="20"/>
              </w:rPr>
            </w:pPr>
            <w:r>
              <w:rPr>
                <w:rFonts w:ascii="宋体" w:hAnsi="宋体"/>
                <w:color w:val="000000"/>
                <w:szCs w:val="20"/>
              </w:rPr>
              <w:t>8</w:t>
            </w:r>
          </w:p>
        </w:tc>
        <w:tc>
          <w:tcPr>
            <w:tcW w:w="2570" w:type="dxa"/>
            <w:vAlign w:val="center"/>
          </w:tcPr>
          <w:p>
            <w:pPr>
              <w:adjustRightInd w:val="0"/>
              <w:snapToGrid w:val="0"/>
              <w:spacing w:line="360" w:lineRule="atLeast"/>
              <w:rPr>
                <w:rFonts w:ascii="宋体" w:hAnsi="宋体"/>
                <w:color w:val="000000"/>
                <w:szCs w:val="20"/>
              </w:rPr>
            </w:pPr>
            <w:r>
              <w:rPr>
                <w:rFonts w:ascii="宋体" w:hAnsi="宋体"/>
                <w:color w:val="000000"/>
                <w:szCs w:val="20"/>
              </w:rPr>
              <w:t>减速器换油</w:t>
            </w:r>
          </w:p>
        </w:tc>
        <w:tc>
          <w:tcPr>
            <w:tcW w:w="6456" w:type="dxa"/>
          </w:tcPr>
          <w:p>
            <w:pPr>
              <w:adjustRightInd w:val="0"/>
              <w:snapToGrid w:val="0"/>
              <w:spacing w:line="360" w:lineRule="atLeast"/>
              <w:rPr>
                <w:rFonts w:ascii="宋体" w:hAnsi="宋体"/>
                <w:color w:val="000000"/>
                <w:szCs w:val="20"/>
              </w:rPr>
            </w:pPr>
            <w:r>
              <w:rPr>
                <w:rFonts w:ascii="宋体" w:hAnsi="宋体"/>
                <w:color w:val="000000"/>
                <w:szCs w:val="20"/>
              </w:rPr>
              <w:t>按周期和规定要求强制性更换润滑油。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60" w:lineRule="atLeast"/>
              <w:rPr>
                <w:rFonts w:ascii="宋体" w:hAnsi="宋体"/>
                <w:color w:val="000000"/>
                <w:szCs w:val="20"/>
              </w:rPr>
            </w:pPr>
            <w:r>
              <w:rPr>
                <w:rFonts w:ascii="宋体" w:hAnsi="宋体"/>
                <w:color w:val="000000"/>
                <w:szCs w:val="20"/>
              </w:rPr>
              <w:t>9</w:t>
            </w:r>
          </w:p>
        </w:tc>
        <w:tc>
          <w:tcPr>
            <w:tcW w:w="2570" w:type="dxa"/>
            <w:vAlign w:val="center"/>
          </w:tcPr>
          <w:p>
            <w:pPr>
              <w:adjustRightInd w:val="0"/>
              <w:snapToGrid w:val="0"/>
              <w:spacing w:line="360" w:lineRule="atLeast"/>
              <w:rPr>
                <w:rFonts w:ascii="宋体" w:hAnsi="宋体"/>
                <w:color w:val="000000"/>
                <w:szCs w:val="20"/>
              </w:rPr>
            </w:pPr>
            <w:r>
              <w:rPr>
                <w:rFonts w:ascii="宋体" w:hAnsi="宋体"/>
                <w:color w:val="000000"/>
                <w:szCs w:val="20"/>
              </w:rPr>
              <w:t>风机轴承换油</w:t>
            </w:r>
          </w:p>
        </w:tc>
        <w:tc>
          <w:tcPr>
            <w:tcW w:w="6456" w:type="dxa"/>
          </w:tcPr>
          <w:p>
            <w:pPr>
              <w:adjustRightInd w:val="0"/>
              <w:snapToGrid w:val="0"/>
              <w:spacing w:line="360" w:lineRule="atLeast"/>
              <w:rPr>
                <w:rFonts w:ascii="宋体" w:hAnsi="宋体"/>
                <w:color w:val="000000"/>
                <w:szCs w:val="20"/>
              </w:rPr>
            </w:pPr>
            <w:r>
              <w:rPr>
                <w:rFonts w:ascii="宋体" w:hAnsi="宋体"/>
                <w:color w:val="000000"/>
                <w:szCs w:val="20"/>
              </w:rPr>
              <w:t>按周期和规定要求强制性更换润滑脂。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60" w:lineRule="atLeast"/>
              <w:rPr>
                <w:rFonts w:ascii="宋体" w:hAnsi="宋体"/>
                <w:color w:val="000000"/>
                <w:szCs w:val="20"/>
              </w:rPr>
            </w:pPr>
            <w:r>
              <w:rPr>
                <w:rFonts w:ascii="宋体" w:hAnsi="宋体"/>
                <w:color w:val="000000"/>
                <w:szCs w:val="20"/>
              </w:rPr>
              <w:t>10</w:t>
            </w:r>
          </w:p>
        </w:tc>
        <w:tc>
          <w:tcPr>
            <w:tcW w:w="2570" w:type="dxa"/>
            <w:vAlign w:val="center"/>
          </w:tcPr>
          <w:p>
            <w:pPr>
              <w:adjustRightInd w:val="0"/>
              <w:snapToGrid w:val="0"/>
              <w:spacing w:line="360" w:lineRule="atLeast"/>
              <w:rPr>
                <w:rFonts w:ascii="宋体" w:hAnsi="宋体"/>
                <w:color w:val="000000"/>
                <w:szCs w:val="20"/>
              </w:rPr>
            </w:pPr>
            <w:r>
              <w:rPr>
                <w:rFonts w:ascii="宋体" w:hAnsi="宋体"/>
                <w:color w:val="000000"/>
                <w:szCs w:val="20"/>
              </w:rPr>
              <w:t>电机绝缘检测及机械维护</w:t>
            </w:r>
          </w:p>
        </w:tc>
        <w:tc>
          <w:tcPr>
            <w:tcW w:w="6456" w:type="dxa"/>
          </w:tcPr>
          <w:p>
            <w:pPr>
              <w:adjustRightInd w:val="0"/>
              <w:snapToGrid w:val="0"/>
              <w:spacing w:line="360" w:lineRule="atLeast"/>
              <w:rPr>
                <w:rFonts w:ascii="宋体" w:hAnsi="宋体"/>
                <w:color w:val="000000"/>
                <w:szCs w:val="20"/>
              </w:rPr>
            </w:pPr>
            <w:r>
              <w:rPr>
                <w:rFonts w:ascii="宋体" w:hAnsi="宋体"/>
                <w:color w:val="000000"/>
                <w:szCs w:val="20"/>
              </w:rPr>
              <w:t>1</w:t>
            </w:r>
            <w:r>
              <w:rPr>
                <w:rFonts w:hint="eastAsia" w:ascii="宋体" w:hAnsi="宋体"/>
                <w:color w:val="000000"/>
                <w:szCs w:val="20"/>
              </w:rPr>
              <w:t>.</w:t>
            </w:r>
            <w:r>
              <w:rPr>
                <w:rFonts w:ascii="宋体" w:hAnsi="宋体"/>
                <w:color w:val="000000"/>
                <w:szCs w:val="20"/>
              </w:rPr>
              <w:t>电器、电机的常规检测及维护。2.机械设备的常规检车及维护。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60" w:lineRule="atLeast"/>
              <w:rPr>
                <w:rFonts w:ascii="宋体" w:hAnsi="宋体"/>
                <w:color w:val="000000"/>
                <w:szCs w:val="20"/>
              </w:rPr>
            </w:pPr>
            <w:r>
              <w:rPr>
                <w:rFonts w:ascii="宋体" w:hAnsi="宋体"/>
                <w:color w:val="000000"/>
                <w:szCs w:val="20"/>
              </w:rPr>
              <w:t>11</w:t>
            </w:r>
          </w:p>
        </w:tc>
        <w:tc>
          <w:tcPr>
            <w:tcW w:w="2570" w:type="dxa"/>
            <w:vAlign w:val="center"/>
          </w:tcPr>
          <w:p>
            <w:pPr>
              <w:adjustRightInd w:val="0"/>
              <w:snapToGrid w:val="0"/>
              <w:spacing w:line="360" w:lineRule="atLeast"/>
              <w:rPr>
                <w:rFonts w:ascii="宋体" w:hAnsi="宋体"/>
                <w:color w:val="000000"/>
                <w:szCs w:val="20"/>
              </w:rPr>
            </w:pPr>
            <w:r>
              <w:rPr>
                <w:rFonts w:ascii="宋体" w:hAnsi="宋体"/>
                <w:color w:val="000000"/>
                <w:szCs w:val="20"/>
              </w:rPr>
              <w:t>构件刷漆</w:t>
            </w:r>
          </w:p>
        </w:tc>
        <w:tc>
          <w:tcPr>
            <w:tcW w:w="6456" w:type="dxa"/>
          </w:tcPr>
          <w:p>
            <w:pPr>
              <w:adjustRightInd w:val="0"/>
              <w:snapToGrid w:val="0"/>
              <w:spacing w:line="360" w:lineRule="atLeast"/>
              <w:rPr>
                <w:rFonts w:ascii="宋体" w:hAnsi="宋体"/>
                <w:color w:val="000000"/>
                <w:szCs w:val="20"/>
              </w:rPr>
            </w:pPr>
            <w:r>
              <w:rPr>
                <w:rFonts w:ascii="宋体" w:hAnsi="宋体"/>
                <w:color w:val="000000"/>
                <w:szCs w:val="20"/>
              </w:rPr>
              <w:t>钢构件、螺栓、支撑件、爬梯除锈更换和油漆。</w:t>
            </w:r>
          </w:p>
        </w:tc>
      </w:tr>
    </w:tbl>
    <w:p>
      <w:pPr>
        <w:adjustRightInd w:val="0"/>
        <w:snapToGrid w:val="0"/>
        <w:spacing w:afterLines="20" w:line="360" w:lineRule="atLeast"/>
        <w:rPr>
          <w:rFonts w:ascii="黑体" w:hAnsi="宋体" w:eastAsia="黑体"/>
          <w:color w:val="000000"/>
          <w:sz w:val="24"/>
          <w:szCs w:val="20"/>
        </w:rPr>
      </w:pPr>
      <w:r>
        <w:rPr>
          <w:rFonts w:ascii="黑体" w:hAnsi="宋体" w:eastAsia="黑体"/>
          <w:color w:val="000000"/>
          <w:sz w:val="24"/>
          <w:szCs w:val="20"/>
        </w:rPr>
        <w:t>机房水管系统</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2765"/>
        <w:gridCol w:w="6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Pr>
          <w:p>
            <w:pPr>
              <w:adjustRightInd w:val="0"/>
              <w:snapToGrid w:val="0"/>
              <w:spacing w:line="360" w:lineRule="atLeast"/>
              <w:rPr>
                <w:rFonts w:ascii="宋体" w:hAnsi="宋体"/>
                <w:color w:val="000000"/>
                <w:szCs w:val="20"/>
              </w:rPr>
            </w:pPr>
            <w:r>
              <w:rPr>
                <w:rFonts w:ascii="宋体" w:hAnsi="宋体"/>
                <w:color w:val="000000"/>
                <w:szCs w:val="20"/>
              </w:rPr>
              <w:t>NO.</w:t>
            </w:r>
          </w:p>
        </w:tc>
        <w:tc>
          <w:tcPr>
            <w:tcW w:w="2765" w:type="dxa"/>
          </w:tcPr>
          <w:p>
            <w:pPr>
              <w:adjustRightInd w:val="0"/>
              <w:snapToGrid w:val="0"/>
              <w:spacing w:line="360" w:lineRule="atLeast"/>
              <w:rPr>
                <w:rFonts w:ascii="宋体" w:hAnsi="宋体"/>
                <w:color w:val="000000"/>
                <w:szCs w:val="20"/>
              </w:rPr>
            </w:pPr>
            <w:r>
              <w:rPr>
                <w:rFonts w:ascii="宋体" w:hAnsi="宋体"/>
                <w:color w:val="000000"/>
                <w:szCs w:val="20"/>
              </w:rPr>
              <w:t>服务项目</w:t>
            </w:r>
          </w:p>
        </w:tc>
        <w:tc>
          <w:tcPr>
            <w:tcW w:w="6270" w:type="dxa"/>
          </w:tcPr>
          <w:p>
            <w:pPr>
              <w:adjustRightInd w:val="0"/>
              <w:snapToGrid w:val="0"/>
              <w:spacing w:line="360" w:lineRule="atLeast"/>
              <w:rPr>
                <w:rFonts w:ascii="宋体" w:hAnsi="宋体"/>
                <w:color w:val="000000"/>
                <w:szCs w:val="20"/>
              </w:rPr>
            </w:pPr>
            <w:r>
              <w:rPr>
                <w:rFonts w:ascii="宋体" w:hAnsi="宋体"/>
                <w:color w:val="000000"/>
                <w:szCs w:val="20"/>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60" w:lineRule="atLeast"/>
              <w:rPr>
                <w:rFonts w:ascii="宋体" w:hAnsi="宋体"/>
                <w:color w:val="000000"/>
                <w:szCs w:val="20"/>
              </w:rPr>
            </w:pPr>
            <w:r>
              <w:rPr>
                <w:rFonts w:ascii="宋体" w:hAnsi="宋体"/>
                <w:color w:val="000000"/>
                <w:szCs w:val="20"/>
              </w:rPr>
              <w:t>1</w:t>
            </w:r>
          </w:p>
        </w:tc>
        <w:tc>
          <w:tcPr>
            <w:tcW w:w="2765" w:type="dxa"/>
            <w:vAlign w:val="center"/>
          </w:tcPr>
          <w:p>
            <w:pPr>
              <w:adjustRightInd w:val="0"/>
              <w:snapToGrid w:val="0"/>
              <w:spacing w:line="360" w:lineRule="atLeast"/>
              <w:rPr>
                <w:rFonts w:ascii="宋体" w:hAnsi="宋体"/>
                <w:color w:val="000000"/>
                <w:szCs w:val="20"/>
              </w:rPr>
            </w:pPr>
            <w:r>
              <w:rPr>
                <w:rFonts w:ascii="宋体" w:hAnsi="宋体"/>
                <w:color w:val="000000"/>
                <w:szCs w:val="20"/>
              </w:rPr>
              <w:t>管道保温</w:t>
            </w:r>
          </w:p>
        </w:tc>
        <w:tc>
          <w:tcPr>
            <w:tcW w:w="6270" w:type="dxa"/>
          </w:tcPr>
          <w:p>
            <w:pPr>
              <w:adjustRightInd w:val="0"/>
              <w:snapToGrid w:val="0"/>
              <w:spacing w:line="360" w:lineRule="atLeast"/>
              <w:rPr>
                <w:rFonts w:ascii="宋体" w:hAnsi="宋体"/>
                <w:color w:val="000000"/>
                <w:szCs w:val="20"/>
              </w:rPr>
            </w:pPr>
            <w:r>
              <w:rPr>
                <w:rFonts w:ascii="宋体" w:hAnsi="宋体"/>
                <w:color w:val="000000"/>
                <w:szCs w:val="20"/>
              </w:rPr>
              <w:t>1.检查保温层脱落、破损、翻翘情况。2.保温层连接处泄漏情况。3.保温层的衰老、变质情况的检查。4.维修后复原。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60" w:lineRule="atLeast"/>
              <w:rPr>
                <w:rFonts w:ascii="宋体" w:hAnsi="宋体"/>
                <w:color w:val="000000"/>
                <w:szCs w:val="20"/>
              </w:rPr>
            </w:pPr>
            <w:r>
              <w:rPr>
                <w:rFonts w:ascii="宋体" w:hAnsi="宋体"/>
                <w:color w:val="000000"/>
                <w:szCs w:val="20"/>
              </w:rPr>
              <w:t>2</w:t>
            </w:r>
          </w:p>
        </w:tc>
        <w:tc>
          <w:tcPr>
            <w:tcW w:w="2765" w:type="dxa"/>
            <w:vAlign w:val="center"/>
          </w:tcPr>
          <w:p>
            <w:pPr>
              <w:adjustRightInd w:val="0"/>
              <w:snapToGrid w:val="0"/>
              <w:spacing w:line="360" w:lineRule="atLeast"/>
              <w:rPr>
                <w:rFonts w:ascii="宋体" w:hAnsi="宋体"/>
                <w:color w:val="000000"/>
                <w:szCs w:val="20"/>
              </w:rPr>
            </w:pPr>
            <w:r>
              <w:rPr>
                <w:rFonts w:ascii="宋体" w:hAnsi="宋体"/>
                <w:color w:val="000000"/>
                <w:szCs w:val="20"/>
              </w:rPr>
              <w:t>自动排气阀</w:t>
            </w:r>
          </w:p>
        </w:tc>
        <w:tc>
          <w:tcPr>
            <w:tcW w:w="6270" w:type="dxa"/>
          </w:tcPr>
          <w:p>
            <w:pPr>
              <w:adjustRightInd w:val="0"/>
              <w:snapToGrid w:val="0"/>
              <w:spacing w:line="360" w:lineRule="atLeast"/>
              <w:rPr>
                <w:rFonts w:ascii="宋体" w:hAnsi="宋体"/>
                <w:color w:val="000000"/>
                <w:szCs w:val="20"/>
              </w:rPr>
            </w:pPr>
            <w:r>
              <w:rPr>
                <w:rFonts w:ascii="宋体" w:hAnsi="宋体"/>
                <w:color w:val="000000"/>
                <w:szCs w:val="20"/>
              </w:rPr>
              <w:t>1.检查工作情况。2.排气阀的清洗及除垢。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60" w:lineRule="atLeast"/>
              <w:rPr>
                <w:rFonts w:ascii="宋体" w:hAnsi="宋体"/>
                <w:color w:val="000000"/>
                <w:szCs w:val="20"/>
              </w:rPr>
            </w:pPr>
            <w:r>
              <w:rPr>
                <w:rFonts w:ascii="宋体" w:hAnsi="宋体"/>
                <w:color w:val="000000"/>
                <w:szCs w:val="20"/>
              </w:rPr>
              <w:t>3</w:t>
            </w:r>
          </w:p>
        </w:tc>
        <w:tc>
          <w:tcPr>
            <w:tcW w:w="2765" w:type="dxa"/>
            <w:vAlign w:val="center"/>
          </w:tcPr>
          <w:p>
            <w:pPr>
              <w:adjustRightInd w:val="0"/>
              <w:snapToGrid w:val="0"/>
              <w:spacing w:line="360" w:lineRule="atLeast"/>
              <w:rPr>
                <w:rFonts w:ascii="宋体" w:hAnsi="宋体"/>
                <w:color w:val="000000"/>
                <w:szCs w:val="20"/>
              </w:rPr>
            </w:pPr>
            <w:r>
              <w:rPr>
                <w:rFonts w:ascii="宋体" w:hAnsi="宋体"/>
                <w:color w:val="000000"/>
                <w:szCs w:val="20"/>
              </w:rPr>
              <w:t>管道除锈刷漆</w:t>
            </w:r>
          </w:p>
        </w:tc>
        <w:tc>
          <w:tcPr>
            <w:tcW w:w="6270" w:type="dxa"/>
          </w:tcPr>
          <w:p>
            <w:pPr>
              <w:adjustRightInd w:val="0"/>
              <w:snapToGrid w:val="0"/>
              <w:spacing w:line="360" w:lineRule="atLeast"/>
              <w:rPr>
                <w:rFonts w:ascii="宋体" w:hAnsi="宋体"/>
                <w:color w:val="000000"/>
                <w:szCs w:val="20"/>
              </w:rPr>
            </w:pPr>
            <w:r>
              <w:rPr>
                <w:rFonts w:ascii="宋体" w:hAnsi="宋体"/>
                <w:color w:val="000000"/>
                <w:szCs w:val="20"/>
              </w:rPr>
              <w:t>按规定要求除锈刷漆。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60" w:lineRule="atLeast"/>
              <w:rPr>
                <w:rFonts w:ascii="宋体" w:hAnsi="宋体"/>
                <w:color w:val="000000"/>
                <w:szCs w:val="20"/>
              </w:rPr>
            </w:pPr>
            <w:r>
              <w:rPr>
                <w:rFonts w:ascii="宋体" w:hAnsi="宋体"/>
                <w:color w:val="000000"/>
                <w:szCs w:val="20"/>
              </w:rPr>
              <w:t>4</w:t>
            </w:r>
          </w:p>
        </w:tc>
        <w:tc>
          <w:tcPr>
            <w:tcW w:w="2765" w:type="dxa"/>
            <w:vAlign w:val="center"/>
          </w:tcPr>
          <w:p>
            <w:pPr>
              <w:adjustRightInd w:val="0"/>
              <w:snapToGrid w:val="0"/>
              <w:spacing w:line="360" w:lineRule="atLeast"/>
              <w:rPr>
                <w:rFonts w:ascii="宋体" w:hAnsi="宋体"/>
                <w:color w:val="000000"/>
                <w:szCs w:val="20"/>
              </w:rPr>
            </w:pPr>
            <w:r>
              <w:rPr>
                <w:rFonts w:ascii="宋体" w:hAnsi="宋体"/>
                <w:color w:val="000000"/>
                <w:szCs w:val="20"/>
              </w:rPr>
              <w:t>凝水检查</w:t>
            </w:r>
          </w:p>
        </w:tc>
        <w:tc>
          <w:tcPr>
            <w:tcW w:w="6270" w:type="dxa"/>
          </w:tcPr>
          <w:p>
            <w:pPr>
              <w:adjustRightInd w:val="0"/>
              <w:snapToGrid w:val="0"/>
              <w:spacing w:line="360" w:lineRule="atLeast"/>
              <w:rPr>
                <w:rFonts w:ascii="宋体" w:hAnsi="宋体"/>
                <w:color w:val="000000"/>
                <w:szCs w:val="20"/>
              </w:rPr>
            </w:pPr>
            <w:r>
              <w:rPr>
                <w:rFonts w:ascii="宋体" w:hAnsi="宋体"/>
                <w:color w:val="000000"/>
                <w:szCs w:val="20"/>
              </w:rPr>
              <w:t>1</w:t>
            </w:r>
            <w:r>
              <w:rPr>
                <w:rFonts w:hint="eastAsia" w:ascii="宋体" w:hAnsi="宋体"/>
                <w:color w:val="000000"/>
                <w:szCs w:val="20"/>
              </w:rPr>
              <w:t>.</w:t>
            </w:r>
            <w:r>
              <w:rPr>
                <w:rFonts w:ascii="宋体" w:hAnsi="宋体"/>
                <w:color w:val="000000"/>
                <w:szCs w:val="20"/>
              </w:rPr>
              <w:t>检查凝水管及支管安装质量及排水通畅。2.凝水管微生物及结构检查。3.卫生情况检查。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60" w:lineRule="atLeast"/>
              <w:rPr>
                <w:rFonts w:ascii="宋体" w:hAnsi="宋体"/>
                <w:color w:val="000000"/>
                <w:szCs w:val="20"/>
              </w:rPr>
            </w:pPr>
            <w:r>
              <w:rPr>
                <w:rFonts w:ascii="宋体" w:hAnsi="宋体"/>
                <w:color w:val="000000"/>
                <w:szCs w:val="20"/>
              </w:rPr>
              <w:t>5</w:t>
            </w:r>
          </w:p>
        </w:tc>
        <w:tc>
          <w:tcPr>
            <w:tcW w:w="2765" w:type="dxa"/>
            <w:vAlign w:val="center"/>
          </w:tcPr>
          <w:p>
            <w:pPr>
              <w:adjustRightInd w:val="0"/>
              <w:snapToGrid w:val="0"/>
              <w:spacing w:line="360" w:lineRule="atLeast"/>
              <w:rPr>
                <w:rFonts w:ascii="宋体" w:hAnsi="宋体"/>
                <w:color w:val="000000"/>
                <w:szCs w:val="20"/>
              </w:rPr>
            </w:pPr>
            <w:r>
              <w:rPr>
                <w:rFonts w:ascii="宋体" w:hAnsi="宋体"/>
                <w:color w:val="000000"/>
                <w:szCs w:val="20"/>
              </w:rPr>
              <w:t>阀门除锈刷漆</w:t>
            </w:r>
          </w:p>
        </w:tc>
        <w:tc>
          <w:tcPr>
            <w:tcW w:w="6270" w:type="dxa"/>
          </w:tcPr>
          <w:p>
            <w:pPr>
              <w:adjustRightInd w:val="0"/>
              <w:snapToGrid w:val="0"/>
              <w:spacing w:line="360" w:lineRule="atLeast"/>
              <w:rPr>
                <w:rFonts w:ascii="宋体" w:hAnsi="宋体"/>
                <w:color w:val="000000"/>
                <w:szCs w:val="20"/>
              </w:rPr>
            </w:pPr>
            <w:r>
              <w:rPr>
                <w:rFonts w:ascii="宋体" w:hAnsi="宋体"/>
                <w:color w:val="000000"/>
                <w:szCs w:val="20"/>
              </w:rPr>
              <w:t>1</w:t>
            </w:r>
            <w:r>
              <w:rPr>
                <w:rFonts w:hint="eastAsia" w:ascii="宋体" w:hAnsi="宋体"/>
                <w:color w:val="000000"/>
                <w:szCs w:val="20"/>
              </w:rPr>
              <w:t>.</w:t>
            </w:r>
            <w:r>
              <w:rPr>
                <w:rFonts w:ascii="宋体" w:hAnsi="宋体"/>
                <w:color w:val="000000"/>
                <w:szCs w:val="20"/>
              </w:rPr>
              <w:t>按规定要求除锈刷漆。2.检查开启度。3.检查完好情况。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60" w:lineRule="atLeast"/>
              <w:rPr>
                <w:rFonts w:ascii="宋体" w:hAnsi="宋体"/>
                <w:color w:val="000000"/>
                <w:szCs w:val="20"/>
              </w:rPr>
            </w:pPr>
            <w:r>
              <w:rPr>
                <w:rFonts w:ascii="宋体" w:hAnsi="宋体"/>
                <w:color w:val="000000"/>
                <w:szCs w:val="20"/>
              </w:rPr>
              <w:t>6</w:t>
            </w:r>
          </w:p>
        </w:tc>
        <w:tc>
          <w:tcPr>
            <w:tcW w:w="2765" w:type="dxa"/>
            <w:vAlign w:val="center"/>
          </w:tcPr>
          <w:p>
            <w:pPr>
              <w:adjustRightInd w:val="0"/>
              <w:snapToGrid w:val="0"/>
              <w:spacing w:line="360" w:lineRule="atLeast"/>
              <w:rPr>
                <w:rFonts w:ascii="宋体" w:hAnsi="宋体"/>
                <w:color w:val="000000"/>
                <w:szCs w:val="20"/>
              </w:rPr>
            </w:pPr>
            <w:r>
              <w:rPr>
                <w:rFonts w:ascii="宋体" w:hAnsi="宋体"/>
                <w:color w:val="000000"/>
                <w:szCs w:val="20"/>
              </w:rPr>
              <w:t>阀杆涂油（室内）</w:t>
            </w:r>
          </w:p>
        </w:tc>
        <w:tc>
          <w:tcPr>
            <w:tcW w:w="6270" w:type="dxa"/>
          </w:tcPr>
          <w:p>
            <w:pPr>
              <w:adjustRightInd w:val="0"/>
              <w:snapToGrid w:val="0"/>
              <w:spacing w:line="360" w:lineRule="atLeast"/>
              <w:rPr>
                <w:rFonts w:ascii="宋体" w:hAnsi="宋体"/>
                <w:color w:val="000000"/>
                <w:szCs w:val="20"/>
              </w:rPr>
            </w:pPr>
            <w:r>
              <w:rPr>
                <w:rFonts w:ascii="宋体" w:hAnsi="宋体"/>
                <w:color w:val="000000"/>
                <w:szCs w:val="20"/>
              </w:rPr>
              <w:t>按规定要求涂油，并检测启闭灵活性。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60" w:lineRule="atLeast"/>
              <w:rPr>
                <w:rFonts w:ascii="宋体" w:hAnsi="宋体"/>
                <w:color w:val="000000"/>
                <w:szCs w:val="20"/>
              </w:rPr>
            </w:pPr>
            <w:r>
              <w:rPr>
                <w:rFonts w:ascii="宋体" w:hAnsi="宋体"/>
                <w:color w:val="000000"/>
                <w:szCs w:val="20"/>
              </w:rPr>
              <w:t>7</w:t>
            </w:r>
          </w:p>
        </w:tc>
        <w:tc>
          <w:tcPr>
            <w:tcW w:w="2765" w:type="dxa"/>
            <w:vAlign w:val="center"/>
          </w:tcPr>
          <w:p>
            <w:pPr>
              <w:adjustRightInd w:val="0"/>
              <w:snapToGrid w:val="0"/>
              <w:spacing w:line="360" w:lineRule="atLeast"/>
              <w:rPr>
                <w:rFonts w:ascii="宋体" w:hAnsi="宋体"/>
                <w:color w:val="000000"/>
                <w:szCs w:val="20"/>
              </w:rPr>
            </w:pPr>
            <w:r>
              <w:rPr>
                <w:rFonts w:ascii="宋体" w:hAnsi="宋体"/>
                <w:color w:val="000000"/>
                <w:szCs w:val="20"/>
              </w:rPr>
              <w:t>阀杆涂油（室外）</w:t>
            </w:r>
          </w:p>
        </w:tc>
        <w:tc>
          <w:tcPr>
            <w:tcW w:w="6270" w:type="dxa"/>
          </w:tcPr>
          <w:p>
            <w:pPr>
              <w:adjustRightInd w:val="0"/>
              <w:snapToGrid w:val="0"/>
              <w:spacing w:line="360" w:lineRule="atLeast"/>
              <w:rPr>
                <w:rFonts w:ascii="宋体" w:hAnsi="宋体"/>
                <w:color w:val="000000"/>
                <w:szCs w:val="20"/>
              </w:rPr>
            </w:pPr>
            <w:r>
              <w:rPr>
                <w:rFonts w:ascii="宋体" w:hAnsi="宋体"/>
                <w:color w:val="000000"/>
                <w:szCs w:val="20"/>
              </w:rPr>
              <w:t>按规定要求涂油，并检测启闭灵活性。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60" w:lineRule="atLeast"/>
              <w:rPr>
                <w:rFonts w:ascii="宋体" w:hAnsi="宋体"/>
                <w:color w:val="000000"/>
                <w:szCs w:val="20"/>
              </w:rPr>
            </w:pPr>
            <w:r>
              <w:rPr>
                <w:rFonts w:ascii="宋体" w:hAnsi="宋体"/>
                <w:color w:val="000000"/>
                <w:szCs w:val="20"/>
              </w:rPr>
              <w:t>8</w:t>
            </w:r>
          </w:p>
        </w:tc>
        <w:tc>
          <w:tcPr>
            <w:tcW w:w="2765" w:type="dxa"/>
            <w:vAlign w:val="center"/>
          </w:tcPr>
          <w:p>
            <w:pPr>
              <w:adjustRightInd w:val="0"/>
              <w:snapToGrid w:val="0"/>
              <w:spacing w:line="360" w:lineRule="atLeast"/>
              <w:rPr>
                <w:rFonts w:ascii="宋体" w:hAnsi="宋体"/>
                <w:color w:val="000000"/>
                <w:szCs w:val="20"/>
              </w:rPr>
            </w:pPr>
            <w:r>
              <w:rPr>
                <w:rFonts w:ascii="宋体" w:hAnsi="宋体"/>
                <w:color w:val="000000"/>
                <w:szCs w:val="20"/>
              </w:rPr>
              <w:t>变速箱换油</w:t>
            </w:r>
          </w:p>
        </w:tc>
        <w:tc>
          <w:tcPr>
            <w:tcW w:w="6270" w:type="dxa"/>
          </w:tcPr>
          <w:p>
            <w:pPr>
              <w:adjustRightInd w:val="0"/>
              <w:snapToGrid w:val="0"/>
              <w:spacing w:line="360" w:lineRule="atLeast"/>
              <w:rPr>
                <w:rFonts w:ascii="宋体" w:hAnsi="宋体"/>
                <w:color w:val="000000"/>
                <w:szCs w:val="20"/>
              </w:rPr>
            </w:pPr>
            <w:r>
              <w:rPr>
                <w:rFonts w:ascii="宋体" w:hAnsi="宋体"/>
                <w:color w:val="000000"/>
                <w:szCs w:val="20"/>
              </w:rPr>
              <w:t>按规定要求更换润滑油并注意油质及油面高度。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60" w:lineRule="atLeast"/>
              <w:rPr>
                <w:rFonts w:ascii="宋体" w:hAnsi="宋体"/>
                <w:color w:val="000000"/>
                <w:szCs w:val="20"/>
              </w:rPr>
            </w:pPr>
            <w:r>
              <w:rPr>
                <w:rFonts w:ascii="宋体" w:hAnsi="宋体"/>
                <w:color w:val="000000"/>
                <w:szCs w:val="20"/>
              </w:rPr>
              <w:t>9</w:t>
            </w:r>
          </w:p>
        </w:tc>
        <w:tc>
          <w:tcPr>
            <w:tcW w:w="2765" w:type="dxa"/>
            <w:vAlign w:val="center"/>
          </w:tcPr>
          <w:p>
            <w:pPr>
              <w:adjustRightInd w:val="0"/>
              <w:snapToGrid w:val="0"/>
              <w:spacing w:line="360" w:lineRule="atLeast"/>
              <w:rPr>
                <w:rFonts w:ascii="宋体" w:hAnsi="宋体"/>
                <w:color w:val="000000"/>
                <w:szCs w:val="20"/>
              </w:rPr>
            </w:pPr>
            <w:r>
              <w:rPr>
                <w:rFonts w:ascii="宋体" w:hAnsi="宋体"/>
                <w:color w:val="000000"/>
                <w:szCs w:val="20"/>
              </w:rPr>
              <w:t>电动阀门保养</w:t>
            </w:r>
          </w:p>
        </w:tc>
        <w:tc>
          <w:tcPr>
            <w:tcW w:w="6270" w:type="dxa"/>
          </w:tcPr>
          <w:p>
            <w:pPr>
              <w:adjustRightInd w:val="0"/>
              <w:snapToGrid w:val="0"/>
              <w:spacing w:line="360" w:lineRule="atLeast"/>
              <w:rPr>
                <w:rFonts w:ascii="宋体" w:hAnsi="宋体"/>
                <w:color w:val="000000"/>
                <w:szCs w:val="20"/>
              </w:rPr>
            </w:pPr>
            <w:r>
              <w:rPr>
                <w:rFonts w:ascii="宋体" w:hAnsi="宋体"/>
                <w:color w:val="000000"/>
                <w:szCs w:val="20"/>
              </w:rPr>
              <w:t>1</w:t>
            </w:r>
            <w:r>
              <w:rPr>
                <w:rFonts w:hint="eastAsia" w:ascii="宋体" w:hAnsi="宋体"/>
                <w:color w:val="000000"/>
                <w:szCs w:val="20"/>
              </w:rPr>
              <w:t>.</w:t>
            </w:r>
            <w:r>
              <w:rPr>
                <w:rFonts w:ascii="宋体" w:hAnsi="宋体"/>
                <w:color w:val="000000"/>
                <w:szCs w:val="20"/>
              </w:rPr>
              <w:t>电机电器及控制系统的保养。2.阀门的机械常规保养。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60" w:lineRule="atLeast"/>
              <w:rPr>
                <w:rFonts w:ascii="宋体" w:hAnsi="宋体"/>
                <w:color w:val="000000"/>
                <w:szCs w:val="20"/>
              </w:rPr>
            </w:pPr>
            <w:r>
              <w:rPr>
                <w:rFonts w:ascii="宋体" w:hAnsi="宋体"/>
                <w:color w:val="000000"/>
                <w:szCs w:val="20"/>
              </w:rPr>
              <w:t>10</w:t>
            </w:r>
          </w:p>
        </w:tc>
        <w:tc>
          <w:tcPr>
            <w:tcW w:w="2765" w:type="dxa"/>
            <w:vAlign w:val="center"/>
          </w:tcPr>
          <w:p>
            <w:pPr>
              <w:adjustRightInd w:val="0"/>
              <w:snapToGrid w:val="0"/>
              <w:spacing w:line="360" w:lineRule="atLeast"/>
              <w:rPr>
                <w:rFonts w:ascii="宋体" w:hAnsi="宋体"/>
                <w:color w:val="000000"/>
                <w:szCs w:val="20"/>
              </w:rPr>
            </w:pPr>
            <w:r>
              <w:rPr>
                <w:rFonts w:ascii="宋体" w:hAnsi="宋体"/>
                <w:color w:val="000000"/>
                <w:szCs w:val="20"/>
              </w:rPr>
              <w:t>自动阀门检查</w:t>
            </w:r>
          </w:p>
        </w:tc>
        <w:tc>
          <w:tcPr>
            <w:tcW w:w="6270" w:type="dxa"/>
          </w:tcPr>
          <w:p>
            <w:pPr>
              <w:adjustRightInd w:val="0"/>
              <w:snapToGrid w:val="0"/>
              <w:spacing w:line="360" w:lineRule="atLeast"/>
              <w:rPr>
                <w:rFonts w:ascii="宋体" w:hAnsi="宋体"/>
                <w:color w:val="000000"/>
                <w:szCs w:val="20"/>
              </w:rPr>
            </w:pPr>
            <w:r>
              <w:rPr>
                <w:rFonts w:ascii="宋体" w:hAnsi="宋体"/>
                <w:color w:val="000000"/>
                <w:szCs w:val="20"/>
              </w:rPr>
              <w:t>检查阀门的灵活性和可靠性。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60" w:lineRule="atLeast"/>
              <w:rPr>
                <w:rFonts w:ascii="宋体" w:hAnsi="宋体"/>
                <w:color w:val="000000"/>
                <w:szCs w:val="20"/>
              </w:rPr>
            </w:pPr>
            <w:r>
              <w:rPr>
                <w:rFonts w:ascii="宋体" w:hAnsi="宋体"/>
                <w:color w:val="000000"/>
                <w:szCs w:val="20"/>
              </w:rPr>
              <w:t>11</w:t>
            </w:r>
          </w:p>
        </w:tc>
        <w:tc>
          <w:tcPr>
            <w:tcW w:w="2765" w:type="dxa"/>
            <w:vAlign w:val="center"/>
          </w:tcPr>
          <w:p>
            <w:pPr>
              <w:adjustRightInd w:val="0"/>
              <w:snapToGrid w:val="0"/>
              <w:spacing w:line="360" w:lineRule="atLeast"/>
              <w:rPr>
                <w:rFonts w:ascii="宋体" w:hAnsi="宋体"/>
                <w:color w:val="000000"/>
                <w:szCs w:val="20"/>
              </w:rPr>
            </w:pPr>
            <w:r>
              <w:rPr>
                <w:rFonts w:ascii="宋体" w:hAnsi="宋体"/>
                <w:color w:val="000000"/>
                <w:szCs w:val="20"/>
              </w:rPr>
              <w:t>冷冻水过滤器清洗</w:t>
            </w:r>
          </w:p>
        </w:tc>
        <w:tc>
          <w:tcPr>
            <w:tcW w:w="6270" w:type="dxa"/>
          </w:tcPr>
          <w:p>
            <w:pPr>
              <w:adjustRightInd w:val="0"/>
              <w:snapToGrid w:val="0"/>
              <w:spacing w:line="360" w:lineRule="atLeast"/>
              <w:rPr>
                <w:rFonts w:ascii="宋体" w:hAnsi="宋体"/>
                <w:color w:val="000000"/>
                <w:szCs w:val="20"/>
              </w:rPr>
            </w:pPr>
            <w:r>
              <w:rPr>
                <w:rFonts w:ascii="宋体" w:hAnsi="宋体"/>
                <w:color w:val="000000"/>
                <w:szCs w:val="20"/>
              </w:rPr>
              <w:t>按照运行周期和要求拆卸清洗。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60" w:lineRule="atLeast"/>
              <w:rPr>
                <w:rFonts w:ascii="宋体" w:hAnsi="宋体"/>
                <w:color w:val="000000"/>
                <w:szCs w:val="20"/>
              </w:rPr>
            </w:pPr>
            <w:r>
              <w:rPr>
                <w:rFonts w:ascii="宋体" w:hAnsi="宋体"/>
                <w:color w:val="000000"/>
                <w:szCs w:val="20"/>
              </w:rPr>
              <w:t>12</w:t>
            </w:r>
          </w:p>
        </w:tc>
        <w:tc>
          <w:tcPr>
            <w:tcW w:w="2765" w:type="dxa"/>
            <w:vAlign w:val="center"/>
          </w:tcPr>
          <w:p>
            <w:pPr>
              <w:adjustRightInd w:val="0"/>
              <w:snapToGrid w:val="0"/>
              <w:spacing w:line="360" w:lineRule="atLeast"/>
              <w:rPr>
                <w:rFonts w:ascii="宋体" w:hAnsi="宋体"/>
                <w:color w:val="000000"/>
                <w:szCs w:val="20"/>
              </w:rPr>
            </w:pPr>
            <w:r>
              <w:rPr>
                <w:rFonts w:ascii="宋体" w:hAnsi="宋体"/>
                <w:color w:val="000000"/>
                <w:szCs w:val="20"/>
              </w:rPr>
              <w:t>冷却水过滤器清洗</w:t>
            </w:r>
          </w:p>
        </w:tc>
        <w:tc>
          <w:tcPr>
            <w:tcW w:w="6270" w:type="dxa"/>
          </w:tcPr>
          <w:p>
            <w:pPr>
              <w:adjustRightInd w:val="0"/>
              <w:snapToGrid w:val="0"/>
              <w:spacing w:line="360" w:lineRule="atLeast"/>
              <w:rPr>
                <w:rFonts w:ascii="宋体" w:hAnsi="宋体"/>
                <w:color w:val="000000"/>
                <w:szCs w:val="20"/>
              </w:rPr>
            </w:pPr>
            <w:r>
              <w:rPr>
                <w:rFonts w:ascii="宋体" w:hAnsi="宋体"/>
                <w:color w:val="000000"/>
                <w:szCs w:val="20"/>
              </w:rPr>
              <w:t>按照运行周期和要求拆卸清洗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60" w:lineRule="atLeast"/>
              <w:rPr>
                <w:rFonts w:ascii="宋体" w:hAnsi="宋体"/>
                <w:color w:val="000000"/>
                <w:szCs w:val="20"/>
              </w:rPr>
            </w:pPr>
            <w:r>
              <w:rPr>
                <w:rFonts w:ascii="宋体" w:hAnsi="宋体"/>
                <w:color w:val="000000"/>
                <w:szCs w:val="20"/>
              </w:rPr>
              <w:t>13</w:t>
            </w:r>
          </w:p>
        </w:tc>
        <w:tc>
          <w:tcPr>
            <w:tcW w:w="2765" w:type="dxa"/>
            <w:vAlign w:val="center"/>
          </w:tcPr>
          <w:p>
            <w:pPr>
              <w:adjustRightInd w:val="0"/>
              <w:snapToGrid w:val="0"/>
              <w:spacing w:line="360" w:lineRule="atLeast"/>
              <w:rPr>
                <w:rFonts w:ascii="宋体" w:hAnsi="宋体"/>
                <w:color w:val="000000"/>
                <w:szCs w:val="20"/>
              </w:rPr>
            </w:pPr>
            <w:r>
              <w:rPr>
                <w:rFonts w:ascii="宋体" w:hAnsi="宋体"/>
                <w:color w:val="000000"/>
                <w:szCs w:val="20"/>
              </w:rPr>
              <w:t>膨胀水箱维护</w:t>
            </w:r>
          </w:p>
        </w:tc>
        <w:tc>
          <w:tcPr>
            <w:tcW w:w="6270" w:type="dxa"/>
          </w:tcPr>
          <w:p>
            <w:pPr>
              <w:adjustRightInd w:val="0"/>
              <w:snapToGrid w:val="0"/>
              <w:spacing w:line="360" w:lineRule="atLeast"/>
              <w:rPr>
                <w:rFonts w:ascii="宋体" w:hAnsi="宋体"/>
                <w:color w:val="000000"/>
                <w:szCs w:val="20"/>
              </w:rPr>
            </w:pPr>
            <w:r>
              <w:rPr>
                <w:rFonts w:ascii="宋体" w:hAnsi="宋体"/>
                <w:color w:val="000000"/>
                <w:szCs w:val="20"/>
              </w:rPr>
              <w:t>1</w:t>
            </w:r>
            <w:r>
              <w:rPr>
                <w:rFonts w:hint="eastAsia" w:ascii="宋体" w:hAnsi="宋体"/>
                <w:color w:val="000000"/>
                <w:szCs w:val="20"/>
              </w:rPr>
              <w:t>.</w:t>
            </w:r>
            <w:r>
              <w:rPr>
                <w:rFonts w:ascii="宋体" w:hAnsi="宋体"/>
                <w:color w:val="000000"/>
                <w:szCs w:val="20"/>
              </w:rPr>
              <w:t>进水浮球阀维护。2.溢水口和溢水管的检查。3.排污阀的检查。4.膨胀管的检查。5.信号管的检查。6.保温层的检查。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60" w:lineRule="atLeast"/>
              <w:rPr>
                <w:rFonts w:ascii="宋体" w:hAnsi="宋体"/>
                <w:color w:val="000000"/>
                <w:szCs w:val="20"/>
              </w:rPr>
            </w:pPr>
            <w:r>
              <w:rPr>
                <w:rFonts w:ascii="宋体" w:hAnsi="宋体"/>
                <w:color w:val="000000"/>
                <w:szCs w:val="20"/>
              </w:rPr>
              <w:t>14</w:t>
            </w:r>
          </w:p>
        </w:tc>
        <w:tc>
          <w:tcPr>
            <w:tcW w:w="2765" w:type="dxa"/>
            <w:vAlign w:val="center"/>
          </w:tcPr>
          <w:p>
            <w:pPr>
              <w:adjustRightInd w:val="0"/>
              <w:snapToGrid w:val="0"/>
              <w:spacing w:line="360" w:lineRule="atLeast"/>
              <w:rPr>
                <w:rFonts w:ascii="宋体" w:hAnsi="宋体"/>
                <w:color w:val="000000"/>
                <w:szCs w:val="20"/>
              </w:rPr>
            </w:pPr>
            <w:r>
              <w:rPr>
                <w:rFonts w:ascii="宋体" w:hAnsi="宋体"/>
                <w:color w:val="000000"/>
                <w:szCs w:val="20"/>
              </w:rPr>
              <w:t>膨胀水箱刷漆</w:t>
            </w:r>
          </w:p>
        </w:tc>
        <w:tc>
          <w:tcPr>
            <w:tcW w:w="6270" w:type="dxa"/>
          </w:tcPr>
          <w:p>
            <w:pPr>
              <w:adjustRightInd w:val="0"/>
              <w:snapToGrid w:val="0"/>
              <w:spacing w:line="360" w:lineRule="atLeast"/>
              <w:rPr>
                <w:rFonts w:ascii="宋体" w:hAnsi="宋体"/>
                <w:color w:val="000000"/>
                <w:szCs w:val="20"/>
              </w:rPr>
            </w:pPr>
            <w:r>
              <w:rPr>
                <w:rFonts w:ascii="宋体" w:hAnsi="宋体"/>
                <w:color w:val="000000"/>
                <w:szCs w:val="20"/>
              </w:rPr>
              <w:t>按规定要求膨胀水箱内外壁的除锈刷漆。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60" w:lineRule="atLeast"/>
              <w:rPr>
                <w:rFonts w:ascii="宋体" w:hAnsi="宋体"/>
                <w:color w:val="000000"/>
                <w:szCs w:val="20"/>
              </w:rPr>
            </w:pPr>
            <w:r>
              <w:rPr>
                <w:rFonts w:ascii="宋体" w:hAnsi="宋体"/>
                <w:color w:val="000000"/>
                <w:szCs w:val="20"/>
              </w:rPr>
              <w:t>15</w:t>
            </w:r>
          </w:p>
        </w:tc>
        <w:tc>
          <w:tcPr>
            <w:tcW w:w="2765" w:type="dxa"/>
            <w:vAlign w:val="center"/>
          </w:tcPr>
          <w:p>
            <w:pPr>
              <w:adjustRightInd w:val="0"/>
              <w:snapToGrid w:val="0"/>
              <w:spacing w:line="360" w:lineRule="atLeast"/>
              <w:rPr>
                <w:rFonts w:ascii="宋体" w:hAnsi="宋体"/>
                <w:color w:val="000000"/>
                <w:szCs w:val="20"/>
              </w:rPr>
            </w:pPr>
            <w:r>
              <w:rPr>
                <w:rFonts w:ascii="宋体" w:hAnsi="宋体"/>
                <w:color w:val="000000"/>
                <w:szCs w:val="20"/>
              </w:rPr>
              <w:t>支承件除锈刷漆</w:t>
            </w:r>
          </w:p>
        </w:tc>
        <w:tc>
          <w:tcPr>
            <w:tcW w:w="6270" w:type="dxa"/>
          </w:tcPr>
          <w:p>
            <w:pPr>
              <w:adjustRightInd w:val="0"/>
              <w:snapToGrid w:val="0"/>
              <w:spacing w:line="360" w:lineRule="atLeast"/>
              <w:rPr>
                <w:rFonts w:ascii="宋体" w:hAnsi="宋体"/>
                <w:color w:val="000000"/>
                <w:szCs w:val="20"/>
              </w:rPr>
            </w:pPr>
            <w:r>
              <w:rPr>
                <w:rFonts w:ascii="宋体" w:hAnsi="宋体"/>
                <w:color w:val="000000"/>
                <w:szCs w:val="20"/>
              </w:rPr>
              <w:t>按规定要求对支承件除锈刷漆。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60" w:lineRule="atLeast"/>
              <w:rPr>
                <w:rFonts w:ascii="宋体" w:hAnsi="宋体"/>
                <w:color w:val="000000"/>
                <w:szCs w:val="20"/>
              </w:rPr>
            </w:pPr>
            <w:r>
              <w:rPr>
                <w:rFonts w:ascii="宋体" w:hAnsi="宋体"/>
                <w:color w:val="000000"/>
                <w:szCs w:val="20"/>
              </w:rPr>
              <w:t>16</w:t>
            </w:r>
          </w:p>
        </w:tc>
        <w:tc>
          <w:tcPr>
            <w:tcW w:w="2765" w:type="dxa"/>
            <w:vAlign w:val="center"/>
          </w:tcPr>
          <w:p>
            <w:pPr>
              <w:adjustRightInd w:val="0"/>
              <w:snapToGrid w:val="0"/>
              <w:spacing w:line="360" w:lineRule="atLeast"/>
              <w:rPr>
                <w:rFonts w:ascii="宋体" w:hAnsi="宋体"/>
                <w:color w:val="000000"/>
                <w:szCs w:val="20"/>
              </w:rPr>
            </w:pPr>
            <w:r>
              <w:rPr>
                <w:rFonts w:ascii="宋体" w:hAnsi="宋体"/>
                <w:color w:val="000000"/>
                <w:szCs w:val="20"/>
              </w:rPr>
              <w:t>防冻液检查添加</w:t>
            </w:r>
          </w:p>
        </w:tc>
        <w:tc>
          <w:tcPr>
            <w:tcW w:w="6270" w:type="dxa"/>
          </w:tcPr>
          <w:p>
            <w:pPr>
              <w:adjustRightInd w:val="0"/>
              <w:snapToGrid w:val="0"/>
              <w:spacing w:line="360" w:lineRule="atLeast"/>
              <w:rPr>
                <w:rFonts w:ascii="宋体" w:hAnsi="宋体"/>
                <w:color w:val="000000"/>
                <w:szCs w:val="20"/>
              </w:rPr>
            </w:pPr>
            <w:r>
              <w:rPr>
                <w:rFonts w:ascii="宋体" w:hAnsi="宋体"/>
                <w:color w:val="000000"/>
                <w:szCs w:val="20"/>
              </w:rPr>
              <w:t>按规定要求采暖前检查添加。</w:t>
            </w:r>
          </w:p>
        </w:tc>
      </w:tr>
    </w:tbl>
    <w:p>
      <w:pPr>
        <w:adjustRightInd w:val="0"/>
        <w:snapToGrid w:val="0"/>
        <w:spacing w:afterLines="20" w:line="360" w:lineRule="atLeast"/>
        <w:rPr>
          <w:rFonts w:ascii="黑体" w:hAnsi="宋体" w:eastAsia="黑体"/>
          <w:color w:val="000000"/>
          <w:sz w:val="24"/>
          <w:szCs w:val="20"/>
        </w:rPr>
      </w:pPr>
      <w:r>
        <w:rPr>
          <w:rFonts w:hint="eastAsia" w:ascii="黑体" w:hAnsi="宋体" w:eastAsia="黑体"/>
          <w:color w:val="000000"/>
          <w:sz w:val="24"/>
          <w:szCs w:val="20"/>
        </w:rPr>
        <w:t>水质管理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2704"/>
        <w:gridCol w:w="6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Pr>
          <w:p>
            <w:pPr>
              <w:adjustRightInd w:val="0"/>
              <w:snapToGrid w:val="0"/>
              <w:spacing w:line="360" w:lineRule="atLeast"/>
              <w:rPr>
                <w:rFonts w:ascii="宋体" w:hAnsi="宋体"/>
                <w:color w:val="000000"/>
                <w:szCs w:val="20"/>
              </w:rPr>
            </w:pPr>
            <w:r>
              <w:rPr>
                <w:rFonts w:ascii="宋体" w:hAnsi="宋体"/>
                <w:color w:val="000000"/>
                <w:szCs w:val="20"/>
              </w:rPr>
              <w:t>NO.</w:t>
            </w:r>
          </w:p>
        </w:tc>
        <w:tc>
          <w:tcPr>
            <w:tcW w:w="2704" w:type="dxa"/>
          </w:tcPr>
          <w:p>
            <w:pPr>
              <w:adjustRightInd w:val="0"/>
              <w:snapToGrid w:val="0"/>
              <w:spacing w:line="360" w:lineRule="atLeast"/>
              <w:rPr>
                <w:rFonts w:ascii="宋体" w:hAnsi="宋体"/>
                <w:color w:val="000000"/>
                <w:szCs w:val="20"/>
              </w:rPr>
            </w:pPr>
            <w:r>
              <w:rPr>
                <w:rFonts w:ascii="宋体" w:hAnsi="宋体"/>
                <w:color w:val="000000"/>
                <w:szCs w:val="20"/>
              </w:rPr>
              <w:t>服务项目</w:t>
            </w:r>
          </w:p>
        </w:tc>
        <w:tc>
          <w:tcPr>
            <w:tcW w:w="6345" w:type="dxa"/>
          </w:tcPr>
          <w:p>
            <w:pPr>
              <w:adjustRightInd w:val="0"/>
              <w:snapToGrid w:val="0"/>
              <w:spacing w:line="360" w:lineRule="atLeast"/>
              <w:rPr>
                <w:rFonts w:ascii="宋体" w:hAnsi="宋体"/>
                <w:color w:val="000000"/>
                <w:szCs w:val="20"/>
              </w:rPr>
            </w:pPr>
            <w:r>
              <w:rPr>
                <w:rFonts w:ascii="宋体" w:hAnsi="宋体"/>
                <w:color w:val="000000"/>
                <w:szCs w:val="20"/>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60" w:lineRule="atLeast"/>
              <w:rPr>
                <w:rFonts w:ascii="宋体" w:hAnsi="宋体"/>
                <w:color w:val="000000"/>
                <w:szCs w:val="20"/>
              </w:rPr>
            </w:pPr>
            <w:r>
              <w:rPr>
                <w:rFonts w:ascii="宋体" w:hAnsi="宋体"/>
                <w:color w:val="000000"/>
                <w:szCs w:val="20"/>
              </w:rPr>
              <w:t>1</w:t>
            </w:r>
          </w:p>
        </w:tc>
        <w:tc>
          <w:tcPr>
            <w:tcW w:w="2704" w:type="dxa"/>
            <w:vAlign w:val="center"/>
          </w:tcPr>
          <w:p>
            <w:pPr>
              <w:adjustRightInd w:val="0"/>
              <w:snapToGrid w:val="0"/>
              <w:spacing w:line="360" w:lineRule="atLeast"/>
              <w:rPr>
                <w:rFonts w:ascii="宋体" w:hAnsi="宋体"/>
                <w:color w:val="000000"/>
                <w:szCs w:val="20"/>
              </w:rPr>
            </w:pPr>
            <w:r>
              <w:rPr>
                <w:rFonts w:ascii="宋体" w:hAnsi="宋体"/>
                <w:color w:val="000000"/>
                <w:szCs w:val="20"/>
              </w:rPr>
              <w:t>冷却水水质检查</w:t>
            </w:r>
          </w:p>
        </w:tc>
        <w:tc>
          <w:tcPr>
            <w:tcW w:w="6345" w:type="dxa"/>
          </w:tcPr>
          <w:p>
            <w:pPr>
              <w:adjustRightInd w:val="0"/>
              <w:snapToGrid w:val="0"/>
              <w:spacing w:line="360" w:lineRule="atLeast"/>
              <w:rPr>
                <w:rFonts w:ascii="宋体" w:hAnsi="宋体"/>
                <w:color w:val="000000"/>
                <w:szCs w:val="20"/>
              </w:rPr>
            </w:pPr>
            <w:r>
              <w:rPr>
                <w:rFonts w:ascii="宋体" w:hAnsi="宋体"/>
                <w:color w:val="000000"/>
                <w:szCs w:val="20"/>
              </w:rPr>
              <w:t>掌握水质的状况，对PH值、电导率、浊度、硬度进行检验。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60" w:lineRule="atLeast"/>
              <w:rPr>
                <w:rFonts w:ascii="宋体" w:hAnsi="宋体"/>
                <w:color w:val="000000"/>
                <w:szCs w:val="20"/>
              </w:rPr>
            </w:pPr>
            <w:r>
              <w:rPr>
                <w:rFonts w:ascii="宋体" w:hAnsi="宋体"/>
                <w:color w:val="000000"/>
                <w:szCs w:val="20"/>
              </w:rPr>
              <w:t>2</w:t>
            </w:r>
          </w:p>
        </w:tc>
        <w:tc>
          <w:tcPr>
            <w:tcW w:w="2704" w:type="dxa"/>
            <w:vAlign w:val="center"/>
          </w:tcPr>
          <w:p>
            <w:pPr>
              <w:adjustRightInd w:val="0"/>
              <w:snapToGrid w:val="0"/>
              <w:spacing w:line="360" w:lineRule="atLeast"/>
              <w:rPr>
                <w:rFonts w:ascii="宋体" w:hAnsi="宋体"/>
                <w:color w:val="000000"/>
                <w:szCs w:val="20"/>
              </w:rPr>
            </w:pPr>
            <w:r>
              <w:rPr>
                <w:rFonts w:ascii="宋体" w:hAnsi="宋体"/>
                <w:color w:val="000000"/>
                <w:szCs w:val="20"/>
              </w:rPr>
              <w:t>冷却水杀菌</w:t>
            </w:r>
          </w:p>
        </w:tc>
        <w:tc>
          <w:tcPr>
            <w:tcW w:w="6345" w:type="dxa"/>
          </w:tcPr>
          <w:p>
            <w:pPr>
              <w:adjustRightInd w:val="0"/>
              <w:snapToGrid w:val="0"/>
              <w:spacing w:line="360" w:lineRule="atLeast"/>
              <w:rPr>
                <w:rFonts w:ascii="宋体" w:hAnsi="宋体"/>
                <w:color w:val="000000"/>
                <w:szCs w:val="20"/>
              </w:rPr>
            </w:pPr>
            <w:r>
              <w:rPr>
                <w:rFonts w:ascii="宋体" w:hAnsi="宋体"/>
                <w:color w:val="000000"/>
                <w:szCs w:val="20"/>
              </w:rPr>
              <w:t>采用化学药剂定期投放，去除菌藻繁殖。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60" w:lineRule="atLeast"/>
              <w:rPr>
                <w:rFonts w:ascii="宋体" w:hAnsi="宋体"/>
                <w:color w:val="000000"/>
                <w:szCs w:val="20"/>
              </w:rPr>
            </w:pPr>
            <w:r>
              <w:rPr>
                <w:rFonts w:ascii="宋体" w:hAnsi="宋体"/>
                <w:color w:val="000000"/>
                <w:szCs w:val="20"/>
              </w:rPr>
              <w:t>3</w:t>
            </w:r>
          </w:p>
        </w:tc>
        <w:tc>
          <w:tcPr>
            <w:tcW w:w="2704" w:type="dxa"/>
            <w:vAlign w:val="center"/>
          </w:tcPr>
          <w:p>
            <w:pPr>
              <w:adjustRightInd w:val="0"/>
              <w:snapToGrid w:val="0"/>
              <w:spacing w:line="360" w:lineRule="atLeast"/>
              <w:rPr>
                <w:rFonts w:ascii="宋体" w:hAnsi="宋体"/>
                <w:color w:val="000000"/>
                <w:szCs w:val="20"/>
              </w:rPr>
            </w:pPr>
            <w:r>
              <w:rPr>
                <w:rFonts w:ascii="宋体" w:hAnsi="宋体"/>
                <w:color w:val="000000"/>
                <w:szCs w:val="20"/>
              </w:rPr>
              <w:t>冷却水防垢除垢</w:t>
            </w:r>
          </w:p>
        </w:tc>
        <w:tc>
          <w:tcPr>
            <w:tcW w:w="6345" w:type="dxa"/>
          </w:tcPr>
          <w:p>
            <w:pPr>
              <w:adjustRightInd w:val="0"/>
              <w:snapToGrid w:val="0"/>
              <w:spacing w:line="360" w:lineRule="atLeast"/>
              <w:rPr>
                <w:rFonts w:ascii="宋体" w:hAnsi="宋体"/>
                <w:color w:val="000000"/>
                <w:szCs w:val="20"/>
              </w:rPr>
            </w:pPr>
            <w:r>
              <w:rPr>
                <w:rFonts w:ascii="宋体" w:hAnsi="宋体"/>
                <w:color w:val="000000"/>
                <w:szCs w:val="20"/>
              </w:rPr>
              <w:t>采用人工清洗、化学处理等手段防垢、除垢。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60" w:lineRule="atLeast"/>
              <w:rPr>
                <w:rFonts w:ascii="宋体" w:hAnsi="宋体"/>
                <w:color w:val="000000"/>
                <w:szCs w:val="20"/>
              </w:rPr>
            </w:pPr>
            <w:r>
              <w:rPr>
                <w:rFonts w:ascii="宋体" w:hAnsi="宋体"/>
                <w:color w:val="000000"/>
                <w:szCs w:val="20"/>
              </w:rPr>
              <w:t>4</w:t>
            </w:r>
          </w:p>
        </w:tc>
        <w:tc>
          <w:tcPr>
            <w:tcW w:w="2704" w:type="dxa"/>
            <w:vAlign w:val="center"/>
          </w:tcPr>
          <w:p>
            <w:pPr>
              <w:adjustRightInd w:val="0"/>
              <w:snapToGrid w:val="0"/>
              <w:spacing w:line="360" w:lineRule="atLeast"/>
              <w:rPr>
                <w:rFonts w:ascii="宋体" w:hAnsi="宋体"/>
                <w:color w:val="000000"/>
                <w:szCs w:val="20"/>
              </w:rPr>
            </w:pPr>
            <w:r>
              <w:rPr>
                <w:rFonts w:ascii="宋体" w:hAnsi="宋体"/>
                <w:color w:val="000000"/>
                <w:szCs w:val="20"/>
              </w:rPr>
              <w:t>空调水水质检查</w:t>
            </w:r>
          </w:p>
        </w:tc>
        <w:tc>
          <w:tcPr>
            <w:tcW w:w="6345" w:type="dxa"/>
          </w:tcPr>
          <w:p>
            <w:pPr>
              <w:adjustRightInd w:val="0"/>
              <w:snapToGrid w:val="0"/>
              <w:spacing w:line="360" w:lineRule="atLeast"/>
              <w:rPr>
                <w:rFonts w:ascii="宋体" w:hAnsi="宋体"/>
                <w:color w:val="000000"/>
                <w:szCs w:val="20"/>
              </w:rPr>
            </w:pPr>
            <w:r>
              <w:rPr>
                <w:rFonts w:ascii="宋体" w:hAnsi="宋体"/>
                <w:color w:val="000000"/>
                <w:szCs w:val="20"/>
              </w:rPr>
              <w:t>对空调水的PH值、电导率、浊度、硬度进行检验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60" w:lineRule="atLeast"/>
              <w:rPr>
                <w:rFonts w:ascii="宋体" w:hAnsi="宋体"/>
                <w:color w:val="000000"/>
                <w:szCs w:val="20"/>
              </w:rPr>
            </w:pPr>
            <w:r>
              <w:rPr>
                <w:rFonts w:ascii="宋体" w:hAnsi="宋体"/>
                <w:color w:val="000000"/>
                <w:szCs w:val="20"/>
              </w:rPr>
              <w:t>5</w:t>
            </w:r>
          </w:p>
        </w:tc>
        <w:tc>
          <w:tcPr>
            <w:tcW w:w="2704" w:type="dxa"/>
            <w:vAlign w:val="center"/>
          </w:tcPr>
          <w:p>
            <w:pPr>
              <w:adjustRightInd w:val="0"/>
              <w:snapToGrid w:val="0"/>
              <w:spacing w:line="360" w:lineRule="atLeast"/>
              <w:rPr>
                <w:rFonts w:ascii="宋体" w:hAnsi="宋体"/>
                <w:color w:val="000000"/>
                <w:szCs w:val="20"/>
              </w:rPr>
            </w:pPr>
            <w:r>
              <w:rPr>
                <w:rFonts w:ascii="宋体" w:hAnsi="宋体"/>
                <w:color w:val="000000"/>
                <w:szCs w:val="20"/>
              </w:rPr>
              <w:t>空调水防垢除垢</w:t>
            </w:r>
          </w:p>
        </w:tc>
        <w:tc>
          <w:tcPr>
            <w:tcW w:w="6345" w:type="dxa"/>
          </w:tcPr>
          <w:p>
            <w:pPr>
              <w:adjustRightInd w:val="0"/>
              <w:snapToGrid w:val="0"/>
              <w:spacing w:line="360" w:lineRule="atLeast"/>
              <w:rPr>
                <w:rFonts w:ascii="宋体" w:hAnsi="宋体"/>
                <w:color w:val="000000"/>
                <w:szCs w:val="20"/>
              </w:rPr>
            </w:pPr>
            <w:r>
              <w:rPr>
                <w:rFonts w:ascii="宋体" w:hAnsi="宋体"/>
                <w:color w:val="000000"/>
                <w:szCs w:val="20"/>
              </w:rPr>
              <w:t>采用人工清洗、化学处理等手段防垢、除垢。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60" w:lineRule="atLeast"/>
              <w:rPr>
                <w:rFonts w:ascii="宋体" w:hAnsi="宋体"/>
                <w:color w:val="000000"/>
                <w:szCs w:val="20"/>
              </w:rPr>
            </w:pPr>
            <w:r>
              <w:rPr>
                <w:rFonts w:ascii="宋体" w:hAnsi="宋体"/>
                <w:color w:val="000000"/>
                <w:szCs w:val="20"/>
              </w:rPr>
              <w:t>6</w:t>
            </w:r>
          </w:p>
        </w:tc>
        <w:tc>
          <w:tcPr>
            <w:tcW w:w="2704" w:type="dxa"/>
            <w:vAlign w:val="center"/>
          </w:tcPr>
          <w:p>
            <w:pPr>
              <w:adjustRightInd w:val="0"/>
              <w:snapToGrid w:val="0"/>
              <w:spacing w:line="360" w:lineRule="atLeast"/>
              <w:rPr>
                <w:rFonts w:ascii="宋体" w:hAnsi="宋体"/>
                <w:color w:val="000000"/>
                <w:szCs w:val="20"/>
              </w:rPr>
            </w:pPr>
            <w:r>
              <w:rPr>
                <w:rFonts w:ascii="宋体" w:hAnsi="宋体"/>
                <w:color w:val="000000"/>
                <w:szCs w:val="20"/>
              </w:rPr>
              <w:t>新系统的排污、循环试运行</w:t>
            </w:r>
          </w:p>
        </w:tc>
        <w:tc>
          <w:tcPr>
            <w:tcW w:w="6345" w:type="dxa"/>
          </w:tcPr>
          <w:p>
            <w:pPr>
              <w:adjustRightInd w:val="0"/>
              <w:snapToGrid w:val="0"/>
              <w:spacing w:line="360" w:lineRule="atLeast"/>
              <w:rPr>
                <w:rFonts w:ascii="宋体" w:hAnsi="宋体"/>
                <w:color w:val="000000"/>
                <w:szCs w:val="20"/>
              </w:rPr>
            </w:pPr>
            <w:r>
              <w:rPr>
                <w:rFonts w:ascii="宋体" w:hAnsi="宋体"/>
                <w:color w:val="000000"/>
                <w:szCs w:val="20"/>
              </w:rPr>
              <w:t>1．排污前水压试验。2. 循环试验。</w:t>
            </w:r>
          </w:p>
        </w:tc>
      </w:tr>
    </w:tbl>
    <w:p>
      <w:pPr>
        <w:adjustRightInd w:val="0"/>
        <w:snapToGrid w:val="0"/>
        <w:spacing w:beforeLines="50" w:afterLines="20" w:line="360" w:lineRule="atLeast"/>
        <w:rPr>
          <w:rFonts w:ascii="黑体" w:hAnsi="宋体" w:eastAsia="黑体"/>
          <w:color w:val="000000"/>
          <w:sz w:val="24"/>
          <w:szCs w:val="20"/>
        </w:rPr>
      </w:pPr>
      <w:r>
        <w:rPr>
          <w:rFonts w:hint="eastAsia" w:ascii="黑体" w:hAnsi="宋体" w:eastAsia="黑体"/>
          <w:color w:val="000000"/>
          <w:sz w:val="24"/>
          <w:szCs w:val="20"/>
        </w:rPr>
        <w:t>组合式空调箱</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952"/>
        <w:gridCol w:w="7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Pr>
          <w:p>
            <w:pPr>
              <w:adjustRightInd w:val="0"/>
              <w:snapToGrid w:val="0"/>
              <w:spacing w:line="360" w:lineRule="atLeast"/>
              <w:rPr>
                <w:rFonts w:ascii="宋体" w:hAnsi="宋体"/>
                <w:color w:val="000000"/>
                <w:szCs w:val="20"/>
              </w:rPr>
            </w:pPr>
            <w:r>
              <w:rPr>
                <w:rFonts w:ascii="宋体" w:hAnsi="宋体"/>
                <w:color w:val="000000"/>
                <w:szCs w:val="20"/>
              </w:rPr>
              <w:t>NO.</w:t>
            </w:r>
          </w:p>
        </w:tc>
        <w:tc>
          <w:tcPr>
            <w:tcW w:w="1952" w:type="dxa"/>
          </w:tcPr>
          <w:p>
            <w:pPr>
              <w:adjustRightInd w:val="0"/>
              <w:snapToGrid w:val="0"/>
              <w:spacing w:line="360" w:lineRule="atLeast"/>
              <w:rPr>
                <w:rFonts w:ascii="宋体" w:hAnsi="宋体"/>
                <w:color w:val="000000"/>
                <w:szCs w:val="20"/>
              </w:rPr>
            </w:pPr>
            <w:r>
              <w:rPr>
                <w:rFonts w:ascii="宋体" w:hAnsi="宋体"/>
                <w:color w:val="000000"/>
                <w:szCs w:val="20"/>
              </w:rPr>
              <w:t>服务项目</w:t>
            </w:r>
          </w:p>
        </w:tc>
        <w:tc>
          <w:tcPr>
            <w:tcW w:w="7106" w:type="dxa"/>
          </w:tcPr>
          <w:p>
            <w:pPr>
              <w:adjustRightInd w:val="0"/>
              <w:snapToGrid w:val="0"/>
              <w:spacing w:line="360" w:lineRule="atLeast"/>
              <w:rPr>
                <w:rFonts w:ascii="宋体" w:hAnsi="宋体"/>
                <w:color w:val="000000"/>
                <w:szCs w:val="20"/>
              </w:rPr>
            </w:pPr>
            <w:r>
              <w:rPr>
                <w:rFonts w:ascii="宋体" w:hAnsi="宋体"/>
                <w:color w:val="000000"/>
                <w:szCs w:val="20"/>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宋体" w:hAnsi="宋体"/>
                <w:color w:val="000000"/>
                <w:szCs w:val="20"/>
              </w:rPr>
            </w:pPr>
            <w:r>
              <w:rPr>
                <w:rFonts w:ascii="宋体" w:hAnsi="宋体"/>
                <w:color w:val="000000"/>
                <w:szCs w:val="20"/>
              </w:rPr>
              <w:t>1</w:t>
            </w:r>
          </w:p>
        </w:tc>
        <w:tc>
          <w:tcPr>
            <w:tcW w:w="19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宋体" w:hAnsi="宋体"/>
                <w:color w:val="000000"/>
                <w:szCs w:val="20"/>
              </w:rPr>
            </w:pPr>
            <w:r>
              <w:rPr>
                <w:rFonts w:ascii="宋体" w:hAnsi="宋体"/>
                <w:color w:val="000000"/>
                <w:szCs w:val="20"/>
              </w:rPr>
              <w:t>风门调节阀检修</w:t>
            </w:r>
          </w:p>
        </w:tc>
        <w:tc>
          <w:tcPr>
            <w:tcW w:w="7106" w:type="dxa"/>
            <w:tcBorders>
              <w:top w:val="single" w:color="auto" w:sz="4" w:space="0"/>
              <w:left w:val="single" w:color="auto" w:sz="4" w:space="0"/>
              <w:bottom w:val="single" w:color="auto" w:sz="4" w:space="0"/>
              <w:right w:val="single" w:color="auto" w:sz="4" w:space="0"/>
            </w:tcBorders>
          </w:tcPr>
          <w:p>
            <w:pPr>
              <w:adjustRightInd w:val="0"/>
              <w:snapToGrid w:val="0"/>
              <w:spacing w:line="320" w:lineRule="atLeast"/>
              <w:rPr>
                <w:rFonts w:ascii="宋体" w:hAnsi="宋体"/>
                <w:color w:val="000000"/>
                <w:szCs w:val="20"/>
              </w:rPr>
            </w:pPr>
            <w:r>
              <w:rPr>
                <w:rFonts w:ascii="宋体" w:hAnsi="宋体"/>
                <w:color w:val="000000"/>
                <w:szCs w:val="20"/>
              </w:rPr>
              <w:t>1</w:t>
            </w:r>
            <w:r>
              <w:rPr>
                <w:rFonts w:hint="eastAsia" w:ascii="宋体" w:hAnsi="宋体"/>
                <w:color w:val="000000"/>
                <w:szCs w:val="20"/>
              </w:rPr>
              <w:t>.</w:t>
            </w:r>
            <w:r>
              <w:rPr>
                <w:rFonts w:ascii="宋体" w:hAnsi="宋体"/>
                <w:color w:val="000000"/>
                <w:szCs w:val="20"/>
              </w:rPr>
              <w:t>检查各风门调节阀开关功能、自身安装牢固性、密闭性。2.对调节阀加油。3.检查自动装置的可靠性。4.检查轴柄处密封性。5.噪声检测。6.震动检测。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宋体" w:hAnsi="宋体"/>
                <w:color w:val="000000"/>
                <w:szCs w:val="20"/>
              </w:rPr>
            </w:pPr>
            <w:r>
              <w:rPr>
                <w:rFonts w:ascii="宋体" w:hAnsi="宋体"/>
                <w:color w:val="000000"/>
                <w:szCs w:val="20"/>
              </w:rPr>
              <w:t>2</w:t>
            </w:r>
          </w:p>
        </w:tc>
        <w:tc>
          <w:tcPr>
            <w:tcW w:w="19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宋体" w:hAnsi="宋体"/>
                <w:color w:val="000000"/>
                <w:szCs w:val="20"/>
              </w:rPr>
            </w:pPr>
            <w:r>
              <w:rPr>
                <w:rFonts w:ascii="宋体" w:hAnsi="宋体"/>
                <w:color w:val="000000"/>
                <w:szCs w:val="20"/>
              </w:rPr>
              <w:t>初效过滤器清洗</w:t>
            </w:r>
          </w:p>
        </w:tc>
        <w:tc>
          <w:tcPr>
            <w:tcW w:w="710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tLeast"/>
              <w:rPr>
                <w:rFonts w:ascii="宋体" w:hAnsi="宋体"/>
                <w:color w:val="000000"/>
                <w:szCs w:val="20"/>
              </w:rPr>
            </w:pPr>
            <w:r>
              <w:rPr>
                <w:rFonts w:ascii="宋体" w:hAnsi="宋体"/>
                <w:color w:val="000000"/>
                <w:szCs w:val="20"/>
              </w:rPr>
              <w:t>吸尘器清吸或强力水冲洗。有油污，可采用化学清洗。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宋体" w:hAnsi="宋体"/>
                <w:color w:val="000000"/>
                <w:szCs w:val="20"/>
              </w:rPr>
            </w:pPr>
            <w:r>
              <w:rPr>
                <w:rFonts w:ascii="宋体" w:hAnsi="宋体"/>
                <w:color w:val="000000"/>
                <w:szCs w:val="20"/>
              </w:rPr>
              <w:t>3</w:t>
            </w:r>
          </w:p>
        </w:tc>
        <w:tc>
          <w:tcPr>
            <w:tcW w:w="19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宋体" w:hAnsi="宋体"/>
                <w:color w:val="000000"/>
                <w:szCs w:val="20"/>
              </w:rPr>
            </w:pPr>
            <w:r>
              <w:rPr>
                <w:rFonts w:ascii="宋体" w:hAnsi="宋体"/>
                <w:color w:val="000000"/>
                <w:szCs w:val="20"/>
              </w:rPr>
              <w:t>中效过滤器清洗</w:t>
            </w:r>
          </w:p>
        </w:tc>
        <w:tc>
          <w:tcPr>
            <w:tcW w:w="710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tLeast"/>
              <w:rPr>
                <w:rFonts w:ascii="宋体" w:hAnsi="宋体"/>
                <w:color w:val="000000"/>
                <w:szCs w:val="20"/>
              </w:rPr>
            </w:pPr>
            <w:r>
              <w:rPr>
                <w:rFonts w:ascii="宋体" w:hAnsi="宋体"/>
                <w:color w:val="000000"/>
                <w:szCs w:val="20"/>
              </w:rPr>
              <w:t>吸尘器清吸或强力水冲洗。有油污，可采用化学清洗。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宋体" w:hAnsi="宋体"/>
                <w:color w:val="000000"/>
                <w:szCs w:val="20"/>
              </w:rPr>
            </w:pPr>
            <w:r>
              <w:rPr>
                <w:rFonts w:ascii="宋体" w:hAnsi="宋体"/>
                <w:color w:val="000000"/>
                <w:szCs w:val="20"/>
              </w:rPr>
              <w:t>4</w:t>
            </w:r>
          </w:p>
        </w:tc>
        <w:tc>
          <w:tcPr>
            <w:tcW w:w="19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宋体" w:hAnsi="宋体"/>
                <w:color w:val="000000"/>
                <w:szCs w:val="20"/>
              </w:rPr>
            </w:pPr>
            <w:r>
              <w:rPr>
                <w:rFonts w:ascii="宋体" w:hAnsi="宋体"/>
                <w:color w:val="000000"/>
                <w:szCs w:val="20"/>
              </w:rPr>
              <w:t>表冷器检修清洗</w:t>
            </w:r>
          </w:p>
        </w:tc>
        <w:tc>
          <w:tcPr>
            <w:tcW w:w="710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tLeast"/>
              <w:rPr>
                <w:rFonts w:ascii="宋体" w:hAnsi="宋体"/>
                <w:color w:val="000000"/>
                <w:szCs w:val="20"/>
              </w:rPr>
            </w:pPr>
            <w:r>
              <w:rPr>
                <w:rFonts w:ascii="宋体" w:hAnsi="宋体"/>
                <w:color w:val="000000"/>
                <w:szCs w:val="20"/>
              </w:rPr>
              <w:t>如有油污或尾部有腐蚀现象，则采用清洗剂进行化学清洗。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宋体" w:hAnsi="宋体"/>
                <w:color w:val="000000"/>
                <w:szCs w:val="20"/>
              </w:rPr>
            </w:pPr>
            <w:r>
              <w:rPr>
                <w:rFonts w:ascii="宋体" w:hAnsi="宋体"/>
                <w:color w:val="000000"/>
                <w:szCs w:val="20"/>
              </w:rPr>
              <w:t>5</w:t>
            </w:r>
          </w:p>
        </w:tc>
        <w:tc>
          <w:tcPr>
            <w:tcW w:w="19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宋体" w:hAnsi="宋体"/>
                <w:color w:val="000000"/>
                <w:szCs w:val="20"/>
              </w:rPr>
            </w:pPr>
            <w:r>
              <w:rPr>
                <w:rFonts w:ascii="宋体" w:hAnsi="宋体"/>
                <w:color w:val="000000"/>
                <w:szCs w:val="20"/>
              </w:rPr>
              <w:t>挡水板检修</w:t>
            </w:r>
          </w:p>
        </w:tc>
        <w:tc>
          <w:tcPr>
            <w:tcW w:w="710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tLeast"/>
              <w:rPr>
                <w:rFonts w:ascii="宋体" w:hAnsi="宋体"/>
                <w:color w:val="000000"/>
                <w:szCs w:val="20"/>
              </w:rPr>
            </w:pPr>
            <w:r>
              <w:rPr>
                <w:rFonts w:ascii="宋体" w:hAnsi="宋体"/>
                <w:color w:val="000000"/>
                <w:szCs w:val="20"/>
              </w:rPr>
              <w:t>对挡水板的锈蚀、折断、倒置、破损等故障进行维护、修补、更换、油漆等。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宋体" w:hAnsi="宋体"/>
                <w:color w:val="000000"/>
                <w:szCs w:val="20"/>
              </w:rPr>
            </w:pPr>
            <w:r>
              <w:rPr>
                <w:rFonts w:ascii="宋体" w:hAnsi="宋体"/>
                <w:color w:val="000000"/>
                <w:szCs w:val="20"/>
              </w:rPr>
              <w:t>6</w:t>
            </w:r>
          </w:p>
        </w:tc>
        <w:tc>
          <w:tcPr>
            <w:tcW w:w="19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宋体" w:hAnsi="宋体"/>
                <w:color w:val="000000"/>
                <w:szCs w:val="20"/>
              </w:rPr>
            </w:pPr>
            <w:r>
              <w:rPr>
                <w:rFonts w:ascii="宋体" w:hAnsi="宋体"/>
                <w:color w:val="000000"/>
                <w:szCs w:val="20"/>
              </w:rPr>
              <w:t>接水盘清洗</w:t>
            </w:r>
          </w:p>
        </w:tc>
        <w:tc>
          <w:tcPr>
            <w:tcW w:w="710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tLeast"/>
              <w:rPr>
                <w:rFonts w:ascii="宋体" w:hAnsi="宋体"/>
                <w:color w:val="000000"/>
                <w:szCs w:val="20"/>
              </w:rPr>
            </w:pPr>
            <w:r>
              <w:rPr>
                <w:rFonts w:ascii="宋体" w:hAnsi="宋体"/>
                <w:color w:val="000000"/>
                <w:szCs w:val="20"/>
              </w:rPr>
              <w:t>对接水盘清洁、消毒、除藻、下水、保温。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宋体" w:hAnsi="宋体"/>
                <w:color w:val="000000"/>
                <w:szCs w:val="20"/>
              </w:rPr>
            </w:pPr>
            <w:r>
              <w:rPr>
                <w:rFonts w:ascii="宋体" w:hAnsi="宋体"/>
                <w:color w:val="000000"/>
                <w:szCs w:val="20"/>
              </w:rPr>
              <w:t>7</w:t>
            </w:r>
          </w:p>
        </w:tc>
        <w:tc>
          <w:tcPr>
            <w:tcW w:w="19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宋体" w:hAnsi="宋体"/>
                <w:color w:val="000000"/>
                <w:szCs w:val="20"/>
              </w:rPr>
            </w:pPr>
            <w:r>
              <w:rPr>
                <w:rFonts w:ascii="宋体" w:hAnsi="宋体"/>
                <w:color w:val="000000"/>
                <w:szCs w:val="20"/>
              </w:rPr>
              <w:t>风机机械保养</w:t>
            </w:r>
          </w:p>
        </w:tc>
        <w:tc>
          <w:tcPr>
            <w:tcW w:w="710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tLeast"/>
              <w:rPr>
                <w:rFonts w:ascii="宋体" w:hAnsi="宋体"/>
                <w:color w:val="000000"/>
                <w:szCs w:val="20"/>
              </w:rPr>
            </w:pPr>
            <w:r>
              <w:rPr>
                <w:rFonts w:ascii="宋体" w:hAnsi="宋体"/>
                <w:color w:val="000000"/>
                <w:szCs w:val="20"/>
              </w:rPr>
              <w:t>皮带松紧度检查及调整。连接螺母的检查。基础与机架的检查。风机与电机的连接。减震装置的受力检查。润滑油的检查与添加。润滑脂检查与添加。风机的机械检查。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宋体" w:hAnsi="宋体"/>
                <w:color w:val="000000"/>
                <w:szCs w:val="20"/>
              </w:rPr>
            </w:pPr>
            <w:r>
              <w:rPr>
                <w:rFonts w:ascii="宋体" w:hAnsi="宋体"/>
                <w:color w:val="000000"/>
                <w:szCs w:val="20"/>
              </w:rPr>
              <w:t>8</w:t>
            </w:r>
          </w:p>
        </w:tc>
        <w:tc>
          <w:tcPr>
            <w:tcW w:w="19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宋体" w:hAnsi="宋体"/>
                <w:color w:val="000000"/>
                <w:szCs w:val="20"/>
              </w:rPr>
            </w:pPr>
            <w:r>
              <w:rPr>
                <w:rFonts w:ascii="宋体" w:hAnsi="宋体"/>
                <w:color w:val="000000"/>
                <w:szCs w:val="20"/>
              </w:rPr>
              <w:t>电器电机维修检查</w:t>
            </w:r>
          </w:p>
        </w:tc>
        <w:tc>
          <w:tcPr>
            <w:tcW w:w="710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tLeast"/>
              <w:rPr>
                <w:rFonts w:ascii="宋体" w:hAnsi="宋体"/>
                <w:color w:val="000000"/>
                <w:szCs w:val="20"/>
              </w:rPr>
            </w:pPr>
            <w:r>
              <w:rPr>
                <w:rFonts w:ascii="宋体" w:hAnsi="宋体"/>
                <w:color w:val="000000"/>
                <w:szCs w:val="20"/>
              </w:rPr>
              <w:t>1</w:t>
            </w:r>
            <w:r>
              <w:rPr>
                <w:rFonts w:hint="eastAsia" w:ascii="宋体" w:hAnsi="宋体"/>
                <w:color w:val="000000"/>
                <w:szCs w:val="20"/>
              </w:rPr>
              <w:t>.</w:t>
            </w:r>
            <w:r>
              <w:rPr>
                <w:rFonts w:ascii="宋体" w:hAnsi="宋体"/>
                <w:color w:val="000000"/>
                <w:szCs w:val="20"/>
              </w:rPr>
              <w:t>润滑脂的检查与添加。2.轴承的检查。3.电机温升的检查。 4.电机的绝缘检查。5.接线盒的连线检查。6.电缆检查。7.启动箱及控制装置的检查。8.地脚螺栓紧固检查。9.电器装置常规检查。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宋体" w:hAnsi="宋体"/>
                <w:color w:val="000000"/>
                <w:szCs w:val="20"/>
              </w:rPr>
            </w:pPr>
            <w:r>
              <w:rPr>
                <w:rFonts w:ascii="宋体" w:hAnsi="宋体"/>
                <w:color w:val="000000"/>
                <w:szCs w:val="20"/>
              </w:rPr>
              <w:t>9</w:t>
            </w:r>
          </w:p>
        </w:tc>
        <w:tc>
          <w:tcPr>
            <w:tcW w:w="19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宋体" w:hAnsi="宋体"/>
                <w:color w:val="000000"/>
                <w:szCs w:val="20"/>
              </w:rPr>
            </w:pPr>
            <w:r>
              <w:rPr>
                <w:rFonts w:ascii="宋体" w:hAnsi="宋体"/>
                <w:color w:val="000000"/>
                <w:szCs w:val="20"/>
              </w:rPr>
              <w:t>箱体卫生</w:t>
            </w:r>
          </w:p>
        </w:tc>
        <w:tc>
          <w:tcPr>
            <w:tcW w:w="710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tLeast"/>
              <w:rPr>
                <w:rFonts w:ascii="宋体" w:hAnsi="宋体"/>
                <w:color w:val="000000"/>
                <w:szCs w:val="20"/>
              </w:rPr>
            </w:pPr>
            <w:r>
              <w:rPr>
                <w:rFonts w:ascii="宋体" w:hAnsi="宋体"/>
                <w:color w:val="000000"/>
                <w:szCs w:val="20"/>
              </w:rPr>
              <w:t>1.箱体的内外部卫生清扫、清洗及消毒。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宋体" w:hAnsi="宋体"/>
                <w:color w:val="000000"/>
                <w:szCs w:val="20"/>
              </w:rPr>
            </w:pPr>
            <w:r>
              <w:rPr>
                <w:rFonts w:ascii="宋体" w:hAnsi="宋体"/>
                <w:color w:val="000000"/>
                <w:szCs w:val="20"/>
              </w:rPr>
              <w:t>10</w:t>
            </w:r>
          </w:p>
        </w:tc>
        <w:tc>
          <w:tcPr>
            <w:tcW w:w="19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宋体" w:hAnsi="宋体"/>
                <w:color w:val="000000"/>
                <w:szCs w:val="20"/>
              </w:rPr>
            </w:pPr>
            <w:r>
              <w:rPr>
                <w:rFonts w:ascii="宋体" w:hAnsi="宋体"/>
                <w:color w:val="000000"/>
                <w:szCs w:val="20"/>
              </w:rPr>
              <w:t>箱体漏风检查</w:t>
            </w:r>
          </w:p>
        </w:tc>
        <w:tc>
          <w:tcPr>
            <w:tcW w:w="7106" w:type="dxa"/>
            <w:tcBorders>
              <w:top w:val="single" w:color="auto" w:sz="4" w:space="0"/>
              <w:left w:val="single" w:color="auto" w:sz="4" w:space="0"/>
              <w:bottom w:val="single" w:color="auto" w:sz="4" w:space="0"/>
              <w:right w:val="single" w:color="auto" w:sz="4" w:space="0"/>
            </w:tcBorders>
          </w:tcPr>
          <w:p>
            <w:pPr>
              <w:adjustRightInd w:val="0"/>
              <w:snapToGrid w:val="0"/>
              <w:spacing w:line="320" w:lineRule="atLeast"/>
              <w:rPr>
                <w:rFonts w:ascii="宋体" w:hAnsi="宋体"/>
                <w:color w:val="000000"/>
                <w:szCs w:val="20"/>
              </w:rPr>
            </w:pPr>
            <w:r>
              <w:rPr>
                <w:rFonts w:ascii="宋体" w:hAnsi="宋体"/>
                <w:color w:val="000000"/>
                <w:szCs w:val="20"/>
              </w:rPr>
              <w:t>1.各工作段连接处检查。2.检查口检查。3.人孔的检查。4.静压箱的检查。5.帆布软接头检查。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宋体" w:hAnsi="宋体"/>
                <w:color w:val="000000"/>
                <w:szCs w:val="20"/>
              </w:rPr>
            </w:pPr>
            <w:r>
              <w:rPr>
                <w:rFonts w:ascii="宋体" w:hAnsi="宋体"/>
                <w:color w:val="000000"/>
                <w:szCs w:val="20"/>
              </w:rPr>
              <w:t>11</w:t>
            </w:r>
          </w:p>
        </w:tc>
        <w:tc>
          <w:tcPr>
            <w:tcW w:w="19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宋体" w:hAnsi="宋体"/>
                <w:color w:val="000000"/>
                <w:szCs w:val="20"/>
              </w:rPr>
            </w:pPr>
            <w:r>
              <w:rPr>
                <w:rFonts w:ascii="宋体" w:hAnsi="宋体"/>
                <w:color w:val="000000"/>
                <w:szCs w:val="20"/>
              </w:rPr>
              <w:t>检查孔检查</w:t>
            </w:r>
          </w:p>
        </w:tc>
        <w:tc>
          <w:tcPr>
            <w:tcW w:w="710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tLeast"/>
              <w:rPr>
                <w:rFonts w:ascii="宋体" w:hAnsi="宋体"/>
                <w:color w:val="000000"/>
                <w:szCs w:val="20"/>
              </w:rPr>
            </w:pPr>
            <w:r>
              <w:rPr>
                <w:rFonts w:ascii="宋体" w:hAnsi="宋体"/>
                <w:color w:val="000000"/>
                <w:szCs w:val="20"/>
              </w:rPr>
              <w:t>1</w:t>
            </w:r>
            <w:r>
              <w:rPr>
                <w:rFonts w:hint="eastAsia" w:ascii="宋体" w:hAnsi="宋体"/>
                <w:color w:val="000000"/>
                <w:szCs w:val="20"/>
              </w:rPr>
              <w:t>.</w:t>
            </w:r>
            <w:r>
              <w:rPr>
                <w:rFonts w:ascii="宋体" w:hAnsi="宋体"/>
                <w:color w:val="000000"/>
                <w:szCs w:val="20"/>
              </w:rPr>
              <w:t>检查密封条。2.孔门的检查。3.孔门锁的检查。4.检查锈蚀。5.检查铰链。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宋体" w:hAnsi="宋体"/>
                <w:color w:val="000000"/>
                <w:szCs w:val="20"/>
              </w:rPr>
            </w:pPr>
            <w:r>
              <w:rPr>
                <w:rFonts w:ascii="宋体" w:hAnsi="宋体"/>
                <w:color w:val="000000"/>
                <w:szCs w:val="20"/>
              </w:rPr>
              <w:t>12</w:t>
            </w:r>
          </w:p>
        </w:tc>
        <w:tc>
          <w:tcPr>
            <w:tcW w:w="19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宋体" w:hAnsi="宋体"/>
                <w:color w:val="000000"/>
                <w:szCs w:val="20"/>
              </w:rPr>
            </w:pPr>
            <w:r>
              <w:rPr>
                <w:rFonts w:ascii="宋体" w:hAnsi="宋体"/>
                <w:color w:val="000000"/>
                <w:szCs w:val="20"/>
              </w:rPr>
              <w:t>保温检查及除锈</w:t>
            </w:r>
          </w:p>
        </w:tc>
        <w:tc>
          <w:tcPr>
            <w:tcW w:w="710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tLeast"/>
              <w:rPr>
                <w:rFonts w:ascii="宋体" w:hAnsi="宋体"/>
                <w:color w:val="000000"/>
                <w:szCs w:val="20"/>
              </w:rPr>
            </w:pPr>
            <w:r>
              <w:rPr>
                <w:rFonts w:ascii="宋体" w:hAnsi="宋体"/>
                <w:color w:val="000000"/>
                <w:szCs w:val="20"/>
              </w:rPr>
              <w:t>1</w:t>
            </w:r>
            <w:r>
              <w:rPr>
                <w:rFonts w:hint="eastAsia" w:ascii="宋体" w:hAnsi="宋体"/>
                <w:color w:val="000000"/>
                <w:szCs w:val="20"/>
              </w:rPr>
              <w:t>.</w:t>
            </w:r>
            <w:r>
              <w:rPr>
                <w:rFonts w:ascii="宋体" w:hAnsi="宋体"/>
                <w:color w:val="000000"/>
                <w:szCs w:val="20"/>
              </w:rPr>
              <w:t>检</w:t>
            </w:r>
            <w:r>
              <w:rPr>
                <w:rFonts w:ascii="宋体" w:hAnsi="宋体"/>
                <w:color w:val="000000"/>
                <w:spacing w:val="-4"/>
                <w:szCs w:val="20"/>
              </w:rPr>
              <w:t>查保温层是否脱落、破损。2.检查吸水量。3.外壳及基础、钢构件的除锈。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宋体" w:hAnsi="宋体"/>
                <w:color w:val="000000"/>
                <w:szCs w:val="20"/>
              </w:rPr>
            </w:pPr>
            <w:r>
              <w:rPr>
                <w:rFonts w:ascii="宋体" w:hAnsi="宋体"/>
                <w:color w:val="000000"/>
                <w:szCs w:val="20"/>
              </w:rPr>
              <w:t>13</w:t>
            </w:r>
          </w:p>
        </w:tc>
        <w:tc>
          <w:tcPr>
            <w:tcW w:w="19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宋体" w:hAnsi="宋体"/>
                <w:color w:val="000000"/>
                <w:szCs w:val="20"/>
              </w:rPr>
            </w:pPr>
            <w:r>
              <w:rPr>
                <w:rFonts w:ascii="宋体" w:hAnsi="宋体"/>
                <w:color w:val="000000"/>
                <w:szCs w:val="20"/>
              </w:rPr>
              <w:t>进水过滤器清洗</w:t>
            </w:r>
          </w:p>
        </w:tc>
        <w:tc>
          <w:tcPr>
            <w:tcW w:w="710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tLeast"/>
              <w:rPr>
                <w:rFonts w:ascii="宋体" w:hAnsi="宋体"/>
                <w:color w:val="000000"/>
                <w:szCs w:val="20"/>
              </w:rPr>
            </w:pPr>
            <w:r>
              <w:rPr>
                <w:rFonts w:ascii="宋体" w:hAnsi="宋体"/>
                <w:color w:val="000000"/>
                <w:szCs w:val="20"/>
              </w:rPr>
              <w:t>1</w:t>
            </w:r>
            <w:r>
              <w:rPr>
                <w:rFonts w:hint="eastAsia" w:ascii="宋体" w:hAnsi="宋体"/>
                <w:color w:val="000000"/>
                <w:szCs w:val="20"/>
              </w:rPr>
              <w:t>.</w:t>
            </w:r>
            <w:r>
              <w:rPr>
                <w:rFonts w:ascii="宋体" w:hAnsi="宋体"/>
                <w:color w:val="000000"/>
                <w:szCs w:val="20"/>
              </w:rPr>
              <w:t>拆卸清洗过滤网。2.过滤器阀体除垢。3.密封件的检查。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宋体" w:hAnsi="宋体"/>
                <w:color w:val="000000"/>
                <w:szCs w:val="20"/>
              </w:rPr>
            </w:pPr>
            <w:r>
              <w:rPr>
                <w:rFonts w:ascii="宋体" w:hAnsi="宋体"/>
                <w:color w:val="000000"/>
                <w:szCs w:val="20"/>
              </w:rPr>
              <w:t>14</w:t>
            </w:r>
          </w:p>
        </w:tc>
        <w:tc>
          <w:tcPr>
            <w:tcW w:w="19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宋体" w:hAnsi="宋体"/>
                <w:color w:val="000000"/>
                <w:szCs w:val="20"/>
              </w:rPr>
            </w:pPr>
            <w:r>
              <w:rPr>
                <w:rFonts w:ascii="宋体" w:hAnsi="宋体"/>
                <w:color w:val="000000"/>
                <w:szCs w:val="20"/>
              </w:rPr>
              <w:t>喷雾室检修</w:t>
            </w:r>
          </w:p>
        </w:tc>
        <w:tc>
          <w:tcPr>
            <w:tcW w:w="7106" w:type="dxa"/>
            <w:tcBorders>
              <w:top w:val="single" w:color="auto" w:sz="4" w:space="0"/>
              <w:left w:val="single" w:color="auto" w:sz="4" w:space="0"/>
              <w:bottom w:val="single" w:color="auto" w:sz="4" w:space="0"/>
              <w:right w:val="single" w:color="auto" w:sz="4" w:space="0"/>
            </w:tcBorders>
          </w:tcPr>
          <w:p>
            <w:pPr>
              <w:adjustRightInd w:val="0"/>
              <w:snapToGrid w:val="0"/>
              <w:spacing w:line="320" w:lineRule="atLeast"/>
              <w:rPr>
                <w:rFonts w:ascii="宋体" w:hAnsi="宋体"/>
                <w:color w:val="000000"/>
                <w:szCs w:val="20"/>
              </w:rPr>
            </w:pPr>
            <w:r>
              <w:rPr>
                <w:rFonts w:ascii="宋体" w:hAnsi="宋体"/>
                <w:color w:val="000000"/>
                <w:szCs w:val="20"/>
              </w:rPr>
              <w:t>1.喷头拆卸、清洗、更换。2.喷水方向及角度的调整。3.挡水板的检测。4.浮球阀的检测。5.溢流口及溢流管道的检测。6.二次泵过滤器的检测。7.二次水泵的检测。8.加热、加湿装置的检修。</w:t>
            </w:r>
          </w:p>
        </w:tc>
      </w:tr>
    </w:tbl>
    <w:p>
      <w:pPr>
        <w:adjustRightInd w:val="0"/>
        <w:snapToGrid w:val="0"/>
        <w:spacing w:beforeLines="50" w:afterLines="20" w:line="360" w:lineRule="atLeast"/>
        <w:rPr>
          <w:rFonts w:ascii="黑体" w:hAnsi="宋体" w:eastAsia="黑体"/>
          <w:color w:val="000000"/>
          <w:sz w:val="24"/>
          <w:szCs w:val="20"/>
        </w:rPr>
      </w:pPr>
      <w:r>
        <w:rPr>
          <w:rFonts w:hint="eastAsia" w:ascii="黑体" w:hAnsi="宋体" w:eastAsia="黑体"/>
          <w:color w:val="000000"/>
          <w:sz w:val="24"/>
          <w:szCs w:val="20"/>
        </w:rPr>
        <w:t>风机盘管</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940"/>
        <w:gridCol w:w="7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Pr>
          <w:p>
            <w:pPr>
              <w:adjustRightInd w:val="0"/>
              <w:snapToGrid w:val="0"/>
              <w:spacing w:line="340" w:lineRule="exact"/>
              <w:rPr>
                <w:rFonts w:ascii="宋体" w:hAnsi="宋体"/>
                <w:color w:val="000000"/>
                <w:szCs w:val="20"/>
              </w:rPr>
            </w:pPr>
            <w:r>
              <w:rPr>
                <w:rFonts w:ascii="宋体" w:hAnsi="宋体"/>
                <w:color w:val="000000"/>
                <w:szCs w:val="20"/>
              </w:rPr>
              <w:t>NO.</w:t>
            </w:r>
          </w:p>
        </w:tc>
        <w:tc>
          <w:tcPr>
            <w:tcW w:w="1940" w:type="dxa"/>
          </w:tcPr>
          <w:p>
            <w:pPr>
              <w:adjustRightInd w:val="0"/>
              <w:snapToGrid w:val="0"/>
              <w:spacing w:line="340" w:lineRule="exact"/>
              <w:rPr>
                <w:rFonts w:ascii="宋体" w:hAnsi="宋体"/>
                <w:color w:val="000000"/>
                <w:szCs w:val="20"/>
              </w:rPr>
            </w:pPr>
            <w:r>
              <w:rPr>
                <w:rFonts w:ascii="宋体" w:hAnsi="宋体"/>
                <w:color w:val="000000"/>
                <w:szCs w:val="20"/>
              </w:rPr>
              <w:t>服务项目</w:t>
            </w:r>
          </w:p>
        </w:tc>
        <w:tc>
          <w:tcPr>
            <w:tcW w:w="7083" w:type="dxa"/>
          </w:tcPr>
          <w:p>
            <w:pPr>
              <w:adjustRightInd w:val="0"/>
              <w:snapToGrid w:val="0"/>
              <w:spacing w:line="340" w:lineRule="exact"/>
              <w:rPr>
                <w:rFonts w:ascii="宋体" w:hAnsi="宋体"/>
                <w:color w:val="000000"/>
                <w:szCs w:val="20"/>
              </w:rPr>
            </w:pPr>
            <w:r>
              <w:rPr>
                <w:rFonts w:ascii="宋体" w:hAnsi="宋体"/>
                <w:color w:val="000000"/>
                <w:szCs w:val="20"/>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40" w:lineRule="exact"/>
              <w:rPr>
                <w:rFonts w:ascii="宋体" w:hAnsi="宋体"/>
                <w:color w:val="000000"/>
                <w:szCs w:val="20"/>
              </w:rPr>
            </w:pPr>
            <w:r>
              <w:rPr>
                <w:rFonts w:ascii="宋体" w:hAnsi="宋体"/>
                <w:color w:val="000000"/>
                <w:szCs w:val="20"/>
              </w:rPr>
              <w:t>1</w:t>
            </w:r>
          </w:p>
        </w:tc>
        <w:tc>
          <w:tcPr>
            <w:tcW w:w="1940" w:type="dxa"/>
            <w:vAlign w:val="center"/>
          </w:tcPr>
          <w:p>
            <w:pPr>
              <w:adjustRightInd w:val="0"/>
              <w:snapToGrid w:val="0"/>
              <w:spacing w:line="340" w:lineRule="exact"/>
              <w:rPr>
                <w:rFonts w:ascii="宋体" w:hAnsi="宋体"/>
                <w:color w:val="000000"/>
                <w:szCs w:val="20"/>
              </w:rPr>
            </w:pPr>
            <w:r>
              <w:rPr>
                <w:rFonts w:ascii="宋体" w:hAnsi="宋体"/>
                <w:color w:val="000000"/>
                <w:szCs w:val="20"/>
              </w:rPr>
              <w:t>回风过滤网清洗</w:t>
            </w:r>
          </w:p>
        </w:tc>
        <w:tc>
          <w:tcPr>
            <w:tcW w:w="7083" w:type="dxa"/>
          </w:tcPr>
          <w:p>
            <w:pPr>
              <w:adjustRightInd w:val="0"/>
              <w:snapToGrid w:val="0"/>
              <w:spacing w:line="340" w:lineRule="exact"/>
              <w:rPr>
                <w:rFonts w:ascii="宋体" w:hAnsi="宋体"/>
                <w:color w:val="000000"/>
                <w:szCs w:val="20"/>
              </w:rPr>
            </w:pPr>
            <w:r>
              <w:rPr>
                <w:rFonts w:ascii="宋体" w:hAnsi="宋体"/>
                <w:color w:val="000000"/>
                <w:szCs w:val="20"/>
              </w:rPr>
              <w:t>1.采取吸尘器清理方式或拆下过滤网用加压清水冲洗或刷洗。2.对有油污的采用化学清洗剂清洁。3.按运行周期和要求清洗。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40" w:lineRule="exact"/>
              <w:rPr>
                <w:rFonts w:ascii="宋体" w:hAnsi="宋体"/>
                <w:color w:val="000000"/>
                <w:szCs w:val="20"/>
              </w:rPr>
            </w:pPr>
            <w:r>
              <w:rPr>
                <w:rFonts w:ascii="宋体" w:hAnsi="宋体"/>
                <w:color w:val="000000"/>
                <w:szCs w:val="20"/>
              </w:rPr>
              <w:t>2</w:t>
            </w:r>
          </w:p>
        </w:tc>
        <w:tc>
          <w:tcPr>
            <w:tcW w:w="1940" w:type="dxa"/>
            <w:vAlign w:val="center"/>
          </w:tcPr>
          <w:p>
            <w:pPr>
              <w:adjustRightInd w:val="0"/>
              <w:snapToGrid w:val="0"/>
              <w:spacing w:line="340" w:lineRule="exact"/>
              <w:rPr>
                <w:rFonts w:ascii="宋体" w:hAnsi="宋体"/>
                <w:color w:val="000000"/>
                <w:szCs w:val="20"/>
              </w:rPr>
            </w:pPr>
            <w:r>
              <w:rPr>
                <w:rFonts w:ascii="宋体" w:hAnsi="宋体"/>
                <w:color w:val="000000"/>
                <w:szCs w:val="20"/>
              </w:rPr>
              <w:t>接水盘清洗</w:t>
            </w:r>
          </w:p>
        </w:tc>
        <w:tc>
          <w:tcPr>
            <w:tcW w:w="7083" w:type="dxa"/>
          </w:tcPr>
          <w:p>
            <w:pPr>
              <w:adjustRightInd w:val="0"/>
              <w:snapToGrid w:val="0"/>
              <w:spacing w:line="340" w:lineRule="exact"/>
              <w:rPr>
                <w:rFonts w:ascii="宋体" w:hAnsi="宋体"/>
                <w:color w:val="000000"/>
                <w:szCs w:val="20"/>
              </w:rPr>
            </w:pPr>
            <w:r>
              <w:rPr>
                <w:rFonts w:ascii="宋体" w:hAnsi="宋体"/>
                <w:color w:val="000000"/>
                <w:szCs w:val="20"/>
              </w:rPr>
              <w:t>采用水冲洗，污水由排水管排出。或采用压力水或压缩空气清洗吹污排水管。滴水盘再用消毒水涮洗一遍，选用杀菌能力强和腐蚀少的药片。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40" w:lineRule="exact"/>
              <w:rPr>
                <w:rFonts w:ascii="宋体" w:hAnsi="宋体"/>
                <w:color w:val="000000"/>
                <w:szCs w:val="20"/>
              </w:rPr>
            </w:pPr>
            <w:r>
              <w:rPr>
                <w:rFonts w:ascii="宋体" w:hAnsi="宋体"/>
                <w:color w:val="000000"/>
                <w:szCs w:val="20"/>
              </w:rPr>
              <w:t>3</w:t>
            </w:r>
          </w:p>
        </w:tc>
        <w:tc>
          <w:tcPr>
            <w:tcW w:w="1940" w:type="dxa"/>
            <w:vAlign w:val="center"/>
          </w:tcPr>
          <w:p>
            <w:pPr>
              <w:adjustRightInd w:val="0"/>
              <w:snapToGrid w:val="0"/>
              <w:spacing w:line="340" w:lineRule="exact"/>
              <w:rPr>
                <w:rFonts w:ascii="宋体" w:hAnsi="宋体"/>
                <w:color w:val="000000"/>
                <w:szCs w:val="20"/>
              </w:rPr>
            </w:pPr>
            <w:r>
              <w:rPr>
                <w:rFonts w:ascii="宋体" w:hAnsi="宋体"/>
                <w:color w:val="000000"/>
                <w:szCs w:val="20"/>
              </w:rPr>
              <w:t>盘管清洗</w:t>
            </w:r>
          </w:p>
        </w:tc>
        <w:tc>
          <w:tcPr>
            <w:tcW w:w="7083" w:type="dxa"/>
          </w:tcPr>
          <w:p>
            <w:pPr>
              <w:tabs>
                <w:tab w:val="left" w:pos="3180"/>
              </w:tabs>
              <w:adjustRightInd w:val="0"/>
              <w:snapToGrid w:val="0"/>
              <w:spacing w:line="340" w:lineRule="exact"/>
              <w:rPr>
                <w:rFonts w:ascii="宋体" w:hAnsi="宋体"/>
                <w:color w:val="000000"/>
                <w:szCs w:val="20"/>
              </w:rPr>
            </w:pPr>
            <w:r>
              <w:rPr>
                <w:rFonts w:ascii="宋体" w:hAnsi="宋体"/>
                <w:color w:val="000000"/>
                <w:szCs w:val="20"/>
              </w:rPr>
              <w:t>采用吸尘器清吸，或用水冲洗。对油污或化学污染则要采用清洗剂清洗。特殊情况采用整体拆卸清洗。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40" w:lineRule="exact"/>
              <w:rPr>
                <w:rFonts w:ascii="宋体" w:hAnsi="宋体"/>
                <w:color w:val="000000"/>
                <w:szCs w:val="20"/>
              </w:rPr>
            </w:pPr>
            <w:r>
              <w:rPr>
                <w:rFonts w:ascii="宋体" w:hAnsi="宋体"/>
                <w:color w:val="000000"/>
                <w:szCs w:val="20"/>
              </w:rPr>
              <w:t>4</w:t>
            </w:r>
          </w:p>
        </w:tc>
        <w:tc>
          <w:tcPr>
            <w:tcW w:w="1940" w:type="dxa"/>
            <w:vAlign w:val="center"/>
          </w:tcPr>
          <w:p>
            <w:pPr>
              <w:adjustRightInd w:val="0"/>
              <w:snapToGrid w:val="0"/>
              <w:spacing w:line="340" w:lineRule="exact"/>
              <w:rPr>
                <w:rFonts w:ascii="宋体" w:hAnsi="宋体"/>
                <w:color w:val="000000"/>
                <w:szCs w:val="20"/>
              </w:rPr>
            </w:pPr>
            <w:r>
              <w:rPr>
                <w:rFonts w:ascii="宋体" w:hAnsi="宋体"/>
                <w:color w:val="000000"/>
                <w:szCs w:val="20"/>
              </w:rPr>
              <w:t>风机叶轮清洗</w:t>
            </w:r>
          </w:p>
        </w:tc>
        <w:tc>
          <w:tcPr>
            <w:tcW w:w="7083" w:type="dxa"/>
          </w:tcPr>
          <w:p>
            <w:pPr>
              <w:adjustRightInd w:val="0"/>
              <w:snapToGrid w:val="0"/>
              <w:spacing w:line="340" w:lineRule="exact"/>
              <w:rPr>
                <w:rFonts w:ascii="宋体" w:hAnsi="宋体"/>
                <w:color w:val="000000"/>
                <w:szCs w:val="20"/>
              </w:rPr>
            </w:pPr>
            <w:r>
              <w:rPr>
                <w:rFonts w:ascii="宋体" w:hAnsi="宋体"/>
                <w:color w:val="000000"/>
                <w:szCs w:val="20"/>
              </w:rPr>
              <w:t>1.采用小型强力吸尘器清洁。2.拆卸清洗。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40" w:lineRule="exact"/>
              <w:rPr>
                <w:rFonts w:ascii="宋体" w:hAnsi="宋体"/>
                <w:color w:val="000000"/>
                <w:szCs w:val="20"/>
              </w:rPr>
            </w:pPr>
            <w:r>
              <w:rPr>
                <w:rFonts w:ascii="宋体" w:hAnsi="宋体"/>
                <w:color w:val="000000"/>
                <w:szCs w:val="20"/>
              </w:rPr>
              <w:t>5</w:t>
            </w:r>
          </w:p>
        </w:tc>
        <w:tc>
          <w:tcPr>
            <w:tcW w:w="1940" w:type="dxa"/>
            <w:vAlign w:val="center"/>
          </w:tcPr>
          <w:p>
            <w:pPr>
              <w:adjustRightInd w:val="0"/>
              <w:snapToGrid w:val="0"/>
              <w:spacing w:line="340" w:lineRule="exact"/>
              <w:rPr>
                <w:rFonts w:ascii="宋体" w:hAnsi="宋体"/>
                <w:color w:val="000000"/>
                <w:szCs w:val="20"/>
              </w:rPr>
            </w:pPr>
            <w:r>
              <w:rPr>
                <w:rFonts w:ascii="宋体" w:hAnsi="宋体"/>
                <w:color w:val="000000"/>
                <w:szCs w:val="20"/>
              </w:rPr>
              <w:t>水过滤器清洗</w:t>
            </w:r>
          </w:p>
        </w:tc>
        <w:tc>
          <w:tcPr>
            <w:tcW w:w="7083" w:type="dxa"/>
          </w:tcPr>
          <w:p>
            <w:pPr>
              <w:adjustRightInd w:val="0"/>
              <w:snapToGrid w:val="0"/>
              <w:spacing w:line="340" w:lineRule="exact"/>
              <w:rPr>
                <w:rFonts w:ascii="宋体" w:hAnsi="宋体"/>
                <w:color w:val="000000"/>
                <w:szCs w:val="20"/>
              </w:rPr>
            </w:pPr>
            <w:r>
              <w:rPr>
                <w:rFonts w:ascii="宋体" w:hAnsi="宋体"/>
                <w:color w:val="000000"/>
                <w:szCs w:val="20"/>
              </w:rPr>
              <w:t>采用清水冲洗过滤器的同时，对盘管用压力水反冲洗。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40" w:lineRule="exact"/>
              <w:rPr>
                <w:rFonts w:ascii="宋体" w:hAnsi="宋体"/>
                <w:color w:val="000000"/>
                <w:szCs w:val="20"/>
              </w:rPr>
            </w:pPr>
            <w:r>
              <w:rPr>
                <w:rFonts w:ascii="宋体" w:hAnsi="宋体"/>
                <w:color w:val="000000"/>
                <w:szCs w:val="20"/>
              </w:rPr>
              <w:t>6</w:t>
            </w:r>
          </w:p>
        </w:tc>
        <w:tc>
          <w:tcPr>
            <w:tcW w:w="1940" w:type="dxa"/>
            <w:vAlign w:val="center"/>
          </w:tcPr>
          <w:p>
            <w:pPr>
              <w:adjustRightInd w:val="0"/>
              <w:snapToGrid w:val="0"/>
              <w:spacing w:line="340" w:lineRule="exact"/>
              <w:rPr>
                <w:rFonts w:ascii="宋体" w:hAnsi="宋体"/>
                <w:color w:val="000000"/>
                <w:szCs w:val="20"/>
              </w:rPr>
            </w:pPr>
            <w:r>
              <w:rPr>
                <w:rFonts w:ascii="宋体" w:hAnsi="宋体"/>
                <w:color w:val="000000"/>
                <w:szCs w:val="20"/>
              </w:rPr>
              <w:t>保温层检查</w:t>
            </w:r>
          </w:p>
        </w:tc>
        <w:tc>
          <w:tcPr>
            <w:tcW w:w="7083" w:type="dxa"/>
          </w:tcPr>
          <w:p>
            <w:pPr>
              <w:adjustRightInd w:val="0"/>
              <w:snapToGrid w:val="0"/>
              <w:spacing w:line="340" w:lineRule="exact"/>
              <w:rPr>
                <w:rFonts w:ascii="宋体" w:hAnsi="宋体"/>
                <w:color w:val="000000"/>
                <w:szCs w:val="20"/>
              </w:rPr>
            </w:pPr>
            <w:r>
              <w:rPr>
                <w:rFonts w:ascii="宋体" w:hAnsi="宋体"/>
                <w:color w:val="000000"/>
                <w:szCs w:val="20"/>
              </w:rPr>
              <w:t>检查修理保温层，对损坏、脱胶翻卷、发线、及时修补。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40" w:lineRule="exact"/>
              <w:rPr>
                <w:rFonts w:ascii="宋体" w:hAnsi="宋体"/>
                <w:color w:val="000000"/>
                <w:szCs w:val="20"/>
              </w:rPr>
            </w:pPr>
            <w:r>
              <w:rPr>
                <w:rFonts w:ascii="宋体" w:hAnsi="宋体"/>
                <w:color w:val="000000"/>
                <w:szCs w:val="20"/>
              </w:rPr>
              <w:t>7</w:t>
            </w:r>
          </w:p>
        </w:tc>
        <w:tc>
          <w:tcPr>
            <w:tcW w:w="1940" w:type="dxa"/>
            <w:vAlign w:val="center"/>
          </w:tcPr>
          <w:p>
            <w:pPr>
              <w:adjustRightInd w:val="0"/>
              <w:snapToGrid w:val="0"/>
              <w:spacing w:line="340" w:lineRule="exact"/>
              <w:rPr>
                <w:rFonts w:ascii="宋体" w:hAnsi="宋体"/>
                <w:color w:val="000000"/>
                <w:szCs w:val="20"/>
              </w:rPr>
            </w:pPr>
            <w:r>
              <w:rPr>
                <w:rFonts w:ascii="宋体" w:hAnsi="宋体"/>
                <w:color w:val="000000"/>
                <w:szCs w:val="20"/>
              </w:rPr>
              <w:t>电器检修</w:t>
            </w:r>
          </w:p>
        </w:tc>
        <w:tc>
          <w:tcPr>
            <w:tcW w:w="7083" w:type="dxa"/>
          </w:tcPr>
          <w:p>
            <w:pPr>
              <w:adjustRightInd w:val="0"/>
              <w:snapToGrid w:val="0"/>
              <w:spacing w:line="340" w:lineRule="exact"/>
              <w:rPr>
                <w:rFonts w:ascii="宋体" w:hAnsi="宋体"/>
                <w:color w:val="000000"/>
                <w:szCs w:val="20"/>
              </w:rPr>
            </w:pPr>
            <w:r>
              <w:rPr>
                <w:rFonts w:ascii="宋体" w:hAnsi="宋体"/>
                <w:color w:val="000000"/>
                <w:szCs w:val="20"/>
              </w:rPr>
              <w:t>电器原件及线路常规检查。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40" w:lineRule="exact"/>
              <w:rPr>
                <w:rFonts w:ascii="宋体" w:hAnsi="宋体"/>
                <w:color w:val="000000"/>
                <w:szCs w:val="20"/>
              </w:rPr>
            </w:pPr>
            <w:r>
              <w:rPr>
                <w:rFonts w:ascii="宋体" w:hAnsi="宋体"/>
                <w:color w:val="000000"/>
                <w:szCs w:val="20"/>
              </w:rPr>
              <w:t>8</w:t>
            </w:r>
          </w:p>
        </w:tc>
        <w:tc>
          <w:tcPr>
            <w:tcW w:w="1940" w:type="dxa"/>
            <w:vAlign w:val="center"/>
          </w:tcPr>
          <w:p>
            <w:pPr>
              <w:adjustRightInd w:val="0"/>
              <w:snapToGrid w:val="0"/>
              <w:spacing w:line="340" w:lineRule="exact"/>
              <w:rPr>
                <w:rFonts w:ascii="宋体" w:hAnsi="宋体"/>
                <w:color w:val="000000"/>
                <w:szCs w:val="20"/>
              </w:rPr>
            </w:pPr>
            <w:r>
              <w:rPr>
                <w:rFonts w:ascii="宋体" w:hAnsi="宋体"/>
                <w:color w:val="000000"/>
                <w:szCs w:val="20"/>
              </w:rPr>
              <w:t>电磁阀检查</w:t>
            </w:r>
          </w:p>
        </w:tc>
        <w:tc>
          <w:tcPr>
            <w:tcW w:w="7083" w:type="dxa"/>
          </w:tcPr>
          <w:p>
            <w:pPr>
              <w:adjustRightInd w:val="0"/>
              <w:snapToGrid w:val="0"/>
              <w:spacing w:line="340" w:lineRule="exact"/>
              <w:rPr>
                <w:rFonts w:ascii="宋体" w:hAnsi="宋体"/>
                <w:color w:val="000000"/>
                <w:szCs w:val="20"/>
              </w:rPr>
            </w:pPr>
            <w:r>
              <w:rPr>
                <w:rFonts w:ascii="宋体" w:hAnsi="宋体"/>
                <w:color w:val="000000"/>
                <w:szCs w:val="20"/>
              </w:rPr>
              <w:t>电磁阀检修，主要检测电磁阀的启闭正常，关闭严密。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40" w:lineRule="exact"/>
              <w:rPr>
                <w:rFonts w:ascii="宋体" w:hAnsi="宋体"/>
                <w:color w:val="000000"/>
                <w:szCs w:val="20"/>
              </w:rPr>
            </w:pPr>
            <w:r>
              <w:rPr>
                <w:rFonts w:ascii="宋体" w:hAnsi="宋体"/>
                <w:color w:val="000000"/>
                <w:szCs w:val="20"/>
              </w:rPr>
              <w:t>9</w:t>
            </w:r>
          </w:p>
        </w:tc>
        <w:tc>
          <w:tcPr>
            <w:tcW w:w="1940" w:type="dxa"/>
            <w:vAlign w:val="center"/>
          </w:tcPr>
          <w:p>
            <w:pPr>
              <w:adjustRightInd w:val="0"/>
              <w:snapToGrid w:val="0"/>
              <w:spacing w:line="340" w:lineRule="exact"/>
              <w:rPr>
                <w:rFonts w:ascii="宋体" w:hAnsi="宋体"/>
                <w:color w:val="000000"/>
                <w:szCs w:val="20"/>
              </w:rPr>
            </w:pPr>
            <w:r>
              <w:rPr>
                <w:rFonts w:ascii="宋体" w:hAnsi="宋体"/>
                <w:color w:val="000000"/>
                <w:szCs w:val="20"/>
              </w:rPr>
              <w:t>防冻液添加</w:t>
            </w:r>
          </w:p>
        </w:tc>
        <w:tc>
          <w:tcPr>
            <w:tcW w:w="7083" w:type="dxa"/>
          </w:tcPr>
          <w:p>
            <w:pPr>
              <w:adjustRightInd w:val="0"/>
              <w:snapToGrid w:val="0"/>
              <w:spacing w:line="340" w:lineRule="exact"/>
              <w:rPr>
                <w:rFonts w:ascii="宋体" w:hAnsi="宋体"/>
                <w:color w:val="000000"/>
                <w:szCs w:val="20"/>
              </w:rPr>
            </w:pPr>
            <w:r>
              <w:rPr>
                <w:rFonts w:ascii="宋体" w:hAnsi="宋体"/>
                <w:color w:val="000000"/>
                <w:szCs w:val="20"/>
              </w:rPr>
              <w:t>检查冷温水防冻液的比例是否满足冬季防冻要求。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40" w:lineRule="exact"/>
              <w:rPr>
                <w:rFonts w:ascii="宋体" w:hAnsi="宋体"/>
                <w:color w:val="000000"/>
                <w:szCs w:val="20"/>
              </w:rPr>
            </w:pPr>
            <w:r>
              <w:rPr>
                <w:rFonts w:ascii="宋体" w:hAnsi="宋体"/>
                <w:color w:val="000000"/>
                <w:szCs w:val="20"/>
              </w:rPr>
              <w:t>10</w:t>
            </w:r>
          </w:p>
        </w:tc>
        <w:tc>
          <w:tcPr>
            <w:tcW w:w="1940" w:type="dxa"/>
            <w:vAlign w:val="center"/>
          </w:tcPr>
          <w:p>
            <w:pPr>
              <w:adjustRightInd w:val="0"/>
              <w:snapToGrid w:val="0"/>
              <w:spacing w:line="340" w:lineRule="exact"/>
              <w:rPr>
                <w:rFonts w:ascii="宋体" w:hAnsi="宋体"/>
                <w:color w:val="000000"/>
                <w:szCs w:val="20"/>
              </w:rPr>
            </w:pPr>
            <w:r>
              <w:rPr>
                <w:rFonts w:ascii="宋体" w:hAnsi="宋体"/>
                <w:color w:val="000000"/>
                <w:szCs w:val="20"/>
              </w:rPr>
              <w:t>空调水</w:t>
            </w:r>
          </w:p>
        </w:tc>
        <w:tc>
          <w:tcPr>
            <w:tcW w:w="7083" w:type="dxa"/>
          </w:tcPr>
          <w:p>
            <w:pPr>
              <w:adjustRightInd w:val="0"/>
              <w:snapToGrid w:val="0"/>
              <w:spacing w:line="340" w:lineRule="exact"/>
              <w:rPr>
                <w:rFonts w:ascii="宋体" w:hAnsi="宋体"/>
                <w:color w:val="000000"/>
                <w:szCs w:val="20"/>
              </w:rPr>
            </w:pPr>
            <w:r>
              <w:rPr>
                <w:rFonts w:ascii="宋体" w:hAnsi="宋体"/>
                <w:color w:val="000000"/>
                <w:szCs w:val="20"/>
              </w:rPr>
              <w:t>检查水质是否透明。如浑浊率＞10％，则更换。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40" w:lineRule="exact"/>
              <w:rPr>
                <w:rFonts w:ascii="宋体" w:hAnsi="宋体"/>
                <w:color w:val="000000"/>
                <w:szCs w:val="20"/>
              </w:rPr>
            </w:pPr>
            <w:r>
              <w:rPr>
                <w:rFonts w:ascii="宋体" w:hAnsi="宋体"/>
                <w:color w:val="000000"/>
                <w:szCs w:val="20"/>
              </w:rPr>
              <w:t>11</w:t>
            </w:r>
          </w:p>
        </w:tc>
        <w:tc>
          <w:tcPr>
            <w:tcW w:w="1940" w:type="dxa"/>
            <w:vAlign w:val="center"/>
          </w:tcPr>
          <w:p>
            <w:pPr>
              <w:adjustRightInd w:val="0"/>
              <w:snapToGrid w:val="0"/>
              <w:spacing w:line="340" w:lineRule="exact"/>
              <w:rPr>
                <w:rFonts w:ascii="宋体" w:hAnsi="宋体"/>
                <w:color w:val="000000"/>
                <w:szCs w:val="20"/>
              </w:rPr>
            </w:pPr>
            <w:r>
              <w:rPr>
                <w:rFonts w:ascii="宋体" w:hAnsi="宋体"/>
                <w:color w:val="000000"/>
                <w:szCs w:val="20"/>
              </w:rPr>
              <w:t>风堵开关</w:t>
            </w:r>
          </w:p>
        </w:tc>
        <w:tc>
          <w:tcPr>
            <w:tcW w:w="7083" w:type="dxa"/>
          </w:tcPr>
          <w:p>
            <w:pPr>
              <w:adjustRightInd w:val="0"/>
              <w:snapToGrid w:val="0"/>
              <w:spacing w:line="340" w:lineRule="exact"/>
              <w:rPr>
                <w:rFonts w:ascii="宋体" w:hAnsi="宋体"/>
                <w:color w:val="000000"/>
                <w:szCs w:val="20"/>
              </w:rPr>
            </w:pPr>
            <w:r>
              <w:rPr>
                <w:rFonts w:ascii="宋体" w:hAnsi="宋体"/>
                <w:color w:val="000000"/>
                <w:szCs w:val="20"/>
              </w:rPr>
              <w:t>检查动作是否正常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adjustRightInd w:val="0"/>
              <w:snapToGrid w:val="0"/>
              <w:spacing w:line="340" w:lineRule="exact"/>
              <w:rPr>
                <w:rFonts w:ascii="宋体" w:hAnsi="宋体"/>
                <w:color w:val="000000"/>
                <w:szCs w:val="20"/>
              </w:rPr>
            </w:pPr>
            <w:r>
              <w:rPr>
                <w:rFonts w:ascii="宋体" w:hAnsi="宋体"/>
                <w:color w:val="000000"/>
                <w:szCs w:val="20"/>
              </w:rPr>
              <w:t>12</w:t>
            </w:r>
          </w:p>
        </w:tc>
        <w:tc>
          <w:tcPr>
            <w:tcW w:w="1940" w:type="dxa"/>
            <w:vAlign w:val="center"/>
          </w:tcPr>
          <w:p>
            <w:pPr>
              <w:adjustRightInd w:val="0"/>
              <w:snapToGrid w:val="0"/>
              <w:spacing w:line="340" w:lineRule="exact"/>
              <w:rPr>
                <w:rFonts w:ascii="宋体" w:hAnsi="宋体"/>
                <w:color w:val="000000"/>
                <w:szCs w:val="20"/>
              </w:rPr>
            </w:pPr>
            <w:r>
              <w:rPr>
                <w:rFonts w:ascii="宋体" w:hAnsi="宋体"/>
                <w:color w:val="000000"/>
                <w:szCs w:val="20"/>
              </w:rPr>
              <w:t>噪音</w:t>
            </w:r>
          </w:p>
        </w:tc>
        <w:tc>
          <w:tcPr>
            <w:tcW w:w="7083" w:type="dxa"/>
          </w:tcPr>
          <w:p>
            <w:pPr>
              <w:adjustRightInd w:val="0"/>
              <w:snapToGrid w:val="0"/>
              <w:spacing w:line="340" w:lineRule="exact"/>
              <w:rPr>
                <w:rFonts w:ascii="宋体" w:hAnsi="宋体"/>
                <w:color w:val="000000"/>
                <w:szCs w:val="20"/>
              </w:rPr>
            </w:pPr>
            <w:r>
              <w:rPr>
                <w:rFonts w:ascii="宋体" w:hAnsi="宋体"/>
                <w:color w:val="000000"/>
                <w:szCs w:val="20"/>
              </w:rPr>
              <w:t>检查1、2、3挡风机噪音。噪音过大紧固风机或机身螺栓。</w:t>
            </w:r>
          </w:p>
        </w:tc>
      </w:tr>
    </w:tbl>
    <w:p>
      <w:pPr>
        <w:snapToGrid w:val="0"/>
        <w:spacing w:line="360" w:lineRule="auto"/>
        <w:ind w:firstLine="480"/>
        <w:rPr>
          <w:rFonts w:ascii="宋体" w:hAnsi="宋体"/>
          <w:szCs w:val="21"/>
        </w:rPr>
      </w:pPr>
    </w:p>
    <w:p>
      <w:pPr>
        <w:widowControl/>
        <w:jc w:val="left"/>
        <w:rPr>
          <w:rFonts w:asciiTheme="majorEastAsia" w:hAnsiTheme="majorEastAsia" w:eastAsiaTheme="majorEastAsia"/>
          <w:b/>
          <w:bCs/>
          <w:kern w:val="32"/>
          <w:sz w:val="28"/>
          <w:szCs w:val="28"/>
        </w:rPr>
      </w:pPr>
      <w:bookmarkStart w:id="22" w:name="_Toc491005870"/>
      <w:bookmarkStart w:id="23" w:name="_Toc13732428"/>
    </w:p>
    <w:p>
      <w:pPr>
        <w:widowControl/>
        <w:jc w:val="left"/>
        <w:rPr>
          <w:rFonts w:asciiTheme="majorEastAsia" w:hAnsiTheme="majorEastAsia" w:eastAsiaTheme="majorEastAsia"/>
          <w:b/>
          <w:bCs/>
          <w:kern w:val="32"/>
          <w:sz w:val="28"/>
          <w:szCs w:val="28"/>
        </w:rPr>
      </w:pPr>
      <w:r>
        <w:rPr>
          <w:rFonts w:asciiTheme="majorEastAsia" w:hAnsiTheme="majorEastAsia" w:eastAsiaTheme="majorEastAsia"/>
          <w:sz w:val="28"/>
          <w:szCs w:val="28"/>
        </w:rPr>
        <w:br w:type="page"/>
      </w:r>
    </w:p>
    <w:p>
      <w:pPr>
        <w:pStyle w:val="2"/>
        <w:numPr>
          <w:ilvl w:val="0"/>
          <w:numId w:val="0"/>
        </w:numPr>
        <w:rPr>
          <w:rFonts w:asciiTheme="majorEastAsia" w:hAnsiTheme="majorEastAsia" w:eastAsiaTheme="majorEastAsia"/>
          <w:sz w:val="28"/>
          <w:szCs w:val="28"/>
        </w:rPr>
      </w:pPr>
      <w:r>
        <w:rPr>
          <w:rFonts w:hint="eastAsia" w:asciiTheme="majorEastAsia" w:hAnsiTheme="majorEastAsia" w:eastAsiaTheme="majorEastAsia"/>
          <w:sz w:val="28"/>
          <w:szCs w:val="28"/>
        </w:rPr>
        <w:t>第六章  投标文件格式</w:t>
      </w:r>
      <w:bookmarkEnd w:id="22"/>
      <w:bookmarkEnd w:id="23"/>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一、投标承诺书</w:t>
      </w:r>
    </w:p>
    <w:p>
      <w:pPr>
        <w:spacing w:before="150"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kern w:val="0"/>
          <w:sz w:val="24"/>
          <w:u w:val="single"/>
        </w:rPr>
        <w:t>合肥百货大楼集团蚌埠百货大楼有限责任公司</w:t>
      </w:r>
      <w:r>
        <w:rPr>
          <w:rFonts w:hint="eastAsia" w:asciiTheme="minorEastAsia" w:hAnsiTheme="minorEastAsia" w:eastAsiaTheme="minorEastAsia" w:cstheme="minorEastAsia"/>
          <w:sz w:val="24"/>
        </w:rPr>
        <w:t>：</w:t>
      </w:r>
    </w:p>
    <w:p>
      <w:pPr>
        <w:spacing w:line="440" w:lineRule="exact"/>
        <w:ind w:firstLine="3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根据贵司号招标文件要求，我司签字代表（姓名、职务）已被正式授权代表投标人（投标人名称）提交下述文件：</w:t>
      </w:r>
    </w:p>
    <w:p>
      <w:pPr>
        <w:spacing w:line="440" w:lineRule="exact"/>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⑴开标一览表</w:t>
      </w:r>
    </w:p>
    <w:p>
      <w:pPr>
        <w:spacing w:line="440" w:lineRule="exact"/>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⑵服务方案</w:t>
      </w:r>
    </w:p>
    <w:p>
      <w:pPr>
        <w:spacing w:line="440" w:lineRule="exact"/>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（3）相关证明</w:t>
      </w:r>
    </w:p>
    <w:p>
      <w:pPr>
        <w:spacing w:line="440" w:lineRule="exact"/>
        <w:ind w:firstLine="120" w:firstLineChar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同时，签字代表宣布承诺如下：</w:t>
      </w:r>
    </w:p>
    <w:p>
      <w:pPr>
        <w:spacing w:line="44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⑴投标人已详细阅读全部招标文件（含修改文件），并理解其实质性内容，同意承担其规定的全部义务和相关责任。</w:t>
      </w:r>
    </w:p>
    <w:p>
      <w:pPr>
        <w:spacing w:line="44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⑵投标人严格按照招标文件的规定报价，如被确定为中标人后，将全面履行合同。</w:t>
      </w:r>
    </w:p>
    <w:p>
      <w:pPr>
        <w:spacing w:line="44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⑶投标人在交付</w:t>
      </w:r>
      <w:r>
        <w:rPr>
          <w:rFonts w:hint="eastAsia" w:asciiTheme="minorEastAsia" w:hAnsiTheme="minorEastAsia" w:eastAsiaTheme="minorEastAsia" w:cstheme="minorEastAsia"/>
          <w:b w:val="0"/>
          <w:bCs/>
          <w:sz w:val="24"/>
        </w:rPr>
        <w:t>投标</w:t>
      </w:r>
      <w:r>
        <w:rPr>
          <w:rFonts w:hint="eastAsia" w:asciiTheme="minorEastAsia" w:hAnsiTheme="minorEastAsia" w:eastAsiaTheme="minorEastAsia" w:cstheme="minorEastAsia"/>
          <w:sz w:val="24"/>
        </w:rPr>
        <w:t>保证金后，如出现串标、毁标、中标后不签订合同等违规行为，招标人有权没收该保证金。</w:t>
      </w:r>
    </w:p>
    <w:p>
      <w:pPr>
        <w:spacing w:line="44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⑷投标人近三年来没有骗取中标和严重违约及重大质量、安全问题。</w:t>
      </w:r>
    </w:p>
    <w:p>
      <w:pPr>
        <w:spacing w:line="44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⑸投标人完全理解招标人不以最低报价作为确定中标人唯一标准的评定标方式。</w:t>
      </w:r>
    </w:p>
    <w:p>
      <w:pPr>
        <w:spacing w:line="440" w:lineRule="exact"/>
        <w:ind w:firstLine="2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⑹投标人同意提供招标人可能要求的与其投标有关的一切数据或资料。</w:t>
      </w:r>
    </w:p>
    <w:p>
      <w:pPr>
        <w:spacing w:line="440" w:lineRule="exact"/>
        <w:rPr>
          <w:rFonts w:asciiTheme="minorEastAsia" w:hAnsiTheme="minorEastAsia" w:eastAsiaTheme="minorEastAsia" w:cstheme="minorEastAsia"/>
          <w:sz w:val="24"/>
        </w:rPr>
      </w:pPr>
    </w:p>
    <w:p>
      <w:pPr>
        <w:spacing w:line="440" w:lineRule="exact"/>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特此承诺</w:t>
      </w:r>
    </w:p>
    <w:p>
      <w:pPr>
        <w:spacing w:line="440" w:lineRule="exact"/>
        <w:ind w:firstLine="240" w:firstLineChars="100"/>
        <w:rPr>
          <w:rFonts w:asciiTheme="minorEastAsia" w:hAnsiTheme="minorEastAsia" w:eastAsiaTheme="minorEastAsia" w:cstheme="minorEastAsia"/>
          <w:sz w:val="24"/>
        </w:rPr>
      </w:pPr>
    </w:p>
    <w:p>
      <w:pPr>
        <w:spacing w:line="440" w:lineRule="exact"/>
        <w:ind w:firstLine="240" w:firstLineChars="100"/>
        <w:rPr>
          <w:rFonts w:asciiTheme="minorEastAsia" w:hAnsiTheme="minorEastAsia" w:eastAsiaTheme="minorEastAsia" w:cstheme="minorEastAsia"/>
          <w:sz w:val="24"/>
        </w:rPr>
      </w:pPr>
    </w:p>
    <w:p>
      <w:pPr>
        <w:spacing w:line="440" w:lineRule="exact"/>
        <w:jc w:val="right"/>
        <w:rPr>
          <w:rFonts w:asciiTheme="minorEastAsia" w:hAnsiTheme="minorEastAsia" w:eastAsiaTheme="minorEastAsia" w:cstheme="minorEastAsia"/>
          <w:sz w:val="24"/>
        </w:rPr>
      </w:pPr>
    </w:p>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投标人（公章）：</w:t>
      </w:r>
    </w:p>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企业法人（签字）：</w:t>
      </w:r>
    </w:p>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授权代表（签字）：</w:t>
      </w:r>
    </w:p>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二〇二〇年</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日</w:t>
      </w:r>
    </w:p>
    <w:p>
      <w:pPr>
        <w:jc w:val="center"/>
        <w:rPr>
          <w:rFonts w:asciiTheme="majorEastAsia" w:hAnsiTheme="majorEastAsia" w:eastAsiaTheme="majorEastAsia"/>
          <w:b/>
          <w:sz w:val="28"/>
          <w:szCs w:val="28"/>
        </w:rPr>
      </w:pPr>
    </w:p>
    <w:p>
      <w:pPr>
        <w:jc w:val="center"/>
        <w:rPr>
          <w:rFonts w:asciiTheme="majorEastAsia" w:hAnsiTheme="majorEastAsia" w:eastAsiaTheme="majorEastAsia"/>
          <w:b/>
          <w:sz w:val="28"/>
          <w:szCs w:val="28"/>
        </w:rPr>
      </w:pPr>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二、开标一览表</w:t>
      </w:r>
    </w:p>
    <w:tbl>
      <w:tblPr>
        <w:tblStyle w:val="27"/>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2580"/>
        <w:gridCol w:w="6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178" w:type="dxa"/>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宋体" w:hAnsi="宋体" w:cs="宋体"/>
                <w:b/>
                <w:kern w:val="0"/>
                <w:sz w:val="24"/>
              </w:rPr>
            </w:pPr>
            <w:r>
              <w:rPr>
                <w:rFonts w:hint="eastAsia" w:ascii="宋体" w:hAnsi="宋体" w:cs="宋体"/>
                <w:b/>
                <w:kern w:val="0"/>
                <w:sz w:val="24"/>
              </w:rPr>
              <w:t>项目名称</w:t>
            </w:r>
          </w:p>
        </w:tc>
        <w:tc>
          <w:tcPr>
            <w:tcW w:w="6577" w:type="dxa"/>
            <w:tcBorders>
              <w:top w:val="single" w:color="auto" w:sz="4" w:space="0"/>
              <w:left w:val="single" w:color="auto" w:sz="4" w:space="0"/>
              <w:bottom w:val="single" w:color="auto" w:sz="4" w:space="0"/>
              <w:right w:val="single" w:color="auto" w:sz="4" w:space="0"/>
            </w:tcBorders>
            <w:vAlign w:val="center"/>
          </w:tcPr>
          <w:p>
            <w:pPr>
              <w:spacing w:line="500" w:lineRule="exact"/>
              <w:ind w:firstLine="960" w:firstLineChars="400"/>
              <w:rPr>
                <w:rFonts w:ascii="楷体_GB2312" w:hAnsi="宋体" w:cs="宋体" w:eastAsiaTheme="minorEastAsia"/>
                <w:b/>
                <w:color w:val="000000"/>
                <w:kern w:val="0"/>
                <w:sz w:val="24"/>
              </w:rPr>
            </w:pPr>
            <w:r>
              <w:rPr>
                <w:rFonts w:hint="eastAsia" w:asciiTheme="minorEastAsia" w:hAnsiTheme="minorEastAsia" w:eastAsiaTheme="minorEastAsia" w:cstheme="minorEastAsia"/>
                <w:sz w:val="24"/>
              </w:rPr>
              <w:t>蚌埠百大</w:t>
            </w:r>
            <w:r>
              <w:rPr>
                <w:rFonts w:hint="eastAsia" w:asciiTheme="minorEastAsia" w:hAnsiTheme="minorEastAsia" w:eastAsiaTheme="minorEastAsia" w:cstheme="minorEastAsia"/>
                <w:sz w:val="24"/>
                <w:lang w:val="en-US" w:eastAsia="zh-CN"/>
              </w:rPr>
              <w:t>2021-2029年</w:t>
            </w:r>
            <w:r>
              <w:rPr>
                <w:rFonts w:hint="eastAsia" w:asciiTheme="minorEastAsia" w:hAnsiTheme="minorEastAsia" w:eastAsiaTheme="minorEastAsia" w:cstheme="minorEastAsia"/>
                <w:sz w:val="24"/>
              </w:rPr>
              <w:t>合同能源管理服务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3178" w:type="dxa"/>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宋体" w:hAnsi="宋体" w:cs="宋体"/>
                <w:b/>
                <w:kern w:val="0"/>
                <w:sz w:val="24"/>
              </w:rPr>
            </w:pPr>
            <w:r>
              <w:rPr>
                <w:rFonts w:hint="eastAsia" w:ascii="宋体" w:hAnsi="宋体" w:cs="宋体"/>
                <w:b/>
                <w:kern w:val="0"/>
                <w:sz w:val="24"/>
              </w:rPr>
              <w:t>项目编号</w:t>
            </w:r>
          </w:p>
        </w:tc>
        <w:tc>
          <w:tcPr>
            <w:tcW w:w="6577"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00" w:lineRule="exact"/>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178" w:type="dxa"/>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宋体" w:hAnsi="宋体" w:cs="宋体"/>
                <w:b/>
                <w:kern w:val="0"/>
                <w:sz w:val="24"/>
              </w:rPr>
            </w:pPr>
            <w:r>
              <w:rPr>
                <w:rFonts w:hint="eastAsia" w:ascii="宋体" w:hAnsi="宋体" w:cs="宋体"/>
                <w:b/>
                <w:kern w:val="0"/>
                <w:sz w:val="24"/>
              </w:rPr>
              <w:t>投标人全称</w:t>
            </w:r>
          </w:p>
        </w:tc>
        <w:tc>
          <w:tcPr>
            <w:tcW w:w="6577"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00" w:lineRule="exact"/>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kern w:val="0"/>
                <w:sz w:val="22"/>
              </w:rPr>
            </w:pPr>
            <w:r>
              <w:rPr>
                <w:rFonts w:hint="eastAsia" w:ascii="宋体" w:hAnsi="宋体" w:cs="宋体"/>
                <w:b/>
                <w:kern w:val="0"/>
                <w:sz w:val="22"/>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598"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2"/>
              </w:rPr>
            </w:pPr>
            <w:r>
              <w:rPr>
                <w:rFonts w:hint="eastAsia" w:ascii="宋体" w:hAnsi="宋体" w:cs="宋体"/>
                <w:kern w:val="0"/>
                <w:sz w:val="22"/>
              </w:rPr>
              <w:t>1</w:t>
            </w:r>
          </w:p>
        </w:tc>
        <w:tc>
          <w:tcPr>
            <w:tcW w:w="2580" w:type="dxa"/>
            <w:tcBorders>
              <w:top w:val="single" w:color="auto" w:sz="4" w:space="0"/>
              <w:left w:val="single" w:color="auto" w:sz="4" w:space="0"/>
              <w:right w:val="single" w:color="auto" w:sz="4" w:space="0"/>
            </w:tcBorders>
            <w:vAlign w:val="center"/>
          </w:tcPr>
          <w:p>
            <w:pPr>
              <w:spacing w:line="400" w:lineRule="exact"/>
              <w:jc w:val="center"/>
              <w:rPr>
                <w:bCs/>
                <w:kern w:val="28"/>
                <w:sz w:val="22"/>
                <w:lang w:val="eu-ES"/>
              </w:rPr>
            </w:pPr>
            <w:r>
              <w:rPr>
                <w:rFonts w:hint="eastAsia"/>
                <w:bCs/>
                <w:kern w:val="28"/>
                <w:sz w:val="22"/>
                <w:lang w:val="eu-ES"/>
              </w:rPr>
              <w:t>节能分享方案</w:t>
            </w:r>
          </w:p>
        </w:tc>
        <w:tc>
          <w:tcPr>
            <w:tcW w:w="6577"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2"/>
              </w:rPr>
            </w:pPr>
            <w:r>
              <w:rPr>
                <w:rFonts w:hint="eastAsia" w:ascii="宋体" w:hAnsi="宋体" w:cs="宋体"/>
                <w:kern w:val="0"/>
                <w:sz w:val="22"/>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598"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2"/>
              </w:rPr>
            </w:pPr>
            <w:r>
              <w:rPr>
                <w:rFonts w:hint="eastAsia" w:ascii="宋体" w:hAnsi="宋体" w:cs="宋体"/>
                <w:kern w:val="0"/>
                <w:sz w:val="22"/>
              </w:rPr>
              <w:t>2</w:t>
            </w:r>
          </w:p>
        </w:tc>
        <w:tc>
          <w:tcPr>
            <w:tcW w:w="2580" w:type="dxa"/>
            <w:tcBorders>
              <w:top w:val="single" w:color="auto" w:sz="4" w:space="0"/>
              <w:left w:val="single" w:color="auto" w:sz="4" w:space="0"/>
              <w:right w:val="single" w:color="auto" w:sz="4" w:space="0"/>
            </w:tcBorders>
            <w:vAlign w:val="center"/>
          </w:tcPr>
          <w:p>
            <w:pPr>
              <w:spacing w:line="400" w:lineRule="exact"/>
              <w:jc w:val="center"/>
              <w:rPr>
                <w:bCs/>
                <w:kern w:val="28"/>
                <w:sz w:val="22"/>
                <w:lang w:val="eu-ES"/>
              </w:rPr>
            </w:pPr>
            <w:r>
              <w:rPr>
                <w:rFonts w:hint="eastAsia"/>
                <w:bCs/>
                <w:kern w:val="28"/>
                <w:sz w:val="22"/>
                <w:lang w:val="eu-ES"/>
              </w:rPr>
              <w:t>改造工期</w:t>
            </w:r>
          </w:p>
        </w:tc>
        <w:tc>
          <w:tcPr>
            <w:tcW w:w="6577"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2"/>
                <w:u w:val="single"/>
              </w:rPr>
            </w:pPr>
            <w:r>
              <w:rPr>
                <w:rFonts w:hint="eastAsia" w:ascii="宋体" w:hAnsi="宋体" w:cs="宋体"/>
                <w:kern w:val="0"/>
                <w:sz w:val="22"/>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598"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2"/>
              </w:rPr>
            </w:pPr>
            <w:r>
              <w:rPr>
                <w:rFonts w:hint="eastAsia" w:ascii="宋体" w:hAnsi="宋体" w:cs="宋体"/>
                <w:kern w:val="0"/>
                <w:sz w:val="22"/>
              </w:rPr>
              <w:t>3</w:t>
            </w:r>
          </w:p>
        </w:tc>
        <w:tc>
          <w:tcPr>
            <w:tcW w:w="2580" w:type="dxa"/>
            <w:tcBorders>
              <w:top w:val="single" w:color="auto" w:sz="4" w:space="0"/>
              <w:left w:val="single" w:color="auto" w:sz="4" w:space="0"/>
              <w:right w:val="single" w:color="auto" w:sz="4" w:space="0"/>
            </w:tcBorders>
            <w:vAlign w:val="center"/>
          </w:tcPr>
          <w:p>
            <w:pPr>
              <w:spacing w:line="400" w:lineRule="exact"/>
              <w:jc w:val="center"/>
              <w:rPr>
                <w:bCs/>
                <w:kern w:val="28"/>
                <w:sz w:val="22"/>
                <w:lang w:val="eu-ES"/>
              </w:rPr>
            </w:pPr>
            <w:r>
              <w:rPr>
                <w:rFonts w:hint="eastAsia"/>
                <w:bCs/>
                <w:kern w:val="28"/>
                <w:sz w:val="22"/>
                <w:lang w:val="eu-ES"/>
              </w:rPr>
              <w:t>付款方式</w:t>
            </w:r>
          </w:p>
        </w:tc>
        <w:tc>
          <w:tcPr>
            <w:tcW w:w="6577"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2"/>
                <w:u w:val="single"/>
              </w:rPr>
            </w:pPr>
            <w:r>
              <w:rPr>
                <w:rFonts w:hint="eastAsia" w:ascii="宋体" w:hAnsi="宋体" w:cs="宋体"/>
                <w:kern w:val="0"/>
                <w:sz w:val="22"/>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317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kern w:val="28"/>
                <w:sz w:val="22"/>
                <w:lang w:val="eu-ES"/>
              </w:rPr>
            </w:pPr>
            <w:r>
              <w:rPr>
                <w:rFonts w:hint="eastAsia"/>
                <w:kern w:val="28"/>
                <w:sz w:val="22"/>
                <w:lang w:val="eu-ES"/>
              </w:rPr>
              <w:t>备注</w:t>
            </w:r>
          </w:p>
        </w:tc>
        <w:tc>
          <w:tcPr>
            <w:tcW w:w="65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2"/>
              </w:rPr>
            </w:pPr>
            <w:r>
              <w:rPr>
                <w:rFonts w:hint="eastAsia" w:ascii="宋体" w:hAnsi="宋体" w:cs="宋体"/>
                <w:kern w:val="0"/>
                <w:sz w:val="22"/>
              </w:rPr>
              <w:t>以上技术承诺如符合招标要求填写“响应”即可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400" w:lineRule="exact"/>
              <w:rPr>
                <w:rFonts w:ascii="宋体" w:hAnsi="宋体" w:cs="宋体"/>
                <w:kern w:val="0"/>
                <w:sz w:val="22"/>
              </w:rPr>
            </w:pPr>
            <w:r>
              <w:rPr>
                <w:rFonts w:hint="eastAsia" w:ascii="宋体" w:hAnsi="宋体" w:cs="宋体"/>
                <w:b/>
                <w:kern w:val="0"/>
                <w:sz w:val="22"/>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2"/>
              </w:rPr>
            </w:pPr>
            <w:r>
              <w:rPr>
                <w:rFonts w:hint="eastAsia" w:ascii="宋体" w:hAnsi="宋体" w:cs="宋体"/>
                <w:kern w:val="0"/>
                <w:sz w:val="22"/>
              </w:rPr>
              <w:t>1</w:t>
            </w:r>
          </w:p>
        </w:tc>
        <w:tc>
          <w:tcPr>
            <w:tcW w:w="25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 w:val="22"/>
              </w:rPr>
            </w:pPr>
            <w:r>
              <w:rPr>
                <w:rFonts w:hint="eastAsia" w:ascii="宋体" w:hAnsi="宋体" w:cs="宋体"/>
                <w:kern w:val="0"/>
                <w:sz w:val="22"/>
              </w:rPr>
              <w:t>项目</w:t>
            </w:r>
            <w:r>
              <w:rPr>
                <w:rFonts w:hint="eastAsia" w:ascii="宋体" w:hAnsi="宋体" w:cs="宋体"/>
                <w:kern w:val="0"/>
                <w:sz w:val="22"/>
                <w:lang w:val="en-US" w:eastAsia="zh-CN"/>
              </w:rPr>
              <w:t>能耗下降金额</w:t>
            </w:r>
          </w:p>
        </w:tc>
        <w:tc>
          <w:tcPr>
            <w:tcW w:w="6577" w:type="dxa"/>
            <w:tcBorders>
              <w:top w:val="single" w:color="auto" w:sz="4" w:space="0"/>
              <w:left w:val="single" w:color="auto" w:sz="4" w:space="0"/>
              <w:bottom w:val="single" w:color="auto" w:sz="4" w:space="0"/>
              <w:right w:val="single" w:color="auto" w:sz="4" w:space="0"/>
            </w:tcBorders>
            <w:vAlign w:val="center"/>
          </w:tcPr>
          <w:p>
            <w:pPr>
              <w:spacing w:line="500" w:lineRule="exact"/>
              <w:ind w:firstLine="1440" w:firstLineChars="600"/>
              <w:rPr>
                <w:rFonts w:ascii="宋体" w:hAnsi="宋体" w:cs="宋体"/>
                <w:kern w:val="0"/>
                <w:sz w:val="22"/>
              </w:rPr>
            </w:pPr>
            <w:r>
              <w:rPr>
                <w:rFonts w:hint="eastAsia" w:asciiTheme="minorEastAsia" w:hAnsiTheme="minorEastAsia" w:eastAsiaTheme="minorEastAsia" w:cstheme="minorEastAsia"/>
                <w:b w:val="0"/>
                <w:bCs w:val="0"/>
                <w:sz w:val="24"/>
                <w:u w:val="single"/>
                <w:lang w:val="en-US" w:eastAsia="zh-CN"/>
              </w:rPr>
              <w:t xml:space="preserve">            </w:t>
            </w:r>
            <w:r>
              <w:rPr>
                <w:rFonts w:hint="eastAsia" w:asciiTheme="minorEastAsia" w:hAnsiTheme="minorEastAsia" w:eastAsiaTheme="minorEastAsia" w:cstheme="minorEastAsia"/>
                <w:b w:val="0"/>
                <w:bCs w:val="0"/>
                <w:sz w:val="24"/>
                <w:lang w:val="en-US" w:eastAsia="zh-CN"/>
              </w:rPr>
              <w:t>元</w:t>
            </w:r>
            <w:r>
              <w:rPr>
                <w:rFonts w:hint="eastAsia" w:asciiTheme="minorEastAsia" w:hAnsiTheme="minorEastAsia" w:eastAsiaTheme="minorEastAsia" w:cstheme="minorEastAsia"/>
                <w:b w:val="0"/>
                <w:bCs w:val="0"/>
                <w:sz w:val="24"/>
                <w:lang w:eastAsia="zh-CN"/>
              </w:rPr>
              <w:t>（</w:t>
            </w:r>
            <w:r>
              <w:rPr>
                <w:rFonts w:hint="eastAsia" w:asciiTheme="minorEastAsia" w:hAnsiTheme="minorEastAsia" w:eastAsiaTheme="minorEastAsia" w:cstheme="minorEastAsia"/>
                <w:b w:val="0"/>
                <w:bCs w:val="0"/>
                <w:sz w:val="24"/>
                <w:u w:val="single"/>
                <w:lang w:val="en-US" w:eastAsia="zh-CN"/>
              </w:rPr>
              <w:t xml:space="preserve">            </w:t>
            </w:r>
            <w:r>
              <w:rPr>
                <w:rFonts w:hint="eastAsia" w:asciiTheme="minorEastAsia" w:hAnsiTheme="minorEastAsia" w:eastAsiaTheme="minorEastAsia" w:cstheme="minorEastAsia"/>
                <w:b w:val="0"/>
                <w:bCs w:val="0"/>
                <w:sz w:val="24"/>
                <w:highlight w:val="none"/>
              </w:rPr>
              <w:t>元</w:t>
            </w:r>
            <w:r>
              <w:rPr>
                <w:rFonts w:hint="eastAsia" w:asciiTheme="minorEastAsia" w:hAnsiTheme="minorEastAsia" w:eastAsiaTheme="minorEastAsia" w:cstheme="minorEastAsia"/>
                <w:b w:val="0"/>
                <w:bCs w:val="0"/>
                <w:sz w:val="24"/>
                <w:highlight w:val="none"/>
                <w:lang w:val="en-US" w:eastAsia="zh-CN"/>
              </w:rPr>
              <w:t>/年</w:t>
            </w:r>
            <w:r>
              <w:rPr>
                <w:rFonts w:hint="eastAsia" w:asciiTheme="minorEastAsia" w:hAnsiTheme="minorEastAsia" w:eastAsiaTheme="minorEastAsia" w:cstheme="minorEastAsia"/>
                <w:b w:val="0"/>
                <w:bCs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kern w:val="0"/>
                <w:sz w:val="22"/>
              </w:rPr>
            </w:pPr>
            <w:r>
              <w:rPr>
                <w:rFonts w:hint="eastAsia" w:ascii="宋体" w:hAnsi="宋体" w:cs="宋体"/>
                <w:b/>
                <w:bCs/>
                <w:kern w:val="0"/>
                <w:sz w:val="24"/>
              </w:rPr>
              <w:t>注：项目项目</w:t>
            </w:r>
            <w:r>
              <w:rPr>
                <w:rFonts w:hint="eastAsia" w:ascii="宋体" w:hAnsi="宋体" w:cs="宋体"/>
                <w:b/>
                <w:bCs/>
                <w:kern w:val="0"/>
                <w:sz w:val="24"/>
                <w:lang w:val="en-US" w:eastAsia="zh-CN"/>
              </w:rPr>
              <w:t>能耗下降金额</w:t>
            </w:r>
            <w:r>
              <w:rPr>
                <w:rFonts w:hint="eastAsia" w:ascii="宋体" w:hAnsi="宋体" w:cs="宋体"/>
                <w:b/>
                <w:bCs/>
                <w:kern w:val="0"/>
                <w:sz w:val="24"/>
              </w:rPr>
              <w:t>不得低于</w:t>
            </w:r>
            <w:r>
              <w:rPr>
                <w:rFonts w:hint="eastAsia" w:ascii="宋体" w:hAnsi="宋体" w:cs="宋体"/>
                <w:b/>
                <w:bCs/>
                <w:kern w:val="0"/>
                <w:sz w:val="24"/>
                <w:lang w:val="en-US" w:eastAsia="zh-CN"/>
              </w:rPr>
              <w:t>2101177.20元</w:t>
            </w:r>
            <w:r>
              <w:rPr>
                <w:rFonts w:hint="eastAsia" w:ascii="宋体" w:hAnsi="宋体" w:cs="宋体"/>
                <w:b/>
                <w:bCs/>
                <w:kern w:val="0"/>
                <w:sz w:val="24"/>
                <w:lang w:eastAsia="zh-CN"/>
              </w:rPr>
              <w:t>（</w:t>
            </w:r>
            <w:r>
              <w:rPr>
                <w:rFonts w:hint="eastAsia" w:ascii="宋体" w:hAnsi="宋体" w:cs="宋体"/>
                <w:b/>
                <w:bCs/>
                <w:kern w:val="0"/>
                <w:sz w:val="24"/>
              </w:rPr>
              <w:t>262647.15元</w:t>
            </w:r>
            <w:r>
              <w:rPr>
                <w:rFonts w:hint="eastAsia" w:ascii="宋体" w:hAnsi="宋体" w:cs="宋体"/>
                <w:b/>
                <w:bCs/>
                <w:kern w:val="0"/>
                <w:sz w:val="24"/>
                <w:lang w:val="en-US" w:eastAsia="zh-CN"/>
              </w:rPr>
              <w:t>/年</w:t>
            </w:r>
            <w:r>
              <w:rPr>
                <w:rFonts w:hint="eastAsia" w:ascii="宋体" w:hAnsi="宋体" w:cs="宋体"/>
                <w:b/>
                <w:bCs/>
                <w:kern w:val="0"/>
                <w:sz w:val="24"/>
                <w:lang w:eastAsia="zh-CN"/>
              </w:rPr>
              <w:t>）</w:t>
            </w:r>
            <w:r>
              <w:rPr>
                <w:rFonts w:hint="eastAsia" w:ascii="宋体" w:hAnsi="宋体" w:cs="宋体"/>
                <w:b/>
                <w:bCs/>
                <w:kern w:val="0"/>
                <w:sz w:val="24"/>
              </w:rPr>
              <w:t>，否则视为废标；</w:t>
            </w:r>
          </w:p>
        </w:tc>
      </w:tr>
    </w:tbl>
    <w:p>
      <w:pPr>
        <w:widowControl/>
        <w:spacing w:line="700" w:lineRule="exact"/>
        <w:jc w:val="left"/>
        <w:rPr>
          <w:rFonts w:ascii="宋体" w:hAnsi="宋体" w:cs="宋体"/>
          <w:b/>
          <w:kern w:val="0"/>
          <w:sz w:val="24"/>
        </w:rPr>
      </w:pPr>
      <w:r>
        <w:rPr>
          <w:rFonts w:hint="eastAsia" w:ascii="宋体" w:hAnsi="宋体" w:cs="宋体"/>
          <w:b/>
          <w:kern w:val="0"/>
          <w:sz w:val="24"/>
        </w:rPr>
        <w:t>投标人（签章）：                                授权代表（签字）：</w:t>
      </w:r>
    </w:p>
    <w:p>
      <w:pPr>
        <w:widowControl/>
        <w:spacing w:line="700" w:lineRule="exact"/>
        <w:jc w:val="left"/>
        <w:rPr>
          <w:rFonts w:ascii="宋体" w:hAnsi="宋体" w:cs="宋体"/>
          <w:b/>
          <w:kern w:val="0"/>
          <w:sz w:val="24"/>
        </w:rPr>
      </w:pPr>
      <w:r>
        <w:rPr>
          <w:rFonts w:hint="eastAsia" w:ascii="宋体" w:hAnsi="宋体" w:cs="宋体"/>
          <w:b/>
          <w:kern w:val="0"/>
          <w:sz w:val="24"/>
        </w:rPr>
        <w:t>联系方式：                                      二〇二〇年月日</w:t>
      </w:r>
    </w:p>
    <w:p>
      <w:pPr>
        <w:rPr>
          <w:b/>
          <w:sz w:val="28"/>
          <w:szCs w:val="28"/>
        </w:rPr>
      </w:pPr>
    </w:p>
    <w:p>
      <w:pPr>
        <w:rPr>
          <w:b/>
          <w:sz w:val="28"/>
          <w:szCs w:val="28"/>
        </w:rPr>
      </w:pPr>
    </w:p>
    <w:p>
      <w:pPr>
        <w:rPr>
          <w:b/>
          <w:sz w:val="28"/>
          <w:szCs w:val="28"/>
        </w:rPr>
      </w:pPr>
    </w:p>
    <w:p>
      <w:pPr>
        <w:rPr>
          <w:b/>
          <w:sz w:val="28"/>
          <w:szCs w:val="28"/>
        </w:rPr>
      </w:pPr>
    </w:p>
    <w:p>
      <w:pPr>
        <w:jc w:val="center"/>
        <w:rPr>
          <w:rFonts w:asciiTheme="majorEastAsia" w:hAnsiTheme="majorEastAsia" w:eastAsiaTheme="majorEastAsia"/>
          <w:b/>
          <w:sz w:val="28"/>
          <w:szCs w:val="28"/>
        </w:rPr>
      </w:pPr>
    </w:p>
    <w:p>
      <w:pPr>
        <w:jc w:val="center"/>
        <w:rPr>
          <w:rFonts w:asciiTheme="majorEastAsia" w:hAnsiTheme="majorEastAsia" w:eastAsiaTheme="majorEastAsia"/>
          <w:b/>
          <w:sz w:val="28"/>
          <w:szCs w:val="28"/>
        </w:rPr>
      </w:pPr>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三、投标承诺事项</w:t>
      </w:r>
    </w:p>
    <w:p>
      <w:pPr>
        <w:widowControl/>
        <w:spacing w:line="460" w:lineRule="exact"/>
        <w:ind w:firstLine="354" w:firstLineChars="147"/>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内容包括如下：</w:t>
      </w:r>
    </w:p>
    <w:p>
      <w:pPr>
        <w:widowControl/>
        <w:spacing w:line="460" w:lineRule="exact"/>
        <w:ind w:firstLine="480" w:firstLineChars="200"/>
        <w:jc w:val="left"/>
        <w:rPr>
          <w:rFonts w:cs="宋体" w:asciiTheme="majorEastAsia" w:hAnsiTheme="majorEastAsia" w:eastAsiaTheme="majorEastAsia"/>
          <w:kern w:val="0"/>
          <w:sz w:val="24"/>
        </w:rPr>
      </w:pPr>
      <w:r>
        <w:rPr>
          <w:rFonts w:cs="宋体" w:asciiTheme="majorEastAsia" w:hAnsiTheme="majorEastAsia" w:eastAsiaTheme="majorEastAsia"/>
          <w:kern w:val="0"/>
          <w:sz w:val="24"/>
        </w:rPr>
        <w:t>1</w:t>
      </w:r>
      <w:r>
        <w:rPr>
          <w:rFonts w:hint="eastAsia" w:cs="宋体" w:asciiTheme="majorEastAsia" w:hAnsiTheme="majorEastAsia" w:eastAsiaTheme="majorEastAsia"/>
          <w:kern w:val="0"/>
          <w:sz w:val="24"/>
        </w:rPr>
        <w:t>．对改造工期的承诺；</w:t>
      </w:r>
    </w:p>
    <w:p>
      <w:pPr>
        <w:widowControl/>
        <w:spacing w:line="460" w:lineRule="exact"/>
        <w:ind w:firstLine="480" w:firstLineChars="200"/>
        <w:jc w:val="left"/>
        <w:rPr>
          <w:rFonts w:cs="宋体" w:asciiTheme="majorEastAsia" w:hAnsiTheme="majorEastAsia" w:eastAsiaTheme="majorEastAsia"/>
          <w:kern w:val="0"/>
          <w:sz w:val="24"/>
        </w:rPr>
      </w:pPr>
      <w:r>
        <w:rPr>
          <w:rFonts w:cs="宋体" w:asciiTheme="majorEastAsia" w:hAnsiTheme="majorEastAsia" w:eastAsiaTheme="majorEastAsia"/>
          <w:kern w:val="0"/>
          <w:sz w:val="24"/>
        </w:rPr>
        <w:t>2</w:t>
      </w:r>
      <w:r>
        <w:rPr>
          <w:rFonts w:hint="eastAsia" w:cs="宋体" w:asciiTheme="majorEastAsia" w:hAnsiTheme="majorEastAsia" w:eastAsiaTheme="majorEastAsia"/>
          <w:kern w:val="0"/>
          <w:sz w:val="24"/>
        </w:rPr>
        <w:t>．对工程质量、安全施工及保修服务的承诺；</w:t>
      </w:r>
    </w:p>
    <w:p>
      <w:pPr>
        <w:widowControl/>
        <w:spacing w:line="460" w:lineRule="exact"/>
        <w:ind w:firstLine="480" w:firstLineChars="200"/>
        <w:jc w:val="left"/>
        <w:rPr>
          <w:rFonts w:cs="宋体" w:asciiTheme="majorEastAsia" w:hAnsiTheme="majorEastAsia" w:eastAsiaTheme="majorEastAsia"/>
          <w:kern w:val="0"/>
          <w:sz w:val="24"/>
        </w:rPr>
      </w:pPr>
      <w:r>
        <w:rPr>
          <w:rFonts w:cs="宋体" w:asciiTheme="majorEastAsia" w:hAnsiTheme="majorEastAsia" w:eastAsiaTheme="majorEastAsia"/>
          <w:kern w:val="0"/>
          <w:sz w:val="24"/>
        </w:rPr>
        <w:t>3</w:t>
      </w:r>
      <w:r>
        <w:rPr>
          <w:rFonts w:hint="eastAsia" w:cs="宋体" w:asciiTheme="majorEastAsia" w:hAnsiTheme="majorEastAsia" w:eastAsiaTheme="majorEastAsia"/>
          <w:kern w:val="0"/>
          <w:sz w:val="24"/>
        </w:rPr>
        <w:t>．对合同能源管理期间服务的承诺；</w:t>
      </w:r>
    </w:p>
    <w:p>
      <w:pPr>
        <w:widowControl/>
        <w:spacing w:line="460" w:lineRule="exact"/>
        <w:ind w:firstLine="480" w:firstLineChars="200"/>
        <w:jc w:val="left"/>
        <w:rPr>
          <w:rFonts w:cs="宋体" w:asciiTheme="majorEastAsia" w:hAnsiTheme="majorEastAsia" w:eastAsiaTheme="majorEastAsia"/>
          <w:kern w:val="0"/>
          <w:sz w:val="24"/>
        </w:rPr>
      </w:pPr>
    </w:p>
    <w:p>
      <w:pPr>
        <w:widowControl/>
        <w:spacing w:line="460" w:lineRule="exact"/>
        <w:ind w:firstLine="560" w:firstLineChars="200"/>
        <w:jc w:val="left"/>
        <w:rPr>
          <w:rFonts w:cs="宋体" w:asciiTheme="majorEastAsia" w:hAnsiTheme="majorEastAsia" w:eastAsiaTheme="majorEastAsia"/>
          <w:kern w:val="0"/>
          <w:sz w:val="28"/>
          <w:szCs w:val="28"/>
        </w:rPr>
      </w:pPr>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四、投标人资格证明文件</w:t>
      </w:r>
    </w:p>
    <w:p>
      <w:pPr>
        <w:widowControl/>
        <w:spacing w:line="400" w:lineRule="exact"/>
        <w:ind w:firstLine="361" w:firstLineChars="150"/>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投标人除提供“投标人要求”中所列文件外，须相应提供以下资料：</w:t>
      </w:r>
    </w:p>
    <w:p>
      <w:pPr>
        <w:widowControl/>
        <w:spacing w:line="400" w:lineRule="exact"/>
        <w:ind w:firstLine="360" w:firstLineChars="15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基本情况说明</w:t>
      </w:r>
    </w:p>
    <w:p>
      <w:pPr>
        <w:widowControl/>
        <w:spacing w:line="400" w:lineRule="exact"/>
        <w:ind w:firstLine="360" w:firstLineChars="15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⑴</w:t>
      </w:r>
      <w:r>
        <w:rPr>
          <w:rFonts w:hint="eastAsia" w:cs="宋体" w:asciiTheme="majorEastAsia" w:hAnsiTheme="majorEastAsia" w:eastAsiaTheme="majorEastAsia"/>
          <w:bCs/>
          <w:kern w:val="0"/>
          <w:sz w:val="24"/>
        </w:rPr>
        <w:t>投标人简介、通讯方式</w:t>
      </w:r>
    </w:p>
    <w:p>
      <w:pPr>
        <w:widowControl/>
        <w:spacing w:line="400" w:lineRule="exact"/>
        <w:ind w:firstLine="360" w:firstLineChars="15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⑵开户银行名称及地址</w:t>
      </w:r>
    </w:p>
    <w:p>
      <w:pPr>
        <w:autoSpaceDE w:val="0"/>
        <w:autoSpaceDN w:val="0"/>
        <w:adjustRightInd w:val="0"/>
        <w:spacing w:line="400" w:lineRule="exact"/>
        <w:ind w:firstLine="360" w:firstLineChars="150"/>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⑶标人需要说明的其它情况</w:t>
      </w:r>
    </w:p>
    <w:p>
      <w:pPr>
        <w:autoSpaceDE w:val="0"/>
        <w:autoSpaceDN w:val="0"/>
        <w:adjustRightInd w:val="0"/>
        <w:spacing w:line="400" w:lineRule="exact"/>
        <w:ind w:firstLine="420" w:firstLineChars="150"/>
        <w:rPr>
          <w:rFonts w:cs="宋体" w:asciiTheme="majorEastAsia" w:hAnsiTheme="majorEastAsia" w:eastAsiaTheme="majorEastAsia"/>
          <w:kern w:val="0"/>
          <w:sz w:val="28"/>
          <w:szCs w:val="28"/>
        </w:rPr>
      </w:pPr>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五、投标人信用承诺</w:t>
      </w:r>
    </w:p>
    <w:p>
      <w:pPr>
        <w:spacing w:line="360" w:lineRule="auto"/>
        <w:ind w:firstLine="630"/>
        <w:rPr>
          <w:rFonts w:asciiTheme="majorEastAsia" w:hAnsiTheme="majorEastAsia" w:eastAsiaTheme="majorEastAsia"/>
          <w:sz w:val="24"/>
        </w:rPr>
      </w:pPr>
      <w:r>
        <w:rPr>
          <w:rFonts w:hint="eastAsia" w:asciiTheme="majorEastAsia" w:hAnsiTheme="majorEastAsia" w:eastAsiaTheme="majorEastAsia"/>
          <w:sz w:val="24"/>
        </w:rPr>
        <w:t>一、我公司申明：</w:t>
      </w:r>
    </w:p>
    <w:p>
      <w:pPr>
        <w:spacing w:line="360" w:lineRule="auto"/>
        <w:ind w:firstLine="630"/>
        <w:rPr>
          <w:rFonts w:asciiTheme="majorEastAsia" w:hAnsiTheme="majorEastAsia" w:eastAsiaTheme="majorEastAsia"/>
          <w:sz w:val="24"/>
        </w:rPr>
      </w:pPr>
      <w:r>
        <w:rPr>
          <w:rFonts w:asciiTheme="majorEastAsia" w:hAnsiTheme="majorEastAsia" w:eastAsiaTheme="majorEastAsia"/>
          <w:sz w:val="24"/>
        </w:rPr>
        <w:t>1.</w:t>
      </w:r>
      <w:r>
        <w:rPr>
          <w:rFonts w:hint="eastAsia" w:asciiTheme="majorEastAsia" w:hAnsiTheme="majorEastAsia" w:eastAsiaTheme="majorEastAsia"/>
          <w:sz w:val="24"/>
        </w:rPr>
        <w:t>我公司未被人民法院列入失信被执行人；</w:t>
      </w:r>
    </w:p>
    <w:p>
      <w:pPr>
        <w:spacing w:line="360" w:lineRule="auto"/>
        <w:ind w:firstLine="630"/>
        <w:rPr>
          <w:rFonts w:asciiTheme="majorEastAsia" w:hAnsiTheme="majorEastAsia" w:eastAsiaTheme="majorEastAsia"/>
          <w:sz w:val="24"/>
        </w:rPr>
      </w:pPr>
      <w:r>
        <w:rPr>
          <w:rFonts w:asciiTheme="majorEastAsia" w:hAnsiTheme="majorEastAsia" w:eastAsiaTheme="majorEastAsia"/>
          <w:sz w:val="24"/>
        </w:rPr>
        <w:t>2.</w:t>
      </w:r>
      <w:r>
        <w:rPr>
          <w:rFonts w:hint="eastAsia" w:asciiTheme="majorEastAsia" w:hAnsiTheme="majorEastAsia" w:eastAsiaTheme="majorEastAsia"/>
          <w:sz w:val="24"/>
        </w:rPr>
        <w:t>我公司和我公司法定代表人均未被人民检察院列入行贿犯罪档案；</w:t>
      </w:r>
    </w:p>
    <w:p>
      <w:pPr>
        <w:spacing w:line="360" w:lineRule="auto"/>
        <w:ind w:firstLine="630"/>
        <w:rPr>
          <w:rFonts w:asciiTheme="majorEastAsia" w:hAnsiTheme="majorEastAsia" w:eastAsiaTheme="majorEastAsia"/>
          <w:sz w:val="24"/>
        </w:rPr>
      </w:pPr>
      <w:r>
        <w:rPr>
          <w:rFonts w:asciiTheme="majorEastAsia" w:hAnsiTheme="majorEastAsia" w:eastAsiaTheme="majorEastAsia"/>
          <w:sz w:val="24"/>
        </w:rPr>
        <w:t>3.</w:t>
      </w:r>
      <w:r>
        <w:rPr>
          <w:rFonts w:hint="eastAsia" w:asciiTheme="majorEastAsia" w:hAnsiTheme="majorEastAsia" w:eastAsiaTheme="majorEastAsia"/>
          <w:sz w:val="24"/>
        </w:rPr>
        <w:t>我公司未被工商行政管理部门列入企业经营异常名录；</w:t>
      </w:r>
    </w:p>
    <w:p>
      <w:pPr>
        <w:spacing w:line="360" w:lineRule="auto"/>
        <w:ind w:firstLine="630"/>
        <w:rPr>
          <w:rFonts w:asciiTheme="majorEastAsia" w:hAnsiTheme="majorEastAsia" w:eastAsiaTheme="majorEastAsia"/>
          <w:sz w:val="24"/>
        </w:rPr>
      </w:pPr>
      <w:r>
        <w:rPr>
          <w:rFonts w:asciiTheme="majorEastAsia" w:hAnsiTheme="majorEastAsia" w:eastAsiaTheme="majorEastAsia"/>
          <w:sz w:val="24"/>
        </w:rPr>
        <w:t>4.</w:t>
      </w:r>
      <w:r>
        <w:rPr>
          <w:rFonts w:hint="eastAsia" w:asciiTheme="majorEastAsia" w:hAnsiTheme="majorEastAsia" w:eastAsiaTheme="majorEastAsia"/>
          <w:sz w:val="24"/>
        </w:rPr>
        <w:t>我公司未被税务部门列入重大税收违法案件当事人名单。</w:t>
      </w:r>
    </w:p>
    <w:p>
      <w:pPr>
        <w:spacing w:line="360" w:lineRule="auto"/>
        <w:ind w:firstLine="630"/>
        <w:rPr>
          <w:rFonts w:asciiTheme="majorEastAsia" w:hAnsiTheme="majorEastAsia" w:eastAsiaTheme="majorEastAsia"/>
          <w:sz w:val="24"/>
        </w:rPr>
      </w:pPr>
      <w:r>
        <w:rPr>
          <w:rFonts w:hint="eastAsia" w:asciiTheme="majorEastAsia" w:hAnsiTheme="majorEastAsia" w:eastAsiaTheme="majorEastAsia"/>
          <w:sz w:val="24"/>
        </w:rPr>
        <w:t>二、合同签订前，若我公司具有本项目招标公告投标人资格中规定的不良信用记录情形，可取消我公司的中标资格或者不授予合同，所有责任由我公司自行承担。同时，我公司愿意无条件接受监管部门的调查处理。</w:t>
      </w:r>
    </w:p>
    <w:p>
      <w:pPr>
        <w:spacing w:line="360" w:lineRule="auto"/>
        <w:ind w:firstLine="482" w:firstLineChars="200"/>
        <w:rPr>
          <w:rFonts w:asciiTheme="majorEastAsia" w:hAnsiTheme="majorEastAsia" w:eastAsiaTheme="majorEastAsia"/>
          <w:b/>
          <w:sz w:val="24"/>
        </w:rPr>
      </w:pPr>
      <w:r>
        <w:rPr>
          <w:rFonts w:hint="eastAsia" w:asciiTheme="majorEastAsia" w:hAnsiTheme="majorEastAsia" w:eastAsiaTheme="majorEastAsia"/>
          <w:b/>
          <w:sz w:val="24"/>
        </w:rPr>
        <w:t>我公司对以上承诺的真实性承担责任。</w:t>
      </w:r>
    </w:p>
    <w:p>
      <w:pPr>
        <w:spacing w:line="360" w:lineRule="auto"/>
        <w:ind w:firstLine="630"/>
        <w:rPr>
          <w:rFonts w:asciiTheme="majorEastAsia" w:hAnsiTheme="majorEastAsia" w:eastAsiaTheme="majorEastAsia"/>
          <w:sz w:val="24"/>
        </w:rPr>
      </w:pPr>
    </w:p>
    <w:p>
      <w:pPr>
        <w:spacing w:line="360" w:lineRule="auto"/>
        <w:ind w:firstLine="630"/>
        <w:rPr>
          <w:rFonts w:asciiTheme="majorEastAsia" w:hAnsiTheme="majorEastAsia" w:eastAsiaTheme="majorEastAsia"/>
          <w:sz w:val="24"/>
        </w:rPr>
      </w:pPr>
      <w:r>
        <w:rPr>
          <w:rFonts w:hint="eastAsia" w:asciiTheme="majorEastAsia" w:hAnsiTheme="majorEastAsia" w:eastAsiaTheme="majorEastAsia"/>
          <w:b/>
          <w:sz w:val="24"/>
        </w:rPr>
        <w:t>投标人签章：</w:t>
      </w:r>
    </w:p>
    <w:p>
      <w:pPr>
        <w:jc w:val="center"/>
        <w:rPr>
          <w:rFonts w:asciiTheme="majorEastAsia" w:hAnsiTheme="majorEastAsia" w:eastAsiaTheme="majorEastAsia"/>
          <w:b/>
          <w:sz w:val="28"/>
          <w:szCs w:val="28"/>
        </w:rPr>
      </w:pPr>
    </w:p>
    <w:p>
      <w:pPr>
        <w:rPr>
          <w:rFonts w:asciiTheme="majorEastAsia" w:hAnsiTheme="majorEastAsia" w:eastAsiaTheme="majorEastAsia"/>
          <w:b/>
          <w:sz w:val="28"/>
          <w:szCs w:val="28"/>
        </w:rPr>
      </w:pPr>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六、投标保证金退还申请书</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合肥百货大楼集团蚌埠百货大楼有限责任公司：</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我公司于</w:t>
      </w:r>
      <w:r>
        <w:rPr>
          <w:rFonts w:cs="宋体" w:asciiTheme="majorEastAsia" w:hAnsiTheme="majorEastAsia" w:eastAsiaTheme="majorEastAsia"/>
          <w:sz w:val="28"/>
          <w:szCs w:val="28"/>
          <w:u w:val="single"/>
        </w:rPr>
        <w:t>20</w:t>
      </w:r>
      <w:r>
        <w:rPr>
          <w:rFonts w:hint="eastAsia" w:cs="宋体" w:asciiTheme="majorEastAsia" w:hAnsiTheme="majorEastAsia" w:eastAsiaTheme="majorEastAsia"/>
          <w:sz w:val="28"/>
          <w:szCs w:val="28"/>
          <w:u w:val="single"/>
        </w:rPr>
        <w:t>20年  月  日</w:t>
      </w:r>
      <w:r>
        <w:rPr>
          <w:rFonts w:hint="eastAsia" w:cs="宋体" w:asciiTheme="majorEastAsia" w:hAnsiTheme="majorEastAsia" w:eastAsiaTheme="majorEastAsia"/>
          <w:sz w:val="28"/>
          <w:szCs w:val="28"/>
        </w:rPr>
        <w:t>参加项目招投标，交纳保证金    元。如我公司未中标，请将该项目投标保证金退至以下帐号；如我公司中标，投标保证金退还事宜按投标邀请约定执行。</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请予办理。</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户名：</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开户银行：</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帐号：</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联系电话：</w:t>
      </w:r>
    </w:p>
    <w:tbl>
      <w:tblPr>
        <w:tblStyle w:val="27"/>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55" w:hRule="atLeast"/>
        </w:trPr>
        <w:tc>
          <w:tcPr>
            <w:tcW w:w="9854" w:type="dxa"/>
          </w:tcPr>
          <w:p>
            <w:pPr>
              <w:rPr>
                <w:rFonts w:cs="宋体" w:asciiTheme="majorEastAsia" w:hAnsiTheme="majorEastAsia" w:eastAsiaTheme="majorEastAsia"/>
                <w:sz w:val="28"/>
                <w:szCs w:val="28"/>
              </w:rPr>
            </w:pPr>
          </w:p>
          <w:p>
            <w:pPr>
              <w:jc w:val="center"/>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此处提供转账单复印件</w:t>
            </w:r>
          </w:p>
          <w:p>
            <w:pPr>
              <w:rPr>
                <w:rFonts w:cs="宋体" w:asciiTheme="majorEastAsia" w:hAnsiTheme="majorEastAsia" w:eastAsiaTheme="majorEastAsia"/>
                <w:sz w:val="28"/>
                <w:szCs w:val="28"/>
              </w:rPr>
            </w:pPr>
          </w:p>
        </w:tc>
      </w:tr>
    </w:tbl>
    <w:p>
      <w:pPr>
        <w:rPr>
          <w:rFonts w:cs="宋体" w:asciiTheme="majorEastAsia" w:hAnsiTheme="majorEastAsia" w:eastAsiaTheme="majorEastAsia"/>
          <w:sz w:val="28"/>
          <w:szCs w:val="28"/>
        </w:rPr>
      </w:pPr>
    </w:p>
    <w:p>
      <w:pPr>
        <w:ind w:firstLine="6059" w:firstLineChars="2164"/>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投标人：</w:t>
      </w:r>
    </w:p>
    <w:p>
      <w:pPr>
        <w:ind w:firstLine="7420" w:firstLineChars="265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年月日</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方正中等线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DotumChe">
    <w:panose1 w:val="020B0609000101010101"/>
    <w:charset w:val="81"/>
    <w:family w:val="modern"/>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宋">
    <w:altName w:val="黑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00000" w:csb1="00000000"/>
  </w:font>
  <w:font w:name="PMingLiU">
    <w:panose1 w:val="02020500000000000000"/>
    <w:charset w:val="88"/>
    <w:family w:val="auto"/>
    <w:pitch w:val="default"/>
    <w:sig w:usb0="A00002FF" w:usb1="28CFFCFA" w:usb2="00000016"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b/>
      </w:rPr>
      <w:fldChar w:fldCharType="begin"/>
    </w:r>
    <w:r>
      <w:rPr>
        <w:b/>
      </w:rPr>
      <w:instrText xml:space="preserve">PAGE</w:instrText>
    </w:r>
    <w:r>
      <w:rPr>
        <w:b/>
      </w:rPr>
      <w:fldChar w:fldCharType="separate"/>
    </w:r>
    <w:r>
      <w:rPr>
        <w:b/>
      </w:rPr>
      <w:t>26</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49</w:t>
    </w:r>
    <w:r>
      <w:rPr>
        <w:b/>
      </w:rPr>
      <w:fldChar w:fldCharType="end"/>
    </w:r>
  </w:p>
  <w:p>
    <w:pPr>
      <w:pStyle w:val="18"/>
    </w:pP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BDAB0D"/>
    <w:multiLevelType w:val="singleLevel"/>
    <w:tmpl w:val="83BDAB0D"/>
    <w:lvl w:ilvl="0" w:tentative="0">
      <w:start w:val="1"/>
      <w:numFmt w:val="chineseCounting"/>
      <w:suff w:val="space"/>
      <w:lvlText w:val="第%1章"/>
      <w:lvlJc w:val="left"/>
      <w:rPr>
        <w:rFonts w:hint="eastAsia"/>
      </w:rPr>
    </w:lvl>
  </w:abstractNum>
  <w:abstractNum w:abstractNumId="1">
    <w:nsid w:val="CA52588B"/>
    <w:multiLevelType w:val="singleLevel"/>
    <w:tmpl w:val="CA52588B"/>
    <w:lvl w:ilvl="0" w:tentative="0">
      <w:start w:val="1"/>
      <w:numFmt w:val="chineseCounting"/>
      <w:suff w:val="nothing"/>
      <w:lvlText w:val="%1、"/>
      <w:lvlJc w:val="left"/>
      <w:rPr>
        <w:rFonts w:hint="eastAsia"/>
      </w:rPr>
    </w:lvl>
  </w:abstractNum>
  <w:abstractNum w:abstractNumId="2">
    <w:nsid w:val="E5AACB30"/>
    <w:multiLevelType w:val="singleLevel"/>
    <w:tmpl w:val="E5AACB30"/>
    <w:lvl w:ilvl="0" w:tentative="0">
      <w:start w:val="3"/>
      <w:numFmt w:val="decimal"/>
      <w:suff w:val="nothing"/>
      <w:lvlText w:val="%1、"/>
      <w:lvlJc w:val="left"/>
      <w:pPr>
        <w:ind w:left="630" w:firstLine="0"/>
      </w:pPr>
    </w:lvl>
  </w:abstractNum>
  <w:abstractNum w:abstractNumId="3">
    <w:nsid w:val="44E077FB"/>
    <w:multiLevelType w:val="multilevel"/>
    <w:tmpl w:val="44E077FB"/>
    <w:lvl w:ilvl="0" w:tentative="0">
      <w:start w:val="1"/>
      <w:numFmt w:val="decimal"/>
      <w:pStyle w:val="2"/>
      <w:suff w:val="nothing"/>
      <w:lvlText w:val="%1、"/>
      <w:lvlJc w:val="left"/>
      <w:pPr>
        <w:ind w:left="432" w:hanging="432"/>
      </w:pPr>
      <w:rPr>
        <w:rFonts w:hint="eastAsia" w:cs="Times New Roman"/>
      </w:rPr>
    </w:lvl>
    <w:lvl w:ilvl="1" w:tentative="0">
      <w:start w:val="1"/>
      <w:numFmt w:val="decimal"/>
      <w:pStyle w:val="3"/>
      <w:suff w:val="nothing"/>
      <w:lvlText w:val="%1.%2、"/>
      <w:lvlJc w:val="left"/>
      <w:pPr>
        <w:ind w:left="718" w:hanging="576"/>
      </w:pPr>
      <w:rPr>
        <w:rFonts w:hint="eastAsia" w:cs="Times New Roman"/>
      </w:rPr>
    </w:lvl>
    <w:lvl w:ilvl="2" w:tentative="0">
      <w:start w:val="1"/>
      <w:numFmt w:val="decimal"/>
      <w:lvlText w:val="(%3)"/>
      <w:lvlJc w:val="left"/>
      <w:pPr>
        <w:ind w:left="720" w:hanging="720"/>
      </w:pPr>
      <w:rPr>
        <w:rFonts w:hint="default" w:cs="Times New Roman"/>
      </w:rPr>
    </w:lvl>
    <w:lvl w:ilvl="3" w:tentative="0">
      <w:start w:val="1"/>
      <w:numFmt w:val="decimal"/>
      <w:lvlText w:val="%1.%2.%3.%4"/>
      <w:lvlJc w:val="left"/>
      <w:pPr>
        <w:ind w:left="1432" w:hanging="864"/>
      </w:pPr>
      <w:rPr>
        <w:rFonts w:hint="eastAsia" w:cs="Times New Roman"/>
      </w:rPr>
    </w:lvl>
    <w:lvl w:ilvl="4" w:tentative="0">
      <w:start w:val="1"/>
      <w:numFmt w:val="decimal"/>
      <w:pStyle w:val="6"/>
      <w:lvlText w:val="%1.%2.%3.%4.%5"/>
      <w:lvlJc w:val="left"/>
      <w:pPr>
        <w:ind w:left="1008" w:hanging="1008"/>
      </w:pPr>
      <w:rPr>
        <w:rFonts w:hint="eastAsia" w:cs="Times New Roman"/>
      </w:rPr>
    </w:lvl>
    <w:lvl w:ilvl="5" w:tentative="0">
      <w:start w:val="1"/>
      <w:numFmt w:val="decimal"/>
      <w:lvlText w:val="%1.%2.%3.%4.%5.%6"/>
      <w:lvlJc w:val="left"/>
      <w:pPr>
        <w:ind w:left="1152" w:hanging="1152"/>
      </w:pPr>
      <w:rPr>
        <w:rFonts w:hint="eastAsia" w:cs="Times New Roman"/>
      </w:rPr>
    </w:lvl>
    <w:lvl w:ilvl="6" w:tentative="0">
      <w:start w:val="1"/>
      <w:numFmt w:val="decimal"/>
      <w:lvlText w:val="%1.%2.%3.%4.%5.%6.%7"/>
      <w:lvlJc w:val="left"/>
      <w:pPr>
        <w:ind w:left="1296" w:hanging="1296"/>
      </w:pPr>
      <w:rPr>
        <w:rFonts w:hint="eastAsia" w:cs="Times New Roman"/>
      </w:rPr>
    </w:lvl>
    <w:lvl w:ilvl="7" w:tentative="0">
      <w:start w:val="1"/>
      <w:numFmt w:val="decimal"/>
      <w:lvlText w:val="%1.%2.%3.%4.%5.%6.%7.%8"/>
      <w:lvlJc w:val="left"/>
      <w:pPr>
        <w:ind w:left="1440" w:hanging="1440"/>
      </w:pPr>
      <w:rPr>
        <w:rFonts w:hint="eastAsia" w:cs="Times New Roman"/>
      </w:rPr>
    </w:lvl>
    <w:lvl w:ilvl="8" w:tentative="0">
      <w:start w:val="1"/>
      <w:numFmt w:val="decimal"/>
      <w:lvlText w:val="%1.%2.%3.%4.%5.%6.%7.%8.%9"/>
      <w:lvlJc w:val="left"/>
      <w:pPr>
        <w:ind w:left="1584" w:hanging="1584"/>
      </w:pPr>
      <w:rPr>
        <w:rFonts w:hint="eastAsia"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868"/>
    <w:rsid w:val="00061E1B"/>
    <w:rsid w:val="001154F4"/>
    <w:rsid w:val="00122EA4"/>
    <w:rsid w:val="00162AA1"/>
    <w:rsid w:val="001663DA"/>
    <w:rsid w:val="001B1C71"/>
    <w:rsid w:val="001C35D1"/>
    <w:rsid w:val="001C645E"/>
    <w:rsid w:val="001E42B7"/>
    <w:rsid w:val="001E6A67"/>
    <w:rsid w:val="001F0E11"/>
    <w:rsid w:val="00240ECD"/>
    <w:rsid w:val="0024377B"/>
    <w:rsid w:val="00267530"/>
    <w:rsid w:val="002C631E"/>
    <w:rsid w:val="002F3DF1"/>
    <w:rsid w:val="00316121"/>
    <w:rsid w:val="00325427"/>
    <w:rsid w:val="00344564"/>
    <w:rsid w:val="0034688E"/>
    <w:rsid w:val="003C5552"/>
    <w:rsid w:val="00400D08"/>
    <w:rsid w:val="00435DF6"/>
    <w:rsid w:val="004410C2"/>
    <w:rsid w:val="00457D63"/>
    <w:rsid w:val="004B0DFF"/>
    <w:rsid w:val="004B1B6C"/>
    <w:rsid w:val="00503868"/>
    <w:rsid w:val="005064BA"/>
    <w:rsid w:val="005135F4"/>
    <w:rsid w:val="005350B1"/>
    <w:rsid w:val="00570089"/>
    <w:rsid w:val="00580A0B"/>
    <w:rsid w:val="005C42DB"/>
    <w:rsid w:val="005E28E3"/>
    <w:rsid w:val="00656551"/>
    <w:rsid w:val="006A11F9"/>
    <w:rsid w:val="006A723A"/>
    <w:rsid w:val="006B661C"/>
    <w:rsid w:val="00723282"/>
    <w:rsid w:val="0076076B"/>
    <w:rsid w:val="0076727F"/>
    <w:rsid w:val="007A6A82"/>
    <w:rsid w:val="007B48CE"/>
    <w:rsid w:val="007C5A14"/>
    <w:rsid w:val="00850C6B"/>
    <w:rsid w:val="00883B37"/>
    <w:rsid w:val="00890473"/>
    <w:rsid w:val="008945E5"/>
    <w:rsid w:val="008B1952"/>
    <w:rsid w:val="0093548C"/>
    <w:rsid w:val="00942F3D"/>
    <w:rsid w:val="00972AF2"/>
    <w:rsid w:val="00990DC0"/>
    <w:rsid w:val="00A15DAD"/>
    <w:rsid w:val="00A3116D"/>
    <w:rsid w:val="00A37480"/>
    <w:rsid w:val="00A8135D"/>
    <w:rsid w:val="00A95D2A"/>
    <w:rsid w:val="00AC0FDA"/>
    <w:rsid w:val="00AC676F"/>
    <w:rsid w:val="00AF7A39"/>
    <w:rsid w:val="00B15406"/>
    <w:rsid w:val="00B31600"/>
    <w:rsid w:val="00B34BD7"/>
    <w:rsid w:val="00B813EA"/>
    <w:rsid w:val="00B8497C"/>
    <w:rsid w:val="00BC3826"/>
    <w:rsid w:val="00BC4738"/>
    <w:rsid w:val="00C308A8"/>
    <w:rsid w:val="00C43FFD"/>
    <w:rsid w:val="00C67C34"/>
    <w:rsid w:val="00C8257E"/>
    <w:rsid w:val="00C97B84"/>
    <w:rsid w:val="00CA79F7"/>
    <w:rsid w:val="00CE203B"/>
    <w:rsid w:val="00DB653C"/>
    <w:rsid w:val="00DE5221"/>
    <w:rsid w:val="00DF7664"/>
    <w:rsid w:val="00E12821"/>
    <w:rsid w:val="00E50AAF"/>
    <w:rsid w:val="00E51C7D"/>
    <w:rsid w:val="00EB2D04"/>
    <w:rsid w:val="00F34111"/>
    <w:rsid w:val="00F55722"/>
    <w:rsid w:val="00FF2193"/>
    <w:rsid w:val="016E5B55"/>
    <w:rsid w:val="02C94040"/>
    <w:rsid w:val="03EE4E6F"/>
    <w:rsid w:val="04EF4E2F"/>
    <w:rsid w:val="06980D02"/>
    <w:rsid w:val="07254303"/>
    <w:rsid w:val="07272DAE"/>
    <w:rsid w:val="075B2A1E"/>
    <w:rsid w:val="097525A6"/>
    <w:rsid w:val="09C1017F"/>
    <w:rsid w:val="09E70E3F"/>
    <w:rsid w:val="09F76F72"/>
    <w:rsid w:val="0B142883"/>
    <w:rsid w:val="0BA6354D"/>
    <w:rsid w:val="0BAD4DD1"/>
    <w:rsid w:val="0BC872C4"/>
    <w:rsid w:val="0CAC5B51"/>
    <w:rsid w:val="0DB243B5"/>
    <w:rsid w:val="0F505AAC"/>
    <w:rsid w:val="10DB5FAF"/>
    <w:rsid w:val="117E5CF6"/>
    <w:rsid w:val="118B2E9C"/>
    <w:rsid w:val="12CC617F"/>
    <w:rsid w:val="1314568B"/>
    <w:rsid w:val="134C5C14"/>
    <w:rsid w:val="13B415E9"/>
    <w:rsid w:val="149F0743"/>
    <w:rsid w:val="15B028EA"/>
    <w:rsid w:val="163D5F24"/>
    <w:rsid w:val="176D12B3"/>
    <w:rsid w:val="18044434"/>
    <w:rsid w:val="18197A9E"/>
    <w:rsid w:val="18EB3D69"/>
    <w:rsid w:val="1A192AF4"/>
    <w:rsid w:val="1A717A88"/>
    <w:rsid w:val="1A8D7AC9"/>
    <w:rsid w:val="1AC07414"/>
    <w:rsid w:val="1BE133B4"/>
    <w:rsid w:val="1BE92064"/>
    <w:rsid w:val="1D052707"/>
    <w:rsid w:val="1D3D46B8"/>
    <w:rsid w:val="1D3F621C"/>
    <w:rsid w:val="1EB161F1"/>
    <w:rsid w:val="1ED26E9B"/>
    <w:rsid w:val="1FAA3584"/>
    <w:rsid w:val="1FFC5B77"/>
    <w:rsid w:val="207D3BBA"/>
    <w:rsid w:val="20C1152A"/>
    <w:rsid w:val="214F27D6"/>
    <w:rsid w:val="2152669D"/>
    <w:rsid w:val="21842F78"/>
    <w:rsid w:val="21B45606"/>
    <w:rsid w:val="21BF58F8"/>
    <w:rsid w:val="21E76949"/>
    <w:rsid w:val="22343774"/>
    <w:rsid w:val="227A4623"/>
    <w:rsid w:val="22D35137"/>
    <w:rsid w:val="2324101D"/>
    <w:rsid w:val="241C1AED"/>
    <w:rsid w:val="24494920"/>
    <w:rsid w:val="24843592"/>
    <w:rsid w:val="24DF6BAA"/>
    <w:rsid w:val="26A05B11"/>
    <w:rsid w:val="271419F1"/>
    <w:rsid w:val="27371CB4"/>
    <w:rsid w:val="27D57727"/>
    <w:rsid w:val="280163F4"/>
    <w:rsid w:val="28070CE0"/>
    <w:rsid w:val="288C1105"/>
    <w:rsid w:val="28A17DA2"/>
    <w:rsid w:val="28A97A56"/>
    <w:rsid w:val="297654DB"/>
    <w:rsid w:val="29782309"/>
    <w:rsid w:val="2A991E3F"/>
    <w:rsid w:val="2AF01EC5"/>
    <w:rsid w:val="2B200A21"/>
    <w:rsid w:val="2B81129E"/>
    <w:rsid w:val="2D6206C4"/>
    <w:rsid w:val="2D967E52"/>
    <w:rsid w:val="2E31648E"/>
    <w:rsid w:val="2E862D1C"/>
    <w:rsid w:val="2EC80BBA"/>
    <w:rsid w:val="2F223481"/>
    <w:rsid w:val="2F977A0E"/>
    <w:rsid w:val="303B1E3B"/>
    <w:rsid w:val="30694630"/>
    <w:rsid w:val="30EE4EC4"/>
    <w:rsid w:val="30FC79EA"/>
    <w:rsid w:val="31FD2A5B"/>
    <w:rsid w:val="320D7EEC"/>
    <w:rsid w:val="33F850DE"/>
    <w:rsid w:val="33FB23F4"/>
    <w:rsid w:val="34B2683B"/>
    <w:rsid w:val="35872CCC"/>
    <w:rsid w:val="358A41F6"/>
    <w:rsid w:val="386973AF"/>
    <w:rsid w:val="38DC4BE3"/>
    <w:rsid w:val="3A5707DB"/>
    <w:rsid w:val="3AD96A11"/>
    <w:rsid w:val="3C6F4C80"/>
    <w:rsid w:val="3D0375F9"/>
    <w:rsid w:val="3DC1231F"/>
    <w:rsid w:val="3E2B288E"/>
    <w:rsid w:val="3F054FDF"/>
    <w:rsid w:val="40063462"/>
    <w:rsid w:val="40EC2583"/>
    <w:rsid w:val="41882936"/>
    <w:rsid w:val="44BD43CA"/>
    <w:rsid w:val="46B36C54"/>
    <w:rsid w:val="4BDD6E32"/>
    <w:rsid w:val="4C2624E5"/>
    <w:rsid w:val="4CC0120D"/>
    <w:rsid w:val="4D7A04C8"/>
    <w:rsid w:val="5001742A"/>
    <w:rsid w:val="50675218"/>
    <w:rsid w:val="51B04291"/>
    <w:rsid w:val="5233343F"/>
    <w:rsid w:val="528E05AE"/>
    <w:rsid w:val="546A694F"/>
    <w:rsid w:val="548B70E4"/>
    <w:rsid w:val="55EC0DDD"/>
    <w:rsid w:val="561D06B6"/>
    <w:rsid w:val="5718375C"/>
    <w:rsid w:val="57291B81"/>
    <w:rsid w:val="57803396"/>
    <w:rsid w:val="58DC7278"/>
    <w:rsid w:val="596402C7"/>
    <w:rsid w:val="5AA970B7"/>
    <w:rsid w:val="5AE71A9F"/>
    <w:rsid w:val="5BD70235"/>
    <w:rsid w:val="5BF54757"/>
    <w:rsid w:val="5C8E2509"/>
    <w:rsid w:val="5E5263F6"/>
    <w:rsid w:val="5EE26CEF"/>
    <w:rsid w:val="5FC5087B"/>
    <w:rsid w:val="60307988"/>
    <w:rsid w:val="60B21CDB"/>
    <w:rsid w:val="60D93534"/>
    <w:rsid w:val="60FF251B"/>
    <w:rsid w:val="62C33520"/>
    <w:rsid w:val="643C39B2"/>
    <w:rsid w:val="64FE5AF2"/>
    <w:rsid w:val="65744FCB"/>
    <w:rsid w:val="65D51A93"/>
    <w:rsid w:val="683865DA"/>
    <w:rsid w:val="68937E84"/>
    <w:rsid w:val="68995F14"/>
    <w:rsid w:val="69476A48"/>
    <w:rsid w:val="6AB53DE0"/>
    <w:rsid w:val="6AC330B1"/>
    <w:rsid w:val="6B2E60AE"/>
    <w:rsid w:val="6B3417AE"/>
    <w:rsid w:val="6BAA67A0"/>
    <w:rsid w:val="6BF52F10"/>
    <w:rsid w:val="6BFB0265"/>
    <w:rsid w:val="6C7A7A5C"/>
    <w:rsid w:val="6DCB199F"/>
    <w:rsid w:val="6ED32370"/>
    <w:rsid w:val="6F2F58E6"/>
    <w:rsid w:val="70156D30"/>
    <w:rsid w:val="70234886"/>
    <w:rsid w:val="70B728C9"/>
    <w:rsid w:val="70E85560"/>
    <w:rsid w:val="70FD201B"/>
    <w:rsid w:val="716A5735"/>
    <w:rsid w:val="72B81B18"/>
    <w:rsid w:val="745B48DA"/>
    <w:rsid w:val="750C62D4"/>
    <w:rsid w:val="751E4432"/>
    <w:rsid w:val="75DB30B9"/>
    <w:rsid w:val="76AD4227"/>
    <w:rsid w:val="76DD23F3"/>
    <w:rsid w:val="775D29BD"/>
    <w:rsid w:val="7881795B"/>
    <w:rsid w:val="7A030FCB"/>
    <w:rsid w:val="7A11138D"/>
    <w:rsid w:val="7A981363"/>
    <w:rsid w:val="7AD821CF"/>
    <w:rsid w:val="7B1B305F"/>
    <w:rsid w:val="7C7F1287"/>
    <w:rsid w:val="7CFD3C37"/>
    <w:rsid w:val="7D0B2EA3"/>
    <w:rsid w:val="7DFA700D"/>
    <w:rsid w:val="7E61112F"/>
    <w:rsid w:val="7EC42B7E"/>
    <w:rsid w:val="7F491818"/>
    <w:rsid w:val="7F66221E"/>
    <w:rsid w:val="7FEF63D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ocked="1"/>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uiPriority="0" w:name="toc 4"/>
    <w:lsdException w:uiPriority="0" w:name="toc 5"/>
    <w:lsdException w:uiPriority="0" w:name="toc 6"/>
    <w:lsdException w:uiPriority="0" w:name="toc 7"/>
    <w:lsdException w:uiPriority="0" w:name="toc 8"/>
    <w:lsdException w:qFormat="1" w:unhideWhenUsed="0" w:uiPriority="9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qFormat="1" w:unhideWhenUsed="0" w:uiPriority="99" w:semiHidden="0" w:name="Block Text"/>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qFormat="1"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99"/>
    <w:pPr>
      <w:keepNext/>
      <w:widowControl/>
      <w:numPr>
        <w:ilvl w:val="0"/>
        <w:numId w:val="1"/>
      </w:numPr>
      <w:spacing w:line="360" w:lineRule="auto"/>
      <w:jc w:val="center"/>
      <w:outlineLvl w:val="0"/>
    </w:pPr>
    <w:rPr>
      <w:rFonts w:ascii="Cambria" w:hAnsi="Cambria" w:eastAsia="黑体"/>
      <w:b/>
      <w:bCs/>
      <w:kern w:val="32"/>
      <w:sz w:val="32"/>
      <w:szCs w:val="32"/>
    </w:rPr>
  </w:style>
  <w:style w:type="paragraph" w:styleId="3">
    <w:name w:val="heading 2"/>
    <w:basedOn w:val="1"/>
    <w:next w:val="1"/>
    <w:link w:val="35"/>
    <w:qFormat/>
    <w:uiPriority w:val="99"/>
    <w:pPr>
      <w:keepNext/>
      <w:widowControl/>
      <w:numPr>
        <w:ilvl w:val="1"/>
        <w:numId w:val="1"/>
      </w:numPr>
      <w:spacing w:line="360" w:lineRule="auto"/>
      <w:jc w:val="center"/>
      <w:outlineLvl w:val="1"/>
    </w:pPr>
    <w:rPr>
      <w:rFonts w:ascii="Cambria" w:hAnsi="Cambria" w:eastAsia="黑体"/>
      <w:b/>
      <w:bCs/>
      <w:iCs/>
      <w:kern w:val="0"/>
      <w:sz w:val="32"/>
      <w:szCs w:val="28"/>
    </w:rPr>
  </w:style>
  <w:style w:type="paragraph" w:styleId="4">
    <w:name w:val="heading 3"/>
    <w:basedOn w:val="1"/>
    <w:next w:val="1"/>
    <w:link w:val="36"/>
    <w:qFormat/>
    <w:uiPriority w:val="99"/>
    <w:pPr>
      <w:keepNext/>
      <w:widowControl/>
      <w:jc w:val="left"/>
      <w:outlineLvl w:val="2"/>
    </w:pPr>
    <w:rPr>
      <w:rFonts w:ascii="Cambria" w:hAnsi="Cambria"/>
      <w:b/>
      <w:bCs/>
      <w:kern w:val="0"/>
      <w:szCs w:val="26"/>
    </w:rPr>
  </w:style>
  <w:style w:type="paragraph" w:styleId="5">
    <w:name w:val="heading 4"/>
    <w:basedOn w:val="1"/>
    <w:next w:val="1"/>
    <w:link w:val="37"/>
    <w:qFormat/>
    <w:locked/>
    <w:uiPriority w:val="99"/>
    <w:pPr>
      <w:keepNext/>
      <w:keepLines/>
      <w:spacing w:before="280" w:after="290" w:line="376" w:lineRule="auto"/>
      <w:outlineLvl w:val="3"/>
    </w:pPr>
    <w:rPr>
      <w:rFonts w:ascii="Cambria" w:hAnsi="Cambria"/>
      <w:b/>
      <w:bCs/>
      <w:sz w:val="28"/>
      <w:szCs w:val="28"/>
    </w:rPr>
  </w:style>
  <w:style w:type="paragraph" w:styleId="6">
    <w:name w:val="heading 5"/>
    <w:basedOn w:val="1"/>
    <w:next w:val="1"/>
    <w:link w:val="38"/>
    <w:qFormat/>
    <w:uiPriority w:val="99"/>
    <w:pPr>
      <w:widowControl/>
      <w:numPr>
        <w:ilvl w:val="4"/>
        <w:numId w:val="1"/>
      </w:numPr>
      <w:spacing w:before="240" w:after="60" w:line="360" w:lineRule="auto"/>
      <w:jc w:val="left"/>
      <w:outlineLvl w:val="4"/>
    </w:pPr>
    <w:rPr>
      <w:rFonts w:ascii="宋体" w:hAnsi="宋体"/>
      <w:b/>
      <w:bCs/>
      <w:i/>
      <w:iCs/>
      <w:kern w:val="0"/>
      <w:sz w:val="26"/>
      <w:szCs w:val="26"/>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0"/>
    <w:qFormat/>
    <w:uiPriority w:val="99"/>
    <w:pPr>
      <w:widowControl/>
      <w:adjustRightInd w:val="0"/>
      <w:spacing w:line="360" w:lineRule="auto"/>
      <w:ind w:firstLine="420"/>
      <w:jc w:val="left"/>
      <w:textAlignment w:val="baseline"/>
    </w:pPr>
    <w:rPr>
      <w:rFonts w:ascii="Calibri" w:hAnsi="Calibri"/>
      <w:kern w:val="0"/>
      <w:sz w:val="20"/>
      <w:szCs w:val="20"/>
    </w:rPr>
  </w:style>
  <w:style w:type="paragraph" w:styleId="8">
    <w:name w:val="Document Map"/>
    <w:basedOn w:val="1"/>
    <w:link w:val="74"/>
    <w:unhideWhenUsed/>
    <w:qFormat/>
    <w:locked/>
    <w:uiPriority w:val="99"/>
    <w:rPr>
      <w:rFonts w:ascii="宋体"/>
      <w:sz w:val="18"/>
      <w:szCs w:val="18"/>
    </w:rPr>
  </w:style>
  <w:style w:type="paragraph" w:styleId="9">
    <w:name w:val="annotation text"/>
    <w:basedOn w:val="1"/>
    <w:link w:val="39"/>
    <w:qFormat/>
    <w:uiPriority w:val="99"/>
    <w:pPr>
      <w:jc w:val="left"/>
    </w:pPr>
  </w:style>
  <w:style w:type="paragraph" w:styleId="10">
    <w:name w:val="Body Text"/>
    <w:basedOn w:val="1"/>
    <w:link w:val="70"/>
    <w:qFormat/>
    <w:locked/>
    <w:uiPriority w:val="99"/>
    <w:pPr>
      <w:spacing w:after="120"/>
    </w:pPr>
  </w:style>
  <w:style w:type="paragraph" w:styleId="11">
    <w:name w:val="Body Text Indent"/>
    <w:basedOn w:val="1"/>
    <w:link w:val="40"/>
    <w:qFormat/>
    <w:uiPriority w:val="99"/>
    <w:pPr>
      <w:spacing w:after="120"/>
      <w:ind w:left="420" w:leftChars="200"/>
    </w:pPr>
  </w:style>
  <w:style w:type="paragraph" w:styleId="12">
    <w:name w:val="Block Text"/>
    <w:basedOn w:val="1"/>
    <w:qFormat/>
    <w:uiPriority w:val="99"/>
    <w:pPr>
      <w:spacing w:after="156"/>
    </w:pPr>
    <w:rPr>
      <w:rFonts w:ascii="宋体" w:hAnsi="Calibri"/>
      <w:szCs w:val="22"/>
    </w:rPr>
  </w:style>
  <w:style w:type="paragraph" w:styleId="13">
    <w:name w:val="toc 3"/>
    <w:basedOn w:val="1"/>
    <w:next w:val="1"/>
    <w:qFormat/>
    <w:locked/>
    <w:uiPriority w:val="39"/>
    <w:pPr>
      <w:widowControl/>
      <w:spacing w:after="100" w:line="276" w:lineRule="auto"/>
      <w:ind w:left="440"/>
      <w:jc w:val="left"/>
    </w:pPr>
    <w:rPr>
      <w:rFonts w:ascii="Calibri" w:hAnsi="Calibri"/>
      <w:kern w:val="0"/>
      <w:sz w:val="22"/>
      <w:szCs w:val="22"/>
    </w:rPr>
  </w:style>
  <w:style w:type="paragraph" w:styleId="14">
    <w:name w:val="Plain Text"/>
    <w:basedOn w:val="1"/>
    <w:link w:val="41"/>
    <w:qFormat/>
    <w:uiPriority w:val="99"/>
    <w:rPr>
      <w:rFonts w:ascii="宋体" w:hAnsi="Courier New" w:eastAsia="微软雅黑"/>
      <w:szCs w:val="20"/>
    </w:rPr>
  </w:style>
  <w:style w:type="paragraph" w:styleId="15">
    <w:name w:val="Date"/>
    <w:basedOn w:val="1"/>
    <w:next w:val="1"/>
    <w:link w:val="42"/>
    <w:qFormat/>
    <w:uiPriority w:val="99"/>
    <w:pPr>
      <w:ind w:left="100" w:leftChars="2500"/>
    </w:pPr>
  </w:style>
  <w:style w:type="paragraph" w:styleId="16">
    <w:name w:val="Body Text Indent 2"/>
    <w:basedOn w:val="1"/>
    <w:link w:val="43"/>
    <w:qFormat/>
    <w:uiPriority w:val="99"/>
    <w:pPr>
      <w:spacing w:after="120" w:line="480" w:lineRule="auto"/>
      <w:ind w:left="420" w:leftChars="200"/>
    </w:pPr>
  </w:style>
  <w:style w:type="paragraph" w:styleId="17">
    <w:name w:val="Balloon Text"/>
    <w:basedOn w:val="1"/>
    <w:link w:val="44"/>
    <w:semiHidden/>
    <w:qFormat/>
    <w:uiPriority w:val="99"/>
    <w:rPr>
      <w:sz w:val="18"/>
      <w:szCs w:val="18"/>
    </w:rPr>
  </w:style>
  <w:style w:type="paragraph" w:styleId="18">
    <w:name w:val="footer"/>
    <w:basedOn w:val="1"/>
    <w:link w:val="45"/>
    <w:qFormat/>
    <w:uiPriority w:val="99"/>
    <w:pPr>
      <w:tabs>
        <w:tab w:val="center" w:pos="4153"/>
        <w:tab w:val="right" w:pos="8306"/>
      </w:tabs>
      <w:snapToGrid w:val="0"/>
      <w:jc w:val="left"/>
    </w:pPr>
    <w:rPr>
      <w:sz w:val="18"/>
      <w:szCs w:val="18"/>
    </w:rPr>
  </w:style>
  <w:style w:type="paragraph" w:styleId="19">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locked/>
    <w:uiPriority w:val="39"/>
    <w:pPr>
      <w:widowControl/>
      <w:spacing w:after="100" w:line="276" w:lineRule="auto"/>
      <w:jc w:val="left"/>
    </w:pPr>
    <w:rPr>
      <w:rFonts w:ascii="Calibri" w:hAnsi="Calibri"/>
      <w:kern w:val="0"/>
      <w:sz w:val="22"/>
      <w:szCs w:val="22"/>
    </w:rPr>
  </w:style>
  <w:style w:type="paragraph" w:styleId="21">
    <w:name w:val="toc 2"/>
    <w:basedOn w:val="1"/>
    <w:next w:val="1"/>
    <w:qFormat/>
    <w:locked/>
    <w:uiPriority w:val="39"/>
    <w:pPr>
      <w:widowControl/>
      <w:spacing w:after="100" w:line="276" w:lineRule="auto"/>
      <w:ind w:left="220"/>
      <w:jc w:val="left"/>
    </w:pPr>
    <w:rPr>
      <w:rFonts w:ascii="Calibri" w:hAnsi="Calibri"/>
      <w:kern w:val="0"/>
      <w:sz w:val="22"/>
      <w:szCs w:val="22"/>
    </w:rPr>
  </w:style>
  <w:style w:type="paragraph" w:styleId="22">
    <w:name w:val="toc 9"/>
    <w:basedOn w:val="1"/>
    <w:next w:val="1"/>
    <w:semiHidden/>
    <w:qFormat/>
    <w:locked/>
    <w:uiPriority w:val="99"/>
    <w:pPr>
      <w:ind w:left="3360" w:leftChars="1600"/>
    </w:pPr>
  </w:style>
  <w:style w:type="paragraph" w:styleId="23">
    <w:name w:val="HTML Preformatted"/>
    <w:link w:val="75"/>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3" w:lineRule="atLeast"/>
    </w:pPr>
    <w:rPr>
      <w:rFonts w:ascii="Courier New" w:hAnsi="Courier New" w:eastAsia="宋体" w:cs="Times New Roman"/>
      <w:lang w:val="en-US" w:eastAsia="zh-CN" w:bidi="ar-SA"/>
    </w:rPr>
  </w:style>
  <w:style w:type="paragraph" w:styleId="24">
    <w:name w:val="Normal (Web)"/>
    <w:basedOn w:val="1"/>
    <w:qFormat/>
    <w:uiPriority w:val="99"/>
    <w:pPr>
      <w:widowControl/>
      <w:spacing w:before="100" w:beforeAutospacing="1" w:after="100" w:afterAutospacing="1"/>
      <w:jc w:val="left"/>
    </w:pPr>
    <w:rPr>
      <w:rFonts w:ascii="宋体" w:hAnsi="宋体"/>
      <w:kern w:val="0"/>
      <w:sz w:val="24"/>
    </w:rPr>
  </w:style>
  <w:style w:type="paragraph" w:styleId="25">
    <w:name w:val="Title"/>
    <w:basedOn w:val="1"/>
    <w:next w:val="1"/>
    <w:link w:val="47"/>
    <w:qFormat/>
    <w:locked/>
    <w:uiPriority w:val="99"/>
    <w:pPr>
      <w:spacing w:before="240" w:after="60"/>
      <w:jc w:val="center"/>
      <w:outlineLvl w:val="0"/>
    </w:pPr>
    <w:rPr>
      <w:rFonts w:ascii="Cambria" w:hAnsi="Cambria"/>
      <w:b/>
      <w:bCs/>
      <w:sz w:val="32"/>
      <w:szCs w:val="32"/>
    </w:rPr>
  </w:style>
  <w:style w:type="paragraph" w:styleId="26">
    <w:name w:val="annotation subject"/>
    <w:basedOn w:val="9"/>
    <w:next w:val="9"/>
    <w:link w:val="62"/>
    <w:semiHidden/>
    <w:qFormat/>
    <w:uiPriority w:val="99"/>
    <w:rPr>
      <w:b/>
      <w:bCs/>
    </w:rPr>
  </w:style>
  <w:style w:type="table" w:styleId="28">
    <w:name w:val="Table Grid"/>
    <w:basedOn w:val="27"/>
    <w:qFormat/>
    <w:lock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bCs/>
    </w:rPr>
  </w:style>
  <w:style w:type="character" w:styleId="31">
    <w:name w:val="Hyperlink"/>
    <w:basedOn w:val="29"/>
    <w:qFormat/>
    <w:uiPriority w:val="99"/>
    <w:rPr>
      <w:rFonts w:cs="Times New Roman"/>
      <w:color w:val="0000FF"/>
      <w:u w:val="single"/>
    </w:rPr>
  </w:style>
  <w:style w:type="character" w:styleId="32">
    <w:name w:val="annotation reference"/>
    <w:basedOn w:val="29"/>
    <w:qFormat/>
    <w:uiPriority w:val="99"/>
    <w:rPr>
      <w:rFonts w:cs="Times New Roman"/>
      <w:sz w:val="21"/>
      <w:szCs w:val="21"/>
    </w:rPr>
  </w:style>
  <w:style w:type="paragraph" w:customStyle="1" w:styleId="33">
    <w:name w:val="段落大意"/>
    <w:qFormat/>
    <w:uiPriority w:val="0"/>
    <w:pPr>
      <w:snapToGrid w:val="0"/>
      <w:spacing w:after="160" w:line="300" w:lineRule="auto"/>
      <w:ind w:firstLine="200" w:firstLineChars="200"/>
      <w:jc w:val="both"/>
    </w:pPr>
    <w:rPr>
      <w:rFonts w:ascii="方正中等线简体" w:hAnsi="方正中等线简体" w:eastAsia="方正中等线简体" w:cs="方正中等线简体"/>
      <w:kern w:val="2"/>
      <w:sz w:val="21"/>
      <w:szCs w:val="22"/>
      <w:lang w:val="en-US" w:eastAsia="zh-CN" w:bidi="ar-SA"/>
    </w:rPr>
  </w:style>
  <w:style w:type="character" w:customStyle="1" w:styleId="34">
    <w:name w:val="标题 1 Char"/>
    <w:basedOn w:val="29"/>
    <w:link w:val="2"/>
    <w:qFormat/>
    <w:locked/>
    <w:uiPriority w:val="99"/>
    <w:rPr>
      <w:rFonts w:ascii="Cambria" w:hAnsi="Cambria" w:eastAsia="黑体" w:cs="Times New Roman"/>
      <w:b/>
      <w:bCs/>
      <w:kern w:val="32"/>
      <w:sz w:val="32"/>
      <w:szCs w:val="32"/>
    </w:rPr>
  </w:style>
  <w:style w:type="character" w:customStyle="1" w:styleId="35">
    <w:name w:val="标题 2 Char"/>
    <w:basedOn w:val="29"/>
    <w:link w:val="3"/>
    <w:qFormat/>
    <w:locked/>
    <w:uiPriority w:val="99"/>
    <w:rPr>
      <w:rFonts w:ascii="Cambria" w:hAnsi="Cambria" w:eastAsia="黑体" w:cs="Times New Roman"/>
      <w:b/>
      <w:bCs/>
      <w:iCs/>
      <w:sz w:val="28"/>
      <w:szCs w:val="28"/>
    </w:rPr>
  </w:style>
  <w:style w:type="character" w:customStyle="1" w:styleId="36">
    <w:name w:val="标题 3 Char"/>
    <w:basedOn w:val="29"/>
    <w:link w:val="4"/>
    <w:qFormat/>
    <w:locked/>
    <w:uiPriority w:val="99"/>
    <w:rPr>
      <w:rFonts w:ascii="Cambria" w:hAnsi="Cambria" w:eastAsia="宋体" w:cs="Times New Roman"/>
      <w:b/>
      <w:bCs/>
      <w:kern w:val="0"/>
      <w:sz w:val="26"/>
      <w:szCs w:val="26"/>
    </w:rPr>
  </w:style>
  <w:style w:type="character" w:customStyle="1" w:styleId="37">
    <w:name w:val="标题 4 Char"/>
    <w:basedOn w:val="29"/>
    <w:link w:val="5"/>
    <w:qFormat/>
    <w:locked/>
    <w:uiPriority w:val="99"/>
    <w:rPr>
      <w:rFonts w:ascii="Cambria" w:hAnsi="Cambria" w:eastAsia="宋体" w:cs="Times New Roman"/>
      <w:b/>
      <w:bCs/>
      <w:kern w:val="2"/>
      <w:sz w:val="28"/>
      <w:szCs w:val="28"/>
    </w:rPr>
  </w:style>
  <w:style w:type="character" w:customStyle="1" w:styleId="38">
    <w:name w:val="标题 5 Char"/>
    <w:basedOn w:val="29"/>
    <w:link w:val="6"/>
    <w:qFormat/>
    <w:locked/>
    <w:uiPriority w:val="99"/>
    <w:rPr>
      <w:rFonts w:ascii="宋体" w:hAnsi="宋体" w:eastAsia="宋体" w:cs="Times New Roman"/>
      <w:b/>
      <w:bCs/>
      <w:i/>
      <w:iCs/>
      <w:kern w:val="0"/>
      <w:sz w:val="26"/>
      <w:szCs w:val="26"/>
    </w:rPr>
  </w:style>
  <w:style w:type="character" w:customStyle="1" w:styleId="39">
    <w:name w:val="批注文字 Char"/>
    <w:basedOn w:val="29"/>
    <w:link w:val="9"/>
    <w:qFormat/>
    <w:locked/>
    <w:uiPriority w:val="99"/>
    <w:rPr>
      <w:rFonts w:ascii="Times New Roman" w:hAnsi="Times New Roman" w:eastAsia="宋体" w:cs="Times New Roman"/>
      <w:kern w:val="2"/>
      <w:sz w:val="24"/>
      <w:szCs w:val="24"/>
    </w:rPr>
  </w:style>
  <w:style w:type="character" w:customStyle="1" w:styleId="40">
    <w:name w:val="正文文本缩进 Char"/>
    <w:basedOn w:val="29"/>
    <w:link w:val="11"/>
    <w:qFormat/>
    <w:locked/>
    <w:uiPriority w:val="99"/>
    <w:rPr>
      <w:rFonts w:ascii="Times New Roman" w:hAnsi="Times New Roman" w:cs="Times New Roman"/>
      <w:kern w:val="2"/>
      <w:sz w:val="24"/>
      <w:szCs w:val="24"/>
    </w:rPr>
  </w:style>
  <w:style w:type="character" w:customStyle="1" w:styleId="41">
    <w:name w:val="纯文本 Char1"/>
    <w:basedOn w:val="29"/>
    <w:link w:val="14"/>
    <w:qFormat/>
    <w:locked/>
    <w:uiPriority w:val="99"/>
    <w:rPr>
      <w:rFonts w:ascii="宋体" w:hAnsi="Courier New" w:cs="Times New Roman"/>
      <w:kern w:val="2"/>
      <w:sz w:val="21"/>
    </w:rPr>
  </w:style>
  <w:style w:type="character" w:customStyle="1" w:styleId="42">
    <w:name w:val="日期 Char"/>
    <w:basedOn w:val="29"/>
    <w:link w:val="15"/>
    <w:qFormat/>
    <w:locked/>
    <w:uiPriority w:val="99"/>
    <w:rPr>
      <w:rFonts w:ascii="Times New Roman" w:hAnsi="Times New Roman" w:eastAsia="宋体" w:cs="Times New Roman"/>
      <w:sz w:val="24"/>
      <w:szCs w:val="24"/>
    </w:rPr>
  </w:style>
  <w:style w:type="character" w:customStyle="1" w:styleId="43">
    <w:name w:val="正文文本缩进 2 Char"/>
    <w:basedOn w:val="29"/>
    <w:link w:val="16"/>
    <w:qFormat/>
    <w:locked/>
    <w:uiPriority w:val="99"/>
    <w:rPr>
      <w:rFonts w:ascii="Times New Roman" w:hAnsi="Times New Roman" w:cs="Times New Roman"/>
      <w:kern w:val="2"/>
      <w:sz w:val="24"/>
      <w:szCs w:val="24"/>
    </w:rPr>
  </w:style>
  <w:style w:type="character" w:customStyle="1" w:styleId="44">
    <w:name w:val="批注框文本 Char"/>
    <w:basedOn w:val="29"/>
    <w:link w:val="17"/>
    <w:semiHidden/>
    <w:qFormat/>
    <w:locked/>
    <w:uiPriority w:val="99"/>
    <w:rPr>
      <w:rFonts w:ascii="Times New Roman" w:hAnsi="Times New Roman" w:eastAsia="宋体" w:cs="Times New Roman"/>
      <w:kern w:val="2"/>
      <w:sz w:val="18"/>
      <w:szCs w:val="18"/>
    </w:rPr>
  </w:style>
  <w:style w:type="character" w:customStyle="1" w:styleId="45">
    <w:name w:val="页脚 Char"/>
    <w:basedOn w:val="29"/>
    <w:link w:val="18"/>
    <w:qFormat/>
    <w:locked/>
    <w:uiPriority w:val="99"/>
    <w:rPr>
      <w:rFonts w:cs="Times New Roman"/>
      <w:sz w:val="18"/>
      <w:szCs w:val="18"/>
    </w:rPr>
  </w:style>
  <w:style w:type="character" w:customStyle="1" w:styleId="46">
    <w:name w:val="页眉 Char"/>
    <w:basedOn w:val="29"/>
    <w:link w:val="19"/>
    <w:semiHidden/>
    <w:qFormat/>
    <w:locked/>
    <w:uiPriority w:val="99"/>
    <w:rPr>
      <w:rFonts w:cs="Times New Roman"/>
      <w:sz w:val="18"/>
      <w:szCs w:val="18"/>
    </w:rPr>
  </w:style>
  <w:style w:type="character" w:customStyle="1" w:styleId="47">
    <w:name w:val="标题 Char"/>
    <w:basedOn w:val="29"/>
    <w:link w:val="25"/>
    <w:qFormat/>
    <w:locked/>
    <w:uiPriority w:val="99"/>
    <w:rPr>
      <w:rFonts w:ascii="Cambria" w:hAnsi="Cambria" w:cs="Times New Roman"/>
      <w:b/>
      <w:bCs/>
      <w:kern w:val="2"/>
      <w:sz w:val="32"/>
      <w:szCs w:val="32"/>
    </w:rPr>
  </w:style>
  <w:style w:type="paragraph" w:customStyle="1" w:styleId="48">
    <w:name w:val="Char Char Char"/>
    <w:basedOn w:val="1"/>
    <w:qFormat/>
    <w:uiPriority w:val="99"/>
    <w:rPr>
      <w:rFonts w:ascii="Tahoma" w:hAnsi="Tahoma"/>
      <w:sz w:val="24"/>
      <w:szCs w:val="20"/>
    </w:rPr>
  </w:style>
  <w:style w:type="paragraph" w:customStyle="1" w:styleId="49">
    <w:name w:val="列出段落1"/>
    <w:basedOn w:val="1"/>
    <w:link w:val="51"/>
    <w:qFormat/>
    <w:uiPriority w:val="99"/>
    <w:pPr>
      <w:ind w:firstLine="420" w:firstLineChars="200"/>
    </w:pPr>
    <w:rPr>
      <w:kern w:val="0"/>
      <w:sz w:val="24"/>
      <w:szCs w:val="20"/>
    </w:rPr>
  </w:style>
  <w:style w:type="character" w:customStyle="1" w:styleId="50">
    <w:name w:val="正文缩进 Char"/>
    <w:link w:val="7"/>
    <w:qFormat/>
    <w:locked/>
    <w:uiPriority w:val="99"/>
    <w:rPr>
      <w:rFonts w:eastAsia="宋体"/>
    </w:rPr>
  </w:style>
  <w:style w:type="character" w:customStyle="1" w:styleId="51">
    <w:name w:val="列出段落 Char"/>
    <w:link w:val="49"/>
    <w:qFormat/>
    <w:locked/>
    <w:uiPriority w:val="99"/>
    <w:rPr>
      <w:rFonts w:ascii="Times New Roman" w:hAnsi="Times New Roman" w:eastAsia="宋体"/>
      <w:sz w:val="24"/>
    </w:rPr>
  </w:style>
  <w:style w:type="paragraph" w:customStyle="1" w:styleId="52">
    <w:name w:val="正文-带编号1)"/>
    <w:basedOn w:val="1"/>
    <w:qFormat/>
    <w:uiPriority w:val="99"/>
    <w:pPr>
      <w:spacing w:line="400" w:lineRule="exact"/>
    </w:pPr>
    <w:rPr>
      <w:rFonts w:ascii="Arial" w:hAnsi="Arial"/>
    </w:rPr>
  </w:style>
  <w:style w:type="paragraph" w:customStyle="1" w:styleId="53">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54">
    <w:name w:val="D&amp;L"/>
    <w:basedOn w:val="19"/>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55">
    <w:name w:val="Char Char Char Char Char Char Char1 Char"/>
    <w:basedOn w:val="1"/>
    <w:qFormat/>
    <w:uiPriority w:val="99"/>
    <w:rPr>
      <w:rFonts w:ascii="Tahoma" w:hAnsi="Tahoma"/>
      <w:sz w:val="24"/>
      <w:szCs w:val="20"/>
    </w:rPr>
  </w:style>
  <w:style w:type="paragraph" w:customStyle="1" w:styleId="56">
    <w:name w:val="列出段落2"/>
    <w:basedOn w:val="1"/>
    <w:qFormat/>
    <w:uiPriority w:val="99"/>
    <w:pPr>
      <w:ind w:firstLine="420" w:firstLineChars="200"/>
    </w:pPr>
    <w:rPr>
      <w:rFonts w:ascii="Calibri" w:hAnsi="Calibri"/>
      <w:szCs w:val="22"/>
    </w:rPr>
  </w:style>
  <w:style w:type="paragraph" w:customStyle="1" w:styleId="57">
    <w:name w:val="正文_0"/>
    <w:qFormat/>
    <w:uiPriority w:val="99"/>
    <w:pPr>
      <w:widowControl w:val="0"/>
      <w:jc w:val="both"/>
    </w:pPr>
    <w:rPr>
      <w:rFonts w:ascii="Tahoma" w:hAnsi="Tahoma" w:eastAsia="宋体" w:cs="Tahoma"/>
      <w:kern w:val="2"/>
      <w:sz w:val="21"/>
      <w:szCs w:val="22"/>
      <w:lang w:val="en-US" w:eastAsia="zh-CN" w:bidi="ar-SA"/>
    </w:rPr>
  </w:style>
  <w:style w:type="paragraph" w:customStyle="1" w:styleId="58">
    <w:name w:val="TOC 标题1"/>
    <w:basedOn w:val="2"/>
    <w:next w:val="1"/>
    <w:semiHidden/>
    <w:qFormat/>
    <w:uiPriority w:val="99"/>
    <w:pPr>
      <w:keepLines/>
      <w:numPr>
        <w:numId w:val="0"/>
      </w:numPr>
      <w:spacing w:before="480" w:line="276" w:lineRule="auto"/>
      <w:outlineLvl w:val="9"/>
    </w:pPr>
    <w:rPr>
      <w:rFonts w:eastAsia="宋体"/>
      <w:color w:val="365F91"/>
      <w:kern w:val="0"/>
      <w:sz w:val="28"/>
      <w:szCs w:val="28"/>
    </w:rPr>
  </w:style>
  <w:style w:type="character" w:customStyle="1" w:styleId="59">
    <w:name w:val="纯文本 Char"/>
    <w:basedOn w:val="29"/>
    <w:semiHidden/>
    <w:qFormat/>
    <w:uiPriority w:val="99"/>
    <w:rPr>
      <w:rFonts w:ascii="宋体" w:hAnsi="Courier New" w:cs="Courier New"/>
      <w:kern w:val="2"/>
      <w:sz w:val="21"/>
      <w:szCs w:val="21"/>
    </w:rPr>
  </w:style>
  <w:style w:type="paragraph" w:customStyle="1" w:styleId="60">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61">
    <w:name w:val="项目正文"/>
    <w:basedOn w:val="1"/>
    <w:qFormat/>
    <w:uiPriority w:val="99"/>
    <w:pPr>
      <w:ind w:firstLine="482"/>
    </w:pPr>
  </w:style>
  <w:style w:type="character" w:customStyle="1" w:styleId="62">
    <w:name w:val="批注主题 Char"/>
    <w:basedOn w:val="39"/>
    <w:link w:val="26"/>
    <w:qFormat/>
    <w:locked/>
    <w:uiPriority w:val="99"/>
    <w:rPr>
      <w:rFonts w:ascii="Times New Roman" w:hAnsi="Times New Roman" w:eastAsia="宋体" w:cs="Times New Roman"/>
      <w:kern w:val="2"/>
      <w:sz w:val="24"/>
      <w:szCs w:val="24"/>
    </w:rPr>
  </w:style>
  <w:style w:type="character" w:customStyle="1" w:styleId="63">
    <w:name w:val="font101"/>
    <w:basedOn w:val="29"/>
    <w:qFormat/>
    <w:uiPriority w:val="99"/>
    <w:rPr>
      <w:rFonts w:ascii="宋体" w:hAnsi="宋体" w:eastAsia="宋体" w:cs="宋体"/>
      <w:b/>
      <w:color w:val="000000"/>
      <w:sz w:val="20"/>
      <w:szCs w:val="20"/>
      <w:u w:val="none"/>
    </w:rPr>
  </w:style>
  <w:style w:type="character" w:customStyle="1" w:styleId="64">
    <w:name w:val="font111"/>
    <w:basedOn w:val="29"/>
    <w:qFormat/>
    <w:uiPriority w:val="99"/>
    <w:rPr>
      <w:rFonts w:ascii="宋体" w:hAnsi="宋体" w:eastAsia="宋体" w:cs="宋体"/>
      <w:color w:val="000000"/>
      <w:sz w:val="20"/>
      <w:szCs w:val="20"/>
      <w:u w:val="none"/>
    </w:rPr>
  </w:style>
  <w:style w:type="character" w:customStyle="1" w:styleId="65">
    <w:name w:val="font181"/>
    <w:basedOn w:val="29"/>
    <w:qFormat/>
    <w:uiPriority w:val="99"/>
    <w:rPr>
      <w:rFonts w:ascii="宋体" w:hAnsi="宋体" w:eastAsia="宋体" w:cs="宋体"/>
      <w:color w:val="FF0000"/>
      <w:sz w:val="20"/>
      <w:szCs w:val="20"/>
      <w:u w:val="none"/>
    </w:rPr>
  </w:style>
  <w:style w:type="character" w:customStyle="1" w:styleId="66">
    <w:name w:val="font12"/>
    <w:basedOn w:val="29"/>
    <w:qFormat/>
    <w:uiPriority w:val="99"/>
    <w:rPr>
      <w:rFonts w:ascii="宋体" w:hAnsi="宋体" w:eastAsia="宋体" w:cs="宋体"/>
      <w:color w:val="000000"/>
      <w:sz w:val="22"/>
      <w:szCs w:val="22"/>
      <w:u w:val="none"/>
    </w:rPr>
  </w:style>
  <w:style w:type="character" w:customStyle="1" w:styleId="67">
    <w:name w:val="font161"/>
    <w:basedOn w:val="29"/>
    <w:qFormat/>
    <w:uiPriority w:val="99"/>
    <w:rPr>
      <w:rFonts w:ascii="宋体" w:hAnsi="宋体" w:eastAsia="宋体" w:cs="宋体"/>
      <w:color w:val="000000"/>
      <w:sz w:val="22"/>
      <w:szCs w:val="22"/>
      <w:u w:val="none"/>
    </w:rPr>
  </w:style>
  <w:style w:type="character" w:customStyle="1" w:styleId="68">
    <w:name w:val="font51"/>
    <w:basedOn w:val="29"/>
    <w:qFormat/>
    <w:uiPriority w:val="99"/>
    <w:rPr>
      <w:rFonts w:ascii="宋体" w:hAnsi="宋体" w:eastAsia="宋体" w:cs="宋体"/>
      <w:b/>
      <w:color w:val="000000"/>
      <w:sz w:val="20"/>
      <w:szCs w:val="20"/>
      <w:u w:val="none"/>
    </w:rPr>
  </w:style>
  <w:style w:type="character" w:customStyle="1" w:styleId="69">
    <w:name w:val="font122"/>
    <w:basedOn w:val="29"/>
    <w:qFormat/>
    <w:uiPriority w:val="99"/>
    <w:rPr>
      <w:rFonts w:ascii="宋体" w:hAnsi="宋体" w:eastAsia="宋体" w:cs="宋体"/>
      <w:color w:val="000000"/>
      <w:sz w:val="22"/>
      <w:szCs w:val="22"/>
      <w:u w:val="none"/>
    </w:rPr>
  </w:style>
  <w:style w:type="character" w:customStyle="1" w:styleId="70">
    <w:name w:val="正文文本 Char"/>
    <w:basedOn w:val="29"/>
    <w:link w:val="10"/>
    <w:qFormat/>
    <w:locked/>
    <w:uiPriority w:val="99"/>
    <w:rPr>
      <w:rFonts w:ascii="Times New Roman" w:hAnsi="Times New Roman" w:eastAsia="宋体" w:cs="Times New Roman"/>
      <w:sz w:val="24"/>
      <w:szCs w:val="24"/>
    </w:rPr>
  </w:style>
  <w:style w:type="paragraph" w:customStyle="1" w:styleId="71">
    <w:name w:val="TOC 标题2"/>
    <w:basedOn w:val="2"/>
    <w:next w:val="1"/>
    <w:unhideWhenUsed/>
    <w:qFormat/>
    <w:uiPriority w:val="39"/>
    <w:pPr>
      <w:keepLines/>
      <w:numPr>
        <w:numId w:val="0"/>
      </w:numPr>
      <w:spacing w:before="240" w:line="259" w:lineRule="auto"/>
      <w:jc w:val="left"/>
      <w:outlineLvl w:val="9"/>
    </w:pPr>
    <w:rPr>
      <w:rFonts w:asciiTheme="majorHAnsi" w:hAnsiTheme="majorHAnsi" w:eastAsiaTheme="majorEastAsia" w:cstheme="majorBidi"/>
      <w:b w:val="0"/>
      <w:bCs w:val="0"/>
      <w:color w:val="376092" w:themeColor="accent1" w:themeShade="BF"/>
      <w:kern w:val="0"/>
    </w:rPr>
  </w:style>
  <w:style w:type="paragraph" w:customStyle="1" w:styleId="72">
    <w:name w:val="MsoNormal"/>
    <w:basedOn w:val="1"/>
    <w:qFormat/>
    <w:uiPriority w:val="0"/>
    <w:pPr>
      <w:widowControl/>
      <w:jc w:val="left"/>
    </w:pPr>
    <w:rPr>
      <w:rFonts w:eastAsia="Calibri"/>
      <w:kern w:val="0"/>
    </w:rPr>
  </w:style>
  <w:style w:type="paragraph" w:customStyle="1" w:styleId="73">
    <w:name w:val="p0"/>
    <w:basedOn w:val="1"/>
    <w:qFormat/>
    <w:uiPriority w:val="0"/>
    <w:pPr>
      <w:widowControl/>
      <w:jc w:val="left"/>
    </w:pPr>
    <w:rPr>
      <w:kern w:val="0"/>
      <w:sz w:val="24"/>
    </w:rPr>
  </w:style>
  <w:style w:type="character" w:customStyle="1" w:styleId="74">
    <w:name w:val="文档结构图 Char"/>
    <w:basedOn w:val="29"/>
    <w:link w:val="8"/>
    <w:semiHidden/>
    <w:qFormat/>
    <w:uiPriority w:val="99"/>
    <w:rPr>
      <w:rFonts w:ascii="宋体"/>
      <w:kern w:val="2"/>
      <w:sz w:val="18"/>
      <w:szCs w:val="18"/>
    </w:rPr>
  </w:style>
  <w:style w:type="character" w:customStyle="1" w:styleId="75">
    <w:name w:val="HTML 预设格式 Char"/>
    <w:basedOn w:val="29"/>
    <w:link w:val="23"/>
    <w:qFormat/>
    <w:uiPriority w:val="99"/>
    <w:rPr>
      <w:rFonts w:ascii="Courier New" w:hAnsi="Courier New"/>
    </w:rPr>
  </w:style>
  <w:style w:type="paragraph" w:customStyle="1" w:styleId="76">
    <w:name w:val="修订1"/>
    <w:hidden/>
    <w:unhideWhenUsed/>
    <w:qFormat/>
    <w:uiPriority w:val="99"/>
    <w:rPr>
      <w:rFonts w:ascii="Times New Roman" w:hAnsi="Times New Roman" w:eastAsia="宋体" w:cs="Times New Roman"/>
      <w:kern w:val="2"/>
      <w:sz w:val="21"/>
      <w:szCs w:val="24"/>
      <w:lang w:val="en-US" w:eastAsia="zh-CN" w:bidi="ar-SA"/>
    </w:rPr>
  </w:style>
  <w:style w:type="table" w:customStyle="1" w:styleId="77">
    <w:name w:val="Table Normal"/>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78">
    <w:name w:val="占位符文本1"/>
    <w:basedOn w:val="29"/>
    <w:semiHidden/>
    <w:qFormat/>
    <w:uiPriority w:val="99"/>
    <w:rPr>
      <w:color w:val="808080"/>
    </w:rPr>
  </w:style>
  <w:style w:type="paragraph" w:customStyle="1" w:styleId="79">
    <w:name w:val="Party"/>
    <w:basedOn w:val="1"/>
    <w:qFormat/>
    <w:uiPriority w:val="0"/>
    <w:pPr>
      <w:widowControl/>
      <w:overflowPunct w:val="0"/>
      <w:autoSpaceDE w:val="0"/>
      <w:autoSpaceDN w:val="0"/>
      <w:adjustRightInd w:val="0"/>
      <w:spacing w:after="240" w:line="240" w:lineRule="exact"/>
      <w:ind w:left="720" w:hanging="720"/>
      <w:textAlignment w:val="baseline"/>
    </w:pPr>
    <w:rPr>
      <w:kern w:val="0"/>
      <w:sz w:val="23"/>
      <w:szCs w:val="20"/>
      <w:lang w:val="en-GB"/>
    </w:rPr>
  </w:style>
  <w:style w:type="paragraph" w:styleId="8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37447E-7EE3-4F5B-ACD1-FDD9F11421A2}">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49</Pages>
  <Words>5174</Words>
  <Characters>29492</Characters>
  <Lines>245</Lines>
  <Paragraphs>69</Paragraphs>
  <TotalTime>11</TotalTime>
  <ScaleCrop>false</ScaleCrop>
  <LinksUpToDate>false</LinksUpToDate>
  <CharactersWithSpaces>34597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2020-11-04T09:34:00Z</dcterms:created>
  <dc:creator>WG</dc:creator>
  <cp:lastModifiedBy>着迷</cp:lastModifiedBy>
  <cp:lastPrinted>2020-09-04T16:35:00Z</cp:lastPrinted>
  <dcterms:modified xsi:type="dcterms:W3CDTF">2020-12-03T00:59:38Z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