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52"/>
        </w:rPr>
      </w:pPr>
      <w:bookmarkStart w:id="0" w:name="_Toc13732416"/>
      <w:bookmarkStart w:id="1" w:name="_Toc491005864"/>
    </w:p>
    <w:p>
      <w:pPr>
        <w:jc w:val="center"/>
        <w:rPr>
          <w:b/>
          <w:sz w:val="44"/>
          <w:szCs w:val="44"/>
        </w:rPr>
      </w:pPr>
    </w:p>
    <w:p>
      <w:pPr>
        <w:jc w:val="center"/>
        <w:rPr>
          <w:rFonts w:hint="eastAsia"/>
          <w:b/>
          <w:sz w:val="44"/>
          <w:szCs w:val="44"/>
        </w:rPr>
      </w:pPr>
      <w:r>
        <w:rPr>
          <w:rFonts w:hint="eastAsia"/>
          <w:b/>
          <w:sz w:val="44"/>
          <w:szCs w:val="44"/>
        </w:rPr>
        <w:t>合肥百货大楼集团股份有限公司</w:t>
      </w:r>
    </w:p>
    <w:p>
      <w:pPr>
        <w:jc w:val="center"/>
        <w:rPr>
          <w:rFonts w:hint="eastAsia"/>
          <w:b/>
          <w:sz w:val="44"/>
          <w:szCs w:val="44"/>
        </w:rPr>
      </w:pPr>
    </w:p>
    <w:p>
      <w:pPr>
        <w:jc w:val="center"/>
        <w:rPr>
          <w:rFonts w:hint="eastAsia" w:eastAsia="宋体"/>
          <w:b/>
          <w:kern w:val="2"/>
          <w:sz w:val="44"/>
          <w:szCs w:val="44"/>
          <w:lang w:val="en-US" w:eastAsia="zh-CN"/>
        </w:rPr>
      </w:pPr>
      <w:r>
        <w:rPr>
          <w:rFonts w:hint="eastAsia" w:eastAsia="宋体"/>
          <w:b/>
          <w:kern w:val="2"/>
          <w:sz w:val="44"/>
          <w:szCs w:val="44"/>
          <w:lang w:eastAsia="zh-CN"/>
        </w:rPr>
        <w:t>成员企业</w:t>
      </w:r>
      <w:r>
        <w:rPr>
          <w:rFonts w:hint="eastAsia" w:eastAsia="宋体"/>
          <w:b/>
          <w:kern w:val="2"/>
          <w:sz w:val="44"/>
          <w:szCs w:val="44"/>
        </w:rPr>
        <w:t>合同能源管理服务</w:t>
      </w:r>
      <w:r>
        <w:rPr>
          <w:rFonts w:hint="eastAsia"/>
          <w:b/>
          <w:kern w:val="2"/>
          <w:sz w:val="44"/>
          <w:szCs w:val="44"/>
          <w:lang w:eastAsia="zh-CN"/>
        </w:rPr>
        <w:t>（三次）</w:t>
      </w:r>
    </w:p>
    <w:p>
      <w:pPr>
        <w:jc w:val="center"/>
      </w:pPr>
    </w:p>
    <w:p>
      <w:pPr>
        <w:jc w:val="center"/>
      </w:pPr>
    </w:p>
    <w:p>
      <w:pPr>
        <w:jc w:val="center"/>
      </w:pPr>
    </w:p>
    <w:p>
      <w:pPr>
        <w:jc w:val="center"/>
      </w:pPr>
    </w:p>
    <w:p>
      <w:pPr>
        <w:jc w:val="center"/>
      </w:pPr>
    </w:p>
    <w:p>
      <w:pPr>
        <w:jc w:val="center"/>
      </w:pPr>
    </w:p>
    <w:p>
      <w:pPr>
        <w:jc w:val="center"/>
        <w:rPr>
          <w:rFonts w:ascii="黑体" w:eastAsia="黑体"/>
          <w:b/>
          <w:sz w:val="52"/>
          <w:szCs w:val="52"/>
        </w:rPr>
      </w:pPr>
      <w:r>
        <w:rPr>
          <w:rFonts w:hint="eastAsia" w:ascii="黑体" w:eastAsia="黑体"/>
          <w:b/>
          <w:sz w:val="52"/>
          <w:szCs w:val="52"/>
        </w:rPr>
        <w:t>招标文件</w:t>
      </w:r>
    </w:p>
    <w:p/>
    <w:p/>
    <w:p/>
    <w:p/>
    <w:p/>
    <w:p/>
    <w:p/>
    <w:p/>
    <w:p/>
    <w:p/>
    <w:p/>
    <w:p/>
    <w:p/>
    <w:p/>
    <w:p/>
    <w:p/>
    <w:p/>
    <w:p>
      <w:pPr>
        <w:tabs>
          <w:tab w:val="left" w:pos="2410"/>
        </w:tabs>
        <w:autoSpaceDE w:val="0"/>
        <w:autoSpaceDN w:val="0"/>
        <w:adjustRightInd w:val="0"/>
        <w:snapToGrid w:val="0"/>
        <w:spacing w:line="360" w:lineRule="auto"/>
        <w:rPr>
          <w:rFonts w:hint="eastAsia" w:ascii="宋体" w:hAnsi="DotumChe" w:eastAsia="宋体" w:cs="宋体"/>
          <w:b/>
          <w:spacing w:val="20"/>
          <w:kern w:val="0"/>
          <w:sz w:val="32"/>
          <w:szCs w:val="32"/>
          <w:lang w:eastAsia="zh-CN"/>
        </w:rPr>
      </w:pPr>
      <w:r>
        <w:rPr>
          <w:rFonts w:hint="eastAsia" w:ascii="宋体" w:hAnsi="DotumChe" w:cs="宋体"/>
          <w:b/>
          <w:spacing w:val="20"/>
          <w:kern w:val="0"/>
          <w:sz w:val="32"/>
          <w:szCs w:val="32"/>
        </w:rPr>
        <w:t>项目编号: HBZ-200</w:t>
      </w:r>
      <w:r>
        <w:rPr>
          <w:rFonts w:hint="eastAsia" w:ascii="宋体" w:hAnsi="DotumChe" w:cs="宋体"/>
          <w:b/>
          <w:spacing w:val="20"/>
          <w:kern w:val="0"/>
          <w:sz w:val="32"/>
          <w:szCs w:val="32"/>
          <w:lang w:val="en-US" w:eastAsia="zh-CN"/>
        </w:rPr>
        <w:t>98</w:t>
      </w:r>
      <w:r>
        <w:rPr>
          <w:rFonts w:hint="eastAsia" w:ascii="宋体" w:hAnsi="DotumChe" w:cs="宋体"/>
          <w:b/>
          <w:spacing w:val="20"/>
          <w:kern w:val="0"/>
          <w:sz w:val="32"/>
          <w:szCs w:val="32"/>
        </w:rPr>
        <w:t>-JT0</w:t>
      </w:r>
      <w:r>
        <w:rPr>
          <w:rFonts w:hint="eastAsia" w:ascii="宋体" w:hAnsi="DotumChe" w:cs="宋体"/>
          <w:b/>
          <w:spacing w:val="20"/>
          <w:kern w:val="0"/>
          <w:sz w:val="32"/>
          <w:szCs w:val="32"/>
          <w:lang w:val="en-US" w:eastAsia="zh-CN"/>
        </w:rPr>
        <w:t>9</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 标 人：</w:t>
      </w:r>
      <w:r>
        <w:rPr>
          <w:rFonts w:hint="eastAsia" w:ascii="宋体" w:hAnsi="DotumChe" w:cs="宋体"/>
          <w:b/>
          <w:spacing w:val="20"/>
          <w:kern w:val="0"/>
          <w:sz w:val="32"/>
          <w:szCs w:val="32"/>
          <w:lang w:eastAsia="zh-CN"/>
        </w:rPr>
        <w:t>合肥百货大楼集团股份有限公司</w:t>
      </w:r>
    </w:p>
    <w:p>
      <w:pPr>
        <w:tabs>
          <w:tab w:val="left" w:pos="2410"/>
        </w:tabs>
        <w:autoSpaceDE w:val="0"/>
        <w:autoSpaceDN w:val="0"/>
        <w:adjustRightInd w:val="0"/>
        <w:snapToGrid w:val="0"/>
        <w:spacing w:line="360" w:lineRule="auto"/>
        <w:rPr>
          <w:rFonts w:hint="eastAsia" w:ascii="宋体" w:hAnsi="DotumChe" w:cs="宋体"/>
          <w:b/>
          <w:spacing w:val="20"/>
          <w:kern w:val="0"/>
          <w:sz w:val="32"/>
          <w:szCs w:val="32"/>
          <w:highlight w:val="none"/>
          <w:lang w:eastAsia="zh-CN"/>
        </w:rPr>
      </w:pPr>
      <w:r>
        <w:rPr>
          <w:rFonts w:hint="eastAsia" w:ascii="宋体" w:hAnsi="DotumChe" w:cs="宋体"/>
          <w:b/>
          <w:spacing w:val="20"/>
          <w:kern w:val="0"/>
          <w:sz w:val="32"/>
          <w:szCs w:val="32"/>
        </w:rPr>
        <w:t>招标时间：</w:t>
      </w:r>
      <w:r>
        <w:rPr>
          <w:rFonts w:hint="eastAsia" w:ascii="宋体" w:hAnsi="DotumChe" w:cs="宋体"/>
          <w:b/>
          <w:spacing w:val="20"/>
          <w:kern w:val="0"/>
          <w:sz w:val="32"/>
          <w:szCs w:val="32"/>
          <w:highlight w:val="none"/>
        </w:rPr>
        <w:t>二〇二〇年</w:t>
      </w:r>
      <w:r>
        <w:rPr>
          <w:rFonts w:hint="eastAsia" w:ascii="宋体" w:hAnsi="DotumChe" w:cs="宋体"/>
          <w:b/>
          <w:spacing w:val="20"/>
          <w:kern w:val="0"/>
          <w:sz w:val="32"/>
          <w:szCs w:val="32"/>
          <w:highlight w:val="none"/>
          <w:lang w:eastAsia="zh-CN"/>
        </w:rPr>
        <w:t>九月</w:t>
      </w:r>
    </w:p>
    <w:p>
      <w:pPr>
        <w:tabs>
          <w:tab w:val="left" w:pos="2410"/>
        </w:tabs>
        <w:autoSpaceDE w:val="0"/>
        <w:autoSpaceDN w:val="0"/>
        <w:adjustRightInd w:val="0"/>
        <w:snapToGrid w:val="0"/>
        <w:spacing w:line="360" w:lineRule="auto"/>
        <w:rPr>
          <w:rFonts w:hint="eastAsia" w:ascii="宋体" w:hAnsi="DotumChe" w:cs="宋体"/>
          <w:b/>
          <w:spacing w:val="20"/>
          <w:kern w:val="0"/>
          <w:sz w:val="32"/>
          <w:szCs w:val="32"/>
          <w:lang w:eastAsia="zh-CN"/>
        </w:rPr>
      </w:pPr>
    </w:p>
    <w:p>
      <w:pPr>
        <w:pStyle w:val="2"/>
        <w:numPr>
          <w:ilvl w:val="0"/>
          <w:numId w:val="2"/>
        </w:numPr>
        <w:rPr>
          <w:rFonts w:asciiTheme="majorEastAsia" w:hAnsiTheme="majorEastAsia" w:eastAsiaTheme="majorEastAsia"/>
          <w:sz w:val="28"/>
          <w:szCs w:val="28"/>
        </w:rPr>
      </w:pPr>
      <w:r>
        <w:rPr>
          <w:rFonts w:hint="eastAsia" w:asciiTheme="majorEastAsia" w:hAnsiTheme="majorEastAsia" w:eastAsiaTheme="majorEastAsia"/>
          <w:sz w:val="28"/>
          <w:szCs w:val="28"/>
        </w:rPr>
        <w:t>投标邀请</w:t>
      </w:r>
      <w:bookmarkEnd w:id="0"/>
      <w:bookmarkEnd w:id="1"/>
    </w:p>
    <w:p>
      <w:pPr>
        <w:spacing w:line="50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我公司现对合肥百货大楼集团股份有限公司所属</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家</w:t>
      </w:r>
      <w:r>
        <w:rPr>
          <w:rFonts w:hint="eastAsia" w:asciiTheme="minorEastAsia" w:hAnsiTheme="minorEastAsia" w:eastAsiaTheme="minorEastAsia" w:cstheme="minorEastAsia"/>
          <w:sz w:val="24"/>
        </w:rPr>
        <w:t>门店（以下简称：</w:t>
      </w: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）的合同能源管理服务招标，欢迎合格的投标人前来投标，相关事项如下：</w:t>
      </w:r>
    </w:p>
    <w:p>
      <w:pPr>
        <w:widowControl/>
        <w:spacing w:line="500" w:lineRule="exact"/>
        <w:ind w:firstLine="482"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一、标的简介：</w:t>
      </w:r>
    </w:p>
    <w:p>
      <w:pPr>
        <w:spacing w:line="500" w:lineRule="exact"/>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rPr>
        <w:t>1.项目编号：</w:t>
      </w:r>
      <w:r>
        <w:rPr>
          <w:rFonts w:hint="eastAsia" w:asciiTheme="minorEastAsia" w:hAnsiTheme="minorEastAsia" w:eastAsiaTheme="minorEastAsia" w:cstheme="minorEastAsia"/>
          <w:sz w:val="24"/>
          <w:highlight w:val="none"/>
        </w:rPr>
        <w:t>HBZ-200</w:t>
      </w:r>
      <w:r>
        <w:rPr>
          <w:rFonts w:hint="eastAsia" w:asciiTheme="minorEastAsia" w:hAnsiTheme="minorEastAsia" w:eastAsiaTheme="minorEastAsia" w:cstheme="minorEastAsia"/>
          <w:sz w:val="24"/>
          <w:highlight w:val="none"/>
          <w:lang w:val="en-US" w:eastAsia="zh-CN"/>
        </w:rPr>
        <w:t>98</w:t>
      </w:r>
      <w:r>
        <w:rPr>
          <w:rFonts w:hint="eastAsia" w:asciiTheme="minorEastAsia" w:hAnsiTheme="minorEastAsia" w:eastAsiaTheme="minorEastAsia" w:cstheme="minorEastAsia"/>
          <w:sz w:val="24"/>
          <w:highlight w:val="none"/>
        </w:rPr>
        <w:t>-JT0</w:t>
      </w:r>
      <w:r>
        <w:rPr>
          <w:rFonts w:hint="eastAsia" w:asciiTheme="minorEastAsia" w:hAnsiTheme="minorEastAsia" w:eastAsiaTheme="minorEastAsia" w:cstheme="minorEastAsia"/>
          <w:sz w:val="24"/>
          <w:highlight w:val="none"/>
          <w:lang w:val="en-US" w:eastAsia="zh-CN"/>
        </w:rPr>
        <w:t>9</w:t>
      </w:r>
    </w:p>
    <w:p>
      <w:pPr>
        <w:spacing w:line="500" w:lineRule="exact"/>
        <w:ind w:firstLine="360" w:firstLineChars="15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2.项目名称：</w:t>
      </w: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合同能源管理服务</w:t>
      </w:r>
      <w:r>
        <w:rPr>
          <w:rFonts w:hint="eastAsia" w:asciiTheme="minorEastAsia" w:hAnsiTheme="minorEastAsia" w:eastAsiaTheme="minorEastAsia" w:cstheme="minorEastAsia"/>
          <w:sz w:val="24"/>
          <w:lang w:eastAsia="zh-CN"/>
        </w:rPr>
        <w:t>（三次）</w:t>
      </w:r>
    </w:p>
    <w:p>
      <w:pPr>
        <w:pStyle w:val="71"/>
        <w:spacing w:line="50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3.项目地点：</w:t>
      </w:r>
    </w:p>
    <w:tbl>
      <w:tblPr>
        <w:tblStyle w:val="28"/>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391"/>
        <w:gridCol w:w="2386"/>
        <w:gridCol w:w="4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eastAsia"/>
                <w:sz w:val="28"/>
                <w:szCs w:val="28"/>
                <w:vertAlign w:val="baseline"/>
                <w:lang w:eastAsia="zh-CN"/>
              </w:rPr>
            </w:pPr>
            <w:r>
              <w:rPr>
                <w:rFonts w:hint="eastAsia" w:ascii="宋体" w:hAnsi="宋体" w:cs="宋体"/>
                <w:b/>
                <w:bCs/>
                <w:color w:val="000000"/>
                <w:kern w:val="0"/>
                <w:sz w:val="28"/>
                <w:szCs w:val="28"/>
              </w:rPr>
              <w:t>序号</w:t>
            </w:r>
          </w:p>
        </w:tc>
        <w:tc>
          <w:tcPr>
            <w:tcW w:w="1391" w:type="dxa"/>
            <w:vAlign w:val="center"/>
          </w:tcPr>
          <w:p>
            <w:pPr>
              <w:jc w:val="center"/>
              <w:rPr>
                <w:rFonts w:hint="eastAsia"/>
                <w:sz w:val="28"/>
                <w:szCs w:val="28"/>
                <w:vertAlign w:val="baseline"/>
                <w:lang w:eastAsia="zh-CN"/>
              </w:rPr>
            </w:pPr>
            <w:r>
              <w:rPr>
                <w:rFonts w:hint="eastAsia" w:ascii="宋体" w:hAnsi="宋体" w:cs="宋体"/>
                <w:b/>
                <w:bCs/>
                <w:color w:val="000000"/>
                <w:kern w:val="0"/>
                <w:sz w:val="28"/>
                <w:szCs w:val="28"/>
              </w:rPr>
              <w:t>区域</w:t>
            </w:r>
          </w:p>
        </w:tc>
        <w:tc>
          <w:tcPr>
            <w:tcW w:w="2386" w:type="dxa"/>
            <w:vAlign w:val="center"/>
          </w:tcPr>
          <w:p>
            <w:pPr>
              <w:jc w:val="center"/>
              <w:rPr>
                <w:rFonts w:hint="eastAsia" w:eastAsia="宋体"/>
                <w:sz w:val="28"/>
                <w:szCs w:val="28"/>
                <w:vertAlign w:val="baseline"/>
                <w:lang w:eastAsia="zh-CN"/>
              </w:rPr>
            </w:pPr>
            <w:r>
              <w:rPr>
                <w:rFonts w:hint="eastAsia" w:ascii="宋体" w:hAnsi="宋体" w:cs="宋体"/>
                <w:b/>
                <w:bCs/>
                <w:color w:val="000000"/>
                <w:kern w:val="0"/>
                <w:sz w:val="28"/>
                <w:szCs w:val="28"/>
              </w:rPr>
              <w:t>门店</w:t>
            </w:r>
            <w:r>
              <w:rPr>
                <w:rFonts w:hint="eastAsia" w:ascii="宋体" w:hAnsi="宋体" w:cs="宋体"/>
                <w:b/>
                <w:bCs/>
                <w:color w:val="000000"/>
                <w:kern w:val="0"/>
                <w:sz w:val="28"/>
                <w:szCs w:val="28"/>
                <w:lang w:eastAsia="zh-CN"/>
              </w:rPr>
              <w:t>（门店）</w:t>
            </w:r>
          </w:p>
        </w:tc>
        <w:tc>
          <w:tcPr>
            <w:tcW w:w="4109" w:type="dxa"/>
            <w:vAlign w:val="center"/>
          </w:tcPr>
          <w:p>
            <w:pPr>
              <w:jc w:val="center"/>
              <w:rPr>
                <w:rFonts w:hint="eastAsia"/>
                <w:sz w:val="28"/>
                <w:szCs w:val="28"/>
                <w:vertAlign w:val="baseline"/>
                <w:lang w:eastAsia="zh-CN"/>
              </w:rPr>
            </w:pPr>
            <w:r>
              <w:rPr>
                <w:rFonts w:hint="eastAsia" w:ascii="宋体" w:hAnsi="宋体" w:cs="宋体"/>
                <w:b/>
                <w:bCs/>
                <w:color w:val="000000"/>
                <w:kern w:val="0"/>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391" w:type="dxa"/>
            <w:vMerge w:val="restart"/>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安徽省内</w:t>
            </w: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铜陵百大</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安徽省铜陵市长江中路785号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黄山百大</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安徽省黄山市屯溪区新安北路23号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cs="宋体"/>
                <w:sz w:val="21"/>
                <w:szCs w:val="21"/>
                <w:vertAlign w:val="baseline"/>
                <w:lang w:eastAsia="zh-CN"/>
              </w:rPr>
            </w:pPr>
            <w:r>
              <w:rPr>
                <w:rFonts w:hint="eastAsia" w:ascii="宋体" w:hAnsi="宋体" w:cs="宋体"/>
                <w:sz w:val="21"/>
                <w:szCs w:val="21"/>
                <w:vertAlign w:val="baseline"/>
                <w:lang w:eastAsia="zh-CN"/>
              </w:rPr>
              <w:t>广德百大</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安徽省广德县桃州镇广德新城区爱民路与天寿路交叉口</w:t>
            </w:r>
          </w:p>
        </w:tc>
      </w:tr>
    </w:tbl>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4.项目节能率：</w:t>
      </w:r>
      <w:r>
        <w:rPr>
          <w:rFonts w:hint="eastAsia" w:asciiTheme="minorEastAsia" w:hAnsiTheme="minorEastAsia" w:eastAsiaTheme="minorEastAsia" w:cstheme="minorEastAsia"/>
          <w:sz w:val="24"/>
          <w:lang w:eastAsia="zh-CN"/>
        </w:rPr>
        <w:t>各成员企业项目节能率</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15</w:t>
      </w:r>
      <w:r>
        <w:rPr>
          <w:rFonts w:hint="eastAsia" w:asciiTheme="minorEastAsia" w:hAnsiTheme="minorEastAsia" w:eastAsiaTheme="minorEastAsia" w:cstheme="minorEastAsia"/>
          <w:sz w:val="24"/>
        </w:rPr>
        <w:t>%</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二、投标人资格：</w:t>
      </w:r>
    </w:p>
    <w:p>
      <w:pPr>
        <w:spacing w:line="50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1.具有独立法人和一般纳税人资质,注册资金不小于人民币1000万元</w:t>
      </w:r>
      <w:r>
        <w:rPr>
          <w:rFonts w:hint="eastAsia" w:asciiTheme="minorEastAsia" w:hAnsiTheme="minorEastAsia" w:eastAsiaTheme="minorEastAsia" w:cstheme="minorEastAsia"/>
          <w:sz w:val="24"/>
          <w:lang w:eastAsia="zh-CN"/>
        </w:rPr>
        <w:t>。</w:t>
      </w:r>
    </w:p>
    <w:p>
      <w:pPr>
        <w:spacing w:line="500" w:lineRule="exact"/>
        <w:ind w:firstLine="480" w:firstLineChars="200"/>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sz w:val="24"/>
        </w:rPr>
        <w:t>2.须提供一份2015年1月1日至今公共建筑合同能源管理业绩合同</w:t>
      </w:r>
      <w:r>
        <w:rPr>
          <w:rFonts w:hint="eastAsia" w:asciiTheme="minorEastAsia" w:hAnsiTheme="minorEastAsia" w:eastAsiaTheme="minorEastAsia" w:cstheme="minorEastAsia"/>
          <w:kern w:val="0"/>
          <w:sz w:val="24"/>
          <w:lang w:val="en-US" w:eastAsia="zh-CN"/>
        </w:rPr>
        <w:t>（业绩要求详见投标人须知前附表第18条）。</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3.投标人须符合下列情形之一（以在“安徽合肥公共资源交易中心”网站http://ggzy.hefei.gov.cn/pgt/exposureDesk.html查询信息为准）；</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1）开标日前两年内未被合肥市及其所辖县（市）公共资源交易监督管理局记不良行为记录或记不良行为记录累计未满10分的。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2）最近一次被合肥市及其所辖县（市）公共资源交易监督管理局记不良行为记录累计记分达10分(含10分)到15分且公布日距开标日超过6个月。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3）最近一次被合肥市及其所辖县（市）公共资源交易监督管理局记不良行为记录累计记分达15分(含15分)到20分且公布日距开标日超过12个月。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4）最近一次被合肥市及其所辖县（市）公共资源交易监督管理局记不良行为记录累计记分达20分(含20分)及以上且公布日距开标日超过24个月。</w:t>
      </w:r>
    </w:p>
    <w:p>
      <w:pPr>
        <w:spacing w:line="500" w:lineRule="exact"/>
        <w:ind w:left="420" w:leftChars="200"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4.投标人存在以下不良信用记录情形之一的，不得推荐为中标候选人，不得确定为中标人（以在“信用中国”网站http://www.creditchina.gov.cn/查询信息为准）</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1)投标人被人民法院列入失信被执行人的。</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)投标人被工商行政管理部门列入企业经营异常名录的。</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)投标人被税务部门列入重大税收违法案件当事人名单的。</w:t>
      </w:r>
    </w:p>
    <w:p>
      <w:pPr>
        <w:spacing w:line="50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hd w:val="clear" w:color="auto" w:fill="FDFFFB"/>
          <w14:textFill>
            <w14:solidFill>
              <w14:schemeClr w14:val="tx1"/>
            </w14:solidFill>
          </w14:textFill>
        </w:rPr>
        <w:t>5.</w:t>
      </w:r>
      <w:r>
        <w:rPr>
          <w:rFonts w:hint="eastAsia" w:asciiTheme="minorEastAsia" w:hAnsiTheme="minorEastAsia" w:eastAsiaTheme="minorEastAsia" w:cstheme="minorEastAsia"/>
          <w:color w:val="000000" w:themeColor="text1"/>
          <w:sz w:val="24"/>
          <w14:textFill>
            <w14:solidFill>
              <w14:schemeClr w14:val="tx1"/>
            </w14:solidFill>
          </w14:textFill>
        </w:rPr>
        <w:t>本项目不接受联合体投标</w:t>
      </w:r>
      <w:r>
        <w:rPr>
          <w:rFonts w:hint="eastAsia" w:asciiTheme="minorEastAsia" w:hAnsiTheme="minorEastAsia" w:eastAsiaTheme="minorEastAsia" w:cstheme="minorEastAsia"/>
          <w:kern w:val="0"/>
          <w:sz w:val="24"/>
        </w:rPr>
        <w:t>；</w:t>
      </w:r>
    </w:p>
    <w:p>
      <w:pPr>
        <w:spacing w:line="500" w:lineRule="exact"/>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sz w:val="24"/>
        </w:rPr>
        <w:t>注：</w:t>
      </w:r>
      <w:r>
        <w:rPr>
          <w:rFonts w:hint="eastAsia" w:asciiTheme="minorEastAsia" w:hAnsiTheme="minorEastAsia" w:eastAsiaTheme="minorEastAsia" w:cstheme="minorEastAsia"/>
          <w:b/>
          <w:kern w:val="0"/>
          <w:sz w:val="24"/>
        </w:rPr>
        <w:t>以上证明文件复印件加盖公章后做入投标文件；</w:t>
      </w:r>
    </w:p>
    <w:p>
      <w:pPr>
        <w:spacing w:line="5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三、标书领取日期及方法</w:t>
      </w:r>
      <w:r>
        <w:rPr>
          <w:rFonts w:hint="eastAsia" w:asciiTheme="minorEastAsia" w:hAnsiTheme="minorEastAsia" w:eastAsiaTheme="minorEastAsia" w:cstheme="minorEastAsia"/>
          <w:sz w:val="24"/>
        </w:rPr>
        <w:t>： </w:t>
      </w:r>
    </w:p>
    <w:p>
      <w:pPr>
        <w:pStyle w:val="72"/>
        <w:spacing w:line="500" w:lineRule="exact"/>
        <w:ind w:firstLine="480" w:firstLineChars="200"/>
        <w:rPr>
          <w:rFonts w:hint="default"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rPr>
        <w:t>1.标书领取日期：</w:t>
      </w:r>
      <w:r>
        <w:rPr>
          <w:rFonts w:hint="eastAsia" w:asciiTheme="minorEastAsia" w:hAnsiTheme="minorEastAsia" w:eastAsiaTheme="minorEastAsia" w:cstheme="minorEastAsia"/>
          <w:highlight w:val="none"/>
        </w:rPr>
        <w:t>2020年</w:t>
      </w:r>
      <w:r>
        <w:rPr>
          <w:rFonts w:hint="eastAsia" w:asciiTheme="minorEastAsia" w:hAnsiTheme="minorEastAsia" w:eastAsiaTheme="minorEastAsia" w:cstheme="minorEastAsia"/>
          <w:highlight w:val="none"/>
          <w:lang w:val="en-US" w:eastAsia="zh-CN"/>
        </w:rPr>
        <w:t>09</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lang w:val="en-US" w:eastAsia="zh-CN"/>
        </w:rPr>
        <w:t>10</w:t>
      </w:r>
      <w:r>
        <w:rPr>
          <w:rFonts w:hint="eastAsia" w:asciiTheme="minorEastAsia" w:hAnsiTheme="minorEastAsia" w:eastAsiaTheme="minorEastAsia" w:cstheme="minorEastAsia"/>
          <w:highlight w:val="none"/>
        </w:rPr>
        <w:t>日</w:t>
      </w:r>
      <w:r>
        <w:rPr>
          <w:rFonts w:hint="eastAsia" w:asciiTheme="minorEastAsia" w:hAnsiTheme="minorEastAsia" w:eastAsiaTheme="minorEastAsia" w:cstheme="minorEastAsia"/>
          <w:highlight w:val="none"/>
          <w:lang w:val="en-US" w:eastAsia="zh-CN"/>
        </w:rPr>
        <w:t xml:space="preserve">12:00 </w:t>
      </w:r>
      <w:r>
        <w:rPr>
          <w:rFonts w:hint="eastAsia" w:asciiTheme="minorEastAsia" w:hAnsiTheme="minorEastAsia" w:eastAsiaTheme="minorEastAsia" w:cstheme="minorEastAsia"/>
          <w:highlight w:val="none"/>
        </w:rPr>
        <w:t>至2020年</w:t>
      </w:r>
      <w:r>
        <w:rPr>
          <w:rFonts w:hint="eastAsia" w:asciiTheme="minorEastAsia" w:hAnsiTheme="minorEastAsia" w:eastAsiaTheme="minorEastAsia" w:cstheme="minorEastAsia"/>
          <w:highlight w:val="none"/>
          <w:lang w:val="en-US" w:eastAsia="zh-CN"/>
        </w:rPr>
        <w:t>09</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lang w:val="en-US" w:eastAsia="zh-CN"/>
        </w:rPr>
        <w:t>18</w:t>
      </w:r>
      <w:r>
        <w:rPr>
          <w:rFonts w:hint="eastAsia" w:asciiTheme="minorEastAsia" w:hAnsiTheme="minorEastAsia" w:eastAsiaTheme="minorEastAsia" w:cstheme="minorEastAsia"/>
          <w:highlight w:val="none"/>
        </w:rPr>
        <w:t>日</w:t>
      </w:r>
      <w:r>
        <w:rPr>
          <w:rFonts w:hint="eastAsia" w:asciiTheme="minorEastAsia" w:hAnsiTheme="minorEastAsia" w:eastAsiaTheme="minorEastAsia" w:cstheme="minorEastAsia"/>
          <w:highlight w:val="none"/>
          <w:lang w:val="en-US" w:eastAsia="zh-CN"/>
        </w:rPr>
        <w:t xml:space="preserve"> 17:30</w:t>
      </w:r>
    </w:p>
    <w:p>
      <w:pPr>
        <w:pStyle w:val="72"/>
        <w:spacing w:line="5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2.标书领取方法：登录网站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"http://www.hfbh.com.cn/" \t "http://www.hfbh.com.cn/WebArticle/_blank"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www.hfbh.com.cn</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下载标书（下载标书的投标单位按要求参加资格审查）。</w:t>
      </w:r>
    </w:p>
    <w:p>
      <w:pPr>
        <w:pStyle w:val="72"/>
        <w:spacing w:line="500" w:lineRule="exact"/>
        <w:ind w:firstLine="482"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四、资格预审：</w:t>
      </w:r>
      <w:r>
        <w:rPr>
          <w:rFonts w:hint="eastAsia" w:asciiTheme="minorEastAsia" w:hAnsiTheme="minorEastAsia" w:eastAsiaTheme="minorEastAsia" w:cstheme="minorEastAsia"/>
          <w:kern w:val="0"/>
          <w:sz w:val="24"/>
          <w:szCs w:val="24"/>
          <w:highlight w:val="none"/>
          <w:lang w:val="en-US" w:eastAsia="zh-CN" w:bidi="ar-SA"/>
        </w:rPr>
        <w:t>2020年09月21日12:00</w:t>
      </w:r>
      <w:r>
        <w:rPr>
          <w:rFonts w:hint="eastAsia" w:asciiTheme="minorEastAsia" w:hAnsiTheme="minorEastAsia" w:eastAsiaTheme="minorEastAsia" w:cstheme="minorEastAsia"/>
          <w:kern w:val="0"/>
          <w:sz w:val="24"/>
          <w:szCs w:val="24"/>
          <w:lang w:val="en-US" w:eastAsia="zh-CN" w:bidi="ar-SA"/>
        </w:rPr>
        <w:t>之前将本章第二条“投标人要求”中的相关材料电子版发送至QQ邮箱277351016接受资格预审，审查合格的投标人以转账方式缴纳投标保证金，逾期或未参加资格预审的投标人，招标人有权利不接受其投标。资格预审仅为报名参加投标依据，投标人资质是否符合招标文件要求以评标复审为准。</w:t>
      </w:r>
    </w:p>
    <w:p>
      <w:pPr>
        <w:spacing w:line="5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五、投标保证金：</w:t>
      </w:r>
      <w:r>
        <w:rPr>
          <w:rFonts w:hint="eastAsia" w:asciiTheme="minorEastAsia" w:hAnsiTheme="minorEastAsia" w:eastAsiaTheme="minorEastAsia" w:cstheme="minorEastAsia"/>
          <w:sz w:val="24"/>
          <w:highlight w:val="none"/>
        </w:rPr>
        <w:t>2020年</w:t>
      </w:r>
      <w:r>
        <w:rPr>
          <w:rFonts w:hint="eastAsia" w:asciiTheme="minorEastAsia" w:hAnsiTheme="minorEastAsia" w:eastAsiaTheme="minorEastAsia" w:cstheme="minorEastAsia"/>
          <w:sz w:val="24"/>
          <w:highlight w:val="none"/>
          <w:lang w:val="en-US" w:eastAsia="zh-CN"/>
        </w:rPr>
        <w:t>09</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21</w:t>
      </w:r>
      <w:r>
        <w:rPr>
          <w:rFonts w:hint="eastAsia" w:asciiTheme="minorEastAsia" w:hAnsiTheme="minorEastAsia" w:eastAsiaTheme="minorEastAsia" w:cstheme="minorEastAsia"/>
          <w:sz w:val="24"/>
          <w:highlight w:val="none"/>
        </w:rPr>
        <w:t>日16：00前</w:t>
      </w:r>
      <w:r>
        <w:rPr>
          <w:rFonts w:hint="eastAsia" w:asciiTheme="minorEastAsia" w:hAnsiTheme="minorEastAsia" w:eastAsiaTheme="minorEastAsia" w:cstheme="minorEastAsia"/>
          <w:sz w:val="24"/>
        </w:rPr>
        <w:t>（以实际到账时间为准）通过转账的方式缴纳投标保证金</w:t>
      </w:r>
      <w:r>
        <w:rPr>
          <w:rFonts w:hint="eastAsia" w:asciiTheme="minorEastAsia" w:hAnsiTheme="minorEastAsia" w:eastAsiaTheme="minorEastAsia" w:cstheme="minorEastAsia"/>
          <w:b/>
          <w:sz w:val="24"/>
          <w:highlight w:val="none"/>
          <w:lang w:eastAsia="zh-CN"/>
        </w:rPr>
        <w:t>贰</w:t>
      </w:r>
      <w:r>
        <w:rPr>
          <w:rFonts w:hint="eastAsia" w:asciiTheme="minorEastAsia" w:hAnsiTheme="minorEastAsia" w:eastAsiaTheme="minorEastAsia" w:cstheme="minorEastAsia"/>
          <w:b/>
          <w:sz w:val="24"/>
        </w:rPr>
        <w:t>万元，</w:t>
      </w:r>
      <w:r>
        <w:rPr>
          <w:rFonts w:hint="eastAsia" w:asciiTheme="minorEastAsia" w:hAnsiTheme="minorEastAsia" w:eastAsiaTheme="minorEastAsia" w:cstheme="minorEastAsia"/>
          <w:sz w:val="24"/>
        </w:rPr>
        <w:t>如未中标，招标结束后无息退还。</w:t>
      </w:r>
    </w:p>
    <w:p>
      <w:pPr>
        <w:spacing w:line="50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lang w:val="en-US" w:eastAsia="zh-CN"/>
        </w:rPr>
        <w:t>1.</w:t>
      </w:r>
      <w:r>
        <w:rPr>
          <w:rFonts w:hint="eastAsia" w:asciiTheme="minorEastAsia" w:hAnsiTheme="minorEastAsia" w:eastAsiaTheme="minorEastAsia" w:cstheme="minorEastAsia"/>
          <w:kern w:val="0"/>
          <w:sz w:val="24"/>
          <w:lang w:val="zh-CN"/>
        </w:rPr>
        <w:t>名称</w:t>
      </w:r>
      <w:r>
        <w:rPr>
          <w:rFonts w:hint="eastAsia" w:asciiTheme="minorEastAsia" w:hAnsiTheme="minorEastAsia" w:eastAsiaTheme="minorEastAsia" w:cstheme="minorEastAsia"/>
          <w:sz w:val="24"/>
        </w:rPr>
        <w:t>：合肥</w:t>
      </w:r>
      <w:r>
        <w:rPr>
          <w:rFonts w:hint="eastAsia" w:asciiTheme="minorEastAsia" w:hAnsiTheme="minorEastAsia" w:eastAsiaTheme="minorEastAsia" w:cstheme="minorEastAsia"/>
          <w:sz w:val="24"/>
          <w:lang w:eastAsia="zh-CN"/>
        </w:rPr>
        <w:t>百货大楼集团股份有限公司</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账　号：34050146380800000974</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开户行： 中国建设银行股份有限公司合肥濉溪路支行</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4.下列任何情况发生，投标保证金将不予退还：</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（1）在开标之日后投标人擅自撤回投标的；</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（2）中标人不按规定与招标人签订合同的；</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（3）中标人不按规定提交履约保证金的；</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（4）投标文件中提供虚假文件骗取中标的。</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六、开标时间及地点：</w:t>
      </w:r>
    </w:p>
    <w:p>
      <w:pPr>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rPr>
        <w:t>1.开标时间</w:t>
      </w:r>
      <w:r>
        <w:rPr>
          <w:rFonts w:hint="eastAsia" w:asciiTheme="minorEastAsia" w:hAnsiTheme="minorEastAsia" w:eastAsiaTheme="minorEastAsia" w:cstheme="minorEastAsia"/>
          <w:sz w:val="24"/>
          <w:lang w:eastAsia="zh-CN"/>
        </w:rPr>
        <w:t>（投标截止时间）</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highlight w:val="none"/>
        </w:rPr>
        <w:t>2020年</w:t>
      </w:r>
      <w:r>
        <w:rPr>
          <w:rFonts w:hint="eastAsia" w:asciiTheme="minorEastAsia" w:hAnsiTheme="minorEastAsia" w:eastAsiaTheme="minorEastAsia" w:cstheme="minorEastAsia"/>
          <w:sz w:val="24"/>
          <w:highlight w:val="none"/>
          <w:lang w:val="en-US" w:eastAsia="zh-CN"/>
        </w:rPr>
        <w:t>09</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23</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lang w:val="en-US" w:eastAsia="zh-CN"/>
        </w:rPr>
        <w:t>15</w:t>
      </w:r>
      <w:bookmarkStart w:id="18" w:name="_GoBack"/>
      <w:bookmarkEnd w:id="18"/>
      <w:r>
        <w:rPr>
          <w:rFonts w:hint="eastAsia" w:asciiTheme="minorEastAsia" w:hAnsiTheme="minorEastAsia" w:eastAsiaTheme="minorEastAsia" w:cstheme="minorEastAsia"/>
          <w:sz w:val="24"/>
          <w:highlight w:val="none"/>
          <w:lang w:val="en-US" w:eastAsia="zh-CN"/>
        </w:rPr>
        <w:t xml:space="preserve">:00 </w:t>
      </w:r>
      <w:r>
        <w:rPr>
          <w:rFonts w:hint="eastAsia" w:asciiTheme="minorEastAsia" w:hAnsiTheme="minorEastAsia" w:eastAsiaTheme="minorEastAsia" w:cstheme="minorEastAsia"/>
          <w:sz w:val="24"/>
          <w:highlight w:val="none"/>
        </w:rPr>
        <w:t>（如有调整，另行通知）</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2.开标地点：</w:t>
      </w:r>
      <w:r>
        <w:rPr>
          <w:rFonts w:hint="eastAsia" w:asciiTheme="minorEastAsia" w:hAnsiTheme="minorEastAsia" w:eastAsiaTheme="minorEastAsia" w:cstheme="minorEastAsia"/>
          <w:kern w:val="0"/>
          <w:sz w:val="24"/>
        </w:rPr>
        <w:t>合肥市黄山路596号合肥百大集团1209室</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七、联系方式：</w:t>
      </w:r>
    </w:p>
    <w:p>
      <w:pPr>
        <w:spacing w:line="500" w:lineRule="exact"/>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张</w:t>
      </w:r>
      <w:r>
        <w:rPr>
          <w:rFonts w:hint="eastAsia" w:asciiTheme="minorEastAsia" w:hAnsiTheme="minorEastAsia" w:eastAsiaTheme="minorEastAsia" w:cstheme="minorEastAsia"/>
          <w:sz w:val="24"/>
        </w:rPr>
        <w:t>工   联系电话：0551-</w:t>
      </w:r>
      <w:r>
        <w:rPr>
          <w:rFonts w:hint="eastAsia" w:asciiTheme="minorEastAsia" w:hAnsiTheme="minorEastAsia" w:eastAsiaTheme="minorEastAsia" w:cstheme="minorEastAsia"/>
          <w:sz w:val="24"/>
          <w:lang w:val="en-US" w:eastAsia="zh-CN"/>
        </w:rPr>
        <w:t>65771036（项目咨询）</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朱工   联系电话：0551-65771025（资格审查）</w:t>
      </w:r>
    </w:p>
    <w:p>
      <w:pPr>
        <w:spacing w:line="500" w:lineRule="exact"/>
        <w:ind w:firstLine="480" w:firstLineChars="200"/>
        <w:rPr>
          <w:rFonts w:asciiTheme="minorEastAsia" w:hAnsiTheme="minorEastAsia" w:eastAsiaTheme="minorEastAsia" w:cstheme="minorEastAsia"/>
          <w:sz w:val="24"/>
        </w:rPr>
      </w:pPr>
    </w:p>
    <w:p>
      <w:pPr>
        <w:spacing w:line="500" w:lineRule="exact"/>
        <w:ind w:firstLine="480" w:firstLineChars="200"/>
        <w:rPr>
          <w:rFonts w:asciiTheme="minorEastAsia" w:hAnsiTheme="minorEastAsia" w:eastAsiaTheme="minorEastAsia" w:cstheme="minorEastAsia"/>
          <w:sz w:val="24"/>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pStyle w:val="2"/>
        <w:numPr>
          <w:ilvl w:val="0"/>
          <w:numId w:val="0"/>
        </w:numPr>
        <w:rPr>
          <w:rFonts w:asciiTheme="majorEastAsia" w:hAnsiTheme="majorEastAsia" w:eastAsiaTheme="majorEastAsia"/>
          <w:sz w:val="28"/>
          <w:szCs w:val="28"/>
        </w:rPr>
      </w:pPr>
      <w:bookmarkStart w:id="2" w:name="_Toc491005865"/>
      <w:bookmarkStart w:id="3" w:name="_Toc13732417"/>
      <w:bookmarkStart w:id="4" w:name="_Toc486433785"/>
      <w:r>
        <w:rPr>
          <w:rFonts w:hint="eastAsia" w:asciiTheme="majorEastAsia" w:hAnsiTheme="majorEastAsia" w:eastAsiaTheme="majorEastAsia"/>
          <w:sz w:val="28"/>
          <w:szCs w:val="28"/>
        </w:rPr>
        <w:t xml:space="preserve">第二章 </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投标人须知前附表</w:t>
      </w:r>
      <w:bookmarkEnd w:id="2"/>
      <w:bookmarkEnd w:id="3"/>
      <w:bookmarkEnd w:id="4"/>
    </w:p>
    <w:p>
      <w:pPr>
        <w:rPr>
          <w:rFonts w:asciiTheme="majorEastAsia" w:hAnsiTheme="majorEastAsia" w:eastAsiaTheme="majorEastAsia"/>
          <w:szCs w:val="21"/>
        </w:rPr>
      </w:pPr>
    </w:p>
    <w:tbl>
      <w:tblPr>
        <w:tblStyle w:val="27"/>
        <w:tblW w:w="95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75"/>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序号</w:t>
            </w:r>
          </w:p>
        </w:tc>
        <w:tc>
          <w:tcPr>
            <w:tcW w:w="1975"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内容</w:t>
            </w:r>
          </w:p>
        </w:tc>
        <w:tc>
          <w:tcPr>
            <w:tcW w:w="6697" w:type="dxa"/>
            <w:vAlign w:val="center"/>
          </w:tcPr>
          <w:p>
            <w:pPr>
              <w:pStyle w:val="52"/>
              <w:widowControl w:val="0"/>
              <w:spacing w:before="0" w:beforeAutospacing="0" w:after="0" w:afterAutospacing="0"/>
              <w:rPr>
                <w:rFonts w:asciiTheme="majorEastAsia" w:hAnsiTheme="majorEastAsia" w:eastAsiaTheme="majorEastAsia"/>
                <w:bCs w:val="0"/>
                <w:kern w:val="2"/>
                <w:sz w:val="21"/>
                <w:szCs w:val="21"/>
              </w:rPr>
            </w:pPr>
            <w:r>
              <w:rPr>
                <w:rFonts w:hint="eastAsia" w:asciiTheme="majorEastAsia" w:hAnsiTheme="majorEastAsia" w:eastAsiaTheme="majorEastAsia"/>
                <w:bCs w:val="0"/>
                <w:kern w:val="2"/>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6" w:type="dxa"/>
            <w:vAlign w:val="center"/>
          </w:tcPr>
          <w:p>
            <w:pPr>
              <w:pStyle w:val="53"/>
              <w:pBdr>
                <w:bottom w:val="none" w:color="auto" w:sz="0" w:space="0"/>
              </w:pBdr>
              <w:adjustRightInd/>
              <w:spacing w:line="240" w:lineRule="auto"/>
              <w:textAlignment w:val="auto"/>
              <w:rPr>
                <w:rFonts w:asciiTheme="minorEastAsia" w:hAnsiTheme="minorEastAsia" w:eastAsiaTheme="minorEastAsia" w:cstheme="minorEastAsia"/>
                <w:bCs/>
                <w:kern w:val="2"/>
                <w:szCs w:val="24"/>
              </w:rPr>
            </w:pPr>
            <w:r>
              <w:rPr>
                <w:rFonts w:hint="eastAsia" w:asciiTheme="minorEastAsia" w:hAnsiTheme="minorEastAsia" w:eastAsiaTheme="minorEastAsia" w:cstheme="minorEastAsia"/>
                <w:bCs/>
                <w:kern w:val="2"/>
                <w:szCs w:val="24"/>
              </w:rPr>
              <w:t>1</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招标人</w:t>
            </w:r>
          </w:p>
        </w:tc>
        <w:tc>
          <w:tcPr>
            <w:tcW w:w="6697" w:type="dxa"/>
            <w:vAlign w:val="center"/>
          </w:tcPr>
          <w:p>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合肥</w:t>
            </w:r>
            <w:r>
              <w:rPr>
                <w:rFonts w:hint="eastAsia" w:asciiTheme="minorEastAsia" w:hAnsiTheme="minorEastAsia" w:eastAsiaTheme="minorEastAsia" w:cstheme="minorEastAsia"/>
                <w:sz w:val="24"/>
                <w:lang w:eastAsia="zh-CN"/>
              </w:rPr>
              <w:t>百货大楼集团股份有限公司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6697" w:type="dxa"/>
            <w:vAlign w:val="center"/>
          </w:tcPr>
          <w:p>
            <w:pPr>
              <w:spacing w:line="500" w:lineRule="exac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合同能源管理服务</w:t>
            </w:r>
            <w:r>
              <w:rPr>
                <w:rFonts w:hint="eastAsia" w:asciiTheme="minorEastAsia" w:hAnsiTheme="minorEastAsia" w:eastAsiaTheme="minorEastAsia" w:cstheme="minorEastAsia"/>
                <w:sz w:val="24"/>
                <w:lang w:eastAsia="zh-CN"/>
              </w:rPr>
              <w:t>（三次）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6697" w:type="dxa"/>
            <w:vAlign w:val="center"/>
          </w:tcPr>
          <w:p>
            <w:pPr>
              <w:pStyle w:val="52"/>
              <w:widowControl w:val="0"/>
              <w:spacing w:before="0" w:beforeAutospacing="0" w:after="0" w:afterAutospacing="0"/>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rPr>
              <w:t>HBZ-200</w:t>
            </w:r>
            <w:r>
              <w:rPr>
                <w:rFonts w:hint="eastAsia" w:asciiTheme="minorEastAsia" w:hAnsiTheme="minorEastAsia" w:eastAsiaTheme="minorEastAsia" w:cstheme="minorEastAsia"/>
                <w:b w:val="0"/>
                <w:bCs w:val="0"/>
                <w:sz w:val="24"/>
                <w:szCs w:val="24"/>
                <w:highlight w:val="none"/>
                <w:lang w:val="en-US" w:eastAsia="zh-CN"/>
              </w:rPr>
              <w:t>98</w:t>
            </w:r>
            <w:r>
              <w:rPr>
                <w:rFonts w:hint="eastAsia" w:asciiTheme="minorEastAsia" w:hAnsiTheme="minorEastAsia" w:eastAsiaTheme="minorEastAsia" w:cstheme="minorEastAsia"/>
                <w:b w:val="0"/>
                <w:bCs w:val="0"/>
                <w:sz w:val="24"/>
                <w:szCs w:val="24"/>
                <w:highlight w:val="none"/>
              </w:rPr>
              <w:t>-JT0</w:t>
            </w:r>
            <w:r>
              <w:rPr>
                <w:rFonts w:hint="eastAsia" w:asciiTheme="minorEastAsia" w:hAnsiTheme="minorEastAsia" w:eastAsiaTheme="minorEastAsia" w:cstheme="minorEastAsia"/>
                <w:b w:val="0"/>
                <w:bCs w:val="0"/>
                <w:sz w:val="24"/>
                <w:szCs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1975" w:type="dxa"/>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项目性质</w:t>
            </w:r>
          </w:p>
        </w:tc>
        <w:tc>
          <w:tcPr>
            <w:tcW w:w="6697" w:type="dxa"/>
            <w:vAlign w:val="center"/>
          </w:tcPr>
          <w:p>
            <w:pPr>
              <w:pStyle w:val="52"/>
              <w:widowControl w:val="0"/>
              <w:spacing w:before="0" w:beforeAutospacing="0" w:after="0" w:afterAutospacing="0"/>
              <w:jc w:val="both"/>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1975" w:type="dxa"/>
          </w:tcPr>
          <w:p>
            <w:pPr>
              <w:spacing w:line="500" w:lineRule="exact"/>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标段划分</w:t>
            </w:r>
          </w:p>
        </w:tc>
        <w:tc>
          <w:tcPr>
            <w:tcW w:w="6697" w:type="dxa"/>
            <w:vAlign w:val="center"/>
          </w:tcPr>
          <w:p>
            <w:pPr>
              <w:spacing w:line="500" w:lineRule="exact"/>
              <w:ind w:left="841" w:hanging="841"/>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sz w:val="24"/>
              </w:rPr>
              <w:t>不分标段□分为个标段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66" w:type="dxa"/>
            <w:vAlign w:val="center"/>
          </w:tcPr>
          <w:p>
            <w:pPr>
              <w:spacing w:line="500" w:lineRule="exact"/>
              <w:ind w:right="102"/>
              <w:jc w:val="center"/>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6</w:t>
            </w:r>
          </w:p>
        </w:tc>
        <w:tc>
          <w:tcPr>
            <w:tcW w:w="1975" w:type="dxa"/>
            <w:vAlign w:val="center"/>
          </w:tcPr>
          <w:p>
            <w:pPr>
              <w:spacing w:line="5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zh-CN"/>
                <w14:textFill>
                  <w14:solidFill>
                    <w14:schemeClr w14:val="tx1"/>
                  </w14:solidFill>
                </w14:textFill>
              </w:rPr>
              <w:t>付款方式</w:t>
            </w:r>
          </w:p>
        </w:tc>
        <w:tc>
          <w:tcPr>
            <w:tcW w:w="6697" w:type="dxa"/>
          </w:tcPr>
          <w:p>
            <w:pPr>
              <w:pStyle w:val="54"/>
              <w:spacing w:line="500" w:lineRule="exact"/>
              <w:rPr>
                <w:rFonts w:asciiTheme="minorEastAsia" w:hAnsiTheme="minorEastAsia" w:eastAsiaTheme="minorEastAsia" w:cstheme="minorEastAsia"/>
                <w:color w:val="000000" w:themeColor="text1"/>
                <w:szCs w:val="24"/>
                <w:u w:val="single"/>
                <w:lang w:val="zh-CN"/>
                <w14:textFill>
                  <w14:solidFill>
                    <w14:schemeClr w14:val="tx1"/>
                  </w14:solidFill>
                </w14:textFill>
              </w:rPr>
            </w:pPr>
            <w:r>
              <w:rPr>
                <w:rFonts w:hint="eastAsia" w:asciiTheme="minorEastAsia" w:hAnsiTheme="minorEastAsia" w:eastAsiaTheme="minorEastAsia" w:cstheme="minorEastAsia"/>
                <w:bCs/>
                <w:szCs w:val="24"/>
              </w:rPr>
              <w:t>按月支付。</w:t>
            </w:r>
            <w:r>
              <w:rPr>
                <w:rFonts w:hint="eastAsia" w:asciiTheme="minorEastAsia" w:hAnsiTheme="minorEastAsia" w:eastAsiaTheme="minorEastAsia" w:cstheme="minorEastAsia"/>
                <w:bCs/>
                <w:color w:val="auto"/>
                <w:szCs w:val="24"/>
              </w:rPr>
              <w:t>中标人于签订合同后的60个工作日完成改造，完成改造并验收后的次月1日为结算起始日，在合同期限内，每月为一个结算认定</w:t>
            </w:r>
            <w:r>
              <w:rPr>
                <w:rFonts w:hint="eastAsia" w:asciiTheme="minorEastAsia" w:hAnsiTheme="minorEastAsia" w:eastAsiaTheme="minorEastAsia" w:cstheme="minorEastAsia"/>
                <w:bCs/>
                <w:color w:val="auto"/>
                <w:szCs w:val="24"/>
                <w:lang w:eastAsia="zh-CN"/>
              </w:rPr>
              <w:t>周期</w:t>
            </w:r>
            <w:r>
              <w:rPr>
                <w:rFonts w:hint="eastAsia" w:asciiTheme="minorEastAsia" w:hAnsiTheme="minorEastAsia" w:eastAsiaTheme="minorEastAsia" w:cstheme="minorEastAsia"/>
                <w:bCs/>
                <w:color w:val="auto"/>
                <w:szCs w:val="24"/>
              </w:rPr>
              <w:t>，招标方在每结算周期届满后一个月内完成收益收到投标方节能改造效益确认单,经招标人确认后，中标人10个工作日内提供相应的增值税发票给招标人，招标人按照约定分享比例支付费用给中标人。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ind w:right="102"/>
              <w:jc w:val="center"/>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7</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联合体投标</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r>
              <w:rPr>
                <w:rFonts w:hint="eastAsia" w:asciiTheme="minorEastAsia" w:hAnsiTheme="minorEastAsia" w:eastAsiaTheme="minorEastAsia" w:cstheme="minorEastAsia"/>
                <w:b/>
                <w:bCs/>
                <w:sz w:val="24"/>
              </w:rPr>
              <w:sym w:font="Wingdings" w:char="00FE"/>
            </w:r>
            <w:r>
              <w:rPr>
                <w:rFonts w:hint="eastAsia" w:asciiTheme="minorEastAsia" w:hAnsiTheme="minorEastAsia" w:eastAsiaTheme="minorEastAsia" w:cstheme="minorEastAsia"/>
                <w:sz w:val="24"/>
              </w:rPr>
              <w:t>不</w:t>
            </w:r>
            <w:r>
              <w:rPr>
                <w:rFonts w:hint="eastAsia" w:asciiTheme="minorEastAsia" w:hAnsiTheme="minorEastAsia" w:eastAsiaTheme="minorEastAsia" w:cstheme="minorEastAsia"/>
                <w:sz w:val="24"/>
                <w:lang w:val="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8</w:t>
            </w:r>
          </w:p>
        </w:tc>
        <w:tc>
          <w:tcPr>
            <w:tcW w:w="197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项目地点</w:t>
            </w:r>
          </w:p>
        </w:tc>
        <w:tc>
          <w:tcPr>
            <w:tcW w:w="6697" w:type="dxa"/>
            <w:vAlign w:val="center"/>
          </w:tcPr>
          <w:p>
            <w:pPr>
              <w:spacing w:line="44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铜陵市、黄山市、广德县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9</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服务周期</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八年（2020年起至2028年</w:t>
            </w:r>
            <w:r>
              <w:rPr>
                <w:rFonts w:hint="eastAsia" w:asciiTheme="minorEastAsia" w:hAnsiTheme="minorEastAsia" w:eastAsiaTheme="minorEastAsia" w:cstheme="minorEastAsia"/>
                <w:sz w:val="24"/>
                <w:lang w:eastAsia="zh-CN"/>
              </w:rPr>
              <w:t>止</w:t>
            </w: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答疑</w:t>
            </w:r>
          </w:p>
        </w:tc>
        <w:tc>
          <w:tcPr>
            <w:tcW w:w="6697" w:type="dxa"/>
            <w:vAlign w:val="center"/>
          </w:tcPr>
          <w:p>
            <w:pPr>
              <w:spacing w:line="500" w:lineRule="exact"/>
              <w:rPr>
                <w:rFonts w:asciiTheme="minorEastAsia" w:hAnsiTheme="minorEastAsia" w:eastAsiaTheme="minorEastAsia" w:cstheme="minorEastAsia"/>
                <w:b w:val="0"/>
                <w:bCs w:val="0"/>
                <w:i/>
                <w:sz w:val="24"/>
              </w:rPr>
            </w:pPr>
            <w:r>
              <w:rPr>
                <w:rFonts w:hint="eastAsia" w:asciiTheme="minorEastAsia" w:hAnsiTheme="minorEastAsia" w:eastAsiaTheme="minorEastAsia" w:cstheme="minorEastAsia"/>
                <w:b w:val="0"/>
                <w:bCs w:val="0"/>
                <w:sz w:val="24"/>
              </w:rPr>
              <w:t>招标公告发布之日起五日内接受答疑（逾期不予受理），疑问的提出与答疑获取详见招标文件第三章投标人须知第四条。</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投标人请注意：</w:t>
            </w:r>
            <w:r>
              <w:rPr>
                <w:rFonts w:hint="eastAsia" w:asciiTheme="minorEastAsia" w:hAnsiTheme="minorEastAsia" w:eastAsiaTheme="minorEastAsia" w:cstheme="minorEastAsia"/>
                <w:bCs/>
                <w:sz w:val="24"/>
              </w:rPr>
              <w:t>我司对招标文件进行的澄清、更正或更改，将在网站上及时发布，该公告内容为招标文件的组成部分，对投标人具有同样约束力效力。投标人应主动上网查询。我司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w:t>
            </w:r>
          </w:p>
        </w:tc>
        <w:tc>
          <w:tcPr>
            <w:tcW w:w="1975"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踏勘现场</w:t>
            </w:r>
          </w:p>
        </w:tc>
        <w:tc>
          <w:tcPr>
            <w:tcW w:w="6697" w:type="dxa"/>
            <w:vAlign w:val="center"/>
          </w:tcPr>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bCs/>
                <w:sz w:val="24"/>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投标文件份数及要求</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详见招标文件第三章第二条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3</w:t>
            </w:r>
          </w:p>
        </w:tc>
        <w:tc>
          <w:tcPr>
            <w:tcW w:w="1975"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开标时间及地点</w:t>
            </w:r>
          </w:p>
        </w:tc>
        <w:tc>
          <w:tcPr>
            <w:tcW w:w="6697" w:type="dxa"/>
            <w:vAlign w:val="center"/>
          </w:tcPr>
          <w:p>
            <w:pPr>
              <w:spacing w:line="500" w:lineRule="exac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开标时间：</w:t>
            </w:r>
            <w:r>
              <w:rPr>
                <w:rFonts w:hint="eastAsia" w:asciiTheme="minorEastAsia" w:hAnsiTheme="minorEastAsia" w:eastAsiaTheme="minorEastAsia" w:cstheme="minorEastAsia"/>
                <w:sz w:val="24"/>
                <w:lang w:val="zh-CN"/>
              </w:rPr>
              <w:t>详见招标公告</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开标地点：</w:t>
            </w:r>
            <w:r>
              <w:rPr>
                <w:rFonts w:hint="eastAsia" w:asciiTheme="minorEastAsia" w:hAnsiTheme="minorEastAsia" w:eastAsiaTheme="minorEastAsia" w:cstheme="minorEastAsia"/>
                <w:sz w:val="24"/>
                <w:lang w:val="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评标办法</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详见</w:t>
            </w:r>
            <w:r>
              <w:rPr>
                <w:rFonts w:hint="eastAsia" w:asciiTheme="minorEastAsia" w:hAnsiTheme="minorEastAsia" w:eastAsiaTheme="minorEastAsia" w:cstheme="minorEastAsia"/>
                <w:sz w:val="24"/>
              </w:rPr>
              <w:t>招标文件</w:t>
            </w:r>
            <w:r>
              <w:rPr>
                <w:rFonts w:hint="eastAsia" w:asciiTheme="minorEastAsia" w:hAnsiTheme="minorEastAsia" w:eastAsiaTheme="minorEastAsia" w:cstheme="minorEastAsia"/>
                <w:bCs/>
                <w:sz w:val="24"/>
              </w:rPr>
              <w:t>第六章评标办法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66" w:type="dxa"/>
            <w:vAlign w:val="center"/>
          </w:tcPr>
          <w:p>
            <w:pPr>
              <w:spacing w:line="500" w:lineRule="exact"/>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5</w:t>
            </w:r>
          </w:p>
        </w:tc>
        <w:tc>
          <w:tcPr>
            <w:tcW w:w="1975" w:type="dxa"/>
            <w:vAlign w:val="center"/>
          </w:tcPr>
          <w:p>
            <w:pPr>
              <w:spacing w:line="500" w:lineRule="exact"/>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履约保证金</w:t>
            </w:r>
          </w:p>
        </w:tc>
        <w:tc>
          <w:tcPr>
            <w:tcW w:w="6697" w:type="dxa"/>
            <w:vAlign w:val="center"/>
          </w:tcPr>
          <w:p>
            <w:pPr>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单个</w:t>
            </w:r>
            <w:r>
              <w:rPr>
                <w:rFonts w:hint="eastAsia" w:asciiTheme="minorEastAsia" w:hAnsiTheme="minorEastAsia" w:eastAsiaTheme="minorEastAsia" w:cstheme="minorEastAsia"/>
                <w:sz w:val="24"/>
                <w:highlight w:val="none"/>
                <w:lang w:eastAsia="zh-CN"/>
              </w:rPr>
              <w:t>成员企业</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万元整，期限至</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合同履行完毕，服务期满后</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15个日历天</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。收受方式为：</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□现金、</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sym w:font="Wingdings" w:char="F0FE"/>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转账/电汇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，收受人为</w:t>
            </w:r>
            <w:r>
              <w:rPr>
                <w:rFonts w:hint="eastAsia" w:asciiTheme="minorEastAsia" w:hAnsiTheme="minorEastAsia" w:eastAsiaTheme="minorEastAsia" w:cstheme="minorEastAsia"/>
                <w:b w:val="0"/>
                <w:bCs/>
                <w:color w:val="000000" w:themeColor="text1"/>
                <w:sz w:val="24"/>
                <w:highlight w:val="none"/>
                <w:u w:val="single"/>
                <w:lang w:eastAsia="zh-CN"/>
                <w14:textFill>
                  <w14:solidFill>
                    <w14:schemeClr w14:val="tx1"/>
                  </w14:solidFill>
                </w14:textFill>
              </w:rPr>
              <w:t>各成员企业</w:t>
            </w:r>
            <w:r>
              <w:rPr>
                <w:rFonts w:hint="eastAsia" w:asciiTheme="minorEastAsia" w:hAnsiTheme="minorEastAsia" w:eastAsiaTheme="minorEastAsia" w:cstheme="minorEastAsia"/>
                <w:color w:val="000000" w:themeColor="text1"/>
                <w:sz w:val="24"/>
                <w14:textFill>
                  <w14:solidFill>
                    <w14:schemeClr w14:val="tx1"/>
                  </w14:solidFill>
                </w14:textFill>
              </w:rPr>
              <w:t>，详见招标文件第三章投标人须知第六条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6</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投标样品</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需要</w:t>
            </w: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sz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7</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本项目提供除电子版招标文件以外的其他资料</w:t>
            </w:r>
          </w:p>
        </w:tc>
        <w:tc>
          <w:tcPr>
            <w:tcW w:w="6697" w:type="dxa"/>
            <w:vAlign w:val="center"/>
          </w:tcPr>
          <w:p>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val="0"/>
                <w:bCs/>
                <w:sz w:val="24"/>
              </w:rPr>
              <w:t>获得方式：上述资料如有请投标人在获取招标文件后，自行登录我公司网站下载本项目附件（该附件为招标文件的组成部分）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18</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业绩要求</w:t>
            </w:r>
          </w:p>
        </w:tc>
        <w:tc>
          <w:tcPr>
            <w:tcW w:w="6697" w:type="dxa"/>
            <w:vAlign w:val="center"/>
          </w:tcPr>
          <w:p>
            <w:pPr>
              <w:numPr>
                <w:ilvl w:val="0"/>
                <w:numId w:val="0"/>
              </w:numPr>
              <w:spacing w:line="460" w:lineRule="exac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lang w:val="en-US" w:eastAsia="zh-CN"/>
              </w:rPr>
              <w:t>1.</w:t>
            </w:r>
            <w:r>
              <w:rPr>
                <w:rFonts w:hint="eastAsia" w:asciiTheme="minorEastAsia" w:hAnsiTheme="minorEastAsia" w:eastAsiaTheme="minorEastAsia" w:cstheme="minorEastAsia"/>
                <w:b/>
                <w:bCs/>
                <w:sz w:val="24"/>
              </w:rPr>
              <w:t>本招标文件中要求的业绩合同：a、合同在实施的，提供合同期内</w:t>
            </w:r>
            <w:r>
              <w:rPr>
                <w:rFonts w:hint="eastAsia" w:asciiTheme="minorEastAsia" w:hAnsiTheme="minorEastAsia" w:eastAsiaTheme="minorEastAsia" w:cstheme="minorEastAsia"/>
                <w:b/>
                <w:bCs/>
                <w:sz w:val="24"/>
                <w:lang w:eastAsia="zh-CN"/>
              </w:rPr>
              <w:t>任意</w:t>
            </w:r>
            <w:r>
              <w:rPr>
                <w:rFonts w:hint="eastAsia" w:asciiTheme="minorEastAsia" w:hAnsiTheme="minorEastAsia" w:eastAsiaTheme="minorEastAsia" w:cstheme="minorEastAsia"/>
                <w:b/>
                <w:bCs/>
                <w:sz w:val="24"/>
              </w:rPr>
              <w:t>一年度的节能确认单</w:t>
            </w:r>
            <w:r>
              <w:rPr>
                <w:rFonts w:hint="eastAsia" w:asciiTheme="minorEastAsia" w:hAnsiTheme="minorEastAsia" w:eastAsiaTheme="minorEastAsia" w:cstheme="minorEastAsia"/>
                <w:b/>
                <w:bCs/>
                <w:sz w:val="24"/>
                <w:lang w:val="en-US" w:eastAsia="zh-CN"/>
              </w:rPr>
              <w:t>,</w:t>
            </w:r>
            <w:r>
              <w:rPr>
                <w:rFonts w:hint="eastAsia" w:asciiTheme="minorEastAsia" w:hAnsiTheme="minorEastAsia" w:eastAsiaTheme="minorEastAsia" w:cstheme="minorEastAsia"/>
                <w:b/>
                <w:bCs/>
                <w:sz w:val="24"/>
                <w:lang w:eastAsia="zh-CN"/>
              </w:rPr>
              <w:t>节能确认单须体现节能要求及完成情况。</w:t>
            </w:r>
            <w:r>
              <w:rPr>
                <w:rFonts w:hint="eastAsia" w:asciiTheme="minorEastAsia" w:hAnsiTheme="minorEastAsia" w:eastAsiaTheme="minorEastAsia" w:cstheme="minorEastAsia"/>
                <w:b/>
                <w:bCs/>
                <w:sz w:val="24"/>
              </w:rPr>
              <w:t>b、合同实施完毕的，提供业主回访单或节能确认单</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业主回访单或节能确认单</w:t>
            </w:r>
            <w:r>
              <w:rPr>
                <w:rFonts w:hint="eastAsia" w:asciiTheme="minorEastAsia" w:hAnsiTheme="minorEastAsia" w:eastAsiaTheme="minorEastAsia" w:cstheme="minorEastAsia"/>
                <w:b/>
                <w:bCs/>
                <w:sz w:val="24"/>
                <w:lang w:eastAsia="zh-CN"/>
              </w:rPr>
              <w:t>须体现节能要求及完成情况。</w:t>
            </w:r>
          </w:p>
          <w:p>
            <w:pPr>
              <w:spacing w:line="460" w:lineRule="exac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rPr>
              <w:t>注：（1）提供</w:t>
            </w:r>
            <w:r>
              <w:rPr>
                <w:rFonts w:hint="eastAsia" w:asciiTheme="minorEastAsia" w:hAnsiTheme="minorEastAsia" w:eastAsiaTheme="minorEastAsia" w:cstheme="minorEastAsia"/>
                <w:b/>
                <w:bCs/>
                <w:sz w:val="24"/>
                <w:lang w:eastAsia="zh-CN"/>
              </w:rPr>
              <w:t>的</w:t>
            </w:r>
            <w:r>
              <w:rPr>
                <w:rFonts w:hint="eastAsia" w:asciiTheme="minorEastAsia" w:hAnsiTheme="minorEastAsia" w:eastAsiaTheme="minorEastAsia" w:cstheme="minorEastAsia"/>
                <w:b/>
                <w:bCs/>
                <w:sz w:val="24"/>
              </w:rPr>
              <w:t>业绩合同</w:t>
            </w:r>
            <w:r>
              <w:rPr>
                <w:rFonts w:hint="eastAsia" w:asciiTheme="minorEastAsia" w:hAnsiTheme="minorEastAsia" w:eastAsiaTheme="minorEastAsia" w:cstheme="minorEastAsia"/>
                <w:b/>
                <w:bCs/>
                <w:sz w:val="24"/>
                <w:lang w:eastAsia="zh-CN"/>
              </w:rPr>
              <w:t>须</w:t>
            </w:r>
            <w:r>
              <w:rPr>
                <w:rFonts w:hint="eastAsia" w:asciiTheme="minorEastAsia" w:hAnsiTheme="minorEastAsia" w:eastAsiaTheme="minorEastAsia" w:cstheme="minorEastAsia"/>
                <w:b/>
                <w:bCs/>
                <w:sz w:val="24"/>
              </w:rPr>
              <w:t>包含甲乙方、项目名称、合同总金额、合同签订时间、合同范围、合同签字盖章页等关键页内容；（2）</w:t>
            </w:r>
            <w:r>
              <w:rPr>
                <w:rFonts w:hint="eastAsia" w:asciiTheme="minorEastAsia" w:hAnsiTheme="minorEastAsia" w:eastAsiaTheme="minorEastAsia" w:cstheme="minorEastAsia"/>
                <w:b/>
                <w:bCs/>
                <w:sz w:val="24"/>
                <w:lang w:eastAsia="zh-CN"/>
              </w:rPr>
              <w:t>节能确认单或</w:t>
            </w:r>
            <w:r>
              <w:rPr>
                <w:rFonts w:hint="eastAsia" w:asciiTheme="minorEastAsia" w:hAnsiTheme="minorEastAsia" w:eastAsiaTheme="minorEastAsia" w:cstheme="minorEastAsia"/>
                <w:b/>
                <w:bCs/>
                <w:sz w:val="24"/>
              </w:rPr>
              <w:t>业主</w:t>
            </w:r>
            <w:r>
              <w:rPr>
                <w:rFonts w:hint="eastAsia" w:asciiTheme="minorEastAsia" w:hAnsiTheme="minorEastAsia" w:eastAsiaTheme="minorEastAsia" w:cstheme="minorEastAsia"/>
                <w:b/>
                <w:bCs/>
                <w:sz w:val="24"/>
                <w:lang w:eastAsia="zh-CN"/>
              </w:rPr>
              <w:t>回访单</w:t>
            </w:r>
            <w:r>
              <w:rPr>
                <w:rFonts w:hint="eastAsia" w:asciiTheme="minorEastAsia" w:hAnsiTheme="minorEastAsia" w:eastAsiaTheme="minorEastAsia" w:cstheme="minorEastAsia"/>
                <w:b/>
                <w:bCs/>
                <w:sz w:val="24"/>
              </w:rPr>
              <w:t>须</w:t>
            </w:r>
            <w:r>
              <w:rPr>
                <w:rFonts w:hint="eastAsia" w:asciiTheme="minorEastAsia" w:hAnsiTheme="minorEastAsia" w:eastAsiaTheme="minorEastAsia" w:cstheme="minorEastAsia"/>
                <w:b/>
                <w:bCs/>
                <w:sz w:val="24"/>
                <w:lang w:eastAsia="zh-CN"/>
              </w:rPr>
              <w:t>经业主签字并</w:t>
            </w:r>
            <w:r>
              <w:rPr>
                <w:rFonts w:hint="eastAsia" w:asciiTheme="minorEastAsia" w:hAnsiTheme="minorEastAsia" w:eastAsiaTheme="minorEastAsia" w:cstheme="minorEastAsia"/>
                <w:b/>
                <w:bCs/>
                <w:sz w:val="24"/>
              </w:rPr>
              <w:t>加盖业主单位公章</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否则评标委员会可不予认可</w:t>
            </w:r>
            <w:r>
              <w:rPr>
                <w:rFonts w:hint="eastAsia" w:asciiTheme="minorEastAsia" w:hAnsiTheme="minorEastAsia" w:eastAsiaTheme="minorEastAsia" w:cstheme="minorEastAsia"/>
                <w:b/>
                <w:bCs/>
                <w:sz w:val="24"/>
                <w:lang w:eastAsia="zh-CN"/>
              </w:rPr>
              <w:t>。</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lang w:val="en-US" w:eastAsia="zh-CN"/>
              </w:rPr>
              <w:t>2.</w:t>
            </w:r>
            <w:r>
              <w:rPr>
                <w:rFonts w:hint="eastAsia" w:asciiTheme="minorEastAsia" w:hAnsiTheme="minorEastAsia" w:eastAsiaTheme="minorEastAsia" w:cstheme="minorEastAsia"/>
                <w:b/>
                <w:bCs/>
                <w:sz w:val="24"/>
              </w:rPr>
              <w:t>所提供的业绩合同</w:t>
            </w:r>
            <w:r>
              <w:rPr>
                <w:rFonts w:hint="eastAsia" w:asciiTheme="minorEastAsia" w:hAnsiTheme="minorEastAsia" w:eastAsiaTheme="minorEastAsia" w:cstheme="minorEastAsia"/>
                <w:b/>
                <w:bCs/>
                <w:sz w:val="24"/>
                <w:lang w:eastAsia="zh-CN"/>
              </w:rPr>
              <w:t>（含</w:t>
            </w:r>
            <w:r>
              <w:rPr>
                <w:rFonts w:hint="eastAsia" w:asciiTheme="minorEastAsia" w:hAnsiTheme="minorEastAsia" w:eastAsiaTheme="minorEastAsia" w:cstheme="minorEastAsia"/>
                <w:b/>
                <w:bCs/>
                <w:sz w:val="24"/>
              </w:rPr>
              <w:t>业主回访单</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节能确认单</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不能明确反映出招标文件所要求的内容的（如合同总金额或</w:t>
            </w:r>
            <w:r>
              <w:rPr>
                <w:rFonts w:hint="eastAsia" w:asciiTheme="minorEastAsia" w:hAnsiTheme="minorEastAsia" w:eastAsiaTheme="minorEastAsia" w:cstheme="minorEastAsia"/>
                <w:b/>
                <w:bCs/>
                <w:sz w:val="24"/>
                <w:lang w:eastAsia="zh-CN"/>
              </w:rPr>
              <w:t>节能要求及完成情况</w:t>
            </w:r>
            <w:r>
              <w:rPr>
                <w:rFonts w:hint="eastAsia" w:asciiTheme="minorEastAsia" w:hAnsiTheme="minorEastAsia" w:eastAsiaTheme="minorEastAsia" w:cstheme="minorEastAsia"/>
                <w:b/>
                <w:bCs/>
                <w:sz w:val="24"/>
              </w:rPr>
              <w:t>等），应另附业主证明材料予以明确说明，须加盖业主单位公章，否则评标委员会可不予认可。</w:t>
            </w:r>
          </w:p>
        </w:tc>
      </w:tr>
    </w:tbl>
    <w:p>
      <w:pPr>
        <w:pStyle w:val="2"/>
        <w:numPr>
          <w:ilvl w:val="0"/>
          <w:numId w:val="0"/>
        </w:numPr>
        <w:rPr>
          <w:rFonts w:hint="eastAsia" w:asciiTheme="majorEastAsia" w:hAnsiTheme="majorEastAsia" w:eastAsiaTheme="majorEastAsia" w:cstheme="majorEastAsia"/>
          <w:sz w:val="28"/>
          <w:szCs w:val="28"/>
        </w:rPr>
      </w:pPr>
      <w:bookmarkStart w:id="5" w:name="_Toc491005866"/>
      <w:bookmarkStart w:id="6" w:name="_Toc13732418"/>
    </w:p>
    <w:p>
      <w:pPr>
        <w:rPr>
          <w:rFonts w:hint="eastAsia"/>
        </w:rPr>
      </w:pPr>
    </w:p>
    <w:p>
      <w:pPr>
        <w:pStyle w:val="2"/>
        <w:numPr>
          <w:ilvl w:val="0"/>
          <w:numId w:val="0"/>
        </w:numPr>
        <w:rPr>
          <w:rFonts w:hint="eastAsia" w:asciiTheme="majorEastAsia" w:hAnsiTheme="majorEastAsia" w:eastAsiaTheme="majorEastAsia" w:cstheme="majorEastAsia"/>
          <w:sz w:val="28"/>
          <w:szCs w:val="28"/>
        </w:rPr>
      </w:pPr>
    </w:p>
    <w:p>
      <w:pPr>
        <w:rPr>
          <w:rFonts w:hint="eastAsia"/>
        </w:rPr>
      </w:pPr>
    </w:p>
    <w:p>
      <w:pPr>
        <w:rPr>
          <w:rFonts w:hint="eastAsia"/>
        </w:rPr>
      </w:pPr>
    </w:p>
    <w:p>
      <w:pPr>
        <w:rPr>
          <w:rFonts w:hint="eastAsia"/>
        </w:rPr>
      </w:pPr>
    </w:p>
    <w:p>
      <w:pPr>
        <w:rPr>
          <w:rFonts w:hint="eastAsia"/>
        </w:rPr>
      </w:pPr>
    </w:p>
    <w:p>
      <w:pPr>
        <w:pStyle w:val="2"/>
        <w:keepLines w:val="0"/>
        <w:pageBreakBefore w:val="0"/>
        <w:numPr>
          <w:ilvl w:val="0"/>
          <w:numId w:val="0"/>
        </w:numPr>
        <w:kinsoku/>
        <w:wordWrap/>
        <w:overflowPunct/>
        <w:topLinePunct w:val="0"/>
        <w:autoSpaceDE/>
        <w:autoSpaceDN/>
        <w:bidi w:val="0"/>
        <w:adjustRightInd/>
        <w:snapToGrid/>
        <w:spacing w:line="500" w:lineRule="exact"/>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第三章 投标人须知</w:t>
      </w:r>
      <w:bookmarkEnd w:id="5"/>
      <w:bookmarkEnd w:id="6"/>
    </w:p>
    <w:p>
      <w:pPr>
        <w:keepLines w:val="0"/>
        <w:pageBreakBefore w:val="0"/>
        <w:kinsoku/>
        <w:wordWrap/>
        <w:overflowPunct/>
        <w:topLinePunct w:val="0"/>
        <w:autoSpaceDE/>
        <w:autoSpaceDN/>
        <w:bidi w:val="0"/>
        <w:adjustRightInd/>
        <w:snapToGrid/>
        <w:spacing w:line="500" w:lineRule="exact"/>
        <w:ind w:firstLine="420"/>
        <w:textAlignment w:val="auto"/>
        <w:rPr>
          <w:rFonts w:ascii="宋体"/>
          <w:b/>
          <w:sz w:val="24"/>
        </w:rPr>
      </w:pPr>
      <w:r>
        <w:rPr>
          <w:rFonts w:hint="eastAsia" w:ascii="宋体" w:hAnsi="宋体"/>
          <w:b/>
          <w:sz w:val="24"/>
        </w:rPr>
        <w:t>一、说明及注意事项</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1</w:t>
      </w:r>
      <w:r>
        <w:rPr>
          <w:rFonts w:hint="eastAsia" w:ascii="宋体" w:hAnsi="宋体"/>
          <w:sz w:val="24"/>
        </w:rPr>
        <w:t>.投标文件的编写要求</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⑴投标人须以招标人正式发布的《招标文件》为制作《投标文件》的依据；</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⑵投标人应仔细阅读招标文件的所有内容，按招标文件的要求提供投标文件，并保证所提供的全部资料真实有效；</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⑶投标文件的书面内容不得涂抹或改写；</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⑷满足本招标文件规定的其它要求。</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2.</w:t>
      </w:r>
      <w:r>
        <w:rPr>
          <w:rFonts w:hint="eastAsia" w:ascii="宋体" w:hAnsi="宋体"/>
          <w:sz w:val="24"/>
        </w:rPr>
        <w:t>投标文件由以下部分构成</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⑴投标承诺书、开标一览表、投标事项承诺等；</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⑵投标人资质证明文件、法人和授权代表人身份证复印件；</w:t>
      </w:r>
    </w:p>
    <w:p>
      <w:pPr>
        <w:keepLines w:val="0"/>
        <w:pageBreakBefore w:val="0"/>
        <w:kinsoku/>
        <w:wordWrap/>
        <w:overflowPunct/>
        <w:topLinePunct w:val="0"/>
        <w:autoSpaceDE/>
        <w:autoSpaceDN/>
        <w:bidi w:val="0"/>
        <w:adjustRightInd/>
        <w:snapToGrid/>
        <w:spacing w:line="500" w:lineRule="exact"/>
        <w:ind w:firstLine="420"/>
        <w:textAlignment w:val="auto"/>
        <w:rPr>
          <w:rFonts w:hint="eastAsia" w:ascii="宋体" w:eastAsia="宋体"/>
          <w:b/>
          <w:bCs/>
          <w:sz w:val="24"/>
          <w:lang w:val="en-US" w:eastAsia="zh-CN"/>
        </w:rPr>
      </w:pPr>
      <w:r>
        <w:rPr>
          <w:rFonts w:hint="eastAsia" w:ascii="宋体" w:hAnsi="宋体"/>
          <w:b/>
          <w:bCs/>
          <w:sz w:val="24"/>
        </w:rPr>
        <w:t>⑶本项目的改造方案（包括投资概算、所使用的设备型号、数量，主要改造内容包括招标文件中的四章第三条要求的必须实施的内容）</w:t>
      </w:r>
      <w:r>
        <w:rPr>
          <w:rFonts w:hint="eastAsia" w:ascii="宋体" w:hAnsi="宋体"/>
          <w:b/>
          <w:bCs/>
          <w:sz w:val="24"/>
          <w:lang w:eastAsia="zh-CN"/>
        </w:rPr>
        <w:t>。</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⑷相关案例材料，服务计划、项目负责人及拟派往本项目的管理人员情况（包括履历和项目经验）。</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3</w:t>
      </w:r>
      <w:r>
        <w:rPr>
          <w:rFonts w:hint="eastAsia" w:ascii="宋体" w:hAnsi="宋体"/>
          <w:sz w:val="24"/>
        </w:rPr>
        <w:t>.投标报价说明</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⑴除招标文件中另有规定外，计量单位为我国法定计量单位；投标报价、服务费结算一律使用人民币；</w:t>
      </w:r>
    </w:p>
    <w:p>
      <w:pPr>
        <w:keepLines w:val="0"/>
        <w:pageBreakBefore w:val="0"/>
        <w:kinsoku/>
        <w:wordWrap/>
        <w:overflowPunct/>
        <w:topLinePunct w:val="0"/>
        <w:autoSpaceDE/>
        <w:autoSpaceDN/>
        <w:bidi w:val="0"/>
        <w:adjustRightInd/>
        <w:snapToGrid/>
        <w:spacing w:line="500" w:lineRule="exact"/>
        <w:ind w:firstLine="424" w:firstLineChars="177"/>
        <w:textAlignment w:val="auto"/>
        <w:rPr>
          <w:rFonts w:ascii="宋体"/>
          <w:b w:val="0"/>
          <w:bCs w:val="0"/>
          <w:sz w:val="24"/>
        </w:rPr>
      </w:pPr>
      <w:r>
        <w:rPr>
          <w:rFonts w:hint="eastAsia" w:ascii="宋体" w:hAnsi="宋体"/>
          <w:sz w:val="24"/>
        </w:rPr>
        <w:t>⑵投标人投标前应进行现场勘查，各种风险须充分考虑，请投标人谨慎报价。</w:t>
      </w:r>
      <w:r>
        <w:rPr>
          <w:rFonts w:hint="eastAsia" w:ascii="宋体" w:hAnsi="宋体"/>
          <w:b w:val="0"/>
          <w:bCs w:val="0"/>
          <w:color w:val="000000"/>
          <w:sz w:val="24"/>
        </w:rPr>
        <w:t>中标后不得以任何理由提出变更等理由调整价格。</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⑶投标人须充分考虑所投服务成本，中标及合同履约期内，不得以任何理由要求对其投标价格进行变更或拒绝服务。</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4</w:t>
      </w:r>
      <w:r>
        <w:rPr>
          <w:rFonts w:hint="eastAsia" w:ascii="宋体" w:hAnsi="宋体"/>
          <w:sz w:val="24"/>
        </w:rPr>
        <w:t>.请投标人接到招标文件后</w:t>
      </w:r>
      <w:r>
        <w:rPr>
          <w:rFonts w:ascii="宋体"/>
          <w:sz w:val="24"/>
        </w:rPr>
        <w:t>,</w:t>
      </w:r>
      <w:r>
        <w:rPr>
          <w:rFonts w:hint="eastAsia" w:ascii="宋体" w:hAnsi="宋体"/>
          <w:sz w:val="24"/>
        </w:rPr>
        <w:t>认真审阅和全面理解招标文件中所有的须知、条件、格式、条款，如果投标人的投标文件不符合招标文件要求，该投标文件将被拒绝，责任自负。</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5</w:t>
      </w:r>
      <w:r>
        <w:rPr>
          <w:rFonts w:hint="eastAsia" w:ascii="宋体" w:hAnsi="宋体"/>
          <w:sz w:val="24"/>
        </w:rPr>
        <w:t>.投标人在交付保证金后，如出现串标、毁标、中标后不签订合同或在履行合同时出现违约行为，招标人有权没收投标保证金并记入百大集团招投标黑名单。</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6</w:t>
      </w:r>
      <w:r>
        <w:rPr>
          <w:rFonts w:hint="eastAsia" w:ascii="宋体" w:hAnsi="宋体"/>
          <w:sz w:val="24"/>
        </w:rPr>
        <w:t>.招标人将按本招标文件时间安排表确定的时间、地点开标，投标人的法定代表人（或代理人）应准时出席，否则将视为弃权，投标保证金不予返还。</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b/>
          <w:sz w:val="24"/>
        </w:rPr>
      </w:pPr>
      <w:r>
        <w:rPr>
          <w:rFonts w:hint="eastAsia" w:ascii="宋体" w:hAnsi="宋体"/>
          <w:b/>
          <w:sz w:val="24"/>
        </w:rPr>
        <w:t>二、投标文件的递交</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1</w:t>
      </w:r>
      <w:r>
        <w:rPr>
          <w:rFonts w:hint="eastAsia" w:ascii="宋体" w:hAnsi="宋体"/>
          <w:sz w:val="24"/>
        </w:rPr>
        <w:t>.投标文件的密封和标记</w:t>
      </w:r>
    </w:p>
    <w:p>
      <w:pPr>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b w:val="0"/>
          <w:bCs w:val="0"/>
          <w:sz w:val="24"/>
        </w:rPr>
      </w:pPr>
      <w:r>
        <w:rPr>
          <w:rFonts w:hint="eastAsia" w:ascii="宋体" w:hAnsi="宋体"/>
          <w:b w:val="0"/>
          <w:bCs w:val="0"/>
          <w:sz w:val="24"/>
        </w:rPr>
        <w:t>⑴投标文件应密封，并在封面注明招标编号、投标项目、投标单位等；</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b/>
          <w:sz w:val="24"/>
        </w:rPr>
      </w:pPr>
      <w:r>
        <w:rPr>
          <w:rFonts w:hint="eastAsia" w:ascii="宋体" w:hAnsi="宋体"/>
          <w:b/>
          <w:bCs/>
          <w:sz w:val="24"/>
        </w:rPr>
        <w:t>⑵投标文件要求：</w:t>
      </w:r>
      <w:r>
        <w:rPr>
          <w:rFonts w:hint="eastAsia" w:ascii="宋体" w:hAnsi="宋体"/>
          <w:b/>
          <w:bCs/>
          <w:sz w:val="24"/>
          <w:lang w:eastAsia="zh-CN"/>
        </w:rPr>
        <w:t>胶装，</w:t>
      </w:r>
      <w:r>
        <w:rPr>
          <w:rFonts w:hint="eastAsia" w:ascii="宋体" w:hAnsi="宋体"/>
          <w:b/>
          <w:sz w:val="24"/>
        </w:rPr>
        <w:t>正、副本各一份，PDF电子版一份。</w:t>
      </w:r>
    </w:p>
    <w:p>
      <w:pPr>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kern w:val="0"/>
          <w:sz w:val="24"/>
        </w:rPr>
      </w:pPr>
      <w:r>
        <w:rPr>
          <w:rFonts w:hint="eastAsia" w:ascii="宋体" w:hAnsi="宋体"/>
          <w:kern w:val="0"/>
          <w:sz w:val="24"/>
        </w:rPr>
        <w:t>2.投标文件的递交、修改和撤回。</w:t>
      </w:r>
    </w:p>
    <w:p>
      <w:pPr>
        <w:keepLines w:val="0"/>
        <w:pageBreakBefore w:val="0"/>
        <w:kinsoku/>
        <w:wordWrap/>
        <w:overflowPunct/>
        <w:topLinePunct w:val="0"/>
        <w:autoSpaceDE/>
        <w:autoSpaceDN/>
        <w:bidi w:val="0"/>
        <w:adjustRightInd/>
        <w:snapToGrid/>
        <w:spacing w:line="500" w:lineRule="exact"/>
        <w:textAlignment w:val="auto"/>
        <w:rPr>
          <w:rFonts w:ascii="宋体" w:hAnsi="宋体"/>
          <w:kern w:val="0"/>
          <w:sz w:val="24"/>
        </w:rPr>
      </w:pPr>
      <w:r>
        <w:rPr>
          <w:rFonts w:hint="eastAsia" w:ascii="宋体" w:hAnsi="宋体"/>
          <w:kern w:val="0"/>
          <w:sz w:val="24"/>
        </w:rPr>
        <w:t xml:space="preserve">    2.1投标人应在开标前将密封合格的投标文件送达开标现场；</w:t>
      </w:r>
    </w:p>
    <w:p>
      <w:pPr>
        <w:keepLines w:val="0"/>
        <w:pageBreakBefore w:val="0"/>
        <w:kinsoku/>
        <w:wordWrap/>
        <w:overflowPunct/>
        <w:topLinePunct w:val="0"/>
        <w:autoSpaceDE/>
        <w:autoSpaceDN/>
        <w:bidi w:val="0"/>
        <w:adjustRightInd/>
        <w:snapToGrid/>
        <w:spacing w:line="500" w:lineRule="exact"/>
        <w:textAlignment w:val="auto"/>
        <w:rPr>
          <w:rFonts w:ascii="宋体" w:hAnsi="宋体"/>
          <w:kern w:val="0"/>
          <w:sz w:val="24"/>
        </w:rPr>
      </w:pPr>
      <w:r>
        <w:rPr>
          <w:rFonts w:hint="eastAsia" w:ascii="宋体" w:hAnsi="宋体"/>
          <w:kern w:val="0"/>
          <w:sz w:val="24"/>
        </w:rPr>
        <w:t xml:space="preserve">    2.2投标人递交投标文件后，不得修改或撤回投标文件。</w:t>
      </w:r>
    </w:p>
    <w:p>
      <w:pPr>
        <w:spacing w:line="520" w:lineRule="exact"/>
        <w:ind w:firstLine="420"/>
        <w:rPr>
          <w:rFonts w:ascii="宋体"/>
          <w:b/>
          <w:sz w:val="24"/>
        </w:rPr>
      </w:pPr>
      <w:r>
        <w:rPr>
          <w:rFonts w:hint="eastAsia" w:ascii="宋体" w:hAnsi="宋体"/>
          <w:b/>
          <w:sz w:val="24"/>
        </w:rPr>
        <w:t>三、开标、评标和定标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1</w:t>
      </w:r>
      <w:r>
        <w:rPr>
          <w:rFonts w:hint="eastAsia" w:ascii="宋体" w:hAnsi="宋体"/>
          <w:sz w:val="24"/>
        </w:rPr>
        <w:t>.按投标邀请中规定的时间和地点开标，届时请投标人授权一名代表参加商务标的开标，拟派项目负责人作投标陈述并作为答辩代表参加项目答辩。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.开标时，查验投标文件的密封状况，确认无误后拆封唱标。</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3.各投标人通过资格审查，投标文件响应下表方案的前提下，</w:t>
      </w:r>
      <w:r>
        <w:rPr>
          <w:rFonts w:hint="eastAsia" w:asciiTheme="minorEastAsia" w:hAnsiTheme="minorEastAsia" w:eastAsiaTheme="minorEastAsia" w:cstheme="minorEastAsia"/>
          <w:b/>
          <w:bCs/>
          <w:sz w:val="24"/>
          <w:lang w:eastAsia="zh-CN"/>
        </w:rPr>
        <w:t>单个成员企业</w:t>
      </w:r>
      <w:r>
        <w:rPr>
          <w:rFonts w:hint="eastAsia" w:asciiTheme="minorEastAsia" w:hAnsiTheme="minorEastAsia" w:eastAsiaTheme="minorEastAsia" w:cstheme="minorEastAsia"/>
          <w:b/>
          <w:bCs/>
          <w:sz w:val="24"/>
        </w:rPr>
        <w:t>项目节能率报价最高的投标人为</w:t>
      </w:r>
      <w:r>
        <w:rPr>
          <w:rFonts w:hint="eastAsia" w:asciiTheme="minorEastAsia" w:hAnsiTheme="minorEastAsia" w:eastAsiaTheme="minorEastAsia" w:cstheme="minorEastAsia"/>
          <w:b/>
          <w:bCs/>
          <w:sz w:val="24"/>
          <w:lang w:eastAsia="zh-CN"/>
        </w:rPr>
        <w:t>该企业的</w:t>
      </w:r>
      <w:r>
        <w:rPr>
          <w:rFonts w:hint="eastAsia" w:asciiTheme="minorEastAsia" w:hAnsiTheme="minorEastAsia" w:eastAsiaTheme="minorEastAsia" w:cstheme="minorEastAsia"/>
          <w:b/>
          <w:bCs/>
          <w:sz w:val="24"/>
        </w:rPr>
        <w:t>中标候选人。</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eastAsia="zh-CN"/>
        </w:rPr>
        <w:t>如单个成员企业</w:t>
      </w:r>
      <w:r>
        <w:rPr>
          <w:rFonts w:hint="eastAsia" w:asciiTheme="minorEastAsia" w:hAnsiTheme="minorEastAsia" w:eastAsiaTheme="minorEastAsia" w:cstheme="minorEastAsia"/>
          <w:b/>
          <w:bCs/>
          <w:sz w:val="24"/>
        </w:rPr>
        <w:t>项目节能率报价最高的投标人</w:t>
      </w:r>
      <w:r>
        <w:rPr>
          <w:rFonts w:hint="eastAsia" w:asciiTheme="minorEastAsia" w:hAnsiTheme="minorEastAsia" w:eastAsiaTheme="minorEastAsia" w:cstheme="minorEastAsia"/>
          <w:b/>
          <w:bCs/>
          <w:sz w:val="24"/>
          <w:lang w:eastAsia="zh-CN"/>
        </w:rPr>
        <w:t>有</w:t>
      </w:r>
      <w:r>
        <w:rPr>
          <w:rFonts w:hint="eastAsia" w:asciiTheme="minorEastAsia" w:hAnsiTheme="minorEastAsia" w:eastAsiaTheme="minorEastAsia" w:cstheme="minorEastAsia"/>
          <w:b/>
          <w:bCs/>
          <w:sz w:val="24"/>
          <w:lang w:val="en-US" w:eastAsia="zh-CN"/>
        </w:rPr>
        <w:t>2家时，现场采取竞争性谈判的方式确定</w:t>
      </w:r>
      <w:r>
        <w:rPr>
          <w:rFonts w:hint="eastAsia" w:asciiTheme="minorEastAsia" w:hAnsiTheme="minorEastAsia" w:eastAsiaTheme="minorEastAsia" w:cstheme="minorEastAsia"/>
          <w:b/>
          <w:bCs/>
          <w:sz w:val="24"/>
          <w:lang w:eastAsia="zh-CN"/>
        </w:rPr>
        <w:t>该企业的</w:t>
      </w:r>
      <w:r>
        <w:rPr>
          <w:rFonts w:hint="eastAsia" w:asciiTheme="minorEastAsia" w:hAnsiTheme="minorEastAsia" w:eastAsiaTheme="minorEastAsia" w:cstheme="minorEastAsia"/>
          <w:b/>
          <w:bCs/>
          <w:sz w:val="24"/>
        </w:rPr>
        <w:t>中标候选人</w:t>
      </w:r>
      <w:r>
        <w:rPr>
          <w:rFonts w:hint="eastAsia" w:asciiTheme="minorEastAsia" w:hAnsiTheme="minorEastAsia" w:eastAsiaTheme="minorEastAsia" w:cstheme="minorEastAsia"/>
          <w:b/>
          <w:bCs/>
          <w:sz w:val="24"/>
          <w:lang w:val="en-US" w:eastAsia="zh-CN"/>
        </w:rPr>
        <w:t>；</w:t>
      </w:r>
      <w:r>
        <w:rPr>
          <w:rFonts w:hint="eastAsia" w:asciiTheme="minorEastAsia" w:hAnsiTheme="minorEastAsia" w:eastAsiaTheme="minorEastAsia" w:cstheme="minorEastAsia"/>
          <w:b/>
          <w:bCs/>
          <w:sz w:val="24"/>
          <w:lang w:eastAsia="zh-CN"/>
        </w:rPr>
        <w:t>如单个成员企业</w:t>
      </w:r>
      <w:r>
        <w:rPr>
          <w:rFonts w:hint="eastAsia" w:asciiTheme="minorEastAsia" w:hAnsiTheme="minorEastAsia" w:eastAsiaTheme="minorEastAsia" w:cstheme="minorEastAsia"/>
          <w:b/>
          <w:bCs/>
          <w:sz w:val="24"/>
        </w:rPr>
        <w:t>项目节能率报价最高的投标人</w:t>
      </w:r>
      <w:r>
        <w:rPr>
          <w:rFonts w:hint="eastAsia" w:asciiTheme="minorEastAsia" w:hAnsiTheme="minorEastAsia" w:eastAsiaTheme="minorEastAsia" w:cstheme="minorEastAsia"/>
          <w:b/>
          <w:bCs/>
          <w:sz w:val="24"/>
          <w:lang w:eastAsia="zh-CN"/>
        </w:rPr>
        <w:t>大于</w:t>
      </w:r>
      <w:r>
        <w:rPr>
          <w:rFonts w:hint="eastAsia" w:asciiTheme="minorEastAsia" w:hAnsiTheme="minorEastAsia" w:eastAsiaTheme="minorEastAsia" w:cstheme="minorEastAsia"/>
          <w:b/>
          <w:bCs/>
          <w:sz w:val="24"/>
          <w:lang w:val="en-US" w:eastAsia="zh-CN"/>
        </w:rPr>
        <w:t>2家时，现场采取抽签形式确定</w:t>
      </w:r>
      <w:r>
        <w:rPr>
          <w:rFonts w:hint="eastAsia" w:asciiTheme="minorEastAsia" w:hAnsiTheme="minorEastAsia" w:eastAsiaTheme="minorEastAsia" w:cstheme="minorEastAsia"/>
          <w:b/>
          <w:bCs/>
          <w:sz w:val="24"/>
          <w:lang w:eastAsia="zh-CN"/>
        </w:rPr>
        <w:t>该企业的</w:t>
      </w:r>
      <w:r>
        <w:rPr>
          <w:rFonts w:hint="eastAsia" w:asciiTheme="minorEastAsia" w:hAnsiTheme="minorEastAsia" w:eastAsiaTheme="minorEastAsia" w:cstheme="minorEastAsia"/>
          <w:b/>
          <w:bCs/>
          <w:sz w:val="24"/>
        </w:rPr>
        <w:t>中标候选人</w:t>
      </w:r>
      <w:r>
        <w:rPr>
          <w:rFonts w:hint="eastAsia" w:asciiTheme="minorEastAsia" w:hAnsiTheme="minorEastAsia" w:eastAsiaTheme="minorEastAsia" w:cstheme="minorEastAsia"/>
          <w:b/>
          <w:bCs/>
          <w:sz w:val="24"/>
          <w:lang w:val="en-US" w:eastAsia="zh-CN"/>
        </w:rPr>
        <w:t>。</w:t>
      </w:r>
    </w:p>
    <w:p>
      <w:pPr>
        <w:spacing w:line="520" w:lineRule="exact"/>
        <w:ind w:firstLine="241" w:firstLineChars="10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表：</w:t>
      </w:r>
      <w:r>
        <w:rPr>
          <w:rFonts w:hint="eastAsia" w:asciiTheme="minorEastAsia" w:hAnsiTheme="minorEastAsia" w:eastAsiaTheme="minorEastAsia" w:cstheme="minorEastAsia"/>
          <w:b/>
          <w:bCs/>
          <w:sz w:val="24"/>
          <w:lang w:eastAsia="zh-CN"/>
        </w:rPr>
        <w:t>节能分享</w:t>
      </w:r>
      <w:r>
        <w:rPr>
          <w:rFonts w:hint="eastAsia" w:asciiTheme="minorEastAsia" w:hAnsiTheme="minorEastAsia" w:eastAsiaTheme="minorEastAsia" w:cstheme="minorEastAsia"/>
          <w:b/>
          <w:bCs/>
          <w:sz w:val="24"/>
        </w:rPr>
        <w:t>方案表</w:t>
      </w:r>
    </w:p>
    <w:tbl>
      <w:tblPr>
        <w:tblStyle w:val="2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938"/>
        <w:gridCol w:w="2233"/>
        <w:gridCol w:w="1320"/>
        <w:gridCol w:w="1468"/>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193"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内  容</w:t>
            </w:r>
          </w:p>
        </w:tc>
        <w:tc>
          <w:tcPr>
            <w:tcW w:w="1938"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8年服务期内每年</w:t>
            </w:r>
            <w:r>
              <w:rPr>
                <w:rFonts w:hint="eastAsia" w:asciiTheme="minorEastAsia" w:hAnsiTheme="minorEastAsia" w:eastAsiaTheme="minorEastAsia" w:cstheme="minorEastAsia"/>
                <w:b/>
                <w:bCs/>
                <w:sz w:val="24"/>
                <w:lang w:eastAsia="zh-CN"/>
              </w:rPr>
              <w:t>对比基准</w:t>
            </w:r>
            <w:r>
              <w:rPr>
                <w:rFonts w:hint="eastAsia" w:asciiTheme="minorEastAsia" w:hAnsiTheme="minorEastAsia" w:eastAsiaTheme="minorEastAsia" w:cstheme="minorEastAsia"/>
                <w:b/>
                <w:bCs/>
                <w:sz w:val="24"/>
              </w:rPr>
              <w:t>能耗下降比例（≧）</w:t>
            </w:r>
          </w:p>
        </w:tc>
        <w:tc>
          <w:tcPr>
            <w:tcW w:w="2233" w:type="dxa"/>
          </w:tcPr>
          <w:p>
            <w:pPr>
              <w:rPr>
                <w:rFonts w:asciiTheme="minorEastAsia" w:hAnsiTheme="minorEastAsia" w:eastAsiaTheme="minorEastAsia" w:cstheme="minorEastAsia"/>
                <w:b/>
                <w:bCs/>
                <w:sz w:val="24"/>
              </w:rPr>
            </w:pPr>
          </w:p>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8年服务期内每年能耗下降量（≧）</w:t>
            </w:r>
          </w:p>
        </w:tc>
        <w:tc>
          <w:tcPr>
            <w:tcW w:w="1320"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下降能耗</w:t>
            </w:r>
          </w:p>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分享比例</w:t>
            </w:r>
          </w:p>
        </w:tc>
        <w:tc>
          <w:tcPr>
            <w:tcW w:w="1468"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政府奖补资金分享比例</w:t>
            </w:r>
          </w:p>
        </w:tc>
        <w:tc>
          <w:tcPr>
            <w:tcW w:w="2162"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节能下降量达不到最低指标，现金补齐下降量差额费用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93" w:type="dxa"/>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甲  方</w:t>
            </w:r>
          </w:p>
        </w:tc>
        <w:tc>
          <w:tcPr>
            <w:tcW w:w="1938"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15</w:t>
            </w:r>
            <w:r>
              <w:rPr>
                <w:rFonts w:hint="eastAsia" w:asciiTheme="minorEastAsia" w:hAnsiTheme="minorEastAsia" w:eastAsiaTheme="minorEastAsia" w:cstheme="minorEastAsia"/>
                <w:b/>
                <w:bCs/>
                <w:sz w:val="24"/>
              </w:rPr>
              <w:t>%</w:t>
            </w:r>
          </w:p>
        </w:tc>
        <w:tc>
          <w:tcPr>
            <w:tcW w:w="2233" w:type="dxa"/>
            <w:vMerge w:val="restart"/>
            <w:vAlign w:val="center"/>
          </w:tcPr>
          <w:p>
            <w:pPr>
              <w:spacing w:line="520" w:lineRule="exact"/>
              <w:jc w:val="lef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highlight w:val="none"/>
                <w:lang w:eastAsia="zh-CN"/>
              </w:rPr>
              <w:t>资格预审通过后，招标人提供对应企业能耗附件</w:t>
            </w:r>
          </w:p>
        </w:tc>
        <w:tc>
          <w:tcPr>
            <w:tcW w:w="1320"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30%</w:t>
            </w:r>
          </w:p>
        </w:tc>
        <w:tc>
          <w:tcPr>
            <w:tcW w:w="1468"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30%</w:t>
            </w:r>
          </w:p>
        </w:tc>
        <w:tc>
          <w:tcPr>
            <w:tcW w:w="2162"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93"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乙  方</w:t>
            </w:r>
          </w:p>
        </w:tc>
        <w:tc>
          <w:tcPr>
            <w:tcW w:w="1938" w:type="dxa"/>
            <w:vMerge w:val="continue"/>
            <w:vAlign w:val="center"/>
          </w:tcPr>
          <w:p>
            <w:pPr>
              <w:spacing w:line="520" w:lineRule="exact"/>
              <w:jc w:val="center"/>
              <w:rPr>
                <w:rFonts w:asciiTheme="minorEastAsia" w:hAnsiTheme="minorEastAsia" w:eastAsiaTheme="minorEastAsia" w:cstheme="minorEastAsia"/>
                <w:b/>
                <w:bCs/>
                <w:sz w:val="24"/>
              </w:rPr>
            </w:pPr>
          </w:p>
        </w:tc>
        <w:tc>
          <w:tcPr>
            <w:tcW w:w="2233" w:type="dxa"/>
            <w:vMerge w:val="continue"/>
          </w:tcPr>
          <w:p>
            <w:pPr>
              <w:spacing w:line="520" w:lineRule="exact"/>
              <w:jc w:val="center"/>
              <w:rPr>
                <w:rFonts w:asciiTheme="minorEastAsia" w:hAnsiTheme="minorEastAsia" w:eastAsiaTheme="minorEastAsia" w:cstheme="minorEastAsia"/>
                <w:b/>
                <w:bCs/>
                <w:sz w:val="24"/>
              </w:rPr>
            </w:pPr>
          </w:p>
        </w:tc>
        <w:tc>
          <w:tcPr>
            <w:tcW w:w="1320"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70%</w:t>
            </w:r>
          </w:p>
        </w:tc>
        <w:tc>
          <w:tcPr>
            <w:tcW w:w="1468"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70%</w:t>
            </w:r>
          </w:p>
        </w:tc>
        <w:tc>
          <w:tcPr>
            <w:tcW w:w="2162" w:type="dxa"/>
            <w:vMerge w:val="continue"/>
            <w:vAlign w:val="center"/>
          </w:tcPr>
          <w:p>
            <w:pPr>
              <w:spacing w:line="520" w:lineRule="exact"/>
              <w:jc w:val="center"/>
              <w:rPr>
                <w:rFonts w:asciiTheme="minorEastAsia" w:hAnsiTheme="minorEastAsia" w:eastAsiaTheme="minorEastAsia" w:cstheme="minorEastAsia"/>
                <w:b/>
                <w:bCs/>
                <w:sz w:val="24"/>
              </w:rPr>
            </w:pPr>
          </w:p>
        </w:tc>
      </w:tr>
    </w:tbl>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b/>
          <w:bCs/>
          <w:sz w:val="24"/>
          <w:lang w:val="en-US" w:eastAsia="zh-CN"/>
        </w:rPr>
      </w:pPr>
      <w:r>
        <w:rPr>
          <w:rFonts w:hint="eastAsia" w:ascii="宋体" w:hAnsi="宋体"/>
          <w:b/>
          <w:bCs/>
          <w:sz w:val="24"/>
          <w:lang w:val="en-US" w:eastAsia="zh-CN"/>
        </w:rPr>
        <w:t>4.</w:t>
      </w:r>
      <w:r>
        <w:rPr>
          <w:rFonts w:hint="eastAsia" w:ascii="宋体" w:hAnsi="宋体"/>
          <w:b/>
          <w:sz w:val="24"/>
        </w:rPr>
        <w:t>本项目</w:t>
      </w:r>
      <w:r>
        <w:rPr>
          <w:rFonts w:hint="eastAsia" w:ascii="宋体" w:hAnsi="宋体"/>
          <w:b/>
          <w:sz w:val="24"/>
          <w:lang w:eastAsia="zh-CN"/>
        </w:rPr>
        <w:t>节能率报价包含</w:t>
      </w:r>
      <w:r>
        <w:rPr>
          <w:rFonts w:hint="eastAsia" w:ascii="宋体" w:hAnsi="宋体"/>
          <w:b/>
          <w:sz w:val="24"/>
          <w:highlight w:val="none"/>
          <w:lang w:val="en-US" w:eastAsia="zh-CN"/>
        </w:rPr>
        <w:t>3</w:t>
      </w:r>
      <w:r>
        <w:rPr>
          <w:rFonts w:hint="eastAsia" w:ascii="宋体" w:hAnsi="宋体"/>
          <w:b/>
          <w:sz w:val="24"/>
          <w:lang w:val="en-US" w:eastAsia="zh-CN"/>
        </w:rPr>
        <w:t>家成员企业</w:t>
      </w:r>
      <w:r>
        <w:rPr>
          <w:rFonts w:ascii="宋体" w:hAnsi="宋体"/>
          <w:b/>
          <w:sz w:val="24"/>
        </w:rPr>
        <w:t>，投标人可根据自身</w:t>
      </w:r>
      <w:r>
        <w:rPr>
          <w:rFonts w:hint="eastAsia" w:ascii="宋体" w:hAnsi="宋体"/>
          <w:b/>
          <w:sz w:val="24"/>
          <w:lang w:eastAsia="zh-CN"/>
        </w:rPr>
        <w:t>情况</w:t>
      </w:r>
      <w:r>
        <w:rPr>
          <w:rFonts w:ascii="宋体" w:hAnsi="宋体"/>
          <w:b/>
          <w:sz w:val="24"/>
        </w:rPr>
        <w:t>选择单投或多投，</w:t>
      </w:r>
      <w:r>
        <w:rPr>
          <w:rFonts w:hint="eastAsia" w:ascii="宋体" w:hAnsi="宋体"/>
          <w:b/>
          <w:sz w:val="24"/>
          <w:lang w:eastAsia="zh-CN"/>
        </w:rPr>
        <w:t>可单投单中，也</w:t>
      </w:r>
      <w:r>
        <w:rPr>
          <w:rFonts w:ascii="宋体" w:hAnsi="宋体"/>
          <w:b/>
          <w:sz w:val="24"/>
        </w:rPr>
        <w:t>可多投多中</w:t>
      </w:r>
      <w:r>
        <w:rPr>
          <w:rFonts w:hint="eastAsia" w:ascii="宋体" w:hAnsi="宋体"/>
          <w:b/>
          <w:sz w:val="24"/>
          <w:lang w:eastAsia="zh-CN"/>
        </w:rPr>
        <w:t>。</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b/>
          <w:bCs/>
          <w:sz w:val="24"/>
        </w:rPr>
      </w:pPr>
      <w:r>
        <w:rPr>
          <w:rFonts w:hint="eastAsia" w:ascii="宋体" w:hAnsi="宋体"/>
          <w:b/>
          <w:bCs/>
          <w:sz w:val="24"/>
        </w:rPr>
        <w:t>5.有下列情况之一的投标文件为废标：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hint="eastAsia" w:ascii="宋体" w:hAnsi="宋体"/>
          <w:sz w:val="24"/>
        </w:rPr>
        <w:t>⑴不响应节能分享方案或项目节能率不符合招标文件要求的；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sz w:val="24"/>
        </w:rPr>
        <w:t>⑵未加盖投标人公章的；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hAnsi="宋体"/>
          <w:sz w:val="24"/>
        </w:rPr>
      </w:pPr>
      <w:r>
        <w:rPr>
          <w:rFonts w:hint="eastAsia" w:ascii="宋体" w:hAnsi="宋体"/>
          <w:sz w:val="24"/>
        </w:rPr>
        <w:t>⑶投标文件无法定代表人或委托代理人签字、盖章的；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sz w:val="24"/>
        </w:rPr>
        <w:t>⑷投标文件字迹潦草、模糊致使无法辨认的；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⑸</w:t>
      </w:r>
      <w:r>
        <w:rPr>
          <w:rFonts w:hint="eastAsia" w:ascii="宋体" w:hAnsi="宋体"/>
          <w:sz w:val="24"/>
        </w:rPr>
        <w:t>投标单位在一份投标文件中，报有两个或多个不同报价，且未书面声明以哪个报价为准的；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⑹</w:t>
      </w:r>
      <w:r>
        <w:rPr>
          <w:rFonts w:hint="eastAsia" w:ascii="宋体" w:hAnsi="宋体"/>
          <w:sz w:val="24"/>
        </w:rPr>
        <w:t>投标文件存在缺项、漏项的</w:t>
      </w:r>
      <w:r>
        <w:rPr>
          <w:rFonts w:hint="eastAsia" w:ascii="宋体" w:hAnsi="宋体"/>
          <w:sz w:val="24"/>
          <w:lang w:eastAsia="zh-CN"/>
        </w:rPr>
        <w:t>，如</w:t>
      </w:r>
      <w:r>
        <w:rPr>
          <w:rFonts w:hint="eastAsia" w:ascii="宋体" w:hAnsi="宋体"/>
          <w:b/>
          <w:bCs/>
          <w:sz w:val="24"/>
          <w:lang w:eastAsia="zh-CN"/>
        </w:rPr>
        <w:t>未按招标文件要求提供</w:t>
      </w:r>
      <w:r>
        <w:rPr>
          <w:rFonts w:hint="eastAsia" w:ascii="宋体" w:hAnsi="宋体"/>
          <w:b/>
          <w:bCs/>
          <w:sz w:val="24"/>
        </w:rPr>
        <w:t>本项目的改造方案</w:t>
      </w:r>
      <w:r>
        <w:rPr>
          <w:rFonts w:hint="eastAsia" w:ascii="宋体" w:hAnsi="宋体"/>
          <w:b/>
          <w:bCs/>
          <w:sz w:val="24"/>
          <w:lang w:eastAsia="zh-CN"/>
        </w:rPr>
        <w:t>等</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⑺</w:t>
      </w:r>
      <w:r>
        <w:rPr>
          <w:rFonts w:hint="eastAsia" w:ascii="宋体" w:hAnsi="宋体"/>
          <w:sz w:val="24"/>
        </w:rPr>
        <w:t>评委委员会评议认为构成废标的其他情况；</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⑻</w:t>
      </w:r>
      <w:r>
        <w:rPr>
          <w:rFonts w:hint="eastAsia" w:ascii="宋体" w:hAnsi="宋体"/>
          <w:sz w:val="24"/>
        </w:rPr>
        <w:t>项目负责人未参加现场答辩的；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b/>
          <w:sz w:val="24"/>
        </w:rPr>
      </w:pPr>
      <w:r>
        <w:rPr>
          <w:rFonts w:hint="eastAsia" w:ascii="宋体" w:hAnsi="宋体" w:cs="宋体"/>
          <w:sz w:val="24"/>
        </w:rPr>
        <w:t>⑼</w:t>
      </w:r>
      <w:r>
        <w:rPr>
          <w:rFonts w:hint="eastAsia" w:ascii="宋体" w:hAnsi="宋体"/>
          <w:bCs/>
          <w:sz w:val="24"/>
        </w:rPr>
        <w:t>其他未实质性响应招标文件要求的。</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b/>
          <w:bCs/>
          <w:sz w:val="24"/>
        </w:rPr>
      </w:pPr>
      <w:r>
        <w:rPr>
          <w:rFonts w:hint="eastAsia" w:ascii="宋体" w:hAnsi="宋体"/>
          <w:sz w:val="24"/>
        </w:rPr>
        <w:t>6．</w:t>
      </w:r>
      <w:r>
        <w:rPr>
          <w:rFonts w:hint="eastAsia" w:ascii="宋体" w:hAnsi="宋体" w:cs="宋体"/>
          <w:b/>
          <w:bCs/>
          <w:sz w:val="24"/>
        </w:rPr>
        <w:t>二次招标</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6</w:t>
      </w:r>
      <w:r>
        <w:rPr>
          <w:rFonts w:ascii="宋体" w:hAnsi="宋体" w:cs="宋体"/>
          <w:sz w:val="24"/>
        </w:rPr>
        <w:t>.1</w:t>
      </w:r>
      <w:r>
        <w:rPr>
          <w:rFonts w:hint="eastAsia" w:ascii="宋体" w:hAnsi="宋体" w:cs="宋体"/>
          <w:sz w:val="24"/>
        </w:rPr>
        <w:t>如项目流标，招标人根据情况可能发布二次公告，进行二次招标。</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b/>
          <w:bCs/>
          <w:sz w:val="24"/>
        </w:rPr>
      </w:pPr>
      <w:r>
        <w:rPr>
          <w:rFonts w:hint="eastAsia" w:ascii="宋体" w:hAnsi="宋体" w:cs="宋体"/>
          <w:sz w:val="24"/>
        </w:rPr>
        <w:t>6</w:t>
      </w:r>
      <w:r>
        <w:rPr>
          <w:rFonts w:ascii="宋体" w:hAnsi="宋体" w:cs="宋体"/>
          <w:sz w:val="24"/>
        </w:rPr>
        <w:t>.2</w:t>
      </w:r>
      <w:r>
        <w:rPr>
          <w:rFonts w:hint="eastAsia" w:ascii="宋体" w:hAnsi="宋体" w:cs="宋体"/>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b/>
          <w:bCs/>
          <w:sz w:val="24"/>
        </w:rPr>
      </w:pPr>
      <w:r>
        <w:rPr>
          <w:rFonts w:hint="eastAsia" w:ascii="宋体" w:hAnsi="宋体" w:cs="宋体"/>
          <w:sz w:val="24"/>
        </w:rPr>
        <w:t>6</w:t>
      </w:r>
      <w:r>
        <w:rPr>
          <w:rFonts w:ascii="宋体" w:hAnsi="宋体" w:cs="宋体"/>
          <w:sz w:val="24"/>
        </w:rPr>
        <w:t>.3</w:t>
      </w:r>
      <w:r>
        <w:rPr>
          <w:rFonts w:hint="eastAsia" w:ascii="宋体" w:hAnsi="宋体" w:cs="宋体"/>
          <w:sz w:val="24"/>
        </w:rPr>
        <w:t>前次招标流标后，投标人如继续参加二次投标，投标保证金无需重复缴纳。如不参加二次投标的的投标人须书面告知招标人，招标人在规定时间内予以退还投标保证金。</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b/>
          <w:bCs/>
          <w:kern w:val="0"/>
          <w:sz w:val="24"/>
        </w:rPr>
      </w:pPr>
      <w:r>
        <w:rPr>
          <w:rFonts w:hint="eastAsia" w:ascii="宋体" w:hAnsi="宋体" w:cs="宋体"/>
          <w:b/>
          <w:bCs/>
          <w:kern w:val="0"/>
          <w:sz w:val="24"/>
        </w:rPr>
        <w:t>6.4招标人依据公开、公平、公正原则进行评定标，投标人若认为本次招标过程中存在有违“三公”原则的，可向监标人书面投诉（只接受书面投诉）；联系地址：合肥市黄山路</w:t>
      </w:r>
      <w:r>
        <w:rPr>
          <w:rFonts w:ascii="宋体" w:hAnsi="宋体" w:cs="宋体"/>
          <w:b/>
          <w:bCs/>
          <w:kern w:val="0"/>
          <w:sz w:val="24"/>
        </w:rPr>
        <w:t>596</w:t>
      </w:r>
      <w:r>
        <w:rPr>
          <w:rFonts w:hint="eastAsia" w:ascii="宋体" w:hAnsi="宋体" w:cs="宋体"/>
          <w:b/>
          <w:bCs/>
          <w:kern w:val="0"/>
          <w:sz w:val="24"/>
        </w:rPr>
        <w:t>号</w:t>
      </w:r>
      <w:r>
        <w:rPr>
          <w:rFonts w:ascii="宋体" w:hAnsi="宋体" w:cs="宋体"/>
          <w:b/>
          <w:bCs/>
          <w:kern w:val="0"/>
          <w:sz w:val="24"/>
        </w:rPr>
        <w:t>A</w:t>
      </w:r>
      <w:r>
        <w:rPr>
          <w:rFonts w:hint="eastAsia" w:ascii="宋体" w:hAnsi="宋体" w:cs="宋体"/>
          <w:b/>
          <w:bCs/>
          <w:kern w:val="0"/>
          <w:sz w:val="24"/>
        </w:rPr>
        <w:t>楼</w:t>
      </w:r>
      <w:r>
        <w:rPr>
          <w:rFonts w:ascii="宋体" w:hAnsi="宋体" w:cs="宋体"/>
          <w:b/>
          <w:bCs/>
          <w:kern w:val="0"/>
          <w:sz w:val="24"/>
        </w:rPr>
        <w:t>1503</w:t>
      </w:r>
      <w:r>
        <w:rPr>
          <w:rFonts w:hint="eastAsia" w:ascii="宋体" w:hAnsi="宋体" w:cs="宋体"/>
          <w:b/>
          <w:bCs/>
          <w:kern w:val="0"/>
          <w:sz w:val="24"/>
        </w:rPr>
        <w:t>室百大集团纪检监察室。</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b/>
          <w:sz w:val="24"/>
        </w:rPr>
      </w:pPr>
      <w:r>
        <w:rPr>
          <w:rFonts w:hint="eastAsia" w:ascii="宋体" w:hAnsi="宋体"/>
          <w:b/>
          <w:sz w:val="24"/>
        </w:rPr>
        <w:t>四、答疑及招标文件的澄清与修改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1.</w:t>
      </w:r>
      <w:r>
        <w:rPr>
          <w:rFonts w:hint="eastAsia" w:ascii="宋体" w:hAnsi="宋体"/>
          <w:sz w:val="24"/>
        </w:rPr>
        <w:t>投标人如果对招标文件有相关疑问，可以于投标人须知前附表列明的答疑接受时间前，按照第一章联系人及联系方式向我公司提出（疑问文件以文档形式提供，如</w:t>
      </w:r>
      <w:r>
        <w:rPr>
          <w:rFonts w:ascii="宋体" w:hAnsi="宋体"/>
          <w:sz w:val="24"/>
        </w:rPr>
        <w:t>WORD</w:t>
      </w:r>
      <w:r>
        <w:rPr>
          <w:rFonts w:hint="eastAsia" w:ascii="宋体" w:hAnsi="宋体"/>
          <w:sz w:val="24"/>
        </w:rPr>
        <w:t>文档等）。</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如招标文件存在不一致时，优先顺序如下：（</w:t>
      </w:r>
      <w:r>
        <w:rPr>
          <w:rFonts w:ascii="宋体" w:hAnsi="宋体"/>
          <w:sz w:val="24"/>
        </w:rPr>
        <w:t>1</w:t>
      </w:r>
      <w:r>
        <w:rPr>
          <w:rFonts w:hint="eastAsia" w:ascii="宋体" w:hAnsi="宋体"/>
          <w:sz w:val="24"/>
        </w:rPr>
        <w:t>）招标公告；（</w:t>
      </w:r>
      <w:r>
        <w:rPr>
          <w:rFonts w:ascii="宋体" w:hAnsi="宋体"/>
          <w:sz w:val="24"/>
        </w:rPr>
        <w:t>2</w:t>
      </w:r>
      <w:r>
        <w:rPr>
          <w:rFonts w:hint="eastAsia" w:ascii="宋体" w:hAnsi="宋体"/>
          <w:sz w:val="24"/>
        </w:rPr>
        <w:t>）投标人须知前附表；（</w:t>
      </w:r>
      <w:r>
        <w:rPr>
          <w:rFonts w:ascii="宋体" w:hAnsi="宋体"/>
          <w:sz w:val="24"/>
        </w:rPr>
        <w:t>3</w:t>
      </w:r>
      <w:r>
        <w:rPr>
          <w:rFonts w:hint="eastAsia" w:ascii="宋体" w:hAnsi="宋体"/>
          <w:sz w:val="24"/>
        </w:rPr>
        <w:t>）招标需求；（</w:t>
      </w:r>
      <w:r>
        <w:rPr>
          <w:rFonts w:ascii="宋体" w:hAnsi="宋体"/>
          <w:sz w:val="24"/>
        </w:rPr>
        <w:t>4</w:t>
      </w:r>
      <w:r>
        <w:rPr>
          <w:rFonts w:hint="eastAsia" w:ascii="宋体" w:hAnsi="宋体"/>
          <w:sz w:val="24"/>
        </w:rPr>
        <w:t>）评标办法；（</w:t>
      </w:r>
      <w:r>
        <w:rPr>
          <w:rFonts w:ascii="宋体" w:hAnsi="宋体"/>
          <w:sz w:val="24"/>
        </w:rPr>
        <w:t>5</w:t>
      </w:r>
      <w:r>
        <w:rPr>
          <w:rFonts w:hint="eastAsia" w:ascii="宋体" w:hAnsi="宋体"/>
          <w:sz w:val="24"/>
        </w:rPr>
        <w:t>）其他。</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3.</w:t>
      </w:r>
      <w:r>
        <w:rPr>
          <w:rFonts w:hint="eastAsia" w:ascii="宋体" w:hAnsi="宋体"/>
          <w:sz w:val="24"/>
        </w:rPr>
        <w:t>我公司对招标文件进行的答疑、澄清、变更或补充，将在网站上及时发布，该公告内容为招标文件的组成部分，对投标人具有同样约束效力。当招标文件、招标文件的答疑、澄清、变更或补充等在同一内容的表述上不一致时，以最后发出的书面文件为准。投标人应主动上网查询。我公司不承担投标人未及时关注相关信息引发的相关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4.</w:t>
      </w:r>
      <w:r>
        <w:rPr>
          <w:rFonts w:hint="eastAsia" w:ascii="宋体" w:hAnsi="宋体"/>
          <w:sz w:val="24"/>
        </w:rPr>
        <w:t>在开标前，我公司可以视招标具体情况，延长开标时间，并在招标文件要求提交投标文件的截止时间三日前，在网站上发布变更公告。在上述情况下，我公司和投标人在投标截止期方面的全部权力、责任和义务，将适用于延长后新的投标截止期。</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b/>
          <w:sz w:val="24"/>
        </w:rPr>
      </w:pPr>
      <w:r>
        <w:rPr>
          <w:rFonts w:ascii="宋体" w:hAnsi="宋体"/>
          <w:sz w:val="24"/>
        </w:rPr>
        <w:t>5.</w:t>
      </w:r>
      <w:r>
        <w:rPr>
          <w:rFonts w:hint="eastAsia" w:ascii="宋体" w:hAnsi="宋体"/>
          <w:sz w:val="24"/>
        </w:rPr>
        <w:t>为有助于投标文件的审查、评估和比较，招标人有权向投标人质疑并请投标人澄清其投标内容。</w:t>
      </w:r>
      <w:r>
        <w:rPr>
          <w:rFonts w:hint="eastAsia" w:ascii="宋体" w:hAnsi="宋体"/>
          <w:b w:val="0"/>
          <w:bCs/>
          <w:sz w:val="24"/>
        </w:rPr>
        <w:t>投标人应当按照招标人通知的时间、地点，指派专人进行答疑和澄清。</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6.</w:t>
      </w:r>
      <w:r>
        <w:rPr>
          <w:rFonts w:hint="eastAsia" w:ascii="宋体" w:hAnsi="宋体"/>
          <w:sz w:val="24"/>
        </w:rPr>
        <w:t>重要的澄清应是书面的，但不得对投标内容进行实质性修改。</w:t>
      </w:r>
    </w:p>
    <w:p>
      <w:pPr>
        <w:keepNext w:val="0"/>
        <w:keepLines w:val="0"/>
        <w:pageBreakBefore w:val="0"/>
        <w:kinsoku/>
        <w:wordWrap/>
        <w:overflowPunct/>
        <w:topLinePunct w:val="0"/>
        <w:autoSpaceDE/>
        <w:autoSpaceDN/>
        <w:bidi w:val="0"/>
        <w:adjustRightInd/>
        <w:snapToGrid/>
        <w:spacing w:line="500" w:lineRule="exact"/>
        <w:ind w:firstLine="236" w:firstLineChars="98"/>
        <w:textAlignment w:val="auto"/>
        <w:rPr>
          <w:rFonts w:ascii="宋体"/>
          <w:b/>
          <w:sz w:val="24"/>
        </w:rPr>
      </w:pPr>
      <w:r>
        <w:rPr>
          <w:rFonts w:hint="eastAsia" w:ascii="宋体" w:hAnsi="宋体"/>
          <w:b/>
          <w:sz w:val="24"/>
        </w:rPr>
        <w:t>五、服务合同的确定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1.</w:t>
      </w:r>
      <w:r>
        <w:rPr>
          <w:rFonts w:hint="eastAsia" w:ascii="宋体" w:hAnsi="宋体"/>
          <w:sz w:val="24"/>
        </w:rPr>
        <w:t>确定中标人及相关事宜后，甲方（招标人）、乙方（中标人）签订服务合同；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招标文件、中标人的投标文件（含澄清文件）均为签订合同不可分割的一部分；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3.</w:t>
      </w:r>
      <w:r>
        <w:rPr>
          <w:rFonts w:hint="eastAsia" w:ascii="宋体" w:hAnsi="宋体"/>
          <w:sz w:val="24"/>
        </w:rPr>
        <w:t>无特殊原因乙方拒不履行合同，招标方可单方面取消其中标资格，并追究违约责任，且我公司将拒不接洽随后的同类型招标。</w:t>
      </w:r>
    </w:p>
    <w:p>
      <w:pPr>
        <w:keepNext w:val="0"/>
        <w:keepLines w:val="0"/>
        <w:pageBreakBefore w:val="0"/>
        <w:kinsoku/>
        <w:wordWrap/>
        <w:overflowPunct/>
        <w:topLinePunct w:val="0"/>
        <w:autoSpaceDE/>
        <w:autoSpaceDN/>
        <w:bidi w:val="0"/>
        <w:adjustRightInd/>
        <w:snapToGrid/>
        <w:spacing w:line="500" w:lineRule="exact"/>
        <w:ind w:firstLine="236" w:firstLineChars="98"/>
        <w:textAlignment w:val="auto"/>
        <w:rPr>
          <w:rFonts w:ascii="宋体"/>
          <w:b/>
          <w:sz w:val="24"/>
        </w:rPr>
      </w:pPr>
      <w:r>
        <w:rPr>
          <w:rFonts w:hint="eastAsia" w:ascii="宋体" w:hAnsi="宋体"/>
          <w:b/>
          <w:sz w:val="24"/>
        </w:rPr>
        <w:t>六、履约保证金</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dstrike/>
          <w:sz w:val="24"/>
        </w:rPr>
      </w:pPr>
      <w:r>
        <w:rPr>
          <w:rFonts w:ascii="宋体" w:hAnsi="宋体"/>
          <w:sz w:val="24"/>
        </w:rPr>
        <w:t>1.</w:t>
      </w:r>
      <w:r>
        <w:rPr>
          <w:rFonts w:hint="eastAsia" w:ascii="宋体" w:hAnsi="宋体"/>
          <w:sz w:val="24"/>
        </w:rPr>
        <w:t>签订合同前，投标人应提交履约保证金。履约保证金金额、收受方式及收受人见投标人须知前附表规定。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投标人须知前附表约定收取定额履约保证金或免收履约保证金的，从其规定。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ascii="宋体" w:hAnsi="宋体"/>
          <w:sz w:val="24"/>
        </w:rPr>
        <w:t>3.</w:t>
      </w:r>
      <w:r>
        <w:rPr>
          <w:rFonts w:hint="eastAsia" w:ascii="宋体" w:hAnsi="宋体"/>
          <w:sz w:val="24"/>
        </w:rPr>
        <w:t>如果中标人未按规定交纳履约保证金，招标人有权取消其中标资格，并没收其投标保证金。</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sz w:val="24"/>
          <w:lang w:eastAsia="zh-CN"/>
        </w:rPr>
      </w:pPr>
      <w:r>
        <w:rPr>
          <w:rFonts w:hint="eastAsia" w:ascii="宋体" w:hAnsi="宋体"/>
          <w:sz w:val="24"/>
        </w:rPr>
        <w:t>4.扣除履约保证金的情形</w:t>
      </w:r>
      <w:r>
        <w:rPr>
          <w:rFonts w:hint="eastAsia" w:ascii="宋体" w:hAnsi="宋体"/>
          <w:sz w:val="24"/>
          <w:lang w:eastAsia="zh-CN"/>
        </w:rPr>
        <w:t>详见合同。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5.如中标人因违约行为导致履约保证金被扣除，若合同继续履行，则中标人应在履约保证金扣除后</w:t>
      </w:r>
      <w:r>
        <w:rPr>
          <w:rFonts w:hint="eastAsia" w:ascii="宋体" w:hAnsi="宋体"/>
          <w:sz w:val="24"/>
          <w:lang w:val="en-US" w:eastAsia="zh-CN"/>
        </w:rPr>
        <w:t>5</w:t>
      </w:r>
      <w:r>
        <w:rPr>
          <w:rFonts w:hint="eastAsia" w:ascii="宋体" w:hAnsi="宋体"/>
          <w:sz w:val="24"/>
        </w:rPr>
        <w:t>日内补足履约保证金。</w:t>
      </w:r>
    </w:p>
    <w:p>
      <w:pPr>
        <w:spacing w:line="520" w:lineRule="exact"/>
        <w:ind w:firstLine="480" w:firstLineChars="200"/>
        <w:rPr>
          <w:rFonts w:hint="eastAsia" w:ascii="宋体" w:hAnsi="宋体"/>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pStyle w:val="2"/>
        <w:numPr>
          <w:ilvl w:val="0"/>
          <w:numId w:val="0"/>
        </w:numPr>
        <w:rPr>
          <w:rFonts w:asciiTheme="minorEastAsia" w:hAnsiTheme="minorEastAsia" w:eastAsiaTheme="minorEastAsia" w:cstheme="minorEastAsia"/>
          <w:sz w:val="28"/>
          <w:szCs w:val="28"/>
        </w:rPr>
      </w:pPr>
      <w:bookmarkStart w:id="7" w:name="_Toc13732419"/>
      <w:bookmarkStart w:id="8" w:name="_Toc491005867"/>
      <w:r>
        <w:rPr>
          <w:rFonts w:hint="eastAsia" w:asciiTheme="minorEastAsia" w:hAnsiTheme="minorEastAsia" w:eastAsiaTheme="minorEastAsia" w:cstheme="minorEastAsia"/>
          <w:sz w:val="28"/>
          <w:szCs w:val="28"/>
        </w:rPr>
        <w:t>第四章</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招标需求</w:t>
      </w:r>
      <w:bookmarkEnd w:id="7"/>
      <w:bookmarkEnd w:id="8"/>
    </w:p>
    <w:p>
      <w:pPr>
        <w:spacing w:line="520" w:lineRule="exact"/>
        <w:rPr>
          <w:rFonts w:asciiTheme="minorEastAsia" w:hAnsiTheme="minorEastAsia" w:eastAsiaTheme="minorEastAsia" w:cstheme="minorEastAsia"/>
          <w:sz w:val="24"/>
        </w:rPr>
      </w:pPr>
      <w:bookmarkStart w:id="9" w:name="_Toc486433794"/>
      <w:bookmarkStart w:id="10" w:name="_Toc486253611"/>
      <w:bookmarkStart w:id="11" w:name="_Toc486254518"/>
      <w:bookmarkStart w:id="12" w:name="_Toc484762213"/>
      <w:r>
        <w:rPr>
          <w:rFonts w:hint="eastAsia" w:asciiTheme="minorEastAsia" w:hAnsiTheme="minorEastAsia" w:eastAsiaTheme="minorEastAsia" w:cstheme="minorEastAsia"/>
          <w:sz w:val="24"/>
        </w:rPr>
        <w:t>前注：</w:t>
      </w:r>
    </w:p>
    <w:p>
      <w:pPr>
        <w:spacing w:line="520" w:lineRule="exact"/>
        <w:ind w:firstLine="480" w:firstLineChars="200"/>
        <w:rPr>
          <w:rFonts w:asciiTheme="minorEastAsia" w:hAnsiTheme="minorEastAsia" w:eastAsiaTheme="minorEastAsia" w:cstheme="minorEastAsia"/>
          <w:b/>
          <w:sz w:val="24"/>
          <w:u w:val="single"/>
        </w:rPr>
      </w:pPr>
      <w:bookmarkStart w:id="13" w:name="_Toc13732420"/>
      <w:r>
        <w:rPr>
          <w:rFonts w:hint="eastAsia" w:asciiTheme="minorEastAsia" w:hAnsiTheme="minorEastAsia" w:eastAsiaTheme="minorEastAsia" w:cstheme="minorEastAsia"/>
          <w:sz w:val="24"/>
        </w:rPr>
        <w:t>1.本需求中提出的技术方案仅为参考，如无明确限制，投标人可以进行优化，提供满足用户实际需要的更优（或者性能实质上不低于的）技术方案或者设备配置，且此方案或配置须经评标委员会审核认可；</w:t>
      </w: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应当在投标文件中列出完成本项目并通过验收所需的所有各项服务等明细表及全部费用。中标人必须确保整体通过用户方及有关主管部门验收,所发生的验收费用由中标人承担；投标人应自行踏勘施工建设现场，如投标人因未及时踏勘现场而导致的报价缺项漏项废标、或中标后无法完工，投标人自行承担一切后果；</w:t>
      </w:r>
    </w:p>
    <w:p>
      <w:pPr>
        <w:pStyle w:val="4"/>
        <w:spacing w:line="520" w:lineRule="exact"/>
        <w:ind w:firstLine="241"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一、项目概述</w:t>
      </w:r>
      <w:bookmarkEnd w:id="9"/>
      <w:bookmarkEnd w:id="10"/>
      <w:bookmarkEnd w:id="11"/>
      <w:bookmarkEnd w:id="12"/>
      <w:bookmarkEnd w:id="13"/>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w:t>
      </w:r>
      <w:r>
        <w:rPr>
          <w:rFonts w:hint="eastAsia" w:asciiTheme="minorEastAsia" w:hAnsiTheme="minorEastAsia" w:eastAsiaTheme="minorEastAsia" w:cstheme="minorEastAsia"/>
          <w:sz w:val="24"/>
          <w:lang w:eastAsia="zh-CN"/>
        </w:rPr>
        <w:t>招标的合肥百大集团成员企业合同能源管理服务涉及</w:t>
      </w:r>
      <w:r>
        <w:rPr>
          <w:rFonts w:hint="eastAsia" w:asciiTheme="minorEastAsia" w:hAnsiTheme="minorEastAsia" w:eastAsiaTheme="minorEastAsia" w:cstheme="minorEastAsia"/>
          <w:sz w:val="24"/>
          <w:lang w:val="en-US" w:eastAsia="zh-CN"/>
        </w:rPr>
        <w:t>3家企业</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铜陵百大、黄山百大、广德百大。</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其中：</w:t>
      </w:r>
    </w:p>
    <w:p>
      <w:pPr>
        <w:widowControl/>
        <w:spacing w:line="520" w:lineRule="exact"/>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铜陵百大项目，建筑共8层，地下1层，空调建筑面积3.2万㎡，项目中央空调系统为2008年改造建设，共设置2台离心式冷水机组夏季供冷。输配系统方面大楼冷冻水与冷却水系统均采用2用1备设置。大楼共设有1组冷却塔，搭配冷水机组使用。中央空调主机设备运行大致时段：大楼供冷时间约为4月底至10月初。经营时间：周一到周四9：00-21:00，周五到周日9：00-21:30，重大营销活动根据营业现场情况适当调整时间。</w:t>
      </w:r>
    </w:p>
    <w:p>
      <w:pPr>
        <w:widowControl/>
        <w:spacing w:line="520" w:lineRule="exact"/>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黄山百大项目，建筑地上7层，地下1层，空调建筑面积1.75万余㎡，项目中央空调系统为2011年改造建设，共设置2台螺杆式冷水机组夏季供冷，冬季采用1台热水锅炉进行供暖。输配系统方面大楼冷冻水与冷却水系统均采用2用2备设置，热水系统采用1用1备设置且只向1-2层供暖。商厦共设有2组冷却塔，搭配冷水机组使用。中央空调主机设备运行大致时段：商厦供冷时间约为4月初至11月中旬，供热时间约为12月初至3月初。经营时间：周一--周四：9：00-21:00    周五--周日：9:00-21:30（重大活动、节假日时间顺延）。</w:t>
      </w:r>
    </w:p>
    <w:p>
      <w:pPr>
        <w:widowControl/>
        <w:spacing w:line="520" w:lineRule="exact"/>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en-US" w:eastAsia="zh-CN"/>
        </w:rPr>
        <w:t>3.广德百大项目，建筑共5层，地下1层，空调建筑面积9802.5㎡，项目中央空调系统为2016年建设，共设置2台离心式冷水机组夏季采用1用1备供冷，冬季采用2台热水锅炉进行1用1备供暖。输配系统方面大楼冷冻水与冷却水系统均采用2用1备设置，热水系统采用1用1备设置且未设置中间换热器。大楼共设有4组冷却塔，搭配冷水机组使用。中央空调主机设备运行大致时段：大楼供冷时间约为5月底至10月初，供热时间约为11月底至3月初。经营时间：9：00-21:00（重大活动、节假日时间顺延）。</w:t>
      </w:r>
    </w:p>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二</w:t>
      </w:r>
      <w:r>
        <w:rPr>
          <w:rFonts w:hint="eastAsia" w:asciiTheme="minorEastAsia" w:hAnsiTheme="minorEastAsia" w:eastAsiaTheme="minorEastAsia" w:cstheme="minorEastAsia"/>
          <w:b/>
          <w:bCs/>
          <w:sz w:val="24"/>
        </w:rPr>
        <w:t>、项目节能目标及相关说明：</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（一）对中央空调系统进行节能改造。包括能耗监测系统搭建、中央空调自控系统、输配系统改造、系统调试；系统的改造费用及节能改造设计咨询费均由投标人承担。</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（二）中央空调系统运行环境目标：不得低于现有环境舒适度。夏季环境温度要求室内温度≤26度，梅雨季节室内闷热天也应当开启，冬季环境温度要求一楼商场≥18℃。</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投标单位应考虑到所有技术问题、材料规格、加工制作、施工安装、现场配合协调、竣工验收和保修因素。合同期满所有投入设备、系统无偿交由业主方，并保证无偿交付时系统正常使用。中标人新增改造的设备维保，在合同期内由中标人自行承担。</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（四）供冷面积调整、功能（用电功率）如有变化：双方协商或选择第三方公司进行计算能耗变化，在结算时予以增减。</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（五）营业时间调整变化：因营业时间调整造成</w:t>
      </w:r>
      <w:r>
        <w:rPr>
          <w:rFonts w:hint="eastAsia" w:asciiTheme="minorEastAsia" w:hAnsiTheme="minorEastAsia" w:eastAsiaTheme="minorEastAsia" w:cstheme="minorEastAsia"/>
          <w:kern w:val="0"/>
          <w:sz w:val="24"/>
        </w:rPr>
        <w:t>各用电设备运行时间与改造前不一致的，则按照所影响的设备总功率和调整的时间计算出用电量变化值，在结算时予以</w:t>
      </w:r>
      <w:r>
        <w:rPr>
          <w:rFonts w:hint="eastAsia" w:asciiTheme="minorEastAsia" w:hAnsiTheme="minorEastAsia" w:eastAsiaTheme="minorEastAsia" w:cstheme="minorEastAsia"/>
          <w:sz w:val="24"/>
        </w:rPr>
        <w:t>增减</w:t>
      </w:r>
      <w:r>
        <w:rPr>
          <w:rFonts w:hint="eastAsia" w:asciiTheme="minorEastAsia" w:hAnsiTheme="minorEastAsia" w:eastAsiaTheme="minorEastAsia" w:cstheme="minorEastAsia"/>
          <w:kern w:val="0"/>
          <w:sz w:val="24"/>
        </w:rPr>
        <w:t>。</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（六）专厅照明及</w:t>
      </w:r>
      <w:r>
        <w:rPr>
          <w:rFonts w:hint="eastAsia" w:asciiTheme="minorEastAsia" w:hAnsiTheme="minorEastAsia" w:eastAsiaTheme="minorEastAsia" w:cstheme="minorEastAsia"/>
          <w:sz w:val="24"/>
          <w:lang w:eastAsia="zh-CN"/>
        </w:rPr>
        <w:t>涉及的租赁商铺</w:t>
      </w:r>
      <w:r>
        <w:rPr>
          <w:rFonts w:hint="eastAsia" w:asciiTheme="minorEastAsia" w:hAnsiTheme="minorEastAsia" w:eastAsiaTheme="minorEastAsia" w:cstheme="minorEastAsia"/>
          <w:sz w:val="24"/>
        </w:rPr>
        <w:t>不在改造范围内，专厅照明能耗在基础能耗考核下降范围。改造后的灯光亮度在整个合同期都不低于改造前亮度（改造前后在相同点位采用国标照度仪测试照度值留存）。</w:t>
      </w:r>
    </w:p>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三</w:t>
      </w:r>
      <w:r>
        <w:rPr>
          <w:rFonts w:hint="eastAsia" w:asciiTheme="minorEastAsia" w:hAnsiTheme="minorEastAsia" w:eastAsiaTheme="minorEastAsia" w:cstheme="minorEastAsia"/>
          <w:b/>
          <w:bCs/>
          <w:sz w:val="24"/>
        </w:rPr>
        <w:t>、中标人必须实施以下改造，并可根据专业知识和现场情况进行其他改造，改造方案、图纸需报招标方审核批准后方可实施：</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1.加装中央空调智能优化控制系统（节能BA系统），提高系统用电效率；</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2.空调水泵增加智能逻辑控制，依据实时负荷动态变流量运行；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3.空调风柜增加变风量控制系统，实现自动启停和精确控温；</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4.空调冷却塔增加智能变频系统，实现自动启停和变风量运行；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5.优化或增加新风换气系统并实现按气温变化和室内空气质量自动运行；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6.采用高光效、高显指、长寿命LED灯具，替换商场公共区域原有灯具。</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7.增加智慧照明控制，实现自动灯光控制；</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8.配套超市内的灯具全部替换成高光效、高显指、长寿命LED灯具；</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9.配套超市内的冷柜和冷库加装精密控制系统实现节能运行；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10.配套超市内的冷柜加装保温Low-e镀膜玻璃门（盖）；</w:t>
      </w:r>
    </w:p>
    <w:p>
      <w:pPr>
        <w:spacing w:line="520" w:lineRule="exact"/>
        <w:ind w:left="479" w:leftChars="22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11.建立整体能源监控管理平台，远程测量各用电设备的用电情况以及监测设备运行状态。</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12.推荐品牌:</w:t>
      </w:r>
    </w:p>
    <w:tbl>
      <w:tblPr>
        <w:tblStyle w:val="28"/>
        <w:tblW w:w="8730"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19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设备名称</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元器件</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西门子、施耐德、ABB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能耗计量装置</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天康、E+T、华斯源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能耗传输装置</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卡林、艾克、华斯源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变频器</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西门子、ABB、丹佛斯</w:t>
            </w:r>
          </w:p>
        </w:tc>
      </w:tr>
    </w:tbl>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四</w:t>
      </w:r>
      <w:r>
        <w:rPr>
          <w:rFonts w:hint="eastAsia" w:asciiTheme="minorEastAsia" w:hAnsiTheme="minorEastAsia" w:eastAsiaTheme="minorEastAsia" w:cstheme="minorEastAsia"/>
          <w:b/>
          <w:bCs/>
          <w:sz w:val="24"/>
        </w:rPr>
        <w:t>、服务周期要求：</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1.方案设计：自合同签订后20个日历天内；</w:t>
      </w:r>
    </w:p>
    <w:p>
      <w:pPr>
        <w:spacing w:line="520" w:lineRule="exact"/>
        <w:ind w:firstLine="480" w:firstLineChars="200"/>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2.改造实施：</w:t>
      </w:r>
      <w:r>
        <w:rPr>
          <w:rFonts w:hint="eastAsia" w:asciiTheme="minorEastAsia" w:hAnsiTheme="minorEastAsia" w:eastAsiaTheme="minorEastAsia" w:cstheme="minorEastAsia"/>
          <w:sz w:val="24"/>
          <w:highlight w:val="none"/>
          <w:lang w:eastAsia="zh-CN"/>
        </w:rPr>
        <w:t>单个成员企</w:t>
      </w:r>
      <w:r>
        <w:rPr>
          <w:rFonts w:hint="eastAsia" w:asciiTheme="minorEastAsia" w:hAnsiTheme="minorEastAsia" w:eastAsiaTheme="minorEastAsia" w:cstheme="minorEastAsia"/>
          <w:strike w:val="0"/>
          <w:sz w:val="24"/>
          <w:highlight w:val="none"/>
          <w:lang w:eastAsia="zh-CN"/>
        </w:rPr>
        <w:t>业</w:t>
      </w:r>
      <w:r>
        <w:rPr>
          <w:rFonts w:hint="eastAsia" w:asciiTheme="minorEastAsia" w:hAnsiTheme="minorEastAsia" w:eastAsiaTheme="minorEastAsia" w:cstheme="minorEastAsia"/>
          <w:strike w:val="0"/>
          <w:sz w:val="24"/>
          <w:highlight w:val="none"/>
        </w:rPr>
        <w:t>须在签订合同后的60个工作日完成并通过招标方验收；</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trike w:val="0"/>
          <w:sz w:val="24"/>
          <w:highlight w:val="none"/>
        </w:rPr>
        <w:t>3.服务周期：自完工验收后的次</w:t>
      </w:r>
      <w:r>
        <w:rPr>
          <w:rFonts w:hint="eastAsia" w:asciiTheme="minorEastAsia" w:hAnsiTheme="minorEastAsia" w:eastAsiaTheme="minorEastAsia" w:cstheme="minorEastAsia"/>
          <w:sz w:val="24"/>
        </w:rPr>
        <w:t>月1日开始，至分享96期节能收益后合同终止（共8年）。</w:t>
      </w: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pStyle w:val="2"/>
        <w:numPr>
          <w:ilvl w:val="0"/>
          <w:numId w:val="0"/>
        </w:numPr>
        <w:jc w:val="center"/>
        <w:rPr>
          <w:color w:val="auto"/>
        </w:rPr>
      </w:pPr>
      <w:bookmarkStart w:id="14" w:name="_Toc491005868"/>
      <w:bookmarkStart w:id="15" w:name="_Toc13732426"/>
      <w:r>
        <w:rPr>
          <w:rFonts w:hint="eastAsia" w:asciiTheme="majorEastAsia" w:hAnsiTheme="majorEastAsia" w:eastAsiaTheme="majorEastAsia" w:cstheme="majorEastAsia"/>
          <w:color w:val="auto"/>
          <w:sz w:val="28"/>
          <w:szCs w:val="28"/>
        </w:rPr>
        <w:t>第五章</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合同</w:t>
      </w:r>
      <w:bookmarkEnd w:id="14"/>
      <w:bookmarkEnd w:id="15"/>
      <w:r>
        <w:rPr>
          <w:rFonts w:hint="eastAsia" w:asciiTheme="majorEastAsia" w:hAnsiTheme="majorEastAsia" w:eastAsiaTheme="majorEastAsia" w:cstheme="majorEastAsia"/>
          <w:color w:val="auto"/>
          <w:sz w:val="28"/>
          <w:szCs w:val="28"/>
        </w:rPr>
        <w:t>能源管理项目合同范本</w:t>
      </w:r>
    </w:p>
    <w:p/>
    <w:tbl>
      <w:tblPr>
        <w:tblStyle w:val="27"/>
        <w:tblW w:w="9039"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485"/>
        <w:gridCol w:w="1953"/>
        <w:gridCol w:w="1589"/>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57" w:type="dxa"/>
            <w:vMerge w:val="restart"/>
            <w:vAlign w:val="center"/>
          </w:tcPr>
          <w:p>
            <w:pPr>
              <w:jc w:val="center"/>
              <w:rPr>
                <w:rFonts w:ascii="宋体"/>
                <w:szCs w:val="21"/>
              </w:rPr>
            </w:pPr>
            <w:r>
              <w:rPr>
                <w:rFonts w:hint="eastAsia" w:ascii="宋体" w:hAnsi="宋体"/>
                <w:szCs w:val="21"/>
              </w:rPr>
              <w:t>甲方</w:t>
            </w:r>
          </w:p>
          <w:p>
            <w:pPr>
              <w:jc w:val="center"/>
              <w:rPr>
                <w:rFonts w:ascii="宋体"/>
                <w:szCs w:val="21"/>
              </w:rPr>
            </w:pPr>
            <w:r>
              <w:rPr>
                <w:rFonts w:hint="eastAsia" w:ascii="宋体" w:hAnsi="宋体"/>
                <w:szCs w:val="21"/>
              </w:rPr>
              <w:t>（用能单位）</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jc w:val="center"/>
              <w:rPr>
                <w:rFonts w:ascii="宋体"/>
                <w:szCs w:val="21"/>
              </w:rPr>
            </w:pPr>
          </w:p>
        </w:tc>
        <w:tc>
          <w:tcPr>
            <w:tcW w:w="1589" w:type="dxa"/>
            <w:vAlign w:val="center"/>
          </w:tcPr>
          <w:p>
            <w:pPr>
              <w:jc w:val="center"/>
              <w:rPr>
                <w:rFonts w:ascii="宋体"/>
                <w:szCs w:val="21"/>
              </w:rPr>
            </w:pPr>
          </w:p>
        </w:tc>
        <w:tc>
          <w:tcPr>
            <w:tcW w:w="195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7" w:type="dxa"/>
            <w:vMerge w:val="restart"/>
            <w:vAlign w:val="center"/>
          </w:tcPr>
          <w:p>
            <w:pPr>
              <w:jc w:val="center"/>
              <w:rPr>
                <w:rFonts w:ascii="宋体"/>
                <w:szCs w:val="21"/>
              </w:rPr>
            </w:pPr>
            <w:r>
              <w:rPr>
                <w:rFonts w:hint="eastAsia" w:ascii="宋体" w:hAnsi="宋体"/>
                <w:szCs w:val="21"/>
              </w:rPr>
              <w:t>乙方</w:t>
            </w:r>
          </w:p>
          <w:p>
            <w:pPr>
              <w:jc w:val="center"/>
              <w:rPr>
                <w:rFonts w:ascii="宋体"/>
                <w:szCs w:val="21"/>
              </w:rPr>
            </w:pPr>
            <w:r>
              <w:rPr>
                <w:rFonts w:hint="eastAsia" w:ascii="宋体" w:hAnsi="宋体"/>
                <w:szCs w:val="21"/>
              </w:rPr>
              <w:t>（节能服务公司）</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rPr>
                <w:rFonts w:ascii="宋体"/>
                <w:szCs w:val="21"/>
              </w:rPr>
            </w:pPr>
          </w:p>
        </w:tc>
        <w:tc>
          <w:tcPr>
            <w:tcW w:w="1589" w:type="dxa"/>
            <w:vAlign w:val="center"/>
          </w:tcPr>
          <w:p>
            <w:pPr>
              <w:jc w:val="center"/>
              <w:rPr>
                <w:rFonts w:ascii="宋体"/>
                <w:szCs w:val="21"/>
              </w:rPr>
            </w:pPr>
          </w:p>
        </w:tc>
        <w:tc>
          <w:tcPr>
            <w:tcW w:w="1955"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bl>
    <w:p>
      <w:pPr>
        <w:rPr>
          <w:rFonts w:ascii="仿宋" w:hAnsi="仿宋" w:eastAsia="仿宋"/>
          <w:b/>
          <w:szCs w:val="21"/>
        </w:rPr>
      </w:pPr>
    </w:p>
    <w:p>
      <w:pPr>
        <w:tabs>
          <w:tab w:val="left" w:pos="3180"/>
          <w:tab w:val="center" w:pos="4535"/>
        </w:tabs>
        <w:spacing w:line="500" w:lineRule="exact"/>
        <w:ind w:left="719" w:leftChars="228" w:hanging="240" w:hangingChars="1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（以下为合同盖章页，无正文）</w:t>
      </w:r>
      <w:r>
        <w:rPr>
          <w:rFonts w:hint="eastAsia" w:asciiTheme="minorEastAsia" w:hAnsiTheme="minorEastAsia" w:eastAsiaTheme="minorEastAsia" w:cstheme="minorEastAsia"/>
          <w:kern w:val="0"/>
          <w:sz w:val="24"/>
        </w:rPr>
        <w:t>鉴于本合同双方同意按“合同能源管理”模式就</w:t>
      </w:r>
      <w:r>
        <w:rPr>
          <w:rFonts w:hint="eastAsia" w:asciiTheme="minorEastAsia" w:hAnsiTheme="minorEastAsia" w:eastAsiaTheme="minorEastAsia" w:cstheme="minorEastAsia"/>
          <w:kern w:val="0"/>
          <w:sz w:val="24"/>
          <w:u w:val="single"/>
          <w:lang w:val="en-US" w:eastAsia="zh-CN"/>
        </w:rPr>
        <w:t xml:space="preserve">   XXX</w:t>
      </w:r>
      <w:r>
        <w:rPr>
          <w:rFonts w:hint="eastAsia" w:asciiTheme="minorEastAsia" w:hAnsiTheme="minorEastAsia" w:eastAsiaTheme="minorEastAsia" w:cstheme="minorEastAsia"/>
          <w:kern w:val="0"/>
          <w:sz w:val="24"/>
          <w:u w:val="single"/>
          <w:lang w:eastAsia="zh-CN"/>
        </w:rPr>
        <w:t>公司</w:t>
      </w:r>
      <w:r>
        <w:rPr>
          <w:rFonts w:hint="eastAsia" w:asciiTheme="minorEastAsia" w:hAnsiTheme="minorEastAsia" w:eastAsiaTheme="minorEastAsia" w:cstheme="minorEastAsia"/>
          <w:kern w:val="0"/>
          <w:sz w:val="24"/>
        </w:rPr>
        <w:t>进行合同能源管理服务（以下简称“项目”或“本项目”）进行“效益分享型”专项节能改造及运行策略周期性服务，双方经平等协商，在真实、充分地表达各自意愿的基础上，根据《中华人民共和国合同法》及其他相关法律法规的规定，达成如下协议，由双方共同遵守。</w:t>
      </w:r>
    </w:p>
    <w:p>
      <w:pPr>
        <w:autoSpaceDE w:val="0"/>
        <w:autoSpaceDN w:val="0"/>
        <w:adjustRightInd w:val="0"/>
        <w:spacing w:line="500" w:lineRule="exact"/>
        <w:jc w:val="center"/>
        <w:rPr>
          <w:rFonts w:asciiTheme="minorEastAsia" w:hAnsiTheme="minorEastAsia" w:eastAsiaTheme="minorEastAsia" w:cstheme="minorEastAsia"/>
          <w:b/>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asciiTheme="minorEastAsia" w:hAnsiTheme="minorEastAsia" w:eastAsiaTheme="minorEastAsia" w:cstheme="minorEastAsia"/>
          <w:b/>
          <w:kern w:val="0"/>
          <w:sz w:val="24"/>
        </w:rPr>
        <w:br w:type="textWrapping"/>
      </w:r>
      <w:r>
        <w:rPr>
          <w:rFonts w:hint="eastAsia" w:asciiTheme="minorEastAsia" w:hAnsiTheme="minorEastAsia" w:eastAsiaTheme="minorEastAsia" w:cstheme="minorEastAsia"/>
          <w:b/>
          <w:kern w:val="0"/>
          <w:sz w:val="24"/>
        </w:rPr>
        <w:t>第1节 术语和定义</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双方确定：本合同及相关附件中所涉及的有关名词和技术术语，其定义和解释如下：</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1.1合同能源管理服务：是指由乙方负责对</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XXX      </w:t>
      </w:r>
      <w:r>
        <w:rPr>
          <w:rFonts w:hint="eastAsia" w:asciiTheme="minorEastAsia" w:hAnsiTheme="minorEastAsia" w:eastAsiaTheme="minorEastAsia" w:cstheme="minorEastAsia"/>
          <w:kern w:val="0"/>
          <w:sz w:val="24"/>
          <w:u w:val="none"/>
          <w:lang w:eastAsia="zh-CN"/>
        </w:rPr>
        <w:t>公司</w:t>
      </w:r>
      <w:r>
        <w:rPr>
          <w:rFonts w:hint="eastAsia" w:asciiTheme="minorEastAsia" w:hAnsiTheme="minorEastAsia" w:eastAsiaTheme="minorEastAsia" w:cstheme="minorEastAsia"/>
          <w:sz w:val="24"/>
        </w:rPr>
        <w:t>投资进行综合节能改造，并派遣专业管理人员参与新投入节能设备和与节能设备相关的用电设备的日常运行管理工作，并提供节能设备日常保养维修服务，以及在合同期内节能设备的后期升级和再投入改造等，由此产生的合同能源管理效益（包括但不限于节省的电费、以及政府节能补贴奖励等）由甲方和乙方按合同约定比例和约定期限内进行分享，</w:t>
      </w:r>
      <w:r>
        <w:rPr>
          <w:rFonts w:hint="eastAsia" w:asciiTheme="minorEastAsia" w:hAnsiTheme="minorEastAsia" w:eastAsiaTheme="minorEastAsia" w:cstheme="minorEastAsia"/>
          <w:kern w:val="0"/>
          <w:sz w:val="24"/>
        </w:rPr>
        <w:t>在合同期内，乙方对乙方所有投入的节能设备拥有所有权；甲方对乙方所有投入的节能设备拥有使用权。</w:t>
      </w:r>
      <w:r>
        <w:rPr>
          <w:rFonts w:hint="eastAsia" w:asciiTheme="minorEastAsia" w:hAnsiTheme="minorEastAsia" w:eastAsiaTheme="minorEastAsia" w:cstheme="minorEastAsia"/>
          <w:kern w:val="0"/>
          <w:sz w:val="24"/>
          <w:highlight w:val="none"/>
        </w:rPr>
        <w:t>合同期限届满且甲方付清</w:t>
      </w:r>
      <w:r>
        <w:rPr>
          <w:rFonts w:hint="eastAsia" w:asciiTheme="minorEastAsia" w:hAnsiTheme="minorEastAsia" w:eastAsiaTheme="minorEastAsia" w:cstheme="minorEastAsia"/>
          <w:kern w:val="0"/>
          <w:sz w:val="24"/>
          <w:highlight w:val="none"/>
          <w:lang w:eastAsia="zh-CN"/>
        </w:rPr>
        <w:t>合同期内约定的分享的能耗费用</w:t>
      </w:r>
      <w:r>
        <w:rPr>
          <w:rFonts w:hint="eastAsia" w:asciiTheme="minorEastAsia" w:hAnsiTheme="minorEastAsia" w:eastAsiaTheme="minorEastAsia" w:cstheme="minorEastAsia"/>
          <w:kern w:val="0"/>
          <w:sz w:val="24"/>
          <w:highlight w:val="none"/>
        </w:rPr>
        <w:t>款项后</w:t>
      </w:r>
      <w:r>
        <w:rPr>
          <w:rFonts w:hint="eastAsia" w:asciiTheme="minorEastAsia" w:hAnsiTheme="minorEastAsia" w:eastAsiaTheme="minorEastAsia" w:cstheme="minorEastAsia"/>
          <w:kern w:val="0"/>
          <w:sz w:val="24"/>
        </w:rPr>
        <w:t>，乙方将节能设备的所有权无偿转让给甲方，并应保证所有设备设施在转让时运行正常。</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1.2节能设备：是指为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XXX    </w:t>
      </w:r>
      <w:r>
        <w:rPr>
          <w:rFonts w:hint="eastAsia" w:asciiTheme="minorEastAsia" w:hAnsiTheme="minorEastAsia" w:eastAsiaTheme="minorEastAsia" w:cstheme="minorEastAsia"/>
          <w:kern w:val="0"/>
          <w:sz w:val="24"/>
          <w:u w:val="none"/>
          <w:lang w:eastAsia="zh-CN"/>
        </w:rPr>
        <w:t>公司</w:t>
      </w:r>
      <w:r>
        <w:rPr>
          <w:rFonts w:hint="eastAsia" w:asciiTheme="minorEastAsia" w:hAnsiTheme="minorEastAsia" w:eastAsiaTheme="minorEastAsia" w:cstheme="minorEastAsia"/>
          <w:sz w:val="24"/>
        </w:rPr>
        <w:t>用电设备实施节能改造而由乙方所提供的设备设施。</w:t>
      </w:r>
    </w:p>
    <w:p>
      <w:pPr>
        <w:spacing w:line="500" w:lineRule="exact"/>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1.3用电设备：是指本合同所涉及的除乙方提供的节能设备之外所有权（或使用权）属于</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XXX</w:t>
      </w:r>
      <w:r>
        <w:rPr>
          <w:rFonts w:hint="eastAsia" w:asciiTheme="minorEastAsia" w:hAnsiTheme="minorEastAsia" w:eastAsiaTheme="minorEastAsia" w:cstheme="minorEastAsia"/>
          <w:kern w:val="0"/>
          <w:sz w:val="24"/>
          <w:u w:val="none"/>
          <w:lang w:eastAsia="zh-CN"/>
        </w:rPr>
        <w:t>公司</w:t>
      </w:r>
      <w:r>
        <w:rPr>
          <w:rFonts w:hint="eastAsia" w:asciiTheme="minorEastAsia" w:hAnsiTheme="minorEastAsia" w:eastAsiaTheme="minorEastAsia" w:cstheme="minorEastAsia"/>
          <w:sz w:val="24"/>
        </w:rPr>
        <w:t>的所有用电设备。</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 边界条件：在达到项目实施的节能目标的要求下，必须满足的临界条件。</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 节能指标：量化评价项目节能效果的指标，如节能量和节省的电费等。</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第2节 项目期限</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 本合同期限自合同签订之日始，至节能效益分享期结束之日止。</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 本项目</w:t>
      </w:r>
      <w:r>
        <w:rPr>
          <w:rFonts w:hint="eastAsia" w:asciiTheme="minorEastAsia" w:hAnsiTheme="minorEastAsia" w:eastAsiaTheme="minorEastAsia" w:cstheme="minorEastAsia"/>
          <w:kern w:val="0"/>
          <w:sz w:val="24"/>
          <w:highlight w:val="none"/>
          <w:lang w:eastAsia="zh-CN"/>
        </w:rPr>
        <w:t>单个成员企业</w:t>
      </w:r>
      <w:r>
        <w:rPr>
          <w:rFonts w:hint="eastAsia" w:asciiTheme="minorEastAsia" w:hAnsiTheme="minorEastAsia" w:eastAsiaTheme="minorEastAsia" w:cstheme="minorEastAsia"/>
          <w:kern w:val="0"/>
          <w:sz w:val="24"/>
        </w:rPr>
        <w:t>的建设期为</w:t>
      </w:r>
      <w:r>
        <w:rPr>
          <w:rFonts w:hint="eastAsia" w:asciiTheme="minorEastAsia" w:hAnsiTheme="minorEastAsia" w:eastAsiaTheme="minorEastAsia" w:cstheme="minorEastAsia"/>
          <w:b/>
          <w:kern w:val="0"/>
          <w:sz w:val="24"/>
        </w:rPr>
        <w:t>60</w:t>
      </w:r>
      <w:r>
        <w:rPr>
          <w:rFonts w:hint="eastAsia" w:asciiTheme="minorEastAsia" w:hAnsiTheme="minorEastAsia" w:eastAsiaTheme="minorEastAsia" w:cstheme="minorEastAsia"/>
          <w:kern w:val="0"/>
          <w:sz w:val="24"/>
        </w:rPr>
        <w:t>个工作日，自合同签订后的之次日开始计算。</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 本项目节能效益分享期的起始日为本项目验收合格的次月1日起,效益分享期为8年，双方分享96期节能效益后，本合同终止。</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第3节 项目方案设计、实施和项目的验收</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 甲乙双方应当按照本合同附件所列项目方案文件要求以及本合同规定进行本项目的实施。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 项目实施方案由乙方制定并报甲方备案（含施工图），如无特殊原因，乙方将依照既定方案实施本项目。</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3.3 </w:t>
      </w:r>
      <w:r>
        <w:rPr>
          <w:rFonts w:hint="eastAsia" w:asciiTheme="minorEastAsia" w:hAnsiTheme="minorEastAsia" w:eastAsiaTheme="minorEastAsia" w:cstheme="minorEastAsia"/>
          <w:sz w:val="24"/>
        </w:rPr>
        <w:t>环境标准：不得低于现有环境舒适度。夏季环境温度要求室内平均温度≤26度，梅雨季节室内闷热天也应当开启，冬季环境温度要求室内平均温度≥18℃。</w:t>
      </w:r>
    </w:p>
    <w:p>
      <w:pPr>
        <w:pStyle w:val="9"/>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对原有灯具的更换，外形定制样品须经甲方审核通过后进行更换，改造后的灯光亮度在整个合同期都不低于改造前亮度（改造前后在相同点位采用国标照度仪测试照度值双方签字确认留存）。改造后的灯具维修更换费用在整个合同期内由乙方负责。</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3.5 </w:t>
      </w:r>
      <w:r>
        <w:rPr>
          <w:rFonts w:hint="eastAsia" w:asciiTheme="minorEastAsia" w:hAnsiTheme="minorEastAsia" w:eastAsiaTheme="minorEastAsia" w:cstheme="minorEastAsia"/>
          <w:sz w:val="24"/>
        </w:rPr>
        <w:t>乙方应在本项目安装完毕前的七个工作日告知甲方完工日期，工程完工后</w:t>
      </w:r>
      <w:r>
        <w:rPr>
          <w:rFonts w:hint="eastAsia" w:asciiTheme="minorEastAsia" w:hAnsiTheme="minorEastAsia" w:eastAsiaTheme="minorEastAsia" w:cstheme="minorEastAsia"/>
          <w:kern w:val="0"/>
          <w:sz w:val="24"/>
        </w:rPr>
        <w:t>甲乙双方应当</w:t>
      </w:r>
      <w:r>
        <w:rPr>
          <w:rFonts w:hint="eastAsia" w:asciiTheme="minorEastAsia" w:hAnsiTheme="minorEastAsia" w:eastAsiaTheme="minorEastAsia" w:cstheme="minorEastAsia"/>
          <w:sz w:val="24"/>
        </w:rPr>
        <w:t>在十个工作日内</w:t>
      </w:r>
      <w:r>
        <w:rPr>
          <w:rFonts w:hint="eastAsia" w:asciiTheme="minorEastAsia" w:hAnsiTheme="minorEastAsia" w:eastAsiaTheme="minorEastAsia" w:cstheme="minorEastAsia"/>
          <w:kern w:val="0"/>
          <w:sz w:val="24"/>
        </w:rPr>
        <w:t>按照附件8的规定进行项目验收，并签署确认验收文件，由于甲方原因造成改造完工后15天仍未验收的，视同验收合格。</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第4节 节能效益承诺和分享方式</w:t>
      </w:r>
    </w:p>
    <w:p>
      <w:pPr>
        <w:autoSpaceDE w:val="0"/>
        <w:autoSpaceDN w:val="0"/>
        <w:adjustRightInd w:val="0"/>
        <w:spacing w:line="500" w:lineRule="exact"/>
        <w:ind w:firstLine="42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rPr>
        <w:t xml:space="preserve">4.1 </w:t>
      </w:r>
      <w:r>
        <w:rPr>
          <w:rFonts w:hint="eastAsia" w:asciiTheme="minorEastAsia" w:hAnsiTheme="minorEastAsia" w:eastAsiaTheme="minorEastAsia" w:cstheme="minorEastAsia"/>
          <w:sz w:val="24"/>
        </w:rPr>
        <w:t>以改造前最近一个年度的“</w:t>
      </w:r>
      <w:r>
        <w:rPr>
          <w:rFonts w:hint="eastAsia" w:asciiTheme="minorEastAsia" w:hAnsiTheme="minorEastAsia" w:eastAsiaTheme="minorEastAsia" w:cstheme="minorEastAsia"/>
          <w:kern w:val="0"/>
          <w:sz w:val="24"/>
          <w:highlight w:val="none"/>
        </w:rPr>
        <w:t>公用电量＋合家福电量</w:t>
      </w:r>
      <w:r>
        <w:rPr>
          <w:rFonts w:hint="eastAsia" w:asciiTheme="minorEastAsia" w:hAnsiTheme="minorEastAsia" w:eastAsiaTheme="minorEastAsia" w:cstheme="minorEastAsia"/>
          <w:kern w:val="0"/>
          <w:sz w:val="24"/>
          <w:highlight w:val="none"/>
          <w:lang w:val="en-US" w:eastAsia="zh-CN"/>
        </w:rPr>
        <w:t>(如有）</w:t>
      </w:r>
      <w:r>
        <w:rPr>
          <w:rFonts w:hint="eastAsia" w:asciiTheme="minorEastAsia" w:hAnsiTheme="minorEastAsia" w:eastAsiaTheme="minorEastAsia" w:cstheme="minorEastAsia"/>
          <w:kern w:val="0"/>
          <w:sz w:val="24"/>
          <w:highlight w:val="none"/>
        </w:rPr>
        <w:t>＋家电商场电量</w:t>
      </w:r>
      <w:r>
        <w:rPr>
          <w:rFonts w:hint="eastAsia" w:asciiTheme="minorEastAsia" w:hAnsiTheme="minorEastAsia" w:eastAsiaTheme="minorEastAsia" w:cstheme="minorEastAsia"/>
          <w:kern w:val="0"/>
          <w:sz w:val="24"/>
          <w:highlight w:val="none"/>
          <w:lang w:eastAsia="zh-CN"/>
        </w:rPr>
        <w:t>（如有）</w:t>
      </w:r>
      <w:r>
        <w:rPr>
          <w:rFonts w:hint="eastAsia" w:asciiTheme="minorEastAsia" w:hAnsiTheme="minorEastAsia" w:eastAsiaTheme="minorEastAsia" w:cstheme="minorEastAsia"/>
          <w:kern w:val="0"/>
          <w:sz w:val="24"/>
          <w:highlight w:val="none"/>
        </w:rPr>
        <w:t>”之和（</w:t>
      </w:r>
      <w:r>
        <w:rPr>
          <w:rFonts w:hint="eastAsia" w:asciiTheme="minorEastAsia" w:hAnsiTheme="minorEastAsia" w:eastAsiaTheme="minorEastAsia" w:cstheme="minorEastAsia"/>
          <w:kern w:val="0"/>
          <w:sz w:val="24"/>
          <w:highlight w:val="none"/>
          <w:lang w:val="en-US" w:eastAsia="zh-CN"/>
        </w:rPr>
        <w:t xml:space="preserve">   </w:t>
      </w:r>
      <w:r>
        <w:rPr>
          <w:rFonts w:hint="eastAsia" w:asciiTheme="minorEastAsia" w:hAnsiTheme="minorEastAsia" w:eastAsiaTheme="minorEastAsia" w:cstheme="minorEastAsia"/>
          <w:kern w:val="0"/>
          <w:sz w:val="24"/>
          <w:highlight w:val="none"/>
        </w:rPr>
        <w:t>度</w:t>
      </w:r>
      <w:r>
        <w:rPr>
          <w:rFonts w:hint="eastAsia" w:asciiTheme="minorEastAsia" w:hAnsiTheme="minorEastAsia" w:eastAsiaTheme="minorEastAsia" w:cstheme="minorEastAsia"/>
          <w:sz w:val="24"/>
          <w:highlight w:val="none"/>
        </w:rPr>
        <w:t>）为</w:t>
      </w:r>
      <w:r>
        <w:rPr>
          <w:rFonts w:hint="eastAsia" w:asciiTheme="minorEastAsia" w:hAnsiTheme="minorEastAsia" w:eastAsiaTheme="minorEastAsia" w:cstheme="minorEastAsia"/>
          <w:kern w:val="0"/>
          <w:sz w:val="24"/>
          <w:highlight w:val="none"/>
        </w:rPr>
        <w:t>项目基准能耗</w:t>
      </w:r>
      <w:r>
        <w:rPr>
          <w:rFonts w:hint="eastAsia" w:asciiTheme="minorEastAsia" w:hAnsiTheme="minorEastAsia" w:eastAsiaTheme="minorEastAsia" w:cstheme="minorEastAsia"/>
          <w:sz w:val="24"/>
          <w:highlight w:val="none"/>
        </w:rPr>
        <w:t>，每年至少节省电量</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万度（燃气用量不做考核），每月结算时凭供电局电费单（刨除</w:t>
      </w:r>
      <w:r>
        <w:rPr>
          <w:rFonts w:hint="eastAsia" w:asciiTheme="minorEastAsia" w:hAnsiTheme="minorEastAsia" w:eastAsiaTheme="minorEastAsia" w:cstheme="minorEastAsia"/>
          <w:sz w:val="24"/>
          <w:highlight w:val="none"/>
          <w:lang w:eastAsia="zh-CN"/>
        </w:rPr>
        <w:t>租赁商铺</w:t>
      </w:r>
      <w:r>
        <w:rPr>
          <w:rFonts w:hint="eastAsia" w:asciiTheme="minorEastAsia" w:hAnsiTheme="minorEastAsia" w:eastAsiaTheme="minorEastAsia" w:cstheme="minorEastAsia"/>
          <w:sz w:val="24"/>
          <w:highlight w:val="none"/>
        </w:rPr>
        <w:t>租户）直接对比基准能耗月计算节能量。</w:t>
      </w:r>
    </w:p>
    <w:p>
      <w:pPr>
        <w:autoSpaceDE w:val="0"/>
        <w:autoSpaceDN w:val="0"/>
        <w:adjustRightInd w:val="0"/>
        <w:spacing w:line="500" w:lineRule="exact"/>
        <w:ind w:firstLine="42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 在</w:t>
      </w:r>
      <w:r>
        <w:rPr>
          <w:rFonts w:hint="eastAsia" w:asciiTheme="minorEastAsia" w:hAnsiTheme="minorEastAsia" w:eastAsiaTheme="minorEastAsia" w:cstheme="minorEastAsia"/>
          <w:b/>
          <w:kern w:val="0"/>
          <w:sz w:val="24"/>
          <w:highlight w:val="none"/>
        </w:rPr>
        <w:t>8</w:t>
      </w:r>
      <w:r>
        <w:rPr>
          <w:rFonts w:hint="eastAsia" w:asciiTheme="minorEastAsia" w:hAnsiTheme="minorEastAsia" w:eastAsiaTheme="minorEastAsia" w:cstheme="minorEastAsia"/>
          <w:kern w:val="0"/>
          <w:sz w:val="24"/>
          <w:highlight w:val="none"/>
        </w:rPr>
        <w:t>年的效益分享期内，乙方每年分享</w:t>
      </w:r>
      <w:r>
        <w:rPr>
          <w:rFonts w:hint="eastAsia" w:asciiTheme="minorEastAsia" w:hAnsiTheme="minorEastAsia" w:eastAsiaTheme="minorEastAsia" w:cstheme="minorEastAsia"/>
          <w:b/>
          <w:kern w:val="0"/>
          <w:sz w:val="24"/>
          <w:highlight w:val="none"/>
        </w:rPr>
        <w:t xml:space="preserve"> 70</w:t>
      </w:r>
      <w:r>
        <w:rPr>
          <w:rFonts w:hint="eastAsia" w:asciiTheme="minorEastAsia" w:hAnsiTheme="minorEastAsia" w:eastAsiaTheme="minorEastAsia" w:cstheme="minorEastAsia"/>
          <w:kern w:val="0"/>
          <w:sz w:val="24"/>
          <w:highlight w:val="none"/>
        </w:rPr>
        <w:t>％的项目节能效益和政府相关节能奖补资金</w:t>
      </w:r>
      <w:r>
        <w:rPr>
          <w:rFonts w:hint="eastAsia" w:asciiTheme="minorEastAsia" w:hAnsiTheme="minorEastAsia" w:eastAsiaTheme="minorEastAsia" w:cstheme="minorEastAsia"/>
          <w:kern w:val="0"/>
          <w:sz w:val="24"/>
          <w:highlight w:val="none"/>
          <w:lang w:eastAsia="zh-CN"/>
        </w:rPr>
        <w:t>（如有）</w:t>
      </w:r>
      <w:r>
        <w:rPr>
          <w:rFonts w:hint="eastAsia" w:asciiTheme="minorEastAsia" w:hAnsiTheme="minorEastAsia" w:eastAsiaTheme="minorEastAsia" w:cstheme="minorEastAsia"/>
          <w:kern w:val="0"/>
          <w:sz w:val="24"/>
          <w:highlight w:val="none"/>
        </w:rPr>
        <w:t>。</w:t>
      </w:r>
    </w:p>
    <w:p>
      <w:pPr>
        <w:autoSpaceDE w:val="0"/>
        <w:autoSpaceDN w:val="0"/>
        <w:adjustRightInd w:val="0"/>
        <w:spacing w:line="500" w:lineRule="exact"/>
        <w:ind w:firstLine="42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 在</w:t>
      </w:r>
      <w:r>
        <w:rPr>
          <w:rFonts w:hint="eastAsia" w:asciiTheme="minorEastAsia" w:hAnsiTheme="minorEastAsia" w:eastAsiaTheme="minorEastAsia" w:cstheme="minorEastAsia"/>
          <w:b/>
          <w:kern w:val="0"/>
          <w:sz w:val="24"/>
          <w:highlight w:val="none"/>
        </w:rPr>
        <w:t>8</w:t>
      </w:r>
      <w:r>
        <w:rPr>
          <w:rFonts w:hint="eastAsia" w:asciiTheme="minorEastAsia" w:hAnsiTheme="minorEastAsia" w:eastAsiaTheme="minorEastAsia" w:cstheme="minorEastAsia"/>
          <w:kern w:val="0"/>
          <w:sz w:val="24"/>
          <w:highlight w:val="none"/>
        </w:rPr>
        <w:t>年的效益分享其内，甲方每年分享</w:t>
      </w:r>
      <w:r>
        <w:rPr>
          <w:rFonts w:hint="eastAsia" w:asciiTheme="minorEastAsia" w:hAnsiTheme="minorEastAsia" w:eastAsiaTheme="minorEastAsia" w:cstheme="minorEastAsia"/>
          <w:b/>
          <w:kern w:val="0"/>
          <w:sz w:val="24"/>
          <w:highlight w:val="none"/>
        </w:rPr>
        <w:t xml:space="preserve"> 30</w:t>
      </w:r>
      <w:r>
        <w:rPr>
          <w:rFonts w:hint="eastAsia" w:asciiTheme="minorEastAsia" w:hAnsiTheme="minorEastAsia" w:eastAsiaTheme="minorEastAsia" w:cstheme="minorEastAsia"/>
          <w:kern w:val="0"/>
          <w:sz w:val="24"/>
          <w:highlight w:val="none"/>
        </w:rPr>
        <w:t>％的项目节能效益和政府相关节能奖补资金</w:t>
      </w:r>
      <w:r>
        <w:rPr>
          <w:rFonts w:hint="eastAsia" w:asciiTheme="minorEastAsia" w:hAnsiTheme="minorEastAsia" w:eastAsiaTheme="minorEastAsia" w:cstheme="minorEastAsia"/>
          <w:kern w:val="0"/>
          <w:sz w:val="24"/>
          <w:highlight w:val="none"/>
          <w:lang w:eastAsia="zh-CN"/>
        </w:rPr>
        <w:t>（如有）</w:t>
      </w:r>
      <w:r>
        <w:rPr>
          <w:rFonts w:hint="eastAsia" w:asciiTheme="minorEastAsia" w:hAnsiTheme="minorEastAsia" w:eastAsiaTheme="minorEastAsia" w:cstheme="minorEastAsia"/>
          <w:kern w:val="0"/>
          <w:sz w:val="24"/>
          <w:highlight w:val="none"/>
        </w:rPr>
        <w:t xml:space="preserve">，如甲方实际分享的节能效益不足合同承诺节能效益的 </w:t>
      </w:r>
      <w:r>
        <w:rPr>
          <w:rFonts w:hint="eastAsia" w:asciiTheme="minorEastAsia" w:hAnsiTheme="minorEastAsia" w:eastAsiaTheme="minorEastAsia" w:cstheme="minorEastAsia"/>
          <w:b/>
          <w:kern w:val="0"/>
          <w:sz w:val="24"/>
          <w:highlight w:val="none"/>
        </w:rPr>
        <w:t>30</w:t>
      </w:r>
      <w:r>
        <w:rPr>
          <w:rFonts w:hint="eastAsia" w:asciiTheme="minorEastAsia" w:hAnsiTheme="minorEastAsia" w:eastAsiaTheme="minorEastAsia" w:cstheme="minorEastAsia"/>
          <w:kern w:val="0"/>
          <w:sz w:val="24"/>
          <w:highlight w:val="none"/>
        </w:rPr>
        <w:t>％(即每年</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b/>
          <w:kern w:val="0"/>
          <w:sz w:val="24"/>
          <w:highlight w:val="none"/>
          <w:u w:val="single"/>
          <w:lang w:val="en-US" w:eastAsia="zh-CN"/>
        </w:rPr>
        <w:t xml:space="preserve">   </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kern w:val="0"/>
          <w:sz w:val="24"/>
          <w:highlight w:val="none"/>
        </w:rPr>
        <w:t>万度电量对应的电费)，不足部分由乙方</w:t>
      </w:r>
      <w:r>
        <w:rPr>
          <w:rFonts w:hint="eastAsia" w:asciiTheme="minorEastAsia" w:hAnsiTheme="minorEastAsia" w:eastAsiaTheme="minorEastAsia" w:cstheme="minorEastAsia"/>
          <w:kern w:val="0"/>
          <w:sz w:val="24"/>
          <w:highlight w:val="none"/>
          <w:lang w:eastAsia="zh-CN"/>
        </w:rPr>
        <w:t>现金</w:t>
      </w:r>
      <w:r>
        <w:rPr>
          <w:rFonts w:hint="eastAsia" w:asciiTheme="minorEastAsia" w:hAnsiTheme="minorEastAsia" w:eastAsiaTheme="minorEastAsia" w:cstheme="minorEastAsia"/>
          <w:kern w:val="0"/>
          <w:sz w:val="24"/>
          <w:highlight w:val="none"/>
        </w:rPr>
        <w:t>补足，详见</w:t>
      </w:r>
      <w:r>
        <w:rPr>
          <w:rFonts w:hint="eastAsia" w:asciiTheme="minorEastAsia" w:hAnsiTheme="minorEastAsia" w:eastAsiaTheme="minorEastAsia" w:cstheme="minorEastAsia"/>
          <w:b/>
          <w:kern w:val="0"/>
          <w:sz w:val="24"/>
          <w:highlight w:val="none"/>
        </w:rPr>
        <w:t>《附件11 其他约定》</w:t>
      </w:r>
      <w:r>
        <w:rPr>
          <w:rFonts w:hint="eastAsia" w:asciiTheme="minorEastAsia" w:hAnsiTheme="minorEastAsia" w:eastAsiaTheme="minorEastAsia" w:cstheme="minorEastAsia"/>
          <w:kern w:val="0"/>
          <w:sz w:val="24"/>
          <w:highlight w:val="none"/>
        </w:rPr>
        <w:t>。</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4.4 双方应当按照</w:t>
      </w:r>
      <w:r>
        <w:rPr>
          <w:rFonts w:hint="eastAsia" w:asciiTheme="minorEastAsia" w:hAnsiTheme="minorEastAsia" w:eastAsiaTheme="minorEastAsia" w:cstheme="minorEastAsia"/>
          <w:b/>
          <w:kern w:val="0"/>
          <w:sz w:val="24"/>
        </w:rPr>
        <w:t>附件3</w:t>
      </w:r>
      <w:r>
        <w:rPr>
          <w:rFonts w:hint="eastAsia" w:asciiTheme="minorEastAsia" w:hAnsiTheme="minorEastAsia" w:eastAsiaTheme="minorEastAsia" w:cstheme="minorEastAsia"/>
          <w:kern w:val="0"/>
          <w:sz w:val="24"/>
        </w:rPr>
        <w:t xml:space="preserve">规定的程序和方式共同对项目节能量进行测量和确认，并按照 </w:t>
      </w:r>
      <w:r>
        <w:rPr>
          <w:rFonts w:hint="eastAsia" w:asciiTheme="minorEastAsia" w:hAnsiTheme="minorEastAsia" w:eastAsiaTheme="minorEastAsia" w:cstheme="minorEastAsia"/>
          <w:b/>
          <w:kern w:val="0"/>
          <w:sz w:val="24"/>
        </w:rPr>
        <w:t xml:space="preserve">附件4 </w:t>
      </w:r>
      <w:r>
        <w:rPr>
          <w:rFonts w:hint="eastAsia" w:asciiTheme="minorEastAsia" w:hAnsiTheme="minorEastAsia" w:eastAsiaTheme="minorEastAsia" w:cstheme="minorEastAsia"/>
          <w:kern w:val="0"/>
          <w:sz w:val="24"/>
        </w:rPr>
        <w:t>的格式填制和签发节能量确认单及付款申请表。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4.5 节能效益由甲方按照第4.2条的规定分期（每月一次）支付给乙方，具体支付方式如下：</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(a)在相应的节约电费确认后，乙方应当根据确认的节约电费向甲方发出书面的付款申请表，叙明付款的金额、方式以及对应的节约电费，并提供增值税普通发票（合同能源管理项目0税率发票）。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(b)甲方应当在收到上述付款请求之后的10个工作日内，将相应的款项支付给乙方，乙方须在甲方付款前先行提供该笔款项的发票。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4.6 如双方对任何一期节能效益全部或部分存在争议，该项争议不影响当期节能效益的分享和相应款项的支付时间，待双方友好协商解决争议内容后，争议涉及的款项待下次结算时多退少补，并不影响合同的正常执行。</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4.7 </w:t>
      </w:r>
      <w:r>
        <w:rPr>
          <w:rFonts w:hint="eastAsia" w:asciiTheme="minorEastAsia" w:hAnsiTheme="minorEastAsia" w:eastAsiaTheme="minorEastAsia" w:cstheme="minorEastAsia"/>
          <w:bCs/>
          <w:sz w:val="24"/>
          <w:highlight w:val="none"/>
        </w:rPr>
        <w:t>奖补资金分享</w:t>
      </w:r>
      <w:r>
        <w:rPr>
          <w:rFonts w:hint="eastAsia" w:asciiTheme="minorEastAsia" w:hAnsiTheme="minorEastAsia" w:eastAsiaTheme="minorEastAsia" w:cstheme="minorEastAsia"/>
          <w:bCs/>
          <w:sz w:val="24"/>
          <w:highlight w:val="none"/>
          <w:lang w:eastAsia="zh-CN"/>
        </w:rPr>
        <w:t>（如有）</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rPr>
        <w:t>双方须积极配合申报政府奖补资金（按照国家政策规定是奖励节能改造投资方，故申报奖补单位主体为乙方），政府奖补资金将在到乙方账后10个工作日内，</w:t>
      </w:r>
      <w:r>
        <w:rPr>
          <w:rFonts w:hint="eastAsia" w:asciiTheme="minorEastAsia" w:hAnsiTheme="minorEastAsia" w:eastAsiaTheme="minorEastAsia" w:cstheme="minorEastAsia"/>
          <w:kern w:val="0"/>
          <w:sz w:val="24"/>
        </w:rPr>
        <w:t>甲乙双方按3:7分享，在10个工作日内转至甲方专用账户，逾期将从次月节能分享资金中扣除。</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第5节 甲方的义务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5.1 </w:t>
      </w:r>
      <w:r>
        <w:rPr>
          <w:rFonts w:hint="eastAsia" w:asciiTheme="minorEastAsia" w:hAnsiTheme="minorEastAsia" w:eastAsiaTheme="minorEastAsia" w:cstheme="minorEastAsia"/>
          <w:sz w:val="24"/>
        </w:rPr>
        <w:t>甲方应当根据乙方的合理要求，及时提供节能项目设计和实施所必须的资料、图纸和数据，并确保其真实、准确、完整。并</w:t>
      </w:r>
      <w:r>
        <w:rPr>
          <w:rFonts w:hint="eastAsia" w:asciiTheme="minorEastAsia" w:hAnsiTheme="minorEastAsia" w:eastAsiaTheme="minorEastAsia" w:cstheme="minorEastAsia"/>
          <w:kern w:val="0"/>
          <w:sz w:val="24"/>
        </w:rPr>
        <w:t>配合乙方开展节能量测量和确认。</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5.2 提供节能项目实施所需要的现场条件和必要的协助，包括提供施工场地、材料存放空间、以及乙方管理人员的工作空间等。</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5.3 </w:t>
      </w:r>
      <w:r>
        <w:rPr>
          <w:rFonts w:hint="eastAsia" w:asciiTheme="minorEastAsia" w:hAnsiTheme="minorEastAsia" w:eastAsiaTheme="minorEastAsia" w:cstheme="minorEastAsia"/>
          <w:bCs/>
          <w:sz w:val="24"/>
        </w:rPr>
        <w:t>指派具有资质的操作人员参加培训</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5.4 甲方应及时协助乙方完成项目的试运行和验收，并确认验收文件。</w:t>
      </w:r>
    </w:p>
    <w:p>
      <w:pPr>
        <w:autoSpaceDE w:val="0"/>
        <w:autoSpaceDN w:val="0"/>
        <w:adjustRightInd w:val="0"/>
        <w:spacing w:line="500" w:lineRule="exact"/>
        <w:ind w:right="-20"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 </w:t>
      </w:r>
      <w:r>
        <w:rPr>
          <w:rFonts w:hint="eastAsia" w:asciiTheme="minorEastAsia" w:hAnsiTheme="minorEastAsia" w:eastAsiaTheme="minorEastAsia" w:cstheme="minorEastAsia"/>
          <w:sz w:val="24"/>
        </w:rPr>
        <w:t>甲方应保证与项目相关的用电设备、设施连续稳定运行且运行状况良好，非因乙方原因造成的原甲方设备发生故障或老化破损，甲方应及时维修或更换；</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5.6 节能效益分享期间，如乙方投入的节能设备发生故障、损坏和丢失，甲方应在得知此情况后及时书面通知乙方，配合乙方对设备进行维修和监管。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 甲方应当按照本合同的规定，及时向乙方付款。</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5.8 甲方应当将与项目有关的其内部规章制度和特殊安全规定要求及时提前告知乙方、乙方的工作人员或其聘请的第三方，并根据需要提供相应的防护用品。</w:t>
      </w:r>
    </w:p>
    <w:p>
      <w:pPr>
        <w:autoSpaceDE w:val="0"/>
        <w:autoSpaceDN w:val="0"/>
        <w:adjustRightInd w:val="0"/>
        <w:spacing w:line="500" w:lineRule="exact"/>
        <w:ind w:right="-20" w:firstLine="42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5.9 甲方应当协助乙方（乙方作为节能改造投资方和奖补政策申报方）向有关政府机构或者组织申请与项目相关的补助、奖励或其他可适用的优惠政策；此部分补助、奖励或优惠在8年的效益分享期内，甲乙双方按3:7分享。乙方无法向有关政府机构或者组织申请与项目相关的补助、奖励或其他可适用的优惠政策的，由甲方进行申报，乙方予以配合，甲乙双方另行约定分享比例。</w:t>
      </w: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第6节 乙方的义务</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 乙方应当按照附件的项目方案文件规定的技术标准和要求以及本合同的规定，自行或者委托合格的第三方按时完成本项目的方案设计、建设、运营以及维护,费用由乙方承担。</w:t>
      </w:r>
      <w:r>
        <w:rPr>
          <w:rFonts w:hint="eastAsia" w:asciiTheme="minorEastAsia" w:hAnsiTheme="minorEastAsia" w:eastAsiaTheme="minorEastAsia" w:cstheme="minorEastAsia"/>
          <w:bCs/>
          <w:sz w:val="24"/>
        </w:rPr>
        <w:t>乙方新增的节能设备的维保，在合同期内由乙方自行承担。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 乙方应当确保其工作人员或其聘请的第三方严格遵守甲方有关施工场地安全和卫生等方面的规定，并听从甲方合理的现场指挥，</w:t>
      </w:r>
      <w:r>
        <w:rPr>
          <w:rFonts w:hint="eastAsia" w:asciiTheme="minorEastAsia" w:hAnsiTheme="minorEastAsia" w:eastAsiaTheme="minorEastAsia" w:cstheme="minorEastAsia"/>
          <w:sz w:val="24"/>
        </w:rPr>
        <w:t>乙方应当依照相关规定，对甲方指派的操作人员进行适当的培训，以使其能承担相应的操作和设施维护要求</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6.3 乙方应当确保其工作人员或其聘请的第三方人员在项目实施、运行的整个过程中遵守相关法律法规，以及甲方的相关规章制度，</w:t>
      </w:r>
      <w:r>
        <w:rPr>
          <w:rFonts w:hint="eastAsia" w:asciiTheme="minorEastAsia" w:hAnsiTheme="minorEastAsia" w:eastAsiaTheme="minorEastAsia" w:cstheme="minorEastAsia"/>
          <w:sz w:val="24"/>
        </w:rPr>
        <w:t>乙方安装和调试相关设备、设施应符合国家、行业有关施工管理法律法规和与项目相对应的技术标准规范要求，以及甲方合理的特有的施工、管理要求</w:t>
      </w:r>
      <w:r>
        <w:rPr>
          <w:rFonts w:hint="eastAsia" w:asciiTheme="minorEastAsia" w:hAnsiTheme="minorEastAsia" w:eastAsiaTheme="minorEastAsia" w:cstheme="minorEastAsia"/>
          <w:kern w:val="0"/>
          <w:sz w:val="24"/>
        </w:rPr>
        <w:t>。</w:t>
      </w:r>
    </w:p>
    <w:p>
      <w:pPr>
        <w:spacing w:line="500" w:lineRule="exact"/>
        <w:ind w:firstLine="480" w:firstLineChars="200"/>
        <w:jc w:val="left"/>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6.4 乙方应配合甲方开展节能量测量和验证，</w:t>
      </w:r>
      <w:r>
        <w:rPr>
          <w:rFonts w:hint="eastAsia" w:asciiTheme="minorEastAsia" w:hAnsiTheme="minorEastAsia" w:eastAsiaTheme="minorEastAsia" w:cstheme="minorEastAsia"/>
          <w:sz w:val="24"/>
        </w:rPr>
        <w:t>在接到甲方关于项目运行故障的通知之后，乙方应按照</w:t>
      </w:r>
      <w:r>
        <w:rPr>
          <w:rFonts w:hint="eastAsia" w:asciiTheme="minorEastAsia" w:hAnsiTheme="minorEastAsia" w:eastAsiaTheme="minorEastAsia" w:cstheme="minorEastAsia"/>
          <w:b/>
          <w:sz w:val="24"/>
        </w:rPr>
        <w:t>附件8</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kern w:val="0"/>
          <w:sz w:val="24"/>
        </w:rPr>
        <w:t>设备故障处理约定</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sz w:val="24"/>
        </w:rPr>
        <w:t>的规定及时完成相关维修或设备更换</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6.5 </w:t>
      </w:r>
      <w:r>
        <w:rPr>
          <w:rFonts w:hint="eastAsia" w:asciiTheme="minorEastAsia" w:hAnsiTheme="minorEastAsia" w:eastAsiaTheme="minorEastAsia" w:cstheme="minorEastAsia"/>
          <w:bCs/>
          <w:sz w:val="24"/>
        </w:rPr>
        <w:t>乙方应当对甲方指派的操作人员进行适当的培训，以使其能承担相应的操作和设施维护要求。</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6.6 甲方支付给乙方的款项，乙方应在甲方付款前及时出具发票，否则甲方有权拒绝支付。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6.7 </w:t>
      </w:r>
      <w:r>
        <w:rPr>
          <w:rFonts w:hint="eastAsia" w:asciiTheme="minorEastAsia" w:hAnsiTheme="minorEastAsia" w:eastAsiaTheme="minorEastAsia" w:cstheme="minorEastAsia"/>
          <w:bCs/>
          <w:sz w:val="24"/>
        </w:rPr>
        <w:t>乙方应配合甲方开展节能量测量和验证。</w:t>
      </w:r>
    </w:p>
    <w:p>
      <w:pPr>
        <w:spacing w:line="500" w:lineRule="exact"/>
        <w:ind w:firstLine="480" w:firstLineChars="20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第7节 项目的更改</w:t>
      </w:r>
    </w:p>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7.1 项目开始运行之后，甲方和乙方应及时沟通，讨论与项目运行和维护有关的事宜。</w:t>
      </w:r>
    </w:p>
    <w:p>
      <w:pPr>
        <w:autoSpaceDE w:val="0"/>
        <w:autoSpaceDN w:val="0"/>
        <w:adjustRightInd w:val="0"/>
        <w:spacing w:line="500" w:lineRule="exact"/>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 如在项目的建设期间出现乙方作为专业的节能服务提供者能够合理预料之外的情况，从而导致原有项目方案需要修改，经甲方同意后，乙方可对原有项目方案进行修改并实施修改的方案，但前提是不会对原有项目方案设定的节能目标和技术指标造成影响。</w:t>
      </w:r>
      <w:r>
        <w:rPr>
          <w:rFonts w:hint="eastAsia" w:asciiTheme="minorEastAsia" w:hAnsiTheme="minorEastAsia" w:eastAsiaTheme="minorEastAsia" w:cstheme="minorEastAsia"/>
          <w:bCs/>
          <w:sz w:val="24"/>
        </w:rPr>
        <w:t>除非该情况的出现是由甲方的过错造成，所有由此产生的费用由乙方承担。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7.3 在本项目运行期间，乙方有权为优化项目方案、提高节能效益对项目进行再次改造，包括但不限于对相关设备或设施进行添加、替换、去除、升级，或者是对相关操作、维护程序和方法进行修改，所有的改造费用由乙方承担。</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 甲方提供</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用电设备清单</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增减设备负荷表》，乙方负责复核，经双方签字确认后，准确性互不追责。</w:t>
      </w:r>
    </w:p>
    <w:p>
      <w:pPr>
        <w:pStyle w:val="9"/>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7.5 </w:t>
      </w:r>
      <w:r>
        <w:rPr>
          <w:rFonts w:hint="eastAsia" w:asciiTheme="minorEastAsia" w:hAnsiTheme="minorEastAsia" w:eastAsiaTheme="minorEastAsia" w:cstheme="minorEastAsia"/>
          <w:sz w:val="24"/>
        </w:rPr>
        <w:t>甲方用电设备的设备名称、规格、数量、用电功率、用电时间等以</w:t>
      </w:r>
      <w:r>
        <w:rPr>
          <w:rFonts w:hint="eastAsia" w:asciiTheme="minorEastAsia" w:hAnsiTheme="minorEastAsia" w:eastAsiaTheme="minorEastAsia" w:cstheme="minorEastAsia"/>
          <w:b/>
          <w:sz w:val="24"/>
        </w:rPr>
        <w:t>附件</w:t>
      </w:r>
      <w:r>
        <w:rPr>
          <w:rFonts w:hint="eastAsia" w:asciiTheme="minorEastAsia" w:hAnsiTheme="minorEastAsia" w:eastAsiaTheme="minorEastAsia" w:cstheme="minorEastAsia"/>
          <w:b/>
          <w:kern w:val="0"/>
          <w:sz w:val="24"/>
        </w:rPr>
        <w:t>9</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用电设备清单</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登记情况为准，</w:t>
      </w:r>
      <w:r>
        <w:rPr>
          <w:rFonts w:hint="eastAsia" w:asciiTheme="minorEastAsia" w:hAnsiTheme="minorEastAsia" w:eastAsiaTheme="minorEastAsia" w:cstheme="minorEastAsia"/>
          <w:spacing w:val="-8"/>
          <w:sz w:val="24"/>
        </w:rPr>
        <w:t>在本项目运行期间，甲方拆除、更换、更改、添加或移动现有设备、设施</w:t>
      </w:r>
      <w:r>
        <w:rPr>
          <w:rFonts w:hint="eastAsia" w:asciiTheme="minorEastAsia" w:hAnsiTheme="minorEastAsia" w:eastAsiaTheme="minorEastAsia" w:cstheme="minorEastAsia"/>
          <w:sz w:val="24"/>
        </w:rPr>
        <w:t>场地，以致对本项目的用电量和节能效益产生影响，甲方应提前以公文、邮件、微信等方式告知乙方，具体增加或减少负荷的大小、运行时间、用电量变量的计算等方面的事项，均以双方协商或选择第三方公司计算能耗变化确认后的书面文件作为增减负荷的依据，并填写《</w:t>
      </w:r>
      <w:r>
        <w:rPr>
          <w:rFonts w:hint="eastAsia" w:asciiTheme="minorEastAsia" w:hAnsiTheme="minorEastAsia" w:eastAsiaTheme="minorEastAsia" w:cstheme="minorEastAsia"/>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增减设备负荷表》由甲、乙双方代表签字确认。由此造成乙方较大损失的，双方协商解决。</w:t>
      </w:r>
    </w:p>
    <w:p>
      <w:pPr>
        <w:pStyle w:val="9"/>
        <w:spacing w:line="500" w:lineRule="exact"/>
        <w:rPr>
          <w:rFonts w:asciiTheme="minorEastAsia" w:hAnsiTheme="minorEastAsia" w:eastAsiaTheme="minorEastAsia" w:cstheme="minorEastAsia"/>
          <w:sz w:val="24"/>
        </w:rPr>
      </w:pPr>
    </w:p>
    <w:p>
      <w:pPr>
        <w:autoSpaceDE w:val="0"/>
        <w:autoSpaceDN w:val="0"/>
        <w:adjustRightInd w:val="0"/>
        <w:spacing w:line="500" w:lineRule="exact"/>
        <w:ind w:firstLine="420"/>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4"/>
        </w:rPr>
        <w:t>第8节 所有权和风险分担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8.l </w:t>
      </w:r>
      <w:r>
        <w:rPr>
          <w:rFonts w:hint="eastAsia" w:asciiTheme="minorEastAsia" w:hAnsiTheme="minorEastAsia" w:eastAsiaTheme="minorEastAsia" w:cstheme="minorEastAsia"/>
          <w:kern w:val="2"/>
          <w:sz w:val="24"/>
          <w:szCs w:val="24"/>
          <w:lang w:val="en-US" w:eastAsia="zh-CN" w:bidi="ar-SA"/>
        </w:rPr>
        <w:t>在本合同到期并且甲方付清本合同项下全部款项之前，本项目下的所有由乙方采购并安装的设备、设施和仪器等财产（简称“项目财产”</w:t>
      </w:r>
      <w:r>
        <w:rPr>
          <w:rFonts w:hint="eastAsia" w:asciiTheme="minorEastAsia" w:hAnsiTheme="minorEastAsia" w:eastAsiaTheme="minorEastAsia" w:cstheme="minorEastAsia"/>
          <w:kern w:val="0"/>
          <w:sz w:val="24"/>
        </w:rPr>
        <w:t>）的所有权属于乙方。</w:t>
      </w:r>
      <w:r>
        <w:rPr>
          <w:rFonts w:hint="eastAsia" w:asciiTheme="minorEastAsia" w:hAnsiTheme="minorEastAsia" w:eastAsiaTheme="minorEastAsia" w:cstheme="minorEastAsia"/>
          <w:kern w:val="0"/>
          <w:sz w:val="24"/>
          <w:highlight w:val="none"/>
        </w:rPr>
        <w:t>合同期限届满且甲方付清</w:t>
      </w:r>
      <w:r>
        <w:rPr>
          <w:rFonts w:hint="eastAsia" w:asciiTheme="minorEastAsia" w:hAnsiTheme="minorEastAsia" w:eastAsiaTheme="minorEastAsia" w:cstheme="minorEastAsia"/>
          <w:kern w:val="0"/>
          <w:sz w:val="24"/>
          <w:highlight w:val="none"/>
          <w:lang w:eastAsia="zh-CN"/>
        </w:rPr>
        <w:t>合同期内约定的分享的能耗费用</w:t>
      </w:r>
      <w:r>
        <w:rPr>
          <w:rFonts w:hint="eastAsia" w:asciiTheme="minorEastAsia" w:hAnsiTheme="minorEastAsia" w:eastAsiaTheme="minorEastAsia" w:cstheme="minorEastAsia"/>
          <w:kern w:val="0"/>
          <w:sz w:val="24"/>
          <w:highlight w:val="none"/>
        </w:rPr>
        <w:t>款项后，</w:t>
      </w:r>
      <w:r>
        <w:rPr>
          <w:rFonts w:hint="eastAsia" w:asciiTheme="minorEastAsia" w:hAnsiTheme="minorEastAsia" w:eastAsiaTheme="minorEastAsia" w:cstheme="minorEastAsia"/>
          <w:kern w:val="0"/>
          <w:sz w:val="24"/>
        </w:rPr>
        <w:t>乙方应将本项目财产的所有权及项目全部设计资料无偿转让给甲方并应保证项目设备设施在转让时运行正常。项目财产清单见</w:t>
      </w:r>
      <w:r>
        <w:rPr>
          <w:rFonts w:hint="eastAsia" w:asciiTheme="minorEastAsia" w:hAnsiTheme="minorEastAsia" w:eastAsiaTheme="minorEastAsia" w:cstheme="minorEastAsia"/>
          <w:b/>
          <w:kern w:val="0"/>
          <w:sz w:val="24"/>
        </w:rPr>
        <w:t>附件5</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sz w:val="24"/>
        </w:rPr>
        <w:t>项目财产的所有权由乙方移交给甲方时，应同时移交本项目继续运行所必需的资料。如该项目财产的继续使用需要乙方的相关技术和相关知识产权的授权，乙方应当无偿向甲方提供该等授权。</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 项目财产的所有权不因甲方违约提前解除而转移。在本合同因甲方违约提前解除时，项目财产依照第11.4条的规定处理。</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sz w:val="24"/>
        </w:rPr>
        <w:t>在本合同期间，项目财产被窃丢失的风险由甲方承担。</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8.4 合同到期如甲方需要乙方继续提供服务，则在合同有效期满前，双方可友好协商继续为本项目签定合同能源管理服务事宜。</w:t>
      </w:r>
    </w:p>
    <w:p>
      <w:pPr>
        <w:autoSpaceDE w:val="0"/>
        <w:autoSpaceDN w:val="0"/>
        <w:adjustRightInd w:val="0"/>
        <w:spacing w:line="500" w:lineRule="exact"/>
        <w:ind w:firstLine="420"/>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第9节 违约责任 </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 甲方违约和相关赔偿：</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9.1.1在本合同生效后、乙方开始施工至竣工验收之前，如果甲方无故解除本合同，则甲方应赔偿乙方为此项目所支出的设备购置费、运费、安装费、设计费等实际投入的损失。</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9.1.2合同执行期间，乙方</w:t>
      </w:r>
      <w:r>
        <w:rPr>
          <w:rFonts w:hint="eastAsia" w:asciiTheme="minorEastAsia" w:hAnsiTheme="minorEastAsia" w:eastAsiaTheme="minorEastAsia" w:cstheme="minorEastAsia"/>
          <w:sz w:val="24"/>
          <w:highlight w:val="none"/>
        </w:rPr>
        <w:t>按时足额收取节能效益分享款是乙方持续经营的必要条件，</w:t>
      </w:r>
      <w:r>
        <w:rPr>
          <w:rFonts w:hint="eastAsia" w:asciiTheme="minorEastAsia" w:hAnsiTheme="minorEastAsia" w:eastAsiaTheme="minorEastAsia" w:cstheme="minorEastAsia"/>
          <w:sz w:val="24"/>
        </w:rPr>
        <w:t>若甲方超过三个月未按照合同约定向乙方支付分享款，属于甲方违约，乙方有权解除合同并拆除收回此项目的所有项目财产，同时追究甲方的违约责任，甲方需按照本节9.1.4条之约定支付违约金予乙方。</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9.1.3 合同执行期间，</w:t>
      </w:r>
      <w:r>
        <w:rPr>
          <w:rFonts w:hint="eastAsia" w:asciiTheme="minorEastAsia" w:hAnsiTheme="minorEastAsia" w:eastAsiaTheme="minorEastAsia" w:cstheme="minorEastAsia"/>
          <w:kern w:val="0"/>
          <w:sz w:val="24"/>
        </w:rPr>
        <w:t>甲方不得无故单方面终止合同。如甲方单方面无故终止合同，属于甲方违约，</w:t>
      </w:r>
      <w:r>
        <w:rPr>
          <w:rFonts w:hint="eastAsia" w:asciiTheme="minorEastAsia" w:hAnsiTheme="minorEastAsia" w:eastAsiaTheme="minorEastAsia" w:cstheme="minorEastAsia"/>
          <w:sz w:val="24"/>
        </w:rPr>
        <w:t>甲方需按照本节9.1.4条之约定支付违约金予乙方。</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9.1.4 双方约定如甲方出现以下三条违约情况：甲方延迟支付节能分享款超过约定时间90天的、甲方未与乙方协商并经乙方同意而无故终止合同的、甲方未经乙方同意无故停用（含拆除）部分或全部节能设备的，甲方需一次性支付整个合同期乙方的预期节能分享收入作为违约金，违约金的计算方法为：W=（96-M）×R/M，其中W为违约金总额，M为已履行付款期数，R为已支付乙方的分享款总额，（96-M）为合同期内剩余付款期数，R/M为已经付款期数的每期平均值。</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9.1.5 </w:t>
      </w:r>
      <w:r>
        <w:rPr>
          <w:rFonts w:hint="eastAsia" w:asciiTheme="minorEastAsia" w:hAnsiTheme="minorEastAsia" w:eastAsiaTheme="minorEastAsia" w:cstheme="minorEastAsia"/>
          <w:kern w:val="0"/>
          <w:sz w:val="24"/>
        </w:rPr>
        <w:t>当发生甲方因经营调整而整体关闭该项目营运的情况时，甲方需一次性</w:t>
      </w:r>
      <w:r>
        <w:rPr>
          <w:rFonts w:hint="eastAsia" w:asciiTheme="minorEastAsia" w:hAnsiTheme="minorEastAsia" w:eastAsiaTheme="minorEastAsia" w:cstheme="minorEastAsia"/>
          <w:sz w:val="24"/>
        </w:rPr>
        <w:t>补偿乙方投资损失，补偿标准为：乙方月平均分享金额*48个月作为最低补偿额，项目关停前如合同履行付款超过48个月的不再补偿。因此甲方补偿乙方损失的实际金额为：S=（48-M）×R/M。其中S为补偿金额，M为已履行付款期数，M期内已支付乙方的分享款总额为R，乙方月平均分享金额为R/M。</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 乙方违约和相关赔偿：</w:t>
      </w:r>
    </w:p>
    <w:p>
      <w:pPr>
        <w:autoSpaceDE w:val="0"/>
        <w:autoSpaceDN w:val="0"/>
        <w:adjustRightInd w:val="0"/>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9.2.1 乙方应按照本合同2.1条规定的工期完成项目改造，且施工期间不得影响正常营业，如乙方未能及时完成，乙方每逾期完工一日应当支付违约金1000元。施工期间造成甲方设备损坏或影响甲方正常营业的，乙方除需负责恢复甲方设备正常（包括维修或更换）外，还需按照甲方近3年最高日营业额/每日的标准进行赔偿，并恢复由此造成的社会不良信誉影响。</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9.2.2 节能设备安装调试运行后的合同期间，如发生由于乙方节能设备的原因影响甲方设备的正常运行，进而影响甲方全部或部分营业的，乙方需尽快恢复受影响的设备正常运行，同时乙方赔偿由此造成的损失（具体损失金额双方协商确定）</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9.2.3 乙</w:t>
      </w:r>
      <w:r>
        <w:rPr>
          <w:rFonts w:hint="eastAsia" w:asciiTheme="minorEastAsia" w:hAnsiTheme="minorEastAsia" w:eastAsiaTheme="minorEastAsia" w:cstheme="minorEastAsia"/>
          <w:kern w:val="0"/>
          <w:sz w:val="24"/>
        </w:rPr>
        <w:t>方不得无故单方面终止合同。如乙方单方面无故终止合同，属于乙方严重违约，甲方可扣留所有项目财产，</w:t>
      </w:r>
      <w:r>
        <w:rPr>
          <w:rFonts w:hint="eastAsia" w:asciiTheme="minorEastAsia" w:hAnsiTheme="minorEastAsia" w:eastAsiaTheme="minorEastAsia" w:cstheme="minorEastAsia"/>
          <w:sz w:val="24"/>
        </w:rPr>
        <w:t>乙方还需向甲方支付违约金，该违约金的支付标准按照合同的9.2.4条的规定执行。</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9.2.4 甲乙双方约定如乙方严重违约，乙方需一次性支付整个合同期的甲方预期节能分享收入作为违约金，违约金的计算方法为：Z=（96-M）×N/M，其中Z为违约金总额，M为双方已执行分享的总期数，N为甲方所有分享款总额，（96-M）为合同期内剩余分享期数，N/M为甲方已经分享期数的每期平均值。</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9.3如出现乙方未履行义务或出现9.2条乙方违约，扣除履约保证金。  </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9.4如中标人因违约行为导致履约保证金被扣除，若合同继续履行，则中标人应在履约保证金扣除后</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日内补足履约保证金。</w:t>
      </w:r>
    </w:p>
    <w:p>
      <w:pPr>
        <w:spacing w:line="500" w:lineRule="exact"/>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第10节 不可抗力</w:t>
      </w:r>
    </w:p>
    <w:p>
      <w:pPr>
        <w:autoSpaceDE w:val="0"/>
        <w:autoSpaceDN w:val="0"/>
        <w:adjustRightInd w:val="0"/>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10.1 本合同下不可抗力是指超出了相关方合理控制范围的任何行为或原因，包括但不限于： </w:t>
      </w:r>
    </w:p>
    <w:p>
      <w:pPr>
        <w:autoSpaceDE w:val="0"/>
        <w:autoSpaceDN w:val="0"/>
        <w:adjustRightInd w:val="0"/>
        <w:spacing w:line="500" w:lineRule="exact"/>
        <w:ind w:firstLine="420"/>
        <w:rPr>
          <w:rFonts w:asciiTheme="minorEastAsia" w:hAnsiTheme="minorEastAsia" w:eastAsiaTheme="minorEastAsia" w:cstheme="minorEastAsia"/>
          <w:kern w:val="0"/>
          <w:sz w:val="24"/>
          <w:shd w:val="pct10" w:color="auto" w:fill="FFFFFF"/>
        </w:rPr>
      </w:pPr>
      <w:r>
        <w:rPr>
          <w:rFonts w:hint="eastAsia" w:asciiTheme="minorEastAsia" w:hAnsiTheme="minorEastAsia" w:eastAsiaTheme="minorEastAsia" w:cstheme="minorEastAsia"/>
          <w:kern w:val="0"/>
          <w:sz w:val="24"/>
        </w:rPr>
        <w:t xml:space="preserve">(a) 雷电、洪水、风暴、地震、滑坡、暴雨等自然灾害、海上危险、航行事故、战争、骚乱、暴动、全国紧急状态（无论是实际情况或法律规定的情况）、戒严令、火灾、流行病、隔离、辐射或放射性污染；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(b) 任何政府单位或非政府单位或其它主管部门（包括任何有管辖权的法院或仲裁庭以及国际机构）的行动，包括但不限于法律、法规、规章或其他有法律强制约束力的法案所规定的没收、约束、禁止、干预、征用、要求、指示或禁运，但不得包括一方资金短缺的事实。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 如果一方（“受影响方”）由于不可抗力事件的发生，无法履行或预计无法履行合同下的义务，受影响方必须在知晓不可抗力的有关事件的5日内向另一方（“非受影响方”）提交书面通知，提供不可抗力事件的细节。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10.3 受影响方必须采取一切合理的措施，以消除或减轻不可抗力事件有关的影响。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10.4 在不可抗力事件持续期间，受影响方的履行义务暂时中止，合同约定的义务履行期限相应顺延，并将不会对由此造成的损失或损坏对非受影响方承担责任。在不可抗力事件结束后，受影响方应该尽快恢复履行本合同下的义务。 </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5 如果因为不可抗力事件的影响，受影响方不能继续履行本合同项下的任何义务，而且非影响方在收到不可抗力通知后，受影响方的不能履行义务持续时间达90个连续日，且在此期间，双方没有能够谈判达成一项彼此可以接受的替代方式来执行本合同下的权利和义务，任何一方皆可向另一方提供书面通知，解除本协议，而不用承担任何责任。</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10.6 本合同因不可抗力的原因解除后，乙方不要求甲方赔偿，但本合同下的项目财产所有权仍属乙方，甲方在可控的范围内有义务保持项目财产的完整，如乙方需要拆除并回收项目财产，甲方有义务协助乙方完成拆除工作，同时甲方不得要求乙方恢复原始状态。</w:t>
      </w:r>
    </w:p>
    <w:p>
      <w:pPr>
        <w:autoSpaceDE w:val="0"/>
        <w:autoSpaceDN w:val="0"/>
        <w:adjustRightInd w:val="0"/>
        <w:spacing w:line="500" w:lineRule="exact"/>
        <w:ind w:firstLine="420"/>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第11节 合同解除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 本合同可经由甲、乙双方协商一致后书面解除。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11.2 </w:t>
      </w:r>
      <w:r>
        <w:rPr>
          <w:rFonts w:hint="eastAsia" w:asciiTheme="minorEastAsia" w:hAnsiTheme="minorEastAsia" w:eastAsiaTheme="minorEastAsia" w:cstheme="minorEastAsia"/>
          <w:sz w:val="24"/>
        </w:rPr>
        <w:t>本合同可依照第10.5条(不可抗力)的规定解除</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 当甲方迟延履行付款义务达三个月，</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kern w:val="0"/>
          <w:sz w:val="24"/>
        </w:rPr>
        <w:t>有权书面通知甲方解除本合同。同时甲方需承担本合同第9.1.4条规定的违约责任。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11.4 </w:t>
      </w:r>
      <w:r>
        <w:rPr>
          <w:rFonts w:hint="eastAsia" w:asciiTheme="minorEastAsia" w:hAnsiTheme="minorEastAsia" w:eastAsiaTheme="minorEastAsia" w:cstheme="minorEastAsia"/>
          <w:bCs/>
          <w:sz w:val="24"/>
        </w:rPr>
        <w:t>当乙方延误项目建设期限达</w:t>
      </w:r>
      <w:r>
        <w:rPr>
          <w:rFonts w:hint="eastAsia" w:asciiTheme="minorEastAsia" w:hAnsiTheme="minorEastAsia" w:eastAsiaTheme="minorEastAsia" w:cstheme="minorEastAsia"/>
          <w:bCs/>
          <w:sz w:val="24"/>
          <w:u w:val="single"/>
        </w:rPr>
        <w:t>60</w:t>
      </w:r>
      <w:r>
        <w:rPr>
          <w:rFonts w:hint="eastAsia" w:asciiTheme="minorEastAsia" w:hAnsiTheme="minorEastAsia" w:eastAsiaTheme="minorEastAsia" w:cstheme="minorEastAsia"/>
          <w:kern w:val="0"/>
          <w:sz w:val="24"/>
        </w:rPr>
        <w:t>日历</w:t>
      </w:r>
      <w:r>
        <w:rPr>
          <w:rFonts w:hint="eastAsia" w:asciiTheme="minorEastAsia" w:hAnsiTheme="minorEastAsia" w:eastAsiaTheme="minorEastAsia" w:cstheme="minorEastAsia"/>
          <w:bCs/>
          <w:sz w:val="24"/>
          <w:u w:val="single"/>
        </w:rPr>
        <w:t>天</w:t>
      </w:r>
      <w:r>
        <w:rPr>
          <w:rFonts w:hint="eastAsia" w:asciiTheme="minorEastAsia" w:hAnsiTheme="minorEastAsia" w:eastAsiaTheme="minorEastAsia" w:cstheme="minorEastAsia"/>
          <w:bCs/>
          <w:sz w:val="24"/>
        </w:rPr>
        <w:t>时，甲方有权书面通知乙方解除本合同。</w:t>
      </w:r>
      <w:r>
        <w:rPr>
          <w:rFonts w:hint="eastAsia" w:asciiTheme="minorEastAsia" w:hAnsiTheme="minorEastAsia" w:eastAsiaTheme="minorEastAsia" w:cstheme="minorEastAsia"/>
          <w:kern w:val="0"/>
          <w:sz w:val="24"/>
        </w:rPr>
        <w:t>同时乙方需承担本合同第9.2.4条规定的违约责任。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rPr>
        <w:t>11.</w:t>
      </w:r>
      <w:r>
        <w:rPr>
          <w:rFonts w:hint="eastAsia" w:asciiTheme="minorEastAsia" w:hAnsiTheme="minorEastAsia" w:eastAsiaTheme="minorEastAsia" w:cstheme="minorEastAsia"/>
          <w:kern w:val="0"/>
          <w:sz w:val="24"/>
          <w:lang w:val="en-US" w:eastAsia="zh-CN"/>
        </w:rPr>
        <w:t>5</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highlight w:val="none"/>
        </w:rPr>
        <w:t>当一方进入破产程序，另一方可书面通知对方解除本合同。</w:t>
      </w:r>
    </w:p>
    <w:p>
      <w:pPr>
        <w:pStyle w:val="23"/>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因甲方违约或甲方进入破产程序被解除后，本合同终止实施，项目财产由乙方负责拆除、取回，乙方不负责恢复原状，如甲方要求乙方恢复改造前原状，乙方只负责提供人工开支，恢复原状所用的原有设备和设施由甲方负责提供或由甲方重新购买。</w:t>
      </w:r>
    </w:p>
    <w:p>
      <w:pPr>
        <w:pStyle w:val="23"/>
        <w:spacing w:line="500" w:lineRule="exact"/>
        <w:ind w:firstLine="480" w:firstLineChars="200"/>
        <w:rPr>
          <w:rFonts w:asciiTheme="minorEastAsia" w:hAnsiTheme="minorEastAsia" w:eastAsiaTheme="minorEastAsia" w:cstheme="minorEastAsia"/>
          <w:strike w:val="0"/>
          <w:sz w:val="24"/>
          <w:szCs w:val="24"/>
          <w:highlight w:val="none"/>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trike w:val="0"/>
          <w:sz w:val="24"/>
          <w:szCs w:val="24"/>
          <w:highlight w:val="none"/>
        </w:rPr>
        <w:t>本合同因乙方违约或乙方进入破产程序被解除后，项目财产归甲方，确保正常使用。</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trike w:val="0"/>
          <w:kern w:val="0"/>
          <w:sz w:val="24"/>
          <w:highlight w:val="none"/>
        </w:rPr>
        <w:t>11.</w:t>
      </w:r>
      <w:r>
        <w:rPr>
          <w:rFonts w:hint="eastAsia" w:asciiTheme="minorEastAsia" w:hAnsiTheme="minorEastAsia" w:eastAsiaTheme="minorEastAsia" w:cstheme="minorEastAsia"/>
          <w:strike w:val="0"/>
          <w:kern w:val="0"/>
          <w:sz w:val="24"/>
          <w:highlight w:val="none"/>
          <w:lang w:val="en-US" w:eastAsia="zh-CN"/>
        </w:rPr>
        <w:t>8</w:t>
      </w:r>
      <w:r>
        <w:rPr>
          <w:rFonts w:hint="eastAsia" w:asciiTheme="minorEastAsia" w:hAnsiTheme="minorEastAsia" w:eastAsiaTheme="minorEastAsia" w:cstheme="minorEastAsia"/>
          <w:strike w:val="0"/>
          <w:kern w:val="0"/>
          <w:sz w:val="24"/>
          <w:highlight w:val="none"/>
        </w:rPr>
        <w:t>本合同的解除不影响任何</w:t>
      </w:r>
      <w:r>
        <w:rPr>
          <w:rFonts w:hint="eastAsia" w:asciiTheme="minorEastAsia" w:hAnsiTheme="minorEastAsia" w:eastAsiaTheme="minorEastAsia" w:cstheme="minorEastAsia"/>
          <w:kern w:val="0"/>
          <w:sz w:val="24"/>
        </w:rPr>
        <w:t>一方根据本合同或者相关的法律法规向对方请求赔偿的权利，也不影响在合同解除前甲方应尽的付款义务的履行。</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第12节 合同项下的权利、义务的转让</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12.1 </w:t>
      </w:r>
      <w:r>
        <w:rPr>
          <w:rFonts w:hint="eastAsia" w:asciiTheme="minorEastAsia" w:hAnsiTheme="minorEastAsia" w:eastAsiaTheme="minorEastAsia" w:cstheme="minorEastAsia"/>
          <w:bCs/>
          <w:sz w:val="24"/>
        </w:rPr>
        <w:t>甲乙双方在转让本合同项下的权利和义务之前，应征得对方书面同意，在未征得对方同意之前，双方均无权以任何形式、在实质上转让或转移本合同项下的权利、义务。</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第13节 人身和财产损害和赔偿</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13.1 </w:t>
      </w:r>
      <w:r>
        <w:rPr>
          <w:rFonts w:hint="eastAsia" w:asciiTheme="minorEastAsia" w:hAnsiTheme="minorEastAsia" w:eastAsiaTheme="minorEastAsia" w:cstheme="minorEastAsia"/>
          <w:bCs/>
          <w:sz w:val="24"/>
        </w:rPr>
        <w:t>如果在履行本合同的过程中，因一方的工作人员或受其指派的第三方人员（“侵权方”）的故意或者是过失而导致另一方的工作人员、或者是任何第三方的人身或者是财产损害，侵权方应当为此负责。如果另一方因此受到其工作人员或者是该第三方的赔偿请求，则侵权方应当负责为另一方抗辩，并赔偿另一方由此而产生的所有费用和损失。</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13.2 </w:t>
      </w:r>
      <w:r>
        <w:rPr>
          <w:rFonts w:hint="eastAsia" w:asciiTheme="minorEastAsia" w:hAnsiTheme="minorEastAsia" w:eastAsiaTheme="minorEastAsia" w:cstheme="minorEastAsia"/>
          <w:bCs/>
          <w:sz w:val="24"/>
        </w:rPr>
        <w:t>受损害或伤害的一方对损害或伤害的发生也有过错时，应当根据其过错程度承担相应的责任，并适当减轻造成损害或伤害一方的责任。</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 乙方在履行合同时对自身人员人身和设备的安全性负全责。因乙方提供的产品造成安全事故的，乙方应在事故处理完毕叁个工作日内赔偿甲方的实际损失。</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第14节 保密条款</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双方确定因履行本合同应遵守的保密义务如下：</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14.1甲方保密义务：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14.1.1保密内容（包括技术信息和经营信息）：乙方的技术信息和合同条款。</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14.1.2负有保密义务的人员范围：甲方全体人员。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14.1.3保密期限：合同期满。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14.1.4泄密责任：依法追究法律责任。</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14.2乙方保密义务：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14.2.1保密内容（包括技术信息和经营信息）：甲方的经营信息和合同条款。</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14.2.2负有保密义务的人员范围：乙方全体人员。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14.2.3保密期限：合同期满。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14.2.4泄密责任：依法追究法律责任。</w:t>
      </w:r>
    </w:p>
    <w:p>
      <w:pPr>
        <w:autoSpaceDE w:val="0"/>
        <w:autoSpaceDN w:val="0"/>
        <w:adjustRightInd w:val="0"/>
        <w:spacing w:line="500" w:lineRule="exact"/>
        <w:rPr>
          <w:rFonts w:asciiTheme="minorEastAsia" w:hAnsiTheme="minorEastAsia" w:eastAsiaTheme="minorEastAsia" w:cstheme="minorEastAsia"/>
          <w:bCs/>
          <w:color w:val="FF000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第15节 争议的解决</w:t>
      </w:r>
    </w:p>
    <w:p>
      <w:pPr>
        <w:spacing w:line="500" w:lineRule="exact"/>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本合同履行中如发生争议，双方友好协商解决；协商解决不成，可向甲方所在地人民法院起诉。</w:t>
      </w:r>
    </w:p>
    <w:p>
      <w:pPr>
        <w:spacing w:line="500" w:lineRule="exact"/>
        <w:ind w:firstLine="3855" w:firstLineChars="1600"/>
        <w:jc w:val="both"/>
        <w:rPr>
          <w:rFonts w:asciiTheme="minorEastAsia" w:hAnsiTheme="minorEastAsia" w:eastAsiaTheme="minorEastAsia" w:cstheme="minorEastAsia"/>
          <w:bCs/>
          <w:sz w:val="24"/>
        </w:rPr>
      </w:pPr>
      <w:r>
        <w:rPr>
          <w:rFonts w:hint="eastAsia" w:asciiTheme="minorEastAsia" w:hAnsiTheme="minorEastAsia" w:eastAsiaTheme="minorEastAsia" w:cstheme="minorEastAsia"/>
          <w:b/>
          <w:kern w:val="0"/>
          <w:sz w:val="24"/>
        </w:rPr>
        <w:t xml:space="preserve">第16节 </w:t>
      </w:r>
      <w:r>
        <w:rPr>
          <w:rFonts w:hint="eastAsia" w:asciiTheme="minorEastAsia" w:hAnsiTheme="minorEastAsia" w:eastAsiaTheme="minorEastAsia" w:cstheme="minorEastAsia"/>
          <w:b/>
          <w:sz w:val="24"/>
        </w:rPr>
        <w:t>知识产权</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本合同涉及的专利实施许可和技术秘密许可，双方约定如下：无。</w:t>
      </w:r>
    </w:p>
    <w:p>
      <w:pPr>
        <w:spacing w:line="500" w:lineRule="exac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第17节 费用的分担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17.1 双方应当各自承担谈判和订立本合同的相关费用。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17.2 除非本合同下的其他条款另有规定，双方应当各自承担履行本协议下义务的费用。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 除非本合同下的其他条款或附件另有规定外，则乙方应当负责本项目的投资，并承担本项目的方案设计、建设</w:t>
      </w:r>
      <w:r>
        <w:rPr>
          <w:rFonts w:hint="eastAsia" w:asciiTheme="minorEastAsia" w:hAnsiTheme="minorEastAsia" w:eastAsiaTheme="minorEastAsia" w:cstheme="minorEastAsia"/>
          <w:color w:val="auto"/>
          <w:kern w:val="0"/>
          <w:sz w:val="24"/>
        </w:rPr>
        <w:t>、运行、监测的所有费</w:t>
      </w:r>
      <w:r>
        <w:rPr>
          <w:rFonts w:hint="eastAsia" w:asciiTheme="minorEastAsia" w:hAnsiTheme="minorEastAsia" w:eastAsiaTheme="minorEastAsia" w:cstheme="minorEastAsia"/>
          <w:kern w:val="0"/>
          <w:sz w:val="24"/>
        </w:rPr>
        <w:t>用，包括项目所需设备、技术购置、更换、维保等费用。</w:t>
      </w: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第18节 合同的生效及其他 </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18.1 甲乙双方应指定具体的项目联系人负责合同的履行，一方变更项目联系人的，应在3日内以书面形式通知另一方。未及时通知并影响本合同履行或造成损失的，应承担相应的责任。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18.2 本合同下的通知应当用专人递交、挂号信、快递、微信、传真或者电子邮件的方式发送至本合同所列的地址和联系人。如该通知以口头发出，则应尽快的在合理的时间内以书面方式向对方确认。如一方联系地址改变，则应当尽速书面告知对方。如无其他约定，本合同首页所列的地址即为甲、乙双方的收件地址。</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18.3 本合同附件是本合同的一部分，如部分内容与合同正文不一致，</w:t>
      </w:r>
      <w:r>
        <w:rPr>
          <w:rFonts w:hint="eastAsia" w:asciiTheme="minorEastAsia" w:hAnsiTheme="minorEastAsia" w:eastAsiaTheme="minorEastAsia" w:cstheme="minorEastAsia"/>
          <w:sz w:val="24"/>
        </w:rPr>
        <w:t>优先适用合同附件的规定</w:t>
      </w:r>
      <w:r>
        <w:rPr>
          <w:rFonts w:hint="eastAsia" w:asciiTheme="minorEastAsia" w:hAnsiTheme="minorEastAsia" w:eastAsiaTheme="minorEastAsia" w:cstheme="minorEastAsia"/>
          <w:kern w:val="0"/>
          <w:sz w:val="24"/>
        </w:rPr>
        <w:t>，经甲、乙双方的工作人员共同确认的合同附件和测试数据等，与本合同具有同等的法律效力。</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18.4 </w:t>
      </w:r>
      <w:r>
        <w:rPr>
          <w:rFonts w:hint="eastAsia" w:asciiTheme="minorEastAsia" w:hAnsiTheme="minorEastAsia" w:eastAsiaTheme="minorEastAsia" w:cstheme="minorEastAsia"/>
          <w:bCs/>
          <w:sz w:val="24"/>
        </w:rPr>
        <w:t>本合同的修改应采取书面方式。</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18.5 本合同自双方授权代表签署之日起生效。合同文本一式陆份，具有同等法律效力，甲乙双方各执叁份。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本合同必要的附件包括以下9项：</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附件1   项目内容和边界条件</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附件2  能耗基准、项目节能目标预测及电网电价调整方式</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附件3、节能量测量及节能效益分成计算</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附件4.节能量确认单及付款申请表</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附件5. 项目验收程序和标准</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附件6. 施工条件约定</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附件7. 项目投资分担方案</w:t>
      </w:r>
    </w:p>
    <w:p>
      <w:pPr>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sz w:val="24"/>
        </w:rPr>
        <w:t xml:space="preserve">附件8. </w:t>
      </w:r>
      <w:r>
        <w:rPr>
          <w:rFonts w:hint="eastAsia" w:asciiTheme="minorEastAsia" w:hAnsiTheme="minorEastAsia" w:eastAsiaTheme="minorEastAsia" w:cstheme="minorEastAsia"/>
          <w:bCs/>
          <w:kern w:val="0"/>
          <w:sz w:val="24"/>
        </w:rPr>
        <w:t>设备故障处理约定</w:t>
      </w: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附件9. 其它约定</w:t>
      </w: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甲方（盖章）：                                乙方（盖章）：</w:t>
      </w: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授权代表签字：                                授权代表签字：</w:t>
      </w: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签署日期：                                    签署日期：</w:t>
      </w: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附件1   项目内容和边界条件</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项目内容：</w:t>
      </w:r>
    </w:p>
    <w:p>
      <w:pPr>
        <w:numPr>
          <w:ilvl w:val="0"/>
          <w:numId w:val="3"/>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kern w:val="0"/>
          <w:sz w:val="24"/>
        </w:rPr>
        <w:t>具体改造项目如下；</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加装中央空调智能优化控制系统（节能BA系统），提高系统用电效率并实现自动运行；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空调水泵增加智能逻辑控制，依据实时负荷动态变流量运行； </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空调风柜增加变风量控制系统，实现自动启停和精确控温；</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空调冷却塔增加智能变频系统，实现自动启停和变风量运行；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优化或增加新风换气系统并实现按气温变化和室内空气质量自动运行；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采用符合商业照明标准之高光效、高显指、长寿命LED灯具，替换商场公共区域原有灯具。</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增加智慧照明控制，实现自动灯光控制； </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配套超市内的灯具全部替换成高光效、高显指、长寿命LED灯具；</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配套超市内的冷链制冷机组、冷柜、以及冷库加装精密控制系统实现节能运行；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配套超市内的冷柜加装保温Low-e镀膜玻璃门（盖）；</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建立整体能源监控管理平台，远程测量各用电设备的用电情况以及监测设备运行状态；</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其它适用于</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XXX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的节能技术改造；</w:t>
      </w:r>
    </w:p>
    <w:p>
      <w:pPr>
        <w:autoSpaceDE w:val="0"/>
        <w:autoSpaceDN w:val="0"/>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（2）乙方派遣专业技术人员参与节能设备和用电设备（不含门店供配电设备、收银、消防、监控设备）日常运行管理工作。</w:t>
      </w:r>
    </w:p>
    <w:p>
      <w:pPr>
        <w:autoSpaceDE w:val="0"/>
        <w:autoSpaceDN w:val="0"/>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（3）合同期内由乙方负责节能设备的日常保养、维修工作；</w:t>
      </w:r>
      <w:r>
        <w:rPr>
          <w:rFonts w:hint="eastAsia" w:asciiTheme="minorEastAsia" w:hAnsiTheme="minorEastAsia" w:eastAsiaTheme="minorEastAsia" w:cstheme="minorEastAsia"/>
          <w:kern w:val="0"/>
          <w:sz w:val="24"/>
        </w:rPr>
        <w:t>合同期满且甲方付清全部款项后，乙方将设备设施的所有权无偿转让给甲方，如果甲方需要乙方维修保养或者继续管理，乙方可以与</w:t>
      </w:r>
      <w:r>
        <w:rPr>
          <w:rFonts w:hint="eastAsia" w:asciiTheme="minorEastAsia" w:hAnsiTheme="minorEastAsia" w:eastAsiaTheme="minorEastAsia" w:cstheme="minorEastAsia"/>
          <w:sz w:val="24"/>
        </w:rPr>
        <w:t>甲方另行签订合同以收费模式延续服务。</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边界条件：</w:t>
      </w:r>
    </w:p>
    <w:p>
      <w:pPr>
        <w:numPr>
          <w:ilvl w:val="0"/>
          <w:numId w:val="5"/>
        </w:num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改造完成后，门店各用电设备运行模式和运行时间与改造前应保持基本一致（如今后门店调整灯光和空调及其他能耗设备的开放时间，造成当月灯光和相应设备用电增加或减少，则在结算时相应体现该部分用电变量）。</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rPr>
        <w:t>（2）项目改造完成后，</w:t>
      </w:r>
      <w:r>
        <w:rPr>
          <w:rFonts w:hint="eastAsia" w:asciiTheme="minorEastAsia" w:hAnsiTheme="minorEastAsia" w:eastAsiaTheme="minorEastAsia" w:cstheme="minorEastAsia"/>
          <w:sz w:val="24"/>
        </w:rPr>
        <w:t>经甲乙双方共同确认</w:t>
      </w:r>
      <w:r>
        <w:rPr>
          <w:rFonts w:hint="eastAsia" w:asciiTheme="minorEastAsia" w:hAnsiTheme="minorEastAsia" w:eastAsiaTheme="minorEastAsia" w:cstheme="minorEastAsia"/>
          <w:kern w:val="0"/>
          <w:sz w:val="24"/>
        </w:rPr>
        <w:t>空调平均温度需达到国家标准，即</w:t>
      </w:r>
      <w:r>
        <w:rPr>
          <w:rFonts w:hint="eastAsia" w:asciiTheme="minorEastAsia" w:hAnsiTheme="minorEastAsia" w:eastAsiaTheme="minorEastAsia" w:cstheme="minorEastAsia"/>
          <w:sz w:val="24"/>
        </w:rPr>
        <w:t>夏季环境温度要求室内温度≤26℃，梅雨季节室内闷热天也应当开启空调，冬季环境温度要求一楼商场≥18℃的环境目标</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中央空调系统运行改造后，必须参照现有开启时间开关，并不得低于现有环境舒适度。</w:t>
      </w:r>
      <w:r>
        <w:rPr>
          <w:rFonts w:hint="eastAsia" w:asciiTheme="minorEastAsia" w:hAnsiTheme="minorEastAsia" w:eastAsiaTheme="minorEastAsia" w:cstheme="minorEastAsia"/>
          <w:sz w:val="24"/>
          <w:highlight w:val="none"/>
        </w:rPr>
        <w:t>且</w:t>
      </w:r>
      <w:r>
        <w:rPr>
          <w:rFonts w:hint="eastAsia" w:asciiTheme="minorEastAsia" w:hAnsiTheme="minorEastAsia" w:eastAsiaTheme="minorEastAsia" w:cstheme="minorEastAsia"/>
          <w:strike w:val="0"/>
          <w:sz w:val="24"/>
          <w:highlight w:val="none"/>
        </w:rPr>
        <w:t>综合节电率≥</w:t>
      </w:r>
      <w:r>
        <w:rPr>
          <w:rFonts w:hint="eastAsia" w:asciiTheme="minorEastAsia" w:hAnsiTheme="minorEastAsia" w:eastAsiaTheme="minorEastAsia" w:cstheme="minorEastAsia"/>
          <w:strike w:val="0"/>
          <w:sz w:val="24"/>
          <w:highlight w:val="none"/>
          <w:lang w:val="en-US" w:eastAsia="zh-CN"/>
        </w:rPr>
        <w:t>XX</w:t>
      </w:r>
      <w:r>
        <w:rPr>
          <w:rFonts w:hint="eastAsia" w:asciiTheme="minorEastAsia" w:hAnsiTheme="minorEastAsia" w:eastAsiaTheme="minorEastAsia" w:cstheme="minorEastAsia"/>
          <w:strike w:val="0"/>
          <w:sz w:val="24"/>
          <w:highlight w:val="none"/>
        </w:rPr>
        <w:t>%</w:t>
      </w:r>
      <w:r>
        <w:rPr>
          <w:rFonts w:hint="eastAsia" w:asciiTheme="minorEastAsia" w:hAnsiTheme="minorEastAsia" w:eastAsiaTheme="minorEastAsia" w:cstheme="minorEastAsia"/>
          <w:strike w:val="0"/>
          <w:sz w:val="24"/>
          <w:highlight w:val="none"/>
          <w:lang w:val="en-US" w:eastAsia="zh-CN"/>
        </w:rPr>
        <w:t>(中</w:t>
      </w:r>
      <w:r>
        <w:rPr>
          <w:rFonts w:hint="eastAsia" w:asciiTheme="minorEastAsia" w:hAnsiTheme="minorEastAsia" w:eastAsiaTheme="minorEastAsia" w:cstheme="minorEastAsia"/>
          <w:sz w:val="24"/>
          <w:highlight w:val="none"/>
          <w:lang w:val="en-US" w:eastAsia="zh-CN"/>
        </w:rPr>
        <w:t>标人投标所报项目节能率）</w:t>
      </w:r>
      <w:r>
        <w:rPr>
          <w:rFonts w:hint="eastAsia" w:asciiTheme="minorEastAsia" w:hAnsiTheme="minorEastAsia" w:eastAsiaTheme="minorEastAsia" w:cstheme="minorEastAsia"/>
          <w:sz w:val="24"/>
          <w:highlight w:val="none"/>
        </w:rPr>
        <w:t>。</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（3）在整个合同期内，替换了节能灯具的区域，平均照度不得低于改造前各区域的平均照度（改造前和改造后在相同的测量点测量离地1米高度的亮度，并进行记录）。</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附件2  能耗基准、项目节能目标预测及电网电价调整方式</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能耗基准：</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highlight w:val="none"/>
        </w:rPr>
        <w:t>以</w:t>
      </w:r>
      <w:r>
        <w:rPr>
          <w:rFonts w:hint="eastAsia" w:asciiTheme="minorEastAsia" w:hAnsiTheme="minorEastAsia" w:eastAsiaTheme="minorEastAsia" w:cstheme="minorEastAsia"/>
          <w:kern w:val="0"/>
          <w:sz w:val="24"/>
          <w:highlight w:val="none"/>
          <w:lang w:val="en-US" w:eastAsia="zh-CN"/>
        </w:rPr>
        <w:t>XXX</w:t>
      </w:r>
      <w:r>
        <w:rPr>
          <w:rFonts w:hint="eastAsia" w:asciiTheme="minorEastAsia" w:hAnsiTheme="minorEastAsia" w:eastAsiaTheme="minorEastAsia" w:cstheme="minorEastAsia"/>
          <w:kern w:val="0"/>
          <w:sz w:val="24"/>
          <w:highlight w:val="none"/>
          <w:lang w:eastAsia="zh-CN"/>
        </w:rPr>
        <w:t>公司</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月各月份总</w:t>
      </w:r>
      <w:r>
        <w:rPr>
          <w:rFonts w:hint="eastAsia" w:asciiTheme="minorEastAsia" w:hAnsiTheme="minorEastAsia" w:eastAsiaTheme="minorEastAsia" w:cstheme="minorEastAsia"/>
          <w:kern w:val="0"/>
          <w:sz w:val="24"/>
        </w:rPr>
        <w:t>用电量减去外租商户电量得到的公用</w:t>
      </w:r>
      <w:r>
        <w:rPr>
          <w:rFonts w:hint="eastAsia" w:asciiTheme="minorEastAsia" w:hAnsiTheme="minorEastAsia" w:eastAsiaTheme="minorEastAsia" w:cstheme="minorEastAsia"/>
          <w:bCs/>
          <w:kern w:val="0"/>
          <w:sz w:val="24"/>
        </w:rPr>
        <w:t>电量为结算基准电量，详见下表《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XXX</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bCs/>
          <w:kern w:val="0"/>
          <w:sz w:val="24"/>
        </w:rPr>
        <w:t>每月基准电量电费表》</w:t>
      </w:r>
      <w:r>
        <w:rPr>
          <w:rFonts w:hint="eastAsia" w:asciiTheme="minorEastAsia" w:hAnsiTheme="minorEastAsia" w:eastAsiaTheme="minorEastAsia" w:cstheme="minorEastAsia"/>
          <w:kern w:val="0"/>
          <w:sz w:val="24"/>
        </w:rPr>
        <w:t>。</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项目节能目标承诺：</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在合同期内，门店每结算年度（12个月）公用电总电量同比年度基准量（12个月）总电量节省</w:t>
      </w:r>
      <w:r>
        <w:rPr>
          <w:rFonts w:hint="eastAsia" w:asciiTheme="minorEastAsia" w:hAnsiTheme="minorEastAsia" w:eastAsiaTheme="minorEastAsia" w:cstheme="minorEastAsia"/>
          <w:b/>
          <w:kern w:val="0"/>
          <w:sz w:val="24"/>
          <w:u w:val="single"/>
        </w:rPr>
        <w:t xml:space="preserve"> </w:t>
      </w:r>
      <w:r>
        <w:rPr>
          <w:rFonts w:hint="eastAsia" w:asciiTheme="minorEastAsia" w:hAnsiTheme="minorEastAsia" w:eastAsiaTheme="minorEastAsia" w:cstheme="minorEastAsia"/>
          <w:b/>
          <w:kern w:val="0"/>
          <w:sz w:val="24"/>
          <w:u w:val="single"/>
          <w:lang w:val="en-US" w:eastAsia="zh-CN"/>
        </w:rPr>
        <w:t xml:space="preserve">    </w:t>
      </w:r>
      <w:r>
        <w:rPr>
          <w:rFonts w:hint="eastAsia" w:asciiTheme="minorEastAsia" w:hAnsiTheme="minorEastAsia" w:eastAsiaTheme="minorEastAsia" w:cstheme="minorEastAsia"/>
          <w:kern w:val="0"/>
          <w:sz w:val="24"/>
        </w:rPr>
        <w:t>万度以上。</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能源价格波动、调整方式：</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甲乙双方的当月结算电价为：当月供电局电费单的电费总额（+电损费）/总用电量</w:t>
      </w:r>
      <w:r>
        <w:rPr>
          <w:rFonts w:hint="eastAsia" w:asciiTheme="minorEastAsia" w:hAnsiTheme="minorEastAsia" w:eastAsiaTheme="minorEastAsia" w:cstheme="minorEastAsia"/>
          <w:kern w:val="0"/>
          <w:sz w:val="24"/>
        </w:rPr>
        <w:t>。</w:t>
      </w:r>
    </w:p>
    <w:p>
      <w:pPr>
        <w:spacing w:line="44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kern w:val="0"/>
          <w:sz w:val="24"/>
        </w:rPr>
        <w:t>集团</w:t>
      </w:r>
      <w:r>
        <w:rPr>
          <w:rFonts w:hint="eastAsia" w:asciiTheme="minorEastAsia" w:hAnsiTheme="minorEastAsia" w:eastAsiaTheme="minorEastAsia" w:cstheme="minorEastAsia"/>
          <w:b/>
          <w:kern w:val="0"/>
          <w:sz w:val="24"/>
          <w:lang w:val="en-US" w:eastAsia="zh-CN"/>
        </w:rPr>
        <w:t>XX</w:t>
      </w:r>
      <w:r>
        <w:rPr>
          <w:rFonts w:hint="eastAsia" w:asciiTheme="minorEastAsia" w:hAnsiTheme="minorEastAsia" w:eastAsiaTheme="minorEastAsia" w:cstheme="minorEastAsia"/>
          <w:b/>
          <w:kern w:val="0"/>
          <w:sz w:val="24"/>
        </w:rPr>
        <w:t>店</w:t>
      </w:r>
      <w:r>
        <w:rPr>
          <w:rFonts w:hint="eastAsia" w:asciiTheme="minorEastAsia" w:hAnsiTheme="minorEastAsia" w:eastAsiaTheme="minorEastAsia" w:cstheme="minorEastAsia"/>
          <w:b/>
          <w:bCs/>
          <w:kern w:val="0"/>
          <w:sz w:val="24"/>
        </w:rPr>
        <w:t>每月基准能耗表</w:t>
      </w:r>
    </w:p>
    <w:tbl>
      <w:tblPr>
        <w:tblStyle w:val="27"/>
        <w:tblW w:w="9649" w:type="dxa"/>
        <w:tblInd w:w="0" w:type="dxa"/>
        <w:tblLayout w:type="fixed"/>
        <w:tblCellMar>
          <w:top w:w="0" w:type="dxa"/>
          <w:left w:w="0" w:type="dxa"/>
          <w:bottom w:w="0" w:type="dxa"/>
          <w:right w:w="0" w:type="dxa"/>
        </w:tblCellMar>
      </w:tblPr>
      <w:tblGrid>
        <w:gridCol w:w="1284"/>
        <w:gridCol w:w="991"/>
        <w:gridCol w:w="698"/>
        <w:gridCol w:w="994"/>
        <w:gridCol w:w="996"/>
        <w:gridCol w:w="993"/>
        <w:gridCol w:w="1000"/>
        <w:gridCol w:w="991"/>
        <w:gridCol w:w="1702"/>
      </w:tblGrid>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Cs/>
                <w:kern w:val="0"/>
                <w:sz w:val="24"/>
                <w:lang w:val="en-US" w:eastAsia="zh-CN"/>
              </w:rPr>
              <w:t>XXX</w:t>
            </w:r>
            <w:r>
              <w:rPr>
                <w:rFonts w:hint="eastAsia" w:asciiTheme="minorEastAsia" w:hAnsiTheme="minorEastAsia" w:eastAsiaTheme="minorEastAsia" w:cstheme="minorEastAsia"/>
                <w:bCs/>
                <w:kern w:val="0"/>
                <w:sz w:val="24"/>
              </w:rPr>
              <w:t>店20</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年</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月-20</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年</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月年度基准能耗表</w:t>
            </w:r>
          </w:p>
        </w:tc>
      </w:tr>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rPr>
              <w:t>电表户号：</w:t>
            </w:r>
            <w:r>
              <w:rPr>
                <w:rFonts w:hint="eastAsia" w:asciiTheme="minorEastAsia" w:hAnsiTheme="minorEastAsia" w:eastAsiaTheme="minorEastAsia" w:cstheme="minorEastAsia"/>
                <w:kern w:val="0"/>
                <w:sz w:val="24"/>
                <w:lang w:val="en-US" w:eastAsia="zh-CN"/>
              </w:rPr>
              <w:t xml:space="preserve"> </w:t>
            </w:r>
          </w:p>
        </w:tc>
      </w:tr>
      <w:tr>
        <w:tblPrEx>
          <w:tblCellMar>
            <w:top w:w="0" w:type="dxa"/>
            <w:left w:w="0" w:type="dxa"/>
            <w:bottom w:w="0" w:type="dxa"/>
            <w:right w:w="0" w:type="dxa"/>
          </w:tblCellMar>
        </w:tblPrEx>
        <w:trPr>
          <w:trHeight w:val="321" w:hRule="atLeast"/>
        </w:trPr>
        <w:tc>
          <w:tcPr>
            <w:tcW w:w="7947" w:type="dxa"/>
            <w:gridSpan w:val="8"/>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历史用电数据</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基准能耗量</w:t>
            </w:r>
          </w:p>
        </w:tc>
      </w:tr>
      <w:tr>
        <w:tblPrEx>
          <w:tblCellMar>
            <w:top w:w="0" w:type="dxa"/>
            <w:left w:w="0" w:type="dxa"/>
            <w:bottom w:w="0" w:type="dxa"/>
            <w:right w:w="0" w:type="dxa"/>
          </w:tblCellMar>
        </w:tblPrEx>
        <w:trPr>
          <w:trHeight w:val="86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30"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bCs/>
                <w:sz w:val="24"/>
              </w:rPr>
            </w:pPr>
          </w:p>
        </w:tc>
      </w:tr>
    </w:tbl>
    <w:p>
      <w:pPr>
        <w:spacing w:line="440" w:lineRule="exact"/>
        <w:ind w:firstLine="482" w:firstLineChars="200"/>
        <w:rPr>
          <w:rFonts w:asciiTheme="minorEastAsia" w:hAnsiTheme="minorEastAsia" w:eastAsiaTheme="minorEastAsia" w:cstheme="minorEastAsia"/>
          <w:b/>
          <w:bCs/>
          <w:sz w:val="24"/>
        </w:rPr>
      </w:pP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备注：1、以上全部数据由集团店提供，双方已经确认；</w:t>
      </w:r>
    </w:p>
    <w:p>
      <w:pPr>
        <w:autoSpaceDE w:val="0"/>
        <w:autoSpaceDN w:val="0"/>
        <w:adjustRightInd w:val="0"/>
        <w:spacing w:line="360" w:lineRule="auto"/>
        <w:ind w:firstLine="1560" w:firstLineChars="6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甲方代表签字：                             乙方代表签字：</w:t>
      </w:r>
    </w:p>
    <w:p>
      <w:p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甲方（盖章）：                             乙方（盖章）：</w:t>
      </w: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附件3、节能量测量及节能效益分成计算</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节能量测量方法：</w:t>
      </w:r>
    </w:p>
    <w:p>
      <w:pPr>
        <w:spacing w:line="360" w:lineRule="auto"/>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（1）节能量测量范围</w:t>
      </w:r>
    </w:p>
    <w:p>
      <w:pPr>
        <w:spacing w:line="360" w:lineRule="auto"/>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XXX</w:t>
      </w:r>
      <w:r>
        <w:rPr>
          <w:rFonts w:hint="eastAsia" w:asciiTheme="minorEastAsia" w:hAnsiTheme="minorEastAsia" w:eastAsiaTheme="minorEastAsia" w:cstheme="minorEastAsia"/>
          <w:sz w:val="24"/>
          <w:u w:val="single"/>
          <w:lang w:eastAsia="zh-CN"/>
        </w:rPr>
        <w:t>公司</w:t>
      </w:r>
      <w:r>
        <w:rPr>
          <w:rFonts w:hint="eastAsia" w:asciiTheme="minorEastAsia" w:hAnsiTheme="minorEastAsia" w:eastAsiaTheme="minorEastAsia" w:cstheme="minorEastAsia"/>
          <w:kern w:val="0"/>
          <w:sz w:val="24"/>
        </w:rPr>
        <w:t>20</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月-20</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月各月份总用电</w:t>
      </w:r>
      <w:r>
        <w:rPr>
          <w:rFonts w:hint="eastAsia" w:asciiTheme="minorEastAsia" w:hAnsiTheme="minorEastAsia" w:eastAsiaTheme="minorEastAsia" w:cstheme="minorEastAsia"/>
          <w:color w:val="auto"/>
          <w:kern w:val="0"/>
          <w:sz w:val="24"/>
        </w:rPr>
        <w:t>量减去</w:t>
      </w:r>
      <w:r>
        <w:rPr>
          <w:rFonts w:hint="eastAsia" w:asciiTheme="minorEastAsia" w:hAnsiTheme="minorEastAsia" w:eastAsiaTheme="minorEastAsia" w:cstheme="minorEastAsia"/>
          <w:color w:val="auto"/>
          <w:kern w:val="0"/>
          <w:sz w:val="24"/>
          <w:lang w:eastAsia="zh-CN"/>
        </w:rPr>
        <w:t>租赁商铺租户</w:t>
      </w:r>
      <w:r>
        <w:rPr>
          <w:rFonts w:hint="eastAsia" w:asciiTheme="minorEastAsia" w:hAnsiTheme="minorEastAsia" w:eastAsiaTheme="minorEastAsia" w:cstheme="minorEastAsia"/>
          <w:color w:val="auto"/>
          <w:kern w:val="0"/>
          <w:sz w:val="24"/>
        </w:rPr>
        <w:t>总电</w:t>
      </w:r>
      <w:r>
        <w:rPr>
          <w:rFonts w:hint="eastAsia" w:asciiTheme="minorEastAsia" w:hAnsiTheme="minorEastAsia" w:eastAsiaTheme="minorEastAsia" w:cstheme="minorEastAsia"/>
          <w:kern w:val="0"/>
          <w:sz w:val="24"/>
        </w:rPr>
        <w:t>量得到的12个月公用</w:t>
      </w:r>
      <w:r>
        <w:rPr>
          <w:rFonts w:hint="eastAsia" w:asciiTheme="minorEastAsia" w:hAnsiTheme="minorEastAsia" w:eastAsiaTheme="minorEastAsia" w:cstheme="minorEastAsia"/>
          <w:bCs/>
          <w:kern w:val="0"/>
          <w:sz w:val="24"/>
        </w:rPr>
        <w:t>电量为结算基准量，每个结算月份以当月实际公用电量同比相同月份基准量得出节省电量</w:t>
      </w:r>
      <w:r>
        <w:rPr>
          <w:rFonts w:hint="eastAsia" w:asciiTheme="minorEastAsia" w:hAnsiTheme="minorEastAsia" w:eastAsiaTheme="minorEastAsia" w:cstheme="minorEastAsia"/>
          <w:sz w:val="24"/>
        </w:rPr>
        <w:t>。</w:t>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（2）节能效益的计算方法：</w:t>
      </w:r>
    </w:p>
    <w:p>
      <w:pPr>
        <w:spacing w:line="360" w:lineRule="auto"/>
        <w:ind w:left="420" w:hanging="42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在合同期内，甲、乙双方每月共同对门店在合同能源管理状态下电费单总用电量、</w:t>
      </w:r>
      <w:r>
        <w:rPr>
          <w:rFonts w:hint="eastAsia" w:asciiTheme="minorEastAsia" w:hAnsiTheme="minorEastAsia" w:eastAsiaTheme="minorEastAsia" w:cstheme="minorEastAsia"/>
          <w:color w:val="auto"/>
          <w:kern w:val="0"/>
          <w:sz w:val="24"/>
          <w:lang w:eastAsia="zh-CN"/>
        </w:rPr>
        <w:t>租赁商铺租户</w:t>
      </w:r>
      <w:r>
        <w:rPr>
          <w:rFonts w:hint="eastAsia" w:asciiTheme="minorEastAsia" w:hAnsiTheme="minorEastAsia" w:eastAsiaTheme="minorEastAsia" w:cstheme="minorEastAsia"/>
          <w:sz w:val="24"/>
        </w:rPr>
        <w:t>用电量进行记录汇总，计算出当月该项目实际公用电量，并对应</w:t>
      </w:r>
      <w:r>
        <w:rPr>
          <w:rFonts w:hint="eastAsia" w:asciiTheme="minorEastAsia" w:hAnsiTheme="minorEastAsia" w:eastAsiaTheme="minorEastAsia" w:cstheme="minorEastAsia"/>
          <w:b/>
          <w:sz w:val="24"/>
        </w:rPr>
        <w:t>附件2</w:t>
      </w:r>
      <w:r>
        <w:rPr>
          <w:rFonts w:hint="eastAsia" w:asciiTheme="minorEastAsia" w:hAnsiTheme="minorEastAsia" w:eastAsiaTheme="minorEastAsia" w:cstheme="minorEastAsia"/>
          <w:sz w:val="24"/>
        </w:rPr>
        <w:t>的基准电量差额为当期节省量。</w:t>
      </w:r>
    </w:p>
    <w:p>
      <w:pPr>
        <w:spacing w:line="360" w:lineRule="auto"/>
        <w:ind w:left="420" w:hanging="42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 （3）合同期乙方每月应得分享效益的计算方法：</w:t>
      </w:r>
    </w:p>
    <w:p>
      <w:pPr>
        <w:spacing w:line="360" w:lineRule="auto"/>
        <w:ind w:firstLine="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计算公式：M=(A-B+C)×D×E</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式中：M—为当期乙方节能效益分成金额；</w:t>
      </w:r>
    </w:p>
    <w:p>
      <w:pPr>
        <w:spacing w:line="360" w:lineRule="auto"/>
        <w:ind w:firstLine="720" w:firstLineChars="3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A为门店当月同期</w:t>
      </w:r>
      <w:r>
        <w:rPr>
          <w:rFonts w:hint="eastAsia" w:asciiTheme="minorEastAsia" w:hAnsiTheme="minorEastAsia" w:eastAsiaTheme="minorEastAsia" w:cstheme="minorEastAsia"/>
          <w:b/>
          <w:bCs/>
          <w:kern w:val="0"/>
          <w:sz w:val="24"/>
        </w:rPr>
        <w:t>基准公用电量</w:t>
      </w:r>
      <w:r>
        <w:rPr>
          <w:rFonts w:hint="eastAsia" w:asciiTheme="minorEastAsia" w:hAnsiTheme="minorEastAsia" w:eastAsiaTheme="minorEastAsia" w:cstheme="minorEastAsia"/>
          <w:sz w:val="24"/>
        </w:rPr>
        <w:t>；</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B为当月门店在合同能源管理状态下的公用电量；</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C为当月门店因各种变更增加（减少）的用电量，包括但不限于用电设备增减、运行时间变化、以及建筑区域或功能调整等对能耗有影响的变更（能耗增加取正值，减少取负值）；</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D 为当月综合电价=（电业局电费单的电费总额+电损费）/电业局电费单总用电量；</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 为合同约定的乙方当月节能效益分享比例；</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（4）验证方案：</w:t>
      </w:r>
    </w:p>
    <w:p>
      <w:pPr>
        <w:autoSpaceDE w:val="0"/>
        <w:autoSpaceDN w:val="0"/>
        <w:adjustRightInd w:val="0"/>
        <w:spacing w:line="360" w:lineRule="auto"/>
        <w:ind w:firstLine="405"/>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由甲乙双方共同对上述数据进行抄表、记录、汇总、计算，双方共同验证：</w:t>
      </w:r>
    </w:p>
    <w:p>
      <w:pPr>
        <w:autoSpaceDE w:val="0"/>
        <w:autoSpaceDN w:val="0"/>
        <w:adjustRightInd w:val="0"/>
        <w:spacing w:line="360" w:lineRule="auto"/>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sz w:val="24"/>
        </w:rPr>
        <w:t xml:space="preserve">    1、基</w:t>
      </w:r>
      <w:r>
        <w:rPr>
          <w:rFonts w:hint="eastAsia" w:asciiTheme="minorEastAsia" w:hAnsiTheme="minorEastAsia" w:eastAsiaTheme="minorEastAsia" w:cstheme="minorEastAsia"/>
          <w:sz w:val="24"/>
          <w:highlight w:val="none"/>
        </w:rPr>
        <w:t>准电量为经双方确认的</w:t>
      </w:r>
      <w:r>
        <w:rPr>
          <w:rFonts w:hint="eastAsia" w:asciiTheme="minorEastAsia" w:hAnsiTheme="minorEastAsia" w:eastAsiaTheme="minorEastAsia" w:cstheme="minorEastAsia"/>
          <w:kern w:val="0"/>
          <w:sz w:val="24"/>
          <w:highlight w:val="none"/>
        </w:rPr>
        <w:t>20</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月-20</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月各月</w:t>
      </w:r>
      <w:r>
        <w:rPr>
          <w:rFonts w:hint="eastAsia" w:asciiTheme="minorEastAsia" w:hAnsiTheme="minorEastAsia" w:eastAsiaTheme="minorEastAsia" w:cstheme="minorEastAsia"/>
          <w:sz w:val="24"/>
          <w:highlight w:val="none"/>
        </w:rPr>
        <w:t>的公用电量为准。</w:t>
      </w:r>
    </w:p>
    <w:p>
      <w:pPr>
        <w:spacing w:line="360" w:lineRule="auto"/>
        <w:ind w:left="720" w:hanging="720" w:hangingChars="3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    2、当月如有用电设备增减或营业面积调整，双方需共同确认并填写《</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XXX</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sz w:val="24"/>
        </w:rPr>
        <w:t>增减设备负荷表》并依据该设备的使用时间计算出当月开始增加（减少）的电量，所增加（减少）的电量并入附件4 节能量确认单，以准确计算从此以后各月份的节能量。</w:t>
      </w:r>
    </w:p>
    <w:p>
      <w:pPr>
        <w:autoSpaceDE w:val="0"/>
        <w:autoSpaceDN w:val="0"/>
        <w:adjustRightInd w:val="0"/>
        <w:spacing w:line="360" w:lineRule="auto"/>
        <w:jc w:val="left"/>
        <w:rPr>
          <w:rFonts w:hAnsi="宋体"/>
          <w:szCs w:val="21"/>
        </w:rPr>
      </w:pPr>
    </w:p>
    <w:p/>
    <w:p/>
    <w:p/>
    <w:p/>
    <w:p/>
    <w:p>
      <w:pPr>
        <w:jc w:val="center"/>
        <w:rPr>
          <w:rFonts w:ascii="宋体" w:hAnsi="宋体"/>
          <w:b/>
          <w:sz w:val="24"/>
        </w:rPr>
      </w:pPr>
      <w:r>
        <w:rPr>
          <w:rFonts w:hint="eastAsia" w:ascii="宋体" w:hAnsi="宋体" w:cs="宋体"/>
          <w:b/>
          <w:kern w:val="0"/>
          <w:sz w:val="24"/>
          <w:lang w:val="en-US" w:eastAsia="zh-CN"/>
        </w:rPr>
        <w:t xml:space="preserve"> 合肥百大</w:t>
      </w:r>
      <w:r>
        <w:rPr>
          <w:rFonts w:hint="eastAsia" w:ascii="宋体" w:hAnsi="宋体" w:cs="宋体"/>
          <w:b/>
          <w:kern w:val="0"/>
          <w:sz w:val="24"/>
        </w:rPr>
        <w:t>集团</w:t>
      </w:r>
      <w:r>
        <w:rPr>
          <w:rFonts w:hint="eastAsia" w:ascii="宋体" w:hAnsi="宋体" w:cs="宋体"/>
          <w:b/>
          <w:kern w:val="0"/>
          <w:sz w:val="24"/>
          <w:u w:val="single"/>
          <w:lang w:val="en-US" w:eastAsia="zh-CN"/>
        </w:rPr>
        <w:t xml:space="preserve">    XXX  店</w:t>
      </w:r>
      <w:r>
        <w:rPr>
          <w:rFonts w:hint="eastAsia" w:ascii="宋体" w:hAnsi="宋体"/>
          <w:b/>
          <w:sz w:val="24"/>
        </w:rPr>
        <w:t>增减设备负荷表</w:t>
      </w:r>
    </w:p>
    <w:p>
      <w:pPr>
        <w:jc w:val="center"/>
        <w:rPr>
          <w:rFonts w:ascii="宋体" w:hAnsi="宋体"/>
          <w:b/>
          <w:sz w:val="24"/>
        </w:rPr>
      </w:pPr>
    </w:p>
    <w:p>
      <w:pPr>
        <w:rPr>
          <w:sz w:val="24"/>
        </w:rPr>
      </w:pPr>
      <w:r>
        <w:rPr>
          <w:rFonts w:hint="eastAsia"/>
          <w:sz w:val="24"/>
        </w:rPr>
        <w:t xml:space="preserve">                                                 日期：20</w:t>
      </w:r>
      <w:r>
        <w:rPr>
          <w:rFonts w:hint="eastAsia"/>
          <w:sz w:val="24"/>
          <w:lang w:val="en-US" w:eastAsia="zh-CN"/>
        </w:rPr>
        <w:t>XX</w:t>
      </w:r>
      <w:r>
        <w:rPr>
          <w:rFonts w:hint="eastAsia"/>
          <w:sz w:val="24"/>
        </w:rPr>
        <w:t>年</w:t>
      </w:r>
      <w:r>
        <w:rPr>
          <w:rFonts w:hint="eastAsia"/>
          <w:sz w:val="24"/>
          <w:lang w:val="en-US" w:eastAsia="zh-CN"/>
        </w:rPr>
        <w:t>XX</w:t>
      </w:r>
      <w:r>
        <w:rPr>
          <w:rFonts w:hint="eastAsia"/>
          <w:sz w:val="24"/>
        </w:rPr>
        <w:t>月</w:t>
      </w:r>
      <w:r>
        <w:rPr>
          <w:rFonts w:hint="eastAsia"/>
          <w:sz w:val="24"/>
          <w:lang w:val="en-US" w:eastAsia="zh-CN"/>
        </w:rPr>
        <w:t>XX</w:t>
      </w:r>
      <w:r>
        <w:rPr>
          <w:rFonts w:hint="eastAsia"/>
          <w:sz w:val="24"/>
        </w:rPr>
        <w:t>日</w:t>
      </w:r>
    </w:p>
    <w:tbl>
      <w:tblPr>
        <w:tblStyle w:val="2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708"/>
        <w:gridCol w:w="1276"/>
        <w:gridCol w:w="284"/>
        <w:gridCol w:w="1842"/>
        <w:gridCol w:w="993"/>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Cs w:val="21"/>
              </w:rPr>
            </w:pPr>
            <w:r>
              <w:rPr>
                <w:rFonts w:hint="eastAsia"/>
                <w:szCs w:val="21"/>
              </w:rPr>
              <w:t>增加</w:t>
            </w:r>
          </w:p>
          <w:p>
            <w:pPr>
              <w:jc w:val="center"/>
              <w:rPr>
                <w:szCs w:val="21"/>
              </w:rPr>
            </w:pPr>
            <w:r>
              <w:rPr>
                <w:rFonts w:hint="eastAsia"/>
                <w:szCs w:val="21"/>
              </w:rPr>
              <w:t>设备名称</w:t>
            </w:r>
          </w:p>
        </w:tc>
        <w:tc>
          <w:tcPr>
            <w:tcW w:w="993" w:type="dxa"/>
          </w:tcPr>
          <w:p>
            <w:pPr>
              <w:jc w:val="center"/>
              <w:rPr>
                <w:szCs w:val="21"/>
              </w:rPr>
            </w:pPr>
          </w:p>
          <w:p>
            <w:pPr>
              <w:jc w:val="center"/>
              <w:rPr>
                <w:szCs w:val="21"/>
              </w:rPr>
            </w:pPr>
            <w:r>
              <w:rPr>
                <w:rFonts w:hint="eastAsia"/>
                <w:szCs w:val="21"/>
              </w:rPr>
              <w:t>日期</w:t>
            </w:r>
          </w:p>
        </w:tc>
        <w:tc>
          <w:tcPr>
            <w:tcW w:w="708" w:type="dxa"/>
          </w:tcPr>
          <w:p>
            <w:pPr>
              <w:jc w:val="center"/>
              <w:rPr>
                <w:szCs w:val="21"/>
              </w:rPr>
            </w:pPr>
            <w:r>
              <w:rPr>
                <w:rFonts w:hint="eastAsia"/>
                <w:szCs w:val="21"/>
              </w:rPr>
              <w:t>功率</w:t>
            </w:r>
          </w:p>
          <w:p>
            <w:pPr>
              <w:jc w:val="center"/>
              <w:rPr>
                <w:szCs w:val="21"/>
              </w:rPr>
            </w:pPr>
            <w:r>
              <w:rPr>
                <w:rFonts w:hint="eastAsia"/>
                <w:szCs w:val="21"/>
              </w:rPr>
              <w:t>kw</w:t>
            </w:r>
          </w:p>
        </w:tc>
        <w:tc>
          <w:tcPr>
            <w:tcW w:w="1276" w:type="dxa"/>
          </w:tcPr>
          <w:p>
            <w:pPr>
              <w:jc w:val="center"/>
              <w:rPr>
                <w:szCs w:val="21"/>
              </w:rPr>
            </w:pPr>
            <w:r>
              <w:rPr>
                <w:rFonts w:hint="eastAsia"/>
                <w:szCs w:val="21"/>
              </w:rPr>
              <w:t>月增加电量（度）</w:t>
            </w:r>
          </w:p>
        </w:tc>
        <w:tc>
          <w:tcPr>
            <w:tcW w:w="284" w:type="dxa"/>
            <w:vMerge w:val="restart"/>
          </w:tcPr>
          <w:p>
            <w:pPr>
              <w:jc w:val="center"/>
              <w:rPr>
                <w:szCs w:val="21"/>
              </w:rPr>
            </w:pPr>
          </w:p>
          <w:p>
            <w:pPr>
              <w:jc w:val="center"/>
              <w:rPr>
                <w:szCs w:val="21"/>
              </w:rPr>
            </w:pPr>
          </w:p>
        </w:tc>
        <w:tc>
          <w:tcPr>
            <w:tcW w:w="1842" w:type="dxa"/>
          </w:tcPr>
          <w:p>
            <w:pPr>
              <w:jc w:val="center"/>
              <w:rPr>
                <w:szCs w:val="21"/>
              </w:rPr>
            </w:pPr>
            <w:r>
              <w:rPr>
                <w:rFonts w:hint="eastAsia"/>
                <w:szCs w:val="21"/>
              </w:rPr>
              <w:t>减少</w:t>
            </w:r>
          </w:p>
          <w:p>
            <w:pPr>
              <w:jc w:val="center"/>
              <w:rPr>
                <w:szCs w:val="21"/>
              </w:rPr>
            </w:pPr>
            <w:r>
              <w:rPr>
                <w:rFonts w:hint="eastAsia"/>
                <w:szCs w:val="21"/>
              </w:rPr>
              <w:t>设备名称</w:t>
            </w:r>
          </w:p>
        </w:tc>
        <w:tc>
          <w:tcPr>
            <w:tcW w:w="993" w:type="dxa"/>
          </w:tcPr>
          <w:p>
            <w:pPr>
              <w:jc w:val="center"/>
              <w:rPr>
                <w:szCs w:val="21"/>
              </w:rPr>
            </w:pPr>
          </w:p>
          <w:p>
            <w:pPr>
              <w:jc w:val="center"/>
              <w:rPr>
                <w:szCs w:val="21"/>
              </w:rPr>
            </w:pPr>
            <w:r>
              <w:rPr>
                <w:rFonts w:hint="eastAsia"/>
                <w:szCs w:val="21"/>
              </w:rPr>
              <w:t>日期</w:t>
            </w:r>
          </w:p>
        </w:tc>
        <w:tc>
          <w:tcPr>
            <w:tcW w:w="850" w:type="dxa"/>
          </w:tcPr>
          <w:p>
            <w:pPr>
              <w:jc w:val="center"/>
              <w:rPr>
                <w:szCs w:val="21"/>
              </w:rPr>
            </w:pPr>
            <w:r>
              <w:rPr>
                <w:rFonts w:hint="eastAsia"/>
                <w:szCs w:val="21"/>
              </w:rPr>
              <w:t>功率</w:t>
            </w:r>
          </w:p>
          <w:p>
            <w:pPr>
              <w:jc w:val="center"/>
              <w:rPr>
                <w:szCs w:val="21"/>
              </w:rPr>
            </w:pPr>
            <w:r>
              <w:rPr>
                <w:rFonts w:hint="eastAsia"/>
                <w:szCs w:val="21"/>
              </w:rPr>
              <w:t>kw</w:t>
            </w:r>
          </w:p>
        </w:tc>
        <w:tc>
          <w:tcPr>
            <w:tcW w:w="1276" w:type="dxa"/>
          </w:tcPr>
          <w:p>
            <w:pPr>
              <w:jc w:val="center"/>
              <w:rPr>
                <w:szCs w:val="21"/>
              </w:rPr>
            </w:pPr>
            <w:r>
              <w:rPr>
                <w:rFonts w:hint="eastAsia"/>
                <w:szCs w:val="21"/>
              </w:rPr>
              <w:t>月减少电量（度）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bl>
    <w:p>
      <w:pPr>
        <w:spacing w:line="360" w:lineRule="auto"/>
        <w:rPr>
          <w:sz w:val="24"/>
        </w:rPr>
      </w:pPr>
      <w:r>
        <w:rPr>
          <w:rFonts w:hint="eastAsia"/>
          <w:sz w:val="24"/>
        </w:rPr>
        <w:t>通过上表得出：当月“</w:t>
      </w:r>
      <w:r>
        <w:rPr>
          <w:rFonts w:hint="eastAsia" w:ascii="宋体" w:hAnsi="宋体"/>
          <w:sz w:val="24"/>
        </w:rPr>
        <w:t>设备增加</w:t>
      </w:r>
      <w:r>
        <w:rPr>
          <w:rFonts w:ascii="宋体" w:hAnsi="宋体"/>
          <w:sz w:val="24"/>
        </w:rPr>
        <w:t>/</w:t>
      </w:r>
      <w:r>
        <w:rPr>
          <w:rFonts w:hint="eastAsia" w:ascii="宋体" w:hAnsi="宋体"/>
          <w:sz w:val="24"/>
        </w:rPr>
        <w:t>减少的用电量</w:t>
      </w:r>
      <w:r>
        <w:rPr>
          <w:rFonts w:hint="eastAsia"/>
          <w:sz w:val="24"/>
        </w:rPr>
        <w:t>”为度，</w:t>
      </w:r>
    </w:p>
    <w:p>
      <w:pPr>
        <w:spacing w:line="360" w:lineRule="auto"/>
        <w:ind w:firstLine="1560" w:firstLineChars="650"/>
        <w:rPr>
          <w:sz w:val="24"/>
        </w:rPr>
      </w:pPr>
      <w:r>
        <w:rPr>
          <w:rFonts w:hint="eastAsia"/>
          <w:sz w:val="24"/>
        </w:rPr>
        <w:t>（增加用+值、减少用—值）</w:t>
      </w:r>
    </w:p>
    <w:p>
      <w:pPr>
        <w:spacing w:line="360" w:lineRule="auto"/>
        <w:rPr>
          <w:szCs w:val="21"/>
        </w:rPr>
      </w:pPr>
      <w:r>
        <w:rPr>
          <w:rFonts w:hint="eastAsia"/>
          <w:szCs w:val="21"/>
        </w:rPr>
        <w:t>备注：1、上表的增加（减少）设备为逐次累加填写，需体现合同期内所有增加（减少）的全部设备；</w:t>
      </w:r>
    </w:p>
    <w:p>
      <w:pPr>
        <w:spacing w:line="360" w:lineRule="auto"/>
        <w:rPr>
          <w:szCs w:val="21"/>
        </w:rPr>
      </w:pPr>
      <w:r>
        <w:rPr>
          <w:rFonts w:hint="eastAsia"/>
          <w:szCs w:val="21"/>
        </w:rPr>
        <w:t xml:space="preserve">      2、每项设备的月增加（减少）电量=该设备功率（千瓦）×每天用电时间（小时）×30天；</w:t>
      </w:r>
    </w:p>
    <w:p>
      <w:pPr>
        <w:spacing w:line="360" w:lineRule="auto"/>
        <w:ind w:firstLine="840" w:firstLineChars="400"/>
        <w:rPr>
          <w:rFonts w:ascii="宋体" w:hAnsi="宋体"/>
          <w:szCs w:val="21"/>
        </w:rPr>
      </w:pPr>
      <w:r>
        <w:rPr>
          <w:rFonts w:hint="eastAsia" w:ascii="宋体" w:hAnsi="宋体"/>
          <w:szCs w:val="21"/>
        </w:rPr>
        <w:t>增加大功率设备或新增用电线路时可采用加装电表，每月抄表计算该项增加电量；</w:t>
      </w:r>
    </w:p>
    <w:p>
      <w:pPr>
        <w:numPr>
          <w:ilvl w:val="0"/>
          <w:numId w:val="6"/>
        </w:numPr>
        <w:spacing w:line="360" w:lineRule="auto"/>
        <w:rPr>
          <w:szCs w:val="21"/>
        </w:rPr>
      </w:pPr>
      <w:r>
        <w:rPr>
          <w:rFonts w:hint="eastAsia"/>
          <w:szCs w:val="21"/>
        </w:rPr>
        <w:t>当月“</w:t>
      </w:r>
      <w:r>
        <w:rPr>
          <w:rFonts w:hint="eastAsia" w:ascii="宋体" w:hAnsi="宋体"/>
          <w:szCs w:val="21"/>
        </w:rPr>
        <w:t>设备增加</w:t>
      </w:r>
      <w:r>
        <w:rPr>
          <w:rFonts w:ascii="宋体" w:hAnsi="宋体"/>
          <w:szCs w:val="21"/>
        </w:rPr>
        <w:t>/</w:t>
      </w:r>
      <w:r>
        <w:rPr>
          <w:rFonts w:hint="eastAsia" w:ascii="宋体" w:hAnsi="宋体"/>
          <w:szCs w:val="21"/>
        </w:rPr>
        <w:t>减少的用电量</w:t>
      </w:r>
      <w:r>
        <w:rPr>
          <w:rFonts w:hint="eastAsia"/>
          <w:szCs w:val="21"/>
        </w:rPr>
        <w:t>”为表中所有设备增加（减少）的用电量之和；</w:t>
      </w:r>
    </w:p>
    <w:p>
      <w:pPr>
        <w:spacing w:line="360" w:lineRule="auto"/>
        <w:rPr>
          <w:szCs w:val="21"/>
        </w:rPr>
      </w:pPr>
    </w:p>
    <w:p>
      <w:pPr>
        <w:spacing w:line="360" w:lineRule="auto"/>
        <w:rPr>
          <w:szCs w:val="21"/>
        </w:rPr>
      </w:pPr>
    </w:p>
    <w:p>
      <w:pPr>
        <w:autoSpaceDE w:val="0"/>
        <w:autoSpaceDN w:val="0"/>
        <w:adjustRightInd w:val="0"/>
        <w:spacing w:line="360" w:lineRule="auto"/>
        <w:jc w:val="left"/>
        <w:outlineLvl w:val="0"/>
        <w:rPr>
          <w:rFonts w:ascii="宋体" w:hAnsi="宋体" w:cs="宋体"/>
          <w:b/>
          <w:kern w:val="0"/>
          <w:szCs w:val="21"/>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附件4.</w:t>
      </w:r>
      <w:r>
        <w:rPr>
          <w:rFonts w:hint="eastAsia" w:ascii="宋体" w:hAnsi="宋体" w:cs="宋体"/>
          <w:b/>
          <w:kern w:val="0"/>
          <w:szCs w:val="21"/>
        </w:rPr>
        <w:t>节能量确认单及付款申请表</w:t>
      </w:r>
    </w:p>
    <w:tbl>
      <w:tblPr>
        <w:tblStyle w:val="27"/>
        <w:tblpPr w:leftFromText="180" w:rightFromText="180" w:vertAnchor="text" w:horzAnchor="margin" w:tblpXSpec="center" w:tblpY="158"/>
        <w:tblW w:w="8755" w:type="dxa"/>
        <w:tblInd w:w="0" w:type="dxa"/>
        <w:tblLayout w:type="fixed"/>
        <w:tblCellMar>
          <w:top w:w="0" w:type="dxa"/>
          <w:left w:w="108" w:type="dxa"/>
          <w:bottom w:w="0" w:type="dxa"/>
          <w:right w:w="108" w:type="dxa"/>
        </w:tblCellMar>
      </w:tblPr>
      <w:tblGrid>
        <w:gridCol w:w="815"/>
        <w:gridCol w:w="3971"/>
        <w:gridCol w:w="1559"/>
        <w:gridCol w:w="2410"/>
      </w:tblGrid>
      <w:tr>
        <w:tblPrEx>
          <w:tblCellMar>
            <w:top w:w="0" w:type="dxa"/>
            <w:left w:w="108" w:type="dxa"/>
            <w:bottom w:w="0" w:type="dxa"/>
            <w:right w:w="108" w:type="dxa"/>
          </w:tblCellMar>
        </w:tblPrEx>
        <w:trPr>
          <w:trHeight w:val="850" w:hRule="atLeast"/>
        </w:trPr>
        <w:tc>
          <w:tcPr>
            <w:tcW w:w="8755" w:type="dxa"/>
            <w:gridSpan w:val="4"/>
            <w:tcBorders>
              <w:top w:val="nil"/>
              <w:left w:val="nil"/>
              <w:bottom w:val="single" w:color="auto" w:sz="4" w:space="0"/>
              <w:right w:val="nil"/>
            </w:tcBorders>
            <w:vAlign w:val="center"/>
          </w:tcPr>
          <w:p>
            <w:pPr>
              <w:widowControl/>
              <w:spacing w:line="360" w:lineRule="auto"/>
              <w:ind w:firstLine="211" w:firstLineChars="100"/>
              <w:rPr>
                <w:rFonts w:ascii="宋体" w:cs="宋体"/>
                <w:b/>
                <w:bCs/>
                <w:kern w:val="0"/>
                <w:szCs w:val="21"/>
              </w:rPr>
            </w:pPr>
            <w:r>
              <w:rPr>
                <w:rFonts w:hint="eastAsia" w:ascii="宋体" w:hAnsi="宋体" w:cs="宋体"/>
                <w:b/>
                <w:kern w:val="0"/>
                <w:szCs w:val="21"/>
              </w:rPr>
              <w:t>集团</w:t>
            </w:r>
            <w:r>
              <w:rPr>
                <w:rFonts w:hint="eastAsia" w:ascii="宋体" w:hAnsi="宋体" w:cs="宋体"/>
                <w:b/>
                <w:kern w:val="0"/>
                <w:szCs w:val="21"/>
                <w:u w:val="single"/>
                <w:lang w:val="en-US" w:eastAsia="zh-CN"/>
              </w:rPr>
              <w:t xml:space="preserve">XXX </w:t>
            </w:r>
            <w:r>
              <w:rPr>
                <w:rFonts w:hint="eastAsia" w:ascii="宋体" w:hAnsi="宋体" w:cs="宋体"/>
                <w:b/>
                <w:kern w:val="0"/>
                <w:szCs w:val="21"/>
              </w:rPr>
              <w:t>店合同能源管理节能量</w:t>
            </w:r>
            <w:r>
              <w:rPr>
                <w:rFonts w:hint="eastAsia" w:ascii="宋体" w:hAnsi="宋体" w:cs="宋体"/>
                <w:b/>
                <w:bCs/>
                <w:kern w:val="0"/>
                <w:szCs w:val="21"/>
              </w:rPr>
              <w:t>确认单（</w:t>
            </w:r>
            <w:r>
              <w:rPr>
                <w:rFonts w:ascii="宋体" w:hAnsi="宋体" w:cs="宋体"/>
                <w:b/>
                <w:bCs/>
                <w:kern w:val="0"/>
                <w:szCs w:val="21"/>
              </w:rPr>
              <w:t xml:space="preserve">20 </w:t>
            </w:r>
            <w:r>
              <w:rPr>
                <w:rFonts w:hint="eastAsia" w:ascii="宋体" w:hAnsi="宋体" w:cs="宋体"/>
                <w:b/>
                <w:bCs/>
                <w:kern w:val="0"/>
                <w:szCs w:val="21"/>
                <w:lang w:val="en-US" w:eastAsia="zh-CN"/>
              </w:rPr>
              <w:t>XX</w:t>
            </w:r>
            <w:r>
              <w:rPr>
                <w:rFonts w:hint="eastAsia" w:ascii="宋体" w:hAnsi="宋体" w:cs="宋体"/>
                <w:b/>
                <w:bCs/>
                <w:kern w:val="0"/>
                <w:szCs w:val="21"/>
              </w:rPr>
              <w:t>年</w:t>
            </w:r>
            <w:r>
              <w:rPr>
                <w:rFonts w:hint="eastAsia" w:ascii="宋体" w:hAnsi="宋体" w:cs="宋体"/>
                <w:b/>
                <w:bCs/>
                <w:kern w:val="0"/>
                <w:szCs w:val="21"/>
                <w:lang w:val="en-US" w:eastAsia="zh-CN"/>
              </w:rPr>
              <w:t>XX</w:t>
            </w:r>
            <w:r>
              <w:rPr>
                <w:rFonts w:hint="eastAsia" w:ascii="宋体" w:hAnsi="宋体" w:cs="宋体"/>
                <w:b/>
                <w:bCs/>
                <w:kern w:val="0"/>
                <w:szCs w:val="21"/>
              </w:rPr>
              <w:t>月）</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序号</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bCs/>
                <w:kern w:val="0"/>
                <w:szCs w:val="21"/>
              </w:rPr>
            </w:pPr>
            <w:r>
              <w:rPr>
                <w:rFonts w:ascii="宋体" w:cs="宋体"/>
                <w:b/>
                <w:bCs/>
                <w:kern w:val="0"/>
                <w:szCs w:val="21"/>
              </w:rPr>
              <w:t>项目</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ascii="宋体" w:cs="宋体"/>
                <w:b/>
                <w:kern w:val="0"/>
                <w:szCs w:val="21"/>
              </w:rPr>
              <w:t>数量</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ascii="宋体" w:cs="宋体"/>
                <w:b/>
                <w:kern w:val="0"/>
                <w:szCs w:val="21"/>
              </w:rPr>
              <w:t>备注或计算方法</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1</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本月供电公司开票总电量（度）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峰谷平总电量</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2</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本月供电公司开票总电费（元）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电费单实际缴费金额</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3</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ascii="宋体" w:cs="宋体"/>
                <w:b/>
                <w:bCs/>
                <w:kern w:val="0"/>
                <w:szCs w:val="21"/>
              </w:rPr>
              <w:t>本月额外电损费</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r>
              <w:rPr>
                <w:rFonts w:ascii="宋体" w:cs="宋体"/>
                <w:b/>
                <w:kern w:val="0"/>
                <w:szCs w:val="21"/>
              </w:rPr>
              <w:t>如有、则加入总电费内</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4</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w:t>
            </w:r>
            <w:r>
              <w:rPr>
                <w:rFonts w:hint="eastAsia" w:ascii="宋体" w:hAnsi="宋体" w:cs="宋体"/>
                <w:b/>
                <w:bCs/>
                <w:kern w:val="0"/>
                <w:szCs w:val="21"/>
                <w:lang w:eastAsia="zh-CN"/>
              </w:rPr>
              <w:t>租赁商铺租户</w:t>
            </w:r>
            <w:r>
              <w:rPr>
                <w:rFonts w:hint="eastAsia" w:ascii="宋体" w:hAnsi="宋体" w:cs="宋体"/>
                <w:b/>
                <w:bCs/>
                <w:kern w:val="0"/>
                <w:szCs w:val="21"/>
              </w:rPr>
              <w:t>总用电量（度）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5</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本月门店实际公用电量（度）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6</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当月同期基准公用电量（度）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7</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b/>
                <w:szCs w:val="21"/>
              </w:rPr>
              <w:t>设备增加</w:t>
            </w:r>
            <w:r>
              <w:rPr>
                <w:rFonts w:ascii="宋体" w:hAnsi="宋体"/>
                <w:b/>
                <w:szCs w:val="21"/>
              </w:rPr>
              <w:t>/</w:t>
            </w:r>
            <w:r>
              <w:rPr>
                <w:rFonts w:hint="eastAsia" w:ascii="宋体" w:hAnsi="宋体"/>
                <w:b/>
                <w:szCs w:val="21"/>
              </w:rPr>
              <w:t>减少的用电量</w:t>
            </w:r>
            <w:r>
              <w:rPr>
                <w:rFonts w:hint="eastAsia" w:ascii="宋体" w:hAnsi="宋体" w:cs="宋体"/>
                <w:b/>
                <w:bCs/>
                <w:kern w:val="0"/>
                <w:szCs w:val="21"/>
              </w:rPr>
              <w:t>（度）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增加取</w:t>
            </w:r>
            <w:r>
              <w:rPr>
                <w:rFonts w:hint="eastAsia" w:ascii="宋体" w:cs="宋体"/>
                <w:b/>
                <w:kern w:val="0"/>
                <w:szCs w:val="21"/>
              </w:rPr>
              <w:t>+值、减少取-值</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8</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本月节省电量（度）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6项+7项-5项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9</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本月综合平均电价（元</w:t>
            </w:r>
            <w:r>
              <w:rPr>
                <w:rFonts w:ascii="宋体" w:hAnsi="宋体" w:cs="宋体"/>
                <w:b/>
                <w:bCs/>
                <w:kern w:val="0"/>
                <w:szCs w:val="21"/>
              </w:rPr>
              <w:t>/</w:t>
            </w:r>
            <w:r>
              <w:rPr>
                <w:rFonts w:hint="eastAsia" w:ascii="宋体" w:hAnsi="宋体" w:cs="宋体"/>
                <w:b/>
                <w:bCs/>
                <w:kern w:val="0"/>
                <w:szCs w:val="21"/>
              </w:rPr>
              <w:t>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（2项+3项）÷1项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10</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本月节省电量折算电费（元</w:t>
            </w:r>
            <w:r>
              <w:rPr>
                <w:rFonts w:ascii="宋体" w:hAnsi="宋体" w:cs="宋体"/>
                <w:b/>
                <w:bCs/>
                <w:kern w:val="0"/>
                <w:szCs w:val="21"/>
              </w:rPr>
              <w:t>)</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8项×9项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11</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本月节省能耗费金额</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10项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12</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本月乙方节能效益分享比例（</w:t>
            </w:r>
            <w:r>
              <w:rPr>
                <w:rFonts w:ascii="宋体" w:hAnsi="宋体" w:cs="宋体"/>
                <w:b/>
                <w:bCs/>
                <w:kern w:val="0"/>
                <w:szCs w:val="21"/>
              </w:rPr>
              <w:t>%</w:t>
            </w:r>
            <w:r>
              <w:rPr>
                <w:rFonts w:hint="eastAsia" w:ascii="宋体" w:hAnsi="宋体" w:cs="宋体"/>
                <w:b/>
                <w:bCs/>
                <w:kern w:val="0"/>
                <w:szCs w:val="21"/>
              </w:rPr>
              <w:t>）</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13</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b/>
                <w:szCs w:val="21"/>
              </w:rPr>
            </w:pPr>
            <w:r>
              <w:rPr>
                <w:rFonts w:hint="eastAsia" w:ascii="宋体" w:hAnsi="宋体" w:cs="宋体"/>
                <w:b/>
                <w:bCs/>
                <w:kern w:val="0"/>
                <w:szCs w:val="21"/>
              </w:rPr>
              <w:t>本月乙方节能效益分享金额（元）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11项×12项</w:t>
            </w:r>
          </w:p>
        </w:tc>
      </w:tr>
      <w:tr>
        <w:tblPrEx>
          <w:tblCellMar>
            <w:top w:w="0" w:type="dxa"/>
            <w:left w:w="108" w:type="dxa"/>
            <w:bottom w:w="0" w:type="dxa"/>
            <w:right w:w="108" w:type="dxa"/>
          </w:tblCellMar>
        </w:tblPrEx>
        <w:trPr>
          <w:trHeight w:val="1602" w:hRule="atLeast"/>
        </w:trPr>
        <w:tc>
          <w:tcPr>
            <w:tcW w:w="8755" w:type="dxa"/>
            <w:gridSpan w:val="4"/>
            <w:tcBorders>
              <w:top w:val="nil"/>
              <w:left w:val="nil"/>
              <w:bottom w:val="nil"/>
              <w:right w:val="nil"/>
            </w:tcBorders>
            <w:vAlign w:val="center"/>
          </w:tcPr>
          <w:p>
            <w:pPr>
              <w:widowControl/>
              <w:spacing w:line="360" w:lineRule="auto"/>
              <w:jc w:val="left"/>
              <w:rPr>
                <w:rFonts w:ascii="宋体" w:cs="宋体"/>
                <w:b/>
                <w:kern w:val="0"/>
                <w:szCs w:val="21"/>
              </w:rPr>
            </w:pPr>
          </w:p>
          <w:p>
            <w:pPr>
              <w:widowControl/>
              <w:spacing w:line="360" w:lineRule="auto"/>
              <w:jc w:val="left"/>
              <w:rPr>
                <w:rFonts w:ascii="宋体" w:cs="宋体"/>
                <w:b/>
                <w:kern w:val="0"/>
                <w:szCs w:val="21"/>
              </w:rPr>
            </w:pPr>
            <w:r>
              <w:rPr>
                <w:rFonts w:hint="eastAsia" w:ascii="宋体" w:hAnsi="宋体" w:cs="宋体"/>
                <w:b/>
                <w:kern w:val="0"/>
                <w:szCs w:val="21"/>
              </w:rPr>
              <w:t xml:space="preserve">    甲方代表签字：</w:t>
            </w:r>
            <w:r>
              <w:rPr>
                <w:rFonts w:ascii="宋体" w:hAnsi="宋体" w:cs="宋体"/>
                <w:b/>
                <w:kern w:val="0"/>
                <w:szCs w:val="21"/>
              </w:rPr>
              <w:t xml:space="preserve">                             乙方代表</w:t>
            </w:r>
            <w:r>
              <w:rPr>
                <w:rFonts w:hint="eastAsia" w:ascii="宋体" w:hAnsi="宋体" w:cs="宋体"/>
                <w:b/>
                <w:kern w:val="0"/>
                <w:szCs w:val="21"/>
              </w:rPr>
              <w:t>签字：</w:t>
            </w:r>
          </w:p>
          <w:p>
            <w:pPr>
              <w:widowControl/>
              <w:spacing w:line="360" w:lineRule="auto"/>
              <w:jc w:val="left"/>
              <w:rPr>
                <w:rFonts w:ascii="宋体" w:cs="宋体"/>
                <w:b/>
                <w:kern w:val="0"/>
                <w:szCs w:val="21"/>
              </w:rPr>
            </w:pPr>
          </w:p>
          <w:p>
            <w:pPr>
              <w:widowControl/>
              <w:spacing w:line="360" w:lineRule="auto"/>
              <w:jc w:val="left"/>
              <w:rPr>
                <w:rFonts w:ascii="宋体" w:cs="宋体"/>
                <w:b/>
                <w:kern w:val="0"/>
                <w:szCs w:val="21"/>
              </w:rPr>
            </w:pPr>
            <w:r>
              <w:rPr>
                <w:rFonts w:hint="eastAsia" w:ascii="宋体" w:hAnsi="宋体" w:cs="宋体"/>
                <w:b/>
                <w:kern w:val="0"/>
                <w:szCs w:val="21"/>
              </w:rPr>
              <w:t xml:space="preserve">    甲方（盖章）： 乙方（盖章）：</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jc w:val="center"/>
        <w:rPr>
          <w:rFonts w:ascii="宋体" w:hAnsi="宋体"/>
          <w:sz w:val="28"/>
          <w:szCs w:val="28"/>
        </w:rPr>
      </w:pPr>
      <w:r>
        <w:rPr>
          <w:rFonts w:hint="eastAsia" w:ascii="宋体" w:hAnsi="宋体"/>
          <w:sz w:val="28"/>
          <w:szCs w:val="28"/>
        </w:rPr>
        <w:t>付款申请表</w:t>
      </w:r>
    </w:p>
    <w:p>
      <w:pPr>
        <w:spacing w:line="360" w:lineRule="auto"/>
        <w:rPr>
          <w:rFonts w:ascii="宋体" w:hAnsi="宋体"/>
          <w:b/>
          <w:sz w:val="24"/>
        </w:rPr>
      </w:pPr>
      <w:r>
        <w:rPr>
          <w:rFonts w:hint="eastAsia" w:ascii="宋体" w:hAnsi="宋体" w:cs="宋体"/>
          <w:b/>
          <w:kern w:val="0"/>
          <w:sz w:val="24"/>
        </w:rPr>
        <w:t>集团</w:t>
      </w:r>
      <w:r>
        <w:rPr>
          <w:rFonts w:hint="eastAsia" w:ascii="宋体" w:hAnsi="宋体" w:cs="宋体"/>
          <w:b/>
          <w:kern w:val="0"/>
          <w:sz w:val="24"/>
          <w:u w:val="single"/>
          <w:lang w:val="en-US" w:eastAsia="zh-CN"/>
        </w:rPr>
        <w:t>xxx</w:t>
      </w:r>
      <w:r>
        <w:rPr>
          <w:rFonts w:hint="eastAsia" w:ascii="宋体" w:hAnsi="宋体" w:cs="宋体"/>
          <w:b/>
          <w:kern w:val="0"/>
          <w:sz w:val="24"/>
        </w:rPr>
        <w:t>店</w:t>
      </w:r>
      <w:r>
        <w:rPr>
          <w:rFonts w:hint="eastAsia" w:ascii="宋体" w:hAnsi="宋体"/>
          <w:b/>
          <w:sz w:val="24"/>
        </w:rPr>
        <w:t>：</w:t>
      </w:r>
    </w:p>
    <w:p>
      <w:pPr>
        <w:spacing w:line="360" w:lineRule="auto"/>
        <w:ind w:firstLine="480" w:firstLineChars="200"/>
        <w:rPr>
          <w:rFonts w:ascii="宋体" w:hAnsi="宋体"/>
          <w:sz w:val="24"/>
          <w:u w:val="single"/>
        </w:rPr>
      </w:pPr>
      <w:r>
        <w:rPr>
          <w:rFonts w:hint="eastAsia" w:ascii="宋体" w:hAnsi="宋体"/>
          <w:sz w:val="24"/>
        </w:rPr>
        <w:t>据申请人与</w:t>
      </w:r>
      <w:r>
        <w:rPr>
          <w:rFonts w:hint="eastAsia" w:ascii="宋体" w:hAnsi="宋体" w:cs="宋体"/>
          <w:kern w:val="0"/>
          <w:sz w:val="24"/>
        </w:rPr>
        <w:t>集团店</w:t>
      </w:r>
      <w:r>
        <w:rPr>
          <w:rFonts w:hint="eastAsia" w:ascii="宋体" w:hAnsi="宋体"/>
          <w:sz w:val="24"/>
        </w:rPr>
        <w:t>于年月日签订的《</w:t>
      </w:r>
      <w:r>
        <w:rPr>
          <w:rFonts w:hint="eastAsia" w:ascii="宋体" w:hAnsi="宋体" w:cs="宋体"/>
          <w:kern w:val="0"/>
          <w:sz w:val="24"/>
        </w:rPr>
        <w:t>集团</w:t>
      </w:r>
      <w:r>
        <w:rPr>
          <w:rFonts w:hint="eastAsia" w:ascii="宋体" w:hAnsi="宋体" w:cs="宋体"/>
          <w:kern w:val="0"/>
          <w:sz w:val="24"/>
          <w:u w:val="single"/>
          <w:lang w:val="en-US" w:eastAsia="zh-CN"/>
        </w:rPr>
        <w:t>xxx</w:t>
      </w:r>
      <w:r>
        <w:rPr>
          <w:rFonts w:hint="eastAsia" w:ascii="宋体" w:hAnsi="宋体" w:cs="宋体"/>
          <w:kern w:val="0"/>
          <w:sz w:val="24"/>
        </w:rPr>
        <w:t>店</w:t>
      </w:r>
      <w:r>
        <w:rPr>
          <w:rFonts w:hint="eastAsia" w:ascii="宋体" w:hAnsi="宋体"/>
          <w:sz w:val="24"/>
        </w:rPr>
        <w:t>合同能源管理服务合同》 ，</w:t>
      </w:r>
      <w:r>
        <w:rPr>
          <w:rFonts w:hint="eastAsia" w:ascii="宋体" w:hAnsi="宋体" w:cs="宋体"/>
          <w:kern w:val="0"/>
          <w:sz w:val="24"/>
        </w:rPr>
        <w:t>集团店</w:t>
      </w:r>
      <w:r>
        <w:rPr>
          <w:rFonts w:hint="eastAsia" w:ascii="宋体" w:hAnsi="宋体"/>
          <w:sz w:val="24"/>
        </w:rPr>
        <w:t>应支付给     年   月    份第   期的节能效益分享款为￥元（小写），大写（人民币）：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详见下表：</w:t>
      </w:r>
    </w:p>
    <w:tbl>
      <w:tblPr>
        <w:tblStyle w:val="27"/>
        <w:tblW w:w="93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1"/>
        <w:gridCol w:w="2964"/>
        <w:gridCol w:w="3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771" w:type="dxa"/>
            <w:vAlign w:val="center"/>
          </w:tcPr>
          <w:p>
            <w:pPr>
              <w:spacing w:line="360" w:lineRule="auto"/>
              <w:jc w:val="center"/>
              <w:rPr>
                <w:rFonts w:ascii="宋体" w:hAnsi="宋体"/>
                <w:sz w:val="24"/>
              </w:rPr>
            </w:pPr>
            <w:r>
              <w:rPr>
                <w:rFonts w:hint="eastAsia" w:ascii="宋体" w:hAnsi="宋体"/>
                <w:sz w:val="24"/>
              </w:rPr>
              <w:t>节能项目</w:t>
            </w:r>
          </w:p>
        </w:tc>
        <w:tc>
          <w:tcPr>
            <w:tcW w:w="2964" w:type="dxa"/>
            <w:vAlign w:val="center"/>
          </w:tcPr>
          <w:p>
            <w:pPr>
              <w:spacing w:line="360" w:lineRule="auto"/>
              <w:jc w:val="center"/>
              <w:rPr>
                <w:rFonts w:ascii="宋体" w:hAnsi="宋体"/>
                <w:sz w:val="24"/>
              </w:rPr>
            </w:pPr>
            <w:r>
              <w:rPr>
                <w:rFonts w:hint="eastAsia" w:ascii="宋体" w:hAnsi="宋体"/>
                <w:sz w:val="24"/>
              </w:rPr>
              <w:t>金额/元</w:t>
            </w:r>
          </w:p>
        </w:tc>
        <w:tc>
          <w:tcPr>
            <w:tcW w:w="3644"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2771" w:type="dxa"/>
            <w:vAlign w:val="center"/>
          </w:tcPr>
          <w:p>
            <w:pPr>
              <w:spacing w:line="360" w:lineRule="auto"/>
              <w:jc w:val="center"/>
              <w:rPr>
                <w:rFonts w:ascii="宋体" w:hAnsi="宋体"/>
                <w:sz w:val="24"/>
              </w:rPr>
            </w:pPr>
            <w:r>
              <w:rPr>
                <w:rFonts w:ascii="宋体" w:hAnsi="宋体"/>
                <w:sz w:val="24"/>
              </w:rPr>
              <w:t>综合能源管理服务</w:t>
            </w:r>
          </w:p>
        </w:tc>
        <w:tc>
          <w:tcPr>
            <w:tcW w:w="2964" w:type="dxa"/>
            <w:vAlign w:val="center"/>
          </w:tcPr>
          <w:p>
            <w:pPr>
              <w:spacing w:line="360" w:lineRule="auto"/>
              <w:ind w:firstLine="480" w:firstLineChars="200"/>
              <w:rPr>
                <w:rFonts w:ascii="宋体" w:hAnsi="宋体"/>
                <w:sz w:val="24"/>
              </w:rPr>
            </w:pPr>
            <w:r>
              <w:rPr>
                <w:rFonts w:hint="eastAsia" w:ascii="宋体" w:hAnsi="宋体"/>
                <w:sz w:val="24"/>
              </w:rPr>
              <w:t>￥</w:t>
            </w:r>
          </w:p>
        </w:tc>
        <w:tc>
          <w:tcPr>
            <w:tcW w:w="3644" w:type="dxa"/>
            <w:vAlign w:val="center"/>
          </w:tcPr>
          <w:p>
            <w:pPr>
              <w:spacing w:line="360" w:lineRule="auto"/>
              <w:jc w:val="center"/>
              <w:rPr>
                <w:rFonts w:ascii="宋体" w:hAnsi="宋体"/>
                <w:sz w:val="24"/>
              </w:rPr>
            </w:pPr>
            <w:r>
              <w:rPr>
                <w:rFonts w:hint="eastAsia" w:ascii="宋体" w:hAnsi="宋体"/>
                <w:sz w:val="24"/>
              </w:rPr>
              <w:t>总第期</w:t>
            </w: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本表一式两份，一份申请人留存，一份</w:t>
      </w:r>
      <w:r>
        <w:rPr>
          <w:rFonts w:hint="eastAsia" w:ascii="宋体" w:hAnsi="宋体" w:cs="宋体"/>
          <w:kern w:val="0"/>
          <w:sz w:val="24"/>
        </w:rPr>
        <w:t>集团</w:t>
      </w:r>
      <w:r>
        <w:rPr>
          <w:rFonts w:hint="eastAsia" w:ascii="宋体" w:hAnsi="宋体" w:cs="宋体"/>
          <w:kern w:val="0"/>
          <w:sz w:val="24"/>
          <w:lang w:val="en-US" w:eastAsia="zh-CN"/>
        </w:rPr>
        <w:t>XX</w:t>
      </w:r>
      <w:r>
        <w:rPr>
          <w:rFonts w:hint="eastAsia" w:ascii="宋体" w:hAnsi="宋体" w:cs="宋体"/>
          <w:kern w:val="0"/>
          <w:sz w:val="24"/>
        </w:rPr>
        <w:t>店</w:t>
      </w:r>
      <w:r>
        <w:rPr>
          <w:rFonts w:hint="eastAsia" w:ascii="宋体" w:hAnsi="宋体"/>
          <w:sz w:val="24"/>
        </w:rPr>
        <w:t>留存。</w:t>
      </w:r>
    </w:p>
    <w:p>
      <w:pPr>
        <w:spacing w:line="360" w:lineRule="auto"/>
        <w:rPr>
          <w:rFonts w:ascii="宋体" w:hAnsi="宋体"/>
          <w:sz w:val="24"/>
        </w:rPr>
      </w:pPr>
    </w:p>
    <w:p>
      <w:pPr>
        <w:spacing w:line="360" w:lineRule="auto"/>
        <w:ind w:firstLine="0" w:firstLineChars="0"/>
        <w:rPr>
          <w:rFonts w:ascii="宋体" w:hAnsi="宋体"/>
          <w:sz w:val="24"/>
        </w:rPr>
      </w:pPr>
      <w:r>
        <w:rPr>
          <w:rFonts w:hint="eastAsia" w:ascii="宋体" w:hAnsi="宋体"/>
          <w:sz w:val="24"/>
        </w:rPr>
        <w:t xml:space="preserve">申请人: </w:t>
      </w:r>
      <w:r>
        <w:rPr>
          <w:rFonts w:hint="eastAsia" w:ascii="宋体" w:hAnsi="宋体"/>
          <w:sz w:val="24"/>
          <w:lang w:val="en-US" w:eastAsia="zh-CN"/>
        </w:rPr>
        <w:t xml:space="preserve">                                                  </w:t>
      </w:r>
      <w:r>
        <w:rPr>
          <w:rFonts w:hint="eastAsia" w:ascii="宋体" w:hAnsi="宋体"/>
          <w:sz w:val="24"/>
        </w:rPr>
        <w:t>签收人：</w:t>
      </w:r>
    </w:p>
    <w:p>
      <w:pPr>
        <w:autoSpaceDE w:val="0"/>
        <w:autoSpaceDN w:val="0"/>
        <w:adjustRightInd w:val="0"/>
        <w:spacing w:line="360" w:lineRule="auto"/>
        <w:jc w:val="left"/>
        <w:rPr>
          <w:rFonts w:ascii="宋体" w:hAnsi="宋体"/>
          <w:sz w:val="24"/>
        </w:rPr>
      </w:pPr>
    </w:p>
    <w:p>
      <w:pPr>
        <w:autoSpaceDE w:val="0"/>
        <w:autoSpaceDN w:val="0"/>
        <w:adjustRightInd w:val="0"/>
        <w:spacing w:line="360" w:lineRule="auto"/>
        <w:ind w:right="960" w:firstLine="6360" w:firstLineChars="2650"/>
        <w:rPr>
          <w:rFonts w:ascii="宋体" w:hAnsi="宋体"/>
          <w:sz w:val="24"/>
        </w:rPr>
      </w:pPr>
      <w:r>
        <w:rPr>
          <w:rFonts w:hint="eastAsia" w:ascii="宋体" w:hAnsi="宋体"/>
          <w:sz w:val="24"/>
        </w:rPr>
        <w:t xml:space="preserve"> 年     月     日</w:t>
      </w: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rPr>
          <w:rFonts w:ascii="宋体" w:hAnsi="宋体"/>
          <w:sz w:val="24"/>
        </w:rPr>
      </w:pPr>
    </w:p>
    <w:p>
      <w:pPr>
        <w:autoSpaceDE w:val="0"/>
        <w:autoSpaceDN w:val="0"/>
        <w:adjustRightInd w:val="0"/>
        <w:spacing w:line="360" w:lineRule="auto"/>
        <w:ind w:right="960"/>
        <w:rPr>
          <w:rFonts w:ascii="宋体" w:hAnsi="宋体"/>
          <w:sz w:val="24"/>
        </w:rPr>
      </w:pPr>
    </w:p>
    <w:p>
      <w:pPr>
        <w:autoSpaceDE w:val="0"/>
        <w:autoSpaceDN w:val="0"/>
        <w:adjustRightInd w:val="0"/>
        <w:spacing w:line="360" w:lineRule="auto"/>
        <w:ind w:right="960"/>
        <w:rPr>
          <w:rFonts w:ascii="宋体" w:hAnsi="宋体"/>
          <w:sz w:val="24"/>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 xml:space="preserve">附件5. </w:t>
      </w:r>
      <w:r>
        <w:rPr>
          <w:rFonts w:hint="eastAsia" w:ascii="宋体" w:hAnsi="宋体" w:cs="宋体"/>
          <w:b/>
          <w:kern w:val="0"/>
          <w:szCs w:val="21"/>
        </w:rPr>
        <w:t>项目验收程序和标准</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项目验收程序：</w:t>
      </w:r>
    </w:p>
    <w:p>
      <w:pPr>
        <w:autoSpaceDE w:val="0"/>
        <w:autoSpaceDN w:val="0"/>
        <w:adjustRightInd w:val="0"/>
        <w:spacing w:line="360" w:lineRule="auto"/>
        <w:ind w:firstLine="420" w:firstLineChars="200"/>
        <w:rPr>
          <w:rFonts w:ascii="宋体" w:cs="宋体"/>
          <w:b/>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）节能设备安装施工质量验收；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）节能改造后门店空调效果的测量验收；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）节能改造后门店照明效果的测量验收；</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）项目整体验收。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（5）双方在验收文件（包括乙方投入设备的财产清单）上签字盖章</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项目验收标准：</w:t>
      </w:r>
    </w:p>
    <w:p>
      <w:pPr>
        <w:autoSpaceDE w:val="0"/>
        <w:autoSpaceDN w:val="0"/>
        <w:adjustRightInd w:val="0"/>
        <w:spacing w:line="360" w:lineRule="auto"/>
        <w:ind w:firstLine="420" w:firstLineChars="200"/>
        <w:outlineLvl w:val="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）节能设备安装、调试至正常运行，改造工程施工质量达到国家相关标准；</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）节能改造后测试门店空调效果，达到国家相关规定；</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前，甲乙双方共同任意选取若干个原灯具下方的点（亮灯灯具正下方或两亮灯灯具中间正下方间隔选取）进行照度测量，测量值作为改造前的照度数值。改造完成后，在效益分享期内，在相同位置测量改造后的平均照度不低于改造前测量的平均照度，否则甲方有权要求乙方进行整改直至达到双方约定的照度标准（照度测试在距离地面1米的高度上测试）。</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（4） 验收后双方代表在《</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xxx</w:t>
      </w:r>
      <w:r>
        <w:rPr>
          <w:rFonts w:hint="eastAsia" w:ascii="宋体" w:hAnsi="宋体" w:cs="宋体"/>
          <w:kern w:val="0"/>
          <w:szCs w:val="21"/>
          <w:u w:val="single"/>
        </w:rPr>
        <w:t xml:space="preserve"> </w:t>
      </w:r>
      <w:r>
        <w:rPr>
          <w:rFonts w:hint="eastAsia" w:ascii="宋体" w:hAnsi="宋体" w:cs="宋体"/>
          <w:kern w:val="0"/>
          <w:szCs w:val="21"/>
        </w:rPr>
        <w:t>店验收数据确认表》上签字，并加盖双方公章。</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节能项目财产验收清单</w:t>
      </w:r>
    </w:p>
    <w:tbl>
      <w:tblPr>
        <w:tblStyle w:val="27"/>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563"/>
        <w:gridCol w:w="1402"/>
        <w:gridCol w:w="1505"/>
        <w:gridCol w:w="992"/>
        <w:gridCol w:w="127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rFonts w:ascii="宋体" w:cs="宋体"/>
                <w:szCs w:val="21"/>
              </w:rPr>
            </w:pPr>
            <w:r>
              <w:rPr>
                <w:rFonts w:hint="eastAsia" w:ascii="宋体" w:hAnsi="宋体" w:cs="宋体"/>
                <w:szCs w:val="21"/>
              </w:rPr>
              <w:t>序号</w:t>
            </w:r>
          </w:p>
        </w:tc>
        <w:tc>
          <w:tcPr>
            <w:tcW w:w="2563" w:type="dxa"/>
            <w:vAlign w:val="center"/>
          </w:tcPr>
          <w:p>
            <w:pPr>
              <w:spacing w:line="360" w:lineRule="auto"/>
              <w:jc w:val="center"/>
              <w:rPr>
                <w:rFonts w:ascii="宋体"/>
                <w:szCs w:val="21"/>
              </w:rPr>
            </w:pPr>
            <w:r>
              <w:rPr>
                <w:rFonts w:hint="eastAsia" w:ascii="宋体" w:hAnsi="宋体"/>
                <w:szCs w:val="21"/>
              </w:rPr>
              <w:t>设备（系统）名称</w:t>
            </w:r>
          </w:p>
        </w:tc>
        <w:tc>
          <w:tcPr>
            <w:tcW w:w="1402"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改造前参数</w:t>
            </w:r>
          </w:p>
        </w:tc>
        <w:tc>
          <w:tcPr>
            <w:tcW w:w="1505"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改造后参数</w:t>
            </w:r>
          </w:p>
        </w:tc>
        <w:tc>
          <w:tcPr>
            <w:tcW w:w="992" w:type="dxa"/>
            <w:vAlign w:val="center"/>
          </w:tcPr>
          <w:p>
            <w:pPr>
              <w:autoSpaceDE w:val="0"/>
              <w:autoSpaceDN w:val="0"/>
              <w:adjustRightInd w:val="0"/>
              <w:spacing w:line="360" w:lineRule="auto"/>
              <w:jc w:val="center"/>
              <w:rPr>
                <w:rFonts w:ascii="宋体"/>
                <w:szCs w:val="21"/>
              </w:rPr>
            </w:pPr>
            <w:r>
              <w:rPr>
                <w:rFonts w:hint="eastAsia" w:ascii="宋体" w:hAnsi="宋体" w:cs="宋体"/>
                <w:szCs w:val="21"/>
              </w:rPr>
              <w:t>单位</w:t>
            </w:r>
          </w:p>
        </w:tc>
        <w:tc>
          <w:tcPr>
            <w:tcW w:w="1276" w:type="dxa"/>
            <w:vAlign w:val="center"/>
          </w:tcPr>
          <w:p>
            <w:pPr>
              <w:spacing w:line="360" w:lineRule="auto"/>
              <w:jc w:val="center"/>
              <w:rPr>
                <w:rFonts w:ascii="宋体" w:cs="宋体"/>
                <w:szCs w:val="21"/>
              </w:rPr>
            </w:pPr>
            <w:r>
              <w:rPr>
                <w:rFonts w:hint="eastAsia" w:ascii="宋体" w:hAnsi="宋体"/>
                <w:szCs w:val="21"/>
              </w:rPr>
              <w:t>数量</w:t>
            </w:r>
          </w:p>
        </w:tc>
        <w:tc>
          <w:tcPr>
            <w:tcW w:w="1761" w:type="dxa"/>
            <w:vAlign w:val="center"/>
          </w:tcPr>
          <w:p>
            <w:pPr>
              <w:autoSpaceDE w:val="0"/>
              <w:autoSpaceDN w:val="0"/>
              <w:adjustRightInd w:val="0"/>
              <w:spacing w:line="360" w:lineRule="auto"/>
              <w:jc w:val="center"/>
              <w:rPr>
                <w:rFonts w:ascii="宋体" w:cs="宋体"/>
                <w:szCs w:val="21"/>
              </w:rPr>
            </w:pPr>
            <w:r>
              <w:rPr>
                <w:rFonts w:asci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bl>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备注：该财产清单为乙方投入的节能设备和系统设施清单，乙方将在安装时根据现场情况调整，实际以验收时为准，验收后甲方须签字盖章确认。</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 xml:space="preserve">                                                     甲方代表签字：</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 xml:space="preserve">                                                     甲方盖章                                                    </w:t>
      </w:r>
    </w:p>
    <w:p>
      <w:pPr>
        <w:autoSpaceDE w:val="0"/>
        <w:autoSpaceDN w:val="0"/>
        <w:adjustRightInd w:val="0"/>
        <w:spacing w:line="360" w:lineRule="auto"/>
        <w:rPr>
          <w:rFonts w:ascii="宋体" w:hAnsi="宋体" w:cs="宋体"/>
          <w:kern w:val="0"/>
          <w:szCs w:val="21"/>
        </w:rPr>
      </w:pPr>
    </w:p>
    <w:tbl>
      <w:tblPr>
        <w:tblStyle w:val="27"/>
        <w:tblW w:w="9464" w:type="dxa"/>
        <w:tblInd w:w="0" w:type="dxa"/>
        <w:tblLayout w:type="fixed"/>
        <w:tblCellMar>
          <w:top w:w="0" w:type="dxa"/>
          <w:left w:w="108" w:type="dxa"/>
          <w:bottom w:w="0" w:type="dxa"/>
          <w:right w:w="108" w:type="dxa"/>
        </w:tblCellMar>
      </w:tblPr>
      <w:tblGrid>
        <w:gridCol w:w="2093"/>
        <w:gridCol w:w="992"/>
        <w:gridCol w:w="992"/>
        <w:gridCol w:w="993"/>
        <w:gridCol w:w="850"/>
        <w:gridCol w:w="851"/>
        <w:gridCol w:w="992"/>
        <w:gridCol w:w="850"/>
        <w:gridCol w:w="851"/>
      </w:tblGrid>
      <w:tr>
        <w:tblPrEx>
          <w:tblCellMar>
            <w:top w:w="0" w:type="dxa"/>
            <w:left w:w="108" w:type="dxa"/>
            <w:bottom w:w="0" w:type="dxa"/>
            <w:right w:w="108" w:type="dxa"/>
          </w:tblCellMar>
        </w:tblPrEx>
        <w:trPr>
          <w:trHeight w:val="950" w:hRule="atLeast"/>
        </w:trPr>
        <w:tc>
          <w:tcPr>
            <w:tcW w:w="9464" w:type="dxa"/>
            <w:gridSpan w:val="9"/>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cs="宋体" w:asciiTheme="majorEastAsia" w:hAnsiTheme="majorEastAsia" w:eastAsiaTheme="majorEastAsia"/>
                <w:b/>
                <w:bCs/>
                <w:szCs w:val="21"/>
              </w:rPr>
            </w:pPr>
            <w:r>
              <w:rPr>
                <w:rFonts w:hint="eastAsia" w:cs="宋体" w:asciiTheme="majorEastAsia" w:hAnsiTheme="majorEastAsia" w:eastAsiaTheme="majorEastAsia"/>
                <w:b/>
                <w:bCs/>
                <w:color w:val="FF0000"/>
                <w:szCs w:val="21"/>
                <w:lang w:val="en-US" w:eastAsia="zh-CN"/>
              </w:rPr>
              <w:t>XXX店</w:t>
            </w:r>
            <w:r>
              <w:rPr>
                <w:rFonts w:hint="eastAsia" w:cs="宋体" w:asciiTheme="majorEastAsia" w:hAnsiTheme="majorEastAsia" w:eastAsiaTheme="majorEastAsia"/>
                <w:b/>
                <w:bCs/>
                <w:color w:val="FF0000"/>
                <w:szCs w:val="21"/>
              </w:rPr>
              <w:t>合同能源管理</w:t>
            </w:r>
            <w:r>
              <w:rPr>
                <w:rFonts w:hint="eastAsia" w:asciiTheme="majorEastAsia" w:hAnsiTheme="majorEastAsia" w:eastAsiaTheme="majorEastAsia"/>
                <w:b/>
                <w:szCs w:val="21"/>
              </w:rPr>
              <w:t>节能技改工程</w:t>
            </w:r>
            <w:r>
              <w:rPr>
                <w:rFonts w:hint="eastAsia" w:cs="宋体" w:asciiTheme="majorEastAsia" w:hAnsiTheme="majorEastAsia" w:eastAsiaTheme="majorEastAsia"/>
                <w:b/>
                <w:bCs/>
                <w:szCs w:val="21"/>
              </w:rPr>
              <w:t>验收报告</w:t>
            </w:r>
          </w:p>
        </w:tc>
      </w:tr>
      <w:tr>
        <w:tblPrEx>
          <w:tblCellMar>
            <w:top w:w="0" w:type="dxa"/>
            <w:left w:w="108" w:type="dxa"/>
            <w:bottom w:w="0" w:type="dxa"/>
            <w:right w:w="108" w:type="dxa"/>
          </w:tblCellMar>
        </w:tblPrEx>
        <w:trPr>
          <w:trHeight w:val="1064" w:hRule="atLeast"/>
        </w:trPr>
        <w:tc>
          <w:tcPr>
            <w:tcW w:w="9464" w:type="dxa"/>
            <w:gridSpan w:val="9"/>
            <w:tcBorders>
              <w:top w:val="single" w:color="000000" w:sz="4" w:space="0"/>
              <w:left w:val="single" w:color="000000" w:sz="4" w:space="0"/>
              <w:bottom w:val="single" w:color="000000" w:sz="4" w:space="0"/>
              <w:right w:val="single" w:color="000000" w:sz="4" w:space="0"/>
            </w:tcBorders>
            <w:vAlign w:val="center"/>
          </w:tcPr>
          <w:p>
            <w:pPr>
              <w:spacing w:line="480" w:lineRule="auto"/>
              <w:ind w:firstLine="840" w:firstLineChars="400"/>
              <w:rPr>
                <w:rFonts w:cs="宋体" w:asciiTheme="majorEastAsia" w:hAnsiTheme="majorEastAsia" w:eastAsiaTheme="majorEastAsia"/>
                <w:szCs w:val="21"/>
              </w:rPr>
            </w:pPr>
            <w:r>
              <w:rPr>
                <w:rFonts w:hint="eastAsia" w:cs="宋体" w:asciiTheme="majorEastAsia" w:hAnsiTheme="majorEastAsia" w:eastAsiaTheme="majorEastAsia"/>
                <w:szCs w:val="21"/>
              </w:rPr>
              <w:t>验收日期：</w:t>
            </w:r>
          </w:p>
        </w:tc>
      </w:tr>
      <w:tr>
        <w:tblPrEx>
          <w:tblCellMar>
            <w:top w:w="0" w:type="dxa"/>
            <w:left w:w="108" w:type="dxa"/>
            <w:bottom w:w="0" w:type="dxa"/>
            <w:right w:w="108" w:type="dxa"/>
          </w:tblCellMar>
        </w:tblPrEx>
        <w:trPr>
          <w:trHeight w:val="1137" w:hRule="atLeast"/>
        </w:trPr>
        <w:tc>
          <w:tcPr>
            <w:tcW w:w="2093" w:type="dxa"/>
            <w:tcBorders>
              <w:top w:val="single" w:color="000000" w:sz="4" w:space="0"/>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项目</w:t>
            </w:r>
          </w:p>
        </w:tc>
        <w:tc>
          <w:tcPr>
            <w:tcW w:w="7371" w:type="dxa"/>
            <w:gridSpan w:val="8"/>
            <w:tcBorders>
              <w:top w:val="single" w:color="000000" w:sz="4" w:space="0"/>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改造后安装设备名称</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7" w:hRule="atLeast"/>
        </w:trPr>
        <w:tc>
          <w:tcPr>
            <w:tcW w:w="2093" w:type="dxa"/>
            <w:tcBorders>
              <w:top w:val="nil"/>
              <w:left w:val="single" w:color="auto" w:sz="8" w:space="0"/>
              <w:bottom w:val="single" w:color="auto" w:sz="4" w:space="0"/>
              <w:right w:val="single" w:color="auto" w:sz="4"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安装设备数量</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设备品质</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验收结论</w:t>
            </w:r>
          </w:p>
        </w:tc>
        <w:tc>
          <w:tcPr>
            <w:tcW w:w="7371" w:type="dxa"/>
            <w:gridSpan w:val="8"/>
            <w:tcBorders>
              <w:top w:val="nil"/>
              <w:left w:val="nil"/>
              <w:bottom w:val="single" w:color="auto" w:sz="4" w:space="0"/>
              <w:right w:val="single" w:color="auto"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项目经验收合格,符合合同约定.</w:t>
            </w:r>
          </w:p>
        </w:tc>
      </w:tr>
      <w:tr>
        <w:tblPrEx>
          <w:tblCellMar>
            <w:top w:w="0" w:type="dxa"/>
            <w:left w:w="108" w:type="dxa"/>
            <w:bottom w:w="0" w:type="dxa"/>
            <w:right w:w="108" w:type="dxa"/>
          </w:tblCellMar>
        </w:tblPrEx>
        <w:trPr>
          <w:trHeight w:val="1310" w:hRule="atLeast"/>
        </w:trPr>
        <w:tc>
          <w:tcPr>
            <w:tcW w:w="9464" w:type="dxa"/>
            <w:gridSpan w:val="9"/>
            <w:tcBorders>
              <w:top w:val="single" w:color="auto" w:sz="4" w:space="0"/>
              <w:left w:val="single" w:color="auto" w:sz="8" w:space="0"/>
              <w:bottom w:val="single" w:color="auto" w:sz="4" w:space="0"/>
              <w:right w:val="single" w:color="000000"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甲方（章）：参加验收人员签字：</w:t>
            </w:r>
          </w:p>
        </w:tc>
      </w:tr>
      <w:tr>
        <w:tblPrEx>
          <w:tblCellMar>
            <w:top w:w="0" w:type="dxa"/>
            <w:left w:w="108" w:type="dxa"/>
            <w:bottom w:w="0" w:type="dxa"/>
            <w:right w:w="108" w:type="dxa"/>
          </w:tblCellMar>
        </w:tblPrEx>
        <w:trPr>
          <w:trHeight w:val="1312" w:hRule="atLeast"/>
        </w:trPr>
        <w:tc>
          <w:tcPr>
            <w:tcW w:w="9464" w:type="dxa"/>
            <w:gridSpan w:val="9"/>
            <w:tcBorders>
              <w:top w:val="single" w:color="auto" w:sz="4" w:space="0"/>
              <w:left w:val="single" w:color="auto" w:sz="8" w:space="0"/>
              <w:bottom w:val="single" w:color="auto" w:sz="4" w:space="0"/>
              <w:right w:val="single" w:color="000000"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乙方（章）：                        参加验收人员签字：</w:t>
            </w:r>
          </w:p>
        </w:tc>
      </w:tr>
      <w:tr>
        <w:tblPrEx>
          <w:tblCellMar>
            <w:top w:w="0" w:type="dxa"/>
            <w:left w:w="108" w:type="dxa"/>
            <w:bottom w:w="0" w:type="dxa"/>
            <w:right w:w="108" w:type="dxa"/>
          </w:tblCellMar>
        </w:tblPrEx>
        <w:trPr>
          <w:trHeight w:val="1685" w:hRule="atLeast"/>
        </w:trPr>
        <w:tc>
          <w:tcPr>
            <w:tcW w:w="9464" w:type="dxa"/>
            <w:gridSpan w:val="9"/>
            <w:tcBorders>
              <w:top w:val="single" w:color="auto" w:sz="4" w:space="0"/>
              <w:left w:val="single" w:color="auto" w:sz="8" w:space="0"/>
              <w:bottom w:val="single" w:color="auto" w:sz="8" w:space="0"/>
              <w:right w:val="single" w:color="000000" w:sz="8" w:space="0"/>
            </w:tcBorders>
          </w:tcPr>
          <w:p>
            <w:pPr>
              <w:spacing w:line="480" w:lineRule="auto"/>
              <w:rPr>
                <w:rFonts w:cs="宋体" w:asciiTheme="majorEastAsia" w:hAnsiTheme="majorEastAsia" w:eastAsiaTheme="majorEastAsia"/>
                <w:szCs w:val="21"/>
              </w:rPr>
            </w:pPr>
          </w:p>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备注：</w:t>
            </w:r>
          </w:p>
        </w:tc>
      </w:tr>
    </w:tbl>
    <w:p>
      <w:pPr>
        <w:spacing w:beforeLines="50" w:afterLines="50" w:line="480" w:lineRule="auto"/>
        <w:rPr>
          <w:rFonts w:asciiTheme="majorEastAsia" w:hAnsiTheme="majorEastAsia" w:eastAsiaTheme="majorEastAsia"/>
          <w:b/>
          <w:szCs w:val="21"/>
        </w:rPr>
      </w:pP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附件6. </w:t>
      </w:r>
      <w:r>
        <w:rPr>
          <w:rFonts w:hint="eastAsia" w:ascii="宋体" w:hAnsi="宋体" w:cs="宋体"/>
          <w:b/>
          <w:kern w:val="0"/>
          <w:szCs w:val="21"/>
        </w:rPr>
        <w:t>施工条件约定</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乙方责任：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）乙方应保证其施工为文明施工，而且符合我国法律、法规及</w:t>
      </w:r>
      <w:r>
        <w:rPr>
          <w:rFonts w:hint="eastAsia" w:ascii="宋体" w:hAnsi="宋体"/>
          <w:szCs w:val="21"/>
          <w:u w:val="single"/>
        </w:rPr>
        <w:t xml:space="preserve"> </w:t>
      </w:r>
      <w:r>
        <w:rPr>
          <w:rFonts w:hint="eastAsia" w:ascii="宋体" w:hAnsi="宋体"/>
          <w:szCs w:val="21"/>
          <w:u w:val="single"/>
          <w:lang w:val="en-US" w:eastAsia="zh-CN"/>
        </w:rPr>
        <w:t>xx</w:t>
      </w:r>
      <w:r>
        <w:rPr>
          <w:rFonts w:hint="eastAsia" w:ascii="宋体" w:hAnsi="宋体"/>
          <w:szCs w:val="21"/>
          <w:u w:val="single"/>
        </w:rPr>
        <w:t xml:space="preserve">  </w:t>
      </w:r>
      <w:r>
        <w:rPr>
          <w:rFonts w:hint="eastAsia" w:ascii="宋体" w:hAnsi="宋体"/>
          <w:szCs w:val="21"/>
        </w:rPr>
        <w:t>市有关各项法规规定的要求，如乙方施工未达到本条之要求而导致任何第三方投诉的，由乙方承担一切责任。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乙方的施工时间为甲方营业结束后至次日甲方营业开始前，乙方须在甲方门店员工进场前清理现场，不得影响甲方门店的正常营业。若乙方没有清理施工现场，甲方有权安排清洁公司进行清理，所发生的费用将从乙方的节能效益分成款中扣除。清理过程中如有发生乙方损失，甲方概不负责。若因此影响甲方正常营业，由乙方负责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）乙方必须自带工具到现场施工，未经许可，不得使用甲方的设施、工具。若施工过程中损坏甲方门店的设施、设备、工具、商品等，乙方照价赔偿。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）施工过程中非因甲方原因产生的其它意外事件，由乙方负责。</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）施工过程中因甲方原因造成停工或延误施工的，则施工工期顺延。临时增加工程量的，工期也相应的顺延。</w:t>
      </w:r>
    </w:p>
    <w:p>
      <w:pPr>
        <w:spacing w:line="360" w:lineRule="auto"/>
        <w:rPr>
          <w:rFonts w:ascii="宋体"/>
          <w:b/>
          <w:szCs w:val="21"/>
        </w:rPr>
      </w:pPr>
      <w:r>
        <w:rPr>
          <w:rFonts w:hint="eastAsia" w:ascii="宋体" w:hAnsi="宋体"/>
          <w:b/>
          <w:szCs w:val="21"/>
        </w:rPr>
        <w:t>甲方责任：</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）提供施工用水、用电和施工环境方便。</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）提供安全场地供乙方存放施工工具和设备设施。</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3</w:t>
      </w:r>
      <w:r>
        <w:rPr>
          <w:rFonts w:hint="eastAsia" w:ascii="宋体" w:hAnsi="宋体"/>
          <w:bCs/>
          <w:szCs w:val="21"/>
        </w:rPr>
        <w:t>）积极配合乙方进行施工改造。</w:t>
      </w:r>
    </w:p>
    <w:p>
      <w:pPr>
        <w:tabs>
          <w:tab w:val="left" w:pos="567"/>
        </w:tabs>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hint="eastAsia" w:ascii="宋体" w:hAnsi="宋体"/>
          <w:bCs/>
          <w:szCs w:val="21"/>
        </w:rPr>
        <w:t>及时</w:t>
      </w:r>
      <w:r>
        <w:rPr>
          <w:rFonts w:hint="eastAsia" w:ascii="宋体" w:hAnsi="宋体"/>
          <w:szCs w:val="21"/>
        </w:rPr>
        <w:t>组织进行改造前后的测试工作和工程竣工验收工作。</w:t>
      </w: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附件7. </w:t>
      </w:r>
      <w:r>
        <w:rPr>
          <w:rFonts w:hint="eastAsia" w:ascii="宋体" w:hAnsi="宋体" w:cs="宋体"/>
          <w:b/>
          <w:kern w:val="0"/>
          <w:szCs w:val="21"/>
        </w:rPr>
        <w:t>项目投资分担方案</w:t>
      </w:r>
    </w:p>
    <w:p>
      <w:pPr>
        <w:autoSpaceDE w:val="0"/>
        <w:autoSpaceDN w:val="0"/>
        <w:adjustRightInd w:val="0"/>
        <w:spacing w:line="360" w:lineRule="auto"/>
        <w:ind w:firstLine="411" w:firstLineChars="196"/>
        <w:rPr>
          <w:rFonts w:ascii="宋体" w:hAnsi="宋体" w:cs="宋体"/>
          <w:kern w:val="0"/>
          <w:szCs w:val="21"/>
        </w:rPr>
      </w:pPr>
      <w:r>
        <w:rPr>
          <w:rFonts w:hint="eastAsia" w:ascii="宋体" w:hAnsi="宋体" w:cs="宋体"/>
          <w:kern w:val="0"/>
          <w:szCs w:val="21"/>
        </w:rPr>
        <w:t>项目中产生的投资全部由乙方承担，包括节能设备的生产、采购费用，工程改造费用以及安装、调试费用，及合同主文本约定应由乙方承担的设备运行维修保养费用。</w:t>
      </w:r>
    </w:p>
    <w:p>
      <w:pPr>
        <w:spacing w:line="360" w:lineRule="auto"/>
        <w:jc w:val="left"/>
        <w:outlineLvl w:val="0"/>
        <w:rPr>
          <w:rFonts w:ascii="宋体" w:cs="宋体"/>
          <w:b/>
          <w:kern w:val="0"/>
          <w:szCs w:val="21"/>
        </w:rPr>
      </w:pPr>
      <w:r>
        <w:rPr>
          <w:rFonts w:ascii="宋体" w:hAnsi="宋体"/>
          <w:b/>
          <w:szCs w:val="21"/>
        </w:rPr>
        <w:t>附件</w:t>
      </w:r>
      <w:r>
        <w:rPr>
          <w:rFonts w:hint="eastAsia" w:ascii="宋体" w:hAnsi="宋体"/>
          <w:b/>
          <w:szCs w:val="21"/>
        </w:rPr>
        <w:t>8</w:t>
      </w:r>
      <w:r>
        <w:rPr>
          <w:rFonts w:ascii="宋体" w:hAnsi="宋体"/>
          <w:b/>
          <w:szCs w:val="21"/>
        </w:rPr>
        <w:t xml:space="preserve">. </w:t>
      </w:r>
      <w:r>
        <w:rPr>
          <w:rFonts w:hint="eastAsia" w:ascii="宋体" w:hAnsi="宋体" w:cs="宋体"/>
          <w:b/>
          <w:kern w:val="0"/>
          <w:szCs w:val="21"/>
        </w:rPr>
        <w:t>设备故障处理约定</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）在合同期内，甲方</w:t>
      </w:r>
      <w:r>
        <w:rPr>
          <w:rFonts w:hint="eastAsia" w:ascii="宋体" w:hAnsi="宋体" w:cs="宋"/>
          <w:kern w:val="0"/>
          <w:szCs w:val="21"/>
        </w:rPr>
        <w:t>保证供电稳定、安全，由于供电原因影响到节能设备正常使用时，由甲方负责将供电维修至正常使用；</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）节能设备若出现故障，</w:t>
      </w:r>
      <w:r>
        <w:rPr>
          <w:rFonts w:hint="eastAsia" w:ascii="宋体" w:hAnsi="宋体"/>
          <w:szCs w:val="21"/>
        </w:rPr>
        <w:t>乙方承诺：接到甲方故障通知，2小时之内响应备料，8小时之内到场处理故障恢复设备运行（或启用备用方案），如超过48小时乙方未能解决问题并有影响甲方运营的，甲方有权另请第三方维修，第三方维修所产生的费用由乙方承担</w:t>
      </w:r>
      <w:r>
        <w:rPr>
          <w:rFonts w:hint="eastAsia" w:ascii="宋体" w:hAnsi="宋体" w:cs="宋体"/>
          <w:kern w:val="0"/>
          <w:szCs w:val="21"/>
        </w:rPr>
        <w:t>。</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）在合同期内，乙方负责所提供的节能设备的安全可靠运行，如因产品质量问题造成人员损伤、财产损失或其它损失，由乙方负责承担全部责任。</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在合同期内，若节能设备出现故障，乙方负责免费维修，如节能设备设施因甲方原因造成损坏，甲方需负担维修配件费用；在合同期满后，乙方提供有偿维修服务，并优惠提供零部件，具体服务方式和服务条款双方另行签约。</w:t>
      </w: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附件</w:t>
      </w:r>
      <w:r>
        <w:rPr>
          <w:rFonts w:hint="eastAsia" w:ascii="宋体" w:hAnsi="宋体" w:cs="宋体"/>
          <w:b/>
          <w:kern w:val="0"/>
          <w:szCs w:val="21"/>
        </w:rPr>
        <w:t>9</w:t>
      </w:r>
      <w:r>
        <w:rPr>
          <w:rFonts w:ascii="宋体" w:hAnsi="宋体" w:cs="宋体"/>
          <w:b/>
          <w:kern w:val="0"/>
          <w:szCs w:val="21"/>
        </w:rPr>
        <w:t xml:space="preserve">. </w:t>
      </w:r>
      <w:r>
        <w:rPr>
          <w:rFonts w:hint="eastAsia" w:ascii="宋体" w:hAnsi="宋体" w:cs="宋体"/>
          <w:b/>
          <w:kern w:val="0"/>
          <w:szCs w:val="21"/>
        </w:rPr>
        <w:t>其它约定</w:t>
      </w:r>
    </w:p>
    <w:p>
      <w:pPr>
        <w:spacing w:line="360" w:lineRule="auto"/>
        <w:ind w:left="945" w:leftChars="200" w:hanging="525" w:hangingChars="25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）合同期内，未经乙方书面同意，甲方不得拆除、停用、损毁乙方投入的节能设备。</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）合同期内，甲方或其租户的新增空调区域使用门店中央空调冷冻水制冷的，属于新增用电量，可按</w:t>
      </w:r>
      <w:r>
        <w:rPr>
          <w:rFonts w:ascii="宋体" w:hAnsi="宋体" w:cs="宋体"/>
          <w:kern w:val="0"/>
          <w:szCs w:val="21"/>
        </w:rPr>
        <w:t>“</w:t>
      </w:r>
      <w:r>
        <w:rPr>
          <w:rFonts w:hint="eastAsia" w:ascii="宋体" w:hAnsi="宋体" w:cs="宋体"/>
          <w:kern w:val="0"/>
          <w:szCs w:val="21"/>
        </w:rPr>
        <w:t>历史同期单位面积空调用电量</w:t>
      </w:r>
      <w:r>
        <w:rPr>
          <w:rFonts w:ascii="宋体" w:hAnsi="宋体" w:cs="Tahoma"/>
          <w:sz w:val="23"/>
          <w:szCs w:val="23"/>
        </w:rPr>
        <w:t>×</w:t>
      </w:r>
      <w:r>
        <w:rPr>
          <w:rFonts w:ascii="宋体" w:hAnsi="宋体" w:cs="Tahoma"/>
          <w:szCs w:val="21"/>
        </w:rPr>
        <w:t>新增使用空调面积</w:t>
      </w:r>
      <w:r>
        <w:rPr>
          <w:rFonts w:ascii="宋体" w:hAnsi="宋体" w:cs="宋体"/>
          <w:kern w:val="0"/>
          <w:szCs w:val="21"/>
        </w:rPr>
        <w:t>”</w:t>
      </w:r>
      <w:r>
        <w:rPr>
          <w:rFonts w:ascii="宋体" w:hAnsi="宋体" w:cs="Tahoma"/>
          <w:szCs w:val="21"/>
        </w:rPr>
        <w:t>的方法</w:t>
      </w:r>
      <w:r>
        <w:rPr>
          <w:rFonts w:hint="eastAsia" w:ascii="宋体" w:hAnsi="宋体" w:cs="宋体"/>
          <w:kern w:val="0"/>
          <w:szCs w:val="21"/>
        </w:rPr>
        <w:t>计算新增空调面积的用电量。具体为：以使用面积增加前的当月所有空调设备总用电量之和÷面积增加前的当月空调实际使用面积，得出每平方米的“历史同期单位面积空调用电量”，在后面结算时如该结算月份空调使用面积有增加（以平方米为单位），则以该“历史同期单位面积空调用电量”与当月增加面积相乘，得出增加面积的空调用电量。</w:t>
      </w:r>
    </w:p>
    <w:p>
      <w:pPr>
        <w:spacing w:line="360" w:lineRule="auto"/>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）合同期内，若甲方原因致使节能设备设施全部或部分停止运行的（如因甲方原因造成节能设备故障或门店装修等），出现以上情况甲方应书面知会乙方</w:t>
      </w:r>
      <w:r>
        <w:rPr>
          <w:rFonts w:ascii="宋体" w:cs="宋体"/>
          <w:kern w:val="0"/>
          <w:szCs w:val="21"/>
        </w:rPr>
        <w:t>,分享</w:t>
      </w:r>
      <w:r>
        <w:rPr>
          <w:rFonts w:hint="eastAsia" w:ascii="宋体" w:hAnsi="宋体" w:cs="宋体"/>
          <w:kern w:val="0"/>
          <w:szCs w:val="21"/>
        </w:rPr>
        <w:t>期顺延。</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）合同期内，甲方因经营需要进行门店装修或布局调整</w:t>
      </w:r>
      <w:r>
        <w:rPr>
          <w:rFonts w:ascii="宋体" w:cs="宋体"/>
          <w:kern w:val="0"/>
          <w:szCs w:val="21"/>
        </w:rPr>
        <w:t>,</w:t>
      </w:r>
      <w:r>
        <w:rPr>
          <w:rFonts w:hint="eastAsia" w:ascii="宋体" w:hAnsi="宋体" w:cs="宋体"/>
          <w:kern w:val="0"/>
          <w:szCs w:val="21"/>
        </w:rPr>
        <w:t>门店自行加装或拆除用电设备均按附件之文件</w:t>
      </w:r>
      <w:r>
        <w:rPr>
          <w:rFonts w:ascii="宋体" w:hAnsi="宋体" w:cs="宋体"/>
          <w:kern w:val="0"/>
          <w:szCs w:val="21"/>
        </w:rPr>
        <w:t>3下的《</w:t>
      </w:r>
      <w:r>
        <w:rPr>
          <w:rFonts w:hint="eastAsia" w:ascii="宋体" w:hAnsi="宋体" w:cs="宋体"/>
          <w:kern w:val="0"/>
          <w:szCs w:val="21"/>
          <w:u w:val="single"/>
          <w:lang w:val="en-US" w:eastAsia="zh-CN"/>
        </w:rPr>
        <w:t>XXX</w:t>
      </w:r>
      <w:r>
        <w:rPr>
          <w:rFonts w:hint="eastAsia" w:ascii="宋体" w:hAnsi="宋体" w:cs="宋体"/>
          <w:kern w:val="0"/>
          <w:szCs w:val="21"/>
          <w:u w:val="single"/>
        </w:rPr>
        <w:t xml:space="preserve"> </w:t>
      </w:r>
      <w:r>
        <w:rPr>
          <w:rFonts w:hint="eastAsia" w:ascii="宋体" w:hAnsi="宋体" w:cs="宋体"/>
          <w:kern w:val="0"/>
          <w:szCs w:val="21"/>
        </w:rPr>
        <w:t>店</w:t>
      </w:r>
      <w:r>
        <w:rPr>
          <w:rFonts w:hint="eastAsia" w:ascii="宋体" w:hAnsi="宋体"/>
          <w:szCs w:val="21"/>
        </w:rPr>
        <w:t>增减设备负荷表》</w:t>
      </w:r>
      <w:r>
        <w:rPr>
          <w:rFonts w:hint="eastAsia" w:ascii="宋体" w:hAnsi="宋体" w:cs="宋体"/>
          <w:kern w:val="0"/>
          <w:szCs w:val="21"/>
        </w:rPr>
        <w:t>处理。</w:t>
      </w:r>
    </w:p>
    <w:p>
      <w:pPr>
        <w:spacing w:line="52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（5）营业时间调整变化：</w:t>
      </w:r>
      <w:r>
        <w:rPr>
          <w:rFonts w:hint="eastAsia" w:ascii="宋体" w:hAnsi="宋体" w:cs="宋体"/>
          <w:kern w:val="0"/>
          <w:szCs w:val="21"/>
        </w:rPr>
        <w:t>门店各用电设备运行模式与改造前应保持基本一致，如有调整按相应变化计算能耗变化。</w:t>
      </w:r>
    </w:p>
    <w:p>
      <w:pPr>
        <w:snapToGrid w:val="0"/>
        <w:spacing w:line="360" w:lineRule="auto"/>
        <w:ind w:firstLine="468"/>
        <w:rPr>
          <w:rFonts w:ascii="宋体"/>
          <w:szCs w:val="21"/>
        </w:rPr>
      </w:pPr>
      <w:r>
        <w:rPr>
          <w:rFonts w:hint="eastAsia" w:ascii="宋体" w:hAnsi="宋体"/>
          <w:szCs w:val="21"/>
        </w:rPr>
        <w:t>（6）在整个效益分享期内，甲、乙任意一方对节能量数值有异议，可聘请具有相关资质的第三方进行审核，聘请费用由过错方承担，如无过错方，聘请费用由提出异议方承担。</w:t>
      </w:r>
    </w:p>
    <w:p>
      <w:pPr>
        <w:snapToGrid w:val="0"/>
        <w:spacing w:line="360" w:lineRule="auto"/>
        <w:ind w:firstLine="480"/>
        <w:rPr>
          <w:rFonts w:ascii="宋体"/>
          <w:szCs w:val="21"/>
        </w:rPr>
      </w:pPr>
      <w:r>
        <w:rPr>
          <w:rFonts w:hint="eastAsia" w:ascii="宋体" w:hAnsi="宋体"/>
          <w:szCs w:val="21"/>
        </w:rPr>
        <w:t>（7）结算方式：采用每月结算一次的方式，每12个月为一个周期年，每个周期年的第</w:t>
      </w:r>
      <w:r>
        <w:rPr>
          <w:rFonts w:ascii="宋体" w:hAnsi="宋体"/>
          <w:szCs w:val="21"/>
        </w:rPr>
        <w:t>1</w:t>
      </w:r>
      <w:r>
        <w:rPr>
          <w:rFonts w:hint="eastAsia" w:ascii="宋体" w:hAnsi="宋体"/>
          <w:szCs w:val="21"/>
        </w:rPr>
        <w:t>至</w:t>
      </w:r>
      <w:r>
        <w:rPr>
          <w:rFonts w:ascii="宋体" w:hAnsi="宋体"/>
          <w:szCs w:val="21"/>
        </w:rPr>
        <w:t>11</w:t>
      </w:r>
      <w:r>
        <w:rPr>
          <w:rFonts w:hint="eastAsia" w:ascii="宋体" w:hAnsi="宋体"/>
          <w:szCs w:val="21"/>
        </w:rPr>
        <w:t>个月以实际节电量计算双方的节能效益分享款，在第</w:t>
      </w:r>
      <w:r>
        <w:rPr>
          <w:rFonts w:ascii="宋体" w:hAnsi="宋体"/>
          <w:szCs w:val="21"/>
        </w:rPr>
        <w:t>12</w:t>
      </w:r>
      <w:r>
        <w:rPr>
          <w:rFonts w:hint="eastAsia" w:ascii="宋体" w:hAnsi="宋体"/>
          <w:szCs w:val="21"/>
        </w:rPr>
        <w:t>个月结算时，如本周期年度12个月的总节省量低于乙方承诺的最低年节省量标准，则本周期年度内乙方承诺节省量中甲方应分享效益的不足部分从中扣除，如乙方第</w:t>
      </w:r>
      <w:r>
        <w:rPr>
          <w:rFonts w:ascii="宋体" w:hAnsi="宋体"/>
          <w:szCs w:val="21"/>
        </w:rPr>
        <w:t>12</w:t>
      </w:r>
      <w:r>
        <w:rPr>
          <w:rFonts w:hint="eastAsia" w:ascii="宋体" w:hAnsi="宋体"/>
          <w:szCs w:val="21"/>
        </w:rPr>
        <w:t>个月的节能效益分享款还不足以补偿的甲方全年应得部分，则乙方直接以现金补足。</w:t>
      </w:r>
    </w:p>
    <w:p>
      <w:pPr>
        <w:snapToGrid w:val="0"/>
        <w:spacing w:line="360" w:lineRule="auto"/>
        <w:ind w:firstLine="480"/>
        <w:rPr>
          <w:rFonts w:ascii="宋体" w:hAnsi="宋体"/>
          <w:szCs w:val="21"/>
        </w:rPr>
      </w:pPr>
      <w:r>
        <w:rPr>
          <w:rFonts w:hint="eastAsia" w:ascii="宋体" w:hAnsi="宋体"/>
          <w:szCs w:val="21"/>
        </w:rPr>
        <w:t>（8）项目合同签署之后，甲、乙双方就改造范围内甲方用电设备是否运行正常进行检查，甲方应确保其设备运行正常，如甲方设备有不能正常运行的，须由甲方负责维修直至恢复正常状态。</w:t>
      </w:r>
    </w:p>
    <w:p>
      <w:pPr>
        <w:snapToGrid w:val="0"/>
        <w:spacing w:line="360" w:lineRule="auto"/>
        <w:ind w:firstLine="480"/>
        <w:rPr>
          <w:rFonts w:ascii="宋体" w:hAnsi="宋体"/>
          <w:szCs w:val="21"/>
        </w:rPr>
      </w:pPr>
      <w:r>
        <w:rPr>
          <w:rFonts w:hint="eastAsia" w:ascii="宋体" w:hAnsi="宋体"/>
          <w:szCs w:val="21"/>
        </w:rPr>
        <w:t>（9）合同期内甲方原有大型设备设施的外包保养服务（如空调、电梯以及冷链系统的外包保养等）费用甲方需继续承担，如果改由乙方维保，须征得乙方同意并与乙方另签维保合同，费用乙方可优惠但亦由甲方负担，合同期内乙方投入的节能设备设施的维修保养由乙方免费负责，合同期满后甲方需要乙方继续维保或管理的，双方另签维保协议或新的能源管理合同。</w:t>
      </w:r>
    </w:p>
    <w:p>
      <w:pPr>
        <w:snapToGrid w:val="0"/>
        <w:spacing w:line="360" w:lineRule="auto"/>
        <w:rPr>
          <w:rFonts w:ascii="宋体" w:hAnsi="宋体"/>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pStyle w:val="2"/>
        <w:numPr>
          <w:ilvl w:val="0"/>
          <w:numId w:val="0"/>
        </w:numPr>
        <w:rPr>
          <w:rFonts w:asciiTheme="majorEastAsia" w:hAnsiTheme="majorEastAsia" w:eastAsiaTheme="majorEastAsia"/>
          <w:sz w:val="28"/>
          <w:szCs w:val="28"/>
        </w:rPr>
      </w:pPr>
      <w:bookmarkStart w:id="16" w:name="_Toc491005870"/>
      <w:bookmarkStart w:id="17" w:name="_Toc13732428"/>
      <w:r>
        <w:rPr>
          <w:rFonts w:hint="eastAsia" w:asciiTheme="majorEastAsia" w:hAnsiTheme="majorEastAsia" w:eastAsiaTheme="majorEastAsia"/>
          <w:sz w:val="28"/>
          <w:szCs w:val="28"/>
        </w:rPr>
        <w:t>第六章</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投标文件格式</w:t>
      </w:r>
      <w:bookmarkEnd w:id="16"/>
      <w:bookmarkEnd w:id="17"/>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一、投标承诺书</w:t>
      </w:r>
    </w:p>
    <w:p>
      <w:pPr>
        <w:spacing w:before="150"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lang w:val="en-US" w:eastAsia="zh-CN"/>
        </w:rPr>
        <w:t>合肥百货大楼集团股份有限公司</w:t>
      </w:r>
      <w:r>
        <w:rPr>
          <w:rFonts w:hint="eastAsia" w:asciiTheme="minorEastAsia" w:hAnsiTheme="minorEastAsia" w:eastAsiaTheme="minorEastAsia" w:cstheme="minorEastAsia"/>
          <w:sz w:val="24"/>
        </w:rPr>
        <w:t>：</w:t>
      </w:r>
    </w:p>
    <w:p>
      <w:pPr>
        <w:spacing w:line="440" w:lineRule="exact"/>
        <w:ind w:firstLine="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根据贵司</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号招标文件要求，我司签字代表</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（姓名、职务）已被正式授权代表投标人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（投标人名称）提交下述文件：</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⑴开标一览表</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⑵服务方案</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（3）相关证明</w:t>
      </w:r>
    </w:p>
    <w:p>
      <w:pPr>
        <w:spacing w:line="440" w:lineRule="exac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同时，签字代表宣布承诺如下：</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⑴投标人已详细阅读全部招标文件（含修改文件），并理解其实质性内容，同意承担其规定的全部义务和相关责任。</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⑵投标人严格按照招标文件的规定报价，如被确定为中标人后，将全面履行合同。</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⑶投标人在交付</w:t>
      </w:r>
      <w:r>
        <w:rPr>
          <w:rFonts w:hint="eastAsia" w:asciiTheme="minorEastAsia" w:hAnsiTheme="minorEastAsia" w:eastAsiaTheme="minorEastAsia" w:cstheme="minorEastAsia"/>
          <w:b/>
          <w:sz w:val="24"/>
        </w:rPr>
        <w:t>投标</w:t>
      </w:r>
      <w:r>
        <w:rPr>
          <w:rFonts w:hint="eastAsia" w:asciiTheme="minorEastAsia" w:hAnsiTheme="minorEastAsia" w:eastAsiaTheme="minorEastAsia" w:cstheme="minorEastAsia"/>
          <w:sz w:val="24"/>
        </w:rPr>
        <w:t>保证金后，如出现串标、毁标、中标后不签订合同等违规行为，招标人有权没收该保证金。</w:t>
      </w:r>
    </w:p>
    <w:p>
      <w:pPr>
        <w:spacing w:line="440" w:lineRule="exact"/>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⑷投标人近三年来没有骗取中标和严重违约及重大质量、安全问题。</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⑸投标人同意提供招标人可能要求的与其投标有关的一切数据或资料。</w:t>
      </w:r>
    </w:p>
    <w:p>
      <w:pPr>
        <w:spacing w:line="44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 </w:t>
      </w:r>
    </w:p>
    <w:p>
      <w:pPr>
        <w:spacing w:line="44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jc w:val="right"/>
        <w:rPr>
          <w:rFonts w:asciiTheme="minorEastAsia" w:hAnsiTheme="minorEastAsia" w:eastAsiaTheme="minorEastAsia" w:cstheme="minorEastAsia"/>
          <w:sz w:val="24"/>
        </w:rPr>
      </w:pP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投标人（公章）：</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企业法人（签字）：</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授权代表（签字）：</w:t>
      </w:r>
    </w:p>
    <w:p>
      <w:pPr>
        <w:spacing w:line="500" w:lineRule="exact"/>
        <w:jc w:val="center"/>
        <w:rPr>
          <w:rFonts w:asciiTheme="majorEastAsia" w:hAnsiTheme="majorEastAsia" w:eastAsiaTheme="majorEastAsia"/>
          <w:sz w:val="28"/>
          <w:szCs w:val="28"/>
        </w:rPr>
      </w:pP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二〇二〇年月日</w:t>
      </w:r>
    </w:p>
    <w:p>
      <w:pPr>
        <w:spacing w:line="500" w:lineRule="exact"/>
        <w:jc w:val="center"/>
        <w:rPr>
          <w:rFonts w:asciiTheme="minorEastAsia" w:hAnsiTheme="minorEastAsia" w:eastAsiaTheme="minorEastAsia" w:cstheme="minorEastAsia"/>
          <w:sz w:val="24"/>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二、开标一览表</w:t>
      </w:r>
    </w:p>
    <w:tbl>
      <w:tblPr>
        <w:tblStyle w:val="27"/>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2387"/>
        <w:gridCol w:w="6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993"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项目名称</w:t>
            </w:r>
          </w:p>
        </w:tc>
        <w:tc>
          <w:tcPr>
            <w:tcW w:w="690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1320" w:firstLineChars="550"/>
              <w:jc w:val="left"/>
              <w:rPr>
                <w:rFonts w:hint="eastAsia" w:ascii="楷体_GB2312" w:hAnsi="宋体" w:cs="宋体" w:eastAsiaTheme="minorEastAsia"/>
                <w:b/>
                <w:color w:val="000000"/>
                <w:kern w:val="0"/>
                <w:sz w:val="24"/>
                <w:lang w:eastAsia="zh-CN"/>
              </w:rPr>
            </w:pP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合同能源管理</w:t>
            </w:r>
            <w:r>
              <w:rPr>
                <w:rFonts w:hint="eastAsia" w:asciiTheme="minorEastAsia" w:hAnsiTheme="minorEastAsia" w:eastAsiaTheme="minorEastAsia" w:cstheme="minorEastAsia"/>
                <w:sz w:val="24"/>
                <w:lang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2993"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项目编号</w:t>
            </w:r>
          </w:p>
        </w:tc>
        <w:tc>
          <w:tcPr>
            <w:tcW w:w="690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2993"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投标人全称</w:t>
            </w:r>
          </w:p>
        </w:tc>
        <w:tc>
          <w:tcPr>
            <w:tcW w:w="690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hint="eastAsia" w:ascii="宋体" w:hAnsi="宋体" w:eastAsia="宋体" w:cs="宋体"/>
                <w:b/>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989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2"/>
              </w:rPr>
            </w:pPr>
            <w:r>
              <w:rPr>
                <w:rFonts w:hint="eastAsia" w:ascii="宋体" w:hAnsi="宋体" w:cs="宋体"/>
                <w:b/>
                <w:kern w:val="0"/>
                <w:sz w:val="22"/>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606"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1</w:t>
            </w:r>
          </w:p>
        </w:tc>
        <w:tc>
          <w:tcPr>
            <w:tcW w:w="2387"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节能分享方案</w:t>
            </w:r>
          </w:p>
        </w:tc>
        <w:tc>
          <w:tcPr>
            <w:tcW w:w="6906"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606"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2</w:t>
            </w:r>
          </w:p>
        </w:tc>
        <w:tc>
          <w:tcPr>
            <w:tcW w:w="2387"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改造工期</w:t>
            </w:r>
          </w:p>
        </w:tc>
        <w:tc>
          <w:tcPr>
            <w:tcW w:w="6906"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606"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3</w:t>
            </w:r>
          </w:p>
        </w:tc>
        <w:tc>
          <w:tcPr>
            <w:tcW w:w="2387"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付款方式</w:t>
            </w:r>
          </w:p>
        </w:tc>
        <w:tc>
          <w:tcPr>
            <w:tcW w:w="6906"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299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kern w:val="28"/>
                <w:sz w:val="22"/>
                <w:lang w:val="eu-ES"/>
              </w:rPr>
            </w:pPr>
            <w:r>
              <w:rPr>
                <w:rFonts w:hint="eastAsia"/>
                <w:kern w:val="28"/>
                <w:sz w:val="22"/>
                <w:lang w:val="eu-ES"/>
              </w:rPr>
              <w:t>备注</w:t>
            </w:r>
          </w:p>
        </w:tc>
        <w:tc>
          <w:tcPr>
            <w:tcW w:w="69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989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00" w:lineRule="exact"/>
              <w:rPr>
                <w:rFonts w:ascii="宋体" w:hAnsi="宋体" w:cs="宋体"/>
                <w:kern w:val="0"/>
                <w:sz w:val="22"/>
              </w:rPr>
            </w:pPr>
            <w:r>
              <w:rPr>
                <w:rFonts w:hint="eastAsia" w:ascii="宋体" w:hAnsi="宋体" w:cs="宋体"/>
                <w:b/>
                <w:kern w:val="0"/>
                <w:sz w:val="22"/>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2993" w:type="dxa"/>
            <w:gridSpan w:val="2"/>
            <w:tcBorders>
              <w:top w:val="single" w:color="auto" w:sz="4" w:space="0"/>
              <w:left w:val="single" w:color="auto" w:sz="4" w:space="0"/>
              <w:right w:val="single" w:color="auto" w:sz="4" w:space="0"/>
            </w:tcBorders>
            <w:vAlign w:val="center"/>
          </w:tcPr>
          <w:p>
            <w:pPr>
              <w:spacing w:line="400" w:lineRule="exact"/>
              <w:jc w:val="center"/>
              <w:rPr>
                <w:rFonts w:ascii="宋体" w:hAnsi="宋体" w:cs="宋体"/>
                <w:kern w:val="0"/>
                <w:sz w:val="22"/>
              </w:rPr>
            </w:pPr>
            <w:r>
              <w:rPr>
                <w:rFonts w:hint="eastAsia" w:ascii="宋体" w:hAnsi="宋体" w:cs="宋体"/>
                <w:kern w:val="0"/>
                <w:sz w:val="22"/>
              </w:rPr>
              <w:t>项目节能率</w:t>
            </w:r>
          </w:p>
        </w:tc>
        <w:tc>
          <w:tcPr>
            <w:tcW w:w="69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1"/>
                <w:szCs w:val="21"/>
                <w:highlight w:val="none"/>
                <w:vertAlign w:val="baseline"/>
                <w:lang w:eastAsia="zh-CN"/>
              </w:rPr>
            </w:pPr>
            <w:r>
              <w:rPr>
                <w:rFonts w:hint="eastAsia" w:ascii="宋体" w:hAnsi="宋体" w:cs="宋体"/>
                <w:sz w:val="21"/>
                <w:szCs w:val="21"/>
                <w:highlight w:val="none"/>
                <w:vertAlign w:val="baseline"/>
                <w:lang w:eastAsia="zh-CN"/>
              </w:rPr>
              <w:t>铜陵百大：</w:t>
            </w:r>
            <w:r>
              <w:rPr>
                <w:rFonts w:hint="eastAsia" w:ascii="宋体" w:hAnsi="宋体" w:cs="宋体"/>
                <w:sz w:val="21"/>
                <w:szCs w:val="21"/>
                <w:highlight w:val="none"/>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1"/>
                <w:szCs w:val="21"/>
                <w:highlight w:val="none"/>
                <w:vertAlign w:val="baseline"/>
                <w:lang w:eastAsia="zh-CN"/>
              </w:rPr>
            </w:pPr>
            <w:r>
              <w:rPr>
                <w:rFonts w:hint="eastAsia" w:ascii="宋体" w:hAnsi="宋体" w:cs="宋体"/>
                <w:sz w:val="21"/>
                <w:szCs w:val="21"/>
                <w:highlight w:val="none"/>
                <w:vertAlign w:val="baseline"/>
                <w:lang w:eastAsia="zh-CN"/>
              </w:rPr>
              <w:t>黄山百大：</w:t>
            </w:r>
            <w:r>
              <w:rPr>
                <w:rFonts w:hint="eastAsia" w:ascii="宋体" w:hAnsi="宋体" w:cs="宋体"/>
                <w:sz w:val="21"/>
                <w:szCs w:val="21"/>
                <w:highlight w:val="none"/>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1"/>
                <w:szCs w:val="21"/>
                <w:highlight w:val="none"/>
                <w:vertAlign w:val="baseline"/>
                <w:lang w:eastAsia="zh-CN"/>
              </w:rPr>
            </w:pPr>
            <w:r>
              <w:rPr>
                <w:rFonts w:hint="eastAsia" w:ascii="宋体" w:hAnsi="宋体" w:cs="宋体"/>
                <w:sz w:val="21"/>
                <w:szCs w:val="21"/>
                <w:highlight w:val="none"/>
                <w:vertAlign w:val="baseline"/>
                <w:lang w:eastAsia="zh-CN"/>
              </w:rPr>
              <w:t>广德百大：</w:t>
            </w:r>
            <w:r>
              <w:rPr>
                <w:rFonts w:hint="eastAsia" w:ascii="宋体" w:hAnsi="宋体" w:cs="宋体"/>
                <w:sz w:val="21"/>
                <w:szCs w:val="21"/>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89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sz w:val="22"/>
              </w:rPr>
            </w:pPr>
            <w:r>
              <w:rPr>
                <w:rFonts w:hint="eastAsia" w:ascii="宋体" w:hAnsi="宋体" w:cs="宋体"/>
                <w:b/>
                <w:bCs/>
                <w:kern w:val="0"/>
                <w:sz w:val="22"/>
                <w:szCs w:val="22"/>
              </w:rPr>
              <w:t>注：</w:t>
            </w:r>
            <w:r>
              <w:rPr>
                <w:rFonts w:hint="eastAsia" w:ascii="宋体" w:hAnsi="宋体" w:cs="宋体"/>
                <w:b/>
                <w:bCs/>
                <w:kern w:val="0"/>
                <w:sz w:val="22"/>
                <w:szCs w:val="22"/>
                <w:lang w:eastAsia="zh-CN"/>
              </w:rPr>
              <w:t>各成员企业</w:t>
            </w:r>
            <w:r>
              <w:rPr>
                <w:rFonts w:hint="eastAsia" w:ascii="宋体" w:hAnsi="宋体" w:cs="宋体"/>
                <w:b/>
                <w:bCs/>
                <w:kern w:val="0"/>
                <w:sz w:val="22"/>
                <w:szCs w:val="22"/>
              </w:rPr>
              <w:t>项目节能率不得低于</w:t>
            </w:r>
            <w:r>
              <w:rPr>
                <w:rFonts w:hint="eastAsia" w:ascii="宋体" w:hAnsi="宋体" w:cs="宋体"/>
                <w:b/>
                <w:bCs/>
                <w:kern w:val="0"/>
                <w:sz w:val="22"/>
                <w:szCs w:val="22"/>
                <w:lang w:val="en-US" w:eastAsia="zh-CN"/>
              </w:rPr>
              <w:t>15</w:t>
            </w:r>
            <w:r>
              <w:rPr>
                <w:rFonts w:hint="eastAsia" w:ascii="宋体" w:hAnsi="宋体" w:cs="宋体"/>
                <w:b/>
                <w:bCs/>
                <w:kern w:val="0"/>
                <w:sz w:val="22"/>
                <w:szCs w:val="22"/>
              </w:rPr>
              <w:t>%，否则视为废标；</w:t>
            </w:r>
          </w:p>
        </w:tc>
      </w:tr>
    </w:tbl>
    <w:p>
      <w:pPr>
        <w:widowControl/>
        <w:spacing w:line="7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700" w:lineRule="exact"/>
        <w:jc w:val="left"/>
        <w:rPr>
          <w:rFonts w:ascii="宋体" w:hAnsi="宋体" w:cs="宋体"/>
          <w:b/>
          <w:kern w:val="0"/>
          <w:sz w:val="24"/>
        </w:rPr>
      </w:pPr>
      <w:r>
        <w:rPr>
          <w:rFonts w:hint="eastAsia" w:ascii="宋体" w:hAnsi="宋体" w:cs="宋体"/>
          <w:b/>
          <w:kern w:val="0"/>
          <w:sz w:val="24"/>
        </w:rPr>
        <w:t>联系方式：                                      二〇二〇年</w:t>
      </w:r>
      <w:r>
        <w:rPr>
          <w:rFonts w:hint="eastAsia" w:ascii="宋体" w:hAnsi="宋体" w:cs="宋体"/>
          <w:b/>
          <w:kern w:val="0"/>
          <w:sz w:val="24"/>
          <w:lang w:val="en-US" w:eastAsia="zh-CN"/>
        </w:rPr>
        <w:t xml:space="preserve">   </w:t>
      </w:r>
      <w:r>
        <w:rPr>
          <w:rFonts w:hint="eastAsia" w:ascii="宋体" w:hAnsi="宋体" w:cs="宋体"/>
          <w:b/>
          <w:kern w:val="0"/>
          <w:sz w:val="24"/>
        </w:rPr>
        <w:t>月</w:t>
      </w:r>
      <w:r>
        <w:rPr>
          <w:rFonts w:hint="eastAsia" w:ascii="宋体" w:hAnsi="宋体" w:cs="宋体"/>
          <w:b/>
          <w:kern w:val="0"/>
          <w:sz w:val="24"/>
          <w:lang w:val="en-US" w:eastAsia="zh-CN"/>
        </w:rPr>
        <w:t xml:space="preserve">     </w:t>
      </w:r>
      <w:r>
        <w:rPr>
          <w:rFonts w:hint="eastAsia" w:ascii="宋体" w:hAnsi="宋体" w:cs="宋体"/>
          <w:b/>
          <w:kern w:val="0"/>
          <w:sz w:val="24"/>
        </w:rPr>
        <w:t>日</w:t>
      </w:r>
    </w:p>
    <w:p>
      <w:pPr>
        <w:jc w:val="center"/>
        <w:rPr>
          <w:rFonts w:hint="eastAsia" w:asciiTheme="majorEastAsia" w:hAnsiTheme="majorEastAsia" w:eastAsiaTheme="majorEastAsia"/>
          <w:b/>
          <w:sz w:val="28"/>
          <w:szCs w:val="28"/>
        </w:rPr>
      </w:pPr>
    </w:p>
    <w:p>
      <w:pPr>
        <w:jc w:val="center"/>
        <w:rPr>
          <w:rFonts w:hint="eastAsia" w:asciiTheme="majorEastAsia" w:hAnsiTheme="majorEastAsia" w:eastAsiaTheme="majorEastAsia"/>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三、投标承诺事项</w:t>
      </w:r>
    </w:p>
    <w:p>
      <w:pPr>
        <w:widowControl/>
        <w:spacing w:line="460" w:lineRule="exact"/>
        <w:ind w:firstLine="354" w:firstLineChars="147"/>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内容包括如下：</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1</w:t>
      </w:r>
      <w:r>
        <w:rPr>
          <w:rFonts w:hint="eastAsia" w:cs="宋体" w:asciiTheme="majorEastAsia" w:hAnsiTheme="majorEastAsia" w:eastAsiaTheme="majorEastAsia"/>
          <w:kern w:val="0"/>
          <w:sz w:val="24"/>
        </w:rPr>
        <w:t>．对改造工期的承诺；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2</w:t>
      </w:r>
      <w:r>
        <w:rPr>
          <w:rFonts w:hint="eastAsia" w:cs="宋体" w:asciiTheme="majorEastAsia" w:hAnsiTheme="majorEastAsia" w:eastAsiaTheme="majorEastAsia"/>
          <w:kern w:val="0"/>
          <w:sz w:val="24"/>
        </w:rPr>
        <w:t>．对工程质量、安全施工及保修服务的承诺；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3</w:t>
      </w:r>
      <w:r>
        <w:rPr>
          <w:rFonts w:hint="eastAsia" w:cs="宋体" w:asciiTheme="majorEastAsia" w:hAnsiTheme="majorEastAsia" w:eastAsiaTheme="majorEastAsia"/>
          <w:kern w:val="0"/>
          <w:sz w:val="24"/>
        </w:rPr>
        <w:t>．对合同能源管理期间服务的承诺；</w:t>
      </w:r>
    </w:p>
    <w:p>
      <w:pPr>
        <w:widowControl/>
        <w:spacing w:line="460" w:lineRule="exact"/>
        <w:ind w:firstLine="480" w:firstLineChars="200"/>
        <w:jc w:val="left"/>
        <w:rPr>
          <w:rFonts w:cs="宋体" w:asciiTheme="majorEastAsia" w:hAnsiTheme="majorEastAsia" w:eastAsiaTheme="majorEastAsia"/>
          <w:kern w:val="0"/>
          <w:sz w:val="24"/>
        </w:rPr>
      </w:pPr>
    </w:p>
    <w:p>
      <w:pPr>
        <w:widowControl/>
        <w:spacing w:line="460" w:lineRule="exact"/>
        <w:ind w:firstLine="560" w:firstLineChars="200"/>
        <w:jc w:val="left"/>
        <w:rPr>
          <w:rFonts w:cs="宋体" w:asciiTheme="majorEastAsia" w:hAnsiTheme="majorEastAsia" w:eastAsiaTheme="majorEastAsia"/>
          <w:kern w:val="0"/>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四、投标人资格证明文件</w:t>
      </w:r>
    </w:p>
    <w:p>
      <w:pPr>
        <w:widowControl/>
        <w:spacing w:line="400" w:lineRule="exact"/>
        <w:ind w:firstLine="361" w:firstLineChars="15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投标人除提供“投标人要求”中所列文件外，须相应提供以下资料：</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基本情况说明</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⑴</w:t>
      </w:r>
      <w:r>
        <w:rPr>
          <w:rFonts w:hint="eastAsia" w:cs="宋体" w:asciiTheme="majorEastAsia" w:hAnsiTheme="majorEastAsia" w:eastAsiaTheme="majorEastAsia"/>
          <w:bCs/>
          <w:kern w:val="0"/>
          <w:sz w:val="24"/>
        </w:rPr>
        <w:t>投标人简介、通讯方式</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⑵开户银行名称及地址</w:t>
      </w:r>
    </w:p>
    <w:p>
      <w:pPr>
        <w:autoSpaceDE w:val="0"/>
        <w:autoSpaceDN w:val="0"/>
        <w:adjustRightInd w:val="0"/>
        <w:spacing w:line="400" w:lineRule="exact"/>
        <w:ind w:firstLine="360" w:firstLineChars="150"/>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⑶标人需要说明的其它情况</w:t>
      </w:r>
    </w:p>
    <w:p>
      <w:pPr>
        <w:autoSpaceDE w:val="0"/>
        <w:autoSpaceDN w:val="0"/>
        <w:adjustRightInd w:val="0"/>
        <w:spacing w:line="400" w:lineRule="exact"/>
        <w:ind w:firstLine="420" w:firstLineChars="150"/>
        <w:rPr>
          <w:rFonts w:cs="宋体" w:asciiTheme="majorEastAsia" w:hAnsiTheme="majorEastAsia" w:eastAsiaTheme="majorEastAsia"/>
          <w:kern w:val="0"/>
          <w:sz w:val="28"/>
          <w:szCs w:val="28"/>
        </w:rPr>
      </w:pPr>
    </w:p>
    <w:p>
      <w:pPr>
        <w:numPr>
          <w:ilvl w:val="0"/>
          <w:numId w:val="7"/>
        </w:numPr>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投标人信用承诺</w:t>
      </w:r>
    </w:p>
    <w:p>
      <w:pPr>
        <w:numPr>
          <w:ilvl w:val="0"/>
          <w:numId w:val="0"/>
        </w:numPr>
        <w:jc w:val="both"/>
        <w:rPr>
          <w:rFonts w:hint="eastAsia" w:asciiTheme="majorEastAsia" w:hAnsiTheme="majorEastAsia" w:eastAsiaTheme="majorEastAsia"/>
          <w:b/>
          <w:sz w:val="28"/>
          <w:szCs w:val="28"/>
        </w:rPr>
      </w:pP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一、我公司申明：</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我公司未被人民法院列入失信被执行人；</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我公司和我公司法定代表人均未被人民检察院列入行贿犯罪档案；</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我公司未被工商行政管理部门列入企业经营异常名录；</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我公司未被税务部门列入重大税收违法案件当事人名单。</w:t>
      </w: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二、合同签订前，若我公司具有本项目招标公告投标人资格中规定的不良信用记录情形，可取消我公司的中标资格或者不授予合同，所有责任由我公司自行承担。同时，我公司愿意无条件接受监管部门的调查处理。</w:t>
      </w:r>
    </w:p>
    <w:p>
      <w:pPr>
        <w:spacing w:line="360" w:lineRule="auto"/>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我公司对以上承诺的真实性承担责任。</w:t>
      </w:r>
    </w:p>
    <w:p>
      <w:pPr>
        <w:spacing w:line="360" w:lineRule="auto"/>
        <w:ind w:firstLine="630"/>
        <w:rPr>
          <w:rFonts w:asciiTheme="majorEastAsia" w:hAnsiTheme="majorEastAsia" w:eastAsiaTheme="majorEastAsia"/>
          <w:sz w:val="24"/>
        </w:rPr>
      </w:pPr>
    </w:p>
    <w:p>
      <w:pPr>
        <w:spacing w:line="360" w:lineRule="auto"/>
        <w:ind w:firstLine="630"/>
        <w:rPr>
          <w:rFonts w:hint="eastAsia" w:asciiTheme="majorEastAsia" w:hAnsiTheme="majorEastAsia" w:eastAsiaTheme="majorEastAsia"/>
          <w:b/>
          <w:sz w:val="24"/>
        </w:rPr>
      </w:pPr>
      <w:r>
        <w:rPr>
          <w:rFonts w:hint="eastAsia" w:asciiTheme="majorEastAsia" w:hAnsiTheme="majorEastAsia" w:eastAsiaTheme="majorEastAsia"/>
          <w:b/>
          <w:sz w:val="24"/>
        </w:rPr>
        <w:t>投标人签章：</w:t>
      </w:r>
    </w:p>
    <w:p>
      <w:pPr>
        <w:spacing w:line="360" w:lineRule="auto"/>
        <w:ind w:firstLine="630"/>
        <w:rPr>
          <w:rFonts w:hint="eastAsia" w:asciiTheme="majorEastAsia" w:hAnsiTheme="majorEastAsia" w:eastAsiaTheme="majorEastAsia"/>
          <w:b/>
          <w:sz w:val="24"/>
        </w:rPr>
      </w:pPr>
    </w:p>
    <w:p>
      <w:pPr>
        <w:jc w:val="center"/>
        <w:rPr>
          <w:rFonts w:asciiTheme="majorEastAsia" w:hAnsiTheme="majorEastAsia" w:eastAsiaTheme="majorEastAsia"/>
          <w:b/>
          <w:sz w:val="28"/>
          <w:szCs w:val="28"/>
        </w:rPr>
      </w:pPr>
    </w:p>
    <w:p>
      <w:pPr>
        <w:numPr>
          <w:ilvl w:val="0"/>
          <w:numId w:val="7"/>
        </w:numPr>
        <w:ind w:left="0" w:leftChars="0" w:firstLine="0" w:firstLineChars="0"/>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投标保证金退还申请书</w:t>
      </w:r>
    </w:p>
    <w:p>
      <w:pPr>
        <w:numPr>
          <w:ilvl w:val="0"/>
          <w:numId w:val="0"/>
        </w:numPr>
        <w:ind w:leftChars="0"/>
        <w:jc w:val="both"/>
        <w:rPr>
          <w:rFonts w:hint="eastAsia" w:asciiTheme="majorEastAsia" w:hAnsiTheme="majorEastAsia" w:eastAsiaTheme="majorEastAsia"/>
          <w:b/>
          <w:sz w:val="28"/>
          <w:szCs w:val="28"/>
        </w:rPr>
      </w:pPr>
    </w:p>
    <w:p>
      <w:pPr>
        <w:ind w:firstLine="537" w:firstLineChars="192"/>
        <w:rPr>
          <w:rFonts w:hint="eastAsia" w:cs="宋体" w:asciiTheme="majorEastAsia" w:hAnsiTheme="majorEastAsia" w:eastAsiaTheme="majorEastAsia"/>
          <w:sz w:val="28"/>
          <w:szCs w:val="28"/>
          <w:lang w:val="en-US" w:eastAsia="zh-CN"/>
        </w:rPr>
      </w:pPr>
      <w:r>
        <w:rPr>
          <w:rFonts w:hint="eastAsia" w:cs="宋体" w:asciiTheme="majorEastAsia" w:hAnsiTheme="majorEastAsia" w:eastAsiaTheme="majorEastAsia"/>
          <w:sz w:val="28"/>
          <w:szCs w:val="28"/>
          <w:lang w:val="en-US" w:eastAsia="zh-CN"/>
        </w:rPr>
        <w:t>合肥百货大楼集团股份有限公司：</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我公司于</w:t>
      </w:r>
      <w:r>
        <w:rPr>
          <w:rFonts w:cs="宋体" w:asciiTheme="majorEastAsia" w:hAnsiTheme="majorEastAsia" w:eastAsiaTheme="majorEastAsia"/>
          <w:sz w:val="28"/>
          <w:szCs w:val="28"/>
          <w:u w:val="single"/>
        </w:rPr>
        <w:t>20</w:t>
      </w:r>
      <w:r>
        <w:rPr>
          <w:rFonts w:hint="eastAsia" w:cs="宋体" w:asciiTheme="majorEastAsia" w:hAnsiTheme="majorEastAsia" w:eastAsiaTheme="majorEastAsia"/>
          <w:sz w:val="28"/>
          <w:szCs w:val="28"/>
          <w:u w:val="single"/>
        </w:rPr>
        <w:t>20年  月  日</w:t>
      </w:r>
      <w:r>
        <w:rPr>
          <w:rFonts w:hint="eastAsia" w:cs="宋体" w:asciiTheme="majorEastAsia" w:hAnsiTheme="majorEastAsia" w:eastAsiaTheme="majorEastAsia"/>
          <w:sz w:val="28"/>
          <w:szCs w:val="28"/>
        </w:rPr>
        <w:t>参加项目招投标，交纳保证金</w:t>
      </w:r>
      <w:r>
        <w:rPr>
          <w:rFonts w:hint="eastAsia" w:cs="宋体" w:asciiTheme="majorEastAsia" w:hAnsiTheme="majorEastAsia" w:eastAsiaTheme="majorEastAsia"/>
          <w:sz w:val="28"/>
          <w:szCs w:val="28"/>
          <w:u w:val="single"/>
        </w:rPr>
        <w:t xml:space="preserve">    </w:t>
      </w:r>
      <w:r>
        <w:rPr>
          <w:rFonts w:hint="eastAsia" w:cs="宋体" w:asciiTheme="majorEastAsia" w:hAnsiTheme="majorEastAsia" w:eastAsiaTheme="majorEastAsia"/>
          <w:sz w:val="28"/>
          <w:szCs w:val="28"/>
        </w:rPr>
        <w:t>元。如我公司未中标，请将该项目投标保证金退至以下帐号；如我公司中标，投标保证金退还事宜按投标邀请约定执行。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请予办理。</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户名：</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开户银行：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帐号：</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联系电话：</w:t>
      </w:r>
    </w:p>
    <w:tbl>
      <w:tblPr>
        <w:tblStyle w:val="27"/>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9854" w:type="dxa"/>
          </w:tcPr>
          <w:p>
            <w:pPr>
              <w:rPr>
                <w:rFonts w:cs="宋体" w:asciiTheme="majorEastAsia" w:hAnsiTheme="majorEastAsia" w:eastAsiaTheme="majorEastAsia"/>
                <w:sz w:val="28"/>
                <w:szCs w:val="28"/>
              </w:rPr>
            </w:pPr>
          </w:p>
          <w:p>
            <w:pPr>
              <w:jc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此处提供转账单复印件</w:t>
            </w:r>
          </w:p>
          <w:p>
            <w:pPr>
              <w:rPr>
                <w:rFonts w:cs="宋体" w:asciiTheme="majorEastAsia" w:hAnsiTheme="majorEastAsia" w:eastAsiaTheme="majorEastAsia"/>
                <w:sz w:val="28"/>
                <w:szCs w:val="28"/>
              </w:rPr>
            </w:pPr>
          </w:p>
        </w:tc>
      </w:tr>
    </w:tbl>
    <w:p>
      <w:pPr>
        <w:rPr>
          <w:rFonts w:cs="宋体" w:asciiTheme="majorEastAsia" w:hAnsiTheme="majorEastAsia" w:eastAsiaTheme="majorEastAsia"/>
          <w:sz w:val="28"/>
          <w:szCs w:val="28"/>
        </w:rPr>
      </w:pPr>
    </w:p>
    <w:p>
      <w:pPr>
        <w:rPr>
          <w:rFonts w:cs="宋体" w:asciiTheme="majorEastAsia" w:hAnsiTheme="majorEastAsia" w:eastAsiaTheme="majorEastAsia"/>
          <w:sz w:val="28"/>
          <w:szCs w:val="28"/>
        </w:rPr>
      </w:pPr>
    </w:p>
    <w:p>
      <w:pPr>
        <w:ind w:firstLine="6893" w:firstLineChars="2462"/>
        <w:rPr>
          <w:rFonts w:hint="eastAsia" w:cs="宋体" w:asciiTheme="majorEastAsia" w:hAnsiTheme="majorEastAsia" w:eastAsiaTheme="majorEastAsia"/>
          <w:sz w:val="28"/>
          <w:szCs w:val="28"/>
        </w:rPr>
      </w:pPr>
      <w:r>
        <w:rPr>
          <w:rFonts w:hint="eastAsia" w:cs="宋体" w:asciiTheme="majorEastAsia" w:hAnsiTheme="majorEastAsia" w:eastAsiaTheme="majorEastAsia"/>
          <w:sz w:val="28"/>
          <w:szCs w:val="28"/>
        </w:rPr>
        <w:t>投标人：</w:t>
      </w:r>
    </w:p>
    <w:p>
      <w:pPr>
        <w:ind w:firstLine="6893" w:firstLineChars="2462"/>
        <w:rPr>
          <w:rFonts w:hint="eastAsia" w:cs="宋体" w:asciiTheme="majorEastAsia" w:hAnsiTheme="majorEastAsia" w:eastAsiaTheme="majorEastAsia"/>
          <w:sz w:val="28"/>
          <w:szCs w:val="28"/>
        </w:rPr>
      </w:pPr>
    </w:p>
    <w:p>
      <w:pPr>
        <w:ind w:firstLine="7980" w:firstLineChars="285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年</w:t>
      </w:r>
      <w:r>
        <w:rPr>
          <w:rFonts w:hint="eastAsia" w:cs="宋体" w:asciiTheme="majorEastAsia" w:hAnsiTheme="majorEastAsia" w:eastAsiaTheme="majorEastAsia"/>
          <w:sz w:val="28"/>
          <w:szCs w:val="28"/>
          <w:lang w:val="en-US" w:eastAsia="zh-CN"/>
        </w:rPr>
        <w:t xml:space="preserve">  </w:t>
      </w:r>
      <w:r>
        <w:rPr>
          <w:rFonts w:hint="eastAsia" w:cs="宋体" w:asciiTheme="majorEastAsia" w:hAnsiTheme="majorEastAsia" w:eastAsiaTheme="majorEastAsia"/>
          <w:sz w:val="28"/>
          <w:szCs w:val="28"/>
        </w:rPr>
        <w:t>月</w:t>
      </w:r>
      <w:r>
        <w:rPr>
          <w:rFonts w:hint="eastAsia" w:cs="宋体" w:asciiTheme="majorEastAsia" w:hAnsiTheme="majorEastAsia" w:eastAsiaTheme="majorEastAsia"/>
          <w:sz w:val="28"/>
          <w:szCs w:val="28"/>
          <w:lang w:val="en-US" w:eastAsia="zh-CN"/>
        </w:rPr>
        <w:t xml:space="preserve">  </w:t>
      </w:r>
      <w:r>
        <w:rPr>
          <w:rFonts w:hint="eastAsia" w:cs="宋体" w:asciiTheme="majorEastAsia" w:hAnsiTheme="majorEastAsia" w:eastAsiaTheme="majorEastAsia"/>
          <w:sz w:val="28"/>
          <w:szCs w:val="28"/>
        </w:rPr>
        <w:t>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b/>
      </w:rPr>
      <w:fldChar w:fldCharType="begin"/>
    </w:r>
    <w:r>
      <w:rPr>
        <w:b/>
      </w:rPr>
      <w:instrText xml:space="preserve">PAGE</w:instrText>
    </w:r>
    <w:r>
      <w:rPr>
        <w:b/>
      </w:rPr>
      <w:fldChar w:fldCharType="separate"/>
    </w:r>
    <w:r>
      <w:rPr>
        <w:b/>
      </w:rPr>
      <w:t>28</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41</w:t>
    </w:r>
    <w:r>
      <w:rPr>
        <w:b/>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A5AC7A"/>
    <w:multiLevelType w:val="singleLevel"/>
    <w:tmpl w:val="82A5AC7A"/>
    <w:lvl w:ilvl="0" w:tentative="0">
      <w:start w:val="5"/>
      <w:numFmt w:val="chineseCounting"/>
      <w:suff w:val="nothing"/>
      <w:lvlText w:val="%1、"/>
      <w:lvlJc w:val="left"/>
      <w:rPr>
        <w:rFonts w:hint="eastAsia"/>
      </w:rPr>
    </w:lvl>
  </w:abstractNum>
  <w:abstractNum w:abstractNumId="1">
    <w:nsid w:val="83BDAB0D"/>
    <w:multiLevelType w:val="singleLevel"/>
    <w:tmpl w:val="83BDAB0D"/>
    <w:lvl w:ilvl="0" w:tentative="0">
      <w:start w:val="1"/>
      <w:numFmt w:val="chineseCounting"/>
      <w:suff w:val="space"/>
      <w:lvlText w:val="第%1章"/>
      <w:lvlJc w:val="left"/>
      <w:rPr>
        <w:rFonts w:hint="eastAsia"/>
      </w:rPr>
    </w:lvl>
  </w:abstractNum>
  <w:abstractNum w:abstractNumId="2">
    <w:nsid w:val="E5AACB30"/>
    <w:multiLevelType w:val="singleLevel"/>
    <w:tmpl w:val="E5AACB30"/>
    <w:lvl w:ilvl="0" w:tentative="0">
      <w:start w:val="3"/>
      <w:numFmt w:val="decimal"/>
      <w:suff w:val="nothing"/>
      <w:lvlText w:val="%1、"/>
      <w:lvlJc w:val="left"/>
      <w:pPr>
        <w:ind w:left="630" w:firstLine="0"/>
      </w:pPr>
    </w:lvl>
  </w:abstractNum>
  <w:abstractNum w:abstractNumId="3">
    <w:nsid w:val="F4884698"/>
    <w:multiLevelType w:val="singleLevel"/>
    <w:tmpl w:val="F4884698"/>
    <w:lvl w:ilvl="0" w:tentative="0">
      <w:start w:val="1"/>
      <w:numFmt w:val="decimal"/>
      <w:suff w:val="nothing"/>
      <w:lvlText w:val="（%1）"/>
      <w:lvlJc w:val="left"/>
    </w:lvl>
  </w:abstractNum>
  <w:abstractNum w:abstractNumId="4">
    <w:nsid w:val="2F8F2DF0"/>
    <w:multiLevelType w:val="multilevel"/>
    <w:tmpl w:val="2F8F2DF0"/>
    <w:lvl w:ilvl="0" w:tentative="0">
      <w:start w:val="1"/>
      <w:numFmt w:val="upperLetter"/>
      <w:lvlText w:val="%1、"/>
      <w:lvlJc w:val="left"/>
      <w:pPr>
        <w:ind w:left="1730" w:hanging="360"/>
      </w:pPr>
      <w:rPr>
        <w:rFonts w:hint="default"/>
      </w:rPr>
    </w:lvl>
    <w:lvl w:ilvl="1" w:tentative="0">
      <w:start w:val="1"/>
      <w:numFmt w:val="lowerLetter"/>
      <w:lvlText w:val="%2)"/>
      <w:lvlJc w:val="left"/>
      <w:pPr>
        <w:ind w:left="2210" w:hanging="420"/>
      </w:pPr>
    </w:lvl>
    <w:lvl w:ilvl="2" w:tentative="0">
      <w:start w:val="1"/>
      <w:numFmt w:val="lowerRoman"/>
      <w:lvlText w:val="%3."/>
      <w:lvlJc w:val="right"/>
      <w:pPr>
        <w:ind w:left="2630" w:hanging="420"/>
      </w:pPr>
    </w:lvl>
    <w:lvl w:ilvl="3" w:tentative="0">
      <w:start w:val="1"/>
      <w:numFmt w:val="decimal"/>
      <w:lvlText w:val="%4."/>
      <w:lvlJc w:val="left"/>
      <w:pPr>
        <w:ind w:left="3050" w:hanging="420"/>
      </w:pPr>
    </w:lvl>
    <w:lvl w:ilvl="4" w:tentative="0">
      <w:start w:val="1"/>
      <w:numFmt w:val="lowerLetter"/>
      <w:lvlText w:val="%5)"/>
      <w:lvlJc w:val="left"/>
      <w:pPr>
        <w:ind w:left="3470" w:hanging="420"/>
      </w:pPr>
    </w:lvl>
    <w:lvl w:ilvl="5" w:tentative="0">
      <w:start w:val="1"/>
      <w:numFmt w:val="lowerRoman"/>
      <w:lvlText w:val="%6."/>
      <w:lvlJc w:val="right"/>
      <w:pPr>
        <w:ind w:left="3890" w:hanging="420"/>
      </w:pPr>
    </w:lvl>
    <w:lvl w:ilvl="6" w:tentative="0">
      <w:start w:val="1"/>
      <w:numFmt w:val="decimal"/>
      <w:lvlText w:val="%7."/>
      <w:lvlJc w:val="left"/>
      <w:pPr>
        <w:ind w:left="4310" w:hanging="420"/>
      </w:pPr>
    </w:lvl>
    <w:lvl w:ilvl="7" w:tentative="0">
      <w:start w:val="1"/>
      <w:numFmt w:val="lowerLetter"/>
      <w:lvlText w:val="%8)"/>
      <w:lvlJc w:val="left"/>
      <w:pPr>
        <w:ind w:left="4730" w:hanging="420"/>
      </w:pPr>
    </w:lvl>
    <w:lvl w:ilvl="8" w:tentative="0">
      <w:start w:val="1"/>
      <w:numFmt w:val="lowerRoman"/>
      <w:lvlText w:val="%9."/>
      <w:lvlJc w:val="right"/>
      <w:pPr>
        <w:ind w:left="5150" w:hanging="420"/>
      </w:pPr>
    </w:lvl>
  </w:abstractNum>
  <w:abstractNum w:abstractNumId="5">
    <w:nsid w:val="44E077FB"/>
    <w:multiLevelType w:val="multilevel"/>
    <w:tmpl w:val="44E077FB"/>
    <w:lvl w:ilvl="0" w:tentative="0">
      <w:start w:val="1"/>
      <w:numFmt w:val="decimal"/>
      <w:pStyle w:val="2"/>
      <w:suff w:val="nothing"/>
      <w:lvlText w:val="%1、"/>
      <w:lvlJc w:val="left"/>
      <w:pPr>
        <w:ind w:left="432" w:hanging="432"/>
      </w:pPr>
      <w:rPr>
        <w:rFonts w:hint="eastAsia" w:cs="Times New Roman"/>
      </w:rPr>
    </w:lvl>
    <w:lvl w:ilvl="1" w:tentative="0">
      <w:start w:val="1"/>
      <w:numFmt w:val="decimal"/>
      <w:pStyle w:val="3"/>
      <w:suff w:val="nothing"/>
      <w:lvlText w:val="%1.%2、"/>
      <w:lvlJc w:val="left"/>
      <w:pPr>
        <w:ind w:left="718" w:hanging="576"/>
      </w:pPr>
      <w:rPr>
        <w:rFonts w:hint="eastAsia" w:cs="Times New Roman"/>
      </w:rPr>
    </w:lvl>
    <w:lvl w:ilvl="2" w:tentative="0">
      <w:start w:val="1"/>
      <w:numFmt w:val="decimal"/>
      <w:lvlText w:val="(%3)"/>
      <w:lvlJc w:val="left"/>
      <w:pPr>
        <w:ind w:left="720" w:hanging="720"/>
      </w:pPr>
      <w:rPr>
        <w:rFonts w:hint="default" w:cs="Times New Roman"/>
      </w:rPr>
    </w:lvl>
    <w:lvl w:ilvl="3" w:tentative="0">
      <w:start w:val="1"/>
      <w:numFmt w:val="decimal"/>
      <w:lvlText w:val="%1.%2.%3.%4"/>
      <w:lvlJc w:val="left"/>
      <w:pPr>
        <w:ind w:left="1432" w:hanging="864"/>
      </w:pPr>
      <w:rPr>
        <w:rFonts w:hint="eastAsia" w:cs="Times New Roman"/>
      </w:rPr>
    </w:lvl>
    <w:lvl w:ilvl="4" w:tentative="0">
      <w:start w:val="1"/>
      <w:numFmt w:val="decimal"/>
      <w:pStyle w:val="6"/>
      <w:lvlText w:val="%1.%2.%3.%4.%5"/>
      <w:lvlJc w:val="left"/>
      <w:pPr>
        <w:ind w:left="1008" w:hanging="1008"/>
      </w:pPr>
      <w:rPr>
        <w:rFonts w:hint="eastAsia" w:cs="Times New Roman"/>
      </w:rPr>
    </w:lvl>
    <w:lvl w:ilvl="5" w:tentative="0">
      <w:start w:val="1"/>
      <w:numFmt w:val="decimal"/>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abstractNum w:abstractNumId="6">
    <w:nsid w:val="5EEF3F7D"/>
    <w:multiLevelType w:val="multilevel"/>
    <w:tmpl w:val="5EEF3F7D"/>
    <w:lvl w:ilvl="0" w:tentative="0">
      <w:start w:val="1"/>
      <w:numFmt w:val="decimal"/>
      <w:lvlText w:val="（%1）"/>
      <w:lvlJc w:val="left"/>
      <w:pPr>
        <w:ind w:left="1350" w:hanging="720"/>
      </w:pPr>
      <w:rPr>
        <w:rFonts w:hint="default"/>
        <w:color w:val="auto"/>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75B0"/>
    <w:rsid w:val="01163433"/>
    <w:rsid w:val="020F38B3"/>
    <w:rsid w:val="0259732C"/>
    <w:rsid w:val="02B55A38"/>
    <w:rsid w:val="03624E9A"/>
    <w:rsid w:val="03BA600F"/>
    <w:rsid w:val="04084853"/>
    <w:rsid w:val="044171C6"/>
    <w:rsid w:val="0455496F"/>
    <w:rsid w:val="05507A9D"/>
    <w:rsid w:val="062833F8"/>
    <w:rsid w:val="0822198E"/>
    <w:rsid w:val="085F3B8B"/>
    <w:rsid w:val="08AE4632"/>
    <w:rsid w:val="09F61DD7"/>
    <w:rsid w:val="0A8D6EDE"/>
    <w:rsid w:val="0B856E94"/>
    <w:rsid w:val="0E302723"/>
    <w:rsid w:val="0EC97783"/>
    <w:rsid w:val="0FB74AD2"/>
    <w:rsid w:val="1078511E"/>
    <w:rsid w:val="10953D2C"/>
    <w:rsid w:val="12227FA8"/>
    <w:rsid w:val="13184616"/>
    <w:rsid w:val="13B677FE"/>
    <w:rsid w:val="13C25660"/>
    <w:rsid w:val="15A6752A"/>
    <w:rsid w:val="15BA313B"/>
    <w:rsid w:val="15CF1EAE"/>
    <w:rsid w:val="16090BD3"/>
    <w:rsid w:val="1710173B"/>
    <w:rsid w:val="17D13CB9"/>
    <w:rsid w:val="193B0785"/>
    <w:rsid w:val="1A3F4B81"/>
    <w:rsid w:val="1C656229"/>
    <w:rsid w:val="1D120381"/>
    <w:rsid w:val="1DB456ED"/>
    <w:rsid w:val="1E1D2B30"/>
    <w:rsid w:val="1EF471F3"/>
    <w:rsid w:val="1FEA3395"/>
    <w:rsid w:val="20ED605A"/>
    <w:rsid w:val="21746421"/>
    <w:rsid w:val="23E514E1"/>
    <w:rsid w:val="23F24846"/>
    <w:rsid w:val="27622F4B"/>
    <w:rsid w:val="28D61E32"/>
    <w:rsid w:val="2A276854"/>
    <w:rsid w:val="2AC1152C"/>
    <w:rsid w:val="2AEF3166"/>
    <w:rsid w:val="2BA926B2"/>
    <w:rsid w:val="2CDC7C62"/>
    <w:rsid w:val="2E9E20B2"/>
    <w:rsid w:val="2FA45F49"/>
    <w:rsid w:val="31555B66"/>
    <w:rsid w:val="316F1296"/>
    <w:rsid w:val="31D33007"/>
    <w:rsid w:val="3287182F"/>
    <w:rsid w:val="32AB7A49"/>
    <w:rsid w:val="340760E5"/>
    <w:rsid w:val="35682A87"/>
    <w:rsid w:val="35D75F5A"/>
    <w:rsid w:val="365C2055"/>
    <w:rsid w:val="38077AEA"/>
    <w:rsid w:val="3BE53008"/>
    <w:rsid w:val="3C97374A"/>
    <w:rsid w:val="3DA63A27"/>
    <w:rsid w:val="417C461A"/>
    <w:rsid w:val="424B79A9"/>
    <w:rsid w:val="438924BC"/>
    <w:rsid w:val="43EB0972"/>
    <w:rsid w:val="44216EC7"/>
    <w:rsid w:val="44D97FE8"/>
    <w:rsid w:val="4516234F"/>
    <w:rsid w:val="4525695F"/>
    <w:rsid w:val="46EA25C8"/>
    <w:rsid w:val="4735432A"/>
    <w:rsid w:val="474A6596"/>
    <w:rsid w:val="47ED6EC5"/>
    <w:rsid w:val="486E2267"/>
    <w:rsid w:val="48744FCF"/>
    <w:rsid w:val="48E04880"/>
    <w:rsid w:val="4A6A43F7"/>
    <w:rsid w:val="4A983F0E"/>
    <w:rsid w:val="4AB817AD"/>
    <w:rsid w:val="4ADA6DE1"/>
    <w:rsid w:val="4B777296"/>
    <w:rsid w:val="4BD61225"/>
    <w:rsid w:val="4C9B7CF8"/>
    <w:rsid w:val="4EBB684F"/>
    <w:rsid w:val="4F443AAE"/>
    <w:rsid w:val="4F4A054C"/>
    <w:rsid w:val="51321C15"/>
    <w:rsid w:val="514A5F5C"/>
    <w:rsid w:val="521A5726"/>
    <w:rsid w:val="52653DD2"/>
    <w:rsid w:val="52870254"/>
    <w:rsid w:val="545364BA"/>
    <w:rsid w:val="54C924CB"/>
    <w:rsid w:val="55D1111F"/>
    <w:rsid w:val="5654249F"/>
    <w:rsid w:val="57063986"/>
    <w:rsid w:val="57283D12"/>
    <w:rsid w:val="577C18D9"/>
    <w:rsid w:val="57AD67BC"/>
    <w:rsid w:val="58036BBB"/>
    <w:rsid w:val="59404E68"/>
    <w:rsid w:val="59825BDE"/>
    <w:rsid w:val="5AD3471D"/>
    <w:rsid w:val="5B477142"/>
    <w:rsid w:val="5DF1769B"/>
    <w:rsid w:val="5EB73FFE"/>
    <w:rsid w:val="60826EAE"/>
    <w:rsid w:val="60F6341A"/>
    <w:rsid w:val="619E522D"/>
    <w:rsid w:val="623C1DD4"/>
    <w:rsid w:val="628A0F7F"/>
    <w:rsid w:val="63B34A88"/>
    <w:rsid w:val="64596099"/>
    <w:rsid w:val="65B24CD6"/>
    <w:rsid w:val="66BD69A5"/>
    <w:rsid w:val="6989057F"/>
    <w:rsid w:val="6A125170"/>
    <w:rsid w:val="6B8E6DC8"/>
    <w:rsid w:val="6C1945EC"/>
    <w:rsid w:val="6C8A3DD5"/>
    <w:rsid w:val="6DD43482"/>
    <w:rsid w:val="6DDD6F6E"/>
    <w:rsid w:val="70194923"/>
    <w:rsid w:val="710669AA"/>
    <w:rsid w:val="74936A2A"/>
    <w:rsid w:val="75571281"/>
    <w:rsid w:val="75BF3AC1"/>
    <w:rsid w:val="76585A1C"/>
    <w:rsid w:val="774A1A33"/>
    <w:rsid w:val="779F3705"/>
    <w:rsid w:val="77DA7B64"/>
    <w:rsid w:val="781B6870"/>
    <w:rsid w:val="78983268"/>
    <w:rsid w:val="795F429A"/>
    <w:rsid w:val="7B4974EE"/>
    <w:rsid w:val="7B835085"/>
    <w:rsid w:val="7D206987"/>
    <w:rsid w:val="7D2B2EB0"/>
    <w:rsid w:val="7D4956A4"/>
    <w:rsid w:val="7F047F7F"/>
    <w:rsid w:val="7F767EFE"/>
    <w:rsid w:val="7F8E6382"/>
    <w:rsid w:val="7FED60A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sdException w:uiPriority="0" w:name="toc 5"/>
    <w:lsdException w:uiPriority="0" w:name="toc 6"/>
    <w:lsdException w:uiPriority="0" w:name="toc 7"/>
    <w:lsdException w:uiPriority="0" w:name="toc 8"/>
    <w:lsdException w:qFormat="1" w:unhideWhenUsed="0" w:uiPriority="9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9"/>
    <w:pPr>
      <w:keepNext/>
      <w:widowControl/>
      <w:numPr>
        <w:ilvl w:val="0"/>
        <w:numId w:val="1"/>
      </w:numPr>
      <w:spacing w:line="360" w:lineRule="auto"/>
      <w:jc w:val="center"/>
      <w:outlineLvl w:val="0"/>
    </w:pPr>
    <w:rPr>
      <w:rFonts w:ascii="Cambria" w:hAnsi="Cambria" w:eastAsia="黑体"/>
      <w:b/>
      <w:bCs/>
      <w:kern w:val="32"/>
      <w:sz w:val="32"/>
      <w:szCs w:val="32"/>
    </w:rPr>
  </w:style>
  <w:style w:type="paragraph" w:styleId="3">
    <w:name w:val="heading 2"/>
    <w:basedOn w:val="1"/>
    <w:next w:val="1"/>
    <w:link w:val="34"/>
    <w:qFormat/>
    <w:uiPriority w:val="99"/>
    <w:pPr>
      <w:keepNext/>
      <w:widowControl/>
      <w:numPr>
        <w:ilvl w:val="1"/>
        <w:numId w:val="1"/>
      </w:numPr>
      <w:spacing w:line="360" w:lineRule="auto"/>
      <w:jc w:val="center"/>
      <w:outlineLvl w:val="1"/>
    </w:pPr>
    <w:rPr>
      <w:rFonts w:ascii="Cambria" w:hAnsi="Cambria" w:eastAsia="黑体"/>
      <w:b/>
      <w:bCs/>
      <w:iCs/>
      <w:kern w:val="0"/>
      <w:sz w:val="32"/>
      <w:szCs w:val="28"/>
    </w:rPr>
  </w:style>
  <w:style w:type="paragraph" w:styleId="4">
    <w:name w:val="heading 3"/>
    <w:basedOn w:val="1"/>
    <w:next w:val="1"/>
    <w:link w:val="35"/>
    <w:qFormat/>
    <w:uiPriority w:val="99"/>
    <w:pPr>
      <w:keepNext/>
      <w:widowControl/>
      <w:jc w:val="left"/>
      <w:outlineLvl w:val="2"/>
    </w:pPr>
    <w:rPr>
      <w:rFonts w:ascii="Cambria" w:hAnsi="Cambria"/>
      <w:b/>
      <w:bCs/>
      <w:kern w:val="0"/>
      <w:szCs w:val="26"/>
    </w:rPr>
  </w:style>
  <w:style w:type="paragraph" w:styleId="5">
    <w:name w:val="heading 4"/>
    <w:basedOn w:val="1"/>
    <w:next w:val="1"/>
    <w:link w:val="36"/>
    <w:qFormat/>
    <w:locked/>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link w:val="37"/>
    <w:qFormat/>
    <w:uiPriority w:val="99"/>
    <w:pPr>
      <w:widowControl/>
      <w:numPr>
        <w:ilvl w:val="4"/>
        <w:numId w:val="1"/>
      </w:numPr>
      <w:spacing w:before="240" w:after="60" w:line="360" w:lineRule="auto"/>
      <w:jc w:val="left"/>
      <w:outlineLvl w:val="4"/>
    </w:pPr>
    <w:rPr>
      <w:rFonts w:ascii="宋体" w:hAnsi="宋体"/>
      <w:b/>
      <w:bCs/>
      <w:i/>
      <w:iCs/>
      <w:kern w:val="0"/>
      <w:sz w:val="26"/>
      <w:szCs w:val="26"/>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99"/>
    <w:pPr>
      <w:widowControl/>
      <w:adjustRightInd w:val="0"/>
      <w:spacing w:line="360" w:lineRule="auto"/>
      <w:ind w:firstLine="420"/>
      <w:jc w:val="left"/>
      <w:textAlignment w:val="baseline"/>
    </w:pPr>
    <w:rPr>
      <w:rFonts w:ascii="Calibri" w:hAnsi="Calibri"/>
      <w:kern w:val="0"/>
      <w:sz w:val="20"/>
      <w:szCs w:val="20"/>
    </w:rPr>
  </w:style>
  <w:style w:type="paragraph" w:styleId="8">
    <w:name w:val="Document Map"/>
    <w:basedOn w:val="1"/>
    <w:link w:val="73"/>
    <w:unhideWhenUsed/>
    <w:qFormat/>
    <w:locked/>
    <w:uiPriority w:val="99"/>
    <w:rPr>
      <w:rFonts w:ascii="宋体"/>
      <w:sz w:val="18"/>
      <w:szCs w:val="18"/>
    </w:rPr>
  </w:style>
  <w:style w:type="paragraph" w:styleId="9">
    <w:name w:val="annotation text"/>
    <w:basedOn w:val="1"/>
    <w:link w:val="38"/>
    <w:qFormat/>
    <w:uiPriority w:val="99"/>
    <w:pPr>
      <w:jc w:val="left"/>
    </w:pPr>
  </w:style>
  <w:style w:type="paragraph" w:styleId="10">
    <w:name w:val="Body Text"/>
    <w:basedOn w:val="1"/>
    <w:link w:val="69"/>
    <w:qFormat/>
    <w:locked/>
    <w:uiPriority w:val="99"/>
    <w:pPr>
      <w:spacing w:after="120"/>
    </w:pPr>
  </w:style>
  <w:style w:type="paragraph" w:styleId="11">
    <w:name w:val="Body Text Indent"/>
    <w:basedOn w:val="1"/>
    <w:link w:val="39"/>
    <w:qFormat/>
    <w:uiPriority w:val="99"/>
    <w:pPr>
      <w:spacing w:after="120"/>
      <w:ind w:left="420" w:leftChars="200"/>
    </w:pPr>
  </w:style>
  <w:style w:type="paragraph" w:styleId="12">
    <w:name w:val="Block Text"/>
    <w:basedOn w:val="1"/>
    <w:qFormat/>
    <w:uiPriority w:val="99"/>
    <w:pPr>
      <w:spacing w:after="156"/>
    </w:pPr>
    <w:rPr>
      <w:rFonts w:ascii="宋体" w:hAnsi="Calibri"/>
      <w:szCs w:val="22"/>
    </w:rPr>
  </w:style>
  <w:style w:type="paragraph" w:styleId="13">
    <w:name w:val="toc 3"/>
    <w:basedOn w:val="1"/>
    <w:next w:val="1"/>
    <w:qFormat/>
    <w:locked/>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40"/>
    <w:qFormat/>
    <w:uiPriority w:val="99"/>
    <w:rPr>
      <w:rFonts w:ascii="宋体" w:hAnsi="Courier New" w:eastAsia="微软雅黑"/>
      <w:szCs w:val="20"/>
    </w:rPr>
  </w:style>
  <w:style w:type="paragraph" w:styleId="15">
    <w:name w:val="Date"/>
    <w:basedOn w:val="1"/>
    <w:next w:val="1"/>
    <w:link w:val="41"/>
    <w:qFormat/>
    <w:uiPriority w:val="99"/>
    <w:pPr>
      <w:ind w:left="100" w:leftChars="2500"/>
    </w:pPr>
  </w:style>
  <w:style w:type="paragraph" w:styleId="16">
    <w:name w:val="Body Text Indent 2"/>
    <w:basedOn w:val="1"/>
    <w:link w:val="42"/>
    <w:qFormat/>
    <w:uiPriority w:val="99"/>
    <w:pPr>
      <w:spacing w:after="120" w:line="480" w:lineRule="auto"/>
      <w:ind w:left="420" w:leftChars="200"/>
    </w:pPr>
  </w:style>
  <w:style w:type="paragraph" w:styleId="17">
    <w:name w:val="Balloon Text"/>
    <w:basedOn w:val="1"/>
    <w:link w:val="43"/>
    <w:semiHidden/>
    <w:qFormat/>
    <w:uiPriority w:val="99"/>
    <w:rPr>
      <w:sz w:val="18"/>
      <w:szCs w:val="18"/>
    </w:rPr>
  </w:style>
  <w:style w:type="paragraph" w:styleId="18">
    <w:name w:val="footer"/>
    <w:basedOn w:val="1"/>
    <w:link w:val="44"/>
    <w:qFormat/>
    <w:uiPriority w:val="99"/>
    <w:pPr>
      <w:tabs>
        <w:tab w:val="center" w:pos="4153"/>
        <w:tab w:val="right" w:pos="8306"/>
      </w:tabs>
      <w:snapToGrid w:val="0"/>
      <w:jc w:val="left"/>
    </w:pPr>
    <w:rPr>
      <w:sz w:val="18"/>
      <w:szCs w:val="18"/>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locked/>
    <w:uiPriority w:val="39"/>
    <w:pPr>
      <w:widowControl/>
      <w:spacing w:after="100" w:line="276" w:lineRule="auto"/>
      <w:jc w:val="left"/>
    </w:pPr>
    <w:rPr>
      <w:rFonts w:ascii="Calibri" w:hAnsi="Calibri"/>
      <w:kern w:val="0"/>
      <w:sz w:val="22"/>
      <w:szCs w:val="22"/>
    </w:rPr>
  </w:style>
  <w:style w:type="paragraph" w:styleId="21">
    <w:name w:val="toc 2"/>
    <w:basedOn w:val="1"/>
    <w:next w:val="1"/>
    <w:qFormat/>
    <w:locked/>
    <w:uiPriority w:val="39"/>
    <w:pPr>
      <w:widowControl/>
      <w:spacing w:after="100" w:line="276" w:lineRule="auto"/>
      <w:ind w:left="220"/>
      <w:jc w:val="left"/>
    </w:pPr>
    <w:rPr>
      <w:rFonts w:ascii="Calibri" w:hAnsi="Calibri"/>
      <w:kern w:val="0"/>
      <w:sz w:val="22"/>
      <w:szCs w:val="22"/>
    </w:rPr>
  </w:style>
  <w:style w:type="paragraph" w:styleId="22">
    <w:name w:val="toc 9"/>
    <w:basedOn w:val="1"/>
    <w:next w:val="1"/>
    <w:semiHidden/>
    <w:qFormat/>
    <w:locked/>
    <w:uiPriority w:val="99"/>
    <w:pPr>
      <w:ind w:left="3360" w:leftChars="1600"/>
    </w:pPr>
  </w:style>
  <w:style w:type="paragraph" w:styleId="23">
    <w:name w:val="HTML Preformatted"/>
    <w:link w:val="74"/>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3" w:lineRule="atLeast"/>
    </w:pPr>
    <w:rPr>
      <w:rFonts w:ascii="Courier New" w:hAnsi="Courier New" w:eastAsia="宋体" w:cs="Times New Roman"/>
      <w:lang w:val="en-US" w:eastAsia="zh-CN" w:bidi="ar-SA"/>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next w:val="1"/>
    <w:link w:val="46"/>
    <w:qFormat/>
    <w:locked/>
    <w:uiPriority w:val="99"/>
    <w:pPr>
      <w:spacing w:before="240" w:after="60"/>
      <w:jc w:val="center"/>
      <w:outlineLvl w:val="0"/>
    </w:pPr>
    <w:rPr>
      <w:rFonts w:ascii="Cambria" w:hAnsi="Cambria"/>
      <w:b/>
      <w:bCs/>
      <w:sz w:val="32"/>
      <w:szCs w:val="32"/>
    </w:rPr>
  </w:style>
  <w:style w:type="paragraph" w:styleId="26">
    <w:name w:val="annotation subject"/>
    <w:basedOn w:val="9"/>
    <w:next w:val="9"/>
    <w:link w:val="61"/>
    <w:semiHidden/>
    <w:qFormat/>
    <w:uiPriority w:val="99"/>
    <w:rPr>
      <w:b/>
      <w:bCs/>
    </w:rPr>
  </w:style>
  <w:style w:type="table" w:styleId="28">
    <w:name w:val="Table Grid"/>
    <w:basedOn w:val="27"/>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Hyperlink"/>
    <w:basedOn w:val="29"/>
    <w:qFormat/>
    <w:uiPriority w:val="99"/>
    <w:rPr>
      <w:rFonts w:cs="Times New Roman"/>
      <w:color w:val="0000FF"/>
      <w:u w:val="single"/>
    </w:rPr>
  </w:style>
  <w:style w:type="character" w:styleId="32">
    <w:name w:val="annotation reference"/>
    <w:basedOn w:val="29"/>
    <w:qFormat/>
    <w:uiPriority w:val="99"/>
    <w:rPr>
      <w:rFonts w:cs="Times New Roman"/>
      <w:sz w:val="21"/>
      <w:szCs w:val="21"/>
    </w:rPr>
  </w:style>
  <w:style w:type="character" w:customStyle="1" w:styleId="33">
    <w:name w:val="标题 1 Char"/>
    <w:basedOn w:val="29"/>
    <w:link w:val="2"/>
    <w:qFormat/>
    <w:locked/>
    <w:uiPriority w:val="99"/>
    <w:rPr>
      <w:rFonts w:ascii="Cambria" w:hAnsi="Cambria" w:eastAsia="黑体" w:cs="Times New Roman"/>
      <w:b/>
      <w:bCs/>
      <w:kern w:val="32"/>
      <w:sz w:val="32"/>
      <w:szCs w:val="32"/>
    </w:rPr>
  </w:style>
  <w:style w:type="character" w:customStyle="1" w:styleId="34">
    <w:name w:val="标题 2 Char"/>
    <w:basedOn w:val="29"/>
    <w:link w:val="3"/>
    <w:qFormat/>
    <w:locked/>
    <w:uiPriority w:val="99"/>
    <w:rPr>
      <w:rFonts w:ascii="Cambria" w:hAnsi="Cambria" w:eastAsia="黑体" w:cs="Times New Roman"/>
      <w:b/>
      <w:bCs/>
      <w:iCs/>
      <w:sz w:val="28"/>
      <w:szCs w:val="28"/>
    </w:rPr>
  </w:style>
  <w:style w:type="character" w:customStyle="1" w:styleId="35">
    <w:name w:val="标题 3 Char"/>
    <w:basedOn w:val="29"/>
    <w:link w:val="4"/>
    <w:qFormat/>
    <w:locked/>
    <w:uiPriority w:val="99"/>
    <w:rPr>
      <w:rFonts w:ascii="Cambria" w:hAnsi="Cambria" w:eastAsia="宋体" w:cs="Times New Roman"/>
      <w:b/>
      <w:bCs/>
      <w:kern w:val="0"/>
      <w:sz w:val="26"/>
      <w:szCs w:val="26"/>
    </w:rPr>
  </w:style>
  <w:style w:type="character" w:customStyle="1" w:styleId="36">
    <w:name w:val="标题 4 Char"/>
    <w:basedOn w:val="29"/>
    <w:link w:val="5"/>
    <w:qFormat/>
    <w:locked/>
    <w:uiPriority w:val="99"/>
    <w:rPr>
      <w:rFonts w:ascii="Cambria" w:hAnsi="Cambria" w:eastAsia="宋体" w:cs="Times New Roman"/>
      <w:b/>
      <w:bCs/>
      <w:kern w:val="2"/>
      <w:sz w:val="28"/>
      <w:szCs w:val="28"/>
    </w:rPr>
  </w:style>
  <w:style w:type="character" w:customStyle="1" w:styleId="37">
    <w:name w:val="标题 5 Char"/>
    <w:basedOn w:val="29"/>
    <w:link w:val="6"/>
    <w:qFormat/>
    <w:locked/>
    <w:uiPriority w:val="99"/>
    <w:rPr>
      <w:rFonts w:ascii="宋体" w:hAnsi="宋体" w:eastAsia="宋体" w:cs="Times New Roman"/>
      <w:b/>
      <w:bCs/>
      <w:i/>
      <w:iCs/>
      <w:kern w:val="0"/>
      <w:sz w:val="26"/>
      <w:szCs w:val="26"/>
    </w:rPr>
  </w:style>
  <w:style w:type="character" w:customStyle="1" w:styleId="38">
    <w:name w:val="批注文字 Char"/>
    <w:basedOn w:val="29"/>
    <w:link w:val="9"/>
    <w:qFormat/>
    <w:locked/>
    <w:uiPriority w:val="99"/>
    <w:rPr>
      <w:rFonts w:ascii="Times New Roman" w:hAnsi="Times New Roman" w:eastAsia="宋体" w:cs="Times New Roman"/>
      <w:kern w:val="2"/>
      <w:sz w:val="24"/>
      <w:szCs w:val="24"/>
    </w:rPr>
  </w:style>
  <w:style w:type="character" w:customStyle="1" w:styleId="39">
    <w:name w:val="正文文本缩进 Char"/>
    <w:basedOn w:val="29"/>
    <w:link w:val="11"/>
    <w:qFormat/>
    <w:locked/>
    <w:uiPriority w:val="99"/>
    <w:rPr>
      <w:rFonts w:ascii="Times New Roman" w:hAnsi="Times New Roman" w:cs="Times New Roman"/>
      <w:kern w:val="2"/>
      <w:sz w:val="24"/>
      <w:szCs w:val="24"/>
    </w:rPr>
  </w:style>
  <w:style w:type="character" w:customStyle="1" w:styleId="40">
    <w:name w:val="纯文本 Char1"/>
    <w:basedOn w:val="29"/>
    <w:link w:val="14"/>
    <w:qFormat/>
    <w:locked/>
    <w:uiPriority w:val="99"/>
    <w:rPr>
      <w:rFonts w:ascii="宋体" w:hAnsi="Courier New" w:cs="Times New Roman"/>
      <w:kern w:val="2"/>
      <w:sz w:val="21"/>
    </w:rPr>
  </w:style>
  <w:style w:type="character" w:customStyle="1" w:styleId="41">
    <w:name w:val="日期 Char"/>
    <w:basedOn w:val="29"/>
    <w:link w:val="15"/>
    <w:qFormat/>
    <w:locked/>
    <w:uiPriority w:val="99"/>
    <w:rPr>
      <w:rFonts w:ascii="Times New Roman" w:hAnsi="Times New Roman" w:eastAsia="宋体" w:cs="Times New Roman"/>
      <w:sz w:val="24"/>
      <w:szCs w:val="24"/>
    </w:rPr>
  </w:style>
  <w:style w:type="character" w:customStyle="1" w:styleId="42">
    <w:name w:val="正文文本缩进 2 Char"/>
    <w:basedOn w:val="29"/>
    <w:link w:val="16"/>
    <w:qFormat/>
    <w:locked/>
    <w:uiPriority w:val="99"/>
    <w:rPr>
      <w:rFonts w:ascii="Times New Roman" w:hAnsi="Times New Roman" w:cs="Times New Roman"/>
      <w:kern w:val="2"/>
      <w:sz w:val="24"/>
      <w:szCs w:val="24"/>
    </w:rPr>
  </w:style>
  <w:style w:type="character" w:customStyle="1" w:styleId="43">
    <w:name w:val="批注框文本 Char"/>
    <w:basedOn w:val="29"/>
    <w:link w:val="17"/>
    <w:semiHidden/>
    <w:qFormat/>
    <w:locked/>
    <w:uiPriority w:val="99"/>
    <w:rPr>
      <w:rFonts w:ascii="Times New Roman" w:hAnsi="Times New Roman" w:eastAsia="宋体" w:cs="Times New Roman"/>
      <w:kern w:val="2"/>
      <w:sz w:val="18"/>
      <w:szCs w:val="18"/>
    </w:rPr>
  </w:style>
  <w:style w:type="character" w:customStyle="1" w:styleId="44">
    <w:name w:val="页脚 Char"/>
    <w:basedOn w:val="29"/>
    <w:link w:val="18"/>
    <w:qFormat/>
    <w:locked/>
    <w:uiPriority w:val="99"/>
    <w:rPr>
      <w:rFonts w:cs="Times New Roman"/>
      <w:sz w:val="18"/>
      <w:szCs w:val="18"/>
    </w:rPr>
  </w:style>
  <w:style w:type="character" w:customStyle="1" w:styleId="45">
    <w:name w:val="页眉 Char"/>
    <w:basedOn w:val="29"/>
    <w:link w:val="19"/>
    <w:semiHidden/>
    <w:qFormat/>
    <w:locked/>
    <w:uiPriority w:val="99"/>
    <w:rPr>
      <w:rFonts w:cs="Times New Roman"/>
      <w:sz w:val="18"/>
      <w:szCs w:val="18"/>
    </w:rPr>
  </w:style>
  <w:style w:type="character" w:customStyle="1" w:styleId="46">
    <w:name w:val="标题 Char"/>
    <w:basedOn w:val="29"/>
    <w:link w:val="25"/>
    <w:qFormat/>
    <w:locked/>
    <w:uiPriority w:val="99"/>
    <w:rPr>
      <w:rFonts w:ascii="Cambria" w:hAnsi="Cambria" w:cs="Times New Roman"/>
      <w:b/>
      <w:bCs/>
      <w:kern w:val="2"/>
      <w:sz w:val="32"/>
      <w:szCs w:val="32"/>
    </w:rPr>
  </w:style>
  <w:style w:type="paragraph" w:customStyle="1" w:styleId="47">
    <w:name w:val="Char Char Char"/>
    <w:basedOn w:val="1"/>
    <w:qFormat/>
    <w:uiPriority w:val="99"/>
    <w:rPr>
      <w:rFonts w:ascii="Tahoma" w:hAnsi="Tahoma"/>
      <w:sz w:val="24"/>
      <w:szCs w:val="20"/>
    </w:rPr>
  </w:style>
  <w:style w:type="paragraph" w:customStyle="1" w:styleId="48">
    <w:name w:val="列出段落1"/>
    <w:basedOn w:val="1"/>
    <w:link w:val="50"/>
    <w:qFormat/>
    <w:uiPriority w:val="99"/>
    <w:pPr>
      <w:ind w:firstLine="420" w:firstLineChars="200"/>
    </w:pPr>
    <w:rPr>
      <w:kern w:val="0"/>
      <w:sz w:val="24"/>
      <w:szCs w:val="20"/>
    </w:rPr>
  </w:style>
  <w:style w:type="character" w:customStyle="1" w:styleId="49">
    <w:name w:val="正文缩进 Char"/>
    <w:link w:val="7"/>
    <w:qFormat/>
    <w:locked/>
    <w:uiPriority w:val="99"/>
    <w:rPr>
      <w:rFonts w:eastAsia="宋体"/>
    </w:rPr>
  </w:style>
  <w:style w:type="character" w:customStyle="1" w:styleId="50">
    <w:name w:val="列出段落 Char"/>
    <w:link w:val="48"/>
    <w:qFormat/>
    <w:locked/>
    <w:uiPriority w:val="99"/>
    <w:rPr>
      <w:rFonts w:ascii="Times New Roman" w:hAnsi="Times New Roman" w:eastAsia="宋体"/>
      <w:sz w:val="24"/>
    </w:rPr>
  </w:style>
  <w:style w:type="paragraph" w:customStyle="1" w:styleId="51">
    <w:name w:val="正文-带编号1)"/>
    <w:basedOn w:val="1"/>
    <w:qFormat/>
    <w:uiPriority w:val="99"/>
    <w:pPr>
      <w:spacing w:line="400" w:lineRule="exact"/>
    </w:pPr>
    <w:rPr>
      <w:rFonts w:ascii="Arial" w:hAnsi="Arial"/>
    </w:rPr>
  </w:style>
  <w:style w:type="paragraph" w:customStyle="1" w:styleId="52">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53">
    <w:name w:val="D&amp;L"/>
    <w:basedOn w:val="19"/>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54">
    <w:name w:val="Char Char Char Char Char Char Char1 Char"/>
    <w:basedOn w:val="1"/>
    <w:qFormat/>
    <w:uiPriority w:val="99"/>
    <w:rPr>
      <w:rFonts w:ascii="Tahoma" w:hAnsi="Tahoma"/>
      <w:sz w:val="24"/>
      <w:szCs w:val="20"/>
    </w:rPr>
  </w:style>
  <w:style w:type="paragraph" w:customStyle="1" w:styleId="55">
    <w:name w:val="List Paragraph"/>
    <w:basedOn w:val="1"/>
    <w:qFormat/>
    <w:uiPriority w:val="99"/>
    <w:pPr>
      <w:ind w:firstLine="420" w:firstLineChars="200"/>
    </w:pPr>
    <w:rPr>
      <w:rFonts w:ascii="Calibri" w:hAnsi="Calibri"/>
      <w:szCs w:val="22"/>
    </w:rPr>
  </w:style>
  <w:style w:type="paragraph" w:customStyle="1" w:styleId="56">
    <w:name w:val="正文_0"/>
    <w:qFormat/>
    <w:uiPriority w:val="99"/>
    <w:pPr>
      <w:widowControl w:val="0"/>
      <w:jc w:val="both"/>
    </w:pPr>
    <w:rPr>
      <w:rFonts w:ascii="Tahoma" w:hAnsi="Tahoma" w:eastAsia="宋体" w:cs="Tahoma"/>
      <w:kern w:val="2"/>
      <w:sz w:val="21"/>
      <w:szCs w:val="22"/>
      <w:lang w:val="en-US" w:eastAsia="zh-CN" w:bidi="ar-SA"/>
    </w:rPr>
  </w:style>
  <w:style w:type="paragraph" w:customStyle="1" w:styleId="57">
    <w:name w:val="TOC 标题1"/>
    <w:basedOn w:val="2"/>
    <w:next w:val="1"/>
    <w:semiHidden/>
    <w:qFormat/>
    <w:uiPriority w:val="99"/>
    <w:pPr>
      <w:keepLines/>
      <w:numPr>
        <w:numId w:val="0"/>
      </w:numPr>
      <w:spacing w:before="480" w:line="276" w:lineRule="auto"/>
      <w:outlineLvl w:val="9"/>
    </w:pPr>
    <w:rPr>
      <w:rFonts w:eastAsia="宋体"/>
      <w:color w:val="365F91"/>
      <w:kern w:val="0"/>
      <w:sz w:val="28"/>
      <w:szCs w:val="28"/>
    </w:rPr>
  </w:style>
  <w:style w:type="character" w:customStyle="1" w:styleId="58">
    <w:name w:val="纯文本 Char"/>
    <w:basedOn w:val="29"/>
    <w:semiHidden/>
    <w:qFormat/>
    <w:uiPriority w:val="99"/>
    <w:rPr>
      <w:rFonts w:ascii="宋体" w:hAnsi="Courier New" w:cs="Courier New"/>
      <w:kern w:val="2"/>
      <w:sz w:val="21"/>
      <w:szCs w:val="21"/>
    </w:rPr>
  </w:style>
  <w:style w:type="paragraph" w:customStyle="1" w:styleId="59">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60">
    <w:name w:val="项目正文"/>
    <w:basedOn w:val="1"/>
    <w:qFormat/>
    <w:uiPriority w:val="99"/>
    <w:pPr>
      <w:ind w:firstLine="482"/>
    </w:pPr>
  </w:style>
  <w:style w:type="character" w:customStyle="1" w:styleId="61">
    <w:name w:val="批注主题 Char"/>
    <w:basedOn w:val="38"/>
    <w:link w:val="26"/>
    <w:qFormat/>
    <w:locked/>
    <w:uiPriority w:val="99"/>
    <w:rPr>
      <w:rFonts w:ascii="Times New Roman" w:hAnsi="Times New Roman" w:eastAsia="宋体" w:cs="Times New Roman"/>
      <w:kern w:val="2"/>
      <w:sz w:val="24"/>
      <w:szCs w:val="24"/>
    </w:rPr>
  </w:style>
  <w:style w:type="character" w:customStyle="1" w:styleId="62">
    <w:name w:val="font101"/>
    <w:basedOn w:val="29"/>
    <w:qFormat/>
    <w:uiPriority w:val="99"/>
    <w:rPr>
      <w:rFonts w:ascii="宋体" w:hAnsi="宋体" w:eastAsia="宋体" w:cs="宋体"/>
      <w:b/>
      <w:color w:val="000000"/>
      <w:sz w:val="20"/>
      <w:szCs w:val="20"/>
      <w:u w:val="none"/>
    </w:rPr>
  </w:style>
  <w:style w:type="character" w:customStyle="1" w:styleId="63">
    <w:name w:val="font111"/>
    <w:basedOn w:val="29"/>
    <w:qFormat/>
    <w:uiPriority w:val="99"/>
    <w:rPr>
      <w:rFonts w:ascii="宋体" w:hAnsi="宋体" w:eastAsia="宋体" w:cs="宋体"/>
      <w:color w:val="000000"/>
      <w:sz w:val="20"/>
      <w:szCs w:val="20"/>
      <w:u w:val="none"/>
    </w:rPr>
  </w:style>
  <w:style w:type="character" w:customStyle="1" w:styleId="64">
    <w:name w:val="font181"/>
    <w:basedOn w:val="29"/>
    <w:qFormat/>
    <w:uiPriority w:val="99"/>
    <w:rPr>
      <w:rFonts w:ascii="宋体" w:hAnsi="宋体" w:eastAsia="宋体" w:cs="宋体"/>
      <w:color w:val="FF0000"/>
      <w:sz w:val="20"/>
      <w:szCs w:val="20"/>
      <w:u w:val="none"/>
    </w:rPr>
  </w:style>
  <w:style w:type="character" w:customStyle="1" w:styleId="65">
    <w:name w:val="font12"/>
    <w:basedOn w:val="29"/>
    <w:qFormat/>
    <w:uiPriority w:val="99"/>
    <w:rPr>
      <w:rFonts w:ascii="宋体" w:hAnsi="宋体" w:eastAsia="宋体" w:cs="宋体"/>
      <w:color w:val="000000"/>
      <w:sz w:val="22"/>
      <w:szCs w:val="22"/>
      <w:u w:val="none"/>
    </w:rPr>
  </w:style>
  <w:style w:type="character" w:customStyle="1" w:styleId="66">
    <w:name w:val="font161"/>
    <w:basedOn w:val="29"/>
    <w:qFormat/>
    <w:uiPriority w:val="99"/>
    <w:rPr>
      <w:rFonts w:ascii="宋体" w:hAnsi="宋体" w:eastAsia="宋体" w:cs="宋体"/>
      <w:color w:val="000000"/>
      <w:sz w:val="22"/>
      <w:szCs w:val="22"/>
      <w:u w:val="none"/>
    </w:rPr>
  </w:style>
  <w:style w:type="character" w:customStyle="1" w:styleId="67">
    <w:name w:val="font51"/>
    <w:basedOn w:val="29"/>
    <w:qFormat/>
    <w:uiPriority w:val="99"/>
    <w:rPr>
      <w:rFonts w:ascii="宋体" w:hAnsi="宋体" w:eastAsia="宋体" w:cs="宋体"/>
      <w:b/>
      <w:color w:val="000000"/>
      <w:sz w:val="20"/>
      <w:szCs w:val="20"/>
      <w:u w:val="none"/>
    </w:rPr>
  </w:style>
  <w:style w:type="character" w:customStyle="1" w:styleId="68">
    <w:name w:val="font122"/>
    <w:basedOn w:val="29"/>
    <w:qFormat/>
    <w:uiPriority w:val="99"/>
    <w:rPr>
      <w:rFonts w:ascii="宋体" w:hAnsi="宋体" w:eastAsia="宋体" w:cs="宋体"/>
      <w:color w:val="000000"/>
      <w:sz w:val="22"/>
      <w:szCs w:val="22"/>
      <w:u w:val="none"/>
    </w:rPr>
  </w:style>
  <w:style w:type="character" w:customStyle="1" w:styleId="69">
    <w:name w:val="正文文本 Char"/>
    <w:basedOn w:val="29"/>
    <w:link w:val="10"/>
    <w:qFormat/>
    <w:locked/>
    <w:uiPriority w:val="99"/>
    <w:rPr>
      <w:rFonts w:ascii="Times New Roman" w:hAnsi="Times New Roman" w:eastAsia="宋体" w:cs="Times New Roman"/>
      <w:sz w:val="24"/>
      <w:szCs w:val="24"/>
    </w:rPr>
  </w:style>
  <w:style w:type="paragraph" w:customStyle="1" w:styleId="70">
    <w:name w:val="TOC 标题2"/>
    <w:basedOn w:val="2"/>
    <w:next w:val="1"/>
    <w:unhideWhenUsed/>
    <w:qFormat/>
    <w:uiPriority w:val="39"/>
    <w:pPr>
      <w:keepLines/>
      <w:numPr>
        <w:numId w:val="0"/>
      </w:numPr>
      <w:spacing w:before="240" w:line="259" w:lineRule="auto"/>
      <w:jc w:val="left"/>
      <w:outlineLvl w:val="9"/>
    </w:pPr>
    <w:rPr>
      <w:rFonts w:asciiTheme="majorHAnsi" w:hAnsiTheme="majorHAnsi" w:eastAsiaTheme="majorEastAsia" w:cstheme="majorBidi"/>
      <w:b w:val="0"/>
      <w:bCs w:val="0"/>
      <w:color w:val="376092" w:themeColor="accent1" w:themeShade="BF"/>
      <w:kern w:val="0"/>
    </w:rPr>
  </w:style>
  <w:style w:type="paragraph" w:customStyle="1" w:styleId="71">
    <w:name w:val="MsoNormal"/>
    <w:basedOn w:val="1"/>
    <w:qFormat/>
    <w:uiPriority w:val="0"/>
    <w:pPr>
      <w:widowControl/>
      <w:jc w:val="left"/>
    </w:pPr>
    <w:rPr>
      <w:rFonts w:eastAsia="Calibri"/>
      <w:kern w:val="0"/>
    </w:rPr>
  </w:style>
  <w:style w:type="paragraph" w:customStyle="1" w:styleId="72">
    <w:name w:val="p0"/>
    <w:basedOn w:val="1"/>
    <w:qFormat/>
    <w:uiPriority w:val="0"/>
    <w:pPr>
      <w:widowControl/>
      <w:jc w:val="left"/>
    </w:pPr>
    <w:rPr>
      <w:kern w:val="0"/>
      <w:sz w:val="24"/>
    </w:rPr>
  </w:style>
  <w:style w:type="character" w:customStyle="1" w:styleId="73">
    <w:name w:val="文档结构图 Char"/>
    <w:basedOn w:val="29"/>
    <w:link w:val="8"/>
    <w:semiHidden/>
    <w:qFormat/>
    <w:uiPriority w:val="99"/>
    <w:rPr>
      <w:rFonts w:ascii="宋体"/>
      <w:kern w:val="2"/>
      <w:sz w:val="18"/>
      <w:szCs w:val="18"/>
    </w:rPr>
  </w:style>
  <w:style w:type="character" w:customStyle="1" w:styleId="74">
    <w:name w:val="HTML 预设格式 Char"/>
    <w:basedOn w:val="29"/>
    <w:link w:val="23"/>
    <w:qFormat/>
    <w:uiPriority w:val="99"/>
    <w:rPr>
      <w:rFonts w:ascii="Courier New" w:hAnsi="Courier New"/>
    </w:rPr>
  </w:style>
  <w:style w:type="paragraph" w:customStyle="1" w:styleId="7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41</Pages>
  <Words>3889</Words>
  <Characters>22172</Characters>
  <Lines>184</Lines>
  <Paragraphs>52</Paragraphs>
  <TotalTime>2</TotalTime>
  <ScaleCrop>false</ScaleCrop>
  <LinksUpToDate>false</LinksUpToDate>
  <CharactersWithSpaces>26009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2019-07-18T19:38:00Z</dcterms:created>
  <dc:creator>WG</dc:creator>
  <cp:lastModifiedBy>着迷</cp:lastModifiedBy>
  <cp:lastPrinted>2020-08-21T03:07:00Z</cp:lastPrinted>
  <dcterms:modified xsi:type="dcterms:W3CDTF">2020-09-10T06:46:45Z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