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491005864"/>
      <w:bookmarkStart w:id="1" w:name="_Toc13732416"/>
    </w:p>
    <w:p>
      <w:pPr>
        <w:jc w:val="center"/>
        <w:rPr>
          <w:b/>
          <w:sz w:val="48"/>
          <w:szCs w:val="52"/>
        </w:rPr>
      </w:pPr>
    </w:p>
    <w:p>
      <w:pPr>
        <w:jc w:val="center"/>
        <w:rPr>
          <w:b/>
          <w:sz w:val="48"/>
          <w:szCs w:val="52"/>
        </w:rPr>
      </w:pPr>
      <w:r>
        <w:rPr>
          <w:rFonts w:hint="eastAsia"/>
          <w:b/>
          <w:sz w:val="48"/>
          <w:szCs w:val="52"/>
        </w:rPr>
        <w:t>合肥百货大楼集团股份有限公司</w:t>
      </w:r>
    </w:p>
    <w:p>
      <w:pPr>
        <w:jc w:val="center"/>
        <w:rPr>
          <w:b/>
          <w:sz w:val="40"/>
          <w:szCs w:val="44"/>
        </w:rPr>
      </w:pPr>
    </w:p>
    <w:p>
      <w:pPr>
        <w:pStyle w:val="70"/>
        <w:spacing w:line="480" w:lineRule="auto"/>
        <w:ind w:firstLine="640"/>
        <w:jc w:val="center"/>
        <w:rPr>
          <w:rFonts w:hint="default" w:eastAsia="宋体"/>
          <w:b/>
          <w:kern w:val="2"/>
          <w:sz w:val="40"/>
          <w:szCs w:val="44"/>
          <w:lang w:val="en-US" w:eastAsia="zh-CN"/>
        </w:rPr>
      </w:pPr>
      <w:r>
        <w:rPr>
          <w:rFonts w:hint="eastAsia" w:eastAsia="宋体"/>
          <w:b/>
          <w:kern w:val="2"/>
          <w:sz w:val="40"/>
          <w:szCs w:val="44"/>
        </w:rPr>
        <w:t>百大鼓楼名品中心金座合同能源管理服务</w:t>
      </w:r>
      <w:r>
        <w:rPr>
          <w:rFonts w:hint="eastAsia" w:eastAsia="宋体"/>
          <w:b/>
          <w:kern w:val="2"/>
          <w:sz w:val="40"/>
          <w:szCs w:val="44"/>
          <w:lang w:val="en-US" w:eastAsia="zh-CN"/>
        </w:rPr>
        <w:t>(二次)</w:t>
      </w:r>
    </w:p>
    <w:p>
      <w:pPr>
        <w:jc w:val="center"/>
      </w:pPr>
    </w:p>
    <w:p>
      <w:pPr>
        <w:jc w:val="center"/>
      </w:pPr>
    </w:p>
    <w:p>
      <w:pPr>
        <w:jc w:val="center"/>
      </w:pPr>
    </w:p>
    <w:p>
      <w:pPr>
        <w:jc w:val="center"/>
      </w:pPr>
    </w:p>
    <w:p>
      <w:pPr>
        <w:jc w:val="center"/>
      </w:pPr>
    </w:p>
    <w:p>
      <w:pPr>
        <w:jc w:val="center"/>
      </w:pPr>
    </w:p>
    <w:p>
      <w:pPr>
        <w:jc w:val="center"/>
        <w:rPr>
          <w:rFonts w:ascii="黑体" w:eastAsia="黑体"/>
          <w:b/>
          <w:sz w:val="52"/>
          <w:szCs w:val="52"/>
        </w:rPr>
      </w:pPr>
      <w:r>
        <w:rPr>
          <w:rFonts w:hint="eastAsia" w:ascii="黑体" w:eastAsia="黑体"/>
          <w:b/>
          <w:sz w:val="52"/>
          <w:szCs w:val="52"/>
        </w:rPr>
        <w:t>招标文件</w:t>
      </w:r>
    </w:p>
    <w:p/>
    <w:p/>
    <w:p/>
    <w:p/>
    <w:p/>
    <w:p/>
    <w:p/>
    <w:p/>
    <w:p/>
    <w:p/>
    <w:p/>
    <w:p/>
    <w:p/>
    <w:p/>
    <w:p/>
    <w:p/>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项目编号: HBZ-200</w:t>
      </w:r>
      <w:r>
        <w:rPr>
          <w:rFonts w:hint="eastAsia" w:ascii="宋体" w:hAnsi="DotumChe" w:cs="宋体"/>
          <w:b/>
          <w:spacing w:val="20"/>
          <w:kern w:val="0"/>
          <w:sz w:val="32"/>
          <w:szCs w:val="32"/>
          <w:lang w:val="en-US" w:eastAsia="zh-CN"/>
        </w:rPr>
        <w:t>33</w:t>
      </w:r>
      <w:r>
        <w:rPr>
          <w:rFonts w:hint="eastAsia" w:ascii="宋体" w:hAnsi="DotumChe" w:cs="宋体"/>
          <w:b/>
          <w:spacing w:val="20"/>
          <w:kern w:val="0"/>
          <w:sz w:val="32"/>
          <w:szCs w:val="32"/>
        </w:rPr>
        <w:t>-GLJZ01</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人：合肥鼓楼商厦有限责任公司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招标时间：二〇二〇年</w:t>
      </w:r>
      <w:r>
        <w:rPr>
          <w:rFonts w:hint="eastAsia" w:ascii="宋体" w:hAnsi="DotumChe" w:cs="宋体"/>
          <w:b/>
          <w:spacing w:val="20"/>
          <w:kern w:val="0"/>
          <w:sz w:val="32"/>
          <w:szCs w:val="32"/>
          <w:lang w:eastAsia="zh-CN"/>
        </w:rPr>
        <w:t>四</w:t>
      </w:r>
      <w:r>
        <w:rPr>
          <w:rFonts w:hint="eastAsia" w:ascii="宋体" w:hAnsi="DotumChe" w:cs="宋体"/>
          <w:b/>
          <w:spacing w:val="20"/>
          <w:kern w:val="0"/>
          <w:sz w:val="32"/>
          <w:szCs w:val="32"/>
        </w:rPr>
        <w:t>月</w:t>
      </w: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
      <w:pPr>
        <w:spacing w:line="50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我公司现对合肥鼓楼商厦有限责任公司（以下简称：鼓楼名品中心金座）合同能源管理服务</w:t>
      </w:r>
      <w:r>
        <w:rPr>
          <w:rFonts w:hint="eastAsia" w:asciiTheme="minorEastAsia" w:hAnsiTheme="minorEastAsia" w:eastAsiaTheme="minorEastAsia" w:cstheme="minorEastAsia"/>
          <w:sz w:val="24"/>
          <w:lang w:eastAsia="zh-CN"/>
        </w:rPr>
        <w:t>（二次）</w:t>
      </w:r>
      <w:r>
        <w:rPr>
          <w:rFonts w:hint="eastAsia" w:asciiTheme="minorEastAsia" w:hAnsiTheme="minorEastAsia" w:eastAsiaTheme="minorEastAsia" w:cstheme="minorEastAsia"/>
          <w:sz w:val="24"/>
        </w:rPr>
        <w:t>招标，欢迎合格的投标人前来投标，相关事项如下：</w:t>
      </w:r>
    </w:p>
    <w:p>
      <w:pPr>
        <w:widowControl/>
        <w:spacing w:line="500" w:lineRule="exact"/>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一、标的简介：</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1.项目编号：HBZ-200</w:t>
      </w:r>
      <w:r>
        <w:rPr>
          <w:rFonts w:hint="eastAsia" w:asciiTheme="minorEastAsia" w:hAnsiTheme="minorEastAsia" w:eastAsiaTheme="minorEastAsia" w:cstheme="minorEastAsia"/>
          <w:sz w:val="24"/>
          <w:lang w:val="en-US" w:eastAsia="zh-CN"/>
        </w:rPr>
        <w:t>33</w:t>
      </w:r>
      <w:r>
        <w:rPr>
          <w:rFonts w:hint="eastAsia" w:asciiTheme="minorEastAsia" w:hAnsiTheme="minorEastAsia" w:eastAsiaTheme="minorEastAsia" w:cstheme="minorEastAsia"/>
          <w:sz w:val="24"/>
        </w:rPr>
        <w:t>-GLJZ01</w:t>
      </w:r>
    </w:p>
    <w:p>
      <w:pPr>
        <w:spacing w:line="500" w:lineRule="exact"/>
        <w:ind w:firstLine="360" w:firstLineChars="15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2.项目名称：百大鼓楼名品中心金座合同能源管理服务</w:t>
      </w:r>
      <w:r>
        <w:rPr>
          <w:rFonts w:hint="eastAsia" w:asciiTheme="minorEastAsia" w:hAnsiTheme="minorEastAsia" w:eastAsiaTheme="minorEastAsia" w:cstheme="minorEastAsia"/>
          <w:sz w:val="24"/>
          <w:lang w:eastAsia="zh-CN"/>
        </w:rPr>
        <w:t>（二次）</w:t>
      </w:r>
    </w:p>
    <w:p>
      <w:pPr>
        <w:pStyle w:val="7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3.项目地点：</w:t>
      </w:r>
      <w:r>
        <w:rPr>
          <w:rFonts w:hint="eastAsia" w:asciiTheme="minorEastAsia" w:hAnsiTheme="minorEastAsia" w:eastAsiaTheme="minorEastAsia" w:cstheme="minorEastAsia"/>
          <w:kern w:val="2"/>
          <w:sz w:val="24"/>
        </w:rPr>
        <w:t>安徽省合肥市宿州路96号</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4.项目节能率：≥21.5%</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二、投标人资格：</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kern w:val="0"/>
          <w:sz w:val="24"/>
        </w:rPr>
        <w:t>须具有独立法人和一般纳税人资质,注册资金不小于人民币2000万元；</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hd w:val="clear" w:color="auto" w:fill="FDFFFB"/>
        </w:rPr>
        <w:t>2.</w:t>
      </w:r>
      <w:r>
        <w:rPr>
          <w:rFonts w:hint="eastAsia" w:asciiTheme="minorEastAsia" w:hAnsiTheme="minorEastAsia" w:eastAsiaTheme="minorEastAsia" w:cstheme="minorEastAsia"/>
          <w:kern w:val="0"/>
          <w:sz w:val="24"/>
        </w:rPr>
        <w:t>须提供一份公共建筑合同能源管理业绩证明；</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3.投标人须符合下列情形之一（以在“安徽合肥公共资源交易中心”网站http://ggzy.hefei.gov.cn/pgt/exposureDesk.html查询信息为准）：</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1）开标日前两年内未被合肥市及其所辖县（市）公共资源交易监督管理局记不良行为记录或记不良行为记录累计未满10分的。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2）最近一次被合肥市及其所辖县（市）公共资源交易监督管理局记不良行为记录累计记分达10分(含10分)到15分且公布日距开标日超过6个月。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3）最近一次被合肥市及其所辖县（市）公共资源交易监督管理局记不良行为记录累计记分达15分(含15分)到20分且公布日距开标日超过12个月。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4）最近一次被合肥市及其所辖县（市）公共资源交易监督管理局记不良行为记录累计记分达20分(含20分)及以上且公布日距开标日超过24个月。</w:t>
      </w:r>
    </w:p>
    <w:p>
      <w:pPr>
        <w:spacing w:line="500" w:lineRule="exact"/>
        <w:ind w:left="420" w:leftChars="200"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4.投标人存在以下不良信用记录情形之一的，不得推荐为中标候选人，不得确定为中标人（以在“信用中国”网站http://www.creditchina.gov.cn/查询信息为准）：</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1)投标人被人民法院列入失信被执行人的。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2)投标人被列入政府采购严重违法失信名单的。 </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3)投标人被工商行政管理部门列入企业经营异常名录的。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4)投标人被税务部门列入重大税收违法案件当事人名单的。</w:t>
      </w:r>
    </w:p>
    <w:p>
      <w:pPr>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DFFFB"/>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本项目不接受联合体投标。</w:t>
      </w:r>
    </w:p>
    <w:p>
      <w:pPr>
        <w:spacing w:line="500" w:lineRule="exact"/>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b/>
          <w:kern w:val="0"/>
          <w:sz w:val="24"/>
        </w:rPr>
        <w:t>以上证明文件复印件加盖公章后做入投标文件；</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三、招标文件领取方法</w:t>
      </w:r>
      <w:r>
        <w:rPr>
          <w:rFonts w:hint="eastAsia" w:asciiTheme="minorEastAsia" w:hAnsiTheme="minorEastAsia" w:eastAsiaTheme="minorEastAsia" w:cstheme="minorEastAsia"/>
          <w:sz w:val="24"/>
        </w:rPr>
        <w:t>： </w:t>
      </w:r>
    </w:p>
    <w:p>
      <w:pPr>
        <w:spacing w:line="500" w:lineRule="exact"/>
        <w:ind w:firstLine="46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1.领取日期：2020年</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26</w:t>
      </w:r>
      <w:bookmarkStart w:id="18" w:name="_GoBack"/>
      <w:bookmarkEnd w:id="18"/>
      <w:r>
        <w:rPr>
          <w:rFonts w:hint="eastAsia" w:asciiTheme="minorEastAsia" w:hAnsiTheme="minorEastAsia" w:eastAsiaTheme="minorEastAsia" w:cstheme="minorEastAsia"/>
          <w:sz w:val="24"/>
        </w:rPr>
        <w:t>日—2020年</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日</w:t>
      </w:r>
    </w:p>
    <w:p>
      <w:pPr>
        <w:pStyle w:val="71"/>
        <w:spacing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2.领取方法：登录网站</w:t>
      </w:r>
      <w:r>
        <w:fldChar w:fldCharType="begin"/>
      </w:r>
      <w:r>
        <w:instrText xml:space="preserve"> HYPERLINK "http://www.hfbh.com.cn/" \t "_blank" </w:instrText>
      </w:r>
      <w:r>
        <w:fldChar w:fldCharType="separate"/>
      </w:r>
      <w:r>
        <w:rPr>
          <w:rStyle w:val="30"/>
          <w:rFonts w:hint="eastAsia" w:asciiTheme="minorEastAsia" w:hAnsiTheme="minorEastAsia" w:eastAsiaTheme="minorEastAsia" w:cstheme="minorEastAsia"/>
          <w:color w:val="auto"/>
          <w:u w:val="none"/>
        </w:rPr>
        <w:t>www.hfbh.com.cn</w:t>
      </w:r>
      <w:r>
        <w:rPr>
          <w:rStyle w:val="30"/>
          <w:rFonts w:hint="eastAsia" w:asciiTheme="minorEastAsia" w:hAnsiTheme="minorEastAsia" w:eastAsiaTheme="minorEastAsia" w:cstheme="minorEastAsia"/>
          <w:color w:val="auto"/>
          <w:u w:val="none"/>
        </w:rPr>
        <w:fldChar w:fldCharType="end"/>
      </w:r>
      <w:r>
        <w:rPr>
          <w:rFonts w:hint="eastAsia" w:asciiTheme="minorEastAsia" w:hAnsiTheme="minorEastAsia" w:eastAsiaTheme="minorEastAsia" w:cstheme="minorEastAsia"/>
        </w:rPr>
        <w:t>下载标书（下标书的投标单位按要求参加资格审查）。</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rPr>
        <w:t>四、资格预审时间：</w:t>
      </w:r>
      <w:r>
        <w:rPr>
          <w:rFonts w:hint="eastAsia" w:ascii="宋体" w:hAnsi="宋体" w:cs="宋体"/>
          <w:b/>
          <w:shd w:val="clear" w:color="auto" w:fill="FFFFFF"/>
        </w:rPr>
        <w:t>2020年</w:t>
      </w:r>
      <w:r>
        <w:rPr>
          <w:rFonts w:hint="eastAsia" w:ascii="宋体" w:hAnsi="宋体" w:cs="宋体"/>
          <w:b/>
          <w:shd w:val="clear" w:color="auto" w:fill="FFFFFF"/>
          <w:lang w:val="en-US" w:eastAsia="zh-CN"/>
        </w:rPr>
        <w:t>5</w:t>
      </w:r>
      <w:r>
        <w:rPr>
          <w:rFonts w:hint="eastAsia" w:ascii="宋体" w:hAnsi="宋体" w:cs="宋体"/>
          <w:b/>
          <w:shd w:val="clear" w:color="auto" w:fill="FFFFFF"/>
        </w:rPr>
        <w:t>月</w:t>
      </w:r>
      <w:r>
        <w:rPr>
          <w:rFonts w:hint="eastAsia" w:ascii="宋体" w:hAnsi="宋体" w:cs="宋体"/>
          <w:b/>
          <w:shd w:val="clear" w:color="auto" w:fill="FFFFFF"/>
          <w:lang w:val="en-US" w:eastAsia="zh-CN"/>
        </w:rPr>
        <w:t>7</w:t>
      </w:r>
      <w:r>
        <w:rPr>
          <w:rFonts w:hint="eastAsia" w:ascii="宋体" w:hAnsi="宋体" w:cs="宋体"/>
          <w:b/>
          <w:shd w:val="clear" w:color="auto" w:fill="FFFFFF"/>
        </w:rPr>
        <w:t>日1</w:t>
      </w:r>
      <w:r>
        <w:rPr>
          <w:rFonts w:hint="eastAsia" w:ascii="宋体" w:hAnsi="宋体" w:cs="宋体"/>
          <w:b/>
          <w:shd w:val="clear" w:color="auto" w:fill="FFFFFF"/>
          <w:lang w:val="en-US" w:eastAsia="zh-CN"/>
        </w:rPr>
        <w:t>2</w:t>
      </w:r>
      <w:r>
        <w:rPr>
          <w:rFonts w:hint="eastAsia" w:ascii="宋体" w:hAnsi="宋体" w:cs="宋体"/>
          <w:b/>
          <w:shd w:val="clear" w:color="auto" w:fill="FFFFFF"/>
        </w:rPr>
        <w:t>:00之前将本章第二条“投标人要求”中的相关材料电子版发送至QQ邮箱277351016接受资格预审，审查合格的投标人以转账方式缴纳投标保证金。</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五、投标保证金：</w:t>
      </w:r>
      <w:r>
        <w:rPr>
          <w:rFonts w:hint="eastAsia" w:asciiTheme="minorEastAsia" w:hAnsiTheme="minorEastAsia" w:eastAsiaTheme="minorEastAsia" w:cstheme="minorEastAsia"/>
          <w:sz w:val="24"/>
        </w:rPr>
        <w:t>2020 年</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日16：00前（以实际到账时间为准）通过转账的方式缴纳投标保证金</w:t>
      </w:r>
      <w:r>
        <w:rPr>
          <w:rFonts w:hint="eastAsia" w:asciiTheme="minorEastAsia" w:hAnsiTheme="minorEastAsia" w:eastAsiaTheme="minorEastAsia" w:cstheme="minorEastAsia"/>
          <w:b/>
          <w:sz w:val="24"/>
        </w:rPr>
        <w:t>壹万元，</w:t>
      </w:r>
      <w:r>
        <w:rPr>
          <w:rFonts w:hint="eastAsia" w:asciiTheme="minorEastAsia" w:hAnsiTheme="minorEastAsia" w:eastAsiaTheme="minorEastAsia" w:cstheme="minorEastAsia"/>
          <w:sz w:val="24"/>
        </w:rPr>
        <w:t>如中标，该保证金自动转为履约保证金；如未中标，招标结束后无息退还。</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名称</w:t>
      </w:r>
      <w:r>
        <w:rPr>
          <w:rFonts w:hint="eastAsia" w:asciiTheme="minorEastAsia" w:hAnsiTheme="minorEastAsia" w:eastAsiaTheme="minorEastAsia" w:cstheme="minorEastAsia"/>
          <w:sz w:val="24"/>
        </w:rPr>
        <w:t>：合肥鼓楼商厦有限责任公司</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账　号：341301000010040016310</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 交通银行安徽省分行营业部</w:t>
      </w:r>
    </w:p>
    <w:p>
      <w:pPr>
        <w:spacing w:line="500" w:lineRule="exact"/>
        <w:ind w:left="6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纳税识别号：</w:t>
      </w:r>
      <w:r>
        <w:rPr>
          <w:rFonts w:hint="eastAsia" w:asciiTheme="minorEastAsia" w:hAnsiTheme="minorEastAsia" w:eastAsiaTheme="minorEastAsia" w:cstheme="minorEastAsia"/>
          <w:kern w:val="0"/>
          <w:sz w:val="24"/>
        </w:rPr>
        <w:t>91340100149034241F</w:t>
      </w:r>
    </w:p>
    <w:p>
      <w:pPr>
        <w:spacing w:line="500" w:lineRule="exact"/>
        <w:ind w:left="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地址、电话：合肥市宿州路</w:t>
      </w:r>
      <w:r>
        <w:rPr>
          <w:rFonts w:hint="eastAsia" w:asciiTheme="minorEastAsia" w:hAnsiTheme="minorEastAsia" w:eastAsiaTheme="minorEastAsia" w:cstheme="minorEastAsia"/>
          <w:kern w:val="0"/>
          <w:sz w:val="24"/>
        </w:rPr>
        <w:t>96号 0551-62687022</w:t>
      </w:r>
      <w:r>
        <w:rPr>
          <w:rFonts w:hint="eastAsia" w:asciiTheme="minorEastAsia" w:hAnsiTheme="minorEastAsia" w:eastAsiaTheme="minorEastAsia" w:cstheme="minorEastAsia"/>
          <w:kern w:val="0"/>
          <w:sz w:val="24"/>
          <w:lang w:val="zh-CN"/>
        </w:rPr>
        <w:t>（转帐时请备注“××项目投标保证金”）</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六、开标时间及地点：</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1.开标时间：2020年</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0（如有调整，另行通知）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2.开标地点：</w:t>
      </w:r>
      <w:r>
        <w:rPr>
          <w:rFonts w:hint="eastAsia" w:asciiTheme="minorEastAsia" w:hAnsiTheme="minorEastAsia" w:eastAsiaTheme="minorEastAsia" w:cstheme="minorEastAsia"/>
          <w:kern w:val="0"/>
          <w:sz w:val="24"/>
        </w:rPr>
        <w:t>合肥市黄山路596号合肥百大集团1209室</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七、联系方式：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现场勘查：宣工   联系电话：0551-62687026</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资格预审：朱工   联系电话：0551-65771025</w:t>
      </w:r>
    </w:p>
    <w:p>
      <w:pPr>
        <w:spacing w:line="500" w:lineRule="exact"/>
        <w:ind w:firstLine="480" w:firstLineChars="200"/>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pStyle w:val="2"/>
        <w:numPr>
          <w:ilvl w:val="0"/>
          <w:numId w:val="0"/>
        </w:numPr>
        <w:rPr>
          <w:rFonts w:asciiTheme="majorEastAsia" w:hAnsiTheme="majorEastAsia" w:eastAsiaTheme="majorEastAsia"/>
          <w:sz w:val="28"/>
          <w:szCs w:val="28"/>
        </w:rPr>
      </w:pPr>
      <w:bookmarkStart w:id="2" w:name="_Toc486433785"/>
      <w:bookmarkStart w:id="3" w:name="_Toc13732417"/>
      <w:bookmarkStart w:id="4" w:name="_Toc491005865"/>
      <w:r>
        <w:rPr>
          <w:rFonts w:hint="eastAsia" w:asciiTheme="majorEastAsia" w:hAnsiTheme="majorEastAsia" w:eastAsiaTheme="majorEastAsia"/>
          <w:sz w:val="28"/>
          <w:szCs w:val="28"/>
        </w:rPr>
        <w:t>第二章 投标人须知前附表</w:t>
      </w:r>
      <w:bookmarkEnd w:id="2"/>
      <w:bookmarkEnd w:id="3"/>
      <w:bookmarkEnd w:id="4"/>
    </w:p>
    <w:p>
      <w:pPr>
        <w:rPr>
          <w:rFonts w:asciiTheme="majorEastAsia" w:hAnsiTheme="majorEastAsia" w:eastAsiaTheme="majorEastAsia"/>
          <w:szCs w:val="21"/>
        </w:rPr>
      </w:pPr>
    </w:p>
    <w:tbl>
      <w:tblPr>
        <w:tblStyle w:val="27"/>
        <w:tblW w:w="95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75"/>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1975"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内容</w:t>
            </w:r>
          </w:p>
        </w:tc>
        <w:tc>
          <w:tcPr>
            <w:tcW w:w="6697" w:type="dxa"/>
            <w:vAlign w:val="center"/>
          </w:tcPr>
          <w:p>
            <w:pPr>
              <w:pStyle w:val="51"/>
              <w:widowControl w:val="0"/>
              <w:spacing w:before="0" w:beforeAutospacing="0" w:after="0" w:afterAutospacing="0"/>
              <w:rPr>
                <w:rFonts w:asciiTheme="majorEastAsia" w:hAnsiTheme="majorEastAsia" w:eastAsiaTheme="majorEastAsia"/>
                <w:bCs w:val="0"/>
                <w:kern w:val="2"/>
                <w:sz w:val="21"/>
                <w:szCs w:val="21"/>
              </w:rPr>
            </w:pPr>
            <w:r>
              <w:rPr>
                <w:rFonts w:hint="eastAsia" w:asciiTheme="majorEastAsia" w:hAnsiTheme="majorEastAsia" w:eastAsiaTheme="majorEastAsia"/>
                <w:bCs w:val="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6" w:type="dxa"/>
            <w:vAlign w:val="center"/>
          </w:tcPr>
          <w:p>
            <w:pPr>
              <w:pStyle w:val="52"/>
              <w:pBdr>
                <w:bottom w:val="none" w:color="auto" w:sz="0" w:space="0"/>
              </w:pBdr>
              <w:tabs>
                <w:tab w:val="clear" w:pos="4153"/>
                <w:tab w:val="clear" w:pos="8306"/>
              </w:tabs>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97"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合肥鼓楼商厦有限责任公司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97" w:type="dxa"/>
            <w:vAlign w:val="center"/>
          </w:tcPr>
          <w:p>
            <w:pPr>
              <w:spacing w:line="50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百大鼓楼名品中心金座合同能源管理服务</w:t>
            </w:r>
            <w:r>
              <w:rPr>
                <w:rFonts w:hint="eastAsia" w:asciiTheme="minorEastAsia" w:hAnsiTheme="minorEastAsia" w:eastAsiaTheme="minorEastAsia" w:cstheme="minorEastAsia"/>
                <w:sz w:val="24"/>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97" w:type="dxa"/>
            <w:vAlign w:val="center"/>
          </w:tcPr>
          <w:p>
            <w:pPr>
              <w:pStyle w:val="51"/>
              <w:widowControl w:val="0"/>
              <w:spacing w:before="0" w:beforeAutospacing="0" w:after="0" w:afterAutospacing="0"/>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HBZ-200</w:t>
            </w:r>
            <w:r>
              <w:rPr>
                <w:rFonts w:hint="eastAsia" w:asciiTheme="minorEastAsia" w:hAnsiTheme="minorEastAsia" w:eastAsiaTheme="minorEastAsia" w:cstheme="minorEastAsia"/>
                <w:b w:val="0"/>
                <w:bCs w:val="0"/>
                <w:sz w:val="24"/>
                <w:szCs w:val="24"/>
                <w:lang w:val="en-US" w:eastAsia="zh-CN"/>
              </w:rPr>
              <w:t>33</w:t>
            </w:r>
            <w:r>
              <w:rPr>
                <w:rFonts w:hint="eastAsia" w:asciiTheme="minorEastAsia" w:hAnsiTheme="minorEastAsia" w:eastAsiaTheme="minorEastAsia" w:cstheme="minorEastAsia"/>
                <w:b w:val="0"/>
                <w:bCs w:val="0"/>
                <w:sz w:val="24"/>
                <w:szCs w:val="24"/>
              </w:rPr>
              <w:t>-GLJZ01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75"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97" w:type="dxa"/>
            <w:vAlign w:val="center"/>
          </w:tcPr>
          <w:p>
            <w:pPr>
              <w:pStyle w:val="51"/>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1975" w:type="dxa"/>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标段划分</w:t>
            </w:r>
          </w:p>
        </w:tc>
        <w:tc>
          <w:tcPr>
            <w:tcW w:w="6697" w:type="dxa"/>
            <w:vAlign w:val="center"/>
          </w:tcPr>
          <w:p>
            <w:pPr>
              <w:spacing w:line="500" w:lineRule="exact"/>
              <w:ind w:left="841" w:hanging="841"/>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不分标段□分为个标段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97" w:type="dxa"/>
          </w:tcPr>
          <w:p>
            <w:pPr>
              <w:pStyle w:val="53"/>
              <w:spacing w:line="500" w:lineRule="exact"/>
              <w:rPr>
                <w:rFonts w:asciiTheme="minorEastAsia" w:hAnsiTheme="minorEastAsia" w:eastAsiaTheme="minorEastAsia" w:cstheme="minorEastAsia"/>
                <w:color w:val="000000" w:themeColor="text1"/>
                <w:szCs w:val="24"/>
                <w:u w:val="single"/>
                <w:lang w:val="zh-CN"/>
                <w14:textFill>
                  <w14:solidFill>
                    <w14:schemeClr w14:val="tx1"/>
                  </w14:solidFill>
                </w14:textFill>
              </w:rPr>
            </w:pPr>
            <w:r>
              <w:rPr>
                <w:rFonts w:hint="eastAsia" w:asciiTheme="minorEastAsia" w:hAnsiTheme="minorEastAsia" w:eastAsiaTheme="minorEastAsia" w:cstheme="minorEastAsia"/>
                <w:bCs/>
                <w:szCs w:val="24"/>
              </w:rPr>
              <w:t>按月支付。中标人于签订合同后的60个工作日完成改造，完成改造并验收后的次月1日为结算起始日，在合同期限内，每月为一个结算周期，每结算周期届满后一个</w:t>
            </w:r>
            <w:r>
              <w:rPr>
                <w:rFonts w:hint="eastAsia" w:asciiTheme="minorEastAsia" w:hAnsiTheme="minorEastAsia" w:eastAsiaTheme="minorEastAsia" w:cstheme="minorEastAsia"/>
                <w:bCs/>
                <w:color w:val="000000" w:themeColor="text1"/>
                <w:szCs w:val="24"/>
                <w14:textFill>
                  <w14:solidFill>
                    <w14:schemeClr w14:val="tx1"/>
                  </w14:solidFill>
                </w14:textFill>
              </w:rPr>
              <w:t>月内完成收益认定，招标方在收到投标方节能改造效益确认单,经招标人确认后，中标人10个工作日内提供相应的增值税发票给招标人，招标人按照约定分享比例支付费用给中标人。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联合体投标</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r>
              <w:rPr>
                <w:rFonts w:hint="eastAsia" w:asciiTheme="minorEastAsia" w:hAnsiTheme="minorEastAsia" w:eastAsiaTheme="minorEastAsia" w:cstheme="minorEastAsia"/>
                <w:b/>
                <w:bCs/>
                <w:sz w:val="24"/>
              </w:rPr>
              <w:sym w:font="Wingdings" w:char="00FE"/>
            </w:r>
            <w:r>
              <w:rPr>
                <w:rFonts w:hint="eastAsia" w:asciiTheme="minorEastAsia" w:hAnsiTheme="minorEastAsia" w:eastAsiaTheme="minorEastAsia" w:cstheme="minorEastAsia"/>
                <w:sz w:val="24"/>
              </w:rPr>
              <w:t>不</w:t>
            </w:r>
            <w:r>
              <w:rPr>
                <w:rFonts w:hint="eastAsia" w:asciiTheme="minorEastAsia" w:hAnsiTheme="minorEastAsia" w:eastAsiaTheme="minorEastAsia" w:cstheme="minorEastAsia"/>
                <w:sz w:val="24"/>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197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项目地点</w:t>
            </w:r>
          </w:p>
        </w:tc>
        <w:tc>
          <w:tcPr>
            <w:tcW w:w="6697" w:type="dxa"/>
            <w:vAlign w:val="center"/>
          </w:tcPr>
          <w:p>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安徽省合肥市宿州路96号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八年（2020年起至2028年</w:t>
            </w:r>
            <w:r>
              <w:rPr>
                <w:rFonts w:hint="eastAsia" w:asciiTheme="minorEastAsia" w:hAnsiTheme="minorEastAsia" w:eastAsiaTheme="minorEastAsia" w:cstheme="minorEastAsia"/>
                <w:sz w:val="24"/>
                <w:lang w:eastAsia="zh-CN"/>
              </w:rPr>
              <w:t>止</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p>
        </w:tc>
        <w:tc>
          <w:tcPr>
            <w:tcW w:w="1975" w:type="dxa"/>
            <w:vAlign w:val="center"/>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投标保证金金额</w:t>
            </w:r>
          </w:p>
        </w:tc>
        <w:tc>
          <w:tcPr>
            <w:tcW w:w="6697" w:type="dxa"/>
            <w:vAlign w:val="center"/>
          </w:tcPr>
          <w:p>
            <w:pPr>
              <w:spacing w:line="5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人民币</w:t>
            </w:r>
            <w:r>
              <w:rPr>
                <w:rFonts w:hint="eastAsia" w:asciiTheme="minorEastAsia" w:hAnsiTheme="minorEastAsia" w:eastAsiaTheme="minorEastAsia" w:cstheme="minorEastAsia"/>
                <w:b/>
                <w:sz w:val="24"/>
                <w:u w:val="single"/>
              </w:rPr>
              <w:t>壹</w:t>
            </w:r>
            <w:r>
              <w:rPr>
                <w:rFonts w:hint="eastAsia" w:asciiTheme="minorEastAsia" w:hAnsiTheme="minorEastAsia" w:eastAsiaTheme="minorEastAsia" w:cstheme="minorEastAsia"/>
                <w:bCs/>
                <w:sz w:val="24"/>
              </w:rPr>
              <w:t>万</w:t>
            </w:r>
            <w:r>
              <w:rPr>
                <w:rFonts w:hint="eastAsia" w:asciiTheme="minorEastAsia" w:hAnsiTheme="minorEastAsia" w:eastAsiaTheme="minorEastAsia" w:cstheme="minorEastAsia"/>
                <w:sz w:val="24"/>
              </w:rPr>
              <w:t>元，投标保证金应当在投标截止时间前足额到达本次招标公告指定账号，且应当从投标人基本账号转出。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答疑</w:t>
            </w:r>
          </w:p>
        </w:tc>
        <w:tc>
          <w:tcPr>
            <w:tcW w:w="6697" w:type="dxa"/>
            <w:vAlign w:val="center"/>
          </w:tcPr>
          <w:p>
            <w:pPr>
              <w:spacing w:line="500" w:lineRule="exact"/>
              <w:rPr>
                <w:rFonts w:asciiTheme="minorEastAsia" w:hAnsiTheme="minorEastAsia" w:eastAsiaTheme="minorEastAsia" w:cstheme="minorEastAsia"/>
                <w:b/>
                <w:bCs/>
                <w:i/>
                <w:sz w:val="24"/>
              </w:rPr>
            </w:pPr>
            <w:r>
              <w:rPr>
                <w:rFonts w:hint="eastAsia" w:asciiTheme="minorEastAsia" w:hAnsiTheme="minorEastAsia" w:eastAsiaTheme="minorEastAsia" w:cstheme="minorEastAsia"/>
                <w:b/>
                <w:bCs/>
                <w:sz w:val="24"/>
              </w:rPr>
              <w:t>招标公告发布之日起五个工作日内接受答疑（逾期不予受理），疑问的提出与答疑获取详见招标文件</w:t>
            </w:r>
            <w:r>
              <w:rPr>
                <w:rFonts w:hint="eastAsia" w:asciiTheme="minorEastAsia" w:hAnsiTheme="minorEastAsia" w:eastAsiaTheme="minorEastAsia" w:cstheme="minorEastAsia"/>
                <w:b/>
                <w:sz w:val="24"/>
              </w:rPr>
              <w:t>第三章投标人须知第四条</w:t>
            </w:r>
            <w:r>
              <w:rPr>
                <w:rFonts w:hint="eastAsia" w:asciiTheme="minorEastAsia" w:hAnsiTheme="minorEastAsia" w:eastAsiaTheme="minorEastAsia" w:cstheme="minorEastAsia"/>
                <w:b/>
                <w:bCs/>
                <w:sz w:val="24"/>
              </w:rPr>
              <w:t>。</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97"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投标文件份数及要求</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开标时间及地点</w:t>
            </w:r>
          </w:p>
        </w:tc>
        <w:tc>
          <w:tcPr>
            <w:tcW w:w="6697" w:type="dxa"/>
            <w:vAlign w:val="center"/>
          </w:tcPr>
          <w:p>
            <w:pPr>
              <w:spacing w:line="500" w:lineRule="exac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开标时间：</w:t>
            </w:r>
            <w:r>
              <w:rPr>
                <w:rFonts w:hint="eastAsia" w:asciiTheme="minorEastAsia" w:hAnsiTheme="minorEastAsia" w:eastAsiaTheme="minorEastAsia" w:cstheme="minorEastAsia"/>
                <w:sz w:val="24"/>
                <w:lang w:val="zh-CN"/>
              </w:rPr>
              <w:t>详见招标公告</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w:t>
            </w:r>
            <w:r>
              <w:rPr>
                <w:rFonts w:hint="eastAsia" w:asciiTheme="minorEastAsia" w:hAnsiTheme="minorEastAsia" w:eastAsiaTheme="minorEastAsia" w:cstheme="minorEastAsia"/>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评标办法</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w:t>
            </w:r>
            <w:r>
              <w:rPr>
                <w:rFonts w:hint="eastAsia" w:asciiTheme="minorEastAsia" w:hAnsiTheme="minorEastAsia" w:eastAsiaTheme="minorEastAsia" w:cstheme="minorEastAsia"/>
                <w:sz w:val="24"/>
              </w:rPr>
              <w:t>招标文件</w:t>
            </w:r>
            <w:r>
              <w:rPr>
                <w:rFonts w:hint="eastAsia" w:asciiTheme="minorEastAsia" w:hAnsiTheme="minorEastAsia" w:eastAsiaTheme="minorEastAsia" w:cstheme="minorEastAsia"/>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p>
        </w:tc>
        <w:tc>
          <w:tcPr>
            <w:tcW w:w="1975"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97"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壹万元整，期限至</w:t>
            </w:r>
            <w:r>
              <w:rPr>
                <w:rFonts w:hint="eastAsia" w:asciiTheme="minorEastAsia" w:hAnsiTheme="minorEastAsia" w:eastAsiaTheme="minorEastAsia" w:cstheme="minorEastAsia"/>
                <w:bCs/>
                <w:color w:val="000000" w:themeColor="text1"/>
                <w:sz w:val="24"/>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14:textFill>
                  <w14:solidFill>
                    <w14:schemeClr w14:val="tx1"/>
                  </w14:solidFill>
                </w14:textFill>
              </w:rPr>
              <w:t>。收受方式为：</w:t>
            </w:r>
            <w:r>
              <w:rPr>
                <w:rFonts w:hint="eastAsia" w:asciiTheme="minorEastAsia" w:hAnsiTheme="minorEastAsia" w:eastAsiaTheme="minorEastAsia" w:cstheme="minorEastAsia"/>
                <w:color w:val="000000" w:themeColor="text1"/>
                <w:sz w:val="24"/>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14:textFill>
                  <w14:solidFill>
                    <w14:schemeClr w14:val="tx1"/>
                  </w14:solidFill>
                </w14:textFill>
              </w:rPr>
              <w:t>，收受人为</w:t>
            </w:r>
            <w:r>
              <w:rPr>
                <w:rFonts w:hint="eastAsia" w:asciiTheme="minorEastAsia" w:hAnsiTheme="minorEastAsia" w:eastAsiaTheme="minorEastAsia" w:cstheme="minorEastAsia"/>
                <w:b/>
                <w:color w:val="000000" w:themeColor="text1"/>
                <w:sz w:val="24"/>
                <w:u w:val="single"/>
                <w14:textFill>
                  <w14:solidFill>
                    <w14:schemeClr w14:val="tx1"/>
                  </w14:solidFill>
                </w14:textFill>
              </w:rPr>
              <w:t>合肥鼓楼商厦有限责任公司</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需要</w:t>
            </w: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本项目提供除电子版招标文件以外的其他资料</w:t>
            </w:r>
          </w:p>
        </w:tc>
        <w:tc>
          <w:tcPr>
            <w:tcW w:w="6697" w:type="dxa"/>
            <w:vAlign w:val="center"/>
          </w:tcPr>
          <w:p>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业绩要求</w:t>
            </w:r>
          </w:p>
        </w:tc>
        <w:tc>
          <w:tcPr>
            <w:tcW w:w="6697" w:type="dxa"/>
            <w:vAlign w:val="center"/>
          </w:tcPr>
          <w:p>
            <w:pPr>
              <w:spacing w:line="4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本招标文件中要求的业绩合同：a、合同在实施的，提供合同期内上一年度业主确认的节能确认单b、合同实施完毕的，提供业主回访单或确认单。投标文件中除提供该业绩的合同扫描件外，还须附与该业绩对应的项目已完工并验收合格的业主证明材料（扫描件），如验收报告或业主开具的证明等。</w:t>
            </w:r>
          </w:p>
          <w:p>
            <w:pPr>
              <w:spacing w:line="4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1）验收报告或业主证明须加盖业主单位公章(所提供的证明材料上已有业主单位公章的除外)，否则评标委员会可不予认可；（2）业绩合同可提供包含甲乙方、项目名称、合同总金额、合同签订时间、合同范围、合同签字盖章页等关键内容的关键页的扫描件；（3）业绩金额以项目合同总金额为准。</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2、所提供的业绩合同中不能明确反映出招标文件所要求的内容的（如合同总金额或项目负责人名称等），应另附业主证明材料予以明确说明，须加盖业主单位公章，否则评标委员会可不予认可。</w:t>
            </w:r>
          </w:p>
        </w:tc>
      </w:tr>
    </w:tbl>
    <w:p>
      <w:pPr>
        <w:pStyle w:val="2"/>
        <w:numPr>
          <w:ilvl w:val="0"/>
          <w:numId w:val="0"/>
        </w:numPr>
        <w:rPr>
          <w:rFonts w:hint="eastAsia" w:asciiTheme="majorEastAsia" w:hAnsiTheme="majorEastAsia" w:eastAsiaTheme="majorEastAsia" w:cstheme="majorEastAsia"/>
          <w:sz w:val="28"/>
          <w:szCs w:val="28"/>
        </w:rPr>
      </w:pPr>
      <w:bookmarkStart w:id="5" w:name="_Toc491005866"/>
      <w:bookmarkStart w:id="6" w:name="_Toc13732418"/>
    </w:p>
    <w:p>
      <w:pPr>
        <w:pStyle w:val="2"/>
        <w:numPr>
          <w:ilvl w:val="0"/>
          <w:numId w:val="0"/>
        </w:num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第三章 投标人须知</w:t>
      </w:r>
      <w:bookmarkEnd w:id="5"/>
      <w:bookmarkEnd w:id="6"/>
    </w:p>
    <w:p>
      <w:pPr>
        <w:spacing w:line="520" w:lineRule="exact"/>
        <w:ind w:firstLine="420"/>
        <w:rPr>
          <w:rFonts w:ascii="宋体"/>
          <w:b/>
          <w:sz w:val="24"/>
        </w:rPr>
      </w:pPr>
      <w:r>
        <w:rPr>
          <w:rFonts w:hint="eastAsia" w:ascii="宋体" w:hAnsi="宋体"/>
          <w:b/>
          <w:sz w:val="24"/>
        </w:rPr>
        <w:t>一、说明及注意事项</w:t>
      </w:r>
    </w:p>
    <w:p>
      <w:pPr>
        <w:spacing w:line="52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520" w:lineRule="exact"/>
        <w:ind w:firstLine="420"/>
        <w:rPr>
          <w:rFonts w:ascii="宋体"/>
          <w:sz w:val="24"/>
        </w:rPr>
      </w:pPr>
      <w:r>
        <w:rPr>
          <w:rFonts w:hint="eastAsia" w:ascii="宋体" w:hAnsi="宋体"/>
          <w:sz w:val="24"/>
        </w:rPr>
        <w:t>⑴投标人须以招标人正式发布的《招标文件》为制作《投标文件》的依据；</w:t>
      </w:r>
    </w:p>
    <w:p>
      <w:pPr>
        <w:spacing w:line="52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520" w:lineRule="exact"/>
        <w:ind w:firstLine="420"/>
        <w:rPr>
          <w:rFonts w:ascii="宋体"/>
          <w:sz w:val="24"/>
        </w:rPr>
      </w:pPr>
      <w:r>
        <w:rPr>
          <w:rFonts w:hint="eastAsia" w:ascii="宋体" w:hAnsi="宋体"/>
          <w:sz w:val="24"/>
        </w:rPr>
        <w:t>⑶投标文件的书面内容不得涂抹或改写；</w:t>
      </w:r>
    </w:p>
    <w:p>
      <w:pPr>
        <w:spacing w:line="520" w:lineRule="exact"/>
        <w:ind w:firstLine="420"/>
        <w:rPr>
          <w:rFonts w:ascii="宋体"/>
          <w:sz w:val="24"/>
        </w:rPr>
      </w:pPr>
      <w:r>
        <w:rPr>
          <w:rFonts w:hint="eastAsia" w:ascii="宋体" w:hAnsi="宋体"/>
          <w:sz w:val="24"/>
        </w:rPr>
        <w:t>⑷满足本招标文件规定的其它要求。</w:t>
      </w:r>
    </w:p>
    <w:p>
      <w:pPr>
        <w:spacing w:line="52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520" w:lineRule="exact"/>
        <w:ind w:firstLine="420"/>
        <w:rPr>
          <w:rFonts w:ascii="宋体"/>
          <w:sz w:val="24"/>
        </w:rPr>
      </w:pPr>
      <w:r>
        <w:rPr>
          <w:rFonts w:hint="eastAsia" w:ascii="宋体" w:hAnsi="宋体"/>
          <w:sz w:val="24"/>
        </w:rPr>
        <w:t>⑴投标承诺书、开标一览表、投标事项承诺等；</w:t>
      </w:r>
    </w:p>
    <w:p>
      <w:pPr>
        <w:spacing w:line="520" w:lineRule="exact"/>
        <w:ind w:firstLine="420"/>
        <w:rPr>
          <w:rFonts w:ascii="宋体"/>
          <w:sz w:val="24"/>
        </w:rPr>
      </w:pPr>
      <w:r>
        <w:rPr>
          <w:rFonts w:hint="eastAsia" w:ascii="宋体" w:hAnsi="宋体"/>
          <w:sz w:val="24"/>
        </w:rPr>
        <w:t>⑵投标人资质证明文件、法人和授权代表人身份证复印件；</w:t>
      </w:r>
    </w:p>
    <w:p>
      <w:pPr>
        <w:spacing w:line="520" w:lineRule="exact"/>
        <w:ind w:firstLine="420"/>
        <w:rPr>
          <w:rFonts w:ascii="宋体"/>
          <w:sz w:val="24"/>
        </w:rPr>
      </w:pPr>
      <w:r>
        <w:rPr>
          <w:rFonts w:hint="eastAsia" w:ascii="宋体" w:hAnsi="宋体"/>
          <w:sz w:val="24"/>
        </w:rPr>
        <w:t>⑶本项目的改造方案（包括投资概算、所使用的设备型号、数量，主要改造内容包括招标文件中的四章第三条要求的必须实施的内容）</w:t>
      </w:r>
    </w:p>
    <w:p>
      <w:pPr>
        <w:spacing w:line="520" w:lineRule="exact"/>
        <w:ind w:firstLine="420"/>
        <w:rPr>
          <w:rFonts w:ascii="宋体"/>
          <w:sz w:val="24"/>
        </w:rPr>
      </w:pPr>
      <w:r>
        <w:rPr>
          <w:rFonts w:hint="eastAsia" w:ascii="宋体" w:hAnsi="宋体"/>
          <w:sz w:val="24"/>
        </w:rPr>
        <w:t>⑷相关案例材料，服务计划、项目负责人及拟派往本项目的管理人员情况（包括履历和项目经验）。</w:t>
      </w:r>
    </w:p>
    <w:p>
      <w:pPr>
        <w:spacing w:line="520" w:lineRule="exact"/>
        <w:ind w:firstLine="420"/>
        <w:rPr>
          <w:rFonts w:ascii="宋体"/>
          <w:sz w:val="24"/>
        </w:rPr>
      </w:pPr>
      <w:r>
        <w:rPr>
          <w:rFonts w:ascii="宋体" w:hAnsi="宋体"/>
          <w:sz w:val="24"/>
        </w:rPr>
        <w:t>3</w:t>
      </w:r>
      <w:r>
        <w:rPr>
          <w:rFonts w:hint="eastAsia" w:ascii="宋体" w:hAnsi="宋体"/>
          <w:sz w:val="24"/>
        </w:rPr>
        <w:t>.投标报价说明</w:t>
      </w:r>
    </w:p>
    <w:p>
      <w:pPr>
        <w:spacing w:line="520" w:lineRule="exact"/>
        <w:ind w:firstLine="420"/>
        <w:rPr>
          <w:rFonts w:ascii="宋体"/>
          <w:sz w:val="24"/>
        </w:rPr>
      </w:pPr>
      <w:r>
        <w:rPr>
          <w:rFonts w:hint="eastAsia" w:ascii="宋体" w:hAnsi="宋体"/>
          <w:sz w:val="24"/>
        </w:rPr>
        <w:t>⑴除招标文件中另有规定外，计量单位为我国法定计量单位；投标报价、服务费结算一律使用人民币；</w:t>
      </w:r>
    </w:p>
    <w:p>
      <w:pPr>
        <w:spacing w:line="520" w:lineRule="exact"/>
        <w:ind w:firstLine="424" w:firstLineChars="177"/>
        <w:rPr>
          <w:rFonts w:ascii="宋体"/>
          <w:sz w:val="24"/>
        </w:rPr>
      </w:pPr>
      <w:r>
        <w:rPr>
          <w:rFonts w:hint="eastAsia" w:ascii="宋体" w:hAnsi="宋体"/>
          <w:sz w:val="24"/>
        </w:rPr>
        <w:t>⑵投标人投标前应进行现场勘查，各种风险须充分考虑，请投标人谨慎报价。</w:t>
      </w:r>
      <w:r>
        <w:rPr>
          <w:rFonts w:hint="eastAsia" w:ascii="宋体" w:hAnsi="宋体"/>
          <w:b/>
          <w:bCs/>
          <w:color w:val="000000"/>
          <w:sz w:val="24"/>
        </w:rPr>
        <w:t>中标后不得以任何理由提出变更等理由调整价格。</w:t>
      </w:r>
    </w:p>
    <w:p>
      <w:pPr>
        <w:spacing w:line="520" w:lineRule="exact"/>
        <w:ind w:firstLine="420"/>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spacing w:line="520" w:lineRule="exact"/>
        <w:ind w:firstLine="420"/>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spacing w:line="520" w:lineRule="exact"/>
        <w:ind w:firstLine="420"/>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.投标人在交付保证金后，如出现串标、毁标、中标后不签订合同或在履行合同时出现违约行为，招标人有权没收投标保证金并记入百大集团招投标黑名单；通过资审但放弃投标的请在开标前</w:t>
      </w:r>
      <w:r>
        <w:rPr>
          <w:rFonts w:ascii="宋体" w:hAnsi="宋体"/>
          <w:sz w:val="24"/>
        </w:rPr>
        <w:t>3</w:t>
      </w:r>
      <w:r>
        <w:rPr>
          <w:rFonts w:hint="eastAsia" w:ascii="宋体" w:hAnsi="宋体"/>
          <w:sz w:val="24"/>
        </w:rPr>
        <w:t>日以书面形式告知招标人，否则没收投标保证金。</w:t>
      </w:r>
    </w:p>
    <w:p>
      <w:pPr>
        <w:spacing w:line="52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spacing w:line="520" w:lineRule="exact"/>
        <w:ind w:firstLine="420"/>
        <w:rPr>
          <w:rFonts w:ascii="宋体"/>
          <w:b/>
          <w:sz w:val="24"/>
        </w:rPr>
      </w:pPr>
      <w:r>
        <w:rPr>
          <w:rFonts w:hint="eastAsia" w:ascii="宋体" w:hAnsi="宋体"/>
          <w:b/>
          <w:sz w:val="24"/>
        </w:rPr>
        <w:t>二、投标文件的递交</w:t>
      </w:r>
    </w:p>
    <w:p>
      <w:pPr>
        <w:spacing w:line="52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52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520" w:lineRule="exact"/>
        <w:ind w:firstLine="420"/>
        <w:rPr>
          <w:rFonts w:ascii="宋体"/>
          <w:b/>
          <w:sz w:val="24"/>
        </w:rPr>
      </w:pPr>
      <w:r>
        <w:rPr>
          <w:rFonts w:hint="eastAsia" w:ascii="宋体" w:hAnsi="宋体"/>
          <w:sz w:val="24"/>
        </w:rPr>
        <w:t>⑵投标文件要求：</w:t>
      </w:r>
      <w:r>
        <w:rPr>
          <w:rFonts w:hint="eastAsia" w:ascii="宋体" w:hAnsi="宋体"/>
          <w:b/>
          <w:sz w:val="24"/>
        </w:rPr>
        <w:t>正、副本各一份，PDF电子版一份。</w:t>
      </w:r>
    </w:p>
    <w:p>
      <w:pPr>
        <w:spacing w:line="520" w:lineRule="exact"/>
        <w:ind w:firstLine="420"/>
        <w:rPr>
          <w:rFonts w:ascii="宋体" w:hAnsi="宋体"/>
          <w:sz w:val="24"/>
        </w:rPr>
      </w:pPr>
      <w:r>
        <w:rPr>
          <w:rFonts w:ascii="宋体" w:hAnsi="宋体"/>
          <w:sz w:val="24"/>
        </w:rPr>
        <w:t>2</w:t>
      </w:r>
      <w:r>
        <w:rPr>
          <w:rFonts w:hint="eastAsia" w:ascii="宋体" w:hAnsi="宋体"/>
          <w:sz w:val="24"/>
        </w:rPr>
        <w:t>．投标文件的递交</w:t>
      </w:r>
    </w:p>
    <w:p>
      <w:pPr>
        <w:spacing w:line="520" w:lineRule="exact"/>
        <w:ind w:firstLine="420"/>
        <w:rPr>
          <w:rFonts w:ascii="宋体"/>
          <w:sz w:val="24"/>
        </w:rPr>
      </w:pPr>
      <w:r>
        <w:rPr>
          <w:rFonts w:hint="eastAsia" w:ascii="宋体" w:hAnsi="宋体"/>
          <w:sz w:val="24"/>
        </w:rPr>
        <w:t>⑴投标人应在开标时间前将密封合格的投标文件送达开标现场；招标人对开标时间后送达的投标文件将不予签收。</w:t>
      </w:r>
    </w:p>
    <w:p>
      <w:pPr>
        <w:spacing w:line="520" w:lineRule="exact"/>
        <w:ind w:firstLine="420"/>
        <w:rPr>
          <w:rFonts w:ascii="宋体"/>
          <w:b/>
          <w:sz w:val="24"/>
        </w:rPr>
      </w:pPr>
      <w:r>
        <w:rPr>
          <w:rFonts w:hint="eastAsia" w:ascii="宋体" w:hAnsi="宋体"/>
          <w:b/>
          <w:sz w:val="24"/>
        </w:rPr>
        <w:t>三、开标、评标和定标</w:t>
      </w:r>
    </w:p>
    <w:p>
      <w:pPr>
        <w:spacing w:line="520" w:lineRule="exact"/>
        <w:ind w:firstLine="240" w:firstLineChars="100"/>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.按投标邀请中规定的时间和地点开标，届时请投标人授权一名代表参加商务标的开标，拟派项目负责人作投标陈述并作为答辩代表参加项目答辩。</w:t>
      </w:r>
    </w:p>
    <w:p>
      <w:pPr>
        <w:spacing w:line="520" w:lineRule="exact"/>
        <w:ind w:firstLine="240" w:firstLineChars="100"/>
        <w:rPr>
          <w:rFonts w:ascii="宋体"/>
          <w:sz w:val="24"/>
        </w:rPr>
      </w:pPr>
      <w:r>
        <w:rPr>
          <w:rFonts w:ascii="宋体" w:hAnsi="宋体"/>
          <w:sz w:val="24"/>
        </w:rPr>
        <w:t>2</w:t>
      </w:r>
      <w:r>
        <w:rPr>
          <w:rFonts w:hint="eastAsia" w:ascii="宋体" w:hAnsi="宋体"/>
          <w:sz w:val="24"/>
        </w:rPr>
        <w:t>.开标时，查验投标文件的密封状况，确认无误后拆封唱标。</w:t>
      </w:r>
    </w:p>
    <w:p>
      <w:pPr>
        <w:spacing w:line="520" w:lineRule="exact"/>
        <w:ind w:firstLine="241" w:firstLine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3.各投标人通过资格审查，投标文件响应下表方案的前提下，项目节能率报价最高的投标人为中标候选人。</w:t>
      </w:r>
    </w:p>
    <w:p>
      <w:pPr>
        <w:spacing w:line="520" w:lineRule="exact"/>
        <w:ind w:firstLine="241" w:firstLineChars="1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表：定价方案表</w:t>
      </w:r>
    </w:p>
    <w:tbl>
      <w:tblPr>
        <w:tblStyle w:val="2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938"/>
        <w:gridCol w:w="1912"/>
        <w:gridCol w:w="1521"/>
        <w:gridCol w:w="1588"/>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193"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  容</w:t>
            </w:r>
          </w:p>
        </w:tc>
        <w:tc>
          <w:tcPr>
            <w:tcW w:w="1938"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w:t>
            </w:r>
            <w:r>
              <w:rPr>
                <w:rFonts w:hint="eastAsia" w:asciiTheme="minorEastAsia" w:hAnsiTheme="minorEastAsia" w:eastAsiaTheme="minorEastAsia" w:cstheme="minorEastAsia"/>
                <w:b/>
                <w:bCs/>
                <w:sz w:val="24"/>
                <w:lang w:eastAsia="zh-CN"/>
              </w:rPr>
              <w:t>对比基准</w:t>
            </w:r>
            <w:r>
              <w:rPr>
                <w:rFonts w:hint="eastAsia" w:asciiTheme="minorEastAsia" w:hAnsiTheme="minorEastAsia" w:eastAsiaTheme="minorEastAsia" w:cstheme="minorEastAsia"/>
                <w:b/>
                <w:bCs/>
                <w:sz w:val="24"/>
              </w:rPr>
              <w:t>能耗下降比例（≧）</w:t>
            </w:r>
          </w:p>
        </w:tc>
        <w:tc>
          <w:tcPr>
            <w:tcW w:w="1912" w:type="dxa"/>
          </w:tcPr>
          <w:p>
            <w:pPr>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8年服务期内每年能耗下降量（≧）</w:t>
            </w:r>
          </w:p>
        </w:tc>
        <w:tc>
          <w:tcPr>
            <w:tcW w:w="1521"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下降能耗</w:t>
            </w:r>
          </w:p>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分享比例</w:t>
            </w:r>
          </w:p>
        </w:tc>
        <w:tc>
          <w:tcPr>
            <w:tcW w:w="1588"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政府奖补资金分享比例</w:t>
            </w:r>
          </w:p>
        </w:tc>
        <w:tc>
          <w:tcPr>
            <w:tcW w:w="2162"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节能下降量达不到最低指标，现金补齐下降量差额费用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甲  方</w:t>
            </w:r>
          </w:p>
        </w:tc>
        <w:tc>
          <w:tcPr>
            <w:tcW w:w="1938"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21.5%</w:t>
            </w:r>
          </w:p>
        </w:tc>
        <w:tc>
          <w:tcPr>
            <w:tcW w:w="191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135.8万度</w:t>
            </w:r>
          </w:p>
        </w:tc>
        <w:tc>
          <w:tcPr>
            <w:tcW w:w="1521"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158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216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乙  方</w:t>
            </w:r>
          </w:p>
        </w:tc>
        <w:tc>
          <w:tcPr>
            <w:tcW w:w="1938" w:type="dxa"/>
            <w:vMerge w:val="continue"/>
            <w:vAlign w:val="center"/>
          </w:tcPr>
          <w:p>
            <w:pPr>
              <w:spacing w:line="520" w:lineRule="exact"/>
              <w:jc w:val="center"/>
              <w:rPr>
                <w:rFonts w:asciiTheme="minorEastAsia" w:hAnsiTheme="minorEastAsia" w:eastAsiaTheme="minorEastAsia" w:cstheme="minorEastAsia"/>
                <w:b/>
                <w:bCs/>
                <w:sz w:val="24"/>
              </w:rPr>
            </w:pPr>
          </w:p>
        </w:tc>
        <w:tc>
          <w:tcPr>
            <w:tcW w:w="1912" w:type="dxa"/>
            <w:vMerge w:val="continue"/>
          </w:tcPr>
          <w:p>
            <w:pPr>
              <w:spacing w:line="520" w:lineRule="exact"/>
              <w:jc w:val="center"/>
              <w:rPr>
                <w:rFonts w:asciiTheme="minorEastAsia" w:hAnsiTheme="minorEastAsia" w:eastAsiaTheme="minorEastAsia" w:cstheme="minorEastAsia"/>
                <w:b/>
                <w:bCs/>
                <w:sz w:val="24"/>
              </w:rPr>
            </w:pPr>
          </w:p>
        </w:tc>
        <w:tc>
          <w:tcPr>
            <w:tcW w:w="1521"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158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2162" w:type="dxa"/>
            <w:vMerge w:val="continue"/>
            <w:vAlign w:val="center"/>
          </w:tcPr>
          <w:p>
            <w:pPr>
              <w:spacing w:line="520" w:lineRule="exact"/>
              <w:jc w:val="center"/>
              <w:rPr>
                <w:rFonts w:asciiTheme="minorEastAsia" w:hAnsiTheme="minorEastAsia" w:eastAsiaTheme="minorEastAsia" w:cstheme="minorEastAsia"/>
                <w:b/>
                <w:bCs/>
                <w:sz w:val="24"/>
              </w:rPr>
            </w:pPr>
          </w:p>
        </w:tc>
      </w:tr>
    </w:tbl>
    <w:p>
      <w:pPr>
        <w:spacing w:line="520" w:lineRule="exact"/>
        <w:ind w:firstLine="482" w:firstLineChars="200"/>
        <w:rPr>
          <w:rFonts w:ascii="宋体"/>
          <w:b/>
          <w:bCs/>
          <w:sz w:val="24"/>
        </w:rPr>
      </w:pPr>
      <w:r>
        <w:rPr>
          <w:rFonts w:hint="eastAsia" w:ascii="宋体" w:hAnsi="宋体"/>
          <w:b/>
          <w:bCs/>
          <w:sz w:val="24"/>
        </w:rPr>
        <w:t>5.有下列情况之一的投标文件为废标：</w:t>
      </w:r>
    </w:p>
    <w:p>
      <w:pPr>
        <w:spacing w:line="520" w:lineRule="exact"/>
        <w:ind w:firstLine="480" w:firstLineChars="200"/>
        <w:rPr>
          <w:rFonts w:ascii="宋体"/>
          <w:sz w:val="24"/>
        </w:rPr>
      </w:pPr>
      <w:r>
        <w:rPr>
          <w:rFonts w:hint="eastAsia" w:ascii="宋体" w:hAnsi="宋体"/>
          <w:sz w:val="24"/>
        </w:rPr>
        <w:t>⑴不响应节能分享方案或项目节能率不符合招标文件要求的；</w:t>
      </w:r>
    </w:p>
    <w:p>
      <w:pPr>
        <w:spacing w:line="520" w:lineRule="exact"/>
        <w:ind w:left="218" w:leftChars="104" w:firstLine="259" w:firstLineChars="108"/>
        <w:rPr>
          <w:rFonts w:ascii="宋体"/>
          <w:sz w:val="24"/>
        </w:rPr>
      </w:pPr>
      <w:r>
        <w:rPr>
          <w:rFonts w:hint="eastAsia" w:ascii="宋体" w:hAnsi="宋体"/>
          <w:sz w:val="24"/>
        </w:rPr>
        <w:t>⑵未加盖投标人公章的；</w:t>
      </w:r>
    </w:p>
    <w:p>
      <w:pPr>
        <w:spacing w:line="520" w:lineRule="exact"/>
        <w:ind w:left="218" w:leftChars="104" w:firstLine="259" w:firstLineChars="108"/>
        <w:rPr>
          <w:rFonts w:ascii="宋体" w:hAnsi="宋体"/>
          <w:sz w:val="24"/>
        </w:rPr>
      </w:pPr>
      <w:r>
        <w:rPr>
          <w:rFonts w:hint="eastAsia" w:ascii="宋体" w:hAnsi="宋体"/>
          <w:sz w:val="24"/>
        </w:rPr>
        <w:t>⑶投标文件无法定代表人或委托代理人签字、盖章的；</w:t>
      </w:r>
    </w:p>
    <w:p>
      <w:pPr>
        <w:spacing w:line="520" w:lineRule="exact"/>
        <w:ind w:left="218" w:leftChars="104" w:firstLine="259" w:firstLineChars="108"/>
        <w:rPr>
          <w:rFonts w:ascii="宋体"/>
          <w:sz w:val="24"/>
        </w:rPr>
      </w:pPr>
      <w:r>
        <w:rPr>
          <w:rFonts w:hint="eastAsia" w:ascii="宋体" w:hAnsi="宋体"/>
          <w:sz w:val="24"/>
        </w:rPr>
        <w:t>⑷投标文件字迹潦草、模糊致使无法辨认的；</w:t>
      </w:r>
    </w:p>
    <w:p>
      <w:pPr>
        <w:spacing w:line="520" w:lineRule="exact"/>
        <w:ind w:left="218" w:leftChars="104" w:firstLine="259" w:firstLineChars="108"/>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spacing w:line="520" w:lineRule="exact"/>
        <w:ind w:left="218" w:leftChars="104" w:firstLine="259" w:firstLineChars="108"/>
        <w:rPr>
          <w:rFonts w:ascii="宋体"/>
          <w:sz w:val="24"/>
        </w:rPr>
      </w:pPr>
      <w:r>
        <w:rPr>
          <w:rFonts w:hint="eastAsia" w:ascii="宋体" w:hAnsi="宋体" w:cs="宋体"/>
          <w:sz w:val="24"/>
        </w:rPr>
        <w:t>⑹</w:t>
      </w:r>
      <w:r>
        <w:rPr>
          <w:rFonts w:hint="eastAsia" w:ascii="宋体" w:hAnsi="宋体"/>
          <w:sz w:val="24"/>
        </w:rPr>
        <w:t>投标文件存在缺项、漏项的；</w:t>
      </w:r>
    </w:p>
    <w:p>
      <w:pPr>
        <w:spacing w:line="520" w:lineRule="exact"/>
        <w:ind w:left="218" w:leftChars="104" w:firstLine="259" w:firstLineChars="108"/>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spacing w:line="520" w:lineRule="exact"/>
        <w:ind w:left="218" w:leftChars="104" w:firstLine="259" w:firstLineChars="108"/>
        <w:rPr>
          <w:rFonts w:ascii="宋体"/>
          <w:sz w:val="24"/>
        </w:rPr>
      </w:pPr>
      <w:r>
        <w:rPr>
          <w:rFonts w:hint="eastAsia" w:ascii="宋体" w:hAnsi="宋体" w:cs="宋体"/>
          <w:sz w:val="24"/>
        </w:rPr>
        <w:t>⑻</w:t>
      </w:r>
      <w:r>
        <w:rPr>
          <w:rFonts w:hint="eastAsia" w:ascii="宋体" w:hAnsi="宋体"/>
          <w:sz w:val="24"/>
        </w:rPr>
        <w:t>项目负责人未参加现场答辩的；</w:t>
      </w:r>
    </w:p>
    <w:p>
      <w:pPr>
        <w:spacing w:line="520" w:lineRule="exact"/>
        <w:ind w:firstLine="480" w:firstLineChars="200"/>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widowControl/>
        <w:spacing w:line="520" w:lineRule="exact"/>
        <w:ind w:firstLine="480" w:firstLineChars="200"/>
        <w:jc w:val="left"/>
        <w:rPr>
          <w:rFonts w:ascii="宋体"/>
          <w:b/>
          <w:bCs/>
          <w:sz w:val="24"/>
        </w:rPr>
      </w:pPr>
      <w:r>
        <w:rPr>
          <w:rFonts w:hint="eastAsia" w:ascii="宋体" w:hAnsi="宋体"/>
          <w:sz w:val="24"/>
        </w:rPr>
        <w:t>6．</w:t>
      </w:r>
      <w:r>
        <w:rPr>
          <w:rFonts w:hint="eastAsia" w:ascii="宋体" w:hAnsi="宋体" w:cs="宋体"/>
          <w:b/>
          <w:bCs/>
          <w:sz w:val="24"/>
        </w:rPr>
        <w:t>二次招标</w:t>
      </w:r>
    </w:p>
    <w:p>
      <w:pPr>
        <w:widowControl/>
        <w:spacing w:line="520" w:lineRule="exact"/>
        <w:ind w:firstLine="480" w:firstLineChars="200"/>
        <w:jc w:val="left"/>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spacing w:line="520" w:lineRule="exact"/>
        <w:ind w:firstLine="482" w:firstLineChars="200"/>
        <w:rPr>
          <w:rFonts w:ascii="宋体"/>
          <w:b/>
          <w:bCs/>
          <w:kern w:val="0"/>
          <w:sz w:val="24"/>
        </w:rPr>
      </w:pPr>
      <w:r>
        <w:rPr>
          <w:rFonts w:hint="eastAsia" w:ascii="宋体" w:hAnsi="宋体" w:cs="宋体"/>
          <w:b/>
          <w:bCs/>
          <w:kern w:val="0"/>
          <w:sz w:val="24"/>
        </w:rPr>
        <w:t>6.4招标人依据公开、公平、公正原则进行评定标，投标人若认为本次招标过程中存在有违“三公”原则的，可向监标人书面投诉（只接受书面投诉）；联系地址：合肥市黄山路</w:t>
      </w:r>
      <w:r>
        <w:rPr>
          <w:rFonts w:ascii="宋体" w:hAnsi="宋体" w:cs="宋体"/>
          <w:b/>
          <w:bCs/>
          <w:kern w:val="0"/>
          <w:sz w:val="24"/>
        </w:rPr>
        <w:t>596</w:t>
      </w:r>
      <w:r>
        <w:rPr>
          <w:rFonts w:hint="eastAsia" w:ascii="宋体" w:hAnsi="宋体" w:cs="宋体"/>
          <w:b/>
          <w:bCs/>
          <w:kern w:val="0"/>
          <w:sz w:val="24"/>
        </w:rPr>
        <w:t>号</w:t>
      </w:r>
      <w:r>
        <w:rPr>
          <w:rFonts w:ascii="宋体" w:hAnsi="宋体" w:cs="宋体"/>
          <w:b/>
          <w:bCs/>
          <w:kern w:val="0"/>
          <w:sz w:val="24"/>
        </w:rPr>
        <w:t>A</w:t>
      </w:r>
      <w:r>
        <w:rPr>
          <w:rFonts w:hint="eastAsia" w:ascii="宋体" w:hAnsi="宋体" w:cs="宋体"/>
          <w:b/>
          <w:bCs/>
          <w:kern w:val="0"/>
          <w:sz w:val="24"/>
        </w:rPr>
        <w:t>楼</w:t>
      </w:r>
      <w:r>
        <w:rPr>
          <w:rFonts w:ascii="宋体" w:hAnsi="宋体" w:cs="宋体"/>
          <w:b/>
          <w:bCs/>
          <w:kern w:val="0"/>
          <w:sz w:val="24"/>
        </w:rPr>
        <w:t>1503</w:t>
      </w:r>
      <w:r>
        <w:rPr>
          <w:rFonts w:hint="eastAsia" w:ascii="宋体" w:hAnsi="宋体" w:cs="宋体"/>
          <w:b/>
          <w:bCs/>
          <w:kern w:val="0"/>
          <w:sz w:val="24"/>
        </w:rPr>
        <w:t>室百大集团纪检监察室。</w:t>
      </w:r>
    </w:p>
    <w:p>
      <w:pPr>
        <w:spacing w:line="520" w:lineRule="exact"/>
        <w:ind w:firstLine="241" w:firstLineChars="100"/>
        <w:rPr>
          <w:rFonts w:ascii="宋体"/>
          <w:b/>
          <w:sz w:val="24"/>
        </w:rPr>
      </w:pPr>
      <w:r>
        <w:rPr>
          <w:rFonts w:hint="eastAsia" w:ascii="宋体" w:hAnsi="宋体"/>
          <w:b/>
          <w:sz w:val="24"/>
        </w:rPr>
        <w:t>四、答疑及招标文件的澄清与修改</w:t>
      </w:r>
    </w:p>
    <w:p>
      <w:pPr>
        <w:spacing w:line="520" w:lineRule="exact"/>
        <w:ind w:firstLine="480" w:firstLineChars="200"/>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spacing w:line="520" w:lineRule="exact"/>
        <w:ind w:firstLine="480" w:firstLineChars="200"/>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spacing w:line="520" w:lineRule="exact"/>
        <w:ind w:firstLine="480" w:firstLineChars="200"/>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spacing w:line="520" w:lineRule="exact"/>
        <w:ind w:firstLine="480" w:firstLineChars="200"/>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spacing w:line="520" w:lineRule="exact"/>
        <w:ind w:firstLine="480" w:firstLineChars="200"/>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sz w:val="24"/>
        </w:rPr>
        <w:t>投标人应当按照招标人通知的时间、地点，指派专人进行答疑和澄清。</w:t>
      </w:r>
    </w:p>
    <w:p>
      <w:pPr>
        <w:spacing w:line="520" w:lineRule="exact"/>
        <w:ind w:firstLine="480" w:firstLineChars="200"/>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spacing w:line="520" w:lineRule="exact"/>
        <w:ind w:firstLine="236" w:firstLineChars="98"/>
        <w:rPr>
          <w:rFonts w:ascii="宋体"/>
          <w:b/>
          <w:sz w:val="24"/>
        </w:rPr>
      </w:pPr>
      <w:r>
        <w:rPr>
          <w:rFonts w:hint="eastAsia" w:ascii="宋体" w:hAnsi="宋体"/>
          <w:b/>
          <w:sz w:val="24"/>
        </w:rPr>
        <w:t>五、服务合同的确定</w:t>
      </w:r>
    </w:p>
    <w:p>
      <w:pPr>
        <w:spacing w:line="520" w:lineRule="exact"/>
        <w:ind w:firstLine="480" w:firstLineChars="2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520" w:lineRule="exact"/>
        <w:ind w:firstLine="480" w:firstLineChars="2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520" w:lineRule="exact"/>
        <w:ind w:firstLine="480" w:firstLineChars="200"/>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520" w:lineRule="exact"/>
        <w:ind w:firstLine="236" w:firstLineChars="98"/>
        <w:rPr>
          <w:rFonts w:ascii="宋体"/>
          <w:b/>
          <w:sz w:val="24"/>
        </w:rPr>
      </w:pPr>
      <w:r>
        <w:rPr>
          <w:rFonts w:hint="eastAsia" w:ascii="宋体" w:hAnsi="宋体"/>
          <w:b/>
          <w:sz w:val="24"/>
        </w:rPr>
        <w:t>六、履约保证金</w:t>
      </w:r>
    </w:p>
    <w:p>
      <w:pPr>
        <w:spacing w:line="520" w:lineRule="exact"/>
        <w:ind w:firstLine="480" w:firstLineChars="200"/>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spacing w:line="520" w:lineRule="exact"/>
        <w:ind w:firstLine="480" w:firstLineChars="200"/>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spacing w:line="520" w:lineRule="exact"/>
        <w:ind w:firstLine="480" w:firstLineChars="200"/>
        <w:rPr>
          <w:rFonts w:asci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spacing w:line="440" w:lineRule="exact"/>
        <w:ind w:firstLine="240" w:firstLineChars="100"/>
        <w:rPr>
          <w:rFonts w:ascii="宋体"/>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jc w:val="center"/>
        <w:rPr>
          <w:rFonts w:asciiTheme="minorEastAsia" w:hAnsiTheme="minorEastAsia" w:eastAsiaTheme="minorEastAsia" w:cstheme="minorEastAsia"/>
          <w:b/>
          <w:sz w:val="24"/>
        </w:rPr>
      </w:pPr>
    </w:p>
    <w:p>
      <w:pPr>
        <w:pStyle w:val="2"/>
        <w:numPr>
          <w:ilvl w:val="0"/>
          <w:numId w:val="0"/>
        </w:numPr>
        <w:rPr>
          <w:rFonts w:asciiTheme="minorEastAsia" w:hAnsiTheme="minorEastAsia" w:eastAsiaTheme="minorEastAsia" w:cstheme="minorEastAsia"/>
          <w:sz w:val="28"/>
          <w:szCs w:val="28"/>
        </w:rPr>
      </w:pPr>
      <w:bookmarkStart w:id="7" w:name="_Toc13732419"/>
      <w:bookmarkStart w:id="8" w:name="_Toc491005867"/>
      <w:r>
        <w:rPr>
          <w:rFonts w:hint="eastAsia" w:asciiTheme="minorEastAsia" w:hAnsiTheme="minorEastAsia" w:eastAsiaTheme="minorEastAsia" w:cstheme="minorEastAsia"/>
          <w:sz w:val="28"/>
          <w:szCs w:val="28"/>
        </w:rPr>
        <w:t>第四章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招标需求</w:t>
      </w:r>
      <w:bookmarkEnd w:id="7"/>
      <w:bookmarkEnd w:id="8"/>
    </w:p>
    <w:p>
      <w:pPr>
        <w:spacing w:line="520" w:lineRule="exact"/>
        <w:rPr>
          <w:rFonts w:asciiTheme="minorEastAsia" w:hAnsiTheme="minorEastAsia" w:eastAsiaTheme="minorEastAsia" w:cstheme="minorEastAsia"/>
          <w:sz w:val="24"/>
        </w:rPr>
      </w:pPr>
      <w:bookmarkStart w:id="9" w:name="_Toc486433794"/>
      <w:bookmarkStart w:id="10" w:name="_Toc486253611"/>
      <w:bookmarkStart w:id="11" w:name="_Toc486254518"/>
      <w:bookmarkStart w:id="12" w:name="_Toc484762213"/>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widowControl/>
        <w:spacing w:line="5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鼓楼商厦项目，建筑共8层，地下1层，空调建筑面积3万余㎡，项目中央空调系统为2008年改造建设，共设置2台离心式冷水机组夏季供冷，冬季采用1台热水锅炉进行供暖。输配系统方面大楼冷冻水与冷却水系统均采用2用1备设置，热水系统采用1用1备设置且未设置中间换热器。大楼共设有2组冷却塔，搭配冷水机组使用。中央空调主机设备运行大致时段：大楼供冷时间约为4月底至10月初，供热时间约为11月底至3月初。经营时间：9：00-22:00（重大活动、节假日时间顺延）现有主要用能设备性能参数如下表所示：</w:t>
      </w:r>
    </w:p>
    <w:tbl>
      <w:tblPr>
        <w:tblStyle w:val="27"/>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3853"/>
        <w:gridCol w:w="1561"/>
        <w:gridCol w:w="150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设备名称与规格</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投入使用年份</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数量（台）</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功率（KW）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主机CVHG780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冷却塔RT-750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冷却泵LF-11-80157</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3（变频）</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冷冻泵LF-11-80155</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3（变频）</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锅炉热水泵NBG-125-80-160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空气处理器KCW30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2002</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空气处理器TAD300DH1226N37FGO</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2015</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空气处理器GX120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2012</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空气处理器KCW40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2002</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空气处理器RFP-10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2003</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过渡季节风机KCWX06</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2010</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过渡季节风机HTFC-25</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2010</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水泵变频控制柜55RW+PLC</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变频控制柜55RW2</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变频控制柜75RW2</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燃气真空热水锅炉2K-120</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2009</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风机盘管TC800DB</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2015</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50</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5"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w:t>
            </w:r>
          </w:p>
        </w:tc>
        <w:tc>
          <w:tcPr>
            <w:tcW w:w="3853"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吸顶风机FP-136XD</w:t>
            </w:r>
          </w:p>
        </w:tc>
        <w:tc>
          <w:tcPr>
            <w:tcW w:w="1561"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2010</w:t>
            </w:r>
          </w:p>
        </w:tc>
        <w:tc>
          <w:tcPr>
            <w:tcW w:w="1502"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100</w:t>
            </w:r>
          </w:p>
        </w:tc>
        <w:tc>
          <w:tcPr>
            <w:tcW w:w="1348" w:type="dxa"/>
            <w:vAlign w:val="center"/>
          </w:tcPr>
          <w:p>
            <w:pPr>
              <w:widowControl/>
              <w:spacing w:before="100" w:beforeAutospacing="1" w:after="100" w:afterAutospacing="1"/>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0.145</w:t>
            </w:r>
          </w:p>
        </w:tc>
      </w:tr>
    </w:tbl>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二、系统能耗情况：</w:t>
      </w:r>
    </w:p>
    <w:tbl>
      <w:tblPr>
        <w:tblStyle w:val="27"/>
        <w:tblW w:w="9649" w:type="dxa"/>
        <w:tblInd w:w="0" w:type="dxa"/>
        <w:tblLayout w:type="fixed"/>
        <w:tblCellMar>
          <w:top w:w="0" w:type="dxa"/>
          <w:left w:w="0" w:type="dxa"/>
          <w:bottom w:w="0" w:type="dxa"/>
          <w:right w:w="0" w:type="dxa"/>
        </w:tblCellMar>
      </w:tblPr>
      <w:tblGrid>
        <w:gridCol w:w="1285"/>
        <w:gridCol w:w="991"/>
        <w:gridCol w:w="698"/>
        <w:gridCol w:w="994"/>
        <w:gridCol w:w="993"/>
        <w:gridCol w:w="993"/>
        <w:gridCol w:w="997"/>
        <w:gridCol w:w="995"/>
        <w:gridCol w:w="1703"/>
      </w:tblGrid>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kern w:val="0"/>
                <w:sz w:val="24"/>
              </w:rPr>
              <w:t>百大集团鼓楼名品中心店2018年10月-2019年9月年度基准能耗表</w:t>
            </w:r>
          </w:p>
        </w:tc>
      </w:tr>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电表户号：5100053410</w:t>
            </w:r>
          </w:p>
        </w:tc>
      </w:tr>
      <w:tr>
        <w:tblPrEx>
          <w:tblCellMar>
            <w:top w:w="0" w:type="dxa"/>
            <w:left w:w="0" w:type="dxa"/>
            <w:bottom w:w="0" w:type="dxa"/>
            <w:right w:w="0" w:type="dxa"/>
          </w:tblCellMar>
        </w:tblPrEx>
        <w:trPr>
          <w:trHeight w:val="321" w:hRule="atLeast"/>
        </w:trPr>
        <w:tc>
          <w:tcPr>
            <w:tcW w:w="7948"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历史用电数据</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基准能耗量</w:t>
            </w:r>
          </w:p>
        </w:tc>
      </w:tr>
      <w:tr>
        <w:tblPrEx>
          <w:tblCellMar>
            <w:top w:w="0" w:type="dxa"/>
            <w:left w:w="0" w:type="dxa"/>
            <w:bottom w:w="0" w:type="dxa"/>
            <w:right w:w="0" w:type="dxa"/>
          </w:tblCellMar>
        </w:tblPrEx>
        <w:trPr>
          <w:trHeight w:val="86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月份</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总电量（度）</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综合电价</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总电费（元）</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罍+村（8楼饮食）（度）</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合家福（度）</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家电商场（度））</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公用电量（度）</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公用＋</w:t>
            </w:r>
            <w:r>
              <w:rPr>
                <w:rFonts w:hint="eastAsia" w:asciiTheme="minorEastAsia" w:hAnsiTheme="minorEastAsia" w:eastAsiaTheme="minorEastAsia" w:cstheme="minorEastAsia"/>
                <w:b/>
                <w:kern w:val="0"/>
                <w:sz w:val="24"/>
              </w:rPr>
              <w:br w:type="textWrapping"/>
            </w:r>
            <w:r>
              <w:rPr>
                <w:rFonts w:hint="eastAsia" w:asciiTheme="minorEastAsia" w:hAnsiTheme="minorEastAsia" w:eastAsiaTheme="minorEastAsia" w:cstheme="minorEastAsia"/>
                <w:b/>
                <w:kern w:val="0"/>
                <w:sz w:val="24"/>
              </w:rPr>
              <w:t>合家福＋家电商场（度）</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2019年1月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508860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0.834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424285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18943</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45000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389917</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453860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2019年2月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479580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346048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40000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25149</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38000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376431</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439580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2019年3月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436560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315006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52000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18500</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24160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341900</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384560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2019年4月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459640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0.721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331588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56000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19828</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29010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354802</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403640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2019年5月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544500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0.696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379008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62000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27602</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39210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415688</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482500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2019年6月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672420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0.703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472488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73000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27911</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27930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543579</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599420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2019年7月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695640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0.682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474630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94000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23544</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33630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544466</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601640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2019年8月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860220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561622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95000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28568</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39630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697022</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765220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2019年9月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769140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502158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65000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23635 </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28500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652005</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704140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2019年10月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664080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433566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58000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21142</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30090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554848</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606080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2018年11月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520000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434812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49000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46058</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54450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370492</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471000</w:t>
            </w:r>
          </w:p>
        </w:tc>
      </w:tr>
      <w:tr>
        <w:tblPrEx>
          <w:tblCellMar>
            <w:top w:w="0" w:type="dxa"/>
            <w:left w:w="0" w:type="dxa"/>
            <w:bottom w:w="0" w:type="dxa"/>
            <w:right w:w="0" w:type="dxa"/>
          </w:tblCellMar>
        </w:tblPrEx>
        <w:trPr>
          <w:trHeight w:val="321"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2018年12月</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458660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383521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51000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14922</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45090</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347648</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407660</w:t>
            </w:r>
          </w:p>
        </w:tc>
      </w:tr>
      <w:tr>
        <w:tblPrEx>
          <w:tblCellMar>
            <w:top w:w="0" w:type="dxa"/>
            <w:left w:w="0" w:type="dxa"/>
            <w:bottom w:w="0" w:type="dxa"/>
            <w:right w:w="0" w:type="dxa"/>
          </w:tblCellMar>
        </w:tblPrEx>
        <w:trPr>
          <w:trHeight w:val="330" w:hRule="atLeast"/>
        </w:trPr>
        <w:tc>
          <w:tcPr>
            <w:tcW w:w="12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年合计</w:t>
            </w:r>
          </w:p>
        </w:tc>
        <w:tc>
          <w:tcPr>
            <w:tcW w:w="99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7069300 </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5058732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750000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295802 </w:t>
            </w:r>
          </w:p>
        </w:tc>
        <w:tc>
          <w:tcPr>
            <w:tcW w:w="99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434700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5588798 </w:t>
            </w:r>
          </w:p>
        </w:tc>
        <w:tc>
          <w:tcPr>
            <w:tcW w:w="170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 xml:space="preserve">6319300 </w:t>
            </w:r>
          </w:p>
        </w:tc>
      </w:tr>
    </w:tbl>
    <w:p>
      <w:pPr>
        <w:spacing w:line="440" w:lineRule="exact"/>
        <w:ind w:firstLine="482" w:firstLineChars="200"/>
        <w:rPr>
          <w:rFonts w:asciiTheme="minorEastAsia" w:hAnsiTheme="minorEastAsia" w:eastAsiaTheme="minorEastAsia" w:cstheme="minorEastAsia"/>
          <w:b/>
          <w:bCs/>
          <w:sz w:val="24"/>
        </w:rPr>
      </w:pP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三、项目节能目标及相关说明：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（一）对中央空调系统进行节能改造。包括能耗监测系统搭建、中央空调自控系统、输配系统改造、系统调试；系统的改造费用及节能改造设计咨询费均由投标人承担。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（二）中央空调系统运行环境目标：不得低于现有环境舒适度。夏季环境温度要求室内温度≤26度，梅雨季节室内闷热天也应当开启，冬季环境温度要求一楼商场≥18℃。</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加工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（四）供冷面积调整、功能（用电功率）如有变化：双方协商或选择第三方公司进行计算能耗变化，在结算时予以增减。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（五）营业时间调整变化：因营业时间调整造成</w:t>
      </w:r>
      <w:r>
        <w:rPr>
          <w:rFonts w:hint="eastAsia" w:asciiTheme="minorEastAsia" w:hAnsiTheme="minorEastAsia" w:eastAsiaTheme="minorEastAsia" w:cstheme="minorEastAsia"/>
          <w:kern w:val="0"/>
          <w:sz w:val="24"/>
        </w:rPr>
        <w:t>各用电设备运行时间与改造前不一致的，则按照所影响的设备总功率和调整的时间计算出用电量变化值，在结算时予以</w:t>
      </w:r>
      <w:r>
        <w:rPr>
          <w:rFonts w:hint="eastAsia" w:asciiTheme="minorEastAsia" w:hAnsiTheme="minorEastAsia" w:eastAsiaTheme="minorEastAsia" w:cstheme="minorEastAsia"/>
          <w:sz w:val="24"/>
        </w:rPr>
        <w:t>增减</w:t>
      </w:r>
      <w:r>
        <w:rPr>
          <w:rFonts w:hint="eastAsia" w:asciiTheme="minorEastAsia" w:hAnsiTheme="minorEastAsia" w:eastAsiaTheme="minorEastAsia" w:cstheme="minorEastAsia"/>
          <w:kern w:val="0"/>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（六）专厅照明及8楼餐饮不在改造范围内，专厅照明能耗在基础能耗考核下降范围。改造后的灯光亮度在整个合同期都不低于改造前亮度（改造前后在相同点位采用国标照度仪测试照度值留存）。</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四、中标人必须实施以下改造，并可根据专业知识和现场情况进行其他改造，改造方案、图纸需报招标方审核批准后方可实施：</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1.加装中央空调智能优化控制系统（节能BA系统），提高系统用电效率；</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2.空调水泵增加智能逻辑控制，依据实时负荷动态变流量运行；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3.空调风柜增加变风量控制系统，实现自动启停和精确控温；</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4.空调冷却塔增加智能变频系统，实现自动启停和变风量运行；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5.优化或增加新风换气系统并实现按气温变化和室内空气质量自动运行；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6.采用高光效、高显指、长寿命LED灯具，替换商场公共区域原有灯具。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7.增加智慧照明控制，实现自动灯光控制；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8.配套超市内的灯具全部替换成高光效、高显指、长寿命LED灯具；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9.配套超市内的冷柜和冷库加装精密控制系统实现节能运行；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10.配套超市内的冷柜加装保温Low-e镀膜玻璃门（盖）；</w:t>
      </w:r>
    </w:p>
    <w:p>
      <w:pPr>
        <w:spacing w:line="520" w:lineRule="exact"/>
        <w:ind w:left="479" w:leftChars="2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11.建立整体能源监控管理平台，远程测量各用电设备的用电情况以及监测设备运行状态。</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12.推荐品牌:</w:t>
      </w:r>
    </w:p>
    <w:tbl>
      <w:tblPr>
        <w:tblStyle w:val="28"/>
        <w:tblW w:w="873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19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设备名称</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元器件</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西门子、施耐德、ABB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能耗计量装置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天康、E+T、华斯源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能耗传输装置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卡林、艾克、华斯源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变频器</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西门子、ABB、丹佛斯</w:t>
            </w:r>
          </w:p>
        </w:tc>
      </w:tr>
    </w:tbl>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五、服务周期要求：</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2.改造实施：须在签订合同后的60个工作日完成并通过招标方验收；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3.服务周期：自完工验收后的次月1日开始，至分享96期节能收益后合同终止（共8年）。</w:t>
      </w: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spacing w:line="360" w:lineRule="auto"/>
        <w:ind w:firstLine="420"/>
        <w:rPr>
          <w:rFonts w:asciiTheme="majorEastAsia" w:hAnsiTheme="majorEastAsia" w:eastAsiaTheme="majorEastAsia"/>
          <w:b/>
          <w:bCs/>
          <w:szCs w:val="21"/>
        </w:rPr>
      </w:pPr>
    </w:p>
    <w:p>
      <w:pPr>
        <w:pStyle w:val="2"/>
        <w:numPr>
          <w:ilvl w:val="0"/>
          <w:numId w:val="0"/>
        </w:numPr>
        <w:rPr>
          <w:color w:val="auto"/>
        </w:rPr>
      </w:pPr>
      <w:bookmarkStart w:id="14" w:name="_Toc491005868"/>
      <w:bookmarkStart w:id="15" w:name="_Toc13732426"/>
      <w:r>
        <w:rPr>
          <w:rFonts w:hint="eastAsia" w:asciiTheme="majorEastAsia" w:hAnsiTheme="majorEastAsia" w:eastAsiaTheme="majorEastAsia" w:cstheme="majorEastAsia"/>
          <w:color w:val="auto"/>
          <w:sz w:val="28"/>
          <w:szCs w:val="28"/>
        </w:rPr>
        <w:t>第五章</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合同</w:t>
      </w:r>
      <w:bookmarkEnd w:id="14"/>
      <w:bookmarkEnd w:id="15"/>
      <w:r>
        <w:rPr>
          <w:rFonts w:hint="eastAsia" w:asciiTheme="majorEastAsia" w:hAnsiTheme="majorEastAsia" w:eastAsiaTheme="majorEastAsia" w:cstheme="majorEastAsia"/>
          <w:color w:val="auto"/>
          <w:sz w:val="28"/>
          <w:szCs w:val="28"/>
        </w:rPr>
        <w:t>能源管理项目合同范本</w:t>
      </w:r>
    </w:p>
    <w:p/>
    <w:tbl>
      <w:tblPr>
        <w:tblStyle w:val="27"/>
        <w:tblW w:w="0" w:type="auto"/>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w:t>
      </w:r>
      <w:r>
        <w:rPr>
          <w:rFonts w:hint="eastAsia" w:asciiTheme="minorEastAsia" w:hAnsiTheme="minorEastAsia" w:eastAsiaTheme="minorEastAsia" w:cstheme="minorEastAsia"/>
          <w:kern w:val="0"/>
          <w:sz w:val="24"/>
          <w:u w:val="single"/>
          <w:lang w:eastAsia="zh-CN"/>
        </w:rPr>
        <w:t>合肥鼓楼商厦有限责任公司</w:t>
      </w:r>
      <w:r>
        <w:rPr>
          <w:rFonts w:hint="eastAsia" w:asciiTheme="minorEastAsia" w:hAnsiTheme="minorEastAsia" w:eastAsiaTheme="minorEastAsia" w:cstheme="minorEastAsia"/>
          <w:kern w:val="0"/>
          <w:sz w:val="24"/>
        </w:rPr>
        <w:t>进行合同能源管理服务（以下简称“项目”或“本项目”）进行“效益分享型”专项节能改造及运行策略周期性服务，双方经平等协商，在真实、充分地表达各自意愿的基础上，根据《中华人民共和国合同法》及其他相关法律法规的规定，达成如下协议，由双方共同遵守。</w:t>
      </w:r>
    </w:p>
    <w:p>
      <w:pPr>
        <w:autoSpaceDE w:val="0"/>
        <w:autoSpaceDN w:val="0"/>
        <w:adjustRightInd w:val="0"/>
        <w:spacing w:line="500" w:lineRule="exact"/>
        <w:jc w:val="center"/>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asciiTheme="minorEastAsia" w:hAnsiTheme="minorEastAsia" w:eastAsiaTheme="minorEastAsia" w:cstheme="minorEastAsia"/>
          <w:b/>
          <w:kern w:val="0"/>
          <w:sz w:val="24"/>
        </w:rPr>
        <w:br w:type="textWrapping"/>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合肥鼓楼商厦有限责任公司</w:t>
      </w:r>
      <w:r>
        <w:rPr>
          <w:rFonts w:hint="eastAsia" w:asciiTheme="minorEastAsia" w:hAnsiTheme="minorEastAsia" w:eastAsiaTheme="minorEastAsia" w:cstheme="minorEastAsia"/>
          <w:sz w:val="24"/>
        </w:rPr>
        <w:t>投资进行综合节能改造，并派遣专业管理人员参与新投入节能设备和与节能设备相关的用电设备的日常运行管理工作，并提供节能设备日常保养维修服务，以及在合同期内节能设备的后期升级和再投入改造等，由此产生的合同能源管理效益（包括但不限于节省的电费、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节能设备拥有所有权；甲方对乙方所有投入的节能设备拥有使用权。合同期限届满且甲方付清全部款项后，乙方将节能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合肥鼓楼商厦有限责任公司</w:t>
      </w:r>
      <w:r>
        <w:rPr>
          <w:rFonts w:hint="eastAsia" w:asciiTheme="minorEastAsia" w:hAnsiTheme="minorEastAsia" w:eastAsiaTheme="minorEastAsia" w:cstheme="minorEastAsia"/>
          <w:sz w:val="24"/>
        </w:rPr>
        <w:t>用电设备实施节能改造而由乙方所提供的设备设施。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1.3用电设备：是指本合同所涉及的除乙方提供的节能设备之外所有权（或使用权）属于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合肥鼓楼商厦有限责任公司</w:t>
      </w:r>
      <w:r>
        <w:rPr>
          <w:rFonts w:hint="eastAsia" w:asciiTheme="minorEastAsia" w:hAnsiTheme="minorEastAsia" w:eastAsiaTheme="minorEastAsia" w:cstheme="minorEastAsia"/>
          <w:sz w:val="24"/>
        </w:rPr>
        <w:t>的所有用电设备。</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边界条件：在达到项目实施的节能目标的要求下，必须满足的临界条件。</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节能指标：量化评价项目节能效果的指标，如节能量和节省的电费等。</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本项目的建设期为</w:t>
      </w:r>
      <w:r>
        <w:rPr>
          <w:rFonts w:hint="eastAsia" w:asciiTheme="minorEastAsia" w:hAnsiTheme="minorEastAsia" w:eastAsiaTheme="minorEastAsia" w:cstheme="minorEastAsia"/>
          <w:b/>
          <w:kern w:val="0"/>
          <w:sz w:val="24"/>
        </w:rPr>
        <w:t>60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本项目节能效益分享期的起始日为本项目验收合格的次月1日起,效益分享期为8年，双方分享96期节能效益后，本合同终止。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项目实施方案由乙方制定并报甲方备案（含施工图），如无特殊原因，乙方将依照既定方案实施本项目。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sz w:val="24"/>
        </w:rPr>
        <w:t>环境标准：不得低于现有环境舒适度。夏季环境温度要求室内平均温度≤26度，梅雨季节室内闷热天也应当开启，冬季环境温度要求室内平均温度≥18℃。</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对原有灯具的更换，外形定制样品须经甲方审核通过后进行更换，改造后的灯光亮度在整个合同期都不低于改造前亮度（改造前后在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3.5 </w:t>
      </w:r>
      <w:r>
        <w:rPr>
          <w:rFonts w:hint="eastAsia" w:asciiTheme="minorEastAsia" w:hAnsiTheme="minorEastAsia" w:eastAsiaTheme="minorEastAsia" w:cstheme="minorEastAsia"/>
          <w:sz w:val="24"/>
        </w:rPr>
        <w:t>乙方应在本项目安装完毕前的七个工作日告知甲方完工日期，工程完工后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在十个工作日内</w:t>
      </w:r>
      <w:r>
        <w:rPr>
          <w:rFonts w:hint="eastAsia" w:asciiTheme="minorEastAsia" w:hAnsiTheme="minorEastAsia" w:eastAsiaTheme="minorEastAsia" w:cstheme="minorEastAsia"/>
          <w:kern w:val="0"/>
          <w:sz w:val="24"/>
        </w:rPr>
        <w:t>按照附件8的规定进行项目验收，并签署确认验收文件，由于甲方原因造成改造完工后15天仍未验收的，视同验收合格。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4.1 </w:t>
      </w:r>
      <w:r>
        <w:rPr>
          <w:rFonts w:hint="eastAsia" w:asciiTheme="minorEastAsia" w:hAnsiTheme="minorEastAsia" w:eastAsiaTheme="minorEastAsia" w:cstheme="minorEastAsia"/>
          <w:sz w:val="24"/>
        </w:rPr>
        <w:t>以改造前最近一个年度的“</w:t>
      </w:r>
      <w:r>
        <w:rPr>
          <w:rFonts w:hint="eastAsia" w:asciiTheme="minorEastAsia" w:hAnsiTheme="minorEastAsia" w:eastAsiaTheme="minorEastAsia" w:cstheme="minorEastAsia"/>
          <w:kern w:val="0"/>
          <w:sz w:val="24"/>
        </w:rPr>
        <w:t>公用电量＋合家福电量＋家电商场电量”之和（6319300度</w:t>
      </w:r>
      <w:r>
        <w:rPr>
          <w:rFonts w:hint="eastAsia" w:asciiTheme="minorEastAsia" w:hAnsiTheme="minorEastAsia" w:eastAsiaTheme="minorEastAsia" w:cstheme="minorEastAsia"/>
          <w:sz w:val="24"/>
        </w:rPr>
        <w:t>）为</w:t>
      </w:r>
      <w:r>
        <w:rPr>
          <w:rFonts w:hint="eastAsia" w:asciiTheme="minorEastAsia" w:hAnsiTheme="minorEastAsia" w:eastAsiaTheme="minorEastAsia" w:cstheme="minorEastAsia"/>
          <w:kern w:val="0"/>
          <w:sz w:val="24"/>
        </w:rPr>
        <w:t>项目基准能耗</w:t>
      </w:r>
      <w:r>
        <w:rPr>
          <w:rFonts w:hint="eastAsia" w:asciiTheme="minorEastAsia" w:hAnsiTheme="minorEastAsia" w:eastAsiaTheme="minorEastAsia" w:cstheme="minorEastAsia"/>
          <w:sz w:val="24"/>
        </w:rPr>
        <w:t>，每年至少节省电量135.8万度（燃气用量不做考核），每月结算时凭供电局电费单（刨除8楼餐饮租户）直接对比基准能耗月计算节能量。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 在</w:t>
      </w:r>
      <w:r>
        <w:rPr>
          <w:rFonts w:hint="eastAsia" w:asciiTheme="minorEastAsia" w:hAnsiTheme="minorEastAsia" w:eastAsiaTheme="minorEastAsia" w:cstheme="minorEastAsia"/>
          <w:b/>
          <w:kern w:val="0"/>
          <w:sz w:val="24"/>
        </w:rPr>
        <w:t>8</w:t>
      </w:r>
      <w:r>
        <w:rPr>
          <w:rFonts w:hint="eastAsia" w:asciiTheme="minorEastAsia" w:hAnsiTheme="minorEastAsia" w:eastAsiaTheme="minorEastAsia" w:cstheme="minorEastAsia"/>
          <w:kern w:val="0"/>
          <w:sz w:val="24"/>
        </w:rPr>
        <w:t>年的效益分享期内，乙方每年分享</w:t>
      </w:r>
      <w:r>
        <w:rPr>
          <w:rFonts w:hint="eastAsia" w:asciiTheme="minorEastAsia" w:hAnsiTheme="minorEastAsia" w:eastAsiaTheme="minorEastAsia" w:cstheme="minorEastAsia"/>
          <w:b/>
          <w:kern w:val="0"/>
          <w:sz w:val="24"/>
        </w:rPr>
        <w:t xml:space="preserve"> 70</w:t>
      </w:r>
      <w:r>
        <w:rPr>
          <w:rFonts w:hint="eastAsia" w:asciiTheme="minorEastAsia" w:hAnsiTheme="minorEastAsia" w:eastAsiaTheme="minorEastAsia" w:cstheme="minorEastAsia"/>
          <w:kern w:val="0"/>
          <w:sz w:val="24"/>
        </w:rPr>
        <w:t>％的项目节能效益和政府相关节能奖补资金。</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 在</w:t>
      </w:r>
      <w:r>
        <w:rPr>
          <w:rFonts w:hint="eastAsia" w:asciiTheme="minorEastAsia" w:hAnsiTheme="minorEastAsia" w:eastAsiaTheme="minorEastAsia" w:cstheme="minorEastAsia"/>
          <w:b/>
          <w:kern w:val="0"/>
          <w:sz w:val="24"/>
        </w:rPr>
        <w:t>8</w:t>
      </w:r>
      <w:r>
        <w:rPr>
          <w:rFonts w:hint="eastAsia" w:asciiTheme="minorEastAsia" w:hAnsiTheme="minorEastAsia" w:eastAsiaTheme="minorEastAsia" w:cstheme="minorEastAsia"/>
          <w:kern w:val="0"/>
          <w:sz w:val="24"/>
        </w:rPr>
        <w:t>年的效益分享其内，甲方每年分享</w:t>
      </w:r>
      <w:r>
        <w:rPr>
          <w:rFonts w:hint="eastAsia" w:asciiTheme="minorEastAsia" w:hAnsiTheme="minorEastAsia" w:eastAsiaTheme="minorEastAsia" w:cstheme="minorEastAsia"/>
          <w:b/>
          <w:kern w:val="0"/>
          <w:sz w:val="24"/>
        </w:rPr>
        <w:t xml:space="preserve"> 30</w:t>
      </w:r>
      <w:r>
        <w:rPr>
          <w:rFonts w:hint="eastAsia" w:asciiTheme="minorEastAsia" w:hAnsiTheme="minorEastAsia" w:eastAsiaTheme="minorEastAsia" w:cstheme="minorEastAsia"/>
          <w:kern w:val="0"/>
          <w:sz w:val="24"/>
        </w:rPr>
        <w:t xml:space="preserve">％的项目节能效益和政府相关节能奖补资金，如甲方实际分享的节能效益不足合同承诺节能效益的 </w:t>
      </w:r>
      <w:r>
        <w:rPr>
          <w:rFonts w:hint="eastAsia" w:asciiTheme="minorEastAsia" w:hAnsiTheme="minorEastAsia" w:eastAsiaTheme="minorEastAsia" w:cstheme="minorEastAsia"/>
          <w:b/>
          <w:kern w:val="0"/>
          <w:sz w:val="24"/>
        </w:rPr>
        <w:t>30</w:t>
      </w:r>
      <w:r>
        <w:rPr>
          <w:rFonts w:hint="eastAsia" w:asciiTheme="minorEastAsia" w:hAnsiTheme="minorEastAsia" w:eastAsiaTheme="minorEastAsia" w:cstheme="minorEastAsia"/>
          <w:kern w:val="0"/>
          <w:sz w:val="24"/>
        </w:rPr>
        <w:t>％(即每年</w:t>
      </w:r>
      <w:r>
        <w:rPr>
          <w:rFonts w:hint="eastAsia" w:asciiTheme="minorEastAsia" w:hAnsiTheme="minorEastAsia" w:eastAsiaTheme="minorEastAsia" w:cstheme="minorEastAsia"/>
          <w:b/>
          <w:kern w:val="0"/>
          <w:sz w:val="24"/>
          <w:u w:val="single"/>
        </w:rPr>
        <w:t xml:space="preserve">  40.76  </w:t>
      </w:r>
      <w:r>
        <w:rPr>
          <w:rFonts w:hint="eastAsia" w:asciiTheme="minorEastAsia" w:hAnsiTheme="minorEastAsia" w:eastAsiaTheme="minorEastAsia" w:cstheme="minorEastAsia"/>
          <w:kern w:val="0"/>
          <w:sz w:val="24"/>
        </w:rPr>
        <w:t>万度电量对应的电费)，不足部分由乙方补足，详见</w:t>
      </w:r>
      <w:r>
        <w:rPr>
          <w:rFonts w:hint="eastAsia" w:asciiTheme="minorEastAsia" w:hAnsiTheme="minorEastAsia" w:eastAsiaTheme="minorEastAsia" w:cstheme="minorEastAsia"/>
          <w:b/>
          <w:kern w:val="0"/>
          <w:sz w:val="24"/>
        </w:rPr>
        <w:t>《附件11 其他约定》</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w:t>
      </w:r>
      <w:r>
        <w:rPr>
          <w:rFonts w:hint="eastAsia" w:asciiTheme="minorEastAsia" w:hAnsiTheme="minorEastAsia" w:eastAsiaTheme="minorEastAsia" w:cstheme="minorEastAsia"/>
          <w:b/>
          <w:kern w:val="0"/>
          <w:sz w:val="24"/>
        </w:rPr>
        <w:t>附件3</w:t>
      </w:r>
      <w:r>
        <w:rPr>
          <w:rFonts w:hint="eastAsia" w:asciiTheme="minorEastAsia" w:hAnsiTheme="minorEastAsia" w:eastAsiaTheme="minorEastAsia" w:cstheme="minorEastAsia"/>
          <w:kern w:val="0"/>
          <w:sz w:val="24"/>
        </w:rPr>
        <w:t xml:space="preserve">规定的程序和方式共同对项目节能量进行测量和确认，并按照 </w:t>
      </w:r>
      <w:r>
        <w:rPr>
          <w:rFonts w:hint="eastAsia" w:asciiTheme="minorEastAsia" w:hAnsiTheme="minorEastAsia" w:eastAsiaTheme="minorEastAsia" w:cstheme="minorEastAsia"/>
          <w:b/>
          <w:kern w:val="0"/>
          <w:sz w:val="24"/>
        </w:rPr>
        <w:t xml:space="preserve">附件4 </w:t>
      </w:r>
      <w:r>
        <w:rPr>
          <w:rFonts w:hint="eastAsia" w:asciiTheme="minorEastAsia" w:hAnsiTheme="minorEastAsia" w:eastAsiaTheme="minorEastAsia" w:cstheme="minorEastAsia"/>
          <w:kern w:val="0"/>
          <w:sz w:val="24"/>
        </w:rPr>
        <w:t>的格式填制和签发节能量确认单及付款申请表。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节能效益由甲方按照第4.2条的规定分期（每月一次）支付给乙方，具体支付方式如下：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(a)在相应的节约电费确认后，乙方应当根据确认的节约电费向甲方发出书面的付款申请表，叙明付款的金额、方式以及对应的节约电费，并提供增值税普通发票（合同能源管理项目0税率发票）。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(b)甲方应当在收到上述付款请求之后的10个工作日内，将相应的款项支付给乙方，乙方须在甲方付款前先行提供该笔款项的发票。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rPr>
        <w:t>奖补资金分享：双方须积极配合申报政府奖补资金（按照国家政策规定是奖励节能改造投资方，故申报奖补单位主体为乙方），政府奖补资金将在到乙方账后10个工作日内，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甲乙双方按3:7分享，在10个工作日内转至甲方专用账户，逾期将从次月节能分享资金中扣除。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甲方应当根据乙方的合理要求，及时提供节能项目设计和实施所必须的资料、图纸和数据，并确保其真实、准确、完整。并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提供节能项目实施所需要的现场条件和必要的协助，包括提供施工场地、材料存放空间、以及乙方管理人员的工作空间等。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5.3 </w:t>
      </w:r>
      <w:r>
        <w:rPr>
          <w:rFonts w:hint="eastAsia" w:asciiTheme="minorEastAsia" w:hAnsiTheme="minorEastAsia" w:eastAsiaTheme="minorEastAsia" w:cstheme="minorEastAsia"/>
          <w:bCs/>
          <w:sz w:val="24"/>
        </w:rPr>
        <w:t>指派具有资质的操作人员参加培训</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 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甲方应保证与项目相关的用电设备、设施连续稳定运行且运行状况良好，非因乙方原因造成的原甲方设备发生故障或老化破损，甲方应及时维修或更换；</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5.6 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5.8 甲方应当将与项目有关的其内部规章制度和特殊安全规定要求及时提前告知乙方、乙方的工作人员或其聘请的第三方，并根据需要提供相应的防护用品。</w:t>
      </w:r>
    </w:p>
    <w:p>
      <w:pPr>
        <w:autoSpaceDE w:val="0"/>
        <w:autoSpaceDN w:val="0"/>
        <w:adjustRightInd w:val="0"/>
        <w:spacing w:line="500" w:lineRule="exact"/>
        <w:ind w:right="-20"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5.9 甲方应当协助乙方（乙方作为节能改造投资方和奖补政策申报方）向有关政府机构或者组织申请与项目相关的补助、奖励或其他可适用的优惠政策；此部分补助、奖励或优惠在8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ind w:right="-20" w:firstLine="420"/>
        <w:rPr>
          <w:rFonts w:hint="eastAsia"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乙方应当按照附件的项目方案文件规定的技术标准和要求以及本合同的规定，自行或者委托合格的第三方按时完成本项目的方案设计、建设、运营以及维护,费用由乙方承担。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乙方应当确保其工作人员或其聘请的第三方严格遵守甲方有关施工场地安全和卫生等方面的规定，并听从甲方合理的现场指挥，</w:t>
      </w:r>
      <w:r>
        <w:rPr>
          <w:rFonts w:hint="eastAsia" w:asciiTheme="minorEastAsia" w:hAnsiTheme="minorEastAsia" w:eastAsiaTheme="minorEastAsia" w:cstheme="minorEastAsia"/>
          <w:sz w:val="24"/>
        </w:rPr>
        <w:t>乙方应当依照相关规定，对甲方指派的操作人员进行适当的培训，以使其能承担相应的操作和设施维护要求</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 乙方应当确保其工作人员或其聘请的第三方人员在项目实施、运行的整个过程中遵守相关法律法规，以及甲方的相关规章制度，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在接到甲方关于项目运行故障的通知之后，乙方应按照</w:t>
      </w:r>
      <w:r>
        <w:rPr>
          <w:rFonts w:hint="eastAsia" w:asciiTheme="minorEastAsia" w:hAnsiTheme="minorEastAsia" w:eastAsiaTheme="minorEastAsia" w:cstheme="minorEastAsia"/>
          <w:b/>
          <w:sz w:val="24"/>
        </w:rPr>
        <w:t>附件8</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设备故障处理约定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的规定及时完成相关维修或设备更换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6.5 </w:t>
      </w:r>
      <w:r>
        <w:rPr>
          <w:rFonts w:hint="eastAsia" w:asciiTheme="minorEastAsia" w:hAnsiTheme="minorEastAsia" w:eastAsiaTheme="minorEastAsia" w:cstheme="minorEastAsia"/>
          <w:bCs/>
          <w:sz w:val="24"/>
        </w:rPr>
        <w:t>乙方应当对甲方指派的操作人员进行适当的培训，以使其能承担相应的操作和设施维护要求。</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6.7 </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甲方提供</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sz w:val="24"/>
        </w:rPr>
        <w:t>增减设备负荷表》，乙方负责复核，经双方签字确认后，准确性互不追责。</w:t>
      </w:r>
    </w:p>
    <w:p>
      <w:pPr>
        <w:pStyle w:val="9"/>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甲方用电设备的设备名称、规格、数量、用电功率、用电时间等以</w:t>
      </w:r>
      <w:r>
        <w:rPr>
          <w:rFonts w:hint="eastAsia" w:asciiTheme="minorEastAsia" w:hAnsiTheme="minorEastAsia" w:eastAsiaTheme="minorEastAsia" w:cstheme="minorEastAsia"/>
          <w:b/>
          <w:sz w:val="24"/>
        </w:rPr>
        <w:t>附件</w:t>
      </w:r>
      <w:r>
        <w:rPr>
          <w:rFonts w:hint="eastAsia" w:asciiTheme="minorEastAsia" w:hAnsiTheme="minorEastAsia" w:eastAsiaTheme="minorEastAsia" w:cstheme="minorEastAsia"/>
          <w:b/>
          <w:kern w:val="0"/>
          <w:sz w:val="24"/>
        </w:rPr>
        <w:t>9</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登记情况为准，</w:t>
      </w:r>
      <w:r>
        <w:rPr>
          <w:rFonts w:hint="eastAsia" w:asciiTheme="minorEastAsia" w:hAnsiTheme="minorEastAsia" w:eastAsiaTheme="minorEastAsia" w:cstheme="minorEastAsia"/>
          <w:spacing w:val="-8"/>
          <w:sz w:val="24"/>
        </w:rPr>
        <w:t>在本项目运行期间，甲方拆除、更换、更改、添加或移动现有设备、设施</w:t>
      </w:r>
      <w:r>
        <w:rPr>
          <w:rFonts w:hint="eastAsia" w:asciiTheme="minorEastAsia" w:hAnsiTheme="minorEastAsia" w:eastAsiaTheme="minorEastAsia" w:cstheme="minorEastAsia"/>
          <w:sz w:val="24"/>
        </w:rPr>
        <w:t>场地，以致对本项目的用电量和节能效益产生影响，甲方应提前以公文、邮件、微信等方式告知乙方，具体增加或减少负荷的大小、运行时间、用电量变量的计算等方面的事项，均以双方协商或选择第三方公司计算能耗变化确认后的书面文件作为增减负荷的依据，并填写《</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sz w:val="24"/>
        </w:rPr>
        <w:t>增减设备负荷表》由甲、乙双方代表签字确认。由此造成乙方较大损失的，双方协商解决。</w:t>
      </w:r>
    </w:p>
    <w:p>
      <w:pPr>
        <w:pStyle w:val="9"/>
        <w:spacing w:line="500" w:lineRule="exact"/>
        <w:rPr>
          <w:rFonts w:asciiTheme="minorEastAsia" w:hAnsiTheme="minorEastAsia" w:eastAsiaTheme="minorEastAsia" w:cstheme="minorEastAsia"/>
          <w:sz w:val="24"/>
        </w:rPr>
      </w:pPr>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8.l </w:t>
      </w:r>
      <w:r>
        <w:rPr>
          <w:rFonts w:hint="eastAsia" w:asciiTheme="minorEastAsia" w:hAnsiTheme="minorEastAsia" w:eastAsiaTheme="minorEastAsia" w:cstheme="minorEastAsia"/>
          <w:spacing w:val="28"/>
          <w:sz w:val="24"/>
        </w:rPr>
        <w:t>在本合同到期并且甲方付清本合同项下全部款项之前，</w:t>
      </w:r>
      <w:r>
        <w:rPr>
          <w:rFonts w:hint="eastAsia" w:asciiTheme="minorEastAsia" w:hAnsiTheme="minorEastAsia" w:eastAsiaTheme="minorEastAsia" w:cstheme="minorEastAsia"/>
          <w:kern w:val="0"/>
          <w:sz w:val="24"/>
        </w:rPr>
        <w:t>本项目下的所有由乙方采购并安装的设备、设施和仪器等财产（简称“项目财产”）的所有权属于乙方。合同期限届满且甲方付清全部款项后，乙方应将本项目财产的所有权及项目全部设计资料无偿转让给甲方并应保证项目设备设施在转让时运行正常。项目财产清单见</w:t>
      </w:r>
      <w:r>
        <w:rPr>
          <w:rFonts w:hint="eastAsia" w:asciiTheme="minorEastAsia" w:hAnsiTheme="minorEastAsia" w:eastAsiaTheme="minorEastAsia" w:cstheme="minorEastAsia"/>
          <w:b/>
          <w:kern w:val="0"/>
          <w:sz w:val="24"/>
        </w:rPr>
        <w:t>附件5</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项目财产的所有权由乙方移交给甲方时，应同时移交本项目继续运行所必需的资料。如该项目财产的继续使用需要乙方的相关技术和相关知识产权的授权，乙方应当无偿向甲方提供该等授权。</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 合同到期如甲方需要乙方继续提供服务，则在合同有效期满前，双方可友好协商继续为本项目签定合同能源管理服务事宜。</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甲方违约和相关赔偿：</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9.1.1在本合同生效后、乙方开始施工至竣工验收之前，如果甲方无故解除本合同，则甲方应赔偿乙方为此项目所支出的设备购置费、运费、安装费、设计费等实际投入的损失。</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合同执行期间，乙方按时足额收取节能效益分享款是乙方持续经营的必要条件，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96-M）×R/M，其中W为违约金总额，M为已履行付款期数，R为已支付乙方的分享款总额，（96-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月平均分享金额*48个月作为最低补偿额，项目关停前如合同履行付款超过48个月的不再补偿。因此甲方补偿乙方损失的实际金额为：S=（48-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96-M）×N/M，其中Z为违约金总额，M为双方已执行分享的总期数，N为甲方所有分享款总额，（96-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11.6 本合同的解除不影响任何一方根据本合同或者相关的法律法规向对方请求赔偿的权利，也不影响在合同解除前甲方应尽的付款义务的履行。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受损害或伤害的一方对损害或伤害的发生也有过错时，应当根据其过错程度承担相应的责任，并适当减轻造成损害或伤害一方的责任。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 乙方在履行合同时对自身人员人身和设备的安全性负全责。因乙方提供的产品造成安全事故的，乙方应在事故处理完毕叁个工作日内赔偿甲方的实际损失。</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第14节 保密条款</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双方确定因履行本合同应遵守的保密义务如下：</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14.1甲方保密义务：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14.1.1保密内容（包括技术信息和经营信息）：乙方的技术信息和合同条款。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14.1.2负有保密义务的人员范围：甲方全体人员。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14.1.4泄密责任：依法追究法律责任。</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14.2乙方保密义务：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14.2.1保密内容（包括技术信息和经营信息）：甲方的经营信息和合同条款。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14.2.2负有保密义务的人员范围：乙方全体人员。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14.2.4泄密责任：依法追究法律责任。</w:t>
      </w: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第15节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480" w:firstLineChars="200"/>
        <w:jc w:val="left"/>
        <w:rPr>
          <w:rFonts w:asciiTheme="minorEastAsia" w:hAnsiTheme="minorEastAsia" w:eastAsiaTheme="minorEastAsia" w:cstheme="minorEastAsia"/>
          <w:bCs/>
          <w:sz w:val="24"/>
        </w:rPr>
      </w:pPr>
    </w:p>
    <w:p>
      <w:pPr>
        <w:spacing w:line="500" w:lineRule="exact"/>
        <w:ind w:firstLine="4578" w:firstLineChars="1900"/>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 xml:space="preserve">第16节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第17节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w:t>
      </w:r>
      <w:r>
        <w:rPr>
          <w:rFonts w:hint="eastAsia" w:asciiTheme="minorEastAsia" w:hAnsiTheme="minorEastAsia" w:eastAsiaTheme="minorEastAsia" w:cstheme="minorEastAsia"/>
          <w:color w:val="FF0000"/>
          <w:kern w:val="0"/>
          <w:sz w:val="24"/>
        </w:rPr>
        <w:t>、运行、监测</w:t>
      </w:r>
      <w:r>
        <w:rPr>
          <w:rFonts w:hint="eastAsia" w:asciiTheme="minorEastAsia" w:hAnsiTheme="minorEastAsia" w:eastAsiaTheme="minorEastAsia" w:cstheme="minorEastAsia"/>
          <w:kern w:val="0"/>
          <w:sz w:val="24"/>
        </w:rPr>
        <w:t>的所有费用，包括项目所需设备、技术购置、更换、维保等费用。</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第18节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本合同必要的附件包括以下9项：</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   项目内容和边界条件</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附件2  能耗基准、项目节能目标预测及电网电价调整方式</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附件3、节能量测量及节能效益分成计算</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附件4.节能量确认单及付款申请表</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附件5. 项目验收程序和标准</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附件6. 施工条件约定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附件7. 项目投资分担方案</w:t>
      </w:r>
    </w:p>
    <w:p>
      <w:pPr>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 xml:space="preserve">附件8. </w:t>
      </w:r>
      <w:r>
        <w:rPr>
          <w:rFonts w:hint="eastAsia" w:asciiTheme="minorEastAsia" w:hAnsiTheme="minorEastAsia" w:eastAsiaTheme="minorEastAsia" w:cstheme="minorEastAsia"/>
          <w:bCs/>
          <w:kern w:val="0"/>
          <w:sz w:val="24"/>
        </w:rPr>
        <w:t>设备故障处理约定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附件9. 其它约定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354" w:firstLineChars="147"/>
        <w:rPr>
          <w:rFonts w:asciiTheme="minorEastAsia" w:hAnsiTheme="minorEastAsia" w:eastAsiaTheme="minorEastAsia" w:cstheme="minorEastAsia"/>
          <w:b/>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w:t>
      </w: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附件1   项目内容和边界条件</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项目内容：</w:t>
      </w:r>
    </w:p>
    <w:p>
      <w:pPr>
        <w:numPr>
          <w:ilvl w:val="0"/>
          <w:numId w:val="3"/>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kern w:val="0"/>
          <w:sz w:val="24"/>
        </w:rPr>
        <w:t>具体改造项目如下；</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加装中央空调智能优化控制系统（节能BA系统），提高系统用电效率并实现自动运行；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空调水泵增加智能逻辑控制，依据实时负荷动态变流量运行；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空调风柜增加变风量控制系统，实现自动启停和精确控温；</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空调冷却塔增加智能变频系统，实现自动启停和变风量运行；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优化或增加新风换气系统并实现按气温变化和室内空气质量自动运行；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采用符合商业照明标准之高光效、高显指、长寿命LED灯具，替换商场公共区域原有灯具。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增加智慧照明控制，实现自动灯光控制；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配套超市内的灯具全部替换成高光效、高显指、长寿命LED灯具；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配套超市内的冷链制冷机组、冷柜、以及冷库加装精密控制系统实现节能运行；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配套超市内的冷柜加装保温Low-e镀膜玻璃门（盖）；</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建立整体能源监控管理平台，远程测量各用电设备的用电情况以及监测设备运行状态；</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其它适用于</w:t>
      </w:r>
      <w:r>
        <w:rPr>
          <w:rFonts w:hint="eastAsia" w:asciiTheme="minorEastAsia" w:hAnsiTheme="minorEastAsia" w:eastAsiaTheme="minorEastAsia" w:cstheme="minorEastAsia"/>
          <w:kern w:val="0"/>
          <w:sz w:val="24"/>
          <w:u w:val="single"/>
        </w:rPr>
        <w:t xml:space="preserve">   百大</w:t>
      </w:r>
      <w:r>
        <w:rPr>
          <w:rFonts w:hint="eastAsia" w:asciiTheme="minorEastAsia" w:hAnsiTheme="minorEastAsia" w:eastAsiaTheme="minorEastAsia" w:cstheme="minorEastAsia"/>
          <w:kern w:val="0"/>
          <w:sz w:val="24"/>
        </w:rPr>
        <w:t>集团</w:t>
      </w:r>
      <w:r>
        <w:rPr>
          <w:rFonts w:hint="eastAsia" w:asciiTheme="minorEastAsia" w:hAnsiTheme="minorEastAsia" w:eastAsiaTheme="minorEastAsia" w:cstheme="minorEastAsia"/>
          <w:kern w:val="0"/>
          <w:sz w:val="24"/>
          <w:u w:val="single"/>
        </w:rPr>
        <w:t xml:space="preserve"> 鼓楼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的节能技术改造；</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（2）乙方派遣专业技术人员参与节能设备和用电设备（不含门店供配电设备、收银、消防、监控设备）日常运行管理工作。</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（3）合同期内由乙方负责节能设备的日常保养、维修工作；</w:t>
      </w:r>
      <w:r>
        <w:rPr>
          <w:rFonts w:hint="eastAsia" w:asciiTheme="minorEastAsia" w:hAnsiTheme="minorEastAsia" w:eastAsiaTheme="minorEastAsia" w:cstheme="minorEastAsia"/>
          <w:kern w:val="0"/>
          <w:sz w:val="24"/>
        </w:rPr>
        <w:t>合同期满且甲方付清全部款项后，乙方将设备设施的所有权无偿转让给甲方，如果甲方需要乙方维修保养或者继续管理，乙方可以与</w:t>
      </w:r>
      <w:r>
        <w:rPr>
          <w:rFonts w:hint="eastAsia" w:asciiTheme="minorEastAsia" w:hAnsiTheme="minorEastAsia" w:eastAsiaTheme="minorEastAsia" w:cstheme="minorEastAsia"/>
          <w:sz w:val="24"/>
        </w:rPr>
        <w:t>甲方另行签订合同以收费模式延续服务。</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边界条件：</w:t>
      </w:r>
    </w:p>
    <w:p>
      <w:pPr>
        <w:numPr>
          <w:ilvl w:val="0"/>
          <w:numId w:val="5"/>
        </w:num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改造完成后，门店各用电设备运行模式和运行时间与改造前应保持基本一致（如今后门店调整灯光和空调及其他能耗设备的开放时间，造成当月灯光和相应设备用电增加或减少，则在结算时相应体现该部分用电变量）。</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（2）项目改造完成后，</w:t>
      </w:r>
      <w:r>
        <w:rPr>
          <w:rFonts w:hint="eastAsia" w:asciiTheme="minorEastAsia" w:hAnsiTheme="minorEastAsia" w:eastAsiaTheme="minorEastAsia" w:cstheme="minorEastAsia"/>
          <w:sz w:val="24"/>
        </w:rPr>
        <w:t>经甲乙双方共同确认</w:t>
      </w:r>
      <w:r>
        <w:rPr>
          <w:rFonts w:hint="eastAsia" w:asciiTheme="minorEastAsia" w:hAnsiTheme="minorEastAsia" w:eastAsiaTheme="minorEastAsia" w:cstheme="minorEastAsia"/>
          <w:kern w:val="0"/>
          <w:sz w:val="24"/>
        </w:rPr>
        <w:t>空调平均温度需达到国家标准，即</w:t>
      </w:r>
      <w:r>
        <w:rPr>
          <w:rFonts w:hint="eastAsia" w:asciiTheme="minorEastAsia" w:hAnsiTheme="minorEastAsia" w:eastAsiaTheme="minorEastAsia" w:cstheme="minorEastAsia"/>
          <w:sz w:val="24"/>
        </w:rPr>
        <w:t>夏季环境温度要求室内温度≤26℃，梅雨季节室内闷热天也应当开启空调，冬季环境温度要求一楼商场≥18℃的环境目标</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中央空调系统运行改造后，必须参照现有开启时间开关，并不得低于现有环境舒适度。且综合节电率≥20%。</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（3）在整个合同期内，替换了节能灯具的区域，平均照度不得低于改造前各区域的平均照度（改造前和改造后在相同的测量点测量离地1米高度的亮度，并进行记录）。</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附件2  能耗基准、项目节能目标预测及电网电价调整方式</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能耗基准：</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以</w:t>
      </w:r>
      <w:r>
        <w:rPr>
          <w:rFonts w:hint="eastAsia" w:asciiTheme="minorEastAsia" w:hAnsiTheme="minorEastAsia" w:eastAsiaTheme="minorEastAsia" w:cstheme="minorEastAsia"/>
          <w:kern w:val="0"/>
          <w:sz w:val="24"/>
          <w:lang w:eastAsia="zh-CN"/>
        </w:rPr>
        <w:t>合肥鼓楼商厦有限责任公司</w:t>
      </w:r>
      <w:r>
        <w:rPr>
          <w:rFonts w:hint="eastAsia" w:asciiTheme="minorEastAsia" w:hAnsiTheme="minorEastAsia" w:eastAsiaTheme="minorEastAsia" w:cstheme="minorEastAsia"/>
          <w:kern w:val="0"/>
          <w:sz w:val="24"/>
        </w:rPr>
        <w:t>18年11月--19年10月各月份总用电量减去外租商户电量得到的公用</w:t>
      </w:r>
      <w:r>
        <w:rPr>
          <w:rFonts w:hint="eastAsia" w:asciiTheme="minorEastAsia" w:hAnsiTheme="minorEastAsia" w:eastAsiaTheme="minorEastAsia" w:cstheme="minorEastAsia"/>
          <w:bCs/>
          <w:kern w:val="0"/>
          <w:sz w:val="24"/>
        </w:rPr>
        <w:t>电量为结算基准电量，详见下表《</w:t>
      </w:r>
      <w:r>
        <w:rPr>
          <w:rFonts w:hint="eastAsia" w:asciiTheme="minorEastAsia" w:hAnsiTheme="minorEastAsia" w:eastAsiaTheme="minorEastAsia" w:cstheme="minorEastAsia"/>
          <w:kern w:val="0"/>
          <w:sz w:val="24"/>
          <w:u w:val="single"/>
        </w:rPr>
        <w:t xml:space="preserve">  百大 </w:t>
      </w:r>
      <w:r>
        <w:rPr>
          <w:rFonts w:hint="eastAsia" w:asciiTheme="minorEastAsia" w:hAnsiTheme="minorEastAsia" w:eastAsiaTheme="minorEastAsia" w:cstheme="minorEastAsia"/>
          <w:kern w:val="0"/>
          <w:sz w:val="24"/>
        </w:rPr>
        <w:t>集团</w:t>
      </w:r>
      <w:r>
        <w:rPr>
          <w:rFonts w:hint="eastAsia" w:asciiTheme="minorEastAsia" w:hAnsiTheme="minorEastAsia" w:eastAsiaTheme="minorEastAsia" w:cstheme="minorEastAsia"/>
          <w:kern w:val="0"/>
          <w:sz w:val="24"/>
          <w:u w:val="single"/>
        </w:rPr>
        <w:t xml:space="preserve"> 鼓楼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bCs/>
          <w:kern w:val="0"/>
          <w:sz w:val="24"/>
        </w:rPr>
        <w:t>每月基准电量电费表》</w:t>
      </w:r>
      <w:r>
        <w:rPr>
          <w:rFonts w:hint="eastAsia" w:asciiTheme="minorEastAsia" w:hAnsiTheme="minorEastAsia" w:eastAsiaTheme="minorEastAsia" w:cstheme="minorEastAsia"/>
          <w:kern w:val="0"/>
          <w:sz w:val="24"/>
        </w:rPr>
        <w:t>。</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项目节能目标承诺：</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在合同期内，门店每结算年度（12个月）公用电总电量同比年度基准量（12个月）总电量节省</w:t>
      </w:r>
      <w:r>
        <w:rPr>
          <w:rFonts w:hint="eastAsia" w:asciiTheme="minorEastAsia" w:hAnsiTheme="minorEastAsia" w:eastAsiaTheme="minorEastAsia" w:cstheme="minorEastAsia"/>
          <w:b/>
          <w:kern w:val="0"/>
          <w:sz w:val="24"/>
          <w:u w:val="single"/>
        </w:rPr>
        <w:t xml:space="preserve"> 126 </w:t>
      </w:r>
      <w:r>
        <w:rPr>
          <w:rFonts w:hint="eastAsia" w:asciiTheme="minorEastAsia" w:hAnsiTheme="minorEastAsia" w:eastAsiaTheme="minorEastAsia" w:cstheme="minorEastAsia"/>
          <w:kern w:val="0"/>
          <w:sz w:val="24"/>
        </w:rPr>
        <w:t>万度以上。</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能源价格波动、调整方式：</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甲乙双方的当月结算电价为：当月供电局电费单的电费总额（+电损费）/总用电量</w:t>
      </w:r>
      <w:r>
        <w:rPr>
          <w:rFonts w:hint="eastAsia" w:asciiTheme="minorEastAsia" w:hAnsiTheme="minorEastAsia" w:eastAsiaTheme="minorEastAsia" w:cstheme="minorEastAsia"/>
          <w:kern w:val="0"/>
          <w:sz w:val="24"/>
        </w:rPr>
        <w:t>。</w:t>
      </w:r>
    </w:p>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kern w:val="0"/>
          <w:sz w:val="24"/>
        </w:rPr>
        <w:t>集团店</w:t>
      </w:r>
      <w:r>
        <w:rPr>
          <w:rFonts w:hint="eastAsia" w:asciiTheme="minorEastAsia" w:hAnsiTheme="minorEastAsia" w:eastAsiaTheme="minorEastAsia" w:cstheme="minorEastAsia"/>
          <w:b/>
          <w:bCs/>
          <w:kern w:val="0"/>
          <w:sz w:val="24"/>
        </w:rPr>
        <w:t>每月基准能耗表</w:t>
      </w:r>
    </w:p>
    <w:tbl>
      <w:tblPr>
        <w:tblStyle w:val="27"/>
        <w:tblW w:w="9649" w:type="dxa"/>
        <w:tblInd w:w="0" w:type="dxa"/>
        <w:tblLayout w:type="fixed"/>
        <w:tblCellMar>
          <w:top w:w="0" w:type="dxa"/>
          <w:left w:w="0" w:type="dxa"/>
          <w:bottom w:w="0" w:type="dxa"/>
          <w:right w:w="0" w:type="dxa"/>
        </w:tblCellMar>
      </w:tblPr>
      <w:tblGrid>
        <w:gridCol w:w="1284"/>
        <w:gridCol w:w="991"/>
        <w:gridCol w:w="698"/>
        <w:gridCol w:w="994"/>
        <w:gridCol w:w="996"/>
        <w:gridCol w:w="993"/>
        <w:gridCol w:w="1000"/>
        <w:gridCol w:w="991"/>
        <w:gridCol w:w="1702"/>
      </w:tblGrid>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kern w:val="0"/>
                <w:sz w:val="24"/>
              </w:rPr>
              <w:t>百大集团鼓楼名品中心店2018年10月-2019年9月年度基准能耗表</w:t>
            </w:r>
          </w:p>
        </w:tc>
      </w:tr>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电表户号：5100053410</w:t>
            </w:r>
          </w:p>
        </w:tc>
      </w:tr>
      <w:tr>
        <w:tblPrEx>
          <w:tblCellMar>
            <w:top w:w="0" w:type="dxa"/>
            <w:left w:w="0" w:type="dxa"/>
            <w:bottom w:w="0" w:type="dxa"/>
            <w:right w:w="0" w:type="dxa"/>
          </w:tblCellMar>
        </w:tblPrEx>
        <w:trPr>
          <w:trHeight w:val="321" w:hRule="atLeast"/>
        </w:trPr>
        <w:tc>
          <w:tcPr>
            <w:tcW w:w="7947"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历史用电数据</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基准能耗量</w:t>
            </w:r>
          </w:p>
        </w:tc>
      </w:tr>
      <w:tr>
        <w:tblPrEx>
          <w:tblCellMar>
            <w:top w:w="0" w:type="dxa"/>
            <w:left w:w="0" w:type="dxa"/>
            <w:bottom w:w="0" w:type="dxa"/>
            <w:right w:w="0" w:type="dxa"/>
          </w:tblCellMar>
        </w:tblPrEx>
        <w:trPr>
          <w:trHeight w:val="86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月份</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总电量（度）</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综合电价</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总电费（元）</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罍+村（8楼饮食）（度）</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合家福（度）</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家电商场（度））</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公用电量（度）</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公用＋</w:t>
            </w:r>
            <w:r>
              <w:rPr>
                <w:rFonts w:hint="eastAsia" w:asciiTheme="minorEastAsia" w:hAnsiTheme="minorEastAsia" w:eastAsiaTheme="minorEastAsia" w:cstheme="minorEastAsia"/>
                <w:b/>
                <w:kern w:val="0"/>
                <w:sz w:val="24"/>
              </w:rPr>
              <w:br w:type="textWrapping"/>
            </w:r>
            <w:r>
              <w:rPr>
                <w:rFonts w:hint="eastAsia" w:asciiTheme="minorEastAsia" w:hAnsiTheme="minorEastAsia" w:eastAsiaTheme="minorEastAsia" w:cstheme="minorEastAsia"/>
                <w:b/>
                <w:kern w:val="0"/>
                <w:sz w:val="24"/>
              </w:rPr>
              <w:t>合家福＋家电商场（度）</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2019年1月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508860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0.834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424285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18943</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45000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389917</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453860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2019年2月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479580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346048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40000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25149</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38000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376431</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439580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2019年3月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436560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315006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52000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18500</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24160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341900</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384560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2019年4月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459640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0.721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331588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56000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19828</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29010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354802</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403640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2019年5月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544500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0.696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379008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62000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27602</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39210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415688</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482500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2019年6月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672420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0.703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472488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73000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27911</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27930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543579</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599420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2019年7月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695640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0.682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474630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94000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23544</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33630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544466</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601640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2019年8月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860220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561622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95000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28568</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39630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697022</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765220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2019年9月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769140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502158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65000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23635 </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28500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652005</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704140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2019年10月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664080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0.653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433566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58000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21142</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30090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554848</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606080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2018年11月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520000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434812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49000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46058</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54450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370492</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471000</w:t>
            </w: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2018年12月</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458660</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0.836 </w:t>
            </w: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383521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51000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14922</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45090</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347648</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407660</w:t>
            </w:r>
          </w:p>
        </w:tc>
      </w:tr>
      <w:tr>
        <w:tblPrEx>
          <w:tblCellMar>
            <w:top w:w="0" w:type="dxa"/>
            <w:left w:w="0" w:type="dxa"/>
            <w:bottom w:w="0" w:type="dxa"/>
            <w:right w:w="0" w:type="dxa"/>
          </w:tblCellMar>
        </w:tblPrEx>
        <w:trPr>
          <w:trHeight w:val="330" w:hRule="atLeast"/>
        </w:trPr>
        <w:tc>
          <w:tcPr>
            <w:tcW w:w="12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年合计</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7069300 </w:t>
            </w:r>
          </w:p>
        </w:tc>
        <w:tc>
          <w:tcPr>
            <w:tcW w:w="69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5058732 </w:t>
            </w:r>
          </w:p>
        </w:tc>
        <w:tc>
          <w:tcPr>
            <w:tcW w:w="99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750000 </w:t>
            </w:r>
          </w:p>
        </w:tc>
        <w:tc>
          <w:tcPr>
            <w:tcW w:w="9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295802 </w:t>
            </w:r>
          </w:p>
        </w:tc>
        <w:tc>
          <w:tcPr>
            <w:tcW w:w="10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434700 </w:t>
            </w:r>
          </w:p>
        </w:tc>
        <w:tc>
          <w:tcPr>
            <w:tcW w:w="9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5588798 </w:t>
            </w:r>
          </w:p>
        </w:tc>
        <w:tc>
          <w:tcPr>
            <w:tcW w:w="17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 xml:space="preserve">6319300 </w:t>
            </w:r>
          </w:p>
        </w:tc>
      </w:tr>
    </w:tbl>
    <w:p>
      <w:pPr>
        <w:spacing w:line="440" w:lineRule="exact"/>
        <w:ind w:firstLine="482" w:firstLineChars="200"/>
        <w:rPr>
          <w:rFonts w:asciiTheme="minorEastAsia" w:hAnsiTheme="minorEastAsia" w:eastAsiaTheme="minorEastAsia" w:cstheme="minorEastAsia"/>
          <w:b/>
          <w:bCs/>
          <w:sz w:val="24"/>
        </w:rPr>
      </w:pP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备注：1、以上全部数据由集团店提供，双方已经确认；</w:t>
      </w:r>
    </w:p>
    <w:p>
      <w:pPr>
        <w:autoSpaceDE w:val="0"/>
        <w:autoSpaceDN w:val="0"/>
        <w:adjustRightInd w:val="0"/>
        <w:spacing w:line="360" w:lineRule="auto"/>
        <w:ind w:firstLine="1560" w:firstLineChars="6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甲方代表签字：                             乙方代表签字：</w:t>
      </w:r>
    </w:p>
    <w:p>
      <w:p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甲方（盖章）：                             乙方（盖章）：</w:t>
      </w: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附件3、节能量测量及节能效益分成计算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eastAsia="zh-CN"/>
        </w:rPr>
        <w:t>合肥鼓楼商厦有限责任公司</w:t>
      </w:r>
      <w:r>
        <w:rPr>
          <w:rFonts w:hint="eastAsia" w:asciiTheme="minorEastAsia" w:hAnsiTheme="minorEastAsia" w:eastAsiaTheme="minorEastAsia" w:cstheme="minorEastAsia"/>
          <w:kern w:val="0"/>
          <w:sz w:val="24"/>
        </w:rPr>
        <w:t>2018年11月-2019年10月各月份总用电</w:t>
      </w:r>
      <w:r>
        <w:rPr>
          <w:rFonts w:hint="eastAsia" w:asciiTheme="minorEastAsia" w:hAnsiTheme="minorEastAsia" w:eastAsiaTheme="minorEastAsia" w:cstheme="minorEastAsia"/>
          <w:color w:val="auto"/>
          <w:kern w:val="0"/>
          <w:sz w:val="24"/>
        </w:rPr>
        <w:t>量减去八楼餐饮总电</w:t>
      </w:r>
      <w:r>
        <w:rPr>
          <w:rFonts w:hint="eastAsia" w:asciiTheme="minorEastAsia" w:hAnsiTheme="minorEastAsia" w:eastAsiaTheme="minorEastAsia" w:cstheme="minorEastAsia"/>
          <w:kern w:val="0"/>
          <w:sz w:val="24"/>
        </w:rPr>
        <w:t>量得到的12个月公用</w:t>
      </w:r>
      <w:r>
        <w:rPr>
          <w:rFonts w:hint="eastAsia" w:asciiTheme="minorEastAsia" w:hAnsiTheme="minorEastAsia" w:eastAsiaTheme="minorEastAsia" w:cstheme="minorEastAsia"/>
          <w:bCs/>
          <w:kern w:val="0"/>
          <w:sz w:val="24"/>
        </w:rPr>
        <w:t>电量为结算基准量，每个结算月份以当月实际公用电量同比相同月份基准量得出节省电量</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在合同期内，甲、乙双方每月共同对门店在合同能源管理状态下电费单总用电量、八楼餐饮用电量进行记录汇总，计算出当月该项目实际公用电量，并对应</w:t>
      </w:r>
      <w:r>
        <w:rPr>
          <w:rFonts w:hint="eastAsia" w:asciiTheme="minorEastAsia" w:hAnsiTheme="minorEastAsia" w:eastAsiaTheme="minorEastAsia" w:cstheme="minorEastAsia"/>
          <w:b/>
          <w:sz w:val="24"/>
        </w:rPr>
        <w:t>附件2</w:t>
      </w:r>
      <w:r>
        <w:rPr>
          <w:rFonts w:hint="eastAsia" w:asciiTheme="minorEastAsia" w:hAnsiTheme="minorEastAsia" w:eastAsiaTheme="minorEastAsia" w:cstheme="minorEastAsia"/>
          <w:sz w:val="24"/>
        </w:rPr>
        <w:t>的基准电量差额为当期节省量。</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（3）合同期乙方每月应得分享效益的计算方法：</w:t>
      </w:r>
    </w:p>
    <w:p>
      <w:pPr>
        <w:spacing w:line="360" w:lineRule="auto"/>
        <w:ind w:firstLine="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计算公式：M=(A-B+C)×D×E</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式中：M—为当期乙方节能效益分成金额；</w:t>
      </w:r>
    </w:p>
    <w:p>
      <w:pPr>
        <w:spacing w:line="360" w:lineRule="auto"/>
        <w:ind w:firstLine="720" w:firstLineChars="3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A为门店当月同期</w:t>
      </w:r>
      <w:r>
        <w:rPr>
          <w:rFonts w:hint="eastAsia" w:asciiTheme="minorEastAsia" w:hAnsiTheme="minorEastAsia" w:eastAsiaTheme="minorEastAsia" w:cstheme="minorEastAsia"/>
          <w:b/>
          <w:bCs/>
          <w:kern w:val="0"/>
          <w:sz w:val="24"/>
        </w:rPr>
        <w:t>基准公用电量</w:t>
      </w:r>
      <w:r>
        <w:rPr>
          <w:rFonts w:hint="eastAsia" w:asciiTheme="minorEastAsia" w:hAnsiTheme="minorEastAsia" w:eastAsiaTheme="minorEastAsia" w:cstheme="minorEastAsia"/>
          <w:sz w:val="24"/>
        </w:rPr>
        <w:t>；</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B为当月门店在合同能源管理状态下的公用电量；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C为当月门店因各种变更增加（减少）的用电量，包括但不限于用电设备增减、运行时间变化、以及建筑区域或功能调整等对能耗有影响的变更（能耗增加取正值，减少取负值）；</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D 为当月综合电价=（电业局电费单的电费总额+电损费）/电业局电费单总用电量；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 为合同约定的乙方当月节能效益分享比例；</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（4）验证方案：</w:t>
      </w:r>
    </w:p>
    <w:p>
      <w:pPr>
        <w:autoSpaceDE w:val="0"/>
        <w:autoSpaceDN w:val="0"/>
        <w:adjustRightInd w:val="0"/>
        <w:spacing w:line="360" w:lineRule="auto"/>
        <w:ind w:firstLine="405"/>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由甲乙双方共同对上述数据进行抄表、记录、汇总、计算，双方共同验证：</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sz w:val="24"/>
        </w:rPr>
        <w:t xml:space="preserve">    1、基准电量为经双方确认的</w:t>
      </w:r>
      <w:r>
        <w:rPr>
          <w:rFonts w:hint="eastAsia" w:asciiTheme="minorEastAsia" w:hAnsiTheme="minorEastAsia" w:eastAsiaTheme="minorEastAsia" w:cstheme="minorEastAsia"/>
          <w:kern w:val="0"/>
          <w:sz w:val="24"/>
        </w:rPr>
        <w:t>2018年10月-2019年9月各月</w:t>
      </w:r>
      <w:r>
        <w:rPr>
          <w:rFonts w:hint="eastAsia" w:asciiTheme="minorEastAsia" w:hAnsiTheme="minorEastAsia" w:eastAsiaTheme="minorEastAsia" w:cstheme="minorEastAsia"/>
          <w:sz w:val="24"/>
        </w:rPr>
        <w:t>的公用电量为准。</w:t>
      </w:r>
    </w:p>
    <w:p>
      <w:pPr>
        <w:spacing w:line="360" w:lineRule="auto"/>
        <w:ind w:left="720" w:hanging="720" w:hangingChars="3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2、当月如有用电设备增减或营业面积调整，双方需共同确认并填写《</w:t>
      </w:r>
      <w:r>
        <w:rPr>
          <w:rFonts w:hint="eastAsia" w:asciiTheme="minorEastAsia" w:hAnsiTheme="minorEastAsia" w:eastAsiaTheme="minorEastAsia" w:cstheme="minorEastAsia"/>
          <w:kern w:val="0"/>
          <w:sz w:val="24"/>
          <w:u w:val="single"/>
        </w:rPr>
        <w:t xml:space="preserve"> 百大 </w:t>
      </w:r>
      <w:r>
        <w:rPr>
          <w:rFonts w:hint="eastAsia" w:asciiTheme="minorEastAsia" w:hAnsiTheme="minorEastAsia" w:eastAsiaTheme="minorEastAsia" w:cstheme="minorEastAsia"/>
          <w:kern w:val="0"/>
          <w:sz w:val="24"/>
        </w:rPr>
        <w:t>集团</w:t>
      </w:r>
      <w:r>
        <w:rPr>
          <w:rFonts w:hint="eastAsia" w:asciiTheme="minorEastAsia" w:hAnsiTheme="minorEastAsia" w:eastAsiaTheme="minorEastAsia" w:cstheme="minorEastAsia"/>
          <w:kern w:val="0"/>
          <w:sz w:val="24"/>
          <w:u w:val="single"/>
        </w:rPr>
        <w:t xml:space="preserve"> 鼓楼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增减设备负荷表》并依据该设备的使用时间计算出当月开始增加（减少）的电量，所增加（减少）的电量并入附件4 节能量确认单，以准确计算从此以后各月份的节能量。</w:t>
      </w:r>
    </w:p>
    <w:p>
      <w:pPr>
        <w:autoSpaceDE w:val="0"/>
        <w:autoSpaceDN w:val="0"/>
        <w:adjustRightInd w:val="0"/>
        <w:spacing w:line="360" w:lineRule="auto"/>
        <w:jc w:val="left"/>
        <w:rPr>
          <w:rFonts w:hAnsi="宋体"/>
          <w:szCs w:val="21"/>
        </w:rPr>
      </w:pPr>
    </w:p>
    <w:p/>
    <w:p/>
    <w:p/>
    <w:p/>
    <w:p/>
    <w:p>
      <w:pPr>
        <w:jc w:val="center"/>
        <w:rPr>
          <w:rFonts w:ascii="宋体" w:hAnsi="宋体"/>
          <w:b/>
          <w:sz w:val="24"/>
        </w:rPr>
      </w:pPr>
      <w:r>
        <w:rPr>
          <w:rFonts w:hint="eastAsia" w:ascii="宋体" w:hAnsi="宋体" w:cs="宋体"/>
          <w:b/>
          <w:kern w:val="0"/>
          <w:sz w:val="24"/>
        </w:rPr>
        <w:t>集团店</w:t>
      </w:r>
      <w:r>
        <w:rPr>
          <w:rFonts w:hint="eastAsia" w:ascii="宋体" w:hAnsi="宋体"/>
          <w:b/>
          <w:sz w:val="24"/>
        </w:rPr>
        <w:t>增减设备负荷表</w:t>
      </w:r>
    </w:p>
    <w:p>
      <w:pPr>
        <w:jc w:val="center"/>
        <w:rPr>
          <w:rFonts w:ascii="宋体" w:hAnsi="宋体"/>
          <w:b/>
          <w:sz w:val="24"/>
        </w:rPr>
      </w:pPr>
    </w:p>
    <w:p>
      <w:pPr>
        <w:rPr>
          <w:sz w:val="24"/>
        </w:rPr>
      </w:pPr>
      <w:r>
        <w:rPr>
          <w:rFonts w:hint="eastAsia"/>
          <w:sz w:val="24"/>
        </w:rPr>
        <w:t xml:space="preserve">                                                 日期：20年月日</w:t>
      </w:r>
    </w:p>
    <w:tbl>
      <w:tblPr>
        <w:tblStyle w:val="2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708"/>
        <w:gridCol w:w="1276"/>
        <w:gridCol w:w="284"/>
        <w:gridCol w:w="1842"/>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Cs w:val="21"/>
              </w:rPr>
            </w:pPr>
            <w:r>
              <w:rPr>
                <w:rFonts w:hint="eastAsia"/>
                <w:szCs w:val="21"/>
              </w:rPr>
              <w:t>增加</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708"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月增加电量（度）</w:t>
            </w:r>
          </w:p>
        </w:tc>
        <w:tc>
          <w:tcPr>
            <w:tcW w:w="284" w:type="dxa"/>
            <w:vMerge w:val="restart"/>
          </w:tcPr>
          <w:p>
            <w:pPr>
              <w:jc w:val="center"/>
              <w:rPr>
                <w:szCs w:val="21"/>
              </w:rPr>
            </w:pPr>
          </w:p>
          <w:p>
            <w:pPr>
              <w:jc w:val="center"/>
              <w:rPr>
                <w:szCs w:val="21"/>
              </w:rPr>
            </w:pPr>
          </w:p>
        </w:tc>
        <w:tc>
          <w:tcPr>
            <w:tcW w:w="1842" w:type="dxa"/>
          </w:tcPr>
          <w:p>
            <w:pPr>
              <w:jc w:val="center"/>
              <w:rPr>
                <w:szCs w:val="21"/>
              </w:rPr>
            </w:pPr>
            <w:r>
              <w:rPr>
                <w:rFonts w:hint="eastAsia"/>
                <w:szCs w:val="21"/>
              </w:rPr>
              <w:t>减少</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850"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月减少电量（度）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bl>
    <w:p>
      <w:pPr>
        <w:spacing w:line="360" w:lineRule="auto"/>
        <w:rPr>
          <w:sz w:val="24"/>
        </w:rPr>
      </w:pPr>
      <w:r>
        <w:rPr>
          <w:rFonts w:hint="eastAsia"/>
          <w:sz w:val="24"/>
        </w:rPr>
        <w:t>通过上表得出：当月“</w:t>
      </w:r>
      <w:r>
        <w:rPr>
          <w:rFonts w:hint="eastAsia" w:ascii="宋体" w:hAnsi="宋体"/>
          <w:sz w:val="24"/>
        </w:rPr>
        <w:t>设备增加</w:t>
      </w:r>
      <w:r>
        <w:rPr>
          <w:rFonts w:ascii="宋体" w:hAnsi="宋体"/>
          <w:sz w:val="24"/>
        </w:rPr>
        <w:t>/</w:t>
      </w:r>
      <w:r>
        <w:rPr>
          <w:rFonts w:hint="eastAsia" w:ascii="宋体" w:hAnsi="宋体"/>
          <w:sz w:val="24"/>
        </w:rPr>
        <w:t>减少的用电量</w:t>
      </w:r>
      <w:r>
        <w:rPr>
          <w:rFonts w:hint="eastAsia"/>
          <w:sz w:val="24"/>
        </w:rPr>
        <w:t>”为度，</w:t>
      </w:r>
    </w:p>
    <w:p>
      <w:pPr>
        <w:spacing w:line="360" w:lineRule="auto"/>
        <w:ind w:firstLine="1560" w:firstLineChars="650"/>
        <w:rPr>
          <w:sz w:val="24"/>
        </w:rPr>
      </w:pPr>
      <w:r>
        <w:rPr>
          <w:rFonts w:hint="eastAsia"/>
          <w:sz w:val="24"/>
        </w:rPr>
        <w:t>（增加用+值、减少用—值）</w:t>
      </w:r>
    </w:p>
    <w:p>
      <w:pPr>
        <w:spacing w:line="360" w:lineRule="auto"/>
        <w:rPr>
          <w:szCs w:val="21"/>
        </w:rPr>
      </w:pPr>
      <w:r>
        <w:rPr>
          <w:rFonts w:hint="eastAsia"/>
          <w:szCs w:val="21"/>
        </w:rPr>
        <w:t>备注：1、上表的增加（减少）设备为逐次累加填写，需体现合同期内所有增加（减少）的全部设备；</w:t>
      </w:r>
    </w:p>
    <w:p>
      <w:pPr>
        <w:spacing w:line="360" w:lineRule="auto"/>
        <w:rPr>
          <w:szCs w:val="21"/>
        </w:rPr>
      </w:pPr>
      <w:r>
        <w:rPr>
          <w:rFonts w:hint="eastAsia"/>
          <w:szCs w:val="21"/>
        </w:rPr>
        <w:t xml:space="preserve">      2、每项设备的月增加（减少）电量=该设备功率（千瓦）×每天用电时间（小时）×30天；</w:t>
      </w:r>
    </w:p>
    <w:p>
      <w:pPr>
        <w:spacing w:line="360" w:lineRule="auto"/>
        <w:ind w:firstLine="840" w:firstLineChars="400"/>
        <w:rPr>
          <w:rFonts w:ascii="宋体" w:hAnsi="宋体"/>
          <w:szCs w:val="21"/>
        </w:rPr>
      </w:pPr>
      <w:r>
        <w:rPr>
          <w:rFonts w:hint="eastAsia" w:ascii="宋体" w:hAnsi="宋体"/>
          <w:szCs w:val="21"/>
        </w:rPr>
        <w:t>增加大功率设备或新增用电线路时可采用加装电表，每月抄表计算该项增加电量；</w:t>
      </w:r>
    </w:p>
    <w:p>
      <w:pPr>
        <w:numPr>
          <w:ilvl w:val="0"/>
          <w:numId w:val="6"/>
        </w:numPr>
        <w:spacing w:line="360" w:lineRule="auto"/>
        <w:rPr>
          <w:szCs w:val="21"/>
        </w:rPr>
      </w:pPr>
      <w:r>
        <w:rPr>
          <w:rFonts w:hint="eastAsia"/>
          <w:szCs w:val="21"/>
        </w:rPr>
        <w:t>当月“</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rPr>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附件4.</w:t>
      </w:r>
      <w:r>
        <w:rPr>
          <w:rFonts w:hint="eastAsia" w:ascii="宋体" w:hAnsi="宋体" w:cs="宋体"/>
          <w:b/>
          <w:kern w:val="0"/>
          <w:szCs w:val="21"/>
        </w:rPr>
        <w:t>节能量确认单及付款申请表</w:t>
      </w:r>
    </w:p>
    <w:tbl>
      <w:tblPr>
        <w:tblStyle w:val="27"/>
        <w:tblpPr w:leftFromText="180" w:rightFromText="180" w:vertAnchor="text" w:horzAnchor="margin" w:tblpXSpec="center" w:tblpY="158"/>
        <w:tblW w:w="0" w:type="auto"/>
        <w:tblInd w:w="0" w:type="dxa"/>
        <w:tblLayout w:type="fixed"/>
        <w:tblCellMar>
          <w:top w:w="0" w:type="dxa"/>
          <w:left w:w="108" w:type="dxa"/>
          <w:bottom w:w="0" w:type="dxa"/>
          <w:right w:w="108" w:type="dxa"/>
        </w:tblCellMar>
      </w:tblPr>
      <w:tblGrid>
        <w:gridCol w:w="815"/>
        <w:gridCol w:w="3971"/>
        <w:gridCol w:w="1559"/>
        <w:gridCol w:w="2410"/>
      </w:tblGrid>
      <w:tr>
        <w:tblPrEx>
          <w:tblCellMar>
            <w:top w:w="0" w:type="dxa"/>
            <w:left w:w="108" w:type="dxa"/>
            <w:bottom w:w="0" w:type="dxa"/>
            <w:right w:w="108" w:type="dxa"/>
          </w:tblCellMar>
        </w:tblPrEx>
        <w:trPr>
          <w:trHeight w:val="850" w:hRule="atLeast"/>
        </w:trPr>
        <w:tc>
          <w:tcPr>
            <w:tcW w:w="8755" w:type="dxa"/>
            <w:gridSpan w:val="4"/>
            <w:tcBorders>
              <w:top w:val="nil"/>
              <w:left w:val="nil"/>
              <w:bottom w:val="single" w:color="auto" w:sz="4" w:space="0"/>
              <w:right w:val="nil"/>
            </w:tcBorders>
            <w:vAlign w:val="center"/>
          </w:tcPr>
          <w:p>
            <w:pPr>
              <w:widowControl/>
              <w:spacing w:line="360" w:lineRule="auto"/>
              <w:ind w:firstLine="211" w:firstLineChars="100"/>
              <w:rPr>
                <w:rFonts w:ascii="宋体" w:cs="宋体"/>
                <w:b/>
                <w:bCs/>
                <w:kern w:val="0"/>
                <w:szCs w:val="21"/>
              </w:rPr>
            </w:pPr>
            <w:r>
              <w:rPr>
                <w:rFonts w:hint="eastAsia" w:ascii="宋体" w:hAnsi="宋体" w:cs="宋体"/>
                <w:b/>
                <w:kern w:val="0"/>
                <w:szCs w:val="21"/>
              </w:rPr>
              <w:t>集团店合同能源管理节能量</w:t>
            </w:r>
            <w:r>
              <w:rPr>
                <w:rFonts w:hint="eastAsia" w:ascii="宋体" w:hAnsi="宋体" w:cs="宋体"/>
                <w:b/>
                <w:bCs/>
                <w:kern w:val="0"/>
                <w:szCs w:val="21"/>
              </w:rPr>
              <w:t>确认单（</w:t>
            </w:r>
            <w:r>
              <w:rPr>
                <w:rFonts w:ascii="宋体" w:hAnsi="宋体" w:cs="宋体"/>
                <w:b/>
                <w:bCs/>
                <w:kern w:val="0"/>
                <w:szCs w:val="21"/>
              </w:rPr>
              <w:t xml:space="preserve">20 </w:t>
            </w:r>
            <w:r>
              <w:rPr>
                <w:rFonts w:hint="eastAsia" w:ascii="宋体" w:hAnsi="宋体" w:cs="宋体"/>
                <w:b/>
                <w:bCs/>
                <w:kern w:val="0"/>
                <w:szCs w:val="21"/>
              </w:rPr>
              <w:t>年月）</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序号</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ascii="宋体" w:cs="宋体"/>
                <w:b/>
                <w:bCs/>
                <w:kern w:val="0"/>
                <w:szCs w:val="21"/>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数量</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备注或计算方法</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峰谷平总电量</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电费单实际缴费金额</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ascii="宋体" w:cs="宋体"/>
                <w:b/>
                <w:bCs/>
                <w:kern w:val="0"/>
                <w:szCs w:val="21"/>
              </w:rPr>
              <w:t>本月额外电损费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r>
              <w:rPr>
                <w:rFonts w:ascii="宋体" w:cs="宋体"/>
                <w:b/>
                <w:kern w:val="0"/>
                <w:szCs w:val="21"/>
              </w:rPr>
              <w:t>如有、则加入总电费内</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4</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本月八楼餐饮总用电量（度）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5</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本月门店实际公用电量（度）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6</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当月同期基准公用电量（度）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7</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b/>
                <w:szCs w:val="21"/>
              </w:rPr>
              <w:t>设备增加</w:t>
            </w:r>
            <w:r>
              <w:rPr>
                <w:rFonts w:ascii="宋体" w:hAnsi="宋体"/>
                <w:b/>
                <w:szCs w:val="21"/>
              </w:rPr>
              <w:t>/</w:t>
            </w:r>
            <w:r>
              <w:rPr>
                <w:rFonts w:hint="eastAsia" w:ascii="宋体" w:hAnsi="宋体"/>
                <w:b/>
                <w:szCs w:val="21"/>
              </w:rPr>
              <w:t>减少的用电量</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增加取</w:t>
            </w:r>
            <w:r>
              <w:rPr>
                <w:rFonts w:hint="eastAsia" w:ascii="宋体" w:cs="宋体"/>
                <w:b/>
                <w:kern w:val="0"/>
                <w:szCs w:val="21"/>
              </w:rPr>
              <w:t>+值、减少取-值</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8</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本月节省电量（度）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6项+7项-5项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9</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本月综合平均电价（元</w:t>
            </w:r>
            <w:r>
              <w:rPr>
                <w:rFonts w:ascii="宋体" w:hAnsi="宋体" w:cs="宋体"/>
                <w:b/>
                <w:bCs/>
                <w:kern w:val="0"/>
                <w:szCs w:val="21"/>
              </w:rPr>
              <w:t>/</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（2项+3项）÷1项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10</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本月节省电量折算电费（元</w:t>
            </w:r>
            <w:r>
              <w:rPr>
                <w:rFonts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8项×9项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10项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本月乙方节能效益分享比例（</w:t>
            </w:r>
            <w:r>
              <w:rPr>
                <w:rFonts w:ascii="宋体" w:hAnsi="宋体" w:cs="宋体"/>
                <w:b/>
                <w:bCs/>
                <w:kern w:val="0"/>
                <w:szCs w:val="21"/>
              </w:rPr>
              <w:t>%</w:t>
            </w:r>
            <w:r>
              <w:rPr>
                <w:rFonts w:hint="eastAsia"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szCs w:val="21"/>
              </w:rPr>
            </w:pPr>
            <w:r>
              <w:rPr>
                <w:rFonts w:hint="eastAsia" w:ascii="宋体" w:hAnsi="宋体" w:cs="宋体"/>
                <w:b/>
                <w:bCs/>
                <w:kern w:val="0"/>
                <w:szCs w:val="21"/>
              </w:rPr>
              <w:t>本月乙方节能效益分享金额（元）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11项×12项</w:t>
            </w:r>
          </w:p>
        </w:tc>
      </w:tr>
      <w:tr>
        <w:tblPrEx>
          <w:tblCellMar>
            <w:top w:w="0" w:type="dxa"/>
            <w:left w:w="108" w:type="dxa"/>
            <w:bottom w:w="0" w:type="dxa"/>
            <w:right w:w="108" w:type="dxa"/>
          </w:tblCellMar>
        </w:tblPrEx>
        <w:trPr>
          <w:trHeight w:val="1602" w:hRule="atLeast"/>
        </w:trPr>
        <w:tc>
          <w:tcPr>
            <w:tcW w:w="8755" w:type="dxa"/>
            <w:gridSpan w:val="4"/>
            <w:tcBorders>
              <w:top w:val="nil"/>
              <w:left w:val="nil"/>
              <w:bottom w:val="nil"/>
              <w:right w:val="nil"/>
            </w:tcBorders>
            <w:vAlign w:val="center"/>
          </w:tcPr>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甲方代表签字：</w:t>
            </w:r>
            <w:r>
              <w:rPr>
                <w:rFonts w:ascii="宋体" w:hAnsi="宋体" w:cs="宋体"/>
                <w:b/>
                <w:kern w:val="0"/>
                <w:szCs w:val="21"/>
              </w:rPr>
              <w:t xml:space="preserve">                             乙方代表</w:t>
            </w:r>
            <w:r>
              <w:rPr>
                <w:rFonts w:hint="eastAsia" w:ascii="宋体" w:hAnsi="宋体" w:cs="宋体"/>
                <w:b/>
                <w:kern w:val="0"/>
                <w:szCs w:val="21"/>
              </w:rPr>
              <w:t>签字：</w:t>
            </w:r>
          </w:p>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甲方（盖章）： 乙方（盖章）：</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宋体" w:hAnsi="宋体" w:cs="宋体"/>
          <w:b/>
          <w:kern w:val="0"/>
          <w:sz w:val="24"/>
        </w:rPr>
        <w:t>集团店</w:t>
      </w:r>
      <w:r>
        <w:rPr>
          <w:rFonts w:hint="eastAsia" w:ascii="宋体" w:hAnsi="宋体"/>
          <w:b/>
          <w:sz w:val="24"/>
        </w:rPr>
        <w:t>：</w:t>
      </w:r>
    </w:p>
    <w:p>
      <w:pPr>
        <w:spacing w:line="360" w:lineRule="auto"/>
        <w:ind w:firstLine="480" w:firstLineChars="200"/>
        <w:rPr>
          <w:rFonts w:ascii="宋体" w:hAnsi="宋体"/>
          <w:sz w:val="24"/>
          <w:u w:val="single"/>
        </w:rPr>
      </w:pPr>
      <w:r>
        <w:rPr>
          <w:rFonts w:hint="eastAsia" w:ascii="宋体" w:hAnsi="宋体"/>
          <w:sz w:val="24"/>
        </w:rPr>
        <w:t>据申请人与</w:t>
      </w:r>
      <w:r>
        <w:rPr>
          <w:rFonts w:hint="eastAsia" w:ascii="宋体" w:hAnsi="宋体" w:cs="宋体"/>
          <w:kern w:val="0"/>
          <w:sz w:val="24"/>
        </w:rPr>
        <w:t>集团店</w:t>
      </w:r>
      <w:r>
        <w:rPr>
          <w:rFonts w:hint="eastAsia" w:ascii="宋体" w:hAnsi="宋体"/>
          <w:sz w:val="24"/>
        </w:rPr>
        <w:t>于年月日签订的《</w:t>
      </w:r>
      <w:r>
        <w:rPr>
          <w:rFonts w:hint="eastAsia" w:ascii="宋体" w:hAnsi="宋体" w:cs="宋体"/>
          <w:kern w:val="0"/>
          <w:sz w:val="24"/>
        </w:rPr>
        <w:t>集团店</w:t>
      </w:r>
      <w:r>
        <w:rPr>
          <w:rFonts w:hint="eastAsia" w:ascii="宋体" w:hAnsi="宋体"/>
          <w:sz w:val="24"/>
        </w:rPr>
        <w:t>合同能源管理服务合同》 ，</w:t>
      </w:r>
      <w:r>
        <w:rPr>
          <w:rFonts w:hint="eastAsia" w:ascii="宋体" w:hAnsi="宋体" w:cs="宋体"/>
          <w:kern w:val="0"/>
          <w:sz w:val="24"/>
        </w:rPr>
        <w:t>集团店</w:t>
      </w:r>
      <w:r>
        <w:rPr>
          <w:rFonts w:hint="eastAsia" w:ascii="宋体" w:hAnsi="宋体"/>
          <w:sz w:val="24"/>
        </w:rPr>
        <w:t>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w:t>
      </w:r>
      <w:r>
        <w:rPr>
          <w:rFonts w:hint="eastAsia" w:ascii="宋体" w:hAnsi="宋体" w:cs="宋体"/>
          <w:kern w:val="0"/>
          <w:sz w:val="24"/>
        </w:rPr>
        <w:t>集团店</w:t>
      </w:r>
      <w:r>
        <w:rPr>
          <w:rFonts w:hint="eastAsia" w:ascii="宋体" w:hAnsi="宋体"/>
          <w:sz w:val="24"/>
        </w:rPr>
        <w:t>留存。</w:t>
      </w:r>
    </w:p>
    <w:p>
      <w:pPr>
        <w:spacing w:line="360" w:lineRule="auto"/>
        <w:rPr>
          <w:rFonts w:ascii="宋体" w:hAnsi="宋体"/>
          <w:sz w:val="24"/>
        </w:rPr>
      </w:pPr>
    </w:p>
    <w:p>
      <w:pPr>
        <w:spacing w:line="360" w:lineRule="auto"/>
        <w:ind w:firstLine="0" w:firstLineChars="0"/>
        <w:rPr>
          <w:rFonts w:ascii="宋体" w:hAnsi="宋体"/>
          <w:sz w:val="24"/>
        </w:rPr>
      </w:pPr>
      <w:r>
        <w:rPr>
          <w:rFonts w:hint="eastAsia" w:ascii="宋体" w:hAnsi="宋体"/>
          <w:sz w:val="24"/>
        </w:rPr>
        <w:t xml:space="preserve">申请人: </w:t>
      </w:r>
      <w:r>
        <w:rPr>
          <w:rFonts w:hint="eastAsia" w:ascii="宋体" w:hAnsi="宋体"/>
          <w:sz w:val="24"/>
          <w:lang w:val="en-US" w:eastAsia="zh-CN"/>
        </w:rPr>
        <w:t xml:space="preserve">                                                          </w:t>
      </w:r>
      <w:r>
        <w:rPr>
          <w:rFonts w:hint="eastAsia" w:ascii="宋体" w:hAnsi="宋体"/>
          <w:sz w:val="24"/>
        </w:rPr>
        <w:t>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）节能改造后门店空调效果的测量验收；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）节能改造后门店照明效果的测量验收；</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）项目整体验收。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（5）双方在验收文件（包括乙方投入设备的财产清单）上签字盖章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）节能设备安装、调试至正常运行，改造工程施工质量达到国家相关标准；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）节能改造后测试门店空调效果，达到国家相关规定；</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w:t>
      </w:r>
      <w:r>
        <w:rPr>
          <w:rFonts w:hint="eastAsia" w:ascii="宋体" w:hAnsi="宋体" w:cs="宋体"/>
          <w:kern w:val="0"/>
          <w:szCs w:val="21"/>
          <w:u w:val="single"/>
        </w:rPr>
        <w:t xml:space="preserve">  百大</w:t>
      </w:r>
      <w:r>
        <w:rPr>
          <w:rFonts w:hint="eastAsia" w:ascii="宋体" w:hAnsi="宋体" w:cs="宋体"/>
          <w:kern w:val="0"/>
          <w:szCs w:val="21"/>
        </w:rPr>
        <w:t>集团</w:t>
      </w:r>
      <w:r>
        <w:rPr>
          <w:rFonts w:hint="eastAsia" w:ascii="宋体" w:hAnsi="宋体" w:cs="宋体"/>
          <w:kern w:val="0"/>
          <w:szCs w:val="21"/>
          <w:u w:val="single"/>
        </w:rPr>
        <w:t xml:space="preserve">  鼓楼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改造前参数</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改造后参数</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备注：该财产清单为乙方投入的节能设备和系统设施清单，乙方将在安装时根据现场情况调整，实际以验收时为准，验收后甲方须签字盖章确认。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甲方代表签字：</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甲方盖章                                                    </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noWrap/>
            <w:vAlign w:val="center"/>
          </w:tcPr>
          <w:p>
            <w:pPr>
              <w:spacing w:line="48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color w:val="FF0000"/>
                <w:szCs w:val="21"/>
              </w:rPr>
              <w:t>鼓楼商厦合同能源管理</w:t>
            </w:r>
            <w:r>
              <w:rPr>
                <w:rFonts w:hint="eastAsia" w:asciiTheme="majorEastAsia" w:hAnsiTheme="majorEastAsia" w:eastAsiaTheme="majorEastAsia"/>
                <w:b/>
                <w:szCs w:val="21"/>
              </w:rPr>
              <w:t>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noWrap/>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noWrap/>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noWrap/>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设备品质</w:t>
            </w: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noWrap/>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noWrap/>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noWrap/>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noWrap/>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Lines="50"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附件6.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合肥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）乙方必须自带工具到现场施工，未经许可，不得使用甲方的设施、工具。若施工过程中损坏甲方门店的设施、设备、工具、商品等，乙方照价赔偿。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附件7.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附件</w:t>
      </w:r>
      <w:r>
        <w:rPr>
          <w:rFonts w:hint="eastAsia" w:ascii="宋体" w:hAnsi="宋体"/>
          <w:b/>
          <w:szCs w:val="21"/>
        </w:rPr>
        <w:t>8</w:t>
      </w:r>
      <w:r>
        <w:rPr>
          <w:rFonts w:ascii="宋体" w:hAnsi="宋体"/>
          <w:b/>
          <w:szCs w:val="21"/>
        </w:rPr>
        <w:t xml:space="preserve">.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w:t>
      </w:r>
      <w:r>
        <w:rPr>
          <w:rFonts w:hint="eastAsia" w:ascii="宋体" w:hAnsi="宋体" w:cs="宋体"/>
          <w:b/>
          <w:kern w:val="0"/>
          <w:szCs w:val="21"/>
        </w:rPr>
        <w:t>9</w:t>
      </w:r>
      <w:r>
        <w:rPr>
          <w:rFonts w:ascii="宋体" w:hAnsi="宋体" w:cs="宋体"/>
          <w:b/>
          <w:kern w:val="0"/>
          <w:szCs w:val="21"/>
        </w:rPr>
        <w:t xml:space="preserve">.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）合同期内，甲方或其租户的新增空调区域使用门店中央空调冷冻水制冷的，属于新增用电量，可按</w:t>
      </w:r>
      <w:r>
        <w:rPr>
          <w:rFonts w:ascii="宋体" w:hAnsi="宋体" w:cs="宋体"/>
          <w:kern w:val="0"/>
          <w:szCs w:val="21"/>
        </w:rPr>
        <w:t>“</w:t>
      </w:r>
      <w:r>
        <w:rPr>
          <w:rFonts w:hint="eastAsia" w:ascii="宋体" w:hAnsi="宋体" w:cs="宋体"/>
          <w:kern w:val="0"/>
          <w:szCs w:val="21"/>
        </w:rPr>
        <w:t>历史同期单位面积空调用电量</w:t>
      </w:r>
      <w:r>
        <w:rPr>
          <w:rFonts w:ascii="宋体" w:hAnsi="宋体" w:cs="Tahoma"/>
          <w:sz w:val="23"/>
          <w:szCs w:val="23"/>
        </w:rPr>
        <w:t>×</w:t>
      </w:r>
      <w:r>
        <w:rPr>
          <w:rFonts w:ascii="宋体" w:hAnsi="宋体" w:cs="Tahoma"/>
          <w:szCs w:val="21"/>
        </w:rPr>
        <w:t>新增使用空调面积</w:t>
      </w:r>
      <w:r>
        <w:rPr>
          <w:rFonts w:ascii="宋体" w:hAnsi="宋体" w:cs="宋体"/>
          <w:kern w:val="0"/>
          <w:szCs w:val="21"/>
        </w:rPr>
        <w:t>”</w:t>
      </w:r>
      <w:r>
        <w:rPr>
          <w:rFonts w:ascii="宋体" w:hAnsi="宋体" w:cs="Tahoma"/>
          <w:szCs w:val="21"/>
        </w:rPr>
        <w:t>的方法</w:t>
      </w:r>
      <w:r>
        <w:rPr>
          <w:rFonts w:hint="eastAsia" w:ascii="宋体" w:hAnsi="宋体" w:cs="宋体"/>
          <w:kern w:val="0"/>
          <w:szCs w:val="21"/>
        </w:rPr>
        <w:t>计算新增空调面积的用电量。具体为：以使用面积增加前的当月所有空调设备总用电量之和÷面积增加前的当月空调实际使用面积，得出每平方米的“历史同期单位面积空调用电量”，在后面结算时如该结算月份空调使用面积有增加（以平方米为单位），则以该“历史同期单位面积空调用电量”与当月增加面积相乘，得出增加面积的空调用电量。</w:t>
      </w:r>
    </w:p>
    <w:p>
      <w:pPr>
        <w:spacing w:line="360" w:lineRule="auto"/>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）合同期内，甲方因经营需要进行门店装修或布局调整</w:t>
      </w:r>
      <w:r>
        <w:rPr>
          <w:rFonts w:ascii="宋体" w:cs="宋体"/>
          <w:kern w:val="0"/>
          <w:szCs w:val="21"/>
        </w:rPr>
        <w:t>,</w:t>
      </w:r>
      <w:r>
        <w:rPr>
          <w:rFonts w:hint="eastAsia" w:ascii="宋体" w:hAnsi="宋体" w:cs="宋体"/>
          <w:kern w:val="0"/>
          <w:szCs w:val="21"/>
        </w:rPr>
        <w:t>门店自行加装或拆除用电设备均按附件之文件</w:t>
      </w:r>
      <w:r>
        <w:rPr>
          <w:rFonts w:ascii="宋体" w:hAnsi="宋体" w:cs="宋体"/>
          <w:kern w:val="0"/>
          <w:szCs w:val="21"/>
        </w:rPr>
        <w:t>3下的《</w:t>
      </w:r>
      <w:r>
        <w:rPr>
          <w:rFonts w:hint="eastAsia" w:ascii="宋体" w:hAnsi="宋体" w:cs="宋体"/>
          <w:kern w:val="0"/>
          <w:szCs w:val="21"/>
          <w:u w:val="single"/>
        </w:rPr>
        <w:t xml:space="preserve"> 百大 </w:t>
      </w:r>
      <w:r>
        <w:rPr>
          <w:rFonts w:hint="eastAsia" w:ascii="宋体" w:hAnsi="宋体" w:cs="宋体"/>
          <w:kern w:val="0"/>
          <w:szCs w:val="21"/>
        </w:rPr>
        <w:t>集团</w:t>
      </w:r>
      <w:r>
        <w:rPr>
          <w:rFonts w:hint="eastAsia" w:ascii="宋体" w:hAnsi="宋体" w:cs="宋体"/>
          <w:kern w:val="0"/>
          <w:szCs w:val="21"/>
          <w:u w:val="single"/>
        </w:rPr>
        <w:t xml:space="preserve"> 鼓楼 </w:t>
      </w:r>
      <w:r>
        <w:rPr>
          <w:rFonts w:hint="eastAsia" w:ascii="宋体" w:hAnsi="宋体" w:cs="宋体"/>
          <w:kern w:val="0"/>
          <w:szCs w:val="21"/>
        </w:rPr>
        <w:t>店</w:t>
      </w:r>
      <w:r>
        <w:rPr>
          <w:rFonts w:hint="eastAsia" w:ascii="宋体" w:hAnsi="宋体"/>
          <w:szCs w:val="21"/>
        </w:rPr>
        <w:t>增减设备负荷表》</w:t>
      </w:r>
      <w:r>
        <w:rPr>
          <w:rFonts w:hint="eastAsia" w:ascii="宋体" w:hAnsi="宋体" w:cs="宋体"/>
          <w:kern w:val="0"/>
          <w:szCs w:val="21"/>
        </w:rPr>
        <w:t>处理。</w:t>
      </w:r>
    </w:p>
    <w:p>
      <w:pPr>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（5）营业时间调整变化：</w:t>
      </w:r>
      <w:r>
        <w:rPr>
          <w:rFonts w:hint="eastAsia" w:ascii="宋体" w:hAnsi="宋体" w:cs="宋体"/>
          <w:kern w:val="0"/>
          <w:szCs w:val="21"/>
        </w:rPr>
        <w:t>门店各用电设备运行模式与改造前应保持基本一致，如有调整按相应变化计算能耗变化。</w:t>
      </w:r>
    </w:p>
    <w:p>
      <w:pPr>
        <w:snapToGrid w:val="0"/>
        <w:spacing w:line="360" w:lineRule="auto"/>
        <w:ind w:firstLine="468"/>
        <w:rPr>
          <w:rFonts w:ascii="宋体"/>
          <w:szCs w:val="21"/>
        </w:rPr>
      </w:pPr>
      <w:r>
        <w:rPr>
          <w:rFonts w:hint="eastAsia" w:ascii="宋体" w:hAnsi="宋体"/>
          <w:szCs w:val="21"/>
        </w:rPr>
        <w:t>（6）在整个效益分享期内，甲、乙任意一方对节能量数值有异议，可聘请具有相关资质的第三方进行审核，聘请费用由过错方承担，如无过错方，聘请费用由提出异议方承担。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80"/>
        <w:rPr>
          <w:rFonts w:ascii="宋体"/>
          <w:szCs w:val="21"/>
        </w:rPr>
      </w:pPr>
      <w:r>
        <w:rPr>
          <w:rFonts w:hint="eastAsia" w:ascii="宋体" w:hAnsi="宋体"/>
          <w:szCs w:val="21"/>
        </w:rPr>
        <w:t>（7）结算方式：采用每月结算一次的方式，每12个月为一个周期年，每个周期年的第</w:t>
      </w:r>
      <w:r>
        <w:rPr>
          <w:rFonts w:ascii="宋体" w:hAnsi="宋体"/>
          <w:szCs w:val="21"/>
        </w:rPr>
        <w:t>1</w:t>
      </w:r>
      <w:r>
        <w:rPr>
          <w:rFonts w:hint="eastAsia" w:ascii="宋体" w:hAnsi="宋体"/>
          <w:szCs w:val="21"/>
        </w:rPr>
        <w:t>至</w:t>
      </w:r>
      <w:r>
        <w:rPr>
          <w:rFonts w:ascii="宋体" w:hAnsi="宋体"/>
          <w:szCs w:val="21"/>
        </w:rPr>
        <w:t>11</w:t>
      </w:r>
      <w:r>
        <w:rPr>
          <w:rFonts w:hint="eastAsia" w:ascii="宋体" w:hAnsi="宋体"/>
          <w:szCs w:val="21"/>
        </w:rPr>
        <w:t>个月以实际节电量计算双方的节能效益分享款，在第</w:t>
      </w:r>
      <w:r>
        <w:rPr>
          <w:rFonts w:ascii="宋体" w:hAnsi="宋体"/>
          <w:szCs w:val="21"/>
        </w:rPr>
        <w:t>12</w:t>
      </w:r>
      <w:r>
        <w:rPr>
          <w:rFonts w:hint="eastAsia" w:ascii="宋体" w:hAnsi="宋体"/>
          <w:szCs w:val="21"/>
        </w:rPr>
        <w:t>个月结算时，如本周期年度12个月的总节省量低于乙方承诺的最低年节省量标准，则本周期年度内乙方承诺节省量中甲方应分享效益的不足部分从中扣除，如乙方第</w:t>
      </w:r>
      <w:r>
        <w:rPr>
          <w:rFonts w:ascii="宋体" w:hAnsi="宋体"/>
          <w:szCs w:val="21"/>
        </w:rPr>
        <w:t>12</w:t>
      </w:r>
      <w:r>
        <w:rPr>
          <w:rFonts w:hint="eastAsia" w:ascii="宋体" w:hAnsi="宋体"/>
          <w:szCs w:val="21"/>
        </w:rPr>
        <w:t>个月的节能效益分享款还不足以补偿的甲方全年应得部分，则乙方直接以现金补足。</w:t>
      </w:r>
    </w:p>
    <w:p>
      <w:pPr>
        <w:snapToGrid w:val="0"/>
        <w:spacing w:line="360" w:lineRule="auto"/>
        <w:ind w:firstLine="480"/>
        <w:rPr>
          <w:rFonts w:ascii="宋体" w:hAnsi="宋体"/>
          <w:szCs w:val="21"/>
        </w:rPr>
      </w:pPr>
      <w:r>
        <w:rPr>
          <w:rFonts w:hint="eastAsia" w:ascii="宋体" w:hAnsi="宋体"/>
          <w:szCs w:val="21"/>
        </w:rPr>
        <w:t>（8）项目合同签署之后，甲、乙双方就改造范围内甲方用电设备是否运行正常进行检查，甲方应确保其设备运行正常，如甲方设备有不能正常运行的，须由甲方负责维修直至恢复正常状态。</w:t>
      </w:r>
    </w:p>
    <w:p>
      <w:pPr>
        <w:snapToGrid w:val="0"/>
        <w:spacing w:line="360" w:lineRule="auto"/>
        <w:ind w:firstLine="480"/>
        <w:rPr>
          <w:rFonts w:ascii="宋体" w:hAnsi="宋体"/>
          <w:szCs w:val="21"/>
        </w:rPr>
      </w:pPr>
      <w:r>
        <w:rPr>
          <w:rFonts w:hint="eastAsia" w:ascii="宋体" w:hAnsi="宋体"/>
          <w:szCs w:val="21"/>
        </w:rPr>
        <w:t>（9）合同期内甲方原有大型设备设施的外包保养服务（如空调、电梯以及冷链系统的外包保养等）费用甲方需继续承担，如果改由乙方维保，须征得乙方同意并与乙方另签维保合同，费用乙方可优惠但亦由甲方负担，合同期内乙方投入的节能设备设施的维修保养由乙方免费负责，合同期满后甲方需要乙方继续维保或管理的，双方另签维保协议或新的能源管理合同。</w:t>
      </w:r>
    </w:p>
    <w:p>
      <w:pPr>
        <w:snapToGrid w:val="0"/>
        <w:spacing w:line="360" w:lineRule="auto"/>
        <w:rPr>
          <w:rFonts w:ascii="宋体" w:hAnsi="宋体"/>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pStyle w:val="2"/>
        <w:numPr>
          <w:ilvl w:val="0"/>
          <w:numId w:val="0"/>
        </w:numPr>
        <w:rPr>
          <w:rFonts w:asciiTheme="majorEastAsia" w:hAnsiTheme="majorEastAsia" w:eastAsiaTheme="majorEastAsia"/>
          <w:sz w:val="28"/>
          <w:szCs w:val="28"/>
        </w:rPr>
      </w:pPr>
      <w:bookmarkStart w:id="16" w:name="_Toc491005870"/>
      <w:bookmarkStart w:id="17" w:name="_Toc13732428"/>
      <w:r>
        <w:rPr>
          <w:rFonts w:hint="eastAsia" w:asciiTheme="majorEastAsia" w:hAnsiTheme="majorEastAsia" w:eastAsiaTheme="majorEastAsia"/>
          <w:sz w:val="28"/>
          <w:szCs w:val="28"/>
        </w:rPr>
        <w:t>第六章</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投标文件格式</w:t>
      </w:r>
      <w:bookmarkEnd w:id="16"/>
      <w:bookmarkEnd w:id="17"/>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致合肥鼓楼商厦有限责任公司：</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号招标文件要求，我司签字代表</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（姓名、职务）已被正式授权代表投标人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⑸投标人完全理解招标人不以最低报价作为确定中标人唯一标准的评定标方式。</w:t>
      </w:r>
    </w:p>
    <w:p>
      <w:pPr>
        <w:spacing w:line="440" w:lineRule="exact"/>
        <w:ind w:firstLine="2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⑹投标人同意提供招标人可能要求的与其投标有关的一切数据或资料。</w:t>
      </w:r>
    </w:p>
    <w:p>
      <w:pPr>
        <w:spacing w:line="440" w:lineRule="exact"/>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授权代表（签字）：</w:t>
      </w:r>
    </w:p>
    <w:p>
      <w:pPr>
        <w:spacing w:line="500" w:lineRule="exact"/>
        <w:jc w:val="center"/>
        <w:rPr>
          <w:rFonts w:asciiTheme="majorEastAsia" w:hAnsiTheme="majorEastAsia" w:eastAsiaTheme="majorEastAsia"/>
          <w:sz w:val="28"/>
          <w:szCs w:val="28"/>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二〇二〇年月日</w:t>
      </w:r>
    </w:p>
    <w:p>
      <w:pPr>
        <w:spacing w:line="500" w:lineRule="exact"/>
        <w:jc w:val="center"/>
        <w:rPr>
          <w:rFonts w:asciiTheme="minorEastAsia" w:hAnsiTheme="minorEastAsia" w:eastAsiaTheme="minorEastAsia" w:cstheme="minorEastAsia"/>
          <w:sz w:val="24"/>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580"/>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6577"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840" w:firstLineChars="350"/>
              <w:rPr>
                <w:rFonts w:hint="eastAsia" w:ascii="楷体_GB2312" w:hAnsi="宋体" w:cs="宋体" w:eastAsiaTheme="minorEastAsia"/>
                <w:b/>
                <w:color w:val="000000"/>
                <w:kern w:val="0"/>
                <w:sz w:val="24"/>
                <w:lang w:eastAsia="zh-CN"/>
              </w:rPr>
            </w:pPr>
            <w:r>
              <w:rPr>
                <w:rFonts w:hint="eastAsia" w:asciiTheme="minorEastAsia" w:hAnsiTheme="minorEastAsia" w:eastAsiaTheme="minorEastAsia" w:cstheme="minorEastAsia"/>
                <w:sz w:val="24"/>
              </w:rPr>
              <w:t>百大鼓楼名品中心金座合同能源管理</w:t>
            </w:r>
            <w:r>
              <w:rPr>
                <w:rFonts w:hint="eastAsia" w:asciiTheme="minorEastAsia" w:hAnsiTheme="minorEastAsia" w:eastAsiaTheme="minorEastAsia" w:cstheme="minorEastAsia"/>
                <w:sz w:val="24"/>
                <w:lang w:eastAsia="zh-CN"/>
              </w:rPr>
              <w:t>服务（二次）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7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6577" w:type="dxa"/>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6577" w:type="dxa"/>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right w:val="single" w:color="auto" w:sz="4" w:space="0"/>
            </w:tcBorders>
            <w:noWrap/>
            <w:vAlign w:val="center"/>
          </w:tcPr>
          <w:p>
            <w:pPr>
              <w:spacing w:line="400" w:lineRule="exact"/>
              <w:jc w:val="center"/>
              <w:rPr>
                <w:bCs/>
                <w:kern w:val="28"/>
                <w:sz w:val="22"/>
                <w:lang w:val="eu-ES"/>
              </w:rPr>
            </w:pPr>
            <w:r>
              <w:rPr>
                <w:rFonts w:hint="eastAsia"/>
                <w:bCs/>
                <w:kern w:val="28"/>
                <w:sz w:val="22"/>
                <w:lang w:val="eu-ES"/>
              </w:rPr>
              <w:t>节能分享方案</w:t>
            </w:r>
          </w:p>
        </w:tc>
        <w:tc>
          <w:tcPr>
            <w:tcW w:w="6577"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2580" w:type="dxa"/>
            <w:tcBorders>
              <w:top w:val="single" w:color="auto" w:sz="4" w:space="0"/>
              <w:left w:val="single" w:color="auto" w:sz="4" w:space="0"/>
              <w:right w:val="single" w:color="auto" w:sz="4" w:space="0"/>
            </w:tcBorders>
            <w:noWrap/>
            <w:vAlign w:val="center"/>
          </w:tcPr>
          <w:p>
            <w:pPr>
              <w:spacing w:line="400" w:lineRule="exact"/>
              <w:jc w:val="center"/>
              <w:rPr>
                <w:bCs/>
                <w:kern w:val="28"/>
                <w:sz w:val="22"/>
                <w:lang w:val="eu-ES"/>
              </w:rPr>
            </w:pPr>
            <w:r>
              <w:rPr>
                <w:rFonts w:hint="eastAsia"/>
                <w:bCs/>
                <w:kern w:val="28"/>
                <w:sz w:val="22"/>
                <w:lang w:val="eu-ES"/>
              </w:rPr>
              <w:t>改造工期</w:t>
            </w:r>
          </w:p>
        </w:tc>
        <w:tc>
          <w:tcPr>
            <w:tcW w:w="6577"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2580" w:type="dxa"/>
            <w:tcBorders>
              <w:top w:val="single" w:color="auto" w:sz="4" w:space="0"/>
              <w:left w:val="single" w:color="auto" w:sz="4" w:space="0"/>
              <w:right w:val="single" w:color="auto" w:sz="4" w:space="0"/>
            </w:tcBorders>
            <w:noWrap/>
            <w:vAlign w:val="center"/>
          </w:tcPr>
          <w:p>
            <w:pPr>
              <w:spacing w:line="400" w:lineRule="exact"/>
              <w:jc w:val="center"/>
              <w:rPr>
                <w:bCs/>
                <w:kern w:val="28"/>
                <w:sz w:val="22"/>
                <w:lang w:val="eu-ES"/>
              </w:rPr>
            </w:pPr>
            <w:r>
              <w:rPr>
                <w:rFonts w:hint="eastAsia"/>
                <w:bCs/>
                <w:kern w:val="28"/>
                <w:sz w:val="22"/>
                <w:lang w:val="eu-ES"/>
              </w:rPr>
              <w:t>付款方式</w:t>
            </w:r>
          </w:p>
        </w:tc>
        <w:tc>
          <w:tcPr>
            <w:tcW w:w="6577" w:type="dxa"/>
            <w:tcBorders>
              <w:top w:val="single" w:color="auto" w:sz="4" w:space="0"/>
              <w:left w:val="single" w:color="auto" w:sz="4" w:space="0"/>
              <w:right w:val="single" w:color="auto" w:sz="4" w:space="0"/>
            </w:tcBorders>
            <w:noWrap/>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178"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kern w:val="28"/>
                <w:sz w:val="22"/>
                <w:lang w:val="eu-ES"/>
              </w:rPr>
            </w:pPr>
            <w:r>
              <w:rPr>
                <w:rFonts w:hint="eastAsia"/>
                <w:kern w:val="28"/>
                <w:sz w:val="22"/>
                <w:lang w:val="eu-ES"/>
              </w:rPr>
              <w:t>备注</w:t>
            </w:r>
          </w:p>
        </w:tc>
        <w:tc>
          <w:tcPr>
            <w:tcW w:w="657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59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kern w:val="0"/>
                <w:sz w:val="22"/>
              </w:rPr>
            </w:pPr>
            <w:r>
              <w:rPr>
                <w:rFonts w:hint="eastAsia" w:ascii="宋体" w:hAnsi="宋体" w:cs="宋体"/>
                <w:kern w:val="0"/>
                <w:sz w:val="22"/>
              </w:rPr>
              <w:t>项目节能率</w:t>
            </w:r>
          </w:p>
        </w:tc>
        <w:tc>
          <w:tcPr>
            <w:tcW w:w="6577"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880" w:firstLineChars="400"/>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755"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cs="宋体"/>
                <w:kern w:val="0"/>
                <w:sz w:val="22"/>
              </w:rPr>
            </w:pPr>
            <w:r>
              <w:rPr>
                <w:rFonts w:hint="eastAsia" w:ascii="宋体" w:hAnsi="宋体" w:cs="宋体"/>
                <w:kern w:val="0"/>
                <w:sz w:val="24"/>
              </w:rPr>
              <w:t>注：项目节能率不得低于</w:t>
            </w:r>
            <w:r>
              <w:rPr>
                <w:rFonts w:hint="eastAsia" w:ascii="宋体" w:hAnsi="宋体" w:cs="宋体"/>
                <w:kern w:val="0"/>
                <w:sz w:val="24"/>
                <w:lang w:val="en-US" w:eastAsia="zh-CN"/>
              </w:rPr>
              <w:t>21.5</w:t>
            </w:r>
            <w:r>
              <w:rPr>
                <w:rFonts w:hint="eastAsia" w:ascii="宋体" w:hAnsi="宋体" w:cs="宋体"/>
                <w:kern w:val="0"/>
                <w:sz w:val="24"/>
              </w:rPr>
              <w:t>%，否则视为废标；</w:t>
            </w:r>
          </w:p>
        </w:tc>
      </w:tr>
    </w:tbl>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二〇二〇年月日</w:t>
      </w:r>
    </w:p>
    <w:p>
      <w:pPr>
        <w:widowControl/>
        <w:spacing w:line="700" w:lineRule="exact"/>
        <w:rPr>
          <w:rFonts w:ascii="宋体" w:hAnsi="宋体"/>
          <w:b/>
          <w:sz w:val="24"/>
        </w:rPr>
      </w:pPr>
      <w:r>
        <w:rPr>
          <w:rFonts w:hint="eastAsia" w:ascii="宋体" w:hAnsi="宋体" w:cs="宋体"/>
          <w:b/>
          <w:kern w:val="0"/>
          <w:sz w:val="24"/>
        </w:rPr>
        <w:t>注：招标</w:t>
      </w:r>
      <w:r>
        <w:rPr>
          <w:rFonts w:hint="eastAsia" w:ascii="宋体" w:hAnsi="宋体"/>
          <w:b/>
          <w:sz w:val="24"/>
        </w:rPr>
        <w:t>人不建议投标人采用总价优惠或以总价百分比优惠的方式进行投标报价，其优惠须直接计算并体现在投标报价中。</w:t>
      </w:r>
    </w:p>
    <w:p>
      <w:pPr>
        <w:rPr>
          <w:b/>
          <w:sz w:val="28"/>
          <w:szCs w:val="28"/>
        </w:rPr>
      </w:pPr>
    </w:p>
    <w:p>
      <w:pPr>
        <w:rPr>
          <w:b/>
          <w:sz w:val="28"/>
          <w:szCs w:val="28"/>
        </w:rPr>
      </w:pPr>
    </w:p>
    <w:p>
      <w:pPr>
        <w:rPr>
          <w:b/>
          <w:sz w:val="28"/>
          <w:szCs w:val="28"/>
        </w:rPr>
      </w:pPr>
    </w:p>
    <w:p>
      <w:pPr>
        <w:rPr>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五、投标人信用承诺</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b/>
          <w:sz w:val="24"/>
        </w:rPr>
        <w:t>投标人签章：</w:t>
      </w: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六、投标保证金退还申请书</w:t>
      </w:r>
    </w:p>
    <w:p>
      <w:pPr>
        <w:spacing w:beforeLines="150" w:afterLines="100"/>
        <w:rPr>
          <w:rFonts w:cs="宋体" w:asciiTheme="majorEastAsia" w:hAnsiTheme="majorEastAsia" w:eastAsiaTheme="majorEastAsia"/>
          <w:sz w:val="28"/>
          <w:szCs w:val="28"/>
        </w:rPr>
      </w:pPr>
      <w:r>
        <w:rPr>
          <w:rFonts w:hint="eastAsia" w:cs="宋体" w:asciiTheme="majorEastAsia" w:hAnsiTheme="majorEastAsia" w:eastAsiaTheme="majorEastAsia"/>
          <w:kern w:val="0"/>
          <w:sz w:val="28"/>
          <w:szCs w:val="28"/>
          <w:lang w:val="zh-CN"/>
        </w:rPr>
        <w:t>合肥鼓楼商厦有限责任公司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20年  月  日</w:t>
      </w:r>
      <w:r>
        <w:rPr>
          <w:rFonts w:hint="eastAsia" w:cs="宋体" w:asciiTheme="majorEastAsia" w:hAnsiTheme="majorEastAsia" w:eastAsiaTheme="majorEastAsia"/>
          <w:sz w:val="28"/>
          <w:szCs w:val="28"/>
        </w:rPr>
        <w:t>参加项目招投标，交纳保证金    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ind w:firstLine="6059" w:firstLineChars="2164"/>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7420" w:firstLineChars="26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年月日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41</w:t>
    </w:r>
    <w:r>
      <w:rPr>
        <w:b/>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DAB0D"/>
    <w:multiLevelType w:val="singleLevel"/>
    <w:tmpl w:val="83BDAB0D"/>
    <w:lvl w:ilvl="0" w:tentative="0">
      <w:start w:val="1"/>
      <w:numFmt w:val="chineseCounting"/>
      <w:suff w:val="space"/>
      <w:lvlText w:val="第%1章"/>
      <w:lvlJc w:val="left"/>
      <w:rPr>
        <w:rFonts w:hint="eastAsia"/>
      </w:rPr>
    </w:lvl>
  </w:abstractNum>
  <w:abstractNum w:abstractNumId="1">
    <w:nsid w:val="E5AACB30"/>
    <w:multiLevelType w:val="singleLevel"/>
    <w:tmpl w:val="E5AACB30"/>
    <w:lvl w:ilvl="0" w:tentative="0">
      <w:start w:val="3"/>
      <w:numFmt w:val="decimal"/>
      <w:suff w:val="nothing"/>
      <w:lvlText w:val="%1、"/>
      <w:lvlJc w:val="left"/>
      <w:pPr>
        <w:ind w:left="630" w:firstLine="0"/>
      </w:pPr>
    </w:lvl>
  </w:abstractNum>
  <w:abstractNum w:abstractNumId="2">
    <w:nsid w:val="F4884698"/>
    <w:multiLevelType w:val="singleLevel"/>
    <w:tmpl w:val="F4884698"/>
    <w:lvl w:ilvl="0" w:tentative="0">
      <w:start w:val="1"/>
      <w:numFmt w:val="decimal"/>
      <w:suff w:val="nothing"/>
      <w:lvlText w:val="（%1）"/>
      <w:lvlJc w:val="left"/>
    </w:lvl>
  </w:abstractNum>
  <w:abstractNum w:abstractNumId="3">
    <w:nsid w:val="2F8F2DF0"/>
    <w:multiLevelType w:val="multilevel"/>
    <w:tmpl w:val="2F8F2DF0"/>
    <w:lvl w:ilvl="0" w:tentative="0">
      <w:start w:val="1"/>
      <w:numFmt w:val="upperLetter"/>
      <w:lvlText w:val="%1、"/>
      <w:lvlJc w:val="left"/>
      <w:pPr>
        <w:ind w:left="1730" w:hanging="360"/>
      </w:pPr>
      <w:rPr>
        <w:rFonts w:hint="default"/>
      </w:rPr>
    </w:lvl>
    <w:lvl w:ilvl="1" w:tentative="0">
      <w:start w:val="1"/>
      <w:numFmt w:val="lowerLetter"/>
      <w:lvlText w:val="%2)"/>
      <w:lvlJc w:val="left"/>
      <w:pPr>
        <w:ind w:left="2210" w:hanging="420"/>
      </w:pPr>
    </w:lvl>
    <w:lvl w:ilvl="2" w:tentative="0">
      <w:start w:val="1"/>
      <w:numFmt w:val="lowerRoman"/>
      <w:lvlText w:val="%3."/>
      <w:lvlJc w:val="right"/>
      <w:pPr>
        <w:ind w:left="2630" w:hanging="420"/>
      </w:pPr>
    </w:lvl>
    <w:lvl w:ilvl="3" w:tentative="0">
      <w:start w:val="1"/>
      <w:numFmt w:val="decimal"/>
      <w:lvlText w:val="%4."/>
      <w:lvlJc w:val="left"/>
      <w:pPr>
        <w:ind w:left="3050" w:hanging="420"/>
      </w:pPr>
    </w:lvl>
    <w:lvl w:ilvl="4" w:tentative="0">
      <w:start w:val="1"/>
      <w:numFmt w:val="lowerLetter"/>
      <w:lvlText w:val="%5)"/>
      <w:lvlJc w:val="left"/>
      <w:pPr>
        <w:ind w:left="3470" w:hanging="420"/>
      </w:pPr>
    </w:lvl>
    <w:lvl w:ilvl="5" w:tentative="0">
      <w:start w:val="1"/>
      <w:numFmt w:val="lowerRoman"/>
      <w:lvlText w:val="%6."/>
      <w:lvlJc w:val="right"/>
      <w:pPr>
        <w:ind w:left="3890" w:hanging="420"/>
      </w:pPr>
    </w:lvl>
    <w:lvl w:ilvl="6" w:tentative="0">
      <w:start w:val="1"/>
      <w:numFmt w:val="decimal"/>
      <w:lvlText w:val="%7."/>
      <w:lvlJc w:val="left"/>
      <w:pPr>
        <w:ind w:left="4310" w:hanging="420"/>
      </w:pPr>
    </w:lvl>
    <w:lvl w:ilvl="7" w:tentative="0">
      <w:start w:val="1"/>
      <w:numFmt w:val="lowerLetter"/>
      <w:lvlText w:val="%8)"/>
      <w:lvlJc w:val="left"/>
      <w:pPr>
        <w:ind w:left="4730" w:hanging="420"/>
      </w:pPr>
    </w:lvl>
    <w:lvl w:ilvl="8" w:tentative="0">
      <w:start w:val="1"/>
      <w:numFmt w:val="lowerRoman"/>
      <w:lvlText w:val="%9."/>
      <w:lvlJc w:val="right"/>
      <w:pPr>
        <w:ind w:left="5150" w:hanging="420"/>
      </w:pPr>
    </w:lvl>
  </w:abstractNum>
  <w:abstractNum w:abstractNumId="4">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5">
    <w:nsid w:val="5EEF3F7D"/>
    <w:multiLevelType w:val="multilevel"/>
    <w:tmpl w:val="5EEF3F7D"/>
    <w:lvl w:ilvl="0" w:tentative="0">
      <w:start w:val="1"/>
      <w:numFmt w:val="decimal"/>
      <w:lvlText w:val="（%1）"/>
      <w:lvlJc w:val="left"/>
      <w:pPr>
        <w:ind w:left="1350" w:hanging="720"/>
      </w:pPr>
      <w:rPr>
        <w:rFonts w:hint="default"/>
        <w:color w:val="auto"/>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9"/>
    <w:rsid w:val="00001912"/>
    <w:rsid w:val="000042E0"/>
    <w:rsid w:val="000044D8"/>
    <w:rsid w:val="00005997"/>
    <w:rsid w:val="00006C6E"/>
    <w:rsid w:val="00007BBA"/>
    <w:rsid w:val="00010828"/>
    <w:rsid w:val="0001213E"/>
    <w:rsid w:val="00013014"/>
    <w:rsid w:val="000131F7"/>
    <w:rsid w:val="00015031"/>
    <w:rsid w:val="0001677F"/>
    <w:rsid w:val="000169A0"/>
    <w:rsid w:val="00016E0F"/>
    <w:rsid w:val="0002026C"/>
    <w:rsid w:val="000202E0"/>
    <w:rsid w:val="00023053"/>
    <w:rsid w:val="00023963"/>
    <w:rsid w:val="000319AF"/>
    <w:rsid w:val="000319E2"/>
    <w:rsid w:val="00031C0C"/>
    <w:rsid w:val="00032554"/>
    <w:rsid w:val="00034475"/>
    <w:rsid w:val="000344CD"/>
    <w:rsid w:val="00036347"/>
    <w:rsid w:val="0003799C"/>
    <w:rsid w:val="000408EC"/>
    <w:rsid w:val="00042824"/>
    <w:rsid w:val="0004282C"/>
    <w:rsid w:val="0004327D"/>
    <w:rsid w:val="0004337A"/>
    <w:rsid w:val="000475D7"/>
    <w:rsid w:val="00047AF0"/>
    <w:rsid w:val="00052D08"/>
    <w:rsid w:val="000548FC"/>
    <w:rsid w:val="00056300"/>
    <w:rsid w:val="00056E4E"/>
    <w:rsid w:val="000574D5"/>
    <w:rsid w:val="00062B70"/>
    <w:rsid w:val="00062D9B"/>
    <w:rsid w:val="00070C4E"/>
    <w:rsid w:val="00074B2A"/>
    <w:rsid w:val="00075DD8"/>
    <w:rsid w:val="000769E8"/>
    <w:rsid w:val="0007766A"/>
    <w:rsid w:val="00080DF5"/>
    <w:rsid w:val="00081654"/>
    <w:rsid w:val="000817EF"/>
    <w:rsid w:val="00081BFB"/>
    <w:rsid w:val="00082A8D"/>
    <w:rsid w:val="00083A5C"/>
    <w:rsid w:val="00084659"/>
    <w:rsid w:val="000869B8"/>
    <w:rsid w:val="00086F6C"/>
    <w:rsid w:val="00090B04"/>
    <w:rsid w:val="0009161A"/>
    <w:rsid w:val="00091AD5"/>
    <w:rsid w:val="00092C71"/>
    <w:rsid w:val="000939EB"/>
    <w:rsid w:val="000947D4"/>
    <w:rsid w:val="00096A60"/>
    <w:rsid w:val="00096CEC"/>
    <w:rsid w:val="000A06A8"/>
    <w:rsid w:val="000A1768"/>
    <w:rsid w:val="000A22D7"/>
    <w:rsid w:val="000A6020"/>
    <w:rsid w:val="000A7700"/>
    <w:rsid w:val="000B0489"/>
    <w:rsid w:val="000B0E44"/>
    <w:rsid w:val="000B44A8"/>
    <w:rsid w:val="000B5D8D"/>
    <w:rsid w:val="000B6ACA"/>
    <w:rsid w:val="000B79DE"/>
    <w:rsid w:val="000C1066"/>
    <w:rsid w:val="000C1AD6"/>
    <w:rsid w:val="000C2DC0"/>
    <w:rsid w:val="000C3A2E"/>
    <w:rsid w:val="000C4C50"/>
    <w:rsid w:val="000C5BE8"/>
    <w:rsid w:val="000C5FCC"/>
    <w:rsid w:val="000C6814"/>
    <w:rsid w:val="000C6D4C"/>
    <w:rsid w:val="000D096B"/>
    <w:rsid w:val="000D233F"/>
    <w:rsid w:val="000D3AB8"/>
    <w:rsid w:val="000D4259"/>
    <w:rsid w:val="000D4ACF"/>
    <w:rsid w:val="000D4D5A"/>
    <w:rsid w:val="000D6F52"/>
    <w:rsid w:val="000D7693"/>
    <w:rsid w:val="000E0A7E"/>
    <w:rsid w:val="000E13A3"/>
    <w:rsid w:val="000E2FB3"/>
    <w:rsid w:val="000E4818"/>
    <w:rsid w:val="000E6846"/>
    <w:rsid w:val="000F1020"/>
    <w:rsid w:val="000F1A6E"/>
    <w:rsid w:val="000F2BE7"/>
    <w:rsid w:val="000F2E93"/>
    <w:rsid w:val="000F52E3"/>
    <w:rsid w:val="000F53F1"/>
    <w:rsid w:val="000F7308"/>
    <w:rsid w:val="00101EA1"/>
    <w:rsid w:val="001058EA"/>
    <w:rsid w:val="00106F64"/>
    <w:rsid w:val="001070A3"/>
    <w:rsid w:val="00107138"/>
    <w:rsid w:val="00107CD0"/>
    <w:rsid w:val="00110724"/>
    <w:rsid w:val="00110EE1"/>
    <w:rsid w:val="001139EB"/>
    <w:rsid w:val="00117391"/>
    <w:rsid w:val="001174C8"/>
    <w:rsid w:val="0012314F"/>
    <w:rsid w:val="00124EF6"/>
    <w:rsid w:val="00124FA2"/>
    <w:rsid w:val="00130BF3"/>
    <w:rsid w:val="0013144E"/>
    <w:rsid w:val="00132262"/>
    <w:rsid w:val="00134315"/>
    <w:rsid w:val="00135D0C"/>
    <w:rsid w:val="00135F34"/>
    <w:rsid w:val="001431EB"/>
    <w:rsid w:val="00144631"/>
    <w:rsid w:val="00144846"/>
    <w:rsid w:val="001450F0"/>
    <w:rsid w:val="00147067"/>
    <w:rsid w:val="00147FA1"/>
    <w:rsid w:val="00150FD2"/>
    <w:rsid w:val="00152F05"/>
    <w:rsid w:val="00153939"/>
    <w:rsid w:val="0015397E"/>
    <w:rsid w:val="00153B19"/>
    <w:rsid w:val="001543C5"/>
    <w:rsid w:val="001545B8"/>
    <w:rsid w:val="0015517C"/>
    <w:rsid w:val="00156B98"/>
    <w:rsid w:val="001575F3"/>
    <w:rsid w:val="00160325"/>
    <w:rsid w:val="001609F2"/>
    <w:rsid w:val="001624AE"/>
    <w:rsid w:val="00165084"/>
    <w:rsid w:val="00165953"/>
    <w:rsid w:val="00167BCE"/>
    <w:rsid w:val="00170022"/>
    <w:rsid w:val="00172858"/>
    <w:rsid w:val="00172EEA"/>
    <w:rsid w:val="0017472E"/>
    <w:rsid w:val="001758E3"/>
    <w:rsid w:val="00177707"/>
    <w:rsid w:val="00185322"/>
    <w:rsid w:val="00185DDE"/>
    <w:rsid w:val="001868E2"/>
    <w:rsid w:val="0018793B"/>
    <w:rsid w:val="00190435"/>
    <w:rsid w:val="001919AD"/>
    <w:rsid w:val="00192DDE"/>
    <w:rsid w:val="00193267"/>
    <w:rsid w:val="00193CDD"/>
    <w:rsid w:val="001954E5"/>
    <w:rsid w:val="001A021B"/>
    <w:rsid w:val="001A3042"/>
    <w:rsid w:val="001A7B5F"/>
    <w:rsid w:val="001B1408"/>
    <w:rsid w:val="001B2D4E"/>
    <w:rsid w:val="001B331D"/>
    <w:rsid w:val="001B65E3"/>
    <w:rsid w:val="001B69B2"/>
    <w:rsid w:val="001B70BB"/>
    <w:rsid w:val="001B7AB9"/>
    <w:rsid w:val="001C2E85"/>
    <w:rsid w:val="001C4725"/>
    <w:rsid w:val="001C7ED7"/>
    <w:rsid w:val="001D42B7"/>
    <w:rsid w:val="001D508D"/>
    <w:rsid w:val="001D51D4"/>
    <w:rsid w:val="001D5E9D"/>
    <w:rsid w:val="001D64FD"/>
    <w:rsid w:val="001D6721"/>
    <w:rsid w:val="001D7451"/>
    <w:rsid w:val="001D7C03"/>
    <w:rsid w:val="001E1756"/>
    <w:rsid w:val="001E2F4D"/>
    <w:rsid w:val="001E5882"/>
    <w:rsid w:val="001E6178"/>
    <w:rsid w:val="001E7B7B"/>
    <w:rsid w:val="001F311A"/>
    <w:rsid w:val="001F3631"/>
    <w:rsid w:val="001F4870"/>
    <w:rsid w:val="001F49E3"/>
    <w:rsid w:val="001F694B"/>
    <w:rsid w:val="001F7C76"/>
    <w:rsid w:val="00200399"/>
    <w:rsid w:val="00200FF4"/>
    <w:rsid w:val="002026C4"/>
    <w:rsid w:val="00207235"/>
    <w:rsid w:val="00210437"/>
    <w:rsid w:val="002109DA"/>
    <w:rsid w:val="00210A5D"/>
    <w:rsid w:val="00212663"/>
    <w:rsid w:val="0021280A"/>
    <w:rsid w:val="002144DE"/>
    <w:rsid w:val="00221174"/>
    <w:rsid w:val="00221BB4"/>
    <w:rsid w:val="00222019"/>
    <w:rsid w:val="0022671A"/>
    <w:rsid w:val="002268E0"/>
    <w:rsid w:val="00226CB4"/>
    <w:rsid w:val="00230FE7"/>
    <w:rsid w:val="002317EE"/>
    <w:rsid w:val="00231DAA"/>
    <w:rsid w:val="00235F0B"/>
    <w:rsid w:val="0023688C"/>
    <w:rsid w:val="00237F97"/>
    <w:rsid w:val="00241B74"/>
    <w:rsid w:val="00243D23"/>
    <w:rsid w:val="002440BB"/>
    <w:rsid w:val="002440DE"/>
    <w:rsid w:val="002449C9"/>
    <w:rsid w:val="00246FC9"/>
    <w:rsid w:val="002474AC"/>
    <w:rsid w:val="00247B74"/>
    <w:rsid w:val="00247C44"/>
    <w:rsid w:val="00251C85"/>
    <w:rsid w:val="002530D1"/>
    <w:rsid w:val="002541CC"/>
    <w:rsid w:val="0025658E"/>
    <w:rsid w:val="00257E14"/>
    <w:rsid w:val="00260719"/>
    <w:rsid w:val="00260B08"/>
    <w:rsid w:val="0026186F"/>
    <w:rsid w:val="002630BC"/>
    <w:rsid w:val="00263177"/>
    <w:rsid w:val="00263E36"/>
    <w:rsid w:val="0027063C"/>
    <w:rsid w:val="002734FA"/>
    <w:rsid w:val="00274514"/>
    <w:rsid w:val="00276F76"/>
    <w:rsid w:val="00277753"/>
    <w:rsid w:val="00280AAF"/>
    <w:rsid w:val="00280E8C"/>
    <w:rsid w:val="00281368"/>
    <w:rsid w:val="002818B9"/>
    <w:rsid w:val="00281F64"/>
    <w:rsid w:val="00282786"/>
    <w:rsid w:val="00283E02"/>
    <w:rsid w:val="00283E3C"/>
    <w:rsid w:val="002840B1"/>
    <w:rsid w:val="002861BE"/>
    <w:rsid w:val="002870C5"/>
    <w:rsid w:val="00290F4D"/>
    <w:rsid w:val="002912AD"/>
    <w:rsid w:val="0029179A"/>
    <w:rsid w:val="00291ADB"/>
    <w:rsid w:val="002939AA"/>
    <w:rsid w:val="0029622D"/>
    <w:rsid w:val="00297219"/>
    <w:rsid w:val="002A1350"/>
    <w:rsid w:val="002A2B9B"/>
    <w:rsid w:val="002A4E77"/>
    <w:rsid w:val="002A71EE"/>
    <w:rsid w:val="002A72FD"/>
    <w:rsid w:val="002A7E78"/>
    <w:rsid w:val="002B0899"/>
    <w:rsid w:val="002B1387"/>
    <w:rsid w:val="002B23C5"/>
    <w:rsid w:val="002B552A"/>
    <w:rsid w:val="002B7240"/>
    <w:rsid w:val="002B7851"/>
    <w:rsid w:val="002C029E"/>
    <w:rsid w:val="002C10AD"/>
    <w:rsid w:val="002C1124"/>
    <w:rsid w:val="002C12BA"/>
    <w:rsid w:val="002C2837"/>
    <w:rsid w:val="002C3193"/>
    <w:rsid w:val="002C4E2C"/>
    <w:rsid w:val="002C523E"/>
    <w:rsid w:val="002C5487"/>
    <w:rsid w:val="002C591E"/>
    <w:rsid w:val="002C5D46"/>
    <w:rsid w:val="002C6312"/>
    <w:rsid w:val="002C76B1"/>
    <w:rsid w:val="002D0E0C"/>
    <w:rsid w:val="002D1C2E"/>
    <w:rsid w:val="002D5A14"/>
    <w:rsid w:val="002D61BD"/>
    <w:rsid w:val="002D748F"/>
    <w:rsid w:val="002E0B40"/>
    <w:rsid w:val="002E317F"/>
    <w:rsid w:val="002E4F8D"/>
    <w:rsid w:val="002E7102"/>
    <w:rsid w:val="002F0E94"/>
    <w:rsid w:val="002F1E98"/>
    <w:rsid w:val="002F31F2"/>
    <w:rsid w:val="002F4067"/>
    <w:rsid w:val="002F4F04"/>
    <w:rsid w:val="0030146A"/>
    <w:rsid w:val="00302476"/>
    <w:rsid w:val="00302B0D"/>
    <w:rsid w:val="0030381C"/>
    <w:rsid w:val="00306BA3"/>
    <w:rsid w:val="00310358"/>
    <w:rsid w:val="00311574"/>
    <w:rsid w:val="00311CDC"/>
    <w:rsid w:val="00312118"/>
    <w:rsid w:val="00315AEB"/>
    <w:rsid w:val="00316173"/>
    <w:rsid w:val="0031729F"/>
    <w:rsid w:val="00322B33"/>
    <w:rsid w:val="0032711F"/>
    <w:rsid w:val="00327582"/>
    <w:rsid w:val="00331565"/>
    <w:rsid w:val="00331B0E"/>
    <w:rsid w:val="00332335"/>
    <w:rsid w:val="0033356B"/>
    <w:rsid w:val="003335B4"/>
    <w:rsid w:val="003348A0"/>
    <w:rsid w:val="00335380"/>
    <w:rsid w:val="00336CC7"/>
    <w:rsid w:val="00337FF1"/>
    <w:rsid w:val="003406C1"/>
    <w:rsid w:val="00341780"/>
    <w:rsid w:val="00344A65"/>
    <w:rsid w:val="00345C79"/>
    <w:rsid w:val="003514E0"/>
    <w:rsid w:val="00351C3F"/>
    <w:rsid w:val="00352964"/>
    <w:rsid w:val="0035311B"/>
    <w:rsid w:val="00355671"/>
    <w:rsid w:val="00355B74"/>
    <w:rsid w:val="00356DB0"/>
    <w:rsid w:val="00357864"/>
    <w:rsid w:val="00361171"/>
    <w:rsid w:val="00361BF0"/>
    <w:rsid w:val="00362D0D"/>
    <w:rsid w:val="00363EBF"/>
    <w:rsid w:val="00364DEF"/>
    <w:rsid w:val="003659D9"/>
    <w:rsid w:val="00367DB5"/>
    <w:rsid w:val="0037005B"/>
    <w:rsid w:val="00375872"/>
    <w:rsid w:val="0037712B"/>
    <w:rsid w:val="003778BD"/>
    <w:rsid w:val="003821C8"/>
    <w:rsid w:val="00384B3E"/>
    <w:rsid w:val="00384CA0"/>
    <w:rsid w:val="003872AE"/>
    <w:rsid w:val="00390504"/>
    <w:rsid w:val="00390E90"/>
    <w:rsid w:val="00391B47"/>
    <w:rsid w:val="003921B7"/>
    <w:rsid w:val="003927C3"/>
    <w:rsid w:val="0039320C"/>
    <w:rsid w:val="00393FDC"/>
    <w:rsid w:val="00395D97"/>
    <w:rsid w:val="00396502"/>
    <w:rsid w:val="003A1F40"/>
    <w:rsid w:val="003A44E4"/>
    <w:rsid w:val="003A4EC9"/>
    <w:rsid w:val="003A57DC"/>
    <w:rsid w:val="003A6C3F"/>
    <w:rsid w:val="003A7480"/>
    <w:rsid w:val="003B0445"/>
    <w:rsid w:val="003B0786"/>
    <w:rsid w:val="003B1DF1"/>
    <w:rsid w:val="003B4C69"/>
    <w:rsid w:val="003B55D4"/>
    <w:rsid w:val="003B7F17"/>
    <w:rsid w:val="003C0E64"/>
    <w:rsid w:val="003C1A24"/>
    <w:rsid w:val="003C1F6E"/>
    <w:rsid w:val="003C382E"/>
    <w:rsid w:val="003C4211"/>
    <w:rsid w:val="003C4429"/>
    <w:rsid w:val="003C5D6D"/>
    <w:rsid w:val="003C5FBD"/>
    <w:rsid w:val="003D0150"/>
    <w:rsid w:val="003D015B"/>
    <w:rsid w:val="003D1852"/>
    <w:rsid w:val="003D2233"/>
    <w:rsid w:val="003D2E2F"/>
    <w:rsid w:val="003D550F"/>
    <w:rsid w:val="003E1199"/>
    <w:rsid w:val="003E6581"/>
    <w:rsid w:val="003E672B"/>
    <w:rsid w:val="003F0186"/>
    <w:rsid w:val="003F0DF4"/>
    <w:rsid w:val="003F0FD0"/>
    <w:rsid w:val="003F208D"/>
    <w:rsid w:val="003F5ABB"/>
    <w:rsid w:val="003F6D47"/>
    <w:rsid w:val="003F6ED5"/>
    <w:rsid w:val="003F75F4"/>
    <w:rsid w:val="00400F89"/>
    <w:rsid w:val="004011A7"/>
    <w:rsid w:val="004051FF"/>
    <w:rsid w:val="00405553"/>
    <w:rsid w:val="00407EEF"/>
    <w:rsid w:val="00412AD1"/>
    <w:rsid w:val="00412DCE"/>
    <w:rsid w:val="004143F1"/>
    <w:rsid w:val="0041633C"/>
    <w:rsid w:val="004208F8"/>
    <w:rsid w:val="00420F6A"/>
    <w:rsid w:val="0042183B"/>
    <w:rsid w:val="004225E4"/>
    <w:rsid w:val="00423FD8"/>
    <w:rsid w:val="00425F20"/>
    <w:rsid w:val="00427F5A"/>
    <w:rsid w:val="00432060"/>
    <w:rsid w:val="00432BDB"/>
    <w:rsid w:val="004363C7"/>
    <w:rsid w:val="00437113"/>
    <w:rsid w:val="0044032D"/>
    <w:rsid w:val="00440E5A"/>
    <w:rsid w:val="004414C5"/>
    <w:rsid w:val="0044192F"/>
    <w:rsid w:val="00444765"/>
    <w:rsid w:val="00450BA9"/>
    <w:rsid w:val="00450C36"/>
    <w:rsid w:val="0045275C"/>
    <w:rsid w:val="00454F69"/>
    <w:rsid w:val="00461F96"/>
    <w:rsid w:val="004624EB"/>
    <w:rsid w:val="00465B1B"/>
    <w:rsid w:val="0046799E"/>
    <w:rsid w:val="00472A8A"/>
    <w:rsid w:val="004746D4"/>
    <w:rsid w:val="004765EA"/>
    <w:rsid w:val="00477507"/>
    <w:rsid w:val="00483F9F"/>
    <w:rsid w:val="0048471E"/>
    <w:rsid w:val="00484B46"/>
    <w:rsid w:val="0049344A"/>
    <w:rsid w:val="00497DC2"/>
    <w:rsid w:val="004A131A"/>
    <w:rsid w:val="004A1A34"/>
    <w:rsid w:val="004A1DE2"/>
    <w:rsid w:val="004A22A6"/>
    <w:rsid w:val="004A2542"/>
    <w:rsid w:val="004A2D56"/>
    <w:rsid w:val="004A4870"/>
    <w:rsid w:val="004A5F68"/>
    <w:rsid w:val="004A6623"/>
    <w:rsid w:val="004B074E"/>
    <w:rsid w:val="004B3313"/>
    <w:rsid w:val="004B376E"/>
    <w:rsid w:val="004B3FF4"/>
    <w:rsid w:val="004B5182"/>
    <w:rsid w:val="004B777F"/>
    <w:rsid w:val="004C2048"/>
    <w:rsid w:val="004C22F2"/>
    <w:rsid w:val="004C362F"/>
    <w:rsid w:val="004C3D69"/>
    <w:rsid w:val="004C7C27"/>
    <w:rsid w:val="004D220D"/>
    <w:rsid w:val="004D4999"/>
    <w:rsid w:val="004D4E7A"/>
    <w:rsid w:val="004D641A"/>
    <w:rsid w:val="004D7124"/>
    <w:rsid w:val="004E3C04"/>
    <w:rsid w:val="004E3EE6"/>
    <w:rsid w:val="004E583C"/>
    <w:rsid w:val="004E77E3"/>
    <w:rsid w:val="004F0D6D"/>
    <w:rsid w:val="004F33D4"/>
    <w:rsid w:val="004F3DD3"/>
    <w:rsid w:val="004F7490"/>
    <w:rsid w:val="00500E72"/>
    <w:rsid w:val="00503BFC"/>
    <w:rsid w:val="005062D6"/>
    <w:rsid w:val="005067EF"/>
    <w:rsid w:val="005102A2"/>
    <w:rsid w:val="005113FD"/>
    <w:rsid w:val="00512F29"/>
    <w:rsid w:val="00514890"/>
    <w:rsid w:val="00514D66"/>
    <w:rsid w:val="00517504"/>
    <w:rsid w:val="005206EE"/>
    <w:rsid w:val="005213AC"/>
    <w:rsid w:val="00521C92"/>
    <w:rsid w:val="00525E42"/>
    <w:rsid w:val="005260C2"/>
    <w:rsid w:val="005303EF"/>
    <w:rsid w:val="00531EF2"/>
    <w:rsid w:val="0053303F"/>
    <w:rsid w:val="005336D0"/>
    <w:rsid w:val="00534EEE"/>
    <w:rsid w:val="005355EF"/>
    <w:rsid w:val="00536517"/>
    <w:rsid w:val="00536AC0"/>
    <w:rsid w:val="00537D38"/>
    <w:rsid w:val="00540109"/>
    <w:rsid w:val="00540BF6"/>
    <w:rsid w:val="00540C90"/>
    <w:rsid w:val="00543533"/>
    <w:rsid w:val="00545FEC"/>
    <w:rsid w:val="00551E09"/>
    <w:rsid w:val="00553938"/>
    <w:rsid w:val="00553D06"/>
    <w:rsid w:val="00554E0E"/>
    <w:rsid w:val="00555ACC"/>
    <w:rsid w:val="00561BB5"/>
    <w:rsid w:val="00561F06"/>
    <w:rsid w:val="00562EA0"/>
    <w:rsid w:val="005640EF"/>
    <w:rsid w:val="005642D0"/>
    <w:rsid w:val="0056433D"/>
    <w:rsid w:val="005658EB"/>
    <w:rsid w:val="00566329"/>
    <w:rsid w:val="00567B4A"/>
    <w:rsid w:val="00570DC4"/>
    <w:rsid w:val="00571340"/>
    <w:rsid w:val="00573546"/>
    <w:rsid w:val="005742C4"/>
    <w:rsid w:val="00575B24"/>
    <w:rsid w:val="00577A67"/>
    <w:rsid w:val="005813A9"/>
    <w:rsid w:val="005819AE"/>
    <w:rsid w:val="00583AE1"/>
    <w:rsid w:val="00583F63"/>
    <w:rsid w:val="00586AA1"/>
    <w:rsid w:val="00592928"/>
    <w:rsid w:val="005933EC"/>
    <w:rsid w:val="00594B4E"/>
    <w:rsid w:val="00595EDC"/>
    <w:rsid w:val="005960F0"/>
    <w:rsid w:val="0059648B"/>
    <w:rsid w:val="00596F57"/>
    <w:rsid w:val="005A1E32"/>
    <w:rsid w:val="005A213E"/>
    <w:rsid w:val="005A2C99"/>
    <w:rsid w:val="005A3257"/>
    <w:rsid w:val="005A3837"/>
    <w:rsid w:val="005A3A87"/>
    <w:rsid w:val="005B0A39"/>
    <w:rsid w:val="005B2611"/>
    <w:rsid w:val="005B364A"/>
    <w:rsid w:val="005B5C42"/>
    <w:rsid w:val="005B6A6B"/>
    <w:rsid w:val="005B7046"/>
    <w:rsid w:val="005B7D67"/>
    <w:rsid w:val="005C0670"/>
    <w:rsid w:val="005C1289"/>
    <w:rsid w:val="005C246D"/>
    <w:rsid w:val="005C3170"/>
    <w:rsid w:val="005C3A28"/>
    <w:rsid w:val="005C4404"/>
    <w:rsid w:val="005C4887"/>
    <w:rsid w:val="005C6444"/>
    <w:rsid w:val="005E1CFE"/>
    <w:rsid w:val="005E20C1"/>
    <w:rsid w:val="005E2672"/>
    <w:rsid w:val="005E427F"/>
    <w:rsid w:val="005E6003"/>
    <w:rsid w:val="005F09F4"/>
    <w:rsid w:val="005F2A3F"/>
    <w:rsid w:val="005F55F4"/>
    <w:rsid w:val="005F60E1"/>
    <w:rsid w:val="005F61ED"/>
    <w:rsid w:val="006007B3"/>
    <w:rsid w:val="00604C02"/>
    <w:rsid w:val="006104AC"/>
    <w:rsid w:val="00610581"/>
    <w:rsid w:val="00610DAE"/>
    <w:rsid w:val="00611E50"/>
    <w:rsid w:val="00614BB6"/>
    <w:rsid w:val="00617E8F"/>
    <w:rsid w:val="00620BA0"/>
    <w:rsid w:val="00621EA0"/>
    <w:rsid w:val="00622553"/>
    <w:rsid w:val="00623B71"/>
    <w:rsid w:val="0062495A"/>
    <w:rsid w:val="006255B7"/>
    <w:rsid w:val="00627443"/>
    <w:rsid w:val="00630F56"/>
    <w:rsid w:val="006310A3"/>
    <w:rsid w:val="00631352"/>
    <w:rsid w:val="006319B2"/>
    <w:rsid w:val="00631DCF"/>
    <w:rsid w:val="006321A4"/>
    <w:rsid w:val="0063330B"/>
    <w:rsid w:val="0063364D"/>
    <w:rsid w:val="006347F0"/>
    <w:rsid w:val="00634C9C"/>
    <w:rsid w:val="00634F25"/>
    <w:rsid w:val="00635045"/>
    <w:rsid w:val="006354C7"/>
    <w:rsid w:val="006369AA"/>
    <w:rsid w:val="00636FB3"/>
    <w:rsid w:val="006370FF"/>
    <w:rsid w:val="00641AAD"/>
    <w:rsid w:val="006452D1"/>
    <w:rsid w:val="006461D4"/>
    <w:rsid w:val="0065525A"/>
    <w:rsid w:val="00655E3F"/>
    <w:rsid w:val="006613AC"/>
    <w:rsid w:val="006624FC"/>
    <w:rsid w:val="006647E5"/>
    <w:rsid w:val="00664968"/>
    <w:rsid w:val="006661C7"/>
    <w:rsid w:val="00666229"/>
    <w:rsid w:val="00666A55"/>
    <w:rsid w:val="006677C9"/>
    <w:rsid w:val="00671096"/>
    <w:rsid w:val="00673C71"/>
    <w:rsid w:val="006826A6"/>
    <w:rsid w:val="00683210"/>
    <w:rsid w:val="00685598"/>
    <w:rsid w:val="00685F56"/>
    <w:rsid w:val="00685FEE"/>
    <w:rsid w:val="00690807"/>
    <w:rsid w:val="00692B7E"/>
    <w:rsid w:val="00695A70"/>
    <w:rsid w:val="0069655A"/>
    <w:rsid w:val="00696FB6"/>
    <w:rsid w:val="00697EB4"/>
    <w:rsid w:val="006A028A"/>
    <w:rsid w:val="006A1965"/>
    <w:rsid w:val="006A3CD0"/>
    <w:rsid w:val="006A47EF"/>
    <w:rsid w:val="006A6728"/>
    <w:rsid w:val="006A6CDC"/>
    <w:rsid w:val="006A6F3F"/>
    <w:rsid w:val="006A6FDE"/>
    <w:rsid w:val="006B1468"/>
    <w:rsid w:val="006B1F1C"/>
    <w:rsid w:val="006B2A65"/>
    <w:rsid w:val="006B2CA4"/>
    <w:rsid w:val="006B5D94"/>
    <w:rsid w:val="006B7816"/>
    <w:rsid w:val="006B7979"/>
    <w:rsid w:val="006C30E9"/>
    <w:rsid w:val="006C61E7"/>
    <w:rsid w:val="006C64FB"/>
    <w:rsid w:val="006C6B6D"/>
    <w:rsid w:val="006C7469"/>
    <w:rsid w:val="006C7A38"/>
    <w:rsid w:val="006D07E9"/>
    <w:rsid w:val="006D12C7"/>
    <w:rsid w:val="006D202F"/>
    <w:rsid w:val="006D3ADB"/>
    <w:rsid w:val="006D52D3"/>
    <w:rsid w:val="006D67F6"/>
    <w:rsid w:val="006D6885"/>
    <w:rsid w:val="006D6AA0"/>
    <w:rsid w:val="006D7000"/>
    <w:rsid w:val="006E1C82"/>
    <w:rsid w:val="006E4B79"/>
    <w:rsid w:val="006E53D7"/>
    <w:rsid w:val="006E63AA"/>
    <w:rsid w:val="006E6635"/>
    <w:rsid w:val="006E6660"/>
    <w:rsid w:val="006E714F"/>
    <w:rsid w:val="006E7287"/>
    <w:rsid w:val="006F1CF1"/>
    <w:rsid w:val="006F22B1"/>
    <w:rsid w:val="006F2C86"/>
    <w:rsid w:val="006F37D6"/>
    <w:rsid w:val="006F4EED"/>
    <w:rsid w:val="006F50BB"/>
    <w:rsid w:val="00710C4B"/>
    <w:rsid w:val="007113E3"/>
    <w:rsid w:val="0071357D"/>
    <w:rsid w:val="00714E05"/>
    <w:rsid w:val="00715F36"/>
    <w:rsid w:val="00716BD0"/>
    <w:rsid w:val="00716F10"/>
    <w:rsid w:val="0071713B"/>
    <w:rsid w:val="0072415C"/>
    <w:rsid w:val="00724E51"/>
    <w:rsid w:val="00725804"/>
    <w:rsid w:val="00734866"/>
    <w:rsid w:val="007349E6"/>
    <w:rsid w:val="00735082"/>
    <w:rsid w:val="0073513C"/>
    <w:rsid w:val="00736274"/>
    <w:rsid w:val="007376F7"/>
    <w:rsid w:val="00737C8C"/>
    <w:rsid w:val="0074151C"/>
    <w:rsid w:val="0074177E"/>
    <w:rsid w:val="00742447"/>
    <w:rsid w:val="00743A62"/>
    <w:rsid w:val="00744BA6"/>
    <w:rsid w:val="00745927"/>
    <w:rsid w:val="00746338"/>
    <w:rsid w:val="00746875"/>
    <w:rsid w:val="00750DFE"/>
    <w:rsid w:val="00751C6C"/>
    <w:rsid w:val="00752B0A"/>
    <w:rsid w:val="00753DCA"/>
    <w:rsid w:val="007552FE"/>
    <w:rsid w:val="007567F1"/>
    <w:rsid w:val="0076144A"/>
    <w:rsid w:val="00761C85"/>
    <w:rsid w:val="0076222E"/>
    <w:rsid w:val="007627EB"/>
    <w:rsid w:val="0076301F"/>
    <w:rsid w:val="00763F28"/>
    <w:rsid w:val="0076613A"/>
    <w:rsid w:val="007716A0"/>
    <w:rsid w:val="007809ED"/>
    <w:rsid w:val="00780A45"/>
    <w:rsid w:val="00782A88"/>
    <w:rsid w:val="0078361A"/>
    <w:rsid w:val="007861B1"/>
    <w:rsid w:val="0078654F"/>
    <w:rsid w:val="00787AE3"/>
    <w:rsid w:val="00790B47"/>
    <w:rsid w:val="00792C04"/>
    <w:rsid w:val="007941BE"/>
    <w:rsid w:val="00794966"/>
    <w:rsid w:val="00795FFD"/>
    <w:rsid w:val="00796C70"/>
    <w:rsid w:val="007A0083"/>
    <w:rsid w:val="007A2780"/>
    <w:rsid w:val="007A5046"/>
    <w:rsid w:val="007A5779"/>
    <w:rsid w:val="007A7747"/>
    <w:rsid w:val="007A790E"/>
    <w:rsid w:val="007B0123"/>
    <w:rsid w:val="007B0FF5"/>
    <w:rsid w:val="007B3213"/>
    <w:rsid w:val="007B3781"/>
    <w:rsid w:val="007B409C"/>
    <w:rsid w:val="007B535A"/>
    <w:rsid w:val="007B5555"/>
    <w:rsid w:val="007B5D0C"/>
    <w:rsid w:val="007B6146"/>
    <w:rsid w:val="007C0615"/>
    <w:rsid w:val="007C066E"/>
    <w:rsid w:val="007C1383"/>
    <w:rsid w:val="007D1D02"/>
    <w:rsid w:val="007D3685"/>
    <w:rsid w:val="007D498C"/>
    <w:rsid w:val="007D77C7"/>
    <w:rsid w:val="007E11B0"/>
    <w:rsid w:val="007E34F7"/>
    <w:rsid w:val="007E411C"/>
    <w:rsid w:val="007E5BD1"/>
    <w:rsid w:val="007E737F"/>
    <w:rsid w:val="007E7632"/>
    <w:rsid w:val="007E7FB0"/>
    <w:rsid w:val="007F0FE9"/>
    <w:rsid w:val="007F3404"/>
    <w:rsid w:val="007F355B"/>
    <w:rsid w:val="007F4B59"/>
    <w:rsid w:val="007F590F"/>
    <w:rsid w:val="007F612F"/>
    <w:rsid w:val="0080112C"/>
    <w:rsid w:val="00801510"/>
    <w:rsid w:val="008027CE"/>
    <w:rsid w:val="008038A0"/>
    <w:rsid w:val="0080459C"/>
    <w:rsid w:val="00804CC6"/>
    <w:rsid w:val="00807F17"/>
    <w:rsid w:val="0081255C"/>
    <w:rsid w:val="00812963"/>
    <w:rsid w:val="0081296A"/>
    <w:rsid w:val="00814D36"/>
    <w:rsid w:val="008158A4"/>
    <w:rsid w:val="00815A0E"/>
    <w:rsid w:val="008166D6"/>
    <w:rsid w:val="008169D6"/>
    <w:rsid w:val="008216E6"/>
    <w:rsid w:val="008218FE"/>
    <w:rsid w:val="00821C66"/>
    <w:rsid w:val="0082202B"/>
    <w:rsid w:val="00822DC9"/>
    <w:rsid w:val="00823AF2"/>
    <w:rsid w:val="00825F47"/>
    <w:rsid w:val="00831C07"/>
    <w:rsid w:val="008329DE"/>
    <w:rsid w:val="008329E2"/>
    <w:rsid w:val="00832B1B"/>
    <w:rsid w:val="00834AA9"/>
    <w:rsid w:val="008371FA"/>
    <w:rsid w:val="00840347"/>
    <w:rsid w:val="008412EF"/>
    <w:rsid w:val="00841FB6"/>
    <w:rsid w:val="00842BC8"/>
    <w:rsid w:val="00842DCE"/>
    <w:rsid w:val="008441DC"/>
    <w:rsid w:val="00845C91"/>
    <w:rsid w:val="0085049F"/>
    <w:rsid w:val="00850F0B"/>
    <w:rsid w:val="00852F61"/>
    <w:rsid w:val="0085350D"/>
    <w:rsid w:val="0085388E"/>
    <w:rsid w:val="00854D6D"/>
    <w:rsid w:val="008553F8"/>
    <w:rsid w:val="008561CD"/>
    <w:rsid w:val="00856626"/>
    <w:rsid w:val="00856D66"/>
    <w:rsid w:val="0086027A"/>
    <w:rsid w:val="008618C4"/>
    <w:rsid w:val="00862013"/>
    <w:rsid w:val="00864C1E"/>
    <w:rsid w:val="00871DDD"/>
    <w:rsid w:val="008736BA"/>
    <w:rsid w:val="00874CE4"/>
    <w:rsid w:val="00874E76"/>
    <w:rsid w:val="0088032E"/>
    <w:rsid w:val="0088208B"/>
    <w:rsid w:val="00883503"/>
    <w:rsid w:val="0088390C"/>
    <w:rsid w:val="00885957"/>
    <w:rsid w:val="00885D3F"/>
    <w:rsid w:val="008876F9"/>
    <w:rsid w:val="00887D5A"/>
    <w:rsid w:val="00890FAA"/>
    <w:rsid w:val="008937EB"/>
    <w:rsid w:val="00893D6E"/>
    <w:rsid w:val="00893DA3"/>
    <w:rsid w:val="00894FB4"/>
    <w:rsid w:val="00895418"/>
    <w:rsid w:val="00896990"/>
    <w:rsid w:val="00896CA7"/>
    <w:rsid w:val="00897508"/>
    <w:rsid w:val="008A2D81"/>
    <w:rsid w:val="008A314C"/>
    <w:rsid w:val="008A5752"/>
    <w:rsid w:val="008A6873"/>
    <w:rsid w:val="008A7E5D"/>
    <w:rsid w:val="008B0F95"/>
    <w:rsid w:val="008B2335"/>
    <w:rsid w:val="008B3D62"/>
    <w:rsid w:val="008B4135"/>
    <w:rsid w:val="008B492A"/>
    <w:rsid w:val="008B5440"/>
    <w:rsid w:val="008B555A"/>
    <w:rsid w:val="008B5EA1"/>
    <w:rsid w:val="008B64D6"/>
    <w:rsid w:val="008C3ED4"/>
    <w:rsid w:val="008C6599"/>
    <w:rsid w:val="008C7EF7"/>
    <w:rsid w:val="008D074A"/>
    <w:rsid w:val="008D2DA9"/>
    <w:rsid w:val="008D3D5D"/>
    <w:rsid w:val="008D40A7"/>
    <w:rsid w:val="008D4579"/>
    <w:rsid w:val="008D5FCF"/>
    <w:rsid w:val="008E0F3E"/>
    <w:rsid w:val="008E2198"/>
    <w:rsid w:val="008E66AF"/>
    <w:rsid w:val="008F5C72"/>
    <w:rsid w:val="008F75F1"/>
    <w:rsid w:val="00900C46"/>
    <w:rsid w:val="00900D0C"/>
    <w:rsid w:val="00901FE9"/>
    <w:rsid w:val="009030CA"/>
    <w:rsid w:val="00903195"/>
    <w:rsid w:val="0090404B"/>
    <w:rsid w:val="0090627A"/>
    <w:rsid w:val="009064A2"/>
    <w:rsid w:val="009078B4"/>
    <w:rsid w:val="00912D90"/>
    <w:rsid w:val="0091377D"/>
    <w:rsid w:val="009145D4"/>
    <w:rsid w:val="009151C9"/>
    <w:rsid w:val="00915A90"/>
    <w:rsid w:val="00920680"/>
    <w:rsid w:val="0092116E"/>
    <w:rsid w:val="00921C69"/>
    <w:rsid w:val="00925404"/>
    <w:rsid w:val="009264D3"/>
    <w:rsid w:val="00926645"/>
    <w:rsid w:val="009271D6"/>
    <w:rsid w:val="00927894"/>
    <w:rsid w:val="00927960"/>
    <w:rsid w:val="00930040"/>
    <w:rsid w:val="00931475"/>
    <w:rsid w:val="00931860"/>
    <w:rsid w:val="0093250B"/>
    <w:rsid w:val="009333A3"/>
    <w:rsid w:val="0093396B"/>
    <w:rsid w:val="00935B40"/>
    <w:rsid w:val="0094079C"/>
    <w:rsid w:val="00942DE1"/>
    <w:rsid w:val="0094560D"/>
    <w:rsid w:val="009465D4"/>
    <w:rsid w:val="00946CAD"/>
    <w:rsid w:val="00950BB8"/>
    <w:rsid w:val="00952E1F"/>
    <w:rsid w:val="00953903"/>
    <w:rsid w:val="0095438C"/>
    <w:rsid w:val="00954F99"/>
    <w:rsid w:val="009563FF"/>
    <w:rsid w:val="0095678F"/>
    <w:rsid w:val="00956C22"/>
    <w:rsid w:val="00956D58"/>
    <w:rsid w:val="00960913"/>
    <w:rsid w:val="009611F1"/>
    <w:rsid w:val="0096427F"/>
    <w:rsid w:val="00970DAB"/>
    <w:rsid w:val="00970F15"/>
    <w:rsid w:val="00974596"/>
    <w:rsid w:val="0097494E"/>
    <w:rsid w:val="00975015"/>
    <w:rsid w:val="0097638D"/>
    <w:rsid w:val="0097710B"/>
    <w:rsid w:val="00980761"/>
    <w:rsid w:val="009836CF"/>
    <w:rsid w:val="0098474C"/>
    <w:rsid w:val="00984D71"/>
    <w:rsid w:val="00984F61"/>
    <w:rsid w:val="00986F45"/>
    <w:rsid w:val="0098767D"/>
    <w:rsid w:val="00987ACF"/>
    <w:rsid w:val="0099090B"/>
    <w:rsid w:val="009915FC"/>
    <w:rsid w:val="00992273"/>
    <w:rsid w:val="00992CB9"/>
    <w:rsid w:val="00994D68"/>
    <w:rsid w:val="00996DA5"/>
    <w:rsid w:val="009A3A2A"/>
    <w:rsid w:val="009A3B14"/>
    <w:rsid w:val="009A67A1"/>
    <w:rsid w:val="009A6A8C"/>
    <w:rsid w:val="009B0D86"/>
    <w:rsid w:val="009B1D13"/>
    <w:rsid w:val="009B2768"/>
    <w:rsid w:val="009B3105"/>
    <w:rsid w:val="009B3AD2"/>
    <w:rsid w:val="009B6CEE"/>
    <w:rsid w:val="009C15AC"/>
    <w:rsid w:val="009C258B"/>
    <w:rsid w:val="009C2A38"/>
    <w:rsid w:val="009C74C1"/>
    <w:rsid w:val="009C7A54"/>
    <w:rsid w:val="009D1456"/>
    <w:rsid w:val="009D2F5C"/>
    <w:rsid w:val="009D50F0"/>
    <w:rsid w:val="009D6E26"/>
    <w:rsid w:val="009D7BA3"/>
    <w:rsid w:val="009E113E"/>
    <w:rsid w:val="009E226E"/>
    <w:rsid w:val="009E389D"/>
    <w:rsid w:val="009E62AC"/>
    <w:rsid w:val="009F048D"/>
    <w:rsid w:val="009F226D"/>
    <w:rsid w:val="009F447F"/>
    <w:rsid w:val="009F54DB"/>
    <w:rsid w:val="009F7FB6"/>
    <w:rsid w:val="00A0157D"/>
    <w:rsid w:val="00A0356D"/>
    <w:rsid w:val="00A04D1F"/>
    <w:rsid w:val="00A076BC"/>
    <w:rsid w:val="00A1051E"/>
    <w:rsid w:val="00A1124D"/>
    <w:rsid w:val="00A1559C"/>
    <w:rsid w:val="00A155C2"/>
    <w:rsid w:val="00A15C60"/>
    <w:rsid w:val="00A17560"/>
    <w:rsid w:val="00A17E3E"/>
    <w:rsid w:val="00A2061F"/>
    <w:rsid w:val="00A2076B"/>
    <w:rsid w:val="00A20EA6"/>
    <w:rsid w:val="00A232DA"/>
    <w:rsid w:val="00A233B7"/>
    <w:rsid w:val="00A24456"/>
    <w:rsid w:val="00A32710"/>
    <w:rsid w:val="00A334F7"/>
    <w:rsid w:val="00A3384B"/>
    <w:rsid w:val="00A34C5E"/>
    <w:rsid w:val="00A36B3E"/>
    <w:rsid w:val="00A3766D"/>
    <w:rsid w:val="00A41195"/>
    <w:rsid w:val="00A432EF"/>
    <w:rsid w:val="00A44FD9"/>
    <w:rsid w:val="00A45815"/>
    <w:rsid w:val="00A461AD"/>
    <w:rsid w:val="00A4696D"/>
    <w:rsid w:val="00A503D9"/>
    <w:rsid w:val="00A52FD2"/>
    <w:rsid w:val="00A567E6"/>
    <w:rsid w:val="00A610C2"/>
    <w:rsid w:val="00A62E56"/>
    <w:rsid w:val="00A70674"/>
    <w:rsid w:val="00A7252A"/>
    <w:rsid w:val="00A742E9"/>
    <w:rsid w:val="00A74927"/>
    <w:rsid w:val="00A759F6"/>
    <w:rsid w:val="00A76476"/>
    <w:rsid w:val="00A76A0B"/>
    <w:rsid w:val="00A772BF"/>
    <w:rsid w:val="00A81081"/>
    <w:rsid w:val="00A82924"/>
    <w:rsid w:val="00A90798"/>
    <w:rsid w:val="00A90972"/>
    <w:rsid w:val="00A954AC"/>
    <w:rsid w:val="00A971D4"/>
    <w:rsid w:val="00AA1E54"/>
    <w:rsid w:val="00AA23F1"/>
    <w:rsid w:val="00AA6CD5"/>
    <w:rsid w:val="00AB01A0"/>
    <w:rsid w:val="00AB01EF"/>
    <w:rsid w:val="00AB251F"/>
    <w:rsid w:val="00AB582C"/>
    <w:rsid w:val="00AB6EBC"/>
    <w:rsid w:val="00AB6FFB"/>
    <w:rsid w:val="00AC3C9B"/>
    <w:rsid w:val="00AC4B29"/>
    <w:rsid w:val="00AC6675"/>
    <w:rsid w:val="00AD27AC"/>
    <w:rsid w:val="00AD5612"/>
    <w:rsid w:val="00AD5927"/>
    <w:rsid w:val="00AD7B77"/>
    <w:rsid w:val="00AE2736"/>
    <w:rsid w:val="00AE532F"/>
    <w:rsid w:val="00AE692A"/>
    <w:rsid w:val="00AF1324"/>
    <w:rsid w:val="00AF3150"/>
    <w:rsid w:val="00B0087D"/>
    <w:rsid w:val="00B0355E"/>
    <w:rsid w:val="00B04194"/>
    <w:rsid w:val="00B112C3"/>
    <w:rsid w:val="00B120FC"/>
    <w:rsid w:val="00B20B7A"/>
    <w:rsid w:val="00B22C26"/>
    <w:rsid w:val="00B2462D"/>
    <w:rsid w:val="00B251F8"/>
    <w:rsid w:val="00B278AE"/>
    <w:rsid w:val="00B306AC"/>
    <w:rsid w:val="00B334E8"/>
    <w:rsid w:val="00B34696"/>
    <w:rsid w:val="00B34890"/>
    <w:rsid w:val="00B35E88"/>
    <w:rsid w:val="00B4171C"/>
    <w:rsid w:val="00B418FB"/>
    <w:rsid w:val="00B41D69"/>
    <w:rsid w:val="00B4208D"/>
    <w:rsid w:val="00B43701"/>
    <w:rsid w:val="00B43EA2"/>
    <w:rsid w:val="00B453A4"/>
    <w:rsid w:val="00B46314"/>
    <w:rsid w:val="00B50BEC"/>
    <w:rsid w:val="00B530A8"/>
    <w:rsid w:val="00B547CB"/>
    <w:rsid w:val="00B54A22"/>
    <w:rsid w:val="00B570F9"/>
    <w:rsid w:val="00B576BC"/>
    <w:rsid w:val="00B61E91"/>
    <w:rsid w:val="00B624E4"/>
    <w:rsid w:val="00B62525"/>
    <w:rsid w:val="00B63538"/>
    <w:rsid w:val="00B63666"/>
    <w:rsid w:val="00B63CFD"/>
    <w:rsid w:val="00B64B81"/>
    <w:rsid w:val="00B671C6"/>
    <w:rsid w:val="00B7087A"/>
    <w:rsid w:val="00B71A7F"/>
    <w:rsid w:val="00B72BA2"/>
    <w:rsid w:val="00B74E6A"/>
    <w:rsid w:val="00B768FB"/>
    <w:rsid w:val="00B83A0D"/>
    <w:rsid w:val="00B84C3D"/>
    <w:rsid w:val="00B92C49"/>
    <w:rsid w:val="00B93C8B"/>
    <w:rsid w:val="00B9448F"/>
    <w:rsid w:val="00B94E14"/>
    <w:rsid w:val="00B95F7D"/>
    <w:rsid w:val="00B96BE4"/>
    <w:rsid w:val="00BA58F7"/>
    <w:rsid w:val="00BA6B21"/>
    <w:rsid w:val="00BB067B"/>
    <w:rsid w:val="00BB4716"/>
    <w:rsid w:val="00BB49DD"/>
    <w:rsid w:val="00BB55C7"/>
    <w:rsid w:val="00BB5E73"/>
    <w:rsid w:val="00BC13CF"/>
    <w:rsid w:val="00BC1FC3"/>
    <w:rsid w:val="00BC4C42"/>
    <w:rsid w:val="00BC6209"/>
    <w:rsid w:val="00BC6AA7"/>
    <w:rsid w:val="00BD0AA1"/>
    <w:rsid w:val="00BD7774"/>
    <w:rsid w:val="00BE05F3"/>
    <w:rsid w:val="00BE319B"/>
    <w:rsid w:val="00BE392C"/>
    <w:rsid w:val="00BE431A"/>
    <w:rsid w:val="00BE48EA"/>
    <w:rsid w:val="00BE684E"/>
    <w:rsid w:val="00BF1832"/>
    <w:rsid w:val="00BF5937"/>
    <w:rsid w:val="00BF76E9"/>
    <w:rsid w:val="00C018C6"/>
    <w:rsid w:val="00C0334D"/>
    <w:rsid w:val="00C03E21"/>
    <w:rsid w:val="00C078D6"/>
    <w:rsid w:val="00C117EB"/>
    <w:rsid w:val="00C11EBD"/>
    <w:rsid w:val="00C160BA"/>
    <w:rsid w:val="00C2026C"/>
    <w:rsid w:val="00C21269"/>
    <w:rsid w:val="00C23245"/>
    <w:rsid w:val="00C232E2"/>
    <w:rsid w:val="00C24306"/>
    <w:rsid w:val="00C25C72"/>
    <w:rsid w:val="00C264BF"/>
    <w:rsid w:val="00C27E81"/>
    <w:rsid w:val="00C3032F"/>
    <w:rsid w:val="00C30AF5"/>
    <w:rsid w:val="00C30D5A"/>
    <w:rsid w:val="00C32062"/>
    <w:rsid w:val="00C33D62"/>
    <w:rsid w:val="00C41FA9"/>
    <w:rsid w:val="00C430C8"/>
    <w:rsid w:val="00C43D66"/>
    <w:rsid w:val="00C4422C"/>
    <w:rsid w:val="00C443C7"/>
    <w:rsid w:val="00C44C76"/>
    <w:rsid w:val="00C47CAC"/>
    <w:rsid w:val="00C47D33"/>
    <w:rsid w:val="00C518E9"/>
    <w:rsid w:val="00C5216D"/>
    <w:rsid w:val="00C53C2A"/>
    <w:rsid w:val="00C55893"/>
    <w:rsid w:val="00C565C1"/>
    <w:rsid w:val="00C57A79"/>
    <w:rsid w:val="00C57BB1"/>
    <w:rsid w:val="00C60EED"/>
    <w:rsid w:val="00C65382"/>
    <w:rsid w:val="00C65A0C"/>
    <w:rsid w:val="00C65FB9"/>
    <w:rsid w:val="00C66F95"/>
    <w:rsid w:val="00C72525"/>
    <w:rsid w:val="00C739C7"/>
    <w:rsid w:val="00C76729"/>
    <w:rsid w:val="00C76CCF"/>
    <w:rsid w:val="00C81CA0"/>
    <w:rsid w:val="00C844ED"/>
    <w:rsid w:val="00C849C1"/>
    <w:rsid w:val="00C85FE3"/>
    <w:rsid w:val="00C87038"/>
    <w:rsid w:val="00C909F2"/>
    <w:rsid w:val="00C922A7"/>
    <w:rsid w:val="00C95A86"/>
    <w:rsid w:val="00C973C0"/>
    <w:rsid w:val="00CA234E"/>
    <w:rsid w:val="00CA2AF7"/>
    <w:rsid w:val="00CA377E"/>
    <w:rsid w:val="00CA42C1"/>
    <w:rsid w:val="00CA5471"/>
    <w:rsid w:val="00CA7738"/>
    <w:rsid w:val="00CB0307"/>
    <w:rsid w:val="00CB12DE"/>
    <w:rsid w:val="00CB20AB"/>
    <w:rsid w:val="00CB3453"/>
    <w:rsid w:val="00CB3BF3"/>
    <w:rsid w:val="00CB4644"/>
    <w:rsid w:val="00CB4AE7"/>
    <w:rsid w:val="00CB4E33"/>
    <w:rsid w:val="00CB605D"/>
    <w:rsid w:val="00CB61B5"/>
    <w:rsid w:val="00CB6376"/>
    <w:rsid w:val="00CC03C8"/>
    <w:rsid w:val="00CC216A"/>
    <w:rsid w:val="00CC75F1"/>
    <w:rsid w:val="00CC7F07"/>
    <w:rsid w:val="00CC7FAB"/>
    <w:rsid w:val="00CD0744"/>
    <w:rsid w:val="00CD26B4"/>
    <w:rsid w:val="00CD3B3D"/>
    <w:rsid w:val="00CD602C"/>
    <w:rsid w:val="00CD7744"/>
    <w:rsid w:val="00CE12C4"/>
    <w:rsid w:val="00CE1CE6"/>
    <w:rsid w:val="00CE1D9F"/>
    <w:rsid w:val="00CE42E2"/>
    <w:rsid w:val="00CE4CAF"/>
    <w:rsid w:val="00CF369A"/>
    <w:rsid w:val="00CF4417"/>
    <w:rsid w:val="00CF5126"/>
    <w:rsid w:val="00CF6784"/>
    <w:rsid w:val="00CF7B70"/>
    <w:rsid w:val="00D0145D"/>
    <w:rsid w:val="00D05D5A"/>
    <w:rsid w:val="00D05E2E"/>
    <w:rsid w:val="00D079E9"/>
    <w:rsid w:val="00D07E50"/>
    <w:rsid w:val="00D10281"/>
    <w:rsid w:val="00D10392"/>
    <w:rsid w:val="00D11608"/>
    <w:rsid w:val="00D117F5"/>
    <w:rsid w:val="00D11874"/>
    <w:rsid w:val="00D11E34"/>
    <w:rsid w:val="00D12C92"/>
    <w:rsid w:val="00D13880"/>
    <w:rsid w:val="00D1507D"/>
    <w:rsid w:val="00D17099"/>
    <w:rsid w:val="00D17F0B"/>
    <w:rsid w:val="00D20BAD"/>
    <w:rsid w:val="00D22BA2"/>
    <w:rsid w:val="00D2664B"/>
    <w:rsid w:val="00D27EDC"/>
    <w:rsid w:val="00D31569"/>
    <w:rsid w:val="00D328F9"/>
    <w:rsid w:val="00D32D51"/>
    <w:rsid w:val="00D33E6F"/>
    <w:rsid w:val="00D3548E"/>
    <w:rsid w:val="00D35D37"/>
    <w:rsid w:val="00D35F67"/>
    <w:rsid w:val="00D37140"/>
    <w:rsid w:val="00D374E5"/>
    <w:rsid w:val="00D4102B"/>
    <w:rsid w:val="00D42721"/>
    <w:rsid w:val="00D42778"/>
    <w:rsid w:val="00D4333B"/>
    <w:rsid w:val="00D47454"/>
    <w:rsid w:val="00D524CD"/>
    <w:rsid w:val="00D53BDA"/>
    <w:rsid w:val="00D5407F"/>
    <w:rsid w:val="00D55805"/>
    <w:rsid w:val="00D55E50"/>
    <w:rsid w:val="00D56552"/>
    <w:rsid w:val="00D56A89"/>
    <w:rsid w:val="00D606EC"/>
    <w:rsid w:val="00D60792"/>
    <w:rsid w:val="00D62312"/>
    <w:rsid w:val="00D62DE4"/>
    <w:rsid w:val="00D6508B"/>
    <w:rsid w:val="00D67048"/>
    <w:rsid w:val="00D70229"/>
    <w:rsid w:val="00D716B5"/>
    <w:rsid w:val="00D72769"/>
    <w:rsid w:val="00D72E5A"/>
    <w:rsid w:val="00D730DB"/>
    <w:rsid w:val="00D75D2C"/>
    <w:rsid w:val="00D80349"/>
    <w:rsid w:val="00D81591"/>
    <w:rsid w:val="00D82AFB"/>
    <w:rsid w:val="00D90A2E"/>
    <w:rsid w:val="00D9110C"/>
    <w:rsid w:val="00D9199A"/>
    <w:rsid w:val="00D920F7"/>
    <w:rsid w:val="00D92612"/>
    <w:rsid w:val="00D946E7"/>
    <w:rsid w:val="00D9506E"/>
    <w:rsid w:val="00D966D8"/>
    <w:rsid w:val="00DA4040"/>
    <w:rsid w:val="00DA5646"/>
    <w:rsid w:val="00DA772F"/>
    <w:rsid w:val="00DB2AC9"/>
    <w:rsid w:val="00DB2DE5"/>
    <w:rsid w:val="00DB3870"/>
    <w:rsid w:val="00DB622C"/>
    <w:rsid w:val="00DB7511"/>
    <w:rsid w:val="00DC137E"/>
    <w:rsid w:val="00DC16A4"/>
    <w:rsid w:val="00DC1EAB"/>
    <w:rsid w:val="00DC2953"/>
    <w:rsid w:val="00DC2BAE"/>
    <w:rsid w:val="00DC389C"/>
    <w:rsid w:val="00DC50FC"/>
    <w:rsid w:val="00DC79FC"/>
    <w:rsid w:val="00DD29CB"/>
    <w:rsid w:val="00DE09FF"/>
    <w:rsid w:val="00DE3498"/>
    <w:rsid w:val="00DE42F7"/>
    <w:rsid w:val="00DE5A30"/>
    <w:rsid w:val="00DE5D5C"/>
    <w:rsid w:val="00DE5F6A"/>
    <w:rsid w:val="00DE6544"/>
    <w:rsid w:val="00DF1527"/>
    <w:rsid w:val="00DF20B8"/>
    <w:rsid w:val="00DF4730"/>
    <w:rsid w:val="00DF74D5"/>
    <w:rsid w:val="00E0162A"/>
    <w:rsid w:val="00E03AE2"/>
    <w:rsid w:val="00E04082"/>
    <w:rsid w:val="00E04615"/>
    <w:rsid w:val="00E05306"/>
    <w:rsid w:val="00E07637"/>
    <w:rsid w:val="00E07A40"/>
    <w:rsid w:val="00E1047C"/>
    <w:rsid w:val="00E132AA"/>
    <w:rsid w:val="00E17199"/>
    <w:rsid w:val="00E20C4E"/>
    <w:rsid w:val="00E23AF7"/>
    <w:rsid w:val="00E24FDF"/>
    <w:rsid w:val="00E26485"/>
    <w:rsid w:val="00E27158"/>
    <w:rsid w:val="00E3404E"/>
    <w:rsid w:val="00E34504"/>
    <w:rsid w:val="00E40140"/>
    <w:rsid w:val="00E40248"/>
    <w:rsid w:val="00E40864"/>
    <w:rsid w:val="00E4140F"/>
    <w:rsid w:val="00E50066"/>
    <w:rsid w:val="00E54B95"/>
    <w:rsid w:val="00E54DFB"/>
    <w:rsid w:val="00E5656B"/>
    <w:rsid w:val="00E566B2"/>
    <w:rsid w:val="00E56F96"/>
    <w:rsid w:val="00E57228"/>
    <w:rsid w:val="00E57F5D"/>
    <w:rsid w:val="00E6118B"/>
    <w:rsid w:val="00E61C03"/>
    <w:rsid w:val="00E62215"/>
    <w:rsid w:val="00E6269E"/>
    <w:rsid w:val="00E655F8"/>
    <w:rsid w:val="00E65C35"/>
    <w:rsid w:val="00E66156"/>
    <w:rsid w:val="00E66661"/>
    <w:rsid w:val="00E66692"/>
    <w:rsid w:val="00E67375"/>
    <w:rsid w:val="00E70CD1"/>
    <w:rsid w:val="00E72DB8"/>
    <w:rsid w:val="00E72FA6"/>
    <w:rsid w:val="00E742A6"/>
    <w:rsid w:val="00E74CAB"/>
    <w:rsid w:val="00E756B0"/>
    <w:rsid w:val="00E77BE6"/>
    <w:rsid w:val="00E829DA"/>
    <w:rsid w:val="00E82D56"/>
    <w:rsid w:val="00E865E3"/>
    <w:rsid w:val="00E86FD2"/>
    <w:rsid w:val="00E8747A"/>
    <w:rsid w:val="00E9052A"/>
    <w:rsid w:val="00E90EBC"/>
    <w:rsid w:val="00EA03DA"/>
    <w:rsid w:val="00EA5858"/>
    <w:rsid w:val="00EB0CBE"/>
    <w:rsid w:val="00EB34A8"/>
    <w:rsid w:val="00EB3EE4"/>
    <w:rsid w:val="00EB408E"/>
    <w:rsid w:val="00EB4D8C"/>
    <w:rsid w:val="00EB5ECC"/>
    <w:rsid w:val="00EB6CE4"/>
    <w:rsid w:val="00EB7792"/>
    <w:rsid w:val="00EC026A"/>
    <w:rsid w:val="00EC117F"/>
    <w:rsid w:val="00EC5E03"/>
    <w:rsid w:val="00EC7246"/>
    <w:rsid w:val="00ED1283"/>
    <w:rsid w:val="00ED1839"/>
    <w:rsid w:val="00ED52C4"/>
    <w:rsid w:val="00ED692E"/>
    <w:rsid w:val="00ED7B81"/>
    <w:rsid w:val="00EE15BF"/>
    <w:rsid w:val="00EE1D5F"/>
    <w:rsid w:val="00EE2637"/>
    <w:rsid w:val="00EE2910"/>
    <w:rsid w:val="00EE402D"/>
    <w:rsid w:val="00EE4B53"/>
    <w:rsid w:val="00EE587D"/>
    <w:rsid w:val="00EE6717"/>
    <w:rsid w:val="00EF25CE"/>
    <w:rsid w:val="00EF70B9"/>
    <w:rsid w:val="00F00C05"/>
    <w:rsid w:val="00F022C7"/>
    <w:rsid w:val="00F05710"/>
    <w:rsid w:val="00F074B6"/>
    <w:rsid w:val="00F07B93"/>
    <w:rsid w:val="00F07CF6"/>
    <w:rsid w:val="00F07DF7"/>
    <w:rsid w:val="00F11677"/>
    <w:rsid w:val="00F13B6C"/>
    <w:rsid w:val="00F13E64"/>
    <w:rsid w:val="00F141FE"/>
    <w:rsid w:val="00F14CDF"/>
    <w:rsid w:val="00F1641B"/>
    <w:rsid w:val="00F16BA6"/>
    <w:rsid w:val="00F22322"/>
    <w:rsid w:val="00F23EC0"/>
    <w:rsid w:val="00F24A24"/>
    <w:rsid w:val="00F24EFB"/>
    <w:rsid w:val="00F258C9"/>
    <w:rsid w:val="00F26C58"/>
    <w:rsid w:val="00F27559"/>
    <w:rsid w:val="00F27EA9"/>
    <w:rsid w:val="00F33A4A"/>
    <w:rsid w:val="00F33EC9"/>
    <w:rsid w:val="00F34468"/>
    <w:rsid w:val="00F344D4"/>
    <w:rsid w:val="00F3458C"/>
    <w:rsid w:val="00F35F19"/>
    <w:rsid w:val="00F36D2D"/>
    <w:rsid w:val="00F4174E"/>
    <w:rsid w:val="00F4440D"/>
    <w:rsid w:val="00F5221F"/>
    <w:rsid w:val="00F53BE3"/>
    <w:rsid w:val="00F53E5A"/>
    <w:rsid w:val="00F54AE6"/>
    <w:rsid w:val="00F555EB"/>
    <w:rsid w:val="00F556F4"/>
    <w:rsid w:val="00F60E7C"/>
    <w:rsid w:val="00F60FC6"/>
    <w:rsid w:val="00F6114B"/>
    <w:rsid w:val="00F626E9"/>
    <w:rsid w:val="00F65A3B"/>
    <w:rsid w:val="00F65BE5"/>
    <w:rsid w:val="00F65DB2"/>
    <w:rsid w:val="00F664F9"/>
    <w:rsid w:val="00F72300"/>
    <w:rsid w:val="00F73B94"/>
    <w:rsid w:val="00F74488"/>
    <w:rsid w:val="00F748BF"/>
    <w:rsid w:val="00F75816"/>
    <w:rsid w:val="00F77A0C"/>
    <w:rsid w:val="00F77DCC"/>
    <w:rsid w:val="00F81EF4"/>
    <w:rsid w:val="00F854FB"/>
    <w:rsid w:val="00F908D9"/>
    <w:rsid w:val="00F90BF1"/>
    <w:rsid w:val="00F9115C"/>
    <w:rsid w:val="00F92561"/>
    <w:rsid w:val="00F959CC"/>
    <w:rsid w:val="00FA0748"/>
    <w:rsid w:val="00FA13AF"/>
    <w:rsid w:val="00FA158E"/>
    <w:rsid w:val="00FA244F"/>
    <w:rsid w:val="00FA3BD1"/>
    <w:rsid w:val="00FA65BE"/>
    <w:rsid w:val="00FB09B4"/>
    <w:rsid w:val="00FB1755"/>
    <w:rsid w:val="00FB341A"/>
    <w:rsid w:val="00FB48F1"/>
    <w:rsid w:val="00FB537D"/>
    <w:rsid w:val="00FB5398"/>
    <w:rsid w:val="00FB57D7"/>
    <w:rsid w:val="00FB5867"/>
    <w:rsid w:val="00FB626B"/>
    <w:rsid w:val="00FB7887"/>
    <w:rsid w:val="00FC0674"/>
    <w:rsid w:val="00FC20DD"/>
    <w:rsid w:val="00FC4420"/>
    <w:rsid w:val="00FC52D8"/>
    <w:rsid w:val="00FC56E1"/>
    <w:rsid w:val="00FC5B71"/>
    <w:rsid w:val="00FD01CD"/>
    <w:rsid w:val="00FD147B"/>
    <w:rsid w:val="00FD17A5"/>
    <w:rsid w:val="00FD4C4D"/>
    <w:rsid w:val="00FD6ECA"/>
    <w:rsid w:val="00FE2B95"/>
    <w:rsid w:val="00FE4DA7"/>
    <w:rsid w:val="00FF079D"/>
    <w:rsid w:val="00FF22E4"/>
    <w:rsid w:val="00FF246F"/>
    <w:rsid w:val="00FF6EFD"/>
    <w:rsid w:val="024769C6"/>
    <w:rsid w:val="026163AD"/>
    <w:rsid w:val="02AE065F"/>
    <w:rsid w:val="02BD7AE4"/>
    <w:rsid w:val="03A93BDF"/>
    <w:rsid w:val="04560C6A"/>
    <w:rsid w:val="04637D5A"/>
    <w:rsid w:val="04F47EA4"/>
    <w:rsid w:val="064476FF"/>
    <w:rsid w:val="068C3E62"/>
    <w:rsid w:val="06FC6009"/>
    <w:rsid w:val="07490AAF"/>
    <w:rsid w:val="08D9490D"/>
    <w:rsid w:val="08E85B52"/>
    <w:rsid w:val="093133C1"/>
    <w:rsid w:val="094B226F"/>
    <w:rsid w:val="0A7A6248"/>
    <w:rsid w:val="0C221FBF"/>
    <w:rsid w:val="0CF34D83"/>
    <w:rsid w:val="0DBB1F91"/>
    <w:rsid w:val="0E3B46CD"/>
    <w:rsid w:val="0EA544A4"/>
    <w:rsid w:val="0F950DCE"/>
    <w:rsid w:val="108163B9"/>
    <w:rsid w:val="10B05B5A"/>
    <w:rsid w:val="11720952"/>
    <w:rsid w:val="11E02D19"/>
    <w:rsid w:val="11F424A5"/>
    <w:rsid w:val="123A161D"/>
    <w:rsid w:val="14106D38"/>
    <w:rsid w:val="141F6355"/>
    <w:rsid w:val="1445471E"/>
    <w:rsid w:val="14A65958"/>
    <w:rsid w:val="15123CAD"/>
    <w:rsid w:val="15647EE6"/>
    <w:rsid w:val="16085134"/>
    <w:rsid w:val="1776720E"/>
    <w:rsid w:val="17A15CA6"/>
    <w:rsid w:val="18776DF4"/>
    <w:rsid w:val="19624C2F"/>
    <w:rsid w:val="19785F90"/>
    <w:rsid w:val="199C2330"/>
    <w:rsid w:val="19B200E4"/>
    <w:rsid w:val="1A4E6DF9"/>
    <w:rsid w:val="1A8C66B5"/>
    <w:rsid w:val="1AEA4C16"/>
    <w:rsid w:val="1B245D6A"/>
    <w:rsid w:val="1B7E07DA"/>
    <w:rsid w:val="1BA16783"/>
    <w:rsid w:val="1BE72932"/>
    <w:rsid w:val="1C301C5D"/>
    <w:rsid w:val="1EB44F49"/>
    <w:rsid w:val="1EEA5FDE"/>
    <w:rsid w:val="20351594"/>
    <w:rsid w:val="20455841"/>
    <w:rsid w:val="205C29AE"/>
    <w:rsid w:val="20FC5454"/>
    <w:rsid w:val="211A3FF0"/>
    <w:rsid w:val="21CD6A19"/>
    <w:rsid w:val="220866A2"/>
    <w:rsid w:val="233C6017"/>
    <w:rsid w:val="234E6723"/>
    <w:rsid w:val="23E61F51"/>
    <w:rsid w:val="24517A83"/>
    <w:rsid w:val="25225FF8"/>
    <w:rsid w:val="25247B30"/>
    <w:rsid w:val="257131DE"/>
    <w:rsid w:val="25BE50C8"/>
    <w:rsid w:val="25C11A0F"/>
    <w:rsid w:val="27200F62"/>
    <w:rsid w:val="27B526FA"/>
    <w:rsid w:val="27F23715"/>
    <w:rsid w:val="28080643"/>
    <w:rsid w:val="28CE1108"/>
    <w:rsid w:val="28DA5596"/>
    <w:rsid w:val="28F60104"/>
    <w:rsid w:val="29495639"/>
    <w:rsid w:val="29BE1D78"/>
    <w:rsid w:val="2A0E1E72"/>
    <w:rsid w:val="2A753926"/>
    <w:rsid w:val="2B2A3034"/>
    <w:rsid w:val="2B5D37CC"/>
    <w:rsid w:val="2BCC0CD3"/>
    <w:rsid w:val="2BE568A5"/>
    <w:rsid w:val="2BF51757"/>
    <w:rsid w:val="2C317E8B"/>
    <w:rsid w:val="2C9E7BE1"/>
    <w:rsid w:val="2E7E001F"/>
    <w:rsid w:val="2F4E75E6"/>
    <w:rsid w:val="2F6F7A6E"/>
    <w:rsid w:val="2FAC3ECC"/>
    <w:rsid w:val="2FB86D98"/>
    <w:rsid w:val="300F0555"/>
    <w:rsid w:val="304A3650"/>
    <w:rsid w:val="30E36A11"/>
    <w:rsid w:val="316D56B9"/>
    <w:rsid w:val="31F418D0"/>
    <w:rsid w:val="32053AB5"/>
    <w:rsid w:val="329F0952"/>
    <w:rsid w:val="330236AE"/>
    <w:rsid w:val="33554230"/>
    <w:rsid w:val="337B31AC"/>
    <w:rsid w:val="338023F4"/>
    <w:rsid w:val="34FE0A48"/>
    <w:rsid w:val="35482CBD"/>
    <w:rsid w:val="35A53176"/>
    <w:rsid w:val="35AE0F0F"/>
    <w:rsid w:val="36B31C1A"/>
    <w:rsid w:val="377C366F"/>
    <w:rsid w:val="382B3FEF"/>
    <w:rsid w:val="38DE114A"/>
    <w:rsid w:val="39635D16"/>
    <w:rsid w:val="39832E8C"/>
    <w:rsid w:val="39FA4A5E"/>
    <w:rsid w:val="3A204810"/>
    <w:rsid w:val="3B245CD7"/>
    <w:rsid w:val="3C3D655A"/>
    <w:rsid w:val="3E04234B"/>
    <w:rsid w:val="3ED372D2"/>
    <w:rsid w:val="3FB835CE"/>
    <w:rsid w:val="40772A16"/>
    <w:rsid w:val="40C84C2E"/>
    <w:rsid w:val="412128C9"/>
    <w:rsid w:val="414B392E"/>
    <w:rsid w:val="41D66A09"/>
    <w:rsid w:val="433E6C38"/>
    <w:rsid w:val="43AC471B"/>
    <w:rsid w:val="43EC4E89"/>
    <w:rsid w:val="4666740F"/>
    <w:rsid w:val="471461CA"/>
    <w:rsid w:val="47552295"/>
    <w:rsid w:val="48616B0B"/>
    <w:rsid w:val="48761CE1"/>
    <w:rsid w:val="487E31A1"/>
    <w:rsid w:val="48F15276"/>
    <w:rsid w:val="493A0B8D"/>
    <w:rsid w:val="49590F58"/>
    <w:rsid w:val="49CB7BBC"/>
    <w:rsid w:val="4A567A0B"/>
    <w:rsid w:val="4A676ADB"/>
    <w:rsid w:val="4AC42E03"/>
    <w:rsid w:val="4ACB5AC8"/>
    <w:rsid w:val="4B725E66"/>
    <w:rsid w:val="4BA16D85"/>
    <w:rsid w:val="4BB73DAF"/>
    <w:rsid w:val="4C432B41"/>
    <w:rsid w:val="4C8C6FEF"/>
    <w:rsid w:val="4D6256A4"/>
    <w:rsid w:val="4E6605DC"/>
    <w:rsid w:val="4F8155B8"/>
    <w:rsid w:val="4FE64875"/>
    <w:rsid w:val="5019116F"/>
    <w:rsid w:val="507D4A01"/>
    <w:rsid w:val="50DF2C42"/>
    <w:rsid w:val="51163BB6"/>
    <w:rsid w:val="51DF3BC8"/>
    <w:rsid w:val="53335143"/>
    <w:rsid w:val="5350329E"/>
    <w:rsid w:val="53517679"/>
    <w:rsid w:val="5365024A"/>
    <w:rsid w:val="541C13AE"/>
    <w:rsid w:val="54997FBE"/>
    <w:rsid w:val="54EF7443"/>
    <w:rsid w:val="551A4D71"/>
    <w:rsid w:val="567D7C1F"/>
    <w:rsid w:val="568F34BC"/>
    <w:rsid w:val="5690419D"/>
    <w:rsid w:val="56EB4E59"/>
    <w:rsid w:val="570D78B9"/>
    <w:rsid w:val="57D21441"/>
    <w:rsid w:val="58037F7D"/>
    <w:rsid w:val="58216E95"/>
    <w:rsid w:val="58A657FE"/>
    <w:rsid w:val="58C800B9"/>
    <w:rsid w:val="59C310DB"/>
    <w:rsid w:val="5A87765B"/>
    <w:rsid w:val="5ADA5222"/>
    <w:rsid w:val="5B461C43"/>
    <w:rsid w:val="5D4B6844"/>
    <w:rsid w:val="5D6371CC"/>
    <w:rsid w:val="5D895DC1"/>
    <w:rsid w:val="5E104883"/>
    <w:rsid w:val="5E606414"/>
    <w:rsid w:val="5F532E32"/>
    <w:rsid w:val="60093312"/>
    <w:rsid w:val="609B62B2"/>
    <w:rsid w:val="60D8761C"/>
    <w:rsid w:val="617603B1"/>
    <w:rsid w:val="61DE0BEA"/>
    <w:rsid w:val="62514969"/>
    <w:rsid w:val="626C08D0"/>
    <w:rsid w:val="62733A8D"/>
    <w:rsid w:val="62C940BD"/>
    <w:rsid w:val="62E47993"/>
    <w:rsid w:val="633460BF"/>
    <w:rsid w:val="63D67FC4"/>
    <w:rsid w:val="63FC6E6D"/>
    <w:rsid w:val="64030CC5"/>
    <w:rsid w:val="646560BC"/>
    <w:rsid w:val="647008C5"/>
    <w:rsid w:val="64880797"/>
    <w:rsid w:val="649D2EBB"/>
    <w:rsid w:val="64D87299"/>
    <w:rsid w:val="651B6FAE"/>
    <w:rsid w:val="66DD3541"/>
    <w:rsid w:val="672E22C4"/>
    <w:rsid w:val="67A644FB"/>
    <w:rsid w:val="68352EDA"/>
    <w:rsid w:val="687A4424"/>
    <w:rsid w:val="68CD2688"/>
    <w:rsid w:val="6911235D"/>
    <w:rsid w:val="694A5F7D"/>
    <w:rsid w:val="698A59F4"/>
    <w:rsid w:val="6A1F0CDB"/>
    <w:rsid w:val="6BD81EF9"/>
    <w:rsid w:val="6BF7074F"/>
    <w:rsid w:val="6C937627"/>
    <w:rsid w:val="6CBA6531"/>
    <w:rsid w:val="6D2A7B41"/>
    <w:rsid w:val="6DA92CB4"/>
    <w:rsid w:val="6EE045CE"/>
    <w:rsid w:val="6F6D3860"/>
    <w:rsid w:val="708C0C89"/>
    <w:rsid w:val="708E050A"/>
    <w:rsid w:val="71471378"/>
    <w:rsid w:val="71850F93"/>
    <w:rsid w:val="731F5058"/>
    <w:rsid w:val="73520149"/>
    <w:rsid w:val="740C0795"/>
    <w:rsid w:val="748576FB"/>
    <w:rsid w:val="75EB0691"/>
    <w:rsid w:val="769B14D0"/>
    <w:rsid w:val="76DB362F"/>
    <w:rsid w:val="77057200"/>
    <w:rsid w:val="773738C9"/>
    <w:rsid w:val="775127A7"/>
    <w:rsid w:val="77BE6355"/>
    <w:rsid w:val="7815231C"/>
    <w:rsid w:val="7844022A"/>
    <w:rsid w:val="79377E9D"/>
    <w:rsid w:val="795C3B02"/>
    <w:rsid w:val="79BF00D0"/>
    <w:rsid w:val="7A486E32"/>
    <w:rsid w:val="7B837005"/>
    <w:rsid w:val="7BA9301B"/>
    <w:rsid w:val="7BBD2757"/>
    <w:rsid w:val="7C3D5592"/>
    <w:rsid w:val="7C4E09B2"/>
    <w:rsid w:val="7C78345D"/>
    <w:rsid w:val="7D3A5365"/>
    <w:rsid w:val="7D9972C4"/>
    <w:rsid w:val="7DE23C9E"/>
    <w:rsid w:val="7ECF2CD6"/>
    <w:rsid w:val="7F4E46F4"/>
    <w:rsid w:val="7F5467CF"/>
    <w:rsid w:val="7F906A3A"/>
    <w:rsid w:val="7FA223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3"/>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4"/>
    <w:qFormat/>
    <w:uiPriority w:val="99"/>
    <w:pPr>
      <w:keepNext/>
      <w:widowControl/>
      <w:jc w:val="left"/>
      <w:outlineLvl w:val="2"/>
    </w:pPr>
    <w:rPr>
      <w:rFonts w:ascii="Cambria" w:hAnsi="Cambria"/>
      <w:b/>
      <w:bCs/>
      <w:kern w:val="0"/>
      <w:szCs w:val="26"/>
    </w:rPr>
  </w:style>
  <w:style w:type="paragraph" w:styleId="5">
    <w:name w:val="heading 4"/>
    <w:basedOn w:val="1"/>
    <w:next w:val="1"/>
    <w:link w:val="35"/>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6"/>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8"/>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2"/>
    <w:semiHidden/>
    <w:unhideWhenUsed/>
    <w:qFormat/>
    <w:locked/>
    <w:uiPriority w:val="99"/>
    <w:rPr>
      <w:rFonts w:ascii="宋体"/>
      <w:sz w:val="18"/>
      <w:szCs w:val="18"/>
    </w:rPr>
  </w:style>
  <w:style w:type="paragraph" w:styleId="9">
    <w:name w:val="annotation text"/>
    <w:basedOn w:val="1"/>
    <w:link w:val="37"/>
    <w:qFormat/>
    <w:uiPriority w:val="99"/>
    <w:pPr>
      <w:jc w:val="left"/>
    </w:pPr>
  </w:style>
  <w:style w:type="paragraph" w:styleId="10">
    <w:name w:val="Body Text"/>
    <w:basedOn w:val="1"/>
    <w:link w:val="68"/>
    <w:qFormat/>
    <w:locked/>
    <w:uiPriority w:val="99"/>
    <w:pPr>
      <w:spacing w:after="120"/>
    </w:pPr>
  </w:style>
  <w:style w:type="paragraph" w:styleId="11">
    <w:name w:val="Body Text Indent"/>
    <w:basedOn w:val="1"/>
    <w:link w:val="38"/>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39"/>
    <w:qFormat/>
    <w:uiPriority w:val="99"/>
    <w:rPr>
      <w:rFonts w:ascii="宋体" w:hAnsi="Courier New" w:eastAsia="微软雅黑"/>
      <w:szCs w:val="20"/>
    </w:rPr>
  </w:style>
  <w:style w:type="paragraph" w:styleId="15">
    <w:name w:val="Date"/>
    <w:basedOn w:val="1"/>
    <w:next w:val="1"/>
    <w:link w:val="40"/>
    <w:qFormat/>
    <w:uiPriority w:val="99"/>
    <w:pPr>
      <w:ind w:left="100" w:leftChars="2500"/>
    </w:pPr>
  </w:style>
  <w:style w:type="paragraph" w:styleId="16">
    <w:name w:val="Body Text Indent 2"/>
    <w:basedOn w:val="1"/>
    <w:link w:val="41"/>
    <w:qFormat/>
    <w:uiPriority w:val="99"/>
    <w:pPr>
      <w:spacing w:after="120" w:line="480" w:lineRule="auto"/>
      <w:ind w:left="420" w:leftChars="200"/>
    </w:pPr>
  </w:style>
  <w:style w:type="paragraph" w:styleId="17">
    <w:name w:val="Balloon Text"/>
    <w:basedOn w:val="1"/>
    <w:link w:val="42"/>
    <w:semiHidden/>
    <w:qFormat/>
    <w:uiPriority w:val="99"/>
    <w:rPr>
      <w:sz w:val="18"/>
      <w:szCs w:val="18"/>
    </w:rPr>
  </w:style>
  <w:style w:type="paragraph" w:styleId="18">
    <w:name w:val="footer"/>
    <w:basedOn w:val="1"/>
    <w:link w:val="43"/>
    <w:qFormat/>
    <w:uiPriority w:val="99"/>
    <w:pPr>
      <w:tabs>
        <w:tab w:val="center" w:pos="4153"/>
        <w:tab w:val="right" w:pos="8306"/>
      </w:tabs>
      <w:snapToGrid w:val="0"/>
      <w:jc w:val="left"/>
    </w:pPr>
    <w:rPr>
      <w:sz w:val="18"/>
      <w:szCs w:val="18"/>
    </w:rPr>
  </w:style>
  <w:style w:type="paragraph" w:styleId="19">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3"/>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5"/>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0"/>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qFormat/>
    <w:uiPriority w:val="99"/>
    <w:rPr>
      <w:rFonts w:cs="Times New Roman"/>
      <w:color w:val="0000FF"/>
      <w:u w:val="single"/>
    </w:rPr>
  </w:style>
  <w:style w:type="character" w:styleId="31">
    <w:name w:val="annotation reference"/>
    <w:basedOn w:val="29"/>
    <w:qFormat/>
    <w:uiPriority w:val="99"/>
    <w:rPr>
      <w:rFonts w:cs="Times New Roman"/>
      <w:sz w:val="21"/>
      <w:szCs w:val="21"/>
    </w:rPr>
  </w:style>
  <w:style w:type="character" w:customStyle="1" w:styleId="32">
    <w:name w:val="标题 1 Char"/>
    <w:basedOn w:val="29"/>
    <w:link w:val="2"/>
    <w:qFormat/>
    <w:locked/>
    <w:uiPriority w:val="99"/>
    <w:rPr>
      <w:rFonts w:ascii="Cambria" w:hAnsi="Cambria" w:eastAsia="黑体" w:cs="Times New Roman"/>
      <w:b/>
      <w:bCs/>
      <w:kern w:val="32"/>
      <w:sz w:val="32"/>
      <w:szCs w:val="32"/>
    </w:rPr>
  </w:style>
  <w:style w:type="character" w:customStyle="1" w:styleId="33">
    <w:name w:val="标题 2 Char"/>
    <w:basedOn w:val="29"/>
    <w:link w:val="3"/>
    <w:qFormat/>
    <w:locked/>
    <w:uiPriority w:val="99"/>
    <w:rPr>
      <w:rFonts w:ascii="Cambria" w:hAnsi="Cambria" w:eastAsia="黑体" w:cs="Times New Roman"/>
      <w:b/>
      <w:bCs/>
      <w:iCs/>
      <w:sz w:val="28"/>
      <w:szCs w:val="28"/>
    </w:rPr>
  </w:style>
  <w:style w:type="character" w:customStyle="1" w:styleId="34">
    <w:name w:val="标题 3 Char"/>
    <w:basedOn w:val="29"/>
    <w:link w:val="4"/>
    <w:qFormat/>
    <w:locked/>
    <w:uiPriority w:val="99"/>
    <w:rPr>
      <w:rFonts w:ascii="Cambria" w:hAnsi="Cambria" w:eastAsia="宋体" w:cs="Times New Roman"/>
      <w:b/>
      <w:bCs/>
      <w:kern w:val="0"/>
      <w:sz w:val="26"/>
      <w:szCs w:val="26"/>
    </w:rPr>
  </w:style>
  <w:style w:type="character" w:customStyle="1" w:styleId="35">
    <w:name w:val="标题 4 Char"/>
    <w:basedOn w:val="29"/>
    <w:link w:val="5"/>
    <w:qFormat/>
    <w:locked/>
    <w:uiPriority w:val="99"/>
    <w:rPr>
      <w:rFonts w:ascii="Cambria" w:hAnsi="Cambria" w:eastAsia="宋体" w:cs="Times New Roman"/>
      <w:b/>
      <w:bCs/>
      <w:kern w:val="2"/>
      <w:sz w:val="28"/>
      <w:szCs w:val="28"/>
    </w:rPr>
  </w:style>
  <w:style w:type="character" w:customStyle="1" w:styleId="36">
    <w:name w:val="标题 5 Char"/>
    <w:basedOn w:val="29"/>
    <w:link w:val="6"/>
    <w:qFormat/>
    <w:locked/>
    <w:uiPriority w:val="99"/>
    <w:rPr>
      <w:rFonts w:ascii="宋体" w:hAnsi="宋体" w:eastAsia="宋体" w:cs="Times New Roman"/>
      <w:b/>
      <w:bCs/>
      <w:i/>
      <w:iCs/>
      <w:kern w:val="0"/>
      <w:sz w:val="26"/>
      <w:szCs w:val="26"/>
    </w:rPr>
  </w:style>
  <w:style w:type="character" w:customStyle="1" w:styleId="37">
    <w:name w:val="批注文字 Char"/>
    <w:basedOn w:val="29"/>
    <w:link w:val="9"/>
    <w:qFormat/>
    <w:locked/>
    <w:uiPriority w:val="99"/>
    <w:rPr>
      <w:rFonts w:ascii="Times New Roman" w:hAnsi="Times New Roman" w:eastAsia="宋体" w:cs="Times New Roman"/>
      <w:kern w:val="2"/>
      <w:sz w:val="24"/>
      <w:szCs w:val="24"/>
    </w:rPr>
  </w:style>
  <w:style w:type="character" w:customStyle="1" w:styleId="38">
    <w:name w:val="正文文本缩进 Char"/>
    <w:basedOn w:val="29"/>
    <w:link w:val="11"/>
    <w:qFormat/>
    <w:locked/>
    <w:uiPriority w:val="99"/>
    <w:rPr>
      <w:rFonts w:ascii="Times New Roman" w:hAnsi="Times New Roman" w:cs="Times New Roman"/>
      <w:kern w:val="2"/>
      <w:sz w:val="24"/>
      <w:szCs w:val="24"/>
    </w:rPr>
  </w:style>
  <w:style w:type="character" w:customStyle="1" w:styleId="39">
    <w:name w:val="纯文本 Char1"/>
    <w:basedOn w:val="29"/>
    <w:link w:val="14"/>
    <w:qFormat/>
    <w:locked/>
    <w:uiPriority w:val="99"/>
    <w:rPr>
      <w:rFonts w:ascii="宋体" w:hAnsi="Courier New" w:cs="Times New Roman"/>
      <w:kern w:val="2"/>
      <w:sz w:val="21"/>
    </w:rPr>
  </w:style>
  <w:style w:type="character" w:customStyle="1" w:styleId="40">
    <w:name w:val="日期 Char"/>
    <w:basedOn w:val="29"/>
    <w:link w:val="15"/>
    <w:qFormat/>
    <w:locked/>
    <w:uiPriority w:val="99"/>
    <w:rPr>
      <w:rFonts w:ascii="Times New Roman" w:hAnsi="Times New Roman" w:eastAsia="宋体" w:cs="Times New Roman"/>
      <w:sz w:val="24"/>
      <w:szCs w:val="24"/>
    </w:rPr>
  </w:style>
  <w:style w:type="character" w:customStyle="1" w:styleId="41">
    <w:name w:val="正文文本缩进 2 Char"/>
    <w:basedOn w:val="29"/>
    <w:link w:val="16"/>
    <w:qFormat/>
    <w:locked/>
    <w:uiPriority w:val="99"/>
    <w:rPr>
      <w:rFonts w:ascii="Times New Roman" w:hAnsi="Times New Roman" w:cs="Times New Roman"/>
      <w:kern w:val="2"/>
      <w:sz w:val="24"/>
      <w:szCs w:val="24"/>
    </w:rPr>
  </w:style>
  <w:style w:type="character" w:customStyle="1" w:styleId="42">
    <w:name w:val="批注框文本 Char"/>
    <w:basedOn w:val="29"/>
    <w:link w:val="17"/>
    <w:semiHidden/>
    <w:qFormat/>
    <w:locked/>
    <w:uiPriority w:val="99"/>
    <w:rPr>
      <w:rFonts w:ascii="Times New Roman" w:hAnsi="Times New Roman" w:eastAsia="宋体" w:cs="Times New Roman"/>
      <w:kern w:val="2"/>
      <w:sz w:val="18"/>
      <w:szCs w:val="18"/>
    </w:rPr>
  </w:style>
  <w:style w:type="character" w:customStyle="1" w:styleId="43">
    <w:name w:val="页脚 Char"/>
    <w:basedOn w:val="29"/>
    <w:link w:val="18"/>
    <w:qFormat/>
    <w:locked/>
    <w:uiPriority w:val="99"/>
    <w:rPr>
      <w:rFonts w:cs="Times New Roman"/>
      <w:sz w:val="18"/>
      <w:szCs w:val="18"/>
    </w:rPr>
  </w:style>
  <w:style w:type="character" w:customStyle="1" w:styleId="44">
    <w:name w:val="页眉 Char"/>
    <w:basedOn w:val="29"/>
    <w:link w:val="19"/>
    <w:semiHidden/>
    <w:qFormat/>
    <w:locked/>
    <w:uiPriority w:val="99"/>
    <w:rPr>
      <w:rFonts w:cs="Times New Roman"/>
      <w:sz w:val="18"/>
      <w:szCs w:val="18"/>
    </w:rPr>
  </w:style>
  <w:style w:type="character" w:customStyle="1" w:styleId="45">
    <w:name w:val="标题 Char"/>
    <w:basedOn w:val="29"/>
    <w:link w:val="25"/>
    <w:qFormat/>
    <w:locked/>
    <w:uiPriority w:val="99"/>
    <w:rPr>
      <w:rFonts w:ascii="Cambria" w:hAnsi="Cambria" w:cs="Times New Roman"/>
      <w:b/>
      <w:bCs/>
      <w:kern w:val="2"/>
      <w:sz w:val="32"/>
      <w:szCs w:val="32"/>
    </w:rPr>
  </w:style>
  <w:style w:type="paragraph" w:customStyle="1" w:styleId="46">
    <w:name w:val="Char Char Char"/>
    <w:basedOn w:val="1"/>
    <w:qFormat/>
    <w:uiPriority w:val="99"/>
    <w:rPr>
      <w:rFonts w:ascii="Tahoma" w:hAnsi="Tahoma"/>
      <w:sz w:val="24"/>
      <w:szCs w:val="20"/>
    </w:rPr>
  </w:style>
  <w:style w:type="paragraph" w:customStyle="1" w:styleId="47">
    <w:name w:val="列出段落1"/>
    <w:basedOn w:val="1"/>
    <w:link w:val="49"/>
    <w:qFormat/>
    <w:uiPriority w:val="99"/>
    <w:pPr>
      <w:ind w:firstLine="420" w:firstLineChars="200"/>
    </w:pPr>
    <w:rPr>
      <w:kern w:val="0"/>
      <w:sz w:val="24"/>
      <w:szCs w:val="20"/>
    </w:rPr>
  </w:style>
  <w:style w:type="character" w:customStyle="1" w:styleId="48">
    <w:name w:val="正文缩进 Char"/>
    <w:link w:val="7"/>
    <w:qFormat/>
    <w:locked/>
    <w:uiPriority w:val="99"/>
    <w:rPr>
      <w:rFonts w:eastAsia="宋体"/>
    </w:rPr>
  </w:style>
  <w:style w:type="character" w:customStyle="1" w:styleId="49">
    <w:name w:val="列出段落 Char"/>
    <w:link w:val="47"/>
    <w:qFormat/>
    <w:locked/>
    <w:uiPriority w:val="99"/>
    <w:rPr>
      <w:rFonts w:ascii="Times New Roman" w:hAnsi="Times New Roman" w:eastAsia="宋体"/>
      <w:sz w:val="24"/>
    </w:rPr>
  </w:style>
  <w:style w:type="paragraph" w:customStyle="1" w:styleId="50">
    <w:name w:val="正文-带编号1)"/>
    <w:basedOn w:val="1"/>
    <w:qFormat/>
    <w:uiPriority w:val="99"/>
    <w:pPr>
      <w:spacing w:line="400" w:lineRule="exact"/>
    </w:pPr>
    <w:rPr>
      <w:rFonts w:ascii="Arial" w:hAnsi="Arial"/>
    </w:rPr>
  </w:style>
  <w:style w:type="paragraph" w:customStyle="1" w:styleId="51">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2">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3">
    <w:name w:val="Char Char Char Char Char Char Char1 Char"/>
    <w:basedOn w:val="1"/>
    <w:qFormat/>
    <w:uiPriority w:val="99"/>
    <w:rPr>
      <w:rFonts w:ascii="Tahoma" w:hAnsi="Tahoma"/>
      <w:sz w:val="24"/>
      <w:szCs w:val="20"/>
    </w:rPr>
  </w:style>
  <w:style w:type="paragraph" w:styleId="54">
    <w:name w:val="List Paragraph"/>
    <w:basedOn w:val="1"/>
    <w:qFormat/>
    <w:uiPriority w:val="99"/>
    <w:pPr>
      <w:ind w:firstLine="420" w:firstLineChars="200"/>
    </w:pPr>
    <w:rPr>
      <w:rFonts w:ascii="Calibri" w:hAnsi="Calibri"/>
      <w:szCs w:val="22"/>
    </w:rPr>
  </w:style>
  <w:style w:type="paragraph" w:customStyle="1" w:styleId="55">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6">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7">
    <w:name w:val="纯文本 Char"/>
    <w:basedOn w:val="29"/>
    <w:semiHidden/>
    <w:qFormat/>
    <w:uiPriority w:val="99"/>
    <w:rPr>
      <w:rFonts w:ascii="宋体" w:hAnsi="Courier New" w:cs="Courier New"/>
      <w:kern w:val="2"/>
      <w:sz w:val="21"/>
      <w:szCs w:val="21"/>
    </w:rPr>
  </w:style>
  <w:style w:type="paragraph" w:customStyle="1" w:styleId="58">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59">
    <w:name w:val="项目正文"/>
    <w:basedOn w:val="1"/>
    <w:qFormat/>
    <w:uiPriority w:val="99"/>
    <w:pPr>
      <w:ind w:firstLine="482"/>
    </w:pPr>
  </w:style>
  <w:style w:type="character" w:customStyle="1" w:styleId="60">
    <w:name w:val="批注主题 Char"/>
    <w:basedOn w:val="37"/>
    <w:link w:val="26"/>
    <w:qFormat/>
    <w:locked/>
    <w:uiPriority w:val="99"/>
    <w:rPr>
      <w:rFonts w:ascii="Times New Roman" w:hAnsi="Times New Roman" w:eastAsia="宋体" w:cs="Times New Roman"/>
      <w:kern w:val="2"/>
      <w:sz w:val="24"/>
      <w:szCs w:val="24"/>
    </w:rPr>
  </w:style>
  <w:style w:type="character" w:customStyle="1" w:styleId="61">
    <w:name w:val="font101"/>
    <w:basedOn w:val="29"/>
    <w:qFormat/>
    <w:uiPriority w:val="99"/>
    <w:rPr>
      <w:rFonts w:ascii="宋体" w:hAnsi="宋体" w:eastAsia="宋体" w:cs="宋体"/>
      <w:b/>
      <w:color w:val="000000"/>
      <w:sz w:val="20"/>
      <w:szCs w:val="20"/>
      <w:u w:val="none"/>
    </w:rPr>
  </w:style>
  <w:style w:type="character" w:customStyle="1" w:styleId="62">
    <w:name w:val="font111"/>
    <w:basedOn w:val="29"/>
    <w:qFormat/>
    <w:uiPriority w:val="99"/>
    <w:rPr>
      <w:rFonts w:ascii="宋体" w:hAnsi="宋体" w:eastAsia="宋体" w:cs="宋体"/>
      <w:color w:val="000000"/>
      <w:sz w:val="20"/>
      <w:szCs w:val="20"/>
      <w:u w:val="none"/>
    </w:rPr>
  </w:style>
  <w:style w:type="character" w:customStyle="1" w:styleId="63">
    <w:name w:val="font181"/>
    <w:basedOn w:val="29"/>
    <w:qFormat/>
    <w:uiPriority w:val="99"/>
    <w:rPr>
      <w:rFonts w:ascii="宋体" w:hAnsi="宋体" w:eastAsia="宋体" w:cs="宋体"/>
      <w:color w:val="FF0000"/>
      <w:sz w:val="20"/>
      <w:szCs w:val="20"/>
      <w:u w:val="none"/>
    </w:rPr>
  </w:style>
  <w:style w:type="character" w:customStyle="1" w:styleId="64">
    <w:name w:val="font12"/>
    <w:basedOn w:val="29"/>
    <w:qFormat/>
    <w:uiPriority w:val="99"/>
    <w:rPr>
      <w:rFonts w:ascii="宋体" w:hAnsi="宋体" w:eastAsia="宋体" w:cs="宋体"/>
      <w:color w:val="000000"/>
      <w:sz w:val="22"/>
      <w:szCs w:val="22"/>
      <w:u w:val="none"/>
    </w:rPr>
  </w:style>
  <w:style w:type="character" w:customStyle="1" w:styleId="65">
    <w:name w:val="font161"/>
    <w:basedOn w:val="29"/>
    <w:qFormat/>
    <w:uiPriority w:val="99"/>
    <w:rPr>
      <w:rFonts w:ascii="宋体" w:hAnsi="宋体" w:eastAsia="宋体" w:cs="宋体"/>
      <w:color w:val="000000"/>
      <w:sz w:val="22"/>
      <w:szCs w:val="22"/>
      <w:u w:val="none"/>
    </w:rPr>
  </w:style>
  <w:style w:type="character" w:customStyle="1" w:styleId="66">
    <w:name w:val="font51"/>
    <w:basedOn w:val="29"/>
    <w:qFormat/>
    <w:uiPriority w:val="99"/>
    <w:rPr>
      <w:rFonts w:ascii="宋体" w:hAnsi="宋体" w:eastAsia="宋体" w:cs="宋体"/>
      <w:b/>
      <w:color w:val="000000"/>
      <w:sz w:val="20"/>
      <w:szCs w:val="20"/>
      <w:u w:val="none"/>
    </w:rPr>
  </w:style>
  <w:style w:type="character" w:customStyle="1" w:styleId="67">
    <w:name w:val="font122"/>
    <w:basedOn w:val="29"/>
    <w:qFormat/>
    <w:uiPriority w:val="99"/>
    <w:rPr>
      <w:rFonts w:ascii="宋体" w:hAnsi="宋体" w:eastAsia="宋体" w:cs="宋体"/>
      <w:color w:val="000000"/>
      <w:sz w:val="22"/>
      <w:szCs w:val="22"/>
      <w:u w:val="none"/>
    </w:rPr>
  </w:style>
  <w:style w:type="character" w:customStyle="1" w:styleId="68">
    <w:name w:val="正文文本 Char"/>
    <w:basedOn w:val="29"/>
    <w:link w:val="10"/>
    <w:qFormat/>
    <w:locked/>
    <w:uiPriority w:val="99"/>
    <w:rPr>
      <w:rFonts w:ascii="Times New Roman" w:hAnsi="Times New Roman" w:eastAsia="宋体" w:cs="Times New Roman"/>
      <w:sz w:val="24"/>
      <w:szCs w:val="24"/>
    </w:rPr>
  </w:style>
  <w:style w:type="paragraph" w:customStyle="1" w:styleId="69">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0">
    <w:name w:val="MsoNormal"/>
    <w:basedOn w:val="1"/>
    <w:qFormat/>
    <w:uiPriority w:val="0"/>
    <w:pPr>
      <w:widowControl/>
      <w:jc w:val="left"/>
    </w:pPr>
    <w:rPr>
      <w:rFonts w:eastAsia="Calibri"/>
      <w:kern w:val="0"/>
    </w:rPr>
  </w:style>
  <w:style w:type="paragraph" w:customStyle="1" w:styleId="71">
    <w:name w:val="p0"/>
    <w:basedOn w:val="1"/>
    <w:qFormat/>
    <w:uiPriority w:val="0"/>
    <w:pPr>
      <w:widowControl/>
      <w:jc w:val="left"/>
    </w:pPr>
    <w:rPr>
      <w:kern w:val="0"/>
      <w:sz w:val="24"/>
    </w:rPr>
  </w:style>
  <w:style w:type="character" w:customStyle="1" w:styleId="72">
    <w:name w:val="文档结构图 Char"/>
    <w:basedOn w:val="29"/>
    <w:link w:val="8"/>
    <w:semiHidden/>
    <w:qFormat/>
    <w:uiPriority w:val="99"/>
    <w:rPr>
      <w:rFonts w:ascii="宋体"/>
      <w:kern w:val="2"/>
      <w:sz w:val="18"/>
      <w:szCs w:val="18"/>
    </w:rPr>
  </w:style>
  <w:style w:type="character" w:customStyle="1" w:styleId="73">
    <w:name w:val="HTML 预设格式 Char"/>
    <w:basedOn w:val="29"/>
    <w:link w:val="23"/>
    <w:qFormat/>
    <w:uiPriority w:val="99"/>
    <w:rPr>
      <w:rFonts w:ascii="Courier New" w:hAnsi="Courier New"/>
    </w:rPr>
  </w:style>
  <w:style w:type="paragraph" w:customStyle="1" w:styleId="7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49659-7A1B-491A-AA7A-DAAF483FFAE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3889</Words>
  <Characters>22172</Characters>
  <Lines>184</Lines>
  <Paragraphs>52</Paragraphs>
  <TotalTime>41</TotalTime>
  <ScaleCrop>false</ScaleCrop>
  <LinksUpToDate>false</LinksUpToDate>
  <CharactersWithSpaces>26009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2019-07-18T03:38:00Z</dcterms:created>
  <dc:creator>WG</dc:creator>
  <cp:lastModifiedBy>晶晶</cp:lastModifiedBy>
  <cp:lastPrinted>2017-08-02T01:30:00Z</cp:lastPrinted>
  <dcterms:modified xsi:type="dcterms:W3CDTF">2020-04-25T07:49:15Z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